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5B64C">
      <w:pPr>
        <w:rPr>
          <w:rFonts w:ascii="Times New Roman" w:hAnsi="Times New Roman"/>
        </w:rPr>
      </w:pPr>
      <w:bookmarkStart w:id="91" w:name="_GoBack"/>
      <w:bookmarkEnd w:id="91"/>
      <w:bookmarkStart w:id="0" w:name="_Toc15377193"/>
      <w:bookmarkStart w:id="1" w:name="_Toc15377425"/>
      <w:bookmarkStart w:id="2" w:name="_Toc15396597"/>
      <w:bookmarkStart w:id="3" w:name="_Toc15396475"/>
      <w:bookmarkStart w:id="4" w:name="_Toc15306267"/>
      <w:bookmarkStart w:id="5" w:name="_Toc15378441"/>
    </w:p>
    <w:bookmarkEnd w:id="0"/>
    <w:bookmarkEnd w:id="1"/>
    <w:bookmarkEnd w:id="2"/>
    <w:bookmarkEnd w:id="3"/>
    <w:bookmarkEnd w:id="4"/>
    <w:bookmarkEnd w:id="5"/>
    <w:p w14:paraId="4C68BD9B">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1914A91C">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CD729D7">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阿坝州壤塘县2025年度</w:t>
      </w:r>
      <w:r>
        <w:rPr>
          <w:rFonts w:hint="eastAsia" w:ascii="Times New Roman" w:eastAsia="方正小标宋简体" w:cs="Times New Roman"/>
          <w:color w:val="auto"/>
          <w:kern w:val="2"/>
          <w:sz w:val="44"/>
          <w:szCs w:val="44"/>
          <w:highlight w:val="none"/>
          <w:lang w:val="en-US" w:eastAsia="zh-CN" w:bidi="ar-SA"/>
        </w:rPr>
        <w:t>藏医院</w:t>
      </w:r>
    </w:p>
    <w:p w14:paraId="548A6D50">
      <w:pPr>
        <w:pStyle w:val="5"/>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单位</w:t>
      </w: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67DC6561">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1E95921B">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38905781">
      <w:pPr>
        <w:widowControl/>
        <w:jc w:val="center"/>
        <w:rPr>
          <w:rFonts w:ascii="Times New Roman" w:hAnsi="Times New Roman" w:eastAsia="黑体" w:cstheme="minorBidi"/>
          <w:color w:val="auto"/>
          <w:sz w:val="28"/>
          <w:szCs w:val="28"/>
          <w:highlight w:val="none"/>
        </w:rPr>
      </w:pPr>
    </w:p>
    <w:p w14:paraId="711D9F1D">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rPr>
        <w:t>日</w:t>
      </w:r>
    </w:p>
    <w:p w14:paraId="74DCCC4E">
      <w:pPr>
        <w:rPr>
          <w:rFonts w:ascii="Times New Roman" w:hAnsi="Times New Roman"/>
          <w:color w:val="auto"/>
          <w:highlight w:val="none"/>
        </w:rPr>
      </w:pPr>
    </w:p>
    <w:sdt>
      <w:sdtPr>
        <w:rPr>
          <w:rFonts w:ascii="宋体" w:hAnsi="宋体" w:eastAsia="宋体" w:cs="Times New Roman"/>
          <w:kern w:val="2"/>
          <w:sz w:val="21"/>
          <w:szCs w:val="24"/>
          <w:lang w:val="en-US" w:eastAsia="zh-CN" w:bidi="ar-SA"/>
        </w:rPr>
        <w:id w:val="147482688"/>
        <w15:color w:val="DBDBDB"/>
        <w:docPartObj>
          <w:docPartGallery w:val="Table of Contents"/>
          <w:docPartUnique/>
        </w:docPartObj>
      </w:sdtPr>
      <w:sdtEndPr>
        <w:rPr>
          <w:rFonts w:hint="eastAsia" w:asciiTheme="majorHAnsi" w:hAnsiTheme="majorHAnsi" w:eastAsiaTheme="majorEastAsia" w:cstheme="majorBidi"/>
          <w:b/>
          <w:bCs/>
          <w:kern w:val="2"/>
          <w:sz w:val="32"/>
          <w:szCs w:val="32"/>
          <w:lang w:val="en-US" w:eastAsia="zh-CN" w:bidi="ar-SA"/>
        </w:rPr>
      </w:sdtEndPr>
      <w:sdtContent>
        <w:p w14:paraId="738ADC25">
          <w:pPr>
            <w:spacing w:before="0" w:beforeLines="0" w:after="0" w:afterLines="0" w:line="240" w:lineRule="auto"/>
            <w:ind w:left="0" w:leftChars="0" w:right="0" w:rightChars="0" w:firstLine="0" w:firstLineChars="0"/>
            <w:jc w:val="center"/>
          </w:pPr>
        </w:p>
        <w:p w14:paraId="2E87541E">
          <w:pPr>
            <w:pStyle w:val="12"/>
            <w:tabs>
              <w:tab w:val="right" w:leader="dot" w:pos="8306"/>
              <w:tab w:val="clear" w:pos="8296"/>
            </w:tabs>
          </w:pPr>
          <w:r>
            <w:rPr>
              <w:rFonts w:hint="eastAsia"/>
            </w:rPr>
            <w:fldChar w:fldCharType="begin"/>
          </w:r>
          <w:r>
            <w:rPr>
              <w:rFonts w:hint="eastAsia"/>
            </w:rPr>
            <w:instrText xml:space="preserve">TOC \o "1-3" \h \u </w:instrText>
          </w:r>
          <w:r>
            <w:rPr>
              <w:rFonts w:hint="eastAsia"/>
            </w:rPr>
            <w:fldChar w:fldCharType="separate"/>
          </w: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_Toc6202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第一部分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bCs w:val="0"/>
              <w:sz w:val="32"/>
              <w:szCs w:val="32"/>
              <w:highlight w:val="none"/>
            </w:rPr>
            <w:t>部门概况</w:t>
          </w:r>
          <w:r>
            <w:rPr>
              <w:rFonts w:hint="eastAsia" w:ascii="黑体" w:hAnsi="黑体" w:eastAsia="黑体" w:cs="黑体"/>
              <w:sz w:val="32"/>
              <w:szCs w:val="32"/>
            </w:rPr>
            <w:tab/>
          </w:r>
          <w:r>
            <w:rPr>
              <w:rFonts w:hint="eastAsia" w:ascii="黑体" w:hAnsi="黑体" w:eastAsia="黑体" w:cs="黑体"/>
              <w:sz w:val="32"/>
              <w:szCs w:val="32"/>
              <w:lang w:val="en-US" w:eastAsia="zh-CN"/>
            </w:rPr>
            <w:t>1</w:t>
          </w:r>
          <w:r>
            <w:rPr>
              <w:rFonts w:hint="eastAsia" w:ascii="黑体" w:hAnsi="黑体" w:eastAsia="黑体" w:cs="黑体"/>
              <w:sz w:val="32"/>
              <w:szCs w:val="32"/>
            </w:rPr>
            <w:fldChar w:fldCharType="end"/>
          </w:r>
        </w:p>
        <w:p w14:paraId="20CD8588">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_Toc30678 </w:instrText>
          </w:r>
          <w:r>
            <w:rPr>
              <w:rFonts w:hint="eastAsia"/>
              <w:sz w:val="32"/>
              <w:szCs w:val="32"/>
            </w:rPr>
            <w:fldChar w:fldCharType="separate"/>
          </w:r>
          <w:r>
            <w:rPr>
              <w:rFonts w:hint="eastAsia" w:ascii="Times New Roman" w:hAnsi="Times New Roman" w:eastAsia="黑体"/>
              <w:sz w:val="32"/>
              <w:szCs w:val="32"/>
              <w:lang w:eastAsia="zh-CN"/>
            </w:rPr>
            <w:t xml:space="preserve">一、 </w:t>
          </w:r>
          <w:r>
            <w:rPr>
              <w:rFonts w:hint="eastAsia" w:ascii="Times New Roman" w:hAnsi="Times New Roman" w:eastAsia="黑体"/>
              <w:sz w:val="32"/>
              <w:szCs w:val="32"/>
              <w:highlight w:val="none"/>
              <w:lang w:eastAsia="zh-CN"/>
            </w:rPr>
            <w:t>部门职责</w:t>
          </w:r>
          <w:r>
            <w:rPr>
              <w:sz w:val="32"/>
              <w:szCs w:val="32"/>
            </w:rPr>
            <w:tab/>
          </w:r>
          <w:r>
            <w:rPr>
              <w:rFonts w:hint="eastAsia"/>
              <w:sz w:val="32"/>
              <w:szCs w:val="32"/>
              <w:lang w:val="en-US" w:eastAsia="zh-CN"/>
            </w:rPr>
            <w:t>1</w:t>
          </w:r>
          <w:r>
            <w:rPr>
              <w:rFonts w:hint="eastAsia"/>
              <w:sz w:val="32"/>
              <w:szCs w:val="32"/>
            </w:rPr>
            <w:fldChar w:fldCharType="end"/>
          </w:r>
        </w:p>
        <w:p w14:paraId="1955DAFD">
          <w:pPr>
            <w:pStyle w:val="14"/>
            <w:tabs>
              <w:tab w:val="right" w:leader="dot" w:pos="8306"/>
              <w:tab w:val="clear" w:pos="8296"/>
            </w:tabs>
          </w:pPr>
          <w:r>
            <w:rPr>
              <w:rFonts w:hint="eastAsia"/>
              <w:sz w:val="32"/>
              <w:szCs w:val="32"/>
            </w:rPr>
            <w:fldChar w:fldCharType="begin"/>
          </w:r>
          <w:r>
            <w:rPr>
              <w:rFonts w:hint="eastAsia"/>
              <w:sz w:val="32"/>
              <w:szCs w:val="32"/>
            </w:rPr>
            <w:instrText xml:space="preserve"> HYPERLINK \l _Toc5436 </w:instrText>
          </w:r>
          <w:r>
            <w:rPr>
              <w:rFonts w:hint="eastAsia"/>
              <w:sz w:val="32"/>
              <w:szCs w:val="32"/>
            </w:rPr>
            <w:fldChar w:fldCharType="separate"/>
          </w:r>
          <w:r>
            <w:rPr>
              <w:rFonts w:hint="eastAsia" w:ascii="Times New Roman" w:hAnsi="Times New Roman" w:eastAsia="黑体"/>
              <w:sz w:val="32"/>
              <w:szCs w:val="32"/>
              <w:highlight w:val="none"/>
            </w:rPr>
            <w:t>二、机</w:t>
          </w:r>
          <w:r>
            <w:rPr>
              <w:rFonts w:hint="eastAsia" w:ascii="Times New Roman" w:hAnsi="Times New Roman" w:eastAsia="黑体"/>
              <w:bCs w:val="0"/>
              <w:sz w:val="32"/>
              <w:szCs w:val="32"/>
              <w:highlight w:val="none"/>
            </w:rPr>
            <w:t>构设置</w:t>
          </w:r>
          <w:r>
            <w:rPr>
              <w:sz w:val="32"/>
              <w:szCs w:val="32"/>
            </w:rPr>
            <w:tab/>
          </w:r>
          <w:r>
            <w:rPr>
              <w:rFonts w:hint="eastAsia"/>
              <w:sz w:val="32"/>
              <w:szCs w:val="32"/>
              <w:lang w:val="en-US" w:eastAsia="zh-CN"/>
            </w:rPr>
            <w:t>2</w:t>
          </w:r>
          <w:r>
            <w:rPr>
              <w:rFonts w:hint="eastAsia"/>
              <w:sz w:val="32"/>
              <w:szCs w:val="32"/>
            </w:rPr>
            <w:fldChar w:fldCharType="end"/>
          </w:r>
        </w:p>
        <w:p w14:paraId="296CD72A">
          <w:pPr>
            <w:pStyle w:val="12"/>
            <w:tabs>
              <w:tab w:val="right" w:leader="dot" w:pos="8306"/>
              <w:tab w:val="clear" w:pos="8296"/>
            </w:tabs>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_Toc30093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第二部分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 xml:space="preserve"> </w:t>
          </w:r>
          <w:r>
            <w:rPr>
              <w:rFonts w:hint="eastAsia" w:ascii="黑体" w:hAnsi="黑体" w:eastAsia="黑体" w:cs="黑体"/>
              <w:sz w:val="32"/>
              <w:szCs w:val="32"/>
              <w:highlight w:val="none"/>
              <w:lang w:val="en-US" w:eastAsia="zh-CN"/>
            </w:rPr>
            <w:t>2025年度</w:t>
          </w:r>
          <w:r>
            <w:rPr>
              <w:rFonts w:hint="eastAsia" w:ascii="黑体" w:hAnsi="黑体" w:eastAsia="黑体" w:cs="黑体"/>
              <w:sz w:val="32"/>
              <w:szCs w:val="32"/>
              <w:highlight w:val="none"/>
            </w:rPr>
            <w:t>部门决算情况说明</w:t>
          </w:r>
          <w:r>
            <w:rPr>
              <w:rFonts w:hint="eastAsia" w:ascii="黑体" w:hAnsi="黑体" w:eastAsia="黑体" w:cs="黑体"/>
              <w:sz w:val="32"/>
              <w:szCs w:val="32"/>
            </w:rPr>
            <w:tab/>
          </w:r>
          <w:r>
            <w:rPr>
              <w:rFonts w:hint="eastAsia" w:ascii="黑体" w:hAnsi="黑体" w:eastAsia="黑体" w:cs="黑体"/>
              <w:sz w:val="32"/>
              <w:szCs w:val="32"/>
              <w:lang w:val="en-US" w:eastAsia="zh-CN"/>
            </w:rPr>
            <w:t>2</w:t>
          </w:r>
          <w:r>
            <w:rPr>
              <w:rFonts w:hint="eastAsia" w:ascii="黑体" w:hAnsi="黑体" w:eastAsia="黑体" w:cs="黑体"/>
              <w:sz w:val="32"/>
              <w:szCs w:val="32"/>
            </w:rPr>
            <w:fldChar w:fldCharType="end"/>
          </w:r>
        </w:p>
        <w:p w14:paraId="69CEFA81">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_Toc9088 </w:instrText>
          </w:r>
          <w:r>
            <w:rPr>
              <w:rFonts w:hint="eastAsia"/>
              <w:sz w:val="32"/>
              <w:szCs w:val="32"/>
            </w:rPr>
            <w:fldChar w:fldCharType="separate"/>
          </w:r>
          <w:r>
            <w:rPr>
              <w:rFonts w:hint="eastAsia" w:ascii="Times New Roman" w:hAnsi="Times New Roman" w:eastAsia="黑体"/>
              <w:sz w:val="32"/>
              <w:szCs w:val="32"/>
              <w:highlight w:val="none"/>
              <w:lang w:eastAsia="zh-CN"/>
            </w:rPr>
            <w:t>一、</w:t>
          </w:r>
          <w:r>
            <w:rPr>
              <w:rFonts w:hint="eastAsia" w:ascii="Times New Roman" w:hAnsi="Times New Roman" w:eastAsia="黑体"/>
              <w:sz w:val="32"/>
              <w:szCs w:val="32"/>
              <w:highlight w:val="none"/>
            </w:rPr>
            <w:t>收入支出决算总体情况说明</w:t>
          </w:r>
          <w:r>
            <w:rPr>
              <w:sz w:val="32"/>
              <w:szCs w:val="32"/>
            </w:rPr>
            <w:tab/>
          </w:r>
          <w:r>
            <w:rPr>
              <w:rFonts w:hint="eastAsia"/>
              <w:sz w:val="32"/>
              <w:szCs w:val="32"/>
              <w:lang w:val="en-US" w:eastAsia="zh-CN"/>
            </w:rPr>
            <w:t>2</w:t>
          </w:r>
          <w:r>
            <w:rPr>
              <w:rFonts w:hint="eastAsia"/>
              <w:sz w:val="32"/>
              <w:szCs w:val="32"/>
            </w:rPr>
            <w:fldChar w:fldCharType="end"/>
          </w:r>
        </w:p>
        <w:p w14:paraId="34C49EC6">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_Toc24879 </w:instrText>
          </w:r>
          <w:r>
            <w:rPr>
              <w:rFonts w:hint="eastAsia"/>
              <w:sz w:val="32"/>
              <w:szCs w:val="32"/>
            </w:rPr>
            <w:fldChar w:fldCharType="separate"/>
          </w:r>
          <w:r>
            <w:rPr>
              <w:rFonts w:hint="eastAsia" w:ascii="Times New Roman" w:hAnsi="Times New Roman" w:eastAsia="黑体"/>
              <w:sz w:val="32"/>
              <w:szCs w:val="32"/>
              <w:highlight w:val="none"/>
              <w:lang w:eastAsia="zh-CN"/>
            </w:rPr>
            <w:t>二、收入决算情况说明</w:t>
          </w:r>
          <w:r>
            <w:rPr>
              <w:sz w:val="32"/>
              <w:szCs w:val="32"/>
            </w:rPr>
            <w:tab/>
          </w:r>
          <w:r>
            <w:rPr>
              <w:rFonts w:hint="eastAsia"/>
              <w:sz w:val="32"/>
              <w:szCs w:val="32"/>
              <w:lang w:val="en-US" w:eastAsia="zh-CN"/>
            </w:rPr>
            <w:t>3</w:t>
          </w:r>
          <w:r>
            <w:rPr>
              <w:rFonts w:hint="eastAsia"/>
              <w:sz w:val="32"/>
              <w:szCs w:val="32"/>
            </w:rPr>
            <w:fldChar w:fldCharType="end"/>
          </w:r>
        </w:p>
        <w:p w14:paraId="47350E6C">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_Toc21070 </w:instrText>
          </w:r>
          <w:r>
            <w:rPr>
              <w:rFonts w:hint="eastAsia"/>
              <w:sz w:val="32"/>
              <w:szCs w:val="32"/>
            </w:rPr>
            <w:fldChar w:fldCharType="separate"/>
          </w:r>
          <w:r>
            <w:rPr>
              <w:rFonts w:hint="eastAsia" w:ascii="Times New Roman" w:hAnsi="Times New Roman" w:eastAsia="黑体"/>
              <w:sz w:val="32"/>
              <w:szCs w:val="32"/>
              <w:highlight w:val="none"/>
              <w:lang w:eastAsia="zh-CN"/>
            </w:rPr>
            <w:t>三、</w:t>
          </w:r>
          <w:r>
            <w:rPr>
              <w:rFonts w:hint="eastAsia" w:ascii="Times New Roman" w:hAnsi="Times New Roman" w:eastAsia="黑体"/>
              <w:sz w:val="32"/>
              <w:szCs w:val="32"/>
              <w:highlight w:val="none"/>
            </w:rPr>
            <w:t>支出决算情况说明</w:t>
          </w:r>
          <w:r>
            <w:rPr>
              <w:sz w:val="32"/>
              <w:szCs w:val="32"/>
            </w:rPr>
            <w:tab/>
          </w:r>
          <w:r>
            <w:rPr>
              <w:rFonts w:hint="eastAsia"/>
              <w:sz w:val="32"/>
              <w:szCs w:val="32"/>
              <w:lang w:val="en-US" w:eastAsia="zh-CN"/>
            </w:rPr>
            <w:t>4</w:t>
          </w:r>
          <w:r>
            <w:rPr>
              <w:rFonts w:hint="eastAsia"/>
              <w:sz w:val="32"/>
              <w:szCs w:val="32"/>
            </w:rPr>
            <w:fldChar w:fldCharType="end"/>
          </w:r>
        </w:p>
        <w:p w14:paraId="78C20722">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_Toc4820 </w:instrText>
          </w:r>
          <w:r>
            <w:rPr>
              <w:rFonts w:hint="eastAsia"/>
              <w:sz w:val="32"/>
              <w:szCs w:val="32"/>
            </w:rPr>
            <w:fldChar w:fldCharType="separate"/>
          </w:r>
          <w:r>
            <w:rPr>
              <w:rFonts w:hint="eastAsia" w:ascii="Times New Roman" w:hAnsi="Times New Roman" w:eastAsia="黑体"/>
              <w:sz w:val="32"/>
              <w:szCs w:val="32"/>
              <w:highlight w:val="none"/>
            </w:rPr>
            <w:t>四、财政拨款收入支出决算总体情况说明</w:t>
          </w:r>
          <w:r>
            <w:rPr>
              <w:sz w:val="32"/>
              <w:szCs w:val="32"/>
            </w:rPr>
            <w:tab/>
          </w:r>
          <w:r>
            <w:rPr>
              <w:rFonts w:hint="eastAsia"/>
              <w:sz w:val="32"/>
              <w:szCs w:val="32"/>
              <w:lang w:val="en-US" w:eastAsia="zh-CN"/>
            </w:rPr>
            <w:t>4</w:t>
          </w:r>
          <w:r>
            <w:rPr>
              <w:rFonts w:hint="eastAsia"/>
              <w:sz w:val="32"/>
              <w:szCs w:val="32"/>
            </w:rPr>
            <w:fldChar w:fldCharType="end"/>
          </w:r>
        </w:p>
        <w:p w14:paraId="5E039404">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_Toc24378 </w:instrText>
          </w:r>
          <w:r>
            <w:rPr>
              <w:rFonts w:hint="eastAsia"/>
              <w:sz w:val="32"/>
              <w:szCs w:val="32"/>
            </w:rPr>
            <w:fldChar w:fldCharType="separate"/>
          </w:r>
          <w:r>
            <w:rPr>
              <w:rFonts w:hint="eastAsia" w:ascii="Times New Roman" w:hAnsi="Times New Roman" w:eastAsia="黑体"/>
              <w:sz w:val="32"/>
              <w:szCs w:val="32"/>
              <w:highlight w:val="none"/>
            </w:rPr>
            <w:t>五、一般公共预算财政拨款支出决算情况说明</w:t>
          </w:r>
          <w:r>
            <w:rPr>
              <w:sz w:val="32"/>
              <w:szCs w:val="32"/>
            </w:rPr>
            <w:tab/>
          </w:r>
          <w:r>
            <w:rPr>
              <w:rFonts w:hint="eastAsia"/>
              <w:sz w:val="32"/>
              <w:szCs w:val="32"/>
              <w:lang w:val="en-US" w:eastAsia="zh-CN"/>
            </w:rPr>
            <w:t>5</w:t>
          </w:r>
          <w:r>
            <w:rPr>
              <w:rFonts w:hint="eastAsia"/>
              <w:sz w:val="32"/>
              <w:szCs w:val="32"/>
            </w:rPr>
            <w:fldChar w:fldCharType="end"/>
          </w:r>
        </w:p>
        <w:p w14:paraId="10DE6000">
          <w:pPr>
            <w:pStyle w:val="14"/>
            <w:tabs>
              <w:tab w:val="right" w:leader="dot" w:pos="8306"/>
              <w:tab w:val="clear" w:pos="8296"/>
            </w:tabs>
            <w:rPr>
              <w:sz w:val="32"/>
              <w:szCs w:val="32"/>
            </w:rPr>
          </w:pPr>
          <w:r>
            <w:rPr>
              <w:rFonts w:hint="eastAsia"/>
              <w:sz w:val="32"/>
              <w:szCs w:val="32"/>
            </w:rPr>
            <w:fldChar w:fldCharType="begin"/>
          </w:r>
          <w:r>
            <w:rPr>
              <w:rFonts w:hint="eastAsia"/>
              <w:sz w:val="32"/>
              <w:szCs w:val="32"/>
            </w:rPr>
            <w:instrText xml:space="preserve"> HYPERLINK \l _Toc7879 </w:instrText>
          </w:r>
          <w:r>
            <w:rPr>
              <w:rFonts w:hint="eastAsia"/>
              <w:sz w:val="32"/>
              <w:szCs w:val="32"/>
            </w:rPr>
            <w:fldChar w:fldCharType="separate"/>
          </w:r>
          <w:r>
            <w:rPr>
              <w:rFonts w:hint="eastAsia" w:ascii="Times New Roman" w:hAnsi="Times New Roman" w:eastAsia="黑体"/>
              <w:sz w:val="32"/>
              <w:szCs w:val="32"/>
              <w:highlight w:val="none"/>
            </w:rPr>
            <w:t>六、一般公共预算财政拨款基本支出决算情况说明</w:t>
          </w:r>
          <w:r>
            <w:rPr>
              <w:sz w:val="32"/>
              <w:szCs w:val="32"/>
            </w:rPr>
            <w:tab/>
          </w:r>
          <w:r>
            <w:rPr>
              <w:rFonts w:hint="eastAsia"/>
              <w:sz w:val="32"/>
              <w:szCs w:val="32"/>
              <w:lang w:val="en-US" w:eastAsia="zh-CN"/>
            </w:rPr>
            <w:t>9</w:t>
          </w:r>
          <w:r>
            <w:rPr>
              <w:rFonts w:hint="eastAsia"/>
              <w:sz w:val="32"/>
              <w:szCs w:val="32"/>
            </w:rPr>
            <w:fldChar w:fldCharType="end"/>
          </w:r>
        </w:p>
        <w:p w14:paraId="432B8B0F">
          <w:pPr>
            <w:pStyle w:val="14"/>
            <w:tabs>
              <w:tab w:val="right" w:leader="dot" w:pos="8306"/>
              <w:tab w:val="clear" w:pos="8296"/>
            </w:tabs>
            <w:rPr>
              <w:rFonts w:hint="eastAsia" w:eastAsia="宋体"/>
              <w:sz w:val="32"/>
              <w:szCs w:val="32"/>
              <w:lang w:val="en-US" w:eastAsia="zh-CN"/>
            </w:rPr>
          </w:pPr>
          <w:r>
            <w:rPr>
              <w:rFonts w:hint="eastAsia"/>
              <w:sz w:val="32"/>
              <w:szCs w:val="32"/>
            </w:rPr>
            <w:fldChar w:fldCharType="begin"/>
          </w:r>
          <w:r>
            <w:rPr>
              <w:rFonts w:hint="eastAsia"/>
              <w:sz w:val="32"/>
              <w:szCs w:val="32"/>
            </w:rPr>
            <w:instrText xml:space="preserve"> HYPERLINK \l _Toc32241 </w:instrText>
          </w:r>
          <w:r>
            <w:rPr>
              <w:rFonts w:hint="eastAsia"/>
              <w:sz w:val="32"/>
              <w:szCs w:val="32"/>
            </w:rPr>
            <w:fldChar w:fldCharType="separate"/>
          </w:r>
          <w:r>
            <w:rPr>
              <w:rFonts w:hint="eastAsia" w:ascii="Times New Roman" w:hAnsi="Times New Roman" w:eastAsia="黑体"/>
              <w:sz w:val="32"/>
              <w:szCs w:val="32"/>
              <w:highlight w:val="none"/>
            </w:rPr>
            <w:t>七、财政拨款“三公”经费支出决算情况说明</w:t>
          </w:r>
          <w:r>
            <w:rPr>
              <w:sz w:val="32"/>
              <w:szCs w:val="32"/>
            </w:rPr>
            <w:tab/>
          </w:r>
          <w:r>
            <w:rPr>
              <w:rFonts w:hint="eastAsia"/>
              <w:sz w:val="32"/>
              <w:szCs w:val="32"/>
              <w:lang w:val="en-US" w:eastAsia="zh-CN"/>
            </w:rPr>
            <w:t>1</w:t>
          </w:r>
          <w:r>
            <w:rPr>
              <w:rFonts w:hint="eastAsia"/>
              <w:sz w:val="32"/>
              <w:szCs w:val="32"/>
            </w:rPr>
            <w:fldChar w:fldCharType="end"/>
          </w:r>
          <w:r>
            <w:rPr>
              <w:rFonts w:hint="eastAsia"/>
              <w:sz w:val="32"/>
              <w:szCs w:val="32"/>
              <w:lang w:val="en-US" w:eastAsia="zh-CN"/>
            </w:rPr>
            <w:t>0</w:t>
          </w:r>
        </w:p>
        <w:p w14:paraId="0E44BDDF">
          <w:pPr>
            <w:pStyle w:val="14"/>
            <w:tabs>
              <w:tab w:val="right" w:leader="dot" w:pos="8306"/>
              <w:tab w:val="clear" w:pos="8296"/>
            </w:tabs>
            <w:rPr>
              <w:rFonts w:hint="eastAsia" w:eastAsia="宋体"/>
              <w:sz w:val="32"/>
              <w:szCs w:val="32"/>
              <w:lang w:val="en-US" w:eastAsia="zh-CN"/>
            </w:rPr>
          </w:pPr>
          <w:r>
            <w:rPr>
              <w:rFonts w:hint="eastAsia"/>
              <w:sz w:val="32"/>
              <w:szCs w:val="32"/>
            </w:rPr>
            <w:fldChar w:fldCharType="begin"/>
          </w:r>
          <w:r>
            <w:rPr>
              <w:rFonts w:hint="eastAsia"/>
              <w:sz w:val="32"/>
              <w:szCs w:val="32"/>
            </w:rPr>
            <w:instrText xml:space="preserve"> HYPERLINK \l _Toc7726 </w:instrText>
          </w:r>
          <w:r>
            <w:rPr>
              <w:rFonts w:hint="eastAsia"/>
              <w:sz w:val="32"/>
              <w:szCs w:val="32"/>
            </w:rPr>
            <w:fldChar w:fldCharType="separate"/>
          </w:r>
          <w:r>
            <w:rPr>
              <w:rFonts w:hint="eastAsia" w:ascii="Times New Roman" w:hAnsi="Times New Roman" w:eastAsia="黑体"/>
              <w:sz w:val="32"/>
              <w:szCs w:val="32"/>
              <w:highlight w:val="none"/>
            </w:rPr>
            <w:t>八、政府性基金预算支出决算情况说明</w:t>
          </w:r>
          <w:r>
            <w:rPr>
              <w:sz w:val="32"/>
              <w:szCs w:val="32"/>
            </w:rPr>
            <w:tab/>
          </w:r>
          <w:r>
            <w:rPr>
              <w:rFonts w:hint="eastAsia"/>
              <w:sz w:val="32"/>
              <w:szCs w:val="32"/>
              <w:lang w:val="en-US" w:eastAsia="zh-CN"/>
            </w:rPr>
            <w:t>1</w:t>
          </w:r>
          <w:r>
            <w:rPr>
              <w:rFonts w:hint="eastAsia"/>
              <w:sz w:val="32"/>
              <w:szCs w:val="32"/>
            </w:rPr>
            <w:fldChar w:fldCharType="end"/>
          </w:r>
          <w:r>
            <w:rPr>
              <w:rFonts w:hint="eastAsia"/>
              <w:sz w:val="32"/>
              <w:szCs w:val="32"/>
              <w:lang w:val="en-US" w:eastAsia="zh-CN"/>
            </w:rPr>
            <w:t>1</w:t>
          </w:r>
        </w:p>
        <w:p w14:paraId="51F17820">
          <w:pPr>
            <w:pStyle w:val="14"/>
            <w:tabs>
              <w:tab w:val="right" w:leader="dot" w:pos="8306"/>
              <w:tab w:val="clear" w:pos="8296"/>
            </w:tabs>
            <w:rPr>
              <w:rFonts w:hint="eastAsia" w:eastAsia="宋体"/>
              <w:sz w:val="32"/>
              <w:szCs w:val="32"/>
              <w:lang w:val="en-US" w:eastAsia="zh-CN"/>
            </w:rPr>
          </w:pPr>
          <w:r>
            <w:rPr>
              <w:rFonts w:hint="eastAsia"/>
              <w:sz w:val="32"/>
              <w:szCs w:val="32"/>
            </w:rPr>
            <w:fldChar w:fldCharType="begin"/>
          </w:r>
          <w:r>
            <w:rPr>
              <w:rFonts w:hint="eastAsia"/>
              <w:sz w:val="32"/>
              <w:szCs w:val="32"/>
            </w:rPr>
            <w:instrText xml:space="preserve"> HYPERLINK \l _Toc11793 </w:instrText>
          </w:r>
          <w:r>
            <w:rPr>
              <w:rFonts w:hint="eastAsia"/>
              <w:sz w:val="32"/>
              <w:szCs w:val="32"/>
            </w:rPr>
            <w:fldChar w:fldCharType="separate"/>
          </w:r>
          <w:r>
            <w:rPr>
              <w:rFonts w:hint="eastAsia" w:ascii="Times New Roman" w:hAnsi="Times New Roman" w:eastAsia="黑体"/>
              <w:sz w:val="32"/>
              <w:szCs w:val="32"/>
              <w:highlight w:val="none"/>
              <w:lang w:eastAsia="zh-CN"/>
            </w:rPr>
            <w:t>九、</w:t>
          </w:r>
          <w:r>
            <w:rPr>
              <w:rFonts w:hint="eastAsia" w:ascii="Times New Roman" w:hAnsi="Times New Roman" w:eastAsia="黑体"/>
              <w:sz w:val="32"/>
              <w:szCs w:val="32"/>
              <w:highlight w:val="none"/>
            </w:rPr>
            <w:t>国有资本经营预算支出决算情况说明</w:t>
          </w:r>
          <w:r>
            <w:rPr>
              <w:sz w:val="32"/>
              <w:szCs w:val="32"/>
            </w:rPr>
            <w:tab/>
          </w:r>
          <w:r>
            <w:rPr>
              <w:rFonts w:hint="eastAsia"/>
              <w:sz w:val="32"/>
              <w:szCs w:val="32"/>
              <w:lang w:val="en-US" w:eastAsia="zh-CN"/>
            </w:rPr>
            <w:t>1</w:t>
          </w:r>
          <w:r>
            <w:rPr>
              <w:rFonts w:hint="eastAsia"/>
              <w:sz w:val="32"/>
              <w:szCs w:val="32"/>
            </w:rPr>
            <w:fldChar w:fldCharType="end"/>
          </w:r>
          <w:r>
            <w:rPr>
              <w:rFonts w:hint="eastAsia"/>
              <w:sz w:val="32"/>
              <w:szCs w:val="32"/>
              <w:lang w:val="en-US" w:eastAsia="zh-CN"/>
            </w:rPr>
            <w:t>2</w:t>
          </w:r>
        </w:p>
        <w:p w14:paraId="7A83E4EA">
          <w:pPr>
            <w:pStyle w:val="14"/>
            <w:tabs>
              <w:tab w:val="right" w:leader="dot" w:pos="8306"/>
              <w:tab w:val="clear" w:pos="8296"/>
            </w:tabs>
            <w:rPr>
              <w:rFonts w:hint="eastAsia" w:eastAsia="宋体"/>
              <w:lang w:val="en-US" w:eastAsia="zh-CN"/>
            </w:rPr>
          </w:pPr>
          <w:r>
            <w:rPr>
              <w:rFonts w:hint="eastAsia"/>
              <w:sz w:val="32"/>
              <w:szCs w:val="32"/>
            </w:rPr>
            <w:fldChar w:fldCharType="begin"/>
          </w:r>
          <w:r>
            <w:rPr>
              <w:rFonts w:hint="eastAsia"/>
              <w:sz w:val="32"/>
              <w:szCs w:val="32"/>
            </w:rPr>
            <w:instrText xml:space="preserve"> HYPERLINK \l _Toc15236 </w:instrText>
          </w:r>
          <w:r>
            <w:rPr>
              <w:rFonts w:hint="eastAsia"/>
              <w:sz w:val="32"/>
              <w:szCs w:val="32"/>
            </w:rPr>
            <w:fldChar w:fldCharType="separate"/>
          </w:r>
          <w:r>
            <w:rPr>
              <w:rFonts w:hint="eastAsia" w:ascii="Times New Roman" w:hAnsi="Times New Roman" w:eastAsia="黑体"/>
              <w:sz w:val="32"/>
              <w:szCs w:val="32"/>
              <w:highlight w:val="none"/>
              <w:lang w:eastAsia="zh-CN"/>
            </w:rPr>
            <w:t>十、</w:t>
          </w:r>
          <w:r>
            <w:rPr>
              <w:rFonts w:hint="eastAsia" w:ascii="Times New Roman" w:hAnsi="Times New Roman" w:eastAsia="黑体"/>
              <w:sz w:val="32"/>
              <w:szCs w:val="32"/>
              <w:highlight w:val="none"/>
            </w:rPr>
            <w:t>其他重要事项的情况说明</w:t>
          </w:r>
          <w:r>
            <w:rPr>
              <w:sz w:val="32"/>
              <w:szCs w:val="32"/>
            </w:rPr>
            <w:tab/>
          </w:r>
          <w:r>
            <w:rPr>
              <w:rFonts w:hint="eastAsia"/>
              <w:sz w:val="32"/>
              <w:szCs w:val="32"/>
              <w:lang w:val="en-US" w:eastAsia="zh-CN"/>
            </w:rPr>
            <w:t>1</w:t>
          </w:r>
          <w:r>
            <w:rPr>
              <w:rFonts w:hint="eastAsia"/>
              <w:sz w:val="32"/>
              <w:szCs w:val="32"/>
            </w:rPr>
            <w:fldChar w:fldCharType="end"/>
          </w:r>
          <w:r>
            <w:rPr>
              <w:rFonts w:hint="eastAsia"/>
              <w:sz w:val="32"/>
              <w:szCs w:val="32"/>
              <w:lang w:val="en-US" w:eastAsia="zh-CN"/>
            </w:rPr>
            <w:t>2</w:t>
          </w:r>
        </w:p>
        <w:p w14:paraId="178D5BE5">
          <w:pPr>
            <w:pStyle w:val="12"/>
            <w:tabs>
              <w:tab w:val="right" w:leader="dot" w:pos="8306"/>
              <w:tab w:val="clear" w:pos="8296"/>
            </w:tabs>
            <w:rPr>
              <w:rFonts w:hint="eastAsia" w:eastAsia="黑体"/>
              <w:lang w:val="en-US" w:eastAsia="zh-CN"/>
            </w:rPr>
          </w:pPr>
          <w:r>
            <w:rPr>
              <w:rFonts w:hint="eastAsia" w:ascii="黑体" w:hAnsi="黑体" w:eastAsia="黑体" w:cs="黑体"/>
              <w:sz w:val="32"/>
              <w:szCs w:val="32"/>
            </w:rPr>
            <w:fldChar w:fldCharType="begin"/>
          </w:r>
          <w:r>
            <w:rPr>
              <w:rFonts w:hint="eastAsia" w:ascii="黑体" w:hAnsi="黑体" w:eastAsia="黑体" w:cs="黑体"/>
              <w:sz w:val="32"/>
              <w:szCs w:val="32"/>
            </w:rPr>
            <w:instrText xml:space="preserve"> HYPERLINK \l _Toc15723 </w:instrText>
          </w:r>
          <w:r>
            <w:rPr>
              <w:rFonts w:hint="eastAsia" w:ascii="黑体" w:hAnsi="黑体" w:eastAsia="黑体" w:cs="黑体"/>
              <w:sz w:val="32"/>
              <w:szCs w:val="32"/>
            </w:rPr>
            <w:fldChar w:fldCharType="separate"/>
          </w:r>
          <w:r>
            <w:rPr>
              <w:rFonts w:hint="eastAsia" w:ascii="黑体" w:hAnsi="黑体" w:eastAsia="黑体" w:cs="黑体"/>
              <w:sz w:val="32"/>
              <w:szCs w:val="32"/>
              <w:highlight w:val="none"/>
            </w:rPr>
            <w:t>第</w:t>
          </w:r>
          <w:r>
            <w:rPr>
              <w:rFonts w:hint="eastAsia" w:ascii="黑体" w:hAnsi="黑体" w:eastAsia="黑体" w:cs="黑体"/>
              <w:sz w:val="32"/>
              <w:szCs w:val="32"/>
              <w:highlight w:val="none"/>
              <w:lang w:eastAsia="zh-CN"/>
            </w:rPr>
            <w:t>三</w:t>
          </w:r>
          <w:r>
            <w:rPr>
              <w:rFonts w:hint="eastAsia" w:ascii="黑体" w:hAnsi="黑体" w:eastAsia="黑体" w:cs="黑体"/>
              <w:sz w:val="32"/>
              <w:szCs w:val="32"/>
              <w:highlight w:val="none"/>
            </w:rPr>
            <w:t>部分</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rPr>
            <w:t>名词解释</w:t>
          </w:r>
          <w:r>
            <w:rPr>
              <w:rFonts w:hint="eastAsia" w:ascii="黑体" w:hAnsi="黑体" w:eastAsia="黑体" w:cs="黑体"/>
              <w:sz w:val="32"/>
              <w:szCs w:val="32"/>
            </w:rPr>
            <w:tab/>
          </w:r>
          <w:r>
            <w:rPr>
              <w:rFonts w:hint="eastAsia" w:ascii="黑体" w:hAnsi="黑体" w:eastAsia="黑体" w:cs="黑体"/>
              <w:sz w:val="32"/>
              <w:szCs w:val="32"/>
              <w:lang w:val="en-US" w:eastAsia="zh-CN"/>
            </w:rPr>
            <w:t>1</w:t>
          </w:r>
          <w:r>
            <w:rPr>
              <w:rFonts w:hint="eastAsia" w:ascii="黑体" w:hAnsi="黑体" w:eastAsia="黑体" w:cs="黑体"/>
              <w:sz w:val="32"/>
              <w:szCs w:val="32"/>
            </w:rPr>
            <w:fldChar w:fldCharType="end"/>
          </w:r>
          <w:r>
            <w:rPr>
              <w:rFonts w:hint="eastAsia" w:ascii="黑体" w:hAnsi="黑体" w:eastAsia="黑体" w:cs="黑体"/>
              <w:sz w:val="32"/>
              <w:szCs w:val="32"/>
              <w:lang w:val="en-US" w:eastAsia="zh-CN"/>
            </w:rPr>
            <w:t>4</w:t>
          </w:r>
        </w:p>
        <w:p w14:paraId="0D68A8C7">
          <w:pPr>
            <w:pStyle w:val="12"/>
            <w:tabs>
              <w:tab w:val="right" w:leader="dot" w:pos="8306"/>
              <w:tab w:val="clear" w:pos="8296"/>
            </w:tabs>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第四部分  附件...................................18</w:t>
          </w:r>
        </w:p>
        <w:p w14:paraId="5CAD7C80">
          <w:pPr>
            <w:pStyle w:val="12"/>
            <w:tabs>
              <w:tab w:val="right" w:leader="dot" w:pos="8306"/>
              <w:tab w:val="clear" w:pos="8296"/>
            </w:tabs>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第五部分  附表...................................34</w:t>
          </w:r>
        </w:p>
        <w:p w14:paraId="76493E24">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一、收入支出决算总表............................34</w:t>
          </w:r>
        </w:p>
        <w:p w14:paraId="0E4A7758">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二、收入决算表..................................34</w:t>
          </w:r>
        </w:p>
        <w:p w14:paraId="39335A4D">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三、支出决算表..................................34</w:t>
          </w:r>
        </w:p>
        <w:p w14:paraId="71DD0BF9">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四、财政拨款收入支出决算总表....................34</w:t>
          </w:r>
        </w:p>
        <w:p w14:paraId="1611B863">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五、财政拨款支出决算明细表......................34</w:t>
          </w:r>
        </w:p>
        <w:p w14:paraId="6AC3C224">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六、一般公共预算财政拨款支出决算表..............34</w:t>
          </w:r>
        </w:p>
        <w:p w14:paraId="4C543211">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七、一般公共预算财政拨款支出决算明细表..........34</w:t>
          </w:r>
        </w:p>
        <w:p w14:paraId="0A0F9CE6">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八、一般公共预算财政拨款基本支出决算明细表......34</w:t>
          </w:r>
        </w:p>
        <w:p w14:paraId="7001AFC8">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九、一般公共预算财政拨款项目支出决算表..........34</w:t>
          </w:r>
        </w:p>
        <w:p w14:paraId="3B1E6AB4">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十、政府性基金预算财政拨款收入支出决算表........34</w:t>
          </w:r>
        </w:p>
        <w:p w14:paraId="70D3122B">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十一、国有资本经营预算财政拨款收入支出决算表....34</w:t>
          </w:r>
        </w:p>
        <w:p w14:paraId="292066CC">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十二、国有资本经营预算财政拨款支出决算表........34</w:t>
          </w:r>
        </w:p>
        <w:p w14:paraId="6B83FB72">
          <w:pPr>
            <w:pStyle w:val="14"/>
            <w:tabs>
              <w:tab w:val="right" w:leader="dot" w:pos="8306"/>
              <w:tab w:val="clear" w:pos="8296"/>
            </w:tabs>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十三、财政拨款“三公”经费支出决算表..............34</w:t>
          </w:r>
        </w:p>
        <w:p w14:paraId="2C07B41F">
          <w:pPr>
            <w:pStyle w:val="3"/>
            <w:bidi w:val="0"/>
            <w:rPr>
              <w:rFonts w:hint="eastAsia" w:asciiTheme="majorHAnsi" w:hAnsiTheme="majorHAnsi" w:eastAsiaTheme="majorEastAsia" w:cstheme="majorBidi"/>
              <w:b/>
              <w:bCs/>
              <w:kern w:val="2"/>
              <w:sz w:val="32"/>
              <w:szCs w:val="32"/>
              <w:lang w:val="en-US" w:eastAsia="zh-CN" w:bidi="ar-SA"/>
            </w:rPr>
          </w:pPr>
          <w:r>
            <w:rPr>
              <w:rFonts w:hint="eastAsia"/>
            </w:rPr>
            <w:fldChar w:fldCharType="end"/>
          </w:r>
        </w:p>
      </w:sdtContent>
    </w:sdt>
    <w:p w14:paraId="6A54D80F">
      <w:pPr>
        <w:rPr>
          <w:rFonts w:hint="eastAsia"/>
        </w:rPr>
      </w:pPr>
    </w:p>
    <w:p w14:paraId="41BC34C9">
      <w:pPr>
        <w:pStyle w:val="3"/>
        <w:jc w:val="center"/>
        <w:outlineLvl w:val="1"/>
        <w:rPr>
          <w:rFonts w:hint="eastAsia" w:ascii="Times New Roman" w:hAnsi="Times New Roman" w:eastAsia="方正小标宋简体" w:cs="方正小标宋简体"/>
          <w:b w:val="0"/>
          <w:color w:val="auto"/>
          <w:highlight w:val="none"/>
        </w:rPr>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14:paraId="436FE902">
      <w:pPr>
        <w:pStyle w:val="2"/>
        <w:jc w:val="center"/>
        <w:rPr>
          <w:rStyle w:val="28"/>
          <w:rFonts w:hint="eastAsia" w:ascii="Times New Roman" w:hAnsi="Times New Roman" w:eastAsia="方正小标宋简体" w:cs="方正小标宋简体"/>
          <w:b/>
          <w:bCs w:val="0"/>
          <w:color w:val="auto"/>
          <w:highlight w:val="none"/>
        </w:rPr>
      </w:pPr>
      <w:bookmarkStart w:id="8" w:name="_Toc6202"/>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bookmarkEnd w:id="8"/>
    </w:p>
    <w:p w14:paraId="4E3201B0">
      <w:pPr>
        <w:widowControl/>
        <w:jc w:val="left"/>
        <w:rPr>
          <w:rFonts w:ascii="Times New Roman" w:hAnsi="Times New Roman" w:eastAsia="黑体"/>
          <w:color w:val="auto"/>
          <w:sz w:val="32"/>
          <w:szCs w:val="32"/>
          <w:highlight w:val="none"/>
        </w:rPr>
      </w:pPr>
    </w:p>
    <w:p w14:paraId="40F4C141">
      <w:pPr>
        <w:pStyle w:val="3"/>
        <w:numPr>
          <w:ilvl w:val="0"/>
          <w:numId w:val="1"/>
        </w:numPr>
        <w:rPr>
          <w:rFonts w:hint="eastAsia" w:ascii="Times New Roman" w:hAnsi="Times New Roman" w:eastAsia="黑体"/>
          <w:b w:val="0"/>
          <w:color w:val="auto"/>
          <w:highlight w:val="none"/>
          <w:lang w:eastAsia="zh-CN"/>
        </w:rPr>
      </w:pPr>
      <w:bookmarkStart w:id="9" w:name="_Toc30678"/>
      <w:r>
        <w:rPr>
          <w:rFonts w:hint="eastAsia" w:ascii="Times New Roman" w:hAnsi="Times New Roman" w:eastAsia="黑体"/>
          <w:b w:val="0"/>
          <w:color w:val="auto"/>
          <w:highlight w:val="none"/>
          <w:lang w:eastAsia="zh-CN"/>
        </w:rPr>
        <w:t>部门职责</w:t>
      </w:r>
      <w:bookmarkEnd w:id="9"/>
    </w:p>
    <w:p w14:paraId="6D6DE547">
      <w:pPr>
        <w:pageBreakBefore w:val="0"/>
        <w:widowControl/>
        <w:kinsoku/>
        <w:wordWrap/>
        <w:overflowPunct/>
        <w:topLinePunct w:val="0"/>
        <w:autoSpaceDE/>
        <w:autoSpaceDN/>
        <w:bidi w:val="0"/>
        <w:adjustRightInd/>
        <w:snapToGrid/>
        <w:spacing w:line="240" w:lineRule="auto"/>
        <w:ind w:firstLine="640" w:firstLineChars="200"/>
        <w:jc w:val="left"/>
        <w:textAlignment w:val="auto"/>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根据2015年4月壤塘县人民政府办公室印发《壤塘县卫生健康局主要职责，内设机构和人员编制规定》的通知。（壤府办发【2015】16号）设立壤塘县藏医院为</w:t>
      </w:r>
      <w:r>
        <w:rPr>
          <w:rFonts w:hint="eastAsia" w:ascii="仿宋_GB2312" w:hAnsi="仿宋_GB2312" w:eastAsia="仿宋_GB2312" w:cs="仿宋_GB2312"/>
          <w:kern w:val="0"/>
          <w:sz w:val="32"/>
          <w:szCs w:val="32"/>
          <w:lang w:eastAsia="zh-CN"/>
        </w:rPr>
        <w:t>壤塘</w:t>
      </w:r>
      <w:r>
        <w:rPr>
          <w:rFonts w:hint="eastAsia" w:ascii="仿宋_GB2312" w:hAnsi="仿宋_GB2312" w:eastAsia="仿宋_GB2312" w:cs="仿宋_GB2312"/>
          <w:kern w:val="0"/>
          <w:sz w:val="32"/>
          <w:szCs w:val="32"/>
        </w:rPr>
        <w:t>县卫生健康局管理的正科级事业单位。单位职能职责主要为：</w:t>
      </w:r>
    </w:p>
    <w:p w14:paraId="2027E02F">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1、为人民群众提供中藏医西医医疗、预防、保健、计划生育、康复等医疗卫生服务。</w:t>
      </w:r>
    </w:p>
    <w:p w14:paraId="24226B06">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2、贯彻落实医药卫生体制改革、中藏西医并重方针和国家中医药法律法规，执行中医药政策；拟定实施中医药、民族医药和中西医结合发展战略、规划；指导全县各医疗机构发展中医药和中西医结合业务建设。</w:t>
      </w:r>
    </w:p>
    <w:p w14:paraId="1AD33C72">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3、确保全县人民中藏西医疗健康需求，建立与地方经济发展相适应的中藏西医结合医疗环境。加强中医医院标准化管理。</w:t>
      </w:r>
    </w:p>
    <w:p w14:paraId="521A1B55">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4、贯彻落实国家基本药物制度和药品集中采购工作，执行医用耗材集中采购工作；负责医院内部的药品和医疗器械管理工作。</w:t>
      </w:r>
    </w:p>
    <w:p w14:paraId="25882F92">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5、承担意外灾害事故等突发公共卫生事件的医疗急救及社区预防、保健和康复医疗服务工作，开展各种医疗保健卫生知识宣传普及。</w:t>
      </w:r>
    </w:p>
    <w:p w14:paraId="1F528BDB">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6、充分发挥中医药在国家基本公共卫生服务中的优势和作用，负责全县基本公共卫生服务中医药健康管理项目</w:t>
      </w:r>
    </w:p>
    <w:p w14:paraId="621FFF7F">
      <w:pPr>
        <w:widowControl/>
        <w:spacing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的实施和日常管理。</w:t>
      </w:r>
    </w:p>
    <w:p w14:paraId="0BD8F2EF">
      <w:pPr>
        <w:widowControl/>
        <w:spacing w:line="360" w:lineRule="auto"/>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7、组织实施中藏西医药科学研究，推进医学科技成果转化和推广应用；承担中藏医药人才培养，中医药继续医学教育工作。</w:t>
      </w:r>
    </w:p>
    <w:p w14:paraId="4C0C311A">
      <w:pPr>
        <w:widowControl/>
        <w:spacing w:line="360" w:lineRule="auto"/>
        <w:ind w:firstLine="640" w:firstLineChars="200"/>
        <w:jc w:val="left"/>
        <w:rPr>
          <w:rFonts w:ascii="仿宋_GB2312" w:hAnsi="仿宋_GB2312" w:eastAsia="仿宋_GB2312" w:cs="仿宋_GB2312"/>
          <w:color w:val="000000"/>
          <w:sz w:val="32"/>
          <w:szCs w:val="32"/>
        </w:rPr>
      </w:pPr>
      <w:r>
        <w:rPr>
          <w:rFonts w:hint="eastAsia" w:ascii="仿宋_GB2312" w:hAnsi="仿宋_GB2312" w:eastAsia="仿宋_GB2312" w:cs="仿宋_GB2312"/>
          <w:sz w:val="32"/>
          <w:szCs w:val="32"/>
        </w:rPr>
        <w:t>8、</w:t>
      </w:r>
      <w:r>
        <w:rPr>
          <w:rFonts w:hint="eastAsia" w:ascii="仿宋_GB2312" w:hAnsi="仿宋_GB2312" w:eastAsia="仿宋_GB2312" w:cs="仿宋_GB2312"/>
          <w:color w:val="000000"/>
          <w:sz w:val="32"/>
          <w:szCs w:val="32"/>
        </w:rPr>
        <w:t>做好城镇居民基本医疗保险和定点医疗机构的各项工作。</w:t>
      </w:r>
    </w:p>
    <w:p w14:paraId="06D7B038">
      <w:pPr>
        <w:pStyle w:val="3"/>
        <w:keepNext/>
        <w:keepLines/>
        <w:pageBreakBefore w:val="0"/>
        <w:widowControl w:val="0"/>
        <w:kinsoku/>
        <w:wordWrap/>
        <w:overflowPunct/>
        <w:topLinePunct w:val="0"/>
        <w:autoSpaceDE/>
        <w:autoSpaceDN/>
        <w:bidi w:val="0"/>
        <w:adjustRightInd/>
        <w:snapToGrid/>
        <w:spacing w:line="416" w:lineRule="auto"/>
        <w:textAlignment w:val="auto"/>
        <w:rPr>
          <w:rStyle w:val="29"/>
          <w:rFonts w:ascii="Times New Roman" w:hAnsi="Times New Roman"/>
          <w:b w:val="0"/>
          <w:bCs w:val="0"/>
          <w:color w:val="auto"/>
          <w:highlight w:val="none"/>
        </w:rPr>
      </w:pPr>
      <w:bookmarkStart w:id="10" w:name="_Toc5436"/>
      <w:bookmarkStart w:id="11" w:name="_Toc15396601"/>
      <w:bookmarkStart w:id="12"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0"/>
      <w:bookmarkEnd w:id="11"/>
      <w:bookmarkEnd w:id="12"/>
    </w:p>
    <w:p w14:paraId="0D8645B7">
      <w:pPr>
        <w:widowControl/>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壤塘县藏医院下属二级预算单位0个，其中行政单位0个，参照公务员法管理的事业单位0个，其他事业单位0个。</w:t>
      </w:r>
    </w:p>
    <w:p w14:paraId="2A064A55">
      <w:pPr>
        <w:widowControl/>
        <w:spacing w:line="360" w:lineRule="auto"/>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纳入壤塘县藏医院202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年度部门决算编制范围的二级预算单位0个。</w:t>
      </w:r>
    </w:p>
    <w:p w14:paraId="511160F3">
      <w:pPr>
        <w:keepNext w:val="0"/>
        <w:keepLines w:val="0"/>
        <w:pageBreakBefore w:val="0"/>
        <w:widowControl/>
        <w:kinsoku/>
        <w:wordWrap/>
        <w:overflowPunct/>
        <w:topLinePunct w:val="0"/>
        <w:autoSpaceDE/>
        <w:autoSpaceDN/>
        <w:bidi w:val="0"/>
        <w:adjustRightInd/>
        <w:snapToGrid/>
        <w:ind w:firstLine="640" w:firstLineChars="200"/>
        <w:jc w:val="left"/>
        <w:textAlignment w:val="auto"/>
        <w:rPr>
          <w:rFonts w:ascii="Times New Roman" w:hAnsi="Times New Roman" w:eastAsia="仿宋"/>
          <w:color w:val="auto"/>
          <w:kern w:val="0"/>
          <w:sz w:val="32"/>
          <w:szCs w:val="32"/>
          <w:highlight w:val="none"/>
        </w:rPr>
      </w:pPr>
      <w:r>
        <w:rPr>
          <w:rFonts w:hint="eastAsia" w:ascii="仿宋_GB2312" w:hAnsi="仿宋_GB2312" w:eastAsia="仿宋_GB2312" w:cs="仿宋_GB2312"/>
          <w:sz w:val="32"/>
          <w:szCs w:val="32"/>
        </w:rPr>
        <w:t>壤塘县藏医院属壤塘县卫生健康局下属二级预算单位。</w:t>
      </w:r>
    </w:p>
    <w:p w14:paraId="303BE42D">
      <w:pPr>
        <w:pStyle w:val="2"/>
        <w:jc w:val="center"/>
        <w:rPr>
          <w:rFonts w:hint="eastAsia" w:ascii="Times New Roman" w:hAnsi="Times New Roman" w:eastAsia="方正小标宋简体" w:cs="方正小标宋简体"/>
          <w:b w:val="0"/>
          <w:color w:val="auto"/>
          <w:highlight w:val="none"/>
        </w:rPr>
      </w:pPr>
      <w:bookmarkStart w:id="13" w:name="_Toc30093"/>
      <w:bookmarkStart w:id="14" w:name="_Toc15377204"/>
      <w:bookmarkStart w:id="15"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3"/>
      <w:bookmarkEnd w:id="14"/>
      <w:bookmarkEnd w:id="15"/>
    </w:p>
    <w:p w14:paraId="7BE1750B">
      <w:pPr>
        <w:rPr>
          <w:rFonts w:ascii="Times New Roman" w:hAnsi="Times New Roman"/>
          <w:color w:val="auto"/>
          <w:highlight w:val="none"/>
        </w:rPr>
      </w:pPr>
    </w:p>
    <w:p w14:paraId="02891AB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6" w:name="_Toc9088"/>
      <w:bookmarkStart w:id="17" w:name="_Toc15396603"/>
      <w:bookmarkStart w:id="18"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6"/>
      <w:bookmarkEnd w:id="17"/>
      <w:bookmarkEnd w:id="18"/>
    </w:p>
    <w:p w14:paraId="08F2300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总计为1627.95万元，</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为</w:t>
      </w:r>
      <w:r>
        <w:rPr>
          <w:rFonts w:hint="eastAsia" w:eastAsia="仿宋_GB2312" w:cs="仿宋_GB2312"/>
          <w:color w:val="auto"/>
          <w:sz w:val="32"/>
          <w:szCs w:val="32"/>
          <w:highlight w:val="none"/>
          <w:lang w:val="en-US" w:eastAsia="zh-CN"/>
        </w:rPr>
        <w:t>1481.34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val="en-US" w:eastAsia="zh-CN"/>
        </w:rPr>
        <w:t>增加333.36万元，收入总计增加20%，</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总计增加</w:t>
      </w:r>
      <w:r>
        <w:rPr>
          <w:rFonts w:hint="eastAsia" w:eastAsia="仿宋_GB2312" w:cs="仿宋_GB2312"/>
          <w:color w:val="auto"/>
          <w:sz w:val="32"/>
          <w:szCs w:val="32"/>
          <w:highlight w:val="none"/>
          <w:lang w:val="en-US" w:eastAsia="zh-CN"/>
        </w:rPr>
        <w:t>308.43</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20</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kern w:val="2"/>
          <w:sz w:val="32"/>
          <w:szCs w:val="32"/>
          <w:highlight w:val="none"/>
          <w:lang w:val="en-US" w:eastAsia="zh-CN" w:bidi="ar-SA"/>
        </w:rPr>
        <w:t>项目较上年相比有所增加，人员工资保险调整。</w:t>
      </w:r>
    </w:p>
    <w:p w14:paraId="12D98AD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bookmarkStart w:id="19" w:name="_Toc932"/>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bookmarkEnd w:id="19"/>
    </w:p>
    <w:p w14:paraId="569B16F0">
      <w:pPr>
        <w:rPr>
          <w:rFonts w:hint="eastAsia" w:ascii="Times New Roman" w:hAnsi="Times New Roman" w:eastAsia="仿宋_GB2312" w:cs="仿宋_GB2312"/>
          <w:color w:val="auto"/>
          <w:sz w:val="32"/>
          <w:szCs w:val="32"/>
          <w:highlight w:val="none"/>
        </w:rPr>
      </w:pPr>
      <w:r>
        <w:rPr>
          <w:rFonts w:hint="eastAsia" w:eastAsiaTheme="minorEastAsia"/>
          <w:lang w:val="en-US" w:eastAsia="zh-CN"/>
        </w:rPr>
        <w:t xml:space="preserve">      </w:t>
      </w:r>
      <w:r>
        <w:rPr>
          <w:rFonts w:hint="eastAsia" w:eastAsiaTheme="minorEastAsia"/>
          <w:lang w:eastAsia="zh-CN"/>
        </w:rPr>
        <w:drawing>
          <wp:inline distT="0" distB="0" distL="114300" distR="114300">
            <wp:extent cx="4770755" cy="2750185"/>
            <wp:effectExtent l="4445" t="4445" r="6350" b="762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1C08B6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96604"/>
      <w:bookmarkStart w:id="21" w:name="_Toc15377206"/>
      <w:bookmarkStart w:id="22" w:name="_Toc24879"/>
      <w:r>
        <w:rPr>
          <w:rFonts w:hint="eastAsia" w:ascii="Times New Roman" w:hAnsi="Times New Roman" w:eastAsia="黑体"/>
          <w:color w:val="auto"/>
          <w:sz w:val="32"/>
          <w:szCs w:val="32"/>
          <w:highlight w:val="none"/>
          <w:lang w:eastAsia="zh-CN"/>
        </w:rPr>
        <w:t>二、收入决算情况说明</w:t>
      </w:r>
      <w:bookmarkEnd w:id="20"/>
      <w:bookmarkEnd w:id="21"/>
      <w:bookmarkEnd w:id="22"/>
    </w:p>
    <w:p w14:paraId="54FC45E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3" w:name="_Toc23262"/>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1627.95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1150.67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70.68</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471.21</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28.94</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6.07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0.38</w:t>
      </w:r>
      <w:r>
        <w:rPr>
          <w:rFonts w:hint="eastAsia" w:ascii="Times New Roman" w:hAnsi="Times New Roman" w:eastAsia="仿宋_GB2312" w:cs="仿宋_GB2312"/>
          <w:color w:val="auto"/>
          <w:sz w:val="32"/>
          <w:szCs w:val="32"/>
          <w:highlight w:val="none"/>
          <w:lang w:eastAsia="zh-CN"/>
        </w:rPr>
        <w:t>%。（图2：收入决算结构图）（饼状图）</w:t>
      </w:r>
      <w:bookmarkEnd w:id="23"/>
    </w:p>
    <w:p w14:paraId="755DD1FB">
      <w:pPr>
        <w:rPr>
          <w:rFonts w:hint="eastAsia" w:ascii="Times New Roman" w:hAnsi="Times New Roman" w:eastAsia="仿宋_GB2312" w:cs="仿宋_GB2312"/>
          <w:color w:val="auto"/>
          <w:sz w:val="32"/>
          <w:szCs w:val="32"/>
          <w:highlight w:val="none"/>
          <w:lang w:eastAsia="zh-CN"/>
        </w:rPr>
      </w:pPr>
      <w:r>
        <w:rPr>
          <w:rFonts w:hint="eastAsia" w:eastAsiaTheme="minorEastAsia"/>
          <w:lang w:val="en-US" w:eastAsia="zh-CN"/>
        </w:rPr>
        <w:t xml:space="preserve">    </w:t>
      </w:r>
      <w:r>
        <w:rPr>
          <w:rFonts w:hint="eastAsia" w:eastAsiaTheme="minorEastAsia"/>
          <w:lang w:eastAsia="zh-CN"/>
        </w:rPr>
        <w:drawing>
          <wp:inline distT="0" distB="0" distL="114300" distR="114300">
            <wp:extent cx="4723765" cy="2759710"/>
            <wp:effectExtent l="4445" t="5080" r="15240" b="16510"/>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AB2199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4" w:name="_Toc15396605"/>
      <w:bookmarkStart w:id="25" w:name="_Toc21070"/>
      <w:bookmarkStart w:id="2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4"/>
      <w:bookmarkEnd w:id="25"/>
      <w:bookmarkEnd w:id="26"/>
    </w:p>
    <w:p w14:paraId="4CDD7EE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7" w:name="_Toc11311"/>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1481.34</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1286.39</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86.83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194.95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13.16</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bookmarkEnd w:id="27"/>
    </w:p>
    <w:p w14:paraId="5DBD2942">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bookmarkStart w:id="28" w:name="_Toc21737"/>
      <w:r>
        <w:rPr>
          <w:rFonts w:hint="eastAsia" w:ascii="Times New Roman" w:hAnsi="Times New Roman" w:eastAsia="仿宋_GB2312" w:cs="仿宋_GB2312"/>
          <w:color w:val="auto"/>
          <w:sz w:val="32"/>
          <w:szCs w:val="32"/>
          <w:highlight w:val="none"/>
          <w:lang w:eastAsia="zh-CN"/>
        </w:rPr>
        <w:t>（图3：支出决算结构图）（饼状图）</w:t>
      </w:r>
      <w:bookmarkEnd w:id="28"/>
    </w:p>
    <w:p w14:paraId="5CE54848">
      <w:pPr>
        <w:rPr>
          <w:rFonts w:hint="eastAsia" w:ascii="Times New Roman" w:hAnsi="Times New Roman" w:eastAsia="仿宋_GB2312" w:cs="仿宋_GB2312"/>
          <w:color w:val="auto"/>
          <w:sz w:val="32"/>
          <w:szCs w:val="32"/>
          <w:highlight w:val="none"/>
          <w:lang w:eastAsia="zh-CN"/>
        </w:rPr>
      </w:pPr>
      <w:r>
        <w:rPr>
          <w:rFonts w:hint="eastAsia" w:eastAsiaTheme="minorEastAsia"/>
          <w:lang w:val="en-US" w:eastAsia="zh-CN"/>
        </w:rPr>
        <w:t xml:space="preserve">    </w:t>
      </w:r>
      <w:r>
        <w:rPr>
          <w:rFonts w:hint="eastAsia" w:eastAsiaTheme="minorEastAsia"/>
          <w:lang w:eastAsia="zh-CN"/>
        </w:rPr>
        <w:drawing>
          <wp:inline distT="0" distB="0" distL="114300" distR="114300">
            <wp:extent cx="3828415" cy="2513330"/>
            <wp:effectExtent l="4445" t="4445" r="15240" b="1587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6F3DC28">
      <w:pPr>
        <w:spacing w:line="600" w:lineRule="exact"/>
        <w:ind w:firstLine="640" w:firstLineChars="200"/>
        <w:outlineLvl w:val="1"/>
        <w:rPr>
          <w:rStyle w:val="29"/>
          <w:rFonts w:ascii="Times New Roman" w:hAnsi="Times New Roman" w:eastAsia="黑体"/>
          <w:b w:val="0"/>
          <w:color w:val="auto"/>
          <w:highlight w:val="none"/>
        </w:rPr>
      </w:pPr>
      <w:bookmarkStart w:id="29" w:name="_Toc4820"/>
      <w:bookmarkStart w:id="30" w:name="_Toc15396606"/>
      <w:bookmarkStart w:id="31"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9"/>
      <w:bookmarkEnd w:id="30"/>
      <w:bookmarkEnd w:id="31"/>
    </w:p>
    <w:p w14:paraId="720090A6">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w:t>
      </w:r>
      <w:r>
        <w:rPr>
          <w:rFonts w:hint="eastAsia" w:eastAsia="仿宋_GB2312" w:cs="仿宋_GB2312"/>
          <w:color w:val="auto"/>
          <w:kern w:val="2"/>
          <w:sz w:val="32"/>
          <w:szCs w:val="32"/>
          <w:highlight w:val="none"/>
          <w:lang w:val="en-US" w:eastAsia="zh-CN" w:bidi="ar-SA"/>
        </w:rPr>
        <w:t>为1150.67万元，</w:t>
      </w:r>
      <w:r>
        <w:rPr>
          <w:rFonts w:hint="eastAsia" w:ascii="Times New Roman" w:hAnsi="Times New Roman" w:eastAsia="仿宋_GB2312" w:cs="仿宋_GB2312"/>
          <w:color w:val="auto"/>
          <w:kern w:val="2"/>
          <w:sz w:val="32"/>
          <w:szCs w:val="32"/>
          <w:highlight w:val="none"/>
          <w:lang w:val="en-US" w:eastAsia="zh-CN" w:bidi="ar-SA"/>
        </w:rPr>
        <w:t>支出总计为</w:t>
      </w:r>
      <w:r>
        <w:rPr>
          <w:rFonts w:hint="eastAsia" w:eastAsia="仿宋_GB2312" w:cs="仿宋_GB2312"/>
          <w:color w:val="auto"/>
          <w:kern w:val="2"/>
          <w:sz w:val="32"/>
          <w:szCs w:val="32"/>
          <w:highlight w:val="none"/>
          <w:lang w:val="en-US" w:eastAsia="zh-CN" w:bidi="ar-SA"/>
        </w:rPr>
        <w:t>1150.67</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w:t>
      </w:r>
      <w:r>
        <w:rPr>
          <w:rFonts w:hint="eastAsia" w:eastAsia="仿宋_GB2312" w:cs="仿宋_GB2312"/>
          <w:color w:val="auto"/>
          <w:kern w:val="2"/>
          <w:sz w:val="32"/>
          <w:szCs w:val="32"/>
          <w:highlight w:val="none"/>
          <w:lang w:val="en-US" w:eastAsia="zh-CN" w:bidi="ar-SA"/>
        </w:rPr>
        <w:t>增加225.91万元，增加19.63%，</w:t>
      </w:r>
      <w:r>
        <w:rPr>
          <w:rFonts w:hint="eastAsia" w:ascii="Times New Roman" w:hAnsi="Times New Roman" w:eastAsia="仿宋_GB2312" w:cs="仿宋_GB2312"/>
          <w:color w:val="auto"/>
          <w:kern w:val="2"/>
          <w:sz w:val="32"/>
          <w:szCs w:val="32"/>
          <w:highlight w:val="none"/>
          <w:lang w:val="en-US" w:eastAsia="zh-CN" w:bidi="ar-SA"/>
        </w:rPr>
        <w:t>支出总计各增加</w:t>
      </w:r>
      <w:r>
        <w:rPr>
          <w:rFonts w:hint="eastAsia" w:eastAsia="仿宋_GB2312" w:cs="仿宋_GB2312"/>
          <w:color w:val="auto"/>
          <w:kern w:val="2"/>
          <w:sz w:val="32"/>
          <w:szCs w:val="32"/>
          <w:highlight w:val="none"/>
          <w:lang w:val="en-US" w:eastAsia="zh-CN" w:bidi="ar-SA"/>
        </w:rPr>
        <w:t>225.91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增加19.63%。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项目较上年相比有所增加，人员工资保险调整。</w:t>
      </w:r>
    </w:p>
    <w:p w14:paraId="153BDF81">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204A5A2E">
      <w:pPr>
        <w:rPr>
          <w:rFonts w:hint="eastAsia" w:ascii="Times New Roman" w:hAnsi="Times New Roman" w:eastAsia="仿宋_GB2312" w:cs="仿宋_GB2312"/>
          <w:color w:val="auto"/>
          <w:kern w:val="2"/>
          <w:sz w:val="32"/>
          <w:szCs w:val="32"/>
          <w:highlight w:val="none"/>
          <w:lang w:val="en-US" w:eastAsia="zh-CN" w:bidi="ar-SA"/>
        </w:rPr>
      </w:pPr>
      <w:r>
        <w:rPr>
          <w:rFonts w:hint="eastAsia" w:eastAsiaTheme="minorEastAsia"/>
          <w:lang w:val="en-US" w:eastAsia="zh-CN"/>
        </w:rPr>
        <w:t xml:space="preserve">      </w:t>
      </w:r>
      <w:r>
        <w:rPr>
          <w:rFonts w:hint="eastAsia" w:eastAsiaTheme="minorEastAsia"/>
          <w:lang w:eastAsia="zh-CN"/>
        </w:rPr>
        <w:drawing>
          <wp:inline distT="0" distB="0" distL="114300" distR="114300">
            <wp:extent cx="4514215" cy="2721610"/>
            <wp:effectExtent l="4445"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5A910B0">
      <w:pPr>
        <w:spacing w:line="600" w:lineRule="exact"/>
        <w:ind w:firstLine="640" w:firstLineChars="200"/>
        <w:outlineLvl w:val="1"/>
        <w:rPr>
          <w:rStyle w:val="29"/>
          <w:rFonts w:ascii="Times New Roman" w:hAnsi="Times New Roman" w:eastAsia="黑体"/>
          <w:b w:val="0"/>
          <w:color w:val="auto"/>
          <w:highlight w:val="none"/>
        </w:rPr>
      </w:pPr>
      <w:bookmarkStart w:id="32" w:name="_Toc15396607"/>
      <w:bookmarkStart w:id="33" w:name="_Toc15377209"/>
      <w:bookmarkStart w:id="34" w:name="_Toc24378"/>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32"/>
      <w:bookmarkEnd w:id="33"/>
      <w:bookmarkEnd w:id="34"/>
    </w:p>
    <w:p w14:paraId="5F85546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5" w:name="_Toc7240"/>
      <w:bookmarkStart w:id="36"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5"/>
      <w:bookmarkEnd w:id="36"/>
    </w:p>
    <w:p w14:paraId="77502B5F">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1150.67</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w:t>
      </w:r>
      <w:r>
        <w:rPr>
          <w:rFonts w:hint="eastAsia" w:eastAsia="仿宋_GB2312" w:cs="仿宋_GB2312"/>
          <w:color w:val="auto"/>
          <w:kern w:val="2"/>
          <w:sz w:val="32"/>
          <w:szCs w:val="32"/>
          <w:highlight w:val="none"/>
          <w:lang w:val="en-US" w:eastAsia="zh-CN" w:bidi="ar-SA"/>
        </w:rPr>
        <w:t>增加225.91万元</w:t>
      </w:r>
      <w:r>
        <w:rPr>
          <w:rFonts w:hint="eastAsia" w:ascii="Times New Roman" w:hAnsi="Times New Roman" w:eastAsia="仿宋_GB2312" w:cs="仿宋_GB2312"/>
          <w:color w:val="auto"/>
          <w:kern w:val="2"/>
          <w:sz w:val="32"/>
          <w:szCs w:val="32"/>
          <w:highlight w:val="none"/>
          <w:lang w:val="en-US" w:eastAsia="zh-CN" w:bidi="ar-SA"/>
        </w:rPr>
        <w:t>，增长</w:t>
      </w:r>
      <w:r>
        <w:rPr>
          <w:rFonts w:hint="eastAsia" w:eastAsia="仿宋_GB2312" w:cs="仿宋_GB2312"/>
          <w:color w:val="auto"/>
          <w:kern w:val="2"/>
          <w:sz w:val="32"/>
          <w:szCs w:val="32"/>
          <w:highlight w:val="none"/>
          <w:lang w:val="en-US" w:eastAsia="zh-CN" w:bidi="ar-SA"/>
        </w:rPr>
        <w:t>19.63%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项目较上年相比有所增加，人员工资保险调整。</w:t>
      </w:r>
    </w:p>
    <w:p w14:paraId="010042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299A9D7E">
      <w:pPr>
        <w:rPr>
          <w:rFonts w:hint="eastAsia" w:ascii="Times New Roman" w:hAnsi="Times New Roman" w:eastAsia="仿宋_GB2312" w:cs="仿宋_GB2312"/>
          <w:color w:val="auto"/>
          <w:kern w:val="2"/>
          <w:sz w:val="32"/>
          <w:szCs w:val="32"/>
          <w:highlight w:val="none"/>
          <w:lang w:val="en-US" w:eastAsia="zh-CN" w:bidi="ar-SA"/>
        </w:rPr>
      </w:pPr>
      <w:r>
        <w:rPr>
          <w:rFonts w:hint="eastAsia" w:eastAsiaTheme="minorEastAsia"/>
          <w:lang w:val="en-US" w:eastAsia="zh-CN"/>
        </w:rPr>
        <w:t xml:space="preserve">        </w:t>
      </w:r>
      <w:r>
        <w:rPr>
          <w:rFonts w:hint="eastAsia" w:eastAsiaTheme="minorEastAsia"/>
          <w:lang w:eastAsia="zh-CN"/>
        </w:rPr>
        <w:drawing>
          <wp:inline distT="0" distB="0" distL="114300" distR="114300">
            <wp:extent cx="4180840" cy="2664460"/>
            <wp:effectExtent l="5080" t="4445" r="5080" b="1714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627A50B">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7" w:name="_Toc15377211"/>
      <w:bookmarkStart w:id="38" w:name="_Toc8269"/>
      <w:r>
        <w:rPr>
          <w:rFonts w:hint="eastAsia" w:ascii="Times New Roman" w:hAnsi="Times New Roman" w:eastAsia="楷体_GB2312" w:cs="楷体_GB2312"/>
          <w:b/>
          <w:color w:val="auto"/>
          <w:sz w:val="32"/>
          <w:szCs w:val="32"/>
          <w:highlight w:val="none"/>
        </w:rPr>
        <w:t>（二）一般公共预算财政拨款支出决算结构情况</w:t>
      </w:r>
      <w:bookmarkEnd w:id="37"/>
      <w:bookmarkEnd w:id="38"/>
    </w:p>
    <w:p w14:paraId="28C3E76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1150.67</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0.43</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155.49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13.51</w:t>
      </w:r>
      <w:r>
        <w:rPr>
          <w:rFonts w:hint="eastAsia" w:ascii="Times New Roman" w:hAnsi="Times New Roman" w:eastAsia="仿宋_GB2312" w:cs="仿宋_GB2312"/>
          <w:color w:val="auto"/>
          <w:kern w:val="2"/>
          <w:sz w:val="32"/>
          <w:szCs w:val="32"/>
          <w:highlight w:val="none"/>
          <w:lang w:val="en-US" w:eastAsia="zh-CN" w:bidi="ar-SA"/>
        </w:rPr>
        <w:t>%；卫生健康支</w:t>
      </w:r>
      <w:r>
        <w:rPr>
          <w:rFonts w:hint="eastAsia" w:eastAsia="仿宋_GB2312" w:cs="仿宋_GB2312"/>
          <w:color w:val="auto"/>
          <w:kern w:val="2"/>
          <w:sz w:val="32"/>
          <w:szCs w:val="32"/>
          <w:highlight w:val="none"/>
          <w:lang w:val="en-US" w:eastAsia="zh-CN" w:bidi="ar-SA"/>
        </w:rPr>
        <w:t>出913.49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79.39</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76.26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6.67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E2E86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5165DF7D">
      <w:pPr>
        <w:rPr>
          <w:rFonts w:hint="eastAsia" w:eastAsiaTheme="minorEastAsia"/>
          <w:lang w:eastAsia="zh-CN"/>
        </w:rPr>
      </w:pPr>
      <w:bookmarkStart w:id="39" w:name="_Toc15377212"/>
      <w:r>
        <w:rPr>
          <w:rFonts w:hint="eastAsia" w:eastAsiaTheme="minorEastAsia"/>
          <w:lang w:val="en-US" w:eastAsia="zh-CN"/>
        </w:rPr>
        <w:t xml:space="preserve">    </w:t>
      </w:r>
      <w:r>
        <w:rPr>
          <w:rFonts w:hint="eastAsia" w:eastAsiaTheme="minorEastAsia"/>
          <w:lang w:eastAsia="zh-CN"/>
        </w:rPr>
        <w:drawing>
          <wp:inline distT="0" distB="0" distL="114300" distR="114300">
            <wp:extent cx="4257040" cy="2798445"/>
            <wp:effectExtent l="4445" t="4445" r="5715" b="1651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562B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580"/>
      <w:r>
        <w:rPr>
          <w:rFonts w:hint="eastAsia" w:ascii="Times New Roman" w:hAnsi="Times New Roman" w:eastAsia="楷体_GB2312" w:cs="楷体_GB2312"/>
          <w:b/>
          <w:color w:val="auto"/>
          <w:sz w:val="32"/>
          <w:szCs w:val="32"/>
          <w:highlight w:val="none"/>
        </w:rPr>
        <w:t>（三）一般公共预算财政拨款支出决算具体情况</w:t>
      </w:r>
      <w:bookmarkEnd w:id="39"/>
      <w:bookmarkEnd w:id="40"/>
    </w:p>
    <w:p w14:paraId="061692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1" w:name="_Toc15377444"/>
      <w:bookmarkStart w:id="42" w:name="_Toc15377213"/>
      <w:bookmarkStart w:id="4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1150.67</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1"/>
      <w:bookmarkEnd w:id="42"/>
      <w:bookmarkEnd w:id="43"/>
    </w:p>
    <w:p w14:paraId="6AB780A1">
      <w:pPr>
        <w:spacing w:line="600" w:lineRule="exact"/>
        <w:ind w:firstLine="640"/>
        <w:rPr>
          <w:rStyle w:val="17"/>
          <w:rFonts w:hint="eastAsia" w:ascii="仿宋" w:hAnsi="仿宋" w:eastAsia="仿宋"/>
          <w:b w:val="0"/>
          <w:bCs/>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w:t>
      </w:r>
      <w:r>
        <w:rPr>
          <w:rStyle w:val="17"/>
          <w:rFonts w:hint="eastAsia" w:ascii="仿宋" w:hAnsi="仿宋" w:eastAsia="仿宋"/>
          <w:b w:val="0"/>
          <w:bCs/>
          <w:color w:val="auto"/>
          <w:sz w:val="32"/>
          <w:szCs w:val="32"/>
          <w:highlight w:val="none"/>
        </w:rPr>
        <w:t>支出决算为</w:t>
      </w:r>
      <w:r>
        <w:rPr>
          <w:rStyle w:val="17"/>
          <w:rFonts w:hint="eastAsia" w:ascii="仿宋" w:hAnsi="仿宋" w:eastAsia="仿宋"/>
          <w:b w:val="0"/>
          <w:bCs/>
          <w:color w:val="auto"/>
          <w:sz w:val="32"/>
          <w:szCs w:val="32"/>
          <w:highlight w:val="none"/>
          <w:lang w:val="en-US" w:eastAsia="zh-CN"/>
        </w:rPr>
        <w:t>0</w:t>
      </w:r>
      <w:r>
        <w:rPr>
          <w:rStyle w:val="17"/>
          <w:rFonts w:hint="eastAsia" w:ascii="仿宋" w:hAnsi="仿宋" w:eastAsia="仿宋"/>
          <w:b w:val="0"/>
          <w:bCs/>
          <w:color w:val="auto"/>
          <w:sz w:val="32"/>
          <w:szCs w:val="32"/>
          <w:highlight w:val="none"/>
        </w:rPr>
        <w:t>万元，完成预算</w:t>
      </w:r>
      <w:r>
        <w:rPr>
          <w:rStyle w:val="17"/>
          <w:rFonts w:hint="eastAsia" w:ascii="仿宋" w:hAnsi="仿宋" w:eastAsia="仿宋"/>
          <w:b w:val="0"/>
          <w:bCs/>
          <w:color w:val="auto"/>
          <w:sz w:val="32"/>
          <w:szCs w:val="32"/>
          <w:highlight w:val="none"/>
          <w:lang w:val="en-US" w:eastAsia="zh-CN"/>
        </w:rPr>
        <w:t>0</w:t>
      </w:r>
      <w:r>
        <w:rPr>
          <w:rStyle w:val="17"/>
          <w:rFonts w:ascii="仿宋" w:hAnsi="仿宋" w:eastAsia="仿宋"/>
          <w:b w:val="0"/>
          <w:bCs/>
          <w:color w:val="auto"/>
          <w:sz w:val="32"/>
          <w:szCs w:val="32"/>
          <w:highlight w:val="none"/>
        </w:rPr>
        <w:t>%</w:t>
      </w:r>
      <w:r>
        <w:rPr>
          <w:rStyle w:val="17"/>
          <w:rFonts w:hint="eastAsia" w:ascii="仿宋" w:hAnsi="仿宋" w:eastAsia="仿宋"/>
          <w:b w:val="0"/>
          <w:bCs/>
          <w:color w:val="auto"/>
          <w:sz w:val="32"/>
          <w:szCs w:val="32"/>
          <w:highlight w:val="none"/>
        </w:rPr>
        <w:t>。</w:t>
      </w:r>
    </w:p>
    <w:p w14:paraId="683360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A568F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D67CE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E2E8114">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社会保障和就业（类）</w:t>
      </w:r>
      <w:r>
        <w:rPr>
          <w:rFonts w:hint="eastAsia" w:eastAsia="仿宋_GB2312" w:cs="仿宋_GB2312"/>
          <w:color w:val="auto"/>
          <w:kern w:val="2"/>
          <w:sz w:val="32"/>
          <w:szCs w:val="32"/>
          <w:highlight w:val="none"/>
          <w:lang w:val="en-US" w:eastAsia="zh-CN" w:bidi="ar-SA"/>
        </w:rPr>
        <w:t>行政事业单位养老支出</w:t>
      </w:r>
      <w:r>
        <w:rPr>
          <w:rFonts w:hint="eastAsia" w:ascii="Times New Roman" w:hAnsi="Times New Roman" w:eastAsia="仿宋_GB2312" w:cs="仿宋_GB2312"/>
          <w:color w:val="auto"/>
          <w:kern w:val="2"/>
          <w:sz w:val="32"/>
          <w:szCs w:val="32"/>
          <w:highlight w:val="none"/>
          <w:lang w:val="en-US" w:eastAsia="zh-CN" w:bidi="ar-SA"/>
        </w:rPr>
        <w:t>（款）机关事业单位基本养老保险缴费支出（项）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103.59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04CC30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（2）社会保障和就业支出（类）行政事业单位养老支出（款）机关事业单位职业年金缴费支出（项）: 支出决算为51.89万元，完成预算100%，决算数等于预算数。</w:t>
      </w:r>
    </w:p>
    <w:p w14:paraId="5F599DAC">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6.（1）卫生健康支出（类）卫生健康管理事务（款）其他卫生健康管理事务支出（项）:支出决算为1.16万元，完成预算100%，决算数等于预算数。</w:t>
      </w:r>
    </w:p>
    <w:p w14:paraId="79C59B18">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（2）卫生健康支出（类）公立医院（款）中医（民族）医院（项）:支出决算为674.02万元，完成预算100%，决算数等于预算数。</w:t>
      </w:r>
    </w:p>
    <w:p w14:paraId="11FB1260">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（3）卫生健康支出（类）公立医院（款）其他公立医院支出（项）:支出决算为100.9万元，完成预算100%，决算数等于预算数。</w:t>
      </w:r>
    </w:p>
    <w:p w14:paraId="09E02C2B">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（4）卫生健康支出（类）行政事业单位医疗（款）事业单位医疗（项）:支出决算为42.76万元，完成预算100%，决算数等于预算数。</w:t>
      </w:r>
    </w:p>
    <w:p w14:paraId="2BD96531">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（5）卫生健康支出（类）行政事业单位医疗（款）其他行政事业单位医疗支出（项）:支出决算为7.2万元，完成预算100%，决算数等于预算数。</w:t>
      </w:r>
    </w:p>
    <w:p w14:paraId="17C2B2D4">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（6）卫生健康支出（类）中医药事务（款）中医（民族医）药专项（项）:支出决算为79.84万元，完成预算100%，决算数等于预算数。</w:t>
      </w:r>
    </w:p>
    <w:p w14:paraId="1DE3B85F">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lang w:val="en-US" w:eastAsia="zh-CN"/>
        </w:rPr>
      </w:pPr>
      <w:r>
        <w:rPr>
          <w:rFonts w:hint="eastAsia" w:cs="仿宋_GB2312"/>
          <w:color w:val="auto"/>
          <w:kern w:val="2"/>
          <w:sz w:val="32"/>
          <w:szCs w:val="32"/>
          <w:highlight w:val="none"/>
          <w:lang w:val="en-US" w:eastAsia="zh-CN" w:bidi="ar-SA"/>
        </w:rPr>
        <w:t>7其他</w:t>
      </w:r>
      <w:r>
        <w:rPr>
          <w:rFonts w:hint="eastAsia" w:eastAsia="仿宋_GB2312" w:cs="仿宋_GB2312"/>
          <w:color w:val="auto"/>
          <w:kern w:val="2"/>
          <w:sz w:val="32"/>
          <w:szCs w:val="32"/>
          <w:highlight w:val="none"/>
          <w:lang w:val="en-US" w:eastAsia="zh-CN" w:bidi="ar-SA"/>
        </w:rPr>
        <w:t>卫生健康支出（类）</w:t>
      </w:r>
      <w:r>
        <w:rPr>
          <w:rFonts w:hint="eastAsia" w:cs="仿宋_GB2312"/>
          <w:color w:val="auto"/>
          <w:kern w:val="2"/>
          <w:sz w:val="32"/>
          <w:szCs w:val="32"/>
          <w:highlight w:val="none"/>
          <w:lang w:val="en-US" w:eastAsia="zh-CN" w:bidi="ar-SA"/>
        </w:rPr>
        <w:t>其他卫生健康支出</w:t>
      </w:r>
      <w:r>
        <w:rPr>
          <w:rFonts w:hint="eastAsia" w:eastAsia="仿宋_GB2312" w:cs="仿宋_GB2312"/>
          <w:color w:val="auto"/>
          <w:kern w:val="2"/>
          <w:sz w:val="32"/>
          <w:szCs w:val="32"/>
          <w:highlight w:val="none"/>
          <w:lang w:val="en-US" w:eastAsia="zh-CN" w:bidi="ar-SA"/>
        </w:rPr>
        <w:t>（款）</w:t>
      </w:r>
      <w:r>
        <w:rPr>
          <w:rFonts w:hint="eastAsia" w:cs="仿宋_GB2312"/>
          <w:color w:val="auto"/>
          <w:kern w:val="2"/>
          <w:sz w:val="32"/>
          <w:szCs w:val="32"/>
          <w:highlight w:val="none"/>
          <w:lang w:val="en-US" w:eastAsia="zh-CN" w:bidi="ar-SA"/>
        </w:rPr>
        <w:t>其他卫生健康支出</w:t>
      </w:r>
      <w:r>
        <w:rPr>
          <w:rFonts w:hint="eastAsia" w:eastAsia="仿宋_GB2312" w:cs="仿宋_GB2312"/>
          <w:color w:val="auto"/>
          <w:kern w:val="2"/>
          <w:sz w:val="32"/>
          <w:szCs w:val="32"/>
          <w:highlight w:val="none"/>
          <w:lang w:val="en-US" w:eastAsia="zh-CN" w:bidi="ar-SA"/>
        </w:rPr>
        <w:t>（项）:支出决算为</w:t>
      </w:r>
      <w:r>
        <w:rPr>
          <w:rFonts w:hint="eastAsia" w:cs="仿宋_GB2312"/>
          <w:color w:val="auto"/>
          <w:kern w:val="2"/>
          <w:sz w:val="32"/>
          <w:szCs w:val="32"/>
          <w:highlight w:val="none"/>
          <w:lang w:val="en-US" w:eastAsia="zh-CN" w:bidi="ar-SA"/>
        </w:rPr>
        <w:t>9.2</w:t>
      </w:r>
      <w:r>
        <w:rPr>
          <w:rFonts w:hint="eastAsia" w:eastAsia="仿宋_GB2312" w:cs="仿宋_GB2312"/>
          <w:color w:val="auto"/>
          <w:kern w:val="2"/>
          <w:sz w:val="32"/>
          <w:szCs w:val="32"/>
          <w:highlight w:val="none"/>
          <w:lang w:val="en-US" w:eastAsia="zh-CN" w:bidi="ar-SA"/>
        </w:rPr>
        <w:t>万元，完成预算100%，决算数等于预算数。</w:t>
      </w:r>
    </w:p>
    <w:p w14:paraId="343E70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8.住房保障支出（类）住房改革支出（款）住房公积金（项）:支出决算为76.26万元，完成预算100.00%，决算数等于预算数。</w:t>
      </w:r>
    </w:p>
    <w:p w14:paraId="0BBBE950">
      <w:pPr>
        <w:tabs>
          <w:tab w:val="right" w:pos="8306"/>
        </w:tabs>
        <w:spacing w:line="600" w:lineRule="exact"/>
        <w:ind w:firstLine="640"/>
        <w:outlineLvl w:val="1"/>
        <w:rPr>
          <w:rStyle w:val="29"/>
          <w:rFonts w:ascii="Times New Roman" w:hAnsi="Times New Roman"/>
          <w:color w:val="auto"/>
          <w:highlight w:val="none"/>
        </w:rPr>
      </w:pPr>
      <w:bookmarkStart w:id="44" w:name="_Toc7879"/>
      <w:bookmarkStart w:id="45" w:name="_Toc15377214"/>
      <w:bookmarkStart w:id="46"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44"/>
      <w:bookmarkEnd w:id="45"/>
      <w:bookmarkEnd w:id="46"/>
      <w:r>
        <w:rPr>
          <w:rStyle w:val="29"/>
          <w:rFonts w:ascii="Times New Roman" w:hAnsi="Times New Roman" w:eastAsia="黑体"/>
          <w:b w:val="0"/>
          <w:color w:val="auto"/>
          <w:highlight w:val="none"/>
        </w:rPr>
        <w:tab/>
      </w:r>
    </w:p>
    <w:p w14:paraId="480AB1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914.03</w:t>
      </w:r>
      <w:r>
        <w:rPr>
          <w:rFonts w:hint="eastAsia" w:ascii="Times New Roman" w:hAnsi="Times New Roman" w:eastAsia="仿宋_GB2312" w:cs="仿宋_GB2312"/>
          <w:color w:val="auto"/>
          <w:kern w:val="2"/>
          <w:sz w:val="32"/>
          <w:szCs w:val="32"/>
          <w:highlight w:val="none"/>
          <w:lang w:val="en-US" w:eastAsia="zh-CN" w:bidi="ar-SA"/>
        </w:rPr>
        <w:t>万元，其中：</w:t>
      </w:r>
    </w:p>
    <w:p w14:paraId="11E1CF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914.03</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182.9万元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139.02万元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193.12万元</w:t>
      </w:r>
      <w:r>
        <w:rPr>
          <w:rFonts w:hint="eastAsia" w:ascii="Times New Roman" w:hAnsi="Times New Roman" w:eastAsia="仿宋_GB2312" w:cs="仿宋_GB2312"/>
          <w:color w:val="auto"/>
          <w:kern w:val="2"/>
          <w:sz w:val="32"/>
          <w:szCs w:val="32"/>
          <w:highlight w:val="none"/>
          <w:lang w:val="en-US" w:eastAsia="zh-CN" w:bidi="ar-SA"/>
        </w:rPr>
        <w:t>、伙食补助费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112.3万元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103.59万元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51.89万元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 w:hAnsi="仿宋" w:eastAsia="仿宋"/>
          <w:color w:val="auto"/>
          <w:sz w:val="32"/>
          <w:szCs w:val="32"/>
          <w:highlight w:val="none"/>
          <w:lang w:val="en-US" w:eastAsia="zh-CN"/>
        </w:rPr>
        <w:t>职工基本医疗保险缴费42.76万元、公务员医疗补助7.2万元、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5万元</w:t>
      </w:r>
      <w:r>
        <w:rPr>
          <w:rFonts w:hint="eastAsia" w:ascii="Times New Roman" w:hAnsi="Times New Roman" w:eastAsia="仿宋_GB2312" w:cs="仿宋_GB2312"/>
          <w:color w:val="auto"/>
          <w:kern w:val="2"/>
          <w:sz w:val="32"/>
          <w:szCs w:val="32"/>
          <w:highlight w:val="none"/>
          <w:lang w:val="en-US" w:eastAsia="zh-CN" w:bidi="ar-SA"/>
        </w:rPr>
        <w:t>、其他工资福利支出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、离休费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、退休费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、抚恤金</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、生活补助</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、医疗费补助</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、奖励金</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76.26万元</w:t>
      </w:r>
      <w:r>
        <w:rPr>
          <w:rFonts w:hint="eastAsia" w:ascii="Times New Roman" w:hAnsi="Times New Roman" w:eastAsia="仿宋_GB2312" w:cs="仿宋_GB2312"/>
          <w:color w:val="auto"/>
          <w:kern w:val="2"/>
          <w:sz w:val="32"/>
          <w:szCs w:val="32"/>
          <w:highlight w:val="none"/>
          <w:lang w:val="en-US" w:eastAsia="zh-CN" w:bidi="ar-SA"/>
        </w:rPr>
        <w:t>、其他对个人和家庭的补助支出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万元，主要包括：办公费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、印刷费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、咨询费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、手续费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、水费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、电费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、邮电费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、取暖费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、物业管理费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、差旅费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、因公出国（境）费用</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、维修（护）费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、租赁费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、会议费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、培训费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、公务接待费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、劳务费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、委托业务费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、工会经费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、福利费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、公务用车运行维护费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、其他交通费</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、税金及附加费用</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、其他商品和服务支出</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、办公设备购置</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、专用设备购置</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、信息网络及软件购置更新</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、其他资本性支出等</w:t>
      </w:r>
      <w:r>
        <w:rPr>
          <w:rFonts w:hint="eastAsia" w:eastAsia="仿宋_GB2312" w:cs="仿宋_GB2312"/>
          <w:color w:val="auto"/>
          <w:kern w:val="2"/>
          <w:sz w:val="32"/>
          <w:szCs w:val="32"/>
          <w:highlight w:val="none"/>
          <w:lang w:val="en-US" w:eastAsia="zh-CN" w:bidi="ar-SA"/>
        </w:rPr>
        <w:t>0万元</w:t>
      </w:r>
      <w:r>
        <w:rPr>
          <w:rFonts w:hint="eastAsia" w:ascii="Times New Roman" w:hAnsi="Times New Roman" w:eastAsia="仿宋_GB2312" w:cs="仿宋_GB2312"/>
          <w:color w:val="auto"/>
          <w:kern w:val="2"/>
          <w:sz w:val="32"/>
          <w:szCs w:val="32"/>
          <w:highlight w:val="none"/>
          <w:lang w:val="en-US" w:eastAsia="zh-CN" w:bidi="ar-SA"/>
        </w:rPr>
        <w:t>。</w:t>
      </w:r>
    </w:p>
    <w:p w14:paraId="3B9BFCD6">
      <w:pPr>
        <w:spacing w:line="600" w:lineRule="exact"/>
        <w:ind w:firstLine="640"/>
        <w:outlineLvl w:val="1"/>
        <w:rPr>
          <w:rStyle w:val="29"/>
          <w:rFonts w:ascii="Times New Roman" w:hAnsi="Times New Roman" w:eastAsia="黑体"/>
          <w:b w:val="0"/>
          <w:color w:val="auto"/>
          <w:highlight w:val="none"/>
        </w:rPr>
      </w:pPr>
      <w:bookmarkStart w:id="47" w:name="_Toc15396609"/>
      <w:bookmarkStart w:id="48" w:name="_Toc15377215"/>
      <w:bookmarkStart w:id="49" w:name="_Toc32241"/>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47"/>
      <w:bookmarkEnd w:id="48"/>
      <w:bookmarkEnd w:id="49"/>
    </w:p>
    <w:p w14:paraId="6655B45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0" w:name="_Toc3748"/>
      <w:bookmarkStart w:id="51"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50"/>
      <w:bookmarkEnd w:id="51"/>
    </w:p>
    <w:p w14:paraId="4CFF2D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%，较上年度增加/减少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%。决算数小于预算数（或与预算数持平）的主要原因是</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45EE964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52" w:name="_Toc23337"/>
      <w:bookmarkStart w:id="5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52"/>
      <w:bookmarkEnd w:id="53"/>
    </w:p>
    <w:p w14:paraId="316AA54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15ED6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C97ACA3">
      <w:pPr>
        <w:spacing w:line="600" w:lineRule="exact"/>
        <w:ind w:firstLine="640"/>
        <w:rPr>
          <w:rFonts w:hint="eastAsia"/>
          <w:lang w:val="en-US" w:eastAsia="zh-CN"/>
        </w:rPr>
      </w:pP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0F1DA61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765226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5E5B172E">
      <w:pPr>
        <w:spacing w:line="600" w:lineRule="exact"/>
        <w:rPr>
          <w:rFonts w:hint="eastAsia"/>
          <w:lang w:val="en-US" w:eastAsia="zh-CN"/>
        </w:rPr>
      </w:pP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6CE2966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4AFD40C5">
      <w:pPr>
        <w:spacing w:line="600" w:lineRule="exact"/>
        <w:ind w:firstLine="640"/>
        <w:rPr>
          <w:rFonts w:ascii="仿宋_GB2312" w:eastAsia="仿宋_GB2312"/>
          <w:b/>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w:t>
      </w:r>
      <w:r>
        <w:rPr>
          <w:rFonts w:hint="eastAsia" w:eastAsia="仿宋_GB2312" w:cs="仿宋_GB2312"/>
          <w:color w:val="auto"/>
          <w:kern w:val="2"/>
          <w:sz w:val="32"/>
          <w:szCs w:val="32"/>
          <w:highlight w:val="none"/>
          <w:lang w:val="en-US" w:eastAsia="zh-CN" w:bidi="ar-SA"/>
        </w:rPr>
        <w:t>是</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14CE52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0E025E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（具体工作）所需的公务用车燃料费、维修费、过路过桥费、保险费等支出。</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6714154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 w:hAnsi="仿宋" w:eastAsia="仿宋"/>
          <w:sz w:val="32"/>
          <w:szCs w:val="32"/>
        </w:rPr>
        <w:t>我医院为财政补助型事业单位，无“三公”经费</w:t>
      </w:r>
      <w:r>
        <w:rPr>
          <w:rFonts w:hint="eastAsia" w:ascii="Times New Roman" w:hAnsi="Times New Roman" w:eastAsia="仿宋_GB2312" w:cs="仿宋_GB2312"/>
          <w:color w:val="auto"/>
          <w:kern w:val="2"/>
          <w:sz w:val="32"/>
          <w:szCs w:val="32"/>
          <w:highlight w:val="none"/>
          <w:lang w:val="en-US" w:eastAsia="zh-CN" w:bidi="ar-SA"/>
        </w:rPr>
        <w:t>。其中：</w:t>
      </w:r>
    </w:p>
    <w:p w14:paraId="5B8DF09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（接待具体项目、金额）。</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p>
    <w:p w14:paraId="77F240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（具体项目）。外事接待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ascii="仿宋" w:hAnsi="仿宋" w:eastAsia="仿宋"/>
          <w:sz w:val="32"/>
          <w:szCs w:val="32"/>
        </w:rPr>
        <w:t>我医院为财政补助型事业单位，无“三公”经费</w:t>
      </w:r>
      <w:r>
        <w:rPr>
          <w:rFonts w:hint="eastAsia" w:ascii="仿宋" w:hAnsi="仿宋" w:eastAsia="仿宋"/>
          <w:color w:val="auto"/>
          <w:sz w:val="32"/>
          <w:szCs w:val="32"/>
          <w:highlight w:val="none"/>
        </w:rPr>
        <w:t>。</w:t>
      </w:r>
      <w:bookmarkStart w:id="54" w:name="_Toc15396610"/>
      <w:bookmarkStart w:id="55" w:name="_Toc15377218"/>
    </w:p>
    <w:p w14:paraId="5C356F29">
      <w:pPr>
        <w:spacing w:line="600" w:lineRule="exact"/>
        <w:ind w:firstLine="640"/>
        <w:outlineLvl w:val="1"/>
        <w:rPr>
          <w:rStyle w:val="29"/>
          <w:rFonts w:ascii="Times New Roman" w:hAnsi="Times New Roman" w:eastAsia="黑体"/>
          <w:color w:val="auto"/>
          <w:highlight w:val="none"/>
        </w:rPr>
      </w:pPr>
      <w:bookmarkStart w:id="56" w:name="_Toc7726"/>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54"/>
      <w:bookmarkEnd w:id="55"/>
      <w:bookmarkEnd w:id="56"/>
    </w:p>
    <w:p w14:paraId="05FB45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2AAE3C1">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57" w:name="_Toc15377219"/>
      <w:bookmarkStart w:id="58" w:name="_Toc11793"/>
      <w:bookmarkStart w:id="59"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57"/>
      <w:bookmarkEnd w:id="58"/>
      <w:bookmarkEnd w:id="59"/>
    </w:p>
    <w:p w14:paraId="6C5E23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BBCF339">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60" w:name="_Toc15236"/>
      <w:bookmarkStart w:id="61" w:name="_Toc15396612"/>
      <w:bookmarkStart w:id="62"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60"/>
      <w:bookmarkEnd w:id="61"/>
      <w:bookmarkEnd w:id="62"/>
    </w:p>
    <w:p w14:paraId="0D6FC2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22"/>
      <w:bookmarkStart w:id="64" w:name="_Toc17414"/>
      <w:r>
        <w:rPr>
          <w:rFonts w:hint="eastAsia" w:ascii="Times New Roman" w:hAnsi="Times New Roman" w:eastAsia="楷体_GB2312" w:cs="楷体_GB2312"/>
          <w:b/>
          <w:color w:val="auto"/>
          <w:sz w:val="32"/>
          <w:szCs w:val="32"/>
          <w:highlight w:val="none"/>
        </w:rPr>
        <w:t>（一）机关运行经费支出情况</w:t>
      </w:r>
      <w:bookmarkEnd w:id="63"/>
      <w:bookmarkEnd w:id="64"/>
    </w:p>
    <w:p w14:paraId="21FD54F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%（或与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w:t>
      </w:r>
    </w:p>
    <w:p w14:paraId="7114E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23"/>
      <w:bookmarkStart w:id="66" w:name="_Toc8030"/>
      <w:r>
        <w:rPr>
          <w:rFonts w:hint="eastAsia" w:ascii="Times New Roman" w:hAnsi="Times New Roman" w:eastAsia="楷体_GB2312" w:cs="楷体_GB2312"/>
          <w:b/>
          <w:color w:val="auto"/>
          <w:sz w:val="32"/>
          <w:szCs w:val="32"/>
          <w:highlight w:val="none"/>
        </w:rPr>
        <w:t>（二）政府采购支出情况</w:t>
      </w:r>
      <w:bookmarkEnd w:id="65"/>
      <w:bookmarkEnd w:id="66"/>
    </w:p>
    <w:p w14:paraId="719ACF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（具体工作）。授予中小企业合同金额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DBB53F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7" w:name="_Toc15377224"/>
      <w:bookmarkStart w:id="68" w:name="_Toc22636"/>
      <w:r>
        <w:rPr>
          <w:rFonts w:hint="eastAsia" w:ascii="Times New Roman" w:hAnsi="Times New Roman" w:eastAsia="楷体_GB2312" w:cs="楷体_GB2312"/>
          <w:b/>
          <w:color w:val="auto"/>
          <w:sz w:val="32"/>
          <w:szCs w:val="32"/>
          <w:highlight w:val="none"/>
        </w:rPr>
        <w:t>（三）国有资产占有使用情况</w:t>
      </w:r>
      <w:bookmarkEnd w:id="67"/>
      <w:bookmarkEnd w:id="68"/>
    </w:p>
    <w:p w14:paraId="449B107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w:t>
      </w:r>
      <w:r>
        <w:rPr>
          <w:rFonts w:hint="eastAsia" w:eastAsia="仿宋_GB2312" w:cs="仿宋_GB2312"/>
          <w:color w:val="auto"/>
          <w:kern w:val="2"/>
          <w:sz w:val="32"/>
          <w:szCs w:val="32"/>
          <w:highlight w:val="none"/>
          <w:lang w:val="en-US" w:eastAsia="zh-CN" w:bidi="ar-SA"/>
        </w:rPr>
        <w:t>至</w:t>
      </w:r>
      <w:r>
        <w:rPr>
          <w:rFonts w:hint="eastAsia" w:ascii="Times New Roman" w:hAnsi="Times New Roman" w:eastAsia="仿宋_GB2312" w:cs="仿宋_GB2312"/>
          <w:color w:val="auto"/>
          <w:kern w:val="2"/>
          <w:sz w:val="32"/>
          <w:szCs w:val="32"/>
          <w:highlight w:val="none"/>
          <w:lang w:val="en-US" w:eastAsia="zh-CN" w:bidi="ar-SA"/>
        </w:rPr>
        <w:t>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485800A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9" w:name="_Toc3830"/>
      <w:r>
        <w:rPr>
          <w:rFonts w:hint="eastAsia" w:ascii="Times New Roman" w:hAnsi="Times New Roman" w:eastAsia="楷体_GB2312" w:cs="楷体_GB2312"/>
          <w:b/>
          <w:color w:val="auto"/>
          <w:sz w:val="32"/>
          <w:szCs w:val="32"/>
          <w:highlight w:val="none"/>
        </w:rPr>
        <w:t>（四）预算绩效管理情况</w:t>
      </w:r>
      <w:bookmarkEnd w:id="69"/>
    </w:p>
    <w:p w14:paraId="2477A1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&lt;</w:t>
      </w:r>
      <w:r>
        <w:rPr>
          <w:rFonts w:hint="eastAsia" w:ascii="Times New Roman" w:hAnsi="Times New Roman" w:eastAsia="仿宋_GB2312" w:cs="仿宋_GB2312"/>
          <w:color w:val="auto"/>
          <w:kern w:val="2"/>
          <w:sz w:val="32"/>
          <w:szCs w:val="32"/>
          <w:highlight w:val="none"/>
          <w:lang w:val="en-US" w:eastAsia="zh-CN" w:bidi="ar-SA"/>
        </w:rPr>
        <w:t>公立医院取消药品加成补助（财政兜底）</w:t>
      </w:r>
      <w:r>
        <w:rPr>
          <w:rFonts w:hint="eastAsia" w:eastAsia="仿宋_GB2312" w:cs="仿宋_GB2312"/>
          <w:color w:val="auto"/>
          <w:kern w:val="2"/>
          <w:sz w:val="32"/>
          <w:szCs w:val="32"/>
          <w:highlight w:val="none"/>
          <w:lang w:val="en-US" w:eastAsia="zh-CN" w:bidi="ar-SA"/>
        </w:rPr>
        <w:t>&gt;</w:t>
      </w:r>
      <w:r>
        <w:rPr>
          <w:rFonts w:hint="eastAsia" w:ascii="Times New Roman" w:hAnsi="Times New Roman" w:eastAsia="仿宋_GB2312" w:cs="仿宋_GB2312"/>
          <w:color w:val="auto"/>
          <w:kern w:val="2"/>
          <w:sz w:val="32"/>
          <w:szCs w:val="32"/>
          <w:highlight w:val="none"/>
          <w:lang w:val="en-US" w:eastAsia="zh-CN" w:bidi="ar-SA"/>
        </w:rPr>
        <w:t>项目</w:t>
      </w:r>
      <w:r>
        <w:rPr>
          <w:rFonts w:hint="eastAsia" w:eastAsia="仿宋_GB2312" w:cs="仿宋_GB2312"/>
          <w:color w:val="auto"/>
          <w:kern w:val="2"/>
          <w:sz w:val="32"/>
          <w:szCs w:val="32"/>
          <w:highlight w:val="none"/>
          <w:lang w:val="en-US" w:eastAsia="zh-CN" w:bidi="ar-SA"/>
        </w:rPr>
        <w:t>进行事前绩效自评</w:t>
      </w:r>
      <w:r>
        <w:rPr>
          <w:rFonts w:hint="eastAsia" w:ascii="Times New Roman" w:hAnsi="Times New Roman" w:eastAsia="仿宋_GB2312" w:cs="仿宋_GB2312"/>
          <w:color w:val="auto"/>
          <w:kern w:val="2"/>
          <w:sz w:val="32"/>
          <w:szCs w:val="32"/>
          <w:highlight w:val="none"/>
          <w:lang w:val="en-US" w:eastAsia="zh-CN" w:bidi="ar-SA"/>
        </w:rPr>
        <w:t>涉及金额</w:t>
      </w:r>
      <w:r>
        <w:rPr>
          <w:rFonts w:hint="eastAsia" w:eastAsia="仿宋_GB2312" w:cs="仿宋_GB2312"/>
          <w:color w:val="auto"/>
          <w:kern w:val="2"/>
          <w:sz w:val="32"/>
          <w:szCs w:val="32"/>
          <w:highlight w:val="none"/>
          <w:lang w:val="en-US" w:eastAsia="zh-CN" w:bidi="ar-SA"/>
        </w:rPr>
        <w:t>1.1242</w:t>
      </w:r>
      <w:r>
        <w:rPr>
          <w:rFonts w:hint="eastAsia" w:ascii="Times New Roman" w:hAnsi="Times New Roman" w:eastAsia="仿宋_GB2312" w:cs="仿宋_GB2312"/>
          <w:color w:val="auto"/>
          <w:kern w:val="2"/>
          <w:sz w:val="32"/>
          <w:szCs w:val="32"/>
          <w:highlight w:val="none"/>
          <w:lang w:val="en-US" w:eastAsia="zh-CN" w:bidi="ar-SA"/>
        </w:rPr>
        <w:t>万元，对项目编制了绩效目标，预算执行过程中，项目开展绩效监控。</w:t>
      </w:r>
    </w:p>
    <w:p w14:paraId="6A0217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组织对2025年度一般公共预算、政府性基金预算、国有资本经营预算、社会保险基金预算以及资本资产、债券资金等全面开展绩效自评，县级公立医院取消药品加成项目专项预算项目绩效自评报告。</w:t>
      </w:r>
    </w:p>
    <w:tbl>
      <w:tblPr>
        <w:tblStyle w:val="15"/>
        <w:tblW w:w="96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3"/>
        <w:gridCol w:w="1121"/>
        <w:gridCol w:w="978"/>
        <w:gridCol w:w="1508"/>
        <w:gridCol w:w="244"/>
        <w:gridCol w:w="572"/>
        <w:gridCol w:w="1293"/>
        <w:gridCol w:w="762"/>
        <w:gridCol w:w="906"/>
        <w:gridCol w:w="816"/>
        <w:gridCol w:w="862"/>
      </w:tblGrid>
      <w:tr w14:paraId="6313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626" w:type="dxa"/>
            <w:gridSpan w:val="11"/>
            <w:tcBorders>
              <w:top w:val="nil"/>
              <w:left w:val="nil"/>
              <w:bottom w:val="nil"/>
              <w:right w:val="nil"/>
            </w:tcBorders>
            <w:shd w:val="clear" w:color="auto" w:fill="auto"/>
            <w:vAlign w:val="center"/>
          </w:tcPr>
          <w:p w14:paraId="1001927C">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Style w:val="35"/>
                <w:lang w:val="en-US" w:eastAsia="zh-CN" w:bidi="ar"/>
              </w:rPr>
              <w:t>绩效目标自评表</w:t>
            </w:r>
            <w:r>
              <w:rPr>
                <w:rStyle w:val="36"/>
                <w:lang w:val="en-US" w:eastAsia="zh-CN" w:bidi="ar"/>
              </w:rPr>
              <w:t xml:space="preserve"> </w:t>
            </w:r>
          </w:p>
        </w:tc>
      </w:tr>
      <w:tr w14:paraId="03DD4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9626" w:type="dxa"/>
            <w:gridSpan w:val="11"/>
            <w:tcBorders>
              <w:top w:val="nil"/>
              <w:left w:val="nil"/>
              <w:bottom w:val="single" w:color="000000" w:sz="4" w:space="0"/>
              <w:right w:val="nil"/>
            </w:tcBorders>
            <w:shd w:val="clear" w:color="auto" w:fill="auto"/>
            <w:vAlign w:val="top"/>
          </w:tcPr>
          <w:p w14:paraId="2EFB0B59">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18696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849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2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4E29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公立医院取消药品加成补助（财政兜底）</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B5F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33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ADA5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杨忠（13558595618）</w:t>
            </w:r>
          </w:p>
        </w:tc>
      </w:tr>
      <w:tr w14:paraId="739D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7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D7F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2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155864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壤塘县卫健局</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9BF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333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6C9A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壤塘县藏医院</w:t>
            </w:r>
          </w:p>
        </w:tc>
      </w:tr>
      <w:tr w14:paraId="69018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270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E46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74C6">
            <w:pPr>
              <w:rPr>
                <w:rFonts w:hint="eastAsia" w:ascii="宋体" w:hAnsi="宋体" w:eastAsia="宋体" w:cs="宋体"/>
                <w:i w:val="0"/>
                <w:iCs w:val="0"/>
                <w:color w:val="000000"/>
                <w:sz w:val="20"/>
                <w:szCs w:val="20"/>
                <w:u w:val="none"/>
              </w:rPr>
            </w:pPr>
          </w:p>
        </w:tc>
        <w:tc>
          <w:tcPr>
            <w:tcW w:w="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C4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6B7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00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A9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C7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430EC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7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1E9E1">
            <w:pPr>
              <w:jc w:val="center"/>
              <w:rPr>
                <w:rFonts w:hint="eastAsia" w:ascii="宋体" w:hAnsi="宋体" w:eastAsia="宋体" w:cs="宋体"/>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BA8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F1C5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1.1242</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D7A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1.1242</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93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5AA5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BAD0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F4E1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7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5A6C9">
            <w:pPr>
              <w:jc w:val="center"/>
              <w:rPr>
                <w:rFonts w:hint="eastAsia" w:ascii="宋体" w:hAnsi="宋体" w:eastAsia="宋体" w:cs="宋体"/>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52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37"/>
                <w:lang w:val="en-US" w:eastAsia="zh-CN" w:bidi="ar"/>
              </w:rPr>
              <w:t xml:space="preserve"> </w:t>
            </w:r>
            <w:r>
              <w:rPr>
                <w:rStyle w:val="38"/>
                <w:lang w:val="en-US" w:eastAsia="zh-CN" w:bidi="ar"/>
              </w:rPr>
              <w:t>其中：本年财政拨款</w:t>
            </w:r>
          </w:p>
        </w:tc>
        <w:tc>
          <w:tcPr>
            <w:tcW w:w="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2AC808">
            <w:pPr>
              <w:jc w:val="center"/>
              <w:rPr>
                <w:rFonts w:hint="eastAsia" w:ascii="宋体" w:hAnsi="宋体" w:eastAsia="宋体" w:cs="宋体"/>
                <w:i w:val="0"/>
                <w:iCs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9EB166">
            <w:pPr>
              <w:jc w:val="center"/>
              <w:rPr>
                <w:rFonts w:hint="eastAsia" w:ascii="宋体" w:hAnsi="宋体" w:eastAsia="宋体" w:cs="宋体"/>
                <w:i w:val="0"/>
                <w:iCs w:val="0"/>
                <w:color w:val="000000"/>
                <w:sz w:val="20"/>
                <w:szCs w:val="20"/>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D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A432">
            <w:pPr>
              <w:jc w:val="left"/>
              <w:rPr>
                <w:rFonts w:hint="eastAsia" w:ascii="宋体" w:hAnsi="宋体" w:eastAsia="宋体" w:cs="宋体"/>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199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D88A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2" w:hRule="atLeast"/>
        </w:trPr>
        <w:tc>
          <w:tcPr>
            <w:tcW w:w="270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14A3D">
            <w:pPr>
              <w:jc w:val="center"/>
              <w:rPr>
                <w:rFonts w:hint="eastAsia" w:ascii="宋体" w:hAnsi="宋体" w:eastAsia="宋体" w:cs="宋体"/>
                <w:i w:val="0"/>
                <w:iCs w:val="0"/>
                <w:color w:val="000000"/>
                <w:sz w:val="20"/>
                <w:szCs w:val="20"/>
                <w:u w:val="none"/>
              </w:rPr>
            </w:pPr>
          </w:p>
        </w:tc>
        <w:tc>
          <w:tcPr>
            <w:tcW w:w="15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0EB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Style w:val="37"/>
                <w:lang w:val="en-US" w:eastAsia="zh-CN" w:bidi="ar"/>
              </w:rPr>
              <w:t xml:space="preserve"> </w:t>
            </w:r>
            <w:r>
              <w:rPr>
                <w:rStyle w:val="38"/>
                <w:lang w:val="en-US" w:eastAsia="zh-CN" w:bidi="ar"/>
              </w:rPr>
              <w:t xml:space="preserve">      其他资金</w:t>
            </w:r>
          </w:p>
        </w:tc>
        <w:tc>
          <w:tcPr>
            <w:tcW w:w="72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6EE0CE">
            <w:pPr>
              <w:jc w:val="center"/>
              <w:rPr>
                <w:rFonts w:hint="eastAsia" w:ascii="宋体" w:hAnsi="宋体" w:eastAsia="宋体" w:cs="宋体"/>
                <w:i w:val="0"/>
                <w:iCs w:val="0"/>
                <w:color w:val="000000"/>
                <w:sz w:val="20"/>
                <w:szCs w:val="20"/>
                <w:u w:val="none"/>
              </w:rPr>
            </w:pP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357AEF">
            <w:pPr>
              <w:jc w:val="center"/>
              <w:rPr>
                <w:rFonts w:hint="eastAsia" w:ascii="宋体" w:hAnsi="宋体" w:eastAsia="宋体" w:cs="宋体"/>
                <w:i w:val="0"/>
                <w:iCs w:val="0"/>
                <w:color w:val="000000"/>
                <w:sz w:val="20"/>
                <w:szCs w:val="20"/>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E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DA14F">
            <w:pPr>
              <w:jc w:val="left"/>
              <w:rPr>
                <w:rFonts w:hint="eastAsia" w:ascii="宋体" w:hAnsi="宋体" w:eastAsia="宋体" w:cs="宋体"/>
                <w:i w:val="0"/>
                <w:iCs w:val="0"/>
                <w:color w:val="000000"/>
                <w:sz w:val="20"/>
                <w:szCs w:val="20"/>
                <w:u w:val="none"/>
              </w:rPr>
            </w:pPr>
          </w:p>
        </w:tc>
        <w:tc>
          <w:tcPr>
            <w:tcW w:w="88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3E8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3FDAD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DFE0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4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1791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6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9A7DE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14:paraId="6ADA3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B71F">
            <w:pPr>
              <w:jc w:val="center"/>
              <w:rPr>
                <w:rFonts w:hint="eastAsia" w:ascii="宋体" w:hAnsi="宋体" w:eastAsia="宋体" w:cs="宋体"/>
                <w:i w:val="0"/>
                <w:iCs w:val="0"/>
                <w:color w:val="000000"/>
                <w:sz w:val="20"/>
                <w:szCs w:val="20"/>
                <w:u w:val="none"/>
              </w:rPr>
            </w:pPr>
          </w:p>
        </w:tc>
        <w:tc>
          <w:tcPr>
            <w:tcW w:w="4414"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C9369B">
            <w:pPr>
              <w:keepNext w:val="0"/>
              <w:keepLines w:val="0"/>
              <w:widowControl/>
              <w:suppressLineNumbers w:val="0"/>
              <w:jc w:val="center"/>
              <w:textAlignment w:val="center"/>
              <w:rPr>
                <w:rFonts w:ascii="方正仿宋_GBK" w:hAnsi="方正仿宋_GBK" w:eastAsia="方正仿宋_GBK" w:cs="方正仿宋_GBK"/>
                <w:b/>
                <w:bCs/>
                <w:i w:val="0"/>
                <w:iCs w:val="0"/>
                <w:color w:val="000000"/>
                <w:sz w:val="18"/>
                <w:szCs w:val="18"/>
                <w:u w:val="none"/>
              </w:rPr>
            </w:pPr>
            <w:r>
              <w:rPr>
                <w:rFonts w:hint="eastAsia" w:ascii="宋体" w:hAnsi="宋体" w:eastAsia="宋体" w:cs="宋体"/>
                <w:i w:val="0"/>
                <w:iCs w:val="0"/>
                <w:color w:val="000000"/>
                <w:kern w:val="0"/>
                <w:sz w:val="20"/>
                <w:szCs w:val="20"/>
                <w:u w:val="none"/>
                <w:lang w:val="en-US" w:eastAsia="zh-CN" w:bidi="ar"/>
              </w:rPr>
              <w:t>一、推动医院医药分开改革进程、确保医院回归公益性，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二、在一定程度上降低药品收费、减轻患者负担、缓解‘看病难、看病贵’的问题。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三、进一步端正医疗态度、规范医生的用药行为。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四、促进医院发展、缓解医院的负担、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五、完成公立医院取消药品加成补助（财政兜底）工作</w:t>
            </w:r>
          </w:p>
        </w:tc>
        <w:tc>
          <w:tcPr>
            <w:tcW w:w="465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7BB451">
            <w:pPr>
              <w:keepNext w:val="0"/>
              <w:keepLines w:val="0"/>
              <w:widowControl/>
              <w:suppressLineNumbers w:val="0"/>
              <w:jc w:val="left"/>
              <w:textAlignment w:val="center"/>
              <w:rPr>
                <w:rFonts w:hint="eastAsia" w:ascii="方正仿宋_GBK" w:hAnsi="方正仿宋_GBK" w:eastAsia="方正仿宋_GBK" w:cs="方正仿宋_GBK"/>
                <w:i w:val="0"/>
                <w:iCs w:val="0"/>
                <w:color w:val="000000"/>
                <w:sz w:val="16"/>
                <w:szCs w:val="16"/>
                <w:u w:val="none"/>
              </w:rPr>
            </w:pPr>
            <w:r>
              <w:rPr>
                <w:rStyle w:val="39"/>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降低药品收费、减轻患者负担、缓解‘看病难、看病贵’的问题；端正医疗服务态度、规范医生的用药行为。</w:t>
            </w:r>
          </w:p>
        </w:tc>
      </w:tr>
      <w:tr w14:paraId="52CFA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C932C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11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8A6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7C4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659E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E4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3A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ADA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8B0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DD75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14:paraId="43A6E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D85F86C">
            <w:pPr>
              <w:jc w:val="center"/>
              <w:rPr>
                <w:rFonts w:hint="eastAsia" w:ascii="宋体" w:hAnsi="宋体" w:eastAsia="宋体" w:cs="宋体"/>
                <w:i w:val="0"/>
                <w:iCs w:val="0"/>
                <w:color w:val="000000"/>
                <w:sz w:val="20"/>
                <w:szCs w:val="20"/>
                <w:u w:val="none"/>
              </w:rPr>
            </w:pPr>
          </w:p>
        </w:tc>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0ACA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BF5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25F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A2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08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1.5万户</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C7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1.5万户</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443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5E7AAC">
            <w:pPr>
              <w:jc w:val="center"/>
              <w:rPr>
                <w:rFonts w:hint="eastAsia" w:ascii="宋体" w:hAnsi="宋体" w:eastAsia="宋体" w:cs="宋体"/>
                <w:i w:val="0"/>
                <w:iCs w:val="0"/>
                <w:color w:val="000000"/>
                <w:sz w:val="20"/>
                <w:szCs w:val="20"/>
                <w:u w:val="none"/>
              </w:rPr>
            </w:pPr>
          </w:p>
        </w:tc>
      </w:tr>
      <w:tr w14:paraId="25A8F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6B0D98E">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A9F51">
            <w:pPr>
              <w:jc w:val="center"/>
              <w:rPr>
                <w:rFonts w:hint="eastAsia" w:ascii="宋体" w:hAnsi="宋体" w:eastAsia="宋体" w:cs="宋体"/>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70914">
            <w:pPr>
              <w:jc w:val="center"/>
              <w:rPr>
                <w:rFonts w:hint="eastAsia" w:ascii="宋体" w:hAnsi="宋体" w:eastAsia="宋体" w:cs="宋体"/>
                <w:i w:val="0"/>
                <w:iCs w:val="0"/>
                <w:color w:val="000000"/>
                <w:sz w:val="20"/>
                <w:szCs w:val="20"/>
                <w:u w:val="none"/>
              </w:rPr>
            </w:pP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9B16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取消药品加成率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64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10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68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A0D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06AD3">
            <w:pPr>
              <w:jc w:val="center"/>
              <w:rPr>
                <w:rFonts w:hint="eastAsia" w:ascii="宋体" w:hAnsi="宋体" w:eastAsia="宋体" w:cs="宋体"/>
                <w:i w:val="0"/>
                <w:iCs w:val="0"/>
                <w:color w:val="000000"/>
                <w:sz w:val="20"/>
                <w:szCs w:val="20"/>
                <w:u w:val="none"/>
              </w:rPr>
            </w:pPr>
          </w:p>
        </w:tc>
      </w:tr>
      <w:tr w14:paraId="349C7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5E78503B">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416D3">
            <w:pPr>
              <w:jc w:val="center"/>
              <w:rPr>
                <w:rFonts w:hint="eastAsia" w:ascii="宋体" w:hAnsi="宋体" w:eastAsia="宋体" w:cs="宋体"/>
                <w:i w:val="0"/>
                <w:iCs w:val="0"/>
                <w:color w:val="000000"/>
                <w:sz w:val="20"/>
                <w:szCs w:val="20"/>
                <w:u w:val="none"/>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3D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127E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药占比</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38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D1D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37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9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FAAAB">
            <w:pPr>
              <w:jc w:val="center"/>
              <w:rPr>
                <w:rFonts w:hint="eastAsia" w:ascii="宋体" w:hAnsi="宋体" w:eastAsia="宋体" w:cs="宋体"/>
                <w:i w:val="0"/>
                <w:iCs w:val="0"/>
                <w:color w:val="000000"/>
                <w:sz w:val="20"/>
                <w:szCs w:val="20"/>
                <w:u w:val="none"/>
              </w:rPr>
            </w:pPr>
          </w:p>
        </w:tc>
      </w:tr>
      <w:tr w14:paraId="7464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2C5FE15">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ABED0">
            <w:pPr>
              <w:jc w:val="center"/>
              <w:rPr>
                <w:rFonts w:hint="eastAsia" w:ascii="宋体" w:hAnsi="宋体" w:eastAsia="宋体" w:cs="宋体"/>
                <w:i w:val="0"/>
                <w:iCs w:val="0"/>
                <w:color w:val="000000"/>
                <w:sz w:val="20"/>
                <w:szCs w:val="20"/>
                <w:u w:val="none"/>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3B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27AA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实施期间1年</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1D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95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012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7D7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D1EC1">
            <w:pPr>
              <w:jc w:val="center"/>
              <w:rPr>
                <w:rFonts w:hint="eastAsia" w:ascii="宋体" w:hAnsi="宋体" w:eastAsia="宋体" w:cs="宋体"/>
                <w:i w:val="0"/>
                <w:iCs w:val="0"/>
                <w:color w:val="000000"/>
                <w:sz w:val="20"/>
                <w:szCs w:val="20"/>
                <w:u w:val="none"/>
              </w:rPr>
            </w:pPr>
          </w:p>
        </w:tc>
      </w:tr>
      <w:tr w14:paraId="3767D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ED924D1">
            <w:pPr>
              <w:jc w:val="center"/>
              <w:rPr>
                <w:rFonts w:hint="eastAsia" w:ascii="宋体" w:hAnsi="宋体" w:eastAsia="宋体" w:cs="宋体"/>
                <w:i w:val="0"/>
                <w:iCs w:val="0"/>
                <w:color w:val="000000"/>
                <w:sz w:val="20"/>
                <w:szCs w:val="20"/>
                <w:u w:val="none"/>
              </w:rPr>
            </w:pPr>
          </w:p>
        </w:tc>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7DF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效益指标（30分）</w:t>
            </w:r>
          </w:p>
        </w:tc>
        <w:tc>
          <w:tcPr>
            <w:tcW w:w="10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2B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7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BC70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基本医疗服务覆盖率</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5B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DE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6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722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055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8E479E">
            <w:pPr>
              <w:jc w:val="center"/>
              <w:rPr>
                <w:rFonts w:hint="eastAsia" w:ascii="宋体" w:hAnsi="宋体" w:eastAsia="宋体" w:cs="宋体"/>
                <w:i w:val="0"/>
                <w:iCs w:val="0"/>
                <w:color w:val="000000"/>
                <w:sz w:val="20"/>
                <w:szCs w:val="20"/>
                <w:u w:val="none"/>
              </w:rPr>
            </w:pPr>
          </w:p>
        </w:tc>
      </w:tr>
      <w:tr w14:paraId="248D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62469409">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8B7B7">
            <w:pPr>
              <w:jc w:val="center"/>
              <w:rPr>
                <w:rFonts w:hint="eastAsia" w:ascii="宋体" w:hAnsi="宋体" w:eastAsia="宋体" w:cs="宋体"/>
                <w:i w:val="0"/>
                <w:iCs w:val="0"/>
                <w:color w:val="000000"/>
                <w:sz w:val="20"/>
                <w:szCs w:val="20"/>
                <w:u w:val="none"/>
              </w:rPr>
            </w:pP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D51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7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22C2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降低药品收费、减轻患者负担、缓解病难、看病贵</w:t>
            </w:r>
          </w:p>
        </w:tc>
        <w:tc>
          <w:tcPr>
            <w:tcW w:w="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236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D29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E59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92F2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075710">
            <w:pPr>
              <w:jc w:val="center"/>
              <w:rPr>
                <w:rFonts w:hint="eastAsia" w:ascii="宋体" w:hAnsi="宋体" w:eastAsia="宋体" w:cs="宋体"/>
                <w:i w:val="0"/>
                <w:iCs w:val="0"/>
                <w:color w:val="000000"/>
                <w:sz w:val="20"/>
                <w:szCs w:val="20"/>
                <w:u w:val="none"/>
              </w:rPr>
            </w:pPr>
          </w:p>
        </w:tc>
      </w:tr>
      <w:tr w14:paraId="08AE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BA97B71">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DA477">
            <w:pPr>
              <w:jc w:val="center"/>
              <w:rPr>
                <w:rFonts w:hint="eastAsia" w:ascii="宋体" w:hAnsi="宋体" w:eastAsia="宋体" w:cs="宋体"/>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1A111">
            <w:pPr>
              <w:jc w:val="center"/>
              <w:rPr>
                <w:rFonts w:hint="eastAsia" w:ascii="宋体" w:hAnsi="宋体" w:eastAsia="宋体" w:cs="宋体"/>
                <w:i w:val="0"/>
                <w:iCs w:val="0"/>
                <w:color w:val="000000"/>
                <w:sz w:val="20"/>
                <w:szCs w:val="20"/>
                <w:u w:val="none"/>
              </w:rPr>
            </w:pPr>
          </w:p>
        </w:tc>
        <w:tc>
          <w:tcPr>
            <w:tcW w:w="17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92928">
            <w:pPr>
              <w:jc w:val="center"/>
              <w:rPr>
                <w:rFonts w:hint="eastAsia" w:ascii="宋体" w:hAnsi="宋体" w:eastAsia="宋体" w:cs="宋体"/>
                <w:i w:val="0"/>
                <w:iCs w:val="0"/>
                <w:color w:val="000000"/>
                <w:sz w:val="20"/>
                <w:szCs w:val="20"/>
                <w:u w:val="none"/>
              </w:rPr>
            </w:pPr>
          </w:p>
        </w:tc>
        <w:tc>
          <w:tcPr>
            <w:tcW w:w="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88313">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906C9E">
            <w:pPr>
              <w:jc w:val="center"/>
              <w:rPr>
                <w:rFonts w:hint="eastAsia" w:ascii="宋体" w:hAnsi="宋体" w:eastAsia="宋体" w:cs="宋体"/>
                <w:i w:val="0"/>
                <w:iCs w:val="0"/>
                <w:color w:val="000000"/>
                <w:sz w:val="20"/>
                <w:szCs w:val="20"/>
                <w:u w:val="none"/>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5A7AA">
            <w:pPr>
              <w:jc w:val="center"/>
              <w:rPr>
                <w:rFonts w:hint="eastAsia" w:ascii="宋体" w:hAnsi="宋体" w:eastAsia="宋体" w:cs="宋体"/>
                <w:i w:val="0"/>
                <w:iCs w:val="0"/>
                <w:color w:val="000000"/>
                <w:sz w:val="20"/>
                <w:szCs w:val="20"/>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58044">
            <w:pPr>
              <w:jc w:val="center"/>
              <w:rPr>
                <w:rFonts w:hint="eastAsia" w:ascii="宋体" w:hAnsi="宋体" w:eastAsia="宋体" w:cs="宋体"/>
                <w:i w:val="0"/>
                <w:iCs w:val="0"/>
                <w:color w:val="000000"/>
                <w:sz w:val="20"/>
                <w:szCs w:val="20"/>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104AA">
            <w:pPr>
              <w:jc w:val="center"/>
              <w:rPr>
                <w:rFonts w:hint="eastAsia" w:ascii="宋体" w:hAnsi="宋体" w:eastAsia="宋体" w:cs="宋体"/>
                <w:i w:val="0"/>
                <w:iCs w:val="0"/>
                <w:color w:val="000000"/>
                <w:sz w:val="20"/>
                <w:szCs w:val="20"/>
                <w:u w:val="none"/>
              </w:rPr>
            </w:pPr>
          </w:p>
        </w:tc>
      </w:tr>
      <w:tr w14:paraId="27D8D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793E67D">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5D78F">
            <w:pPr>
              <w:jc w:val="center"/>
              <w:rPr>
                <w:rFonts w:hint="eastAsia" w:ascii="宋体" w:hAnsi="宋体" w:eastAsia="宋体" w:cs="宋体"/>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105B1">
            <w:pPr>
              <w:jc w:val="center"/>
              <w:rPr>
                <w:rFonts w:hint="eastAsia" w:ascii="宋体" w:hAnsi="宋体" w:eastAsia="宋体" w:cs="宋体"/>
                <w:i w:val="0"/>
                <w:iCs w:val="0"/>
                <w:color w:val="000000"/>
                <w:sz w:val="20"/>
                <w:szCs w:val="20"/>
                <w:u w:val="none"/>
              </w:rPr>
            </w:pPr>
          </w:p>
        </w:tc>
        <w:tc>
          <w:tcPr>
            <w:tcW w:w="17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185AD">
            <w:pPr>
              <w:jc w:val="center"/>
              <w:rPr>
                <w:rFonts w:hint="eastAsia" w:ascii="宋体" w:hAnsi="宋体" w:eastAsia="宋体" w:cs="宋体"/>
                <w:i w:val="0"/>
                <w:iCs w:val="0"/>
                <w:color w:val="000000"/>
                <w:sz w:val="20"/>
                <w:szCs w:val="20"/>
                <w:u w:val="none"/>
              </w:rPr>
            </w:pPr>
          </w:p>
        </w:tc>
        <w:tc>
          <w:tcPr>
            <w:tcW w:w="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A6C87">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CA99E">
            <w:pPr>
              <w:jc w:val="center"/>
              <w:rPr>
                <w:rFonts w:hint="eastAsia" w:ascii="宋体" w:hAnsi="宋体" w:eastAsia="宋体" w:cs="宋体"/>
                <w:i w:val="0"/>
                <w:iCs w:val="0"/>
                <w:color w:val="000000"/>
                <w:sz w:val="20"/>
                <w:szCs w:val="20"/>
                <w:u w:val="none"/>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A5379">
            <w:pPr>
              <w:jc w:val="center"/>
              <w:rPr>
                <w:rFonts w:hint="eastAsia" w:ascii="宋体" w:hAnsi="宋体" w:eastAsia="宋体" w:cs="宋体"/>
                <w:i w:val="0"/>
                <w:iCs w:val="0"/>
                <w:color w:val="000000"/>
                <w:sz w:val="20"/>
                <w:szCs w:val="20"/>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F3CC5">
            <w:pPr>
              <w:jc w:val="center"/>
              <w:rPr>
                <w:rFonts w:hint="eastAsia" w:ascii="宋体" w:hAnsi="宋体" w:eastAsia="宋体" w:cs="宋体"/>
                <w:i w:val="0"/>
                <w:iCs w:val="0"/>
                <w:color w:val="000000"/>
                <w:sz w:val="20"/>
                <w:szCs w:val="20"/>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47EED">
            <w:pPr>
              <w:jc w:val="center"/>
              <w:rPr>
                <w:rFonts w:hint="eastAsia" w:ascii="宋体" w:hAnsi="宋体" w:eastAsia="宋体" w:cs="宋体"/>
                <w:i w:val="0"/>
                <w:iCs w:val="0"/>
                <w:color w:val="000000"/>
                <w:sz w:val="20"/>
                <w:szCs w:val="20"/>
                <w:u w:val="none"/>
              </w:rPr>
            </w:pPr>
          </w:p>
        </w:tc>
      </w:tr>
      <w:tr w14:paraId="0D539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13980C94">
            <w:pPr>
              <w:jc w:val="center"/>
              <w:rPr>
                <w:rFonts w:hint="eastAsia" w:ascii="宋体" w:hAnsi="宋体" w:eastAsia="宋体" w:cs="宋体"/>
                <w:i w:val="0"/>
                <w:iCs w:val="0"/>
                <w:color w:val="000000"/>
                <w:sz w:val="20"/>
                <w:szCs w:val="20"/>
                <w:u w:val="none"/>
              </w:rPr>
            </w:pPr>
          </w:p>
        </w:tc>
        <w:tc>
          <w:tcPr>
            <w:tcW w:w="11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15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10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08CA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17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8B69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门诊及住院患者满意度</w:t>
            </w:r>
          </w:p>
        </w:tc>
        <w:tc>
          <w:tcPr>
            <w:tcW w:w="4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F308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7AD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76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E12E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9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9C25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4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9A018B">
            <w:pPr>
              <w:jc w:val="center"/>
              <w:rPr>
                <w:rFonts w:hint="eastAsia" w:ascii="宋体" w:hAnsi="宋体" w:eastAsia="宋体" w:cs="宋体"/>
                <w:i w:val="0"/>
                <w:iCs w:val="0"/>
                <w:color w:val="000000"/>
                <w:sz w:val="20"/>
                <w:szCs w:val="20"/>
                <w:u w:val="none"/>
              </w:rPr>
            </w:pPr>
          </w:p>
        </w:tc>
      </w:tr>
      <w:tr w14:paraId="433A0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EFD200E">
            <w:pPr>
              <w:jc w:val="center"/>
              <w:rPr>
                <w:rFonts w:hint="eastAsia" w:ascii="宋体" w:hAnsi="宋体" w:eastAsia="宋体" w:cs="宋体"/>
                <w:i w:val="0"/>
                <w:iCs w:val="0"/>
                <w:color w:val="000000"/>
                <w:sz w:val="20"/>
                <w:szCs w:val="20"/>
                <w:u w:val="none"/>
              </w:rPr>
            </w:pPr>
          </w:p>
        </w:tc>
        <w:tc>
          <w:tcPr>
            <w:tcW w:w="11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E3962">
            <w:pPr>
              <w:jc w:val="center"/>
              <w:rPr>
                <w:rFonts w:hint="eastAsia" w:ascii="宋体" w:hAnsi="宋体" w:eastAsia="宋体" w:cs="宋体"/>
                <w:i w:val="0"/>
                <w:iCs w:val="0"/>
                <w:color w:val="000000"/>
                <w:sz w:val="20"/>
                <w:szCs w:val="20"/>
                <w:u w:val="none"/>
              </w:rPr>
            </w:pPr>
          </w:p>
        </w:tc>
        <w:tc>
          <w:tcPr>
            <w:tcW w:w="10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F43C">
            <w:pPr>
              <w:jc w:val="center"/>
              <w:rPr>
                <w:rFonts w:hint="eastAsia" w:ascii="宋体" w:hAnsi="宋体" w:eastAsia="宋体" w:cs="宋体"/>
                <w:i w:val="0"/>
                <w:iCs w:val="0"/>
                <w:color w:val="000000"/>
                <w:sz w:val="20"/>
                <w:szCs w:val="20"/>
                <w:u w:val="none"/>
              </w:rPr>
            </w:pPr>
          </w:p>
        </w:tc>
        <w:tc>
          <w:tcPr>
            <w:tcW w:w="17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B43E7">
            <w:pPr>
              <w:jc w:val="center"/>
              <w:rPr>
                <w:rFonts w:hint="eastAsia" w:ascii="宋体" w:hAnsi="宋体" w:eastAsia="宋体" w:cs="宋体"/>
                <w:i w:val="0"/>
                <w:iCs w:val="0"/>
                <w:color w:val="000000"/>
                <w:sz w:val="20"/>
                <w:szCs w:val="20"/>
                <w:u w:val="none"/>
              </w:rPr>
            </w:pPr>
          </w:p>
        </w:tc>
        <w:tc>
          <w:tcPr>
            <w:tcW w:w="4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6D24E">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03572">
            <w:pPr>
              <w:jc w:val="center"/>
              <w:rPr>
                <w:rFonts w:hint="eastAsia" w:ascii="宋体" w:hAnsi="宋体" w:eastAsia="宋体" w:cs="宋体"/>
                <w:i w:val="0"/>
                <w:iCs w:val="0"/>
                <w:color w:val="000000"/>
                <w:sz w:val="20"/>
                <w:szCs w:val="20"/>
                <w:u w:val="none"/>
              </w:rPr>
            </w:pPr>
          </w:p>
        </w:tc>
        <w:tc>
          <w:tcPr>
            <w:tcW w:w="76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8257A">
            <w:pPr>
              <w:jc w:val="center"/>
              <w:rPr>
                <w:rFonts w:hint="eastAsia" w:ascii="宋体" w:hAnsi="宋体" w:eastAsia="宋体" w:cs="宋体"/>
                <w:i w:val="0"/>
                <w:iCs w:val="0"/>
                <w:color w:val="000000"/>
                <w:sz w:val="20"/>
                <w:szCs w:val="20"/>
                <w:u w:val="none"/>
              </w:rPr>
            </w:pPr>
          </w:p>
        </w:tc>
        <w:tc>
          <w:tcPr>
            <w:tcW w:w="9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E9218">
            <w:pPr>
              <w:jc w:val="center"/>
              <w:rPr>
                <w:rFonts w:hint="eastAsia" w:ascii="宋体" w:hAnsi="宋体" w:eastAsia="宋体" w:cs="宋体"/>
                <w:i w:val="0"/>
                <w:iCs w:val="0"/>
                <w:color w:val="000000"/>
                <w:sz w:val="20"/>
                <w:szCs w:val="20"/>
                <w:u w:val="none"/>
              </w:rPr>
            </w:pPr>
          </w:p>
        </w:tc>
        <w:tc>
          <w:tcPr>
            <w:tcW w:w="164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E5736">
            <w:pPr>
              <w:jc w:val="center"/>
              <w:rPr>
                <w:rFonts w:hint="eastAsia" w:ascii="宋体" w:hAnsi="宋体" w:eastAsia="宋体" w:cs="宋体"/>
                <w:i w:val="0"/>
                <w:iCs w:val="0"/>
                <w:color w:val="000000"/>
                <w:sz w:val="20"/>
                <w:szCs w:val="20"/>
                <w:u w:val="none"/>
              </w:rPr>
            </w:pPr>
          </w:p>
        </w:tc>
      </w:tr>
      <w:tr w14:paraId="0A6AF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449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235E926">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D2C8">
            <w:pPr>
              <w:keepNext w:val="0"/>
              <w:keepLines w:val="0"/>
              <w:widowControl/>
              <w:suppressLineNumbers w:val="0"/>
              <w:jc w:val="center"/>
              <w:textAlignment w:val="center"/>
              <w:rPr>
                <w:rFonts w:hint="default" w:ascii="宋体" w:hAnsi="宋体" w:eastAsia="宋体" w:cs="宋体"/>
                <w:b/>
                <w:bCs/>
                <w:i w:val="0"/>
                <w:iCs w:val="0"/>
                <w:color w:val="000000"/>
                <w:sz w:val="20"/>
                <w:szCs w:val="20"/>
                <w:u w:val="none"/>
                <w:lang w:val="en-US"/>
              </w:rPr>
            </w:pPr>
            <w:r>
              <w:rPr>
                <w:rFonts w:hint="eastAsia" w:ascii="宋体" w:hAnsi="宋体" w:eastAsia="宋体" w:cs="宋体"/>
                <w:b/>
                <w:bCs/>
                <w:i w:val="0"/>
                <w:iCs w:val="0"/>
                <w:color w:val="000000"/>
                <w:kern w:val="0"/>
                <w:sz w:val="20"/>
                <w:szCs w:val="20"/>
                <w:u w:val="none"/>
                <w:lang w:val="en-US" w:eastAsia="zh-CN" w:bidi="ar"/>
              </w:rPr>
              <w:t>100</w:t>
            </w:r>
          </w:p>
        </w:tc>
        <w:tc>
          <w:tcPr>
            <w:tcW w:w="209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E3C375">
            <w:pPr>
              <w:jc w:val="center"/>
              <w:rPr>
                <w:rFonts w:hint="eastAsia" w:ascii="宋体" w:hAnsi="宋体" w:eastAsia="宋体" w:cs="宋体"/>
                <w:b/>
                <w:bCs/>
                <w:i w:val="0"/>
                <w:iCs w:val="0"/>
                <w:color w:val="000000"/>
                <w:sz w:val="20"/>
                <w:szCs w:val="20"/>
                <w:u w:val="none"/>
              </w:rPr>
            </w:pPr>
          </w:p>
        </w:tc>
        <w:tc>
          <w:tcPr>
            <w:tcW w:w="9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965A">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94</w:t>
            </w:r>
          </w:p>
        </w:tc>
        <w:tc>
          <w:tcPr>
            <w:tcW w:w="164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58983B">
            <w:pPr>
              <w:jc w:val="center"/>
              <w:rPr>
                <w:rFonts w:hint="eastAsia" w:ascii="宋体" w:hAnsi="宋体" w:eastAsia="宋体" w:cs="宋体"/>
                <w:i w:val="0"/>
                <w:iCs w:val="0"/>
                <w:color w:val="000000"/>
                <w:sz w:val="20"/>
                <w:szCs w:val="20"/>
                <w:u w:val="none"/>
              </w:rPr>
            </w:pPr>
          </w:p>
        </w:tc>
      </w:tr>
      <w:tr w14:paraId="4D145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9626" w:type="dxa"/>
            <w:gridSpan w:val="11"/>
            <w:tcBorders>
              <w:top w:val="single" w:color="000000" w:sz="4" w:space="0"/>
              <w:left w:val="nil"/>
              <w:bottom w:val="nil"/>
              <w:right w:val="nil"/>
            </w:tcBorders>
            <w:shd w:val="clear" w:color="auto" w:fill="auto"/>
            <w:vAlign w:val="center"/>
          </w:tcPr>
          <w:p w14:paraId="659C408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0"/>
                <w:lang w:val="en-US" w:eastAsia="zh-CN" w:bidi="ar"/>
              </w:rPr>
              <w:t>注：1</w:t>
            </w:r>
            <w:r>
              <w:rPr>
                <w:rStyle w:val="41"/>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4FFAB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9626" w:type="dxa"/>
            <w:gridSpan w:val="11"/>
            <w:tcBorders>
              <w:top w:val="nil"/>
              <w:left w:val="nil"/>
              <w:bottom w:val="nil"/>
              <w:right w:val="nil"/>
            </w:tcBorders>
            <w:shd w:val="clear" w:color="auto" w:fill="auto"/>
            <w:vAlign w:val="center"/>
          </w:tcPr>
          <w:p w14:paraId="630A4DE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7F8F4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9626" w:type="dxa"/>
            <w:gridSpan w:val="11"/>
            <w:tcBorders>
              <w:top w:val="nil"/>
              <w:left w:val="nil"/>
              <w:bottom w:val="nil"/>
              <w:right w:val="nil"/>
            </w:tcBorders>
            <w:shd w:val="clear" w:color="auto" w:fill="auto"/>
            <w:vAlign w:val="center"/>
          </w:tcPr>
          <w:p w14:paraId="0CF8D74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0"/>
                <w:lang w:val="en-US" w:eastAsia="zh-CN" w:bidi="ar"/>
              </w:rPr>
              <w:t xml:space="preserve">    3.定量指标若为正向指标（即指标值为</w:t>
            </w:r>
            <w:r>
              <w:rPr>
                <w:rStyle w:val="42"/>
                <w:lang w:val="en-US" w:eastAsia="zh-CN" w:bidi="ar"/>
              </w:rPr>
              <w:t>≥*），则得分计算方法应用全年实际值/年度指标值</w:t>
            </w:r>
            <w:r>
              <w:rPr>
                <w:rStyle w:val="43"/>
                <w:lang w:val="en-US" w:eastAsia="zh-CN" w:bidi="ar"/>
              </w:rPr>
              <w:t>╳</w:t>
            </w:r>
            <w:r>
              <w:rPr>
                <w:rStyle w:val="42"/>
                <w:lang w:val="en-US" w:eastAsia="zh-CN" w:bidi="ar"/>
              </w:rPr>
              <w:t>该指标分值；若定量指标为反向指标（即指标值为≤*），则得分计算方法应用年度指标值/全年实际值</w:t>
            </w:r>
            <w:r>
              <w:rPr>
                <w:rStyle w:val="43"/>
                <w:lang w:val="en-US" w:eastAsia="zh-CN" w:bidi="ar"/>
              </w:rPr>
              <w:t>╳</w:t>
            </w:r>
            <w:r>
              <w:rPr>
                <w:rStyle w:val="42"/>
                <w:lang w:val="en-US" w:eastAsia="zh-CN" w:bidi="ar"/>
              </w:rPr>
              <w:t>该指标分值；定量指标得分最高不得超过该指标分值上限。</w:t>
            </w:r>
          </w:p>
        </w:tc>
      </w:tr>
    </w:tbl>
    <w:p w14:paraId="716151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15FC2E7">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0" w:name="_Toc15377225"/>
      <w:bookmarkStart w:id="71" w:name="_Toc15396613"/>
    </w:p>
    <w:p w14:paraId="71766EBE">
      <w:pPr>
        <w:numPr>
          <w:ilvl w:val="0"/>
          <w:numId w:val="0"/>
        </w:numPr>
        <w:spacing w:line="600" w:lineRule="exact"/>
        <w:jc w:val="center"/>
        <w:outlineLvl w:val="0"/>
        <w:rPr>
          <w:rFonts w:hint="eastAsia" w:ascii="Times New Roman" w:hAnsi="Times New Roman" w:eastAsia="黑体"/>
          <w:color w:val="auto"/>
          <w:sz w:val="44"/>
          <w:szCs w:val="44"/>
          <w:highlight w:val="none"/>
        </w:rPr>
      </w:pPr>
    </w:p>
    <w:p w14:paraId="48D568D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72" w:name="_Toc1572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0"/>
      <w:bookmarkEnd w:id="71"/>
      <w:bookmarkEnd w:id="72"/>
    </w:p>
    <w:p w14:paraId="4FA1BABF">
      <w:pPr>
        <w:spacing w:line="600" w:lineRule="exact"/>
        <w:jc w:val="left"/>
        <w:rPr>
          <w:rFonts w:ascii="Times New Roman" w:hAnsi="Times New Roman"/>
          <w:b/>
          <w:color w:val="auto"/>
          <w:sz w:val="44"/>
          <w:szCs w:val="44"/>
          <w:highlight w:val="none"/>
        </w:rPr>
      </w:pPr>
    </w:p>
    <w:p w14:paraId="6D7DA7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22CD2601">
      <w:pPr>
        <w:pStyle w:val="26"/>
        <w:spacing w:line="560" w:lineRule="exact"/>
        <w:ind w:firstLine="640" w:firstLineChars="200"/>
        <w:rPr>
          <w:rFonts w:hint="eastAsia"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2.事业收入：</w:t>
      </w:r>
      <w:r>
        <w:rPr>
          <w:rFonts w:hint="eastAsia" w:ascii="仿宋_GB2312" w:eastAsia="仿宋_GB2312"/>
          <w:color w:val="auto"/>
          <w:sz w:val="32"/>
          <w:szCs w:val="32"/>
          <w:highlight w:val="none"/>
        </w:rPr>
        <w:t>指事业单位在专业业务活动及其辅助活动之外开展非独立核算经营活动取得的收入。</w:t>
      </w:r>
    </w:p>
    <w:p w14:paraId="7161EA13">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4.</w:t>
      </w:r>
      <w:r>
        <w:rPr>
          <w:rFonts w:hint="eastAsia" w:ascii="仿宋_GB2312" w:eastAsia="仿宋_GB2312"/>
          <w:color w:val="auto"/>
          <w:sz w:val="32"/>
          <w:szCs w:val="32"/>
          <w:highlight w:val="none"/>
        </w:rPr>
        <w:t>其他收入：指单位取得的除上述收入以外的各项收入。</w:t>
      </w:r>
      <w:r>
        <w:rPr>
          <w:rFonts w:ascii="仿宋_GB2312" w:eastAsia="仿宋_GB2312"/>
          <w:color w:val="auto"/>
          <w:sz w:val="32"/>
          <w:szCs w:val="32"/>
          <w:highlight w:val="none"/>
        </w:rPr>
        <w:t xml:space="preserve"> </w:t>
      </w:r>
    </w:p>
    <w:p w14:paraId="2204279B">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5.</w:t>
      </w:r>
      <w:r>
        <w:rPr>
          <w:rFonts w:hint="eastAsia" w:ascii="仿宋_GB2312" w:hAnsi="华文中宋" w:eastAsia="仿宋_GB2312"/>
          <w:sz w:val="32"/>
          <w:szCs w:val="32"/>
          <w:u w:val="none"/>
          <w:lang w:eastAsia="zh-CN"/>
        </w:rPr>
        <w:t>使用非财政拨款结余（含专用结余）</w:t>
      </w:r>
      <w:r>
        <w:rPr>
          <w:rFonts w:hint="eastAsia" w:ascii="仿宋_GB2312" w:eastAsia="仿宋_GB2312"/>
          <w:color w:val="auto"/>
          <w:sz w:val="32"/>
          <w:szCs w:val="32"/>
          <w:highlight w:val="none"/>
        </w:rPr>
        <w:t>：指事业单位</w:t>
      </w:r>
      <w:r>
        <w:rPr>
          <w:rFonts w:hint="eastAsia" w:ascii="仿宋_GB2312" w:eastAsia="仿宋_GB2312"/>
          <w:color w:val="auto"/>
          <w:sz w:val="32"/>
          <w:szCs w:val="32"/>
          <w:highlight w:val="none"/>
          <w:lang w:eastAsia="zh-CN"/>
        </w:rPr>
        <w:t>使用以前年度积累的非财政拨款结余弥补当年收支差额的金额。</w:t>
      </w:r>
      <w:r>
        <w:rPr>
          <w:rFonts w:ascii="仿宋_GB2312" w:eastAsia="仿宋_GB2312"/>
          <w:color w:val="auto"/>
          <w:sz w:val="32"/>
          <w:szCs w:val="32"/>
          <w:highlight w:val="none"/>
        </w:rPr>
        <w:t xml:space="preserve"> </w:t>
      </w:r>
    </w:p>
    <w:p w14:paraId="17F5939F">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6.</w:t>
      </w:r>
      <w:r>
        <w:rPr>
          <w:rFonts w:hint="eastAsia" w:ascii="仿宋_GB2312" w:eastAsia="仿宋_GB2312"/>
          <w:color w:val="auto"/>
          <w:sz w:val="32"/>
          <w:szCs w:val="32"/>
          <w:highlight w:val="none"/>
        </w:rPr>
        <w:t>年初结转和结余：指以前年度尚未完成、结转到本年按有关规定继续使用的资金。</w:t>
      </w:r>
      <w:r>
        <w:rPr>
          <w:rFonts w:ascii="仿宋_GB2312" w:eastAsia="仿宋_GB2312"/>
          <w:color w:val="auto"/>
          <w:sz w:val="32"/>
          <w:szCs w:val="32"/>
          <w:highlight w:val="none"/>
        </w:rPr>
        <w:t xml:space="preserve"> </w:t>
      </w:r>
    </w:p>
    <w:p w14:paraId="7DDB27C3">
      <w:pPr>
        <w:pStyle w:val="26"/>
        <w:spacing w:line="560" w:lineRule="exact"/>
        <w:ind w:firstLine="640" w:firstLineChars="200"/>
        <w:rPr>
          <w:rFonts w:ascii="仿宋_GB2312" w:eastAsia="仿宋_GB2312"/>
          <w:color w:val="auto"/>
          <w:sz w:val="32"/>
          <w:szCs w:val="32"/>
          <w:highlight w:val="none"/>
        </w:rPr>
      </w:pPr>
      <w:r>
        <w:rPr>
          <w:rFonts w:ascii="仿宋_GB2312" w:eastAsia="仿宋_GB2312"/>
          <w:color w:val="auto"/>
          <w:sz w:val="32"/>
          <w:szCs w:val="32"/>
          <w:highlight w:val="none"/>
        </w:rPr>
        <w:t>7.</w:t>
      </w:r>
      <w:r>
        <w:rPr>
          <w:rFonts w:hint="eastAsia" w:ascii="仿宋_GB2312" w:eastAsia="仿宋_GB2312"/>
          <w:color w:val="auto"/>
          <w:sz w:val="32"/>
          <w:szCs w:val="32"/>
          <w:highlight w:val="none"/>
        </w:rPr>
        <w:t>结余分配：指事业单位按照会计制度规定</w:t>
      </w:r>
      <w:r>
        <w:rPr>
          <w:rFonts w:hint="eastAsia" w:ascii="仿宋_GB2312" w:eastAsia="仿宋_GB2312"/>
          <w:color w:val="auto"/>
          <w:sz w:val="32"/>
          <w:szCs w:val="32"/>
          <w:highlight w:val="none"/>
          <w:lang w:eastAsia="zh-CN"/>
        </w:rPr>
        <w:t>缴纳的所得税、提取的专用结余以及转入非财政拨款结余的金额</w:t>
      </w:r>
      <w:r>
        <w:rPr>
          <w:rFonts w:hint="eastAsia" w:ascii="仿宋_GB2312" w:eastAsia="仿宋_GB2312"/>
          <w:color w:val="auto"/>
          <w:sz w:val="32"/>
          <w:szCs w:val="32"/>
          <w:highlight w:val="none"/>
        </w:rPr>
        <w:t>等。</w:t>
      </w:r>
    </w:p>
    <w:p w14:paraId="417AEE91">
      <w:pPr>
        <w:pStyle w:val="26"/>
        <w:spacing w:line="56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ascii="仿宋_GB2312" w:eastAsia="仿宋_GB2312"/>
          <w:color w:val="auto"/>
          <w:sz w:val="32"/>
          <w:szCs w:val="32"/>
          <w:highlight w:val="none"/>
        </w:rPr>
        <w:t>8</w:t>
      </w:r>
      <w:r>
        <w:rPr>
          <w:rFonts w:hint="eastAsia" w:ascii="仿宋_GB2312" w:eastAsia="仿宋_GB2312"/>
          <w:color w:val="auto"/>
          <w:sz w:val="32"/>
          <w:szCs w:val="32"/>
          <w:highlight w:val="none"/>
          <w:lang w:val="en-US" w:eastAsia="zh-CN"/>
        </w:rPr>
        <w:t>.</w:t>
      </w:r>
      <w:r>
        <w:rPr>
          <w:rFonts w:hint="eastAsia" w:ascii="仿宋_GB2312" w:eastAsia="仿宋_GB2312"/>
          <w:color w:val="auto"/>
          <w:sz w:val="32"/>
          <w:szCs w:val="32"/>
          <w:highlight w:val="none"/>
        </w:rPr>
        <w:t>年末结转和结余：指单位按有关规定结转到下年或以后年度继续使用的资金。</w:t>
      </w:r>
    </w:p>
    <w:p w14:paraId="4A82DB4E">
      <w:pPr>
        <w:ind w:firstLine="640" w:firstLineChars="200"/>
        <w:rPr>
          <w:rFonts w:hint="eastAsia" w:ascii="仿宋_GB2312" w:eastAsia="仿宋_GB2312"/>
          <w:color w:val="auto"/>
          <w:sz w:val="32"/>
          <w:szCs w:val="32"/>
          <w:highlight w:val="none"/>
        </w:rPr>
      </w:pPr>
      <w:r>
        <w:rPr>
          <w:rFonts w:hint="eastAsia" w:ascii="Times New Roman" w:hAnsi="Times New Roman" w:eastAsia="仿宋_GB2312" w:cs="仿宋_GB2312"/>
          <w:color w:val="auto"/>
          <w:kern w:val="2"/>
          <w:sz w:val="32"/>
          <w:szCs w:val="32"/>
          <w:highlight w:val="none"/>
          <w:lang w:val="en-US" w:eastAsia="zh-CN" w:bidi="ar-SA"/>
        </w:rPr>
        <w:t>9.</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社会保障和就业支出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行政事业单位养老支出</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机关事业单位基本养老保险缴费支出</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2080505</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：指机关事业单位实施养老保险制度由单位缴纳的基本养老保险费支出。</w:t>
      </w:r>
    </w:p>
    <w:p w14:paraId="372DE334">
      <w:pPr>
        <w:ind w:firstLine="640" w:firstLineChars="200"/>
      </w:pPr>
      <w:r>
        <w:rPr>
          <w:rFonts w:hint="eastAsia" w:ascii="仿宋_GB2312" w:eastAsia="仿宋_GB2312"/>
          <w:color w:val="auto"/>
          <w:sz w:val="32"/>
          <w:szCs w:val="32"/>
          <w:highlight w:val="none"/>
        </w:rPr>
        <w:t>（2）社会保障和就业</w:t>
      </w:r>
      <w:r>
        <w:rPr>
          <w:rFonts w:hint="eastAsia" w:ascii="仿宋_GB2312" w:eastAsia="仿宋_GB2312"/>
          <w:color w:val="auto"/>
          <w:sz w:val="32"/>
          <w:szCs w:val="32"/>
          <w:highlight w:val="none"/>
          <w:lang w:val="en-US" w:eastAsia="zh-CN"/>
        </w:rPr>
        <w:t>支出</w:t>
      </w:r>
      <w:r>
        <w:rPr>
          <w:rFonts w:hint="eastAsia" w:ascii="仿宋_GB2312" w:eastAsia="仿宋_GB2312"/>
          <w:color w:val="auto"/>
          <w:sz w:val="32"/>
          <w:szCs w:val="32"/>
          <w:highlight w:val="none"/>
        </w:rPr>
        <w:t>（类）行政事业单位养老支出（款）机关事业单位职业年金缴费支出（项）（2080506）：指机关事业单位实施养老保险制度由单位实际缴纳的职业年金支出。</w:t>
      </w:r>
    </w:p>
    <w:p w14:paraId="126E1046">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10.</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卫生健康管理事务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其他卫生健康管理事务支出</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2100199</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：指除事业单位医疗、基本医疗保险基金、医疗救助、优抚对象医疗等以外其他用于医疗卫生与计划生育方面的支出。</w:t>
      </w:r>
    </w:p>
    <w:p w14:paraId="7BD6024B">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中医（民族）医院</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2100202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：指卫生健康方面的支出。</w:t>
      </w:r>
    </w:p>
    <w:p w14:paraId="6306DDEA">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公立医院</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其他公立医院支出</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2100299</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：指卫生健康方面的支出。</w:t>
      </w:r>
    </w:p>
    <w:p w14:paraId="75AEAF80">
      <w:pPr>
        <w:keepNext w:val="0"/>
        <w:keepLines w:val="0"/>
        <w:pageBreakBefore w:val="0"/>
        <w:widowControl w:val="0"/>
        <w:kinsoku/>
        <w:wordWrap/>
        <w:overflowPunct/>
        <w:topLinePunct w:val="0"/>
        <w:autoSpaceDE/>
        <w:autoSpaceDN/>
        <w:bidi w:val="0"/>
        <w:adjustRightInd/>
        <w:snapToGrid/>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行政事业单位医疗</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事业单位医疗</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2101102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：指财政部门安排的事业单位基本医疗保险缴费经费，未参加医疗保险的事业单位的公费医疗经费，按国家规定享受离退休人员待遇的医疗经费。</w:t>
      </w:r>
    </w:p>
    <w:p w14:paraId="3FE0574E">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行政事业单位医疗</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其他行政事业单位医疗支出</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2101199</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：指其他用于行政事业单位医疗方面的支出。</w:t>
      </w:r>
    </w:p>
    <w:p w14:paraId="6AE82139">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6</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卫生健康支出</w:t>
      </w:r>
      <w:r>
        <w:rPr>
          <w:rFonts w:hint="eastAsia" w:ascii="仿宋_GB2312" w:eastAsia="仿宋_GB2312"/>
          <w:color w:val="auto"/>
          <w:sz w:val="32"/>
          <w:szCs w:val="32"/>
          <w:highlight w:val="none"/>
        </w:rPr>
        <w:t>（类）</w:t>
      </w:r>
      <w:r>
        <w:rPr>
          <w:rFonts w:hint="eastAsia" w:ascii="仿宋_GB2312" w:eastAsia="仿宋_GB2312"/>
          <w:color w:val="auto"/>
          <w:sz w:val="32"/>
          <w:szCs w:val="32"/>
          <w:highlight w:val="none"/>
          <w:lang w:val="en-US" w:eastAsia="zh-CN"/>
        </w:rPr>
        <w:t>中医药事务</w:t>
      </w:r>
      <w:r>
        <w:rPr>
          <w:rFonts w:hint="eastAsia" w:ascii="仿宋_GB2312" w:eastAsia="仿宋_GB2312"/>
          <w:color w:val="auto"/>
          <w:sz w:val="32"/>
          <w:szCs w:val="32"/>
          <w:highlight w:val="none"/>
        </w:rPr>
        <w:t>（款）</w:t>
      </w:r>
      <w:r>
        <w:rPr>
          <w:rFonts w:hint="eastAsia" w:ascii="仿宋_GB2312" w:eastAsia="仿宋_GB2312"/>
          <w:color w:val="auto"/>
          <w:sz w:val="32"/>
          <w:szCs w:val="32"/>
          <w:highlight w:val="none"/>
          <w:lang w:val="en-US" w:eastAsia="zh-CN"/>
        </w:rPr>
        <w:t>中医（民族医）药专项</w:t>
      </w:r>
      <w:r>
        <w:rPr>
          <w:rFonts w:hint="eastAsia" w:ascii="仿宋_GB2312" w:eastAsia="仿宋_GB2312"/>
          <w:color w:val="auto"/>
          <w:sz w:val="32"/>
          <w:szCs w:val="32"/>
          <w:highlight w:val="none"/>
        </w:rPr>
        <w:t>（项）</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2101704</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：指医疗服务与保障能力提升补助资金。</w:t>
      </w:r>
    </w:p>
    <w:p w14:paraId="421514A3">
      <w:pPr>
        <w:ind w:firstLine="640" w:firstLineChars="200"/>
        <w:rPr>
          <w:rFonts w:hint="eastAsia" w:ascii="仿宋_GB2312" w:eastAsia="仿宋_GB2312"/>
          <w:color w:val="auto"/>
          <w:sz w:val="32"/>
          <w:szCs w:val="32"/>
          <w:highlight w:val="none"/>
        </w:rPr>
      </w:pPr>
      <w:r>
        <w:rPr>
          <w:rFonts w:ascii="仿宋_GB2312" w:eastAsia="仿宋_GB2312"/>
          <w:color w:val="auto"/>
          <w:sz w:val="32"/>
          <w:szCs w:val="32"/>
          <w:highlight w:val="none"/>
        </w:rPr>
        <w:t>11.</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住房保障支出（类）住房改革支出（款）住房公积金（项）（2210201）：指行政事业单位按人力资源和社会保障部、财政部规定的基本工资和津贴补贴以及规定比例为职工缴纳的住房公积金。</w:t>
      </w:r>
    </w:p>
    <w:p w14:paraId="16C312DA">
      <w:pPr>
        <w:pStyle w:val="5"/>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eastAsia="仿宋_GB2312"/>
          <w:lang w:val="en-US" w:eastAsia="zh-CN"/>
        </w:rPr>
      </w:pP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住房保障支出（类）住房改革支出（款）</w:t>
      </w:r>
      <w:r>
        <w:rPr>
          <w:rFonts w:hint="eastAsia" w:ascii="仿宋_GB2312" w:eastAsia="仿宋_GB2312"/>
          <w:color w:val="auto"/>
          <w:sz w:val="32"/>
          <w:szCs w:val="32"/>
          <w:highlight w:val="none"/>
          <w:lang w:val="en-US" w:eastAsia="zh-CN"/>
        </w:rPr>
        <w:t>购房补贴</w:t>
      </w:r>
      <w:r>
        <w:rPr>
          <w:rFonts w:hint="eastAsia" w:ascii="仿宋_GB2312" w:eastAsia="仿宋_GB2312"/>
          <w:color w:val="auto"/>
          <w:sz w:val="32"/>
          <w:szCs w:val="32"/>
          <w:highlight w:val="none"/>
        </w:rPr>
        <w:t>（项）（221020</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指退休人员职工住房困难补助和搬迁费。</w:t>
      </w:r>
    </w:p>
    <w:p w14:paraId="27C7272E">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12</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4ADB1ADB">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13</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p>
    <w:p w14:paraId="0EE4D133">
      <w:pPr>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14</w:t>
      </w:r>
      <w:r>
        <w:rPr>
          <w:rFonts w:ascii="仿宋_GB2312" w:eastAsia="仿宋_GB2312"/>
          <w:color w:val="auto"/>
          <w:sz w:val="32"/>
          <w:szCs w:val="32"/>
          <w:highlight w:val="none"/>
        </w:rPr>
        <w:t>.</w:t>
      </w:r>
      <w:r>
        <w:rPr>
          <w:rFonts w:hint="eastAsia" w:ascii="仿宋_GB2312" w:eastAsia="仿宋_GB2312"/>
          <w:color w:val="auto"/>
          <w:sz w:val="32"/>
          <w:szCs w:val="32"/>
          <w:highlight w:val="none"/>
        </w:rPr>
        <w:t>经营支出：指事业单位在专业业务活动及其辅助活动之外开展非独立核算经营活动发生的支出。</w:t>
      </w:r>
    </w:p>
    <w:p w14:paraId="58D924C0">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15</w:t>
      </w:r>
      <w:r>
        <w:rPr>
          <w:rFonts w:ascii="仿宋_GB2312" w:eastAsia="仿宋_GB2312"/>
          <w:color w:val="auto"/>
          <w:sz w:val="32"/>
          <w:szCs w:val="32"/>
          <w:highlight w:val="none"/>
        </w:rPr>
        <w:t>.</w:t>
      </w:r>
      <w:r>
        <w:rPr>
          <w:rFonts w:hint="eastAsia" w:ascii="仿宋_GB2312" w:eastAsia="仿宋_GB2312"/>
          <w:color w:val="auto"/>
          <w:sz w:val="32"/>
          <w:szCs w:val="32"/>
          <w:highlight w:val="none"/>
        </w:rPr>
        <w:t>“三公”经费：指</w:t>
      </w:r>
      <w:r>
        <w:rPr>
          <w:rFonts w:hint="eastAsia" w:ascii="仿宋_GB2312" w:eastAsia="仿宋_GB2312"/>
          <w:color w:val="auto"/>
          <w:sz w:val="32"/>
          <w:szCs w:val="32"/>
          <w:highlight w:val="none"/>
          <w:lang w:eastAsia="zh-CN"/>
        </w:rPr>
        <w:t>单位</w:t>
      </w:r>
      <w:r>
        <w:rPr>
          <w:rFonts w:hint="eastAsia" w:ascii="仿宋_GB2312" w:eastAsia="仿宋_GB2312"/>
          <w:color w:val="auto"/>
          <w:sz w:val="32"/>
          <w:szCs w:val="32"/>
          <w:highlight w:val="none"/>
        </w:rPr>
        <w:t>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BAA5226">
      <w:pPr>
        <w:pStyle w:val="26"/>
        <w:spacing w:line="560" w:lineRule="exact"/>
        <w:ind w:firstLine="640" w:firstLineChars="200"/>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16</w:t>
      </w:r>
      <w:r>
        <w:rPr>
          <w:rFonts w:ascii="仿宋_GB2312" w:eastAsia="仿宋_GB2312"/>
          <w:color w:val="auto"/>
          <w:sz w:val="32"/>
          <w:szCs w:val="32"/>
          <w:highlight w:val="none"/>
        </w:rPr>
        <w:t>.</w:t>
      </w:r>
      <w:r>
        <w:rPr>
          <w:rFonts w:hint="eastAsia" w:ascii="仿宋_GB2312" w:eastAsia="仿宋_GB2312"/>
          <w:color w:val="auto"/>
          <w:sz w:val="32"/>
          <w:szCs w:val="32"/>
          <w:highlight w:val="none"/>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4ABBE8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p>
    <w:p w14:paraId="1F9E8588">
      <w:pPr>
        <w:spacing w:line="600" w:lineRule="exact"/>
        <w:jc w:val="center"/>
        <w:rPr>
          <w:rStyle w:val="28"/>
          <w:rFonts w:hint="eastAsia" w:ascii="Times New Roman" w:hAnsi="Times New Roman" w:eastAsia="黑体"/>
          <w:b w:val="0"/>
          <w:color w:val="auto"/>
          <w:highlight w:val="none"/>
          <w:lang w:eastAsia="zh-CN"/>
        </w:rPr>
      </w:pPr>
      <w:bookmarkStart w:id="7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74"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74"/>
    </w:p>
    <w:p w14:paraId="52DAD158">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0FE026D7">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75" w:name="_Toc5697"/>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5"/>
    </w:p>
    <w:p w14:paraId="0B1DB16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7BF82054">
      <w:pPr>
        <w:widowControl/>
        <w:spacing w:line="560" w:lineRule="exact"/>
        <w:contextualSpacing/>
        <w:jc w:val="center"/>
        <w:rPr>
          <w:rFonts w:hint="eastAsia" w:ascii="方正小标宋_GBK" w:hAnsi="方正小标宋_GBK" w:eastAsia="方正小标宋_GBK" w:cs="方正小标宋_GBK"/>
          <w:b w:val="0"/>
          <w:bCs/>
          <w:sz w:val="44"/>
          <w:szCs w:val="44"/>
          <w:shd w:val="clear" w:color="auto" w:fill="FFFFFF"/>
          <w:lang w:val="en-US" w:eastAsia="zh-CN"/>
        </w:rPr>
      </w:pPr>
      <w:r>
        <w:rPr>
          <w:rFonts w:hint="eastAsia" w:ascii="方正小标宋_GBK" w:hAnsi="方正小标宋_GBK" w:eastAsia="方正小标宋_GBK" w:cs="方正小标宋_GBK"/>
          <w:b w:val="0"/>
          <w:bCs/>
          <w:sz w:val="44"/>
          <w:szCs w:val="44"/>
          <w:shd w:val="clear" w:color="auto" w:fill="FFFFFF"/>
          <w:lang w:eastAsia="zh-CN"/>
        </w:rPr>
        <w:t>壤塘县</w:t>
      </w:r>
      <w:r>
        <w:rPr>
          <w:rFonts w:hint="eastAsia" w:ascii="方正小标宋_GBK" w:hAnsi="方正小标宋_GBK" w:eastAsia="方正小标宋_GBK" w:cs="方正小标宋_GBK"/>
          <w:b w:val="0"/>
          <w:bCs/>
          <w:sz w:val="44"/>
          <w:szCs w:val="44"/>
          <w:shd w:val="clear" w:color="auto" w:fill="FFFFFF"/>
          <w:lang w:val="en-US" w:eastAsia="zh-CN"/>
        </w:rPr>
        <w:t>藏医院</w:t>
      </w:r>
    </w:p>
    <w:p w14:paraId="38AF1399">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eastAsia" w:ascii="方正小标宋_GBK" w:hAnsi="方正小标宋_GBK" w:eastAsia="方正小标宋_GBK" w:cs="方正小标宋_GBK"/>
          <w:b w:val="0"/>
          <w:bCs/>
          <w:sz w:val="44"/>
          <w:szCs w:val="44"/>
          <w:shd w:val="clear" w:color="auto" w:fill="FFFFFF"/>
        </w:rPr>
      </w:pPr>
      <w:r>
        <w:rPr>
          <w:rFonts w:hint="eastAsia" w:ascii="方正小标宋_GBK" w:hAnsi="方正小标宋_GBK" w:eastAsia="方正小标宋_GBK" w:cs="方正小标宋_GBK"/>
          <w:b w:val="0"/>
          <w:bCs/>
          <w:sz w:val="44"/>
          <w:szCs w:val="44"/>
          <w:shd w:val="clear" w:color="auto" w:fill="FFFFFF"/>
        </w:rPr>
        <w:t>2</w:t>
      </w:r>
      <w:r>
        <w:rPr>
          <w:rFonts w:hint="eastAsia" w:ascii="方正小标宋_GBK" w:hAnsi="方正小标宋_GBK" w:eastAsia="方正小标宋_GBK" w:cs="方正小标宋_GBK"/>
          <w:b w:val="0"/>
          <w:bCs/>
          <w:sz w:val="44"/>
          <w:szCs w:val="44"/>
          <w:shd w:val="clear" w:color="auto" w:fill="FFFFFF"/>
          <w:lang w:val="en-US" w:eastAsia="zh-CN"/>
        </w:rPr>
        <w:t>025</w:t>
      </w:r>
      <w:r>
        <w:rPr>
          <w:rFonts w:hint="eastAsia" w:ascii="方正小标宋_GBK" w:hAnsi="方正小标宋_GBK" w:eastAsia="方正小标宋_GBK" w:cs="方正小标宋_GBK"/>
          <w:b w:val="0"/>
          <w:bCs/>
          <w:sz w:val="44"/>
          <w:szCs w:val="44"/>
          <w:shd w:val="clear" w:color="auto" w:fill="FFFFFF"/>
        </w:rPr>
        <w:t>年</w:t>
      </w:r>
      <w:r>
        <w:rPr>
          <w:rFonts w:hint="eastAsia" w:ascii="方正小标宋_GBK" w:hAnsi="方正小标宋_GBK" w:eastAsia="方正小标宋_GBK" w:cs="方正小标宋_GBK"/>
          <w:b w:val="0"/>
          <w:bCs/>
          <w:sz w:val="44"/>
          <w:szCs w:val="44"/>
          <w:shd w:val="clear" w:color="auto" w:fill="FFFFFF"/>
          <w:lang w:eastAsia="zh-CN"/>
        </w:rPr>
        <w:t>度</w:t>
      </w:r>
      <w:r>
        <w:rPr>
          <w:rFonts w:hint="eastAsia" w:ascii="方正小标宋_GBK" w:hAnsi="方正小标宋_GBK" w:eastAsia="方正小标宋_GBK" w:cs="方正小标宋_GBK"/>
          <w:b w:val="0"/>
          <w:bCs/>
          <w:sz w:val="44"/>
          <w:szCs w:val="44"/>
          <w:shd w:val="clear" w:color="auto" w:fill="FFFFFF"/>
        </w:rPr>
        <w:t>部门整体支出绩效评价</w:t>
      </w:r>
      <w:r>
        <w:rPr>
          <w:rFonts w:hint="eastAsia" w:ascii="方正小标宋_GBK" w:hAnsi="方正小标宋_GBK" w:eastAsia="方正小标宋_GBK" w:cs="方正小标宋_GBK"/>
          <w:b w:val="0"/>
          <w:bCs/>
          <w:sz w:val="44"/>
          <w:szCs w:val="44"/>
          <w:shd w:val="clear" w:color="auto" w:fill="FFFFFF"/>
          <w:lang w:eastAsia="zh-CN"/>
        </w:rPr>
        <w:t>自评</w:t>
      </w:r>
      <w:r>
        <w:rPr>
          <w:rFonts w:hint="eastAsia" w:ascii="方正小标宋_GBK" w:hAnsi="方正小标宋_GBK" w:eastAsia="方正小标宋_GBK" w:cs="方正小标宋_GBK"/>
          <w:b w:val="0"/>
          <w:bCs/>
          <w:sz w:val="44"/>
          <w:szCs w:val="44"/>
          <w:shd w:val="clear" w:color="auto" w:fill="FFFFFF"/>
        </w:rPr>
        <w:t>报告</w:t>
      </w:r>
    </w:p>
    <w:p w14:paraId="442D09A1">
      <w:pPr>
        <w:keepNext w:val="0"/>
        <w:keepLines w:val="0"/>
        <w:pageBreakBefore w:val="0"/>
        <w:widowControl/>
        <w:kinsoku/>
        <w:wordWrap/>
        <w:overflowPunct/>
        <w:topLinePunct w:val="0"/>
        <w:autoSpaceDE/>
        <w:autoSpaceDN/>
        <w:bidi w:val="0"/>
        <w:adjustRightInd w:val="0"/>
        <w:snapToGrid w:val="0"/>
        <w:spacing w:line="578" w:lineRule="exact"/>
        <w:contextualSpacing/>
        <w:jc w:val="left"/>
        <w:textAlignment w:val="auto"/>
        <w:outlineLvl w:val="9"/>
        <w:rPr>
          <w:rFonts w:hint="default" w:ascii="方正小标宋_GBK" w:hAnsi="方正小标宋_GBK" w:eastAsia="方正小标宋_GBK" w:cs="方正小标宋_GBK"/>
          <w:b w:val="0"/>
          <w:bCs/>
          <w:sz w:val="44"/>
          <w:szCs w:val="44"/>
          <w:shd w:val="clear" w:color="auto" w:fill="FFFFFF"/>
        </w:rPr>
      </w:pPr>
    </w:p>
    <w:p w14:paraId="18C7192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7335BAD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楷体_GB2312"/>
          <w:b/>
          <w:color w:val="auto"/>
          <w:sz w:val="32"/>
          <w:szCs w:val="32"/>
          <w:highlight w:val="none"/>
          <w:lang w:val="zh-CN"/>
        </w:rPr>
      </w:pPr>
      <w:r>
        <w:rPr>
          <w:rFonts w:hint="eastAsia" w:ascii="Times New Roman" w:hAnsi="Times New Roman" w:eastAsia="楷体_GB2312" w:cs="楷体_GB2312"/>
          <w:b/>
          <w:color w:val="auto"/>
          <w:sz w:val="32"/>
          <w:szCs w:val="32"/>
          <w:highlight w:val="none"/>
          <w:lang w:val="zh-CN"/>
        </w:rPr>
        <w:t>（一）</w:t>
      </w:r>
      <w:r>
        <w:rPr>
          <w:rFonts w:hint="default" w:ascii="Times New Roman" w:hAnsi="Times New Roman" w:eastAsia="楷体_GB2312" w:cs="楷体_GB2312"/>
          <w:b/>
          <w:color w:val="auto"/>
          <w:sz w:val="32"/>
          <w:szCs w:val="32"/>
          <w:highlight w:val="none"/>
          <w:lang w:val="zh-CN"/>
        </w:rPr>
        <w:t>机构组成。</w:t>
      </w:r>
    </w:p>
    <w:p w14:paraId="2ACB9CA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壤塘县藏医院内设科室有：外治科、住院部、医保科、医务科、护理部、院感科、信息科、党政办公室、病案科、门诊部、彩超室、检验科、放射科、医保科、挂号室、药剂科。</w:t>
      </w:r>
    </w:p>
    <w:p w14:paraId="255F28D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rPr>
      </w:pPr>
      <w:r>
        <w:rPr>
          <w:rFonts w:hint="eastAsia" w:ascii="Times New Roman" w:hAnsi="Times New Roman" w:eastAsia="仿宋_GB2312" w:cs="Times New Roman"/>
          <w:sz w:val="32"/>
          <w:szCs w:val="32"/>
          <w:lang w:val="en-US" w:eastAsia="zh-CN"/>
        </w:rPr>
        <w:t>壤塘县藏医院属壤塘县卫生健康局下属二级预算单位。</w:t>
      </w:r>
    </w:p>
    <w:p w14:paraId="0D4172F6">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default" w:ascii="Times New Roman" w:hAnsi="Times New Roman" w:eastAsia="楷体_GB2312" w:cs="楷体_GB2312"/>
          <w:b/>
          <w:color w:val="auto"/>
          <w:sz w:val="32"/>
          <w:szCs w:val="32"/>
          <w:highlight w:val="none"/>
          <w:lang w:val="zh-CN"/>
        </w:rPr>
        <w:t>机构职能</w:t>
      </w:r>
      <w:r>
        <w:rPr>
          <w:rFonts w:hint="eastAsia" w:ascii="Times New Roman" w:hAnsi="Times New Roman" w:eastAsia="楷体_GB2312" w:cs="楷体_GB2312"/>
          <w:b/>
          <w:color w:val="auto"/>
          <w:sz w:val="32"/>
          <w:szCs w:val="32"/>
          <w:highlight w:val="none"/>
          <w:lang w:val="zh-CN"/>
        </w:rPr>
        <w:t>。</w:t>
      </w:r>
    </w:p>
    <w:p w14:paraId="0B949F79">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1、为人民群众提供中藏医西医医疗、预防、保健、计划生育、康复等医疗卫生服务。</w:t>
      </w:r>
    </w:p>
    <w:p w14:paraId="497A71A5">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2、贯彻落实医药卫生体制改革、中藏西医并重方针和国家中医药法律法规，执行中医药政策；拟定实施中医药、民族医药和中西医结合发展战略、规划；指导全县各医疗机构发展中医药和中西医结合业务建设。</w:t>
      </w:r>
    </w:p>
    <w:p w14:paraId="23B1D2F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3、确保全县人民中藏西医疗健康需求，建立与地方经济发展相适应的中藏西医结合医疗环境。加强中医医院标准化管理。</w:t>
      </w:r>
    </w:p>
    <w:p w14:paraId="46171D4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4、贯彻落实国家基本药物制度和药品集中采购工作，执行医用耗材集中采购工作；负责医院内部的药品和医疗器械管理工作。</w:t>
      </w:r>
    </w:p>
    <w:p w14:paraId="0500DD3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5、承担意外灾害事故、疫情等突发公共卫生事件的医疗急救及社区预防、保健和康复医疗服务工作，开展各种医疗保健卫生知识宣传普及。</w:t>
      </w:r>
    </w:p>
    <w:p w14:paraId="4DAD757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6、充分发挥中医药在国家基本公共卫生服务中的优势和作用，负责全县基本公共卫生服务中医药健康管理项目的实施和日常管理。</w:t>
      </w:r>
    </w:p>
    <w:p w14:paraId="2344FB8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7、组织实施中藏西医药科学研究，推进医学科技成果转化和推广应用；承担中藏医药人才培养，中医药继续医学教育工作。</w:t>
      </w:r>
    </w:p>
    <w:p w14:paraId="2BB4DC3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仿宋_GB2312" w:cs="Times New Roman"/>
          <w:sz w:val="32"/>
          <w:szCs w:val="32"/>
          <w:lang w:val="zh-CN" w:eastAsia="zh-CN"/>
        </w:rPr>
      </w:pPr>
      <w:r>
        <w:rPr>
          <w:rFonts w:hint="eastAsia" w:ascii="Times New Roman" w:hAnsi="Times New Roman" w:eastAsia="仿宋_GB2312" w:cs="Times New Roman"/>
          <w:sz w:val="32"/>
          <w:szCs w:val="32"/>
          <w:lang w:val="en-US" w:eastAsia="zh-CN"/>
        </w:rPr>
        <w:t>8、做好城镇居民基本医疗保险和定点医疗机构的各项工作。</w:t>
      </w:r>
    </w:p>
    <w:p w14:paraId="362BF78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p>
    <w:p w14:paraId="6E09AA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cs="Times New Roman"/>
          <w:szCs w:val="32"/>
        </w:rPr>
      </w:pPr>
      <w:r>
        <w:rPr>
          <w:rFonts w:hint="default"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年末，</w:t>
      </w:r>
      <w:r>
        <w:rPr>
          <w:rFonts w:hint="eastAsia" w:eastAsia="仿宋_GB2312" w:cs="仿宋_GB2312"/>
          <w:color w:val="auto"/>
          <w:kern w:val="2"/>
          <w:sz w:val="32"/>
          <w:szCs w:val="32"/>
          <w:highlight w:val="none"/>
          <w:lang w:val="en-US" w:eastAsia="zh-CN" w:bidi="ar-SA"/>
        </w:rPr>
        <w:t>壤塘县藏医院</w:t>
      </w:r>
      <w:r>
        <w:rPr>
          <w:rFonts w:hint="default" w:ascii="Times New Roman" w:hAnsi="Times New Roman" w:eastAsia="仿宋_GB2312" w:cs="Times New Roman"/>
          <w:sz w:val="32"/>
          <w:szCs w:val="32"/>
          <w:lang w:val="en-US" w:eastAsia="zh-CN"/>
        </w:rPr>
        <w:t>编制</w:t>
      </w:r>
      <w:r>
        <w:rPr>
          <w:rFonts w:hint="eastAsia" w:eastAsia="仿宋_GB2312" w:cs="Times New Roman"/>
          <w:sz w:val="32"/>
          <w:szCs w:val="32"/>
          <w:lang w:val="en-US" w:eastAsia="zh-CN"/>
        </w:rPr>
        <w:t>36人</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年末实有人数</w:t>
      </w:r>
      <w:r>
        <w:rPr>
          <w:rFonts w:hint="eastAsia" w:eastAsia="仿宋_GB2312" w:cs="Times New Roman"/>
          <w:sz w:val="32"/>
          <w:szCs w:val="32"/>
          <w:lang w:val="en-US" w:eastAsia="zh-CN"/>
        </w:rPr>
        <w:t>35人，其中：事业专技人员32人，事业管理人员1人，事业工勤人员2人</w:t>
      </w:r>
      <w:r>
        <w:rPr>
          <w:rFonts w:hint="eastAsia" w:ascii="Times New Roman" w:hAnsi="Times New Roman" w:eastAsia="仿宋_GB2312" w:cs="Times New Roman"/>
          <w:sz w:val="32"/>
          <w:szCs w:val="32"/>
          <w:lang w:val="en-US" w:eastAsia="zh-CN"/>
        </w:rPr>
        <w:t>。</w:t>
      </w:r>
    </w:p>
    <w:p w14:paraId="1F09EC67">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二、部门资金收支情况</w:t>
      </w:r>
    </w:p>
    <w:p w14:paraId="1B1889F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Cs w:val="32"/>
          <w:highlight w:val="none"/>
          <w:shd w:val="clear" w:color="auto" w:fill="FFFFFF"/>
          <w:lang w:val="en-US"/>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年年初预算收入</w:t>
      </w:r>
      <w:r>
        <w:rPr>
          <w:rFonts w:hint="eastAsia" w:eastAsia="仿宋_GB2312" w:cs="Times New Roman"/>
          <w:sz w:val="32"/>
          <w:szCs w:val="32"/>
          <w:lang w:val="en-US" w:eastAsia="zh-CN"/>
        </w:rPr>
        <w:t>766.71万元</w:t>
      </w:r>
      <w:r>
        <w:rPr>
          <w:rFonts w:hint="eastAsia" w:ascii="Times New Roman" w:hAnsi="Times New Roman" w:eastAsia="仿宋_GB2312" w:cs="Times New Roman"/>
          <w:sz w:val="32"/>
          <w:szCs w:val="32"/>
          <w:lang w:val="en-US" w:eastAsia="zh-CN"/>
        </w:rPr>
        <w:t>、决算报表收入</w:t>
      </w:r>
      <w:r>
        <w:rPr>
          <w:rFonts w:hint="eastAsia" w:eastAsia="仿宋_GB2312" w:cs="Times New Roman"/>
          <w:sz w:val="32"/>
          <w:szCs w:val="32"/>
          <w:lang w:val="en-US" w:eastAsia="zh-CN"/>
        </w:rPr>
        <w:t>1627.95万元</w:t>
      </w:r>
      <w:r>
        <w:rPr>
          <w:rFonts w:hint="eastAsia" w:ascii="Times New Roman" w:hAnsi="Times New Roman" w:eastAsia="仿宋_GB2312" w:cs="Times New Roman"/>
          <w:sz w:val="32"/>
          <w:szCs w:val="32"/>
          <w:lang w:val="en-US" w:eastAsia="zh-CN"/>
        </w:rPr>
        <w:t>。</w:t>
      </w:r>
    </w:p>
    <w:p w14:paraId="453C81DF">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cs="Times New Roman"/>
          <w:szCs w:val="32"/>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年年初预算支出</w:t>
      </w:r>
      <w:r>
        <w:rPr>
          <w:rFonts w:hint="eastAsia" w:eastAsia="仿宋_GB2312" w:cs="Times New Roman"/>
          <w:sz w:val="32"/>
          <w:szCs w:val="32"/>
          <w:lang w:val="en-US" w:eastAsia="zh-CN"/>
        </w:rPr>
        <w:t>766.71万元</w:t>
      </w:r>
      <w:r>
        <w:rPr>
          <w:rFonts w:hint="eastAsia" w:ascii="Times New Roman" w:hAnsi="Times New Roman" w:eastAsia="仿宋_GB2312" w:cs="Times New Roman"/>
          <w:sz w:val="32"/>
          <w:szCs w:val="32"/>
          <w:lang w:val="en-US" w:eastAsia="zh-CN"/>
        </w:rPr>
        <w:t>、决算报表支出</w:t>
      </w:r>
      <w:r>
        <w:rPr>
          <w:rFonts w:hint="eastAsia" w:eastAsia="仿宋_GB2312" w:cs="Times New Roman"/>
          <w:sz w:val="32"/>
          <w:szCs w:val="32"/>
          <w:lang w:val="en-US" w:eastAsia="zh-CN"/>
        </w:rPr>
        <w:t>1481.34万元</w:t>
      </w:r>
      <w:r>
        <w:rPr>
          <w:rFonts w:hint="eastAsia" w:ascii="Times New Roman" w:hAnsi="Times New Roman" w:eastAsia="仿宋_GB2312" w:cs="Times New Roman"/>
          <w:sz w:val="32"/>
          <w:szCs w:val="32"/>
          <w:lang w:val="en-US" w:eastAsia="zh-CN"/>
        </w:rPr>
        <w:t>。</w:t>
      </w:r>
    </w:p>
    <w:p w14:paraId="2BDCCEA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b w:val="0"/>
          <w:bCs w:val="0"/>
          <w:color w:val="000000"/>
          <w:kern w:val="0"/>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eastAsia="仿宋_GB2312" w:cs="仿宋_GB2312"/>
          <w:color w:val="auto"/>
          <w:kern w:val="2"/>
          <w:sz w:val="32"/>
          <w:szCs w:val="32"/>
          <w:highlight w:val="none"/>
          <w:lang w:val="en-US" w:eastAsia="zh-CN" w:bidi="ar-SA"/>
        </w:rPr>
        <w:t>壤塘县藏医院</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年决算报表</w:t>
      </w:r>
      <w:r>
        <w:rPr>
          <w:rFonts w:hint="eastAsia" w:eastAsia="仿宋_GB2312" w:cs="Times New Roman"/>
          <w:sz w:val="32"/>
          <w:szCs w:val="32"/>
          <w:lang w:val="en-US" w:eastAsia="zh-CN"/>
        </w:rPr>
        <w:t>结余分配140.54万元，年末</w:t>
      </w:r>
      <w:r>
        <w:rPr>
          <w:rFonts w:hint="default" w:ascii="Times New Roman" w:hAnsi="Times New Roman" w:eastAsia="仿宋_GB2312" w:cs="Times New Roman"/>
          <w:sz w:val="32"/>
          <w:szCs w:val="32"/>
          <w:lang w:val="en-US" w:eastAsia="zh-CN"/>
        </w:rPr>
        <w:t>结转结余</w:t>
      </w:r>
      <w:r>
        <w:rPr>
          <w:rFonts w:hint="eastAsia" w:eastAsia="仿宋_GB2312" w:cs="Times New Roman"/>
          <w:sz w:val="32"/>
          <w:szCs w:val="32"/>
          <w:lang w:val="en-US" w:eastAsia="zh-CN"/>
        </w:rPr>
        <w:t>6.07万元代管资金</w:t>
      </w:r>
      <w:r>
        <w:rPr>
          <w:rFonts w:hint="default" w:ascii="Times New Roman" w:hAnsi="Times New Roman" w:eastAsia="仿宋_GB2312" w:cs="Times New Roman"/>
          <w:sz w:val="32"/>
          <w:szCs w:val="32"/>
          <w:lang w:val="en-US" w:eastAsia="zh-CN"/>
        </w:rPr>
        <w:t>。</w:t>
      </w:r>
    </w:p>
    <w:p w14:paraId="5E58CA49">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eastAsia="zh-CN"/>
        </w:rPr>
      </w:pPr>
      <w:r>
        <w:rPr>
          <w:rFonts w:hint="default" w:ascii="Times New Roman" w:hAnsi="Times New Roman" w:eastAsia="黑体" w:cs="Times New Roman"/>
          <w:color w:val="000000"/>
          <w:kern w:val="0"/>
          <w:sz w:val="32"/>
          <w:szCs w:val="32"/>
          <w:highlight w:val="none"/>
          <w:shd w:val="clear" w:color="auto" w:fill="FFFFFF"/>
          <w:lang w:val="zh-CN" w:eastAsia="zh-CN"/>
        </w:rPr>
        <w:t>三、部门预算绩效分析</w:t>
      </w:r>
    </w:p>
    <w:p w14:paraId="4F9DCB5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r>
        <w:rPr>
          <w:rFonts w:hint="default" w:ascii="Times New Roman" w:hAnsi="Times New Roman" w:eastAsia="仿宋_GB2312" w:cs="仿宋_GB2312"/>
          <w:color w:val="auto"/>
          <w:kern w:val="2"/>
          <w:sz w:val="32"/>
          <w:szCs w:val="32"/>
          <w:highlight w:val="none"/>
          <w:lang w:val="zh-CN" w:eastAsia="zh-CN" w:bidi="ar-SA"/>
        </w:rPr>
        <w:t>根据部门预算绩效评价指标体系</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总体绩效</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涉及</w:t>
      </w:r>
      <w:r>
        <w:rPr>
          <w:rFonts w:hint="eastAsia" w:ascii="Times New Roman" w:hAnsi="Times New Roman" w:eastAsia="仿宋_GB2312" w:cs="仿宋_GB2312"/>
          <w:color w:val="auto"/>
          <w:kern w:val="2"/>
          <w:sz w:val="32"/>
          <w:szCs w:val="32"/>
          <w:highlight w:val="none"/>
          <w:lang w:val="zh-CN" w:eastAsia="zh-CN" w:bidi="ar-SA"/>
        </w:rPr>
        <w:t>二、三级</w:t>
      </w:r>
      <w:r>
        <w:rPr>
          <w:rFonts w:hint="default" w:ascii="Times New Roman" w:hAnsi="Times New Roman" w:eastAsia="仿宋_GB2312" w:cs="仿宋_GB2312"/>
          <w:color w:val="auto"/>
          <w:kern w:val="2"/>
          <w:sz w:val="32"/>
          <w:szCs w:val="32"/>
          <w:highlight w:val="none"/>
          <w:lang w:val="zh-CN" w:eastAsia="zh-CN" w:bidi="ar-SA"/>
        </w:rPr>
        <w:t>指标进行</w:t>
      </w:r>
      <w:r>
        <w:rPr>
          <w:rFonts w:hint="eastAsia" w:ascii="Times New Roman" w:hAnsi="Times New Roman" w:eastAsia="仿宋_GB2312" w:cs="仿宋_GB2312"/>
          <w:color w:val="auto"/>
          <w:kern w:val="2"/>
          <w:sz w:val="32"/>
          <w:szCs w:val="32"/>
          <w:highlight w:val="none"/>
          <w:lang w:val="zh-CN" w:eastAsia="zh-CN" w:bidi="ar-SA"/>
        </w:rPr>
        <w:t>逐项</w:t>
      </w:r>
      <w:r>
        <w:rPr>
          <w:rFonts w:hint="default" w:ascii="Times New Roman" w:hAnsi="Times New Roman" w:eastAsia="仿宋_GB2312" w:cs="仿宋_GB2312"/>
          <w:color w:val="auto"/>
          <w:kern w:val="2"/>
          <w:sz w:val="32"/>
          <w:szCs w:val="32"/>
          <w:highlight w:val="none"/>
          <w:lang w:val="zh-CN" w:eastAsia="zh-CN" w:bidi="ar-SA"/>
        </w:rPr>
        <w:t>绩效分析</w:t>
      </w:r>
      <w:r>
        <w:rPr>
          <w:rFonts w:hint="eastAsia" w:ascii="Times New Roman" w:hAnsi="Times New Roman" w:eastAsia="仿宋_GB2312" w:cs="仿宋_GB2312"/>
          <w:color w:val="auto"/>
          <w:kern w:val="2"/>
          <w:sz w:val="32"/>
          <w:szCs w:val="32"/>
          <w:highlight w:val="none"/>
          <w:lang w:val="zh-CN" w:eastAsia="zh-CN" w:bidi="ar-SA"/>
        </w:rPr>
        <w:t>并评分</w:t>
      </w:r>
      <w:r>
        <w:rPr>
          <w:rFonts w:hint="default" w:ascii="Times New Roman" w:hAnsi="Times New Roman" w:eastAsia="仿宋_GB2312" w:cs="仿宋_GB2312"/>
          <w:color w:val="auto"/>
          <w:kern w:val="2"/>
          <w:sz w:val="32"/>
          <w:szCs w:val="32"/>
          <w:highlight w:val="none"/>
          <w:lang w:val="zh-CN" w:eastAsia="zh-CN" w:bidi="ar-SA"/>
        </w:rPr>
        <w:t>，依次包括履职效能、预算管理、财务管理、资产管理、采购管理等情况。</w:t>
      </w:r>
    </w:p>
    <w:p w14:paraId="74C5980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履职效能。部门整体绩效目标中选定3-5个核心职能目标，对职能目标完成效果情况绩效分析。</w:t>
      </w:r>
    </w:p>
    <w:p w14:paraId="53B8A05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本年度严格落实藏医医疗服务供给，规范临床用药行为，持续推进医药分开改革落地，患者就医满意度稳步提升，就医负担得到有效缓解，各项核心职能目标均</w:t>
      </w:r>
      <w:r>
        <w:rPr>
          <w:rFonts w:hint="eastAsia" w:eastAsia="仿宋_GB2312" w:cs="仿宋_GB2312"/>
          <w:color w:val="auto"/>
          <w:kern w:val="2"/>
          <w:sz w:val="32"/>
          <w:szCs w:val="32"/>
          <w:highlight w:val="none"/>
          <w:lang w:val="en-US" w:eastAsia="zh-CN" w:bidi="ar-SA"/>
        </w:rPr>
        <w:t>如期实现</w:t>
      </w:r>
      <w:r>
        <w:rPr>
          <w:rFonts w:hint="eastAsia" w:ascii="Times New Roman" w:hAnsi="Times New Roman" w:eastAsia="仿宋_GB2312" w:cs="仿宋_GB2312"/>
          <w:color w:val="auto"/>
          <w:kern w:val="2"/>
          <w:sz w:val="32"/>
          <w:szCs w:val="32"/>
          <w:highlight w:val="none"/>
          <w:lang w:val="zh-CN" w:eastAsia="zh-CN" w:bidi="ar-SA"/>
        </w:rPr>
        <w:t>，履职效能整体表现良好，充分发挥基层藏医医疗机构公益服务职能。</w:t>
      </w:r>
    </w:p>
    <w:p w14:paraId="278A0AB0">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预算管理</w:t>
      </w:r>
      <w:r>
        <w:rPr>
          <w:rFonts w:hint="eastAsia" w:ascii="Times New Roman" w:hAnsi="Times New Roman" w:eastAsia="仿宋_GB2312" w:cs="仿宋_GB2312"/>
          <w:color w:val="auto"/>
          <w:kern w:val="2"/>
          <w:sz w:val="32"/>
          <w:szCs w:val="32"/>
          <w:highlight w:val="none"/>
          <w:lang w:val="zh-CN" w:eastAsia="zh-CN" w:bidi="ar-SA"/>
        </w:rPr>
        <w:t>。围绕预算编制质量、单位收入统筹、支出执行进度、预算年终结余、严控一般性支出</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1B840FE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（1）预算编制合规完整。严格按照年度工作实际编制收支预算，坚持量入为出、收支平衡，无虚列预算、超编预算情况，基本覆盖全院业务运行及专项工作需求。</w:t>
      </w:r>
    </w:p>
    <w:p w14:paraId="024D5FF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2）预算执行规范有序。财政拨款预算编制偏离度、单位收入统筹度、预算年终结余率等指标均按期完成，一般性支出管控到位；预算执行贴合医院医疗业务、药品采购、人员保障等实际运转需求，资金拨付及时，保障日常诊疗工作稳定开展。</w:t>
      </w:r>
    </w:p>
    <w:p w14:paraId="08ADF37A">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财务管理</w:t>
      </w:r>
      <w:r>
        <w:rPr>
          <w:rFonts w:hint="eastAsia" w:ascii="Times New Roman" w:hAnsi="Times New Roman" w:eastAsia="仿宋_GB2312" w:cs="仿宋_GB2312"/>
          <w:color w:val="auto"/>
          <w:kern w:val="2"/>
          <w:sz w:val="32"/>
          <w:szCs w:val="32"/>
          <w:highlight w:val="none"/>
          <w:lang w:val="zh-CN" w:eastAsia="zh-CN" w:bidi="ar-SA"/>
        </w:rPr>
        <w:t>。围绕财务管理制度、财务岗位设置、资金使用规范</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1A1280E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严格执行政府会计制度、医院财务管理制度，账务处理规范、会计核算精准，财务内控机制健全，资金审批、报销流程完善；财务信息真实完整，按时完成预决算公开、财务核算及报表编制工作，财务管理规范度达标，有效防范财务风险。</w:t>
      </w:r>
    </w:p>
    <w:p w14:paraId="66432CF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4.</w:t>
      </w:r>
      <w:r>
        <w:rPr>
          <w:rFonts w:hint="default" w:ascii="Times New Roman" w:hAnsi="Times New Roman" w:eastAsia="仿宋_GB2312" w:cs="仿宋_GB2312"/>
          <w:color w:val="auto"/>
          <w:kern w:val="2"/>
          <w:sz w:val="32"/>
          <w:szCs w:val="32"/>
          <w:highlight w:val="none"/>
          <w:lang w:val="zh-CN" w:eastAsia="zh-CN" w:bidi="ar-SA"/>
        </w:rPr>
        <w:t>资产管理</w:t>
      </w:r>
      <w:r>
        <w:rPr>
          <w:rFonts w:hint="eastAsia" w:ascii="Times New Roman" w:hAnsi="Times New Roman" w:eastAsia="仿宋_GB2312" w:cs="仿宋_GB2312"/>
          <w:color w:val="auto"/>
          <w:kern w:val="2"/>
          <w:sz w:val="32"/>
          <w:szCs w:val="32"/>
          <w:highlight w:val="none"/>
          <w:lang w:val="zh-CN" w:eastAsia="zh-CN" w:bidi="ar-SA"/>
        </w:rPr>
        <w:t>。围绕人均资产变化率、资产利用率、资产盘活率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0CF54082">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核心诊疗设备、常用医疗器械日常开机使用频次较高，直接服务门诊、住院、藏医理疗，经营性、业务性资产整体利用率较好，有效支撑医疗服务开展。</w:t>
      </w:r>
    </w:p>
    <w:p w14:paraId="00349E59">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资产管理制度基本健全、资产安全可控、核心业务资产利用较好，能够保障医院履职需要。但存在资产配置不均衡、资产盘活率偏低等问题，资产精细化管理和效益化管理水平有待提升，资产管理绩效总体评价为良好。</w:t>
      </w:r>
    </w:p>
    <w:p w14:paraId="0C7C3D2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eastAsia="仿宋_GB2312" w:cs="仿宋_GB2312"/>
          <w:color w:val="auto"/>
          <w:kern w:val="2"/>
          <w:sz w:val="32"/>
          <w:szCs w:val="32"/>
          <w:highlight w:val="none"/>
          <w:lang w:val="en-US" w:eastAsia="zh-CN" w:bidi="ar-SA"/>
        </w:rPr>
        <w:t>5.</w:t>
      </w:r>
      <w:r>
        <w:rPr>
          <w:rFonts w:hint="default" w:ascii="Times New Roman" w:hAnsi="Times New Roman" w:eastAsia="仿宋_GB2312" w:cs="仿宋_GB2312"/>
          <w:color w:val="auto"/>
          <w:kern w:val="2"/>
          <w:sz w:val="32"/>
          <w:szCs w:val="32"/>
          <w:highlight w:val="none"/>
          <w:lang w:val="zh-CN" w:eastAsia="zh-CN" w:bidi="ar-SA"/>
        </w:rPr>
        <w:t>采购管理</w:t>
      </w:r>
      <w:r>
        <w:rPr>
          <w:rFonts w:hint="eastAsia" w:ascii="Times New Roman" w:hAnsi="Times New Roman" w:eastAsia="仿宋_GB2312" w:cs="仿宋_GB2312"/>
          <w:color w:val="auto"/>
          <w:kern w:val="2"/>
          <w:sz w:val="32"/>
          <w:szCs w:val="32"/>
          <w:highlight w:val="none"/>
          <w:lang w:val="zh-CN" w:eastAsia="zh-CN" w:bidi="ar-SA"/>
        </w:rPr>
        <w:t>。围绕支持中小企业发展、采购执行率</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w:t>
      </w:r>
    </w:p>
    <w:p w14:paraId="67AA7DE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zh-CN" w:eastAsia="zh-CN" w:bidi="ar-SA"/>
        </w:rPr>
        <w:t>采购管理程序合规、总体执行有序，能够满足业务开展需求。但存在部分采购执行滞后、计划性不强等问题，采购管理绩效综合评价为良好。</w:t>
      </w:r>
    </w:p>
    <w:p w14:paraId="5F66D445">
      <w:pPr>
        <w:adjustRightInd w:val="0"/>
        <w:snapToGrid w:val="0"/>
        <w:spacing w:line="578" w:lineRule="exact"/>
        <w:ind w:firstLine="643" w:firstLineChars="200"/>
        <w:contextualSpacing/>
        <w:jc w:val="left"/>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ascii="Times New Roman" w:hAnsi="Times New Roman" w:eastAsia="仿宋_GB2312" w:cs="仿宋_GB2312"/>
          <w:color w:val="auto"/>
          <w:kern w:val="2"/>
          <w:sz w:val="32"/>
          <w:szCs w:val="32"/>
          <w:highlight w:val="none"/>
          <w:lang w:val="en-US" w:eastAsia="zh-CN" w:bidi="ar-SA"/>
        </w:rPr>
        <w:t>22</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975.05</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ascii="Times New Roman" w:hAnsi="Times New Roman" w:eastAsia="仿宋_GB2312" w:cs="仿宋_GB2312"/>
          <w:color w:val="auto"/>
          <w:kern w:val="2"/>
          <w:sz w:val="32"/>
          <w:szCs w:val="32"/>
          <w:highlight w:val="none"/>
          <w:lang w:val="en-US" w:eastAsia="zh-CN" w:bidi="ar-SA"/>
        </w:rPr>
        <w:t>99.72</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ascii="Times New Roman" w:hAnsi="Times New Roman" w:eastAsia="仿宋_GB2312" w:cs="仿宋_GB2312"/>
          <w:color w:val="auto"/>
          <w:kern w:val="2"/>
          <w:sz w:val="32"/>
          <w:szCs w:val="32"/>
          <w:highlight w:val="none"/>
          <w:lang w:val="en-US" w:eastAsia="zh-CN" w:bidi="ar-SA"/>
        </w:rPr>
        <w:t>1</w:t>
      </w:r>
      <w:r>
        <w:rPr>
          <w:rFonts w:hint="default" w:ascii="Times New Roman" w:hAnsi="Times New Roman" w:eastAsia="仿宋_GB2312" w:cs="仿宋_GB2312"/>
          <w:color w:val="auto"/>
          <w:kern w:val="2"/>
          <w:sz w:val="32"/>
          <w:szCs w:val="32"/>
          <w:highlight w:val="none"/>
          <w:lang w:val="zh-CN" w:eastAsia="zh-CN" w:bidi="ar-SA"/>
        </w:rPr>
        <w:t>个。</w:t>
      </w:r>
    </w:p>
    <w:p w14:paraId="3AD9F55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常年项目绩效分析。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hint="default" w:ascii="Times New Roman" w:hAnsi="Times New Roman" w:eastAsia="仿宋_GB2312" w:cs="仿宋_GB2312"/>
          <w:color w:val="auto"/>
          <w:kern w:val="2"/>
          <w:sz w:val="32"/>
          <w:szCs w:val="32"/>
          <w:highlight w:val="none"/>
          <w:lang w:val="zh-CN" w:eastAsia="zh-CN" w:bidi="ar-SA"/>
        </w:rPr>
        <w:t>个。</w:t>
      </w:r>
    </w:p>
    <w:p w14:paraId="65294B9D">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hint="default" w:ascii="Times New Roman" w:hAnsi="Times New Roman" w:eastAsia="仿宋_GB2312" w:cs="仿宋_GB2312"/>
          <w:color w:val="auto"/>
          <w:kern w:val="2"/>
          <w:sz w:val="32"/>
          <w:szCs w:val="32"/>
          <w:highlight w:val="none"/>
          <w:lang w:val="en-US" w:eastAsia="zh-CN" w:bidi="ar-SA"/>
        </w:rPr>
        <w:t>项目绩效分析。</w:t>
      </w:r>
      <w:r>
        <w:rPr>
          <w:rFonts w:hint="default"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个，涉及预算总金额</w:t>
      </w:r>
      <w:r>
        <w:rPr>
          <w:rFonts w:hint="eastAsia" w:eastAsia="仿宋_GB2312" w:cs="仿宋_GB2312"/>
          <w:color w:val="auto"/>
          <w:kern w:val="2"/>
          <w:sz w:val="32"/>
          <w:szCs w:val="32"/>
          <w:highlight w:val="none"/>
          <w:lang w:val="en-US" w:eastAsia="zh-CN" w:bidi="ar-SA"/>
        </w:rPr>
        <w:t>230.56</w:t>
      </w:r>
      <w:r>
        <w:rPr>
          <w:rFonts w:hint="default"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1</w:t>
      </w:r>
      <w:r>
        <w:rPr>
          <w:rFonts w:hint="default" w:ascii="Times New Roman" w:hAnsi="Times New Roman" w:eastAsia="仿宋_GB2312" w:cs="仿宋_GB2312"/>
          <w:color w:val="auto"/>
          <w:kern w:val="2"/>
          <w:sz w:val="32"/>
          <w:szCs w:val="32"/>
          <w:highlight w:val="none"/>
          <w:lang w:val="en-US" w:eastAsia="zh-CN" w:bidi="ar-SA"/>
        </w:rPr>
        <w:t>2</w:t>
      </w:r>
      <w:r>
        <w:rPr>
          <w:rFonts w:hint="default"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84.55</w:t>
      </w:r>
      <w:r>
        <w:rPr>
          <w:rFonts w:hint="default" w:ascii="Times New Roman" w:hAnsi="Times New Roman" w:eastAsia="仿宋_GB2312" w:cs="仿宋_GB2312"/>
          <w:color w:val="auto"/>
          <w:kern w:val="2"/>
          <w:sz w:val="32"/>
          <w:szCs w:val="32"/>
          <w:highlight w:val="none"/>
          <w:lang w:val="zh-CN" w:eastAsia="zh-CN" w:bidi="ar-SA"/>
        </w:rPr>
        <w:t>%，其中：预算结余率大于</w:t>
      </w:r>
      <w:r>
        <w:rPr>
          <w:rFonts w:hint="default" w:ascii="Times New Roman" w:hAnsi="Times New Roman" w:eastAsia="仿宋_GB2312" w:cs="仿宋_GB2312"/>
          <w:color w:val="auto"/>
          <w:kern w:val="2"/>
          <w:sz w:val="32"/>
          <w:szCs w:val="32"/>
          <w:highlight w:val="none"/>
          <w:lang w:val="en-US" w:eastAsia="zh-CN" w:bidi="ar-SA"/>
        </w:rPr>
        <w:t>10%</w:t>
      </w:r>
      <w:r>
        <w:rPr>
          <w:rFonts w:hint="default"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3</w:t>
      </w:r>
      <w:r>
        <w:rPr>
          <w:rFonts w:hint="default" w:ascii="Times New Roman" w:hAnsi="Times New Roman" w:eastAsia="仿宋_GB2312" w:cs="仿宋_GB2312"/>
          <w:color w:val="auto"/>
          <w:kern w:val="2"/>
          <w:sz w:val="32"/>
          <w:szCs w:val="32"/>
          <w:highlight w:val="none"/>
          <w:lang w:val="zh-CN" w:eastAsia="zh-CN" w:bidi="ar-SA"/>
        </w:rPr>
        <w:t>个。</w:t>
      </w:r>
    </w:p>
    <w:p w14:paraId="2E2EECA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项目决策。围绕决策程序、目标设置、项目入库</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严格规范项目决策程序，所有项目均按医疗服务、藏医能力建设等核心职能科学设置绩效目标，目标量化清晰、贴合医院发展实际；项目全部按要求纳入预算项目库管理，入库资料完整，立项依据合规，无违规立项、重复立项问题，项目决策科学性、规范性良好。</w:t>
      </w:r>
    </w:p>
    <w:p w14:paraId="0438BC07">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r>
        <w:rPr>
          <w:rFonts w:hint="eastAsia" w:ascii="Times New Roman" w:hAnsi="Times New Roman" w:eastAsia="仿宋_GB2312" w:cs="仿宋_GB2312"/>
          <w:color w:val="auto"/>
          <w:kern w:val="2"/>
          <w:sz w:val="32"/>
          <w:szCs w:val="32"/>
          <w:highlight w:val="none"/>
          <w:lang w:val="zh-CN" w:eastAsia="zh-CN" w:bidi="ar-SA"/>
        </w:rPr>
        <w:t>。围绕资金执行同向、项目调整、执行结果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项目资金执行方向严格按照立项用途，全部用于医疗业务开展、药品采购、人员保障、设备购置等，无挤占、挪用、截留资金情况；项目调整严格履行审批程序；预算执行进度整体达标，资金拨付及时高效，保障各项目按期落地实施，执行结果符合预期要求。</w:t>
      </w:r>
    </w:p>
    <w:p w14:paraId="262C4A9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目标实现。围绕目标完成、目标偏离、实现效果</w:t>
      </w:r>
      <w:r>
        <w:rPr>
          <w:rFonts w:hint="default" w:ascii="Times New Roman" w:hAnsi="Times New Roman" w:eastAsia="仿宋_GB2312" w:cs="仿宋_GB2312"/>
          <w:color w:val="auto"/>
          <w:kern w:val="2"/>
          <w:sz w:val="32"/>
          <w:szCs w:val="32"/>
          <w:highlight w:val="none"/>
          <w:lang w:val="zh-CN" w:eastAsia="zh-CN" w:bidi="ar-SA"/>
        </w:rPr>
        <w:t>进行绩效分析</w:t>
      </w:r>
      <w:r>
        <w:rPr>
          <w:rFonts w:hint="eastAsia" w:ascii="Times New Roman" w:hAnsi="Times New Roman" w:eastAsia="仿宋_GB2312" w:cs="仿宋_GB2312"/>
          <w:color w:val="auto"/>
          <w:kern w:val="2"/>
          <w:sz w:val="32"/>
          <w:szCs w:val="32"/>
          <w:highlight w:val="none"/>
          <w:lang w:val="zh-CN" w:eastAsia="zh-CN" w:bidi="ar-SA"/>
        </w:rPr>
        <w:t>。各项目绩效目标均基本完成，医疗服务供给、合理用药规范，患者满意度提升等核心目标达成度较高；个别项目因县域就医需求波动存在小幅目标偏差，整体偏差可控；有效提升藏医诊疗服务能力，切实减轻群众就医负担，实现良好社会效益。</w:t>
      </w:r>
    </w:p>
    <w:p w14:paraId="16F17C4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3"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围绕内部应用情况、</w:t>
      </w:r>
      <w:r>
        <w:rPr>
          <w:rFonts w:hint="default" w:ascii="Times New Roman" w:hAnsi="Times New Roman" w:eastAsia="仿宋_GB2312" w:cs="仿宋_GB2312"/>
          <w:color w:val="auto"/>
          <w:kern w:val="2"/>
          <w:sz w:val="32"/>
          <w:szCs w:val="32"/>
          <w:highlight w:val="none"/>
          <w:lang w:val="zh-CN" w:eastAsia="zh-CN" w:bidi="ar-SA"/>
        </w:rPr>
        <w:t>信息公开情况</w:t>
      </w:r>
      <w:r>
        <w:rPr>
          <w:rFonts w:hint="eastAsia" w:ascii="Times New Roman" w:hAnsi="Times New Roman" w:eastAsia="仿宋_GB2312" w:cs="仿宋_GB2312"/>
          <w:color w:val="auto"/>
          <w:kern w:val="2"/>
          <w:sz w:val="32"/>
          <w:szCs w:val="32"/>
          <w:highlight w:val="none"/>
          <w:lang w:val="zh-CN" w:eastAsia="zh-CN" w:bidi="ar-SA"/>
        </w:rPr>
        <w:t>、</w:t>
      </w:r>
      <w:r>
        <w:rPr>
          <w:rFonts w:hint="default" w:ascii="Times New Roman" w:hAnsi="Times New Roman" w:eastAsia="仿宋_GB2312" w:cs="仿宋_GB2312"/>
          <w:color w:val="auto"/>
          <w:kern w:val="2"/>
          <w:sz w:val="32"/>
          <w:szCs w:val="32"/>
          <w:highlight w:val="none"/>
          <w:lang w:val="zh-CN" w:eastAsia="zh-CN" w:bidi="ar-SA"/>
        </w:rPr>
        <w:t>整改反馈情况</w:t>
      </w:r>
      <w:r>
        <w:rPr>
          <w:rFonts w:hint="eastAsia" w:ascii="Times New Roman" w:hAnsi="Times New Roman" w:eastAsia="仿宋_GB2312" w:cs="仿宋_GB2312"/>
          <w:color w:val="auto"/>
          <w:kern w:val="2"/>
          <w:sz w:val="32"/>
          <w:szCs w:val="32"/>
          <w:highlight w:val="none"/>
          <w:lang w:val="zh-CN" w:eastAsia="zh-CN" w:bidi="ar-SA"/>
        </w:rPr>
        <w:t>进行分析。本年度财务人员严格执行收支两条线制度，严格按照上级及各部门有关文件要求，县财政支出管理股室、国库审核无误后的经费财务报表为基础，根据每项经费指标的功能科目及经济分类科目以及该指标本年实际支付数在部门决算软件中逐笔据实填列。</w:t>
      </w:r>
    </w:p>
    <w:p w14:paraId="70663FDE">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zh-CN" w:eastAsia="zh-CN" w:bidi="ar-SA"/>
        </w:rPr>
        <w:t>对部门预算绩效管理工作开展情况认真进行了自查自评。绩效评价自查开展覆盖单位重点支出，将评价结果作为预算安排的依据，根据项目预算执行情况、保障重点支出，调整支出结构，优化财政资金配置，不断强化绩效理念，推动我医院部门整体绩效管理水平不断提升。</w:t>
      </w:r>
    </w:p>
    <w:p w14:paraId="157471C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eastAsia="zh-CN"/>
        </w:rPr>
        <w:t>四、</w:t>
      </w:r>
      <w:r>
        <w:rPr>
          <w:rFonts w:hint="default" w:ascii="Times New Roman" w:hAnsi="Times New Roman" w:eastAsia="黑体" w:cs="Times New Roman"/>
          <w:color w:val="000000"/>
          <w:kern w:val="0"/>
          <w:sz w:val="32"/>
          <w:szCs w:val="32"/>
          <w:highlight w:val="none"/>
          <w:shd w:val="clear" w:color="auto" w:fill="FFFFFF"/>
          <w:lang w:val="zh-CN"/>
        </w:rPr>
        <w:t>评价结论及建议</w:t>
      </w:r>
    </w:p>
    <w:p w14:paraId="51D66CF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default"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bidi="ar"/>
        </w:rPr>
        <w:t>简要阐述部门预算绩效自评总体结论，其中必须包含自评得分。严格按照年初预算批复认真组织实施,严格执行财经纪律相关管理规定，做到各项收支安排使用符合事业发展计划和财政政策的要求，确保了医院正常运行和重大项目的实施，较好地完成了2025年部门预算编制和决算编制工作, 2025年目标任务基本完成，预算执行情况较好。自评得分85分。</w:t>
      </w:r>
    </w:p>
    <w:p w14:paraId="30AF74BC">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bidi="ar"/>
        </w:rPr>
        <w:t>简要阐述部门预算绩效自评发现的主要问题。存在的主要问题是单位预算管理人员对绩效管理的政策、绩效目标编制、绩效评价实施等方面的业务水平还有待进一步提高。</w:t>
      </w:r>
    </w:p>
    <w:p w14:paraId="03CB1104">
      <w:pPr>
        <w:pStyle w:val="5"/>
        <w:keepNext w:val="0"/>
        <w:keepLines w:val="0"/>
        <w:pageBreakBefore w:val="0"/>
        <w:kinsoku/>
        <w:wordWrap/>
        <w:overflowPunct/>
        <w:topLinePunct w:val="0"/>
        <w:autoSpaceDE/>
        <w:autoSpaceDN/>
        <w:bidi w:val="0"/>
        <w:spacing w:beforeLines="0" w:line="360" w:lineRule="auto"/>
        <w:ind w:firstLine="643" w:firstLineChars="200"/>
        <w:textAlignment w:val="auto"/>
        <w:rPr>
          <w:rFonts w:hint="eastAsia" w:ascii="Times New Roman" w:hAnsi="Times New Roman" w:eastAsia="仿宋_GB2312" w:cs="Times New Roman"/>
          <w:sz w:val="32"/>
          <w:szCs w:val="32"/>
          <w:u w:val="none"/>
          <w:lang w:val="en" w:eastAsia="zh-CN" w:bidi="ar"/>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r>
        <w:rPr>
          <w:rFonts w:hint="eastAsia" w:ascii="Times New Roman" w:hAnsi="Times New Roman" w:eastAsia="仿宋_GB2312" w:cs="Times New Roman"/>
          <w:sz w:val="32"/>
          <w:szCs w:val="32"/>
          <w:u w:val="none"/>
          <w:lang w:val="en-US" w:eastAsia="zh-CN" w:bidi="ar"/>
        </w:rPr>
        <w:t>简要阐述</w:t>
      </w:r>
      <w:bookmarkStart w:id="76" w:name="_Hlk110546638"/>
      <w:r>
        <w:rPr>
          <w:rFonts w:hint="eastAsia" w:ascii="Times New Roman" w:hAnsi="Times New Roman" w:eastAsia="仿宋_GB2312" w:cs="Times New Roman"/>
          <w:sz w:val="32"/>
          <w:szCs w:val="32"/>
          <w:u w:val="none"/>
          <w:lang w:val="en" w:eastAsia="zh-CN" w:bidi="ar"/>
        </w:rPr>
        <w:t>预算安排、完善政策、改进管理等方面的</w:t>
      </w:r>
      <w:r>
        <w:rPr>
          <w:rFonts w:hint="eastAsia" w:ascii="Times New Roman" w:hAnsi="Times New Roman" w:eastAsia="仿宋_GB2312" w:cs="Times New Roman"/>
          <w:sz w:val="32"/>
          <w:szCs w:val="32"/>
          <w:u w:val="none"/>
          <w:lang w:val="en-US" w:eastAsia="zh-CN" w:bidi="ar"/>
        </w:rPr>
        <w:t>措施</w:t>
      </w:r>
      <w:r>
        <w:rPr>
          <w:rFonts w:hint="eastAsia" w:ascii="Times New Roman" w:hAnsi="Times New Roman" w:eastAsia="仿宋_GB2312" w:cs="Times New Roman"/>
          <w:sz w:val="32"/>
          <w:szCs w:val="32"/>
          <w:u w:val="none"/>
          <w:lang w:val="en" w:eastAsia="zh-CN" w:bidi="ar"/>
        </w:rPr>
        <w:t>建议，其中</w:t>
      </w:r>
      <w:r>
        <w:rPr>
          <w:rFonts w:hint="eastAsia" w:ascii="Times New Roman" w:hAnsi="Times New Roman" w:eastAsia="仿宋_GB2312" w:cs="Times New Roman"/>
          <w:sz w:val="32"/>
          <w:szCs w:val="32"/>
          <w:u w:val="none"/>
          <w:lang w:val="en-US" w:eastAsia="zh-CN" w:bidi="ar"/>
        </w:rPr>
        <w:t>必须对应评价发现的主要问题一一提出措施建议。</w:t>
      </w:r>
      <w:r>
        <w:rPr>
          <w:rFonts w:hAnsi="宋体" w:cs="宋体"/>
          <w:color w:val="000000"/>
          <w:sz w:val="32"/>
          <w:szCs w:val="32"/>
          <w:shd w:val="clear" w:color="auto" w:fill="FFFFFF"/>
        </w:rPr>
        <w:t>我们将进一步提高预算绩效管理认识，优化预算绩效管理方式，强化绩效结果运用</w:t>
      </w:r>
      <w:r>
        <w:rPr>
          <w:rFonts w:hint="eastAsia" w:hAnsi="宋体" w:cs="宋体"/>
          <w:color w:val="000000"/>
          <w:sz w:val="32"/>
          <w:szCs w:val="32"/>
          <w:shd w:val="clear" w:color="auto" w:fill="FFFFFF"/>
        </w:rPr>
        <w:t>，制定明确的财务监控监督措施且确保监控监督有效</w:t>
      </w:r>
      <w:r>
        <w:rPr>
          <w:rFonts w:hAnsi="宋体" w:cs="宋体"/>
          <w:color w:val="000000"/>
          <w:sz w:val="32"/>
          <w:szCs w:val="32"/>
          <w:shd w:val="clear" w:color="auto" w:fill="FFFFFF"/>
        </w:rPr>
        <w:t>。</w:t>
      </w:r>
      <w:r>
        <w:rPr>
          <w:rFonts w:hint="eastAsia" w:hAnsi="宋体" w:cs="宋体"/>
          <w:color w:val="000000"/>
          <w:sz w:val="32"/>
          <w:szCs w:val="32"/>
          <w:shd w:val="clear" w:color="auto" w:fill="FFFFFF"/>
        </w:rPr>
        <w:t>加</w:t>
      </w:r>
      <w:r>
        <w:rPr>
          <w:rFonts w:hint="eastAsia" w:hAnsi="宋体" w:cs="宋体"/>
          <w:color w:val="000000"/>
          <w:sz w:val="32"/>
          <w:szCs w:val="32"/>
          <w:shd w:val="clear" w:color="auto" w:fill="FFFFFF"/>
          <w:lang w:val="zh-CN"/>
        </w:rPr>
        <w:t>强单位相关人员对绩效目标的编制，专人对绩效目标进行编制和管理。</w:t>
      </w:r>
    </w:p>
    <w:bookmarkEnd w:id="76"/>
    <w:p w14:paraId="542C9FDC">
      <w:pPr>
        <w:spacing w:line="578" w:lineRule="exact"/>
        <w:jc w:val="left"/>
        <w:rPr>
          <w:rFonts w:eastAsia="黑体"/>
        </w:rPr>
      </w:pPr>
    </w:p>
    <w:p w14:paraId="735CB069">
      <w:pPr>
        <w:spacing w:line="578" w:lineRule="exact"/>
        <w:jc w:val="left"/>
        <w:rPr>
          <w:rFonts w:eastAsia="黑体"/>
        </w:rPr>
      </w:pPr>
      <w:r>
        <w:rPr>
          <w:rFonts w:eastAsia="黑体"/>
        </w:rPr>
        <w:t>附表</w:t>
      </w:r>
      <w:r>
        <w:rPr>
          <w:rFonts w:hint="eastAsia" w:eastAsia="黑体"/>
        </w:rPr>
        <w:t>1</w:t>
      </w:r>
    </w:p>
    <w:p w14:paraId="36F41E0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2674741A">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B75641F">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E39E7">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008508F3">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0925E758">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430DAA6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46AF823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9A249">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B6211">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110FC">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B3369">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7D821BFA">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687BBF76">
            <w:pPr>
              <w:widowControl/>
              <w:spacing w:line="240" w:lineRule="exact"/>
              <w:jc w:val="center"/>
              <w:rPr>
                <w:rFonts w:ascii="黑体" w:hAnsi="宋体" w:eastAsia="黑体" w:cs="黑体"/>
                <w:color w:val="000000"/>
                <w:sz w:val="24"/>
              </w:rPr>
            </w:pPr>
          </w:p>
        </w:tc>
      </w:tr>
      <w:tr w14:paraId="75A92B1E">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0F22D82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CF23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1FB9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578C59E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113E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96D32">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AF95">
            <w:pPr>
              <w:widowControl/>
              <w:spacing w:line="240" w:lineRule="exact"/>
              <w:jc w:val="left"/>
              <w:textAlignment w:val="center"/>
              <w:rPr>
                <w:rFonts w:ascii="宋体" w:hAnsi="宋体" w:eastAsia="宋体" w:cs="宋体"/>
                <w:color w:val="000000"/>
                <w:kern w:val="0"/>
                <w:sz w:val="24"/>
              </w:rPr>
            </w:pPr>
          </w:p>
        </w:tc>
      </w:tr>
      <w:tr w14:paraId="2501713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E7A6C0">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5561015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D311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6C8D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AA48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822F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CB9E1">
            <w:pPr>
              <w:widowControl/>
              <w:spacing w:line="240" w:lineRule="exact"/>
              <w:jc w:val="left"/>
              <w:textAlignment w:val="center"/>
              <w:rPr>
                <w:rFonts w:ascii="宋体" w:hAnsi="宋体" w:eastAsia="宋体" w:cs="宋体"/>
                <w:color w:val="000000"/>
                <w:kern w:val="0"/>
                <w:sz w:val="24"/>
              </w:rPr>
            </w:pPr>
          </w:p>
        </w:tc>
      </w:tr>
      <w:tr w14:paraId="28F86CE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6BFA6F5">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5ADACF1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E6A7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E99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0FC3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4222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A07A">
            <w:pPr>
              <w:widowControl/>
              <w:spacing w:line="240" w:lineRule="exact"/>
              <w:jc w:val="left"/>
              <w:textAlignment w:val="center"/>
              <w:rPr>
                <w:rFonts w:ascii="宋体" w:hAnsi="宋体" w:eastAsia="宋体" w:cs="宋体"/>
                <w:color w:val="000000"/>
                <w:kern w:val="0"/>
                <w:sz w:val="24"/>
              </w:rPr>
            </w:pPr>
          </w:p>
        </w:tc>
      </w:tr>
      <w:tr w14:paraId="450DD44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2DF331">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9BA64F4">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E18A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8D03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569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269E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9D588">
            <w:pPr>
              <w:widowControl/>
              <w:spacing w:line="240" w:lineRule="exact"/>
              <w:jc w:val="left"/>
              <w:textAlignment w:val="center"/>
              <w:rPr>
                <w:rFonts w:ascii="宋体" w:hAnsi="宋体" w:eastAsia="宋体" w:cs="宋体"/>
                <w:color w:val="000000"/>
                <w:kern w:val="0"/>
                <w:sz w:val="24"/>
              </w:rPr>
            </w:pPr>
          </w:p>
        </w:tc>
      </w:tr>
      <w:tr w14:paraId="5B78BC3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CB960C9">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5F5190A">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BCE3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8973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0F7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8EA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1E48">
            <w:pPr>
              <w:widowControl/>
              <w:spacing w:line="240" w:lineRule="exact"/>
              <w:jc w:val="left"/>
              <w:textAlignment w:val="center"/>
              <w:rPr>
                <w:rFonts w:ascii="宋体" w:hAnsi="宋体" w:eastAsia="宋体" w:cs="宋体"/>
                <w:color w:val="000000"/>
                <w:kern w:val="0"/>
                <w:sz w:val="24"/>
              </w:rPr>
            </w:pPr>
          </w:p>
        </w:tc>
      </w:tr>
      <w:tr w14:paraId="6DAC29E4">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6B7AC2E8">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5030F3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5CE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270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9420E">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F2E2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9886">
            <w:pPr>
              <w:widowControl/>
              <w:spacing w:line="240" w:lineRule="exact"/>
              <w:jc w:val="left"/>
              <w:textAlignment w:val="center"/>
              <w:rPr>
                <w:rFonts w:ascii="宋体" w:hAnsi="宋体" w:eastAsia="宋体" w:cs="宋体"/>
                <w:color w:val="000000"/>
                <w:kern w:val="0"/>
                <w:sz w:val="24"/>
              </w:rPr>
            </w:pPr>
          </w:p>
        </w:tc>
      </w:tr>
      <w:tr w14:paraId="0FF73BA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FFF432">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8FB23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72F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017F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705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9D33B">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E1C34">
            <w:pPr>
              <w:widowControl/>
              <w:spacing w:line="240" w:lineRule="exact"/>
              <w:jc w:val="left"/>
              <w:textAlignment w:val="center"/>
              <w:rPr>
                <w:rFonts w:ascii="宋体" w:hAnsi="宋体" w:eastAsia="宋体" w:cs="宋体"/>
                <w:color w:val="000000"/>
                <w:kern w:val="0"/>
                <w:sz w:val="24"/>
              </w:rPr>
            </w:pPr>
          </w:p>
        </w:tc>
      </w:tr>
      <w:tr w14:paraId="2F4A43A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9C40894">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511E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83A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722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26D4">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E104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6FAA3">
            <w:pPr>
              <w:widowControl/>
              <w:spacing w:line="240" w:lineRule="exact"/>
              <w:jc w:val="left"/>
              <w:textAlignment w:val="center"/>
              <w:rPr>
                <w:rFonts w:ascii="宋体" w:hAnsi="宋体" w:eastAsia="宋体" w:cs="宋体"/>
                <w:color w:val="000000"/>
                <w:kern w:val="0"/>
                <w:sz w:val="24"/>
              </w:rPr>
            </w:pPr>
          </w:p>
        </w:tc>
      </w:tr>
      <w:tr w14:paraId="03DEC25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4E0F4D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B6E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534D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DEB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994B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F61F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06850">
            <w:pPr>
              <w:widowControl/>
              <w:spacing w:line="240" w:lineRule="exact"/>
              <w:jc w:val="left"/>
              <w:textAlignment w:val="center"/>
              <w:rPr>
                <w:rFonts w:ascii="宋体" w:hAnsi="宋体" w:eastAsia="宋体" w:cs="宋体"/>
                <w:color w:val="000000"/>
                <w:kern w:val="0"/>
                <w:sz w:val="24"/>
              </w:rPr>
            </w:pPr>
          </w:p>
        </w:tc>
      </w:tr>
      <w:tr w14:paraId="70E4AFA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3AAFCF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C70BA">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A4B4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9F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895E8">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B05C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2D502">
            <w:pPr>
              <w:widowControl/>
              <w:spacing w:line="240" w:lineRule="exact"/>
              <w:jc w:val="left"/>
              <w:textAlignment w:val="center"/>
              <w:rPr>
                <w:rFonts w:ascii="宋体" w:hAnsi="宋体" w:eastAsia="宋体" w:cs="宋体"/>
                <w:color w:val="000000"/>
                <w:kern w:val="0"/>
                <w:sz w:val="24"/>
              </w:rPr>
            </w:pPr>
          </w:p>
        </w:tc>
      </w:tr>
      <w:tr w14:paraId="255D9A7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A4F123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7FB88">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F1C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2F0E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433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48F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3DAD8">
            <w:pPr>
              <w:widowControl/>
              <w:spacing w:line="240" w:lineRule="exact"/>
              <w:jc w:val="left"/>
              <w:textAlignment w:val="center"/>
              <w:rPr>
                <w:rFonts w:ascii="宋体" w:hAnsi="宋体" w:eastAsia="宋体" w:cs="宋体"/>
                <w:color w:val="000000"/>
                <w:kern w:val="0"/>
                <w:sz w:val="24"/>
              </w:rPr>
            </w:pPr>
          </w:p>
        </w:tc>
      </w:tr>
      <w:tr w14:paraId="7C7D700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1A8CDB5">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CD4E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CBCD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B778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0D17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7793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F2C9">
            <w:pPr>
              <w:widowControl/>
              <w:spacing w:line="240" w:lineRule="exact"/>
              <w:jc w:val="left"/>
              <w:textAlignment w:val="center"/>
              <w:rPr>
                <w:rFonts w:ascii="宋体" w:hAnsi="宋体" w:eastAsia="宋体" w:cs="宋体"/>
                <w:color w:val="000000"/>
                <w:kern w:val="0"/>
                <w:sz w:val="24"/>
              </w:rPr>
            </w:pPr>
          </w:p>
        </w:tc>
      </w:tr>
      <w:tr w14:paraId="3DA568C0">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2F7FB0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295BF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2F7B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80D7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E710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F41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14F3D">
            <w:pPr>
              <w:widowControl/>
              <w:spacing w:line="240" w:lineRule="exact"/>
              <w:jc w:val="left"/>
              <w:textAlignment w:val="center"/>
              <w:rPr>
                <w:rFonts w:ascii="宋体" w:hAnsi="宋体" w:eastAsia="宋体" w:cs="宋体"/>
                <w:color w:val="000000"/>
                <w:kern w:val="0"/>
                <w:sz w:val="24"/>
              </w:rPr>
            </w:pPr>
          </w:p>
        </w:tc>
      </w:tr>
      <w:tr w14:paraId="41728AE8">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75FE8CD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0696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227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0025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9DA0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3DED7">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CA2D">
            <w:pPr>
              <w:widowControl/>
              <w:spacing w:line="240" w:lineRule="exact"/>
              <w:jc w:val="left"/>
              <w:textAlignment w:val="center"/>
              <w:rPr>
                <w:rFonts w:ascii="宋体" w:hAnsi="宋体" w:eastAsia="宋体" w:cs="宋体"/>
                <w:color w:val="000000"/>
                <w:kern w:val="0"/>
                <w:sz w:val="24"/>
              </w:rPr>
            </w:pPr>
          </w:p>
        </w:tc>
      </w:tr>
      <w:tr w14:paraId="09D0BFD0">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70F6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563F3944">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1635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E61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59B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826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D971">
            <w:pPr>
              <w:widowControl/>
              <w:spacing w:line="240" w:lineRule="exact"/>
              <w:jc w:val="left"/>
              <w:textAlignment w:val="center"/>
              <w:rPr>
                <w:rFonts w:ascii="宋体" w:hAnsi="宋体" w:eastAsia="宋体" w:cs="宋体"/>
                <w:color w:val="000000"/>
                <w:kern w:val="0"/>
                <w:sz w:val="24"/>
              </w:rPr>
            </w:pPr>
          </w:p>
        </w:tc>
      </w:tr>
      <w:tr w14:paraId="206F81C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E584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FB3AD9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5E1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646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60CE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6E6F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03E5">
            <w:pPr>
              <w:widowControl/>
              <w:spacing w:line="240" w:lineRule="exact"/>
              <w:jc w:val="left"/>
              <w:textAlignment w:val="center"/>
              <w:rPr>
                <w:rFonts w:ascii="宋体" w:hAnsi="宋体" w:eastAsia="宋体" w:cs="宋体"/>
                <w:color w:val="000000"/>
                <w:kern w:val="0"/>
                <w:sz w:val="24"/>
              </w:rPr>
            </w:pPr>
          </w:p>
        </w:tc>
      </w:tr>
      <w:tr w14:paraId="30E3E618">
        <w:tblPrEx>
          <w:tblCellMar>
            <w:top w:w="0" w:type="dxa"/>
            <w:left w:w="108" w:type="dxa"/>
            <w:bottom w:w="0" w:type="dxa"/>
            <w:right w:w="108" w:type="dxa"/>
          </w:tblCellMar>
        </w:tblPrEx>
        <w:trPr>
          <w:trHeight w:val="55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88358">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47D2931F">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7D84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1769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896D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180F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1AAA0">
            <w:pPr>
              <w:widowControl/>
              <w:spacing w:line="240" w:lineRule="exact"/>
              <w:jc w:val="left"/>
              <w:textAlignment w:val="center"/>
              <w:rPr>
                <w:rFonts w:ascii="宋体" w:hAnsi="宋体" w:eastAsia="宋体" w:cs="宋体"/>
                <w:color w:val="000000"/>
                <w:kern w:val="0"/>
                <w:sz w:val="24"/>
              </w:rPr>
            </w:pPr>
          </w:p>
        </w:tc>
      </w:tr>
      <w:tr w14:paraId="3D449C45">
        <w:tblPrEx>
          <w:tblCellMar>
            <w:top w:w="0" w:type="dxa"/>
            <w:left w:w="108" w:type="dxa"/>
            <w:bottom w:w="0" w:type="dxa"/>
            <w:right w:w="108" w:type="dxa"/>
          </w:tblCellMar>
        </w:tblPrEx>
        <w:trPr>
          <w:trHeight w:val="54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C42BF">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5E888610">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35D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8FD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5E22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911E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F58E7">
            <w:pPr>
              <w:widowControl/>
              <w:spacing w:line="240" w:lineRule="exact"/>
              <w:jc w:val="left"/>
              <w:textAlignment w:val="center"/>
              <w:rPr>
                <w:rFonts w:ascii="宋体" w:hAnsi="宋体" w:eastAsia="宋体" w:cs="宋体"/>
                <w:color w:val="000000"/>
                <w:kern w:val="0"/>
                <w:sz w:val="24"/>
              </w:rPr>
            </w:pPr>
          </w:p>
        </w:tc>
      </w:tr>
      <w:tr w14:paraId="0234FE92">
        <w:tblPrEx>
          <w:tblCellMar>
            <w:top w:w="0" w:type="dxa"/>
            <w:left w:w="108" w:type="dxa"/>
            <w:bottom w:w="0" w:type="dxa"/>
            <w:right w:w="108" w:type="dxa"/>
          </w:tblCellMar>
        </w:tblPrEx>
        <w:trPr>
          <w:trHeight w:val="28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AEE8">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A9D40BA">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7C9C42B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0BF2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333D">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188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090CC">
            <w:pPr>
              <w:widowControl/>
              <w:spacing w:line="240" w:lineRule="exact"/>
              <w:jc w:val="left"/>
              <w:textAlignment w:val="center"/>
              <w:rPr>
                <w:rFonts w:ascii="宋体" w:hAnsi="宋体" w:eastAsia="宋体" w:cs="宋体"/>
                <w:color w:val="000000"/>
                <w:kern w:val="0"/>
                <w:sz w:val="24"/>
              </w:rPr>
            </w:pPr>
          </w:p>
        </w:tc>
      </w:tr>
      <w:tr w14:paraId="64FBE139">
        <w:tblPrEx>
          <w:tblCellMar>
            <w:top w:w="0" w:type="dxa"/>
            <w:left w:w="108" w:type="dxa"/>
            <w:bottom w:w="0" w:type="dxa"/>
            <w:right w:w="108" w:type="dxa"/>
          </w:tblCellMar>
        </w:tblPrEx>
        <w:trPr>
          <w:trHeight w:val="30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84020">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F0A7116">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DFF5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656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8C5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2051">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FF209">
            <w:pPr>
              <w:widowControl/>
              <w:spacing w:line="240" w:lineRule="exact"/>
              <w:jc w:val="left"/>
              <w:textAlignment w:val="center"/>
              <w:rPr>
                <w:rFonts w:ascii="宋体" w:hAnsi="宋体" w:eastAsia="宋体" w:cs="宋体"/>
                <w:color w:val="000000"/>
                <w:kern w:val="0"/>
                <w:sz w:val="24"/>
              </w:rPr>
            </w:pPr>
          </w:p>
        </w:tc>
      </w:tr>
      <w:tr w14:paraId="1C8768AF">
        <w:tblPrEx>
          <w:tblCellMar>
            <w:top w:w="0" w:type="dxa"/>
            <w:left w:w="108" w:type="dxa"/>
            <w:bottom w:w="0" w:type="dxa"/>
            <w:right w:w="108" w:type="dxa"/>
          </w:tblCellMar>
        </w:tblPrEx>
        <w:trPr>
          <w:trHeight w:val="365"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077A1">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16432">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DD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3B4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085C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DD03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21A5">
            <w:pPr>
              <w:widowControl/>
              <w:spacing w:line="240" w:lineRule="exact"/>
              <w:jc w:val="left"/>
              <w:textAlignment w:val="center"/>
              <w:rPr>
                <w:rFonts w:ascii="宋体" w:hAnsi="宋体" w:eastAsia="宋体" w:cs="宋体"/>
                <w:color w:val="000000"/>
                <w:kern w:val="0"/>
                <w:sz w:val="24"/>
              </w:rPr>
            </w:pPr>
          </w:p>
        </w:tc>
      </w:tr>
      <w:tr w14:paraId="0CC6077B">
        <w:tblPrEx>
          <w:tblCellMar>
            <w:top w:w="0" w:type="dxa"/>
            <w:left w:w="108" w:type="dxa"/>
            <w:bottom w:w="0" w:type="dxa"/>
            <w:right w:w="108" w:type="dxa"/>
          </w:tblCellMar>
        </w:tblPrEx>
        <w:trPr>
          <w:trHeight w:val="59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2F96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C08948">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B04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0E15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EA9B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A574E">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D9A5">
            <w:pPr>
              <w:widowControl/>
              <w:spacing w:line="240" w:lineRule="exact"/>
              <w:jc w:val="left"/>
              <w:textAlignment w:val="center"/>
              <w:rPr>
                <w:rFonts w:ascii="宋体" w:hAnsi="宋体" w:eastAsia="宋体" w:cs="宋体"/>
                <w:color w:val="000000"/>
                <w:kern w:val="0"/>
                <w:sz w:val="24"/>
              </w:rPr>
            </w:pPr>
          </w:p>
        </w:tc>
      </w:tr>
      <w:tr w14:paraId="3F4FCF5B">
        <w:tblPrEx>
          <w:tblCellMar>
            <w:top w:w="0" w:type="dxa"/>
            <w:left w:w="108" w:type="dxa"/>
            <w:bottom w:w="0" w:type="dxa"/>
            <w:right w:w="108" w:type="dxa"/>
          </w:tblCellMar>
        </w:tblPrEx>
        <w:trPr>
          <w:trHeight w:val="350"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00B57">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9F52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91F0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0CA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BE3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7F35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AEE98">
            <w:pPr>
              <w:widowControl/>
              <w:spacing w:line="240" w:lineRule="exact"/>
              <w:jc w:val="left"/>
              <w:textAlignment w:val="center"/>
              <w:rPr>
                <w:rFonts w:ascii="宋体" w:hAnsi="宋体" w:eastAsia="宋体" w:cs="宋体"/>
                <w:color w:val="000000"/>
                <w:kern w:val="0"/>
                <w:sz w:val="24"/>
              </w:rPr>
            </w:pPr>
          </w:p>
        </w:tc>
      </w:tr>
      <w:tr w14:paraId="464B6B52">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BACD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C7FC1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C12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20DE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901D">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6E69C">
            <w:pPr>
              <w:widowControl/>
              <w:spacing w:line="240" w:lineRule="exact"/>
              <w:jc w:val="left"/>
              <w:textAlignment w:val="center"/>
              <w:rPr>
                <w:rFonts w:ascii="宋体" w:hAnsi="宋体" w:eastAsia="宋体" w:cs="宋体"/>
                <w:color w:val="000000"/>
                <w:kern w:val="0"/>
                <w:sz w:val="24"/>
              </w:rPr>
            </w:pPr>
          </w:p>
        </w:tc>
      </w:tr>
    </w:tbl>
    <w:p w14:paraId="47635C81">
      <w:pPr>
        <w:spacing w:line="20" w:lineRule="exact"/>
        <w:rPr>
          <w:rFonts w:eastAsia="黑体"/>
        </w:rPr>
      </w:pPr>
    </w:p>
    <w:p w14:paraId="28C5B577">
      <w:pPr>
        <w:spacing w:line="578" w:lineRule="exact"/>
        <w:jc w:val="left"/>
        <w:rPr>
          <w:rFonts w:eastAsia="黑体"/>
        </w:rPr>
      </w:pPr>
    </w:p>
    <w:p w14:paraId="444CC5DA">
      <w:pPr>
        <w:spacing w:line="578" w:lineRule="exact"/>
        <w:jc w:val="left"/>
        <w:rPr>
          <w:rFonts w:eastAsia="黑体"/>
        </w:rPr>
      </w:pPr>
    </w:p>
    <w:p w14:paraId="6493737B">
      <w:pPr>
        <w:spacing w:line="578" w:lineRule="exact"/>
        <w:jc w:val="left"/>
        <w:rPr>
          <w:rFonts w:eastAsia="黑体"/>
        </w:rPr>
      </w:pPr>
    </w:p>
    <w:p w14:paraId="42A5DFEF">
      <w:pPr>
        <w:spacing w:line="578" w:lineRule="exact"/>
        <w:jc w:val="left"/>
        <w:rPr>
          <w:rFonts w:eastAsia="黑体"/>
        </w:rPr>
      </w:pPr>
      <w:r>
        <w:rPr>
          <w:rFonts w:eastAsia="黑体"/>
        </w:rPr>
        <w:t>附表</w:t>
      </w:r>
      <w:r>
        <w:rPr>
          <w:rFonts w:hint="eastAsia" w:eastAsia="黑体"/>
        </w:rPr>
        <w:t>2</w:t>
      </w:r>
    </w:p>
    <w:p w14:paraId="3C02976F">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446"/>
        <w:gridCol w:w="630"/>
        <w:gridCol w:w="945"/>
        <w:gridCol w:w="1185"/>
        <w:gridCol w:w="1080"/>
        <w:gridCol w:w="630"/>
        <w:gridCol w:w="930"/>
        <w:gridCol w:w="1050"/>
        <w:gridCol w:w="1275"/>
        <w:gridCol w:w="1487"/>
      </w:tblGrid>
      <w:tr w14:paraId="3CD43D77">
        <w:tblPrEx>
          <w:tblCellMar>
            <w:top w:w="0" w:type="dxa"/>
            <w:left w:w="108" w:type="dxa"/>
            <w:bottom w:w="0" w:type="dxa"/>
            <w:right w:w="108" w:type="dxa"/>
          </w:tblCellMar>
        </w:tblPrEx>
        <w:trPr>
          <w:trHeight w:val="485" w:hRule="atLeast"/>
          <w:jc w:val="center"/>
        </w:trPr>
        <w:tc>
          <w:tcPr>
            <w:tcW w:w="2021" w:type="dxa"/>
            <w:gridSpan w:val="3"/>
            <w:tcBorders>
              <w:top w:val="single" w:color="000000" w:sz="4" w:space="0"/>
              <w:left w:val="single" w:color="000000" w:sz="4" w:space="0"/>
              <w:bottom w:val="single" w:color="auto" w:sz="4" w:space="0"/>
              <w:right w:val="single" w:color="000000" w:sz="4" w:space="0"/>
            </w:tcBorders>
            <w:noWrap/>
            <w:vAlign w:val="center"/>
          </w:tcPr>
          <w:p w14:paraId="07FA799C">
            <w:pPr>
              <w:rPr>
                <w:rFonts w:ascii="宋体" w:hAnsi="宋体" w:eastAsia="宋体" w:cs="宋体"/>
                <w:color w:val="000000"/>
                <w:kern w:val="0"/>
                <w:sz w:val="18"/>
                <w:szCs w:val="18"/>
              </w:rPr>
            </w:pPr>
            <w:r>
              <w:rPr>
                <w:rFonts w:eastAsia="黑体"/>
                <w:sz w:val="18"/>
                <w:szCs w:val="18"/>
              </w:rPr>
              <w:br w:type="page"/>
            </w:r>
            <w:r>
              <w:rPr>
                <w:rFonts w:hint="eastAsia" w:ascii="宋体" w:hAnsi="宋体" w:eastAsia="宋体" w:cs="宋体"/>
                <w:color w:val="000000"/>
                <w:kern w:val="0"/>
                <w:sz w:val="18"/>
                <w:szCs w:val="18"/>
              </w:rPr>
              <w:t>部门名称</w:t>
            </w:r>
          </w:p>
        </w:tc>
        <w:tc>
          <w:tcPr>
            <w:tcW w:w="7637" w:type="dxa"/>
            <w:gridSpan w:val="7"/>
            <w:tcBorders>
              <w:top w:val="single" w:color="000000" w:sz="4" w:space="0"/>
              <w:left w:val="single" w:color="000000" w:sz="4" w:space="0"/>
              <w:bottom w:val="single" w:color="000000" w:sz="4" w:space="0"/>
              <w:right w:val="single" w:color="000000" w:sz="4" w:space="0"/>
            </w:tcBorders>
            <w:noWrap/>
            <w:vAlign w:val="center"/>
          </w:tcPr>
          <w:p w14:paraId="23941CE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rPr>
              <w:t>阿坝州</w:t>
            </w:r>
            <w:r>
              <w:rPr>
                <w:rFonts w:hint="eastAsia" w:ascii="宋体" w:hAnsi="宋体" w:eastAsia="宋体" w:cs="宋体"/>
                <w:color w:val="000000"/>
                <w:kern w:val="0"/>
                <w:sz w:val="18"/>
                <w:szCs w:val="18"/>
                <w:lang w:val="en-US" w:eastAsia="zh-CN"/>
              </w:rPr>
              <w:t>壤塘县藏医院</w:t>
            </w:r>
          </w:p>
        </w:tc>
      </w:tr>
      <w:tr w14:paraId="3AF2ABAA">
        <w:tblPrEx>
          <w:tblCellMar>
            <w:top w:w="0" w:type="dxa"/>
            <w:left w:w="108" w:type="dxa"/>
            <w:bottom w:w="0" w:type="dxa"/>
            <w:right w:w="108" w:type="dxa"/>
          </w:tblCellMar>
        </w:tblPrEx>
        <w:trPr>
          <w:trHeight w:val="410" w:hRule="atLeast"/>
          <w:jc w:val="center"/>
        </w:trPr>
        <w:tc>
          <w:tcPr>
            <w:tcW w:w="2021" w:type="dxa"/>
            <w:gridSpan w:val="3"/>
            <w:tcBorders>
              <w:top w:val="single" w:color="auto" w:sz="4" w:space="0"/>
              <w:left w:val="single" w:color="auto" w:sz="4" w:space="0"/>
              <w:bottom w:val="single" w:color="auto" w:sz="4" w:space="0"/>
              <w:right w:val="single" w:color="auto" w:sz="4" w:space="0"/>
            </w:tcBorders>
            <w:noWrap/>
            <w:vAlign w:val="center"/>
          </w:tcPr>
          <w:p w14:paraId="53575ABC">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年度部门整体预算</w:t>
            </w:r>
          </w:p>
        </w:tc>
        <w:tc>
          <w:tcPr>
            <w:tcW w:w="2265" w:type="dxa"/>
            <w:gridSpan w:val="2"/>
            <w:tcBorders>
              <w:top w:val="single" w:color="000000" w:sz="4" w:space="0"/>
              <w:left w:val="single" w:color="auto" w:sz="4" w:space="0"/>
              <w:bottom w:val="single" w:color="000000" w:sz="4" w:space="0"/>
              <w:right w:val="single" w:color="auto" w:sz="4" w:space="0"/>
            </w:tcBorders>
            <w:noWrap/>
            <w:vAlign w:val="center"/>
          </w:tcPr>
          <w:p w14:paraId="0A736718">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资金总额</w:t>
            </w:r>
          </w:p>
        </w:tc>
        <w:tc>
          <w:tcPr>
            <w:tcW w:w="1560" w:type="dxa"/>
            <w:gridSpan w:val="2"/>
            <w:tcBorders>
              <w:top w:val="single" w:color="auto" w:sz="4" w:space="0"/>
              <w:left w:val="single" w:color="auto" w:sz="4" w:space="0"/>
              <w:bottom w:val="single" w:color="auto" w:sz="4" w:space="0"/>
              <w:right w:val="single" w:color="auto" w:sz="4" w:space="0"/>
            </w:tcBorders>
            <w:noWrap/>
            <w:vAlign w:val="center"/>
          </w:tcPr>
          <w:p w14:paraId="265296B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p>
        </w:tc>
        <w:tc>
          <w:tcPr>
            <w:tcW w:w="3812" w:type="dxa"/>
            <w:gridSpan w:val="3"/>
            <w:tcBorders>
              <w:top w:val="single" w:color="auto" w:sz="4" w:space="0"/>
              <w:left w:val="single" w:color="auto" w:sz="4" w:space="0"/>
              <w:bottom w:val="single" w:color="auto" w:sz="4" w:space="0"/>
              <w:right w:val="single" w:color="auto" w:sz="4" w:space="0"/>
            </w:tcBorders>
            <w:noWrap/>
            <w:vAlign w:val="center"/>
          </w:tcPr>
          <w:p w14:paraId="2239C4FA">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其他资金</w:t>
            </w:r>
          </w:p>
        </w:tc>
      </w:tr>
      <w:tr w14:paraId="4A3273C0">
        <w:tblPrEx>
          <w:tblCellMar>
            <w:top w:w="0" w:type="dxa"/>
            <w:left w:w="108" w:type="dxa"/>
            <w:bottom w:w="0" w:type="dxa"/>
            <w:right w:w="108" w:type="dxa"/>
          </w:tblCellMar>
        </w:tblPrEx>
        <w:trPr>
          <w:trHeight w:val="350" w:hRule="atLeast"/>
          <w:jc w:val="center"/>
        </w:trPr>
        <w:tc>
          <w:tcPr>
            <w:tcW w:w="2021" w:type="dxa"/>
            <w:gridSpan w:val="3"/>
            <w:tcBorders>
              <w:top w:val="single" w:color="auto" w:sz="4" w:space="0"/>
              <w:left w:val="single" w:color="auto" w:sz="4" w:space="0"/>
              <w:bottom w:val="single" w:color="auto" w:sz="4" w:space="0"/>
              <w:right w:val="single" w:color="auto" w:sz="4" w:space="0"/>
            </w:tcBorders>
            <w:noWrap/>
            <w:vAlign w:val="center"/>
          </w:tcPr>
          <w:p w14:paraId="41A56CD8">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收入预算</w:t>
            </w:r>
          </w:p>
        </w:tc>
        <w:tc>
          <w:tcPr>
            <w:tcW w:w="2265" w:type="dxa"/>
            <w:gridSpan w:val="2"/>
            <w:tcBorders>
              <w:top w:val="single" w:color="000000" w:sz="4" w:space="0"/>
              <w:left w:val="single" w:color="auto" w:sz="4" w:space="0"/>
              <w:bottom w:val="single" w:color="000000" w:sz="4" w:space="0"/>
              <w:right w:val="single" w:color="auto" w:sz="4" w:space="0"/>
            </w:tcBorders>
            <w:noWrap/>
            <w:vAlign w:val="center"/>
          </w:tcPr>
          <w:p w14:paraId="38B3233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1627.95</w:t>
            </w:r>
          </w:p>
        </w:tc>
        <w:tc>
          <w:tcPr>
            <w:tcW w:w="1560" w:type="dxa"/>
            <w:gridSpan w:val="2"/>
            <w:tcBorders>
              <w:top w:val="single" w:color="auto" w:sz="4" w:space="0"/>
              <w:left w:val="single" w:color="auto" w:sz="4" w:space="0"/>
              <w:bottom w:val="single" w:color="auto" w:sz="4" w:space="0"/>
              <w:right w:val="single" w:color="auto" w:sz="4" w:space="0"/>
            </w:tcBorders>
            <w:noWrap/>
            <w:vAlign w:val="center"/>
          </w:tcPr>
          <w:p w14:paraId="6652AFE5">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1150.67</w:t>
            </w:r>
          </w:p>
        </w:tc>
        <w:tc>
          <w:tcPr>
            <w:tcW w:w="3812" w:type="dxa"/>
            <w:gridSpan w:val="3"/>
            <w:tcBorders>
              <w:top w:val="single" w:color="auto" w:sz="4" w:space="0"/>
              <w:left w:val="single" w:color="auto" w:sz="4" w:space="0"/>
              <w:bottom w:val="single" w:color="auto" w:sz="4" w:space="0"/>
              <w:right w:val="single" w:color="auto" w:sz="4" w:space="0"/>
            </w:tcBorders>
            <w:noWrap/>
            <w:vAlign w:val="center"/>
          </w:tcPr>
          <w:p w14:paraId="322EBE12">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477.28</w:t>
            </w:r>
          </w:p>
        </w:tc>
      </w:tr>
      <w:tr w14:paraId="273D99B0">
        <w:tblPrEx>
          <w:tblCellMar>
            <w:top w:w="0" w:type="dxa"/>
            <w:left w:w="108" w:type="dxa"/>
            <w:bottom w:w="0" w:type="dxa"/>
            <w:right w:w="108" w:type="dxa"/>
          </w:tblCellMar>
        </w:tblPrEx>
        <w:trPr>
          <w:trHeight w:val="331" w:hRule="atLeast"/>
          <w:jc w:val="center"/>
        </w:trPr>
        <w:tc>
          <w:tcPr>
            <w:tcW w:w="2021" w:type="dxa"/>
            <w:gridSpan w:val="3"/>
            <w:tcBorders>
              <w:top w:val="single" w:color="auto" w:sz="4" w:space="0"/>
              <w:left w:val="single" w:color="auto" w:sz="4" w:space="0"/>
              <w:bottom w:val="single" w:color="auto" w:sz="4" w:space="0"/>
              <w:right w:val="single" w:color="auto" w:sz="4" w:space="0"/>
            </w:tcBorders>
            <w:noWrap/>
            <w:vAlign w:val="center"/>
          </w:tcPr>
          <w:p w14:paraId="72E5B74A">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支出预算</w:t>
            </w:r>
          </w:p>
        </w:tc>
        <w:tc>
          <w:tcPr>
            <w:tcW w:w="2265" w:type="dxa"/>
            <w:gridSpan w:val="2"/>
            <w:tcBorders>
              <w:top w:val="single" w:color="000000" w:sz="4" w:space="0"/>
              <w:left w:val="single" w:color="auto" w:sz="4" w:space="0"/>
              <w:bottom w:val="single" w:color="000000" w:sz="4" w:space="0"/>
              <w:right w:val="single" w:color="000000" w:sz="4" w:space="0"/>
            </w:tcBorders>
            <w:noWrap/>
            <w:vAlign w:val="center"/>
          </w:tcPr>
          <w:p w14:paraId="2C6173D1">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1481.34</w:t>
            </w:r>
          </w:p>
        </w:tc>
        <w:tc>
          <w:tcPr>
            <w:tcW w:w="1560" w:type="dxa"/>
            <w:gridSpan w:val="2"/>
            <w:tcBorders>
              <w:top w:val="single" w:color="auto" w:sz="4" w:space="0"/>
              <w:left w:val="single" w:color="000000" w:sz="4" w:space="0"/>
              <w:bottom w:val="single" w:color="000000" w:sz="4" w:space="0"/>
              <w:right w:val="single" w:color="000000" w:sz="4" w:space="0"/>
            </w:tcBorders>
            <w:noWrap/>
            <w:vAlign w:val="center"/>
          </w:tcPr>
          <w:p w14:paraId="02EE375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1150.67</w:t>
            </w:r>
          </w:p>
        </w:tc>
        <w:tc>
          <w:tcPr>
            <w:tcW w:w="3812" w:type="dxa"/>
            <w:gridSpan w:val="3"/>
            <w:tcBorders>
              <w:top w:val="single" w:color="auto" w:sz="4" w:space="0"/>
              <w:left w:val="single" w:color="000000" w:sz="4" w:space="0"/>
              <w:bottom w:val="single" w:color="000000" w:sz="4" w:space="0"/>
              <w:right w:val="single" w:color="000000" w:sz="4" w:space="0"/>
            </w:tcBorders>
            <w:noWrap/>
            <w:vAlign w:val="center"/>
          </w:tcPr>
          <w:p w14:paraId="0A52FF1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330.67</w:t>
            </w:r>
          </w:p>
        </w:tc>
      </w:tr>
      <w:tr w14:paraId="3E020F9F">
        <w:tblPrEx>
          <w:tblCellMar>
            <w:top w:w="0" w:type="dxa"/>
            <w:left w:w="108" w:type="dxa"/>
            <w:bottom w:w="0" w:type="dxa"/>
            <w:right w:w="108" w:type="dxa"/>
          </w:tblCellMar>
        </w:tblPrEx>
        <w:trPr>
          <w:trHeight w:val="475" w:hRule="atLeast"/>
          <w:jc w:val="center"/>
        </w:trPr>
        <w:tc>
          <w:tcPr>
            <w:tcW w:w="2021" w:type="dxa"/>
            <w:gridSpan w:val="3"/>
            <w:tcBorders>
              <w:top w:val="single" w:color="auto" w:sz="4" w:space="0"/>
              <w:left w:val="single" w:color="000000" w:sz="4" w:space="0"/>
              <w:bottom w:val="single" w:color="000000" w:sz="4" w:space="0"/>
              <w:right w:val="single" w:color="000000" w:sz="4" w:space="0"/>
            </w:tcBorders>
            <w:noWrap/>
            <w:vAlign w:val="center"/>
          </w:tcPr>
          <w:p w14:paraId="42CDA9E4">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年度总体目标</w:t>
            </w:r>
          </w:p>
        </w:tc>
        <w:tc>
          <w:tcPr>
            <w:tcW w:w="7637" w:type="dxa"/>
            <w:gridSpan w:val="7"/>
            <w:tcBorders>
              <w:top w:val="single" w:color="000000" w:sz="4" w:space="0"/>
              <w:left w:val="single" w:color="000000" w:sz="4" w:space="0"/>
              <w:bottom w:val="single" w:color="000000" w:sz="4" w:space="0"/>
              <w:right w:val="single" w:color="000000" w:sz="4" w:space="0"/>
            </w:tcBorders>
            <w:noWrap/>
            <w:vAlign w:val="center"/>
          </w:tcPr>
          <w:p w14:paraId="0E9582C6">
            <w:pPr>
              <w:widowControl/>
              <w:spacing w:line="240" w:lineRule="exact"/>
              <w:jc w:val="both"/>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推动医院医药分开改革进程、确保医院回归公益性，进一步端正医疗态度、规范医生的用药行为,促进医院发展、</w:t>
            </w:r>
            <w:r>
              <w:rPr>
                <w:rFonts w:hint="eastAsia" w:ascii="宋体" w:hAnsi="宋体" w:eastAsia="宋体" w:cs="宋体"/>
                <w:color w:val="000000"/>
                <w:kern w:val="0"/>
                <w:sz w:val="18"/>
                <w:szCs w:val="18"/>
                <w:lang w:eastAsia="zh-CN"/>
              </w:rPr>
              <w:t>减轻</w:t>
            </w:r>
            <w:r>
              <w:rPr>
                <w:rFonts w:hint="eastAsia" w:ascii="宋体" w:hAnsi="宋体" w:eastAsia="宋体" w:cs="宋体"/>
                <w:color w:val="000000"/>
                <w:kern w:val="0"/>
                <w:sz w:val="18"/>
                <w:szCs w:val="18"/>
              </w:rPr>
              <w:t>医院的负担。</w:t>
            </w:r>
          </w:p>
        </w:tc>
      </w:tr>
      <w:tr w14:paraId="6B626A19">
        <w:tblPrEx>
          <w:tblCellMar>
            <w:top w:w="0" w:type="dxa"/>
            <w:left w:w="108" w:type="dxa"/>
            <w:bottom w:w="0" w:type="dxa"/>
            <w:right w:w="108" w:type="dxa"/>
          </w:tblCellMar>
        </w:tblPrEx>
        <w:trPr>
          <w:trHeight w:val="296" w:hRule="atLeast"/>
          <w:jc w:val="center"/>
        </w:trPr>
        <w:tc>
          <w:tcPr>
            <w:tcW w:w="446" w:type="dxa"/>
            <w:vMerge w:val="restart"/>
            <w:tcBorders>
              <w:top w:val="single" w:color="000000" w:sz="4" w:space="0"/>
              <w:left w:val="single" w:color="000000" w:sz="4" w:space="0"/>
              <w:bottom w:val="single" w:color="000000" w:sz="4" w:space="0"/>
              <w:right w:val="single" w:color="000000" w:sz="4" w:space="0"/>
            </w:tcBorders>
            <w:noWrap/>
            <w:vAlign w:val="center"/>
          </w:tcPr>
          <w:p w14:paraId="3B8774E7">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管理效率</w:t>
            </w:r>
          </w:p>
        </w:tc>
        <w:tc>
          <w:tcPr>
            <w:tcW w:w="630" w:type="dxa"/>
            <w:vMerge w:val="restart"/>
            <w:tcBorders>
              <w:top w:val="single" w:color="000000" w:sz="4" w:space="0"/>
              <w:left w:val="single" w:color="000000" w:sz="4" w:space="0"/>
              <w:bottom w:val="single" w:color="000000" w:sz="4" w:space="0"/>
              <w:right w:val="single" w:color="000000" w:sz="4" w:space="0"/>
            </w:tcBorders>
            <w:noWrap/>
            <w:vAlign w:val="center"/>
          </w:tcPr>
          <w:p w14:paraId="4D06F3EC">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945" w:type="dxa"/>
            <w:vMerge w:val="restart"/>
            <w:tcBorders>
              <w:top w:val="single" w:color="000000" w:sz="4" w:space="0"/>
              <w:left w:val="single" w:color="000000" w:sz="4" w:space="0"/>
              <w:bottom w:val="single" w:color="000000" w:sz="4" w:space="0"/>
              <w:right w:val="single" w:color="000000" w:sz="4" w:space="0"/>
            </w:tcBorders>
            <w:noWrap/>
            <w:vAlign w:val="center"/>
          </w:tcPr>
          <w:p w14:paraId="57817389">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185" w:type="dxa"/>
            <w:vMerge w:val="restart"/>
            <w:tcBorders>
              <w:top w:val="single" w:color="000000" w:sz="4" w:space="0"/>
              <w:left w:val="single" w:color="000000" w:sz="4" w:space="0"/>
              <w:bottom w:val="single" w:color="000000" w:sz="4" w:space="0"/>
              <w:right w:val="single" w:color="000000" w:sz="4" w:space="0"/>
            </w:tcBorders>
            <w:noWrap/>
            <w:vAlign w:val="center"/>
          </w:tcPr>
          <w:p w14:paraId="1DF9C687">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1080" w:type="dxa"/>
            <w:vMerge w:val="restart"/>
            <w:tcBorders>
              <w:top w:val="single" w:color="000000" w:sz="4" w:space="0"/>
              <w:left w:val="single" w:color="000000" w:sz="4" w:space="0"/>
              <w:bottom w:val="single" w:color="000000" w:sz="4" w:space="0"/>
              <w:right w:val="single" w:color="000000" w:sz="4" w:space="0"/>
            </w:tcBorders>
            <w:noWrap/>
            <w:vAlign w:val="center"/>
          </w:tcPr>
          <w:p w14:paraId="64F28E75">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w:t>
            </w:r>
          </w:p>
        </w:tc>
        <w:tc>
          <w:tcPr>
            <w:tcW w:w="3885" w:type="dxa"/>
            <w:gridSpan w:val="4"/>
            <w:tcBorders>
              <w:top w:val="single" w:color="000000" w:sz="4" w:space="0"/>
              <w:left w:val="single" w:color="000000" w:sz="4" w:space="0"/>
              <w:bottom w:val="single" w:color="000000" w:sz="4" w:space="0"/>
              <w:right w:val="single" w:color="000000" w:sz="4" w:space="0"/>
            </w:tcBorders>
            <w:noWrap/>
            <w:vAlign w:val="center"/>
          </w:tcPr>
          <w:p w14:paraId="4DC0568F">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指标设置参考值</w:t>
            </w:r>
          </w:p>
        </w:tc>
        <w:tc>
          <w:tcPr>
            <w:tcW w:w="1487" w:type="dxa"/>
            <w:vMerge w:val="restart"/>
            <w:tcBorders>
              <w:top w:val="single" w:color="000000" w:sz="4" w:space="0"/>
              <w:left w:val="single" w:color="000000" w:sz="4" w:space="0"/>
              <w:right w:val="single" w:color="000000" w:sz="4" w:space="0"/>
            </w:tcBorders>
            <w:noWrap/>
            <w:vAlign w:val="center"/>
          </w:tcPr>
          <w:p w14:paraId="7C5526BE">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指标实际完成值</w:t>
            </w:r>
          </w:p>
        </w:tc>
      </w:tr>
      <w:tr w14:paraId="2261ACBE">
        <w:tblPrEx>
          <w:tblCellMar>
            <w:top w:w="0" w:type="dxa"/>
            <w:left w:w="108" w:type="dxa"/>
            <w:bottom w:w="0" w:type="dxa"/>
            <w:right w:w="108" w:type="dxa"/>
          </w:tblCellMar>
        </w:tblPrEx>
        <w:trPr>
          <w:trHeight w:val="296"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600A53CF">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1CF43042">
            <w:pPr>
              <w:widowControl/>
              <w:spacing w:line="240" w:lineRule="exact"/>
              <w:jc w:val="center"/>
              <w:textAlignment w:val="center"/>
              <w:rPr>
                <w:rFonts w:ascii="宋体" w:hAnsi="宋体" w:eastAsia="宋体" w:cs="宋体"/>
                <w:color w:val="000000"/>
                <w:kern w:val="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noWrap/>
            <w:vAlign w:val="center"/>
          </w:tcPr>
          <w:p w14:paraId="28D8D394">
            <w:pPr>
              <w:widowControl/>
              <w:spacing w:line="240" w:lineRule="exact"/>
              <w:jc w:val="center"/>
              <w:textAlignment w:val="center"/>
              <w:rPr>
                <w:rFonts w:ascii="宋体" w:hAnsi="宋体" w:eastAsia="宋体" w:cs="宋体"/>
                <w:color w:val="000000"/>
                <w:kern w:val="0"/>
                <w:sz w:val="18"/>
                <w:szCs w:val="18"/>
              </w:rPr>
            </w:pPr>
          </w:p>
        </w:tc>
        <w:tc>
          <w:tcPr>
            <w:tcW w:w="1185" w:type="dxa"/>
            <w:vMerge w:val="continue"/>
            <w:tcBorders>
              <w:top w:val="single" w:color="000000" w:sz="4" w:space="0"/>
              <w:left w:val="single" w:color="000000" w:sz="4" w:space="0"/>
              <w:bottom w:val="single" w:color="000000" w:sz="4" w:space="0"/>
              <w:right w:val="single" w:color="000000" w:sz="4" w:space="0"/>
            </w:tcBorders>
            <w:noWrap/>
            <w:vAlign w:val="center"/>
          </w:tcPr>
          <w:p w14:paraId="4AAB4DAC">
            <w:pPr>
              <w:widowControl/>
              <w:spacing w:line="240" w:lineRule="exact"/>
              <w:jc w:val="center"/>
              <w:textAlignment w:val="center"/>
              <w:rPr>
                <w:rFonts w:ascii="宋体" w:hAnsi="宋体" w:eastAsia="宋体" w:cs="宋体"/>
                <w:color w:val="000000"/>
                <w:kern w:val="0"/>
                <w:sz w:val="18"/>
                <w:szCs w:val="18"/>
              </w:rPr>
            </w:pPr>
          </w:p>
        </w:tc>
        <w:tc>
          <w:tcPr>
            <w:tcW w:w="1080" w:type="dxa"/>
            <w:vMerge w:val="continue"/>
            <w:tcBorders>
              <w:top w:val="single" w:color="000000" w:sz="4" w:space="0"/>
              <w:left w:val="single" w:color="000000" w:sz="4" w:space="0"/>
              <w:bottom w:val="single" w:color="000000" w:sz="4" w:space="0"/>
              <w:right w:val="single" w:color="000000" w:sz="4" w:space="0"/>
            </w:tcBorders>
            <w:noWrap/>
            <w:vAlign w:val="center"/>
          </w:tcPr>
          <w:p w14:paraId="60F78267">
            <w:pPr>
              <w:widowControl/>
              <w:spacing w:line="240" w:lineRule="exact"/>
              <w:jc w:val="center"/>
              <w:textAlignment w:val="center"/>
              <w:rPr>
                <w:rFonts w:ascii="宋体" w:hAnsi="宋体" w:eastAsia="宋体" w:cs="宋体"/>
                <w:color w:val="000000"/>
                <w:kern w:val="0"/>
                <w:sz w:val="18"/>
                <w:szCs w:val="18"/>
              </w:rPr>
            </w:pPr>
          </w:p>
        </w:tc>
        <w:tc>
          <w:tcPr>
            <w:tcW w:w="630" w:type="dxa"/>
            <w:tcBorders>
              <w:top w:val="single" w:color="000000" w:sz="4" w:space="0"/>
              <w:left w:val="single" w:color="000000" w:sz="4" w:space="0"/>
              <w:right w:val="single" w:color="000000" w:sz="4" w:space="0"/>
            </w:tcBorders>
            <w:noWrap/>
            <w:vAlign w:val="center"/>
          </w:tcPr>
          <w:p w14:paraId="567BA44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三年</w:t>
            </w:r>
          </w:p>
          <w:p w14:paraId="227436BC">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均值</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27D4526A">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2023</w:t>
            </w:r>
            <w:r>
              <w:rPr>
                <w:rFonts w:ascii="宋体" w:hAnsi="宋体" w:eastAsia="宋体" w:cs="宋体"/>
                <w:color w:val="000000"/>
                <w:kern w:val="0"/>
                <w:sz w:val="18"/>
                <w:szCs w:val="18"/>
              </w:rPr>
              <w:t>年</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FB83F99">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2024</w:t>
            </w:r>
            <w:r>
              <w:rPr>
                <w:rFonts w:ascii="宋体" w:hAnsi="宋体" w:eastAsia="宋体" w:cs="宋体"/>
                <w:color w:val="000000"/>
                <w:kern w:val="0"/>
                <w:sz w:val="18"/>
                <w:szCs w:val="18"/>
              </w:rPr>
              <w:t>年</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2CA4D884">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2025</w:t>
            </w:r>
            <w:r>
              <w:rPr>
                <w:rFonts w:ascii="宋体" w:hAnsi="宋体" w:eastAsia="宋体" w:cs="宋体"/>
                <w:color w:val="000000"/>
                <w:kern w:val="0"/>
                <w:sz w:val="18"/>
                <w:szCs w:val="18"/>
              </w:rPr>
              <w:t>年</w:t>
            </w:r>
          </w:p>
        </w:tc>
        <w:tc>
          <w:tcPr>
            <w:tcW w:w="1487" w:type="dxa"/>
            <w:vMerge w:val="continue"/>
            <w:tcBorders>
              <w:left w:val="single" w:color="000000" w:sz="4" w:space="0"/>
              <w:right w:val="single" w:color="000000" w:sz="4" w:space="0"/>
            </w:tcBorders>
            <w:noWrap/>
            <w:vAlign w:val="center"/>
          </w:tcPr>
          <w:p w14:paraId="2C80BB87">
            <w:pPr>
              <w:widowControl/>
              <w:spacing w:line="240" w:lineRule="exact"/>
              <w:jc w:val="center"/>
              <w:textAlignment w:val="center"/>
              <w:rPr>
                <w:rFonts w:ascii="宋体" w:hAnsi="宋体" w:eastAsia="宋体" w:cs="宋体"/>
                <w:color w:val="000000"/>
                <w:kern w:val="0"/>
                <w:sz w:val="18"/>
                <w:szCs w:val="18"/>
              </w:rPr>
            </w:pPr>
          </w:p>
        </w:tc>
      </w:tr>
      <w:tr w14:paraId="5B6CA723">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4DCA5A73">
            <w:pPr>
              <w:widowControl/>
              <w:spacing w:line="240" w:lineRule="exact"/>
              <w:jc w:val="center"/>
              <w:textAlignment w:val="center"/>
              <w:rPr>
                <w:rFonts w:ascii="宋体" w:hAnsi="宋体" w:eastAsia="宋体" w:cs="宋体"/>
                <w:color w:val="000000"/>
                <w:kern w:val="0"/>
                <w:sz w:val="18"/>
                <w:szCs w:val="18"/>
              </w:rPr>
            </w:pPr>
          </w:p>
        </w:tc>
        <w:tc>
          <w:tcPr>
            <w:tcW w:w="630" w:type="dxa"/>
            <w:vMerge w:val="restart"/>
            <w:tcBorders>
              <w:top w:val="single" w:color="000000" w:sz="4" w:space="0"/>
              <w:left w:val="single" w:color="000000" w:sz="4" w:space="0"/>
              <w:bottom w:val="single" w:color="000000" w:sz="4" w:space="0"/>
              <w:right w:val="single" w:color="000000" w:sz="4" w:space="0"/>
            </w:tcBorders>
            <w:noWrap/>
            <w:vAlign w:val="center"/>
          </w:tcPr>
          <w:p w14:paraId="3915FB99">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成本指标</w:t>
            </w:r>
          </w:p>
        </w:tc>
        <w:tc>
          <w:tcPr>
            <w:tcW w:w="945" w:type="dxa"/>
            <w:vMerge w:val="restart"/>
            <w:tcBorders>
              <w:top w:val="single" w:color="000000" w:sz="4" w:space="0"/>
              <w:left w:val="single" w:color="000000" w:sz="4" w:space="0"/>
              <w:bottom w:val="single" w:color="000000" w:sz="4" w:space="0"/>
              <w:right w:val="single" w:color="000000" w:sz="4" w:space="0"/>
            </w:tcBorders>
            <w:noWrap/>
            <w:vAlign w:val="center"/>
          </w:tcPr>
          <w:p w14:paraId="7716E423">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预算管理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175C42F6">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财政拨款</w:t>
            </w:r>
            <w:r>
              <w:rPr>
                <w:rFonts w:ascii="宋体" w:hAnsi="宋体" w:eastAsia="宋体" w:cs="宋体"/>
                <w:color w:val="000000"/>
                <w:kern w:val="0"/>
                <w:sz w:val="18"/>
                <w:szCs w:val="18"/>
              </w:rPr>
              <w:t>预算编制偏离度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23BB9C82">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104.06</w:t>
            </w:r>
            <w:r>
              <w:rPr>
                <w:rFonts w:hint="eastAsia" w:ascii="宋体" w:hAnsi="宋体" w:eastAsia="宋体" w:cs="宋体"/>
                <w:color w:val="000000"/>
                <w:kern w:val="0"/>
                <w:sz w:val="18"/>
                <w:szCs w:val="18"/>
              </w:rPr>
              <w:t>%</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456EFDA9">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104.06</w:t>
            </w:r>
            <w:r>
              <w:rPr>
                <w:rFonts w:ascii="宋体" w:hAnsi="宋体" w:eastAsia="宋体" w:cs="宋体"/>
                <w:color w:val="000000"/>
                <w:kern w:val="0"/>
                <w:sz w:val="18"/>
                <w:szCs w:val="18"/>
              </w:rPr>
              <w:t>%</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4B16019">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155.97%</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EFADB4C">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63.01%</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734FCB87">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93.21%</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720F7A06">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93.21%</w:t>
            </w:r>
          </w:p>
        </w:tc>
      </w:tr>
      <w:tr w14:paraId="4467662A">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797D3AA2">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7DAFB976">
            <w:pPr>
              <w:widowControl/>
              <w:spacing w:line="240" w:lineRule="exact"/>
              <w:jc w:val="center"/>
              <w:textAlignment w:val="center"/>
              <w:rPr>
                <w:rFonts w:ascii="宋体" w:hAnsi="宋体" w:eastAsia="宋体" w:cs="宋体"/>
                <w:color w:val="000000"/>
                <w:kern w:val="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noWrap/>
            <w:vAlign w:val="center"/>
          </w:tcPr>
          <w:p w14:paraId="2A3BF900">
            <w:pPr>
              <w:widowControl/>
              <w:spacing w:line="240" w:lineRule="exact"/>
              <w:jc w:val="center"/>
              <w:textAlignment w:val="center"/>
              <w:rPr>
                <w:rFonts w:ascii="宋体" w:hAnsi="宋体" w:eastAsia="宋体" w:cs="宋体"/>
                <w:color w:val="000000"/>
                <w:kern w:val="0"/>
                <w:sz w:val="18"/>
                <w:szCs w:val="18"/>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643CBE4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单位收入统筹度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265CFB">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89C4163">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79F524D">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75749A20">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100%</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EE20F02">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7BD5C52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100%</w:t>
            </w:r>
          </w:p>
        </w:tc>
      </w:tr>
      <w:tr w14:paraId="7906027F">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4E28415D">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6E8374E4">
            <w:pPr>
              <w:widowControl/>
              <w:spacing w:line="240" w:lineRule="exact"/>
              <w:jc w:val="center"/>
              <w:textAlignment w:val="center"/>
              <w:rPr>
                <w:rFonts w:ascii="宋体" w:hAnsi="宋体" w:eastAsia="宋体" w:cs="宋体"/>
                <w:color w:val="000000"/>
                <w:kern w:val="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noWrap/>
            <w:vAlign w:val="center"/>
          </w:tcPr>
          <w:p w14:paraId="0EE1B186">
            <w:pPr>
              <w:widowControl/>
              <w:spacing w:line="240" w:lineRule="exact"/>
              <w:jc w:val="center"/>
              <w:textAlignment w:val="center"/>
              <w:rPr>
                <w:rFonts w:ascii="宋体" w:hAnsi="宋体" w:eastAsia="宋体" w:cs="宋体"/>
                <w:color w:val="000000"/>
                <w:kern w:val="0"/>
                <w:sz w:val="18"/>
                <w:szCs w:val="18"/>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53F6A1D0">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预算年终结余</w:t>
            </w:r>
            <w:r>
              <w:rPr>
                <w:rFonts w:ascii="宋体" w:hAnsi="宋体" w:eastAsia="宋体" w:cs="宋体"/>
                <w:color w:val="000000"/>
                <w:kern w:val="0"/>
                <w:sz w:val="18"/>
                <w:szCs w:val="18"/>
              </w:rPr>
              <w:t>率</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533545F">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26.71</w:t>
            </w:r>
            <w:r>
              <w:rPr>
                <w:rFonts w:hint="eastAsia" w:ascii="宋体" w:hAnsi="宋体" w:eastAsia="宋体" w:cs="宋体"/>
                <w:color w:val="000000"/>
                <w:kern w:val="0"/>
                <w:sz w:val="18"/>
                <w:szCs w:val="18"/>
              </w:rPr>
              <w:t>%</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774A319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26.71</w:t>
            </w:r>
            <w:r>
              <w:rPr>
                <w:rFonts w:ascii="宋体" w:hAnsi="宋体" w:eastAsia="宋体" w:cs="宋体"/>
                <w:color w:val="000000"/>
                <w:kern w:val="0"/>
                <w:sz w:val="18"/>
                <w:szCs w:val="18"/>
              </w:rPr>
              <w:t>%</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036E99C3">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16.52%</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42B8C9F9">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32.9%</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754CEBC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30.72%</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07A15F99">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30.72%</w:t>
            </w:r>
          </w:p>
        </w:tc>
      </w:tr>
      <w:tr w14:paraId="62ABF041">
        <w:tblPrEx>
          <w:tblCellMar>
            <w:top w:w="0" w:type="dxa"/>
            <w:left w:w="108" w:type="dxa"/>
            <w:bottom w:w="0" w:type="dxa"/>
            <w:right w:w="108" w:type="dxa"/>
          </w:tblCellMar>
        </w:tblPrEx>
        <w:trPr>
          <w:trHeight w:val="35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33AF0F84">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0E3E379C">
            <w:pPr>
              <w:widowControl/>
              <w:spacing w:line="240" w:lineRule="exact"/>
              <w:jc w:val="center"/>
              <w:textAlignment w:val="center"/>
              <w:rPr>
                <w:rFonts w:ascii="宋体" w:hAnsi="宋体" w:eastAsia="宋体" w:cs="宋体"/>
                <w:color w:val="000000"/>
                <w:kern w:val="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noWrap/>
            <w:vAlign w:val="center"/>
          </w:tcPr>
          <w:p w14:paraId="7A83C5EB">
            <w:pPr>
              <w:widowControl/>
              <w:spacing w:line="240" w:lineRule="exact"/>
              <w:jc w:val="center"/>
              <w:textAlignment w:val="center"/>
              <w:rPr>
                <w:rFonts w:ascii="宋体" w:hAnsi="宋体" w:eastAsia="宋体" w:cs="宋体"/>
                <w:color w:val="000000"/>
                <w:kern w:val="0"/>
                <w:sz w:val="18"/>
                <w:szCs w:val="18"/>
              </w:rPr>
            </w:pP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CDA179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一般性支出</w:t>
            </w:r>
            <w:r>
              <w:rPr>
                <w:rFonts w:ascii="宋体" w:hAnsi="宋体" w:eastAsia="宋体" w:cs="宋体"/>
                <w:color w:val="000000"/>
                <w:kern w:val="0"/>
                <w:sz w:val="18"/>
                <w:szCs w:val="18"/>
              </w:rPr>
              <w:t>金额</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F3C88AF">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3.63</w:t>
            </w:r>
            <w:r>
              <w:rPr>
                <w:rFonts w:ascii="宋体" w:hAnsi="宋体" w:eastAsia="宋体" w:cs="宋体"/>
                <w:color w:val="000000"/>
                <w:kern w:val="0"/>
                <w:sz w:val="18"/>
                <w:szCs w:val="18"/>
              </w:rPr>
              <w:t>万元</w:t>
            </w:r>
          </w:p>
        </w:tc>
        <w:tc>
          <w:tcPr>
            <w:tcW w:w="3885" w:type="dxa"/>
            <w:gridSpan w:val="4"/>
            <w:tcBorders>
              <w:top w:val="single" w:color="000000" w:sz="4" w:space="0"/>
              <w:left w:val="single" w:color="000000" w:sz="4" w:space="0"/>
              <w:bottom w:val="single" w:color="000000" w:sz="4" w:space="0"/>
              <w:right w:val="single" w:color="000000" w:sz="4" w:space="0"/>
            </w:tcBorders>
            <w:noWrap/>
            <w:vAlign w:val="center"/>
          </w:tcPr>
          <w:p w14:paraId="69F8CD66">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x为上年一般性支出金额</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283898A7">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3.63万元</w:t>
            </w:r>
          </w:p>
        </w:tc>
      </w:tr>
      <w:tr w14:paraId="243A5463">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133B235E">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1CEAEE9A">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7432FBBE">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975DB90">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财务管理规范</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657AE3EF">
            <w:pPr>
              <w:widowControl/>
              <w:spacing w:line="240" w:lineRule="exact"/>
              <w:jc w:val="both"/>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 xml:space="preserve">  中</w:t>
            </w:r>
          </w:p>
        </w:tc>
        <w:tc>
          <w:tcPr>
            <w:tcW w:w="3885" w:type="dxa"/>
            <w:gridSpan w:val="4"/>
            <w:tcBorders>
              <w:top w:val="single" w:color="000000" w:sz="4" w:space="0"/>
              <w:left w:val="single" w:color="000000" w:sz="4" w:space="0"/>
              <w:bottom w:val="single" w:color="000000" w:sz="4" w:space="0"/>
              <w:right w:val="single" w:color="000000" w:sz="4" w:space="0"/>
            </w:tcBorders>
            <w:noWrap/>
            <w:vAlign w:val="center"/>
          </w:tcPr>
          <w:p w14:paraId="312F8AB4">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x为“优”“良”“中”或“差”</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1AC00175">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良</w:t>
            </w:r>
          </w:p>
        </w:tc>
      </w:tr>
      <w:tr w14:paraId="49A409BB">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4BA4AA3E">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7914DF9D">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62F8380B">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资产管理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E672C4D">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资产配置预算偏离度</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126D9610">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0B02F2A">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x</w:t>
            </w:r>
            <w:r>
              <w:rPr>
                <w:rFonts w:ascii="宋体" w:hAnsi="宋体" w:eastAsia="宋体" w:cs="宋体"/>
                <w:color w:val="000000"/>
                <w:kern w:val="0"/>
                <w:sz w:val="18"/>
                <w:szCs w:val="18"/>
              </w:rPr>
              <w:t>%</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36E3A775">
            <w:pPr>
              <w:widowControl/>
              <w:spacing w:line="240" w:lineRule="exact"/>
              <w:jc w:val="center"/>
              <w:textAlignment w:val="center"/>
              <w:rPr>
                <w:rFonts w:ascii="宋体" w:hAnsi="宋体" w:eastAsia="宋体" w:cs="宋体"/>
                <w:color w:val="000000"/>
                <w:kern w:val="0"/>
                <w:sz w:val="18"/>
                <w:szCs w:val="18"/>
              </w:rPr>
            </w:pP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67E94122">
            <w:pPr>
              <w:widowControl/>
              <w:spacing w:line="240" w:lineRule="exact"/>
              <w:jc w:val="center"/>
              <w:textAlignment w:val="center"/>
              <w:rPr>
                <w:rFonts w:ascii="宋体" w:hAnsi="宋体" w:eastAsia="宋体" w:cs="宋体"/>
                <w:color w:val="000000"/>
                <w:kern w:val="0"/>
                <w:sz w:val="18"/>
                <w:szCs w:val="18"/>
              </w:rPr>
            </w:pP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16FEA577">
            <w:pPr>
              <w:widowControl/>
              <w:spacing w:line="240" w:lineRule="exact"/>
              <w:jc w:val="center"/>
              <w:textAlignment w:val="center"/>
              <w:rPr>
                <w:rFonts w:ascii="宋体" w:hAnsi="宋体" w:eastAsia="宋体" w:cs="宋体"/>
                <w:color w:val="000000"/>
                <w:kern w:val="0"/>
                <w:sz w:val="18"/>
                <w:szCs w:val="18"/>
              </w:rPr>
            </w:pP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6FECF93E">
            <w:pPr>
              <w:widowControl/>
              <w:spacing w:line="240" w:lineRule="exact"/>
              <w:jc w:val="center"/>
              <w:textAlignment w:val="center"/>
              <w:rPr>
                <w:rFonts w:ascii="宋体" w:hAnsi="宋体" w:eastAsia="宋体" w:cs="宋体"/>
                <w:color w:val="000000"/>
                <w:kern w:val="0"/>
                <w:sz w:val="18"/>
                <w:szCs w:val="18"/>
              </w:rPr>
            </w:pPr>
          </w:p>
        </w:tc>
      </w:tr>
      <w:tr w14:paraId="133FF557">
        <w:tblPrEx>
          <w:tblCellMar>
            <w:top w:w="0" w:type="dxa"/>
            <w:left w:w="108" w:type="dxa"/>
            <w:bottom w:w="0" w:type="dxa"/>
            <w:right w:w="108" w:type="dxa"/>
          </w:tblCellMar>
        </w:tblPrEx>
        <w:trPr>
          <w:trHeight w:val="90" w:hRule="atLeast"/>
          <w:jc w:val="center"/>
        </w:trPr>
        <w:tc>
          <w:tcPr>
            <w:tcW w:w="446" w:type="dxa"/>
            <w:vMerge w:val="continue"/>
            <w:tcBorders>
              <w:top w:val="single" w:color="000000" w:sz="4" w:space="0"/>
              <w:left w:val="single" w:color="000000" w:sz="4" w:space="0"/>
              <w:bottom w:val="single" w:color="000000" w:sz="4" w:space="0"/>
              <w:right w:val="single" w:color="000000" w:sz="4" w:space="0"/>
            </w:tcBorders>
            <w:noWrap/>
            <w:vAlign w:val="center"/>
          </w:tcPr>
          <w:p w14:paraId="17904BAC">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6EFD65F1">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0E2AF3F2">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采购管理</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8797315">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采购执行率</w:t>
            </w:r>
          </w:p>
        </w:tc>
        <w:tc>
          <w:tcPr>
            <w:tcW w:w="1080" w:type="dxa"/>
            <w:tcBorders>
              <w:top w:val="single" w:color="000000" w:sz="4" w:space="0"/>
              <w:left w:val="single" w:color="000000" w:sz="4" w:space="0"/>
              <w:bottom w:val="single" w:color="000000" w:sz="4" w:space="0"/>
              <w:right w:val="single" w:color="000000" w:sz="4" w:space="0"/>
            </w:tcBorders>
            <w:noWrap/>
            <w:vAlign w:val="center"/>
          </w:tcPr>
          <w:p w14:paraId="34AF282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27.93</w:t>
            </w:r>
            <w:r>
              <w:rPr>
                <w:rFonts w:hint="eastAsia" w:ascii="宋体" w:hAnsi="宋体" w:eastAsia="宋体" w:cs="宋体"/>
                <w:color w:val="000000"/>
                <w:kern w:val="0"/>
                <w:sz w:val="18"/>
                <w:szCs w:val="18"/>
              </w:rPr>
              <w:t>%</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3F62BE83">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lang w:val="en-US" w:eastAsia="zh-CN"/>
              </w:rPr>
              <w:t>27.93</w:t>
            </w:r>
            <w:r>
              <w:rPr>
                <w:rFonts w:ascii="宋体" w:hAnsi="宋体" w:eastAsia="宋体" w:cs="宋体"/>
                <w:color w:val="000000"/>
                <w:kern w:val="0"/>
                <w:sz w:val="18"/>
                <w:szCs w:val="18"/>
              </w:rPr>
              <w:t>%</w:t>
            </w:r>
          </w:p>
        </w:tc>
        <w:tc>
          <w:tcPr>
            <w:tcW w:w="930" w:type="dxa"/>
            <w:tcBorders>
              <w:top w:val="single" w:color="000000" w:sz="4" w:space="0"/>
              <w:left w:val="single" w:color="000000" w:sz="4" w:space="0"/>
              <w:bottom w:val="single" w:color="000000" w:sz="4" w:space="0"/>
              <w:right w:val="single" w:color="000000" w:sz="4" w:space="0"/>
            </w:tcBorders>
            <w:noWrap/>
            <w:vAlign w:val="center"/>
          </w:tcPr>
          <w:p w14:paraId="61008A4B">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050" w:type="dxa"/>
            <w:tcBorders>
              <w:top w:val="single" w:color="000000" w:sz="4" w:space="0"/>
              <w:left w:val="single" w:color="000000" w:sz="4" w:space="0"/>
              <w:bottom w:val="single" w:color="000000" w:sz="4" w:space="0"/>
              <w:right w:val="single" w:color="000000" w:sz="4" w:space="0"/>
            </w:tcBorders>
            <w:noWrap/>
            <w:vAlign w:val="center"/>
          </w:tcPr>
          <w:p w14:paraId="5F869997">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83.8%</w:t>
            </w:r>
          </w:p>
        </w:tc>
        <w:tc>
          <w:tcPr>
            <w:tcW w:w="1275" w:type="dxa"/>
            <w:tcBorders>
              <w:top w:val="single" w:color="000000" w:sz="4" w:space="0"/>
              <w:left w:val="single" w:color="000000" w:sz="4" w:space="0"/>
              <w:bottom w:val="single" w:color="000000" w:sz="4" w:space="0"/>
              <w:right w:val="single" w:color="000000" w:sz="4" w:space="0"/>
            </w:tcBorders>
            <w:noWrap/>
            <w:vAlign w:val="center"/>
          </w:tcPr>
          <w:p w14:paraId="6217DAD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0%</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17061EE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27.93%</w:t>
            </w:r>
          </w:p>
        </w:tc>
      </w:tr>
      <w:tr w14:paraId="7197D55C">
        <w:tblPrEx>
          <w:tblCellMar>
            <w:top w:w="0" w:type="dxa"/>
            <w:left w:w="108" w:type="dxa"/>
            <w:bottom w:w="0" w:type="dxa"/>
            <w:right w:w="108" w:type="dxa"/>
          </w:tblCellMar>
        </w:tblPrEx>
        <w:trPr>
          <w:trHeight w:val="468" w:hRule="atLeast"/>
          <w:jc w:val="center"/>
        </w:trPr>
        <w:tc>
          <w:tcPr>
            <w:tcW w:w="446" w:type="dxa"/>
            <w:vMerge w:val="restart"/>
            <w:tcBorders>
              <w:top w:val="single" w:color="000000" w:sz="4" w:space="0"/>
              <w:left w:val="single" w:color="000000" w:sz="4" w:space="0"/>
              <w:right w:val="single" w:color="000000" w:sz="4" w:space="0"/>
            </w:tcBorders>
            <w:noWrap/>
            <w:vAlign w:val="center"/>
          </w:tcPr>
          <w:p w14:paraId="6AC4D3BD">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履职效能</w:t>
            </w: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34E18651">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一级指标</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B4F9B03">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二级指标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276AA58">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三级指标</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594F72A8">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指标值（包含数字及文字描述）</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7E0A1976">
            <w:pPr>
              <w:widowControl/>
              <w:spacing w:line="240" w:lineRule="exact"/>
              <w:jc w:val="center"/>
              <w:textAlignment w:val="center"/>
              <w:rPr>
                <w:rFonts w:ascii="宋体" w:hAnsi="宋体" w:eastAsia="宋体" w:cs="宋体"/>
                <w:color w:val="000000"/>
                <w:kern w:val="0"/>
                <w:sz w:val="18"/>
                <w:szCs w:val="18"/>
              </w:rPr>
            </w:pPr>
          </w:p>
        </w:tc>
      </w:tr>
      <w:tr w14:paraId="1CED8349">
        <w:tblPrEx>
          <w:tblCellMar>
            <w:top w:w="0" w:type="dxa"/>
            <w:left w:w="108" w:type="dxa"/>
            <w:bottom w:w="0" w:type="dxa"/>
            <w:right w:w="108" w:type="dxa"/>
          </w:tblCellMar>
        </w:tblPrEx>
        <w:trPr>
          <w:trHeight w:val="296" w:hRule="atLeast"/>
          <w:jc w:val="center"/>
        </w:trPr>
        <w:tc>
          <w:tcPr>
            <w:tcW w:w="446" w:type="dxa"/>
            <w:vMerge w:val="continue"/>
            <w:tcBorders>
              <w:left w:val="single" w:color="000000" w:sz="4" w:space="0"/>
              <w:right w:val="single" w:color="000000" w:sz="4" w:space="0"/>
            </w:tcBorders>
            <w:noWrap/>
            <w:vAlign w:val="center"/>
          </w:tcPr>
          <w:p w14:paraId="5588CCA2">
            <w:pPr>
              <w:widowControl/>
              <w:spacing w:line="240" w:lineRule="exact"/>
              <w:jc w:val="center"/>
              <w:textAlignment w:val="center"/>
              <w:rPr>
                <w:rFonts w:ascii="宋体" w:hAnsi="宋体" w:eastAsia="宋体" w:cs="宋体"/>
                <w:color w:val="000000"/>
                <w:kern w:val="0"/>
                <w:sz w:val="18"/>
                <w:szCs w:val="18"/>
              </w:rPr>
            </w:pPr>
          </w:p>
        </w:tc>
        <w:tc>
          <w:tcPr>
            <w:tcW w:w="630" w:type="dxa"/>
            <w:vMerge w:val="restart"/>
            <w:tcBorders>
              <w:top w:val="single" w:color="000000" w:sz="4" w:space="0"/>
              <w:left w:val="single" w:color="000000" w:sz="4" w:space="0"/>
              <w:bottom w:val="single" w:color="000000" w:sz="4" w:space="0"/>
              <w:right w:val="single" w:color="000000" w:sz="4" w:space="0"/>
            </w:tcBorders>
            <w:noWrap/>
            <w:vAlign w:val="center"/>
          </w:tcPr>
          <w:p w14:paraId="4D7B2843">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产出指标</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07FDD9B">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数量指标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36A0B45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医疗服务完成率</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5DE16C54">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95%</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6734B898">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95%</w:t>
            </w:r>
          </w:p>
        </w:tc>
      </w:tr>
      <w:tr w14:paraId="066D27A9">
        <w:tblPrEx>
          <w:tblCellMar>
            <w:top w:w="0" w:type="dxa"/>
            <w:left w:w="108" w:type="dxa"/>
            <w:bottom w:w="0" w:type="dxa"/>
            <w:right w:w="108" w:type="dxa"/>
          </w:tblCellMar>
        </w:tblPrEx>
        <w:trPr>
          <w:trHeight w:val="296" w:hRule="atLeast"/>
          <w:jc w:val="center"/>
        </w:trPr>
        <w:tc>
          <w:tcPr>
            <w:tcW w:w="446" w:type="dxa"/>
            <w:vMerge w:val="continue"/>
            <w:tcBorders>
              <w:left w:val="single" w:color="000000" w:sz="4" w:space="0"/>
              <w:right w:val="single" w:color="000000" w:sz="4" w:space="0"/>
            </w:tcBorders>
            <w:noWrap/>
            <w:vAlign w:val="center"/>
          </w:tcPr>
          <w:p w14:paraId="782F3451">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6CD266B8">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5F916F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数量指标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9623195">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合理用药规范率</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5713F004">
            <w:pPr>
              <w:widowControl/>
              <w:spacing w:line="240" w:lineRule="exact"/>
              <w:jc w:val="center"/>
              <w:textAlignment w:val="center"/>
              <w:rPr>
                <w:rFonts w:ascii="宋体" w:hAnsi="宋体" w:eastAsia="宋体" w:cs="宋体"/>
                <w:color w:val="000000"/>
                <w:kern w:val="0"/>
                <w:sz w:val="18"/>
                <w:szCs w:val="18"/>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98%</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4CE1C04C">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98%</w:t>
            </w:r>
          </w:p>
        </w:tc>
      </w:tr>
      <w:tr w14:paraId="3C42C803">
        <w:tblPrEx>
          <w:tblCellMar>
            <w:top w:w="0" w:type="dxa"/>
            <w:left w:w="108" w:type="dxa"/>
            <w:bottom w:w="0" w:type="dxa"/>
            <w:right w:w="108" w:type="dxa"/>
          </w:tblCellMar>
        </w:tblPrEx>
        <w:trPr>
          <w:trHeight w:val="296" w:hRule="atLeast"/>
          <w:jc w:val="center"/>
        </w:trPr>
        <w:tc>
          <w:tcPr>
            <w:tcW w:w="446" w:type="dxa"/>
            <w:vMerge w:val="continue"/>
            <w:tcBorders>
              <w:left w:val="single" w:color="000000" w:sz="4" w:space="0"/>
              <w:right w:val="single" w:color="000000" w:sz="4" w:space="0"/>
            </w:tcBorders>
            <w:noWrap/>
            <w:vAlign w:val="center"/>
          </w:tcPr>
          <w:p w14:paraId="75DD45E1">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5A461CBE">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53E98215">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数量指标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4000FE51">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医药分开改革落地项</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1F1A79CD">
            <w:pPr>
              <w:widowControl/>
              <w:spacing w:line="240" w:lineRule="exact"/>
              <w:jc w:val="center"/>
              <w:textAlignment w:val="center"/>
              <w:rPr>
                <w:rFonts w:hint="default" w:ascii="宋体" w:hAnsi="宋体" w:eastAsia="宋体" w:cs="宋体"/>
                <w:color w:val="000000"/>
                <w:kern w:val="0"/>
                <w:sz w:val="18"/>
                <w:szCs w:val="18"/>
                <w:lang w:val="en-US"/>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3项</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6FD0B9C1">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3项</w:t>
            </w:r>
          </w:p>
        </w:tc>
      </w:tr>
      <w:tr w14:paraId="7CFB66A9">
        <w:tblPrEx>
          <w:tblCellMar>
            <w:top w:w="0" w:type="dxa"/>
            <w:left w:w="108" w:type="dxa"/>
            <w:bottom w:w="0" w:type="dxa"/>
            <w:right w:w="108" w:type="dxa"/>
          </w:tblCellMar>
        </w:tblPrEx>
        <w:trPr>
          <w:trHeight w:val="296" w:hRule="atLeast"/>
          <w:jc w:val="center"/>
        </w:trPr>
        <w:tc>
          <w:tcPr>
            <w:tcW w:w="446" w:type="dxa"/>
            <w:vMerge w:val="continue"/>
            <w:tcBorders>
              <w:left w:val="single" w:color="000000" w:sz="4" w:space="0"/>
              <w:right w:val="single" w:color="000000" w:sz="4" w:space="0"/>
            </w:tcBorders>
            <w:noWrap/>
            <w:vAlign w:val="center"/>
          </w:tcPr>
          <w:p w14:paraId="59FF4DA9">
            <w:pPr>
              <w:widowControl/>
              <w:spacing w:line="240" w:lineRule="exact"/>
              <w:jc w:val="center"/>
              <w:textAlignment w:val="center"/>
              <w:rPr>
                <w:rFonts w:ascii="宋体" w:hAnsi="宋体" w:eastAsia="宋体" w:cs="宋体"/>
                <w:color w:val="000000"/>
                <w:kern w:val="0"/>
                <w:sz w:val="18"/>
                <w:szCs w:val="18"/>
              </w:rPr>
            </w:pPr>
          </w:p>
        </w:tc>
        <w:tc>
          <w:tcPr>
            <w:tcW w:w="630" w:type="dxa"/>
            <w:vMerge w:val="restart"/>
            <w:tcBorders>
              <w:top w:val="single" w:color="000000" w:sz="4" w:space="0"/>
              <w:left w:val="single" w:color="000000" w:sz="4" w:space="0"/>
              <w:bottom w:val="single" w:color="000000" w:sz="4" w:space="0"/>
              <w:right w:val="single" w:color="000000" w:sz="4" w:space="0"/>
            </w:tcBorders>
            <w:noWrap/>
            <w:vAlign w:val="center"/>
          </w:tcPr>
          <w:p w14:paraId="6B11AE7A">
            <w:pPr>
              <w:widowControl/>
              <w:spacing w:line="240" w:lineRule="exact"/>
              <w:jc w:val="center"/>
              <w:textAlignment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效益指标</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50ECE39">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社会效益指标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8358965">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患者就医负担下降幅度</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3B5AEADB">
            <w:pPr>
              <w:widowControl/>
              <w:spacing w:line="240" w:lineRule="exact"/>
              <w:jc w:val="center"/>
              <w:textAlignment w:val="center"/>
              <w:rPr>
                <w:rFonts w:hint="default" w:ascii="宋体" w:hAnsi="宋体" w:eastAsia="宋体" w:cs="宋体"/>
                <w:color w:val="000000"/>
                <w:kern w:val="0"/>
                <w:sz w:val="18"/>
                <w:szCs w:val="18"/>
                <w:lang w:val="en-US"/>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5%</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61A1BA2A">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5%</w:t>
            </w:r>
          </w:p>
        </w:tc>
      </w:tr>
      <w:tr w14:paraId="5C0EAE80">
        <w:tblPrEx>
          <w:tblCellMar>
            <w:top w:w="0" w:type="dxa"/>
            <w:left w:w="108" w:type="dxa"/>
            <w:bottom w:w="0" w:type="dxa"/>
            <w:right w:w="108" w:type="dxa"/>
          </w:tblCellMar>
        </w:tblPrEx>
        <w:trPr>
          <w:trHeight w:val="296" w:hRule="atLeast"/>
          <w:jc w:val="center"/>
        </w:trPr>
        <w:tc>
          <w:tcPr>
            <w:tcW w:w="446" w:type="dxa"/>
            <w:vMerge w:val="continue"/>
            <w:tcBorders>
              <w:left w:val="single" w:color="000000" w:sz="4" w:space="0"/>
              <w:right w:val="single" w:color="000000" w:sz="4" w:space="0"/>
            </w:tcBorders>
            <w:noWrap/>
            <w:vAlign w:val="center"/>
          </w:tcPr>
          <w:p w14:paraId="77538220">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4E9BD571">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42CC6CBF">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社会效益指标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7A5BDF7B">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医疗公益性提升度</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33F2789A">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良好</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76995B1E">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良好</w:t>
            </w:r>
          </w:p>
        </w:tc>
      </w:tr>
      <w:tr w14:paraId="3060A9AC">
        <w:tblPrEx>
          <w:tblCellMar>
            <w:top w:w="0" w:type="dxa"/>
            <w:left w:w="108" w:type="dxa"/>
            <w:bottom w:w="0" w:type="dxa"/>
            <w:right w:w="108" w:type="dxa"/>
          </w:tblCellMar>
        </w:tblPrEx>
        <w:trPr>
          <w:trHeight w:val="430" w:hRule="atLeast"/>
          <w:jc w:val="center"/>
        </w:trPr>
        <w:tc>
          <w:tcPr>
            <w:tcW w:w="446" w:type="dxa"/>
            <w:vMerge w:val="continue"/>
            <w:tcBorders>
              <w:left w:val="single" w:color="000000" w:sz="4" w:space="0"/>
              <w:right w:val="single" w:color="000000" w:sz="4" w:space="0"/>
            </w:tcBorders>
            <w:noWrap/>
            <w:vAlign w:val="center"/>
          </w:tcPr>
          <w:p w14:paraId="04BA90CA">
            <w:pPr>
              <w:widowControl/>
              <w:spacing w:line="240" w:lineRule="exact"/>
              <w:jc w:val="center"/>
              <w:textAlignment w:val="center"/>
              <w:rPr>
                <w:rFonts w:ascii="宋体" w:hAnsi="宋体" w:eastAsia="宋体" w:cs="宋体"/>
                <w:color w:val="000000"/>
                <w:kern w:val="0"/>
                <w:sz w:val="18"/>
                <w:szCs w:val="18"/>
              </w:rPr>
            </w:pPr>
          </w:p>
        </w:tc>
        <w:tc>
          <w:tcPr>
            <w:tcW w:w="630" w:type="dxa"/>
            <w:vMerge w:val="continue"/>
            <w:tcBorders>
              <w:top w:val="single" w:color="000000" w:sz="4" w:space="0"/>
              <w:left w:val="single" w:color="000000" w:sz="4" w:space="0"/>
              <w:bottom w:val="single" w:color="000000" w:sz="4" w:space="0"/>
              <w:right w:val="single" w:color="000000" w:sz="4" w:space="0"/>
            </w:tcBorders>
            <w:noWrap/>
            <w:vAlign w:val="center"/>
          </w:tcPr>
          <w:p w14:paraId="1B8D9DC0">
            <w:pPr>
              <w:widowControl/>
              <w:spacing w:line="240" w:lineRule="exact"/>
              <w:jc w:val="center"/>
              <w:textAlignment w:val="center"/>
              <w:rPr>
                <w:rFonts w:ascii="宋体" w:hAnsi="宋体" w:eastAsia="宋体" w:cs="宋体"/>
                <w:color w:val="000000"/>
                <w:kern w:val="0"/>
                <w:sz w:val="18"/>
                <w:szCs w:val="18"/>
              </w:rPr>
            </w:pP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357C8FD2">
            <w:pPr>
              <w:widowControl/>
              <w:spacing w:line="240" w:lineRule="exact"/>
              <w:jc w:val="center"/>
              <w:textAlignment w:val="center"/>
              <w:rPr>
                <w:rFonts w:ascii="宋体" w:hAnsi="宋体" w:eastAsia="宋体" w:cs="宋体"/>
                <w:color w:val="000000"/>
                <w:kern w:val="0"/>
                <w:sz w:val="18"/>
                <w:szCs w:val="18"/>
              </w:rPr>
            </w:pPr>
            <w:r>
              <w:rPr>
                <w:rFonts w:ascii="宋体" w:hAnsi="宋体" w:eastAsia="宋体" w:cs="宋体"/>
                <w:i w:val="0"/>
                <w:iCs w:val="0"/>
                <w:color w:val="000000"/>
                <w:kern w:val="0"/>
                <w:sz w:val="18"/>
                <w:szCs w:val="18"/>
                <w:u w:val="none"/>
                <w:lang w:val="en-US" w:eastAsia="zh-CN" w:bidi="ar"/>
              </w:rPr>
              <w:t>社会效益指标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2A2CB0CD">
            <w:pPr>
              <w:widowControl/>
              <w:spacing w:line="240" w:lineRule="exact"/>
              <w:jc w:val="center"/>
              <w:textAlignment w:val="center"/>
              <w:rPr>
                <w:rFonts w:hint="eastAsia" w:ascii="宋体" w:hAnsi="宋体" w:eastAsia="宋体" w:cs="宋体"/>
                <w:color w:val="000000"/>
                <w:kern w:val="0"/>
                <w:sz w:val="18"/>
                <w:szCs w:val="18"/>
                <w:lang w:eastAsia="zh-CN"/>
              </w:rPr>
            </w:pPr>
            <w:r>
              <w:rPr>
                <w:rFonts w:ascii="宋体" w:hAnsi="宋体" w:eastAsia="宋体" w:cs="宋体"/>
                <w:i w:val="0"/>
                <w:iCs w:val="0"/>
                <w:color w:val="000000"/>
                <w:kern w:val="0"/>
                <w:sz w:val="18"/>
                <w:szCs w:val="18"/>
                <w:u w:val="none"/>
                <w:lang w:val="en-US" w:eastAsia="zh-CN" w:bidi="ar"/>
              </w:rPr>
              <w:t>基本医疗服务覆盖率</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247987C4">
            <w:pPr>
              <w:widowControl/>
              <w:spacing w:line="240" w:lineRule="exact"/>
              <w:jc w:val="center"/>
              <w:textAlignment w:val="center"/>
              <w:rPr>
                <w:rFonts w:hint="default" w:ascii="宋体" w:hAnsi="宋体" w:eastAsia="宋体" w:cs="宋体"/>
                <w:color w:val="000000"/>
                <w:kern w:val="0"/>
                <w:sz w:val="18"/>
                <w:szCs w:val="18"/>
                <w:lang w:val="en-US"/>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95%</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11F7CE91">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95%</w:t>
            </w:r>
          </w:p>
        </w:tc>
      </w:tr>
      <w:tr w14:paraId="2D34E9A4">
        <w:tblPrEx>
          <w:tblCellMar>
            <w:top w:w="0" w:type="dxa"/>
            <w:left w:w="108" w:type="dxa"/>
            <w:bottom w:w="0" w:type="dxa"/>
            <w:right w:w="108" w:type="dxa"/>
          </w:tblCellMar>
        </w:tblPrEx>
        <w:trPr>
          <w:trHeight w:val="306" w:hRule="atLeast"/>
          <w:jc w:val="center"/>
        </w:trPr>
        <w:tc>
          <w:tcPr>
            <w:tcW w:w="446" w:type="dxa"/>
            <w:vMerge w:val="continue"/>
            <w:tcBorders>
              <w:left w:val="single" w:color="000000" w:sz="4" w:space="0"/>
              <w:bottom w:val="single" w:color="000000" w:sz="4" w:space="0"/>
              <w:right w:val="single" w:color="000000" w:sz="4" w:space="0"/>
            </w:tcBorders>
            <w:noWrap/>
            <w:vAlign w:val="center"/>
          </w:tcPr>
          <w:p w14:paraId="07D4D873">
            <w:pPr>
              <w:widowControl/>
              <w:spacing w:line="240" w:lineRule="exact"/>
              <w:jc w:val="center"/>
              <w:textAlignment w:val="center"/>
              <w:rPr>
                <w:rFonts w:ascii="宋体" w:hAnsi="宋体" w:eastAsia="宋体" w:cs="宋体"/>
                <w:color w:val="000000"/>
                <w:kern w:val="0"/>
                <w:sz w:val="18"/>
                <w:szCs w:val="18"/>
              </w:rPr>
            </w:pPr>
          </w:p>
        </w:tc>
        <w:tc>
          <w:tcPr>
            <w:tcW w:w="630" w:type="dxa"/>
            <w:tcBorders>
              <w:top w:val="single" w:color="000000" w:sz="4" w:space="0"/>
              <w:left w:val="single" w:color="000000" w:sz="4" w:space="0"/>
              <w:bottom w:val="single" w:color="000000" w:sz="4" w:space="0"/>
              <w:right w:val="single" w:color="000000" w:sz="4" w:space="0"/>
            </w:tcBorders>
            <w:noWrap/>
            <w:vAlign w:val="center"/>
          </w:tcPr>
          <w:p w14:paraId="014C01FD">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满意度指标</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75CA6">
            <w:pPr>
              <w:widowControl/>
              <w:spacing w:line="240" w:lineRule="exact"/>
              <w:jc w:val="center"/>
              <w:textAlignment w:val="center"/>
              <w:rPr>
                <w:rFonts w:hint="eastAsia" w:ascii="宋体" w:hAnsi="宋体" w:eastAsia="宋体" w:cs="宋体"/>
                <w:color w:val="000000"/>
                <w:kern w:val="0"/>
                <w:sz w:val="18"/>
                <w:szCs w:val="18"/>
                <w:lang w:val="en-US" w:eastAsia="zh-CN" w:bidi="ar-SA"/>
              </w:rPr>
            </w:pPr>
            <w:r>
              <w:rPr>
                <w:rFonts w:hint="eastAsia" w:ascii="宋体" w:hAnsi="宋体" w:eastAsia="宋体" w:cs="宋体"/>
                <w:color w:val="000000"/>
                <w:kern w:val="0"/>
                <w:sz w:val="18"/>
                <w:szCs w:val="18"/>
                <w:lang w:val="en-US" w:eastAsia="zh-CN"/>
              </w:rPr>
              <w:t>满意度指标</w:t>
            </w:r>
          </w:p>
        </w:tc>
        <w:tc>
          <w:tcPr>
            <w:tcW w:w="1185" w:type="dxa"/>
            <w:tcBorders>
              <w:top w:val="single" w:color="000000" w:sz="4" w:space="0"/>
              <w:left w:val="single" w:color="000000" w:sz="4" w:space="0"/>
              <w:bottom w:val="single" w:color="000000" w:sz="4" w:space="0"/>
              <w:right w:val="single" w:color="000000" w:sz="4" w:space="0"/>
            </w:tcBorders>
            <w:noWrap/>
            <w:vAlign w:val="center"/>
          </w:tcPr>
          <w:p w14:paraId="0E26BA71">
            <w:pPr>
              <w:widowControl/>
              <w:spacing w:line="240" w:lineRule="exact"/>
              <w:jc w:val="center"/>
              <w:textAlignment w:val="center"/>
              <w:rPr>
                <w:rFonts w:hint="eastAsia"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患者满意度</w:t>
            </w:r>
          </w:p>
        </w:tc>
        <w:tc>
          <w:tcPr>
            <w:tcW w:w="4965" w:type="dxa"/>
            <w:gridSpan w:val="5"/>
            <w:tcBorders>
              <w:top w:val="single" w:color="000000" w:sz="4" w:space="0"/>
              <w:left w:val="single" w:color="000000" w:sz="4" w:space="0"/>
              <w:bottom w:val="single" w:color="000000" w:sz="4" w:space="0"/>
              <w:right w:val="single" w:color="000000" w:sz="4" w:space="0"/>
            </w:tcBorders>
            <w:noWrap/>
            <w:vAlign w:val="center"/>
          </w:tcPr>
          <w:p w14:paraId="1A273C08">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default" w:ascii="Arial" w:hAnsi="Arial" w:eastAsia="宋体" w:cs="Arial"/>
                <w:color w:val="000000"/>
                <w:kern w:val="0"/>
                <w:sz w:val="18"/>
                <w:szCs w:val="18"/>
                <w:lang w:val="en-US" w:eastAsia="zh-CN"/>
              </w:rPr>
              <w:t>≥</w:t>
            </w:r>
            <w:r>
              <w:rPr>
                <w:rFonts w:hint="eastAsia" w:ascii="宋体" w:hAnsi="宋体" w:eastAsia="宋体" w:cs="宋体"/>
                <w:color w:val="000000"/>
                <w:kern w:val="0"/>
                <w:sz w:val="18"/>
                <w:szCs w:val="18"/>
                <w:lang w:val="en-US" w:eastAsia="zh-CN"/>
              </w:rPr>
              <w:t>92%</w:t>
            </w:r>
          </w:p>
        </w:tc>
        <w:tc>
          <w:tcPr>
            <w:tcW w:w="1487" w:type="dxa"/>
            <w:tcBorders>
              <w:top w:val="single" w:color="000000" w:sz="4" w:space="0"/>
              <w:left w:val="single" w:color="000000" w:sz="4" w:space="0"/>
              <w:bottom w:val="single" w:color="000000" w:sz="4" w:space="0"/>
              <w:right w:val="single" w:color="000000" w:sz="4" w:space="0"/>
            </w:tcBorders>
            <w:noWrap/>
            <w:vAlign w:val="center"/>
          </w:tcPr>
          <w:p w14:paraId="3CCFB0D0">
            <w:pPr>
              <w:widowControl/>
              <w:spacing w:line="240" w:lineRule="exact"/>
              <w:jc w:val="center"/>
              <w:textAlignment w:val="center"/>
              <w:rPr>
                <w:rFonts w:hint="default" w:ascii="宋体" w:hAnsi="宋体" w:eastAsia="宋体" w:cs="宋体"/>
                <w:color w:val="000000"/>
                <w:kern w:val="0"/>
                <w:sz w:val="18"/>
                <w:szCs w:val="18"/>
                <w:lang w:val="en-US" w:eastAsia="zh-CN"/>
              </w:rPr>
            </w:pPr>
            <w:r>
              <w:rPr>
                <w:rFonts w:hint="eastAsia" w:ascii="宋体" w:hAnsi="宋体" w:eastAsia="宋体" w:cs="宋体"/>
                <w:color w:val="000000"/>
                <w:kern w:val="0"/>
                <w:sz w:val="18"/>
                <w:szCs w:val="18"/>
                <w:lang w:val="en-US" w:eastAsia="zh-CN"/>
              </w:rPr>
              <w:t>92%</w:t>
            </w:r>
          </w:p>
        </w:tc>
      </w:tr>
    </w:tbl>
    <w:p w14:paraId="4B8923A3">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2B3E972E">
      <w:pPr>
        <w:pStyle w:val="5"/>
        <w:rPr>
          <w:rFonts w:hint="default" w:ascii="Times New Roman" w:hAnsi="Times New Roman" w:eastAsia="黑体" w:cs="Times New Roman"/>
          <w:color w:val="auto"/>
          <w:kern w:val="0"/>
          <w:sz w:val="32"/>
          <w:szCs w:val="32"/>
          <w:highlight w:val="none"/>
          <w:shd w:val="clear" w:color="auto" w:fill="FFFFFF"/>
          <w:lang w:val="zh-CN"/>
        </w:rPr>
      </w:pPr>
      <w:r>
        <w:rPr>
          <w:rFonts w:hint="default" w:ascii="Times New Roman" w:hAnsi="Times New Roman" w:eastAsia="黑体" w:cs="Times New Roman"/>
          <w:color w:val="auto"/>
          <w:kern w:val="0"/>
          <w:sz w:val="32"/>
          <w:szCs w:val="32"/>
          <w:highlight w:val="none"/>
          <w:shd w:val="clear" w:color="auto" w:fill="FFFFFF"/>
          <w:lang w:val="zh-CN"/>
        </w:rPr>
        <w:t>附表3</w:t>
      </w:r>
    </w:p>
    <w:p w14:paraId="5CF657B2">
      <w:pPr>
        <w:widowControl/>
        <w:spacing w:line="578" w:lineRule="exact"/>
        <w:jc w:val="center"/>
        <w:textAlignment w:val="center"/>
        <w:rPr>
          <w:rFonts w:hint="default" w:ascii="Times New Roman" w:hAnsi="Times New Roman" w:eastAsia="方正小标宋简体" w:cs="Times New Roman"/>
          <w:color w:val="000000"/>
          <w:kern w:val="0"/>
          <w:sz w:val="44"/>
          <w:szCs w:val="44"/>
        </w:rPr>
      </w:pPr>
    </w:p>
    <w:p w14:paraId="0F47485C">
      <w:pPr>
        <w:widowControl/>
        <w:spacing w:line="578" w:lineRule="exact"/>
        <w:jc w:val="center"/>
        <w:textAlignment w:val="center"/>
        <w:rPr>
          <w:rFonts w:hint="default" w:ascii="Times New Roman" w:hAnsi="Times New Roman" w:eastAsia="方正小标宋简体" w:cs="Times New Roman"/>
          <w:color w:val="000000"/>
          <w:kern w:val="0"/>
          <w:sz w:val="44"/>
          <w:szCs w:val="44"/>
        </w:rPr>
      </w:pPr>
      <w:r>
        <w:rPr>
          <w:rFonts w:hint="default" w:ascii="Times New Roman" w:hAnsi="Times New Roman" w:eastAsia="方正小标宋简体" w:cs="Times New Roman"/>
          <w:color w:val="000000"/>
          <w:kern w:val="0"/>
          <w:sz w:val="44"/>
          <w:szCs w:val="44"/>
        </w:rPr>
        <w:t>部门预算项目支出绩效评价表</w:t>
      </w:r>
    </w:p>
    <w:p w14:paraId="457CC3AF">
      <w:pPr>
        <w:widowControl/>
        <w:spacing w:line="578" w:lineRule="exact"/>
        <w:jc w:val="center"/>
        <w:textAlignment w:val="center"/>
        <w:rPr>
          <w:rFonts w:hint="eastAsia" w:ascii="Times New Roman" w:hAnsi="Times New Roman" w:cs="宋体"/>
          <w:b/>
          <w:bCs/>
          <w:color w:val="FF0000"/>
          <w:kern w:val="0"/>
          <w:sz w:val="32"/>
          <w:szCs w:val="32"/>
          <w:highlight w:val="yellow"/>
          <w:shd w:val="clear" w:color="auto" w:fill="FFFFFF"/>
          <w:lang w:val="zh-CN"/>
        </w:rPr>
      </w:pPr>
      <w:r>
        <w:rPr>
          <w:rFonts w:hint="default" w:ascii="Times New Roman" w:hAnsi="Times New Roman" w:eastAsia="方正小标宋简体" w:cs="Times New Roman"/>
          <w:color w:val="000000"/>
          <w:kern w:val="0"/>
          <w:szCs w:val="32"/>
        </w:rPr>
        <w:t>（2025年度）</w:t>
      </w:r>
    </w:p>
    <w:tbl>
      <w:tblPr>
        <w:tblStyle w:val="15"/>
        <w:tblW w:w="933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5"/>
        <w:gridCol w:w="841"/>
        <w:gridCol w:w="853"/>
        <w:gridCol w:w="1541"/>
        <w:gridCol w:w="130"/>
        <w:gridCol w:w="946"/>
        <w:gridCol w:w="1318"/>
        <w:gridCol w:w="936"/>
        <w:gridCol w:w="804"/>
        <w:gridCol w:w="816"/>
        <w:gridCol w:w="590"/>
      </w:tblGrid>
      <w:tr w14:paraId="316E2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37" w:type="dxa"/>
            <w:gridSpan w:val="11"/>
            <w:tcBorders>
              <w:top w:val="nil"/>
              <w:left w:val="nil"/>
              <w:bottom w:val="nil"/>
              <w:right w:val="nil"/>
            </w:tcBorders>
            <w:shd w:val="clear" w:color="auto" w:fill="auto"/>
            <w:vAlign w:val="center"/>
          </w:tcPr>
          <w:p w14:paraId="56811A60">
            <w:pPr>
              <w:keepNext w:val="0"/>
              <w:keepLines w:val="0"/>
              <w:widowControl/>
              <w:suppressLineNumbers w:val="0"/>
              <w:jc w:val="center"/>
              <w:textAlignment w:val="center"/>
              <w:rPr>
                <w:rFonts w:hint="eastAsia" w:ascii="宋体" w:hAnsi="宋体" w:eastAsia="宋体" w:cs="宋体"/>
                <w:i w:val="0"/>
                <w:iCs w:val="0"/>
                <w:color w:val="000000"/>
                <w:sz w:val="32"/>
                <w:szCs w:val="32"/>
                <w:u w:val="none"/>
              </w:rPr>
            </w:pPr>
            <w:r>
              <w:rPr>
                <w:rFonts w:hint="eastAsia" w:ascii="黑体" w:hAnsi="黑体" w:eastAsia="黑体" w:cs="黑体"/>
                <w:i w:val="0"/>
                <w:iCs w:val="0"/>
                <w:color w:val="000000"/>
                <w:kern w:val="0"/>
                <w:sz w:val="32"/>
                <w:szCs w:val="32"/>
                <w:u w:val="none"/>
                <w:lang w:val="en-US" w:eastAsia="zh-CN" w:bidi="ar"/>
              </w:rPr>
              <w:t>部门预算项目支出绩效评价表</w:t>
            </w:r>
            <w:r>
              <w:rPr>
                <w:rFonts w:hint="eastAsia" w:ascii="宋体" w:hAnsi="宋体" w:eastAsia="宋体" w:cs="宋体"/>
                <w:i w:val="0"/>
                <w:iCs w:val="0"/>
                <w:color w:val="000000"/>
                <w:kern w:val="0"/>
                <w:sz w:val="32"/>
                <w:szCs w:val="32"/>
                <w:u w:val="none"/>
                <w:lang w:val="en-US" w:eastAsia="zh-CN" w:bidi="ar"/>
              </w:rPr>
              <w:t xml:space="preserve"> </w:t>
            </w:r>
          </w:p>
        </w:tc>
      </w:tr>
      <w:tr w14:paraId="716F3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9337" w:type="dxa"/>
            <w:gridSpan w:val="11"/>
            <w:tcBorders>
              <w:top w:val="nil"/>
              <w:left w:val="nil"/>
              <w:bottom w:val="single" w:color="000000" w:sz="4" w:space="0"/>
              <w:right w:val="nil"/>
            </w:tcBorders>
            <w:shd w:val="clear" w:color="auto" w:fill="auto"/>
            <w:vAlign w:val="top"/>
          </w:tcPr>
          <w:p w14:paraId="52D95984">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6507C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22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6312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E5D5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县级公立医院取消药品加成项目</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336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项目负责人及电话</w:t>
            </w:r>
          </w:p>
        </w:tc>
        <w:tc>
          <w:tcPr>
            <w:tcW w:w="31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0AD0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杨忠（13558595618）</w:t>
            </w:r>
          </w:p>
        </w:tc>
      </w:tr>
      <w:tr w14:paraId="106FB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5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09C2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主管部门</w:t>
            </w:r>
          </w:p>
        </w:tc>
        <w:tc>
          <w:tcPr>
            <w:tcW w:w="262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3049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壤塘县卫健局</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0A1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实施单位</w:t>
            </w:r>
          </w:p>
        </w:tc>
        <w:tc>
          <w:tcPr>
            <w:tcW w:w="313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A926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壤塘县藏医院</w:t>
            </w:r>
          </w:p>
        </w:tc>
      </w:tr>
      <w:tr w14:paraId="7EC15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5" w:hRule="atLeast"/>
        </w:trPr>
        <w:tc>
          <w:tcPr>
            <w:tcW w:w="225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F53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资金情况</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（万元）</w:t>
            </w: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7F46">
            <w:pPr>
              <w:rPr>
                <w:rFonts w:hint="eastAsia" w:ascii="宋体" w:hAnsi="宋体" w:eastAsia="宋体" w:cs="宋体"/>
                <w:i w:val="0"/>
                <w:iCs w:val="0"/>
                <w:color w:val="000000"/>
                <w:sz w:val="20"/>
                <w:szCs w:val="20"/>
                <w:u w:val="none"/>
              </w:rPr>
            </w:pPr>
          </w:p>
        </w:tc>
        <w:tc>
          <w:tcPr>
            <w:tcW w:w="1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3D7A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全年预算数（A）</w:t>
            </w:r>
          </w:p>
        </w:tc>
        <w:tc>
          <w:tcPr>
            <w:tcW w:w="2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BB1D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全年执行数（B）</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BF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61F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执行率（B/A)</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313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r>
      <w:tr w14:paraId="1EF72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2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31A06">
            <w:pPr>
              <w:jc w:val="center"/>
              <w:rPr>
                <w:rFonts w:hint="eastAsia" w:ascii="宋体" w:hAnsi="宋体" w:eastAsia="宋体" w:cs="宋体"/>
                <w:i w:val="0"/>
                <w:iCs w:val="0"/>
                <w:color w:val="000000"/>
                <w:sz w:val="20"/>
                <w:szCs w:val="20"/>
                <w:u w:val="none"/>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DDD2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年度资金总额：</w:t>
            </w:r>
          </w:p>
        </w:tc>
        <w:tc>
          <w:tcPr>
            <w:tcW w:w="1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83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5.1042万元</w:t>
            </w:r>
          </w:p>
        </w:tc>
        <w:tc>
          <w:tcPr>
            <w:tcW w:w="2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E0F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5.1042万元</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65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4772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C96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A44B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2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EAEC">
            <w:pPr>
              <w:jc w:val="center"/>
              <w:rPr>
                <w:rFonts w:hint="eastAsia" w:ascii="宋体" w:hAnsi="宋体" w:eastAsia="宋体" w:cs="宋体"/>
                <w:i w:val="0"/>
                <w:iCs w:val="0"/>
                <w:color w:val="000000"/>
                <w:sz w:val="20"/>
                <w:szCs w:val="20"/>
                <w:u w:val="none"/>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171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45"/>
                <w:lang w:val="en-US" w:eastAsia="zh-CN" w:bidi="ar"/>
              </w:rPr>
              <w:t>其中：本年财政拨款</w:t>
            </w:r>
          </w:p>
        </w:tc>
        <w:tc>
          <w:tcPr>
            <w:tcW w:w="1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19F911">
            <w:pPr>
              <w:jc w:val="center"/>
              <w:rPr>
                <w:rFonts w:hint="eastAsia" w:ascii="宋体" w:hAnsi="宋体" w:eastAsia="宋体" w:cs="宋体"/>
                <w:i w:val="0"/>
                <w:iCs w:val="0"/>
                <w:color w:val="000000"/>
                <w:sz w:val="20"/>
                <w:szCs w:val="20"/>
                <w:u w:val="none"/>
              </w:rPr>
            </w:pPr>
          </w:p>
        </w:tc>
        <w:tc>
          <w:tcPr>
            <w:tcW w:w="2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B020F">
            <w:pPr>
              <w:jc w:val="center"/>
              <w:rPr>
                <w:rFonts w:hint="eastAsia" w:ascii="宋体" w:hAnsi="宋体" w:eastAsia="宋体" w:cs="宋体"/>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A63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B0639">
            <w:pPr>
              <w:jc w:val="left"/>
              <w:rPr>
                <w:rFonts w:hint="eastAsia" w:ascii="宋体" w:hAnsi="宋体" w:eastAsia="宋体" w:cs="宋体"/>
                <w:i w:val="0"/>
                <w:iCs w:val="0"/>
                <w:color w:val="000000"/>
                <w:sz w:val="20"/>
                <w:szCs w:val="20"/>
                <w:u w:val="none"/>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2C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4D9A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225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22FBA">
            <w:pPr>
              <w:jc w:val="center"/>
              <w:rPr>
                <w:rFonts w:hint="eastAsia" w:ascii="宋体" w:hAnsi="宋体" w:eastAsia="宋体" w:cs="宋体"/>
                <w:i w:val="0"/>
                <w:iCs w:val="0"/>
                <w:color w:val="000000"/>
                <w:sz w:val="20"/>
                <w:szCs w:val="20"/>
                <w:u w:val="none"/>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BA6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 </w:t>
            </w:r>
            <w:r>
              <w:rPr>
                <w:rStyle w:val="45"/>
                <w:lang w:val="en-US" w:eastAsia="zh-CN" w:bidi="ar"/>
              </w:rPr>
              <w:t xml:space="preserve">      其他资金</w:t>
            </w:r>
          </w:p>
        </w:tc>
        <w:tc>
          <w:tcPr>
            <w:tcW w:w="107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E48F2">
            <w:pPr>
              <w:jc w:val="center"/>
              <w:rPr>
                <w:rFonts w:hint="eastAsia" w:ascii="宋体" w:hAnsi="宋体" w:eastAsia="宋体" w:cs="宋体"/>
                <w:i w:val="0"/>
                <w:iCs w:val="0"/>
                <w:color w:val="000000"/>
                <w:sz w:val="20"/>
                <w:szCs w:val="20"/>
                <w:u w:val="none"/>
              </w:rPr>
            </w:pPr>
          </w:p>
        </w:tc>
        <w:tc>
          <w:tcPr>
            <w:tcW w:w="2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50F660">
            <w:pPr>
              <w:jc w:val="center"/>
              <w:rPr>
                <w:rFonts w:hint="eastAsia" w:ascii="宋体" w:hAnsi="宋体" w:eastAsia="宋体" w:cs="宋体"/>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AF0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c>
          <w:tcPr>
            <w:tcW w:w="8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34F1">
            <w:pPr>
              <w:jc w:val="left"/>
              <w:rPr>
                <w:rFonts w:hint="eastAsia" w:ascii="宋体" w:hAnsi="宋体" w:eastAsia="宋体" w:cs="宋体"/>
                <w:i w:val="0"/>
                <w:iCs w:val="0"/>
                <w:color w:val="000000"/>
                <w:sz w:val="20"/>
                <w:szCs w:val="20"/>
                <w:u w:val="none"/>
              </w:rPr>
            </w:pP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55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w:t>
            </w:r>
          </w:p>
        </w:tc>
      </w:tr>
      <w:tr w14:paraId="2E49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2"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A684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w:t>
            </w:r>
          </w:p>
        </w:tc>
        <w:tc>
          <w:tcPr>
            <w:tcW w:w="4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3516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年初设定目标</w:t>
            </w:r>
          </w:p>
        </w:tc>
        <w:tc>
          <w:tcPr>
            <w:tcW w:w="44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85713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年度总体目标完成情况综述</w:t>
            </w:r>
          </w:p>
        </w:tc>
      </w:tr>
      <w:tr w14:paraId="694562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3E990">
            <w:pPr>
              <w:jc w:val="center"/>
              <w:rPr>
                <w:rFonts w:hint="eastAsia" w:ascii="宋体" w:hAnsi="宋体" w:eastAsia="宋体" w:cs="宋体"/>
                <w:i w:val="0"/>
                <w:iCs w:val="0"/>
                <w:color w:val="000000"/>
                <w:sz w:val="20"/>
                <w:szCs w:val="20"/>
                <w:u w:val="none"/>
              </w:rPr>
            </w:pPr>
          </w:p>
        </w:tc>
        <w:tc>
          <w:tcPr>
            <w:tcW w:w="432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57480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一、推动医院医药分开改革进程、确保医院回归公益性，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二、在一定程度上降低药品收费、减轻患者负担、缓解‘看病难、看病贵’的问题。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三、进一步端正医疗态度、规范医生的用药行为。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四、促进医院发展、缓解医院的负担、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五、完成公立医院取消药品加成补助（财政兜底）工作</w:t>
            </w:r>
          </w:p>
        </w:tc>
        <w:tc>
          <w:tcPr>
            <w:tcW w:w="446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06931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ascii="方正仿宋_GBK" w:hAnsi="方正仿宋_GBK" w:eastAsia="方正仿宋_GBK" w:cs="方正仿宋_GBK"/>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降低药品收费、减轻患者负担、缓解‘看病难、看病贵’的问题；端正医疗服务态度、规范医生的用药行为。</w:t>
            </w:r>
          </w:p>
        </w:tc>
      </w:tr>
      <w:tr w14:paraId="19B6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9" w:hRule="atLeast"/>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D797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绩效指标</w:t>
            </w:r>
          </w:p>
        </w:tc>
        <w:tc>
          <w:tcPr>
            <w:tcW w:w="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1F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150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DA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3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分值</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566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年度指标值</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9B7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全年实际值</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51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得分</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7D4B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14:paraId="5DC9B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2E9C8C6">
            <w:pPr>
              <w:jc w:val="center"/>
              <w:rPr>
                <w:rFonts w:hint="eastAsia" w:ascii="宋体" w:hAnsi="宋体" w:eastAsia="宋体" w:cs="宋体"/>
                <w:i w:val="0"/>
                <w:iCs w:val="0"/>
                <w:color w:val="000000"/>
                <w:sz w:val="20"/>
                <w:szCs w:val="20"/>
                <w:u w:val="none"/>
              </w:rPr>
            </w:pP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1D50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(50分)</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DAB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5171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受益群众</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410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BB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1.5万户</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0AE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1.5万户</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8E7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F1BCEC">
            <w:pPr>
              <w:jc w:val="center"/>
              <w:rPr>
                <w:rFonts w:hint="eastAsia" w:ascii="宋体" w:hAnsi="宋体" w:eastAsia="宋体" w:cs="宋体"/>
                <w:i w:val="0"/>
                <w:iCs w:val="0"/>
                <w:color w:val="000000"/>
                <w:sz w:val="20"/>
                <w:szCs w:val="20"/>
                <w:u w:val="none"/>
              </w:rPr>
            </w:pPr>
          </w:p>
        </w:tc>
      </w:tr>
      <w:tr w14:paraId="258E7C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74D87D5">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84B85">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C56B">
            <w:pPr>
              <w:jc w:val="center"/>
              <w:rPr>
                <w:rFonts w:hint="eastAsia" w:ascii="宋体" w:hAnsi="宋体" w:eastAsia="宋体" w:cs="宋体"/>
                <w:i w:val="0"/>
                <w:iCs w:val="0"/>
                <w:color w:val="000000"/>
                <w:sz w:val="20"/>
                <w:szCs w:val="20"/>
                <w:u w:val="none"/>
              </w:rPr>
            </w:pP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8A1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取消药品加成率</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BF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B1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F6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0D1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1DAE20">
            <w:pPr>
              <w:jc w:val="center"/>
              <w:rPr>
                <w:rFonts w:hint="eastAsia" w:ascii="宋体" w:hAnsi="宋体" w:eastAsia="宋体" w:cs="宋体"/>
                <w:i w:val="0"/>
                <w:iCs w:val="0"/>
                <w:color w:val="000000"/>
                <w:sz w:val="20"/>
                <w:szCs w:val="20"/>
                <w:u w:val="none"/>
              </w:rPr>
            </w:pPr>
          </w:p>
        </w:tc>
      </w:tr>
      <w:tr w14:paraId="5CFD8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9D18EFD">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1FC87">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07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27BA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药占比</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7F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A8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879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71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4F7A4">
            <w:pPr>
              <w:jc w:val="center"/>
              <w:rPr>
                <w:rFonts w:hint="eastAsia" w:ascii="宋体" w:hAnsi="宋体" w:eastAsia="宋体" w:cs="宋体"/>
                <w:i w:val="0"/>
                <w:iCs w:val="0"/>
                <w:color w:val="000000"/>
                <w:sz w:val="20"/>
                <w:szCs w:val="20"/>
                <w:u w:val="none"/>
              </w:rPr>
            </w:pPr>
          </w:p>
        </w:tc>
      </w:tr>
      <w:tr w14:paraId="5E29B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7F568672">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2C55D">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721F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7CA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实施期间1年</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5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530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201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1年</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30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9316B12">
            <w:pPr>
              <w:jc w:val="center"/>
              <w:rPr>
                <w:rFonts w:hint="eastAsia" w:ascii="宋体" w:hAnsi="宋体" w:eastAsia="宋体" w:cs="宋体"/>
                <w:i w:val="0"/>
                <w:iCs w:val="0"/>
                <w:color w:val="000000"/>
                <w:sz w:val="20"/>
                <w:szCs w:val="20"/>
                <w:u w:val="none"/>
              </w:rPr>
            </w:pPr>
          </w:p>
        </w:tc>
      </w:tr>
      <w:tr w14:paraId="4F60B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1F7D7D4">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61516">
            <w:pPr>
              <w:jc w:val="center"/>
              <w:rPr>
                <w:rFonts w:hint="eastAsia" w:ascii="宋体" w:hAnsi="宋体" w:eastAsia="宋体" w:cs="宋体"/>
                <w:i w:val="0"/>
                <w:iCs w:val="0"/>
                <w:color w:val="000000"/>
                <w:sz w:val="20"/>
                <w:szCs w:val="20"/>
                <w:u w:val="none"/>
              </w:rPr>
            </w:pPr>
          </w:p>
        </w:tc>
        <w:tc>
          <w:tcPr>
            <w:tcW w:w="8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C0F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6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06E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项目完成所需成本</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27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2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CC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9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2ED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4B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3F1872">
            <w:pPr>
              <w:jc w:val="center"/>
              <w:rPr>
                <w:rFonts w:hint="eastAsia" w:ascii="宋体" w:hAnsi="宋体" w:eastAsia="宋体" w:cs="宋体"/>
                <w:i w:val="0"/>
                <w:iCs w:val="0"/>
                <w:color w:val="000000"/>
                <w:sz w:val="20"/>
                <w:szCs w:val="20"/>
                <w:u w:val="none"/>
              </w:rPr>
            </w:pPr>
          </w:p>
        </w:tc>
      </w:tr>
      <w:tr w14:paraId="1999F1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94DB93">
            <w:pPr>
              <w:jc w:val="center"/>
              <w:rPr>
                <w:rFonts w:hint="eastAsia" w:ascii="宋体" w:hAnsi="宋体" w:eastAsia="宋体" w:cs="宋体"/>
                <w:i w:val="0"/>
                <w:iCs w:val="0"/>
                <w:color w:val="000000"/>
                <w:sz w:val="20"/>
                <w:szCs w:val="20"/>
                <w:u w:val="none"/>
              </w:rPr>
            </w:pP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CF97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(30分)</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31C1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指标</w:t>
            </w:r>
          </w:p>
        </w:tc>
        <w:tc>
          <w:tcPr>
            <w:tcW w:w="16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BFE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基本医疗服务覆盖率</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94BC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6836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D67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3E68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3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D9E1F">
            <w:pPr>
              <w:jc w:val="center"/>
              <w:rPr>
                <w:rFonts w:hint="eastAsia" w:ascii="宋体" w:hAnsi="宋体" w:eastAsia="宋体" w:cs="宋体"/>
                <w:i w:val="0"/>
                <w:iCs w:val="0"/>
                <w:color w:val="000000"/>
                <w:sz w:val="20"/>
                <w:szCs w:val="20"/>
                <w:u w:val="none"/>
              </w:rPr>
            </w:pPr>
          </w:p>
        </w:tc>
      </w:tr>
      <w:tr w14:paraId="08F40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60"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439D9376">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B15F6">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A13CA">
            <w:pPr>
              <w:jc w:val="center"/>
              <w:rPr>
                <w:rFonts w:hint="eastAsia" w:ascii="宋体" w:hAnsi="宋体" w:eastAsia="宋体" w:cs="宋体"/>
                <w:i w:val="0"/>
                <w:iCs w:val="0"/>
                <w:color w:val="000000"/>
                <w:sz w:val="20"/>
                <w:szCs w:val="20"/>
                <w:u w:val="none"/>
              </w:rPr>
            </w:pPr>
          </w:p>
        </w:tc>
        <w:tc>
          <w:tcPr>
            <w:tcW w:w="16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D503B">
            <w:pPr>
              <w:jc w:val="center"/>
              <w:rPr>
                <w:rFonts w:hint="eastAsia" w:ascii="宋体" w:hAnsi="宋体" w:eastAsia="宋体" w:cs="宋体"/>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1C66E">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77D62">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A7126">
            <w:pPr>
              <w:jc w:val="center"/>
              <w:rPr>
                <w:rFonts w:hint="eastAsia" w:ascii="宋体" w:hAnsi="宋体" w:eastAsia="宋体" w:cs="宋体"/>
                <w:i w:val="0"/>
                <w:iCs w:val="0"/>
                <w:color w:val="000000"/>
                <w:sz w:val="20"/>
                <w:szCs w:val="20"/>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DA5F0">
            <w:pPr>
              <w:jc w:val="center"/>
              <w:rPr>
                <w:rFonts w:hint="eastAsia" w:ascii="宋体" w:hAnsi="宋体" w:eastAsia="宋体" w:cs="宋体"/>
                <w:i w:val="0"/>
                <w:iCs w:val="0"/>
                <w:color w:val="000000"/>
                <w:sz w:val="20"/>
                <w:szCs w:val="20"/>
                <w:u w:val="none"/>
              </w:rPr>
            </w:pPr>
          </w:p>
        </w:tc>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B1FDF">
            <w:pPr>
              <w:jc w:val="center"/>
              <w:rPr>
                <w:rFonts w:hint="eastAsia" w:ascii="宋体" w:hAnsi="宋体" w:eastAsia="宋体" w:cs="宋体"/>
                <w:i w:val="0"/>
                <w:iCs w:val="0"/>
                <w:color w:val="000000"/>
                <w:sz w:val="20"/>
                <w:szCs w:val="20"/>
                <w:u w:val="none"/>
              </w:rPr>
            </w:pPr>
          </w:p>
        </w:tc>
      </w:tr>
      <w:tr w14:paraId="7393D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70FA388">
            <w:pPr>
              <w:jc w:val="center"/>
              <w:rPr>
                <w:rFonts w:hint="eastAsia" w:ascii="宋体" w:hAnsi="宋体" w:eastAsia="宋体" w:cs="宋体"/>
                <w:i w:val="0"/>
                <w:iCs w:val="0"/>
                <w:color w:val="000000"/>
                <w:sz w:val="20"/>
                <w:szCs w:val="20"/>
                <w:u w:val="none"/>
              </w:rPr>
            </w:pPr>
          </w:p>
        </w:tc>
        <w:tc>
          <w:tcPr>
            <w:tcW w:w="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5E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8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666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服务对象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满意度指标</w:t>
            </w:r>
          </w:p>
        </w:tc>
        <w:tc>
          <w:tcPr>
            <w:tcW w:w="167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FE1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门诊及住院患者满意度</w:t>
            </w:r>
          </w:p>
        </w:tc>
        <w:tc>
          <w:tcPr>
            <w:tcW w:w="9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A616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32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6DF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9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D3A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8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58A3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39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58D3D">
            <w:pPr>
              <w:jc w:val="center"/>
              <w:rPr>
                <w:rFonts w:hint="eastAsia" w:ascii="宋体" w:hAnsi="宋体" w:eastAsia="宋体" w:cs="宋体"/>
                <w:i w:val="0"/>
                <w:iCs w:val="0"/>
                <w:color w:val="000000"/>
                <w:sz w:val="20"/>
                <w:szCs w:val="20"/>
                <w:u w:val="none"/>
              </w:rPr>
            </w:pPr>
          </w:p>
        </w:tc>
      </w:tr>
      <w:tr w14:paraId="1DC16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2A572A6C">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D7DC0">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26713">
            <w:pPr>
              <w:jc w:val="center"/>
              <w:rPr>
                <w:rFonts w:hint="eastAsia" w:ascii="宋体" w:hAnsi="宋体" w:eastAsia="宋体" w:cs="宋体"/>
                <w:i w:val="0"/>
                <w:iCs w:val="0"/>
                <w:color w:val="000000"/>
                <w:sz w:val="20"/>
                <w:szCs w:val="20"/>
                <w:u w:val="none"/>
              </w:rPr>
            </w:pPr>
          </w:p>
        </w:tc>
        <w:tc>
          <w:tcPr>
            <w:tcW w:w="16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D162C">
            <w:pPr>
              <w:jc w:val="center"/>
              <w:rPr>
                <w:rFonts w:hint="eastAsia" w:ascii="宋体" w:hAnsi="宋体" w:eastAsia="宋体" w:cs="宋体"/>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21286">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1A5CB">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6C4A9">
            <w:pPr>
              <w:jc w:val="center"/>
              <w:rPr>
                <w:rFonts w:hint="eastAsia" w:ascii="宋体" w:hAnsi="宋体" w:eastAsia="宋体" w:cs="宋体"/>
                <w:i w:val="0"/>
                <w:iCs w:val="0"/>
                <w:color w:val="000000"/>
                <w:sz w:val="20"/>
                <w:szCs w:val="20"/>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EAC20">
            <w:pPr>
              <w:jc w:val="center"/>
              <w:rPr>
                <w:rFonts w:hint="eastAsia" w:ascii="宋体" w:hAnsi="宋体" w:eastAsia="宋体" w:cs="宋体"/>
                <w:i w:val="0"/>
                <w:iCs w:val="0"/>
                <w:color w:val="000000"/>
                <w:sz w:val="20"/>
                <w:szCs w:val="20"/>
                <w:u w:val="none"/>
              </w:rPr>
            </w:pPr>
          </w:p>
        </w:tc>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D1B7B">
            <w:pPr>
              <w:jc w:val="center"/>
              <w:rPr>
                <w:rFonts w:hint="eastAsia" w:ascii="宋体" w:hAnsi="宋体" w:eastAsia="宋体" w:cs="宋体"/>
                <w:i w:val="0"/>
                <w:iCs w:val="0"/>
                <w:color w:val="000000"/>
                <w:sz w:val="20"/>
                <w:szCs w:val="20"/>
                <w:u w:val="none"/>
              </w:rPr>
            </w:pPr>
          </w:p>
        </w:tc>
      </w:tr>
      <w:tr w14:paraId="6FA30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auto"/>
            <w:textDirection w:val="tbRlV"/>
            <w:vAlign w:val="center"/>
          </w:tcPr>
          <w:p w14:paraId="087FBF0F">
            <w:pPr>
              <w:jc w:val="center"/>
              <w:rPr>
                <w:rFonts w:hint="eastAsia" w:ascii="宋体" w:hAnsi="宋体" w:eastAsia="宋体" w:cs="宋体"/>
                <w:i w:val="0"/>
                <w:iCs w:val="0"/>
                <w:color w:val="000000"/>
                <w:sz w:val="20"/>
                <w:szCs w:val="20"/>
                <w:u w:val="none"/>
              </w:rPr>
            </w:pPr>
          </w:p>
        </w:tc>
        <w:tc>
          <w:tcPr>
            <w:tcW w:w="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96EAD">
            <w:pPr>
              <w:jc w:val="center"/>
              <w:rPr>
                <w:rFonts w:hint="eastAsia" w:ascii="宋体" w:hAnsi="宋体" w:eastAsia="宋体" w:cs="宋体"/>
                <w:i w:val="0"/>
                <w:iCs w:val="0"/>
                <w:color w:val="000000"/>
                <w:sz w:val="20"/>
                <w:szCs w:val="20"/>
                <w:u w:val="none"/>
              </w:rPr>
            </w:pPr>
          </w:p>
        </w:tc>
        <w:tc>
          <w:tcPr>
            <w:tcW w:w="8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8145C">
            <w:pPr>
              <w:jc w:val="center"/>
              <w:rPr>
                <w:rFonts w:hint="eastAsia" w:ascii="宋体" w:hAnsi="宋体" w:eastAsia="宋体" w:cs="宋体"/>
                <w:i w:val="0"/>
                <w:iCs w:val="0"/>
                <w:color w:val="000000"/>
                <w:sz w:val="20"/>
                <w:szCs w:val="20"/>
                <w:u w:val="none"/>
              </w:rPr>
            </w:pPr>
          </w:p>
        </w:tc>
        <w:tc>
          <w:tcPr>
            <w:tcW w:w="167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26716">
            <w:pPr>
              <w:jc w:val="center"/>
              <w:rPr>
                <w:rFonts w:hint="eastAsia" w:ascii="宋体" w:hAnsi="宋体" w:eastAsia="宋体" w:cs="宋体"/>
                <w:i w:val="0"/>
                <w:iCs w:val="0"/>
                <w:color w:val="000000"/>
                <w:sz w:val="20"/>
                <w:szCs w:val="20"/>
                <w:u w:val="none"/>
              </w:rPr>
            </w:pPr>
          </w:p>
        </w:tc>
        <w:tc>
          <w:tcPr>
            <w:tcW w:w="9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6E1B7">
            <w:pPr>
              <w:jc w:val="center"/>
              <w:rPr>
                <w:rFonts w:hint="eastAsia" w:ascii="宋体" w:hAnsi="宋体" w:eastAsia="宋体" w:cs="宋体"/>
                <w:i w:val="0"/>
                <w:iCs w:val="0"/>
                <w:color w:val="000000"/>
                <w:sz w:val="20"/>
                <w:szCs w:val="20"/>
                <w:u w:val="none"/>
              </w:rPr>
            </w:pPr>
          </w:p>
        </w:tc>
        <w:tc>
          <w:tcPr>
            <w:tcW w:w="132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D2435">
            <w:pPr>
              <w:jc w:val="center"/>
              <w:rPr>
                <w:rFonts w:hint="eastAsia" w:ascii="宋体" w:hAnsi="宋体" w:eastAsia="宋体" w:cs="宋体"/>
                <w:i w:val="0"/>
                <w:iCs w:val="0"/>
                <w:color w:val="000000"/>
                <w:sz w:val="20"/>
                <w:szCs w:val="20"/>
                <w:u w:val="none"/>
              </w:rPr>
            </w:pPr>
          </w:p>
        </w:tc>
        <w:tc>
          <w:tcPr>
            <w:tcW w:w="9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3F5EF">
            <w:pPr>
              <w:jc w:val="center"/>
              <w:rPr>
                <w:rFonts w:hint="eastAsia" w:ascii="宋体" w:hAnsi="宋体" w:eastAsia="宋体" w:cs="宋体"/>
                <w:i w:val="0"/>
                <w:iCs w:val="0"/>
                <w:color w:val="000000"/>
                <w:sz w:val="20"/>
                <w:szCs w:val="20"/>
                <w:u w:val="none"/>
              </w:rPr>
            </w:pPr>
          </w:p>
        </w:tc>
        <w:tc>
          <w:tcPr>
            <w:tcW w:w="8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F469">
            <w:pPr>
              <w:jc w:val="center"/>
              <w:rPr>
                <w:rFonts w:hint="eastAsia" w:ascii="宋体" w:hAnsi="宋体" w:eastAsia="宋体" w:cs="宋体"/>
                <w:i w:val="0"/>
                <w:iCs w:val="0"/>
                <w:color w:val="000000"/>
                <w:sz w:val="20"/>
                <w:szCs w:val="20"/>
                <w:u w:val="none"/>
              </w:rPr>
            </w:pPr>
          </w:p>
        </w:tc>
        <w:tc>
          <w:tcPr>
            <w:tcW w:w="139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2F22">
            <w:pPr>
              <w:jc w:val="center"/>
              <w:rPr>
                <w:rFonts w:hint="eastAsia" w:ascii="宋体" w:hAnsi="宋体" w:eastAsia="宋体" w:cs="宋体"/>
                <w:i w:val="0"/>
                <w:iCs w:val="0"/>
                <w:color w:val="000000"/>
                <w:sz w:val="20"/>
                <w:szCs w:val="20"/>
                <w:u w:val="none"/>
              </w:rPr>
            </w:pPr>
          </w:p>
        </w:tc>
      </w:tr>
      <w:tr w14:paraId="2DE45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1332A5">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总分</w:t>
            </w:r>
          </w:p>
        </w:tc>
        <w:tc>
          <w:tcPr>
            <w:tcW w:w="9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E99F4">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100</w:t>
            </w:r>
          </w:p>
        </w:tc>
        <w:tc>
          <w:tcPr>
            <w:tcW w:w="226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46D557">
            <w:pPr>
              <w:jc w:val="center"/>
              <w:rPr>
                <w:rFonts w:hint="eastAsia" w:ascii="宋体" w:hAnsi="宋体" w:eastAsia="宋体" w:cs="宋体"/>
                <w:b/>
                <w:bCs/>
                <w:i w:val="0"/>
                <w:iCs w:val="0"/>
                <w:color w:val="000000"/>
                <w:sz w:val="20"/>
                <w:szCs w:val="20"/>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9FCD">
            <w:pPr>
              <w:keepNext w:val="0"/>
              <w:keepLines w:val="0"/>
              <w:widowControl/>
              <w:suppressLineNumbers w:val="0"/>
              <w:jc w:val="center"/>
              <w:textAlignment w:val="center"/>
              <w:rPr>
                <w:rFonts w:hint="eastAsia" w:ascii="宋体" w:hAnsi="宋体" w:eastAsia="宋体" w:cs="宋体"/>
                <w:b/>
                <w:bCs/>
                <w:i w:val="0"/>
                <w:iCs w:val="0"/>
                <w:color w:val="000000"/>
                <w:sz w:val="20"/>
                <w:szCs w:val="20"/>
                <w:u w:val="none"/>
              </w:rPr>
            </w:pPr>
            <w:r>
              <w:rPr>
                <w:rFonts w:hint="eastAsia" w:ascii="宋体" w:hAnsi="宋体" w:eastAsia="宋体" w:cs="宋体"/>
                <w:b/>
                <w:bCs/>
                <w:i w:val="0"/>
                <w:iCs w:val="0"/>
                <w:color w:val="000000"/>
                <w:kern w:val="0"/>
                <w:sz w:val="20"/>
                <w:szCs w:val="20"/>
                <w:u w:val="none"/>
                <w:lang w:val="en-US" w:eastAsia="zh-CN" w:bidi="ar"/>
              </w:rPr>
              <w:t>97</w:t>
            </w:r>
          </w:p>
        </w:tc>
        <w:tc>
          <w:tcPr>
            <w:tcW w:w="139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409EC9">
            <w:pPr>
              <w:jc w:val="center"/>
              <w:rPr>
                <w:rFonts w:hint="eastAsia" w:ascii="宋体" w:hAnsi="宋体" w:eastAsia="宋体" w:cs="宋体"/>
                <w:i w:val="0"/>
                <w:iCs w:val="0"/>
                <w:color w:val="000000"/>
                <w:sz w:val="20"/>
                <w:szCs w:val="20"/>
                <w:u w:val="none"/>
              </w:rPr>
            </w:pPr>
          </w:p>
        </w:tc>
      </w:tr>
      <w:tr w14:paraId="777C0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9" w:hRule="atLeast"/>
        </w:trPr>
        <w:tc>
          <w:tcPr>
            <w:tcW w:w="9337" w:type="dxa"/>
            <w:gridSpan w:val="11"/>
            <w:tcBorders>
              <w:top w:val="single" w:color="000000" w:sz="4" w:space="0"/>
              <w:left w:val="nil"/>
              <w:bottom w:val="nil"/>
              <w:right w:val="nil"/>
            </w:tcBorders>
            <w:shd w:val="clear" w:color="auto" w:fill="auto"/>
            <w:vAlign w:val="center"/>
          </w:tcPr>
          <w:p w14:paraId="5D0F387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6"/>
                <w:lang w:val="en-US" w:eastAsia="zh-CN" w:bidi="ar"/>
              </w:rPr>
              <w:t>注：1</w:t>
            </w:r>
            <w:r>
              <w:rPr>
                <w:rFonts w:hint="eastAsia" w:ascii="宋体" w:hAnsi="宋体" w:eastAsia="宋体" w:cs="宋体"/>
                <w:i w:val="0"/>
                <w:iCs w:val="0"/>
                <w:color w:val="000000"/>
                <w:kern w:val="0"/>
                <w:sz w:val="18"/>
                <w:szCs w:val="18"/>
                <w:u w:val="none"/>
                <w:lang w:val="en-US" w:eastAsia="zh-CN" w:bidi="ar"/>
              </w:rPr>
              <w:t>.一级指标分值统一设置为：产出指标50分、效益指标30分、满意度指标10分、预算资金执行率10分。如有特殊情况，上述权重可做适当调整，但加总后应等于100分。各部门根据各项指标重要程度确定三级指标的分值。得分最高不能超过该指标分值上限。</w:t>
            </w:r>
          </w:p>
        </w:tc>
      </w:tr>
      <w:tr w14:paraId="3781F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9" w:hRule="atLeast"/>
        </w:trPr>
        <w:tc>
          <w:tcPr>
            <w:tcW w:w="9337" w:type="dxa"/>
            <w:gridSpan w:val="11"/>
            <w:tcBorders>
              <w:top w:val="nil"/>
              <w:left w:val="nil"/>
              <w:bottom w:val="nil"/>
              <w:right w:val="nil"/>
            </w:tcBorders>
            <w:shd w:val="clear" w:color="auto" w:fill="auto"/>
            <w:vAlign w:val="center"/>
          </w:tcPr>
          <w:p w14:paraId="5F266E8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2.定性指标根据指标完成情况分为：达成预期指标、部分达成预期指标并具有一定效果、未达成预期指标且效果较差三档，分别按照该指标对应分值区间100-80%(含80%)、80-60%(含60%)、60-0%合理确定得分。</w:t>
            </w:r>
          </w:p>
        </w:tc>
      </w:tr>
      <w:tr w14:paraId="14BB6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9337" w:type="dxa"/>
            <w:gridSpan w:val="11"/>
            <w:tcBorders>
              <w:top w:val="nil"/>
              <w:left w:val="nil"/>
              <w:bottom w:val="nil"/>
              <w:right w:val="nil"/>
            </w:tcBorders>
            <w:shd w:val="clear" w:color="auto" w:fill="auto"/>
            <w:vAlign w:val="center"/>
          </w:tcPr>
          <w:p w14:paraId="3AE4D67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Style w:val="46"/>
                <w:lang w:val="en-US" w:eastAsia="zh-CN" w:bidi="ar"/>
              </w:rPr>
              <w:t xml:space="preserve">    3.定量指标若为正向指标（即指标值为</w:t>
            </w:r>
            <w:r>
              <w:rPr>
                <w:rFonts w:hint="eastAsia" w:ascii="宋体" w:hAnsi="宋体" w:eastAsia="宋体" w:cs="宋体"/>
                <w:i w:val="0"/>
                <w:iCs w:val="0"/>
                <w:color w:val="000000"/>
                <w:kern w:val="0"/>
                <w:sz w:val="18"/>
                <w:szCs w:val="18"/>
                <w:u w:val="none"/>
                <w:lang w:val="en-US" w:eastAsia="zh-CN" w:bidi="ar"/>
              </w:rPr>
              <w:t>≥*），则得分计算方法应用全年实际值/年度指标值</w:t>
            </w:r>
            <w:r>
              <w:rPr>
                <w:rFonts w:hint="eastAsia" w:ascii="宋体" w:hAnsi="宋体" w:eastAsia="宋体" w:cs="宋体"/>
                <w:i w:val="0"/>
                <w:iCs w:val="0"/>
                <w:color w:val="000000"/>
                <w:kern w:val="0"/>
                <w:sz w:val="12"/>
                <w:szCs w:val="12"/>
                <w:u w:val="none"/>
                <w:lang w:val="en-US" w:eastAsia="zh-CN" w:bidi="ar"/>
              </w:rPr>
              <w:t>╳</w:t>
            </w:r>
            <w:r>
              <w:rPr>
                <w:rFonts w:hint="eastAsia" w:ascii="宋体" w:hAnsi="宋体" w:eastAsia="宋体" w:cs="宋体"/>
                <w:i w:val="0"/>
                <w:iCs w:val="0"/>
                <w:color w:val="000000"/>
                <w:kern w:val="0"/>
                <w:sz w:val="18"/>
                <w:szCs w:val="18"/>
                <w:u w:val="none"/>
                <w:lang w:val="en-US" w:eastAsia="zh-CN" w:bidi="ar"/>
              </w:rPr>
              <w:t>该指标分值；若定量指标为反向指标（即指标值为≤*），则得分计算方法应用年度指标值/全年实际值</w:t>
            </w:r>
            <w:r>
              <w:rPr>
                <w:rFonts w:hint="eastAsia" w:ascii="宋体" w:hAnsi="宋体" w:eastAsia="宋体" w:cs="宋体"/>
                <w:i w:val="0"/>
                <w:iCs w:val="0"/>
                <w:color w:val="000000"/>
                <w:kern w:val="0"/>
                <w:sz w:val="12"/>
                <w:szCs w:val="12"/>
                <w:u w:val="none"/>
                <w:lang w:val="en-US" w:eastAsia="zh-CN" w:bidi="ar"/>
              </w:rPr>
              <w:t>╳</w:t>
            </w:r>
            <w:r>
              <w:rPr>
                <w:rFonts w:hint="eastAsia" w:ascii="宋体" w:hAnsi="宋体" w:eastAsia="宋体" w:cs="宋体"/>
                <w:i w:val="0"/>
                <w:iCs w:val="0"/>
                <w:color w:val="000000"/>
                <w:kern w:val="0"/>
                <w:sz w:val="18"/>
                <w:szCs w:val="18"/>
                <w:u w:val="none"/>
                <w:lang w:val="en-US" w:eastAsia="zh-CN" w:bidi="ar"/>
              </w:rPr>
              <w:t>该指标分值；定量指标得分最高不得超过该指标分值上限。</w:t>
            </w:r>
          </w:p>
        </w:tc>
      </w:tr>
    </w:tbl>
    <w:p w14:paraId="43C66A32">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3FFDCC04">
      <w:pPr>
        <w:pStyle w:val="5"/>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4439F5AB">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2E503FC7">
      <w:pPr>
        <w:jc w:val="center"/>
        <w:rPr>
          <w:rFonts w:hint="eastAsia" w:ascii="宋体" w:hAnsi="宋体" w:eastAsia="宋体"/>
          <w:b/>
          <w:sz w:val="40"/>
          <w:szCs w:val="40"/>
          <w:lang w:eastAsia="zh-CN"/>
        </w:rPr>
      </w:pPr>
      <w:r>
        <w:rPr>
          <w:rFonts w:hint="eastAsia" w:ascii="宋体" w:hAnsi="宋体" w:eastAsia="宋体"/>
          <w:b/>
          <w:sz w:val="40"/>
          <w:szCs w:val="40"/>
          <w:lang w:eastAsia="zh-CN"/>
        </w:rPr>
        <w:t>壤塘县藏医院</w:t>
      </w:r>
    </w:p>
    <w:p w14:paraId="28DE3425">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r>
        <w:rPr>
          <w:rFonts w:hint="eastAsia" w:ascii="宋体" w:hAnsi="宋体" w:eastAsia="宋体"/>
          <w:b/>
          <w:sz w:val="40"/>
          <w:szCs w:val="40"/>
        </w:rPr>
        <w:t>县级公立医院取消药品加成</w:t>
      </w:r>
      <w:r>
        <w:rPr>
          <w:rFonts w:hint="eastAsia" w:ascii="宋体" w:hAnsi="宋体" w:eastAsia="宋体"/>
          <w:b/>
          <w:sz w:val="40"/>
          <w:szCs w:val="40"/>
          <w:lang w:eastAsia="zh-CN"/>
        </w:rPr>
        <w:t>补助资金</w:t>
      </w:r>
      <w:r>
        <w:rPr>
          <w:rFonts w:hint="eastAsia" w:ascii="宋体" w:hAnsi="宋体" w:eastAsia="宋体"/>
          <w:b/>
          <w:sz w:val="40"/>
          <w:szCs w:val="40"/>
        </w:rPr>
        <w:t>绩效自评报告</w:t>
      </w:r>
    </w:p>
    <w:p w14:paraId="2E721F28">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0450D2E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（一）设立背景及基本情况。</w:t>
      </w:r>
    </w:p>
    <w:p w14:paraId="37B7188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0" w:firstLineChars="200"/>
        <w:contextualSpacing/>
        <w:jc w:val="left"/>
        <w:textAlignment w:val="auto"/>
        <w:rPr>
          <w:rFonts w:hint="eastAsia" w:ascii="Times New Roman" w:hAnsi="Times New Roman" w:eastAsia="仿宋_GB2312" w:cs="仿宋_GB2312"/>
          <w:b w:val="0"/>
          <w:bCs w:val="0"/>
          <w:color w:val="auto"/>
          <w:kern w:val="0"/>
          <w:position w:val="0"/>
          <w:sz w:val="32"/>
          <w:szCs w:val="32"/>
          <w:highlight w:val="none"/>
          <w:u w:val="none"/>
          <w:shd w:val="clear" w:color="auto" w:fill="FFFFFF"/>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根据公立医院综合改革相关政策要求，全面取消药品加成，破除“以药补医”机制。本项目依据医药卫生体制改革相关文件立项、申报资金。项目主要内容为落实县级公立医院取消药品加成财政补助，弥补医院因取消药品加成减少的合理收入。主管部门负责资金监管、政策落实督导，我院作为项目实施单位，负责补助资金接收、规范使用与日常管理。</w:t>
      </w:r>
    </w:p>
    <w:p w14:paraId="561B2CBE">
      <w:pPr>
        <w:keepNext w:val="0"/>
        <w:keepLines w:val="0"/>
        <w:pageBreakBefore w:val="0"/>
        <w:numPr>
          <w:ilvl w:val="0"/>
          <w:numId w:val="0"/>
        </w:numPr>
        <w:kinsoku/>
        <w:wordWrap/>
        <w:overflowPunct/>
        <w:topLinePunct w:val="0"/>
        <w:autoSpaceDE/>
        <w:autoSpaceDN/>
        <w:bidi w:val="0"/>
        <w:adjustRightInd w:val="0"/>
        <w:snapToGrid w:val="0"/>
        <w:spacing w:line="578" w:lineRule="exact"/>
        <w:ind w:leftChars="200"/>
        <w:textAlignment w:val="auto"/>
        <w:rPr>
          <w:rFonts w:hint="eastAsia" w:ascii="Times New Roman" w:hAnsi="Times New Roman" w:eastAsia="楷体_GB2312" w:cs="Times New Roman"/>
          <w:b/>
          <w:color w:val="auto"/>
          <w:sz w:val="32"/>
          <w:szCs w:val="32"/>
          <w:highlight w:val="none"/>
          <w:u w:val="none"/>
          <w:lang w:val="en-US" w:eastAsia="zh-CN"/>
        </w:rPr>
      </w:pPr>
      <w:r>
        <w:rPr>
          <w:rFonts w:hint="eastAsia" w:eastAsia="楷体_GB2312" w:cs="Times New Roman"/>
          <w:b/>
          <w:color w:val="auto"/>
          <w:sz w:val="32"/>
          <w:szCs w:val="32"/>
          <w:highlight w:val="none"/>
          <w:u w:val="none"/>
          <w:lang w:val="en-US" w:eastAsia="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p>
    <w:p w14:paraId="22990E74">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按照专项资金管理办法管理本笔补助资金。项目实施目的：补偿医院取消药品加成造成的收入缺口，保障藏医院日常诊疗业务持续稳定运行，巩固公立医院综合改革成效，减轻群众就医用药负担。资金支持方向：用于弥补取消药品加成后医院运行经费缺口，保障医院医疗服务正常开展。</w:t>
      </w:r>
    </w:p>
    <w:p w14:paraId="02F94782">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楷体_GB2312" w:cs="Times New Roman"/>
          <w:b/>
          <w:color w:val="auto"/>
          <w:sz w:val="32"/>
          <w:szCs w:val="32"/>
          <w:highlight w:val="none"/>
          <w:u w:val="none"/>
          <w:lang w:val="zh-CN" w:eastAsia="zh-CN"/>
        </w:rPr>
      </w:pP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p>
    <w:p w14:paraId="62CA04C5">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本项目年度预算安排</w:t>
      </w:r>
      <w:r>
        <w:rPr>
          <w:rFonts w:hint="eastAsia" w:eastAsia="仿宋_GB2312" w:cs="仿宋_GB2312"/>
          <w:b w:val="0"/>
          <w:bCs w:val="0"/>
          <w:kern w:val="0"/>
          <w:position w:val="0"/>
          <w:sz w:val="32"/>
          <w:szCs w:val="32"/>
          <w:highlight w:val="none"/>
          <w:lang w:val="en-US" w:eastAsia="zh-CN" w:bidi="ar-SA"/>
        </w:rPr>
        <w:t>5.1042</w:t>
      </w:r>
      <w:r>
        <w:rPr>
          <w:rFonts w:hint="eastAsia" w:ascii="Times New Roman" w:hAnsi="Times New Roman" w:eastAsia="仿宋_GB2312" w:cs="仿宋_GB2312"/>
          <w:b w:val="0"/>
          <w:bCs w:val="0"/>
          <w:kern w:val="0"/>
          <w:position w:val="0"/>
          <w:sz w:val="32"/>
          <w:szCs w:val="32"/>
          <w:highlight w:val="none"/>
          <w:lang w:val="zh-CN" w:eastAsia="zh-CN" w:bidi="ar-SA"/>
        </w:rPr>
        <w:t>万元。资金分配按照公立医院取消药品加成补助政策测算，结合我院药品收入减少额度、诊疗工作量等因素核定。资金全部拨付我院统筹使用，严格执行财政资金管理规定，专款专用、单独核算。</w:t>
      </w:r>
    </w:p>
    <w:p w14:paraId="6A3ED061">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楷体_GB2312" w:cs="Times New Roman"/>
          <w:b/>
          <w:color w:val="auto"/>
          <w:sz w:val="32"/>
          <w:szCs w:val="32"/>
          <w:highlight w:val="none"/>
          <w:u w:val="none"/>
          <w:lang w:val="zh-CN" w:eastAsia="zh-CN"/>
        </w:rPr>
      </w:pPr>
      <w:r>
        <w:rPr>
          <w:rFonts w:hint="eastAsia" w:ascii="Times New Roman" w:hAnsi="Times New Roman" w:eastAsia="楷体_GB2312" w:cs="Times New Roman"/>
          <w:b/>
          <w:color w:val="auto"/>
          <w:sz w:val="32"/>
          <w:szCs w:val="32"/>
          <w:highlight w:val="none"/>
          <w:u w:val="none"/>
          <w:lang w:val="zh-CN" w:eastAsia="zh-CN"/>
        </w:rPr>
        <w:t>项目绩效目标设置。</w:t>
      </w:r>
    </w:p>
    <w:p w14:paraId="0C630A88">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项目整体绩效目标：落实公立医院药改补助，保障医院正常运营，稳定医疗服务供给，降低患者药品费用负担。区域绩效目标：持续推进县域公立医院综合改革，提升基本医疗服务能力。</w:t>
      </w:r>
    </w:p>
    <w:p w14:paraId="26831E6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自评工作开展情况：我院组织</w:t>
      </w:r>
      <w:r>
        <w:rPr>
          <w:rFonts w:hint="eastAsia" w:eastAsia="仿宋_GB2312" w:cs="仿宋_GB2312"/>
          <w:b w:val="0"/>
          <w:bCs w:val="0"/>
          <w:kern w:val="0"/>
          <w:position w:val="0"/>
          <w:sz w:val="32"/>
          <w:szCs w:val="32"/>
          <w:highlight w:val="none"/>
          <w:lang w:val="en-US" w:eastAsia="zh-CN" w:bidi="ar-SA"/>
        </w:rPr>
        <w:t>项目负责人</w:t>
      </w:r>
      <w:r>
        <w:rPr>
          <w:rFonts w:hint="eastAsia" w:ascii="Times New Roman" w:hAnsi="Times New Roman" w:eastAsia="仿宋_GB2312" w:cs="仿宋_GB2312"/>
          <w:b w:val="0"/>
          <w:bCs w:val="0"/>
          <w:kern w:val="0"/>
          <w:position w:val="0"/>
          <w:sz w:val="32"/>
          <w:szCs w:val="32"/>
          <w:highlight w:val="none"/>
          <w:lang w:val="zh-CN" w:eastAsia="zh-CN" w:bidi="ar-SA"/>
        </w:rPr>
        <w:t>、医务相关人员开展绩效自评，核对资金收支资料，对照绩效指标逐项核查，完成自评工作。</w:t>
      </w:r>
    </w:p>
    <w:p w14:paraId="35BD864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0E60D45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（一）评价目的。</w:t>
      </w:r>
    </w:p>
    <w:p w14:paraId="4111442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通过开展项目绩效自评，核查取消药品加成补助资金使用规范性、资金产出效益；总结项目实施成效，查找资金管理存在短板；规范财政专项资金管理，提升资金使用效益，为后续预算安排提供依据。</w:t>
      </w:r>
    </w:p>
    <w:p w14:paraId="36FA1287">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预设问题及评价重点。</w:t>
      </w:r>
    </w:p>
    <w:p w14:paraId="4D82B6C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严格对照绩效评价指标体系，重点评价：项目资金到位及时性、资金支出合规性；补助资金是否按规定用途使用，有无挤占挪用；项目产出（医院业务正常运转、医疗服务持续供给）；效益指标（群众就医负担、改革成效、满意度）；资金管理制度建立与执行情况。</w:t>
      </w:r>
    </w:p>
    <w:p w14:paraId="4AFDE4D2">
      <w:pPr>
        <w:keepNext w:val="0"/>
        <w:keepLines w:val="0"/>
        <w:pageBreakBefore w:val="0"/>
        <w:widowControl w:val="0"/>
        <w:numPr>
          <w:ilvl w:val="0"/>
          <w:numId w:val="3"/>
        </w:numPr>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eastAsia="zh-CN"/>
        </w:rPr>
      </w:pPr>
      <w:r>
        <w:rPr>
          <w:rFonts w:hint="eastAsia" w:ascii="Times New Roman" w:hAnsi="Times New Roman" w:eastAsia="楷体_GB2312"/>
          <w:b/>
          <w:color w:val="auto"/>
          <w:sz w:val="32"/>
          <w:szCs w:val="32"/>
          <w:highlight w:val="none"/>
          <w:u w:val="none"/>
          <w:lang w:val="zh-CN" w:eastAsia="zh-CN"/>
        </w:rPr>
        <w:t>评价选点。</w:t>
      </w:r>
    </w:p>
    <w:p w14:paraId="218B1DE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本项目为县级单一实施单位项目，专项资金拨付至壤塘县藏医院，本次绩效自评以本院作为评价点位，相关佐证资料、凭证台账作为自评附件。</w:t>
      </w:r>
    </w:p>
    <w:p w14:paraId="68584D37">
      <w:pPr>
        <w:keepNext w:val="0"/>
        <w:keepLines w:val="0"/>
        <w:pageBreakBefore w:val="0"/>
        <w:widowControl w:val="0"/>
        <w:numPr>
          <w:ilvl w:val="0"/>
          <w:numId w:val="3"/>
        </w:numPr>
        <w:kinsoku/>
        <w:wordWrap/>
        <w:overflowPunct/>
        <w:topLinePunct w:val="0"/>
        <w:autoSpaceDE/>
        <w:autoSpaceDN/>
        <w:bidi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评价方法。</w:t>
      </w:r>
    </w:p>
    <w:p w14:paraId="4A742426">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结合本项目资金特点与评价重点，综合单位自评法。查阅项目资金预算文件、拨款凭证、会计账簿等资料；组织财务、</w:t>
      </w:r>
      <w:r>
        <w:rPr>
          <w:rFonts w:hint="eastAsia" w:eastAsia="仿宋_GB2312" w:cs="仿宋_GB2312"/>
          <w:b w:val="0"/>
          <w:bCs w:val="0"/>
          <w:kern w:val="0"/>
          <w:position w:val="0"/>
          <w:sz w:val="32"/>
          <w:szCs w:val="32"/>
          <w:highlight w:val="none"/>
          <w:lang w:val="en-US" w:eastAsia="zh-CN" w:bidi="ar-SA"/>
        </w:rPr>
        <w:t>项目</w:t>
      </w:r>
      <w:r>
        <w:rPr>
          <w:rFonts w:hint="eastAsia" w:ascii="Times New Roman" w:hAnsi="Times New Roman" w:eastAsia="仿宋_GB2312" w:cs="仿宋_GB2312"/>
          <w:b w:val="0"/>
          <w:bCs w:val="0"/>
          <w:kern w:val="0"/>
          <w:position w:val="0"/>
          <w:sz w:val="32"/>
          <w:szCs w:val="32"/>
          <w:highlight w:val="none"/>
          <w:lang w:val="zh-CN" w:eastAsia="zh-CN" w:bidi="ar-SA"/>
        </w:rPr>
        <w:t>管理人员开展</w:t>
      </w:r>
      <w:r>
        <w:rPr>
          <w:rFonts w:hint="eastAsia" w:eastAsia="仿宋_GB2312" w:cs="仿宋_GB2312"/>
          <w:b w:val="0"/>
          <w:bCs w:val="0"/>
          <w:kern w:val="0"/>
          <w:position w:val="0"/>
          <w:sz w:val="32"/>
          <w:szCs w:val="32"/>
          <w:highlight w:val="none"/>
          <w:lang w:val="en-US" w:eastAsia="zh-CN" w:bidi="ar-SA"/>
        </w:rPr>
        <w:t>自评</w:t>
      </w:r>
      <w:r>
        <w:rPr>
          <w:rFonts w:hint="eastAsia" w:ascii="Times New Roman" w:hAnsi="Times New Roman" w:eastAsia="仿宋_GB2312" w:cs="仿宋_GB2312"/>
          <w:b w:val="0"/>
          <w:bCs w:val="0"/>
          <w:kern w:val="0"/>
          <w:position w:val="0"/>
          <w:sz w:val="32"/>
          <w:szCs w:val="32"/>
          <w:highlight w:val="none"/>
          <w:lang w:val="zh-CN" w:eastAsia="zh-CN" w:bidi="ar-SA"/>
        </w:rPr>
        <w:t>，核实补助资金使用、医院运营、医疗服务开展情况，对照绩效指标逐项核查打分，客观评价项目资金产出与实施效益。</w:t>
      </w:r>
    </w:p>
    <w:p w14:paraId="2410013E">
      <w:pPr>
        <w:keepNext w:val="0"/>
        <w:keepLines w:val="0"/>
        <w:pageBreakBefore w:val="0"/>
        <w:widowControl w:val="0"/>
        <w:numPr>
          <w:ilvl w:val="0"/>
          <w:numId w:val="3"/>
        </w:numPr>
        <w:kinsoku/>
        <w:wordWrap/>
        <w:overflowPunct/>
        <w:topLinePunct w:val="0"/>
        <w:autoSpaceDE/>
        <w:autoSpaceDN/>
        <w:bidi w:val="0"/>
        <w:spacing w:line="578" w:lineRule="exact"/>
        <w:ind w:left="0" w:leftChars="0" w:firstLine="643" w:firstLineChars="200"/>
        <w:textAlignment w:val="auto"/>
        <w:outlineLvl w:val="9"/>
        <w:rPr>
          <w:rFonts w:hint="eastAsia" w:ascii="Times New Roman" w:hAnsi="Times New Roman" w:eastAsia="楷体_GB2312"/>
          <w:b/>
          <w:color w:val="auto"/>
          <w:sz w:val="32"/>
          <w:szCs w:val="32"/>
          <w:highlight w:val="none"/>
          <w:u w:val="none"/>
          <w:lang w:val="zh-CN"/>
        </w:rPr>
      </w:pPr>
      <w:r>
        <w:rPr>
          <w:rFonts w:hint="eastAsia" w:ascii="Times New Roman" w:hAnsi="Times New Roman" w:eastAsia="楷体_GB2312"/>
          <w:b/>
          <w:color w:val="auto"/>
          <w:sz w:val="32"/>
          <w:szCs w:val="32"/>
          <w:highlight w:val="none"/>
          <w:u w:val="none"/>
          <w:lang w:val="zh-CN"/>
        </w:rPr>
        <w:t>评价组织。</w:t>
      </w:r>
    </w:p>
    <w:p w14:paraId="73D7E253">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我院成立本次绩效自评工作组，由院领导任组长，财务科、</w:t>
      </w:r>
      <w:r>
        <w:rPr>
          <w:rFonts w:hint="eastAsia" w:eastAsia="仿宋_GB2312" w:cs="仿宋_GB2312"/>
          <w:b w:val="0"/>
          <w:bCs w:val="0"/>
          <w:kern w:val="0"/>
          <w:position w:val="0"/>
          <w:sz w:val="32"/>
          <w:szCs w:val="32"/>
          <w:highlight w:val="none"/>
          <w:lang w:val="en-US" w:eastAsia="zh-CN" w:bidi="ar-SA"/>
        </w:rPr>
        <w:t>项目负责人等</w:t>
      </w:r>
      <w:r>
        <w:rPr>
          <w:rFonts w:hint="eastAsia" w:ascii="Times New Roman" w:hAnsi="Times New Roman" w:eastAsia="仿宋_GB2312" w:cs="仿宋_GB2312"/>
          <w:b w:val="0"/>
          <w:bCs w:val="0"/>
          <w:kern w:val="0"/>
          <w:position w:val="0"/>
          <w:sz w:val="32"/>
          <w:szCs w:val="32"/>
          <w:highlight w:val="none"/>
          <w:lang w:val="zh-CN" w:eastAsia="zh-CN" w:bidi="ar-SA"/>
        </w:rPr>
        <w:t>相关人员为成员。</w:t>
      </w:r>
    </w:p>
    <w:p w14:paraId="24FFDF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组长：统筹自评工作，审定自评报告，对自评结果负责；</w:t>
      </w:r>
    </w:p>
    <w:p w14:paraId="3B9391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财务科：负责资金收支数据核对、凭证资料收集、指标数据填报；</w:t>
      </w:r>
    </w:p>
    <w:p w14:paraId="3969F32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eastAsia="仿宋_GB2312" w:cs="仿宋_GB2312"/>
          <w:b w:val="0"/>
          <w:bCs w:val="0"/>
          <w:kern w:val="0"/>
          <w:position w:val="0"/>
          <w:sz w:val="32"/>
          <w:szCs w:val="32"/>
          <w:highlight w:val="none"/>
          <w:lang w:val="en-US" w:eastAsia="zh-CN" w:bidi="ar-SA"/>
        </w:rPr>
        <w:t>项目负责人</w:t>
      </w:r>
      <w:r>
        <w:rPr>
          <w:rFonts w:hint="eastAsia" w:ascii="Times New Roman" w:hAnsi="Times New Roman" w:eastAsia="仿宋_GB2312" w:cs="仿宋_GB2312"/>
          <w:b w:val="0"/>
          <w:bCs w:val="0"/>
          <w:kern w:val="0"/>
          <w:position w:val="0"/>
          <w:sz w:val="32"/>
          <w:szCs w:val="32"/>
          <w:highlight w:val="none"/>
          <w:lang w:val="zh-CN" w:eastAsia="zh-CN" w:bidi="ar-SA"/>
        </w:rPr>
        <w:t>：提供医疗业务数据、群众就医相关情况，核实项目实施成效。</w:t>
      </w:r>
    </w:p>
    <w:p w14:paraId="109D8BE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仿宋_GB2312" w:cs="仿宋_GB2312"/>
          <w:b w:val="0"/>
          <w:bCs w:val="0"/>
          <w:kern w:val="0"/>
          <w:position w:val="0"/>
          <w:sz w:val="32"/>
          <w:szCs w:val="32"/>
          <w:highlight w:val="none"/>
          <w:lang w:val="zh-CN" w:eastAsia="zh-CN" w:bidi="ar-SA"/>
        </w:rPr>
        <w:t>工作组分工明确，协同完成资料收集、指标分析、报告撰写等全部自评工作。</w:t>
      </w:r>
    </w:p>
    <w:p w14:paraId="40E6C930">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07D3C4E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4DAFAD0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5DFC43D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重点评价资金到位率、预算执行率、资金使用合规性、管理制度健全性。项目资金及时足额拨付到位，资金支出严格遵守财政资金管理规定，专款专用，无挤占、截留、挪用情况，财务审批流程规范，资金管理制度健全并有效执行。</w:t>
      </w:r>
    </w:p>
    <w:p w14:paraId="15E15FD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开展绩效分析。我院已建立财政专项资金管理、财务审批等配套制度，严格按照县级公立医院取消药品加成补助政策进行资金分配管理；落实绩效全过程监管，定期核对资金收支，规范账务核算，按要求开展绩效监控，保障资金管理规范有序。</w:t>
      </w:r>
    </w:p>
    <w:p w14:paraId="217803B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开展绩效分析。本年度补助资金按预算及时到位，预算执行良好；资金严格限定用于弥补取消药品加成带来的收入缺口，资金支付审批流程完整，专款专用，不存在截留、挤占、挪用资金等违规情况</w:t>
      </w:r>
      <w:r>
        <w:rPr>
          <w:rFonts w:hint="eastAsia" w:eastAsia="仿宋_GB2312" w:cs="仿宋_GB2312"/>
          <w:b w:val="0"/>
          <w:bCs w:val="0"/>
          <w:kern w:val="0"/>
          <w:position w:val="0"/>
          <w:sz w:val="32"/>
          <w:szCs w:val="32"/>
          <w:highlight w:val="none"/>
          <w:lang w:val="zh-CN" w:eastAsia="zh-CN" w:bidi="ar-SA"/>
        </w:rPr>
        <w:t>。</w:t>
      </w:r>
    </w:p>
    <w:p w14:paraId="0D11125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目标完成、完成时效开展绩效分析。按时完成项目既定绩效目标，补助资金在年度内落实到位并投入使用；有效弥补医院因药品零加成减少的收入，保障医院藏医药及常规医疗服务持续稳定开展，目标</w:t>
      </w:r>
      <w:r>
        <w:rPr>
          <w:rFonts w:hint="eastAsia" w:eastAsia="仿宋_GB2312" w:cs="仿宋_GB2312"/>
          <w:b w:val="0"/>
          <w:bCs w:val="0"/>
          <w:kern w:val="0"/>
          <w:position w:val="0"/>
          <w:sz w:val="32"/>
          <w:szCs w:val="32"/>
          <w:highlight w:val="none"/>
          <w:lang w:val="en-US" w:eastAsia="zh-CN" w:bidi="ar-SA"/>
        </w:rPr>
        <w:t>如期实现</w:t>
      </w:r>
      <w:r>
        <w:rPr>
          <w:rFonts w:hint="eastAsia" w:ascii="Times New Roman" w:hAnsi="Times New Roman" w:eastAsia="仿宋_GB2312" w:cs="仿宋_GB2312"/>
          <w:b w:val="0"/>
          <w:bCs w:val="0"/>
          <w:kern w:val="0"/>
          <w:position w:val="0"/>
          <w:sz w:val="32"/>
          <w:szCs w:val="32"/>
          <w:highlight w:val="none"/>
          <w:lang w:val="en-US" w:eastAsia="zh-CN" w:bidi="ar-SA"/>
        </w:rPr>
        <w:t>。</w:t>
      </w:r>
    </w:p>
    <w:p w14:paraId="6D81088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07A59AF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zh-CN" w:eastAsia="zh-CN" w:bidi="ar-SA"/>
        </w:rPr>
        <w:t>本项目属于民生保障类专项资金，围绕区域均衡性、对象精准性、标准合理性、群众满意度开展绩效分析</w:t>
      </w:r>
      <w:r>
        <w:rPr>
          <w:rFonts w:hint="eastAsia" w:eastAsia="仿宋_GB2312" w:cs="仿宋_GB2312"/>
          <w:b w:val="0"/>
          <w:bCs w:val="0"/>
          <w:kern w:val="0"/>
          <w:position w:val="0"/>
          <w:sz w:val="32"/>
          <w:szCs w:val="32"/>
          <w:highlight w:val="none"/>
          <w:lang w:val="zh-CN" w:eastAsia="zh-CN" w:bidi="ar-SA"/>
        </w:rPr>
        <w:t>。</w:t>
      </w:r>
    </w:p>
    <w:p w14:paraId="79873E37">
      <w:pPr>
        <w:keepNext w:val="0"/>
        <w:keepLines w:val="0"/>
        <w:pageBreakBefore w:val="0"/>
        <w:widowControl w:val="0"/>
        <w:numPr>
          <w:ilvl w:val="0"/>
          <w:numId w:val="4"/>
        </w:numPr>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产业发展。补助资金定向保障壤塘县藏医院运营，弥补民族地区县级公立医院取消药品加成后的收入缺口，保障县域内各族群众就近享受平价药品、藏西医医疗服务</w:t>
      </w:r>
      <w:r>
        <w:rPr>
          <w:rFonts w:hint="eastAsia" w:eastAsia="仿宋_GB2312" w:cs="仿宋_GB2312"/>
          <w:b w:val="0"/>
          <w:bCs w:val="0"/>
          <w:kern w:val="0"/>
          <w:position w:val="0"/>
          <w:sz w:val="32"/>
          <w:szCs w:val="32"/>
          <w:highlight w:val="none"/>
          <w:lang w:val="en-US" w:eastAsia="zh-CN" w:bidi="ar-SA"/>
        </w:rPr>
        <w:t>。</w:t>
      </w:r>
    </w:p>
    <w:p w14:paraId="1D8E10CE">
      <w:pPr>
        <w:keepNext w:val="0"/>
        <w:keepLines w:val="0"/>
        <w:pageBreakBefore w:val="0"/>
        <w:widowControl w:val="0"/>
        <w:numPr>
          <w:ilvl w:val="0"/>
          <w:numId w:val="0"/>
        </w:numPr>
        <w:kinsoku/>
        <w:wordWrap/>
        <w:overflowPunct/>
        <w:topLinePunct w:val="0"/>
        <w:autoSpaceDE/>
        <w:autoSpaceDN/>
        <w:bidi w:val="0"/>
        <w:adjustRightInd/>
        <w:snapToGrid/>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补助对象精准，资金专项用于补偿我院取消药品加成减少的合理收入，保障医院持续开展诊疗服务。</w:t>
      </w:r>
    </w:p>
    <w:p w14:paraId="0B8D0D9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3.基础设施。补助资金额度按照公立医院综合改革相关政策要求测算核定，测算依据充分</w:t>
      </w:r>
      <w:r>
        <w:rPr>
          <w:rFonts w:hint="eastAsia" w:ascii="Times New Roman" w:hAnsi="Times New Roman" w:eastAsia="仿宋_GB2312" w:cs="仿宋_GB2312"/>
          <w:b w:val="0"/>
          <w:bCs w:val="0"/>
          <w:kern w:val="0"/>
          <w:position w:val="0"/>
          <w:sz w:val="32"/>
          <w:szCs w:val="32"/>
          <w:highlight w:val="none"/>
          <w:lang w:val="zh-CN" w:eastAsia="zh-CN" w:bidi="ar-SA"/>
        </w:rPr>
        <w:t>。</w:t>
      </w:r>
    </w:p>
    <w:p w14:paraId="4F0236A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行政运转。药品零加成政策落地后，患者药品采购费用降低，就医负担减轻。</w:t>
      </w:r>
    </w:p>
    <w:p w14:paraId="084B52A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结合壤塘藏医院民族医院特色，设置个性指标进行分析：补助资金到位使用后，保障藏医门诊、藏医特色诊疗业务正常运转，稳定藏医药专业人才队伍。</w:t>
      </w:r>
    </w:p>
    <w:p w14:paraId="48384EF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62051E9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本项目绩效自评综合得分</w:t>
      </w:r>
      <w:r>
        <w:rPr>
          <w:rFonts w:hint="eastAsia" w:eastAsia="仿宋_GB2312" w:cs="仿宋_GB2312"/>
          <w:b w:val="0"/>
          <w:bCs w:val="0"/>
          <w:kern w:val="0"/>
          <w:position w:val="0"/>
          <w:sz w:val="32"/>
          <w:szCs w:val="32"/>
          <w:highlight w:val="none"/>
          <w:lang w:val="en-US" w:eastAsia="zh-CN" w:bidi="ar-SA"/>
        </w:rPr>
        <w:t>97</w:t>
      </w:r>
      <w:r>
        <w:rPr>
          <w:rFonts w:hint="eastAsia" w:ascii="Times New Roman" w:hAnsi="Times New Roman" w:eastAsia="仿宋_GB2312" w:cs="仿宋_GB2312"/>
          <w:b w:val="0"/>
          <w:bCs w:val="0"/>
          <w:kern w:val="0"/>
          <w:position w:val="0"/>
          <w:sz w:val="32"/>
          <w:szCs w:val="32"/>
          <w:highlight w:val="none"/>
          <w:lang w:val="en-US" w:eastAsia="zh-CN" w:bidi="ar-SA"/>
        </w:rPr>
        <w:t>分。县级公立医院取消药品加成补助资金已按规定及时拨付到位，资金严格专款专用，预算执行较好。补助资金有效弥补我院取消药品加成减少的合理收入，保障藏医院藏西医诊疗业务平稳运行，巩固公立医院综合改革成效，降低群众药品就医负担</w:t>
      </w:r>
      <w:r>
        <w:rPr>
          <w:rFonts w:hint="eastAsia" w:ascii="Times New Roman" w:hAnsi="Times New Roman" w:eastAsia="仿宋_GB2312" w:cs="仿宋_GB2312"/>
          <w:b w:val="0"/>
          <w:bCs w:val="0"/>
          <w:kern w:val="0"/>
          <w:position w:val="0"/>
          <w:sz w:val="32"/>
          <w:szCs w:val="32"/>
          <w:highlight w:val="none"/>
          <w:lang w:val="zh-CN" w:eastAsia="zh-CN" w:bidi="ar-SA"/>
        </w:rPr>
        <w:t>。</w:t>
      </w:r>
    </w:p>
    <w:p w14:paraId="2D6447F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5AB4D73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受县域就诊患者结构波动影响，药品收入减少额度存在变化，补助资金测算预判的精准度有待进一步提升。</w:t>
      </w:r>
    </w:p>
    <w:p w14:paraId="69F6401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绩效指标精细化程度不足，部分绩效指标偏宏观，对藏医药特色服务成效量化反映不够。</w:t>
      </w:r>
    </w:p>
    <w:p w14:paraId="7AC7E65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0318907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 强化预算测算管理。结合医院历年药品收入变化、门诊住院工作量，更加精准测算药品金额，提高项目预算编制的科学性，增强补助资金测算精准度。</w:t>
      </w:r>
    </w:p>
    <w:p w14:paraId="188A00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 优化绩效指标设置。结合藏医院业务特点，细化量化绩效指标，增加藏医药特色诊疗服务相关指标，更加全面反映项目实施成效。</w:t>
      </w:r>
    </w:p>
    <w:p w14:paraId="1A56E5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ECA9E3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7"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4296572">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73"/>
      <w:bookmarkEnd w:id="77"/>
      <w:bookmarkStart w:id="78" w:name="_Toc15396619"/>
    </w:p>
    <w:p w14:paraId="3FF1531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5735DC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78"/>
    </w:p>
    <w:p w14:paraId="35054AD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79" w:name="_Toc15396620"/>
      <w:r>
        <w:rPr>
          <w:rFonts w:hint="eastAsia" w:ascii="Times New Roman" w:hAnsi="Times New Roman" w:eastAsia="仿宋_GB2312" w:cs="仿宋_GB2312"/>
          <w:color w:val="auto"/>
          <w:sz w:val="32"/>
          <w:szCs w:val="32"/>
          <w:highlight w:val="none"/>
        </w:rPr>
        <w:t>二、收入决算表</w:t>
      </w:r>
      <w:bookmarkEnd w:id="79"/>
    </w:p>
    <w:p w14:paraId="4557AE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0" w:name="_Toc15396621"/>
      <w:r>
        <w:rPr>
          <w:rFonts w:hint="eastAsia" w:ascii="Times New Roman" w:hAnsi="Times New Roman" w:eastAsia="仿宋_GB2312" w:cs="仿宋_GB2312"/>
          <w:color w:val="auto"/>
          <w:sz w:val="32"/>
          <w:szCs w:val="32"/>
          <w:highlight w:val="none"/>
        </w:rPr>
        <w:t>三、支出决算表</w:t>
      </w:r>
      <w:bookmarkEnd w:id="80"/>
    </w:p>
    <w:p w14:paraId="5EF5BF5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1" w:name="_Toc15396622"/>
      <w:r>
        <w:rPr>
          <w:rFonts w:hint="eastAsia" w:ascii="Times New Roman" w:hAnsi="Times New Roman" w:eastAsia="仿宋_GB2312" w:cs="仿宋_GB2312"/>
          <w:color w:val="auto"/>
          <w:sz w:val="32"/>
          <w:szCs w:val="32"/>
          <w:highlight w:val="none"/>
        </w:rPr>
        <w:t>四、财政拨款收入支出决算总表</w:t>
      </w:r>
      <w:bookmarkEnd w:id="81"/>
    </w:p>
    <w:p w14:paraId="3730975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3"/>
      <w:r>
        <w:rPr>
          <w:rFonts w:hint="eastAsia" w:ascii="Times New Roman" w:hAnsi="Times New Roman" w:eastAsia="仿宋_GB2312" w:cs="仿宋_GB2312"/>
          <w:color w:val="auto"/>
          <w:sz w:val="32"/>
          <w:szCs w:val="32"/>
          <w:highlight w:val="none"/>
        </w:rPr>
        <w:t>五、财政拨款支出决算明细表</w:t>
      </w:r>
      <w:bookmarkEnd w:id="82"/>
      <w:bookmarkStart w:id="83" w:name="_Toc15396624"/>
    </w:p>
    <w:p w14:paraId="474FCBF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3"/>
    </w:p>
    <w:p w14:paraId="1D1F28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5"/>
      <w:r>
        <w:rPr>
          <w:rFonts w:hint="eastAsia" w:ascii="Times New Roman" w:hAnsi="Times New Roman" w:eastAsia="仿宋_GB2312" w:cs="仿宋_GB2312"/>
          <w:color w:val="auto"/>
          <w:sz w:val="32"/>
          <w:szCs w:val="32"/>
          <w:highlight w:val="none"/>
        </w:rPr>
        <w:t>七、一般公共预算财政拨款支出决算明细表</w:t>
      </w:r>
      <w:bookmarkEnd w:id="84"/>
    </w:p>
    <w:p w14:paraId="715264C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6"/>
      <w:r>
        <w:rPr>
          <w:rFonts w:hint="eastAsia" w:ascii="Times New Roman" w:hAnsi="Times New Roman" w:eastAsia="仿宋_GB2312" w:cs="仿宋_GB2312"/>
          <w:color w:val="auto"/>
          <w:sz w:val="32"/>
          <w:szCs w:val="32"/>
          <w:highlight w:val="none"/>
        </w:rPr>
        <w:t>八、一般公共预算财政拨款基本支出决算表</w:t>
      </w:r>
      <w:bookmarkEnd w:id="85"/>
    </w:p>
    <w:p w14:paraId="72F271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6" w:name="_Toc15396627"/>
      <w:r>
        <w:rPr>
          <w:rFonts w:hint="eastAsia" w:ascii="Times New Roman" w:hAnsi="Times New Roman" w:eastAsia="仿宋_GB2312" w:cs="仿宋_GB2312"/>
          <w:color w:val="auto"/>
          <w:sz w:val="32"/>
          <w:szCs w:val="32"/>
          <w:highlight w:val="none"/>
        </w:rPr>
        <w:t>九、一般公共预算财政拨款项目支出决算表</w:t>
      </w:r>
      <w:bookmarkEnd w:id="86"/>
    </w:p>
    <w:p w14:paraId="00B3463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8"/>
      <w:r>
        <w:rPr>
          <w:rFonts w:hint="eastAsia" w:ascii="Times New Roman" w:hAnsi="Times New Roman" w:eastAsia="仿宋_GB2312" w:cs="仿宋_GB2312"/>
          <w:color w:val="auto"/>
          <w:sz w:val="32"/>
          <w:szCs w:val="32"/>
          <w:highlight w:val="none"/>
        </w:rPr>
        <w:t>十、</w:t>
      </w:r>
      <w:bookmarkEnd w:id="87"/>
      <w:r>
        <w:rPr>
          <w:rFonts w:hint="eastAsia" w:ascii="Times New Roman" w:hAnsi="Times New Roman" w:eastAsia="仿宋_GB2312" w:cs="仿宋_GB2312"/>
          <w:color w:val="auto"/>
          <w:sz w:val="32"/>
          <w:szCs w:val="32"/>
          <w:highlight w:val="none"/>
        </w:rPr>
        <w:t>政府性基金预算财政拨款收入支出决算表</w:t>
      </w:r>
    </w:p>
    <w:p w14:paraId="26EF05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9"/>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B9BC00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30"/>
      <w:r>
        <w:rPr>
          <w:rFonts w:hint="eastAsia" w:ascii="Times New Roman" w:hAnsi="Times New Roman" w:eastAsia="仿宋_GB2312" w:cs="仿宋_GB2312"/>
          <w:color w:val="auto"/>
          <w:sz w:val="32"/>
          <w:szCs w:val="32"/>
          <w:highlight w:val="none"/>
        </w:rPr>
        <w:t>十二、</w:t>
      </w:r>
      <w:bookmarkEnd w:id="89"/>
      <w:r>
        <w:rPr>
          <w:rFonts w:hint="eastAsia" w:ascii="Times New Roman" w:hAnsi="Times New Roman" w:eastAsia="仿宋_GB2312" w:cs="仿宋_GB2312"/>
          <w:color w:val="auto"/>
          <w:sz w:val="32"/>
          <w:szCs w:val="32"/>
          <w:highlight w:val="none"/>
          <w:lang w:eastAsia="zh-CN"/>
        </w:rPr>
        <w:t>国有资本经营预算财政拨款支出决算表</w:t>
      </w:r>
    </w:p>
    <w:p w14:paraId="762A5C8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0" w:name="_Toc15396631"/>
      <w:r>
        <w:rPr>
          <w:rFonts w:hint="eastAsia" w:ascii="Times New Roman" w:hAnsi="Times New Roman" w:eastAsia="仿宋_GB2312" w:cs="仿宋_GB2312"/>
          <w:color w:val="auto"/>
          <w:sz w:val="32"/>
          <w:szCs w:val="32"/>
          <w:highlight w:val="none"/>
        </w:rPr>
        <w:t>十三、</w:t>
      </w:r>
      <w:bookmarkEnd w:id="90"/>
      <w:r>
        <w:rPr>
          <w:rFonts w:hint="eastAsia" w:ascii="Times New Roman" w:hAnsi="Times New Roman" w:eastAsia="仿宋_GB2312" w:cs="仿宋_GB2312"/>
          <w:color w:val="auto"/>
          <w:sz w:val="32"/>
          <w:szCs w:val="32"/>
          <w:highlight w:val="none"/>
          <w:lang w:eastAsia="zh-CN"/>
        </w:rPr>
        <w:t>财政拨款“三公”经费支出决算表</w:t>
      </w:r>
    </w:p>
    <w:p w14:paraId="67EC10E0">
      <w:pPr>
        <w:rPr>
          <w:rFonts w:hint="eastAsia" w:ascii="Times New Roman" w:hAnsi="Times New Roman"/>
          <w:lang w:eastAsia="zh-CN"/>
        </w:rPr>
      </w:pPr>
    </w:p>
    <w:sectPr>
      <w:footerReference r:id="rId8"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仿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F1AEA5">
    <w:pPr>
      <w:pStyle w:val="10"/>
      <w:jc w:val="center"/>
    </w:pPr>
  </w:p>
  <w:p w14:paraId="302584E3">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DD58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6D6D2">
    <w:pPr>
      <w:pStyle w:val="10"/>
      <w:jc w:val="center"/>
    </w:pPr>
  </w:p>
  <w:p w14:paraId="5C3EBD06">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AC5B8">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3370D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2F3370D7">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5AC04">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D10159">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8D10159">
                    <w:pPr>
                      <w:pStyle w:val="10"/>
                    </w:pPr>
                    <w:r>
                      <w:fldChar w:fldCharType="begin"/>
                    </w:r>
                    <w:r>
                      <w:instrText xml:space="preserve"> PAGE  \* MERGEFORMAT </w:instrText>
                    </w:r>
                    <w:r>
                      <w:fldChar w:fldCharType="separate"/>
                    </w:r>
                    <w:r>
                      <w:t>1</w:t>
                    </w:r>
                    <w:r>
                      <w:fldChar w:fldCharType="end"/>
                    </w:r>
                  </w:p>
                </w:txbxContent>
              </v:textbox>
            </v:shape>
          </w:pict>
        </mc:Fallback>
      </mc:AlternateContent>
    </w:r>
  </w:p>
  <w:p w14:paraId="1F0A67B9">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200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AA0CD6"/>
    <w:multiLevelType w:val="singleLevel"/>
    <w:tmpl w:val="F4AA0CD6"/>
    <w:lvl w:ilvl="0" w:tentative="0">
      <w:start w:val="2"/>
      <w:numFmt w:val="chineseCounting"/>
      <w:suff w:val="nothing"/>
      <w:lvlText w:val="（%1）"/>
      <w:lvlJc w:val="left"/>
      <w:rPr>
        <w:rFonts w:hint="eastAsia"/>
      </w:rPr>
    </w:lvl>
  </w:abstractNum>
  <w:abstractNum w:abstractNumId="1">
    <w:nsid w:val="1D210E0A"/>
    <w:multiLevelType w:val="singleLevel"/>
    <w:tmpl w:val="1D210E0A"/>
    <w:lvl w:ilvl="0" w:tentative="0">
      <w:start w:val="2"/>
      <w:numFmt w:val="chineseCounting"/>
      <w:suff w:val="nothing"/>
      <w:lvlText w:val="（%1）"/>
      <w:lvlJc w:val="left"/>
      <w:rPr>
        <w:rFonts w:hint="eastAsia"/>
      </w:rPr>
    </w:lvl>
  </w:abstractNum>
  <w:abstractNum w:abstractNumId="2">
    <w:nsid w:val="1E94CC4E"/>
    <w:multiLevelType w:val="singleLevel"/>
    <w:tmpl w:val="1E94CC4E"/>
    <w:lvl w:ilvl="0" w:tentative="0">
      <w:start w:val="1"/>
      <w:numFmt w:val="decimal"/>
      <w:lvlText w:val="%1."/>
      <w:lvlJc w:val="left"/>
      <w:pPr>
        <w:tabs>
          <w:tab w:val="left" w:pos="312"/>
        </w:tabs>
      </w:pPr>
    </w:lvl>
  </w:abstractNum>
  <w:abstractNum w:abstractNumId="3">
    <w:nsid w:val="50515B6F"/>
    <w:multiLevelType w:val="singleLevel"/>
    <w:tmpl w:val="50515B6F"/>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xMTI3ZWIxZDVjNzcwZjFmMjM3ZGMzY2I4NDljYT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0914"/>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3C53BD6"/>
    <w:rsid w:val="057869A4"/>
    <w:rsid w:val="061E35DE"/>
    <w:rsid w:val="066E0107"/>
    <w:rsid w:val="07996F6E"/>
    <w:rsid w:val="07DFD8BA"/>
    <w:rsid w:val="08DB07E4"/>
    <w:rsid w:val="0922463B"/>
    <w:rsid w:val="09867E8F"/>
    <w:rsid w:val="0A2032A3"/>
    <w:rsid w:val="0B043FF8"/>
    <w:rsid w:val="0BF40511"/>
    <w:rsid w:val="0BFA0B64"/>
    <w:rsid w:val="0C6C4794"/>
    <w:rsid w:val="0C882A07"/>
    <w:rsid w:val="0CA8290A"/>
    <w:rsid w:val="0D35B1ED"/>
    <w:rsid w:val="0D70006B"/>
    <w:rsid w:val="0DE07E2B"/>
    <w:rsid w:val="0E1C1499"/>
    <w:rsid w:val="0E776FBB"/>
    <w:rsid w:val="0F98263C"/>
    <w:rsid w:val="101860EC"/>
    <w:rsid w:val="10C055FF"/>
    <w:rsid w:val="10C83D1A"/>
    <w:rsid w:val="11772AA4"/>
    <w:rsid w:val="118107EC"/>
    <w:rsid w:val="11B477E6"/>
    <w:rsid w:val="12070D49"/>
    <w:rsid w:val="12EF1A32"/>
    <w:rsid w:val="13D50BC4"/>
    <w:rsid w:val="13E72709"/>
    <w:rsid w:val="14022904"/>
    <w:rsid w:val="149E4C77"/>
    <w:rsid w:val="152F2A07"/>
    <w:rsid w:val="165E0673"/>
    <w:rsid w:val="16BB723D"/>
    <w:rsid w:val="17F3167D"/>
    <w:rsid w:val="181810E3"/>
    <w:rsid w:val="186504BB"/>
    <w:rsid w:val="189C1D14"/>
    <w:rsid w:val="1938089F"/>
    <w:rsid w:val="19A445FC"/>
    <w:rsid w:val="1A023DF9"/>
    <w:rsid w:val="1A564145"/>
    <w:rsid w:val="1B7D550C"/>
    <w:rsid w:val="1BD01CD5"/>
    <w:rsid w:val="1BE8440E"/>
    <w:rsid w:val="1CE64608"/>
    <w:rsid w:val="1D155CEE"/>
    <w:rsid w:val="1E0457CE"/>
    <w:rsid w:val="1E1E31CB"/>
    <w:rsid w:val="1E740ACF"/>
    <w:rsid w:val="1EE91A2B"/>
    <w:rsid w:val="1FF35744"/>
    <w:rsid w:val="1FF6BC77"/>
    <w:rsid w:val="20D34741"/>
    <w:rsid w:val="21962A9E"/>
    <w:rsid w:val="21AE7C77"/>
    <w:rsid w:val="22BC3C41"/>
    <w:rsid w:val="237613B4"/>
    <w:rsid w:val="23860B96"/>
    <w:rsid w:val="240371BF"/>
    <w:rsid w:val="242F2120"/>
    <w:rsid w:val="25DE1A2E"/>
    <w:rsid w:val="260F557C"/>
    <w:rsid w:val="27337CE7"/>
    <w:rsid w:val="27D36DD5"/>
    <w:rsid w:val="281408E2"/>
    <w:rsid w:val="286914E7"/>
    <w:rsid w:val="289A5B44"/>
    <w:rsid w:val="29FD04D3"/>
    <w:rsid w:val="2B4B5896"/>
    <w:rsid w:val="2BDD6474"/>
    <w:rsid w:val="2BFF7BC6"/>
    <w:rsid w:val="2C8A61B5"/>
    <w:rsid w:val="2D2E01CF"/>
    <w:rsid w:val="2DF04E50"/>
    <w:rsid w:val="2E9545B0"/>
    <w:rsid w:val="2F032695"/>
    <w:rsid w:val="2F040D46"/>
    <w:rsid w:val="2F9C03F4"/>
    <w:rsid w:val="2FAE5751"/>
    <w:rsid w:val="2FB1A395"/>
    <w:rsid w:val="2FD9A7D8"/>
    <w:rsid w:val="30202DD3"/>
    <w:rsid w:val="319F7F4E"/>
    <w:rsid w:val="321B2544"/>
    <w:rsid w:val="32317519"/>
    <w:rsid w:val="3304709D"/>
    <w:rsid w:val="34281836"/>
    <w:rsid w:val="349D6851"/>
    <w:rsid w:val="35747E49"/>
    <w:rsid w:val="35BA6CAF"/>
    <w:rsid w:val="364D14C1"/>
    <w:rsid w:val="36AA5135"/>
    <w:rsid w:val="36BE0DA7"/>
    <w:rsid w:val="376B6AA6"/>
    <w:rsid w:val="376D39B2"/>
    <w:rsid w:val="37E16F03"/>
    <w:rsid w:val="37F53A3B"/>
    <w:rsid w:val="383733B0"/>
    <w:rsid w:val="389B6C89"/>
    <w:rsid w:val="38D469F0"/>
    <w:rsid w:val="39627CCD"/>
    <w:rsid w:val="397BAF1F"/>
    <w:rsid w:val="3A7F76EA"/>
    <w:rsid w:val="3AB79AF3"/>
    <w:rsid w:val="3AF54B5C"/>
    <w:rsid w:val="3B290BF2"/>
    <w:rsid w:val="3B710987"/>
    <w:rsid w:val="3B7EF35A"/>
    <w:rsid w:val="3B9FDB6C"/>
    <w:rsid w:val="3BF5BC2F"/>
    <w:rsid w:val="3CEBA265"/>
    <w:rsid w:val="3D98207C"/>
    <w:rsid w:val="3D9B0D99"/>
    <w:rsid w:val="3DEE7CF3"/>
    <w:rsid w:val="3DF02244"/>
    <w:rsid w:val="3DF97B88"/>
    <w:rsid w:val="3E263CAA"/>
    <w:rsid w:val="3E78745D"/>
    <w:rsid w:val="3FF4CAE0"/>
    <w:rsid w:val="3FF7B227"/>
    <w:rsid w:val="40E54C45"/>
    <w:rsid w:val="41911D83"/>
    <w:rsid w:val="420662CD"/>
    <w:rsid w:val="43A407DF"/>
    <w:rsid w:val="44515BEA"/>
    <w:rsid w:val="44E268DA"/>
    <w:rsid w:val="453F7E5B"/>
    <w:rsid w:val="45C9661A"/>
    <w:rsid w:val="465F5FAB"/>
    <w:rsid w:val="478F0B12"/>
    <w:rsid w:val="486A6C7A"/>
    <w:rsid w:val="49176D9B"/>
    <w:rsid w:val="49706721"/>
    <w:rsid w:val="4A627F82"/>
    <w:rsid w:val="4B0E749A"/>
    <w:rsid w:val="4B4F25DA"/>
    <w:rsid w:val="4BDA0CFB"/>
    <w:rsid w:val="4BE068DB"/>
    <w:rsid w:val="4C485734"/>
    <w:rsid w:val="4D3C0CCC"/>
    <w:rsid w:val="4D577224"/>
    <w:rsid w:val="4DBF1CEB"/>
    <w:rsid w:val="4E027201"/>
    <w:rsid w:val="4EAB630A"/>
    <w:rsid w:val="4ECE2238"/>
    <w:rsid w:val="4F833267"/>
    <w:rsid w:val="4FE9BD67"/>
    <w:rsid w:val="4FFB052F"/>
    <w:rsid w:val="53083A92"/>
    <w:rsid w:val="537E6D0A"/>
    <w:rsid w:val="53AF27A2"/>
    <w:rsid w:val="53F74C96"/>
    <w:rsid w:val="561C2B4F"/>
    <w:rsid w:val="56E47B74"/>
    <w:rsid w:val="57BD3DD4"/>
    <w:rsid w:val="5A7B0A82"/>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09D5BF6"/>
    <w:rsid w:val="60C345CC"/>
    <w:rsid w:val="61181721"/>
    <w:rsid w:val="62BF3928"/>
    <w:rsid w:val="647F5392"/>
    <w:rsid w:val="64BF7CE6"/>
    <w:rsid w:val="664B1D71"/>
    <w:rsid w:val="66FC4ACF"/>
    <w:rsid w:val="67AA3209"/>
    <w:rsid w:val="681C4F0D"/>
    <w:rsid w:val="68594AF9"/>
    <w:rsid w:val="686314D3"/>
    <w:rsid w:val="68C941A0"/>
    <w:rsid w:val="68F471AB"/>
    <w:rsid w:val="69046D0F"/>
    <w:rsid w:val="698D0931"/>
    <w:rsid w:val="6A383C54"/>
    <w:rsid w:val="6A993CED"/>
    <w:rsid w:val="6B053271"/>
    <w:rsid w:val="6BCE6674"/>
    <w:rsid w:val="6C4A05C8"/>
    <w:rsid w:val="6C731F01"/>
    <w:rsid w:val="6C75116C"/>
    <w:rsid w:val="6C8742B8"/>
    <w:rsid w:val="6C8A170F"/>
    <w:rsid w:val="6CB54609"/>
    <w:rsid w:val="6D013069"/>
    <w:rsid w:val="6DAD4F9F"/>
    <w:rsid w:val="6DB410CA"/>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1F633B8"/>
    <w:rsid w:val="72233669"/>
    <w:rsid w:val="72311251"/>
    <w:rsid w:val="72734D90"/>
    <w:rsid w:val="7332FE48"/>
    <w:rsid w:val="73AB61DA"/>
    <w:rsid w:val="73AD73D5"/>
    <w:rsid w:val="73B6EB34"/>
    <w:rsid w:val="73FA497D"/>
    <w:rsid w:val="744731E5"/>
    <w:rsid w:val="74527205"/>
    <w:rsid w:val="74BBD01D"/>
    <w:rsid w:val="74ED5379"/>
    <w:rsid w:val="74FC2395"/>
    <w:rsid w:val="75DEEEC2"/>
    <w:rsid w:val="76AD2CEB"/>
    <w:rsid w:val="76E158A9"/>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407BDD"/>
    <w:rsid w:val="7D7EC23E"/>
    <w:rsid w:val="7D916348"/>
    <w:rsid w:val="7E8ADEBF"/>
    <w:rsid w:val="7EEF11D3"/>
    <w:rsid w:val="7F0971A6"/>
    <w:rsid w:val="7F3F679B"/>
    <w:rsid w:val="7F4FC4EF"/>
    <w:rsid w:val="7F5636E8"/>
    <w:rsid w:val="7F5E4D54"/>
    <w:rsid w:val="7F6E0135"/>
    <w:rsid w:val="7FA30C79"/>
    <w:rsid w:val="7FAE7080"/>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font131"/>
    <w:basedOn w:val="16"/>
    <w:qFormat/>
    <w:uiPriority w:val="0"/>
    <w:rPr>
      <w:rFonts w:hint="eastAsia" w:ascii="宋体" w:hAnsi="宋体" w:eastAsia="宋体" w:cs="宋体"/>
      <w:b/>
      <w:bCs/>
      <w:color w:val="000000"/>
      <w:sz w:val="32"/>
      <w:szCs w:val="32"/>
      <w:u w:val="none"/>
    </w:rPr>
  </w:style>
  <w:style w:type="character" w:customStyle="1" w:styleId="36">
    <w:name w:val="font21"/>
    <w:basedOn w:val="16"/>
    <w:qFormat/>
    <w:uiPriority w:val="0"/>
    <w:rPr>
      <w:rFonts w:hint="eastAsia" w:ascii="宋体" w:hAnsi="宋体" w:eastAsia="宋体" w:cs="宋体"/>
      <w:color w:val="000000"/>
      <w:sz w:val="32"/>
      <w:szCs w:val="32"/>
      <w:u w:val="none"/>
    </w:rPr>
  </w:style>
  <w:style w:type="character" w:customStyle="1" w:styleId="37">
    <w:name w:val="font11"/>
    <w:basedOn w:val="16"/>
    <w:qFormat/>
    <w:uiPriority w:val="0"/>
    <w:rPr>
      <w:rFonts w:hint="eastAsia" w:ascii="宋体" w:hAnsi="宋体" w:eastAsia="宋体" w:cs="宋体"/>
      <w:color w:val="000000"/>
      <w:sz w:val="20"/>
      <w:szCs w:val="20"/>
      <w:u w:val="none"/>
    </w:rPr>
  </w:style>
  <w:style w:type="character" w:customStyle="1" w:styleId="38">
    <w:name w:val="font141"/>
    <w:basedOn w:val="16"/>
    <w:qFormat/>
    <w:uiPriority w:val="0"/>
    <w:rPr>
      <w:rFonts w:hint="eastAsia" w:ascii="宋体" w:hAnsi="宋体" w:eastAsia="宋体" w:cs="宋体"/>
      <w:color w:val="000000"/>
      <w:sz w:val="20"/>
      <w:szCs w:val="20"/>
      <w:u w:val="none"/>
    </w:rPr>
  </w:style>
  <w:style w:type="character" w:customStyle="1" w:styleId="39">
    <w:name w:val="font61"/>
    <w:basedOn w:val="16"/>
    <w:qFormat/>
    <w:uiPriority w:val="0"/>
    <w:rPr>
      <w:rFonts w:hint="eastAsia" w:ascii="方正仿宋_GBK" w:hAnsi="方正仿宋_GBK" w:eastAsia="方正仿宋_GBK" w:cs="方正仿宋_GBK"/>
      <w:color w:val="000000"/>
      <w:sz w:val="16"/>
      <w:szCs w:val="16"/>
      <w:u w:val="none"/>
    </w:rPr>
  </w:style>
  <w:style w:type="character" w:customStyle="1" w:styleId="40">
    <w:name w:val="font71"/>
    <w:basedOn w:val="16"/>
    <w:qFormat/>
    <w:uiPriority w:val="0"/>
    <w:rPr>
      <w:rFonts w:hint="eastAsia" w:ascii="宋体" w:hAnsi="宋体" w:eastAsia="宋体" w:cs="宋体"/>
      <w:color w:val="000000"/>
      <w:sz w:val="18"/>
      <w:szCs w:val="18"/>
      <w:u w:val="none"/>
    </w:rPr>
  </w:style>
  <w:style w:type="character" w:customStyle="1" w:styleId="41">
    <w:name w:val="font151"/>
    <w:basedOn w:val="16"/>
    <w:qFormat/>
    <w:uiPriority w:val="0"/>
    <w:rPr>
      <w:rFonts w:hint="eastAsia" w:ascii="宋体" w:hAnsi="宋体" w:eastAsia="宋体" w:cs="宋体"/>
      <w:color w:val="000000"/>
      <w:sz w:val="18"/>
      <w:szCs w:val="18"/>
      <w:u w:val="none"/>
    </w:rPr>
  </w:style>
  <w:style w:type="character" w:customStyle="1" w:styleId="42">
    <w:name w:val="font161"/>
    <w:basedOn w:val="16"/>
    <w:qFormat/>
    <w:uiPriority w:val="0"/>
    <w:rPr>
      <w:rFonts w:hint="eastAsia" w:ascii="宋体" w:hAnsi="宋体" w:eastAsia="宋体" w:cs="宋体"/>
      <w:color w:val="000000"/>
      <w:sz w:val="18"/>
      <w:szCs w:val="18"/>
      <w:u w:val="none"/>
    </w:rPr>
  </w:style>
  <w:style w:type="character" w:customStyle="1" w:styleId="43">
    <w:name w:val="font171"/>
    <w:basedOn w:val="16"/>
    <w:qFormat/>
    <w:uiPriority w:val="0"/>
    <w:rPr>
      <w:rFonts w:hint="eastAsia" w:ascii="宋体" w:hAnsi="宋体" w:eastAsia="宋体" w:cs="宋体"/>
      <w:color w:val="000000"/>
      <w:sz w:val="12"/>
      <w:szCs w:val="12"/>
      <w:u w:val="none"/>
    </w:rPr>
  </w:style>
  <w:style w:type="character" w:customStyle="1" w:styleId="44">
    <w:name w:val="font112"/>
    <w:basedOn w:val="16"/>
    <w:qFormat/>
    <w:uiPriority w:val="0"/>
    <w:rPr>
      <w:rFonts w:hint="eastAsia" w:ascii="宋体" w:hAnsi="宋体" w:eastAsia="宋体" w:cs="宋体"/>
      <w:b/>
      <w:bCs/>
      <w:color w:val="000000"/>
      <w:sz w:val="32"/>
      <w:szCs w:val="32"/>
      <w:u w:val="none"/>
    </w:rPr>
  </w:style>
  <w:style w:type="character" w:customStyle="1" w:styleId="45">
    <w:name w:val="font121"/>
    <w:basedOn w:val="16"/>
    <w:qFormat/>
    <w:uiPriority w:val="0"/>
    <w:rPr>
      <w:rFonts w:hint="eastAsia" w:ascii="宋体" w:hAnsi="宋体" w:eastAsia="宋体" w:cs="宋体"/>
      <w:color w:val="000000"/>
      <w:sz w:val="20"/>
      <w:szCs w:val="20"/>
      <w:u w:val="none"/>
    </w:rPr>
  </w:style>
  <w:style w:type="character" w:customStyle="1" w:styleId="46">
    <w:name w:val="font51"/>
    <w:basedOn w:val="16"/>
    <w:qFormat/>
    <w:uiPriority w:val="0"/>
    <w:rPr>
      <w:rFonts w:hint="eastAsia"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收入、支出决算总计变动情况表</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1294.59</c:v>
                </c:pt>
                <c:pt idx="1">
                  <c:v>1627.95</c:v>
                </c:pt>
              </c:numCache>
            </c:numRef>
          </c:val>
        </c:ser>
        <c:ser>
          <c:idx val="1"/>
          <c:order val="1"/>
          <c:tx>
            <c:strRef>
              <c:f>Sheet1!$C$1</c:f>
              <c:strCache>
                <c:ptCount val="1"/>
                <c:pt idx="0">
                  <c:v>支出</c:v>
                </c:pt>
              </c:strCache>
            </c:strRef>
          </c:tx>
          <c:spPr>
            <a:solidFill>
              <a:schemeClr val="accent2"/>
            </a:solidFill>
            <a:ln>
              <a:noFill/>
            </a:ln>
            <a:effectLst/>
          </c:spPr>
          <c:invertIfNegative val="0"/>
          <c:dLbls>
            <c:delete val="1"/>
          </c:dLbls>
          <c:cat>
            <c:strRef>
              <c:f>Sheet1!$A$2:$A$3</c:f>
              <c:strCache>
                <c:ptCount val="2"/>
                <c:pt idx="0">
                  <c:v>2024年</c:v>
                </c:pt>
                <c:pt idx="1">
                  <c:v>2025年</c:v>
                </c:pt>
              </c:strCache>
            </c:strRef>
          </c:cat>
          <c:val>
            <c:numRef>
              <c:f>Sheet1!$C$2:$C$3</c:f>
              <c:numCache>
                <c:formatCode>General</c:formatCode>
                <c:ptCount val="2"/>
                <c:pt idx="0">
                  <c:v>1172.91</c:v>
                </c:pt>
                <c:pt idx="1">
                  <c:v>1481.34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strRef>
              <c:f>Sheet1!$A$2:$A$3</c:f>
              <c:strCache>
                <c:ptCount val="2"/>
                <c:pt idx="0">
                  <c:v>2024年</c:v>
                </c:pt>
                <c:pt idx="1">
                  <c:v>2025年</c:v>
                </c:pt>
              </c:strCache>
            </c:str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731383077"/>
        <c:axId val="251517742"/>
      </c:barChart>
      <c:catAx>
        <c:axId val="73138307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1517742"/>
        <c:crosses val="autoZero"/>
        <c:auto val="1"/>
        <c:lblAlgn val="ctr"/>
        <c:lblOffset val="100"/>
        <c:noMultiLvlLbl val="0"/>
      </c:catAx>
      <c:valAx>
        <c:axId val="25151774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31383077"/>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d03aba7-6f4b-4d6a-9567-c0cf72bae3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dk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gradFill>
                <a:gsLst>
                  <a:gs pos="100000">
                    <a:schemeClr val="accent1"/>
                  </a:gs>
                  <a:gs pos="0">
                    <a:schemeClr val="accent1">
                      <a:hueOff val="-1670000"/>
                    </a:schemeClr>
                  </a:gs>
                </a:gsLst>
                <a:lin ang="5400000" scaled="0"/>
              </a:gradFill>
              <a:ln>
                <a:gradFill>
                  <a:gsLst>
                    <a:gs pos="100000">
                      <a:schemeClr val="accent1">
                        <a:lumMod val="75000"/>
                      </a:schemeClr>
                    </a:gs>
                    <a:gs pos="0">
                      <a:schemeClr val="accent1">
                        <a:lumMod val="75000"/>
                        <a:hueOff val="-1670000"/>
                      </a:schemeClr>
                    </a:gs>
                  </a:gsLst>
                  <a:lin ang="4620000" scaled="0"/>
                </a:gradFill>
              </a:ln>
              <a:effectLst/>
            </c:spPr>
          </c:dPt>
          <c:dPt>
            <c:idx val="1"/>
            <c:bubble3D val="0"/>
            <c:spPr>
              <a:gradFill>
                <a:gsLst>
                  <a:gs pos="100000">
                    <a:schemeClr val="accent2"/>
                  </a:gs>
                  <a:gs pos="0">
                    <a:schemeClr val="accent2">
                      <a:hueOff val="-1670000"/>
                    </a:schemeClr>
                  </a:gs>
                </a:gsLst>
                <a:lin ang="5400000" scaled="0"/>
              </a:gradFill>
              <a:ln>
                <a:gradFill>
                  <a:gsLst>
                    <a:gs pos="100000">
                      <a:schemeClr val="accent2">
                        <a:lumMod val="75000"/>
                      </a:schemeClr>
                    </a:gs>
                    <a:gs pos="0">
                      <a:schemeClr val="accent2">
                        <a:lumMod val="75000"/>
                        <a:hueOff val="-1670000"/>
                      </a:schemeClr>
                    </a:gs>
                  </a:gsLst>
                  <a:lin ang="4620000" scaled="0"/>
                </a:gradFill>
              </a:ln>
              <a:effectLst/>
            </c:spPr>
          </c:dPt>
          <c:dPt>
            <c:idx val="2"/>
            <c:bubble3D val="0"/>
            <c:spPr>
              <a:gradFill>
                <a:gsLst>
                  <a:gs pos="100000">
                    <a:schemeClr val="accent3"/>
                  </a:gs>
                  <a:gs pos="0">
                    <a:schemeClr val="accent3">
                      <a:hueOff val="-1670000"/>
                    </a:schemeClr>
                  </a:gs>
                </a:gsLst>
                <a:lin ang="5400000" scaled="0"/>
              </a:gradFill>
              <a:ln>
                <a:gradFill>
                  <a:gsLst>
                    <a:gs pos="100000">
                      <a:schemeClr val="accent3">
                        <a:lumMod val="75000"/>
                      </a:schemeClr>
                    </a:gs>
                    <a:gs pos="0">
                      <a:schemeClr val="accent3">
                        <a:lumMod val="75000"/>
                        <a:hueOff val="-1670000"/>
                      </a:schemeClr>
                    </a:gs>
                  </a:gsLst>
                  <a:lin ang="4620000" scaled="0"/>
                </a:gradFill>
              </a:ln>
              <a:effectLst/>
            </c:spPr>
          </c:dPt>
          <c:dPt>
            <c:idx val="3"/>
            <c:bubble3D val="0"/>
            <c:spPr>
              <a:gradFill>
                <a:gsLst>
                  <a:gs pos="100000">
                    <a:schemeClr val="accent4"/>
                  </a:gs>
                  <a:gs pos="0">
                    <a:schemeClr val="accent4">
                      <a:hueOff val="-1670000"/>
                    </a:schemeClr>
                  </a:gs>
                </a:gsLst>
                <a:lin ang="5400000" scaled="0"/>
              </a:gradFill>
              <a:ln>
                <a:gradFill>
                  <a:gsLst>
                    <a:gs pos="100000">
                      <a:schemeClr val="accent4">
                        <a:lumMod val="75000"/>
                      </a:schemeClr>
                    </a:gs>
                    <a:gs pos="0">
                      <a:schemeClr val="accent4">
                        <a:lumMod val="75000"/>
                        <a:hueOff val="-1670000"/>
                      </a:schemeClr>
                    </a:gs>
                  </a:gsLst>
                  <a:lin ang="4620000" scaled="0"/>
                </a:gradFill>
              </a:ln>
              <a:effectLst/>
            </c:spPr>
          </c:dPt>
          <c:dPt>
            <c:idx val="4"/>
            <c:bubble3D val="0"/>
            <c:spPr>
              <a:gradFill>
                <a:gsLst>
                  <a:gs pos="100000">
                    <a:schemeClr val="accent5"/>
                  </a:gs>
                  <a:gs pos="0">
                    <a:schemeClr val="accent5">
                      <a:hueOff val="-1670000"/>
                    </a:schemeClr>
                  </a:gs>
                </a:gsLst>
                <a:lin ang="5400000" scaled="0"/>
              </a:gradFill>
              <a:ln>
                <a:gradFill>
                  <a:gsLst>
                    <a:gs pos="100000">
                      <a:schemeClr val="accent5">
                        <a:lumMod val="75000"/>
                      </a:schemeClr>
                    </a:gs>
                    <a:gs pos="0">
                      <a:schemeClr val="accent5">
                        <a:lumMod val="75000"/>
                        <a:hueOff val="-1670000"/>
                      </a:schemeClr>
                    </a:gs>
                  </a:gsLst>
                  <a:lin ang="4620000" scaled="0"/>
                </a:gradFill>
              </a:ln>
              <a:effectLst/>
            </c:spPr>
          </c:dPt>
          <c:dPt>
            <c:idx val="5"/>
            <c:bubble3D val="0"/>
            <c:spPr>
              <a:gradFill>
                <a:gsLst>
                  <a:gs pos="100000">
                    <a:schemeClr val="accent6"/>
                  </a:gs>
                  <a:gs pos="0">
                    <a:schemeClr val="accent6">
                      <a:hueOff val="-1670000"/>
                    </a:schemeClr>
                  </a:gs>
                </a:gsLst>
                <a:lin ang="5400000" scaled="0"/>
              </a:gradFill>
              <a:ln>
                <a:gradFill>
                  <a:gsLst>
                    <a:gs pos="100000">
                      <a:schemeClr val="accent6">
                        <a:lumMod val="75000"/>
                      </a:schemeClr>
                    </a:gs>
                    <a:gs pos="0">
                      <a:schemeClr val="accent6">
                        <a:lumMod val="75000"/>
                        <a:hueOff val="-1670000"/>
                      </a:schemeClr>
                    </a:gs>
                  </a:gsLst>
                  <a:lin ang="4620000" scaled="0"/>
                </a:gradFill>
              </a:ln>
              <a:effectLst/>
            </c:spPr>
          </c:dPt>
          <c:dPt>
            <c:idx val="6"/>
            <c:bubble3D val="0"/>
            <c:spPr>
              <a:gradFill>
                <a:gsLst>
                  <a:gs pos="100000">
                    <a:schemeClr val="accent1">
                      <a:lumMod val="60000"/>
                    </a:schemeClr>
                  </a:gs>
                  <a:gs pos="0">
                    <a:schemeClr val="accent1">
                      <a:lumMod val="60000"/>
                      <a:hueOff val="-1670000"/>
                    </a:schemeClr>
                  </a:gs>
                </a:gsLst>
                <a:lin ang="5400000" scaled="0"/>
              </a:gradFill>
              <a:ln>
                <a:gradFill>
                  <a:gsLst>
                    <a:gs pos="100000">
                      <a:schemeClr val="accent1">
                        <a:lumMod val="60000"/>
                        <a:lumMod val="75000"/>
                      </a:schemeClr>
                    </a:gs>
                    <a:gs pos="0">
                      <a:schemeClr val="accent1">
                        <a:lumMod val="60000"/>
                        <a:lumMod val="75000"/>
                        <a:hueOff val="-1670000"/>
                      </a:schemeClr>
                    </a:gs>
                  </a:gsLst>
                  <a:lin ang="4620000" scaled="0"/>
                </a:gradFill>
              </a:ln>
              <a:effectLst/>
            </c:spPr>
          </c:dPt>
          <c:dPt>
            <c:idx val="7"/>
            <c:bubble3D val="0"/>
            <c:spPr>
              <a:gradFill>
                <a:gsLst>
                  <a:gs pos="100000">
                    <a:schemeClr val="accent2">
                      <a:lumMod val="60000"/>
                    </a:schemeClr>
                  </a:gs>
                  <a:gs pos="0">
                    <a:schemeClr val="accent2">
                      <a:lumMod val="60000"/>
                      <a:hueOff val="-1670000"/>
                    </a:schemeClr>
                  </a:gs>
                </a:gsLst>
                <a:lin ang="5400000" scaled="0"/>
              </a:gradFill>
              <a:ln>
                <a:gradFill>
                  <a:gsLst>
                    <a:gs pos="100000">
                      <a:schemeClr val="accent2">
                        <a:lumMod val="60000"/>
                        <a:lumMod val="75000"/>
                      </a:schemeClr>
                    </a:gs>
                    <a:gs pos="0">
                      <a:schemeClr val="accent2">
                        <a:lumMod val="60000"/>
                        <a:lumMod val="75000"/>
                        <a:hueOff val="-1670000"/>
                      </a:schemeClr>
                    </a:gs>
                  </a:gsLst>
                  <a:lin ang="4620000" scaled="0"/>
                </a:gra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dk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Sheet1!$A$2:$A$9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Sheet1!$B$2:$B$9</c:f>
              <c:numCache>
                <c:formatCode>0.00%</c:formatCode>
                <c:ptCount val="8"/>
                <c:pt idx="0">
                  <c:v>0.7068</c:v>
                </c:pt>
                <c:pt idx="1" c:formatCode="General">
                  <c:v>0</c:v>
                </c:pt>
                <c:pt idx="2" c:formatCode="General">
                  <c:v>0</c:v>
                </c:pt>
                <c:pt idx="3" c:formatCode="General">
                  <c:v>0</c:v>
                </c:pt>
                <c:pt idx="4">
                  <c:v>0.2894</c:v>
                </c:pt>
                <c:pt idx="5">
                  <c:v>0</c:v>
                </c:pt>
                <c:pt idx="6">
                  <c:v>0</c:v>
                </c:pt>
                <c:pt idx="7">
                  <c:v>0.0038</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22baf9-bad6-424d-a69c-836cf635579e}"/>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0.00%</c:formatCode>
                <c:ptCount val="5"/>
                <c:pt idx="0">
                  <c:v>0.8683</c:v>
                </c:pt>
                <c:pt idx="1" c:formatCode="General">
                  <c:v>13.16</c:v>
                </c:pt>
                <c:pt idx="2" c:formatCode="General">
                  <c:v>0</c:v>
                </c:pt>
                <c:pt idx="3" c:formatCode="General">
                  <c:v>0</c:v>
                </c:pt>
                <c:pt idx="4">
                  <c:v>0</c:v>
                </c:pt>
              </c:numCache>
            </c:numRef>
          </c:val>
        </c:ser>
        <c:dLbls>
          <c:showLegendKey val="0"/>
          <c:showVal val="0"/>
          <c:showCatName val="1"/>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822baf9-bad6-424d-a69c-836cf635579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财政拨款收、支决算总计变动情况图</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924.76</c:v>
                </c:pt>
                <c:pt idx="1">
                  <c:v>1150.67</c:v>
                </c:pt>
              </c:numCache>
            </c:numRef>
          </c:val>
        </c:ser>
        <c:ser>
          <c:idx val="1"/>
          <c:order val="1"/>
          <c:tx>
            <c:strRef>
              <c:f>Sheet1!$C$1</c:f>
              <c:strCache>
                <c:ptCount val="1"/>
                <c:pt idx="0">
                  <c:v>财政拨款支出</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pt idx="0">
                  <c:v>924.76</c:v>
                </c:pt>
                <c:pt idx="1">
                  <c:v>1150.67</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483521743"/>
        <c:axId val="820395887"/>
      </c:barChart>
      <c:catAx>
        <c:axId val="4835217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395887"/>
        <c:crosses val="autoZero"/>
        <c:auto val="1"/>
        <c:lblAlgn val="ctr"/>
        <c:lblOffset val="100"/>
        <c:noMultiLvlLbl val="0"/>
      </c:catAx>
      <c:valAx>
        <c:axId val="82039588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3521743"/>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32db0f6-d6b1-46fa-983e-32b1f150ea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altLang="en-US"/>
              <a:t>一般公共预算财政拨款支出决算变动情况</a:t>
            </a:r>
            <a:endParaRPr lang="en-US" altLang="zh-CN"/>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一般公共预算财政拨款支出</c:v>
                </c:pt>
              </c:strCache>
            </c:strRef>
          </c:tx>
          <c:spPr>
            <a:solidFill>
              <a:schemeClr val="accent1"/>
            </a:solidFill>
            <a:ln>
              <a:noFill/>
            </a:ln>
            <a:effectLst/>
          </c:spPr>
          <c:invertIfNegative val="0"/>
          <c:dLbls>
            <c:delete val="1"/>
          </c:dLbls>
          <c:cat>
            <c:strRef>
              <c:f>Sheet1!$A$2:$A$5</c:f>
              <c:strCache>
                <c:ptCount val="4"/>
                <c:pt idx="0">
                  <c:v>2024年</c:v>
                </c:pt>
                <c:pt idx="1">
                  <c:v>2025年</c:v>
                </c:pt>
              </c:strCache>
            </c:strRef>
          </c:cat>
          <c:val>
            <c:numRef>
              <c:f>Sheet1!$B$2:$B$5</c:f>
              <c:numCache>
                <c:formatCode>General</c:formatCode>
                <c:ptCount val="4"/>
                <c:pt idx="0">
                  <c:v>924.76</c:v>
                </c:pt>
                <c:pt idx="1">
                  <c:v>1150.67</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2024年</c:v>
                </c:pt>
                <c:pt idx="1">
                  <c:v>2025年</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2024年</c:v>
                </c:pt>
                <c:pt idx="1">
                  <c:v>2025年</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483521743"/>
        <c:axId val="820395887"/>
      </c:barChart>
      <c:catAx>
        <c:axId val="4835217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395887"/>
        <c:crosses val="autoZero"/>
        <c:auto val="1"/>
        <c:lblAlgn val="ctr"/>
        <c:lblOffset val="100"/>
        <c:noMultiLvlLbl val="0"/>
      </c:catAx>
      <c:valAx>
        <c:axId val="820395887"/>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83521743"/>
        <c:crosses val="autoZero"/>
        <c:crossBetween val="between"/>
      </c:valAx>
      <c:spPr>
        <a:noFill/>
        <a:ln>
          <a:noFill/>
        </a:ln>
        <a:effectLst/>
      </c:spPr>
    </c:plotArea>
    <c:legend>
      <c:legendPos val="b"/>
      <c:legendEntry>
        <c:idx val="1"/>
        <c:delete val="1"/>
      </c:legendEntry>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dd1cfe-ab5e-4b42-b3cf-00d547f7c74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一般公共预算财政拨款支出决算结构图</a:t>
            </a:r>
          </a:p>
        </c:rich>
      </c:tx>
      <c:layout>
        <c:manualLayout>
          <c:xMode val="edge"/>
          <c:yMode val="edge"/>
          <c:x val="0.184827252959652"/>
          <c:y val="0.0159371015724607"/>
        </c:manualLayout>
      </c:layout>
      <c:overlay val="0"/>
      <c:spPr>
        <a:noFill/>
        <a:ln>
          <a:noFill/>
        </a:ln>
        <a:effectLst/>
      </c:sp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hade val="47500"/>
                </a:schemeClr>
              </a:solidFill>
              <a:ln>
                <a:solidFill>
                  <a:schemeClr val="bg1"/>
                </a:solidFill>
              </a:ln>
              <a:effectLst/>
            </c:spPr>
          </c:dPt>
          <c:dPt>
            <c:idx val="1"/>
            <c:bubble3D val="0"/>
            <c:spPr>
              <a:solidFill>
                <a:schemeClr val="accent1">
                  <a:shade val="65000"/>
                </a:schemeClr>
              </a:solidFill>
              <a:ln>
                <a:solidFill>
                  <a:schemeClr val="bg1"/>
                </a:solidFill>
              </a:ln>
              <a:effectLst/>
            </c:spPr>
          </c:dPt>
          <c:dPt>
            <c:idx val="2"/>
            <c:bubble3D val="0"/>
            <c:spPr>
              <a:solidFill>
                <a:schemeClr val="accent1">
                  <a:shade val="82500"/>
                </a:schemeClr>
              </a:solidFill>
              <a:ln>
                <a:solidFill>
                  <a:schemeClr val="bg1"/>
                </a:solidFill>
              </a:ln>
              <a:effectLst/>
            </c:spPr>
          </c:dPt>
          <c:dPt>
            <c:idx val="3"/>
            <c:bubble3D val="0"/>
            <c:spPr>
              <a:solidFill>
                <a:schemeClr val="accent1"/>
              </a:solidFill>
              <a:ln>
                <a:solidFill>
                  <a:schemeClr val="bg1"/>
                </a:solidFill>
              </a:ln>
              <a:effectLst/>
            </c:spPr>
          </c:dPt>
          <c:dPt>
            <c:idx val="4"/>
            <c:bubble3D val="0"/>
            <c:spPr>
              <a:solidFill>
                <a:schemeClr val="accent1">
                  <a:tint val="82500"/>
                </a:schemeClr>
              </a:solidFill>
              <a:ln>
                <a:solidFill>
                  <a:schemeClr val="bg1"/>
                </a:solidFill>
              </a:ln>
              <a:effectLst/>
            </c:spPr>
          </c:dPt>
          <c:dPt>
            <c:idx val="5"/>
            <c:bubble3D val="0"/>
            <c:spPr>
              <a:solidFill>
                <a:schemeClr val="accent1">
                  <a:tint val="65000"/>
                </a:schemeClr>
              </a:solidFill>
              <a:ln>
                <a:solidFill>
                  <a:schemeClr val="bg1"/>
                </a:solidFill>
              </a:ln>
              <a:effectLst/>
            </c:spPr>
          </c:dPt>
          <c:dPt>
            <c:idx val="6"/>
            <c:bubble3D val="0"/>
            <c:spPr>
              <a:solidFill>
                <a:schemeClr val="accent1">
                  <a:tint val="47500"/>
                </a:schemeClr>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一般公共服务支出</c:v>
                </c:pt>
                <c:pt idx="1">
                  <c:v>教育支出</c:v>
                </c:pt>
                <c:pt idx="2">
                  <c:v>科学技术支出</c:v>
                </c:pt>
                <c:pt idx="3">
                  <c:v>文化旅游体育与传媒支出</c:v>
                </c:pt>
                <c:pt idx="4">
                  <c:v>社会保障和就业支出</c:v>
                </c:pt>
                <c:pt idx="5">
                  <c:v>卫生健康支出</c:v>
                </c:pt>
                <c:pt idx="6">
                  <c:v>住房保障支出</c:v>
                </c:pt>
              </c:strCache>
            </c:strRef>
          </c:cat>
          <c:val>
            <c:numRef>
              <c:f>Sheet1!$B$2:$B$8</c:f>
              <c:numCache>
                <c:formatCode>0.00%</c:formatCode>
                <c:ptCount val="7"/>
                <c:pt idx="0">
                  <c:v>0.0043</c:v>
                </c:pt>
                <c:pt idx="1">
                  <c:v>0</c:v>
                </c:pt>
                <c:pt idx="2">
                  <c:v>0</c:v>
                </c:pt>
                <c:pt idx="3">
                  <c:v>0</c:v>
                </c:pt>
                <c:pt idx="4">
                  <c:v>0.1351</c:v>
                </c:pt>
                <c:pt idx="5">
                  <c:v>0.7939</c:v>
                </c:pt>
                <c:pt idx="6">
                  <c:v>0.0667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4d85cb7-2be4-4ad1-b5e7-24846ebd591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100000">
            <a:schemeClr val="phClr"/>
          </a:gs>
          <a:gs pos="0">
            <a:schemeClr val="phClr">
              <a:hueOff val="-1670000"/>
            </a:schemeClr>
          </a:gs>
        </a:gsLst>
        <a:lin ang="5400000" scaled="0"/>
      </a:gradFill>
      <a:ln>
        <a:gradFill>
          <a:gsLst>
            <a:gs pos="100000">
              <a:schemeClr val="phClr">
                <a:lumMod val="75000"/>
              </a:schemeClr>
            </a:gs>
            <a:gs pos="0">
              <a:schemeClr val="phClr">
                <a:lumMod val="75000"/>
                <a:hueOff val="-1670000"/>
              </a:schemeClr>
            </a:gs>
          </a:gsLst>
          <a:lin ang="4620000" scaled="0"/>
        </a:gra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37</Pages>
  <Words>5020</Words>
  <Characters>5759</Characters>
  <Lines>61</Lines>
  <Paragraphs>17</Paragraphs>
  <TotalTime>78</TotalTime>
  <ScaleCrop>false</ScaleCrop>
  <LinksUpToDate>false</LinksUpToDate>
  <CharactersWithSpaces>5827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沐晴つ</cp:lastModifiedBy>
  <cp:lastPrinted>2026-10-22T01:53:00Z</cp:lastPrinted>
  <dcterms:modified xsi:type="dcterms:W3CDTF">2026-10-22T04:02:07Z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44D56C4766B14D2F9B65C7F6F5C91625_13</vt:lpwstr>
  </property>
  <property fmtid="{D5CDD505-2E9C-101B-9397-08002B2CF9AE}" pid="4" name="KSOTemplateDocerSaveRecord">
    <vt:lpwstr>eyJoZGlkIjoiM2Y2MjgwOThiZTJhZWRmZTFkYTQ3ZTIxMjA3ZjNiYmEiLCJ1c2VySWQiOiI3NTgwODA2OTQifQ==</vt:lpwstr>
  </property>
</Properties>
</file>