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448E3">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35CC1AFE">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367C07A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11E79C2E">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77C27078">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w:t>
      </w:r>
    </w:p>
    <w:p w14:paraId="3905DA07">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壤塘县人民医院</w:t>
      </w:r>
    </w:p>
    <w:p w14:paraId="79955434">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14:paraId="72E11725">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92415B3">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797479C">
      <w:pPr>
        <w:widowControl/>
        <w:jc w:val="center"/>
        <w:rPr>
          <w:rFonts w:ascii="Times New Roman" w:hAnsi="Times New Roman" w:eastAsia="黑体" w:cstheme="minorBidi"/>
          <w:color w:val="auto"/>
          <w:sz w:val="28"/>
          <w:szCs w:val="28"/>
          <w:highlight w:val="none"/>
        </w:rPr>
      </w:pPr>
    </w:p>
    <w:p w14:paraId="55E06CE9">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27 </w:t>
      </w:r>
      <w:r>
        <w:rPr>
          <w:rFonts w:hint="eastAsia" w:ascii="Times New Roman" w:hAnsi="Times New Roman" w:eastAsia="仿宋_GB2312" w:cs="仿宋_GB2312"/>
          <w:color w:val="auto"/>
          <w:sz w:val="32"/>
          <w:szCs w:val="32"/>
          <w:highlight w:val="none"/>
        </w:rPr>
        <w:t>日</w:t>
      </w:r>
    </w:p>
    <w:p w14:paraId="532E512D">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0937"/>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7C65E57D">
          <w:pPr>
            <w:spacing w:before="0" w:beforeLines="0" w:after="0" w:afterLines="0" w:line="240" w:lineRule="auto"/>
            <w:ind w:left="0" w:leftChars="0" w:right="0" w:rightChars="0" w:firstLine="0" w:firstLineChars="0"/>
            <w:jc w:val="center"/>
          </w:pPr>
        </w:p>
        <w:p w14:paraId="0D67A494">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TOC \o "1-2" \h \u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_Toc31209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第一部分  部门概况</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_Toc31209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06F8D7FC">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_Toc24798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 部门职责</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_Toc24798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3E25157E">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_Toc15746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二、机构设置</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_Toc15746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6FC4279F">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_Toc991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第二部分  2025年度部门决算情况说明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_Toc991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18D6F1A0">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_Toc1375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一、收入支出决算总体情况说明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_Toc1375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33D0FA00">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_Toc19545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二、收入决算情况说明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_Toc19545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718813F8">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_Toc31493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三、支出决算情况说明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_Toc31493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6D56D480">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_Toc27218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四、财政拨款收入支出决算总体情况说明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_Toc27218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1AD7B629">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_Toc24186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五、一般公共预算财政拨款支出决算情况说明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_Toc24186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08E57EC9">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_Toc14638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六、一般公共预算财政拨款基本支出决算情况说明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_Toc14638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16018DC8">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_Toc13882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七、财政拨款“三公”经费支出决算情况说明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_Toc13882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671D21D6">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_Toc16266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八、政府性基金预算支出决算情况说明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_Toc16266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6C7709DC">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_Toc27245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九、国有资本经营预算支出决算情况说明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_Toc27245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2D7D489B">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_Toc31931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十、其他重要事项的情况说明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_Toc31931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3D8AFA85">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_Toc5791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第三部分  名词解释</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_Toc5791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172652F9">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_Toc5737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第四部分  附件</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_Toc5737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46045A5C">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_Toc10617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附件1</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_Toc10617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0838ADB6">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_Toc2390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zh-CN" w:eastAsia="zh-CN" w:bidi="ar-SA"/>
            </w:rPr>
            <w:t>附件</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_Toc2390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5F80312C">
          <w:pPr>
            <w:pStyle w:val="36"/>
            <w:tabs>
              <w:tab w:val="right" w:leader="dot" w:pos="8306"/>
            </w:tabs>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HYPERLINK \l _Toc4619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第五部分 附表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_Toc4619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fldChar w:fldCharType="end"/>
          </w:r>
        </w:p>
        <w:p w14:paraId="36D05EE1">
          <w:r>
            <w:rPr>
              <w:rFonts w:hint="eastAsia" w:ascii="Times New Roman" w:hAnsi="Times New Roman" w:eastAsia="仿宋_GB2312" w:cs="仿宋_GB2312"/>
              <w:color w:val="auto"/>
              <w:kern w:val="2"/>
              <w:sz w:val="32"/>
              <w:szCs w:val="32"/>
              <w:highlight w:val="none"/>
              <w:lang w:val="en-US" w:eastAsia="zh-CN" w:bidi="ar-SA"/>
            </w:rPr>
            <w:fldChar w:fldCharType="end"/>
          </w:r>
        </w:p>
      </w:sdtContent>
    </w:sdt>
    <w:p w14:paraId="0494D124"/>
    <w:p w14:paraId="6E8E4BF6">
      <w:pPr>
        <w:pStyle w:val="2"/>
        <w:jc w:val="center"/>
        <w:rPr>
          <w:rFonts w:hint="eastAsia" w:ascii="Times New Roman" w:hAnsi="Times New Roman" w:eastAsia="方正小标宋简体" w:cs="方正小标宋简体"/>
          <w:b w:val="0"/>
          <w:color w:val="auto"/>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bookmarkStart w:id="0" w:name="_Toc31209"/>
    </w:p>
    <w:p w14:paraId="50B1565C">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0"/>
    </w:p>
    <w:p w14:paraId="5108C654">
      <w:pPr>
        <w:widowControl/>
        <w:jc w:val="left"/>
        <w:rPr>
          <w:rFonts w:ascii="Times New Roman" w:hAnsi="Times New Roman" w:eastAsia="黑体"/>
          <w:color w:val="auto"/>
          <w:sz w:val="32"/>
          <w:szCs w:val="32"/>
          <w:highlight w:val="none"/>
        </w:rPr>
      </w:pPr>
    </w:p>
    <w:p w14:paraId="3EB6C2B5">
      <w:pPr>
        <w:pStyle w:val="3"/>
        <w:numPr>
          <w:ilvl w:val="0"/>
          <w:numId w:val="0"/>
        </w:numPr>
        <w:ind w:firstLine="643" w:firstLineChars="200"/>
        <w:rPr>
          <w:rFonts w:hint="eastAsia" w:ascii="Times New Roman" w:hAnsi="Times New Roman" w:eastAsia="黑体"/>
          <w:b w:val="0"/>
          <w:color w:val="auto"/>
          <w:highlight w:val="none"/>
          <w:lang w:eastAsia="zh-CN"/>
        </w:rPr>
      </w:pPr>
      <w:bookmarkStart w:id="1" w:name="_Toc24798"/>
      <w:r>
        <w:rPr>
          <w:rFonts w:hint="eastAsia" w:ascii="Times New Roman" w:hAnsi="Times New Roman" w:eastAsia="黑体"/>
          <w:color w:val="auto"/>
          <w:sz w:val="32"/>
          <w:szCs w:val="32"/>
          <w:highlight w:val="none"/>
          <w:lang w:eastAsia="zh-CN"/>
        </w:rPr>
        <w:t>一、</w:t>
      </w:r>
      <w:r>
        <w:rPr>
          <w:rFonts w:hint="eastAsia" w:ascii="Times New Roman" w:hAnsi="Times New Roman" w:eastAsia="黑体"/>
          <w:b w:val="0"/>
          <w:color w:val="auto"/>
          <w:highlight w:val="none"/>
          <w:lang w:val="en-US" w:eastAsia="zh-CN"/>
        </w:rPr>
        <w:t xml:space="preserve"> </w:t>
      </w:r>
      <w:r>
        <w:rPr>
          <w:rFonts w:hint="eastAsia" w:ascii="Times New Roman" w:hAnsi="Times New Roman" w:eastAsia="黑体"/>
          <w:b w:val="0"/>
          <w:color w:val="auto"/>
          <w:highlight w:val="none"/>
          <w:lang w:eastAsia="zh-CN"/>
        </w:rPr>
        <w:t>部门职责</w:t>
      </w:r>
      <w:bookmarkEnd w:id="1"/>
    </w:p>
    <w:p w14:paraId="2D600046">
      <w:pPr>
        <w:ind w:firstLine="640" w:firstLineChars="200"/>
        <w:rPr>
          <w:rFonts w:hint="eastAsia" w:ascii="仿宋" w:hAnsi="仿宋" w:eastAsia="仿宋" w:cs="Times New Roman"/>
          <w:sz w:val="32"/>
          <w:szCs w:val="32"/>
          <w:lang w:eastAsia="zh-CN"/>
        </w:rPr>
      </w:pPr>
      <w:r>
        <w:rPr>
          <w:rFonts w:hint="eastAsia" w:ascii="仿宋" w:hAnsi="仿宋" w:eastAsia="仿宋" w:cs="Times New Roman"/>
          <w:sz w:val="32"/>
          <w:szCs w:val="32"/>
        </w:rPr>
        <w:t>1、贯彻落实党中央、国务院及省、</w:t>
      </w:r>
      <w:r>
        <w:rPr>
          <w:rFonts w:hint="eastAsia" w:ascii="仿宋" w:hAnsi="仿宋" w:eastAsia="仿宋" w:cs="Times New Roman"/>
          <w:sz w:val="32"/>
          <w:szCs w:val="32"/>
          <w:lang w:val="en-US" w:eastAsia="zh-CN"/>
        </w:rPr>
        <w:t>州</w:t>
      </w:r>
      <w:r>
        <w:rPr>
          <w:rFonts w:hint="eastAsia" w:ascii="仿宋" w:hAnsi="仿宋" w:eastAsia="仿宋" w:cs="Times New Roman"/>
          <w:sz w:val="32"/>
          <w:szCs w:val="32"/>
        </w:rPr>
        <w:t>、县医药卫生领域路线方针政策与法律法规，依托现代医学技术开展疾病预防、健康保健、临床诊断、诊疗救治、康复护理等医疗卫生服务。</w:t>
      </w:r>
    </w:p>
    <w:p w14:paraId="7A894770">
      <w:pPr>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2、在</w:t>
      </w:r>
      <w:r>
        <w:rPr>
          <w:rFonts w:hint="eastAsia" w:ascii="仿宋" w:hAnsi="仿宋" w:eastAsia="仿宋" w:cs="Times New Roman"/>
          <w:sz w:val="32"/>
          <w:szCs w:val="32"/>
          <w:lang w:val="en-US" w:eastAsia="zh-CN"/>
        </w:rPr>
        <w:t>上级主管部门</w:t>
      </w:r>
      <w:r>
        <w:rPr>
          <w:rFonts w:hint="eastAsia" w:ascii="仿宋" w:hAnsi="仿宋" w:eastAsia="仿宋" w:cs="Times New Roman"/>
          <w:sz w:val="32"/>
          <w:szCs w:val="32"/>
        </w:rPr>
        <w:t>统筹指导下，开展重大疾病、流行病、传染病防控与突发公共卫生事件应急处置，配合相关部门落实防控干预措施，依规上报传染病疫情信息。</w:t>
      </w:r>
    </w:p>
    <w:p w14:paraId="4849D688">
      <w:pPr>
        <w:ind w:firstLine="640" w:firstLineChars="200"/>
        <w:rPr>
          <w:rFonts w:hint="eastAsia" w:ascii="仿宋" w:hAnsi="仿宋" w:eastAsia="仿宋" w:cs="Times New Roman"/>
          <w:sz w:val="32"/>
          <w:szCs w:val="32"/>
          <w:lang w:eastAsia="zh-CN"/>
        </w:rPr>
      </w:pPr>
      <w:r>
        <w:rPr>
          <w:rFonts w:hint="eastAsia" w:ascii="仿宋" w:hAnsi="仿宋" w:eastAsia="仿宋" w:cs="Times New Roman"/>
          <w:sz w:val="32"/>
          <w:szCs w:val="32"/>
        </w:rPr>
        <w:t>3、参与县域及周边区域应急救援、医疗救灾相关工作</w:t>
      </w:r>
      <w:r>
        <w:rPr>
          <w:rFonts w:hint="eastAsia" w:ascii="仿宋" w:hAnsi="仿宋" w:eastAsia="仿宋" w:cs="Times New Roman"/>
          <w:sz w:val="32"/>
          <w:szCs w:val="32"/>
          <w:lang w:eastAsia="zh-CN"/>
        </w:rPr>
        <w:t>。</w:t>
      </w:r>
    </w:p>
    <w:p w14:paraId="641F97AC">
      <w:pPr>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4、承担全县基层乡村医务人员业务培训、技术指导工作。</w:t>
      </w:r>
    </w:p>
    <w:p w14:paraId="42198477">
      <w:pPr>
        <w:pStyle w:val="3"/>
        <w:numPr>
          <w:ilvl w:val="0"/>
          <w:numId w:val="0"/>
        </w:numPr>
        <w:ind w:firstLine="640" w:firstLineChars="200"/>
        <w:rPr>
          <w:rFonts w:hint="eastAsia" w:ascii="仿宋" w:hAnsi="仿宋" w:eastAsia="仿宋" w:cs="Times New Roman"/>
          <w:b w:val="0"/>
          <w:bCs w:val="0"/>
          <w:color w:val="auto"/>
          <w:kern w:val="2"/>
          <w:sz w:val="32"/>
          <w:szCs w:val="32"/>
          <w:lang w:val="en-US" w:eastAsia="zh-CN" w:bidi="ar-SA"/>
        </w:rPr>
      </w:pPr>
      <w:bookmarkStart w:id="2" w:name="_Toc5864"/>
      <w:bookmarkStart w:id="3" w:name="_Toc13363"/>
      <w:bookmarkStart w:id="4" w:name="_Toc12302"/>
      <w:r>
        <w:rPr>
          <w:rFonts w:hint="eastAsia" w:ascii="仿宋" w:hAnsi="仿宋" w:eastAsia="仿宋" w:cs="Times New Roman"/>
          <w:b w:val="0"/>
          <w:bCs w:val="0"/>
          <w:color w:val="auto"/>
          <w:kern w:val="2"/>
          <w:sz w:val="32"/>
          <w:szCs w:val="32"/>
          <w:lang w:val="en-US" w:eastAsia="zh-CN" w:bidi="ar-SA"/>
        </w:rPr>
        <w:t>5、完成上级业务部门交办的其他工作任务。</w:t>
      </w:r>
      <w:bookmarkEnd w:id="2"/>
      <w:bookmarkEnd w:id="3"/>
      <w:bookmarkEnd w:id="4"/>
    </w:p>
    <w:p w14:paraId="5C5F436E">
      <w:pPr>
        <w:numPr>
          <w:ilvl w:val="0"/>
          <w:numId w:val="0"/>
        </w:numPr>
        <w:rPr>
          <w:rFonts w:hint="eastAsia"/>
          <w:lang w:eastAsia="zh-CN"/>
        </w:rPr>
      </w:pPr>
    </w:p>
    <w:p w14:paraId="7008ED8B">
      <w:pPr>
        <w:pStyle w:val="3"/>
        <w:ind w:firstLine="643" w:firstLineChars="200"/>
        <w:rPr>
          <w:rStyle w:val="30"/>
          <w:rFonts w:ascii="Times New Roman" w:hAnsi="Times New Roman"/>
          <w:b w:val="0"/>
          <w:bCs w:val="0"/>
          <w:color w:val="auto"/>
          <w:highlight w:val="none"/>
        </w:rPr>
      </w:pPr>
      <w:bookmarkStart w:id="5" w:name="_Toc15396601"/>
      <w:bookmarkStart w:id="6" w:name="_Toc15746"/>
      <w:bookmarkStart w:id="7" w:name="_Toc15377200"/>
      <w:r>
        <w:rPr>
          <w:rFonts w:hint="eastAsia" w:ascii="Times New Roman" w:hAnsi="Times New Roman" w:eastAsia="黑体"/>
          <w:color w:val="auto"/>
          <w:sz w:val="32"/>
          <w:szCs w:val="32"/>
          <w:highlight w:val="none"/>
          <w:lang w:eastAsia="zh-CN"/>
        </w:rPr>
        <w:t>二、</w:t>
      </w:r>
      <w:r>
        <w:rPr>
          <w:rFonts w:hint="eastAsia" w:ascii="Times New Roman" w:hAnsi="Times New Roman" w:eastAsia="黑体"/>
          <w:b w:val="0"/>
          <w:color w:val="auto"/>
          <w:highlight w:val="none"/>
        </w:rPr>
        <w:t>机</w:t>
      </w:r>
      <w:r>
        <w:rPr>
          <w:rStyle w:val="30"/>
          <w:rFonts w:hint="eastAsia" w:ascii="Times New Roman" w:hAnsi="Times New Roman" w:eastAsia="黑体"/>
          <w:b w:val="0"/>
          <w:bCs w:val="0"/>
          <w:color w:val="auto"/>
          <w:highlight w:val="none"/>
        </w:rPr>
        <w:t>构设置</w:t>
      </w:r>
      <w:bookmarkEnd w:id="5"/>
      <w:bookmarkEnd w:id="6"/>
      <w:bookmarkEnd w:id="7"/>
    </w:p>
    <w:p w14:paraId="1C437039">
      <w:pPr>
        <w:widowControl/>
        <w:spacing w:line="360" w:lineRule="auto"/>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壤塘县人民医院</w:t>
      </w:r>
      <w:r>
        <w:rPr>
          <w:rFonts w:hint="eastAsia" w:ascii="仿宋_GB2312" w:hAnsi="仿宋_GB2312" w:eastAsia="仿宋_GB2312" w:cs="仿宋_GB2312"/>
          <w:kern w:val="0"/>
          <w:sz w:val="32"/>
          <w:szCs w:val="32"/>
          <w:lang w:val="en-US" w:eastAsia="zh-CN"/>
        </w:rPr>
        <w:t>无</w:t>
      </w:r>
      <w:r>
        <w:rPr>
          <w:rFonts w:hint="eastAsia" w:ascii="仿宋_GB2312" w:hAnsi="仿宋_GB2312" w:eastAsia="仿宋_GB2312" w:cs="仿宋_GB2312"/>
          <w:kern w:val="0"/>
          <w:sz w:val="32"/>
          <w:szCs w:val="32"/>
        </w:rPr>
        <w:t>下属二级单位，无行政单位、参照公务员法管理事业单位及其他事业单位。</w:t>
      </w:r>
    </w:p>
    <w:p w14:paraId="71FECDE3">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纳入壤塘县人民医院202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年度部门决算编制范围的二级预算单位</w:t>
      </w:r>
      <w:r>
        <w:rPr>
          <w:rFonts w:hint="eastAsia" w:ascii="仿宋_GB2312" w:hAnsi="仿宋_GB2312" w:eastAsia="仿宋_GB2312" w:cs="仿宋_GB2312"/>
          <w:kern w:val="0"/>
          <w:sz w:val="32"/>
          <w:szCs w:val="32"/>
          <w:lang w:val="en-US" w:eastAsia="zh-CN"/>
        </w:rPr>
        <w:t>0个</w:t>
      </w:r>
      <w:r>
        <w:rPr>
          <w:rFonts w:hint="eastAsia" w:ascii="仿宋_GB2312" w:hAnsi="仿宋_GB2312" w:eastAsia="仿宋_GB2312" w:cs="仿宋_GB2312"/>
          <w:kern w:val="0"/>
          <w:sz w:val="32"/>
          <w:szCs w:val="32"/>
        </w:rPr>
        <w:t>。</w:t>
      </w:r>
    </w:p>
    <w:p w14:paraId="4FC56B28">
      <w:pPr>
        <w:widowControl/>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壤塘县人民医院为壤塘县卫生健康局下属二级预算单位。</w:t>
      </w:r>
      <w:bookmarkStart w:id="8" w:name="_Toc15377204"/>
      <w:bookmarkStart w:id="9" w:name="_Toc15396602"/>
    </w:p>
    <w:p w14:paraId="7A3B43C6">
      <w:pPr>
        <w:pStyle w:val="2"/>
        <w:jc w:val="center"/>
        <w:rPr>
          <w:rFonts w:hint="eastAsia" w:ascii="Times New Roman" w:hAnsi="Times New Roman" w:eastAsia="方正小标宋简体" w:cs="方正小标宋简体"/>
          <w:b w:val="0"/>
          <w:color w:val="auto"/>
          <w:highlight w:val="none"/>
        </w:rPr>
      </w:pPr>
      <w:bookmarkStart w:id="10" w:name="_Toc99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8"/>
      <w:bookmarkEnd w:id="9"/>
      <w:bookmarkEnd w:id="10"/>
    </w:p>
    <w:p w14:paraId="75EE2FCE">
      <w:pPr>
        <w:rPr>
          <w:rFonts w:ascii="Times New Roman" w:hAnsi="Times New Roman"/>
          <w:color w:val="auto"/>
          <w:highlight w:val="none"/>
        </w:rPr>
      </w:pPr>
    </w:p>
    <w:p w14:paraId="3B2AA66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1" w:name="_Toc15396603"/>
      <w:bookmarkStart w:id="12" w:name="_Toc15377205"/>
      <w:bookmarkStart w:id="13" w:name="_Toc137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1"/>
      <w:bookmarkEnd w:id="12"/>
      <w:bookmarkEnd w:id="13"/>
    </w:p>
    <w:p w14:paraId="1D327D3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rPr>
      </w:pPr>
      <w:bookmarkStart w:id="14" w:name="_Toc20679"/>
      <w:bookmarkStart w:id="15" w:name="_Toc9075"/>
      <w:bookmarkStart w:id="16" w:name="_Toc24060"/>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总计为8124.45万元</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为</w:t>
      </w:r>
      <w:r>
        <w:rPr>
          <w:rFonts w:hint="eastAsia" w:ascii="仿宋_GB2312" w:hAnsi="仿宋_GB2312" w:eastAsia="仿宋_GB2312" w:cs="仿宋_GB2312"/>
          <w:sz w:val="32"/>
          <w:szCs w:val="32"/>
          <w:lang w:val="en-US" w:eastAsia="zh-CN"/>
        </w:rPr>
        <w:t>7588.23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减少283.79万元，下降3.38%</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712.89</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8.59</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w:t>
      </w:r>
      <w:r>
        <w:rPr>
          <w:rFonts w:hint="eastAsia" w:eastAsia="仿宋_GB2312" w:cs="仿宋_GB2312"/>
          <w:color w:val="auto"/>
          <w:kern w:val="2"/>
          <w:sz w:val="32"/>
          <w:szCs w:val="32"/>
          <w:highlight w:val="none"/>
          <w:lang w:val="en-US" w:eastAsia="zh-CN" w:bidi="ar-SA"/>
        </w:rPr>
        <w:t>政府性基金预算财政拨款减少</w:t>
      </w:r>
      <w:r>
        <w:rPr>
          <w:rFonts w:hint="eastAsia" w:ascii="仿宋" w:hAnsi="仿宋" w:eastAsia="仿宋"/>
          <w:color w:val="auto"/>
          <w:sz w:val="32"/>
          <w:szCs w:val="32"/>
          <w:highlight w:val="none"/>
          <w:lang w:val="en-US" w:eastAsia="zh-CN"/>
        </w:rPr>
        <w:t>。</w:t>
      </w:r>
      <w:bookmarkEnd w:id="14"/>
      <w:bookmarkEnd w:id="15"/>
      <w:bookmarkEnd w:id="16"/>
    </w:p>
    <w:p w14:paraId="3BFA5E4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1"/>
        <w:rPr>
          <w:rFonts w:hint="eastAsia" w:ascii="Times New Roman" w:hAnsi="Times New Roman" w:eastAsia="仿宋_GB2312" w:cs="仿宋_GB2312"/>
          <w:color w:val="auto"/>
          <w:sz w:val="32"/>
          <w:szCs w:val="32"/>
          <w:highlight w:val="none"/>
        </w:rPr>
      </w:pPr>
      <w:bookmarkStart w:id="17" w:name="_Toc21958"/>
      <w:bookmarkStart w:id="18" w:name="_Toc2690"/>
      <w:bookmarkStart w:id="19" w:name="_Toc15162"/>
      <w:r>
        <w:drawing>
          <wp:anchor distT="0" distB="0" distL="114300" distR="114300" simplePos="0" relativeHeight="251661312" behindDoc="0" locked="0" layoutInCell="1" allowOverlap="1">
            <wp:simplePos x="0" y="0"/>
            <wp:positionH relativeFrom="column">
              <wp:posOffset>299720</wp:posOffset>
            </wp:positionH>
            <wp:positionV relativeFrom="paragraph">
              <wp:posOffset>137795</wp:posOffset>
            </wp:positionV>
            <wp:extent cx="4657090" cy="2914650"/>
            <wp:effectExtent l="4445" t="4445" r="5715" b="1460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bookmarkEnd w:id="17"/>
      <w:bookmarkEnd w:id="18"/>
      <w:bookmarkEnd w:id="19"/>
    </w:p>
    <w:p w14:paraId="2664D3E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061A2A3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9545"/>
      <w:bookmarkStart w:id="21" w:name="_Toc15377206"/>
      <w:bookmarkStart w:id="22" w:name="_Toc15396604"/>
      <w:r>
        <w:rPr>
          <w:rFonts w:hint="eastAsia" w:ascii="Times New Roman" w:hAnsi="Times New Roman" w:eastAsia="黑体"/>
          <w:color w:val="auto"/>
          <w:sz w:val="32"/>
          <w:szCs w:val="32"/>
          <w:highlight w:val="none"/>
          <w:lang w:eastAsia="zh-CN"/>
        </w:rPr>
        <w:t>二、收入决算情况说明</w:t>
      </w:r>
      <w:bookmarkEnd w:id="20"/>
      <w:bookmarkEnd w:id="21"/>
      <w:bookmarkEnd w:id="22"/>
    </w:p>
    <w:p w14:paraId="5414BDB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3" w:name="_Toc18349"/>
      <w:bookmarkStart w:id="24" w:name="_Toc25420"/>
      <w:bookmarkStart w:id="25" w:name="_Toc26204"/>
      <w:r>
        <w:drawing>
          <wp:anchor distT="0" distB="0" distL="114300" distR="114300" simplePos="0" relativeHeight="251662336" behindDoc="0" locked="0" layoutInCell="1" allowOverlap="1">
            <wp:simplePos x="0" y="0"/>
            <wp:positionH relativeFrom="column">
              <wp:posOffset>366395</wp:posOffset>
            </wp:positionH>
            <wp:positionV relativeFrom="paragraph">
              <wp:posOffset>2671445</wp:posOffset>
            </wp:positionV>
            <wp:extent cx="4406900" cy="2058670"/>
            <wp:effectExtent l="4445" t="5080" r="8255" b="12700"/>
            <wp:wrapTopAndBottom/>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8124.45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5290.66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65.12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932.44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11.47</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1901.36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23.40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End w:id="23"/>
      <w:bookmarkEnd w:id="24"/>
      <w:bookmarkEnd w:id="25"/>
    </w:p>
    <w:p w14:paraId="52DB4FB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26" w:name="_Toc31505"/>
      <w:bookmarkStart w:id="27" w:name="_Toc13260"/>
      <w:bookmarkStart w:id="28" w:name="_Toc5085"/>
      <w:r>
        <w:rPr>
          <w:rFonts w:hint="eastAsia" w:ascii="Times New Roman" w:hAnsi="Times New Roman" w:eastAsia="仿宋_GB2312" w:cs="仿宋_GB2312"/>
          <w:color w:val="auto"/>
          <w:sz w:val="32"/>
          <w:szCs w:val="32"/>
          <w:highlight w:val="none"/>
          <w:lang w:eastAsia="zh-CN"/>
        </w:rPr>
        <w:t>（图2：收入决算结构图）</w:t>
      </w:r>
      <w:bookmarkEnd w:id="26"/>
      <w:bookmarkEnd w:id="27"/>
      <w:bookmarkEnd w:id="28"/>
    </w:p>
    <w:p w14:paraId="2212BBD0">
      <w:pPr>
        <w:ind w:firstLine="800" w:firstLineChars="250"/>
        <w:rPr>
          <w:rFonts w:hint="eastAsia" w:ascii="Times New Roman" w:hAnsi="Times New Roman" w:eastAsia="仿宋_GB2312" w:cs="仿宋_GB2312"/>
          <w:color w:val="auto"/>
          <w:sz w:val="32"/>
          <w:szCs w:val="32"/>
          <w:highlight w:val="none"/>
          <w:lang w:eastAsia="zh-CN"/>
        </w:rPr>
      </w:pPr>
    </w:p>
    <w:p w14:paraId="3D47A59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9" w:name="_Toc15396605"/>
      <w:bookmarkStart w:id="30" w:name="_Toc15377207"/>
      <w:bookmarkStart w:id="31" w:name="_Toc31493"/>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9"/>
      <w:bookmarkEnd w:id="30"/>
      <w:bookmarkEnd w:id="31"/>
    </w:p>
    <w:p w14:paraId="1B9BEC0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2" w:name="_Toc2091"/>
      <w:bookmarkStart w:id="33" w:name="_Toc20719"/>
      <w:bookmarkStart w:id="34" w:name="_Toc23672"/>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7588.23</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4038.15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53.22</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3550.07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46.78</w:t>
      </w:r>
      <w:r>
        <w:rPr>
          <w:rFonts w:hint="eastAsia" w:ascii="Times New Roman" w:hAnsi="Times New Roman" w:eastAsia="仿宋_GB2312" w:cs="仿宋_GB2312"/>
          <w:color w:val="auto"/>
          <w:sz w:val="32"/>
          <w:szCs w:val="32"/>
          <w:highlight w:val="none"/>
          <w:lang w:eastAsia="zh-CN"/>
        </w:rPr>
        <w:t>%。</w:t>
      </w:r>
      <w:bookmarkEnd w:id="32"/>
      <w:bookmarkEnd w:id="33"/>
      <w:bookmarkEnd w:id="34"/>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C8C10F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4384" behindDoc="0" locked="0" layoutInCell="1" allowOverlap="1">
            <wp:simplePos x="0" y="0"/>
            <wp:positionH relativeFrom="column">
              <wp:posOffset>261620</wp:posOffset>
            </wp:positionH>
            <wp:positionV relativeFrom="paragraph">
              <wp:posOffset>346075</wp:posOffset>
            </wp:positionV>
            <wp:extent cx="4292600" cy="2314575"/>
            <wp:effectExtent l="5080" t="4445" r="7620" b="5080"/>
            <wp:wrapTopAndBottom/>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0BC4BF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35" w:name="_Toc21615"/>
      <w:bookmarkStart w:id="36" w:name="_Toc5805"/>
      <w:bookmarkStart w:id="37" w:name="_Toc23298"/>
      <w:r>
        <w:rPr>
          <w:rFonts w:hint="eastAsia" w:ascii="Times New Roman" w:hAnsi="Times New Roman" w:eastAsia="仿宋_GB2312" w:cs="仿宋_GB2312"/>
          <w:color w:val="auto"/>
          <w:sz w:val="32"/>
          <w:szCs w:val="32"/>
          <w:highlight w:val="none"/>
          <w:lang w:eastAsia="zh-CN"/>
        </w:rPr>
        <w:t>（图3：支出决算结构图）</w:t>
      </w:r>
      <w:bookmarkEnd w:id="35"/>
      <w:bookmarkEnd w:id="36"/>
      <w:bookmarkEnd w:id="37"/>
    </w:p>
    <w:p w14:paraId="130E6A40">
      <w:pPr>
        <w:ind w:firstLine="800" w:firstLineChars="250"/>
        <w:rPr>
          <w:rFonts w:hint="eastAsia" w:ascii="Times New Roman" w:hAnsi="Times New Roman" w:eastAsia="仿宋_GB2312" w:cs="仿宋_GB2312"/>
          <w:color w:val="auto"/>
          <w:sz w:val="32"/>
          <w:szCs w:val="32"/>
          <w:highlight w:val="none"/>
          <w:lang w:eastAsia="zh-CN"/>
        </w:rPr>
      </w:pPr>
    </w:p>
    <w:p w14:paraId="5D2096BA">
      <w:pPr>
        <w:spacing w:line="600" w:lineRule="exact"/>
        <w:ind w:firstLine="640" w:firstLineChars="200"/>
        <w:outlineLvl w:val="1"/>
        <w:rPr>
          <w:rStyle w:val="30"/>
          <w:rFonts w:ascii="Times New Roman" w:hAnsi="Times New Roman" w:eastAsia="黑体"/>
          <w:b w:val="0"/>
          <w:color w:val="auto"/>
          <w:highlight w:val="none"/>
        </w:rPr>
      </w:pPr>
      <w:bookmarkStart w:id="38" w:name="_Toc27218"/>
      <w:bookmarkStart w:id="39" w:name="_Toc15396606"/>
      <w:bookmarkStart w:id="40"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8"/>
      <w:bookmarkEnd w:id="39"/>
      <w:bookmarkEnd w:id="40"/>
    </w:p>
    <w:p w14:paraId="37C64C0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6223.10</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748.10</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10.73</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：政府性基金预算财政拨款减少。</w:t>
      </w:r>
    </w:p>
    <w:p w14:paraId="7F4785C5">
      <w:pPr>
        <w:spacing w:line="600" w:lineRule="exact"/>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297180</wp:posOffset>
            </wp:positionH>
            <wp:positionV relativeFrom="paragraph">
              <wp:posOffset>167005</wp:posOffset>
            </wp:positionV>
            <wp:extent cx="4563110" cy="2419985"/>
            <wp:effectExtent l="106045" t="86995" r="93345" b="121920"/>
            <wp:wrapSquare wrapText="bothSides"/>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36F3540">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2777BB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ABC93DF">
      <w:pPr>
        <w:spacing w:line="600" w:lineRule="exact"/>
        <w:ind w:firstLine="640" w:firstLineChars="200"/>
        <w:outlineLvl w:val="1"/>
        <w:rPr>
          <w:rStyle w:val="30"/>
          <w:rFonts w:ascii="Times New Roman" w:hAnsi="Times New Roman" w:eastAsia="黑体"/>
          <w:b w:val="0"/>
          <w:color w:val="auto"/>
          <w:highlight w:val="none"/>
        </w:rPr>
      </w:pPr>
      <w:bookmarkStart w:id="41" w:name="_Toc15377209"/>
      <w:bookmarkStart w:id="42" w:name="_Toc15396607"/>
      <w:bookmarkStart w:id="43" w:name="_Toc24186"/>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41"/>
      <w:bookmarkEnd w:id="42"/>
      <w:bookmarkEnd w:id="43"/>
    </w:p>
    <w:p w14:paraId="69409F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4"/>
    </w:p>
    <w:p w14:paraId="74343B70">
      <w:pPr>
        <w:spacing w:line="600" w:lineRule="exact"/>
        <w:ind w:firstLine="640"/>
        <w:rPr>
          <w:rFonts w:hint="eastAsia" w:ascii="仿宋" w:hAnsi="仿宋" w:eastAsia="仿宋"/>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5290.66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69.72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1387.03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35.53</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w:t>
      </w:r>
      <w:r>
        <w:rPr>
          <w:rFonts w:hint="eastAsia" w:ascii="仿宋" w:hAnsi="仿宋" w:eastAsia="仿宋"/>
          <w:color w:val="auto"/>
          <w:sz w:val="32"/>
          <w:szCs w:val="32"/>
          <w:highlight w:val="none"/>
          <w:lang w:val="en-US" w:eastAsia="zh-CN"/>
        </w:rPr>
        <w:t>人员经费增加；眼视光和口腔诊疗中心建设项目、医疗服务与保障能力提升（医疗卫生机构能力建设）等项目支出增加。</w:t>
      </w:r>
    </w:p>
    <w:p w14:paraId="324B5380">
      <w:pPr>
        <w:pStyle w:val="13"/>
        <w:rPr>
          <w:rFonts w:hint="eastAsia"/>
          <w:lang w:val="en-US" w:eastAsia="zh-CN"/>
        </w:rPr>
      </w:pPr>
      <w:r>
        <w:drawing>
          <wp:inline distT="0" distB="0" distL="114300" distR="114300">
            <wp:extent cx="4333875" cy="2467610"/>
            <wp:effectExtent l="106045" t="86995" r="93980" b="11239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C0CB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47D7305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5"/>
    </w:p>
    <w:p w14:paraId="293DA3C6">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5290.66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9.60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教育支出0万元，占0%；科学技术支出0万元，占0%；文化旅游体育与传媒支出0万元，占0%；社会保障和就业支出</w:t>
      </w:r>
      <w:r>
        <w:rPr>
          <w:rFonts w:hint="eastAsia" w:eastAsia="仿宋_GB2312" w:cs="仿宋_GB2312"/>
          <w:color w:val="auto"/>
          <w:kern w:val="2"/>
          <w:sz w:val="32"/>
          <w:szCs w:val="32"/>
          <w:highlight w:val="none"/>
          <w:lang w:val="en-US" w:eastAsia="zh-CN" w:bidi="ar-SA"/>
        </w:rPr>
        <w:t>399.07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7.54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4677.64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88.41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204.35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EEABD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0" locked="0" layoutInCell="1" allowOverlap="1">
            <wp:simplePos x="0" y="0"/>
            <wp:positionH relativeFrom="column">
              <wp:posOffset>625475</wp:posOffset>
            </wp:positionH>
            <wp:positionV relativeFrom="paragraph">
              <wp:posOffset>114300</wp:posOffset>
            </wp:positionV>
            <wp:extent cx="3806825" cy="2553335"/>
            <wp:effectExtent l="47625" t="9525" r="50800" b="104140"/>
            <wp:wrapSquare wrapText="bothSides"/>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99ADA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17D865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21518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6"/>
    </w:p>
    <w:p w14:paraId="644003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7" w:name="_Toc15378460"/>
      <w:bookmarkStart w:id="48" w:name="_Toc15377213"/>
      <w:bookmarkStart w:id="49"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5290.66万元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7"/>
      <w:bookmarkEnd w:id="48"/>
      <w:bookmarkEnd w:id="49"/>
    </w:p>
    <w:p w14:paraId="2C5748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9.60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 w:val="0"/>
          <w:bCs w:val="0"/>
          <w:kern w:val="0"/>
          <w:sz w:val="32"/>
          <w:szCs w:val="32"/>
          <w:shd w:val="clear" w:color="auto" w:fill="FFFFFF"/>
        </w:rPr>
        <w:t>决算数与预算数持平</w:t>
      </w:r>
      <w:r>
        <w:rPr>
          <w:rFonts w:hint="eastAsia" w:eastAsia="仿宋_GB2312" w:cs="Times New Roman"/>
          <w:b w:val="0"/>
          <w:bCs w:val="0"/>
          <w:kern w:val="0"/>
          <w:sz w:val="32"/>
          <w:szCs w:val="32"/>
          <w:shd w:val="clear" w:color="auto" w:fill="FFFFFF"/>
          <w:lang w:eastAsia="zh-CN"/>
        </w:rPr>
        <w:t>。</w:t>
      </w:r>
    </w:p>
    <w:p w14:paraId="5DBB672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w:t>
      </w:r>
      <w:r>
        <w:rPr>
          <w:rFonts w:hint="eastAsia" w:eastAsia="仿宋_GB2312" w:cs="仿宋_GB2312"/>
          <w:color w:val="auto"/>
          <w:kern w:val="2"/>
          <w:sz w:val="32"/>
          <w:szCs w:val="32"/>
          <w:highlight w:val="none"/>
          <w:lang w:val="en-US" w:eastAsia="zh-CN" w:bidi="ar-SA"/>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0</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8"/>
          <w:rFonts w:hint="eastAsia" w:ascii="仿宋" w:hAnsi="仿宋" w:eastAsia="仿宋"/>
          <w:b w:val="0"/>
          <w:bCs/>
          <w:color w:val="auto"/>
          <w:sz w:val="32"/>
          <w:szCs w:val="32"/>
          <w:highlight w:val="none"/>
        </w:rPr>
        <w:t>。</w:t>
      </w:r>
    </w:p>
    <w:p w14:paraId="32AB5D16">
      <w:pPr>
        <w:spacing w:line="600" w:lineRule="exact"/>
        <w:ind w:firstLine="640" w:firstLineChars="200"/>
        <w:rPr>
          <w:rFonts w:ascii="仿宋" w:hAnsi="仿宋" w:eastAsia="仿宋"/>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3.科学技术</w:t>
      </w:r>
      <w:r>
        <w:rPr>
          <w:rFonts w:hint="eastAsia" w:eastAsia="仿宋_GB2312" w:cs="仿宋_GB2312"/>
          <w:color w:val="auto"/>
          <w:kern w:val="2"/>
          <w:sz w:val="32"/>
          <w:szCs w:val="32"/>
          <w:highlight w:val="none"/>
          <w:lang w:val="en-US" w:eastAsia="zh-CN" w:bidi="ar-SA"/>
        </w:rPr>
        <w:t>：</w:t>
      </w:r>
      <w:r>
        <w:rPr>
          <w:rStyle w:val="18"/>
          <w:rFonts w:hint="eastAsia" w:ascii="仿宋" w:hAnsi="仿宋" w:eastAsia="仿宋"/>
          <w:b w:val="0"/>
          <w:bCs/>
          <w:color w:val="auto"/>
          <w:sz w:val="32"/>
          <w:szCs w:val="32"/>
          <w:highlight w:val="none"/>
        </w:rPr>
        <w:t>支出决算为</w:t>
      </w:r>
      <w:r>
        <w:rPr>
          <w:rStyle w:val="18"/>
          <w:rFonts w:hint="eastAsia" w:ascii="仿宋" w:hAnsi="仿宋" w:eastAsia="仿宋"/>
          <w:b w:val="0"/>
          <w:bCs/>
          <w:color w:val="auto"/>
          <w:sz w:val="32"/>
          <w:szCs w:val="32"/>
          <w:highlight w:val="none"/>
          <w:lang w:val="en-US" w:eastAsia="zh-CN"/>
        </w:rPr>
        <w:t>0</w:t>
      </w:r>
      <w:r>
        <w:rPr>
          <w:rStyle w:val="18"/>
          <w:rFonts w:hint="eastAsia" w:ascii="仿宋" w:hAnsi="仿宋" w:eastAsia="仿宋"/>
          <w:b w:val="0"/>
          <w:bCs/>
          <w:color w:val="auto"/>
          <w:sz w:val="32"/>
          <w:szCs w:val="32"/>
          <w:highlight w:val="none"/>
        </w:rPr>
        <w:t>万元，完成预算</w:t>
      </w:r>
      <w:r>
        <w:rPr>
          <w:rStyle w:val="18"/>
          <w:rFonts w:hint="eastAsia" w:ascii="仿宋" w:hAnsi="仿宋" w:eastAsia="仿宋"/>
          <w:b w:val="0"/>
          <w:bCs/>
          <w:color w:val="auto"/>
          <w:sz w:val="32"/>
          <w:szCs w:val="32"/>
          <w:highlight w:val="none"/>
          <w:lang w:val="en-US" w:eastAsia="zh-CN"/>
        </w:rPr>
        <w:t>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w:t>
      </w:r>
      <w:r>
        <w:rPr>
          <w:rFonts w:hint="default" w:ascii="Times New Roman" w:hAnsi="Times New Roman" w:eastAsia="仿宋_GB2312" w:cs="Times New Roman"/>
          <w:b w:val="0"/>
          <w:bCs w:val="0"/>
          <w:kern w:val="0"/>
          <w:sz w:val="32"/>
          <w:szCs w:val="32"/>
          <w:shd w:val="clear" w:color="auto" w:fill="FFFFFF"/>
        </w:rPr>
        <w:t>决算数与预算数持平</w:t>
      </w:r>
      <w:r>
        <w:rPr>
          <w:rStyle w:val="18"/>
          <w:rFonts w:hint="eastAsia" w:ascii="仿宋" w:hAnsi="仿宋" w:eastAsia="仿宋"/>
          <w:b w:val="0"/>
          <w:bCs/>
          <w:color w:val="auto"/>
          <w:sz w:val="32"/>
          <w:szCs w:val="32"/>
          <w:highlight w:val="none"/>
        </w:rPr>
        <w:t>。</w:t>
      </w:r>
    </w:p>
    <w:p w14:paraId="13C6C273">
      <w:pPr>
        <w:spacing w:line="600" w:lineRule="exact"/>
        <w:ind w:firstLine="640" w:firstLineChars="200"/>
        <w:rPr>
          <w:rStyle w:val="18"/>
          <w:rFonts w:hint="eastAsia" w:ascii="仿宋" w:hAnsi="仿宋" w:eastAsia="仿宋" w:cs="Times New Roman"/>
          <w:b w:val="0"/>
          <w:bCs/>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4.文化旅游体育与传媒</w:t>
      </w:r>
      <w:r>
        <w:rPr>
          <w:rFonts w:hint="eastAsia" w:eastAsia="仿宋_GB2312" w:cs="仿宋_GB2312"/>
          <w:color w:val="auto"/>
          <w:kern w:val="2"/>
          <w:sz w:val="32"/>
          <w:szCs w:val="32"/>
          <w:highlight w:val="none"/>
          <w:lang w:val="en-US" w:eastAsia="zh-CN" w:bidi="ar-SA"/>
        </w:rPr>
        <w:t>：</w:t>
      </w:r>
      <w:r>
        <w:rPr>
          <w:rStyle w:val="18"/>
          <w:rFonts w:hint="eastAsia" w:ascii="仿宋" w:hAnsi="仿宋" w:eastAsia="仿宋" w:cs="Times New Roman"/>
          <w:b w:val="0"/>
          <w:bCs/>
          <w:color w:val="auto"/>
          <w:sz w:val="32"/>
          <w:szCs w:val="32"/>
          <w:highlight w:val="none"/>
        </w:rPr>
        <w:t>支出决算为</w:t>
      </w:r>
      <w:r>
        <w:rPr>
          <w:rStyle w:val="18"/>
          <w:rFonts w:hint="eastAsia" w:ascii="仿宋" w:hAnsi="仿宋" w:eastAsia="仿宋" w:cs="Times New Roman"/>
          <w:b w:val="0"/>
          <w:bCs/>
          <w:color w:val="auto"/>
          <w:sz w:val="32"/>
          <w:szCs w:val="32"/>
          <w:highlight w:val="none"/>
          <w:lang w:val="en-US" w:eastAsia="zh-CN"/>
        </w:rPr>
        <w:t>0</w:t>
      </w:r>
      <w:r>
        <w:rPr>
          <w:rStyle w:val="18"/>
          <w:rFonts w:hint="eastAsia" w:ascii="仿宋" w:hAnsi="仿宋" w:eastAsia="仿宋" w:cs="Times New Roman"/>
          <w:b w:val="0"/>
          <w:bCs/>
          <w:color w:val="auto"/>
          <w:sz w:val="32"/>
          <w:szCs w:val="32"/>
          <w:highlight w:val="none"/>
        </w:rPr>
        <w:t>万元，完成预算</w:t>
      </w:r>
      <w:r>
        <w:rPr>
          <w:rStyle w:val="18"/>
          <w:rFonts w:hint="eastAsia" w:ascii="仿宋" w:hAnsi="仿宋" w:eastAsia="仿宋" w:cs="Times New Roman"/>
          <w:b w:val="0"/>
          <w:bCs/>
          <w:color w:val="auto"/>
          <w:sz w:val="32"/>
          <w:szCs w:val="32"/>
          <w:highlight w:val="none"/>
          <w:lang w:val="en-US" w:eastAsia="zh-CN"/>
        </w:rPr>
        <w:t>0</w:t>
      </w:r>
      <w:r>
        <w:rPr>
          <w:rStyle w:val="18"/>
          <w:rFonts w:hint="eastAsia" w:ascii="仿宋" w:hAnsi="仿宋" w:eastAsia="仿宋" w:cs="Times New Roman"/>
          <w:b w:val="0"/>
          <w:bCs/>
          <w:color w:val="auto"/>
          <w:sz w:val="32"/>
          <w:szCs w:val="32"/>
          <w:highlight w:val="none"/>
        </w:rPr>
        <w:t>%，</w:t>
      </w:r>
      <w:r>
        <w:rPr>
          <w:rStyle w:val="18"/>
          <w:rFonts w:hint="default" w:ascii="仿宋" w:hAnsi="仿宋" w:eastAsia="仿宋" w:cs="Times New Roman"/>
          <w:b w:val="0"/>
          <w:bCs/>
          <w:color w:val="auto"/>
          <w:sz w:val="32"/>
          <w:szCs w:val="32"/>
          <w:highlight w:val="none"/>
        </w:rPr>
        <w:t>决算数与预算数持平</w:t>
      </w:r>
      <w:r>
        <w:rPr>
          <w:rStyle w:val="18"/>
          <w:rFonts w:hint="eastAsia" w:ascii="仿宋" w:hAnsi="仿宋" w:eastAsia="仿宋" w:cs="Times New Roman"/>
          <w:b w:val="0"/>
          <w:bCs/>
          <w:color w:val="auto"/>
          <w:sz w:val="32"/>
          <w:szCs w:val="32"/>
          <w:highlight w:val="none"/>
        </w:rPr>
        <w:t>。</w:t>
      </w:r>
    </w:p>
    <w:p w14:paraId="33FDE851">
      <w:pPr>
        <w:spacing w:line="600" w:lineRule="exact"/>
        <w:ind w:firstLine="640"/>
        <w:rPr>
          <w:rStyle w:val="18"/>
          <w:rFonts w:hint="default" w:ascii="仿宋" w:hAnsi="仿宋" w:eastAsia="仿宋" w:cs="Times New Roman"/>
          <w:b w:val="0"/>
          <w:bCs/>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261.85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Style w:val="18"/>
          <w:rFonts w:hint="default" w:ascii="仿宋" w:hAnsi="仿宋" w:eastAsia="仿宋" w:cs="Times New Roman"/>
          <w:b w:val="0"/>
          <w:bCs/>
          <w:color w:val="auto"/>
          <w:sz w:val="32"/>
          <w:szCs w:val="32"/>
          <w:highlight w:val="none"/>
        </w:rPr>
        <w:t>决算数与预算数持平</w:t>
      </w:r>
    </w:p>
    <w:p w14:paraId="28B31330">
      <w:pPr>
        <w:spacing w:line="600" w:lineRule="exact"/>
        <w:ind w:firstLine="640" w:firstLineChars="200"/>
        <w:rPr>
          <w:rStyle w:val="18"/>
          <w:rFonts w:hint="eastAsia" w:ascii="仿宋" w:hAnsi="仿宋" w:eastAsia="仿宋" w:cs="Times New Roman"/>
          <w:b w:val="0"/>
          <w:bCs w:val="0"/>
          <w:color w:val="auto"/>
          <w:sz w:val="32"/>
          <w:szCs w:val="32"/>
          <w:highlight w:val="none"/>
        </w:rPr>
      </w:pPr>
      <w:r>
        <w:rPr>
          <w:rStyle w:val="18"/>
          <w:rFonts w:hint="eastAsia" w:ascii="仿宋" w:hAnsi="仿宋" w:eastAsia="仿宋" w:cs="仿宋"/>
          <w:b w:val="0"/>
          <w:bCs w:val="0"/>
          <w:sz w:val="32"/>
          <w:szCs w:val="32"/>
        </w:rPr>
        <w:t xml:space="preserve">（2）社会保障和就业（类）行政事业单位养老支出（款）机关事业单位职业年金缴费支出（项）: </w:t>
      </w:r>
      <w:r>
        <w:rPr>
          <w:rStyle w:val="18"/>
          <w:rFonts w:hint="eastAsia" w:ascii="仿宋" w:hAnsi="仿宋" w:eastAsia="仿宋" w:cs="Times New Roman"/>
          <w:b w:val="0"/>
          <w:bCs w:val="0"/>
          <w:color w:val="auto"/>
          <w:sz w:val="32"/>
          <w:szCs w:val="32"/>
          <w:highlight w:val="none"/>
        </w:rPr>
        <w:t>支出决算为</w:t>
      </w:r>
      <w:r>
        <w:rPr>
          <w:rStyle w:val="18"/>
          <w:rFonts w:hint="eastAsia" w:ascii="仿宋" w:hAnsi="仿宋" w:eastAsia="仿宋" w:cs="Times New Roman"/>
          <w:b w:val="0"/>
          <w:bCs w:val="0"/>
          <w:color w:val="auto"/>
          <w:sz w:val="32"/>
          <w:szCs w:val="32"/>
          <w:highlight w:val="none"/>
          <w:lang w:val="en-US" w:eastAsia="zh-CN"/>
        </w:rPr>
        <w:t>130.93</w:t>
      </w:r>
      <w:r>
        <w:rPr>
          <w:rStyle w:val="18"/>
          <w:rFonts w:hint="eastAsia" w:ascii="仿宋" w:hAnsi="仿宋" w:eastAsia="仿宋" w:cs="Times New Roman"/>
          <w:b w:val="0"/>
          <w:bCs w:val="0"/>
          <w:color w:val="auto"/>
          <w:sz w:val="32"/>
          <w:szCs w:val="32"/>
          <w:highlight w:val="none"/>
        </w:rPr>
        <w:t>万元，完成预算100%</w:t>
      </w:r>
      <w:r>
        <w:rPr>
          <w:rStyle w:val="18"/>
          <w:rFonts w:hint="eastAsia" w:ascii="仿宋" w:hAnsi="仿宋" w:eastAsia="仿宋" w:cs="Times New Roman"/>
          <w:b w:val="0"/>
          <w:bCs w:val="0"/>
          <w:color w:val="auto"/>
          <w:sz w:val="32"/>
          <w:szCs w:val="32"/>
          <w:highlight w:val="none"/>
          <w:lang w:eastAsia="zh-CN"/>
        </w:rPr>
        <w:t>，</w:t>
      </w:r>
      <w:r>
        <w:rPr>
          <w:rStyle w:val="18"/>
          <w:rFonts w:hint="default" w:ascii="仿宋" w:hAnsi="仿宋" w:eastAsia="仿宋" w:cs="Times New Roman"/>
          <w:b w:val="0"/>
          <w:bCs w:val="0"/>
          <w:color w:val="auto"/>
          <w:sz w:val="32"/>
          <w:szCs w:val="32"/>
          <w:highlight w:val="none"/>
        </w:rPr>
        <w:t>决算数与预算数持平</w:t>
      </w:r>
      <w:r>
        <w:rPr>
          <w:rStyle w:val="18"/>
          <w:rFonts w:hint="eastAsia" w:ascii="仿宋" w:hAnsi="仿宋" w:eastAsia="仿宋" w:cs="Times New Roman"/>
          <w:b w:val="0"/>
          <w:bCs w:val="0"/>
          <w:color w:val="auto"/>
          <w:sz w:val="32"/>
          <w:szCs w:val="32"/>
          <w:highlight w:val="none"/>
        </w:rPr>
        <w:t>。</w:t>
      </w:r>
    </w:p>
    <w:p w14:paraId="182F94EC">
      <w:pPr>
        <w:pStyle w:val="7"/>
        <w:ind w:left="0" w:leftChars="0" w:firstLine="640" w:firstLineChars="200"/>
        <w:rPr>
          <w:rFonts w:hint="default"/>
        </w:rPr>
      </w:pPr>
      <w:r>
        <w:rPr>
          <w:rStyle w:val="18"/>
          <w:rFonts w:hint="eastAsia" w:ascii="仿宋" w:hAnsi="仿宋" w:eastAsia="仿宋" w:cs="仿宋"/>
          <w:b w:val="0"/>
          <w:bCs w:val="0"/>
          <w:sz w:val="32"/>
          <w:szCs w:val="32"/>
        </w:rPr>
        <w:t>（</w:t>
      </w:r>
      <w:r>
        <w:rPr>
          <w:rStyle w:val="18"/>
          <w:rFonts w:hint="eastAsia" w:ascii="仿宋" w:hAnsi="仿宋" w:eastAsia="仿宋" w:cs="仿宋"/>
          <w:b w:val="0"/>
          <w:bCs w:val="0"/>
          <w:sz w:val="32"/>
          <w:szCs w:val="32"/>
          <w:lang w:val="en-US" w:eastAsia="zh-CN"/>
        </w:rPr>
        <w:t>3</w:t>
      </w:r>
      <w:r>
        <w:rPr>
          <w:rStyle w:val="18"/>
          <w:rFonts w:hint="eastAsia" w:ascii="仿宋" w:hAnsi="仿宋" w:eastAsia="仿宋" w:cs="仿宋"/>
          <w:b w:val="0"/>
          <w:bCs w:val="0"/>
          <w:sz w:val="32"/>
          <w:szCs w:val="32"/>
        </w:rPr>
        <w:t>）社会保障和就业（类）抚恤（款）</w:t>
      </w:r>
      <w:r>
        <w:rPr>
          <w:rStyle w:val="18"/>
          <w:rFonts w:hint="eastAsia" w:ascii="仿宋" w:hAnsi="仿宋" w:eastAsia="仿宋" w:cs="仿宋"/>
          <w:b w:val="0"/>
          <w:bCs w:val="0"/>
          <w:sz w:val="32"/>
          <w:szCs w:val="32"/>
          <w:lang w:val="en-US" w:eastAsia="zh-CN"/>
        </w:rPr>
        <w:t>死亡</w:t>
      </w:r>
      <w:r>
        <w:rPr>
          <w:rStyle w:val="18"/>
          <w:rFonts w:hint="eastAsia" w:ascii="仿宋" w:hAnsi="仿宋" w:eastAsia="仿宋" w:cs="仿宋"/>
          <w:b w:val="0"/>
          <w:bCs w:val="0"/>
          <w:sz w:val="32"/>
          <w:szCs w:val="32"/>
        </w:rPr>
        <w:t>抚恤（项）:</w:t>
      </w:r>
      <w:r>
        <w:rPr>
          <w:rStyle w:val="18"/>
          <w:rFonts w:hint="eastAsia" w:ascii="仿宋" w:hAnsi="仿宋" w:eastAsia="仿宋" w:cs="仿宋"/>
          <w:bCs/>
          <w:sz w:val="32"/>
          <w:szCs w:val="32"/>
        </w:rPr>
        <w:t xml:space="preserve"> </w:t>
      </w:r>
      <w:r>
        <w:rPr>
          <w:rStyle w:val="18"/>
          <w:rFonts w:hint="eastAsia" w:ascii="仿宋" w:hAnsi="仿宋" w:eastAsia="仿宋" w:cs="Times New Roman"/>
          <w:b w:val="0"/>
          <w:bCs/>
          <w:color w:val="auto"/>
          <w:sz w:val="32"/>
          <w:szCs w:val="32"/>
          <w:highlight w:val="none"/>
        </w:rPr>
        <w:t>支出决算为</w:t>
      </w:r>
      <w:r>
        <w:rPr>
          <w:rStyle w:val="18"/>
          <w:rFonts w:hint="eastAsia" w:ascii="仿宋" w:hAnsi="仿宋" w:eastAsia="仿宋" w:cs="Times New Roman"/>
          <w:b w:val="0"/>
          <w:bCs/>
          <w:color w:val="auto"/>
          <w:sz w:val="32"/>
          <w:szCs w:val="32"/>
          <w:highlight w:val="none"/>
          <w:lang w:val="en-US" w:eastAsia="zh-CN"/>
        </w:rPr>
        <w:t>6.29</w:t>
      </w:r>
      <w:r>
        <w:rPr>
          <w:rStyle w:val="18"/>
          <w:rFonts w:hint="eastAsia" w:ascii="仿宋" w:hAnsi="仿宋" w:eastAsia="仿宋" w:cs="Times New Roman"/>
          <w:b w:val="0"/>
          <w:bCs/>
          <w:color w:val="auto"/>
          <w:sz w:val="32"/>
          <w:szCs w:val="32"/>
          <w:highlight w:val="none"/>
        </w:rPr>
        <w:t>万元，完成预算100%</w:t>
      </w:r>
      <w:r>
        <w:rPr>
          <w:rStyle w:val="18"/>
          <w:rFonts w:hint="eastAsia" w:ascii="仿宋" w:hAnsi="仿宋" w:eastAsia="仿宋" w:cs="Times New Roman"/>
          <w:b w:val="0"/>
          <w:bCs/>
          <w:color w:val="auto"/>
          <w:sz w:val="32"/>
          <w:szCs w:val="32"/>
          <w:highlight w:val="none"/>
          <w:lang w:eastAsia="zh-CN"/>
        </w:rPr>
        <w:t>，</w:t>
      </w:r>
      <w:r>
        <w:rPr>
          <w:rStyle w:val="18"/>
          <w:rFonts w:hint="default" w:ascii="仿宋" w:hAnsi="仿宋" w:eastAsia="仿宋" w:cs="Times New Roman"/>
          <w:b w:val="0"/>
          <w:bCs/>
          <w:color w:val="auto"/>
          <w:sz w:val="32"/>
          <w:szCs w:val="32"/>
          <w:highlight w:val="none"/>
        </w:rPr>
        <w:t>决算数与预算数持平</w:t>
      </w:r>
      <w:r>
        <w:rPr>
          <w:rStyle w:val="18"/>
          <w:rFonts w:hint="eastAsia" w:ascii="仿宋" w:hAnsi="仿宋" w:eastAsia="仿宋" w:cs="Times New Roman"/>
          <w:b w:val="0"/>
          <w:bCs/>
          <w:color w:val="auto"/>
          <w:sz w:val="32"/>
          <w:szCs w:val="32"/>
          <w:highlight w:val="none"/>
        </w:rPr>
        <w:t>。</w:t>
      </w:r>
    </w:p>
    <w:p w14:paraId="60015C29">
      <w:pPr>
        <w:spacing w:line="600" w:lineRule="exact"/>
        <w:ind w:firstLine="640" w:firstLineChars="200"/>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6.（1）卫生健康（类）卫生健康管理事务（款）其他卫生健康管理事务支出（项）:支出决算为0.14万元，完成预算100%，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308E70F4">
      <w:pPr>
        <w:spacing w:line="600" w:lineRule="exact"/>
        <w:ind w:firstLine="640" w:firstLineChars="200"/>
        <w:rPr>
          <w:rStyle w:val="18"/>
          <w:rFonts w:hint="default"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（2）卫生健康（类）公立医院（款）综合医院（项）:支出决算为1929.83万元，完成预算100%，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28C8D385">
      <w:pPr>
        <w:spacing w:line="600" w:lineRule="exact"/>
        <w:ind w:firstLine="640" w:firstLineChars="200"/>
        <w:rPr>
          <w:rStyle w:val="18"/>
          <w:rFonts w:hint="default"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（3）卫生健康（类）公立医院（款）其他公立医院支出（项）:支出决算为2038.05万元，完成预算100%，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44B478DF">
      <w:pPr>
        <w:pStyle w:val="7"/>
        <w:ind w:left="0" w:leftChars="0" w:firstLine="643"/>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（4）卫生健康（类）公共卫生（款）基本公共卫生服务（项）:支出决算为23.22万元，完成预算100%，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4A425E38">
      <w:pPr>
        <w:pStyle w:val="7"/>
        <w:ind w:left="0" w:leftChars="0" w:firstLine="643"/>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（5）卫生健康（类）公共卫生（款）重大公共卫生服务（项）:支出决算为13.97万元，完成预算100%，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7424E91E">
      <w:pPr>
        <w:pStyle w:val="7"/>
        <w:ind w:left="0" w:leftChars="0" w:firstLine="643"/>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（6）卫生健康（类）公共卫生（款）其他公共卫生支出（项）:支出决算为112.55万元，完成预算100%，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616025E7">
      <w:pPr>
        <w:pStyle w:val="7"/>
        <w:ind w:left="0" w:leftChars="0" w:firstLine="643"/>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（7）卫生健康（类）计划生育事务（款）其他计划生育事务支出（项）:支出决算为4.98万元，完成预算100%，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4661215F">
      <w:pPr>
        <w:pStyle w:val="7"/>
        <w:ind w:left="0" w:leftChars="0" w:firstLine="643"/>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（8）卫生健康（类）行政事业单位医疗（款）事业单位医疗（项）:支出决算为111.16万元，完成预算100%，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0DAD613F">
      <w:pPr>
        <w:pStyle w:val="7"/>
        <w:ind w:left="0" w:leftChars="0" w:firstLine="643"/>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（9）卫生健康（类）行政事业单位医疗（款）其他行政事业单位医疗支出（项）:支出决算为28.62万元，完成预算100%，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21135736">
      <w:pPr>
        <w:pStyle w:val="7"/>
        <w:ind w:left="0" w:leftChars="0" w:firstLine="643"/>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（10）卫生健康（类）其他卫生健康支出（款）其他卫生健康支出（项）:支出决算为415.13万元，完成预算100%，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6AA76F00">
      <w:pPr>
        <w:pStyle w:val="7"/>
        <w:ind w:left="0" w:leftChars="0" w:firstLine="643"/>
        <w:rPr>
          <w:rStyle w:val="18"/>
          <w:rFonts w:hint="eastAsia" w:ascii="仿宋" w:hAnsi="仿宋" w:eastAsia="仿宋" w:cs="仿宋"/>
          <w:b w:val="0"/>
          <w:bCs w:val="0"/>
          <w:kern w:val="2"/>
          <w:sz w:val="32"/>
          <w:szCs w:val="32"/>
          <w:lang w:val="en-US" w:eastAsia="zh-CN" w:bidi="ar-SA"/>
        </w:rPr>
      </w:pPr>
      <w:r>
        <w:rPr>
          <w:rStyle w:val="18"/>
          <w:rFonts w:hint="eastAsia" w:ascii="仿宋" w:hAnsi="仿宋" w:eastAsia="仿宋" w:cs="仿宋"/>
          <w:b w:val="0"/>
          <w:bCs w:val="0"/>
          <w:kern w:val="2"/>
          <w:sz w:val="32"/>
          <w:szCs w:val="32"/>
          <w:lang w:val="en-US" w:eastAsia="zh-CN" w:bidi="ar-SA"/>
        </w:rPr>
        <w:t>7.住房保障支出（类）住房改革支出（款）住房公积金（项）:支出决算为204.35万元，完成预算100%，</w:t>
      </w:r>
      <w:r>
        <w:rPr>
          <w:rStyle w:val="18"/>
          <w:rFonts w:hint="default" w:ascii="仿宋" w:hAnsi="仿宋" w:eastAsia="仿宋" w:cs="仿宋"/>
          <w:b w:val="0"/>
          <w:bCs w:val="0"/>
          <w:kern w:val="2"/>
          <w:sz w:val="32"/>
          <w:szCs w:val="32"/>
          <w:lang w:val="en-US" w:eastAsia="zh-CN" w:bidi="ar-SA"/>
        </w:rPr>
        <w:t>决算数与预算数持平</w:t>
      </w:r>
      <w:r>
        <w:rPr>
          <w:rStyle w:val="18"/>
          <w:rFonts w:hint="eastAsia" w:ascii="仿宋" w:hAnsi="仿宋" w:eastAsia="仿宋" w:cs="仿宋"/>
          <w:b w:val="0"/>
          <w:bCs w:val="0"/>
          <w:kern w:val="2"/>
          <w:sz w:val="32"/>
          <w:szCs w:val="32"/>
          <w:lang w:val="en-US" w:eastAsia="zh-CN" w:bidi="ar-SA"/>
        </w:rPr>
        <w:t>。</w:t>
      </w:r>
    </w:p>
    <w:p w14:paraId="3F585653">
      <w:pPr>
        <w:tabs>
          <w:tab w:val="right" w:pos="8306"/>
        </w:tabs>
        <w:spacing w:line="600" w:lineRule="exact"/>
        <w:ind w:firstLine="640"/>
        <w:outlineLvl w:val="1"/>
        <w:rPr>
          <w:rStyle w:val="30"/>
          <w:rFonts w:ascii="Times New Roman" w:hAnsi="Times New Roman"/>
          <w:color w:val="auto"/>
          <w:highlight w:val="none"/>
        </w:rPr>
      </w:pPr>
      <w:bookmarkStart w:id="50" w:name="_Toc15396608"/>
      <w:bookmarkStart w:id="51" w:name="_Toc15377214"/>
      <w:bookmarkStart w:id="52" w:name="_Toc1463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0"/>
      <w:bookmarkEnd w:id="51"/>
      <w:bookmarkEnd w:id="52"/>
      <w:r>
        <w:rPr>
          <w:rStyle w:val="30"/>
          <w:rFonts w:ascii="Times New Roman" w:hAnsi="Times New Roman" w:eastAsia="黑体"/>
          <w:b w:val="0"/>
          <w:color w:val="auto"/>
          <w:highlight w:val="none"/>
        </w:rPr>
        <w:tab/>
      </w:r>
    </w:p>
    <w:p w14:paraId="5D6FD3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2673.03</w:t>
      </w:r>
      <w:r>
        <w:rPr>
          <w:rFonts w:hint="eastAsia" w:ascii="Times New Roman" w:hAnsi="Times New Roman" w:eastAsia="仿宋_GB2312" w:cs="仿宋_GB2312"/>
          <w:color w:val="auto"/>
          <w:kern w:val="2"/>
          <w:sz w:val="32"/>
          <w:szCs w:val="32"/>
          <w:highlight w:val="none"/>
          <w:lang w:val="en-US" w:eastAsia="zh-CN" w:bidi="ar-SA"/>
        </w:rPr>
        <w:t>万元，其中：</w:t>
      </w:r>
    </w:p>
    <w:p w14:paraId="3A2FD1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2650.10</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492.52万元</w:t>
      </w:r>
      <w:r>
        <w:rPr>
          <w:rFonts w:hint="eastAsia" w:ascii="Times New Roman" w:hAnsi="Times New Roman" w:eastAsia="仿宋_GB2312" w:cs="仿宋_GB2312"/>
          <w:color w:val="auto"/>
          <w:kern w:val="2"/>
          <w:sz w:val="32"/>
          <w:szCs w:val="32"/>
          <w:highlight w:val="none"/>
          <w:lang w:val="en-US" w:eastAsia="zh-CN" w:bidi="ar-SA"/>
        </w:rPr>
        <w:t>、津贴补贴376.17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、奖金542.54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、伙食补助费、绩效工资324.04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、机关事业单位基本养老保险缴费261.85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、职业年金缴费130.93</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szCs w:val="32"/>
        </w:rPr>
        <w:t>职工基本医疗保险缴费111.16</w:t>
      </w:r>
      <w:r>
        <w:rPr>
          <w:rFonts w:hint="eastAsia" w:ascii="仿宋_GB2312" w:hAnsi="仿宋_GB2312" w:eastAsia="仿宋_GB2312" w:cs="仿宋_GB2312"/>
          <w:color w:val="000000"/>
          <w:sz w:val="32"/>
          <w:szCs w:val="32"/>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其他社会保障缴费41.32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、其他工资福利支出7.18</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、离休费、退休费、抚恤金</w:t>
      </w:r>
      <w:r>
        <w:rPr>
          <w:rFonts w:hint="eastAsia" w:eastAsia="仿宋_GB2312" w:cs="仿宋_GB2312"/>
          <w:color w:val="auto"/>
          <w:kern w:val="2"/>
          <w:sz w:val="32"/>
          <w:szCs w:val="32"/>
          <w:highlight w:val="none"/>
          <w:lang w:val="en-US" w:eastAsia="zh-CN" w:bidi="ar-SA"/>
        </w:rPr>
        <w:t>6.29万元</w:t>
      </w:r>
      <w:r>
        <w:rPr>
          <w:rFonts w:hint="eastAsia" w:ascii="Times New Roman" w:hAnsi="Times New Roman" w:eastAsia="仿宋_GB2312" w:cs="仿宋_GB2312"/>
          <w:color w:val="auto"/>
          <w:kern w:val="2"/>
          <w:sz w:val="32"/>
          <w:szCs w:val="32"/>
          <w:highlight w:val="none"/>
          <w:lang w:val="en-US" w:eastAsia="zh-CN" w:bidi="ar-SA"/>
        </w:rPr>
        <w:t>、生活补助131.75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、医疗费补助19.96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、奖励金</w:t>
      </w:r>
      <w:r>
        <w:rPr>
          <w:rFonts w:hint="eastAsia" w:eastAsia="仿宋_GB2312" w:cs="仿宋_GB2312"/>
          <w:color w:val="auto"/>
          <w:kern w:val="2"/>
          <w:sz w:val="32"/>
          <w:szCs w:val="32"/>
          <w:highlight w:val="none"/>
          <w:lang w:val="en-US" w:eastAsia="zh-CN" w:bidi="ar-SA"/>
        </w:rPr>
        <w:t>0.02</w:t>
      </w:r>
      <w:r>
        <w:rPr>
          <w:rFonts w:hint="eastAsia" w:ascii="Times New Roman" w:hAnsi="Times New Roman" w:eastAsia="仿宋_GB2312" w:cs="仿宋_GB2312"/>
          <w:color w:val="auto"/>
          <w:kern w:val="2"/>
          <w:sz w:val="32"/>
          <w:szCs w:val="32"/>
          <w:highlight w:val="none"/>
          <w:lang w:val="en-US" w:eastAsia="zh-CN" w:bidi="ar-SA"/>
        </w:rPr>
        <w:t>、住房公积金204.35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22.93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w:t>
      </w:r>
      <w:r>
        <w:rPr>
          <w:rFonts w:hint="eastAsia" w:eastAsia="仿宋_GB2312" w:cs="仿宋_GB2312"/>
          <w:color w:val="auto"/>
          <w:kern w:val="2"/>
          <w:sz w:val="32"/>
          <w:szCs w:val="32"/>
          <w:highlight w:val="none"/>
          <w:lang w:val="en-US" w:eastAsia="zh-CN" w:bidi="ar-SA"/>
        </w:rPr>
        <w:t>22.93万元</w:t>
      </w:r>
      <w:r>
        <w:rPr>
          <w:rFonts w:hint="eastAsia" w:ascii="Times New Roman" w:hAnsi="Times New Roman" w:eastAsia="仿宋_GB2312" w:cs="仿宋_GB2312"/>
          <w:color w:val="auto"/>
          <w:kern w:val="2"/>
          <w:sz w:val="32"/>
          <w:szCs w:val="32"/>
          <w:highlight w:val="none"/>
          <w:lang w:val="en-US" w:eastAsia="zh-CN" w:bidi="ar-SA"/>
        </w:rPr>
        <w:t>、办公设备购置、专用设备购置、信息网络及软件购置更新、其他资本性支出等。</w:t>
      </w:r>
    </w:p>
    <w:p w14:paraId="3CCD1646">
      <w:pPr>
        <w:spacing w:line="600" w:lineRule="exact"/>
        <w:ind w:firstLine="640"/>
        <w:outlineLvl w:val="1"/>
        <w:rPr>
          <w:rStyle w:val="30"/>
          <w:rFonts w:ascii="Times New Roman" w:hAnsi="Times New Roman" w:eastAsia="黑体"/>
          <w:b w:val="0"/>
          <w:color w:val="auto"/>
          <w:highlight w:val="none"/>
        </w:rPr>
      </w:pPr>
      <w:bookmarkStart w:id="53" w:name="_Toc15377215"/>
      <w:bookmarkStart w:id="54" w:name="_Toc15396609"/>
      <w:bookmarkStart w:id="55" w:name="_Toc13882"/>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3"/>
      <w:bookmarkEnd w:id="54"/>
      <w:bookmarkEnd w:id="55"/>
    </w:p>
    <w:p w14:paraId="341E187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6"/>
    </w:p>
    <w:p w14:paraId="77EE9232">
      <w:pPr>
        <w:spacing w:line="360" w:lineRule="auto"/>
        <w:ind w:firstLine="640" w:firstLineChars="200"/>
        <w:rPr>
          <w:rFonts w:hint="eastAsia" w:ascii="仿宋" w:hAnsi="仿宋" w:eastAsia="仿宋" w:cs="Times New Roman"/>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Times New Roman"/>
          <w:color w:val="auto"/>
          <w:sz w:val="32"/>
          <w:szCs w:val="32"/>
          <w:highlight w:val="none"/>
          <w:lang w:eastAsia="zh-CN"/>
        </w:rPr>
        <w:t>较上年度</w:t>
      </w:r>
      <w:r>
        <w:rPr>
          <w:rFonts w:hint="eastAsia" w:ascii="仿宋" w:hAnsi="仿宋" w:eastAsia="仿宋" w:cs="Times New Roman"/>
          <w:color w:val="auto"/>
          <w:sz w:val="32"/>
          <w:szCs w:val="32"/>
          <w:highlight w:val="none"/>
          <w:lang w:val="en-US" w:eastAsia="zh-CN"/>
        </w:rPr>
        <w:t>持平，</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无“三公”经费。</w:t>
      </w:r>
    </w:p>
    <w:p w14:paraId="0C8D6E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7"/>
    </w:p>
    <w:p w14:paraId="138CF7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2025年度“三公”经费财政拨款支出决算中，因公出国（境）费支出决算0万元，占0%；公务用车购置及运行维护费支出决算0万元，占0%；公务接待费支出决算0万元，占0%。具体情况如下：</w:t>
      </w:r>
    </w:p>
    <w:p w14:paraId="309DB7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14:paraId="150DBD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48831E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、其他车辆1辆</w:t>
      </w:r>
      <w:r>
        <w:rPr>
          <w:rFonts w:hint="eastAsia" w:ascii="Times New Roman" w:hAnsi="Times New Roman" w:eastAsia="仿宋_GB2312" w:cs="仿宋_GB2312"/>
          <w:color w:val="auto"/>
          <w:kern w:val="2"/>
          <w:sz w:val="32"/>
          <w:szCs w:val="32"/>
          <w:highlight w:val="none"/>
          <w:lang w:val="en-US" w:eastAsia="zh-CN" w:bidi="ar-SA"/>
        </w:rPr>
        <w:t>。</w:t>
      </w:r>
    </w:p>
    <w:p w14:paraId="7FF8A2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0077A5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11A457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费</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06F42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73D48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8" w:name="_Toc15396610"/>
      <w:bookmarkStart w:id="59" w:name="_Toc15377218"/>
    </w:p>
    <w:p w14:paraId="6E4B549D">
      <w:pPr>
        <w:spacing w:line="600" w:lineRule="exact"/>
        <w:ind w:firstLine="640"/>
        <w:outlineLvl w:val="1"/>
        <w:rPr>
          <w:rStyle w:val="30"/>
          <w:rFonts w:ascii="Times New Roman" w:hAnsi="Times New Roman" w:eastAsia="黑体"/>
          <w:color w:val="auto"/>
          <w:highlight w:val="none"/>
        </w:rPr>
      </w:pPr>
      <w:bookmarkStart w:id="60" w:name="_Toc16266"/>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8"/>
      <w:bookmarkEnd w:id="59"/>
      <w:bookmarkEnd w:id="60"/>
    </w:p>
    <w:p w14:paraId="0FE8A9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932.44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12.28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2135.12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69.60</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lang w:val="en-US" w:eastAsia="zh-CN"/>
        </w:rPr>
        <w:t>2025年</w:t>
      </w:r>
      <w:r>
        <w:rPr>
          <w:rFonts w:hint="eastAsia" w:ascii="仿宋" w:hAnsi="仿宋" w:eastAsia="仿宋"/>
          <w:color w:val="auto"/>
          <w:sz w:val="32"/>
          <w:szCs w:val="32"/>
          <w:highlight w:val="none"/>
          <w:lang w:val="en-US" w:eastAsia="zh-CN"/>
        </w:rPr>
        <w:t>其他地方自行试点项目收益专项债券收入安排的支出减少。</w:t>
      </w:r>
    </w:p>
    <w:p w14:paraId="268A2004">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61" w:name="_Toc15396611"/>
      <w:bookmarkStart w:id="62" w:name="_Toc27245"/>
      <w:bookmarkStart w:id="63"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61"/>
      <w:bookmarkEnd w:id="62"/>
      <w:bookmarkEnd w:id="63"/>
    </w:p>
    <w:p w14:paraId="480E04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3B2B03B">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64" w:name="_Toc15377221"/>
      <w:bookmarkStart w:id="65" w:name="_Toc31931"/>
      <w:bookmarkStart w:id="66"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64"/>
      <w:bookmarkEnd w:id="65"/>
      <w:bookmarkEnd w:id="66"/>
    </w:p>
    <w:p w14:paraId="615B26C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15377222"/>
      <w:r>
        <w:rPr>
          <w:rFonts w:hint="eastAsia" w:ascii="Times New Roman" w:hAnsi="Times New Roman" w:eastAsia="楷体_GB2312" w:cs="楷体_GB2312"/>
          <w:b/>
          <w:color w:val="auto"/>
          <w:sz w:val="32"/>
          <w:szCs w:val="32"/>
          <w:highlight w:val="none"/>
        </w:rPr>
        <w:t>（一）机关运行经费支出情况</w:t>
      </w:r>
      <w:bookmarkEnd w:id="67"/>
    </w:p>
    <w:p w14:paraId="724D8C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2025年度，壤塘县人民医院机关运行经费支出0万元，与2024年度决算数持平。主要原因：无机关运行经费支出。</w:t>
      </w:r>
    </w:p>
    <w:p w14:paraId="652BACE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23"/>
      <w:r>
        <w:rPr>
          <w:rFonts w:hint="eastAsia" w:ascii="Times New Roman" w:hAnsi="Times New Roman" w:eastAsia="楷体_GB2312" w:cs="楷体_GB2312"/>
          <w:b/>
          <w:color w:val="auto"/>
          <w:sz w:val="32"/>
          <w:szCs w:val="32"/>
          <w:highlight w:val="none"/>
        </w:rPr>
        <w:t>（二）政府采购支出情况</w:t>
      </w:r>
      <w:bookmarkEnd w:id="68"/>
    </w:p>
    <w:p w14:paraId="01D128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壤塘县人民医院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2026.66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840.85</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1185.81</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医疗设备采购及维护、安防监控、信息化建设</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1083.96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53.49%</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1083.96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53.49</w:t>
      </w:r>
      <w:r>
        <w:rPr>
          <w:rFonts w:hint="eastAsia" w:ascii="Times New Roman" w:hAnsi="Times New Roman" w:eastAsia="仿宋_GB2312" w:cs="仿宋_GB2312"/>
          <w:color w:val="auto"/>
          <w:kern w:val="2"/>
          <w:sz w:val="32"/>
          <w:szCs w:val="32"/>
          <w:highlight w:val="none"/>
          <w:lang w:val="en-US" w:eastAsia="zh-CN" w:bidi="ar-SA"/>
        </w:rPr>
        <w:t>%。</w:t>
      </w:r>
    </w:p>
    <w:p w14:paraId="7CA7CC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B67FB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24"/>
      <w:r>
        <w:rPr>
          <w:rFonts w:hint="eastAsia" w:ascii="Times New Roman" w:hAnsi="Times New Roman" w:eastAsia="楷体_GB2312" w:cs="楷体_GB2312"/>
          <w:b/>
          <w:color w:val="auto"/>
          <w:sz w:val="32"/>
          <w:szCs w:val="32"/>
          <w:highlight w:val="none"/>
        </w:rPr>
        <w:t>（三）国有资产占有使用情况</w:t>
      </w:r>
      <w:bookmarkEnd w:id="69"/>
    </w:p>
    <w:p w14:paraId="724AF6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壤塘县人民医院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 w:hAnsi="仿宋" w:eastAsia="仿宋" w:cs="Times New Roman"/>
          <w:color w:val="auto"/>
          <w:kern w:val="2"/>
          <w:sz w:val="32"/>
          <w:szCs w:val="32"/>
          <w:highlight w:val="none"/>
          <w:lang w:val="en-US" w:eastAsia="zh-CN" w:bidi="ar-SA"/>
        </w:rPr>
        <w:t>主要是用于救护急救病人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台（套）。</w:t>
      </w:r>
    </w:p>
    <w:p w14:paraId="5757AC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514676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3F0E1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壤塘县人民医院</w:t>
      </w:r>
      <w:r>
        <w:rPr>
          <w:rFonts w:hint="eastAsia" w:ascii="Times New Roman" w:hAnsi="Times New Roman" w:eastAsia="仿宋_GB2312" w:cs="仿宋_GB2312"/>
          <w:color w:val="auto"/>
          <w:kern w:val="2"/>
          <w:sz w:val="32"/>
          <w:szCs w:val="32"/>
          <w:highlight w:val="none"/>
          <w:lang w:val="en-US" w:eastAsia="zh-CN" w:bidi="ar-SA"/>
        </w:rPr>
        <w:t>在2025年度，组织对2025 年医疗服务与保障能力提升补助资金（高海拔地区医疗服</w:t>
      </w:r>
      <w:r>
        <w:rPr>
          <w:rFonts w:hint="eastAsia" w:eastAsia="仿宋_GB2312" w:cs="仿宋_GB2312"/>
          <w:color w:val="auto"/>
          <w:kern w:val="2"/>
          <w:sz w:val="32"/>
          <w:szCs w:val="32"/>
          <w:highlight w:val="none"/>
          <w:lang w:val="en-US" w:eastAsia="zh-CN" w:bidi="ar-SA"/>
        </w:rPr>
        <w:t>务</w:t>
      </w:r>
      <w:r>
        <w:rPr>
          <w:rFonts w:hint="eastAsia" w:ascii="Times New Roman" w:hAnsi="Times New Roman" w:eastAsia="仿宋_GB2312" w:cs="仿宋_GB2312"/>
          <w:color w:val="auto"/>
          <w:kern w:val="2"/>
          <w:sz w:val="32"/>
          <w:szCs w:val="32"/>
          <w:highlight w:val="none"/>
          <w:lang w:val="en-US" w:eastAsia="zh-CN" w:bidi="ar-SA"/>
        </w:rPr>
        <w:t>能力建设）</w:t>
      </w:r>
      <w:r>
        <w:rPr>
          <w:rFonts w:hint="eastAsia" w:eastAsia="仿宋_GB2312" w:cs="仿宋_GB2312"/>
          <w:color w:val="auto"/>
          <w:kern w:val="2"/>
          <w:sz w:val="32"/>
          <w:szCs w:val="32"/>
          <w:highlight w:val="none"/>
          <w:lang w:val="en-US" w:eastAsia="zh-CN" w:bidi="ar-SA"/>
        </w:rPr>
        <w:t>项目、2025年公立医院综合改革中央补助项目、2025年县域医疗卫生机构能力建设项目等</w:t>
      </w:r>
      <w:r>
        <w:rPr>
          <w:rFonts w:hint="eastAsia" w:ascii="Times New Roman" w:hAnsi="Times New Roman" w:eastAsia="仿宋_GB2312" w:cs="仿宋_GB2312"/>
          <w:color w:val="auto"/>
          <w:kern w:val="2"/>
          <w:sz w:val="32"/>
          <w:szCs w:val="32"/>
          <w:highlight w:val="none"/>
          <w:lang w:val="en-US" w:eastAsia="zh-CN" w:bidi="ar-SA"/>
        </w:rPr>
        <w:t>开展了事前绩效评估，对</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A361B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组织对2025年度一般公共预算、政府性基金预算等全面开展绩效自评，形成2025 年医疗服务与保障能力提升补助资金（高海拔地区医疗服</w:t>
      </w:r>
      <w:r>
        <w:rPr>
          <w:rFonts w:hint="eastAsia" w:eastAsia="仿宋_GB2312" w:cs="仿宋_GB2312"/>
          <w:color w:val="auto"/>
          <w:kern w:val="2"/>
          <w:sz w:val="32"/>
          <w:szCs w:val="32"/>
          <w:highlight w:val="none"/>
          <w:lang w:val="en-US" w:eastAsia="zh-CN" w:bidi="ar-SA"/>
        </w:rPr>
        <w:t>务</w:t>
      </w:r>
      <w:r>
        <w:rPr>
          <w:rFonts w:hint="eastAsia" w:ascii="Times New Roman" w:hAnsi="Times New Roman" w:eastAsia="仿宋_GB2312" w:cs="仿宋_GB2312"/>
          <w:color w:val="auto"/>
          <w:kern w:val="2"/>
          <w:sz w:val="32"/>
          <w:szCs w:val="32"/>
          <w:highlight w:val="none"/>
          <w:lang w:val="en-US" w:eastAsia="zh-CN" w:bidi="ar-SA"/>
        </w:rPr>
        <w:t>能力建设）项目绩效自评报告，其中，2025 年医疗服务与保障能力提升补助资金（高海拔地区医疗服</w:t>
      </w:r>
      <w:r>
        <w:rPr>
          <w:rFonts w:hint="eastAsia" w:eastAsia="仿宋_GB2312" w:cs="仿宋_GB2312"/>
          <w:color w:val="auto"/>
          <w:kern w:val="2"/>
          <w:sz w:val="32"/>
          <w:szCs w:val="32"/>
          <w:highlight w:val="none"/>
          <w:lang w:val="en-US" w:eastAsia="zh-CN" w:bidi="ar-SA"/>
        </w:rPr>
        <w:t>务</w:t>
      </w:r>
      <w:r>
        <w:rPr>
          <w:rFonts w:hint="eastAsia" w:ascii="Times New Roman" w:hAnsi="Times New Roman" w:eastAsia="仿宋_GB2312" w:cs="仿宋_GB2312"/>
          <w:color w:val="auto"/>
          <w:kern w:val="2"/>
          <w:sz w:val="32"/>
          <w:szCs w:val="32"/>
          <w:highlight w:val="none"/>
          <w:lang w:val="en-US" w:eastAsia="zh-CN" w:bidi="ar-SA"/>
        </w:rPr>
        <w:t>能力建设）项目绩效自评得分为94分，项目各项绩效目标整体落实情况良好，专项经费严格执行专项资金管理办法与项目实施方案开展收支管理，基本实现项目建设预期成效。</w:t>
      </w:r>
    </w:p>
    <w:p w14:paraId="058E94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954664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0" w:name="_Toc15377225"/>
      <w:bookmarkStart w:id="71" w:name="_Toc5791"/>
      <w:bookmarkStart w:id="7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0"/>
      <w:bookmarkEnd w:id="71"/>
      <w:bookmarkEnd w:id="72"/>
    </w:p>
    <w:p w14:paraId="607E3A58">
      <w:pPr>
        <w:spacing w:line="600" w:lineRule="exact"/>
        <w:jc w:val="left"/>
        <w:rPr>
          <w:rFonts w:ascii="Times New Roman" w:hAnsi="Times New Roman"/>
          <w:b/>
          <w:color w:val="auto"/>
          <w:sz w:val="44"/>
          <w:szCs w:val="44"/>
          <w:highlight w:val="none"/>
        </w:rPr>
      </w:pPr>
    </w:p>
    <w:p w14:paraId="59027D99">
      <w:pPr>
        <w:pStyle w:val="27"/>
        <w:spacing w:line="560" w:lineRule="exact"/>
        <w:ind w:firstLine="640" w:firstLineChars="200"/>
        <w:outlineLvl w:val="1"/>
        <w:rPr>
          <w:rFonts w:hint="eastAsia" w:ascii="仿宋" w:hAnsi="仿宋" w:eastAsia="仿宋" w:cs="Times New Roman"/>
          <w:color w:val="auto"/>
          <w:kern w:val="2"/>
          <w:sz w:val="32"/>
          <w:szCs w:val="32"/>
          <w:highlight w:val="none"/>
          <w:lang w:val="en-US" w:eastAsia="zh-CN" w:bidi="ar-SA"/>
        </w:rPr>
      </w:pPr>
      <w:bookmarkStart w:id="73" w:name="_Toc30711"/>
      <w:bookmarkStart w:id="74" w:name="_Toc8936"/>
      <w:bookmarkStart w:id="75" w:name="_Toc19735"/>
      <w:bookmarkStart w:id="76" w:name="_Toc30386"/>
      <w:bookmarkStart w:id="77" w:name="_Toc27803"/>
      <w:bookmarkStart w:id="78" w:name="_Toc2440"/>
      <w:bookmarkStart w:id="79" w:name="_Toc31103"/>
      <w:bookmarkStart w:id="80" w:name="_Toc8507"/>
      <w:bookmarkStart w:id="81" w:name="_Toc15377226"/>
      <w:r>
        <w:rPr>
          <w:rFonts w:hint="eastAsia" w:ascii="仿宋" w:hAnsi="仿宋" w:eastAsia="仿宋" w:cs="Times New Roman"/>
          <w:color w:val="auto"/>
          <w:kern w:val="2"/>
          <w:sz w:val="32"/>
          <w:szCs w:val="32"/>
          <w:highlight w:val="none"/>
          <w:lang w:val="en-US" w:eastAsia="zh-CN" w:bidi="ar-SA"/>
        </w:rPr>
        <w:t>1.财政拨款收入：指单位从同级财政部门取得的财政预算资金。</w:t>
      </w:r>
      <w:bookmarkEnd w:id="73"/>
      <w:bookmarkEnd w:id="74"/>
      <w:bookmarkEnd w:id="75"/>
      <w:bookmarkEnd w:id="76"/>
      <w:bookmarkEnd w:id="77"/>
      <w:bookmarkEnd w:id="78"/>
      <w:bookmarkEnd w:id="79"/>
      <w:bookmarkEnd w:id="80"/>
    </w:p>
    <w:p w14:paraId="596B37F2">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2.事业收入：指事业单位开展专业业务活动及辅助活动取得的收入。如我院的医疗性收入等。</w:t>
      </w:r>
    </w:p>
    <w:p w14:paraId="60B7503E">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3.经营收入：指事业单位在专业业务活动及其辅助活动之外开展非独立核算经营活动取得的收入。</w:t>
      </w:r>
    </w:p>
    <w:p w14:paraId="7A3E4EF2">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4.其他收入：指单位取得的除上述收入以外的各项收入。</w:t>
      </w:r>
    </w:p>
    <w:p w14:paraId="23BACF4E">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 xml:space="preserve">5.使用非财政拨款结余：指事业单位使用以前年度积累的非财政拨款结余弥补当年收支差额的金额。 </w:t>
      </w:r>
    </w:p>
    <w:p w14:paraId="2481EC27">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 xml:space="preserve">6.年初结转和结余：指以前年度尚未完成、结转到本年按有关规定继续使用的资金。 </w:t>
      </w:r>
    </w:p>
    <w:p w14:paraId="66EE1CA4">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14:paraId="1E925D46">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8.年末结转和结余：指单位按有关规定结转到下年或以后年度继续使用的资金。</w:t>
      </w:r>
    </w:p>
    <w:p w14:paraId="5BCEC296">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9.（1）社会保障和就业（类）行政事业单位养老支出（款）机关事业单位基本养老保险缴费支出（项）（2080505）：指机关事业单位实施养老保险制度由单位缴纳的基本养老保险费支出。</w:t>
      </w:r>
    </w:p>
    <w:p w14:paraId="3AD80BA4">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（2）社会保障和就业（类）行政事业单位养老支出（款）机关事业单位职业年金缴费支出（项）（2080506）：指机关事业单位实施养老保险制度由单位实际缴纳的职业年金支出。</w:t>
      </w:r>
    </w:p>
    <w:p w14:paraId="636D3098">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10.（1）卫生健康（类）公立医院（款）综合医院（项）（2100201）：指县医院的综合支出。</w:t>
      </w:r>
    </w:p>
    <w:p w14:paraId="2BB601EF">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（2）卫生健康（类）公立医院（款）其他公立医院支出（项）（2100299）：指其他用于公立医院方面的支出。</w:t>
      </w:r>
    </w:p>
    <w:p w14:paraId="12A352D1">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（3）卫生健康（类）公共卫生（款）基本公共卫生服务（项）（2100408）：指基本公共卫生服务支出。</w:t>
      </w:r>
    </w:p>
    <w:p w14:paraId="5B917192">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（4）卫生健康（类）公共卫生（款）重大公共卫生服务（项）（2100409）：指重大疾病、重大传染病预防控制等重大公共卫生服务项目支出。</w:t>
      </w:r>
    </w:p>
    <w:p w14:paraId="723AA567">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（5）卫生健康（类）公共卫生（款）其他公共卫生支出（项）（2100499）：指其他用于公共卫生方面的支出。</w:t>
      </w:r>
    </w:p>
    <w:p w14:paraId="70BE0EA1">
      <w:pPr>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6）卫生健康（类）行政事业单位医疗（款）事业单位医疗（项）（2101102）：指财政部门安排的事业单位基本医疗保险缴费经费，未参加医疗保险的事业单位的公费医疗经费，按国家规定享受离退休人员待遇的医疗经费。</w:t>
      </w:r>
    </w:p>
    <w:p w14:paraId="283D9B86">
      <w:pPr>
        <w:pStyle w:val="27"/>
        <w:spacing w:line="560" w:lineRule="exact"/>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 xml:space="preserve">    （7）卫生健康（类）行政事业单位医疗（款）其他行政事业单位医疗支出（项）（2101199）：指其他用于行政事业单位医疗方面的支出。</w:t>
      </w:r>
    </w:p>
    <w:p w14:paraId="387AB914">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（8）卫生健康（类）其他卫生健康支出（款）其他卫生健康支出（项）（2109999）：指其他用于卫生健康方面的支出。</w:t>
      </w:r>
    </w:p>
    <w:p w14:paraId="1DB8E17D">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11.住房保障（类）住房改革支出（款）住房公积金（项）（2210201）：指行政事业单位按人力资源和社会保障部、财政部规定的基本工资和津贴补贴以及</w:t>
      </w:r>
      <w:r>
        <w:rPr>
          <w:rFonts w:hint="eastAsia" w:hAnsi="仿宋" w:cs="Times New Roman"/>
          <w:color w:val="auto"/>
          <w:kern w:val="2"/>
          <w:sz w:val="32"/>
          <w:szCs w:val="32"/>
          <w:highlight w:val="none"/>
          <w:lang w:val="en-US" w:eastAsia="zh-CN" w:bidi="ar-SA"/>
        </w:rPr>
        <w:t>按</w:t>
      </w:r>
      <w:r>
        <w:rPr>
          <w:rFonts w:hint="eastAsia" w:ascii="仿宋" w:hAnsi="仿宋" w:eastAsia="仿宋" w:cs="Times New Roman"/>
          <w:color w:val="auto"/>
          <w:kern w:val="2"/>
          <w:sz w:val="32"/>
          <w:szCs w:val="32"/>
          <w:highlight w:val="none"/>
          <w:lang w:val="en-US" w:eastAsia="zh-CN" w:bidi="ar-SA"/>
        </w:rPr>
        <w:t>规定比例为职工缴纳的住房公积金。</w:t>
      </w:r>
    </w:p>
    <w:p w14:paraId="63E48E4F">
      <w:pPr>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12.基本支出：指为保障机构正常运转、完成日常工作任务而发生的人员支出和公用支出。</w:t>
      </w:r>
    </w:p>
    <w:p w14:paraId="45F93C48">
      <w:pPr>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 xml:space="preserve">13.项目支出：指在基本支出之外为完成特定行政任务和事业发展目标所发生的支出。 </w:t>
      </w:r>
    </w:p>
    <w:p w14:paraId="4E521B10">
      <w:pPr>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14.经营支出：指事业单位在专业业务活动及其辅助活动之外开展非独立核算经营活动发生的支出。</w:t>
      </w:r>
    </w:p>
    <w:p w14:paraId="26901703">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15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73F5526">
      <w:pPr>
        <w:pStyle w:val="27"/>
        <w:spacing w:line="560" w:lineRule="exact"/>
        <w:ind w:firstLine="640" w:firstLineChars="200"/>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331078">
      <w:pPr>
        <w:numPr>
          <w:ilvl w:val="0"/>
          <w:numId w:val="0"/>
        </w:numPr>
        <w:spacing w:line="600" w:lineRule="exact"/>
        <w:jc w:val="center"/>
        <w:outlineLvl w:val="0"/>
        <w:rPr>
          <w:rFonts w:hint="eastAsia" w:ascii="Times New Roman" w:hAnsi="Times New Roman" w:eastAsia="黑体"/>
          <w:color w:val="auto"/>
          <w:sz w:val="44"/>
          <w:szCs w:val="44"/>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82" w:name="_Toc5737"/>
      <w:bookmarkStart w:id="83"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2"/>
      <w:bookmarkEnd w:id="83"/>
    </w:p>
    <w:p w14:paraId="54E32BD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2F5F392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84" w:name="_Toc10617"/>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84"/>
    </w:p>
    <w:p w14:paraId="23F2767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7AD735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4596399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黑体" w:cs="Times New Roman"/>
          <w:color w:val="000000"/>
          <w:kern w:val="0"/>
          <w:sz w:val="32"/>
          <w:szCs w:val="32"/>
          <w:highlight w:val="none"/>
          <w:shd w:val="clear" w:color="auto" w:fill="FFFFFF"/>
          <w:lang w:val="zh-CN"/>
        </w:rPr>
      </w:pPr>
    </w:p>
    <w:p w14:paraId="4A74E15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7230569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0A22E51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壤塘县人民医院，机构性质：财政全额拨款事业单位，机构地址：壤塘县罗吾塘中街180号，负责人：肖强</w:t>
      </w:r>
    </w:p>
    <w:p w14:paraId="0F68C7E7">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14:paraId="0AE3DF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1、贯彻落实党中央、国务院及省、州、县医药卫生领域路线方针政策与法律法规，依托现代医学技术开展疾病预防、健康保健、临床诊断、诊疗救治、康复护理等医疗卫生服务。</w:t>
      </w:r>
    </w:p>
    <w:p w14:paraId="5F1D01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2、在上级主管部门统筹指导下，开展重大疾病、流行病、传染病防控与突发公共卫生事件应急处置，配合相关部门落实防控干预措施，依规上报传染病疫情信息。</w:t>
      </w:r>
    </w:p>
    <w:p w14:paraId="301E3F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3、参与县域及周边区域应急救援、医疗救灾相关工作。</w:t>
      </w:r>
    </w:p>
    <w:p w14:paraId="720953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4、承担全县基层乡村医务人员业务培训、技术指导工作。</w:t>
      </w:r>
    </w:p>
    <w:p w14:paraId="468A7C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5" w:name="_Toc2085"/>
      <w:bookmarkStart w:id="86" w:name="_Toc17298"/>
      <w:r>
        <w:rPr>
          <w:rFonts w:hint="eastAsia" w:ascii="Times New Roman" w:hAnsi="Times New Roman" w:eastAsia="仿宋_GB2312" w:cs="仿宋_GB2312"/>
          <w:color w:val="auto"/>
          <w:kern w:val="2"/>
          <w:sz w:val="32"/>
          <w:szCs w:val="32"/>
          <w:highlight w:val="none"/>
          <w:lang w:val="en-US" w:eastAsia="zh-CN" w:bidi="ar-SA"/>
        </w:rPr>
        <w:t>5、完成上级主管部门交办的其他工作任务。</w:t>
      </w:r>
      <w:bookmarkEnd w:id="85"/>
      <w:bookmarkEnd w:id="86"/>
    </w:p>
    <w:p w14:paraId="23E6975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79503C6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2025年末，人员编制</w:t>
      </w:r>
      <w:r>
        <w:rPr>
          <w:rFonts w:hint="eastAsia" w:ascii="Times New Roman" w:hAnsi="Times New Roman" w:eastAsia="仿宋_GB2312" w:cs="仿宋_GB2312"/>
          <w:color w:val="auto"/>
          <w:kern w:val="2"/>
          <w:sz w:val="32"/>
          <w:szCs w:val="32"/>
          <w:highlight w:val="none"/>
          <w:lang w:val="zh-CN" w:eastAsia="zh-CN" w:bidi="ar-SA"/>
        </w:rPr>
        <w:t>104人，</w:t>
      </w:r>
      <w:r>
        <w:rPr>
          <w:rFonts w:hint="eastAsia" w:ascii="Times New Roman" w:hAnsi="Times New Roman" w:eastAsia="仿宋_GB2312" w:cs="仿宋_GB2312"/>
          <w:color w:val="auto"/>
          <w:kern w:val="2"/>
          <w:sz w:val="32"/>
          <w:szCs w:val="32"/>
          <w:highlight w:val="none"/>
          <w:lang w:val="en-US" w:eastAsia="zh-CN" w:bidi="ar-SA"/>
        </w:rPr>
        <w:t>年末在职人员总数101人，其中：事业专技人员97名，事业管理人员2名，事业</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工勤人员2名。</w:t>
      </w:r>
    </w:p>
    <w:p w14:paraId="00D7657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74C3C1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320CCAEA">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2025年财政下达壤塘县人民医院年初预算收入3208.03万元，执行中追加预算安排3015.06万元，合计6223.10万元,其中一般公共预算财政拨款收入5290.66万元、政府性基金预算财政拨款收入932.44万元，较2024年同期数减少748.10万元，减少10.73%。</w:t>
      </w:r>
    </w:p>
    <w:p w14:paraId="32C970A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4FCD92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1.2025年壤塘县人民医院财政资金支出6223.10万元，较2024年同期数减少748.10万元，减少10.73%。其中：基本支出2673.03万元，占42.95%；项目支出3550.07万元，占57.05%。完成情况较好，支出严格按照预算执行。</w:t>
      </w:r>
    </w:p>
    <w:p w14:paraId="2BE043C6">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2.2025年壤塘县人民医院属于事业单位，职工差旅费、公务用车运行维护费等费用在本级支出，未使用财政资金支付“三公”经费。</w:t>
      </w:r>
    </w:p>
    <w:p w14:paraId="448F2EE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12A15F7D">
      <w:pPr>
        <w:spacing w:line="600" w:lineRule="exact"/>
        <w:ind w:firstLine="640"/>
        <w:rPr>
          <w:rFonts w:hint="eastAsia" w:ascii="仿宋_GB2312" w:hAnsi="仿宋_GB2312" w:eastAsia="仿宋_GB2312" w:cs="仿宋_GB2312"/>
          <w:sz w:val="32"/>
          <w:szCs w:val="32"/>
          <w:lang w:val="zh-CN" w:eastAsia="zh-CN"/>
        </w:rPr>
      </w:pPr>
      <w:r>
        <w:rPr>
          <w:rFonts w:hint="eastAsia" w:ascii="Times New Roman" w:hAnsi="Times New Roman" w:eastAsia="仿宋_GB2312" w:cs="仿宋_GB2312"/>
          <w:color w:val="auto"/>
          <w:kern w:val="2"/>
          <w:sz w:val="32"/>
          <w:szCs w:val="32"/>
          <w:highlight w:val="none"/>
          <w:lang w:val="en-US" w:eastAsia="zh-CN" w:bidi="ar-SA"/>
        </w:rPr>
        <w:t>壤塘县人民医院2025年决算报表结余分配536.23万元。</w:t>
      </w:r>
    </w:p>
    <w:p w14:paraId="62C7A5EA">
      <w:pPr>
        <w:pStyle w:val="5"/>
        <w:rPr>
          <w:rFonts w:hint="default"/>
          <w:lang w:val="zh-CN" w:eastAsia="zh-CN"/>
        </w:rPr>
      </w:pPr>
    </w:p>
    <w:p w14:paraId="384B1BB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B917AE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3FB9462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eastAsia="楷体_GB2312"/>
          <w:b/>
          <w:bCs/>
          <w:color w:val="000000"/>
          <w:kern w:val="0"/>
          <w:sz w:val="32"/>
          <w:szCs w:val="32"/>
          <w:highlight w:val="none"/>
          <w:shd w:val="clear" w:color="auto" w:fill="FFFFFF"/>
          <w:lang w:val="zh-CN" w:eastAsia="zh-CN"/>
        </w:rPr>
      </w:pPr>
      <w:r>
        <w:rPr>
          <w:rFonts w:hint="eastAsia" w:eastAsia="楷体_GB2312"/>
          <w:b/>
          <w:bCs/>
          <w:color w:val="000000"/>
          <w:kern w:val="0"/>
          <w:sz w:val="32"/>
          <w:szCs w:val="32"/>
          <w:highlight w:val="none"/>
          <w:shd w:val="clear" w:color="auto" w:fill="FFFFFF"/>
          <w:lang w:val="en-US" w:eastAsia="zh-CN"/>
        </w:rPr>
        <w:t>1.</w:t>
      </w:r>
      <w:r>
        <w:rPr>
          <w:rFonts w:hint="eastAsia" w:eastAsia="楷体_GB2312"/>
          <w:b/>
          <w:bCs/>
          <w:color w:val="000000"/>
          <w:kern w:val="0"/>
          <w:sz w:val="32"/>
          <w:szCs w:val="32"/>
          <w:highlight w:val="none"/>
          <w:shd w:val="clear" w:color="auto" w:fill="FFFFFF"/>
          <w:lang w:val="zh-CN" w:eastAsia="zh-CN"/>
        </w:rPr>
        <w:t>履职效能。</w:t>
      </w:r>
    </w:p>
    <w:p w14:paraId="2C006FD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年紧紧围绕县委</w:t>
      </w:r>
      <w:r>
        <w:rPr>
          <w:rFonts w:hint="eastAsia"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县政府制定的目标任务,坚持以“以患者为中心，以质量为核心”的服务理念，加强医疗质量管理</w:t>
      </w:r>
      <w:r>
        <w:rPr>
          <w:rFonts w:hint="eastAsia" w:ascii="Times New Roman" w:hAnsi="Times New Roman" w:eastAsia="仿宋_GB2312" w:cs="仿宋_GB2312"/>
          <w:color w:val="auto"/>
          <w:kern w:val="2"/>
          <w:sz w:val="32"/>
          <w:szCs w:val="32"/>
          <w:highlight w:val="none"/>
          <w:lang w:val="en-US" w:eastAsia="zh-CN" w:bidi="ar-SA"/>
        </w:rPr>
        <w:t>，根据职能职责工作：（1）</w:t>
      </w:r>
      <w:r>
        <w:rPr>
          <w:rFonts w:hint="default"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w:t>
      </w:r>
      <w:r>
        <w:rPr>
          <w:rFonts w:hint="eastAsia" w:ascii="Times New Roman" w:hAnsi="Times New Roman" w:eastAsia="仿宋_GB2312" w:cs="仿宋_GB2312"/>
          <w:color w:val="auto"/>
          <w:kern w:val="2"/>
          <w:sz w:val="32"/>
          <w:szCs w:val="32"/>
          <w:highlight w:val="none"/>
          <w:lang w:val="en-US" w:eastAsia="zh-CN" w:bidi="ar-SA"/>
        </w:rPr>
        <w:t>12</w:t>
      </w:r>
      <w:r>
        <w:rPr>
          <w:rFonts w:hint="default" w:ascii="Times New Roman" w:hAnsi="Times New Roman" w:eastAsia="仿宋_GB2312" w:cs="仿宋_GB2312"/>
          <w:color w:val="auto"/>
          <w:kern w:val="2"/>
          <w:sz w:val="32"/>
          <w:szCs w:val="32"/>
          <w:highlight w:val="none"/>
          <w:lang w:val="en-US" w:eastAsia="zh-CN" w:bidi="ar-SA"/>
        </w:rPr>
        <w:t>月</w:t>
      </w:r>
      <w:r>
        <w:rPr>
          <w:rFonts w:hint="eastAsia" w:ascii="Times New Roman" w:hAnsi="Times New Roman" w:eastAsia="仿宋_GB2312" w:cs="仿宋_GB2312"/>
          <w:color w:val="auto"/>
          <w:kern w:val="2"/>
          <w:sz w:val="32"/>
          <w:szCs w:val="32"/>
          <w:highlight w:val="none"/>
          <w:lang w:val="en-US" w:eastAsia="zh-CN" w:bidi="ar-SA"/>
        </w:rPr>
        <w:t>31</w:t>
      </w:r>
      <w:r>
        <w:rPr>
          <w:rFonts w:hint="default" w:ascii="Times New Roman" w:hAnsi="Times New Roman" w:eastAsia="仿宋_GB2312" w:cs="仿宋_GB2312"/>
          <w:color w:val="auto"/>
          <w:kern w:val="2"/>
          <w:sz w:val="32"/>
          <w:szCs w:val="32"/>
          <w:highlight w:val="none"/>
          <w:lang w:val="en-US" w:eastAsia="zh-CN" w:bidi="ar-SA"/>
        </w:rPr>
        <w:t>日门诊就诊患者</w:t>
      </w:r>
      <w:r>
        <w:rPr>
          <w:rFonts w:hint="eastAsia" w:ascii="Times New Roman" w:hAnsi="Times New Roman" w:eastAsia="仿宋_GB2312" w:cs="仿宋_GB2312"/>
          <w:color w:val="auto"/>
          <w:kern w:val="2"/>
          <w:sz w:val="32"/>
          <w:szCs w:val="32"/>
          <w:highlight w:val="none"/>
          <w:lang w:val="en-US" w:eastAsia="zh-CN" w:bidi="ar-SA"/>
        </w:rPr>
        <w:t>33523</w:t>
      </w:r>
      <w:r>
        <w:rPr>
          <w:rFonts w:hint="default" w:ascii="Times New Roman" w:hAnsi="Times New Roman" w:eastAsia="仿宋_GB2312" w:cs="仿宋_GB2312"/>
          <w:color w:val="auto"/>
          <w:kern w:val="2"/>
          <w:sz w:val="32"/>
          <w:szCs w:val="32"/>
          <w:highlight w:val="none"/>
          <w:lang w:val="en-US" w:eastAsia="zh-CN" w:bidi="ar-SA"/>
        </w:rPr>
        <w:t>人次，同比增长5.49%。住院患者</w:t>
      </w:r>
      <w:r>
        <w:rPr>
          <w:rFonts w:hint="eastAsia" w:ascii="Times New Roman" w:hAnsi="Times New Roman" w:eastAsia="仿宋_GB2312" w:cs="仿宋_GB2312"/>
          <w:color w:val="auto"/>
          <w:kern w:val="2"/>
          <w:sz w:val="32"/>
          <w:szCs w:val="32"/>
          <w:highlight w:val="none"/>
          <w:lang w:val="en-US" w:eastAsia="zh-CN" w:bidi="ar-SA"/>
        </w:rPr>
        <w:t>2521</w:t>
      </w:r>
      <w:r>
        <w:rPr>
          <w:rFonts w:hint="default" w:ascii="Times New Roman" w:hAnsi="Times New Roman" w:eastAsia="仿宋_GB2312" w:cs="仿宋_GB2312"/>
          <w:color w:val="auto"/>
          <w:kern w:val="2"/>
          <w:sz w:val="32"/>
          <w:szCs w:val="32"/>
          <w:highlight w:val="none"/>
          <w:lang w:val="en-US" w:eastAsia="zh-CN" w:bidi="ar-SA"/>
        </w:rPr>
        <w:t>人次，同比</w:t>
      </w:r>
      <w:r>
        <w:rPr>
          <w:rFonts w:hint="eastAsia" w:ascii="Times New Roman" w:hAnsi="Times New Roman" w:eastAsia="仿宋_GB2312" w:cs="仿宋_GB2312"/>
          <w:color w:val="auto"/>
          <w:kern w:val="2"/>
          <w:sz w:val="32"/>
          <w:szCs w:val="32"/>
          <w:highlight w:val="none"/>
          <w:lang w:val="en-US" w:eastAsia="zh-CN" w:bidi="ar-SA"/>
        </w:rPr>
        <w:t>基本持平</w:t>
      </w:r>
      <w:r>
        <w:rPr>
          <w:rFonts w:hint="default" w:ascii="Times New Roman" w:hAnsi="Times New Roman" w:eastAsia="仿宋_GB2312" w:cs="仿宋_GB2312"/>
          <w:color w:val="auto"/>
          <w:kern w:val="2"/>
          <w:sz w:val="32"/>
          <w:szCs w:val="32"/>
          <w:highlight w:val="none"/>
          <w:lang w:val="en-US" w:eastAsia="zh-CN" w:bidi="ar-SA"/>
        </w:rPr>
        <w:t>。健康体检人次达</w:t>
      </w:r>
      <w:r>
        <w:rPr>
          <w:rFonts w:hint="eastAsia" w:ascii="Times New Roman" w:hAnsi="Times New Roman" w:eastAsia="仿宋_GB2312" w:cs="仿宋_GB2312"/>
          <w:color w:val="auto"/>
          <w:kern w:val="2"/>
          <w:sz w:val="32"/>
          <w:szCs w:val="32"/>
          <w:highlight w:val="none"/>
          <w:lang w:val="en-US" w:eastAsia="zh-CN" w:bidi="ar-SA"/>
        </w:rPr>
        <w:t>17331</w:t>
      </w:r>
      <w:r>
        <w:rPr>
          <w:rFonts w:hint="default" w:ascii="Times New Roman" w:hAnsi="Times New Roman"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同比增长</w:t>
      </w:r>
      <w:r>
        <w:rPr>
          <w:rFonts w:hint="eastAsia" w:ascii="Times New Roman" w:hAnsi="Times New Roman" w:eastAsia="仿宋_GB2312" w:cs="仿宋_GB2312"/>
          <w:color w:val="auto"/>
          <w:kern w:val="2"/>
          <w:sz w:val="32"/>
          <w:szCs w:val="32"/>
          <w:highlight w:val="none"/>
          <w:lang w:val="en-US" w:eastAsia="zh-CN" w:bidi="ar-SA"/>
        </w:rPr>
        <w:t>425</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传染病管理：截</w:t>
      </w:r>
      <w:r>
        <w:rPr>
          <w:rFonts w:hint="eastAsia" w:eastAsia="仿宋_GB2312" w:cs="仿宋_GB2312"/>
          <w:color w:val="auto"/>
          <w:kern w:val="2"/>
          <w:sz w:val="32"/>
          <w:szCs w:val="32"/>
          <w:highlight w:val="none"/>
          <w:lang w:val="en-US" w:eastAsia="zh-CN" w:bidi="ar-SA"/>
        </w:rPr>
        <w:t>至</w:t>
      </w:r>
      <w:r>
        <w:rPr>
          <w:rFonts w:hint="default" w:ascii="Times New Roman" w:hAnsi="Times New Roman" w:eastAsia="仿宋_GB2312" w:cs="仿宋_GB2312"/>
          <w:color w:val="auto"/>
          <w:kern w:val="2"/>
          <w:sz w:val="32"/>
          <w:szCs w:val="32"/>
          <w:highlight w:val="none"/>
          <w:lang w:val="en-US" w:eastAsia="zh-CN" w:bidi="ar-SA"/>
        </w:rPr>
        <w:t>2025年12月31日累计网络直报传染病265例，无甲类传染病；肺结核专项管理累计收治55例；食源性</w:t>
      </w:r>
      <w:r>
        <w:rPr>
          <w:rFonts w:hint="eastAsia" w:eastAsia="仿宋_GB2312" w:cs="仿宋_GB2312"/>
          <w:color w:val="auto"/>
          <w:kern w:val="2"/>
          <w:sz w:val="32"/>
          <w:szCs w:val="32"/>
          <w:highlight w:val="none"/>
          <w:lang w:val="en-US" w:eastAsia="zh-CN" w:bidi="ar-SA"/>
        </w:rPr>
        <w:t>疾病</w:t>
      </w:r>
      <w:r>
        <w:rPr>
          <w:rFonts w:hint="default" w:ascii="Times New Roman" w:hAnsi="Times New Roman" w:eastAsia="仿宋_GB2312" w:cs="仿宋_GB2312"/>
          <w:color w:val="auto"/>
          <w:kern w:val="2"/>
          <w:sz w:val="32"/>
          <w:szCs w:val="32"/>
          <w:highlight w:val="none"/>
          <w:lang w:val="en-US" w:eastAsia="zh-CN" w:bidi="ar-SA"/>
        </w:rPr>
        <w:t>累计上报173例；死因监测管理累计上报22例。传染病报告率100%，传染病报告及时率100%，常规下乡送药随访20次，艾滋病筛查15318人，艾滋病存活15人，在治15人,治疗覆盖率100%</w:t>
      </w:r>
      <w:r>
        <w:rPr>
          <w:rFonts w:hint="eastAsia" w:ascii="Times New Roman" w:hAnsi="Times New Roman" w:eastAsia="仿宋_GB2312" w:cs="仿宋_GB2312"/>
          <w:color w:val="auto"/>
          <w:kern w:val="2"/>
          <w:sz w:val="32"/>
          <w:szCs w:val="32"/>
          <w:highlight w:val="none"/>
          <w:lang w:val="en-US" w:eastAsia="zh-CN" w:bidi="ar-SA"/>
        </w:rPr>
        <w:t>。根据《部门预算绩效自评打分表》得分12分。</w:t>
      </w:r>
    </w:p>
    <w:p w14:paraId="72086B6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eastAsia="楷体_GB2312"/>
          <w:b/>
          <w:bCs/>
          <w:color w:val="000000"/>
          <w:kern w:val="0"/>
          <w:sz w:val="32"/>
          <w:szCs w:val="32"/>
          <w:highlight w:val="none"/>
          <w:shd w:val="clear" w:color="auto" w:fill="FFFFFF"/>
          <w:lang w:val="zh-CN" w:eastAsia="zh-CN"/>
        </w:rPr>
      </w:pPr>
      <w:r>
        <w:rPr>
          <w:rFonts w:hint="eastAsia" w:eastAsia="楷体_GB2312"/>
          <w:b/>
          <w:bCs/>
          <w:color w:val="000000"/>
          <w:kern w:val="0"/>
          <w:sz w:val="32"/>
          <w:szCs w:val="32"/>
          <w:highlight w:val="none"/>
          <w:shd w:val="clear" w:color="auto" w:fill="FFFFFF"/>
          <w:lang w:val="en-US" w:eastAsia="zh-CN"/>
        </w:rPr>
        <w:t>2.</w:t>
      </w:r>
      <w:r>
        <w:rPr>
          <w:rFonts w:hint="eastAsia" w:eastAsia="楷体_GB2312"/>
          <w:b/>
          <w:bCs/>
          <w:color w:val="000000"/>
          <w:kern w:val="0"/>
          <w:sz w:val="32"/>
          <w:szCs w:val="32"/>
          <w:highlight w:val="none"/>
          <w:shd w:val="clear" w:color="auto" w:fill="FFFFFF"/>
          <w:lang w:val="zh-CN" w:eastAsia="zh-CN"/>
        </w:rPr>
        <w:t>预算管理。</w:t>
      </w:r>
    </w:p>
    <w:p w14:paraId="4C4CFAF0">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本年度年初预算收入为</w:t>
      </w:r>
      <w:r>
        <w:rPr>
          <w:rFonts w:hint="eastAsia" w:ascii="Times New Roman" w:hAnsi="Times New Roman" w:eastAsia="仿宋_GB2312" w:cs="仿宋_GB2312"/>
          <w:color w:val="auto"/>
          <w:kern w:val="2"/>
          <w:sz w:val="32"/>
          <w:szCs w:val="32"/>
          <w:highlight w:val="none"/>
          <w:lang w:val="en-US" w:eastAsia="zh-CN" w:bidi="ar-SA"/>
        </w:rPr>
        <w:t>3208.03</w:t>
      </w:r>
      <w:r>
        <w:rPr>
          <w:rFonts w:hint="default" w:ascii="Times New Roman" w:hAnsi="Times New Roman" w:eastAsia="仿宋_GB2312" w:cs="仿宋_GB2312"/>
          <w:color w:val="auto"/>
          <w:kern w:val="2"/>
          <w:sz w:val="32"/>
          <w:szCs w:val="32"/>
          <w:highlight w:val="none"/>
          <w:lang w:val="en-US" w:eastAsia="zh-CN" w:bidi="ar-SA"/>
        </w:rPr>
        <w:t>万元，本年度决算支出数为</w:t>
      </w:r>
      <w:r>
        <w:rPr>
          <w:rFonts w:hint="eastAsia" w:ascii="Times New Roman" w:hAnsi="Times New Roman" w:eastAsia="仿宋_GB2312" w:cs="仿宋_GB2312"/>
          <w:color w:val="auto"/>
          <w:kern w:val="2"/>
          <w:sz w:val="32"/>
          <w:szCs w:val="32"/>
          <w:highlight w:val="none"/>
          <w:lang w:val="en-US" w:eastAsia="zh-CN" w:bidi="ar-SA"/>
        </w:rPr>
        <w:t>6223.10</w:t>
      </w:r>
      <w:r>
        <w:rPr>
          <w:rFonts w:hint="default" w:ascii="Times New Roman" w:hAnsi="Times New Roman" w:eastAsia="仿宋_GB2312" w:cs="仿宋_GB2312"/>
          <w:color w:val="auto"/>
          <w:kern w:val="2"/>
          <w:sz w:val="32"/>
          <w:szCs w:val="32"/>
          <w:highlight w:val="none"/>
          <w:lang w:val="en-US" w:eastAsia="zh-CN" w:bidi="ar-SA"/>
        </w:rPr>
        <w:t>万元。决算支出数比年初预算数增加了</w:t>
      </w:r>
      <w:r>
        <w:rPr>
          <w:rFonts w:hint="eastAsia" w:ascii="Times New Roman" w:hAnsi="Times New Roman" w:eastAsia="仿宋_GB2312" w:cs="仿宋_GB2312"/>
          <w:color w:val="auto"/>
          <w:kern w:val="2"/>
          <w:sz w:val="32"/>
          <w:szCs w:val="32"/>
          <w:highlight w:val="none"/>
          <w:lang w:val="en-US" w:eastAsia="zh-CN" w:bidi="ar-SA"/>
        </w:rPr>
        <w:t>3015.07</w:t>
      </w:r>
      <w:r>
        <w:rPr>
          <w:rFonts w:hint="default" w:ascii="Times New Roman" w:hAnsi="Times New Roman" w:eastAsia="仿宋_GB2312" w:cs="仿宋_GB2312"/>
          <w:color w:val="auto"/>
          <w:kern w:val="2"/>
          <w:sz w:val="32"/>
          <w:szCs w:val="32"/>
          <w:highlight w:val="none"/>
          <w:lang w:val="en-US" w:eastAsia="zh-CN" w:bidi="ar-SA"/>
        </w:rPr>
        <w:t>万元。存在差异的主要原因为人员经费上涨，保险缴费基数调高,</w:t>
      </w:r>
      <w:r>
        <w:rPr>
          <w:rFonts w:hint="eastAsia" w:ascii="Times New Roman" w:hAnsi="Times New Roman" w:eastAsia="仿宋_GB2312" w:cs="仿宋_GB2312"/>
          <w:color w:val="auto"/>
          <w:kern w:val="2"/>
          <w:sz w:val="32"/>
          <w:szCs w:val="32"/>
          <w:highlight w:val="none"/>
          <w:lang w:val="en-US" w:eastAsia="zh-CN" w:bidi="ar-SA"/>
        </w:rPr>
        <w:t>能力提升专项资金及</w:t>
      </w:r>
      <w:r>
        <w:rPr>
          <w:rFonts w:hint="default" w:ascii="Times New Roman" w:hAnsi="Times New Roman" w:eastAsia="仿宋_GB2312" w:cs="仿宋_GB2312"/>
          <w:color w:val="auto"/>
          <w:kern w:val="2"/>
          <w:sz w:val="32"/>
          <w:szCs w:val="32"/>
          <w:highlight w:val="none"/>
          <w:lang w:val="en-US" w:eastAsia="zh-CN" w:bidi="ar-SA"/>
        </w:rPr>
        <w:t>政府性基金预算财政拨款收入增加。</w:t>
      </w:r>
      <w:r>
        <w:rPr>
          <w:rFonts w:hint="eastAsia" w:ascii="Times New Roman" w:hAnsi="Times New Roman" w:eastAsia="仿宋_GB2312" w:cs="仿宋_GB2312"/>
          <w:color w:val="auto"/>
          <w:kern w:val="2"/>
          <w:sz w:val="32"/>
          <w:szCs w:val="32"/>
          <w:highlight w:val="none"/>
          <w:lang w:val="en-US" w:eastAsia="zh-CN" w:bidi="ar-SA"/>
        </w:rPr>
        <w:t>根据《部门预算绩效自评打分表》得分19分。</w:t>
      </w:r>
    </w:p>
    <w:p w14:paraId="7A52D1F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eastAsia="楷体_GB2312"/>
          <w:b/>
          <w:bCs/>
          <w:color w:val="000000"/>
          <w:kern w:val="0"/>
          <w:sz w:val="32"/>
          <w:szCs w:val="32"/>
          <w:highlight w:val="none"/>
          <w:shd w:val="clear" w:color="auto" w:fill="FFFFFF"/>
          <w:lang w:val="en-US" w:eastAsia="zh-CN"/>
        </w:rPr>
      </w:pPr>
      <w:r>
        <w:rPr>
          <w:rFonts w:hint="eastAsia" w:eastAsia="楷体_GB2312"/>
          <w:b/>
          <w:bCs/>
          <w:color w:val="000000"/>
          <w:kern w:val="0"/>
          <w:sz w:val="32"/>
          <w:szCs w:val="32"/>
          <w:highlight w:val="none"/>
          <w:shd w:val="clear" w:color="auto" w:fill="FFFFFF"/>
          <w:lang w:val="en-US" w:eastAsia="zh-CN"/>
        </w:rPr>
        <w:t>3.</w:t>
      </w:r>
      <w:r>
        <w:rPr>
          <w:rFonts w:hint="default" w:eastAsia="楷体_GB2312"/>
          <w:b/>
          <w:bCs/>
          <w:color w:val="000000"/>
          <w:kern w:val="0"/>
          <w:sz w:val="32"/>
          <w:szCs w:val="32"/>
          <w:highlight w:val="none"/>
          <w:shd w:val="clear" w:color="auto" w:fill="FFFFFF"/>
          <w:lang w:val="en-US" w:eastAsia="zh-CN"/>
        </w:rPr>
        <w:t>预算资金管理情况。</w:t>
      </w:r>
    </w:p>
    <w:p w14:paraId="6EB9C43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壤塘县人民医院</w:t>
      </w:r>
      <w:r>
        <w:rPr>
          <w:rFonts w:hint="eastAsia" w:ascii="Times New Roman" w:hAnsi="Times New Roman" w:eastAsia="仿宋_GB2312" w:cs="仿宋_GB2312"/>
          <w:color w:val="auto"/>
          <w:kern w:val="2"/>
          <w:sz w:val="32"/>
          <w:szCs w:val="32"/>
          <w:highlight w:val="none"/>
          <w:lang w:val="en-US" w:eastAsia="zh-CN" w:bidi="ar-SA"/>
        </w:rPr>
        <w:t>2025</w:t>
      </w:r>
      <w:r>
        <w:rPr>
          <w:rFonts w:hint="default" w:ascii="Times New Roman" w:hAnsi="Times New Roman" w:eastAsia="仿宋_GB2312" w:cs="仿宋_GB2312"/>
          <w:color w:val="auto"/>
          <w:kern w:val="2"/>
          <w:sz w:val="32"/>
          <w:szCs w:val="32"/>
          <w:highlight w:val="none"/>
          <w:lang w:val="en-US" w:eastAsia="zh-CN" w:bidi="ar-SA"/>
        </w:rPr>
        <w:t>年预算收入</w:t>
      </w:r>
      <w:r>
        <w:rPr>
          <w:rFonts w:hint="eastAsia" w:ascii="Times New Roman" w:hAnsi="Times New Roman" w:eastAsia="仿宋_GB2312" w:cs="仿宋_GB2312"/>
          <w:color w:val="auto"/>
          <w:kern w:val="2"/>
          <w:sz w:val="32"/>
          <w:szCs w:val="32"/>
          <w:highlight w:val="none"/>
          <w:lang w:val="en-US" w:eastAsia="zh-CN" w:bidi="ar-SA"/>
        </w:rPr>
        <w:t>8124.46</w:t>
      </w:r>
      <w:r>
        <w:rPr>
          <w:rFonts w:hint="default" w:ascii="Times New Roman" w:hAnsi="Times New Roman" w:eastAsia="仿宋_GB2312" w:cs="仿宋_GB2312"/>
          <w:color w:val="auto"/>
          <w:kern w:val="2"/>
          <w:sz w:val="32"/>
          <w:szCs w:val="32"/>
          <w:highlight w:val="none"/>
          <w:lang w:val="en-US" w:eastAsia="zh-CN" w:bidi="ar-SA"/>
        </w:rPr>
        <w:t>万元，一般公共预算拨款收入</w:t>
      </w:r>
      <w:r>
        <w:rPr>
          <w:rFonts w:hint="eastAsia" w:ascii="Times New Roman" w:hAnsi="Times New Roman" w:eastAsia="仿宋_GB2312" w:cs="仿宋_GB2312"/>
          <w:color w:val="auto"/>
          <w:kern w:val="2"/>
          <w:sz w:val="32"/>
          <w:szCs w:val="32"/>
          <w:highlight w:val="none"/>
          <w:lang w:val="en-US" w:eastAsia="zh-CN" w:bidi="ar-SA"/>
        </w:rPr>
        <w:t>5290.66</w:t>
      </w:r>
      <w:r>
        <w:rPr>
          <w:rFonts w:hint="default" w:ascii="Times New Roman" w:hAnsi="Times New Roman" w:eastAsia="仿宋_GB2312" w:cs="仿宋_GB2312"/>
          <w:color w:val="auto"/>
          <w:kern w:val="2"/>
          <w:sz w:val="32"/>
          <w:szCs w:val="32"/>
          <w:highlight w:val="none"/>
          <w:lang w:val="en-US" w:eastAsia="zh-CN" w:bidi="ar-SA"/>
        </w:rPr>
        <w:t>万元，政府性基金预算财政拨款收入</w:t>
      </w:r>
      <w:r>
        <w:rPr>
          <w:rFonts w:hint="eastAsia" w:ascii="Times New Roman" w:hAnsi="Times New Roman" w:eastAsia="仿宋_GB2312" w:cs="仿宋_GB2312"/>
          <w:color w:val="auto"/>
          <w:kern w:val="2"/>
          <w:sz w:val="32"/>
          <w:szCs w:val="32"/>
          <w:highlight w:val="none"/>
          <w:lang w:val="en-US" w:eastAsia="zh-CN" w:bidi="ar-SA"/>
        </w:rPr>
        <w:t>932.44</w:t>
      </w:r>
      <w:r>
        <w:rPr>
          <w:rFonts w:hint="default" w:ascii="Times New Roman" w:hAnsi="Times New Roman" w:eastAsia="仿宋_GB2312" w:cs="仿宋_GB2312"/>
          <w:color w:val="auto"/>
          <w:kern w:val="2"/>
          <w:sz w:val="32"/>
          <w:szCs w:val="32"/>
          <w:highlight w:val="none"/>
          <w:lang w:val="en-US" w:eastAsia="zh-CN" w:bidi="ar-SA"/>
        </w:rPr>
        <w:t>万元，事业预算收入</w:t>
      </w:r>
      <w:r>
        <w:rPr>
          <w:rFonts w:hint="eastAsia" w:ascii="Times New Roman" w:hAnsi="Times New Roman" w:eastAsia="仿宋_GB2312" w:cs="仿宋_GB2312"/>
          <w:color w:val="auto"/>
          <w:kern w:val="2"/>
          <w:sz w:val="32"/>
          <w:szCs w:val="32"/>
          <w:highlight w:val="none"/>
          <w:lang w:val="en-US" w:eastAsia="zh-CN" w:bidi="ar-SA"/>
        </w:rPr>
        <w:t>1901.36</w:t>
      </w:r>
      <w:r>
        <w:rPr>
          <w:rFonts w:hint="default" w:ascii="Times New Roman" w:hAnsi="Times New Roman" w:eastAsia="仿宋_GB2312" w:cs="仿宋_GB2312"/>
          <w:color w:val="auto"/>
          <w:kern w:val="2"/>
          <w:sz w:val="32"/>
          <w:szCs w:val="32"/>
          <w:highlight w:val="none"/>
          <w:lang w:val="en-US" w:eastAsia="zh-CN" w:bidi="ar-SA"/>
        </w:rPr>
        <w:t>万元。壤塘县人民医院</w:t>
      </w:r>
      <w:r>
        <w:rPr>
          <w:rFonts w:hint="eastAsia" w:ascii="Times New Roman" w:hAnsi="Times New Roman" w:eastAsia="仿宋_GB2312" w:cs="仿宋_GB2312"/>
          <w:color w:val="auto"/>
          <w:kern w:val="2"/>
          <w:sz w:val="32"/>
          <w:szCs w:val="32"/>
          <w:highlight w:val="none"/>
          <w:lang w:val="en-US" w:eastAsia="zh-CN" w:bidi="ar-SA"/>
        </w:rPr>
        <w:t>2025</w:t>
      </w:r>
      <w:r>
        <w:rPr>
          <w:rFonts w:hint="default" w:ascii="Times New Roman" w:hAnsi="Times New Roman" w:eastAsia="仿宋_GB2312" w:cs="仿宋_GB2312"/>
          <w:color w:val="auto"/>
          <w:kern w:val="2"/>
          <w:sz w:val="32"/>
          <w:szCs w:val="32"/>
          <w:highlight w:val="none"/>
          <w:lang w:val="en-US" w:eastAsia="zh-CN" w:bidi="ar-SA"/>
        </w:rPr>
        <w:t>年支出预算</w:t>
      </w:r>
      <w:r>
        <w:rPr>
          <w:rFonts w:hint="eastAsia" w:ascii="Times New Roman" w:hAnsi="Times New Roman" w:eastAsia="仿宋_GB2312" w:cs="仿宋_GB2312"/>
          <w:color w:val="auto"/>
          <w:kern w:val="2"/>
          <w:sz w:val="32"/>
          <w:szCs w:val="32"/>
          <w:highlight w:val="none"/>
          <w:lang w:val="en-US" w:eastAsia="zh-CN" w:bidi="ar-SA"/>
        </w:rPr>
        <w:t>7588.23</w:t>
      </w:r>
      <w:r>
        <w:rPr>
          <w:rFonts w:hint="default" w:ascii="Times New Roman" w:hAnsi="Times New Roman" w:eastAsia="仿宋_GB2312" w:cs="仿宋_GB2312"/>
          <w:color w:val="auto"/>
          <w:kern w:val="2"/>
          <w:sz w:val="32"/>
          <w:szCs w:val="32"/>
          <w:highlight w:val="none"/>
          <w:lang w:val="en-US" w:eastAsia="zh-CN" w:bidi="ar-SA"/>
        </w:rPr>
        <w:t>万元，其中：基本支出</w:t>
      </w:r>
      <w:r>
        <w:rPr>
          <w:rFonts w:hint="eastAsia" w:ascii="Times New Roman" w:hAnsi="Times New Roman" w:eastAsia="仿宋_GB2312" w:cs="仿宋_GB2312"/>
          <w:color w:val="auto"/>
          <w:kern w:val="2"/>
          <w:sz w:val="32"/>
          <w:szCs w:val="32"/>
          <w:highlight w:val="none"/>
          <w:lang w:val="en-US" w:eastAsia="zh-CN" w:bidi="ar-SA"/>
        </w:rPr>
        <w:t>4038.15</w:t>
      </w:r>
      <w:r>
        <w:rPr>
          <w:rFonts w:hint="default" w:ascii="Times New Roman" w:hAnsi="Times New Roman" w:eastAsia="仿宋_GB2312" w:cs="仿宋_GB2312"/>
          <w:color w:val="auto"/>
          <w:kern w:val="2"/>
          <w:sz w:val="32"/>
          <w:szCs w:val="32"/>
          <w:highlight w:val="none"/>
          <w:lang w:val="en-US" w:eastAsia="zh-CN" w:bidi="ar-SA"/>
        </w:rPr>
        <w:t>万元，项目支出</w:t>
      </w:r>
      <w:r>
        <w:rPr>
          <w:rFonts w:hint="eastAsia" w:ascii="Times New Roman" w:hAnsi="Times New Roman" w:eastAsia="仿宋_GB2312" w:cs="仿宋_GB2312"/>
          <w:color w:val="auto"/>
          <w:kern w:val="2"/>
          <w:sz w:val="32"/>
          <w:szCs w:val="32"/>
          <w:highlight w:val="none"/>
          <w:lang w:val="en-US" w:eastAsia="zh-CN" w:bidi="ar-SA"/>
        </w:rPr>
        <w:t>3550.07</w:t>
      </w:r>
      <w:r>
        <w:rPr>
          <w:rFonts w:hint="default"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，年末结余分配536.23万元</w:t>
      </w:r>
      <w:r>
        <w:rPr>
          <w:rFonts w:hint="default" w:ascii="Times New Roman" w:hAnsi="Times New Roman" w:eastAsia="仿宋_GB2312" w:cs="仿宋_GB2312"/>
          <w:color w:val="auto"/>
          <w:kern w:val="2"/>
          <w:sz w:val="32"/>
          <w:szCs w:val="32"/>
          <w:highlight w:val="none"/>
          <w:lang w:val="en-US" w:eastAsia="zh-CN" w:bidi="ar-SA"/>
        </w:rPr>
        <w:t>。</w:t>
      </w:r>
    </w:p>
    <w:p w14:paraId="3BF6B8E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b/>
          <w:bCs/>
          <w:color w:val="000000"/>
          <w:kern w:val="0"/>
          <w:szCs w:val="32"/>
          <w:shd w:val="clear" w:color="auto" w:fill="FFFFFF"/>
          <w:lang w:val="zh-CN"/>
        </w:rPr>
      </w:pPr>
      <w:r>
        <w:rPr>
          <w:rFonts w:hint="eastAsia" w:eastAsia="楷体_GB2312"/>
          <w:b/>
          <w:bCs/>
          <w:color w:val="000000"/>
          <w:kern w:val="0"/>
          <w:sz w:val="32"/>
          <w:szCs w:val="32"/>
          <w:highlight w:val="none"/>
          <w:shd w:val="clear" w:color="auto" w:fill="FFFFFF"/>
          <w:lang w:val="en-US" w:eastAsia="zh-CN"/>
        </w:rPr>
        <w:t>4.</w:t>
      </w:r>
      <w:r>
        <w:rPr>
          <w:rFonts w:hint="eastAsia" w:eastAsia="楷体_GB2312"/>
          <w:b/>
          <w:bCs/>
          <w:color w:val="000000"/>
          <w:kern w:val="0"/>
          <w:sz w:val="32"/>
          <w:szCs w:val="32"/>
          <w:highlight w:val="none"/>
          <w:shd w:val="clear" w:color="auto" w:fill="FFFFFF"/>
          <w:lang w:val="zh-CN" w:eastAsia="zh-CN"/>
        </w:rPr>
        <w:t>财务管理。</w:t>
      </w:r>
    </w:p>
    <w:p w14:paraId="43A98EF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本年度财务人员严格执行收支两条线制度，严格按照上级及各部门有关文件要求，</w:t>
      </w:r>
      <w:r>
        <w:rPr>
          <w:rFonts w:hint="eastAsia" w:ascii="Times New Roman" w:hAnsi="Times New Roman" w:eastAsia="仿宋_GB2312" w:cs="仿宋_GB2312"/>
          <w:color w:val="auto"/>
          <w:kern w:val="2"/>
          <w:sz w:val="32"/>
          <w:szCs w:val="32"/>
          <w:highlight w:val="none"/>
          <w:lang w:val="en-US" w:eastAsia="zh-CN" w:bidi="ar-SA"/>
        </w:rPr>
        <w:t>以</w:t>
      </w:r>
      <w:r>
        <w:rPr>
          <w:rFonts w:hint="eastAsia" w:eastAsia="仿宋_GB2312" w:cs="仿宋_GB2312"/>
          <w:color w:val="auto"/>
          <w:kern w:val="2"/>
          <w:sz w:val="32"/>
          <w:szCs w:val="32"/>
          <w:highlight w:val="none"/>
          <w:lang w:val="en-US" w:eastAsia="zh-CN" w:bidi="ar-SA"/>
        </w:rPr>
        <w:t>壤塘</w:t>
      </w:r>
      <w:bookmarkStart w:id="104" w:name="_GoBack"/>
      <w:bookmarkEnd w:id="104"/>
      <w:r>
        <w:rPr>
          <w:rFonts w:hint="default" w:ascii="Times New Roman" w:hAnsi="Times New Roman" w:eastAsia="仿宋_GB2312" w:cs="仿宋_GB2312"/>
          <w:color w:val="auto"/>
          <w:kern w:val="2"/>
          <w:sz w:val="32"/>
          <w:szCs w:val="32"/>
          <w:highlight w:val="none"/>
          <w:lang w:val="en-US" w:eastAsia="zh-CN" w:bidi="ar-SA"/>
        </w:rPr>
        <w:t>县财政</w:t>
      </w:r>
      <w:r>
        <w:rPr>
          <w:rFonts w:hint="eastAsia" w:ascii="Times New Roman" w:hAnsi="Times New Roman" w:eastAsia="仿宋_GB2312" w:cs="仿宋_GB2312"/>
          <w:color w:val="auto"/>
          <w:kern w:val="2"/>
          <w:sz w:val="32"/>
          <w:szCs w:val="32"/>
          <w:highlight w:val="none"/>
          <w:lang w:val="en-US" w:eastAsia="zh-CN" w:bidi="ar-SA"/>
        </w:rPr>
        <w:t>局</w:t>
      </w:r>
      <w:r>
        <w:rPr>
          <w:rFonts w:hint="default" w:ascii="Times New Roman" w:hAnsi="Times New Roman" w:eastAsia="仿宋_GB2312" w:cs="仿宋_GB2312"/>
          <w:color w:val="auto"/>
          <w:kern w:val="2"/>
          <w:sz w:val="32"/>
          <w:szCs w:val="32"/>
          <w:highlight w:val="none"/>
          <w:lang w:val="en-US" w:eastAsia="zh-CN" w:bidi="ar-SA"/>
        </w:rPr>
        <w:t>支出管理股室、国库审核无误后的经费财务报表为基础，根据每项经费指标的功能科目及经济分类科目以及该指标本年实际支付数在部门决算软件中逐笔据实填列。</w:t>
      </w:r>
    </w:p>
    <w:p w14:paraId="07A99FB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财务管理运营中心对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管理运营中心有权拒绝受理。</w:t>
      </w:r>
    </w:p>
    <w:p w14:paraId="7D086DC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（3）各审批领导审查财务收支的真实性、合法性、必要性，并在报销凭证上明确签署报销意见。</w:t>
      </w:r>
    </w:p>
    <w:p w14:paraId="7A8871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出纳人员对已经审批后的支出票据必须进行复核（复核票据张数、金额、审批程序），对不符合规定的票据有权拒绝支付并立即向分管领导报告。严格控制现金支付，原则上采用公务卡和转账结算。会计人员进行会计核算时，对不符合财</w:t>
      </w:r>
      <w:r>
        <w:rPr>
          <w:rFonts w:hint="eastAsia" w:eastAsia="仿宋_GB2312" w:cs="仿宋_GB2312"/>
          <w:color w:val="auto"/>
          <w:kern w:val="2"/>
          <w:sz w:val="32"/>
          <w:szCs w:val="32"/>
          <w:highlight w:val="none"/>
          <w:lang w:val="en-US" w:eastAsia="zh-CN" w:bidi="ar-SA"/>
        </w:rPr>
        <w:t>务</w:t>
      </w:r>
      <w:r>
        <w:rPr>
          <w:rFonts w:hint="eastAsia" w:ascii="Times New Roman" w:hAnsi="Times New Roman" w:eastAsia="仿宋_GB2312" w:cs="仿宋_GB2312"/>
          <w:color w:val="auto"/>
          <w:kern w:val="2"/>
          <w:sz w:val="32"/>
          <w:szCs w:val="32"/>
          <w:highlight w:val="none"/>
          <w:lang w:val="en-US" w:eastAsia="zh-CN" w:bidi="ar-SA"/>
        </w:rPr>
        <w:t>管理规定的票据有权拒绝接受并应立即报告。</w:t>
      </w:r>
    </w:p>
    <w:p w14:paraId="0F1DDF6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财务管理运营中心负责单位内控评价与监督工作，具体职责如下：负责制定单位内部控制监督评价相关制度；负责组织对单位年度内部控制工作自评工作；负责对本单位风险管理工作的实施情况和有效性进行监督和检查；负责对各个部门各业务流程的执行情况进行监督和检查。      </w:t>
      </w:r>
    </w:p>
    <w:p w14:paraId="4675F7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（6）决算编制工作完成后及时将所有数据、相关编制说明和分析报告交由</w:t>
      </w:r>
      <w:r>
        <w:rPr>
          <w:rFonts w:hint="eastAsia" w:eastAsia="仿宋_GB2312" w:cs="仿宋_GB2312"/>
          <w:color w:val="auto"/>
          <w:kern w:val="2"/>
          <w:sz w:val="32"/>
          <w:szCs w:val="32"/>
          <w:highlight w:val="none"/>
          <w:lang w:val="en-US" w:eastAsia="zh-CN" w:bidi="ar-SA"/>
        </w:rPr>
        <w:t>壤塘</w:t>
      </w:r>
      <w:r>
        <w:rPr>
          <w:rFonts w:hint="eastAsia" w:ascii="Times New Roman" w:hAnsi="Times New Roman" w:eastAsia="仿宋_GB2312" w:cs="仿宋_GB2312"/>
          <w:color w:val="auto"/>
          <w:kern w:val="2"/>
          <w:sz w:val="32"/>
          <w:szCs w:val="32"/>
          <w:highlight w:val="none"/>
          <w:lang w:val="en-US" w:eastAsia="zh-CN" w:bidi="ar-SA"/>
        </w:rPr>
        <w:t>县财政局相关股室进行检查审核，单位部门决算数据全面真实地反映了单位本年经费开支及使用情况，不存在应编未编、错误列编决算资金总额度的现象。根据《部门预算绩效自评打分表》得分9分。</w:t>
      </w:r>
    </w:p>
    <w:p w14:paraId="68DCC68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eastAsia="楷体_GB2312"/>
          <w:b/>
          <w:bCs/>
          <w:color w:val="000000"/>
          <w:kern w:val="0"/>
          <w:sz w:val="32"/>
          <w:szCs w:val="32"/>
          <w:highlight w:val="none"/>
          <w:shd w:val="clear" w:color="auto" w:fill="FFFFFF"/>
          <w:lang w:val="zh-CN" w:eastAsia="zh-CN"/>
        </w:rPr>
      </w:pPr>
      <w:r>
        <w:rPr>
          <w:rFonts w:hint="eastAsia" w:eastAsia="楷体_GB2312"/>
          <w:b/>
          <w:bCs/>
          <w:color w:val="000000"/>
          <w:kern w:val="0"/>
          <w:sz w:val="32"/>
          <w:szCs w:val="32"/>
          <w:highlight w:val="none"/>
          <w:shd w:val="clear" w:color="auto" w:fill="FFFFFF"/>
          <w:lang w:val="en-US" w:eastAsia="zh-CN"/>
        </w:rPr>
        <w:t>5.</w:t>
      </w:r>
      <w:r>
        <w:rPr>
          <w:rFonts w:hint="eastAsia" w:eastAsia="楷体_GB2312"/>
          <w:b/>
          <w:bCs/>
          <w:color w:val="000000"/>
          <w:kern w:val="0"/>
          <w:sz w:val="32"/>
          <w:szCs w:val="32"/>
          <w:highlight w:val="none"/>
          <w:shd w:val="clear" w:color="auto" w:fill="FFFFFF"/>
          <w:lang w:val="zh-CN" w:eastAsia="zh-CN"/>
        </w:rPr>
        <w:t>资产管理。</w:t>
      </w:r>
    </w:p>
    <w:p w14:paraId="6E65954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固定资产在用率：2025年12月31日，壤塘县人民医院《四川省行政事业性国有资产管理信息系统》固定资产总计8244.15万元，在用固定资产8244.15万元，固定资产在用率达100%。根据《部门预算绩效自评打分表》得分9分。</w:t>
      </w:r>
    </w:p>
    <w:p w14:paraId="3DA331D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eastAsia="楷体_GB2312"/>
          <w:b/>
          <w:bCs/>
          <w:color w:val="000000"/>
          <w:kern w:val="0"/>
          <w:sz w:val="32"/>
          <w:szCs w:val="32"/>
          <w:highlight w:val="none"/>
          <w:shd w:val="clear" w:color="auto" w:fill="FFFFFF"/>
          <w:lang w:val="zh-CN" w:eastAsia="zh-CN"/>
        </w:rPr>
      </w:pPr>
      <w:r>
        <w:rPr>
          <w:rFonts w:hint="eastAsia" w:eastAsia="楷体_GB2312"/>
          <w:b/>
          <w:bCs/>
          <w:color w:val="000000"/>
          <w:kern w:val="0"/>
          <w:sz w:val="32"/>
          <w:szCs w:val="32"/>
          <w:highlight w:val="none"/>
          <w:shd w:val="clear" w:color="auto" w:fill="FFFFFF"/>
          <w:lang w:val="en-US" w:eastAsia="zh-CN"/>
        </w:rPr>
        <w:t>6.</w:t>
      </w:r>
      <w:r>
        <w:rPr>
          <w:rFonts w:hint="eastAsia" w:eastAsia="楷体_GB2312"/>
          <w:b/>
          <w:bCs/>
          <w:color w:val="000000"/>
          <w:kern w:val="0"/>
          <w:sz w:val="32"/>
          <w:szCs w:val="32"/>
          <w:highlight w:val="none"/>
          <w:shd w:val="clear" w:color="auto" w:fill="FFFFFF"/>
          <w:lang w:val="zh-CN" w:eastAsia="zh-CN"/>
        </w:rPr>
        <w:t>采购管理。</w:t>
      </w:r>
    </w:p>
    <w:p w14:paraId="1D19C2C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2025年壤塘县人民医院采购支出总计2026.66万元，其中采购货物支出840.85万元，采购服务支出1185.81万元；政府采购授予中小企业金额1083.96万元。根据《部门预算绩效自评打分表》得分6分。</w:t>
      </w:r>
    </w:p>
    <w:p w14:paraId="1BDB17C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19048A0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常年项目绩效分析。</w:t>
      </w:r>
      <w:r>
        <w:rPr>
          <w:rFonts w:hint="eastAsia"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2679.95</w:t>
      </w:r>
      <w:r>
        <w:rPr>
          <w:rFonts w:hint="eastAsia" w:ascii="Times New Roman" w:hAnsi="Times New Roman" w:eastAsia="仿宋_GB2312" w:cs="仿宋_GB2312"/>
          <w:color w:val="auto"/>
          <w:kern w:val="2"/>
          <w:sz w:val="32"/>
          <w:szCs w:val="32"/>
          <w:highlight w:val="none"/>
          <w:lang w:val="zh-CN" w:eastAsia="zh-CN" w:bidi="ar-SA"/>
        </w:rPr>
        <w:t>万元，1—1</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99.74</w:t>
      </w:r>
      <w:r>
        <w:rPr>
          <w:rFonts w:hint="eastAsia" w:ascii="Times New Roman" w:hAnsi="Times New Roman" w:eastAsia="仿宋_GB2312" w:cs="仿宋_GB2312"/>
          <w:color w:val="auto"/>
          <w:kern w:val="2"/>
          <w:sz w:val="32"/>
          <w:szCs w:val="32"/>
          <w:highlight w:val="none"/>
          <w:lang w:val="zh-CN" w:eastAsia="zh-CN" w:bidi="ar-SA"/>
        </w:rPr>
        <w:t>%，其中：预算结余率大于</w:t>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个。</w:t>
      </w:r>
    </w:p>
    <w:p w14:paraId="529C96F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阶段（含一次性）项目绩效分析。</w:t>
      </w:r>
      <w:r>
        <w:rPr>
          <w:rFonts w:hint="eastAsia"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40</w:t>
      </w:r>
      <w:r>
        <w:rPr>
          <w:rFonts w:hint="eastAsia"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4816.65</w:t>
      </w:r>
      <w:r>
        <w:rPr>
          <w:rFonts w:hint="eastAsia" w:ascii="Times New Roman" w:hAnsi="Times New Roman" w:eastAsia="仿宋_GB2312" w:cs="仿宋_GB2312"/>
          <w:color w:val="auto"/>
          <w:kern w:val="2"/>
          <w:sz w:val="32"/>
          <w:szCs w:val="32"/>
          <w:highlight w:val="none"/>
          <w:lang w:val="zh-CN" w:eastAsia="zh-CN" w:bidi="ar-SA"/>
        </w:rPr>
        <w:t>万元，1—1</w:t>
      </w: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73.88</w:t>
      </w:r>
      <w:r>
        <w:rPr>
          <w:rFonts w:hint="eastAsia" w:ascii="Times New Roman" w:hAnsi="Times New Roman" w:eastAsia="仿宋_GB2312" w:cs="仿宋_GB2312"/>
          <w:color w:val="auto"/>
          <w:kern w:val="2"/>
          <w:sz w:val="32"/>
          <w:szCs w:val="32"/>
          <w:highlight w:val="none"/>
          <w:lang w:val="zh-CN" w:eastAsia="zh-CN" w:bidi="ar-SA"/>
        </w:rPr>
        <w:t>%，其中：预算结余率大于</w:t>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zh-CN" w:eastAsia="zh-CN" w:bidi="ar-SA"/>
        </w:rPr>
        <w:t>个。</w:t>
      </w:r>
    </w:p>
    <w:p w14:paraId="1111939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val="zh-CN" w:eastAsia="zh-CN"/>
        </w:rPr>
        <w:t>项目决策。</w:t>
      </w:r>
    </w:p>
    <w:p w14:paraId="6A05FF1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壤塘县人民医院是财政全额拨款单位，涉及的资金均为上级转移资金和</w:t>
      </w:r>
      <w:r>
        <w:rPr>
          <w:rFonts w:hint="eastAsia" w:eastAsia="仿宋_GB2312" w:cs="仿宋_GB2312"/>
          <w:color w:val="auto"/>
          <w:kern w:val="2"/>
          <w:sz w:val="32"/>
          <w:szCs w:val="32"/>
          <w:highlight w:val="none"/>
          <w:lang w:val="en-US" w:eastAsia="zh-CN" w:bidi="ar-SA"/>
        </w:rPr>
        <w:t>壤塘</w:t>
      </w:r>
      <w:r>
        <w:rPr>
          <w:rFonts w:hint="eastAsia" w:ascii="Times New Roman" w:hAnsi="Times New Roman" w:eastAsia="仿宋_GB2312" w:cs="仿宋_GB2312"/>
          <w:color w:val="auto"/>
          <w:kern w:val="2"/>
          <w:sz w:val="32"/>
          <w:szCs w:val="32"/>
          <w:highlight w:val="none"/>
          <w:lang w:val="en-US" w:eastAsia="zh-CN" w:bidi="ar-SA"/>
        </w:rPr>
        <w:t>县财政局根据需求进行保障。上级转移资金到</w:t>
      </w:r>
      <w:r>
        <w:rPr>
          <w:rFonts w:hint="eastAsia" w:eastAsia="仿宋_GB2312" w:cs="仿宋_GB2312"/>
          <w:color w:val="auto"/>
          <w:kern w:val="2"/>
          <w:sz w:val="32"/>
          <w:szCs w:val="32"/>
          <w:highlight w:val="none"/>
          <w:lang w:val="en-US" w:eastAsia="zh-CN" w:bidi="ar-SA"/>
        </w:rPr>
        <w:t>壤塘县</w:t>
      </w:r>
      <w:r>
        <w:rPr>
          <w:rFonts w:hint="eastAsia" w:ascii="Times New Roman" w:hAnsi="Times New Roman" w:eastAsia="仿宋_GB2312" w:cs="仿宋_GB2312"/>
          <w:color w:val="auto"/>
          <w:kern w:val="2"/>
          <w:sz w:val="32"/>
          <w:szCs w:val="32"/>
          <w:highlight w:val="none"/>
          <w:lang w:val="en-US" w:eastAsia="zh-CN" w:bidi="ar-SA"/>
        </w:rPr>
        <w:t>财政局后，</w:t>
      </w:r>
      <w:r>
        <w:rPr>
          <w:rFonts w:hint="eastAsia" w:eastAsia="仿宋_GB2312" w:cs="仿宋_GB2312"/>
          <w:color w:val="auto"/>
          <w:kern w:val="2"/>
          <w:sz w:val="32"/>
          <w:szCs w:val="32"/>
          <w:highlight w:val="none"/>
          <w:lang w:val="en-US" w:eastAsia="zh-CN" w:bidi="ar-SA"/>
        </w:rPr>
        <w:t>壤塘</w:t>
      </w:r>
      <w:r>
        <w:rPr>
          <w:rFonts w:hint="eastAsia" w:ascii="Times New Roman" w:hAnsi="Times New Roman" w:eastAsia="仿宋_GB2312" w:cs="仿宋_GB2312"/>
          <w:color w:val="auto"/>
          <w:kern w:val="2"/>
          <w:sz w:val="32"/>
          <w:szCs w:val="32"/>
          <w:highlight w:val="none"/>
          <w:lang w:val="en-US" w:eastAsia="zh-CN" w:bidi="ar-SA"/>
        </w:rPr>
        <w:t>县卫生健康局进行资金的分配，各个二级预算单位根据涉及的项目细化当年项目实施内容，结合上级部门指标要求和单位工作重点</w:t>
      </w:r>
      <w:r>
        <w:rPr>
          <w:rFonts w:hint="eastAsia" w:ascii="Times New Roman" w:hAnsi="Times New Roman" w:eastAsia="仿宋_GB2312" w:cs="仿宋_GB2312"/>
          <w:color w:val="auto"/>
          <w:kern w:val="2"/>
          <w:sz w:val="32"/>
          <w:szCs w:val="32"/>
          <w:highlight w:val="none"/>
          <w:lang w:val="zh-CN" w:eastAsia="zh-CN" w:bidi="ar-SA"/>
        </w:rPr>
        <w:t>科学合理、规范完整、量化细化设置项目绩效目标并在规定时间完成项目入库工作。</w:t>
      </w:r>
    </w:p>
    <w:p w14:paraId="44F70A4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en-US" w:eastAsia="zh-CN"/>
        </w:rPr>
        <w:t>2.项目执行</w:t>
      </w:r>
      <w:r>
        <w:rPr>
          <w:rFonts w:hint="eastAsia" w:ascii="仿宋_GB2312" w:hAnsi="仿宋_GB2312" w:eastAsia="仿宋_GB2312" w:cs="仿宋_GB2312"/>
          <w:b/>
          <w:bCs/>
          <w:sz w:val="32"/>
          <w:szCs w:val="32"/>
          <w:lang w:val="zh-CN" w:eastAsia="zh-CN"/>
        </w:rPr>
        <w:t>。</w:t>
      </w:r>
    </w:p>
    <w:p w14:paraId="6C1DC68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2025年壤塘县人民医院项目资金下达4816.65万元，截</w:t>
      </w:r>
      <w:r>
        <w:rPr>
          <w:rFonts w:hint="eastAsia" w:eastAsia="仿宋_GB2312" w:cs="仿宋_GB2312"/>
          <w:color w:val="auto"/>
          <w:kern w:val="2"/>
          <w:sz w:val="32"/>
          <w:szCs w:val="32"/>
          <w:highlight w:val="none"/>
          <w:lang w:val="en-US" w:eastAsia="zh-CN" w:bidi="ar-SA"/>
        </w:rPr>
        <w:t>至</w:t>
      </w:r>
      <w:r>
        <w:rPr>
          <w:rFonts w:hint="eastAsia" w:ascii="Times New Roman" w:hAnsi="Times New Roman" w:eastAsia="仿宋_GB2312" w:cs="仿宋_GB2312"/>
          <w:color w:val="auto"/>
          <w:kern w:val="2"/>
          <w:sz w:val="32"/>
          <w:szCs w:val="32"/>
          <w:highlight w:val="none"/>
          <w:lang w:val="en-US" w:eastAsia="zh-CN" w:bidi="ar-SA"/>
        </w:rPr>
        <w:t>2025年12月31日，实际拨付金额为3558.30万元，资金拨付率73.88%。</w:t>
      </w:r>
    </w:p>
    <w:p w14:paraId="13D84B2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val="zh-CN" w:eastAsia="zh-CN"/>
        </w:rPr>
        <w:t>目标实现。</w:t>
      </w:r>
    </w:p>
    <w:p w14:paraId="4567F9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default" w:ascii="Times New Roman" w:hAnsi="Times New Roman"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w:t>
      </w:r>
      <w:r>
        <w:rPr>
          <w:rFonts w:hint="eastAsia" w:ascii="Times New Roman" w:hAnsi="Times New Roman" w:eastAsia="仿宋_GB2312" w:cs="仿宋_GB2312"/>
          <w:color w:val="auto"/>
          <w:kern w:val="2"/>
          <w:sz w:val="32"/>
          <w:szCs w:val="32"/>
          <w:highlight w:val="none"/>
          <w:lang w:val="en-US" w:eastAsia="zh-CN" w:bidi="ar-SA"/>
        </w:rPr>
        <w:t>12</w:t>
      </w:r>
      <w:r>
        <w:rPr>
          <w:rFonts w:hint="default" w:ascii="Times New Roman" w:hAnsi="Times New Roman" w:eastAsia="仿宋_GB2312" w:cs="仿宋_GB2312"/>
          <w:color w:val="auto"/>
          <w:kern w:val="2"/>
          <w:sz w:val="32"/>
          <w:szCs w:val="32"/>
          <w:highlight w:val="none"/>
          <w:lang w:val="en-US" w:eastAsia="zh-CN" w:bidi="ar-SA"/>
        </w:rPr>
        <w:t>月</w:t>
      </w:r>
      <w:r>
        <w:rPr>
          <w:rFonts w:hint="eastAsia" w:ascii="Times New Roman" w:hAnsi="Times New Roman" w:eastAsia="仿宋_GB2312" w:cs="仿宋_GB2312"/>
          <w:color w:val="auto"/>
          <w:kern w:val="2"/>
          <w:sz w:val="32"/>
          <w:szCs w:val="32"/>
          <w:highlight w:val="none"/>
          <w:lang w:val="en-US" w:eastAsia="zh-CN" w:bidi="ar-SA"/>
        </w:rPr>
        <w:t>31</w:t>
      </w:r>
      <w:r>
        <w:rPr>
          <w:rFonts w:hint="default" w:ascii="Times New Roman" w:hAnsi="Times New Roman" w:eastAsia="仿宋_GB2312" w:cs="仿宋_GB2312"/>
          <w:color w:val="auto"/>
          <w:kern w:val="2"/>
          <w:sz w:val="32"/>
          <w:szCs w:val="32"/>
          <w:highlight w:val="none"/>
          <w:lang w:val="en-US" w:eastAsia="zh-CN" w:bidi="ar-SA"/>
        </w:rPr>
        <w:t>日门诊就诊患者</w:t>
      </w:r>
      <w:r>
        <w:rPr>
          <w:rFonts w:hint="eastAsia" w:ascii="Times New Roman" w:hAnsi="Times New Roman" w:eastAsia="仿宋_GB2312" w:cs="仿宋_GB2312"/>
          <w:color w:val="auto"/>
          <w:kern w:val="2"/>
          <w:sz w:val="32"/>
          <w:szCs w:val="32"/>
          <w:highlight w:val="none"/>
          <w:lang w:val="en-US" w:eastAsia="zh-CN" w:bidi="ar-SA"/>
        </w:rPr>
        <w:t>33523</w:t>
      </w:r>
      <w:r>
        <w:rPr>
          <w:rFonts w:hint="default" w:ascii="Times New Roman" w:hAnsi="Times New Roman" w:eastAsia="仿宋_GB2312" w:cs="仿宋_GB2312"/>
          <w:color w:val="auto"/>
          <w:kern w:val="2"/>
          <w:sz w:val="32"/>
          <w:szCs w:val="32"/>
          <w:highlight w:val="none"/>
          <w:lang w:val="en-US" w:eastAsia="zh-CN" w:bidi="ar-SA"/>
        </w:rPr>
        <w:t>人次，同比增长5.49%。住院患者</w:t>
      </w:r>
      <w:r>
        <w:rPr>
          <w:rFonts w:hint="eastAsia" w:ascii="Times New Roman" w:hAnsi="Times New Roman" w:eastAsia="仿宋_GB2312" w:cs="仿宋_GB2312"/>
          <w:color w:val="auto"/>
          <w:kern w:val="2"/>
          <w:sz w:val="32"/>
          <w:szCs w:val="32"/>
          <w:highlight w:val="none"/>
          <w:lang w:val="en-US" w:eastAsia="zh-CN" w:bidi="ar-SA"/>
        </w:rPr>
        <w:t>2521</w:t>
      </w:r>
      <w:r>
        <w:rPr>
          <w:rFonts w:hint="default" w:ascii="Times New Roman" w:hAnsi="Times New Roman" w:eastAsia="仿宋_GB2312" w:cs="仿宋_GB2312"/>
          <w:color w:val="auto"/>
          <w:kern w:val="2"/>
          <w:sz w:val="32"/>
          <w:szCs w:val="32"/>
          <w:highlight w:val="none"/>
          <w:lang w:val="en-US" w:eastAsia="zh-CN" w:bidi="ar-SA"/>
        </w:rPr>
        <w:t>人次，同比</w:t>
      </w:r>
      <w:r>
        <w:rPr>
          <w:rFonts w:hint="eastAsia" w:ascii="Times New Roman" w:hAnsi="Times New Roman" w:eastAsia="仿宋_GB2312" w:cs="仿宋_GB2312"/>
          <w:color w:val="auto"/>
          <w:kern w:val="2"/>
          <w:sz w:val="32"/>
          <w:szCs w:val="32"/>
          <w:highlight w:val="none"/>
          <w:lang w:val="en-US" w:eastAsia="zh-CN" w:bidi="ar-SA"/>
        </w:rPr>
        <w:t>基本持平</w:t>
      </w:r>
      <w:r>
        <w:rPr>
          <w:rFonts w:hint="default" w:ascii="Times New Roman" w:hAnsi="Times New Roman" w:eastAsia="仿宋_GB2312" w:cs="仿宋_GB2312"/>
          <w:color w:val="auto"/>
          <w:kern w:val="2"/>
          <w:sz w:val="32"/>
          <w:szCs w:val="32"/>
          <w:highlight w:val="none"/>
          <w:lang w:val="en-US" w:eastAsia="zh-CN" w:bidi="ar-SA"/>
        </w:rPr>
        <w:t>。健康体检人次达</w:t>
      </w:r>
      <w:r>
        <w:rPr>
          <w:rFonts w:hint="eastAsia" w:ascii="Times New Roman" w:hAnsi="Times New Roman" w:eastAsia="仿宋_GB2312" w:cs="仿宋_GB2312"/>
          <w:color w:val="auto"/>
          <w:kern w:val="2"/>
          <w:sz w:val="32"/>
          <w:szCs w:val="32"/>
          <w:highlight w:val="none"/>
          <w:lang w:val="en-US" w:eastAsia="zh-CN" w:bidi="ar-SA"/>
        </w:rPr>
        <w:t>17331</w:t>
      </w:r>
      <w:r>
        <w:rPr>
          <w:rFonts w:hint="default" w:ascii="Times New Roman" w:hAnsi="Times New Roman"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同比增长</w:t>
      </w:r>
      <w:r>
        <w:rPr>
          <w:rFonts w:hint="eastAsia" w:ascii="Times New Roman" w:hAnsi="Times New Roman" w:eastAsia="仿宋_GB2312" w:cs="仿宋_GB2312"/>
          <w:color w:val="auto"/>
          <w:kern w:val="2"/>
          <w:sz w:val="32"/>
          <w:szCs w:val="32"/>
          <w:highlight w:val="none"/>
          <w:lang w:val="en-US" w:eastAsia="zh-CN" w:bidi="ar-SA"/>
        </w:rPr>
        <w:t>425</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传染病管理：截</w:t>
      </w:r>
      <w:r>
        <w:rPr>
          <w:rFonts w:hint="eastAsia" w:eastAsia="仿宋_GB2312" w:cs="仿宋_GB2312"/>
          <w:color w:val="auto"/>
          <w:kern w:val="2"/>
          <w:sz w:val="32"/>
          <w:szCs w:val="32"/>
          <w:highlight w:val="none"/>
          <w:lang w:val="en-US" w:eastAsia="zh-CN" w:bidi="ar-SA"/>
        </w:rPr>
        <w:t>至</w:t>
      </w:r>
      <w:r>
        <w:rPr>
          <w:rFonts w:hint="default" w:ascii="Times New Roman" w:hAnsi="Times New Roman" w:eastAsia="仿宋_GB2312" w:cs="仿宋_GB2312"/>
          <w:color w:val="auto"/>
          <w:kern w:val="2"/>
          <w:sz w:val="32"/>
          <w:szCs w:val="32"/>
          <w:highlight w:val="none"/>
          <w:lang w:val="en-US" w:eastAsia="zh-CN" w:bidi="ar-SA"/>
        </w:rPr>
        <w:t>2025年12月31日累计网络直报传染病265例，无甲类传染病；肺结核专项管理累计收治55例；食源性</w:t>
      </w:r>
      <w:r>
        <w:rPr>
          <w:rFonts w:hint="eastAsia" w:eastAsia="仿宋_GB2312" w:cs="仿宋_GB2312"/>
          <w:color w:val="auto"/>
          <w:kern w:val="2"/>
          <w:sz w:val="32"/>
          <w:szCs w:val="32"/>
          <w:highlight w:val="none"/>
          <w:lang w:val="en-US" w:eastAsia="zh-CN" w:bidi="ar-SA"/>
        </w:rPr>
        <w:t>疾病</w:t>
      </w:r>
      <w:r>
        <w:rPr>
          <w:rFonts w:hint="default" w:ascii="Times New Roman" w:hAnsi="Times New Roman" w:eastAsia="仿宋_GB2312" w:cs="仿宋_GB2312"/>
          <w:color w:val="auto"/>
          <w:kern w:val="2"/>
          <w:sz w:val="32"/>
          <w:szCs w:val="32"/>
          <w:highlight w:val="none"/>
          <w:lang w:val="en-US" w:eastAsia="zh-CN" w:bidi="ar-SA"/>
        </w:rPr>
        <w:t>累计上报173例；死因监测管理累计上报22例。传染病报告率100%，传染病报告及时率100%，常规下乡送药随访20次，艾滋病筛查15318人，艾滋病存活15人，在治15人,治疗覆盖率100%</w:t>
      </w:r>
      <w:r>
        <w:rPr>
          <w:rFonts w:hint="eastAsia" w:ascii="Times New Roman" w:hAnsi="Times New Roman" w:eastAsia="仿宋_GB2312" w:cs="仿宋_GB2312"/>
          <w:color w:val="auto"/>
          <w:kern w:val="2"/>
          <w:sz w:val="32"/>
          <w:szCs w:val="32"/>
          <w:highlight w:val="none"/>
          <w:lang w:val="en-US" w:eastAsia="zh-CN" w:bidi="ar-SA"/>
        </w:rPr>
        <w:t>。根据《部门预算绩效自评打分表》得分33分。</w:t>
      </w:r>
    </w:p>
    <w:p w14:paraId="232A2D2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7D255AB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在项目资金管理方面，建立和健全项目资金管理制度和管理办法。严格资金的使用和划拨流程，确保资金使用安全、公平、合理。项目资金做到专款专用，及时支付。资金的支付均通过对公账户，切实保障了资金使用的准确性和安全性。严守财经法规、财经纪律。严格执行财务管理制度，做到厉行节约、精打细算，把有效的资金用到刀刃上，让财政资金发挥最大的社会经济效益并保证我单位各项工作的正常运转。</w:t>
      </w:r>
    </w:p>
    <w:p w14:paraId="2554EA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6EDD60E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eastAsia="楷体_GB2312" w:cs="Times New Roman"/>
          <w:b/>
          <w:bCs/>
          <w:color w:val="000000"/>
          <w:kern w:val="0"/>
          <w:sz w:val="32"/>
          <w:szCs w:val="32"/>
          <w:highlight w:val="none"/>
          <w:shd w:val="clear" w:color="auto" w:fill="FFFFFF"/>
          <w:lang w:val="zh-CN"/>
        </w:rPr>
        <w:t>。</w:t>
      </w:r>
    </w:p>
    <w:p w14:paraId="4FFDF9EC">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本部门按要求对</w:t>
      </w:r>
      <w:r>
        <w:rPr>
          <w:rFonts w:hint="eastAsia" w:ascii="Times New Roman" w:hAnsi="Times New Roman" w:eastAsia="仿宋_GB2312" w:cs="仿宋_GB2312"/>
          <w:color w:val="auto"/>
          <w:kern w:val="2"/>
          <w:sz w:val="32"/>
          <w:szCs w:val="32"/>
          <w:highlight w:val="none"/>
          <w:lang w:val="en-US" w:eastAsia="zh-CN" w:bidi="ar-SA"/>
        </w:rPr>
        <w:t>2025年部门整体支出绩效评价情况开展自评，并撰写《壤塘县人民医院2025年部门整体支出绩效评价报告》。根据考核评分细则，严格按照国家的相关财务管理制度规定，财务制度健全、会计核算规范，依照计划管理使用。按照部门预算绩效自评打分表得分88分。</w:t>
      </w:r>
    </w:p>
    <w:p w14:paraId="1BCBB0D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7D0125E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预期目标与实际实施结果绩效存在一定程度的差异，有绩效意识但重视程度需进一步加强。</w:t>
      </w:r>
    </w:p>
    <w:p w14:paraId="554F9AF7">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财务监控制度未得到有效执行，存在一定缺陷。</w:t>
      </w:r>
    </w:p>
    <w:p w14:paraId="4364EE2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p>
    <w:p w14:paraId="5EB87EB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87" w:name="_Hlk110546638"/>
    </w:p>
    <w:bookmarkEnd w:id="87"/>
    <w:p w14:paraId="51CE606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提高思想认识，加强对绩效考评相关工作的重视程度。</w:t>
      </w:r>
    </w:p>
    <w:p w14:paraId="0B73F3A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安排专人参与相关培训学习，提高业务能力。</w:t>
      </w:r>
    </w:p>
    <w:p w14:paraId="455013B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将加强单位内控建设，健全财务管理制度，严格控制经费支出，提高资金使用效率。</w:t>
      </w:r>
    </w:p>
    <w:p w14:paraId="0F23409B">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5BE77FAD">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3D4B2CDA">
      <w:pPr>
        <w:pStyle w:val="5"/>
        <w:rPr>
          <w:rFonts w:hint="eastAsia" w:ascii="Times New Roman" w:hAnsi="Times New Roman" w:cs="宋体"/>
          <w:color w:val="FF0000"/>
          <w:kern w:val="0"/>
          <w:sz w:val="32"/>
          <w:szCs w:val="32"/>
          <w:highlight w:val="yellow"/>
          <w:shd w:val="clear" w:color="auto" w:fill="FFFFFF"/>
          <w:lang w:val="zh-CN"/>
        </w:rPr>
      </w:pPr>
    </w:p>
    <w:p w14:paraId="10620892">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25BF2DB">
      <w:pPr>
        <w:spacing w:line="578" w:lineRule="exact"/>
        <w:jc w:val="left"/>
        <w:rPr>
          <w:rFonts w:eastAsia="黑体"/>
        </w:rPr>
      </w:pPr>
      <w:r>
        <w:rPr>
          <w:rFonts w:eastAsia="黑体"/>
        </w:rPr>
        <w:t>附表</w:t>
      </w:r>
    </w:p>
    <w:p w14:paraId="6B72378D">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6"/>
        <w:tblW w:w="9658" w:type="dxa"/>
        <w:jc w:val="center"/>
        <w:tblLayout w:type="fixed"/>
        <w:tblCellMar>
          <w:top w:w="0" w:type="dxa"/>
          <w:left w:w="108" w:type="dxa"/>
          <w:bottom w:w="0" w:type="dxa"/>
          <w:right w:w="108" w:type="dxa"/>
        </w:tblCellMar>
      </w:tblPr>
      <w:tblGrid>
        <w:gridCol w:w="331"/>
        <w:gridCol w:w="593"/>
        <w:gridCol w:w="803"/>
        <w:gridCol w:w="1246"/>
        <w:gridCol w:w="878"/>
        <w:gridCol w:w="825"/>
        <w:gridCol w:w="1051"/>
        <w:gridCol w:w="1079"/>
        <w:gridCol w:w="1080"/>
        <w:gridCol w:w="1772"/>
      </w:tblGrid>
      <w:tr w14:paraId="259368C3">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1C8FE978">
            <w:pPr>
              <w:rPr>
                <w:rFonts w:hint="eastAsia" w:ascii="宋体" w:hAnsi="宋体" w:eastAsia="宋体" w:cs="宋体"/>
                <w:color w:val="000000"/>
                <w:kern w:val="0"/>
                <w:sz w:val="21"/>
                <w:szCs w:val="21"/>
              </w:rPr>
            </w:pPr>
            <w:r>
              <w:rPr>
                <w:rFonts w:hint="eastAsia" w:ascii="宋体" w:hAnsi="宋体" w:eastAsia="宋体" w:cs="宋体"/>
                <w:sz w:val="21"/>
                <w:szCs w:val="21"/>
              </w:rPr>
              <w:br w:type="page"/>
            </w:r>
            <w:r>
              <w:rPr>
                <w:rFonts w:hint="eastAsia" w:ascii="宋体" w:hAnsi="宋体" w:eastAsia="宋体" w:cs="宋体"/>
                <w:color w:val="000000"/>
                <w:kern w:val="0"/>
                <w:sz w:val="21"/>
                <w:szCs w:val="21"/>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30968D30">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阿坝州</w:t>
            </w:r>
            <w:r>
              <w:rPr>
                <w:rFonts w:hint="eastAsia" w:ascii="宋体" w:hAnsi="宋体" w:eastAsia="宋体" w:cs="宋体"/>
                <w:color w:val="000000"/>
                <w:kern w:val="0"/>
                <w:sz w:val="21"/>
                <w:szCs w:val="21"/>
                <w:lang w:eastAsia="zh-CN"/>
              </w:rPr>
              <w:t>壤塘县人民医院</w:t>
            </w:r>
          </w:p>
        </w:tc>
      </w:tr>
      <w:tr w14:paraId="00B18839">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3D2AB81A">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年度部门整体预算</w:t>
            </w:r>
          </w:p>
        </w:tc>
        <w:tc>
          <w:tcPr>
            <w:tcW w:w="2124" w:type="dxa"/>
            <w:gridSpan w:val="2"/>
            <w:tcBorders>
              <w:top w:val="single" w:color="000000" w:sz="4" w:space="0"/>
              <w:left w:val="single" w:color="auto" w:sz="4" w:space="0"/>
              <w:bottom w:val="single" w:color="000000" w:sz="4" w:space="0"/>
              <w:right w:val="single" w:color="auto" w:sz="4" w:space="0"/>
            </w:tcBorders>
            <w:noWrap/>
            <w:vAlign w:val="center"/>
          </w:tcPr>
          <w:p w14:paraId="5C731211">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资金总额</w:t>
            </w:r>
          </w:p>
        </w:tc>
        <w:tc>
          <w:tcPr>
            <w:tcW w:w="1876" w:type="dxa"/>
            <w:gridSpan w:val="2"/>
            <w:tcBorders>
              <w:top w:val="single" w:color="auto" w:sz="4" w:space="0"/>
              <w:left w:val="single" w:color="auto" w:sz="4" w:space="0"/>
              <w:bottom w:val="single" w:color="auto" w:sz="4" w:space="0"/>
              <w:right w:val="single" w:color="auto" w:sz="4" w:space="0"/>
            </w:tcBorders>
            <w:noWrap/>
            <w:vAlign w:val="center"/>
          </w:tcPr>
          <w:p w14:paraId="7CCEF203">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财政拨款</w:t>
            </w:r>
          </w:p>
        </w:tc>
        <w:tc>
          <w:tcPr>
            <w:tcW w:w="3931" w:type="dxa"/>
            <w:gridSpan w:val="3"/>
            <w:tcBorders>
              <w:top w:val="single" w:color="auto" w:sz="4" w:space="0"/>
              <w:left w:val="single" w:color="auto" w:sz="4" w:space="0"/>
              <w:bottom w:val="single" w:color="auto" w:sz="4" w:space="0"/>
              <w:right w:val="single" w:color="auto" w:sz="4" w:space="0"/>
            </w:tcBorders>
            <w:noWrap/>
            <w:vAlign w:val="center"/>
          </w:tcPr>
          <w:p w14:paraId="7773AC7F">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其他资金</w:t>
            </w:r>
          </w:p>
        </w:tc>
      </w:tr>
      <w:tr w14:paraId="1676A464">
        <w:tblPrEx>
          <w:tblCellMar>
            <w:top w:w="0" w:type="dxa"/>
            <w:left w:w="108" w:type="dxa"/>
            <w:bottom w:w="0" w:type="dxa"/>
            <w:right w:w="108" w:type="dxa"/>
          </w:tblCellMar>
        </w:tblPrEx>
        <w:trPr>
          <w:trHeight w:val="40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0D5D7497">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收入预算</w:t>
            </w:r>
          </w:p>
        </w:tc>
        <w:tc>
          <w:tcPr>
            <w:tcW w:w="2124" w:type="dxa"/>
            <w:gridSpan w:val="2"/>
            <w:tcBorders>
              <w:top w:val="single" w:color="000000" w:sz="4" w:space="0"/>
              <w:left w:val="single" w:color="auto" w:sz="4" w:space="0"/>
              <w:bottom w:val="single" w:color="000000" w:sz="4" w:space="0"/>
              <w:right w:val="single" w:color="auto" w:sz="4" w:space="0"/>
            </w:tcBorders>
            <w:noWrap/>
            <w:vAlign w:val="center"/>
          </w:tcPr>
          <w:p w14:paraId="112F9149">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8124</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45</w:t>
            </w:r>
          </w:p>
        </w:tc>
        <w:tc>
          <w:tcPr>
            <w:tcW w:w="1876" w:type="dxa"/>
            <w:gridSpan w:val="2"/>
            <w:tcBorders>
              <w:top w:val="single" w:color="auto" w:sz="4" w:space="0"/>
              <w:left w:val="single" w:color="auto" w:sz="4" w:space="0"/>
              <w:bottom w:val="single" w:color="auto" w:sz="4" w:space="0"/>
              <w:right w:val="single" w:color="auto" w:sz="4" w:space="0"/>
            </w:tcBorders>
            <w:noWrap/>
            <w:vAlign w:val="center"/>
          </w:tcPr>
          <w:p w14:paraId="63409A34">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6223</w:t>
            </w:r>
            <w:r>
              <w:rPr>
                <w:rFonts w:hint="eastAsia" w:ascii="宋体" w:hAnsi="宋体" w:eastAsia="宋体" w:cs="宋体"/>
                <w:color w:val="000000"/>
                <w:kern w:val="0"/>
                <w:sz w:val="21"/>
                <w:szCs w:val="21"/>
                <w:lang w:val="en-US" w:eastAsia="zh-CN"/>
              </w:rPr>
              <w:t>.10</w:t>
            </w:r>
          </w:p>
        </w:tc>
        <w:tc>
          <w:tcPr>
            <w:tcW w:w="3931" w:type="dxa"/>
            <w:gridSpan w:val="3"/>
            <w:tcBorders>
              <w:top w:val="single" w:color="auto" w:sz="4" w:space="0"/>
              <w:left w:val="single" w:color="auto" w:sz="4" w:space="0"/>
              <w:bottom w:val="single" w:color="auto" w:sz="4" w:space="0"/>
              <w:right w:val="single" w:color="auto" w:sz="4" w:space="0"/>
            </w:tcBorders>
            <w:noWrap/>
            <w:vAlign w:val="center"/>
          </w:tcPr>
          <w:p w14:paraId="73023A25">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1901.36</w:t>
            </w:r>
          </w:p>
        </w:tc>
      </w:tr>
      <w:tr w14:paraId="6ABA137C">
        <w:tblPrEx>
          <w:tblCellMar>
            <w:top w:w="0" w:type="dxa"/>
            <w:left w:w="108" w:type="dxa"/>
            <w:bottom w:w="0" w:type="dxa"/>
            <w:right w:w="108" w:type="dxa"/>
          </w:tblCellMar>
        </w:tblPrEx>
        <w:trPr>
          <w:trHeight w:val="431"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A793F34">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支出预算</w:t>
            </w:r>
          </w:p>
        </w:tc>
        <w:tc>
          <w:tcPr>
            <w:tcW w:w="2124" w:type="dxa"/>
            <w:gridSpan w:val="2"/>
            <w:tcBorders>
              <w:top w:val="single" w:color="000000" w:sz="4" w:space="0"/>
              <w:left w:val="single" w:color="auto" w:sz="4" w:space="0"/>
              <w:bottom w:val="single" w:color="000000" w:sz="4" w:space="0"/>
              <w:right w:val="single" w:color="000000" w:sz="4" w:space="0"/>
            </w:tcBorders>
            <w:noWrap/>
            <w:vAlign w:val="center"/>
          </w:tcPr>
          <w:p w14:paraId="4E6CA22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7588.23</w:t>
            </w:r>
          </w:p>
        </w:tc>
        <w:tc>
          <w:tcPr>
            <w:tcW w:w="1876" w:type="dxa"/>
            <w:gridSpan w:val="2"/>
            <w:tcBorders>
              <w:top w:val="single" w:color="auto" w:sz="4" w:space="0"/>
              <w:left w:val="single" w:color="000000" w:sz="4" w:space="0"/>
              <w:bottom w:val="single" w:color="000000" w:sz="4" w:space="0"/>
              <w:right w:val="single" w:color="000000" w:sz="4" w:space="0"/>
            </w:tcBorders>
            <w:noWrap/>
            <w:vAlign w:val="center"/>
          </w:tcPr>
          <w:p w14:paraId="40D15BB0">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6223.10</w:t>
            </w:r>
          </w:p>
        </w:tc>
        <w:tc>
          <w:tcPr>
            <w:tcW w:w="3931" w:type="dxa"/>
            <w:gridSpan w:val="3"/>
            <w:tcBorders>
              <w:top w:val="single" w:color="auto" w:sz="4" w:space="0"/>
              <w:left w:val="single" w:color="000000" w:sz="4" w:space="0"/>
              <w:bottom w:val="single" w:color="000000" w:sz="4" w:space="0"/>
              <w:right w:val="single" w:color="000000" w:sz="4" w:space="0"/>
            </w:tcBorders>
            <w:noWrap/>
            <w:vAlign w:val="center"/>
          </w:tcPr>
          <w:p w14:paraId="6B2476F1">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1365.13</w:t>
            </w:r>
          </w:p>
        </w:tc>
      </w:tr>
      <w:tr w14:paraId="060538AB">
        <w:tblPrEx>
          <w:tblCellMar>
            <w:top w:w="0" w:type="dxa"/>
            <w:left w:w="108" w:type="dxa"/>
            <w:bottom w:w="0" w:type="dxa"/>
            <w:right w:w="108" w:type="dxa"/>
          </w:tblCellMar>
        </w:tblPrEx>
        <w:trPr>
          <w:trHeight w:val="751"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17583C28">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11A841C8">
            <w:pPr>
              <w:widowControl/>
              <w:tabs>
                <w:tab w:val="left" w:pos="471"/>
              </w:tabs>
              <w:spacing w:line="24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ab/>
            </w:r>
            <w:r>
              <w:rPr>
                <w:rFonts w:hint="eastAsia" w:ascii="宋体" w:hAnsi="宋体" w:eastAsia="宋体" w:cs="宋体"/>
                <w:color w:val="000000"/>
                <w:kern w:val="0"/>
                <w:sz w:val="21"/>
                <w:szCs w:val="21"/>
                <w:lang w:eastAsia="zh-CN"/>
              </w:rPr>
              <w:t>提高医疗服务水平，降低群众看病成本，确保地区医疗水平保持较高质量发展。严格执行相关政策，保障工资及时、足额发放或社保及时、足额缴纳，预算编制科学合理，减少结余资金</w:t>
            </w:r>
          </w:p>
        </w:tc>
      </w:tr>
      <w:tr w14:paraId="6BF68079">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0B5F7E60">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321CC277">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00DC39B">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497AF28A">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878" w:type="dxa"/>
            <w:vMerge w:val="restart"/>
            <w:tcBorders>
              <w:top w:val="single" w:color="000000" w:sz="4" w:space="0"/>
              <w:left w:val="single" w:color="000000" w:sz="4" w:space="0"/>
              <w:bottom w:val="single" w:color="000000" w:sz="4" w:space="0"/>
              <w:right w:val="single" w:color="000000" w:sz="4" w:space="0"/>
            </w:tcBorders>
            <w:noWrap/>
            <w:vAlign w:val="center"/>
          </w:tcPr>
          <w:p w14:paraId="5524D365">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指标值</w:t>
            </w:r>
          </w:p>
        </w:tc>
        <w:tc>
          <w:tcPr>
            <w:tcW w:w="4035" w:type="dxa"/>
            <w:gridSpan w:val="4"/>
            <w:tcBorders>
              <w:top w:val="single" w:color="000000" w:sz="4" w:space="0"/>
              <w:left w:val="single" w:color="000000" w:sz="4" w:space="0"/>
              <w:bottom w:val="single" w:color="000000" w:sz="4" w:space="0"/>
              <w:right w:val="single" w:color="000000" w:sz="4" w:space="0"/>
            </w:tcBorders>
            <w:noWrap/>
            <w:vAlign w:val="center"/>
          </w:tcPr>
          <w:p w14:paraId="6C260CA4">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指标设置参考值</w:t>
            </w:r>
          </w:p>
        </w:tc>
        <w:tc>
          <w:tcPr>
            <w:tcW w:w="1772" w:type="dxa"/>
            <w:vMerge w:val="restart"/>
            <w:tcBorders>
              <w:top w:val="single" w:color="000000" w:sz="4" w:space="0"/>
              <w:left w:val="single" w:color="000000" w:sz="4" w:space="0"/>
              <w:right w:val="single" w:color="000000" w:sz="4" w:space="0"/>
            </w:tcBorders>
            <w:noWrap/>
            <w:vAlign w:val="center"/>
          </w:tcPr>
          <w:p w14:paraId="63F2B5D1">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指标实际完成值</w:t>
            </w:r>
          </w:p>
        </w:tc>
      </w:tr>
      <w:tr w14:paraId="47128ED8">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68C7CEB">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0C2C3F1">
            <w:pPr>
              <w:widowControl/>
              <w:spacing w:line="240" w:lineRule="exact"/>
              <w:jc w:val="center"/>
              <w:textAlignment w:val="center"/>
              <w:rPr>
                <w:rFonts w:hint="eastAsia"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31EFDF2">
            <w:pPr>
              <w:widowControl/>
              <w:spacing w:line="240" w:lineRule="exact"/>
              <w:jc w:val="center"/>
              <w:textAlignment w:val="center"/>
              <w:rPr>
                <w:rFonts w:hint="eastAsia" w:ascii="宋体" w:hAnsi="宋体" w:eastAsia="宋体" w:cs="宋体"/>
                <w:color w:val="000000"/>
                <w:kern w:val="0"/>
                <w:sz w:val="21"/>
                <w:szCs w:val="21"/>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3C481E27">
            <w:pPr>
              <w:widowControl/>
              <w:spacing w:line="240" w:lineRule="exact"/>
              <w:jc w:val="center"/>
              <w:textAlignment w:val="center"/>
              <w:rPr>
                <w:rFonts w:hint="eastAsia" w:ascii="宋体" w:hAnsi="宋体" w:eastAsia="宋体" w:cs="宋体"/>
                <w:color w:val="000000"/>
                <w:kern w:val="0"/>
                <w:sz w:val="21"/>
                <w:szCs w:val="21"/>
              </w:rPr>
            </w:pPr>
          </w:p>
        </w:tc>
        <w:tc>
          <w:tcPr>
            <w:tcW w:w="878" w:type="dxa"/>
            <w:vMerge w:val="continue"/>
            <w:tcBorders>
              <w:top w:val="single" w:color="000000" w:sz="4" w:space="0"/>
              <w:left w:val="single" w:color="000000" w:sz="4" w:space="0"/>
              <w:bottom w:val="single" w:color="000000" w:sz="4" w:space="0"/>
              <w:right w:val="single" w:color="000000" w:sz="4" w:space="0"/>
            </w:tcBorders>
            <w:noWrap/>
            <w:vAlign w:val="center"/>
          </w:tcPr>
          <w:p w14:paraId="549015CF">
            <w:pPr>
              <w:widowControl/>
              <w:spacing w:line="240" w:lineRule="exact"/>
              <w:jc w:val="center"/>
              <w:textAlignment w:val="center"/>
              <w:rPr>
                <w:rFonts w:hint="eastAsia" w:ascii="宋体" w:hAnsi="宋体" w:eastAsia="宋体" w:cs="宋体"/>
                <w:color w:val="000000"/>
                <w:kern w:val="0"/>
                <w:sz w:val="21"/>
                <w:szCs w:val="21"/>
              </w:rPr>
            </w:pPr>
          </w:p>
        </w:tc>
        <w:tc>
          <w:tcPr>
            <w:tcW w:w="825" w:type="dxa"/>
            <w:tcBorders>
              <w:top w:val="single" w:color="000000" w:sz="4" w:space="0"/>
              <w:left w:val="single" w:color="000000" w:sz="4" w:space="0"/>
              <w:right w:val="single" w:color="000000" w:sz="4" w:space="0"/>
            </w:tcBorders>
            <w:noWrap/>
            <w:vAlign w:val="center"/>
          </w:tcPr>
          <w:p w14:paraId="16262A8D">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三年</w:t>
            </w:r>
          </w:p>
          <w:p w14:paraId="5CB6C118">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均值</w:t>
            </w:r>
          </w:p>
        </w:tc>
        <w:tc>
          <w:tcPr>
            <w:tcW w:w="1051" w:type="dxa"/>
            <w:tcBorders>
              <w:top w:val="single" w:color="000000" w:sz="4" w:space="0"/>
              <w:left w:val="single" w:color="000000" w:sz="4" w:space="0"/>
              <w:bottom w:val="single" w:color="000000" w:sz="4" w:space="0"/>
              <w:right w:val="single" w:color="000000" w:sz="4" w:space="0"/>
            </w:tcBorders>
            <w:noWrap/>
            <w:vAlign w:val="center"/>
          </w:tcPr>
          <w:p w14:paraId="71A87B86">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2023年</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281D106A">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E4B5D9D">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2025年</w:t>
            </w:r>
          </w:p>
        </w:tc>
        <w:tc>
          <w:tcPr>
            <w:tcW w:w="1772" w:type="dxa"/>
            <w:vMerge w:val="continue"/>
            <w:tcBorders>
              <w:left w:val="single" w:color="000000" w:sz="4" w:space="0"/>
              <w:right w:val="single" w:color="000000" w:sz="4" w:space="0"/>
            </w:tcBorders>
            <w:noWrap/>
            <w:vAlign w:val="center"/>
          </w:tcPr>
          <w:p w14:paraId="147A97CE">
            <w:pPr>
              <w:widowControl/>
              <w:spacing w:line="240" w:lineRule="exact"/>
              <w:jc w:val="center"/>
              <w:textAlignment w:val="center"/>
              <w:rPr>
                <w:rFonts w:hint="eastAsia" w:ascii="宋体" w:hAnsi="宋体" w:eastAsia="宋体" w:cs="宋体"/>
                <w:color w:val="000000"/>
                <w:kern w:val="0"/>
                <w:sz w:val="21"/>
                <w:szCs w:val="21"/>
              </w:rPr>
            </w:pPr>
          </w:p>
        </w:tc>
      </w:tr>
      <w:tr w14:paraId="145242C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C321024">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7B66FA4D">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2DD3C55B">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0643AEC">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财政拨款预算编制偏离度</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63D8536F">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120</w:t>
            </w:r>
            <w:r>
              <w:rPr>
                <w:rFonts w:hint="eastAsia" w:ascii="宋体" w:hAnsi="宋体" w:eastAsia="宋体" w:cs="宋体"/>
                <w:color w:val="000000"/>
                <w:kern w:val="0"/>
                <w:sz w:val="21"/>
                <w:szCs w:val="21"/>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7A97536">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218.05%</w:t>
            </w:r>
          </w:p>
        </w:tc>
        <w:tc>
          <w:tcPr>
            <w:tcW w:w="1051" w:type="dxa"/>
            <w:tcBorders>
              <w:top w:val="single" w:color="000000" w:sz="4" w:space="0"/>
              <w:left w:val="single" w:color="000000" w:sz="4" w:space="0"/>
              <w:bottom w:val="single" w:color="000000" w:sz="4" w:space="0"/>
              <w:right w:val="single" w:color="000000" w:sz="4" w:space="0"/>
            </w:tcBorders>
            <w:noWrap/>
            <w:vAlign w:val="center"/>
          </w:tcPr>
          <w:p w14:paraId="6EC0FD11">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157.22</w:t>
            </w:r>
            <w:r>
              <w:rPr>
                <w:rFonts w:hint="eastAsia" w:ascii="宋体" w:hAnsi="宋体" w:eastAsia="宋体" w:cs="宋体"/>
                <w:color w:val="000000"/>
                <w:kern w:val="0"/>
                <w:sz w:val="21"/>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1D02BC92">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343.68</w:t>
            </w:r>
            <w:r>
              <w:rPr>
                <w:rFonts w:hint="eastAsia" w:ascii="宋体" w:hAnsi="宋体" w:eastAsia="宋体" w:cs="宋体"/>
                <w:color w:val="000000"/>
                <w:kern w:val="0"/>
                <w:sz w:val="21"/>
                <w:szCs w:val="21"/>
              </w:rPr>
              <w:t>%</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29F935E">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153.25</w:t>
            </w:r>
            <w:r>
              <w:rPr>
                <w:rFonts w:hint="eastAsia" w:ascii="宋体" w:hAnsi="宋体" w:eastAsia="宋体" w:cs="宋体"/>
                <w:color w:val="000000"/>
                <w:kern w:val="0"/>
                <w:sz w:val="21"/>
                <w:szCs w:val="21"/>
              </w:rPr>
              <w:t>%</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4C85601A">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153.25</w:t>
            </w:r>
            <w:r>
              <w:rPr>
                <w:rFonts w:hint="eastAsia" w:ascii="宋体" w:hAnsi="宋体" w:eastAsia="宋体" w:cs="宋体"/>
                <w:color w:val="000000"/>
                <w:kern w:val="0"/>
                <w:sz w:val="21"/>
                <w:szCs w:val="21"/>
              </w:rPr>
              <w:t>%</w:t>
            </w:r>
          </w:p>
        </w:tc>
      </w:tr>
      <w:tr w14:paraId="3891DD9A">
        <w:tblPrEx>
          <w:tblCellMar>
            <w:top w:w="0" w:type="dxa"/>
            <w:left w:w="108" w:type="dxa"/>
            <w:bottom w:w="0" w:type="dxa"/>
            <w:right w:w="108" w:type="dxa"/>
          </w:tblCellMar>
        </w:tblPrEx>
        <w:trPr>
          <w:trHeight w:val="57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E07A17A">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65CE63B">
            <w:pPr>
              <w:widowControl/>
              <w:spacing w:line="240" w:lineRule="exact"/>
              <w:jc w:val="center"/>
              <w:textAlignment w:val="center"/>
              <w:rPr>
                <w:rFonts w:hint="eastAsia"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50EC0A5">
            <w:pPr>
              <w:widowControl/>
              <w:spacing w:line="240" w:lineRule="exact"/>
              <w:jc w:val="center"/>
              <w:textAlignment w:val="center"/>
              <w:rPr>
                <w:rFonts w:hint="eastAsia" w:ascii="宋体" w:hAnsi="宋体" w:eastAsia="宋体" w:cs="宋体"/>
                <w:color w:val="000000"/>
                <w:kern w:val="0"/>
                <w:sz w:val="21"/>
                <w:szCs w:val="21"/>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C3FD5F0">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单位收入统筹度</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621CB575">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100%</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478CDA2">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100%</w:t>
            </w:r>
          </w:p>
        </w:tc>
        <w:tc>
          <w:tcPr>
            <w:tcW w:w="1051" w:type="dxa"/>
            <w:tcBorders>
              <w:top w:val="single" w:color="000000" w:sz="4" w:space="0"/>
              <w:left w:val="single" w:color="000000" w:sz="4" w:space="0"/>
              <w:bottom w:val="single" w:color="000000" w:sz="4" w:space="0"/>
              <w:right w:val="single" w:color="000000" w:sz="4" w:space="0"/>
            </w:tcBorders>
            <w:noWrap/>
            <w:vAlign w:val="center"/>
          </w:tcPr>
          <w:p w14:paraId="76CD7D94">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100%%</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2835FF75">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100%</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46D105E">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100%</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12DB5665">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val="en-US" w:eastAsia="zh-CN"/>
              </w:rPr>
              <w:t>100%</w:t>
            </w:r>
          </w:p>
        </w:tc>
      </w:tr>
      <w:tr w14:paraId="1D989D9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39CA2F7">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1414AE2">
            <w:pPr>
              <w:widowControl/>
              <w:spacing w:line="240" w:lineRule="exact"/>
              <w:jc w:val="center"/>
              <w:textAlignment w:val="center"/>
              <w:rPr>
                <w:rFonts w:hint="eastAsia"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19CF7B3">
            <w:pPr>
              <w:widowControl/>
              <w:spacing w:line="240" w:lineRule="exact"/>
              <w:jc w:val="center"/>
              <w:textAlignment w:val="center"/>
              <w:rPr>
                <w:rFonts w:hint="eastAsia" w:ascii="宋体" w:hAnsi="宋体" w:eastAsia="宋体" w:cs="宋体"/>
                <w:color w:val="000000"/>
                <w:kern w:val="0"/>
                <w:sz w:val="21"/>
                <w:szCs w:val="21"/>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E835A8D">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预算年终结余率</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6BCEE50B">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highlight w:val="none"/>
                <w:lang w:val="en-US" w:eastAsia="zh-CN"/>
              </w:rPr>
              <w:t>1.5</w:t>
            </w:r>
            <w:r>
              <w:rPr>
                <w:rFonts w:hint="eastAsia" w:ascii="宋体" w:hAnsi="宋体" w:eastAsia="宋体" w:cs="宋体"/>
                <w:color w:val="000000"/>
                <w:kern w:val="0"/>
                <w:sz w:val="21"/>
                <w:szCs w:val="21"/>
                <w:highlight w:val="none"/>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1E6CCCD">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14.89</w:t>
            </w:r>
            <w:r>
              <w:rPr>
                <w:rFonts w:hint="eastAsia" w:ascii="宋体" w:hAnsi="宋体" w:eastAsia="宋体" w:cs="宋体"/>
                <w:color w:val="000000"/>
                <w:kern w:val="0"/>
                <w:sz w:val="21"/>
                <w:szCs w:val="21"/>
              </w:rPr>
              <w:t>%</w:t>
            </w:r>
          </w:p>
        </w:tc>
        <w:tc>
          <w:tcPr>
            <w:tcW w:w="1051" w:type="dxa"/>
            <w:tcBorders>
              <w:top w:val="single" w:color="000000" w:sz="4" w:space="0"/>
              <w:left w:val="single" w:color="000000" w:sz="4" w:space="0"/>
              <w:bottom w:val="single" w:color="000000" w:sz="4" w:space="0"/>
              <w:right w:val="single" w:color="000000" w:sz="4" w:space="0"/>
            </w:tcBorders>
            <w:noWrap/>
            <w:vAlign w:val="center"/>
          </w:tcPr>
          <w:p w14:paraId="0C306F91">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9.04</w:t>
            </w:r>
            <w:r>
              <w:rPr>
                <w:rFonts w:hint="eastAsia" w:ascii="宋体" w:hAnsi="宋体" w:eastAsia="宋体" w:cs="宋体"/>
                <w:color w:val="000000"/>
                <w:kern w:val="0"/>
                <w:sz w:val="21"/>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7DE53899">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7.45</w:t>
            </w:r>
            <w:r>
              <w:rPr>
                <w:rFonts w:hint="eastAsia" w:ascii="宋体" w:hAnsi="宋体" w:eastAsia="宋体" w:cs="宋体"/>
                <w:color w:val="000000"/>
                <w:kern w:val="0"/>
                <w:sz w:val="21"/>
                <w:szCs w:val="21"/>
              </w:rPr>
              <w:t>%</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C6BA51B">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28.20</w:t>
            </w:r>
            <w:r>
              <w:rPr>
                <w:rFonts w:hint="eastAsia" w:ascii="宋体" w:hAnsi="宋体" w:eastAsia="宋体" w:cs="宋体"/>
                <w:color w:val="000000"/>
                <w:kern w:val="0"/>
                <w:sz w:val="21"/>
                <w:szCs w:val="21"/>
              </w:rPr>
              <w:t>%</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5E28A18E">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28.20</w:t>
            </w:r>
            <w:r>
              <w:rPr>
                <w:rFonts w:hint="eastAsia" w:ascii="宋体" w:hAnsi="宋体" w:eastAsia="宋体" w:cs="宋体"/>
                <w:color w:val="000000"/>
                <w:kern w:val="0"/>
                <w:sz w:val="21"/>
                <w:szCs w:val="21"/>
              </w:rPr>
              <w:t>%</w:t>
            </w:r>
          </w:p>
        </w:tc>
      </w:tr>
      <w:tr w14:paraId="7FF0856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3CE181A">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1EF4781">
            <w:pPr>
              <w:widowControl/>
              <w:spacing w:line="240" w:lineRule="exact"/>
              <w:jc w:val="center"/>
              <w:textAlignment w:val="center"/>
              <w:rPr>
                <w:rFonts w:hint="eastAsia" w:ascii="宋体" w:hAnsi="宋体" w:eastAsia="宋体" w:cs="宋体"/>
                <w:color w:val="000000"/>
                <w:kern w:val="0"/>
                <w:sz w:val="21"/>
                <w:szCs w:val="21"/>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9A24FB9">
            <w:pPr>
              <w:widowControl/>
              <w:spacing w:line="240" w:lineRule="exact"/>
              <w:jc w:val="center"/>
              <w:textAlignment w:val="center"/>
              <w:rPr>
                <w:rFonts w:hint="eastAsia" w:ascii="宋体" w:hAnsi="宋体" w:eastAsia="宋体" w:cs="宋体"/>
                <w:color w:val="000000"/>
                <w:kern w:val="0"/>
                <w:sz w:val="21"/>
                <w:szCs w:val="21"/>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6415C19">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一般性支出金额</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2B367A27">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highlight w:val="none"/>
                <w:lang w:val="en-US" w:eastAsia="zh-CN"/>
              </w:rPr>
              <w:t>10</w:t>
            </w:r>
            <w:r>
              <w:rPr>
                <w:rFonts w:hint="eastAsia" w:ascii="宋体" w:hAnsi="宋体" w:eastAsia="宋体" w:cs="宋体"/>
                <w:color w:val="000000"/>
                <w:kern w:val="0"/>
                <w:sz w:val="21"/>
                <w:szCs w:val="21"/>
                <w:highlight w:val="none"/>
              </w:rPr>
              <w:t>万元</w:t>
            </w:r>
          </w:p>
        </w:tc>
        <w:tc>
          <w:tcPr>
            <w:tcW w:w="4035" w:type="dxa"/>
            <w:gridSpan w:val="4"/>
            <w:tcBorders>
              <w:top w:val="single" w:color="000000" w:sz="4" w:space="0"/>
              <w:left w:val="single" w:color="000000" w:sz="4" w:space="0"/>
              <w:bottom w:val="single" w:color="000000" w:sz="4" w:space="0"/>
              <w:right w:val="single" w:color="000000" w:sz="4" w:space="0"/>
            </w:tcBorders>
            <w:noWrap/>
            <w:vAlign w:val="center"/>
          </w:tcPr>
          <w:p w14:paraId="246FCAA8">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3E92BFF5">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18"/>
                <w:szCs w:val="18"/>
                <w:lang w:val="en-US" w:eastAsia="zh-CN"/>
              </w:rPr>
              <w:t>2025年</w:t>
            </w:r>
            <w:r>
              <w:rPr>
                <w:rFonts w:hint="eastAsia" w:ascii="宋体" w:hAnsi="宋体" w:eastAsia="宋体" w:cs="宋体"/>
                <w:color w:val="000000"/>
                <w:kern w:val="0"/>
                <w:sz w:val="18"/>
                <w:szCs w:val="18"/>
              </w:rPr>
              <w:t>一般性支出金额</w:t>
            </w:r>
            <w:r>
              <w:rPr>
                <w:rFonts w:hint="eastAsia" w:ascii="宋体" w:hAnsi="宋体" w:eastAsia="宋体" w:cs="宋体"/>
                <w:color w:val="000000"/>
                <w:kern w:val="0"/>
                <w:sz w:val="18"/>
                <w:szCs w:val="18"/>
                <w:lang w:eastAsia="zh-CN"/>
              </w:rPr>
              <w:t>为</w:t>
            </w:r>
            <w:r>
              <w:rPr>
                <w:rFonts w:hint="eastAsia" w:ascii="宋体" w:hAnsi="宋体" w:eastAsia="宋体" w:cs="宋体"/>
                <w:color w:val="000000"/>
                <w:kern w:val="0"/>
                <w:sz w:val="21"/>
                <w:szCs w:val="21"/>
                <w:lang w:val="en-US" w:eastAsia="zh-CN"/>
              </w:rPr>
              <w:t>8.90万元</w:t>
            </w:r>
          </w:p>
        </w:tc>
      </w:tr>
      <w:tr w14:paraId="7E8694E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E70D27E">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0143488">
            <w:pPr>
              <w:widowControl/>
              <w:spacing w:line="240" w:lineRule="exact"/>
              <w:jc w:val="center"/>
              <w:textAlignment w:val="center"/>
              <w:rPr>
                <w:rFonts w:hint="eastAsia"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2AD654F">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9B5471">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财务管理规范</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0755AACE">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中</w:t>
            </w:r>
          </w:p>
        </w:tc>
        <w:tc>
          <w:tcPr>
            <w:tcW w:w="4035" w:type="dxa"/>
            <w:gridSpan w:val="4"/>
            <w:tcBorders>
              <w:top w:val="single" w:color="000000" w:sz="4" w:space="0"/>
              <w:left w:val="single" w:color="000000" w:sz="4" w:space="0"/>
              <w:bottom w:val="single" w:color="000000" w:sz="4" w:space="0"/>
              <w:right w:val="single" w:color="000000" w:sz="4" w:space="0"/>
            </w:tcBorders>
            <w:noWrap/>
            <w:vAlign w:val="center"/>
          </w:tcPr>
          <w:p w14:paraId="0247AB35">
            <w:pPr>
              <w:widowControl/>
              <w:spacing w:line="240" w:lineRule="exact"/>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18"/>
                <w:szCs w:val="18"/>
              </w:rPr>
              <w:t>x为“优”“良”“中”或“差”</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04775045">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良</w:t>
            </w:r>
          </w:p>
        </w:tc>
      </w:tr>
      <w:tr w14:paraId="6118654C">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22663A3">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15951EB">
            <w:pPr>
              <w:widowControl/>
              <w:spacing w:line="240" w:lineRule="exact"/>
              <w:jc w:val="center"/>
              <w:textAlignment w:val="center"/>
              <w:rPr>
                <w:rFonts w:hint="eastAsia"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4310E37">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FB21478">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资产配置预算偏离度</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2F79151D">
            <w:pPr>
              <w:widowControl/>
              <w:spacing w:line="240" w:lineRule="exact"/>
              <w:jc w:val="center"/>
              <w:textAlignment w:val="center"/>
              <w:rPr>
                <w:rFonts w:hint="eastAsia" w:ascii="宋体" w:hAnsi="宋体" w:eastAsia="宋体" w:cs="宋体"/>
                <w:color w:val="000000"/>
                <w:kern w:val="0"/>
                <w:sz w:val="21"/>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73C6D9F">
            <w:pPr>
              <w:widowControl/>
              <w:spacing w:line="240" w:lineRule="exact"/>
              <w:jc w:val="center"/>
              <w:textAlignment w:val="center"/>
              <w:rPr>
                <w:rFonts w:hint="eastAsia" w:ascii="宋体" w:hAnsi="宋体" w:eastAsia="宋体" w:cs="宋体"/>
                <w:color w:val="000000"/>
                <w:kern w:val="0"/>
                <w:sz w:val="21"/>
                <w:szCs w:val="21"/>
              </w:rPr>
            </w:pPr>
          </w:p>
        </w:tc>
        <w:tc>
          <w:tcPr>
            <w:tcW w:w="1051" w:type="dxa"/>
            <w:tcBorders>
              <w:top w:val="single" w:color="000000" w:sz="4" w:space="0"/>
              <w:left w:val="single" w:color="000000" w:sz="4" w:space="0"/>
              <w:bottom w:val="single" w:color="000000" w:sz="4" w:space="0"/>
              <w:right w:val="single" w:color="000000" w:sz="4" w:space="0"/>
            </w:tcBorders>
            <w:noWrap/>
            <w:vAlign w:val="center"/>
          </w:tcPr>
          <w:p w14:paraId="2A2A6DE1">
            <w:pPr>
              <w:widowControl/>
              <w:spacing w:line="240" w:lineRule="exact"/>
              <w:jc w:val="center"/>
              <w:textAlignment w:val="center"/>
              <w:rPr>
                <w:rFonts w:hint="eastAsia" w:ascii="宋体" w:hAnsi="宋体" w:eastAsia="宋体" w:cs="宋体"/>
                <w:color w:val="000000"/>
                <w:kern w:val="0"/>
                <w:sz w:val="21"/>
                <w:szCs w:val="21"/>
              </w:rPr>
            </w:pP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0FB8629E">
            <w:pPr>
              <w:widowControl/>
              <w:spacing w:line="240" w:lineRule="exact"/>
              <w:jc w:val="center"/>
              <w:textAlignment w:val="center"/>
              <w:rPr>
                <w:rFonts w:hint="eastAsia" w:ascii="宋体" w:hAnsi="宋体" w:eastAsia="宋体" w:cs="宋体"/>
                <w:color w:val="000000"/>
                <w:kern w:val="0"/>
                <w:sz w:val="21"/>
                <w:szCs w:val="21"/>
              </w:rPr>
            </w:pP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0C55B03">
            <w:pPr>
              <w:widowControl/>
              <w:spacing w:line="240" w:lineRule="exact"/>
              <w:jc w:val="center"/>
              <w:textAlignment w:val="center"/>
              <w:rPr>
                <w:rFonts w:hint="eastAsia" w:ascii="宋体" w:hAnsi="宋体" w:eastAsia="宋体" w:cs="宋体"/>
                <w:color w:val="000000"/>
                <w:kern w:val="0"/>
                <w:sz w:val="21"/>
                <w:szCs w:val="21"/>
              </w:rPr>
            </w:pP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51F956BF">
            <w:pPr>
              <w:widowControl/>
              <w:spacing w:line="240" w:lineRule="exact"/>
              <w:jc w:val="center"/>
              <w:textAlignment w:val="center"/>
              <w:rPr>
                <w:rFonts w:hint="eastAsia" w:ascii="宋体" w:hAnsi="宋体" w:eastAsia="宋体" w:cs="宋体"/>
                <w:color w:val="000000"/>
                <w:kern w:val="0"/>
                <w:sz w:val="21"/>
                <w:szCs w:val="21"/>
              </w:rPr>
            </w:pPr>
          </w:p>
        </w:tc>
      </w:tr>
      <w:tr w14:paraId="454E7A1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6D45942">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C24A243">
            <w:pPr>
              <w:widowControl/>
              <w:spacing w:line="240" w:lineRule="exact"/>
              <w:jc w:val="center"/>
              <w:textAlignment w:val="center"/>
              <w:rPr>
                <w:rFonts w:hint="eastAsia" w:ascii="宋体" w:hAnsi="宋体" w:eastAsia="宋体" w:cs="宋体"/>
                <w:color w:val="000000"/>
                <w:kern w:val="0"/>
                <w:sz w:val="21"/>
                <w:szCs w:val="21"/>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8B2EA1E">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BEF165">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采购执行率</w:t>
            </w: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157D2986">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97</w:t>
            </w:r>
            <w:r>
              <w:rPr>
                <w:rFonts w:hint="eastAsia" w:ascii="宋体" w:hAnsi="宋体" w:eastAsia="宋体" w:cs="宋体"/>
                <w:color w:val="000000"/>
                <w:kern w:val="0"/>
                <w:sz w:val="21"/>
                <w:szCs w:val="21"/>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4825B2D">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86.47</w:t>
            </w:r>
            <w:r>
              <w:rPr>
                <w:rFonts w:hint="eastAsia" w:ascii="宋体" w:hAnsi="宋体" w:eastAsia="宋体" w:cs="宋体"/>
                <w:color w:val="000000"/>
                <w:kern w:val="0"/>
                <w:sz w:val="21"/>
                <w:szCs w:val="21"/>
              </w:rPr>
              <w:t>%</w:t>
            </w:r>
          </w:p>
        </w:tc>
        <w:tc>
          <w:tcPr>
            <w:tcW w:w="1051" w:type="dxa"/>
            <w:tcBorders>
              <w:top w:val="single" w:color="000000" w:sz="4" w:space="0"/>
              <w:left w:val="single" w:color="000000" w:sz="4" w:space="0"/>
              <w:bottom w:val="single" w:color="000000" w:sz="4" w:space="0"/>
              <w:right w:val="single" w:color="000000" w:sz="4" w:space="0"/>
            </w:tcBorders>
            <w:noWrap/>
            <w:vAlign w:val="center"/>
          </w:tcPr>
          <w:p w14:paraId="350263D1">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68.67%</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221644AB">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93.43%</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0098ED5">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97.32%</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046BEFBD">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val="en-US" w:eastAsia="zh-CN"/>
              </w:rPr>
              <w:t>97.32%</w:t>
            </w:r>
          </w:p>
        </w:tc>
      </w:tr>
      <w:tr w14:paraId="701F6A6A">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right w:val="single" w:color="000000" w:sz="4" w:space="0"/>
            </w:tcBorders>
            <w:noWrap/>
            <w:vAlign w:val="center"/>
          </w:tcPr>
          <w:p w14:paraId="66EAAF7A">
            <w:pPr>
              <w:widowControl/>
              <w:spacing w:line="240" w:lineRule="exact"/>
              <w:jc w:val="center"/>
              <w:textAlignment w:val="center"/>
              <w:rPr>
                <w:rFonts w:hint="eastAsia" w:ascii="宋体" w:hAnsi="宋体" w:eastAsia="宋体" w:cs="宋体"/>
                <w:color w:val="000000"/>
                <w:kern w:val="0"/>
                <w:sz w:val="21"/>
                <w:szCs w:val="21"/>
                <w:highlight w:val="none"/>
              </w:rPr>
            </w:pPr>
          </w:p>
          <w:p w14:paraId="3CD4D916">
            <w:pPr>
              <w:widowControl/>
              <w:spacing w:line="240" w:lineRule="exact"/>
              <w:jc w:val="center"/>
              <w:textAlignment w:val="center"/>
              <w:rPr>
                <w:rFonts w:hint="eastAsia" w:ascii="宋体" w:hAnsi="宋体" w:eastAsia="宋体" w:cs="宋体"/>
                <w:color w:val="000000"/>
                <w:kern w:val="0"/>
                <w:sz w:val="21"/>
                <w:szCs w:val="21"/>
                <w:highlight w:val="none"/>
              </w:rPr>
            </w:pPr>
          </w:p>
          <w:p w14:paraId="3E3BFEA6">
            <w:pPr>
              <w:widowControl/>
              <w:spacing w:line="240" w:lineRule="exact"/>
              <w:jc w:val="center"/>
              <w:textAlignment w:val="center"/>
              <w:rPr>
                <w:rFonts w:hint="eastAsia" w:ascii="宋体" w:hAnsi="宋体" w:eastAsia="宋体" w:cs="宋体"/>
                <w:color w:val="000000"/>
                <w:kern w:val="0"/>
                <w:sz w:val="21"/>
                <w:szCs w:val="21"/>
                <w:highlight w:val="none"/>
              </w:rPr>
            </w:pPr>
          </w:p>
          <w:p w14:paraId="40578D1A">
            <w:pPr>
              <w:widowControl/>
              <w:spacing w:line="240" w:lineRule="exact"/>
              <w:jc w:val="center"/>
              <w:textAlignment w:val="center"/>
              <w:rPr>
                <w:rFonts w:hint="eastAsia" w:ascii="宋体" w:hAnsi="宋体" w:eastAsia="宋体" w:cs="宋体"/>
                <w:color w:val="000000"/>
                <w:kern w:val="0"/>
                <w:sz w:val="21"/>
                <w:szCs w:val="21"/>
                <w:highlight w:val="none"/>
              </w:rPr>
            </w:pPr>
          </w:p>
          <w:p w14:paraId="4A3EE51E">
            <w:pPr>
              <w:widowControl/>
              <w:spacing w:line="240" w:lineRule="exact"/>
              <w:jc w:val="center"/>
              <w:textAlignment w:val="center"/>
              <w:rPr>
                <w:rFonts w:hint="eastAsia" w:ascii="宋体" w:hAnsi="宋体" w:eastAsia="宋体" w:cs="宋体"/>
                <w:color w:val="000000"/>
                <w:kern w:val="0"/>
                <w:sz w:val="21"/>
                <w:szCs w:val="21"/>
                <w:highlight w:val="none"/>
              </w:rPr>
            </w:pPr>
          </w:p>
          <w:p w14:paraId="2CCBEBD0">
            <w:pPr>
              <w:widowControl/>
              <w:spacing w:line="240" w:lineRule="exact"/>
              <w:jc w:val="center"/>
              <w:textAlignment w:val="center"/>
              <w:rPr>
                <w:rFonts w:hint="eastAsia" w:ascii="宋体" w:hAnsi="宋体" w:eastAsia="宋体" w:cs="宋体"/>
                <w:color w:val="000000"/>
                <w:kern w:val="0"/>
                <w:sz w:val="21"/>
                <w:szCs w:val="21"/>
                <w:highlight w:val="none"/>
              </w:rPr>
            </w:pPr>
          </w:p>
          <w:p w14:paraId="4721B63F">
            <w:pPr>
              <w:widowControl/>
              <w:spacing w:line="240" w:lineRule="exact"/>
              <w:jc w:val="center"/>
              <w:textAlignment w:val="center"/>
              <w:rPr>
                <w:rFonts w:hint="eastAsia" w:ascii="宋体" w:hAnsi="宋体" w:eastAsia="宋体" w:cs="宋体"/>
                <w:color w:val="000000"/>
                <w:kern w:val="0"/>
                <w:sz w:val="21"/>
                <w:szCs w:val="21"/>
                <w:highlight w:val="none"/>
              </w:rPr>
            </w:pPr>
          </w:p>
          <w:p w14:paraId="103B6D8E">
            <w:pPr>
              <w:widowControl/>
              <w:spacing w:line="240" w:lineRule="exact"/>
              <w:jc w:val="center"/>
              <w:textAlignment w:val="center"/>
              <w:rPr>
                <w:rFonts w:hint="eastAsia" w:ascii="宋体" w:hAnsi="宋体" w:eastAsia="宋体" w:cs="宋体"/>
                <w:color w:val="000000"/>
                <w:kern w:val="0"/>
                <w:sz w:val="21"/>
                <w:szCs w:val="21"/>
                <w:highlight w:val="none"/>
              </w:rPr>
            </w:pPr>
          </w:p>
          <w:p w14:paraId="62E68546">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1BA170C">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593F737">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二级指标</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664A4CDB">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三级指标</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274A6DF4">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指标值</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117ABADA">
            <w:pPr>
              <w:widowControl/>
              <w:spacing w:line="240" w:lineRule="exact"/>
              <w:jc w:val="center"/>
              <w:textAlignment w:val="center"/>
              <w:rPr>
                <w:rFonts w:hint="eastAsia" w:ascii="宋体" w:hAnsi="宋体" w:eastAsia="宋体" w:cs="宋体"/>
                <w:color w:val="000000"/>
                <w:kern w:val="0"/>
                <w:sz w:val="21"/>
                <w:szCs w:val="21"/>
                <w:highlight w:val="none"/>
              </w:rPr>
            </w:pPr>
          </w:p>
        </w:tc>
      </w:tr>
      <w:tr w14:paraId="2EB89C12">
        <w:tblPrEx>
          <w:tblCellMar>
            <w:top w:w="0" w:type="dxa"/>
            <w:left w:w="108" w:type="dxa"/>
            <w:bottom w:w="0" w:type="dxa"/>
            <w:right w:w="108" w:type="dxa"/>
          </w:tblCellMar>
        </w:tblPrEx>
        <w:trPr>
          <w:trHeight w:val="505" w:hRule="atLeast"/>
          <w:jc w:val="center"/>
        </w:trPr>
        <w:tc>
          <w:tcPr>
            <w:tcW w:w="331" w:type="dxa"/>
            <w:vMerge w:val="continue"/>
            <w:tcBorders>
              <w:left w:val="single" w:color="000000" w:sz="4" w:space="0"/>
              <w:right w:val="single" w:color="000000" w:sz="4" w:space="0"/>
            </w:tcBorders>
            <w:noWrap/>
            <w:vAlign w:val="center"/>
          </w:tcPr>
          <w:p w14:paraId="63A099EF">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593" w:type="dxa"/>
            <w:vMerge w:val="restart"/>
            <w:tcBorders>
              <w:top w:val="single" w:color="000000" w:sz="4" w:space="0"/>
              <w:left w:val="single" w:color="000000" w:sz="4" w:space="0"/>
              <w:right w:val="single" w:color="000000" w:sz="4" w:space="0"/>
            </w:tcBorders>
            <w:noWrap/>
            <w:vAlign w:val="center"/>
          </w:tcPr>
          <w:p w14:paraId="298C83EF">
            <w:pPr>
              <w:widowControl/>
              <w:spacing w:line="240" w:lineRule="exact"/>
              <w:jc w:val="center"/>
              <w:textAlignment w:val="center"/>
              <w:rPr>
                <w:rFonts w:hint="eastAsia" w:ascii="宋体" w:hAnsi="宋体" w:eastAsia="宋体" w:cs="宋体"/>
                <w:color w:val="000000"/>
                <w:kern w:val="0"/>
                <w:sz w:val="21"/>
                <w:szCs w:val="21"/>
                <w:highlight w:val="none"/>
              </w:rPr>
            </w:pPr>
          </w:p>
          <w:p w14:paraId="698B3026">
            <w:pPr>
              <w:widowControl/>
              <w:spacing w:line="240" w:lineRule="exact"/>
              <w:jc w:val="center"/>
              <w:textAlignment w:val="center"/>
              <w:rPr>
                <w:rFonts w:hint="eastAsia" w:ascii="宋体" w:hAnsi="宋体" w:eastAsia="宋体" w:cs="宋体"/>
                <w:color w:val="000000"/>
                <w:kern w:val="0"/>
                <w:sz w:val="21"/>
                <w:szCs w:val="21"/>
                <w:highlight w:val="none"/>
              </w:rPr>
            </w:pPr>
          </w:p>
          <w:p w14:paraId="0D4203EA">
            <w:pPr>
              <w:widowControl/>
              <w:spacing w:line="240" w:lineRule="exact"/>
              <w:jc w:val="both"/>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51C0136">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数量指标</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36AFFDDB">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default" w:ascii="宋体" w:hAnsi="宋体" w:eastAsia="宋体" w:cs="宋体"/>
                <w:color w:val="000000"/>
                <w:kern w:val="0"/>
                <w:sz w:val="21"/>
                <w:szCs w:val="21"/>
                <w:highlight w:val="none"/>
                <w:lang w:val="en-US" w:eastAsia="zh-CN"/>
              </w:rPr>
              <w:t>门诊就诊患者</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4A46B68A">
            <w:pPr>
              <w:widowControl/>
              <w:spacing w:line="240" w:lineRule="exact"/>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≥27218人次</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0A6EC697">
            <w:pPr>
              <w:widowControl/>
              <w:spacing w:line="240" w:lineRule="exact"/>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33523</w:t>
            </w:r>
            <w:r>
              <w:rPr>
                <w:rFonts w:hint="default" w:ascii="宋体" w:hAnsi="宋体" w:eastAsia="宋体" w:cs="宋体"/>
                <w:color w:val="000000"/>
                <w:kern w:val="0"/>
                <w:sz w:val="21"/>
                <w:szCs w:val="21"/>
                <w:highlight w:val="none"/>
                <w:lang w:val="en-US" w:eastAsia="zh-CN"/>
              </w:rPr>
              <w:t>人次</w:t>
            </w:r>
          </w:p>
        </w:tc>
      </w:tr>
      <w:tr w14:paraId="1D111829">
        <w:tblPrEx>
          <w:tblCellMar>
            <w:top w:w="0" w:type="dxa"/>
            <w:left w:w="108" w:type="dxa"/>
            <w:bottom w:w="0" w:type="dxa"/>
            <w:right w:w="108" w:type="dxa"/>
          </w:tblCellMar>
        </w:tblPrEx>
        <w:trPr>
          <w:trHeight w:val="421" w:hRule="atLeast"/>
          <w:jc w:val="center"/>
        </w:trPr>
        <w:tc>
          <w:tcPr>
            <w:tcW w:w="331" w:type="dxa"/>
            <w:vMerge w:val="continue"/>
            <w:tcBorders>
              <w:left w:val="single" w:color="000000" w:sz="4" w:space="0"/>
              <w:right w:val="single" w:color="000000" w:sz="4" w:space="0"/>
            </w:tcBorders>
            <w:noWrap/>
            <w:vAlign w:val="center"/>
          </w:tcPr>
          <w:p w14:paraId="59337F15">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593" w:type="dxa"/>
            <w:vMerge w:val="continue"/>
            <w:tcBorders>
              <w:left w:val="single" w:color="000000" w:sz="4" w:space="0"/>
              <w:right w:val="single" w:color="000000" w:sz="4" w:space="0"/>
            </w:tcBorders>
            <w:noWrap/>
            <w:vAlign w:val="center"/>
          </w:tcPr>
          <w:p w14:paraId="1DE5ADE0">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A9B74EB">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数量指标</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5416AE95">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default" w:ascii="宋体" w:hAnsi="宋体" w:eastAsia="宋体" w:cs="宋体"/>
                <w:color w:val="000000"/>
                <w:kern w:val="0"/>
                <w:sz w:val="21"/>
                <w:szCs w:val="21"/>
                <w:highlight w:val="none"/>
                <w:lang w:val="en-US" w:eastAsia="zh-CN"/>
              </w:rPr>
              <w:t>住院患者</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47A52031">
            <w:pPr>
              <w:widowControl/>
              <w:spacing w:line="240" w:lineRule="exact"/>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≥2292</w:t>
            </w:r>
            <w:r>
              <w:rPr>
                <w:rFonts w:hint="default" w:ascii="宋体" w:hAnsi="宋体" w:eastAsia="宋体" w:cs="宋体"/>
                <w:color w:val="000000"/>
                <w:kern w:val="0"/>
                <w:sz w:val="21"/>
                <w:szCs w:val="21"/>
                <w:highlight w:val="none"/>
                <w:lang w:val="en-US" w:eastAsia="zh-CN"/>
              </w:rPr>
              <w:t>人次</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0BF83669">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2521</w:t>
            </w:r>
            <w:r>
              <w:rPr>
                <w:rFonts w:hint="default" w:ascii="宋体" w:hAnsi="宋体" w:eastAsia="宋体" w:cs="宋体"/>
                <w:color w:val="000000"/>
                <w:kern w:val="0"/>
                <w:sz w:val="21"/>
                <w:szCs w:val="21"/>
                <w:highlight w:val="none"/>
                <w:lang w:val="en-US" w:eastAsia="zh-CN"/>
              </w:rPr>
              <w:t>人次</w:t>
            </w:r>
          </w:p>
        </w:tc>
      </w:tr>
      <w:tr w14:paraId="55BC2493">
        <w:tblPrEx>
          <w:tblCellMar>
            <w:top w:w="0" w:type="dxa"/>
            <w:left w:w="108" w:type="dxa"/>
            <w:bottom w:w="0" w:type="dxa"/>
            <w:right w:w="108" w:type="dxa"/>
          </w:tblCellMar>
        </w:tblPrEx>
        <w:trPr>
          <w:trHeight w:val="406" w:hRule="atLeast"/>
          <w:jc w:val="center"/>
        </w:trPr>
        <w:tc>
          <w:tcPr>
            <w:tcW w:w="331" w:type="dxa"/>
            <w:vMerge w:val="continue"/>
            <w:tcBorders>
              <w:left w:val="single" w:color="000000" w:sz="4" w:space="0"/>
              <w:right w:val="single" w:color="000000" w:sz="4" w:space="0"/>
            </w:tcBorders>
            <w:noWrap/>
            <w:vAlign w:val="center"/>
          </w:tcPr>
          <w:p w14:paraId="372876D9">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593" w:type="dxa"/>
            <w:vMerge w:val="continue"/>
            <w:tcBorders>
              <w:left w:val="single" w:color="000000" w:sz="4" w:space="0"/>
              <w:right w:val="single" w:color="000000" w:sz="4" w:space="0"/>
            </w:tcBorders>
            <w:noWrap/>
            <w:vAlign w:val="center"/>
          </w:tcPr>
          <w:p w14:paraId="6FCA225F">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9F34CC5">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数量指标</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0CC188FA">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default" w:ascii="宋体" w:hAnsi="宋体" w:eastAsia="宋体" w:cs="宋体"/>
                <w:color w:val="000000"/>
                <w:kern w:val="0"/>
                <w:sz w:val="21"/>
                <w:szCs w:val="21"/>
                <w:highlight w:val="none"/>
                <w:lang w:val="en-US" w:eastAsia="zh-CN"/>
              </w:rPr>
              <w:t>手术台次</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6C20B4C3">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≥395</w:t>
            </w:r>
            <w:r>
              <w:rPr>
                <w:rFonts w:hint="default" w:ascii="宋体" w:hAnsi="宋体" w:eastAsia="宋体" w:cs="宋体"/>
                <w:color w:val="000000"/>
                <w:kern w:val="0"/>
                <w:sz w:val="21"/>
                <w:szCs w:val="21"/>
                <w:highlight w:val="none"/>
                <w:lang w:eastAsia="zh-CN"/>
              </w:rPr>
              <w:t>台</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65C661CD">
            <w:pPr>
              <w:widowControl/>
              <w:spacing w:line="240" w:lineRule="exact"/>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542人次</w:t>
            </w:r>
          </w:p>
        </w:tc>
      </w:tr>
      <w:tr w14:paraId="12A36B56">
        <w:tblPrEx>
          <w:tblCellMar>
            <w:top w:w="0" w:type="dxa"/>
            <w:left w:w="108" w:type="dxa"/>
            <w:bottom w:w="0" w:type="dxa"/>
            <w:right w:w="108" w:type="dxa"/>
          </w:tblCellMar>
        </w:tblPrEx>
        <w:trPr>
          <w:trHeight w:val="436" w:hRule="atLeast"/>
          <w:jc w:val="center"/>
        </w:trPr>
        <w:tc>
          <w:tcPr>
            <w:tcW w:w="331" w:type="dxa"/>
            <w:vMerge w:val="continue"/>
            <w:tcBorders>
              <w:left w:val="single" w:color="000000" w:sz="4" w:space="0"/>
              <w:right w:val="single" w:color="000000" w:sz="4" w:space="0"/>
            </w:tcBorders>
            <w:noWrap/>
            <w:vAlign w:val="center"/>
          </w:tcPr>
          <w:p w14:paraId="28E887F9">
            <w:pPr>
              <w:widowControl/>
              <w:spacing w:line="240" w:lineRule="exact"/>
              <w:jc w:val="center"/>
              <w:textAlignment w:val="center"/>
              <w:rPr>
                <w:rFonts w:hint="eastAsia" w:ascii="宋体" w:hAnsi="宋体" w:eastAsia="宋体" w:cs="宋体"/>
                <w:color w:val="000000"/>
                <w:kern w:val="0"/>
                <w:sz w:val="21"/>
                <w:szCs w:val="21"/>
                <w:highlight w:val="lightGray"/>
              </w:rPr>
            </w:pPr>
          </w:p>
        </w:tc>
        <w:tc>
          <w:tcPr>
            <w:tcW w:w="593" w:type="dxa"/>
            <w:vMerge w:val="continue"/>
            <w:tcBorders>
              <w:left w:val="single" w:color="000000" w:sz="4" w:space="0"/>
              <w:right w:val="single" w:color="000000" w:sz="4" w:space="0"/>
            </w:tcBorders>
            <w:noWrap/>
            <w:vAlign w:val="center"/>
          </w:tcPr>
          <w:p w14:paraId="72F72BA6">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0F3944B">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数量指标</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0F56884B">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信息化建设（医保智能审核和业务系统软硬件更新升级）</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2D4AFFF4">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2项</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0933A529">
            <w:pPr>
              <w:widowControl/>
              <w:spacing w:line="240" w:lineRule="exact"/>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2项</w:t>
            </w:r>
          </w:p>
        </w:tc>
      </w:tr>
      <w:tr w14:paraId="6994C0B8">
        <w:tblPrEx>
          <w:tblCellMar>
            <w:top w:w="0" w:type="dxa"/>
            <w:left w:w="108" w:type="dxa"/>
            <w:bottom w:w="0" w:type="dxa"/>
            <w:right w:w="108" w:type="dxa"/>
          </w:tblCellMar>
        </w:tblPrEx>
        <w:trPr>
          <w:trHeight w:val="511" w:hRule="atLeast"/>
          <w:jc w:val="center"/>
        </w:trPr>
        <w:tc>
          <w:tcPr>
            <w:tcW w:w="331" w:type="dxa"/>
            <w:vMerge w:val="continue"/>
            <w:tcBorders>
              <w:left w:val="single" w:color="000000" w:sz="4" w:space="0"/>
              <w:right w:val="single" w:color="000000" w:sz="4" w:space="0"/>
            </w:tcBorders>
            <w:noWrap/>
            <w:vAlign w:val="center"/>
          </w:tcPr>
          <w:p w14:paraId="005ED884">
            <w:pPr>
              <w:widowControl/>
              <w:spacing w:line="240" w:lineRule="exact"/>
              <w:jc w:val="center"/>
              <w:textAlignment w:val="center"/>
              <w:rPr>
                <w:rFonts w:hint="eastAsia" w:ascii="宋体" w:hAnsi="宋体" w:eastAsia="宋体" w:cs="宋体"/>
                <w:color w:val="000000"/>
                <w:kern w:val="0"/>
                <w:sz w:val="21"/>
                <w:szCs w:val="21"/>
                <w:highlight w:val="lightGray"/>
              </w:rPr>
            </w:pPr>
          </w:p>
        </w:tc>
        <w:tc>
          <w:tcPr>
            <w:tcW w:w="593" w:type="dxa"/>
            <w:vMerge w:val="continue"/>
            <w:tcBorders>
              <w:left w:val="single" w:color="000000" w:sz="4" w:space="0"/>
              <w:right w:val="single" w:color="000000" w:sz="4" w:space="0"/>
            </w:tcBorders>
            <w:noWrap/>
            <w:vAlign w:val="center"/>
          </w:tcPr>
          <w:p w14:paraId="0CF7CC51">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3524231">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质量指标</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04EA4DD5">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设备产品合格率</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46E96169">
            <w:pPr>
              <w:widowControl/>
              <w:spacing w:line="240" w:lineRule="exact"/>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100%</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6D1062C6">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100%</w:t>
            </w:r>
          </w:p>
        </w:tc>
      </w:tr>
      <w:tr w14:paraId="09FA7DD1">
        <w:tblPrEx>
          <w:tblCellMar>
            <w:top w:w="0" w:type="dxa"/>
            <w:left w:w="108" w:type="dxa"/>
            <w:bottom w:w="0" w:type="dxa"/>
            <w:right w:w="108" w:type="dxa"/>
          </w:tblCellMar>
        </w:tblPrEx>
        <w:trPr>
          <w:trHeight w:val="511" w:hRule="atLeast"/>
          <w:jc w:val="center"/>
        </w:trPr>
        <w:tc>
          <w:tcPr>
            <w:tcW w:w="331" w:type="dxa"/>
            <w:vMerge w:val="continue"/>
            <w:tcBorders>
              <w:left w:val="single" w:color="000000" w:sz="4" w:space="0"/>
              <w:right w:val="single" w:color="000000" w:sz="4" w:space="0"/>
            </w:tcBorders>
            <w:noWrap/>
            <w:vAlign w:val="center"/>
          </w:tcPr>
          <w:p w14:paraId="34935368">
            <w:pPr>
              <w:widowControl/>
              <w:spacing w:line="240" w:lineRule="exact"/>
              <w:jc w:val="center"/>
              <w:textAlignment w:val="center"/>
              <w:rPr>
                <w:rFonts w:hint="eastAsia" w:ascii="宋体" w:hAnsi="宋体" w:eastAsia="宋体" w:cs="宋体"/>
                <w:color w:val="000000"/>
                <w:kern w:val="0"/>
                <w:sz w:val="21"/>
                <w:szCs w:val="21"/>
                <w:highlight w:val="lightGray"/>
              </w:rPr>
            </w:pPr>
          </w:p>
        </w:tc>
        <w:tc>
          <w:tcPr>
            <w:tcW w:w="593" w:type="dxa"/>
            <w:vMerge w:val="continue"/>
            <w:tcBorders>
              <w:left w:val="single" w:color="000000" w:sz="4" w:space="0"/>
              <w:bottom w:val="single" w:color="000000" w:sz="4" w:space="0"/>
              <w:right w:val="single" w:color="000000" w:sz="4" w:space="0"/>
            </w:tcBorders>
            <w:noWrap/>
            <w:vAlign w:val="center"/>
          </w:tcPr>
          <w:p w14:paraId="6DD6E7E8">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15A1392">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时效指标</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75D164A3">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完成各绩效目标时间</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34633843">
            <w:pPr>
              <w:widowControl/>
              <w:spacing w:line="240" w:lineRule="exact"/>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eastAsia="zh-CN"/>
              </w:rPr>
              <w:t>2025年12月28日前完成</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278D568A">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2025年11月20日内完成</w:t>
            </w:r>
          </w:p>
        </w:tc>
      </w:tr>
      <w:tr w14:paraId="3CE1471E">
        <w:tblPrEx>
          <w:tblCellMar>
            <w:top w:w="0" w:type="dxa"/>
            <w:left w:w="108" w:type="dxa"/>
            <w:bottom w:w="0" w:type="dxa"/>
            <w:right w:w="108" w:type="dxa"/>
          </w:tblCellMar>
        </w:tblPrEx>
        <w:trPr>
          <w:trHeight w:val="535" w:hRule="atLeast"/>
          <w:jc w:val="center"/>
        </w:trPr>
        <w:tc>
          <w:tcPr>
            <w:tcW w:w="331" w:type="dxa"/>
            <w:vMerge w:val="continue"/>
            <w:tcBorders>
              <w:left w:val="single" w:color="000000" w:sz="4" w:space="0"/>
              <w:right w:val="single" w:color="000000" w:sz="4" w:space="0"/>
            </w:tcBorders>
            <w:noWrap/>
            <w:vAlign w:val="center"/>
          </w:tcPr>
          <w:p w14:paraId="4403DB98">
            <w:pPr>
              <w:widowControl/>
              <w:spacing w:line="240" w:lineRule="exact"/>
              <w:jc w:val="center"/>
              <w:textAlignment w:val="center"/>
              <w:rPr>
                <w:rFonts w:hint="eastAsia" w:ascii="宋体" w:hAnsi="宋体" w:eastAsia="宋体" w:cs="宋体"/>
                <w:color w:val="000000"/>
                <w:kern w:val="0"/>
                <w:sz w:val="21"/>
                <w:szCs w:val="21"/>
                <w:highlight w:val="lightGray"/>
              </w:rPr>
            </w:pPr>
          </w:p>
        </w:tc>
        <w:tc>
          <w:tcPr>
            <w:tcW w:w="593" w:type="dxa"/>
            <w:vMerge w:val="restart"/>
            <w:tcBorders>
              <w:top w:val="single" w:color="000000" w:sz="4" w:space="0"/>
              <w:left w:val="single" w:color="000000" w:sz="4" w:space="0"/>
              <w:right w:val="single" w:color="000000" w:sz="4" w:space="0"/>
            </w:tcBorders>
            <w:noWrap/>
            <w:vAlign w:val="center"/>
          </w:tcPr>
          <w:p w14:paraId="44B7D605">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效益指标</w:t>
            </w:r>
          </w:p>
          <w:p w14:paraId="75BFA0E3">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4C5B545">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经济效益</w:t>
            </w:r>
          </w:p>
          <w:p w14:paraId="4CD674B7">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0D8A55EA">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医院诊疗运营效率提升率</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42238CF4">
            <w:pPr>
              <w:widowControl/>
              <w:spacing w:line="240" w:lineRule="exact"/>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eastAsia="zh-CN"/>
              </w:rPr>
              <w:t>≥10%</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02931162">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val="en-US" w:eastAsia="zh-CN"/>
              </w:rPr>
              <w:t>10%</w:t>
            </w:r>
          </w:p>
        </w:tc>
      </w:tr>
      <w:tr w14:paraId="3B1BD383">
        <w:tblPrEx>
          <w:tblCellMar>
            <w:top w:w="0" w:type="dxa"/>
            <w:left w:w="108" w:type="dxa"/>
            <w:bottom w:w="0" w:type="dxa"/>
            <w:right w:w="108" w:type="dxa"/>
          </w:tblCellMar>
        </w:tblPrEx>
        <w:trPr>
          <w:trHeight w:val="511" w:hRule="atLeast"/>
          <w:jc w:val="center"/>
        </w:trPr>
        <w:tc>
          <w:tcPr>
            <w:tcW w:w="331" w:type="dxa"/>
            <w:vMerge w:val="continue"/>
            <w:tcBorders>
              <w:left w:val="single" w:color="000000" w:sz="4" w:space="0"/>
              <w:right w:val="single" w:color="000000" w:sz="4" w:space="0"/>
            </w:tcBorders>
            <w:noWrap/>
            <w:vAlign w:val="center"/>
          </w:tcPr>
          <w:p w14:paraId="1381D30E">
            <w:pPr>
              <w:widowControl/>
              <w:spacing w:line="240" w:lineRule="exact"/>
              <w:jc w:val="center"/>
              <w:textAlignment w:val="center"/>
              <w:rPr>
                <w:rFonts w:hint="eastAsia" w:ascii="宋体" w:hAnsi="宋体" w:eastAsia="宋体" w:cs="宋体"/>
                <w:color w:val="000000"/>
                <w:kern w:val="0"/>
                <w:sz w:val="21"/>
                <w:szCs w:val="21"/>
                <w:highlight w:val="lightGray"/>
              </w:rPr>
            </w:pPr>
          </w:p>
        </w:tc>
        <w:tc>
          <w:tcPr>
            <w:tcW w:w="593" w:type="dxa"/>
            <w:vMerge w:val="continue"/>
            <w:tcBorders>
              <w:left w:val="single" w:color="000000" w:sz="4" w:space="0"/>
              <w:right w:val="single" w:color="000000" w:sz="4" w:space="0"/>
            </w:tcBorders>
            <w:noWrap/>
            <w:vAlign w:val="center"/>
          </w:tcPr>
          <w:p w14:paraId="7E2F143F">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2371ECC">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经济效益</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46C09596">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医院医疗收入增长</w:t>
            </w: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47862041">
            <w:pPr>
              <w:widowControl/>
              <w:spacing w:line="240" w:lineRule="exact"/>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是</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2B675A4C">
            <w:pPr>
              <w:widowControl/>
              <w:spacing w:line="240" w:lineRule="exact"/>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是</w:t>
            </w:r>
          </w:p>
        </w:tc>
      </w:tr>
      <w:tr w14:paraId="6F502045">
        <w:tblPrEx>
          <w:tblCellMar>
            <w:top w:w="0" w:type="dxa"/>
            <w:left w:w="108" w:type="dxa"/>
            <w:bottom w:w="0" w:type="dxa"/>
            <w:right w:w="108" w:type="dxa"/>
          </w:tblCellMar>
        </w:tblPrEx>
        <w:trPr>
          <w:trHeight w:val="511" w:hRule="atLeast"/>
          <w:jc w:val="center"/>
        </w:trPr>
        <w:tc>
          <w:tcPr>
            <w:tcW w:w="331" w:type="dxa"/>
            <w:vMerge w:val="continue"/>
            <w:tcBorders>
              <w:left w:val="single" w:color="000000" w:sz="4" w:space="0"/>
              <w:bottom w:val="single" w:color="000000" w:sz="4" w:space="0"/>
              <w:right w:val="single" w:color="000000" w:sz="4" w:space="0"/>
            </w:tcBorders>
            <w:noWrap/>
            <w:vAlign w:val="center"/>
          </w:tcPr>
          <w:p w14:paraId="4CA30A3A">
            <w:pPr>
              <w:widowControl/>
              <w:spacing w:line="240" w:lineRule="exact"/>
              <w:jc w:val="center"/>
              <w:textAlignment w:val="center"/>
              <w:rPr>
                <w:rFonts w:hint="eastAsia" w:ascii="宋体" w:hAnsi="宋体" w:eastAsia="宋体" w:cs="宋体"/>
                <w:color w:val="000000"/>
                <w:kern w:val="0"/>
                <w:sz w:val="21"/>
                <w:szCs w:val="21"/>
                <w:highlight w:val="lightGray"/>
              </w:rPr>
            </w:pPr>
          </w:p>
        </w:tc>
        <w:tc>
          <w:tcPr>
            <w:tcW w:w="593" w:type="dxa"/>
            <w:vMerge w:val="continue"/>
            <w:tcBorders>
              <w:left w:val="single" w:color="000000" w:sz="4" w:space="0"/>
              <w:bottom w:val="single" w:color="000000" w:sz="4" w:space="0"/>
              <w:right w:val="single" w:color="000000" w:sz="4" w:space="0"/>
            </w:tcBorders>
            <w:noWrap/>
            <w:vAlign w:val="center"/>
          </w:tcPr>
          <w:p w14:paraId="77EF13F7">
            <w:pPr>
              <w:widowControl/>
              <w:spacing w:line="240" w:lineRule="exact"/>
              <w:jc w:val="center"/>
              <w:textAlignment w:val="center"/>
              <w:rPr>
                <w:rFonts w:hint="eastAsia" w:ascii="宋体" w:hAnsi="宋体" w:eastAsia="宋体" w:cs="宋体"/>
                <w:color w:val="000000"/>
                <w:kern w:val="0"/>
                <w:sz w:val="21"/>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FDA2086">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社会效益</w:t>
            </w:r>
          </w:p>
          <w:p w14:paraId="2BA64CAE">
            <w:pPr>
              <w:widowControl/>
              <w:spacing w:line="24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指标</w:t>
            </w:r>
          </w:p>
        </w:tc>
        <w:tc>
          <w:tcPr>
            <w:tcW w:w="4000" w:type="dxa"/>
            <w:gridSpan w:val="4"/>
            <w:tcBorders>
              <w:top w:val="single" w:color="000000" w:sz="4" w:space="0"/>
              <w:left w:val="single" w:color="000000" w:sz="4" w:space="0"/>
              <w:bottom w:val="single" w:color="000000" w:sz="4" w:space="0"/>
              <w:right w:val="single" w:color="000000" w:sz="4" w:space="0"/>
            </w:tcBorders>
            <w:noWrap/>
            <w:vAlign w:val="center"/>
          </w:tcPr>
          <w:p w14:paraId="4DBCF9E7">
            <w:pPr>
              <w:widowControl/>
              <w:spacing w:line="240" w:lineRule="exact"/>
              <w:jc w:val="center"/>
              <w:textAlignment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提升医院综合能力为重点，提高县域疾病综合诊疗和服务能力</w:t>
            </w:r>
          </w:p>
          <w:p w14:paraId="61CAEF26">
            <w:pPr>
              <w:widowControl/>
              <w:spacing w:line="240" w:lineRule="exact"/>
              <w:jc w:val="center"/>
              <w:textAlignment w:val="center"/>
              <w:rPr>
                <w:rFonts w:hint="default" w:ascii="宋体" w:hAnsi="宋体" w:eastAsia="宋体" w:cs="宋体"/>
                <w:color w:val="000000"/>
                <w:kern w:val="0"/>
                <w:sz w:val="21"/>
                <w:szCs w:val="21"/>
                <w:highlight w:val="none"/>
                <w:lang w:val="en-US" w:eastAsia="zh-CN"/>
              </w:rPr>
            </w:pPr>
          </w:p>
        </w:tc>
        <w:tc>
          <w:tcPr>
            <w:tcW w:w="2159" w:type="dxa"/>
            <w:gridSpan w:val="2"/>
            <w:tcBorders>
              <w:top w:val="single" w:color="000000" w:sz="4" w:space="0"/>
              <w:left w:val="single" w:color="000000" w:sz="4" w:space="0"/>
              <w:bottom w:val="single" w:color="000000" w:sz="4" w:space="0"/>
              <w:right w:val="single" w:color="000000" w:sz="4" w:space="0"/>
            </w:tcBorders>
            <w:noWrap/>
            <w:vAlign w:val="center"/>
          </w:tcPr>
          <w:p w14:paraId="1BF9E92C">
            <w:pPr>
              <w:widowControl/>
              <w:spacing w:line="240" w:lineRule="exact"/>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是</w:t>
            </w:r>
          </w:p>
        </w:tc>
        <w:tc>
          <w:tcPr>
            <w:tcW w:w="1772" w:type="dxa"/>
            <w:tcBorders>
              <w:top w:val="single" w:color="000000" w:sz="4" w:space="0"/>
              <w:left w:val="single" w:color="000000" w:sz="4" w:space="0"/>
              <w:bottom w:val="single" w:color="000000" w:sz="4" w:space="0"/>
              <w:right w:val="single" w:color="000000" w:sz="4" w:space="0"/>
            </w:tcBorders>
            <w:noWrap/>
            <w:vAlign w:val="center"/>
          </w:tcPr>
          <w:p w14:paraId="201F18F3">
            <w:pPr>
              <w:widowControl/>
              <w:spacing w:line="240" w:lineRule="exact"/>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eastAsia="zh-CN"/>
              </w:rPr>
              <w:t>是</w:t>
            </w:r>
          </w:p>
        </w:tc>
      </w:tr>
    </w:tbl>
    <w:p w14:paraId="7EFE885D">
      <w:pPr>
        <w:rPr>
          <w:rFonts w:hint="eastAsia" w:ascii="宋体" w:hAnsi="宋体" w:eastAsia="宋体" w:cs="宋体"/>
          <w:sz w:val="21"/>
          <w:szCs w:val="21"/>
          <w:highlight w:val="lightGray"/>
        </w:rPr>
      </w:pPr>
    </w:p>
    <w:p w14:paraId="1384A2E6">
      <w:pPr>
        <w:pStyle w:val="5"/>
        <w:rPr>
          <w:rFonts w:hint="eastAsia" w:ascii="Times New Roman" w:hAnsi="Times New Roman" w:eastAsia="黑体" w:cs="黑体"/>
          <w:color w:val="auto"/>
          <w:kern w:val="0"/>
          <w:sz w:val="32"/>
          <w:szCs w:val="32"/>
          <w:highlight w:val="none"/>
          <w:shd w:val="clear" w:color="auto" w:fill="FFFFFF"/>
          <w:lang w:val="zh-CN"/>
        </w:rPr>
      </w:pPr>
    </w:p>
    <w:p w14:paraId="09D066C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bookmarkStart w:id="88" w:name="_Toc2390"/>
    </w:p>
    <w:p w14:paraId="5EA843B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0F114C5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47AEE22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1ABFDE91">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6650B75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1082D2D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37EF05F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254F844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66A81FAE">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3052AB9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112DF32E">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701CA94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4F3379B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24D1338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3F68208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7F925AE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701D3D5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76B64E0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3CF427C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pPr>
    </w:p>
    <w:p w14:paraId="696FD3D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zh-CN"/>
        </w:rPr>
        <w:t>附件</w:t>
      </w:r>
      <w:r>
        <w:rPr>
          <w:rFonts w:hint="eastAsia" w:ascii="Times New Roman" w:hAnsi="Times New Roman" w:eastAsia="黑体" w:cs="黑体"/>
          <w:color w:val="auto"/>
          <w:sz w:val="32"/>
          <w:szCs w:val="32"/>
          <w:highlight w:val="none"/>
          <w:lang w:val="en-US" w:eastAsia="zh-CN"/>
        </w:rPr>
        <w:t>2</w:t>
      </w:r>
      <w:bookmarkEnd w:id="88"/>
    </w:p>
    <w:p w14:paraId="39C16AA6">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B8325E1">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6CD0049">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壤塘县人民医院2025年高海拔地区</w:t>
      </w:r>
    </w:p>
    <w:p w14:paraId="49E4E37C">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医疗服务能力建设项目</w:t>
      </w:r>
    </w:p>
    <w:p w14:paraId="2CE8B528">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绩效评价报告</w:t>
      </w:r>
    </w:p>
    <w:p w14:paraId="66D19869">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499060D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3BC70C7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楷体_GB2312"/>
          <w:b w:val="0"/>
          <w:bCs/>
          <w:color w:val="auto"/>
          <w:sz w:val="32"/>
          <w:szCs w:val="32"/>
          <w:highlight w:val="none"/>
          <w:u w:val="none"/>
          <w:lang w:val="zh-CN"/>
        </w:rPr>
      </w:pPr>
      <w:r>
        <w:rPr>
          <w:rFonts w:hint="eastAsia" w:ascii="Times New Roman" w:hAnsi="Times New Roman" w:eastAsia="楷体_GB2312"/>
          <w:b w:val="0"/>
          <w:bCs/>
          <w:color w:val="auto"/>
          <w:sz w:val="32"/>
          <w:szCs w:val="32"/>
          <w:highlight w:val="none"/>
          <w:u w:val="none"/>
          <w:lang w:val="zh-CN"/>
        </w:rPr>
        <w:t>（一）设立背景及基本情况。</w:t>
      </w:r>
    </w:p>
    <w:p w14:paraId="10C203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zh-CN"/>
        </w:rPr>
      </w:pPr>
      <w:r>
        <w:rPr>
          <w:rFonts w:hint="eastAsia" w:ascii="仿宋_GB2312" w:hAnsi="仿宋_GB2312" w:eastAsia="仿宋_GB2312" w:cs="仿宋_GB2312"/>
          <w:sz w:val="32"/>
          <w:szCs w:val="32"/>
          <w:lang w:val="en-US" w:eastAsia="zh-CN"/>
        </w:rPr>
        <w:t>2025年，壤塘县人民医院获批四川省高海拔地区医疗服务能力建设项目，项目总资金99.46万元，项目实施单位为壤塘县人民医院，要求2025年12月底前全面完成建设任务。</w:t>
      </w:r>
    </w:p>
    <w:p w14:paraId="4B0F7EFF">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楷体_GB2312" w:cs="Times New Roman"/>
          <w:b w:val="0"/>
          <w:bCs/>
          <w:color w:val="auto"/>
          <w:sz w:val="32"/>
          <w:szCs w:val="32"/>
          <w:highlight w:val="none"/>
          <w:u w:val="none"/>
          <w:lang w:val="en-US" w:eastAsia="zh-CN"/>
        </w:rPr>
      </w:pPr>
      <w:r>
        <w:rPr>
          <w:rFonts w:hint="eastAsia" w:ascii="Times New Roman" w:hAnsi="Times New Roman" w:eastAsia="楷体_GB2312"/>
          <w:b w:val="0"/>
          <w:bCs/>
          <w:color w:val="auto"/>
          <w:sz w:val="32"/>
          <w:szCs w:val="32"/>
          <w:highlight w:val="none"/>
          <w:u w:val="none"/>
          <w:lang w:val="zh-CN"/>
        </w:rPr>
        <w:t>（</w:t>
      </w:r>
      <w:r>
        <w:rPr>
          <w:rFonts w:hint="eastAsia" w:ascii="Times New Roman" w:hAnsi="Times New Roman" w:eastAsia="楷体_GB2312" w:cs="Times New Roman"/>
          <w:b w:val="0"/>
          <w:bCs/>
          <w:color w:val="auto"/>
          <w:sz w:val="32"/>
          <w:szCs w:val="32"/>
          <w:highlight w:val="none"/>
          <w:u w:val="none"/>
          <w:lang w:val="zh-CN"/>
        </w:rPr>
        <w:t>二）</w:t>
      </w:r>
      <w:r>
        <w:rPr>
          <w:rFonts w:hint="default" w:ascii="Times New Roman" w:hAnsi="Times New Roman" w:eastAsia="楷体_GB2312" w:cs="Times New Roman"/>
          <w:b w:val="0"/>
          <w:bCs/>
          <w:color w:val="auto"/>
          <w:sz w:val="32"/>
          <w:szCs w:val="32"/>
          <w:highlight w:val="none"/>
          <w:u w:val="none"/>
          <w:lang w:val="en-US" w:eastAsia="zh-CN"/>
        </w:rPr>
        <w:t>实施目的及支持方向</w:t>
      </w:r>
      <w:r>
        <w:rPr>
          <w:rFonts w:hint="eastAsia" w:ascii="Times New Roman" w:hAnsi="Times New Roman" w:eastAsia="楷体_GB2312" w:cs="Times New Roman"/>
          <w:b w:val="0"/>
          <w:bCs/>
          <w:color w:val="auto"/>
          <w:sz w:val="32"/>
          <w:szCs w:val="32"/>
          <w:highlight w:val="none"/>
          <w:u w:val="none"/>
          <w:lang w:val="en-US" w:eastAsia="zh-CN"/>
        </w:rPr>
        <w:t>。</w:t>
      </w:r>
    </w:p>
    <w:p w14:paraId="63592B19">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仿宋_GB2312" w:hAnsi="仿宋_GB2312" w:eastAsia="仿宋_GB2312" w:cs="仿宋_GB2312"/>
          <w:sz w:val="32"/>
          <w:szCs w:val="32"/>
          <w:lang w:val="en-US" w:eastAsia="zh-CN"/>
        </w:rPr>
        <w:t>切实加强项目资金管理、项目质量管控和绩效目标落地，确保财政专项资金专款专用、项目建设合规高效，全面提升高海拔地区医疗服务能力。</w:t>
      </w:r>
    </w:p>
    <w:p w14:paraId="7C66F5D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楷体_GB2312" w:cs="Times New Roman"/>
          <w:b w:val="0"/>
          <w:bCs/>
          <w:color w:val="auto"/>
          <w:sz w:val="32"/>
          <w:szCs w:val="32"/>
          <w:highlight w:val="none"/>
          <w:u w:val="none"/>
          <w:lang w:val="zh-CN" w:eastAsia="zh-CN"/>
        </w:rPr>
      </w:pPr>
      <w:r>
        <w:rPr>
          <w:rFonts w:hint="eastAsia" w:ascii="Times New Roman" w:hAnsi="Times New Roman" w:eastAsia="楷体_GB2312" w:cs="Times New Roman"/>
          <w:b w:val="0"/>
          <w:bCs/>
          <w:color w:val="auto"/>
          <w:sz w:val="32"/>
          <w:szCs w:val="32"/>
          <w:highlight w:val="none"/>
          <w:u w:val="none"/>
          <w:lang w:val="zh-CN" w:eastAsia="zh-CN"/>
        </w:rPr>
        <w:t>（三）</w:t>
      </w:r>
      <w:r>
        <w:rPr>
          <w:rFonts w:hint="default" w:ascii="Times New Roman" w:hAnsi="Times New Roman" w:eastAsia="楷体_GB2312" w:cs="Times New Roman"/>
          <w:b w:val="0"/>
          <w:bCs/>
          <w:color w:val="auto"/>
          <w:sz w:val="32"/>
          <w:szCs w:val="32"/>
          <w:highlight w:val="none"/>
          <w:u w:val="none"/>
          <w:lang w:val="en-US" w:eastAsia="zh-CN"/>
        </w:rPr>
        <w:t>预算安排及分配管理</w:t>
      </w:r>
      <w:r>
        <w:rPr>
          <w:rFonts w:hint="eastAsia" w:ascii="Times New Roman" w:hAnsi="Times New Roman" w:eastAsia="楷体_GB2312" w:cs="Times New Roman"/>
          <w:b w:val="0"/>
          <w:bCs/>
          <w:color w:val="auto"/>
          <w:sz w:val="32"/>
          <w:szCs w:val="32"/>
          <w:highlight w:val="none"/>
          <w:u w:val="none"/>
          <w:lang w:val="zh-CN" w:eastAsia="zh-CN"/>
        </w:rPr>
        <w:t>。</w:t>
      </w:r>
    </w:p>
    <w:p w14:paraId="036133F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val="0"/>
          <w:bCs w:val="0"/>
          <w:sz w:val="32"/>
          <w:szCs w:val="32"/>
          <w:lang w:val="en-US" w:eastAsia="zh-CN"/>
        </w:rPr>
        <w:t>是</w:t>
      </w:r>
      <w:r>
        <w:rPr>
          <w:rFonts w:hint="eastAsia" w:ascii="仿宋_GB2312" w:hAnsi="仿宋_GB2312" w:eastAsia="仿宋_GB2312" w:cs="仿宋_GB2312"/>
          <w:sz w:val="32"/>
          <w:szCs w:val="32"/>
          <w:lang w:val="en-US" w:eastAsia="zh-CN"/>
        </w:rPr>
        <w:t>投入96.85万元采购血气分析仪、婴儿转运培养箱、呼吸机等设备，聚焦高原急症救治、临床检验、专科诊疗等核心业务补强硬件，</w:t>
      </w:r>
      <w:r>
        <w:rPr>
          <w:rFonts w:hint="eastAsia" w:ascii="仿宋_GB2312" w:hAnsi="仿宋_GB2312" w:eastAsia="仿宋_GB2312" w:cs="仿宋_GB2312"/>
          <w:kern w:val="2"/>
          <w:sz w:val="32"/>
          <w:szCs w:val="32"/>
          <w:lang w:val="en-US" w:eastAsia="zh-CN" w:bidi="ar-SA"/>
        </w:rPr>
        <w:t>补齐高海拔地区高原病诊疗配套设备短板，筑牢高原群众就医诊疗环境基础，保障高原病常态化收治配套条件</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b w:val="0"/>
          <w:bCs w:val="0"/>
          <w:sz w:val="32"/>
          <w:szCs w:val="32"/>
          <w:lang w:val="en-US" w:eastAsia="zh-CN"/>
        </w:rPr>
        <w:t>是</w:t>
      </w:r>
      <w:r>
        <w:rPr>
          <w:rFonts w:hint="eastAsia" w:ascii="仿宋_GB2312" w:hAnsi="仿宋_GB2312" w:eastAsia="仿宋_GB2312" w:cs="仿宋_GB2312"/>
          <w:sz w:val="32"/>
          <w:szCs w:val="32"/>
          <w:lang w:val="en-US" w:eastAsia="zh-CN"/>
        </w:rPr>
        <w:t>选派2名医务人员外出进修学习，分别进修消化内科、血液净化、普外科专业，提升高原地区内科慢性病、透析治疗、外科常见病诊疗技术水平，强化高原多发病、并发症综合救治能力。</w:t>
      </w:r>
    </w:p>
    <w:p w14:paraId="0937F5E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仿宋_GB2312" w:hAnsi="仿宋_GB2312" w:eastAsia="仿宋_GB2312" w:cs="仿宋_GB2312"/>
          <w:sz w:val="32"/>
          <w:szCs w:val="32"/>
          <w:lang w:val="en-US" w:eastAsia="zh-CN"/>
        </w:rPr>
        <w:t>项目实施期间，可结合临床实际需求，履行报备及政府采购流程后，动态微调设备采购清单。</w:t>
      </w:r>
    </w:p>
    <w:p w14:paraId="2062509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楷体_GB2312" w:cs="Times New Roman"/>
          <w:b w:val="0"/>
          <w:bCs/>
          <w:color w:val="auto"/>
          <w:sz w:val="32"/>
          <w:szCs w:val="32"/>
          <w:highlight w:val="none"/>
          <w:u w:val="none"/>
          <w:lang w:val="zh-CN" w:eastAsia="zh-CN"/>
        </w:rPr>
      </w:pPr>
      <w:r>
        <w:rPr>
          <w:rFonts w:hint="eastAsia" w:ascii="Times New Roman" w:hAnsi="Times New Roman" w:eastAsia="楷体_GB2312" w:cs="Times New Roman"/>
          <w:b w:val="0"/>
          <w:bCs/>
          <w:color w:val="auto"/>
          <w:sz w:val="32"/>
          <w:szCs w:val="32"/>
          <w:highlight w:val="none"/>
          <w:u w:val="none"/>
          <w:lang w:val="zh-CN" w:eastAsia="zh-CN"/>
        </w:rPr>
        <w:t>（四）项目绩效目标设置。</w:t>
      </w:r>
    </w:p>
    <w:p w14:paraId="3E2BE7D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仿宋_GB2312" w:cs="Times New Roman"/>
          <w:kern w:val="2"/>
          <w:sz w:val="32"/>
          <w:szCs w:val="32"/>
          <w:lang w:val="en-US" w:eastAsia="zh-CN" w:bidi="ar-SA"/>
        </w:rPr>
        <w:t>项目整体绩效目标：</w:t>
      </w:r>
      <w:r>
        <w:rPr>
          <w:rFonts w:hint="eastAsia" w:ascii="仿宋_GB2312" w:hAnsi="仿宋_GB2312" w:eastAsia="仿宋_GB2312" w:cs="仿宋_GB2312"/>
          <w:sz w:val="32"/>
          <w:szCs w:val="32"/>
          <w:lang w:val="en-US" w:eastAsia="zh-CN"/>
        </w:rPr>
        <w:t>根据县域居民诊疗需求，结合医院能力建设基础，以加强临床重点专科建设、开展新技术新业务、推进医联体建设、完善设施设备配置、加强专业人才培训为重点，加强县医院医疗服务能力建设，提高县域常见病、多发病诊疗能力。补短板、强弱项，通过加强特色科室建设，配备设施设备，进一步完善县域医疗卫生服务体系，提高就诊率切实当好群众“健康守门人"。</w:t>
      </w:r>
    </w:p>
    <w:p w14:paraId="3F5C859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062D4C76">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（一）评价目的。</w:t>
      </w:r>
    </w:p>
    <w:p w14:paraId="71DC32EE">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开展本次项目绩效自评，旨在全面核查壤塘县人民医院 2025 年高海拔地区医疗服务能力建设项目财政专项资金拨付、使用、管理全过程，客观衡量项目各项绩效目标完成程度；总结项目实施取得成效，查找项目实施、资金管理、人才培养、设备配置运行等环节存在短板弱项；为规范后续专项资金管理、优化项目实施流程、提升财政资金使用效益提供依据，同时向上级主管部门如实反馈项目建设实际情况，为高海拔地区医疗专项政策优化完善提供参考。</w:t>
      </w:r>
    </w:p>
    <w:p w14:paraId="17221D4C">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（二）预设问题及评价重点。</w:t>
      </w:r>
    </w:p>
    <w:p w14:paraId="0AD6E05E">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按照绩效评价指标体系，对资金支出使用全过程及其实施效果进行综合评价和判断。本次评价预设重点关注以下问题：一是项目决策程序是否完备，预算编制、采购计划是否贴合壤塘高海拔县域临床实际需求；二是专项资金拨付、支出、账务处理是否合规，是否严格执行政府采购、变更报备制度，有无挤占、挪用专项资金情况；三是设备采购、到货验收、投入使用进度是否按年度计划推进，设备配置是否有效补齐高原病救治硬件短板；四是医务人员外出进修培训工作落实成效，人才能力提升是否匹配设备应用业务需求；五是项目产出效益是否达到预期，县域高原病、急危重症救治能力是否得到切实改善，群众就医体验是否得到提升。围绕上述预设问题，对照绩效指标体系，对项目决策、资金管理、项目实施、产出成效、社会效益开展全流程综合研判。</w:t>
      </w:r>
    </w:p>
    <w:p w14:paraId="1329190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（三）评价选点。</w:t>
      </w:r>
    </w:p>
    <w:p w14:paraId="46B3FBA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本项目实施主体为壤塘县人民医院，资金全部用于本院设备采购及本院医务人员进修，资金未向下级其他市县分配。本次实地评价抽样点位为壤塘县人民医院临床科室、设备库房、财务室，实地查看新购置医疗设备存放、安装、投入使用情况，查阅财务凭证、政府采购档案、医务人员进修台账资料。</w:t>
      </w:r>
    </w:p>
    <w:p w14:paraId="26F993C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（四）评价方法。</w:t>
      </w:r>
    </w:p>
    <w:p w14:paraId="2FBAF219">
      <w:pPr>
        <w:keepNext w:val="0"/>
        <w:keepLines w:val="0"/>
        <w:widowControl/>
        <w:numPr>
          <w:ilvl w:val="0"/>
          <w:numId w:val="0"/>
        </w:numPr>
        <w:suppressLineNumbers w:val="0"/>
        <w:ind w:firstLine="640" w:firstLineChars="200"/>
        <w:jc w:val="left"/>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本次评价综合运用了多种方法：</w:t>
      </w:r>
    </w:p>
    <w:p w14:paraId="50F7F219">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案卷研究法：梳理查阅项目立项文件、资金下达文件、政府采购资料、设备采购合同、验收报告、财务会计凭证、医务人员进修学习档案、绩效目标申报表等书面档案资料，核实项目程序合规性、资金使用规范性。</w:t>
      </w:r>
    </w:p>
    <w:p w14:paraId="3ECBEA2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实地勘察法：深入医院临床科室、设备科现场，实地核对血气分析仪、呼吸机、婴儿转运培养箱等设备到货、安装、启用运行情况，核实设备实际投入临床使用情况。</w:t>
      </w:r>
    </w:p>
    <w:p w14:paraId="3849351C">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座谈调研法：组织医院设备管理、财务、医务科、临床科室负责人、外出进修医务人员开展座谈，了解项目推进难点、设备使用效果、人才培养现状，收集项目实施过程存在问题。</w:t>
      </w:r>
    </w:p>
    <w:p w14:paraId="064C4EE4">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问卷调查法：面向就诊患者、临床医护人员开展问卷调查，收集群众就医感受、医护人员对新增设备使用效果反馈，掌握项目实施社会效益。</w:t>
      </w:r>
    </w:p>
    <w:p w14:paraId="411BE29F">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单位自评法：由项目实施单位壤塘县人民医院对照绩效指标开展内部自查自评，梳理项目完成情况。</w:t>
      </w:r>
    </w:p>
    <w:p w14:paraId="7035E53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标杆管理法：对标省内同类高海拔县域医院医疗能力建设标准，对比分析本项目硬件配置、业务能力提升差距。</w:t>
      </w:r>
    </w:p>
    <w:p w14:paraId="4E0EC2A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成本效益分析法：结合项目财政投入，分析设备购置、人才进修投入对应的诊疗业务提升、高原病救治能力改善等产出效益，综合研判资金投入产出水平。</w:t>
      </w:r>
    </w:p>
    <w:p w14:paraId="393F3DFE">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（五）评价组织。</w:t>
      </w:r>
    </w:p>
    <w:p w14:paraId="7D3FA44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为有序开展本次绩效自评工作，成立项目绩效评价工作组，工作组由院领导、医务科、财务科、设备管理科业务人员共同组成。</w:t>
      </w:r>
    </w:p>
    <w:p w14:paraId="4E668884">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组长（院分管领导）：统筹本次绩效自评全部工作，审定绩效评价报告，对评价结果总体把关；</w:t>
      </w:r>
    </w:p>
    <w:p w14:paraId="44477A3F">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医务科：负责核实项目业务实施情况，核查医务人员外出进修、临床业务能力提升资料，组织座谈、问卷调查，梳理业务层面问题；</w:t>
      </w:r>
    </w:p>
    <w:p w14:paraId="083998EA">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财务科：负责核查专项资金拨付、支出、账务核算资料，核对预算执行进度，核查资金使用合规性；</w:t>
      </w:r>
    </w:p>
    <w:p w14:paraId="63F6C297">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设备管理科：负责核查政府采购流程、设备采购合同、到货验收、设备运行台账，核实设备采购任务完成情况；</w:t>
      </w:r>
    </w:p>
    <w:p w14:paraId="021DED6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工作组各岗位分工协作，共同完成资料收集、现场核查、指标打分、问题梳理，集体研讨形成绩效评价初步报告。</w:t>
      </w:r>
    </w:p>
    <w:p w14:paraId="15F0901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黑体"/>
          <w:sz w:val="32"/>
          <w:szCs w:val="32"/>
          <w:highlight w:val="none"/>
          <w:lang w:val="zh-CN" w:eastAsia="zh-CN"/>
        </w:rPr>
      </w:pPr>
      <w:r>
        <w:rPr>
          <w:rFonts w:hint="eastAsia" w:ascii="Times New Roman" w:hAnsi="Times New Roman" w:eastAsia="黑体"/>
          <w:sz w:val="32"/>
          <w:szCs w:val="32"/>
          <w:highlight w:val="none"/>
          <w:lang w:eastAsia="zh-CN"/>
        </w:rPr>
        <w:t>三、绩效分析</w:t>
      </w:r>
      <w:r>
        <w:rPr>
          <w:rFonts w:hint="eastAsia" w:ascii="Times New Roman" w:hAnsi="Times New Roman" w:eastAsia="黑体"/>
          <w:sz w:val="32"/>
          <w:szCs w:val="32"/>
          <w:highlight w:val="none"/>
          <w:lang w:val="zh-CN" w:eastAsia="zh-CN"/>
        </w:rPr>
        <w:tab/>
      </w:r>
    </w:p>
    <w:p w14:paraId="0D0FA5B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zh-CN" w:eastAsia="zh-CN" w:bidi="ar-SA"/>
        </w:rPr>
        <w:t>（一）</w:t>
      </w:r>
      <w:r>
        <w:rPr>
          <w:rFonts w:hint="eastAsia" w:ascii="Times New Roman" w:hAnsi="Times New Roman" w:eastAsia="仿宋_GB2312" w:cs="Times New Roman"/>
          <w:kern w:val="2"/>
          <w:sz w:val="32"/>
          <w:szCs w:val="32"/>
          <w:lang w:val="en-US" w:eastAsia="zh-CN" w:bidi="ar-SA"/>
        </w:rPr>
        <w:t>通用指标</w:t>
      </w:r>
      <w:r>
        <w:rPr>
          <w:rFonts w:hint="default" w:ascii="Times New Roman" w:hAnsi="Times New Roman" w:eastAsia="仿宋_GB2312" w:cs="Times New Roman"/>
          <w:kern w:val="2"/>
          <w:sz w:val="32"/>
          <w:szCs w:val="32"/>
          <w:lang w:val="zh-CN" w:eastAsia="zh-CN" w:bidi="ar-SA"/>
        </w:rPr>
        <w:t>绩效分析。</w:t>
      </w:r>
    </w:p>
    <w:p w14:paraId="2BF19B6F">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zh-CN" w:eastAsia="zh-CN" w:bidi="ar-SA"/>
        </w:rPr>
        <w:t>项目决策。</w:t>
      </w:r>
    </w:p>
    <w:p w14:paraId="73AD949B">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本项目严格按照四川省高海拔地区医疗服务能力建设专项申报流程开展申报立项，结合壤塘县高海拔地域特点、高原病高发、县域医疗设备短板、临床诊疗实际需求开展前期论证，项目立项资料完整。资金投向聚焦高原急症救治、高原病诊疗硬件补齐和医务人员能力提升，投向与专项政策支持方向高度匹配，项目决策科学合理。</w:t>
      </w:r>
    </w:p>
    <w:p w14:paraId="3455DEA4">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2.</w:t>
      </w:r>
      <w:r>
        <w:rPr>
          <w:rFonts w:hint="eastAsia" w:ascii="Times New Roman" w:hAnsi="Times New Roman" w:eastAsia="仿宋_GB2312" w:cs="Times New Roman"/>
          <w:kern w:val="2"/>
          <w:sz w:val="32"/>
          <w:szCs w:val="32"/>
          <w:lang w:val="zh-CN" w:eastAsia="zh-CN" w:bidi="ar-SA"/>
        </w:rPr>
        <w:t>项目管理。</w:t>
      </w:r>
    </w:p>
    <w:p w14:paraId="1E46EF2E">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项目实施单位严格执行财政专项资金管理、政府采购相关制度，建立项目内部管理机制。本项目资金全部留存本院使用，无向下分配资金情况，资金分配管理规范。落实项目绩效监管，定期跟踪项目进度、预算执行情况，但在人才培训与设备进场协同管理方面的精细化管控仍有待加强。</w:t>
      </w:r>
    </w:p>
    <w:p w14:paraId="5BE203BF">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3.项目实施。</w:t>
      </w:r>
    </w:p>
    <w:p w14:paraId="1F01DEAE">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项目严格按照下达预算执行，资金支出严格执行财务制度，专款专用，资金审批、支付流程完整规范，未发生挤占、挪用专项资金行为。设备采购严格履行政府采购流程，确需调整采购清单按要求履行报备程序。受设备供货周期影响，部分设备到货时间存在延后，造成人才进修实操培训与设备到位存在时间差。</w:t>
      </w:r>
    </w:p>
    <w:p w14:paraId="73CA2E1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4.项目结果。</w:t>
      </w:r>
    </w:p>
    <w:p w14:paraId="65FE9A3B">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en-US" w:eastAsia="zh-CN" w:bidi="ar-SA"/>
        </w:rPr>
        <w:t>按照 2025 年 12 月底完成全部建设任务的时间节点推进项目建设，设备采购、人员进修两大核心任务有序推进。通过购置医疗设备、选派医务人员进修，县域高原病、急症救治硬件条件得到改善，医务人员业务能力得到提升，总体绩效目标基本达成，但人才前置培训覆盖面不足，部分设备投用初期实操应用能力有待进一步释放。</w:t>
      </w:r>
    </w:p>
    <w:p w14:paraId="11FF9F96">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（二）</w:t>
      </w:r>
      <w:r>
        <w:rPr>
          <w:rFonts w:hint="eastAsia" w:ascii="Times New Roman" w:hAnsi="Times New Roman" w:eastAsia="仿宋_GB2312" w:cs="Times New Roman"/>
          <w:kern w:val="2"/>
          <w:sz w:val="32"/>
          <w:szCs w:val="32"/>
          <w:lang w:val="en-US" w:eastAsia="zh-CN" w:bidi="ar-SA"/>
        </w:rPr>
        <w:t>专用指标</w:t>
      </w:r>
      <w:r>
        <w:rPr>
          <w:rFonts w:hint="default" w:ascii="Times New Roman" w:hAnsi="Times New Roman" w:eastAsia="仿宋_GB2312" w:cs="Times New Roman"/>
          <w:kern w:val="2"/>
          <w:sz w:val="32"/>
          <w:szCs w:val="32"/>
          <w:lang w:val="zh-CN" w:eastAsia="zh-CN" w:bidi="ar-SA"/>
        </w:rPr>
        <w:t>绩效分析。</w:t>
      </w:r>
    </w:p>
    <w:p w14:paraId="6206BF2A">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本项目属于民生保障类项目。</w:t>
      </w:r>
    </w:p>
    <w:p w14:paraId="053DE9A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en-US" w:eastAsia="zh-CN" w:bidi="ar-SA"/>
        </w:rPr>
        <w:t>项目聚焦壤塘高海拔县域医疗资源薄弱短板，补齐本地高原病救治设备缺口，改善县域医疗机构服务条件，缩小高海拔地区与内地医疗硬件差距，助力县域内医疗资源均衡配置。</w:t>
      </w:r>
    </w:p>
    <w:p w14:paraId="6CB2D886">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项目服务对象为壤塘县全部辖区群众，重点针对高原病患者、急危重症、孕产妇、婴幼儿等重点就医群体；人才培养选派本院临床一线业务骨干进修，扶持对象精准，契合本地群众就医现实需要。</w:t>
      </w:r>
    </w:p>
    <w:p w14:paraId="115D7EC3">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设备采购选型结合高海拔临床工况、医院业务规模进行选型，采购标准符合县级医院配置要求；医务人员外出进修专业选择对应本地高发疾病诊疗需求，投入标准合理。</w:t>
      </w:r>
    </w:p>
    <w:p w14:paraId="6664173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新增诊疗设备提升医院急症救治检验诊疗能力，减少群众跨区域外出就医，就医便捷度得到提升。经问卷调查，群众就医整体满意度较好，但因部分设备启用较晚，服务成效释放还需要一定时间。</w:t>
      </w:r>
    </w:p>
    <w:p w14:paraId="6BFC8441">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（三）</w:t>
      </w:r>
      <w:r>
        <w:rPr>
          <w:rFonts w:hint="eastAsia" w:ascii="Times New Roman" w:hAnsi="Times New Roman" w:eastAsia="仿宋_GB2312" w:cs="Times New Roman"/>
          <w:kern w:val="2"/>
          <w:sz w:val="32"/>
          <w:szCs w:val="32"/>
          <w:lang w:val="en-US" w:eastAsia="zh-CN" w:bidi="ar-SA"/>
        </w:rPr>
        <w:t>个性指标</w:t>
      </w:r>
      <w:r>
        <w:rPr>
          <w:rFonts w:hint="default" w:ascii="Times New Roman" w:hAnsi="Times New Roman" w:eastAsia="仿宋_GB2312" w:cs="Times New Roman"/>
          <w:kern w:val="2"/>
          <w:sz w:val="32"/>
          <w:szCs w:val="32"/>
          <w:lang w:val="zh-CN" w:eastAsia="zh-CN" w:bidi="ar-SA"/>
        </w:rPr>
        <w:t>绩效分析。</w:t>
      </w:r>
    </w:p>
    <w:p w14:paraId="54F361F3">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结合本高海拔医疗服务能力建设项目实际，设置 3 项个性指标开展分析：</w:t>
      </w:r>
    </w:p>
    <w:p w14:paraId="695D7E2E">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en-US" w:eastAsia="zh-CN" w:bidi="ar-SA"/>
        </w:rPr>
        <w:t>高原病诊疗设备配置完成率：考核血气分析仪、呼吸机等高原病救治相关设备采购、验收到位情况。项目按计划完成设备采购，设备配置到位，可支撑高原病常规救治业务开展。</w:t>
      </w:r>
    </w:p>
    <w:p w14:paraId="688A8953">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高海拔紧缺专业医务人员进修完成率：考核消化内科、血液净化、普外科 2 名医务人员外出进修任务落实情况。2 名业务骨干按计划完成外出进修，学习掌握专科新技术，返回医院后开展技术推广。</w:t>
      </w:r>
    </w:p>
    <w:p w14:paraId="527AE43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yellow"/>
          <w:lang w:val="en-US" w:eastAsia="zh-CN" w:bidi="ar-SA"/>
        </w:rPr>
      </w:pPr>
      <w:r>
        <w:rPr>
          <w:rFonts w:hint="eastAsia"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新增设备临床业务开展情况：考核采购设备投入临床后的业务开展频次。设备到位后逐步投入临床使用，但受前期实操培训不足影响，部分设备业务量有待进一步提升。</w:t>
      </w:r>
    </w:p>
    <w:p w14:paraId="12C263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59249F0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本项目投向精准契合省州高海拔医疗服务能力建设核心任务，建设方式合规、初衷服务于提升临床诊疗能力的总目标，未偏离项目整体建设方向，不存在违规使用项目资金、擅自变更项目投向的问题。</w:t>
      </w:r>
    </w:p>
    <w:p w14:paraId="4320460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2FC6A5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人才培训与设备进场节奏衔接不够紧凑，实操培训需待设备到货后集中开展，前置培训覆盖面不足。</w:t>
      </w:r>
    </w:p>
    <w:p w14:paraId="738DEB1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1C258BE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仿宋_GB2312" w:hAnsi="仿宋_GB2312" w:eastAsia="仿宋_GB2312" w:cs="仿宋_GB2312"/>
          <w:sz w:val="32"/>
          <w:szCs w:val="32"/>
          <w:lang w:val="en-US" w:eastAsia="zh-CN"/>
        </w:rPr>
        <w:t>错峰开展人才培训。依托远程医疗平台提前开展理论教学，邀请对口支援专家下沉，设备到货第一时间组织实操培训，确保设备投用即可正常开展诊疗服务。</w:t>
      </w:r>
    </w:p>
    <w:p w14:paraId="3AAB6AD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588FE0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989613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075B8E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1C89AE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D014AE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874A5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8E5C2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4CDF0E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0719BF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4BC934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C90279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7EA1B1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A2C0C1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6C1668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6"/>
        <w:tblpPr w:leftFromText="180" w:rightFromText="180" w:vertAnchor="text" w:horzAnchor="page" w:tblpX="1087" w:tblpY="1507"/>
        <w:tblOverlap w:val="never"/>
        <w:tblW w:w="98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1"/>
        <w:gridCol w:w="1308"/>
        <w:gridCol w:w="1060"/>
        <w:gridCol w:w="826"/>
        <w:gridCol w:w="508"/>
        <w:gridCol w:w="666"/>
        <w:gridCol w:w="472"/>
        <w:gridCol w:w="925"/>
        <w:gridCol w:w="503"/>
        <w:gridCol w:w="576"/>
        <w:gridCol w:w="2355"/>
      </w:tblGrid>
      <w:tr w14:paraId="357DB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70" w:type="dxa"/>
            <w:gridSpan w:val="11"/>
            <w:tcBorders>
              <w:top w:val="single" w:color="000000" w:sz="4" w:space="0"/>
              <w:left w:val="single" w:color="000000" w:sz="4" w:space="0"/>
              <w:bottom w:val="single" w:color="000000" w:sz="4" w:space="0"/>
              <w:right w:val="single" w:color="000000" w:sz="4" w:space="0"/>
            </w:tcBorders>
            <w:noWrap w:val="0"/>
            <w:vAlign w:val="center"/>
          </w:tcPr>
          <w:p w14:paraId="6677861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E01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79" w:type="dxa"/>
            <w:gridSpan w:val="2"/>
            <w:tcBorders>
              <w:top w:val="single" w:color="000000" w:sz="4" w:space="0"/>
              <w:left w:val="single" w:color="000000" w:sz="4" w:space="0"/>
              <w:bottom w:val="single" w:color="000000" w:sz="4" w:space="0"/>
              <w:right w:val="single" w:color="000000" w:sz="4" w:space="0"/>
            </w:tcBorders>
            <w:noWrap w:val="0"/>
            <w:vAlign w:val="center"/>
          </w:tcPr>
          <w:p w14:paraId="1BCA5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891" w:type="dxa"/>
            <w:gridSpan w:val="9"/>
            <w:tcBorders>
              <w:top w:val="single" w:color="000000" w:sz="4" w:space="0"/>
              <w:left w:val="single" w:color="000000" w:sz="4" w:space="0"/>
              <w:bottom w:val="single" w:color="000000" w:sz="4" w:space="0"/>
              <w:right w:val="single" w:color="000000" w:sz="4" w:space="0"/>
            </w:tcBorders>
            <w:noWrap w:val="0"/>
            <w:vAlign w:val="center"/>
          </w:tcPr>
          <w:p w14:paraId="3BA14B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医疗服务与保障能力提升补助资金（高海拔地区医疗服</w:t>
            </w:r>
            <w:r>
              <w:rPr>
                <w:rFonts w:hint="eastAsia" w:ascii="宋体" w:hAnsi="宋体" w:cs="宋体"/>
                <w:i w:val="0"/>
                <w:iCs w:val="0"/>
                <w:color w:val="000000"/>
                <w:sz w:val="18"/>
                <w:szCs w:val="18"/>
                <w:u w:val="none"/>
                <w:lang w:val="en-US" w:eastAsia="zh-CN"/>
              </w:rPr>
              <w:t>务</w:t>
            </w:r>
            <w:r>
              <w:rPr>
                <w:rFonts w:hint="eastAsia" w:ascii="宋体" w:hAnsi="宋体" w:eastAsia="宋体" w:cs="宋体"/>
                <w:i w:val="0"/>
                <w:iCs w:val="0"/>
                <w:color w:val="000000"/>
                <w:sz w:val="18"/>
                <w:szCs w:val="18"/>
                <w:u w:val="none"/>
              </w:rPr>
              <w:t>能力建设）</w:t>
            </w:r>
          </w:p>
        </w:tc>
      </w:tr>
      <w:tr w14:paraId="6C9CA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79" w:type="dxa"/>
            <w:gridSpan w:val="2"/>
            <w:tcBorders>
              <w:top w:val="single" w:color="000000" w:sz="4" w:space="0"/>
              <w:left w:val="single" w:color="000000" w:sz="4" w:space="0"/>
              <w:bottom w:val="single" w:color="000000" w:sz="4" w:space="0"/>
              <w:right w:val="single" w:color="000000" w:sz="4" w:space="0"/>
            </w:tcBorders>
            <w:noWrap w:val="0"/>
            <w:vAlign w:val="center"/>
          </w:tcPr>
          <w:p w14:paraId="2FC516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532" w:type="dxa"/>
            <w:gridSpan w:val="5"/>
            <w:tcBorders>
              <w:top w:val="single" w:color="000000" w:sz="4" w:space="0"/>
              <w:left w:val="single" w:color="000000" w:sz="4" w:space="0"/>
              <w:bottom w:val="single" w:color="000000" w:sz="4" w:space="0"/>
              <w:right w:val="single" w:color="000000" w:sz="4" w:space="0"/>
            </w:tcBorders>
            <w:noWrap w:val="0"/>
            <w:vAlign w:val="center"/>
          </w:tcPr>
          <w:p w14:paraId="4E06E199">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壤塘县卫生健康局</w:t>
            </w:r>
          </w:p>
        </w:tc>
        <w:tc>
          <w:tcPr>
            <w:tcW w:w="925" w:type="dxa"/>
            <w:tcBorders>
              <w:top w:val="nil"/>
              <w:left w:val="nil"/>
              <w:bottom w:val="nil"/>
              <w:right w:val="nil"/>
            </w:tcBorders>
            <w:noWrap w:val="0"/>
            <w:vAlign w:val="center"/>
          </w:tcPr>
          <w:p w14:paraId="0629C2F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434" w:type="dxa"/>
            <w:gridSpan w:val="3"/>
            <w:tcBorders>
              <w:top w:val="single" w:color="000000" w:sz="4" w:space="0"/>
              <w:left w:val="single" w:color="000000" w:sz="4" w:space="0"/>
              <w:bottom w:val="single" w:color="000000" w:sz="4" w:space="0"/>
              <w:right w:val="single" w:color="000000" w:sz="4" w:space="0"/>
            </w:tcBorders>
            <w:noWrap w:val="0"/>
            <w:vAlign w:val="center"/>
          </w:tcPr>
          <w:p w14:paraId="67A5E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壤塘县人民医院</w:t>
            </w:r>
          </w:p>
        </w:tc>
      </w:tr>
      <w:tr w14:paraId="5CF5E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90EB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1126D7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532" w:type="dxa"/>
            <w:gridSpan w:val="5"/>
            <w:tcBorders>
              <w:top w:val="single" w:color="000000" w:sz="4" w:space="0"/>
              <w:left w:val="single" w:color="000000" w:sz="4" w:space="0"/>
              <w:bottom w:val="single" w:color="000000" w:sz="4" w:space="0"/>
              <w:right w:val="single" w:color="000000" w:sz="4" w:space="0"/>
            </w:tcBorders>
            <w:noWrap w:val="0"/>
            <w:vAlign w:val="center"/>
          </w:tcPr>
          <w:p w14:paraId="1E214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noWrap w:val="0"/>
            <w:vAlign w:val="center"/>
          </w:tcPr>
          <w:p w14:paraId="2450D5A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11F37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4B329">
            <w:pPr>
              <w:rPr>
                <w:rFonts w:hint="eastAsia" w:ascii="宋体" w:hAnsi="宋体" w:eastAsia="宋体" w:cs="宋体"/>
                <w:i w:val="0"/>
                <w:iCs w:val="0"/>
                <w:color w:val="000000"/>
                <w:sz w:val="18"/>
                <w:szCs w:val="18"/>
                <w:u w:val="none"/>
              </w:rPr>
            </w:pPr>
          </w:p>
        </w:tc>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77E99">
            <w:pPr>
              <w:rPr>
                <w:rFonts w:hint="eastAsia" w:ascii="宋体" w:hAnsi="宋体" w:eastAsia="宋体" w:cs="宋体"/>
                <w:i w:val="0"/>
                <w:iCs w:val="0"/>
                <w:color w:val="000000"/>
                <w:sz w:val="18"/>
                <w:szCs w:val="18"/>
                <w:u w:val="none"/>
              </w:rPr>
            </w:pPr>
          </w:p>
        </w:tc>
        <w:tc>
          <w:tcPr>
            <w:tcW w:w="3532" w:type="dxa"/>
            <w:gridSpan w:val="5"/>
            <w:tcBorders>
              <w:top w:val="single" w:color="000000" w:sz="4" w:space="0"/>
              <w:left w:val="single" w:color="000000" w:sz="4" w:space="0"/>
              <w:bottom w:val="single" w:color="000000" w:sz="4" w:space="0"/>
              <w:right w:val="single" w:color="000000" w:sz="4" w:space="0"/>
            </w:tcBorders>
            <w:noWrap w:val="0"/>
            <w:vAlign w:val="center"/>
          </w:tcPr>
          <w:p w14:paraId="78FF94B4">
            <w:pPr>
              <w:jc w:val="both"/>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根据县域居民诊疗需求，结合医院能力建设基础，</w:t>
            </w:r>
            <w:r>
              <w:rPr>
                <w:rFonts w:hint="eastAsia" w:ascii="宋体" w:hAnsi="宋体" w:cs="宋体"/>
                <w:i w:val="0"/>
                <w:iCs w:val="0"/>
                <w:color w:val="000000"/>
                <w:sz w:val="18"/>
                <w:szCs w:val="18"/>
                <w:u w:val="none"/>
                <w:lang w:val="en-US" w:eastAsia="zh-CN"/>
              </w:rPr>
              <w:t>以</w:t>
            </w:r>
            <w:r>
              <w:rPr>
                <w:rFonts w:hint="eastAsia" w:ascii="宋体" w:hAnsi="宋体" w:eastAsia="宋体" w:cs="宋体"/>
                <w:i w:val="0"/>
                <w:iCs w:val="0"/>
                <w:color w:val="000000"/>
                <w:sz w:val="18"/>
                <w:szCs w:val="18"/>
                <w:u w:val="none"/>
              </w:rPr>
              <w:t>加强临床重点专科建设、开展新技术新业务、推进医联体建设、完善设施设备配置、加强专业人才培训为重点，加强县医院医疗服务能力建设，提高县域常见病、多发病诊疗能力。补短板、强弱项，通过加强特色科室建设，配备设施设备，进一步完善县域医疗卫生服务体系，提高就诊率切实当好群众“健康守门人"。</w:t>
            </w:r>
          </w:p>
        </w:tc>
        <w:tc>
          <w:tcPr>
            <w:tcW w:w="4359" w:type="dxa"/>
            <w:gridSpan w:val="4"/>
            <w:tcBorders>
              <w:top w:val="single" w:color="000000" w:sz="4" w:space="0"/>
              <w:left w:val="single" w:color="000000" w:sz="4" w:space="0"/>
              <w:bottom w:val="single" w:color="000000" w:sz="4" w:space="0"/>
              <w:right w:val="single" w:color="000000" w:sz="4" w:space="0"/>
            </w:tcBorders>
            <w:noWrap w:val="0"/>
            <w:vAlign w:val="center"/>
          </w:tcPr>
          <w:p w14:paraId="76E06A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sz w:val="18"/>
                <w:szCs w:val="18"/>
                <w:u w:val="none"/>
              </w:rPr>
              <w:t>顺利完成设备采购7台，并顺利验收投入使用。培养业务骨干2名。</w:t>
            </w:r>
          </w:p>
        </w:tc>
      </w:tr>
      <w:tr w14:paraId="55123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F10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1F6AD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60" w:type="dxa"/>
            <w:tcBorders>
              <w:top w:val="single" w:color="000000" w:sz="4" w:space="0"/>
              <w:left w:val="single" w:color="000000" w:sz="4" w:space="0"/>
              <w:bottom w:val="single" w:color="000000" w:sz="4" w:space="0"/>
              <w:right w:val="single" w:color="000000" w:sz="4" w:space="0"/>
            </w:tcBorders>
            <w:noWrap w:val="0"/>
            <w:vAlign w:val="center"/>
          </w:tcPr>
          <w:p w14:paraId="114D0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04B61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6" w:type="dxa"/>
            <w:gridSpan w:val="3"/>
            <w:tcBorders>
              <w:top w:val="single" w:color="000000" w:sz="4" w:space="0"/>
              <w:left w:val="single" w:color="000000" w:sz="4" w:space="0"/>
              <w:bottom w:val="single" w:color="000000" w:sz="4" w:space="0"/>
              <w:right w:val="single" w:color="000000" w:sz="4" w:space="0"/>
            </w:tcBorders>
            <w:noWrap w:val="0"/>
            <w:vAlign w:val="center"/>
          </w:tcPr>
          <w:p w14:paraId="7B2B3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1E8B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294E7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25279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53FB6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2050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B8766">
            <w:pPr>
              <w:jc w:val="center"/>
              <w:rPr>
                <w:rFonts w:hint="eastAsia" w:ascii="宋体" w:hAnsi="宋体" w:eastAsia="宋体" w:cs="宋体"/>
                <w:i w:val="0"/>
                <w:iCs w:val="0"/>
                <w:color w:val="000000"/>
                <w:sz w:val="18"/>
                <w:szCs w:val="18"/>
                <w:u w:val="none"/>
              </w:rPr>
            </w:pP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0B49E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60" w:type="dxa"/>
            <w:tcBorders>
              <w:top w:val="single" w:color="000000" w:sz="4" w:space="0"/>
              <w:left w:val="single" w:color="000000" w:sz="4" w:space="0"/>
              <w:bottom w:val="single" w:color="000000" w:sz="4" w:space="0"/>
              <w:right w:val="single" w:color="000000" w:sz="4" w:space="0"/>
            </w:tcBorders>
            <w:noWrap w:val="0"/>
            <w:vAlign w:val="center"/>
          </w:tcPr>
          <w:p w14:paraId="54AA8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3E9FC21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99.46</w:t>
            </w:r>
          </w:p>
        </w:tc>
        <w:tc>
          <w:tcPr>
            <w:tcW w:w="1646" w:type="dxa"/>
            <w:gridSpan w:val="3"/>
            <w:tcBorders>
              <w:top w:val="single" w:color="000000" w:sz="4" w:space="0"/>
              <w:left w:val="single" w:color="000000" w:sz="4" w:space="0"/>
              <w:bottom w:val="single" w:color="000000" w:sz="4" w:space="0"/>
              <w:right w:val="single" w:color="000000" w:sz="4" w:space="0"/>
            </w:tcBorders>
            <w:noWrap w:val="0"/>
            <w:vAlign w:val="center"/>
          </w:tcPr>
          <w:p w14:paraId="43EC4BD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96.85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67ED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97%</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4648E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0DDF88B5">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w:t>
            </w:r>
          </w:p>
        </w:tc>
        <w:tc>
          <w:tcPr>
            <w:tcW w:w="23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32CE23E">
            <w:pPr>
              <w:keepNext w:val="0"/>
              <w:keepLines w:val="0"/>
              <w:widowControl/>
              <w:suppressLineNumbers w:val="0"/>
              <w:jc w:val="left"/>
              <w:textAlignment w:val="center"/>
              <w:rPr>
                <w:rFonts w:hint="default" w:ascii="黑体" w:hAnsi="黑体" w:eastAsia="黑体" w:cs="黑体"/>
                <w:i/>
                <w:iCs/>
                <w:color w:val="000000"/>
                <w:sz w:val="18"/>
                <w:szCs w:val="18"/>
                <w:u w:val="none"/>
                <w:lang w:val="en-US"/>
              </w:rPr>
            </w:pPr>
            <w:r>
              <w:rPr>
                <w:rFonts w:hint="eastAsia" w:eastAsia="宋体" w:cs="Times New Roman"/>
                <w:lang w:val="en-US" w:eastAsia="zh-CN"/>
              </w:rPr>
              <w:t>购买血透室相关医用设备等中标价为59.1万元。</w:t>
            </w:r>
          </w:p>
        </w:tc>
      </w:tr>
      <w:tr w14:paraId="16AA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4B712">
            <w:pPr>
              <w:jc w:val="center"/>
              <w:rPr>
                <w:rFonts w:hint="eastAsia" w:ascii="宋体" w:hAnsi="宋体" w:eastAsia="宋体" w:cs="宋体"/>
                <w:i w:val="0"/>
                <w:iCs w:val="0"/>
                <w:color w:val="000000"/>
                <w:sz w:val="18"/>
                <w:szCs w:val="18"/>
                <w:u w:val="none"/>
              </w:rPr>
            </w:pP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58D70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60" w:type="dxa"/>
            <w:tcBorders>
              <w:top w:val="single" w:color="000000" w:sz="4" w:space="0"/>
              <w:left w:val="single" w:color="000000" w:sz="4" w:space="0"/>
              <w:bottom w:val="single" w:color="000000" w:sz="4" w:space="0"/>
              <w:right w:val="single" w:color="000000" w:sz="4" w:space="0"/>
            </w:tcBorders>
            <w:noWrap w:val="0"/>
            <w:vAlign w:val="center"/>
          </w:tcPr>
          <w:p w14:paraId="20389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38CD70B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99.46</w:t>
            </w:r>
          </w:p>
        </w:tc>
        <w:tc>
          <w:tcPr>
            <w:tcW w:w="1646" w:type="dxa"/>
            <w:gridSpan w:val="3"/>
            <w:tcBorders>
              <w:top w:val="single" w:color="000000" w:sz="4" w:space="0"/>
              <w:left w:val="single" w:color="000000" w:sz="4" w:space="0"/>
              <w:bottom w:val="single" w:color="000000" w:sz="4" w:space="0"/>
              <w:right w:val="single" w:color="000000" w:sz="4" w:space="0"/>
            </w:tcBorders>
            <w:noWrap w:val="0"/>
            <w:vAlign w:val="center"/>
          </w:tcPr>
          <w:p w14:paraId="07D082B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96.85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FF8D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97%</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2FF36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2C71E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EE8AE">
            <w:pPr>
              <w:rPr>
                <w:rFonts w:hint="eastAsia" w:ascii="黑体" w:hAnsi="黑体" w:eastAsia="黑体" w:cs="黑体"/>
                <w:i/>
                <w:iCs/>
                <w:color w:val="000000"/>
                <w:sz w:val="18"/>
                <w:szCs w:val="18"/>
                <w:u w:val="none"/>
              </w:rPr>
            </w:pPr>
          </w:p>
        </w:tc>
      </w:tr>
      <w:tr w14:paraId="7D9B9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45D8D">
            <w:pPr>
              <w:jc w:val="center"/>
              <w:rPr>
                <w:rFonts w:hint="eastAsia" w:ascii="宋体" w:hAnsi="宋体" w:eastAsia="宋体" w:cs="宋体"/>
                <w:i w:val="0"/>
                <w:iCs w:val="0"/>
                <w:color w:val="000000"/>
                <w:sz w:val="18"/>
                <w:szCs w:val="18"/>
                <w:u w:val="none"/>
              </w:rPr>
            </w:pP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6906D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60" w:type="dxa"/>
            <w:tcBorders>
              <w:top w:val="single" w:color="000000" w:sz="4" w:space="0"/>
              <w:left w:val="single" w:color="000000" w:sz="4" w:space="0"/>
              <w:bottom w:val="single" w:color="000000" w:sz="4" w:space="0"/>
              <w:right w:val="single" w:color="000000" w:sz="4" w:space="0"/>
            </w:tcBorders>
            <w:noWrap w:val="0"/>
            <w:vAlign w:val="center"/>
          </w:tcPr>
          <w:p w14:paraId="4AEE7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6FD1E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6" w:type="dxa"/>
            <w:gridSpan w:val="3"/>
            <w:tcBorders>
              <w:top w:val="single" w:color="000000" w:sz="4" w:space="0"/>
              <w:left w:val="single" w:color="000000" w:sz="4" w:space="0"/>
              <w:bottom w:val="single" w:color="000000" w:sz="4" w:space="0"/>
              <w:right w:val="single" w:color="000000" w:sz="4" w:space="0"/>
            </w:tcBorders>
            <w:noWrap w:val="0"/>
            <w:vAlign w:val="center"/>
          </w:tcPr>
          <w:p w14:paraId="36CDE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49BB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251DB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0C17C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884C9">
            <w:pPr>
              <w:rPr>
                <w:rFonts w:hint="eastAsia" w:ascii="黑体" w:hAnsi="黑体" w:eastAsia="黑体" w:cs="黑体"/>
                <w:i/>
                <w:iCs/>
                <w:color w:val="000000"/>
                <w:sz w:val="18"/>
                <w:szCs w:val="18"/>
                <w:u w:val="none"/>
              </w:rPr>
            </w:pPr>
          </w:p>
        </w:tc>
      </w:tr>
      <w:tr w14:paraId="3EEAB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AB97D">
            <w:pPr>
              <w:jc w:val="center"/>
              <w:rPr>
                <w:rFonts w:hint="eastAsia" w:ascii="宋体" w:hAnsi="宋体" w:eastAsia="宋体" w:cs="宋体"/>
                <w:i w:val="0"/>
                <w:iCs w:val="0"/>
                <w:color w:val="000000"/>
                <w:sz w:val="18"/>
                <w:szCs w:val="18"/>
                <w:u w:val="none"/>
              </w:rPr>
            </w:pP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5C22D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60" w:type="dxa"/>
            <w:tcBorders>
              <w:top w:val="single" w:color="000000" w:sz="4" w:space="0"/>
              <w:left w:val="single" w:color="000000" w:sz="4" w:space="0"/>
              <w:bottom w:val="single" w:color="000000" w:sz="4" w:space="0"/>
              <w:right w:val="single" w:color="000000" w:sz="4" w:space="0"/>
            </w:tcBorders>
            <w:noWrap w:val="0"/>
            <w:vAlign w:val="center"/>
          </w:tcPr>
          <w:p w14:paraId="48CF4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13673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6" w:type="dxa"/>
            <w:gridSpan w:val="3"/>
            <w:tcBorders>
              <w:top w:val="single" w:color="000000" w:sz="4" w:space="0"/>
              <w:left w:val="single" w:color="000000" w:sz="4" w:space="0"/>
              <w:bottom w:val="single" w:color="000000" w:sz="4" w:space="0"/>
              <w:right w:val="single" w:color="000000" w:sz="4" w:space="0"/>
            </w:tcBorders>
            <w:noWrap w:val="0"/>
            <w:vAlign w:val="center"/>
          </w:tcPr>
          <w:p w14:paraId="2E6EC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2A2E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57D90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7710E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A466A">
            <w:pPr>
              <w:rPr>
                <w:rFonts w:hint="eastAsia" w:ascii="黑体" w:hAnsi="黑体" w:eastAsia="黑体" w:cs="黑体"/>
                <w:i/>
                <w:iCs/>
                <w:color w:val="000000"/>
                <w:sz w:val="18"/>
                <w:szCs w:val="18"/>
                <w:u w:val="none"/>
              </w:rPr>
            </w:pPr>
          </w:p>
        </w:tc>
      </w:tr>
      <w:tr w14:paraId="76320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FE61C">
            <w:pPr>
              <w:jc w:val="center"/>
              <w:rPr>
                <w:rFonts w:hint="eastAsia" w:ascii="宋体" w:hAnsi="宋体" w:eastAsia="宋体" w:cs="宋体"/>
                <w:i w:val="0"/>
                <w:iCs w:val="0"/>
                <w:color w:val="000000"/>
                <w:sz w:val="18"/>
                <w:szCs w:val="18"/>
                <w:u w:val="none"/>
              </w:rPr>
            </w:pPr>
          </w:p>
        </w:tc>
        <w:tc>
          <w:tcPr>
            <w:tcW w:w="1308" w:type="dxa"/>
            <w:tcBorders>
              <w:top w:val="single" w:color="000000" w:sz="4" w:space="0"/>
              <w:left w:val="single" w:color="000000" w:sz="4" w:space="0"/>
              <w:bottom w:val="single" w:color="000000" w:sz="4" w:space="0"/>
              <w:right w:val="single" w:color="000000" w:sz="4" w:space="0"/>
            </w:tcBorders>
            <w:noWrap w:val="0"/>
            <w:vAlign w:val="center"/>
          </w:tcPr>
          <w:p w14:paraId="587A1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60" w:type="dxa"/>
            <w:tcBorders>
              <w:top w:val="single" w:color="000000" w:sz="4" w:space="0"/>
              <w:left w:val="single" w:color="000000" w:sz="4" w:space="0"/>
              <w:bottom w:val="single" w:color="000000" w:sz="4" w:space="0"/>
              <w:right w:val="single" w:color="000000" w:sz="4" w:space="0"/>
            </w:tcBorders>
            <w:noWrap w:val="0"/>
            <w:vAlign w:val="center"/>
          </w:tcPr>
          <w:p w14:paraId="39450CC5">
            <w:pPr>
              <w:jc w:val="center"/>
              <w:rPr>
                <w:rFonts w:hint="eastAsia" w:ascii="微软雅黑" w:hAnsi="微软雅黑" w:eastAsia="微软雅黑" w:cs="微软雅黑"/>
                <w:i/>
                <w:iCs/>
                <w:color w:val="000000"/>
                <w:sz w:val="16"/>
                <w:szCs w:val="16"/>
                <w:u w:val="none"/>
              </w:rPr>
            </w:pP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4C0B298F">
            <w:pPr>
              <w:jc w:val="center"/>
              <w:rPr>
                <w:rFonts w:hint="eastAsia" w:ascii="微软雅黑" w:hAnsi="微软雅黑" w:eastAsia="微软雅黑" w:cs="微软雅黑"/>
                <w:i/>
                <w:iCs/>
                <w:color w:val="000000"/>
                <w:sz w:val="16"/>
                <w:szCs w:val="16"/>
                <w:u w:val="none"/>
              </w:rPr>
            </w:pPr>
          </w:p>
        </w:tc>
        <w:tc>
          <w:tcPr>
            <w:tcW w:w="1646" w:type="dxa"/>
            <w:gridSpan w:val="3"/>
            <w:tcBorders>
              <w:top w:val="single" w:color="000000" w:sz="4" w:space="0"/>
              <w:left w:val="single" w:color="000000" w:sz="4" w:space="0"/>
              <w:bottom w:val="single" w:color="000000" w:sz="4" w:space="0"/>
              <w:right w:val="single" w:color="000000" w:sz="4" w:space="0"/>
            </w:tcBorders>
            <w:noWrap w:val="0"/>
            <w:vAlign w:val="center"/>
          </w:tcPr>
          <w:p w14:paraId="064FB23B">
            <w:pPr>
              <w:jc w:val="center"/>
              <w:rPr>
                <w:rFonts w:hint="eastAsia" w:ascii="微软雅黑" w:hAnsi="微软雅黑" w:eastAsia="微软雅黑" w:cs="微软雅黑"/>
                <w:i/>
                <w:iCs/>
                <w:color w:val="000000"/>
                <w:sz w:val="16"/>
                <w:szCs w:val="16"/>
                <w:u w:val="none"/>
              </w:rPr>
            </w:pP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0643CBA8">
            <w:pPr>
              <w:jc w:val="center"/>
              <w:rPr>
                <w:rFonts w:hint="eastAsia" w:ascii="微软雅黑" w:hAnsi="微软雅黑" w:eastAsia="微软雅黑" w:cs="微软雅黑"/>
                <w:i/>
                <w:iCs/>
                <w:color w:val="000000"/>
                <w:sz w:val="16"/>
                <w:szCs w:val="16"/>
                <w:u w:val="none"/>
              </w:rPr>
            </w:pP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12CD4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58D0C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76B85">
            <w:pPr>
              <w:rPr>
                <w:rFonts w:hint="eastAsia" w:ascii="黑体" w:hAnsi="黑体" w:eastAsia="黑体" w:cs="黑体"/>
                <w:i/>
                <w:iCs/>
                <w:color w:val="000000"/>
                <w:sz w:val="18"/>
                <w:szCs w:val="18"/>
                <w:u w:val="none"/>
              </w:rPr>
            </w:pPr>
          </w:p>
        </w:tc>
      </w:tr>
      <w:tr w14:paraId="3219A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7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B65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08" w:type="dxa"/>
            <w:tcBorders>
              <w:top w:val="single" w:color="000000" w:sz="4" w:space="0"/>
              <w:left w:val="single" w:color="000000" w:sz="4" w:space="0"/>
              <w:bottom w:val="single" w:color="auto" w:sz="4" w:space="0"/>
              <w:right w:val="single" w:color="000000" w:sz="4" w:space="0"/>
            </w:tcBorders>
            <w:noWrap w:val="0"/>
            <w:vAlign w:val="center"/>
          </w:tcPr>
          <w:p w14:paraId="1A089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60" w:type="dxa"/>
            <w:tcBorders>
              <w:top w:val="single" w:color="000000" w:sz="4" w:space="0"/>
              <w:left w:val="single" w:color="000000" w:sz="4" w:space="0"/>
              <w:bottom w:val="single" w:color="auto" w:sz="4" w:space="0"/>
              <w:right w:val="single" w:color="000000" w:sz="4" w:space="0"/>
            </w:tcBorders>
            <w:noWrap w:val="0"/>
            <w:vAlign w:val="center"/>
          </w:tcPr>
          <w:p w14:paraId="7EB8C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43A78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25D70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75A60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dxa"/>
            <w:tcBorders>
              <w:top w:val="single" w:color="000000" w:sz="4" w:space="0"/>
              <w:left w:val="single" w:color="000000" w:sz="4" w:space="0"/>
              <w:bottom w:val="single" w:color="000000" w:sz="4" w:space="0"/>
              <w:right w:val="single" w:color="000000" w:sz="4" w:space="0"/>
            </w:tcBorders>
            <w:noWrap w:val="0"/>
            <w:vAlign w:val="center"/>
          </w:tcPr>
          <w:p w14:paraId="7FB35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0220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0ABB1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380A1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39146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E805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1" w:type="dxa"/>
            <w:vMerge w:val="continue"/>
            <w:tcBorders>
              <w:top w:val="single" w:color="000000" w:sz="4" w:space="0"/>
              <w:left w:val="single" w:color="000000" w:sz="4" w:space="0"/>
              <w:bottom w:val="single" w:color="000000" w:sz="4" w:space="0"/>
              <w:right w:val="single" w:color="auto" w:sz="4" w:space="0"/>
            </w:tcBorders>
            <w:noWrap w:val="0"/>
            <w:vAlign w:val="center"/>
          </w:tcPr>
          <w:p w14:paraId="72FC5A1B">
            <w:pPr>
              <w:jc w:val="center"/>
              <w:rPr>
                <w:rFonts w:hint="eastAsia" w:ascii="宋体" w:hAnsi="宋体" w:eastAsia="宋体" w:cs="宋体"/>
                <w:i w:val="0"/>
                <w:iCs w:val="0"/>
                <w:color w:val="000000"/>
                <w:sz w:val="18"/>
                <w:szCs w:val="18"/>
                <w:u w:val="none"/>
              </w:rPr>
            </w:pPr>
          </w:p>
        </w:tc>
        <w:tc>
          <w:tcPr>
            <w:tcW w:w="1308" w:type="dxa"/>
            <w:vMerge w:val="restart"/>
            <w:tcBorders>
              <w:top w:val="single" w:color="auto" w:sz="4" w:space="0"/>
              <w:left w:val="single" w:color="auto" w:sz="4" w:space="0"/>
              <w:bottom w:val="single" w:color="auto" w:sz="4" w:space="0"/>
              <w:right w:val="single" w:color="000000" w:sz="4" w:space="0"/>
            </w:tcBorders>
            <w:noWrap w:val="0"/>
            <w:vAlign w:val="center"/>
          </w:tcPr>
          <w:p w14:paraId="159D3FCD">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产</w:t>
            </w:r>
          </w:p>
          <w:p w14:paraId="7EB4E4E1">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出</w:t>
            </w:r>
          </w:p>
          <w:p w14:paraId="60702AD8">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指</w:t>
            </w:r>
          </w:p>
          <w:p w14:paraId="44DB9A08">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标</w:t>
            </w:r>
          </w:p>
          <w:p w14:paraId="3249FD1D">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w:t>
            </w:r>
            <w:r>
              <w:rPr>
                <w:rFonts w:hint="eastAsia" w:ascii="宋体" w:hAnsi="宋体" w:cs="宋体"/>
                <w:i w:val="0"/>
                <w:iCs w:val="0"/>
                <w:color w:val="000000"/>
                <w:sz w:val="18"/>
                <w:szCs w:val="18"/>
                <w:u w:val="none"/>
                <w:lang w:val="en-US" w:eastAsia="zh-CN"/>
              </w:rPr>
              <w:t>45</w:t>
            </w:r>
            <w:r>
              <w:rPr>
                <w:rFonts w:hint="eastAsia" w:ascii="宋体" w:hAnsi="宋体" w:eastAsia="宋体" w:cs="宋体"/>
                <w:i w:val="0"/>
                <w:iCs w:val="0"/>
                <w:color w:val="000000"/>
                <w:sz w:val="18"/>
                <w:szCs w:val="18"/>
                <w:u w:val="none"/>
              </w:rPr>
              <w:t>分)</w:t>
            </w:r>
          </w:p>
        </w:tc>
        <w:tc>
          <w:tcPr>
            <w:tcW w:w="1060" w:type="dxa"/>
            <w:tcBorders>
              <w:top w:val="single" w:color="auto" w:sz="4" w:space="0"/>
              <w:left w:val="single" w:color="000000" w:sz="4" w:space="0"/>
              <w:bottom w:val="single" w:color="auto" w:sz="4" w:space="0"/>
              <w:right w:val="single" w:color="auto" w:sz="4" w:space="0"/>
            </w:tcBorders>
            <w:noWrap w:val="0"/>
            <w:vAlign w:val="center"/>
          </w:tcPr>
          <w:p w14:paraId="4F79D3B4">
            <w:pPr>
              <w:jc w:val="center"/>
              <w:rPr>
                <w:rFonts w:hint="eastAsia"/>
              </w:rPr>
            </w:pPr>
            <w:r>
              <w:rPr>
                <w:rFonts w:hint="eastAsia" w:ascii="宋体" w:hAnsi="宋体" w:eastAsia="宋体" w:cs="宋体"/>
                <w:i w:val="0"/>
                <w:iCs w:val="0"/>
                <w:color w:val="000000"/>
                <w:kern w:val="0"/>
                <w:sz w:val="18"/>
                <w:szCs w:val="18"/>
                <w:u w:val="none"/>
                <w:lang w:val="en-US" w:eastAsia="zh-CN" w:bidi="ar"/>
              </w:rPr>
              <w:t>数量指标</w:t>
            </w:r>
          </w:p>
        </w:tc>
        <w:tc>
          <w:tcPr>
            <w:tcW w:w="826" w:type="dxa"/>
            <w:tcBorders>
              <w:top w:val="single" w:color="000000" w:sz="4" w:space="0"/>
              <w:left w:val="single" w:color="auto" w:sz="4" w:space="0"/>
              <w:bottom w:val="single" w:color="000000" w:sz="4" w:space="0"/>
              <w:right w:val="single" w:color="000000" w:sz="4" w:space="0"/>
            </w:tcBorders>
            <w:noWrap w:val="0"/>
            <w:vAlign w:val="center"/>
          </w:tcPr>
          <w:p w14:paraId="27DD02B4">
            <w:pPr>
              <w:jc w:val="center"/>
              <w:rPr>
                <w:rFonts w:hint="eastAsia" w:ascii="宋体" w:hAnsi="宋体" w:eastAsia="宋体" w:cs="宋体"/>
                <w:i w:val="0"/>
                <w:iCs w:val="0"/>
                <w:color w:val="000000"/>
                <w:sz w:val="18"/>
                <w:szCs w:val="18"/>
                <w:u w:val="none"/>
              </w:rPr>
            </w:pPr>
            <w:r>
              <w:rPr>
                <w:rStyle w:val="37"/>
                <w:rFonts w:hint="eastAsia"/>
                <w:lang w:val="en-US" w:eastAsia="zh-CN" w:bidi="ar"/>
              </w:rPr>
              <w:t>购置医疗设备</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14AFDB70">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kern w:val="0"/>
                <w:sz w:val="18"/>
                <w:szCs w:val="18"/>
                <w:u w:val="none"/>
                <w:lang w:val="en-US" w:eastAsia="zh-CN" w:bidi="ar"/>
              </w:rPr>
              <w:t>≥</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1EBE6E42">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w:t>
            </w:r>
          </w:p>
        </w:tc>
        <w:tc>
          <w:tcPr>
            <w:tcW w:w="472" w:type="dxa"/>
            <w:tcBorders>
              <w:top w:val="single" w:color="000000" w:sz="4" w:space="0"/>
              <w:left w:val="single" w:color="000000" w:sz="4" w:space="0"/>
              <w:bottom w:val="single" w:color="000000" w:sz="4" w:space="0"/>
              <w:right w:val="single" w:color="000000" w:sz="4" w:space="0"/>
            </w:tcBorders>
            <w:noWrap w:val="0"/>
            <w:vAlign w:val="center"/>
          </w:tcPr>
          <w:p w14:paraId="3085EBC2">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台</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812C734">
            <w:pPr>
              <w:jc w:val="center"/>
              <w:rPr>
                <w:rFonts w:hint="eastAsia" w:ascii="微软雅黑" w:hAnsi="微软雅黑" w:eastAsia="微软雅黑" w:cs="微软雅黑"/>
                <w:i/>
                <w:iCs/>
                <w:color w:val="000000"/>
                <w:sz w:val="16"/>
                <w:szCs w:val="16"/>
                <w:u w:val="none"/>
              </w:rPr>
            </w:pPr>
            <w:r>
              <w:rPr>
                <w:rFonts w:hint="eastAsia" w:ascii="宋体" w:hAnsi="宋体" w:cs="宋体"/>
                <w:i w:val="0"/>
                <w:iCs w:val="0"/>
                <w:color w:val="000000"/>
                <w:kern w:val="2"/>
                <w:sz w:val="18"/>
                <w:szCs w:val="18"/>
                <w:u w:val="none"/>
                <w:lang w:val="en-US" w:eastAsia="zh-CN" w:bidi="ar-SA"/>
              </w:rPr>
              <w:t>已完成</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072A723E">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00F37EC3">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0BD6C6CA">
            <w:pPr>
              <w:jc w:val="center"/>
              <w:rPr>
                <w:rFonts w:hint="eastAsia" w:ascii="微软雅黑" w:hAnsi="微软雅黑" w:eastAsia="微软雅黑" w:cs="微软雅黑"/>
                <w:i/>
                <w:iCs/>
                <w:color w:val="000000"/>
                <w:sz w:val="16"/>
                <w:szCs w:val="16"/>
                <w:u w:val="none"/>
              </w:rPr>
            </w:pPr>
          </w:p>
        </w:tc>
      </w:tr>
      <w:tr w14:paraId="32E6B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1" w:type="dxa"/>
            <w:vMerge w:val="continue"/>
            <w:tcBorders>
              <w:top w:val="single" w:color="000000" w:sz="4" w:space="0"/>
              <w:left w:val="single" w:color="000000" w:sz="4" w:space="0"/>
              <w:bottom w:val="single" w:color="000000" w:sz="4" w:space="0"/>
              <w:right w:val="single" w:color="auto" w:sz="4" w:space="0"/>
            </w:tcBorders>
            <w:noWrap w:val="0"/>
            <w:vAlign w:val="center"/>
          </w:tcPr>
          <w:p w14:paraId="485355D6">
            <w:pPr>
              <w:jc w:val="center"/>
              <w:rPr>
                <w:rFonts w:hint="eastAsia" w:ascii="宋体" w:hAnsi="宋体" w:eastAsia="宋体" w:cs="宋体"/>
                <w:i w:val="0"/>
                <w:iCs w:val="0"/>
                <w:color w:val="000000"/>
                <w:sz w:val="18"/>
                <w:szCs w:val="18"/>
                <w:u w:val="none"/>
              </w:rPr>
            </w:pPr>
          </w:p>
        </w:tc>
        <w:tc>
          <w:tcPr>
            <w:tcW w:w="1308" w:type="dxa"/>
            <w:vMerge w:val="continue"/>
            <w:tcBorders>
              <w:top w:val="single" w:color="auto" w:sz="4" w:space="0"/>
              <w:left w:val="single" w:color="auto" w:sz="4" w:space="0"/>
              <w:right w:val="single" w:color="000000" w:sz="4" w:space="0"/>
            </w:tcBorders>
            <w:noWrap w:val="0"/>
            <w:vAlign w:val="center"/>
          </w:tcPr>
          <w:p w14:paraId="7EC19C01">
            <w:pPr>
              <w:jc w:val="center"/>
              <w:rPr>
                <w:rFonts w:hint="eastAsia" w:ascii="宋体" w:hAnsi="宋体" w:eastAsia="宋体" w:cs="宋体"/>
                <w:i w:val="0"/>
                <w:iCs w:val="0"/>
                <w:color w:val="000000"/>
                <w:sz w:val="18"/>
                <w:szCs w:val="18"/>
                <w:u w:val="none"/>
              </w:rPr>
            </w:pPr>
          </w:p>
        </w:tc>
        <w:tc>
          <w:tcPr>
            <w:tcW w:w="1060" w:type="dxa"/>
            <w:tcBorders>
              <w:top w:val="single" w:color="auto" w:sz="4" w:space="0"/>
              <w:left w:val="single" w:color="000000" w:sz="4" w:space="0"/>
              <w:right w:val="single" w:color="000000" w:sz="4" w:space="0"/>
            </w:tcBorders>
            <w:noWrap w:val="0"/>
            <w:vAlign w:val="center"/>
          </w:tcPr>
          <w:p w14:paraId="6F4D5F09">
            <w:pPr>
              <w:jc w:val="center"/>
              <w:rPr>
                <w:rFonts w:hint="eastAsia" w:ascii="宋体" w:hAnsi="宋体" w:eastAsia="宋体" w:cs="宋体"/>
                <w:i w:val="0"/>
                <w:iCs w:val="0"/>
                <w:color w:val="000000"/>
                <w:sz w:val="18"/>
                <w:szCs w:val="18"/>
                <w:u w:val="none"/>
              </w:rPr>
            </w:pPr>
            <w:r>
              <w:rPr>
                <w:rFonts w:hint="eastAsia"/>
              </w:rPr>
              <w:t>质量指标</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48B1CD57">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设备产品合格率</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3C4ECD87">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1739D97C">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472" w:type="dxa"/>
            <w:tcBorders>
              <w:top w:val="single" w:color="000000" w:sz="4" w:space="0"/>
              <w:left w:val="single" w:color="000000" w:sz="4" w:space="0"/>
              <w:bottom w:val="single" w:color="000000" w:sz="4" w:space="0"/>
              <w:right w:val="single" w:color="000000" w:sz="4" w:space="0"/>
            </w:tcBorders>
            <w:noWrap w:val="0"/>
            <w:vAlign w:val="center"/>
          </w:tcPr>
          <w:p w14:paraId="5B096B3F">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C8383D8">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100%</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2DA1FE20">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32BA2D07">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672180DF">
            <w:pPr>
              <w:jc w:val="center"/>
              <w:rPr>
                <w:rFonts w:hint="eastAsia" w:ascii="微软雅黑" w:hAnsi="微软雅黑" w:eastAsia="微软雅黑" w:cs="微软雅黑"/>
                <w:i/>
                <w:iCs/>
                <w:color w:val="000000"/>
                <w:sz w:val="16"/>
                <w:szCs w:val="16"/>
                <w:u w:val="none"/>
              </w:rPr>
            </w:pPr>
          </w:p>
        </w:tc>
      </w:tr>
      <w:tr w14:paraId="48EFE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1" w:type="dxa"/>
            <w:vMerge w:val="continue"/>
            <w:tcBorders>
              <w:top w:val="single" w:color="000000" w:sz="4" w:space="0"/>
              <w:left w:val="single" w:color="000000" w:sz="4" w:space="0"/>
              <w:bottom w:val="single" w:color="000000" w:sz="4" w:space="0"/>
              <w:right w:val="single" w:color="auto" w:sz="4" w:space="0"/>
            </w:tcBorders>
            <w:noWrap w:val="0"/>
            <w:vAlign w:val="center"/>
          </w:tcPr>
          <w:p w14:paraId="4815F3D9">
            <w:pPr>
              <w:jc w:val="center"/>
              <w:rPr>
                <w:rFonts w:hint="eastAsia" w:ascii="宋体" w:hAnsi="宋体" w:eastAsia="宋体" w:cs="宋体"/>
                <w:i w:val="0"/>
                <w:iCs w:val="0"/>
                <w:color w:val="000000"/>
                <w:sz w:val="18"/>
                <w:szCs w:val="18"/>
                <w:u w:val="none"/>
              </w:rPr>
            </w:pPr>
          </w:p>
        </w:tc>
        <w:tc>
          <w:tcPr>
            <w:tcW w:w="1308" w:type="dxa"/>
            <w:vMerge w:val="continue"/>
            <w:tcBorders>
              <w:left w:val="single" w:color="auto" w:sz="4" w:space="0"/>
              <w:bottom w:val="single" w:color="auto" w:sz="4" w:space="0"/>
              <w:right w:val="single" w:color="000000" w:sz="4" w:space="0"/>
            </w:tcBorders>
            <w:noWrap w:val="0"/>
            <w:vAlign w:val="center"/>
          </w:tcPr>
          <w:p w14:paraId="43A1CB65">
            <w:pPr>
              <w:jc w:val="center"/>
              <w:rPr>
                <w:rFonts w:hint="eastAsia" w:ascii="宋体" w:hAnsi="宋体" w:eastAsia="宋体" w:cs="宋体"/>
                <w:i w:val="0"/>
                <w:iCs w:val="0"/>
                <w:color w:val="000000"/>
                <w:sz w:val="18"/>
                <w:szCs w:val="18"/>
                <w:u w:val="none"/>
              </w:rPr>
            </w:pPr>
          </w:p>
        </w:tc>
        <w:tc>
          <w:tcPr>
            <w:tcW w:w="1060" w:type="dxa"/>
            <w:tcBorders>
              <w:top w:val="single" w:color="000000" w:sz="4" w:space="0"/>
              <w:left w:val="single" w:color="000000" w:sz="4" w:space="0"/>
              <w:bottom w:val="single" w:color="auto" w:sz="4" w:space="0"/>
              <w:right w:val="single" w:color="000000" w:sz="4" w:space="0"/>
            </w:tcBorders>
            <w:noWrap w:val="0"/>
            <w:vAlign w:val="center"/>
          </w:tcPr>
          <w:p w14:paraId="433ED4FF">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时效指标</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40D6C883">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完成各绩效目标时间</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004F01D7">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2"/>
                <w:sz w:val="18"/>
                <w:szCs w:val="18"/>
                <w:u w:val="none"/>
                <w:lang w:val="en-US" w:eastAsia="zh-CN" w:bidi="ar-SA"/>
              </w:rPr>
              <w:t>定性</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3E580444">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2025年12月28日前完成各绩效目标</w:t>
            </w:r>
          </w:p>
        </w:tc>
        <w:tc>
          <w:tcPr>
            <w:tcW w:w="472" w:type="dxa"/>
            <w:tcBorders>
              <w:top w:val="single" w:color="000000" w:sz="4" w:space="0"/>
              <w:left w:val="single" w:color="000000" w:sz="4" w:space="0"/>
              <w:bottom w:val="single" w:color="000000" w:sz="4" w:space="0"/>
              <w:right w:val="single" w:color="000000" w:sz="4" w:space="0"/>
            </w:tcBorders>
            <w:noWrap w:val="0"/>
            <w:vAlign w:val="center"/>
          </w:tcPr>
          <w:p w14:paraId="0134BE58">
            <w:pPr>
              <w:jc w:val="center"/>
              <w:rPr>
                <w:rFonts w:hint="default" w:ascii="宋体" w:hAnsi="宋体" w:eastAsia="宋体" w:cs="宋体"/>
                <w:i w:val="0"/>
                <w:iCs w:val="0"/>
                <w:color w:val="000000"/>
                <w:sz w:val="18"/>
                <w:szCs w:val="18"/>
                <w:u w:val="none"/>
                <w:lang w:val="en-US" w:eastAsia="zh-CN"/>
              </w:rPr>
            </w:pP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0ABD69A">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2"/>
                <w:sz w:val="18"/>
                <w:szCs w:val="18"/>
                <w:u w:val="none"/>
                <w:lang w:val="en-US" w:eastAsia="zh-CN" w:bidi="ar-SA"/>
              </w:rPr>
              <w:t>已完成</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591F099F">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46112E88">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78C3A895">
            <w:pPr>
              <w:jc w:val="center"/>
              <w:rPr>
                <w:rFonts w:hint="eastAsia" w:ascii="微软雅黑" w:hAnsi="微软雅黑" w:eastAsia="微软雅黑" w:cs="微软雅黑"/>
                <w:i/>
                <w:iCs/>
                <w:color w:val="000000"/>
                <w:sz w:val="16"/>
                <w:szCs w:val="16"/>
                <w:u w:val="none"/>
              </w:rPr>
            </w:pPr>
          </w:p>
        </w:tc>
      </w:tr>
      <w:tr w14:paraId="09FA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1" w:type="dxa"/>
            <w:vMerge w:val="continue"/>
            <w:tcBorders>
              <w:top w:val="single" w:color="000000" w:sz="4" w:space="0"/>
              <w:left w:val="single" w:color="000000" w:sz="4" w:space="0"/>
              <w:bottom w:val="single" w:color="000000" w:sz="4" w:space="0"/>
              <w:right w:val="single" w:color="auto" w:sz="4" w:space="0"/>
            </w:tcBorders>
            <w:noWrap w:val="0"/>
            <w:vAlign w:val="center"/>
          </w:tcPr>
          <w:p w14:paraId="3D382470">
            <w:pPr>
              <w:jc w:val="center"/>
              <w:rPr>
                <w:rFonts w:hint="eastAsia" w:ascii="宋体" w:hAnsi="宋体" w:eastAsia="宋体" w:cs="宋体"/>
                <w:i w:val="0"/>
                <w:iCs w:val="0"/>
                <w:color w:val="000000"/>
                <w:sz w:val="18"/>
                <w:szCs w:val="18"/>
                <w:u w:val="none"/>
              </w:rPr>
            </w:pPr>
          </w:p>
        </w:tc>
        <w:tc>
          <w:tcPr>
            <w:tcW w:w="1308" w:type="dxa"/>
            <w:tcBorders>
              <w:top w:val="single" w:color="auto" w:sz="4" w:space="0"/>
              <w:left w:val="single" w:color="auto" w:sz="4" w:space="0"/>
              <w:bottom w:val="single" w:color="auto" w:sz="4" w:space="0"/>
              <w:right w:val="single" w:color="auto" w:sz="4" w:space="0"/>
            </w:tcBorders>
            <w:noWrap w:val="0"/>
            <w:vAlign w:val="center"/>
          </w:tcPr>
          <w:p w14:paraId="707B4FD5">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成本指标（</w:t>
            </w:r>
            <w:r>
              <w:rPr>
                <w:rFonts w:hint="eastAsia" w:ascii="宋体" w:hAnsi="宋体" w:cs="宋体"/>
                <w:i w:val="0"/>
                <w:iCs w:val="0"/>
                <w:color w:val="000000"/>
                <w:sz w:val="18"/>
                <w:szCs w:val="18"/>
                <w:u w:val="none"/>
                <w:lang w:val="en-US" w:eastAsia="zh-CN"/>
              </w:rPr>
              <w:t>15分）</w:t>
            </w:r>
            <w:r>
              <w:rPr>
                <w:rFonts w:hint="eastAsia" w:ascii="宋体" w:hAnsi="宋体" w:cs="宋体"/>
                <w:i w:val="0"/>
                <w:iCs w:val="0"/>
                <w:color w:val="000000"/>
                <w:sz w:val="18"/>
                <w:szCs w:val="18"/>
                <w:u w:val="none"/>
                <w:lang w:eastAsia="zh-CN"/>
              </w:rPr>
              <w:t>）</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25090A81">
            <w:pPr>
              <w:tabs>
                <w:tab w:val="left" w:pos="297"/>
              </w:tabs>
              <w:jc w:val="left"/>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经济</w:t>
            </w:r>
            <w:r>
              <w:rPr>
                <w:rFonts w:hint="eastAsia" w:ascii="宋体" w:hAnsi="宋体" w:eastAsia="宋体" w:cs="宋体"/>
                <w:i w:val="0"/>
                <w:iCs w:val="0"/>
                <w:color w:val="000000"/>
                <w:sz w:val="18"/>
                <w:szCs w:val="18"/>
                <w:u w:val="none"/>
                <w:lang w:eastAsia="zh-CN"/>
              </w:rPr>
              <w:t>成本指标</w:t>
            </w:r>
          </w:p>
        </w:tc>
        <w:tc>
          <w:tcPr>
            <w:tcW w:w="826" w:type="dxa"/>
            <w:tcBorders>
              <w:top w:val="single" w:color="000000" w:sz="4" w:space="0"/>
              <w:left w:val="single" w:color="auto" w:sz="4" w:space="0"/>
              <w:bottom w:val="single" w:color="000000" w:sz="4" w:space="0"/>
              <w:right w:val="single" w:color="000000" w:sz="4" w:space="0"/>
            </w:tcBorders>
            <w:noWrap w:val="0"/>
            <w:vAlign w:val="center"/>
          </w:tcPr>
          <w:p w14:paraId="6E2C3E31">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sz w:val="18"/>
                <w:szCs w:val="18"/>
                <w:u w:val="none"/>
                <w:lang w:val="en-US" w:eastAsia="zh-CN"/>
              </w:rPr>
              <w:t>控制在预算范围内。</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4B489F93">
            <w:pPr>
              <w:jc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2"/>
                <w:sz w:val="18"/>
                <w:szCs w:val="18"/>
                <w:u w:val="none"/>
                <w:lang w:val="en-US" w:eastAsia="zh-CN" w:bidi="ar-SA"/>
              </w:rPr>
              <w:t>≦</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76914C0E">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99.46万元</w:t>
            </w:r>
          </w:p>
        </w:tc>
        <w:tc>
          <w:tcPr>
            <w:tcW w:w="472" w:type="dxa"/>
            <w:tcBorders>
              <w:top w:val="single" w:color="000000" w:sz="4" w:space="0"/>
              <w:left w:val="single" w:color="000000" w:sz="4" w:space="0"/>
              <w:bottom w:val="single" w:color="000000" w:sz="4" w:space="0"/>
              <w:right w:val="single" w:color="000000" w:sz="4" w:space="0"/>
            </w:tcBorders>
            <w:noWrap w:val="0"/>
            <w:vAlign w:val="center"/>
          </w:tcPr>
          <w:p w14:paraId="1BE7D964">
            <w:pPr>
              <w:jc w:val="center"/>
              <w:rPr>
                <w:rFonts w:hint="eastAsia" w:ascii="宋体" w:hAnsi="宋体" w:eastAsia="宋体" w:cs="宋体"/>
                <w:i w:val="0"/>
                <w:iCs w:val="0"/>
                <w:color w:val="000000"/>
                <w:sz w:val="18"/>
                <w:szCs w:val="18"/>
                <w:u w:val="none"/>
                <w:lang w:val="en-US" w:eastAsia="zh-CN"/>
              </w:rPr>
            </w:pP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280B322">
            <w:pPr>
              <w:jc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2"/>
                <w:sz w:val="18"/>
                <w:szCs w:val="18"/>
                <w:u w:val="none"/>
                <w:lang w:val="en-US" w:eastAsia="zh-CN" w:bidi="ar-SA"/>
              </w:rPr>
              <w:t>96.85万元</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1BBD3777">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24F2A8B8">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551D18C7">
            <w:pPr>
              <w:jc w:val="center"/>
              <w:rPr>
                <w:rFonts w:hint="eastAsia" w:ascii="微软雅黑" w:hAnsi="微软雅黑" w:eastAsia="微软雅黑" w:cs="微软雅黑"/>
                <w:i/>
                <w:iCs/>
                <w:color w:val="000000"/>
                <w:sz w:val="16"/>
                <w:szCs w:val="16"/>
                <w:u w:val="none"/>
              </w:rPr>
            </w:pPr>
            <w:r>
              <w:rPr>
                <w:rFonts w:hint="eastAsia" w:eastAsia="宋体" w:cs="Times New Roman"/>
                <w:lang w:val="en-US" w:eastAsia="zh-CN"/>
              </w:rPr>
              <w:t>剩余资金为设备采购结余资金</w:t>
            </w:r>
          </w:p>
        </w:tc>
      </w:tr>
      <w:tr w14:paraId="2CBB1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80EEF">
            <w:pPr>
              <w:jc w:val="center"/>
              <w:rPr>
                <w:rFonts w:hint="eastAsia" w:ascii="宋体" w:hAnsi="宋体" w:eastAsia="宋体" w:cs="宋体"/>
                <w:i w:val="0"/>
                <w:iCs w:val="0"/>
                <w:color w:val="000000"/>
                <w:sz w:val="18"/>
                <w:szCs w:val="18"/>
                <w:u w:val="none"/>
              </w:rPr>
            </w:pPr>
          </w:p>
        </w:tc>
        <w:tc>
          <w:tcPr>
            <w:tcW w:w="1308" w:type="dxa"/>
            <w:vMerge w:val="restart"/>
            <w:tcBorders>
              <w:top w:val="single" w:color="auto" w:sz="4" w:space="0"/>
              <w:left w:val="single" w:color="000000" w:sz="4" w:space="0"/>
              <w:right w:val="single" w:color="000000" w:sz="4" w:space="0"/>
            </w:tcBorders>
            <w:noWrap w:val="0"/>
            <w:vAlign w:val="center"/>
          </w:tcPr>
          <w:p w14:paraId="40A98D22">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效益指标（</w:t>
            </w:r>
            <w:r>
              <w:rPr>
                <w:rFonts w:hint="eastAsia" w:ascii="宋体" w:hAnsi="宋体" w:cs="宋体"/>
                <w:i w:val="0"/>
                <w:iCs w:val="0"/>
                <w:color w:val="000000"/>
                <w:sz w:val="18"/>
                <w:szCs w:val="18"/>
                <w:u w:val="none"/>
                <w:lang w:val="en-US" w:eastAsia="zh-CN"/>
              </w:rPr>
              <w:t>30分</w:t>
            </w:r>
            <w:r>
              <w:rPr>
                <w:rFonts w:hint="eastAsia" w:ascii="宋体" w:hAnsi="宋体" w:cs="宋体"/>
                <w:i w:val="0"/>
                <w:iCs w:val="0"/>
                <w:color w:val="000000"/>
                <w:sz w:val="18"/>
                <w:szCs w:val="18"/>
                <w:u w:val="none"/>
                <w:lang w:eastAsia="zh-CN"/>
              </w:rPr>
              <w:t>）</w:t>
            </w:r>
          </w:p>
        </w:tc>
        <w:tc>
          <w:tcPr>
            <w:tcW w:w="1060" w:type="dxa"/>
            <w:tcBorders>
              <w:top w:val="single" w:color="auto" w:sz="4" w:space="0"/>
              <w:left w:val="single" w:color="000000" w:sz="4" w:space="0"/>
              <w:bottom w:val="single" w:color="000000" w:sz="4" w:space="0"/>
              <w:right w:val="single" w:color="000000" w:sz="4" w:space="0"/>
            </w:tcBorders>
            <w:noWrap w:val="0"/>
            <w:vAlign w:val="center"/>
          </w:tcPr>
          <w:p w14:paraId="499BAC5B">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rPr>
              <w:t>社会效益</w:t>
            </w:r>
            <w:r>
              <w:rPr>
                <w:rFonts w:hint="eastAsia" w:ascii="宋体" w:hAnsi="宋体" w:cs="宋体"/>
                <w:i w:val="0"/>
                <w:iCs w:val="0"/>
                <w:color w:val="000000"/>
                <w:sz w:val="18"/>
                <w:szCs w:val="18"/>
                <w:u w:val="none"/>
                <w:lang w:val="en-US" w:eastAsia="zh-CN"/>
              </w:rPr>
              <w:t>指标</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0EB19894">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提升医院综合能力为重点，提高县域疾病综合诊疗和服务能力</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01DD3864">
            <w:pPr>
              <w:jc w:val="center"/>
              <w:rPr>
                <w:rFonts w:hint="default" w:ascii="宋体" w:hAnsi="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定性</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006A8717">
            <w:pPr>
              <w:jc w:val="center"/>
              <w:rPr>
                <w:rFonts w:hint="eastAsia" w:ascii="宋体" w:hAnsi="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持续提升</w:t>
            </w:r>
          </w:p>
        </w:tc>
        <w:tc>
          <w:tcPr>
            <w:tcW w:w="472" w:type="dxa"/>
            <w:tcBorders>
              <w:top w:val="single" w:color="000000" w:sz="4" w:space="0"/>
              <w:left w:val="single" w:color="000000" w:sz="4" w:space="0"/>
              <w:bottom w:val="single" w:color="000000" w:sz="4" w:space="0"/>
              <w:right w:val="single" w:color="000000" w:sz="4" w:space="0"/>
            </w:tcBorders>
            <w:noWrap w:val="0"/>
            <w:vAlign w:val="center"/>
          </w:tcPr>
          <w:p w14:paraId="2E7FED1E">
            <w:pPr>
              <w:jc w:val="center"/>
              <w:rPr>
                <w:rFonts w:hint="eastAsia" w:ascii="宋体" w:hAnsi="宋体" w:eastAsia="宋体" w:cs="宋体"/>
                <w:i w:val="0"/>
                <w:iCs w:val="0"/>
                <w:color w:val="000000"/>
                <w:sz w:val="18"/>
                <w:szCs w:val="18"/>
                <w:u w:val="none"/>
              </w:rPr>
            </w:pP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241C588">
            <w:pPr>
              <w:jc w:val="center"/>
              <w:rPr>
                <w:rFonts w:hint="eastAsia" w:ascii="宋体" w:hAnsi="宋体" w:cs="宋体"/>
                <w:i w:val="0"/>
                <w:iCs w:val="0"/>
                <w:color w:val="000000"/>
                <w:kern w:val="2"/>
                <w:sz w:val="18"/>
                <w:szCs w:val="18"/>
                <w:u w:val="none"/>
                <w:lang w:val="en-US" w:eastAsia="zh-CN" w:bidi="ar-SA"/>
              </w:rPr>
            </w:pPr>
            <w:r>
              <w:rPr>
                <w:rFonts w:hint="eastAsia" w:ascii="宋体" w:hAnsi="宋体" w:cs="宋体"/>
                <w:i w:val="0"/>
                <w:iCs w:val="0"/>
                <w:color w:val="000000"/>
                <w:kern w:val="2"/>
                <w:sz w:val="18"/>
                <w:szCs w:val="18"/>
                <w:u w:val="none"/>
                <w:lang w:val="en-US" w:eastAsia="zh-CN" w:bidi="ar-SA"/>
              </w:rPr>
              <w:t>持续提升</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1F98A8DB">
            <w:pPr>
              <w:jc w:val="center"/>
              <w:rPr>
                <w:rFonts w:hint="default" w:ascii="宋体" w:hAnsi="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726DBF7B">
            <w:pPr>
              <w:jc w:val="center"/>
              <w:rPr>
                <w:rFonts w:hint="default" w:ascii="宋体" w:hAnsi="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13</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1904BD79">
            <w:pPr>
              <w:jc w:val="center"/>
              <w:rPr>
                <w:rFonts w:hint="eastAsia" w:ascii="微软雅黑" w:hAnsi="微软雅黑" w:eastAsia="微软雅黑" w:cs="微软雅黑"/>
                <w:i/>
                <w:iCs/>
                <w:color w:val="000000"/>
                <w:sz w:val="16"/>
                <w:szCs w:val="16"/>
                <w:u w:val="none"/>
              </w:rPr>
            </w:pPr>
          </w:p>
        </w:tc>
      </w:tr>
      <w:tr w14:paraId="007E8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F0222">
            <w:pPr>
              <w:jc w:val="center"/>
              <w:rPr>
                <w:rFonts w:hint="eastAsia" w:ascii="宋体" w:hAnsi="宋体" w:eastAsia="宋体" w:cs="宋体"/>
                <w:i w:val="0"/>
                <w:iCs w:val="0"/>
                <w:color w:val="000000"/>
                <w:sz w:val="18"/>
                <w:szCs w:val="18"/>
                <w:u w:val="none"/>
              </w:rPr>
            </w:pPr>
          </w:p>
        </w:tc>
        <w:tc>
          <w:tcPr>
            <w:tcW w:w="1308" w:type="dxa"/>
            <w:vMerge w:val="continue"/>
            <w:tcBorders>
              <w:left w:val="single" w:color="000000" w:sz="4" w:space="0"/>
              <w:bottom w:val="single" w:color="auto" w:sz="4" w:space="0"/>
              <w:right w:val="single" w:color="000000" w:sz="4" w:space="0"/>
            </w:tcBorders>
            <w:noWrap w:val="0"/>
            <w:vAlign w:val="center"/>
          </w:tcPr>
          <w:p w14:paraId="41E713EC">
            <w:pPr>
              <w:jc w:val="center"/>
              <w:rPr>
                <w:rFonts w:hint="eastAsia" w:ascii="宋体" w:hAnsi="宋体" w:eastAsia="宋体" w:cs="宋体"/>
                <w:i w:val="0"/>
                <w:iCs w:val="0"/>
                <w:color w:val="000000"/>
                <w:sz w:val="18"/>
                <w:szCs w:val="18"/>
                <w:u w:val="none"/>
                <w:lang w:eastAsia="zh-CN"/>
              </w:rPr>
            </w:pPr>
          </w:p>
        </w:tc>
        <w:tc>
          <w:tcPr>
            <w:tcW w:w="1060" w:type="dxa"/>
            <w:tcBorders>
              <w:top w:val="single" w:color="auto" w:sz="4" w:space="0"/>
              <w:left w:val="single" w:color="000000" w:sz="4" w:space="0"/>
              <w:bottom w:val="single" w:color="000000" w:sz="4" w:space="0"/>
              <w:right w:val="single" w:color="000000" w:sz="4" w:space="0"/>
            </w:tcBorders>
            <w:noWrap w:val="0"/>
            <w:vAlign w:val="center"/>
          </w:tcPr>
          <w:p w14:paraId="61499B00">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可持续影响指标</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16895327">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 xml:space="preserve"> 完善县域医疗卫生服务体系，持续提高县域就诊率。</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7FE9A1C8">
            <w:pPr>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定性</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0A8088B6">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持续提升</w:t>
            </w:r>
          </w:p>
        </w:tc>
        <w:tc>
          <w:tcPr>
            <w:tcW w:w="472" w:type="dxa"/>
            <w:tcBorders>
              <w:top w:val="single" w:color="000000" w:sz="4" w:space="0"/>
              <w:left w:val="single" w:color="000000" w:sz="4" w:space="0"/>
              <w:bottom w:val="single" w:color="000000" w:sz="4" w:space="0"/>
              <w:right w:val="single" w:color="000000" w:sz="4" w:space="0"/>
            </w:tcBorders>
            <w:noWrap w:val="0"/>
            <w:vAlign w:val="center"/>
          </w:tcPr>
          <w:p w14:paraId="72836C25">
            <w:pPr>
              <w:jc w:val="center"/>
              <w:rPr>
                <w:rFonts w:hint="eastAsia" w:ascii="宋体" w:hAnsi="宋体" w:eastAsia="宋体" w:cs="宋体"/>
                <w:i w:val="0"/>
                <w:iCs w:val="0"/>
                <w:color w:val="000000"/>
                <w:sz w:val="18"/>
                <w:szCs w:val="18"/>
                <w:u w:val="none"/>
              </w:rPr>
            </w:pP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794B92C">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cs="宋体"/>
                <w:i w:val="0"/>
                <w:iCs w:val="0"/>
                <w:color w:val="000000"/>
                <w:kern w:val="2"/>
                <w:sz w:val="18"/>
                <w:szCs w:val="18"/>
                <w:u w:val="none"/>
                <w:lang w:val="en-US" w:eastAsia="zh-CN" w:bidi="ar-SA"/>
              </w:rPr>
              <w:t>持续提升</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541C4AEE">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57E67F7E">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12</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2AE72EF3">
            <w:pPr>
              <w:jc w:val="center"/>
              <w:rPr>
                <w:rFonts w:hint="eastAsia" w:ascii="微软雅黑" w:hAnsi="微软雅黑" w:eastAsia="微软雅黑" w:cs="微软雅黑"/>
                <w:i/>
                <w:iCs/>
                <w:color w:val="000000"/>
                <w:sz w:val="16"/>
                <w:szCs w:val="16"/>
                <w:u w:val="none"/>
              </w:rPr>
            </w:pPr>
          </w:p>
        </w:tc>
      </w:tr>
      <w:tr w14:paraId="62A2F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0BE09">
            <w:pPr>
              <w:jc w:val="center"/>
              <w:rPr>
                <w:rFonts w:hint="eastAsia" w:ascii="宋体" w:hAnsi="宋体" w:eastAsia="宋体" w:cs="宋体"/>
                <w:i w:val="0"/>
                <w:iCs w:val="0"/>
                <w:color w:val="000000"/>
                <w:sz w:val="18"/>
                <w:szCs w:val="18"/>
                <w:u w:val="none"/>
              </w:rPr>
            </w:pPr>
          </w:p>
        </w:tc>
        <w:tc>
          <w:tcPr>
            <w:tcW w:w="1308" w:type="dxa"/>
            <w:tcBorders>
              <w:top w:val="single" w:color="auto" w:sz="4" w:space="0"/>
              <w:left w:val="single" w:color="000000" w:sz="4" w:space="0"/>
              <w:bottom w:val="single" w:color="000000" w:sz="4" w:space="0"/>
              <w:right w:val="single" w:color="000000" w:sz="4" w:space="0"/>
            </w:tcBorders>
            <w:noWrap w:val="0"/>
            <w:vAlign w:val="center"/>
          </w:tcPr>
          <w:p w14:paraId="2E5A6585">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满意度指标</w:t>
            </w:r>
          </w:p>
          <w:p w14:paraId="0D597E2D">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(10分)</w:t>
            </w:r>
          </w:p>
        </w:tc>
        <w:tc>
          <w:tcPr>
            <w:tcW w:w="1060" w:type="dxa"/>
            <w:tcBorders>
              <w:top w:val="single" w:color="000000" w:sz="4" w:space="0"/>
              <w:left w:val="single" w:color="000000" w:sz="4" w:space="0"/>
              <w:bottom w:val="single" w:color="000000" w:sz="4" w:space="0"/>
              <w:right w:val="single" w:color="000000" w:sz="4" w:space="0"/>
            </w:tcBorders>
            <w:noWrap w:val="0"/>
            <w:vAlign w:val="center"/>
          </w:tcPr>
          <w:p w14:paraId="445F7099">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服务对象</w:t>
            </w:r>
          </w:p>
          <w:p w14:paraId="47EB556F">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满意度指标</w:t>
            </w:r>
          </w:p>
        </w:tc>
        <w:tc>
          <w:tcPr>
            <w:tcW w:w="826" w:type="dxa"/>
            <w:tcBorders>
              <w:top w:val="single" w:color="000000" w:sz="4" w:space="0"/>
              <w:left w:val="single" w:color="000000" w:sz="4" w:space="0"/>
              <w:bottom w:val="single" w:color="000000" w:sz="4" w:space="0"/>
              <w:right w:val="single" w:color="000000" w:sz="4" w:space="0"/>
            </w:tcBorders>
            <w:noWrap w:val="0"/>
            <w:vAlign w:val="center"/>
          </w:tcPr>
          <w:p w14:paraId="7C5E5B14">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持续提升患者和医务人员满意度</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0F99A31A">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1D25D7B6">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95</w:t>
            </w:r>
          </w:p>
        </w:tc>
        <w:tc>
          <w:tcPr>
            <w:tcW w:w="472" w:type="dxa"/>
            <w:tcBorders>
              <w:top w:val="single" w:color="000000" w:sz="4" w:space="0"/>
              <w:left w:val="single" w:color="000000" w:sz="4" w:space="0"/>
              <w:bottom w:val="single" w:color="000000" w:sz="4" w:space="0"/>
              <w:right w:val="single" w:color="000000" w:sz="4" w:space="0"/>
            </w:tcBorders>
            <w:noWrap w:val="0"/>
            <w:vAlign w:val="center"/>
          </w:tcPr>
          <w:p w14:paraId="61B72511">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5181FBC">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医务人员、患者满意度均达95%以上</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435D6BDD">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67AB4F62">
            <w:pPr>
              <w:jc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1D682C6B">
            <w:pPr>
              <w:jc w:val="center"/>
              <w:rPr>
                <w:rFonts w:hint="eastAsia" w:ascii="微软雅黑" w:hAnsi="微软雅黑" w:eastAsia="微软雅黑" w:cs="微软雅黑"/>
                <w:i/>
                <w:iCs/>
                <w:color w:val="000000"/>
                <w:sz w:val="16"/>
                <w:szCs w:val="16"/>
                <w:u w:val="none"/>
              </w:rPr>
            </w:pPr>
          </w:p>
        </w:tc>
      </w:tr>
      <w:tr w14:paraId="76C06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436" w:type="dxa"/>
            <w:gridSpan w:val="8"/>
            <w:tcBorders>
              <w:top w:val="single" w:color="000000" w:sz="4" w:space="0"/>
              <w:left w:val="single" w:color="000000" w:sz="4" w:space="0"/>
              <w:bottom w:val="single" w:color="000000" w:sz="4" w:space="0"/>
              <w:right w:val="single" w:color="000000" w:sz="4" w:space="0"/>
            </w:tcBorders>
            <w:noWrap w:val="0"/>
            <w:vAlign w:val="center"/>
          </w:tcPr>
          <w:p w14:paraId="46C1F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615B4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76" w:type="dxa"/>
            <w:tcBorders>
              <w:top w:val="single" w:color="000000" w:sz="4" w:space="0"/>
              <w:left w:val="single" w:color="000000" w:sz="4" w:space="0"/>
              <w:bottom w:val="single" w:color="000000" w:sz="4" w:space="0"/>
              <w:right w:val="single" w:color="000000" w:sz="4" w:space="0"/>
            </w:tcBorders>
            <w:noWrap w:val="0"/>
            <w:vAlign w:val="center"/>
          </w:tcPr>
          <w:p w14:paraId="05E1E3E0">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94</w:t>
            </w:r>
          </w:p>
        </w:tc>
        <w:tc>
          <w:tcPr>
            <w:tcW w:w="2355" w:type="dxa"/>
            <w:tcBorders>
              <w:top w:val="single" w:color="000000" w:sz="4" w:space="0"/>
              <w:left w:val="single" w:color="000000" w:sz="4" w:space="0"/>
              <w:bottom w:val="single" w:color="000000" w:sz="4" w:space="0"/>
              <w:right w:val="single" w:color="000000" w:sz="4" w:space="0"/>
            </w:tcBorders>
            <w:noWrap w:val="0"/>
            <w:vAlign w:val="center"/>
          </w:tcPr>
          <w:p w14:paraId="29D1591D">
            <w:pPr>
              <w:rPr>
                <w:rFonts w:hint="eastAsia" w:ascii="宋体" w:hAnsi="宋体" w:eastAsia="宋体" w:cs="宋体"/>
                <w:i w:val="0"/>
                <w:iCs w:val="0"/>
                <w:color w:val="000000"/>
                <w:sz w:val="18"/>
                <w:szCs w:val="18"/>
                <w:u w:val="none"/>
              </w:rPr>
            </w:pPr>
          </w:p>
        </w:tc>
      </w:tr>
      <w:tr w14:paraId="35D9E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0D26D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99" w:type="dxa"/>
            <w:gridSpan w:val="10"/>
            <w:tcBorders>
              <w:top w:val="single" w:color="000000" w:sz="4" w:space="0"/>
              <w:left w:val="single" w:color="000000" w:sz="4" w:space="0"/>
              <w:bottom w:val="single" w:color="000000" w:sz="4" w:space="0"/>
              <w:right w:val="single" w:color="000000" w:sz="4" w:space="0"/>
            </w:tcBorders>
            <w:noWrap w:val="0"/>
            <w:vAlign w:val="center"/>
          </w:tcPr>
          <w:p w14:paraId="64E034F0">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项目各项绩效目标整体落实情况良好，专项经费严格执行专项资金管理办法与项目实施方案开展收支管理，基本实现项目建设预期成效。</w:t>
            </w:r>
          </w:p>
        </w:tc>
      </w:tr>
      <w:tr w14:paraId="11D64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5CCD3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99" w:type="dxa"/>
            <w:gridSpan w:val="10"/>
            <w:tcBorders>
              <w:top w:val="single" w:color="000000" w:sz="4" w:space="0"/>
              <w:left w:val="single" w:color="000000" w:sz="4" w:space="0"/>
              <w:bottom w:val="single" w:color="000000" w:sz="4" w:space="0"/>
              <w:right w:val="single" w:color="000000" w:sz="4" w:space="0"/>
            </w:tcBorders>
            <w:noWrap w:val="0"/>
            <w:vAlign w:val="center"/>
          </w:tcPr>
          <w:p w14:paraId="26BF47EF">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人才培训与设备进场节奏衔接不够紧凑，实操培训需待设备到货后集中开展，前置培训覆盖面不足。</w:t>
            </w:r>
          </w:p>
        </w:tc>
      </w:tr>
      <w:tr w14:paraId="1D1C2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6D708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99" w:type="dxa"/>
            <w:gridSpan w:val="10"/>
            <w:tcBorders>
              <w:top w:val="single" w:color="000000" w:sz="4" w:space="0"/>
              <w:left w:val="single" w:color="000000" w:sz="4" w:space="0"/>
              <w:bottom w:val="single" w:color="000000" w:sz="4" w:space="0"/>
              <w:right w:val="single" w:color="000000" w:sz="4" w:space="0"/>
            </w:tcBorders>
            <w:noWrap w:val="0"/>
            <w:vAlign w:val="center"/>
          </w:tcPr>
          <w:p w14:paraId="7A74175F">
            <w:pPr>
              <w:jc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val="en-US" w:eastAsia="zh-CN"/>
              </w:rPr>
              <w:t>错峰开展人才培训。依托远程医疗平台提前开展理论教学，邀请对口支援专家下沉，设备到货第一时间组织实操培训，确保设备投用即可正常开展诊疗服务</w:t>
            </w:r>
          </w:p>
        </w:tc>
      </w:tr>
      <w:tr w14:paraId="1111D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73" w:type="dxa"/>
            <w:gridSpan w:val="5"/>
            <w:tcBorders>
              <w:top w:val="single" w:color="000000" w:sz="4" w:space="0"/>
              <w:left w:val="single" w:color="000000" w:sz="4" w:space="0"/>
              <w:bottom w:val="single" w:color="000000" w:sz="4" w:space="0"/>
              <w:right w:val="single" w:color="000000" w:sz="4" w:space="0"/>
            </w:tcBorders>
            <w:noWrap w:val="0"/>
            <w:vAlign w:val="center"/>
          </w:tcPr>
          <w:p w14:paraId="0B19FBD4">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项目负责人：</w:t>
            </w:r>
            <w:r>
              <w:rPr>
                <w:rFonts w:hint="eastAsia" w:ascii="宋体" w:hAnsi="宋体" w:cs="宋体"/>
                <w:i w:val="0"/>
                <w:iCs w:val="0"/>
                <w:color w:val="000000"/>
                <w:sz w:val="18"/>
                <w:szCs w:val="18"/>
                <w:u w:val="none"/>
                <w:lang w:val="en-US" w:eastAsia="zh-CN"/>
              </w:rPr>
              <w:t>杨厚江</w:t>
            </w:r>
          </w:p>
        </w:tc>
        <w:tc>
          <w:tcPr>
            <w:tcW w:w="5497" w:type="dxa"/>
            <w:gridSpan w:val="6"/>
            <w:tcBorders>
              <w:top w:val="single" w:color="000000" w:sz="4" w:space="0"/>
              <w:left w:val="single" w:color="000000" w:sz="4" w:space="0"/>
              <w:bottom w:val="single" w:color="000000" w:sz="4" w:space="0"/>
              <w:right w:val="single" w:color="000000" w:sz="4" w:space="0"/>
            </w:tcBorders>
            <w:noWrap w:val="0"/>
            <w:vAlign w:val="center"/>
          </w:tcPr>
          <w:p w14:paraId="371E6ED7">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财务负责人：</w:t>
            </w:r>
            <w:r>
              <w:rPr>
                <w:rFonts w:hint="eastAsia" w:ascii="宋体" w:hAnsi="宋体" w:cs="宋体"/>
                <w:i w:val="0"/>
                <w:iCs w:val="0"/>
                <w:color w:val="000000"/>
                <w:sz w:val="18"/>
                <w:szCs w:val="18"/>
                <w:u w:val="none"/>
                <w:lang w:val="en-US" w:eastAsia="zh-CN"/>
              </w:rPr>
              <w:t>张鹏</w:t>
            </w:r>
          </w:p>
        </w:tc>
      </w:tr>
    </w:tbl>
    <w:p w14:paraId="0602B04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03548E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89"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08D8CA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0" w:name="_Toc4619"/>
      <w:r>
        <w:rPr>
          <w:rFonts w:hint="eastAsia" w:ascii="Times New Roman" w:hAnsi="Times New Roman" w:eastAsia="黑体"/>
          <w:color w:val="auto"/>
          <w:sz w:val="44"/>
          <w:szCs w:val="44"/>
          <w:highlight w:val="none"/>
        </w:rPr>
        <w:t>第五部分 附表</w:t>
      </w:r>
      <w:bookmarkEnd w:id="81"/>
      <w:bookmarkEnd w:id="89"/>
      <w:bookmarkEnd w:id="90"/>
      <w:bookmarkStart w:id="91" w:name="_Toc15396619"/>
    </w:p>
    <w:p w14:paraId="757B837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2B7FD1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1"/>
    </w:p>
    <w:p w14:paraId="272715C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0"/>
      <w:r>
        <w:rPr>
          <w:rFonts w:hint="eastAsia" w:ascii="Times New Roman" w:hAnsi="Times New Roman" w:eastAsia="仿宋_GB2312" w:cs="仿宋_GB2312"/>
          <w:color w:val="auto"/>
          <w:sz w:val="32"/>
          <w:szCs w:val="32"/>
          <w:highlight w:val="none"/>
        </w:rPr>
        <w:t>二、收入决算表</w:t>
      </w:r>
      <w:bookmarkEnd w:id="92"/>
    </w:p>
    <w:p w14:paraId="22E42F9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1"/>
      <w:r>
        <w:rPr>
          <w:rFonts w:hint="eastAsia" w:ascii="Times New Roman" w:hAnsi="Times New Roman" w:eastAsia="仿宋_GB2312" w:cs="仿宋_GB2312"/>
          <w:color w:val="auto"/>
          <w:sz w:val="32"/>
          <w:szCs w:val="32"/>
          <w:highlight w:val="none"/>
        </w:rPr>
        <w:t>三、支出决算表</w:t>
      </w:r>
      <w:bookmarkEnd w:id="93"/>
    </w:p>
    <w:p w14:paraId="6FF8191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2"/>
      <w:r>
        <w:rPr>
          <w:rFonts w:hint="eastAsia" w:ascii="Times New Roman" w:hAnsi="Times New Roman" w:eastAsia="仿宋_GB2312" w:cs="仿宋_GB2312"/>
          <w:color w:val="auto"/>
          <w:sz w:val="32"/>
          <w:szCs w:val="32"/>
          <w:highlight w:val="none"/>
        </w:rPr>
        <w:t>四、财政拨款收入支出决算总表</w:t>
      </w:r>
      <w:bookmarkEnd w:id="94"/>
    </w:p>
    <w:p w14:paraId="293E77F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3"/>
      <w:r>
        <w:rPr>
          <w:rFonts w:hint="eastAsia" w:ascii="Times New Roman" w:hAnsi="Times New Roman" w:eastAsia="仿宋_GB2312" w:cs="仿宋_GB2312"/>
          <w:color w:val="auto"/>
          <w:sz w:val="32"/>
          <w:szCs w:val="32"/>
          <w:highlight w:val="none"/>
        </w:rPr>
        <w:t>五、财政拨款支出决算明细表</w:t>
      </w:r>
      <w:bookmarkEnd w:id="95"/>
      <w:bookmarkStart w:id="96" w:name="_Toc15396624"/>
    </w:p>
    <w:p w14:paraId="1AACAA9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6"/>
    </w:p>
    <w:p w14:paraId="25CDBFE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5"/>
      <w:r>
        <w:rPr>
          <w:rFonts w:hint="eastAsia" w:ascii="Times New Roman" w:hAnsi="Times New Roman" w:eastAsia="仿宋_GB2312" w:cs="仿宋_GB2312"/>
          <w:color w:val="auto"/>
          <w:sz w:val="32"/>
          <w:szCs w:val="32"/>
          <w:highlight w:val="none"/>
        </w:rPr>
        <w:t>七、一般公共预算财政拨款支出决算明细表</w:t>
      </w:r>
      <w:bookmarkEnd w:id="97"/>
    </w:p>
    <w:p w14:paraId="6A71E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6"/>
      <w:r>
        <w:rPr>
          <w:rFonts w:hint="eastAsia" w:ascii="Times New Roman" w:hAnsi="Times New Roman" w:eastAsia="仿宋_GB2312" w:cs="仿宋_GB2312"/>
          <w:color w:val="auto"/>
          <w:sz w:val="32"/>
          <w:szCs w:val="32"/>
          <w:highlight w:val="none"/>
        </w:rPr>
        <w:t>八、一般公共预算财政拨款基本支出决算表</w:t>
      </w:r>
      <w:bookmarkEnd w:id="98"/>
    </w:p>
    <w:p w14:paraId="1BC5899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7"/>
      <w:r>
        <w:rPr>
          <w:rFonts w:hint="eastAsia" w:ascii="Times New Roman" w:hAnsi="Times New Roman" w:eastAsia="仿宋_GB2312" w:cs="仿宋_GB2312"/>
          <w:color w:val="auto"/>
          <w:sz w:val="32"/>
          <w:szCs w:val="32"/>
          <w:highlight w:val="none"/>
        </w:rPr>
        <w:t>九、一般公共预算财政拨款项目支出决算表</w:t>
      </w:r>
      <w:bookmarkEnd w:id="99"/>
    </w:p>
    <w:p w14:paraId="1D654E5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8"/>
      <w:r>
        <w:rPr>
          <w:rFonts w:hint="eastAsia" w:ascii="Times New Roman" w:hAnsi="Times New Roman" w:eastAsia="仿宋_GB2312" w:cs="仿宋_GB2312"/>
          <w:color w:val="auto"/>
          <w:sz w:val="32"/>
          <w:szCs w:val="32"/>
          <w:highlight w:val="none"/>
        </w:rPr>
        <w:t>十、</w:t>
      </w:r>
      <w:bookmarkEnd w:id="100"/>
      <w:r>
        <w:rPr>
          <w:rFonts w:hint="eastAsia" w:ascii="Times New Roman" w:hAnsi="Times New Roman" w:eastAsia="仿宋_GB2312" w:cs="仿宋_GB2312"/>
          <w:color w:val="auto"/>
          <w:sz w:val="32"/>
          <w:szCs w:val="32"/>
          <w:highlight w:val="none"/>
        </w:rPr>
        <w:t>政府性基金预算财政拨款收入支出决算表</w:t>
      </w:r>
    </w:p>
    <w:p w14:paraId="019BC8D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9"/>
      <w:r>
        <w:rPr>
          <w:rFonts w:hint="eastAsia" w:ascii="Times New Roman" w:hAnsi="Times New Roman" w:eastAsia="仿宋_GB2312" w:cs="仿宋_GB2312"/>
          <w:color w:val="auto"/>
          <w:sz w:val="32"/>
          <w:szCs w:val="32"/>
          <w:highlight w:val="none"/>
        </w:rPr>
        <w:t>十一、</w:t>
      </w:r>
      <w:bookmarkEnd w:id="10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8D0A23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30"/>
      <w:r>
        <w:rPr>
          <w:rFonts w:hint="eastAsia" w:ascii="Times New Roman" w:hAnsi="Times New Roman" w:eastAsia="仿宋_GB2312" w:cs="仿宋_GB2312"/>
          <w:color w:val="auto"/>
          <w:sz w:val="32"/>
          <w:szCs w:val="32"/>
          <w:highlight w:val="none"/>
        </w:rPr>
        <w:t>十二、</w:t>
      </w:r>
      <w:bookmarkEnd w:id="102"/>
      <w:r>
        <w:rPr>
          <w:rFonts w:hint="eastAsia" w:ascii="Times New Roman" w:hAnsi="Times New Roman" w:eastAsia="仿宋_GB2312" w:cs="仿宋_GB2312"/>
          <w:color w:val="auto"/>
          <w:sz w:val="32"/>
          <w:szCs w:val="32"/>
          <w:highlight w:val="none"/>
          <w:lang w:eastAsia="zh-CN"/>
        </w:rPr>
        <w:t>国有资本经营预算财政拨款支出决算表</w:t>
      </w:r>
    </w:p>
    <w:p w14:paraId="3789AA2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3" w:name="_Toc15396631"/>
      <w:r>
        <w:rPr>
          <w:rFonts w:hint="eastAsia" w:ascii="Times New Roman" w:hAnsi="Times New Roman" w:eastAsia="仿宋_GB2312" w:cs="仿宋_GB2312"/>
          <w:color w:val="auto"/>
          <w:sz w:val="32"/>
          <w:szCs w:val="32"/>
          <w:highlight w:val="none"/>
        </w:rPr>
        <w:t>十三、</w:t>
      </w:r>
      <w:bookmarkEnd w:id="103"/>
      <w:r>
        <w:rPr>
          <w:rFonts w:hint="eastAsia" w:ascii="Times New Roman" w:hAnsi="Times New Roman" w:eastAsia="仿宋_GB2312" w:cs="仿宋_GB2312"/>
          <w:color w:val="auto"/>
          <w:sz w:val="32"/>
          <w:szCs w:val="32"/>
          <w:highlight w:val="none"/>
          <w:lang w:eastAsia="zh-CN"/>
        </w:rPr>
        <w:t>财政拨款“三公”经费支出决算表</w:t>
      </w:r>
    </w:p>
    <w:p w14:paraId="41730D5D">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E0910">
    <w:pPr>
      <w:pStyle w:val="10"/>
      <w:jc w:val="center"/>
    </w:pPr>
  </w:p>
  <w:p w14:paraId="56D830F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12A0F">
    <w:pPr>
      <w:pStyle w:val="10"/>
      <w:jc w:val="center"/>
    </w:pPr>
  </w:p>
  <w:p w14:paraId="74E3E4B5">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65543">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E16A2">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CE16A2">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0CD6AE88">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B6D7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C1D9A8"/>
    <w:multiLevelType w:val="singleLevel"/>
    <w:tmpl w:val="B3C1D9A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52A8D"/>
    <w:rsid w:val="00F602DF"/>
    <w:rsid w:val="00F754A1"/>
    <w:rsid w:val="00F81FD9"/>
    <w:rsid w:val="00F841AA"/>
    <w:rsid w:val="00F84A94"/>
    <w:rsid w:val="00F87E96"/>
    <w:rsid w:val="00FA23E8"/>
    <w:rsid w:val="00FD3CC1"/>
    <w:rsid w:val="00FF1E02"/>
    <w:rsid w:val="00FF30B4"/>
    <w:rsid w:val="015975B8"/>
    <w:rsid w:val="02317B1B"/>
    <w:rsid w:val="025B3B7B"/>
    <w:rsid w:val="02FEBE30"/>
    <w:rsid w:val="04155F9E"/>
    <w:rsid w:val="061E35DE"/>
    <w:rsid w:val="066E0107"/>
    <w:rsid w:val="07996F6E"/>
    <w:rsid w:val="07AA2823"/>
    <w:rsid w:val="07DFD8BA"/>
    <w:rsid w:val="081F5D82"/>
    <w:rsid w:val="08DB07E4"/>
    <w:rsid w:val="09867E8F"/>
    <w:rsid w:val="0A2032A3"/>
    <w:rsid w:val="0B8B6A58"/>
    <w:rsid w:val="0C6C4794"/>
    <w:rsid w:val="0CA8290A"/>
    <w:rsid w:val="0D35B1ED"/>
    <w:rsid w:val="0D815336"/>
    <w:rsid w:val="0DB80A19"/>
    <w:rsid w:val="0DC17049"/>
    <w:rsid w:val="0DE07E2B"/>
    <w:rsid w:val="0F107187"/>
    <w:rsid w:val="0F866659"/>
    <w:rsid w:val="0F98263C"/>
    <w:rsid w:val="101271B8"/>
    <w:rsid w:val="101860EC"/>
    <w:rsid w:val="10640A64"/>
    <w:rsid w:val="10C055FF"/>
    <w:rsid w:val="11772AA4"/>
    <w:rsid w:val="118107EC"/>
    <w:rsid w:val="12070D49"/>
    <w:rsid w:val="125402B7"/>
    <w:rsid w:val="13D50BC4"/>
    <w:rsid w:val="14022904"/>
    <w:rsid w:val="152F2A07"/>
    <w:rsid w:val="15A44B4E"/>
    <w:rsid w:val="165E0673"/>
    <w:rsid w:val="16BB723D"/>
    <w:rsid w:val="17D94B36"/>
    <w:rsid w:val="17E05F94"/>
    <w:rsid w:val="186504BB"/>
    <w:rsid w:val="1938089F"/>
    <w:rsid w:val="19A445FC"/>
    <w:rsid w:val="19C71D9A"/>
    <w:rsid w:val="1B7D550C"/>
    <w:rsid w:val="1BE8440E"/>
    <w:rsid w:val="1D155CEE"/>
    <w:rsid w:val="1E4F2C3F"/>
    <w:rsid w:val="1E740ACF"/>
    <w:rsid w:val="1FF35744"/>
    <w:rsid w:val="1FF6BC77"/>
    <w:rsid w:val="21962A9E"/>
    <w:rsid w:val="21AE7C77"/>
    <w:rsid w:val="22BC3C41"/>
    <w:rsid w:val="23860B96"/>
    <w:rsid w:val="240371BF"/>
    <w:rsid w:val="246E4058"/>
    <w:rsid w:val="256B319A"/>
    <w:rsid w:val="260F557C"/>
    <w:rsid w:val="2736379E"/>
    <w:rsid w:val="281408E2"/>
    <w:rsid w:val="29FD04D3"/>
    <w:rsid w:val="2BFF7BC6"/>
    <w:rsid w:val="2C8A61B5"/>
    <w:rsid w:val="2D2E01CF"/>
    <w:rsid w:val="2DF04E50"/>
    <w:rsid w:val="2E9545B0"/>
    <w:rsid w:val="2ED46580"/>
    <w:rsid w:val="2F040D46"/>
    <w:rsid w:val="2F6443CD"/>
    <w:rsid w:val="2FAE5751"/>
    <w:rsid w:val="2FB1A395"/>
    <w:rsid w:val="2FD9A7D8"/>
    <w:rsid w:val="310D7539"/>
    <w:rsid w:val="319F7F4E"/>
    <w:rsid w:val="321B2544"/>
    <w:rsid w:val="32811107"/>
    <w:rsid w:val="32A73EA3"/>
    <w:rsid w:val="3304709D"/>
    <w:rsid w:val="34281836"/>
    <w:rsid w:val="349D6851"/>
    <w:rsid w:val="35BA6CAF"/>
    <w:rsid w:val="364D14C1"/>
    <w:rsid w:val="36AA5135"/>
    <w:rsid w:val="36BE0DA7"/>
    <w:rsid w:val="376B6AA6"/>
    <w:rsid w:val="376D39B2"/>
    <w:rsid w:val="37E16F03"/>
    <w:rsid w:val="37F53A3B"/>
    <w:rsid w:val="3872780D"/>
    <w:rsid w:val="389B6C89"/>
    <w:rsid w:val="38D469F0"/>
    <w:rsid w:val="390A0976"/>
    <w:rsid w:val="39627CCD"/>
    <w:rsid w:val="397BAF1F"/>
    <w:rsid w:val="3AB79AF3"/>
    <w:rsid w:val="3B7EF35A"/>
    <w:rsid w:val="3B9FDB6C"/>
    <w:rsid w:val="3BD11425"/>
    <w:rsid w:val="3BF5BC2F"/>
    <w:rsid w:val="3CEBA265"/>
    <w:rsid w:val="3D98207C"/>
    <w:rsid w:val="3D9B0D99"/>
    <w:rsid w:val="3DEE7CF3"/>
    <w:rsid w:val="3DF02244"/>
    <w:rsid w:val="3DF97B88"/>
    <w:rsid w:val="3E78745D"/>
    <w:rsid w:val="3FF4CAE0"/>
    <w:rsid w:val="3FF7B227"/>
    <w:rsid w:val="403640D4"/>
    <w:rsid w:val="40E54C45"/>
    <w:rsid w:val="417153ED"/>
    <w:rsid w:val="43A407DF"/>
    <w:rsid w:val="44515BEA"/>
    <w:rsid w:val="44E268DA"/>
    <w:rsid w:val="453D21C9"/>
    <w:rsid w:val="453F7E5B"/>
    <w:rsid w:val="47604841"/>
    <w:rsid w:val="47D049EE"/>
    <w:rsid w:val="48447B82"/>
    <w:rsid w:val="486A6C7A"/>
    <w:rsid w:val="49176D9B"/>
    <w:rsid w:val="492A33D5"/>
    <w:rsid w:val="49F40FE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7F52B0"/>
    <w:rsid w:val="53AF27A2"/>
    <w:rsid w:val="53F74C96"/>
    <w:rsid w:val="56E47B74"/>
    <w:rsid w:val="57BD3DD4"/>
    <w:rsid w:val="599E4BE5"/>
    <w:rsid w:val="5A1E1882"/>
    <w:rsid w:val="5A5669F5"/>
    <w:rsid w:val="5AF92295"/>
    <w:rsid w:val="5BDD79E6"/>
    <w:rsid w:val="5BF561CA"/>
    <w:rsid w:val="5BFF5DFC"/>
    <w:rsid w:val="5C2F13FF"/>
    <w:rsid w:val="5C642CAF"/>
    <w:rsid w:val="5CD71FC4"/>
    <w:rsid w:val="5D1F11B5"/>
    <w:rsid w:val="5DAE1B18"/>
    <w:rsid w:val="5DE7D9E5"/>
    <w:rsid w:val="5ECEC941"/>
    <w:rsid w:val="5F493CB7"/>
    <w:rsid w:val="5FBF9FF3"/>
    <w:rsid w:val="5FCD4E2C"/>
    <w:rsid w:val="5FD15F49"/>
    <w:rsid w:val="5FEF394A"/>
    <w:rsid w:val="5FF67715"/>
    <w:rsid w:val="60126552"/>
    <w:rsid w:val="6045400C"/>
    <w:rsid w:val="62BF3928"/>
    <w:rsid w:val="63470D46"/>
    <w:rsid w:val="635E372E"/>
    <w:rsid w:val="647F5392"/>
    <w:rsid w:val="64D80E92"/>
    <w:rsid w:val="65BD1F06"/>
    <w:rsid w:val="66262FD0"/>
    <w:rsid w:val="664B1D71"/>
    <w:rsid w:val="67AA3209"/>
    <w:rsid w:val="68021F70"/>
    <w:rsid w:val="681C4F0D"/>
    <w:rsid w:val="69046D0F"/>
    <w:rsid w:val="698D0931"/>
    <w:rsid w:val="6A0740E0"/>
    <w:rsid w:val="6A993CED"/>
    <w:rsid w:val="6B053271"/>
    <w:rsid w:val="6BCE6674"/>
    <w:rsid w:val="6C4A05C8"/>
    <w:rsid w:val="6C8742B8"/>
    <w:rsid w:val="6C8A170F"/>
    <w:rsid w:val="6CB54609"/>
    <w:rsid w:val="6DBF5E93"/>
    <w:rsid w:val="6DC62C6B"/>
    <w:rsid w:val="6DFF077E"/>
    <w:rsid w:val="6E7E3605"/>
    <w:rsid w:val="6E7FDCC7"/>
    <w:rsid w:val="6E8932F7"/>
    <w:rsid w:val="6EB20E4A"/>
    <w:rsid w:val="6ED6A62E"/>
    <w:rsid w:val="6EE00B15"/>
    <w:rsid w:val="6EF33C0A"/>
    <w:rsid w:val="6F544B20"/>
    <w:rsid w:val="6F6FB3EB"/>
    <w:rsid w:val="6F784160"/>
    <w:rsid w:val="6F8731EA"/>
    <w:rsid w:val="6FCE6052"/>
    <w:rsid w:val="6FD57C00"/>
    <w:rsid w:val="6FEFFFD8"/>
    <w:rsid w:val="6FF5CC65"/>
    <w:rsid w:val="6FFB47EC"/>
    <w:rsid w:val="6FFF034A"/>
    <w:rsid w:val="70496804"/>
    <w:rsid w:val="70D626B4"/>
    <w:rsid w:val="70DC1191"/>
    <w:rsid w:val="712A28F1"/>
    <w:rsid w:val="715C0E4B"/>
    <w:rsid w:val="718B3E33"/>
    <w:rsid w:val="720F4264"/>
    <w:rsid w:val="72233669"/>
    <w:rsid w:val="72631E83"/>
    <w:rsid w:val="72734D90"/>
    <w:rsid w:val="7332FE48"/>
    <w:rsid w:val="738C6844"/>
    <w:rsid w:val="73AB61DA"/>
    <w:rsid w:val="73AD73D5"/>
    <w:rsid w:val="73B6EB34"/>
    <w:rsid w:val="73FA497D"/>
    <w:rsid w:val="744731E5"/>
    <w:rsid w:val="74527205"/>
    <w:rsid w:val="74BBD01D"/>
    <w:rsid w:val="74ED5379"/>
    <w:rsid w:val="74FC2395"/>
    <w:rsid w:val="75325DBE"/>
    <w:rsid w:val="75DEEEC2"/>
    <w:rsid w:val="76E3355F"/>
    <w:rsid w:val="76FF5125"/>
    <w:rsid w:val="776F6FFA"/>
    <w:rsid w:val="778769C8"/>
    <w:rsid w:val="77DC22F5"/>
    <w:rsid w:val="79086DAD"/>
    <w:rsid w:val="796062AB"/>
    <w:rsid w:val="7992794C"/>
    <w:rsid w:val="79974F09"/>
    <w:rsid w:val="79D7FD79"/>
    <w:rsid w:val="79EE5BA4"/>
    <w:rsid w:val="7A1D0670"/>
    <w:rsid w:val="7A231615"/>
    <w:rsid w:val="7A3063B5"/>
    <w:rsid w:val="7A894339"/>
    <w:rsid w:val="7AFF7572"/>
    <w:rsid w:val="7B6C7DFB"/>
    <w:rsid w:val="7B8B2721"/>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character" w:customStyle="1" w:styleId="37">
    <w:name w:val="font11"/>
    <w:basedOn w:val="1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H:\2025&#24180;\2025&#24180;&#20915;&#31639;&#20844;&#24320;\2023&#24180;&#37096;&#38376;&#20915;&#31639;&#20844;&#24320;&#65288;&#26609;&#29366;&#22270;&#65289;.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H:\2025&#24180;\2025&#24180;&#20915;&#31639;&#20844;&#24320;\2023&#24180;&#37096;&#38376;&#20915;&#31639;&#20844;&#24320;&#65288;&#26609;&#29366;&#22270;&#65289;.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H:\2024&#24180;\2024&#24180;&#37096;&#38376;&#20915;&#31639;&#20844;&#24320;\2023&#24180;&#37096;&#38376;&#20915;&#31639;&#20844;&#24320;&#65288;&#26609;&#29366;&#22270;&#65289;.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H:\2025&#24180;\2025&#24180;&#20915;&#31639;&#20844;&#24320;\2023&#24180;&#37096;&#38376;&#20915;&#31639;&#20844;&#24320;&#65288;&#26609;&#29366;&#22270;&#65289;.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H:\2025&#24180;\2025&#24180;&#20915;&#31639;&#20844;&#24320;\2023&#24180;&#37096;&#38376;&#20915;&#31639;&#20844;&#24320;&#65288;&#26609;&#29366;&#22270;&#65289;.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H:\2025&#24180;\2025&#24180;&#20915;&#31639;&#20844;&#24320;\2023&#24180;&#37096;&#38376;&#20915;&#31639;&#20844;&#24320;&#65288;&#26609;&#29366;&#22270;&#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'[2023年部门决算公开（柱状图）.xlsx]Sheet1'!$A$96</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'[2023年部门决算公开（柱状图）.xlsx]Sheet1'!$B$95:$C$95</c:f>
              <c:strCache>
                <c:ptCount val="2"/>
                <c:pt idx="0">
                  <c:v>收入总计（万元）</c:v>
                </c:pt>
                <c:pt idx="1">
                  <c:v>支出总计（万元）</c:v>
                </c:pt>
              </c:strCache>
            </c:strRef>
          </c:cat>
          <c:val>
            <c:numRef>
              <c:f>'[2023年部门决算公开（柱状图）.xlsx]Sheet1'!$B$96:$C$96</c:f>
              <c:numCache>
                <c:formatCode>General</c:formatCode>
                <c:ptCount val="2"/>
                <c:pt idx="0">
                  <c:v>8408.24</c:v>
                </c:pt>
                <c:pt idx="1">
                  <c:v>8301.12</c:v>
                </c:pt>
              </c:numCache>
            </c:numRef>
          </c:val>
        </c:ser>
        <c:ser>
          <c:idx val="1"/>
          <c:order val="1"/>
          <c:tx>
            <c:strRef>
              <c:f>'[2023年部门决算公开（柱状图）.xlsx]Sheet1'!$A$97</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'[2023年部门决算公开（柱状图）.xlsx]Sheet1'!$B$95:$C$95</c:f>
              <c:strCache>
                <c:ptCount val="2"/>
                <c:pt idx="0">
                  <c:v>收入总计（万元）</c:v>
                </c:pt>
                <c:pt idx="1">
                  <c:v>支出总计（万元）</c:v>
                </c:pt>
              </c:strCache>
            </c:strRef>
          </c:cat>
          <c:val>
            <c:numRef>
              <c:f>'[2023年部门决算公开（柱状图）.xlsx]Sheet1'!$B$97:$C$97</c:f>
              <c:numCache>
                <c:formatCode>General</c:formatCode>
                <c:ptCount val="2"/>
                <c:pt idx="0">
                  <c:v>8124.45</c:v>
                </c:pt>
                <c:pt idx="1">
                  <c:v>7588.23</c:v>
                </c:pt>
              </c:numCache>
            </c:numRef>
          </c:val>
        </c:ser>
        <c:dLbls>
          <c:showLegendKey val="0"/>
          <c:showVal val="1"/>
          <c:showCatName val="0"/>
          <c:showSerName val="0"/>
          <c:showPercent val="0"/>
          <c:showBubbleSize val="0"/>
        </c:dLbls>
        <c:gapWidth val="219"/>
        <c:overlap val="-27"/>
        <c:axId val="47900378"/>
        <c:axId val="929482184"/>
      </c:barChart>
      <c:catAx>
        <c:axId val="4790037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9482184"/>
        <c:crosses val="autoZero"/>
        <c:auto val="1"/>
        <c:lblAlgn val="ctr"/>
        <c:lblOffset val="100"/>
        <c:noMultiLvlLbl val="0"/>
      </c:catAx>
      <c:valAx>
        <c:axId val="929482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003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d366389-7c1f-4210-8bb6-28aed12ec403}"/>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年收入决算结构图</a:t>
            </a:r>
          </a:p>
        </c:rich>
      </c:tx>
      <c:layout/>
      <c:overlay val="0"/>
      <c:spPr>
        <a:noFill/>
        <a:ln>
          <a:noFill/>
        </a:ln>
        <a:effectLst/>
      </c:spPr>
    </c:title>
    <c:autoTitleDeleted val="0"/>
    <c:plotArea>
      <c:layout/>
      <c:pieChart>
        <c:varyColors val="1"/>
        <c:ser>
          <c:idx val="0"/>
          <c:order val="0"/>
          <c:tx>
            <c:strRef>
              <c:f>'[2023年部门决算公开（柱状图）.xlsx]Sheet1'!$A$110</c:f>
              <c:strCache>
                <c:ptCount val="1"/>
                <c:pt idx="0">
                  <c:v>2025年</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5290.66</a:t>
                    </a:r>
                    <a:r>
                      <a:t>万元，占</a:t>
                    </a:r>
                    <a:r>
                      <a:rPr lang="en-US" altLang="zh-CN"/>
                      <a:t>65.12%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0714666626341744"/>
                  <c:y val="-0.091227110249794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932.44</a:t>
                    </a:r>
                    <a:r>
                      <a:t>万元，占</a:t>
                    </a:r>
                    <a:r>
                      <a:rPr lang="en-US" altLang="zh-CN"/>
                      <a:t>11.47%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788282385034819"/>
                  <c:y val="0.045530717214004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1901.36</a:t>
                    </a:r>
                    <a:r>
                      <a:t>万元，占</a:t>
                    </a:r>
                    <a:r>
                      <a:rPr lang="en-US" altLang="zh-CN"/>
                      <a:t>23.40%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'[2023年部门决算公开（柱状图）.xlsx]Sheet1'!$B$109:$D$109</c:f>
              <c:strCache>
                <c:ptCount val="3"/>
                <c:pt idx="0">
                  <c:v>一般公共预算财政拨款收入（万元）</c:v>
                </c:pt>
                <c:pt idx="1">
                  <c:v>政府性基金预算财政拨款收入（万元）</c:v>
                </c:pt>
                <c:pt idx="2">
                  <c:v>事业收入（万元）</c:v>
                </c:pt>
              </c:strCache>
            </c:strRef>
          </c:cat>
          <c:val>
            <c:numRef>
              <c:f>'[2023年部门决算公开（柱状图）.xlsx]Sheet1'!$B$110:$D$110</c:f>
              <c:numCache>
                <c:formatCode>General</c:formatCode>
                <c:ptCount val="3"/>
                <c:pt idx="0">
                  <c:v>5290.66</c:v>
                </c:pt>
                <c:pt idx="1">
                  <c:v>932.44</c:v>
                </c:pt>
                <c:pt idx="2">
                  <c:v>1901.36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e0142e-e660-4e8d-8361-d3f895678652}"/>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年支出决算结构图</a:t>
            </a:r>
          </a:p>
        </c:rich>
      </c:tx>
      <c:layout/>
      <c:overlay val="0"/>
      <c:spPr>
        <a:noFill/>
        <a:ln>
          <a:noFill/>
        </a:ln>
        <a:effectLst/>
      </c:spPr>
    </c:title>
    <c:autoTitleDeleted val="0"/>
    <c:plotArea>
      <c:layout/>
      <c:pieChart>
        <c:varyColors val="1"/>
        <c:ser>
          <c:idx val="0"/>
          <c:order val="0"/>
          <c:tx>
            <c:strRef>
              <c:f>'[2023年部门决算公开（柱状图）.xlsx]Sheet1'!$A$10</c:f>
              <c:strCache>
                <c:ptCount val="1"/>
                <c:pt idx="0">
                  <c:v>2025年</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475879794164858"/>
                  <c:y val="0.003632236829035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4038.15万元，占</a:t>
                    </a:r>
                    <a:r>
                      <a:rPr lang="en-US" altLang="zh-CN"/>
                      <a:t>53.22%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3443008474297"/>
                  <c:y val="-0.12168779011781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3550.07万元，占</a:t>
                    </a:r>
                    <a:r>
                      <a:rPr lang="en-US" altLang="zh-CN"/>
                      <a:t>46.78%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'[2023年部门决算公开（柱状图）.xlsx]Sheet1'!$B$9:$C$9</c:f>
              <c:strCache>
                <c:ptCount val="2"/>
                <c:pt idx="0">
                  <c:v>基本支出（万元）</c:v>
                </c:pt>
                <c:pt idx="1">
                  <c:v>项目支出（万元）</c:v>
                </c:pt>
              </c:strCache>
            </c:strRef>
          </c:cat>
          <c:val>
            <c:numRef>
              <c:f>'[2023年部门决算公开（柱状图）.xlsx]Sheet1'!$B$10:$C$10</c:f>
              <c:numCache>
                <c:formatCode>General</c:formatCode>
                <c:ptCount val="2"/>
                <c:pt idx="0">
                  <c:v>4038.15</c:v>
                </c:pt>
                <c:pt idx="1">
                  <c:v>3550.07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e25d943-16a8-4af7-9709-b1974587edd5}"/>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manualLayout>
          <c:xMode val="edge"/>
          <c:yMode val="edge"/>
          <c:x val="0.204588910133843"/>
          <c:y val="0.0220426157237329"/>
        </c:manualLayout>
      </c:layout>
      <c:overlay val="0"/>
      <c:spPr>
        <a:noFill/>
        <a:ln>
          <a:noFill/>
        </a:ln>
        <a:effectLst/>
      </c:spPr>
    </c:title>
    <c:autoTitleDeleted val="0"/>
    <c:plotArea>
      <c:layout/>
      <c:barChart>
        <c:barDir val="col"/>
        <c:grouping val="clustered"/>
        <c:varyColors val="0"/>
        <c:ser>
          <c:idx val="0"/>
          <c:order val="0"/>
          <c:tx>
            <c:strRef>
              <c:f>'[2023年部门决算公开（柱状图）.xlsx]Sheet1'!$A$17</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'[2023年部门决算公开（柱状图）.xlsx]Sheet1'!$B$16:$C$16</c:f>
              <c:strCache>
                <c:ptCount val="2"/>
                <c:pt idx="0">
                  <c:v>财政拨款收入总计（万元）</c:v>
                </c:pt>
                <c:pt idx="1">
                  <c:v>财政拨款支出总计（万元）</c:v>
                </c:pt>
              </c:strCache>
            </c:strRef>
          </c:cat>
          <c:val>
            <c:numRef>
              <c:f>'[2023年部门决算公开（柱状图）.xlsx]Sheet1'!$B$17:$C$17</c:f>
              <c:numCache>
                <c:formatCode>0.00_ </c:formatCode>
                <c:ptCount val="2"/>
                <c:pt idx="0">
                  <c:v>6971.2</c:v>
                </c:pt>
                <c:pt idx="1">
                  <c:v>6971.2</c:v>
                </c:pt>
              </c:numCache>
            </c:numRef>
          </c:val>
        </c:ser>
        <c:ser>
          <c:idx val="1"/>
          <c:order val="1"/>
          <c:tx>
            <c:strRef>
              <c:f>'[2023年部门决算公开（柱状图）.xlsx]Sheet1'!$A$18</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'[2023年部门决算公开（柱状图）.xlsx]Sheet1'!$B$16:$C$16</c:f>
              <c:strCache>
                <c:ptCount val="2"/>
                <c:pt idx="0">
                  <c:v>财政拨款收入总计（万元）</c:v>
                </c:pt>
                <c:pt idx="1">
                  <c:v>财政拨款支出总计（万元）</c:v>
                </c:pt>
              </c:strCache>
            </c:strRef>
          </c:cat>
          <c:val>
            <c:numRef>
              <c:f>'[2023年部门决算公开（柱状图）.xlsx]Sheet1'!$B$18:$C$18</c:f>
              <c:numCache>
                <c:formatCode>0.00_ </c:formatCode>
                <c:ptCount val="2"/>
                <c:pt idx="0">
                  <c:v>6223.1</c:v>
                </c:pt>
                <c:pt idx="1">
                  <c:v>6223.1</c:v>
                </c:pt>
              </c:numCache>
            </c:numRef>
          </c:val>
        </c:ser>
        <c:dLbls>
          <c:showLegendKey val="0"/>
          <c:showVal val="1"/>
          <c:showCatName val="0"/>
          <c:showSerName val="0"/>
          <c:showPercent val="0"/>
          <c:showBubbleSize val="0"/>
        </c:dLbls>
        <c:gapWidth val="219"/>
        <c:overlap val="-27"/>
        <c:axId val="460741911"/>
        <c:axId val="601596667"/>
      </c:barChart>
      <c:catAx>
        <c:axId val="4607419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596667"/>
        <c:crosses val="autoZero"/>
        <c:auto val="1"/>
        <c:lblAlgn val="ctr"/>
        <c:lblOffset val="100"/>
        <c:noMultiLvlLbl val="0"/>
      </c:catAx>
      <c:valAx>
        <c:axId val="601596667"/>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07419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8de89d-9c40-4701-90b1-9d91fcf5fe8b}"/>
      </c:ext>
    </c:extLst>
  </c:chart>
  <c:spPr>
    <a:gradFill>
      <a:gsLst>
        <a:gs pos="52000">
          <a:srgbClr val="ADCDEA">
            <a:alpha val="100000"/>
          </a:srgbClr>
        </a:gs>
        <a:gs pos="22000">
          <a:schemeClr val="accent1">
            <a:lumMod val="40000"/>
            <a:lumOff val="60000"/>
          </a:schemeClr>
        </a:gs>
        <a:gs pos="91000">
          <a:schemeClr val="accent1">
            <a:lumMod val="60000"/>
            <a:lumOff val="40000"/>
          </a:schemeClr>
        </a:gs>
      </a:gsLst>
      <a:lin ang="5400000" scaled="0"/>
    </a:gradFill>
    <a:ln w="9525" cap="flat" cmpd="sng" algn="ctr">
      <a:solidFill>
        <a:schemeClr val="tx1">
          <a:lumMod val="15000"/>
          <a:lumOff val="85000"/>
        </a:schemeClr>
      </a:solidFill>
      <a:round/>
    </a:ln>
    <a:effectLst>
      <a:glow rad="101600">
        <a:schemeClr val="accent4">
          <a:satMod val="175000"/>
          <a:alpha val="50000"/>
        </a:schemeClr>
      </a:glow>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'[2023年部门决算公开（柱状图）.xlsx]Sheet1'!$B$12</c:f>
              <c:strCache>
                <c:ptCount val="1"/>
                <c:pt idx="0">
                  <c:v>一般公共预算财政拨款支出（万元）</c:v>
                </c:pt>
              </c:strCache>
            </c:strRef>
          </c:tx>
          <c:spPr>
            <a:solidFill>
              <a:schemeClr val="accent1"/>
            </a:solidFill>
            <a:ln>
              <a:noFill/>
            </a:ln>
            <a:effectLst/>
          </c:spPr>
          <c:invertIfNegative val="0"/>
          <c:dLbls>
            <c:dLbl>
              <c:idx val="0"/>
              <c:layout>
                <c:manualLayout>
                  <c:x val="0.0125"/>
                  <c:y val="-0.107638888888889"/>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666666666667"/>
                  <c:y val="-0.0972222222222222"/>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'[2023年部门决算公开（柱状图）.xlsx]Sheet1'!$A$13:$A$14</c:f>
              <c:strCache>
                <c:ptCount val="2"/>
                <c:pt idx="0">
                  <c:v>2024年</c:v>
                </c:pt>
                <c:pt idx="1">
                  <c:v>2025年</c:v>
                </c:pt>
              </c:strCache>
            </c:strRef>
          </c:cat>
          <c:val>
            <c:numRef>
              <c:f>'[2023年部门决算公开（柱状图）.xlsx]Sheet1'!$B$13:$B$14</c:f>
              <c:numCache>
                <c:formatCode>General</c:formatCode>
                <c:ptCount val="2"/>
                <c:pt idx="0">
                  <c:v>3903.63</c:v>
                </c:pt>
                <c:pt idx="1">
                  <c:v>5290.66</c:v>
                </c:pt>
              </c:numCache>
            </c:numRef>
          </c:val>
        </c:ser>
        <c:dLbls>
          <c:showLegendKey val="0"/>
          <c:showVal val="1"/>
          <c:showCatName val="0"/>
          <c:showSerName val="0"/>
          <c:showPercent val="0"/>
          <c:showBubbleSize val="0"/>
        </c:dLbls>
        <c:gapWidth val="75"/>
        <c:overlap val="40"/>
        <c:axId val="700336024"/>
        <c:axId val="878363232"/>
      </c:barChart>
      <c:catAx>
        <c:axId val="7003360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8363232"/>
        <c:crosses val="autoZero"/>
        <c:auto val="1"/>
        <c:lblAlgn val="ctr"/>
        <c:lblOffset val="100"/>
        <c:noMultiLvlLbl val="0"/>
      </c:catAx>
      <c:valAx>
        <c:axId val="878363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033602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063f23e-4823-425c-9d0c-5fb6620fa4e3}"/>
      </c:ext>
    </c:extLst>
  </c:chart>
  <c:spPr>
    <a:gradFill>
      <a:gsLst>
        <a:gs pos="0">
          <a:schemeClr val="accent1">
            <a:lumMod val="40000"/>
            <a:lumOff val="60000"/>
          </a:schemeClr>
        </a:gs>
        <a:gs pos="100000">
          <a:schemeClr val="accent1">
            <a:lumMod val="60000"/>
            <a:lumOff val="40000"/>
          </a:schemeClr>
        </a:gs>
      </a:gsLst>
      <a:lin ang="5400000" scaled="0"/>
    </a:gradFill>
    <a:ln w="9525" cap="flat" cmpd="sng" algn="ctr">
      <a:solidFill>
        <a:schemeClr val="tx1">
          <a:lumMod val="15000"/>
          <a:lumOff val="85000"/>
        </a:schemeClr>
      </a:solidFill>
      <a:round/>
    </a:ln>
    <a:effectLst>
      <a:glow rad="101600">
        <a:schemeClr val="accent4">
          <a:satMod val="175000"/>
          <a:alpha val="50000"/>
        </a:schemeClr>
      </a:glow>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'[2023年部门决算公开（柱状图）.xlsx]Sheet1'!$A$21</c:f>
              <c:strCache>
                <c:ptCount val="1"/>
                <c:pt idx="0">
                  <c:v>2025年一般公共预算财政拨款支出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705463342837025"/>
                  <c:y val="-0.017133658888636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9.6万元，占</a:t>
                    </a:r>
                    <a:r>
                      <a:rPr lang="en-US" altLang="zh-CN"/>
                      <a:t>0.19%</a:t>
                    </a:r>
                    <a:endParaRPr lang="en-US" altLang="zh-CN" u="dash"/>
                  </a:p>
                </c:rich>
              </c:tx>
              <c:dLblPos val="bestFit"/>
              <c:showLegendKey val="0"/>
              <c:showVal val="1"/>
              <c:showCatName val="0"/>
              <c:showSerName val="0"/>
              <c:showPercent val="0"/>
              <c:showBubbleSize val="0"/>
              <c:extLst>
                <c:ext xmlns:c15="http://schemas.microsoft.com/office/drawing/2012/chart" uri="{CE6537A1-D6FC-4f65-9D91-7224C49458BB}">
                  <c15:layout>
                    <c:manualLayout>
                      <c:w val="0.354628857381151"/>
                      <c:h val="0.0865456354140761"/>
                    </c:manualLayout>
                  </c15:layout>
                </c:ext>
              </c:extLst>
            </c:dLbl>
            <c:dLbl>
              <c:idx val="1"/>
              <c:layout>
                <c:manualLayout>
                  <c:x val="0.137903278078261"/>
                  <c:y val="0.10607515677346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399.07万元，占</a:t>
                    </a:r>
                    <a:r>
                      <a:rPr lang="en-US" altLang="zh-CN"/>
                      <a:t>7.54%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4677.64元，占</a:t>
                    </a:r>
                    <a:r>
                      <a:rPr lang="en-US" altLang="zh-CN"/>
                      <a:t>88.41%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0.226244850192998"/>
                  <c:y val="0.0085856229716788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204.35万元，占</a:t>
                    </a:r>
                    <a:r>
                      <a:rPr lang="en-US" altLang="zh-CN"/>
                      <a:t>3.86%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'[2023年部门决算公开（柱状图）.xlsx]Sheet1'!$B$20:$E$20</c:f>
              <c:strCache>
                <c:ptCount val="4"/>
                <c:pt idx="0">
                  <c:v>一般公共服务支出（类）支出</c:v>
                </c:pt>
                <c:pt idx="1">
                  <c:v>社会保障和就业（类）支出</c:v>
                </c:pt>
                <c:pt idx="2">
                  <c:v>卫生健康支出</c:v>
                </c:pt>
                <c:pt idx="3">
                  <c:v>住房保障支出</c:v>
                </c:pt>
              </c:strCache>
            </c:strRef>
          </c:cat>
          <c:val>
            <c:numRef>
              <c:f>'[2023年部门决算公开（柱状图）.xlsx]Sheet1'!$B$21:$E$21</c:f>
              <c:numCache>
                <c:formatCode>General</c:formatCode>
                <c:ptCount val="4"/>
                <c:pt idx="0">
                  <c:v>9.6</c:v>
                </c:pt>
                <c:pt idx="1">
                  <c:v>399.07</c:v>
                </c:pt>
                <c:pt idx="2">
                  <c:v>4677.64</c:v>
                </c:pt>
                <c:pt idx="3">
                  <c:v>204.35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6697247706422"/>
          <c:y val="0.3014175578214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ea1748d-37df-4f39-b668-bb1bb951a273}"/>
      </c:ext>
    </c:extLst>
  </c:chart>
  <c:spPr>
    <a:gradFill>
      <a:gsLst>
        <a:gs pos="8000">
          <a:srgbClr val="BCD7EE">
            <a:alpha val="100000"/>
          </a:srgbClr>
        </a:gs>
        <a:gs pos="18000">
          <a:srgbClr val="BBD6EE"/>
        </a:gs>
        <a:gs pos="62000">
          <a:srgbClr val="A5C8E8"/>
        </a:gs>
        <a:gs pos="25000">
          <a:srgbClr val="B9D5ED"/>
        </a:gs>
        <a:gs pos="35000">
          <a:srgbClr val="B5D2EC"/>
        </a:gs>
        <a:gs pos="48000">
          <a:srgbClr val="ADCDEA"/>
        </a:gs>
        <a:gs pos="0">
          <a:schemeClr val="accent1">
            <a:lumMod val="40000"/>
            <a:lumOff val="60000"/>
          </a:schemeClr>
        </a:gs>
        <a:gs pos="100000">
          <a:schemeClr val="accent1">
            <a:lumMod val="60000"/>
            <a:lumOff val="40000"/>
          </a:schemeClr>
        </a:gs>
      </a:gsLst>
      <a:lin ang="5400000" scaled="0"/>
    </a:gradFill>
    <a:ln w="9525" cap="flat" cmpd="sng" algn="ctr">
      <a:solidFill>
        <a:schemeClr val="tx1">
          <a:lumMod val="15000"/>
          <a:lumOff val="85000"/>
        </a:schemeClr>
      </a:solidFill>
      <a:round/>
    </a:ln>
    <a:effectLst>
      <a:outerShdw blurRad="50800" dist="38100" dir="5400000" algn="t" rotWithShape="0">
        <a:prstClr val="black">
          <a:alpha val="40000"/>
        </a:prstClr>
      </a:outerShdw>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277</Words>
  <Characters>296</Characters>
  <Lines>61</Lines>
  <Paragraphs>17</Paragraphs>
  <TotalTime>3</TotalTime>
  <ScaleCrop>false</ScaleCrop>
  <LinksUpToDate>false</LinksUpToDate>
  <CharactersWithSpaces>328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33</cp:lastModifiedBy>
  <cp:lastPrinted>2026-10-27T02:51:00Z</cp:lastPrinted>
  <dcterms:modified xsi:type="dcterms:W3CDTF">2026-10-27T03:00:48Z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9C20405CF3C44461A8C3AE6B975882EC_13</vt:lpwstr>
  </property>
  <property fmtid="{D5CDD505-2E9C-101B-9397-08002B2CF9AE}" pid="4" name="KSOTemplateDocerSaveRecord">
    <vt:lpwstr>eyJoZGlkIjoiYzk1Mzg2MGY4NTI0ZmEzODRkMDczMWNiMmY3ZWJkMjYiLCJ1c2VySWQiOiI4NTg3Nzg0MTUifQ==</vt:lpwstr>
  </property>
</Properties>
</file>