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8441"/>
      <w:bookmarkStart w:id="3" w:name="_Toc15377425"/>
      <w:bookmarkStart w:id="4" w:name="_Toc15377193"/>
      <w:bookmarkStart w:id="5" w:name="_Toc15396597"/>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78442"/>
      <w:bookmarkStart w:id="8" w:name="_Toc15396598"/>
      <w:bookmarkStart w:id="9" w:name="_Toc15396476"/>
      <w:bookmarkStart w:id="10" w:name="_Toc15377426"/>
      <w:r>
        <w:rPr>
          <w:rFonts w:hint="eastAsia" w:ascii="方正小标宋简体" w:eastAsia="方正小标宋简体"/>
          <w:sz w:val="72"/>
          <w:szCs w:val="72"/>
        </w:rPr>
        <w:t>阿坝州壤塘县</w:t>
      </w:r>
      <w:bookmarkEnd w:id="0"/>
      <w:bookmarkStart w:id="11" w:name="_Toc15306268"/>
      <w:r>
        <w:rPr>
          <w:rFonts w:hint="eastAsia" w:ascii="方正小标宋简体" w:eastAsia="方正小标宋简体"/>
          <w:sz w:val="72"/>
          <w:szCs w:val="72"/>
          <w:lang w:eastAsia="zh-CN"/>
        </w:rPr>
        <w:t>人民医院</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pStyle w:val="2"/>
        <w:ind w:left="0" w:leftChars="0" w:firstLine="0" w:firstLineChars="0"/>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 xml:space="preserve">公开时间：2022年 </w:t>
      </w:r>
      <w:r>
        <w:rPr>
          <w:rFonts w:hint="eastAsia" w:hAnsiTheme="minorHAnsi"/>
          <w:b w:val="0"/>
          <w:bCs w:val="0"/>
          <w:sz w:val="24"/>
          <w:szCs w:val="24"/>
          <w:lang w:val="en-US" w:eastAsia="zh-CN"/>
        </w:rPr>
        <w:t>10</w:t>
      </w:r>
      <w:r>
        <w:rPr>
          <w:rFonts w:hint="eastAsia" w:hAnsiTheme="minorHAnsi"/>
          <w:b w:val="0"/>
          <w:bCs w:val="0"/>
          <w:sz w:val="24"/>
          <w:szCs w:val="24"/>
        </w:rPr>
        <w:t xml:space="preserve">月 </w:t>
      </w:r>
      <w:r>
        <w:rPr>
          <w:rFonts w:hint="eastAsia" w:hAnsiTheme="minorHAnsi"/>
          <w:b w:val="0"/>
          <w:bCs w:val="0"/>
          <w:sz w:val="24"/>
          <w:szCs w:val="24"/>
          <w:lang w:val="en-US" w:eastAsia="zh-CN"/>
        </w:rPr>
        <w:t>21</w:t>
      </w:r>
      <w:r>
        <w:rPr>
          <w:rFonts w:hint="eastAsia" w:hAnsiTheme="minorHAnsi"/>
          <w:b w:val="0"/>
          <w:bCs w:val="0"/>
          <w:sz w:val="24"/>
          <w:szCs w:val="24"/>
        </w:rPr>
        <w:t>日</w:t>
      </w:r>
    </w:p>
    <w:p>
      <w:pPr>
        <w:pStyle w:val="15"/>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_Toc21089 \h </w:instrText>
      </w:r>
      <w:r>
        <w:fldChar w:fldCharType="separate"/>
      </w:r>
      <w:r>
        <w:t>4</w:t>
      </w:r>
      <w:r>
        <w:fldChar w:fldCharType="end"/>
      </w:r>
    </w:p>
    <w:p>
      <w:pPr>
        <w:pStyle w:val="18"/>
        <w:tabs>
          <w:tab w:val="right" w:leader="dot" w:pos="8306"/>
        </w:tabs>
      </w:pPr>
      <w:r>
        <w:rPr>
          <w:rFonts w:hint="eastAsia" w:ascii="黑体" w:hAnsi="黑体" w:eastAsia="黑体"/>
          <w:color w:val="000000"/>
        </w:rPr>
        <w:t>一、基</w:t>
      </w:r>
      <w:r>
        <w:rPr>
          <w:rFonts w:hint="eastAsia" w:ascii="黑体" w:hAnsi="黑体" w:eastAsia="黑体"/>
          <w:bCs w:val="0"/>
        </w:rPr>
        <w:t>本职能及主要工作</w:t>
      </w:r>
      <w:r>
        <w:tab/>
      </w:r>
      <w:r>
        <w:fldChar w:fldCharType="begin"/>
      </w:r>
      <w:r>
        <w:instrText xml:space="preserve"> PAGEREF _Toc32681 \h </w:instrText>
      </w:r>
      <w:r>
        <w:fldChar w:fldCharType="separate"/>
      </w:r>
      <w:r>
        <w:t>4</w:t>
      </w:r>
      <w:r>
        <w:fldChar w:fldCharType="end"/>
      </w:r>
    </w:p>
    <w:p>
      <w:pPr>
        <w:pStyle w:val="10"/>
        <w:tabs>
          <w:tab w:val="right" w:leader="dot" w:pos="8306"/>
        </w:tabs>
      </w:pPr>
      <w:r>
        <w:rPr>
          <w:rFonts w:hint="eastAsia" w:ascii="仿宋" w:hAnsi="仿宋" w:eastAsia="仿宋"/>
          <w:bCs/>
          <w:color w:val="000000"/>
          <w:szCs w:val="32"/>
        </w:rPr>
        <w:t>（一）主要职能。</w:t>
      </w:r>
      <w:r>
        <w:tab/>
      </w:r>
      <w:r>
        <w:fldChar w:fldCharType="begin"/>
      </w:r>
      <w:r>
        <w:instrText xml:space="preserve"> PAGEREF _Toc30821 \h </w:instrText>
      </w:r>
      <w:r>
        <w:fldChar w:fldCharType="separate"/>
      </w:r>
      <w:r>
        <w:t>4</w:t>
      </w:r>
      <w:r>
        <w:fldChar w:fldCharType="end"/>
      </w:r>
    </w:p>
    <w:p>
      <w:pPr>
        <w:pStyle w:val="10"/>
        <w:tabs>
          <w:tab w:val="right" w:leader="dot" w:pos="8306"/>
        </w:tabs>
      </w:pPr>
      <w:r>
        <w:rPr>
          <w:rFonts w:hint="eastAsia" w:ascii="仿宋" w:hAnsi="仿宋" w:eastAsia="仿宋"/>
          <w:bCs/>
          <w:color w:val="auto"/>
          <w:szCs w:val="32"/>
        </w:rPr>
        <w:t>（二）</w:t>
      </w:r>
      <w:r>
        <w:rPr>
          <w:rFonts w:ascii="仿宋" w:hAnsi="仿宋" w:eastAsia="仿宋"/>
          <w:bCs/>
          <w:color w:val="auto"/>
          <w:szCs w:val="32"/>
        </w:rPr>
        <w:t>202</w:t>
      </w:r>
      <w:r>
        <w:rPr>
          <w:rFonts w:hint="eastAsia" w:ascii="仿宋" w:hAnsi="仿宋" w:eastAsia="仿宋"/>
          <w:bCs/>
          <w:color w:val="auto"/>
          <w:szCs w:val="32"/>
        </w:rPr>
        <w:t>1年重点工作完成情况。</w:t>
      </w:r>
      <w:r>
        <w:tab/>
      </w:r>
      <w:r>
        <w:fldChar w:fldCharType="begin"/>
      </w:r>
      <w:r>
        <w:instrText xml:space="preserve"> PAGEREF _Toc934 \h </w:instrText>
      </w:r>
      <w:r>
        <w:fldChar w:fldCharType="separate"/>
      </w:r>
      <w:r>
        <w:t>5</w:t>
      </w:r>
      <w:r>
        <w:fldChar w:fldCharType="end"/>
      </w:r>
    </w:p>
    <w:p>
      <w:pPr>
        <w:pStyle w:val="18"/>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_Toc23544 \h </w:instrText>
      </w:r>
      <w:r>
        <w:fldChar w:fldCharType="separate"/>
      </w:r>
      <w:r>
        <w:t>6</w:t>
      </w:r>
      <w:r>
        <w:fldChar w:fldCharType="end"/>
      </w:r>
    </w:p>
    <w:p>
      <w:pPr>
        <w:pStyle w:val="15"/>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ascii="黑体" w:hAnsi="黑体" w:eastAsia="黑体"/>
          <w:bCs w:val="0"/>
        </w:rPr>
        <w:t>202</w:t>
      </w:r>
      <w:r>
        <w:rPr>
          <w:rFonts w:hint="eastAsia" w:ascii="黑体" w:hAnsi="黑体" w:eastAsia="黑体"/>
          <w:bCs w:val="0"/>
        </w:rPr>
        <w:t>1年度部门决算情况说明</w:t>
      </w:r>
      <w:r>
        <w:tab/>
      </w:r>
      <w:r>
        <w:fldChar w:fldCharType="begin"/>
      </w:r>
      <w:r>
        <w:instrText xml:space="preserve"> PAGEREF _Toc5492 \h </w:instrText>
      </w:r>
      <w:r>
        <w:fldChar w:fldCharType="separate"/>
      </w:r>
      <w:r>
        <w:t>7</w:t>
      </w:r>
      <w:r>
        <w:fldChar w:fldCharType="end"/>
      </w:r>
    </w:p>
    <w:p>
      <w:pPr>
        <w:pStyle w:val="18"/>
        <w:tabs>
          <w:tab w:val="right" w:leader="dot" w:pos="8306"/>
        </w:tabs>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_Toc20375 \h </w:instrText>
      </w:r>
      <w:r>
        <w:fldChar w:fldCharType="separate"/>
      </w:r>
      <w:r>
        <w:t>7</w:t>
      </w:r>
      <w:r>
        <w:fldChar w:fldCharType="end"/>
      </w:r>
    </w:p>
    <w:p>
      <w:pPr>
        <w:pStyle w:val="18"/>
        <w:tabs>
          <w:tab w:val="right" w:leader="dot" w:pos="8306"/>
        </w:tabs>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_Toc9111 \h </w:instrText>
      </w:r>
      <w:r>
        <w:fldChar w:fldCharType="separate"/>
      </w:r>
      <w:r>
        <w:t>7</w:t>
      </w:r>
      <w:r>
        <w:fldChar w:fldCharType="end"/>
      </w:r>
    </w:p>
    <w:p>
      <w:pPr>
        <w:pStyle w:val="18"/>
        <w:tabs>
          <w:tab w:val="right" w:leader="dot" w:pos="8306"/>
        </w:tabs>
      </w:pPr>
      <w:r>
        <w:rPr>
          <w:rFonts w:hint="default" w:ascii="黑体" w:hAnsi="黑体" w:eastAsia="黑体" w:cs="Times New Roman"/>
        </w:rPr>
        <w:t xml:space="preserve">三、 </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_Toc15822 \h </w:instrText>
      </w:r>
      <w:r>
        <w:fldChar w:fldCharType="separate"/>
      </w:r>
      <w:r>
        <w:t>8</w:t>
      </w:r>
      <w:r>
        <w:fldChar w:fldCharType="end"/>
      </w:r>
    </w:p>
    <w:p>
      <w:pPr>
        <w:pStyle w:val="18"/>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_Toc5175 \h </w:instrText>
      </w:r>
      <w:r>
        <w:fldChar w:fldCharType="separate"/>
      </w:r>
      <w:r>
        <w:t>9</w:t>
      </w:r>
      <w:r>
        <w:fldChar w:fldCharType="end"/>
      </w:r>
    </w:p>
    <w:p>
      <w:pPr>
        <w:pStyle w:val="18"/>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_Toc10945 \h </w:instrText>
      </w:r>
      <w:r>
        <w:fldChar w:fldCharType="separate"/>
      </w:r>
      <w:r>
        <w:t>10</w:t>
      </w:r>
      <w:r>
        <w:fldChar w:fldCharType="end"/>
      </w:r>
    </w:p>
    <w:p>
      <w:pPr>
        <w:pStyle w:val="10"/>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_Toc16125 \h </w:instrText>
      </w:r>
      <w:r>
        <w:fldChar w:fldCharType="separate"/>
      </w:r>
      <w:r>
        <w:t>10</w:t>
      </w:r>
      <w:r>
        <w:fldChar w:fldCharType="end"/>
      </w:r>
    </w:p>
    <w:p>
      <w:pPr>
        <w:pStyle w:val="10"/>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_Toc19247 \h </w:instrText>
      </w:r>
      <w:r>
        <w:fldChar w:fldCharType="separate"/>
      </w:r>
      <w:r>
        <w:t>11</w:t>
      </w:r>
      <w:r>
        <w:fldChar w:fldCharType="end"/>
      </w:r>
    </w:p>
    <w:p>
      <w:pPr>
        <w:pStyle w:val="10"/>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_Toc6812 \h </w:instrText>
      </w:r>
      <w:r>
        <w:fldChar w:fldCharType="separate"/>
      </w:r>
      <w:r>
        <w:t>12</w:t>
      </w:r>
      <w:r>
        <w:fldChar w:fldCharType="end"/>
      </w:r>
    </w:p>
    <w:p>
      <w:pPr>
        <w:pStyle w:val="18"/>
        <w:tabs>
          <w:tab w:val="right" w:leader="dot" w:pos="8306"/>
        </w:tabs>
      </w:pPr>
      <w:r>
        <w:rPr>
          <w:rFonts w:hint="eastAsia" w:ascii="黑体" w:eastAsia="黑体"/>
          <w:color w:val="auto"/>
          <w:szCs w:val="32"/>
        </w:rPr>
        <w:t>六、</w:t>
      </w:r>
      <w:r>
        <w:rPr>
          <w:rFonts w:hint="eastAsia" w:ascii="黑体" w:hAnsi="黑体" w:eastAsia="黑体"/>
          <w:color w:val="auto"/>
          <w:szCs w:val="32"/>
        </w:rPr>
        <w:t>一</w:t>
      </w:r>
      <w:r>
        <w:rPr>
          <w:rFonts w:hint="eastAsia" w:ascii="黑体" w:hAnsi="黑体" w:eastAsia="黑体"/>
          <w:color w:val="auto"/>
        </w:rPr>
        <w:t>般公共预算财政拨款基本支出决算情况说明</w:t>
      </w:r>
      <w:r>
        <w:tab/>
      </w:r>
      <w:r>
        <w:fldChar w:fldCharType="begin"/>
      </w:r>
      <w:r>
        <w:instrText xml:space="preserve"> PAGEREF _Toc9272 \h </w:instrText>
      </w:r>
      <w:r>
        <w:fldChar w:fldCharType="separate"/>
      </w:r>
      <w:r>
        <w:t>14</w:t>
      </w:r>
      <w:r>
        <w:fldChar w:fldCharType="end"/>
      </w:r>
    </w:p>
    <w:p>
      <w:pPr>
        <w:pStyle w:val="18"/>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_Toc25579 \h </w:instrText>
      </w:r>
      <w:r>
        <w:fldChar w:fldCharType="separate"/>
      </w:r>
      <w:r>
        <w:t>15</w:t>
      </w:r>
      <w:r>
        <w:fldChar w:fldCharType="end"/>
      </w:r>
    </w:p>
    <w:p>
      <w:pPr>
        <w:pStyle w:val="10"/>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_Toc688 \h </w:instrText>
      </w:r>
      <w:r>
        <w:fldChar w:fldCharType="separate"/>
      </w:r>
      <w:r>
        <w:t>15</w:t>
      </w:r>
      <w:r>
        <w:fldChar w:fldCharType="end"/>
      </w:r>
    </w:p>
    <w:p>
      <w:pPr>
        <w:pStyle w:val="10"/>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_Toc29302 \h </w:instrText>
      </w:r>
      <w:r>
        <w:fldChar w:fldCharType="separate"/>
      </w:r>
      <w:r>
        <w:t>15</w:t>
      </w:r>
      <w:r>
        <w:fldChar w:fldCharType="end"/>
      </w:r>
    </w:p>
    <w:p>
      <w:pPr>
        <w:pStyle w:val="18"/>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_Toc19920 \h </w:instrText>
      </w:r>
      <w:r>
        <w:fldChar w:fldCharType="separate"/>
      </w:r>
      <w:r>
        <w:t>15</w:t>
      </w:r>
      <w:r>
        <w:fldChar w:fldCharType="end"/>
      </w:r>
    </w:p>
    <w:p>
      <w:pPr>
        <w:pStyle w:val="18"/>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_Toc20209 \h </w:instrText>
      </w:r>
      <w:r>
        <w:fldChar w:fldCharType="separate"/>
      </w:r>
      <w:r>
        <w:t>16</w:t>
      </w:r>
      <w:r>
        <w:fldChar w:fldCharType="end"/>
      </w:r>
    </w:p>
    <w:p>
      <w:pPr>
        <w:pStyle w:val="18"/>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_Toc6257 \h </w:instrText>
      </w:r>
      <w:r>
        <w:fldChar w:fldCharType="separate"/>
      </w:r>
      <w:r>
        <w:t>16</w:t>
      </w:r>
      <w:r>
        <w:fldChar w:fldCharType="end"/>
      </w:r>
    </w:p>
    <w:p>
      <w:pPr>
        <w:pStyle w:val="10"/>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_Toc503 \h </w:instrText>
      </w:r>
      <w:r>
        <w:fldChar w:fldCharType="separate"/>
      </w:r>
      <w:r>
        <w:t>16</w:t>
      </w:r>
      <w:r>
        <w:fldChar w:fldCharType="end"/>
      </w:r>
    </w:p>
    <w:p>
      <w:pPr>
        <w:pStyle w:val="10"/>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_Toc11588 \h </w:instrText>
      </w:r>
      <w:r>
        <w:fldChar w:fldCharType="separate"/>
      </w:r>
      <w:r>
        <w:t>16</w:t>
      </w:r>
      <w:r>
        <w:fldChar w:fldCharType="end"/>
      </w:r>
    </w:p>
    <w:p>
      <w:pPr>
        <w:pStyle w:val="10"/>
        <w:tabs>
          <w:tab w:val="right" w:leader="dot" w:pos="8306"/>
        </w:tabs>
      </w:pPr>
      <w:r>
        <w:rPr>
          <w:rFonts w:hint="eastAsia" w:ascii="仿宋" w:hAnsi="仿宋" w:eastAsia="仿宋"/>
          <w:color w:val="auto"/>
          <w:szCs w:val="32"/>
        </w:rPr>
        <w:t>（四）预算绩效管理情况。</w:t>
      </w:r>
      <w:r>
        <w:tab/>
      </w:r>
      <w:r>
        <w:fldChar w:fldCharType="begin"/>
      </w:r>
      <w:r>
        <w:instrText xml:space="preserve"> PAGEREF _Toc1521 \h </w:instrText>
      </w:r>
      <w:r>
        <w:fldChar w:fldCharType="separate"/>
      </w:r>
      <w:r>
        <w:t>17</w:t>
      </w:r>
      <w:r>
        <w:fldChar w:fldCharType="end"/>
      </w:r>
    </w:p>
    <w:p>
      <w:pPr>
        <w:pStyle w:val="15"/>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_Toc30112 \h </w:instrText>
      </w:r>
      <w:r>
        <w:fldChar w:fldCharType="separate"/>
      </w:r>
      <w:r>
        <w:t>20</w:t>
      </w:r>
      <w:r>
        <w:fldChar w:fldCharType="end"/>
      </w:r>
    </w:p>
    <w:p>
      <w:pPr>
        <w:pStyle w:val="15"/>
        <w:tabs>
          <w:tab w:val="right" w:leader="dot" w:pos="8306"/>
        </w:tabs>
      </w:pPr>
      <w:r>
        <w:rPr>
          <w:rFonts w:hint="eastAsia" w:ascii="黑体" w:hAnsi="黑体" w:eastAsia="黑体"/>
          <w:color w:val="auto"/>
          <w:szCs w:val="44"/>
        </w:rPr>
        <w:t>第</w:t>
      </w:r>
      <w:r>
        <w:rPr>
          <w:rFonts w:hint="eastAsia" w:ascii="黑体" w:hAnsi="黑体" w:eastAsia="黑体"/>
          <w:color w:val="auto"/>
        </w:rPr>
        <w:t>四部分</w:t>
      </w:r>
      <w:r>
        <w:rPr>
          <w:rFonts w:ascii="黑体" w:hAnsi="黑体" w:eastAsia="黑体"/>
          <w:color w:val="auto"/>
        </w:rPr>
        <w:t xml:space="preserve"> </w:t>
      </w:r>
      <w:r>
        <w:rPr>
          <w:rFonts w:hint="eastAsia" w:ascii="黑体" w:hAnsi="黑体" w:eastAsia="黑体"/>
          <w:color w:val="auto"/>
        </w:rPr>
        <w:t>附件</w:t>
      </w:r>
      <w:r>
        <w:tab/>
      </w:r>
      <w:r>
        <w:fldChar w:fldCharType="begin"/>
      </w:r>
      <w:r>
        <w:instrText xml:space="preserve"> PAGEREF _Toc23843 \h </w:instrText>
      </w:r>
      <w:r>
        <w:fldChar w:fldCharType="separate"/>
      </w:r>
      <w:r>
        <w:t>24</w:t>
      </w:r>
      <w:r>
        <w:fldChar w:fldCharType="end"/>
      </w:r>
    </w:p>
    <w:p>
      <w:pPr>
        <w:pStyle w:val="15"/>
        <w:tabs>
          <w:tab w:val="right" w:leader="dot" w:pos="8306"/>
        </w:tabs>
      </w:pPr>
      <w:r>
        <w:rPr>
          <w:rFonts w:hint="eastAsia" w:ascii="黑体" w:hAnsi="黑体" w:eastAsia="黑体" w:cs="黑体"/>
          <w:color w:val="auto"/>
          <w:szCs w:val="32"/>
        </w:rPr>
        <w:t>附件</w:t>
      </w:r>
      <w:r>
        <w:rPr>
          <w:rFonts w:ascii="黑体" w:hAnsi="黑体" w:eastAsia="黑体" w:cs="黑体"/>
          <w:color w:val="auto"/>
          <w:szCs w:val="32"/>
        </w:rPr>
        <w:t>1</w:t>
      </w:r>
      <w:r>
        <w:tab/>
      </w:r>
      <w:r>
        <w:fldChar w:fldCharType="begin"/>
      </w:r>
      <w:r>
        <w:instrText xml:space="preserve"> PAGEREF _Toc22488 \h </w:instrText>
      </w:r>
      <w:r>
        <w:fldChar w:fldCharType="separate"/>
      </w:r>
      <w:r>
        <w:t>24</w:t>
      </w:r>
      <w:r>
        <w:fldChar w:fldCharType="end"/>
      </w:r>
    </w:p>
    <w:p>
      <w:pPr>
        <w:pStyle w:val="15"/>
        <w:tabs>
          <w:tab w:val="right" w:leader="dot" w:pos="8306"/>
        </w:tabs>
      </w:pPr>
      <w:r>
        <w:rPr>
          <w:rFonts w:hint="eastAsia" w:ascii="方正小标宋简体" w:hAnsi="黑体" w:eastAsia="方正小标宋简体" w:cs="黑体"/>
          <w:color w:val="auto"/>
          <w:szCs w:val="44"/>
          <w:lang w:val="en-US" w:eastAsia="zh-CN"/>
        </w:rPr>
        <w:t>壤塘县人民医院</w:t>
      </w:r>
      <w:r>
        <w:rPr>
          <w:rFonts w:hint="eastAsia" w:ascii="方正小标宋简体" w:hAnsi="黑体" w:eastAsia="方正小标宋简体" w:cs="黑体"/>
          <w:color w:val="auto"/>
          <w:szCs w:val="44"/>
        </w:rPr>
        <w:t>部门</w:t>
      </w:r>
      <w:r>
        <w:rPr>
          <w:rFonts w:ascii="方正小标宋简体" w:hAnsi="黑体" w:eastAsia="方正小标宋简体" w:cs="黑体"/>
          <w:color w:val="auto"/>
          <w:szCs w:val="44"/>
        </w:rPr>
        <w:t>202</w:t>
      </w:r>
      <w:r>
        <w:rPr>
          <w:rFonts w:hint="eastAsia" w:ascii="方正小标宋简体" w:hAnsi="黑体" w:eastAsia="方正小标宋简体" w:cs="黑体"/>
          <w:color w:val="auto"/>
          <w:szCs w:val="44"/>
        </w:rPr>
        <w:t>1年部门整体支出绩效评价报告</w:t>
      </w:r>
      <w:r>
        <w:tab/>
      </w:r>
      <w:r>
        <w:fldChar w:fldCharType="begin"/>
      </w:r>
      <w:r>
        <w:instrText xml:space="preserve"> PAGEREF _Toc5422 \h </w:instrText>
      </w:r>
      <w:r>
        <w:fldChar w:fldCharType="separate"/>
      </w:r>
      <w:r>
        <w:t>24</w:t>
      </w:r>
      <w:r>
        <w:fldChar w:fldCharType="end"/>
      </w:r>
    </w:p>
    <w:p>
      <w:pPr>
        <w:pStyle w:val="15"/>
        <w:tabs>
          <w:tab w:val="right" w:leader="dot" w:pos="8306"/>
        </w:tabs>
      </w:pPr>
      <w:r>
        <w:rPr>
          <w:rFonts w:hint="eastAsia" w:ascii="黑体" w:hAnsi="黑体" w:eastAsia="黑体" w:cs="黑体"/>
          <w:color w:val="auto"/>
          <w:szCs w:val="32"/>
        </w:rPr>
        <w:t>附件</w:t>
      </w:r>
      <w:r>
        <w:rPr>
          <w:rFonts w:ascii="黑体" w:hAnsi="黑体" w:eastAsia="黑体" w:cs="黑体"/>
          <w:color w:val="auto"/>
          <w:szCs w:val="32"/>
        </w:rPr>
        <w:t>2</w:t>
      </w:r>
      <w:r>
        <w:tab/>
      </w:r>
      <w:r>
        <w:fldChar w:fldCharType="begin"/>
      </w:r>
      <w:r>
        <w:instrText xml:space="preserve"> PAGEREF _Toc20798 \h </w:instrText>
      </w:r>
      <w:r>
        <w:fldChar w:fldCharType="separate"/>
      </w:r>
      <w:r>
        <w:t>27</w:t>
      </w:r>
      <w:r>
        <w:fldChar w:fldCharType="end"/>
      </w:r>
    </w:p>
    <w:p>
      <w:pPr>
        <w:pStyle w:val="15"/>
        <w:tabs>
          <w:tab w:val="right" w:leader="dot" w:pos="8306"/>
        </w:tabs>
      </w:pPr>
      <w:r>
        <w:rPr>
          <w:rFonts w:hint="eastAsia" w:ascii="方正小标宋简体" w:hAnsi="黑体" w:eastAsia="方正小标宋简体" w:cs="黑体"/>
          <w:color w:val="auto"/>
          <w:szCs w:val="44"/>
          <w:lang w:val="en-US" w:eastAsia="zh-CN"/>
        </w:rPr>
        <w:t>2021年度医疗服务能力提升补助资金（县级公立医院综合改革能力提升补助资金）</w:t>
      </w:r>
      <w:r>
        <w:rPr>
          <w:rFonts w:hint="eastAsia" w:ascii="方正小标宋简体" w:hAnsi="黑体" w:eastAsia="方正小标宋简体" w:cs="黑体"/>
          <w:color w:val="auto"/>
          <w:szCs w:val="44"/>
        </w:rPr>
        <w:t>绩效评价报告</w:t>
      </w:r>
      <w:r>
        <w:tab/>
      </w:r>
      <w:r>
        <w:fldChar w:fldCharType="begin"/>
      </w:r>
      <w:r>
        <w:instrText xml:space="preserve"> PAGEREF _Toc2948 \h </w:instrText>
      </w:r>
      <w:r>
        <w:fldChar w:fldCharType="separate"/>
      </w:r>
      <w:r>
        <w:t>27</w:t>
      </w:r>
      <w:r>
        <w:fldChar w:fldCharType="end"/>
      </w:r>
    </w:p>
    <w:p>
      <w:pPr>
        <w:pStyle w:val="15"/>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_Toc28988 \h </w:instrText>
      </w:r>
      <w:r>
        <w:fldChar w:fldCharType="separate"/>
      </w:r>
      <w:r>
        <w:t>32</w:t>
      </w:r>
      <w:r>
        <w:fldChar w:fldCharType="end"/>
      </w:r>
    </w:p>
    <w:p>
      <w:pPr>
        <w:pStyle w:val="18"/>
        <w:tabs>
          <w:tab w:val="right" w:leader="dot" w:pos="8306"/>
        </w:tabs>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_Toc8870 \h </w:instrText>
      </w:r>
      <w:r>
        <w:fldChar w:fldCharType="separate"/>
      </w:r>
      <w:r>
        <w:t>32</w:t>
      </w:r>
      <w:r>
        <w:fldChar w:fldCharType="end"/>
      </w:r>
    </w:p>
    <w:p>
      <w:pPr>
        <w:pStyle w:val="18"/>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_Toc17958 \h </w:instrText>
      </w:r>
      <w:r>
        <w:fldChar w:fldCharType="separate"/>
      </w:r>
      <w:r>
        <w:t>32</w:t>
      </w:r>
      <w:r>
        <w:fldChar w:fldCharType="end"/>
      </w:r>
    </w:p>
    <w:p>
      <w:pPr>
        <w:pStyle w:val="18"/>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_Toc22048 \h </w:instrText>
      </w:r>
      <w:r>
        <w:fldChar w:fldCharType="separate"/>
      </w:r>
      <w:r>
        <w:t>32</w:t>
      </w:r>
      <w:r>
        <w:fldChar w:fldCharType="end"/>
      </w:r>
    </w:p>
    <w:p>
      <w:pPr>
        <w:pStyle w:val="18"/>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_Toc4532 \h </w:instrText>
      </w:r>
      <w:r>
        <w:fldChar w:fldCharType="separate"/>
      </w:r>
      <w:r>
        <w:t>32</w:t>
      </w:r>
      <w:r>
        <w:fldChar w:fldCharType="end"/>
      </w:r>
    </w:p>
    <w:p>
      <w:pPr>
        <w:pStyle w:val="18"/>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_Toc19362 \h </w:instrText>
      </w:r>
      <w:r>
        <w:fldChar w:fldCharType="separate"/>
      </w:r>
      <w:r>
        <w:t>32</w:t>
      </w:r>
      <w:r>
        <w:fldChar w:fldCharType="end"/>
      </w:r>
    </w:p>
    <w:p>
      <w:pPr>
        <w:pStyle w:val="18"/>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_Toc2635 \h </w:instrText>
      </w:r>
      <w:r>
        <w:fldChar w:fldCharType="separate"/>
      </w:r>
      <w:r>
        <w:t>32</w:t>
      </w:r>
      <w:r>
        <w:fldChar w:fldCharType="end"/>
      </w:r>
    </w:p>
    <w:p>
      <w:pPr>
        <w:pStyle w:val="18"/>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_Toc12712 \h </w:instrText>
      </w:r>
      <w:r>
        <w:fldChar w:fldCharType="separate"/>
      </w:r>
      <w:r>
        <w:t>32</w:t>
      </w:r>
      <w:r>
        <w:fldChar w:fldCharType="end"/>
      </w:r>
    </w:p>
    <w:p>
      <w:pPr>
        <w:pStyle w:val="18"/>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_Toc22390 \h </w:instrText>
      </w:r>
      <w:r>
        <w:fldChar w:fldCharType="separate"/>
      </w:r>
      <w:r>
        <w:t>32</w:t>
      </w:r>
      <w:r>
        <w:fldChar w:fldCharType="end"/>
      </w:r>
    </w:p>
    <w:p>
      <w:pPr>
        <w:pStyle w:val="18"/>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_Toc139 \h </w:instrText>
      </w:r>
      <w:r>
        <w:fldChar w:fldCharType="separate"/>
      </w:r>
      <w:r>
        <w:t>32</w:t>
      </w:r>
      <w:r>
        <w:fldChar w:fldCharType="end"/>
      </w:r>
    </w:p>
    <w:p>
      <w:pPr>
        <w:pStyle w:val="18"/>
        <w:tabs>
          <w:tab w:val="right" w:leader="dot" w:pos="8306"/>
        </w:tabs>
      </w:pPr>
      <w:r>
        <w:rPr>
          <w:rFonts w:hint="eastAsia" w:ascii="仿宋" w:hAnsi="仿宋" w:eastAsia="仿宋"/>
          <w:bCs w:val="0"/>
        </w:rPr>
        <w:t>十、</w:t>
      </w:r>
      <w:r>
        <w:rPr>
          <w:rFonts w:hint="eastAsia" w:ascii="仿宋" w:hAnsi="仿宋" w:eastAsia="仿宋"/>
          <w:color w:val="000000"/>
        </w:rPr>
        <w:t>一</w:t>
      </w:r>
      <w:r>
        <w:rPr>
          <w:rFonts w:hint="eastAsia" w:ascii="仿宋" w:hAnsi="仿宋" w:eastAsia="仿宋"/>
          <w:bCs w:val="0"/>
        </w:rPr>
        <w:t>般公共预算财政拨款“三公”经费支出决算表</w:t>
      </w:r>
      <w:r>
        <w:tab/>
      </w:r>
      <w:r>
        <w:fldChar w:fldCharType="begin"/>
      </w:r>
      <w:r>
        <w:instrText xml:space="preserve"> PAGEREF _Toc11073 \h </w:instrText>
      </w:r>
      <w:r>
        <w:fldChar w:fldCharType="separate"/>
      </w:r>
      <w:r>
        <w:t>32</w:t>
      </w:r>
      <w:r>
        <w:fldChar w:fldCharType="end"/>
      </w:r>
    </w:p>
    <w:p>
      <w:pPr>
        <w:pStyle w:val="18"/>
        <w:tabs>
          <w:tab w:val="right" w:leader="dot" w:pos="8306"/>
        </w:tabs>
      </w:pPr>
      <w:r>
        <w:rPr>
          <w:rFonts w:hint="eastAsia" w:ascii="仿宋" w:hAnsi="仿宋" w:eastAsia="仿宋"/>
          <w:bCs w:val="0"/>
        </w:rPr>
        <w:t>十一、</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_Toc6386 \h </w:instrText>
      </w:r>
      <w:r>
        <w:fldChar w:fldCharType="separate"/>
      </w:r>
      <w:r>
        <w:t>32</w:t>
      </w:r>
      <w:r>
        <w:fldChar w:fldCharType="end"/>
      </w:r>
    </w:p>
    <w:p>
      <w:pPr>
        <w:pStyle w:val="18"/>
        <w:tabs>
          <w:tab w:val="right" w:leader="dot" w:pos="8306"/>
        </w:tabs>
      </w:pPr>
      <w:r>
        <w:rPr>
          <w:rFonts w:hint="eastAsia" w:ascii="仿宋" w:hAnsi="仿宋" w:eastAsia="仿宋"/>
          <w:bCs w:val="0"/>
        </w:rPr>
        <w:t>十二、</w:t>
      </w:r>
      <w:r>
        <w:rPr>
          <w:rFonts w:hint="eastAsia" w:ascii="仿宋" w:hAnsi="仿宋" w:eastAsia="仿宋"/>
          <w:color w:val="000000"/>
        </w:rPr>
        <w:t>政</w:t>
      </w:r>
      <w:r>
        <w:rPr>
          <w:rFonts w:hint="eastAsia" w:ascii="仿宋" w:hAnsi="仿宋" w:eastAsia="仿宋"/>
          <w:bCs w:val="0"/>
        </w:rPr>
        <w:t>府性基金预算财政拨款“三公”经费支出决算表</w:t>
      </w:r>
      <w:r>
        <w:tab/>
      </w:r>
      <w:r>
        <w:fldChar w:fldCharType="begin"/>
      </w:r>
      <w:r>
        <w:instrText xml:space="preserve"> PAGEREF _Toc10067 \h </w:instrText>
      </w:r>
      <w:r>
        <w:fldChar w:fldCharType="separate"/>
      </w:r>
      <w:r>
        <w:t>32</w:t>
      </w:r>
      <w:r>
        <w:fldChar w:fldCharType="end"/>
      </w:r>
    </w:p>
    <w:p>
      <w:pPr>
        <w:pStyle w:val="18"/>
        <w:tabs>
          <w:tab w:val="right" w:leader="dot" w:pos="8306"/>
        </w:tabs>
      </w:pPr>
      <w:r>
        <w:rPr>
          <w:rFonts w:hint="eastAsia" w:ascii="仿宋" w:hAnsi="仿宋" w:eastAsia="仿宋"/>
          <w:bCs w:val="0"/>
        </w:rPr>
        <w:t>十三、</w:t>
      </w:r>
      <w:r>
        <w:rPr>
          <w:rFonts w:hint="eastAsia" w:ascii="仿宋" w:hAnsi="仿宋" w:eastAsia="仿宋"/>
          <w:color w:val="000000"/>
        </w:rPr>
        <w:t>国</w:t>
      </w:r>
      <w:r>
        <w:rPr>
          <w:rFonts w:hint="eastAsia" w:ascii="仿宋" w:hAnsi="仿宋" w:eastAsia="仿宋"/>
          <w:bCs w:val="0"/>
        </w:rPr>
        <w:t>有资本经营预算财政拨款支出决算表</w:t>
      </w:r>
      <w:r>
        <w:tab/>
      </w:r>
      <w:r>
        <w:fldChar w:fldCharType="begin"/>
      </w:r>
      <w:r>
        <w:instrText xml:space="preserve"> PAGEREF _Toc21247 \h </w:instrText>
      </w:r>
      <w:r>
        <w:fldChar w:fldCharType="separate"/>
      </w:r>
      <w:r>
        <w:t>32</w:t>
      </w:r>
      <w:r>
        <w:fldChar w:fldCharType="end"/>
      </w:r>
    </w:p>
    <w:p>
      <w:pPr>
        <w:pStyle w:val="18"/>
        <w:tabs>
          <w:tab w:val="right" w:leader="dot" w:pos="8306"/>
        </w:tabs>
      </w:pPr>
      <w:r>
        <w:rPr>
          <w:rFonts w:hint="eastAsia" w:ascii="仿宋" w:hAnsi="仿宋" w:eastAsia="仿宋"/>
          <w:bCs w:val="0"/>
        </w:rPr>
        <w:t>十四、国有资本经营预算财政拨款支出决算表</w:t>
      </w:r>
      <w:r>
        <w:tab/>
      </w:r>
      <w:r>
        <w:fldChar w:fldCharType="begin"/>
      </w:r>
      <w:r>
        <w:instrText xml:space="preserve"> PAGEREF _Toc29695 \h </w:instrText>
      </w:r>
      <w:r>
        <w:fldChar w:fldCharType="separate"/>
      </w:r>
      <w:r>
        <w:t>32</w:t>
      </w:r>
      <w:r>
        <w:fldChar w:fldCharType="end"/>
      </w:r>
    </w:p>
    <w:p>
      <w:r>
        <w:rPr>
          <w:rFonts w:asciiTheme="minorHAnsi" w:eastAsiaTheme="minorHAnsi"/>
          <w:bCs/>
          <w:caps/>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5"/>
          <w:rFonts w:ascii="黑体" w:hAnsi="黑体" w:eastAsia="黑体"/>
          <w:b/>
          <w:bCs w:val="0"/>
        </w:rPr>
      </w:pPr>
      <w:bookmarkStart w:id="14" w:name="_Toc79163601"/>
      <w:bookmarkStart w:id="15" w:name="_Toc21089"/>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rPr>
          <w:rStyle w:val="26"/>
          <w:rFonts w:ascii="仿宋" w:hAnsi="仿宋" w:eastAsia="仿宋"/>
          <w:b w:val="0"/>
          <w:bCs w:val="0"/>
        </w:rPr>
      </w:pPr>
      <w:bookmarkStart w:id="16" w:name="_Toc15377197"/>
      <w:bookmarkStart w:id="17" w:name="_Toc32681"/>
      <w:bookmarkStart w:id="18" w:name="_Toc15396600"/>
      <w:bookmarkStart w:id="19" w:name="_Toc79163602"/>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8"/>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0" w:name="_Toc79163603"/>
      <w:bookmarkStart w:id="21" w:name="_Toc30821"/>
      <w:bookmarkStart w:id="22" w:name="_Toc15378445"/>
      <w:bookmarkStart w:id="23" w:name="_Toc15377198"/>
      <w:r>
        <w:rPr>
          <w:rFonts w:hint="eastAsia" w:ascii="仿宋" w:hAnsi="仿宋" w:eastAsia="仿宋"/>
          <w:bCs/>
          <w:color w:val="000000"/>
          <w:sz w:val="32"/>
          <w:szCs w:val="32"/>
        </w:rPr>
        <w:t>（一）主要职能。</w:t>
      </w:r>
      <w:bookmarkEnd w:id="20"/>
      <w:bookmarkEnd w:id="21"/>
    </w:p>
    <w:p>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壤塘</w:t>
      </w:r>
      <w:r>
        <w:rPr>
          <w:rFonts w:hint="eastAsia" w:ascii="仿宋" w:hAnsi="仿宋" w:eastAsia="仿宋" w:cs="Times New Roman"/>
          <w:sz w:val="32"/>
          <w:szCs w:val="32"/>
        </w:rPr>
        <w:t>县人民医院始建于1953年，为事业单位的综合性二级</w:t>
      </w:r>
      <w:r>
        <w:rPr>
          <w:rFonts w:hint="eastAsia" w:ascii="仿宋" w:hAnsi="仿宋" w:eastAsia="仿宋" w:cs="Times New Roman"/>
          <w:sz w:val="32"/>
          <w:szCs w:val="32"/>
          <w:lang w:val="en-US" w:eastAsia="zh-CN"/>
        </w:rPr>
        <w:t>甲</w:t>
      </w:r>
      <w:r>
        <w:rPr>
          <w:rFonts w:hint="eastAsia" w:ascii="仿宋" w:hAnsi="仿宋" w:eastAsia="仿宋" w:cs="Times New Roman"/>
          <w:sz w:val="32"/>
          <w:szCs w:val="32"/>
        </w:rPr>
        <w:t>等医院及国家爱婴医院。取得《事业单位法人证书》；事业证书号为事证第51323</w:t>
      </w:r>
      <w:r>
        <w:rPr>
          <w:rFonts w:hint="eastAsia" w:ascii="仿宋" w:hAnsi="仿宋" w:eastAsia="仿宋" w:cs="Times New Roman"/>
          <w:sz w:val="32"/>
          <w:szCs w:val="32"/>
          <w:lang w:val="en-US" w:eastAsia="zh-CN"/>
        </w:rPr>
        <w:t>011</w:t>
      </w:r>
      <w:r>
        <w:rPr>
          <w:rFonts w:hint="eastAsia" w:ascii="仿宋" w:hAnsi="仿宋" w:eastAsia="仿宋" w:cs="Times New Roman"/>
          <w:sz w:val="32"/>
          <w:szCs w:val="32"/>
        </w:rPr>
        <w:t>号；《中华人民共和国医疗机构执业许可证》登记号为</w:t>
      </w:r>
      <w:r>
        <w:rPr>
          <w:rFonts w:hint="eastAsia" w:ascii="仿宋" w:hAnsi="仿宋" w:eastAsia="仿宋" w:cs="Times New Roman"/>
          <w:sz w:val="32"/>
          <w:szCs w:val="32"/>
          <w:lang w:val="en-US" w:eastAsia="zh-CN"/>
        </w:rPr>
        <w:t>51323011</w:t>
      </w:r>
      <w:r>
        <w:rPr>
          <w:rFonts w:hint="eastAsia" w:ascii="仿宋" w:hAnsi="仿宋" w:eastAsia="仿宋" w:cs="Times New Roman"/>
          <w:sz w:val="32"/>
          <w:szCs w:val="32"/>
        </w:rPr>
        <w:t>4526</w:t>
      </w:r>
      <w:r>
        <w:rPr>
          <w:rFonts w:hint="eastAsia" w:ascii="仿宋" w:hAnsi="仿宋" w:eastAsia="仿宋" w:cs="Times New Roman"/>
          <w:sz w:val="32"/>
          <w:szCs w:val="32"/>
          <w:lang w:val="en-US" w:eastAsia="zh-CN"/>
        </w:rPr>
        <w:t>1330XA1002</w:t>
      </w:r>
      <w:r>
        <w:rPr>
          <w:rFonts w:hint="eastAsia" w:ascii="仿宋" w:hAnsi="仿宋" w:eastAsia="仿宋" w:cs="Times New Roman"/>
          <w:sz w:val="32"/>
          <w:szCs w:val="32"/>
        </w:rPr>
        <w:t>；法定代表：</w:t>
      </w:r>
      <w:r>
        <w:rPr>
          <w:rFonts w:hint="eastAsia" w:ascii="仿宋" w:hAnsi="仿宋" w:eastAsia="仿宋" w:cs="Times New Roman"/>
          <w:sz w:val="32"/>
          <w:szCs w:val="32"/>
          <w:lang w:val="en-US" w:eastAsia="zh-CN"/>
        </w:rPr>
        <w:t>李俊</w:t>
      </w:r>
      <w:r>
        <w:rPr>
          <w:rFonts w:hint="eastAsia" w:ascii="仿宋" w:hAnsi="仿宋" w:eastAsia="仿宋" w:cs="Times New Roman"/>
          <w:sz w:val="32"/>
          <w:szCs w:val="32"/>
        </w:rPr>
        <w:t>；主要负责人：</w:t>
      </w:r>
      <w:r>
        <w:rPr>
          <w:rFonts w:hint="eastAsia" w:ascii="仿宋" w:hAnsi="仿宋" w:eastAsia="仿宋" w:cs="Times New Roman"/>
          <w:sz w:val="32"/>
          <w:szCs w:val="32"/>
          <w:lang w:val="en-US" w:eastAsia="zh-CN"/>
        </w:rPr>
        <w:t>李俊</w:t>
      </w:r>
      <w:r>
        <w:rPr>
          <w:rFonts w:hint="eastAsia" w:ascii="仿宋" w:hAnsi="仿宋" w:eastAsia="仿宋" w:cs="Times New Roman"/>
          <w:sz w:val="32"/>
          <w:szCs w:val="32"/>
        </w:rPr>
        <w:t>；地址：</w:t>
      </w:r>
      <w:r>
        <w:rPr>
          <w:rFonts w:hint="eastAsia" w:ascii="仿宋" w:hAnsi="仿宋" w:eastAsia="仿宋" w:cs="Times New Roman"/>
          <w:sz w:val="32"/>
          <w:szCs w:val="32"/>
          <w:lang w:val="en-US" w:eastAsia="zh-CN"/>
        </w:rPr>
        <w:t>壤塘县罗吾塘中街180号。</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壤塘县</w:t>
      </w:r>
      <w:r>
        <w:rPr>
          <w:rFonts w:hint="eastAsia" w:ascii="仿宋" w:hAnsi="仿宋" w:eastAsia="仿宋" w:cs="Times New Roman"/>
          <w:sz w:val="32"/>
          <w:szCs w:val="32"/>
        </w:rPr>
        <w:t>人民医院下设科室：外科、内科、儿科、妇产科、</w:t>
      </w:r>
      <w:r>
        <w:rPr>
          <w:rFonts w:hint="eastAsia" w:ascii="仿宋" w:hAnsi="仿宋" w:eastAsia="仿宋" w:cs="Times New Roman"/>
          <w:sz w:val="32"/>
          <w:szCs w:val="32"/>
          <w:lang w:val="en-US" w:eastAsia="zh-CN"/>
        </w:rPr>
        <w:t>五官科</w:t>
      </w:r>
      <w:r>
        <w:rPr>
          <w:rFonts w:hint="eastAsia" w:ascii="仿宋" w:hAnsi="仿宋" w:eastAsia="仿宋" w:cs="Times New Roman"/>
          <w:sz w:val="32"/>
          <w:szCs w:val="32"/>
        </w:rPr>
        <w:t>、实验诊断、影象诊断等36各临床医技科室。医院现有编制床位</w:t>
      </w:r>
      <w:r>
        <w:rPr>
          <w:rFonts w:hint="eastAsia" w:ascii="仿宋" w:hAnsi="仿宋" w:eastAsia="仿宋" w:cs="Times New Roman"/>
          <w:sz w:val="32"/>
          <w:szCs w:val="32"/>
          <w:lang w:val="en-US" w:eastAsia="zh-CN"/>
        </w:rPr>
        <w:t>150</w:t>
      </w:r>
      <w:r>
        <w:rPr>
          <w:rFonts w:hint="eastAsia" w:ascii="仿宋" w:hAnsi="仿宋" w:eastAsia="仿宋" w:cs="Times New Roman"/>
          <w:sz w:val="32"/>
          <w:szCs w:val="32"/>
        </w:rPr>
        <w:t>张，开放床位</w:t>
      </w:r>
      <w:r>
        <w:rPr>
          <w:rFonts w:hint="eastAsia" w:ascii="仿宋" w:hAnsi="仿宋" w:eastAsia="仿宋" w:cs="Times New Roman"/>
          <w:sz w:val="32"/>
          <w:szCs w:val="32"/>
          <w:lang w:val="en-US" w:eastAsia="zh-CN"/>
        </w:rPr>
        <w:t>138</w:t>
      </w:r>
      <w:r>
        <w:rPr>
          <w:rFonts w:hint="eastAsia" w:ascii="仿宋" w:hAnsi="仿宋" w:eastAsia="仿宋" w:cs="Times New Roman"/>
          <w:sz w:val="32"/>
          <w:szCs w:val="32"/>
        </w:rPr>
        <w:t>张。医院现有人员编制</w:t>
      </w:r>
      <w:r>
        <w:rPr>
          <w:rFonts w:hint="eastAsia" w:ascii="仿宋" w:hAnsi="仿宋" w:eastAsia="仿宋" w:cs="Times New Roman"/>
          <w:sz w:val="32"/>
          <w:szCs w:val="32"/>
          <w:lang w:val="en-US" w:eastAsia="zh-CN"/>
        </w:rPr>
        <w:t>104</w:t>
      </w:r>
      <w:r>
        <w:rPr>
          <w:rFonts w:hint="eastAsia" w:ascii="仿宋" w:hAnsi="仿宋" w:eastAsia="仿宋" w:cs="Times New Roman"/>
          <w:sz w:val="32"/>
          <w:szCs w:val="32"/>
        </w:rPr>
        <w:t>人；实有在册人员</w:t>
      </w:r>
      <w:r>
        <w:rPr>
          <w:rFonts w:hint="eastAsia" w:ascii="仿宋" w:hAnsi="仿宋" w:eastAsia="仿宋" w:cs="Times New Roman"/>
          <w:sz w:val="32"/>
          <w:szCs w:val="32"/>
          <w:lang w:val="en-US" w:eastAsia="zh-CN"/>
        </w:rPr>
        <w:t>98</w:t>
      </w:r>
      <w:r>
        <w:rPr>
          <w:rFonts w:hint="eastAsia" w:ascii="仿宋" w:hAnsi="仿宋" w:eastAsia="仿宋" w:cs="Times New Roman"/>
          <w:sz w:val="32"/>
          <w:szCs w:val="32"/>
        </w:rPr>
        <w:t>人，其中正高职称</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人，副高职称</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人，中级职称</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人。</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院确立了敬业、仁爱、创新、和谐的院训。遵循一切为人民健康的服务宗旨，大力发展各项业务，使各项工作得到快速发展，为更好地服务藏区广大人民群众打下了良好的基础，并在本地区享有极高声誉，对辖区内的民族团结和政治稳定起到了积极的作用，努力把医院打造成为政府放心、群众相信、职工安心的和谐医院。</w:t>
      </w:r>
    </w:p>
    <w:bookmarkEnd w:id="22"/>
    <w:bookmarkEnd w:id="23"/>
    <w:p>
      <w:pPr>
        <w:pStyle w:val="8"/>
        <w:adjustRightInd w:val="0"/>
        <w:snapToGrid w:val="0"/>
        <w:spacing w:before="93" w:line="600" w:lineRule="exact"/>
        <w:ind w:firstLine="640" w:firstLineChars="200"/>
        <w:outlineLvl w:val="2"/>
        <w:rPr>
          <w:rFonts w:hint="eastAsia" w:ascii="仿宋" w:hAnsi="仿宋" w:eastAsia="仿宋"/>
          <w:bCs/>
          <w:color w:val="auto"/>
          <w:sz w:val="32"/>
          <w:szCs w:val="32"/>
        </w:rPr>
      </w:pPr>
      <w:bookmarkStart w:id="24" w:name="_Toc934"/>
      <w:bookmarkStart w:id="25" w:name="_Toc15377199"/>
      <w:bookmarkStart w:id="26" w:name="_Toc15378446"/>
      <w:bookmarkStart w:id="27" w:name="_Toc79163604"/>
      <w:r>
        <w:rPr>
          <w:rFonts w:hint="eastAsia" w:ascii="仿宋" w:hAnsi="仿宋" w:eastAsia="仿宋"/>
          <w:bCs/>
          <w:color w:val="auto"/>
          <w:sz w:val="32"/>
          <w:szCs w:val="32"/>
        </w:rPr>
        <w:t>（二）</w:t>
      </w:r>
      <w:r>
        <w:rPr>
          <w:rFonts w:ascii="仿宋" w:hAnsi="仿宋" w:eastAsia="仿宋"/>
          <w:bCs/>
          <w:color w:val="auto"/>
          <w:sz w:val="32"/>
          <w:szCs w:val="32"/>
        </w:rPr>
        <w:t>202</w:t>
      </w:r>
      <w:r>
        <w:rPr>
          <w:rFonts w:hint="eastAsia" w:ascii="仿宋" w:hAnsi="仿宋" w:eastAsia="仿宋"/>
          <w:bCs/>
          <w:color w:val="auto"/>
          <w:sz w:val="32"/>
          <w:szCs w:val="32"/>
        </w:rPr>
        <w:t>1年重点工作完成情况。</w:t>
      </w:r>
      <w:bookmarkEnd w:id="24"/>
      <w:bookmarkEnd w:id="25"/>
      <w:bookmarkEnd w:id="26"/>
      <w:bookmarkEnd w:id="27"/>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加强廉政风险防范机制建设，推行廉政风险防范机制工作，围绕权力运行的重点环节、重点岗位，提出针对性的防控措施进行动态管理，确保权力正确行使、高效运行。加强对医院服务行为的管理和自查，积极探索按病种付费改革，继续推广临床路径管理，每季度对医疗机构的服务质量进行综合评估，规范诊疗行为，促进合理用药，坚决纠正各种乱收费、滥检查、大处方等行为。做好民主评议行风工作，逐步建立卫生行风第三方评价机制，主动接受社会监督，构建和谐医患关系。</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医院承接良好发展势头，圆满完成了各项工作任务，为可持续发展奠定了坚实的基础。2021年，全院职工以奋发有为的精神状态和求真务实的工作作风，为全县医疗卫生事业的发展、为全县广大人民群众健康贡献力量。</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加强医院新冠疫情防控巡查督导工作，组织召开相关协调会10余次，常态化不定期对预检分诊、发热门诊、负压病房等进行督导检查；并深入各临床科室指导缓冲病房设置、规范新入患者收治流程、加强病区陪伴和探视人员管理、落实院感防控、强化“三区两通道”规范设置管理、设置普通人群核酸采集点、规范核酸采集送检及信息核对流程等。</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今年</w:t>
      </w:r>
      <w:r>
        <w:rPr>
          <w:rFonts w:hint="eastAsia" w:ascii="仿宋" w:hAnsi="仿宋" w:eastAsia="仿宋" w:cs="Times New Roman"/>
          <w:color w:val="000000"/>
          <w:kern w:val="2"/>
          <w:sz w:val="32"/>
          <w:szCs w:val="32"/>
          <w:highlight w:val="none"/>
          <w:lang w:val="en-US" w:eastAsia="zh-CN" w:bidi="ar-SA"/>
        </w:rPr>
        <w:t>截至目前</w:t>
      </w:r>
      <w:r>
        <w:rPr>
          <w:rFonts w:hint="eastAsia" w:ascii="仿宋" w:hAnsi="仿宋" w:eastAsia="仿宋" w:cs="Times New Roman"/>
          <w:color w:val="000000"/>
          <w:kern w:val="2"/>
          <w:sz w:val="32"/>
          <w:szCs w:val="32"/>
          <w:lang w:val="en-US" w:eastAsia="zh-CN" w:bidi="ar-SA"/>
        </w:rPr>
        <w:t>共迎接省、州、县新冠疫情防控督导检查10余次，总体工作成效取得了检查组专家的一致肯定，但同时也发现了一些问题。针对各上级部门检查发现的问题，及时组织人员进行仔细梳理，查找原因，积极组织落实整改。</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我院多次组织全院新冠疫情防控相关知识培训，严格落实医务人员的个人防护，提高医护人员的防护水平，防范和杜绝院</w:t>
      </w:r>
      <w:bookmarkStart w:id="166" w:name="_GoBack"/>
      <w:bookmarkEnd w:id="166"/>
      <w:r>
        <w:rPr>
          <w:rFonts w:hint="eastAsia" w:ascii="仿宋" w:hAnsi="仿宋" w:eastAsia="仿宋" w:cs="Times New Roman"/>
          <w:color w:val="000000"/>
          <w:kern w:val="2"/>
          <w:sz w:val="32"/>
          <w:szCs w:val="32"/>
          <w:lang w:val="en-US" w:eastAsia="zh-CN" w:bidi="ar-SA"/>
        </w:rPr>
        <w:t>感不良事件发生。积极组织参与新冠疫情防控应急演练活动。狠抓医院管理，按照科学化、规范化、制度化的管理要求，在全院范围内开展素质教育，引导全院干部职工在工作中不断强化服务意识、质量意识、窗口意识、创新意识，带动医院的整体工作顺利开展。医院领导在管理工作中注意发挥“榜样的力量”，以点带面。充分调动了科主任等中层干部的工作积极性，使中层干部分工合理，责任明确。</w:t>
      </w:r>
    </w:p>
    <w:p>
      <w:pPr>
        <w:pStyle w:val="5"/>
        <w:rPr>
          <w:rStyle w:val="26"/>
          <w:b w:val="0"/>
          <w:bCs w:val="0"/>
        </w:rPr>
      </w:pPr>
      <w:bookmarkStart w:id="28" w:name="_Toc23544"/>
      <w:bookmarkStart w:id="29" w:name="_Toc15377200"/>
      <w:bookmarkStart w:id="30" w:name="_Toc15396601"/>
      <w:bookmarkStart w:id="31" w:name="_Toc79163605"/>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8"/>
      <w:bookmarkEnd w:id="29"/>
      <w:bookmarkEnd w:id="30"/>
      <w:bookmarkEnd w:id="31"/>
    </w:p>
    <w:p>
      <w:pPr>
        <w:ind w:firstLine="640" w:firstLineChars="200"/>
        <w:rPr>
          <w:rFonts w:hint="eastAsia" w:ascii="仿宋_GB2312" w:hAnsi="仿宋_GB2312" w:eastAsia="仿宋_GB2312" w:cs="仿宋_GB2312"/>
          <w:color w:val="000000" w:themeColor="text1"/>
          <w:sz w:val="32"/>
          <w:szCs w:val="32"/>
        </w:rPr>
      </w:pPr>
      <w:bookmarkStart w:id="32" w:name="_Toc15396602"/>
      <w:bookmarkStart w:id="33" w:name="_Toc15377204"/>
      <w:bookmarkStart w:id="34" w:name="_Toc79163609"/>
      <w:r>
        <w:rPr>
          <w:rFonts w:hint="eastAsia" w:ascii="仿宋_GB2312" w:hAnsi="仿宋_GB2312" w:eastAsia="仿宋_GB2312" w:cs="仿宋_GB2312"/>
          <w:color w:val="000000" w:themeColor="text1"/>
          <w:sz w:val="32"/>
          <w:szCs w:val="32"/>
          <w:lang w:eastAsia="zh-CN"/>
        </w:rPr>
        <w:t>壤塘县人民医院</w:t>
      </w:r>
      <w:r>
        <w:rPr>
          <w:rFonts w:hint="eastAsia" w:ascii="仿宋_GB2312" w:hAnsi="仿宋_GB2312" w:eastAsia="仿宋_GB2312" w:cs="仿宋_GB2312"/>
          <w:color w:val="000000" w:themeColor="text1"/>
          <w:sz w:val="32"/>
          <w:szCs w:val="32"/>
        </w:rPr>
        <w:t>下属二级单位</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个，其中行政单位</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个，参照公务员法管理的事业单位</w:t>
      </w:r>
      <w:r>
        <w:rPr>
          <w:rFonts w:hint="eastAsia" w:ascii="仿宋_GB2312" w:hAnsi="仿宋_GB2312" w:eastAsia="仿宋_GB2312" w:cs="仿宋_GB2312"/>
          <w:bCs/>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个，其他事业单位</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个。</w:t>
      </w:r>
    </w:p>
    <w:p>
      <w:pPr>
        <w:pStyle w:val="8"/>
        <w:adjustRightInd w:val="0"/>
        <w:snapToGrid w:val="0"/>
        <w:spacing w:before="93" w:line="600" w:lineRule="exa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纳入</w:t>
      </w:r>
      <w:r>
        <w:rPr>
          <w:rFonts w:hint="eastAsia" w:ascii="仿宋_GB2312" w:hAnsi="仿宋_GB2312" w:eastAsia="仿宋_GB2312" w:cs="仿宋_GB2312"/>
          <w:color w:val="000000" w:themeColor="text1"/>
          <w:sz w:val="32"/>
          <w:szCs w:val="32"/>
          <w:lang w:eastAsia="zh-CN"/>
        </w:rPr>
        <w:t>壤塘县人民医院</w:t>
      </w:r>
      <w:r>
        <w:rPr>
          <w:rFonts w:hint="eastAsia" w:ascii="仿宋_GB2312" w:hAnsi="仿宋_GB2312" w:eastAsia="仿宋_GB2312" w:cs="仿宋_GB2312"/>
          <w:color w:val="000000" w:themeColor="text1"/>
          <w:sz w:val="32"/>
          <w:szCs w:val="32"/>
        </w:rPr>
        <w:t>202</w:t>
      </w:r>
      <w:r>
        <w:rPr>
          <w:rFonts w:hint="eastAsia" w:hAnsi="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年度部门决算编制范围的二级预算单位</w:t>
      </w:r>
      <w:r>
        <w:rPr>
          <w:rFonts w:hint="eastAsia" w:ascii="仿宋_GB2312" w:hAnsi="仿宋_GB2312" w:eastAsia="仿宋_GB2312" w:cs="仿宋_GB2312"/>
          <w:color w:val="000000" w:themeColor="text1"/>
          <w:sz w:val="32"/>
          <w:szCs w:val="32"/>
          <w:lang w:val="en-US" w:eastAsia="zh-CN"/>
        </w:rPr>
        <w:t>0个。</w:t>
      </w:r>
    </w:p>
    <w:p>
      <w:pPr>
        <w:spacing w:line="60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壤塘</w:t>
      </w:r>
      <w:r>
        <w:rPr>
          <w:rFonts w:hint="eastAsia" w:ascii="仿宋_GB2312" w:hAnsi="仿宋_GB2312" w:eastAsia="仿宋_GB2312" w:cs="仿宋_GB2312"/>
          <w:color w:val="000000" w:themeColor="text1"/>
          <w:sz w:val="32"/>
          <w:szCs w:val="32"/>
        </w:rPr>
        <w:t>县</w:t>
      </w:r>
      <w:r>
        <w:rPr>
          <w:rFonts w:hint="eastAsia" w:ascii="仿宋_GB2312" w:hAnsi="仿宋_GB2312" w:eastAsia="仿宋_GB2312" w:cs="仿宋_GB2312"/>
          <w:color w:val="000000" w:themeColor="text1"/>
          <w:sz w:val="32"/>
          <w:szCs w:val="32"/>
          <w:lang w:eastAsia="zh-CN"/>
        </w:rPr>
        <w:t>人民医院系壤塘县卫生健康局下属二</w:t>
      </w:r>
      <w:r>
        <w:rPr>
          <w:rFonts w:hint="eastAsia" w:ascii="仿宋_GB2312" w:hAnsi="仿宋_GB2312" w:eastAsia="仿宋_GB2312" w:cs="仿宋_GB2312"/>
          <w:color w:val="000000" w:themeColor="text1"/>
          <w:sz w:val="32"/>
          <w:szCs w:val="32"/>
        </w:rPr>
        <w:t>级预算单位</w:t>
      </w:r>
      <w:r>
        <w:rPr>
          <w:rFonts w:hint="eastAsia" w:ascii="仿宋_GB2312" w:hAnsi="仿宋_GB2312" w:eastAsia="仿宋_GB2312" w:cs="仿宋_GB2312"/>
          <w:color w:val="000000" w:themeColor="text1"/>
          <w:sz w:val="32"/>
          <w:szCs w:val="32"/>
          <w:lang w:eastAsia="zh-CN"/>
        </w:rPr>
        <w:t>。</w:t>
      </w:r>
    </w:p>
    <w:p>
      <w:pPr>
        <w:pStyle w:val="4"/>
        <w:ind w:right="440"/>
        <w:jc w:val="right"/>
        <w:rPr>
          <w:rStyle w:val="25"/>
          <w:rFonts w:ascii="黑体" w:hAnsi="黑体" w:eastAsia="黑体"/>
          <w:b w:val="0"/>
          <w:bCs w:val="0"/>
        </w:rPr>
      </w:pPr>
      <w:bookmarkStart w:id="35" w:name="_Toc5492"/>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w:t>
      </w:r>
      <w:r>
        <w:rPr>
          <w:rStyle w:val="25"/>
          <w:rFonts w:hint="eastAsia" w:ascii="黑体" w:hAnsi="黑体" w:eastAsia="黑体"/>
          <w:b w:val="0"/>
          <w:bCs w:val="0"/>
        </w:rPr>
        <w:t>1年度部门决算情况说明</w:t>
      </w:r>
      <w:bookmarkEnd w:id="32"/>
      <w:bookmarkEnd w:id="33"/>
      <w:bookmarkEnd w:id="34"/>
      <w:bookmarkEnd w:id="35"/>
    </w:p>
    <w:p/>
    <w:p>
      <w:pPr>
        <w:pStyle w:val="36"/>
        <w:numPr>
          <w:ilvl w:val="0"/>
          <w:numId w:val="1"/>
        </w:numPr>
        <w:spacing w:line="600" w:lineRule="exact"/>
        <w:ind w:firstLineChars="0"/>
        <w:outlineLvl w:val="1"/>
        <w:rPr>
          <w:rStyle w:val="26"/>
          <w:rFonts w:ascii="黑体" w:hAnsi="黑体" w:eastAsia="黑体"/>
          <w:b w:val="0"/>
        </w:rPr>
      </w:pPr>
      <w:bookmarkStart w:id="36" w:name="_Toc15396603"/>
      <w:bookmarkStart w:id="37" w:name="_Toc20375"/>
      <w:bookmarkStart w:id="38" w:name="_Toc79163610"/>
      <w:bookmarkStart w:id="39"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仿宋" w:hAnsi="仿宋" w:eastAsia="仿宋"/>
          <w:color w:val="auto"/>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4294.35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4398.62</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20年相比，收</w:t>
      </w:r>
      <w:r>
        <w:rPr>
          <w:rFonts w:hint="eastAsia" w:ascii="仿宋" w:hAnsi="仿宋" w:eastAsia="仿宋"/>
          <w:color w:val="000000"/>
          <w:sz w:val="32"/>
          <w:szCs w:val="32"/>
          <w:lang w:eastAsia="zh-CN"/>
        </w:rPr>
        <w:t>入总计减少</w:t>
      </w:r>
      <w:r>
        <w:rPr>
          <w:rFonts w:hint="eastAsia" w:ascii="仿宋" w:hAnsi="仿宋" w:eastAsia="仿宋"/>
          <w:color w:val="000000"/>
          <w:sz w:val="32"/>
          <w:szCs w:val="32"/>
          <w:lang w:val="en-US" w:eastAsia="zh-CN"/>
        </w:rPr>
        <w:t>618.13万元，下降12.58%；</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180.84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4.29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：项目</w:t>
      </w:r>
      <w:r>
        <w:rPr>
          <w:rFonts w:hint="eastAsia" w:ascii="仿宋" w:hAnsi="仿宋" w:eastAsia="仿宋"/>
          <w:color w:val="auto"/>
          <w:sz w:val="32"/>
          <w:szCs w:val="32"/>
          <w:lang w:val="en-US" w:eastAsia="zh-CN"/>
        </w:rPr>
        <w:t>拨款经费较上年</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医院收益减少，人员经费较上年有所上涨。</w:t>
      </w:r>
    </w:p>
    <w:p>
      <w:pPr>
        <w:spacing w:line="600" w:lineRule="exact"/>
        <w:ind w:firstLine="640" w:firstLineChars="200"/>
        <w:rPr>
          <w:rFonts w:hint="eastAsia" w:ascii="仿宋" w:hAnsi="仿宋" w:eastAsia="仿宋"/>
          <w:color w:val="auto"/>
          <w:sz w:val="32"/>
          <w:szCs w:val="32"/>
          <w:lang w:val="en-US" w:eastAsia="zh-CN"/>
        </w:rPr>
      </w:pPr>
    </w:p>
    <w:p>
      <w:pPr>
        <w:spacing w:line="600" w:lineRule="exact"/>
        <w:ind w:firstLine="640" w:firstLineChars="200"/>
        <w:rPr>
          <w:rFonts w:hint="eastAsia" w:ascii="仿宋" w:hAnsi="仿宋" w:eastAsia="仿宋"/>
          <w:color w:val="auto"/>
          <w:sz w:val="32"/>
          <w:szCs w:val="32"/>
          <w:lang w:val="en-US" w:eastAsia="zh-CN"/>
        </w:rPr>
      </w:pPr>
    </w:p>
    <w:p>
      <w:pPr>
        <w:spacing w:line="600" w:lineRule="exact"/>
        <w:ind w:firstLine="640" w:firstLineChars="200"/>
        <w:rPr>
          <w:rFonts w:hint="eastAsia" w:ascii="仿宋" w:hAnsi="仿宋" w:eastAsia="仿宋"/>
          <w:color w:val="000000"/>
          <w:sz w:val="32"/>
          <w:szCs w:val="32"/>
        </w:rPr>
      </w:pP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766945" cy="2987040"/>
            <wp:effectExtent l="0" t="0" r="14605" b="3810"/>
            <wp:docPr id="1" name="图片 1" descr="D:\我的文档\桌面\图片1.png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D:\我的文档\桌面\图片1.png图片1"/>
                    <pic:cNvPicPr>
                      <a:picLocks noChangeAspect="true"/>
                    </pic:cNvPicPr>
                  </pic:nvPicPr>
                  <pic:blipFill>
                    <a:blip r:embed="rId6"/>
                    <a:srcRect/>
                    <a:stretch>
                      <a:fillRect/>
                    </a:stretch>
                  </pic:blipFill>
                  <pic:spPr>
                    <a:xfrm>
                      <a:off x="0" y="0"/>
                      <a:ext cx="4766945" cy="2987040"/>
                    </a:xfrm>
                    <a:prstGeom prst="rect">
                      <a:avLst/>
                    </a:prstGeom>
                  </pic:spPr>
                </pic:pic>
              </a:graphicData>
            </a:graphic>
          </wp:inline>
        </w:drawing>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spacing w:line="600" w:lineRule="exact"/>
        <w:jc w:val="left"/>
        <w:rPr>
          <w:rFonts w:ascii="仿宋_GB2312" w:eastAsia="仿宋_GB2312"/>
          <w:color w:val="000000"/>
          <w:sz w:val="32"/>
          <w:szCs w:val="32"/>
        </w:rPr>
      </w:pPr>
    </w:p>
    <w:p>
      <w:pPr>
        <w:pStyle w:val="36"/>
        <w:numPr>
          <w:ilvl w:val="0"/>
          <w:numId w:val="1"/>
        </w:numPr>
        <w:spacing w:line="600" w:lineRule="exact"/>
        <w:ind w:firstLineChars="0"/>
        <w:outlineLvl w:val="1"/>
        <w:rPr>
          <w:rStyle w:val="26"/>
          <w:rFonts w:ascii="黑体" w:hAnsi="黑体" w:eastAsia="黑体"/>
          <w:b w:val="0"/>
        </w:rPr>
      </w:pPr>
      <w:bookmarkStart w:id="40" w:name="_Toc15396604"/>
      <w:bookmarkStart w:id="41" w:name="_Toc9111"/>
      <w:bookmarkStart w:id="42" w:name="_Toc15377206"/>
      <w:bookmarkStart w:id="43" w:name="_Toc79163611"/>
      <w:r>
        <w:rPr>
          <w:rFonts w:hint="eastAsia" w:ascii="黑体" w:hAnsi="黑体" w:eastAsia="黑体"/>
          <w:color w:val="000000"/>
          <w:sz w:val="32"/>
          <w:szCs w:val="32"/>
        </w:rPr>
        <w:t>收</w:t>
      </w:r>
      <w:r>
        <w:rPr>
          <w:rStyle w:val="26"/>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w:t>
      </w:r>
      <w:r>
        <w:rPr>
          <w:rFonts w:hint="eastAsia" w:ascii="仿宋" w:hAnsi="仿宋" w:eastAsia="仿宋"/>
          <w:color w:val="000000"/>
          <w:sz w:val="32"/>
          <w:szCs w:val="32"/>
          <w:lang w:val="en-US" w:eastAsia="zh-CN"/>
        </w:rPr>
        <w:t>4294.35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1944.25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2350.10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55</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hint="eastAsia" w:ascii="仿宋" w:hAnsi="仿宋" w:eastAsia="仿宋"/>
          <w:color w:val="000000"/>
          <w:sz w:val="32"/>
          <w:szCs w:val="32"/>
        </w:rPr>
      </w:pP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837180"/>
            <wp:effectExtent l="0" t="0" r="6985" b="1270"/>
            <wp:docPr id="2" name="图片 2" descr="D:\我的文档\桌面\图片10.png图片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D:\我的文档\桌面\图片10.png图片10"/>
                    <pic:cNvPicPr>
                      <a:picLocks noChangeAspect="true"/>
                    </pic:cNvPicPr>
                  </pic:nvPicPr>
                  <pic:blipFill>
                    <a:blip r:embed="rId7"/>
                    <a:srcRect/>
                    <a:stretch>
                      <a:fillRect/>
                    </a:stretch>
                  </pic:blipFill>
                  <pic:spPr>
                    <a:xfrm>
                      <a:off x="0" y="0"/>
                      <a:ext cx="4584065" cy="2837180"/>
                    </a:xfrm>
                    <a:prstGeom prst="rect">
                      <a:avLst/>
                    </a:prstGeom>
                  </pic:spPr>
                </pic:pic>
              </a:graphicData>
            </a:graphic>
          </wp:inline>
        </w:drawing>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36"/>
        <w:numPr>
          <w:ilvl w:val="0"/>
          <w:numId w:val="1"/>
        </w:numPr>
        <w:spacing w:line="600" w:lineRule="exact"/>
        <w:ind w:firstLineChars="0"/>
        <w:outlineLvl w:val="1"/>
        <w:rPr>
          <w:rStyle w:val="26"/>
          <w:rFonts w:ascii="黑体" w:hAnsi="黑体" w:eastAsia="黑体"/>
          <w:b w:val="0"/>
        </w:rPr>
      </w:pPr>
      <w:bookmarkStart w:id="44" w:name="_Toc15396605"/>
      <w:bookmarkStart w:id="45" w:name="_Toc15377207"/>
      <w:bookmarkStart w:id="46" w:name="_Toc15822"/>
      <w:bookmarkStart w:id="47" w:name="_Toc79163612"/>
      <w:r>
        <w:rPr>
          <w:rFonts w:hint="eastAsia" w:ascii="黑体" w:hAnsi="黑体" w:eastAsia="黑体"/>
          <w:color w:val="000000"/>
          <w:sz w:val="32"/>
          <w:szCs w:val="32"/>
        </w:rPr>
        <w:t>支</w:t>
      </w:r>
      <w:r>
        <w:rPr>
          <w:rStyle w:val="26"/>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w:t>
      </w:r>
      <w:r>
        <w:rPr>
          <w:rFonts w:hint="eastAsia" w:ascii="仿宋_GB2312" w:eastAsia="仿宋_GB2312"/>
          <w:sz w:val="32"/>
          <w:szCs w:val="32"/>
          <w:lang w:eastAsia="zh-CN"/>
        </w:rPr>
        <w:t>计</w:t>
      </w:r>
      <w:r>
        <w:rPr>
          <w:rFonts w:hint="eastAsia" w:ascii="仿宋_GB2312" w:eastAsia="仿宋_GB2312"/>
          <w:sz w:val="32"/>
          <w:szCs w:val="32"/>
          <w:lang w:val="en-US" w:eastAsia="zh-CN"/>
        </w:rPr>
        <w:t>4398.62</w:t>
      </w:r>
      <w:r>
        <w:rPr>
          <w:rFonts w:hint="eastAsia" w:ascii="仿宋_GB2312" w:eastAsia="仿宋_GB2312"/>
          <w:sz w:val="32"/>
          <w:szCs w:val="32"/>
        </w:rPr>
        <w:t>万元，其中：基本支出</w:t>
      </w:r>
      <w:r>
        <w:rPr>
          <w:rFonts w:hint="eastAsia" w:ascii="仿宋_GB2312" w:eastAsia="仿宋_GB2312"/>
          <w:sz w:val="32"/>
          <w:szCs w:val="32"/>
          <w:lang w:val="en-US" w:eastAsia="zh-CN"/>
        </w:rPr>
        <w:t>3850.56</w:t>
      </w:r>
      <w:r>
        <w:rPr>
          <w:rFonts w:hint="eastAsia" w:ascii="仿宋_GB2312" w:eastAsia="仿宋_GB2312"/>
          <w:sz w:val="32"/>
          <w:szCs w:val="32"/>
        </w:rPr>
        <w:t>万元，占</w:t>
      </w:r>
      <w:r>
        <w:rPr>
          <w:rFonts w:hint="eastAsia" w:ascii="仿宋_GB2312" w:eastAsia="仿宋_GB2312"/>
          <w:sz w:val="32"/>
          <w:szCs w:val="32"/>
          <w:lang w:val="en-US" w:eastAsia="zh-CN"/>
        </w:rPr>
        <w:t>88</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548.06</w:t>
      </w:r>
      <w:r>
        <w:rPr>
          <w:rFonts w:hint="eastAsia" w:ascii="仿宋_GB2312" w:eastAsia="仿宋_GB2312"/>
          <w:sz w:val="32"/>
          <w:szCs w:val="32"/>
        </w:rPr>
        <w:t>万元，占</w:t>
      </w: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584065" cy="2755265"/>
            <wp:effectExtent l="0" t="0" r="6985" b="6985"/>
            <wp:docPr id="3" name="图片 3"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true"/>
                    </pic:cNvPicPr>
                  </pic:nvPicPr>
                  <pic:blipFill>
                    <a:blip r:embed="rId8"/>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hint="eastAsia" w:ascii="仿宋_GB2312" w:eastAsia="仿宋_GB2312"/>
          <w:sz w:val="32"/>
          <w:szCs w:val="32"/>
          <w:lang w:eastAsia="zh-CN"/>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26"/>
          <w:rFonts w:ascii="黑体" w:hAnsi="黑体" w:eastAsia="黑体"/>
          <w:b w:val="0"/>
        </w:rPr>
      </w:pPr>
      <w:bookmarkStart w:id="48" w:name="_Toc15377208"/>
      <w:bookmarkStart w:id="49" w:name="_Toc5175"/>
      <w:bookmarkStart w:id="50" w:name="_Toc15396606"/>
      <w:bookmarkStart w:id="51" w:name="_Toc79163613"/>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1年财政拨款收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1944.25万元，</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2233.92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711.04万元，下降26.78%，</w:t>
      </w:r>
      <w:r>
        <w:rPr>
          <w:rFonts w:hint="eastAsia" w:ascii="仿宋" w:hAnsi="仿宋" w:eastAsia="仿宋"/>
          <w:color w:val="auto"/>
          <w:sz w:val="32"/>
          <w:szCs w:val="32"/>
        </w:rPr>
        <w:t>财政拨款</w:t>
      </w:r>
      <w:r>
        <w:rPr>
          <w:rFonts w:hint="eastAsia" w:ascii="仿宋" w:hAnsi="仿宋" w:eastAsia="仿宋"/>
          <w:color w:val="auto"/>
          <w:sz w:val="32"/>
          <w:szCs w:val="32"/>
          <w:lang w:val="en-US" w:eastAsia="zh-CN"/>
        </w:rPr>
        <w:t>支出总计减少485.21</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17.84</w:t>
      </w:r>
      <w:r>
        <w:rPr>
          <w:rFonts w:ascii="仿宋" w:hAnsi="仿宋" w:eastAsia="仿宋"/>
          <w:color w:val="000000"/>
          <w:sz w:val="32"/>
          <w:szCs w:val="32"/>
        </w:rPr>
        <w:t>%</w:t>
      </w:r>
      <w:r>
        <w:rPr>
          <w:rFonts w:hint="eastAsia" w:ascii="仿宋" w:hAnsi="仿宋" w:eastAsia="仿宋"/>
          <w:color w:val="000000"/>
          <w:sz w:val="32"/>
          <w:szCs w:val="32"/>
          <w:lang w:val="en-US" w:eastAsia="zh-CN"/>
        </w:rPr>
        <w:t>。主要变动原因是：1.2019年部分项目未完工，导致我院2020年项目拨款经费减少；2.人员减少，导致我院基本拨款经费减少。</w:t>
      </w:r>
    </w:p>
    <w:p>
      <w:pPr>
        <w:spacing w:line="240" w:lineRule="auto"/>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drawing>
          <wp:inline distT="0" distB="0" distL="114300" distR="114300">
            <wp:extent cx="5200015" cy="3676015"/>
            <wp:effectExtent l="0" t="0" r="0" b="635"/>
            <wp:docPr id="4" name="图片 4"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true"/>
                    </pic:cNvPicPr>
                  </pic:nvPicPr>
                  <pic:blipFill>
                    <a:blip r:embed="rId9"/>
                    <a:stretch>
                      <a:fillRect/>
                    </a:stretch>
                  </pic:blipFill>
                  <pic:spPr>
                    <a:xfrm>
                      <a:off x="0" y="0"/>
                      <a:ext cx="5200015" cy="3676015"/>
                    </a:xfrm>
                    <a:prstGeom prst="rect">
                      <a:avLst/>
                    </a:prstGeom>
                  </pic:spPr>
                </pic:pic>
              </a:graphicData>
            </a:graphic>
          </wp:inline>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firstLineChars="200"/>
        <w:outlineLvl w:val="1"/>
        <w:rPr>
          <w:rStyle w:val="26"/>
          <w:rFonts w:ascii="黑体" w:hAnsi="黑体" w:eastAsia="黑体"/>
          <w:b w:val="0"/>
        </w:rPr>
      </w:pPr>
      <w:bookmarkStart w:id="52" w:name="_Toc79163614"/>
      <w:bookmarkStart w:id="53" w:name="_Toc10945"/>
      <w:bookmarkStart w:id="54" w:name="_Toc15396607"/>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615"/>
      <w:bookmarkStart w:id="57" w:name="_Toc1612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2228.01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99.74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20年相比，一般公共预算财政拨款减少</w:t>
      </w:r>
      <w:r>
        <w:rPr>
          <w:rFonts w:hint="eastAsia" w:ascii="仿宋" w:hAnsi="仿宋" w:eastAsia="仿宋"/>
          <w:color w:val="000000"/>
          <w:sz w:val="32"/>
          <w:szCs w:val="32"/>
          <w:lang w:val="en-US" w:eastAsia="zh-CN"/>
        </w:rPr>
        <w:t>164.88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6.89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2021年</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eastAsia="zh-CN"/>
        </w:rPr>
        <w:t>减少，项目支出减少。</w:t>
      </w:r>
    </w:p>
    <w:p>
      <w:pPr>
        <w:spacing w:line="240" w:lineRule="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998720" cy="3206750"/>
            <wp:effectExtent l="0" t="0" r="0" b="12700"/>
            <wp:docPr id="5" name="图片 5"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true"/>
                    </pic:cNvPicPr>
                  </pic:nvPicPr>
                  <pic:blipFill>
                    <a:blip r:embed="rId10"/>
                    <a:stretch>
                      <a:fillRect/>
                    </a:stretch>
                  </pic:blipFill>
                  <pic:spPr>
                    <a:xfrm>
                      <a:off x="0" y="0"/>
                      <a:ext cx="4998720" cy="3206750"/>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2" w:firstLineChars="200"/>
        <w:outlineLvl w:val="2"/>
        <w:rPr>
          <w:rFonts w:ascii="仿宋" w:hAnsi="仿宋" w:eastAsia="仿宋"/>
          <w:b/>
          <w:color w:val="000000"/>
          <w:sz w:val="32"/>
          <w:szCs w:val="32"/>
        </w:rPr>
      </w:pPr>
      <w:bookmarkStart w:id="59" w:name="_Toc15377211"/>
      <w:bookmarkStart w:id="60" w:name="_Toc79163616"/>
      <w:bookmarkStart w:id="61" w:name="_Toc19247"/>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2228.01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b/>
          <w:color w:val="000000"/>
          <w:sz w:val="32"/>
          <w:szCs w:val="32"/>
          <w:lang w:val="en-US" w:eastAsia="zh-CN"/>
        </w:rPr>
        <w:t>3.00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hint="eastAsia" w:ascii="仿宋" w:hAnsi="仿宋" w:eastAsia="仿宋"/>
          <w:b/>
          <w:bCs/>
          <w:color w:val="000000"/>
          <w:sz w:val="32"/>
          <w:szCs w:val="32"/>
          <w:lang w:val="en-US" w:eastAsia="zh-CN"/>
        </w:rPr>
        <w:t>0</w:t>
      </w:r>
      <w:r>
        <w:rPr>
          <w:rFonts w:hint="eastAsia" w:ascii="仿宋" w:hAnsi="仿宋" w:eastAsia="仿宋"/>
          <w:b/>
          <w:bCs/>
          <w:color w:val="000000"/>
          <w:sz w:val="32"/>
          <w:szCs w:val="32"/>
        </w:rPr>
        <w:t>万元，占</w:t>
      </w:r>
      <w:r>
        <w:rPr>
          <w:rFonts w:hint="eastAsia" w:ascii="仿宋" w:hAnsi="仿宋" w:eastAsia="仿宋"/>
          <w:b/>
          <w:bCs/>
          <w:color w:val="000000"/>
          <w:sz w:val="32"/>
          <w:szCs w:val="32"/>
          <w:lang w:val="en-US" w:eastAsia="zh-CN"/>
        </w:rPr>
        <w:t>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226.02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10.18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val="en-US" w:eastAsia="zh-CN"/>
        </w:rPr>
        <w:t>1849.26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83.00</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149.73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6.72</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2" w:firstLineChars="200"/>
        <w:outlineLvl w:val="2"/>
        <w:rPr>
          <w:rFonts w:ascii="仿宋" w:hAnsi="仿宋" w:eastAsia="仿宋"/>
          <w:b/>
          <w:color w:val="000000"/>
          <w:sz w:val="32"/>
          <w:szCs w:val="32"/>
        </w:rPr>
      </w:pPr>
      <w:bookmarkStart w:id="62" w:name="_Toc15377212"/>
      <w:bookmarkStart w:id="63" w:name="_Toc6812"/>
      <w:bookmarkStart w:id="64" w:name="_Toc7916361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8460"/>
      <w:bookmarkStart w:id="66" w:name="_Toc15377444"/>
      <w:bookmarkStart w:id="67" w:name="_Toc15377213"/>
      <w:r>
        <w:rPr>
          <w:rFonts w:ascii="仿宋_GB2312" w:eastAsia="仿宋_GB2312"/>
          <w:b/>
          <w:bCs/>
          <w:sz w:val="32"/>
          <w:szCs w:val="32"/>
        </w:rPr>
        <w:t>202</w:t>
      </w:r>
      <w:r>
        <w:rPr>
          <w:rFonts w:hint="eastAsia" w:ascii="仿宋_GB2312" w:eastAsia="仿宋_GB2312"/>
          <w:b/>
          <w:bCs/>
          <w:sz w:val="32"/>
          <w:szCs w:val="32"/>
        </w:rPr>
        <w:t>1年一般公共预算支出决算数为</w:t>
      </w:r>
      <w:r>
        <w:rPr>
          <w:rFonts w:hint="eastAsia" w:ascii="仿宋_GB2312" w:eastAsia="仿宋_GB2312"/>
          <w:b/>
          <w:bCs/>
          <w:sz w:val="32"/>
          <w:szCs w:val="32"/>
          <w:lang w:val="en-US" w:eastAsia="zh-CN"/>
        </w:rPr>
        <w:t>2228.01万元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119.15</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2" w:firstLineChars="200"/>
        <w:rPr>
          <w:rFonts w:ascii="仿宋" w:hAnsi="仿宋" w:eastAsia="仿宋"/>
          <w:b/>
          <w:color w:val="000000"/>
          <w:sz w:val="32"/>
          <w:szCs w:val="32"/>
        </w:rPr>
      </w:pPr>
      <w:r>
        <w:rPr>
          <w:rStyle w:val="23"/>
          <w:rFonts w:ascii="仿宋" w:hAnsi="仿宋" w:eastAsia="仿宋"/>
          <w:bCs/>
          <w:color w:val="000000"/>
          <w:sz w:val="32"/>
          <w:szCs w:val="32"/>
        </w:rPr>
        <w:t>1.</w:t>
      </w:r>
      <w:r>
        <w:rPr>
          <w:rStyle w:val="23"/>
          <w:rFonts w:hint="eastAsia" w:ascii="仿宋" w:hAnsi="仿宋" w:eastAsia="仿宋"/>
          <w:bCs/>
          <w:color w:val="000000"/>
          <w:sz w:val="32"/>
          <w:szCs w:val="32"/>
        </w:rPr>
        <w:t>一般公共服务</w:t>
      </w:r>
      <w:r>
        <w:rPr>
          <w:rStyle w:val="23"/>
          <w:rFonts w:hint="eastAsia" w:ascii="仿宋" w:hAnsi="仿宋" w:eastAsia="仿宋"/>
          <w:bCs/>
          <w:color w:val="000000"/>
          <w:sz w:val="32"/>
          <w:szCs w:val="32"/>
          <w:lang w:eastAsia="zh-CN"/>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numPr>
          <w:ilvl w:val="0"/>
          <w:numId w:val="0"/>
        </w:numPr>
        <w:spacing w:line="600" w:lineRule="exact"/>
        <w:ind w:firstLine="642" w:firstLineChars="200"/>
        <w:rPr>
          <w:rFonts w:hint="eastAsia" w:ascii="仿宋" w:hAnsi="仿宋" w:eastAsia="仿宋"/>
          <w:b/>
          <w:color w:val="000000"/>
          <w:sz w:val="32"/>
          <w:szCs w:val="32"/>
          <w:lang w:eastAsia="zh-CN"/>
        </w:rPr>
      </w:pPr>
      <w:r>
        <w:rPr>
          <w:rStyle w:val="23"/>
          <w:rFonts w:hint="eastAsia" w:ascii="仿宋" w:hAnsi="仿宋" w:eastAsia="仿宋"/>
          <w:bCs/>
          <w:color w:val="000000"/>
          <w:sz w:val="32"/>
          <w:szCs w:val="32"/>
          <w:lang w:val="en-US" w:eastAsia="zh-CN"/>
        </w:rPr>
        <w:t>2.</w:t>
      </w:r>
      <w:r>
        <w:rPr>
          <w:rStyle w:val="23"/>
          <w:rFonts w:hint="eastAsia" w:ascii="仿宋" w:hAnsi="仿宋" w:eastAsia="仿宋"/>
          <w:bCs/>
          <w:color w:val="000000"/>
          <w:sz w:val="32"/>
          <w:szCs w:val="32"/>
        </w:rPr>
        <w:t>教育（类）</w:t>
      </w:r>
      <w:r>
        <w:rPr>
          <w:rStyle w:val="23"/>
          <w:rFonts w:hint="eastAsia" w:ascii="仿宋" w:hAnsi="仿宋" w:eastAsia="仿宋"/>
          <w:bCs/>
          <w:color w:val="000000"/>
          <w:sz w:val="32"/>
          <w:szCs w:val="32"/>
          <w:lang w:val="en-US" w:eastAsia="zh-CN"/>
        </w:rPr>
        <w:t>进修及培训（款）其他进修及培训（项）：</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3.00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lang w:eastAsia="zh-CN"/>
        </w:rPr>
        <w:t>。</w:t>
      </w:r>
    </w:p>
    <w:p>
      <w:pPr>
        <w:numPr>
          <w:ilvl w:val="0"/>
          <w:numId w:val="0"/>
        </w:numPr>
        <w:spacing w:line="600" w:lineRule="exact"/>
        <w:ind w:firstLine="642" w:firstLineChars="200"/>
        <w:rPr>
          <w:rFonts w:ascii="仿宋" w:hAnsi="仿宋" w:eastAsia="仿宋"/>
          <w:b/>
          <w:color w:val="000000"/>
          <w:sz w:val="32"/>
          <w:szCs w:val="32"/>
        </w:rPr>
      </w:pPr>
      <w:r>
        <w:rPr>
          <w:rStyle w:val="23"/>
          <w:rFonts w:ascii="仿宋" w:hAnsi="仿宋" w:eastAsia="仿宋"/>
          <w:bCs/>
          <w:color w:val="000000"/>
          <w:sz w:val="32"/>
          <w:szCs w:val="32"/>
        </w:rPr>
        <w:t>3.</w:t>
      </w:r>
      <w:r>
        <w:rPr>
          <w:rStyle w:val="23"/>
          <w:rFonts w:hint="eastAsia" w:ascii="仿宋" w:hAnsi="仿宋" w:eastAsia="仿宋"/>
          <w:bCs/>
          <w:color w:val="000000"/>
          <w:sz w:val="32"/>
          <w:szCs w:val="32"/>
        </w:rPr>
        <w:t>科学技术</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23"/>
          <w:rFonts w:ascii="仿宋" w:hAnsi="仿宋" w:eastAsia="仿宋"/>
          <w:bCs/>
          <w:color w:val="000000"/>
          <w:sz w:val="32"/>
          <w:szCs w:val="32"/>
        </w:rPr>
        <w:t>4.</w:t>
      </w:r>
      <w:r>
        <w:rPr>
          <w:rStyle w:val="23"/>
          <w:rFonts w:hint="eastAsia" w:ascii="仿宋" w:hAnsi="仿宋" w:eastAsia="仿宋"/>
          <w:bCs/>
          <w:color w:val="000000"/>
          <w:sz w:val="32"/>
          <w:szCs w:val="32"/>
        </w:rPr>
        <w:t>文化旅游体育与传媒</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2" w:firstLineChars="200"/>
        <w:rPr>
          <w:rStyle w:val="23"/>
          <w:rFonts w:hint="eastAsia" w:ascii="仿宋" w:hAnsi="仿宋" w:eastAsia="仿宋"/>
          <w:b w:val="0"/>
          <w:bCs/>
          <w:color w:val="000000"/>
          <w:sz w:val="32"/>
          <w:szCs w:val="32"/>
        </w:rPr>
      </w:pPr>
      <w:r>
        <w:rPr>
          <w:rStyle w:val="23"/>
          <w:rFonts w:ascii="仿宋" w:hAnsi="仿宋" w:eastAsia="仿宋"/>
          <w:bCs/>
          <w:color w:val="000000"/>
          <w:sz w:val="32"/>
          <w:szCs w:val="32"/>
        </w:rPr>
        <w:t>5.</w:t>
      </w:r>
      <w:r>
        <w:rPr>
          <w:rStyle w:val="23"/>
          <w:rFonts w:hint="eastAsia" w:ascii="仿宋" w:hAnsi="仿宋" w:eastAsia="仿宋"/>
          <w:bCs/>
          <w:color w:val="000000"/>
          <w:sz w:val="32"/>
          <w:szCs w:val="32"/>
          <w:lang w:eastAsia="zh-CN"/>
        </w:rPr>
        <w:t>（</w:t>
      </w:r>
      <w:r>
        <w:rPr>
          <w:rStyle w:val="23"/>
          <w:rFonts w:hint="eastAsia" w:ascii="仿宋" w:hAnsi="仿宋" w:eastAsia="仿宋"/>
          <w:bCs/>
          <w:color w:val="000000"/>
          <w:sz w:val="32"/>
          <w:szCs w:val="32"/>
          <w:lang w:val="en-US" w:eastAsia="zh-CN"/>
        </w:rPr>
        <w:t>1</w:t>
      </w:r>
      <w:r>
        <w:rPr>
          <w:rStyle w:val="23"/>
          <w:rFonts w:hint="eastAsia" w:ascii="仿宋" w:hAnsi="仿宋" w:eastAsia="仿宋"/>
          <w:bCs/>
          <w:color w:val="000000"/>
          <w:sz w:val="32"/>
          <w:szCs w:val="32"/>
          <w:lang w:eastAsia="zh-CN"/>
        </w:rPr>
        <w:t>）</w:t>
      </w:r>
      <w:r>
        <w:rPr>
          <w:rStyle w:val="23"/>
          <w:rFonts w:hint="eastAsia" w:ascii="仿宋" w:hAnsi="仿宋" w:eastAsia="仿宋"/>
          <w:bCs/>
          <w:color w:val="000000"/>
          <w:sz w:val="32"/>
          <w:szCs w:val="32"/>
        </w:rPr>
        <w:t>社会保障和就业（类）</w:t>
      </w:r>
      <w:r>
        <w:rPr>
          <w:rStyle w:val="23"/>
          <w:rFonts w:hint="eastAsia" w:ascii="仿宋" w:hAnsi="仿宋" w:eastAsia="仿宋"/>
          <w:bCs/>
          <w:color w:val="000000"/>
          <w:sz w:val="32"/>
          <w:szCs w:val="32"/>
          <w:lang w:val="en-US" w:eastAsia="zh-CN"/>
        </w:rPr>
        <w:t>行政事业单位养老支出</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机关事业单位基本养老保险缴费支出</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rPr>
        <w:t>支出决算为1</w:t>
      </w:r>
      <w:r>
        <w:rPr>
          <w:rFonts w:hint="eastAsia" w:ascii="仿宋_GB2312" w:hAnsi="仿宋_GB2312" w:eastAsia="仿宋_GB2312" w:cs="仿宋_GB2312"/>
          <w:color w:val="000000"/>
          <w:sz w:val="32"/>
          <w:szCs w:val="32"/>
          <w:lang w:val="en-US" w:eastAsia="zh-CN"/>
        </w:rPr>
        <w:t>50.68</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94.69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Style w:val="23"/>
          <w:rFonts w:hint="eastAsia" w:ascii="仿宋" w:hAnsi="仿宋" w:eastAsia="仿宋"/>
          <w:b w:val="0"/>
          <w:bCs/>
          <w:color w:val="000000"/>
          <w:sz w:val="32"/>
          <w:szCs w:val="32"/>
        </w:rPr>
        <w:t>决算数小于预算数的主要原因是</w:t>
      </w:r>
      <w:r>
        <w:rPr>
          <w:rStyle w:val="23"/>
          <w:rFonts w:hint="eastAsia" w:ascii="仿宋" w:hAnsi="仿宋" w:eastAsia="仿宋"/>
          <w:b w:val="0"/>
          <w:bCs/>
          <w:color w:val="000000"/>
          <w:sz w:val="32"/>
          <w:szCs w:val="32"/>
          <w:lang w:val="en-US" w:eastAsia="zh-CN"/>
        </w:rPr>
        <w:t>当年人员减少</w:t>
      </w:r>
      <w:r>
        <w:rPr>
          <w:rStyle w:val="23"/>
          <w:rFonts w:hint="eastAsia" w:ascii="仿宋" w:hAnsi="仿宋" w:eastAsia="仿宋"/>
          <w:b w:val="0"/>
          <w:bCs/>
          <w:color w:val="000000"/>
          <w:sz w:val="32"/>
          <w:szCs w:val="32"/>
        </w:rPr>
        <w:t>。</w:t>
      </w:r>
    </w:p>
    <w:p>
      <w:pPr>
        <w:spacing w:line="600" w:lineRule="exact"/>
        <w:ind w:firstLine="642" w:firstLineChars="200"/>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eastAsia="zh-CN"/>
        </w:rPr>
        <w:t>（</w:t>
      </w:r>
      <w:r>
        <w:rPr>
          <w:rStyle w:val="23"/>
          <w:rFonts w:hint="eastAsia" w:ascii="仿宋" w:hAnsi="仿宋" w:eastAsia="仿宋"/>
          <w:bCs/>
          <w:color w:val="000000"/>
          <w:sz w:val="32"/>
          <w:szCs w:val="32"/>
          <w:lang w:val="en-US" w:eastAsia="zh-CN"/>
        </w:rPr>
        <w:t>2</w:t>
      </w:r>
      <w:r>
        <w:rPr>
          <w:rStyle w:val="23"/>
          <w:rFonts w:hint="eastAsia" w:ascii="仿宋" w:hAnsi="仿宋" w:eastAsia="仿宋"/>
          <w:bCs/>
          <w:color w:val="000000"/>
          <w:sz w:val="32"/>
          <w:szCs w:val="32"/>
          <w:lang w:eastAsia="zh-CN"/>
        </w:rPr>
        <w:t>）</w:t>
      </w:r>
      <w:r>
        <w:rPr>
          <w:rStyle w:val="23"/>
          <w:rFonts w:hint="eastAsia" w:ascii="仿宋" w:hAnsi="仿宋" w:eastAsia="仿宋"/>
          <w:bCs/>
          <w:color w:val="000000"/>
          <w:sz w:val="32"/>
          <w:szCs w:val="32"/>
        </w:rPr>
        <w:t>社会保障和就业（类）</w:t>
      </w:r>
      <w:r>
        <w:rPr>
          <w:rStyle w:val="23"/>
          <w:rFonts w:hint="eastAsia" w:ascii="仿宋" w:hAnsi="仿宋" w:eastAsia="仿宋"/>
          <w:bCs/>
          <w:color w:val="000000"/>
          <w:sz w:val="32"/>
          <w:szCs w:val="32"/>
          <w:lang w:val="en-US" w:eastAsia="zh-CN"/>
        </w:rPr>
        <w:t>行政事业单位养老支出</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机关事业单位职业年金缴费支出</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rPr>
        <w:t>支出决算为</w:t>
      </w:r>
      <w:r>
        <w:rPr>
          <w:rFonts w:hint="eastAsia" w:ascii="仿宋_GB2312" w:hAnsi="仿宋_GB2312" w:eastAsia="仿宋_GB2312" w:cs="仿宋_GB2312"/>
          <w:color w:val="000000"/>
          <w:sz w:val="32"/>
          <w:szCs w:val="32"/>
          <w:lang w:val="en-US" w:eastAsia="zh-CN"/>
        </w:rPr>
        <w:t>75.34</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94.69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Style w:val="23"/>
          <w:rFonts w:hint="eastAsia" w:ascii="仿宋" w:hAnsi="仿宋" w:eastAsia="仿宋"/>
          <w:b w:val="0"/>
          <w:bCs/>
          <w:color w:val="000000"/>
          <w:sz w:val="32"/>
          <w:szCs w:val="32"/>
        </w:rPr>
        <w:t>决算数小于预算数的主要原因是</w:t>
      </w:r>
      <w:r>
        <w:rPr>
          <w:rStyle w:val="23"/>
          <w:rFonts w:hint="eastAsia" w:ascii="仿宋" w:hAnsi="仿宋" w:eastAsia="仿宋"/>
          <w:b w:val="0"/>
          <w:bCs/>
          <w:color w:val="000000"/>
          <w:sz w:val="32"/>
          <w:szCs w:val="32"/>
          <w:lang w:val="en-US" w:eastAsia="zh-CN"/>
        </w:rPr>
        <w:t>当年人员减少</w:t>
      </w:r>
      <w:r>
        <w:rPr>
          <w:rStyle w:val="23"/>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6.（1）</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公立医院</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综合医院</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1455.70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，决算数等于预算数的主要原因是</w:t>
      </w:r>
      <w:r>
        <w:rPr>
          <w:rStyle w:val="23"/>
          <w:rFonts w:hint="eastAsia" w:ascii="仿宋" w:hAnsi="仿宋" w:eastAsia="仿宋"/>
          <w:b w:val="0"/>
          <w:bCs/>
          <w:color w:val="000000"/>
          <w:sz w:val="32"/>
          <w:szCs w:val="32"/>
          <w:lang w:val="en-US" w:eastAsia="zh-CN"/>
        </w:rPr>
        <w:t>严格按照当年预算编制数额执行</w:t>
      </w:r>
      <w:r>
        <w:rPr>
          <w:rStyle w:val="23"/>
          <w:rFonts w:hint="eastAsia" w:ascii="仿宋" w:hAnsi="仿宋" w:eastAsia="仿宋"/>
          <w:b w:val="0"/>
          <w:bCs/>
          <w:color w:val="000000"/>
          <w:sz w:val="32"/>
          <w:szCs w:val="32"/>
        </w:rPr>
        <w:t>。</w:t>
      </w:r>
    </w:p>
    <w:p>
      <w:pPr>
        <w:numPr>
          <w:ilvl w:val="0"/>
          <w:numId w:val="0"/>
        </w:numPr>
        <w:spacing w:line="600" w:lineRule="exact"/>
        <w:ind w:firstLine="642" w:firstLineChars="200"/>
        <w:jc w:val="left"/>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val="en-US" w:eastAsia="zh-CN"/>
        </w:rPr>
        <w:t>（2）</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公立医院</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其他公立医院支出</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55.72</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，决算数等于预算数的主要原因是</w:t>
      </w:r>
      <w:r>
        <w:rPr>
          <w:rStyle w:val="23"/>
          <w:rFonts w:hint="eastAsia" w:ascii="仿宋" w:hAnsi="仿宋" w:eastAsia="仿宋"/>
          <w:b w:val="0"/>
          <w:bCs/>
          <w:color w:val="000000"/>
          <w:sz w:val="32"/>
          <w:szCs w:val="32"/>
          <w:lang w:val="en-US" w:eastAsia="zh-CN"/>
        </w:rPr>
        <w:t>严格按照当年预算编制数额执行</w:t>
      </w:r>
      <w:r>
        <w:rPr>
          <w:rStyle w:val="23"/>
          <w:rFonts w:hint="eastAsia" w:ascii="仿宋" w:hAnsi="仿宋" w:eastAsia="仿宋"/>
          <w:b w:val="0"/>
          <w:bCs/>
          <w:color w:val="000000"/>
          <w:sz w:val="32"/>
          <w:szCs w:val="32"/>
        </w:rPr>
        <w:t>。</w:t>
      </w:r>
    </w:p>
    <w:p>
      <w:pPr>
        <w:spacing w:line="600" w:lineRule="exact"/>
        <w:ind w:firstLine="642" w:firstLineChars="200"/>
        <w:rPr>
          <w:rStyle w:val="23"/>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3</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公共卫生</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基本公共卫生服务</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19.22</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val="en-US" w:eastAsia="zh-CN"/>
        </w:rPr>
        <w:t>等于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严格按照当年预算编制数额执行。</w:t>
      </w:r>
    </w:p>
    <w:p>
      <w:pPr>
        <w:spacing w:line="600" w:lineRule="exact"/>
        <w:ind w:firstLine="642" w:firstLineChars="200"/>
        <w:rPr>
          <w:rStyle w:val="23"/>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公共卫生</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重大公共卫生服务</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176.05</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val="en-US" w:eastAsia="zh-CN"/>
        </w:rPr>
        <w:t>小于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严格按照当年预算编制数额执行。</w:t>
      </w:r>
    </w:p>
    <w:p>
      <w:pPr>
        <w:spacing w:line="600" w:lineRule="exact"/>
        <w:ind w:firstLine="642" w:firstLineChars="200"/>
        <w:rPr>
          <w:rStyle w:val="23"/>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5</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行政事业单位医疗</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事业单位医疗</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71.73</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85.66%</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val="en-US" w:eastAsia="zh-CN"/>
        </w:rPr>
        <w:t>小于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当年人员减少。</w:t>
      </w:r>
    </w:p>
    <w:p>
      <w:pPr>
        <w:spacing w:line="600" w:lineRule="exact"/>
        <w:ind w:firstLine="642" w:firstLineChars="200"/>
        <w:rPr>
          <w:rStyle w:val="23"/>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行政事业单位医疗</w:t>
      </w:r>
      <w:r>
        <w:rPr>
          <w:rStyle w:val="23"/>
          <w:rFonts w:hint="eastAsia" w:ascii="仿宋" w:hAnsi="仿宋" w:eastAsia="仿宋"/>
          <w:bCs/>
          <w:color w:val="000000"/>
          <w:sz w:val="32"/>
          <w:szCs w:val="32"/>
        </w:rPr>
        <w:t>（款）其他行政事业单位医疗支出（项）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27.90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val="en-US" w:eastAsia="zh-CN"/>
        </w:rPr>
        <w:t>等于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严格按照当年预算编制数额执行。</w:t>
      </w:r>
    </w:p>
    <w:p>
      <w:pPr>
        <w:spacing w:line="600" w:lineRule="exact"/>
        <w:ind w:firstLine="640" w:firstLineChars="200"/>
        <w:rPr>
          <w:rStyle w:val="23"/>
          <w:rFonts w:hint="eastAsia" w:ascii="仿宋" w:hAnsi="仿宋" w:eastAsia="仿宋"/>
          <w:b w:val="0"/>
          <w:bCs/>
          <w:color w:val="000000"/>
          <w:sz w:val="32"/>
          <w:szCs w:val="32"/>
          <w:lang w:val="en-US" w:eastAsia="zh-CN"/>
        </w:rPr>
      </w:pPr>
    </w:p>
    <w:p>
      <w:pPr>
        <w:spacing w:line="600" w:lineRule="exact"/>
        <w:ind w:firstLine="642" w:firstLineChars="200"/>
        <w:rPr>
          <w:rStyle w:val="23"/>
          <w:rFonts w:hint="eastAsia" w:ascii="仿宋" w:hAnsi="仿宋" w:eastAsia="仿宋"/>
          <w:b w:val="0"/>
          <w:bCs/>
          <w:color w:val="000000"/>
          <w:sz w:val="32"/>
          <w:szCs w:val="32"/>
          <w:lang w:eastAsia="zh-CN"/>
        </w:rPr>
      </w:pP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其他卫生健康支出</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其他卫生健康支出</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42.93</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val="en-US" w:eastAsia="zh-CN"/>
        </w:rPr>
        <w:t>等于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严格按照当年预算编制数额执行。</w:t>
      </w:r>
    </w:p>
    <w:p>
      <w:pPr>
        <w:numPr>
          <w:ilvl w:val="0"/>
          <w:numId w:val="2"/>
        </w:numPr>
        <w:spacing w:line="600" w:lineRule="exact"/>
        <w:ind w:left="-13" w:leftChars="0" w:firstLine="643" w:firstLineChars="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住房保障支出</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住房改革支出</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住房公积金</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149.73</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103.88%</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val="en-US" w:eastAsia="zh-CN"/>
        </w:rPr>
        <w:t>大于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严格按照当年住房公积金缴费基数上涨。</w:t>
      </w:r>
    </w:p>
    <w:p>
      <w:pPr>
        <w:tabs>
          <w:tab w:val="right" w:pos="8306"/>
        </w:tabs>
        <w:spacing w:line="600" w:lineRule="exact"/>
        <w:ind w:firstLine="640"/>
        <w:outlineLvl w:val="1"/>
        <w:rPr>
          <w:rStyle w:val="26"/>
          <w:color w:val="auto"/>
        </w:rPr>
      </w:pPr>
      <w:bookmarkStart w:id="68" w:name="_Toc15377214"/>
      <w:bookmarkStart w:id="69" w:name="_Toc79163618"/>
      <w:bookmarkStart w:id="70" w:name="_Toc15396608"/>
      <w:bookmarkStart w:id="71" w:name="_Toc9272"/>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6"/>
          <w:rFonts w:hint="eastAsia" w:ascii="黑体" w:hAnsi="黑体" w:eastAsia="黑体"/>
          <w:b w:val="0"/>
          <w:color w:val="auto"/>
        </w:rPr>
        <w:t>般公共预算财政拨款基本支出决算情况说明</w:t>
      </w:r>
      <w:bookmarkEnd w:id="68"/>
      <w:bookmarkEnd w:id="69"/>
      <w:bookmarkEnd w:id="70"/>
      <w:bookmarkEnd w:id="71"/>
      <w:r>
        <w:rPr>
          <w:rStyle w:val="26"/>
          <w:rFonts w:ascii="黑体" w:hAnsi="黑体" w:eastAsia="黑体"/>
          <w:b w:val="0"/>
          <w:color w:val="auto"/>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w:t>
      </w:r>
      <w:r>
        <w:rPr>
          <w:rFonts w:hint="eastAsia" w:ascii="仿宋" w:hAnsi="仿宋" w:eastAsia="仿宋"/>
          <w:color w:val="000000"/>
          <w:sz w:val="32"/>
          <w:szCs w:val="32"/>
          <w:lang w:val="en-US" w:eastAsia="zh-CN"/>
        </w:rPr>
        <w:t>1911.27</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1910.53</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346.92万元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274.10万元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633.57万元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150.68万元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75.34万元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lang w:val="en-US" w:eastAsia="zh-CN"/>
        </w:rPr>
        <w:t>71.73万元、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53.53万元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、离休费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、退休费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、抚恤金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w:t>
      </w:r>
      <w:r>
        <w:rPr>
          <w:rFonts w:hint="eastAsia" w:ascii="仿宋" w:hAnsi="仿宋" w:eastAsia="仿宋"/>
          <w:color w:val="auto"/>
          <w:sz w:val="32"/>
          <w:szCs w:val="32"/>
        </w:rPr>
        <w:t>生活补助</w:t>
      </w:r>
      <w:r>
        <w:rPr>
          <w:rFonts w:hint="eastAsia" w:ascii="仿宋" w:hAnsi="仿宋" w:eastAsia="仿宋"/>
          <w:color w:val="auto"/>
          <w:sz w:val="32"/>
          <w:szCs w:val="32"/>
          <w:lang w:val="en-US" w:eastAsia="zh-CN"/>
        </w:rPr>
        <w:t>137.15万元</w:t>
      </w:r>
      <w:r>
        <w:rPr>
          <w:rFonts w:hint="eastAsia" w:ascii="仿宋" w:hAnsi="仿宋" w:eastAsia="仿宋"/>
          <w:color w:val="auto"/>
          <w:sz w:val="32"/>
          <w:szCs w:val="32"/>
        </w:rPr>
        <w:t>、医疗费补助</w:t>
      </w:r>
      <w:r>
        <w:rPr>
          <w:rFonts w:hint="eastAsia" w:ascii="仿宋" w:hAnsi="仿宋" w:eastAsia="仿宋"/>
          <w:color w:val="auto"/>
          <w:sz w:val="32"/>
          <w:szCs w:val="32"/>
          <w:lang w:val="en-US" w:eastAsia="zh-CN"/>
        </w:rPr>
        <w:t>17.71万元</w:t>
      </w:r>
      <w:r>
        <w:rPr>
          <w:rFonts w:hint="eastAsia" w:ascii="仿宋" w:hAnsi="仿宋" w:eastAsia="仿宋"/>
          <w:color w:val="auto"/>
          <w:sz w:val="32"/>
          <w:szCs w:val="32"/>
        </w:rPr>
        <w:t>、奖励金</w:t>
      </w:r>
      <w:r>
        <w:rPr>
          <w:rFonts w:hint="eastAsia" w:ascii="仿宋" w:hAnsi="仿宋" w:eastAsia="仿宋"/>
          <w:color w:val="auto"/>
          <w:sz w:val="32"/>
          <w:szCs w:val="32"/>
          <w:lang w:val="en-US" w:eastAsia="zh-CN"/>
        </w:rPr>
        <w:t>0.05万元</w:t>
      </w:r>
      <w:r>
        <w:rPr>
          <w:rFonts w:hint="eastAsia" w:ascii="仿宋" w:hAnsi="仿宋" w:eastAsia="仿宋"/>
          <w:color w:val="auto"/>
          <w:sz w:val="32"/>
          <w:szCs w:val="32"/>
        </w:rPr>
        <w:t>、住房公积金</w:t>
      </w:r>
      <w:r>
        <w:rPr>
          <w:rFonts w:hint="eastAsia" w:ascii="仿宋" w:hAnsi="仿宋" w:eastAsia="仿宋"/>
          <w:color w:val="auto"/>
          <w:sz w:val="32"/>
          <w:szCs w:val="32"/>
          <w:lang w:val="en-US" w:eastAsia="zh-CN"/>
        </w:rPr>
        <w:t>149.73万元</w:t>
      </w:r>
      <w:r>
        <w:rPr>
          <w:rFonts w:hint="eastAsia" w:ascii="仿宋" w:hAnsi="仿宋" w:eastAsia="仿宋"/>
          <w:color w:val="auto"/>
          <w:sz w:val="32"/>
          <w:szCs w:val="32"/>
        </w:rPr>
        <w:t>、其他对个人和家庭的补助支出</w:t>
      </w:r>
      <w:r>
        <w:rPr>
          <w:rFonts w:hint="eastAsia" w:ascii="仿宋" w:hAnsi="仿宋" w:eastAsia="仿宋"/>
          <w:color w:val="auto"/>
          <w:sz w:val="32"/>
          <w:szCs w:val="32"/>
          <w:lang w:val="en-US" w:eastAsia="zh-CN"/>
        </w:rPr>
        <w:t>0万元</w:t>
      </w:r>
      <w:r>
        <w:rPr>
          <w:rFonts w:hint="eastAsia" w:ascii="仿宋" w:hAnsi="仿宋" w:eastAsia="仿宋"/>
          <w:color w:val="auto"/>
          <w:sz w:val="32"/>
          <w:szCs w:val="32"/>
        </w:rPr>
        <w:t>。</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0.75</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0.75万元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、咨询费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、手续费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、取暖费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、物业管理费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、因公出国（境）费用</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、租赁费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、会议费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、委托业务费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、其他交通费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、税金及附加费用</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、办公设备购置</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、专用设备购置</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、信息网络及软件购置更新</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、其他资本性支出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w:t>
      </w:r>
    </w:p>
    <w:p>
      <w:pPr>
        <w:spacing w:line="600" w:lineRule="exact"/>
        <w:ind w:firstLine="640"/>
        <w:outlineLvl w:val="1"/>
        <w:rPr>
          <w:rStyle w:val="26"/>
          <w:rFonts w:ascii="黑体" w:hAnsi="黑体" w:eastAsia="黑体"/>
          <w:b w:val="0"/>
        </w:rPr>
      </w:pPr>
      <w:bookmarkStart w:id="72" w:name="_Toc15396609"/>
      <w:bookmarkStart w:id="73" w:name="_Toc15377215"/>
      <w:bookmarkStart w:id="74" w:name="_Toc25579"/>
      <w:bookmarkStart w:id="75" w:name="_Toc7916361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7091"/>
      <w:bookmarkStart w:id="77" w:name="_Toc688"/>
      <w:bookmarkStart w:id="78" w:name="_Toc79163620"/>
      <w:bookmarkStart w:id="79" w:name="_Toc15377216"/>
      <w:bookmarkStart w:id="80" w:name="_Toc15396610"/>
      <w:bookmarkStart w:id="81" w:name="_Toc15377218"/>
      <w:bookmarkStart w:id="82" w:name="_Toc79163622"/>
      <w:r>
        <w:rPr>
          <w:rFonts w:hint="eastAsia" w:ascii="仿宋" w:hAnsi="仿宋" w:eastAsia="仿宋"/>
          <w:b/>
          <w:color w:val="000000"/>
          <w:sz w:val="32"/>
          <w:szCs w:val="32"/>
        </w:rPr>
        <w:t>（一）“三公”经费财政拨款支出决算总体情况说明</w:t>
      </w:r>
      <w:bookmarkEnd w:id="76"/>
      <w:bookmarkEnd w:id="77"/>
      <w:bookmarkEnd w:id="78"/>
      <w:bookmarkEnd w:id="7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 w:hAnsi="仿宋" w:eastAsia="仿宋"/>
          <w:color w:val="000000"/>
          <w:sz w:val="32"/>
          <w:szCs w:val="32"/>
          <w:lang w:val="en-US" w:eastAsia="zh-CN"/>
        </w:rPr>
        <w:t>我院为财政补助型事业单位，无“三公”经费预算</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83" w:name="_Toc16095"/>
      <w:bookmarkStart w:id="84" w:name="_Toc79163621"/>
      <w:bookmarkStart w:id="85" w:name="_Toc29302"/>
      <w:bookmarkStart w:id="86" w:name="_Toc15377217"/>
      <w:r>
        <w:rPr>
          <w:rFonts w:hint="eastAsia" w:ascii="仿宋" w:hAnsi="仿宋" w:eastAsia="仿宋"/>
          <w:b/>
          <w:color w:val="000000"/>
          <w:sz w:val="32"/>
          <w:szCs w:val="32"/>
        </w:rPr>
        <w:t>（二）“三公”经费财政拨款支出决算具体情况说明</w:t>
      </w:r>
      <w:bookmarkEnd w:id="83"/>
      <w:bookmarkEnd w:id="84"/>
      <w:bookmarkEnd w:id="85"/>
      <w:bookmarkEnd w:id="8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23"/>
          <w:rFonts w:hint="eastAsia" w:ascii="仿宋" w:hAnsi="仿宋" w:eastAsia="仿宋"/>
          <w:b w:val="0"/>
          <w:bCs/>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Style w:val="23"/>
          <w:rFonts w:hint="eastAsia" w:ascii="仿宋" w:hAnsi="仿宋" w:eastAsia="仿宋"/>
          <w:b w:val="0"/>
          <w:bCs/>
          <w:color w:val="000000"/>
          <w:sz w:val="32"/>
          <w:szCs w:val="32"/>
          <w:lang w:val="en-US" w:eastAsia="zh-CN"/>
        </w:rPr>
        <w:t>其中</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23"/>
          <w:rFonts w:hint="eastAsia" w:ascii="仿宋" w:hAnsi="仿宋" w:eastAsia="仿宋"/>
          <w:b w:val="0"/>
          <w:bCs/>
          <w:color w:val="000000"/>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0"/>
        <w:outlineLvl w:val="1"/>
        <w:rPr>
          <w:rStyle w:val="26"/>
          <w:rFonts w:ascii="黑体" w:hAnsi="黑体" w:eastAsia="黑体"/>
        </w:rPr>
      </w:pPr>
      <w:bookmarkStart w:id="87" w:name="_Toc1992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80"/>
      <w:bookmarkEnd w:id="81"/>
      <w:bookmarkEnd w:id="82"/>
      <w:bookmarkEnd w:id="8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5.91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 w:hAnsi="仿宋" w:eastAsia="仿宋"/>
          <w:b/>
          <w:bCs/>
          <w:color w:val="000000"/>
          <w:sz w:val="32"/>
          <w:szCs w:val="32"/>
        </w:rPr>
        <w:t>抗疫特别国债安排</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基础设施建设</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公共卫生体系建设</w:t>
      </w:r>
      <w:r>
        <w:rPr>
          <w:rStyle w:val="23"/>
          <w:rFonts w:hint="eastAsia" w:ascii="仿宋" w:hAnsi="仿宋" w:eastAsia="仿宋"/>
          <w:bCs/>
          <w:color w:val="000000"/>
          <w:sz w:val="32"/>
          <w:szCs w:val="32"/>
        </w:rPr>
        <w:t>（项）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5.91</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val="en-US" w:eastAsia="zh-CN"/>
        </w:rPr>
        <w:t>等于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严格按照当年预算编制数额执行。</w:t>
      </w:r>
    </w:p>
    <w:p>
      <w:pPr>
        <w:numPr>
          <w:ilvl w:val="0"/>
          <w:numId w:val="3"/>
        </w:numPr>
        <w:spacing w:line="600" w:lineRule="exact"/>
        <w:ind w:firstLine="640"/>
        <w:outlineLvl w:val="1"/>
        <w:rPr>
          <w:rStyle w:val="26"/>
          <w:rFonts w:ascii="黑体" w:hAnsi="黑体" w:eastAsia="黑体"/>
          <w:b w:val="0"/>
        </w:rPr>
      </w:pPr>
      <w:bookmarkStart w:id="88" w:name="_Toc15377219"/>
      <w:bookmarkStart w:id="89" w:name="_Toc79163623"/>
      <w:bookmarkStart w:id="90" w:name="_Toc15396611"/>
      <w:bookmarkStart w:id="91" w:name="_Toc20209"/>
      <w:r>
        <w:rPr>
          <w:rStyle w:val="26"/>
          <w:rFonts w:hint="eastAsia" w:ascii="黑体" w:hAnsi="黑体" w:eastAsia="黑体"/>
          <w:b w:val="0"/>
        </w:rPr>
        <w:t>国有资本经营预算支出决算情况说明</w:t>
      </w:r>
      <w:bookmarkEnd w:id="88"/>
      <w:bookmarkEnd w:id="89"/>
      <w:bookmarkEnd w:id="90"/>
      <w:bookmarkEnd w:id="9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92" w:name="_Toc6257"/>
      <w:bookmarkStart w:id="93" w:name="_Toc79163624"/>
      <w:bookmarkStart w:id="94" w:name="_Toc15377221"/>
      <w:bookmarkStart w:id="95"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2"/>
      <w:bookmarkEnd w:id="93"/>
      <w:bookmarkEnd w:id="94"/>
      <w:bookmarkEnd w:id="95"/>
    </w:p>
    <w:p>
      <w:pPr>
        <w:spacing w:line="600" w:lineRule="exact"/>
        <w:ind w:firstLine="642" w:firstLineChars="200"/>
        <w:outlineLvl w:val="2"/>
        <w:rPr>
          <w:rFonts w:ascii="仿宋" w:hAnsi="仿宋" w:eastAsia="仿宋"/>
          <w:color w:val="000000"/>
          <w:sz w:val="32"/>
          <w:szCs w:val="32"/>
        </w:rPr>
      </w:pPr>
      <w:bookmarkStart w:id="96" w:name="_Toc503"/>
      <w:bookmarkStart w:id="97" w:name="_Toc79163625"/>
      <w:bookmarkStart w:id="98" w:name="_Toc15377222"/>
      <w:r>
        <w:rPr>
          <w:rFonts w:hint="eastAsia" w:ascii="仿宋" w:hAnsi="仿宋" w:eastAsia="仿宋"/>
          <w:b/>
          <w:color w:val="000000"/>
          <w:sz w:val="32"/>
          <w:szCs w:val="32"/>
        </w:rPr>
        <w:t>（一）机关运行经费支出情况</w:t>
      </w:r>
      <w:bookmarkEnd w:id="96"/>
      <w:bookmarkEnd w:id="97"/>
      <w:bookmarkEnd w:id="98"/>
    </w:p>
    <w:p>
      <w:pPr>
        <w:spacing w:line="600" w:lineRule="exact"/>
        <w:ind w:firstLine="640" w:firstLineChars="200"/>
        <w:rPr>
          <w:rFonts w:hint="eastAsia" w:ascii="仿宋_GB2312" w:eastAsia="仿宋"/>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壤塘县人民医院</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年决算数持平</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我院无</w:t>
      </w:r>
      <w:r>
        <w:rPr>
          <w:rFonts w:hint="eastAsia" w:ascii="仿宋" w:hAnsi="仿宋" w:eastAsia="仿宋"/>
          <w:b w:val="0"/>
          <w:bCs/>
          <w:color w:val="000000"/>
          <w:sz w:val="32"/>
          <w:szCs w:val="32"/>
        </w:rPr>
        <w:t>机关运行经费支出</w:t>
      </w:r>
      <w:r>
        <w:rPr>
          <w:rFonts w:hint="eastAsia" w:ascii="仿宋" w:hAnsi="仿宋" w:eastAsia="仿宋"/>
          <w:b w:val="0"/>
          <w:bCs/>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9" w:name="_Toc79163626"/>
      <w:bookmarkStart w:id="100" w:name="_Toc15377223"/>
      <w:bookmarkStart w:id="101" w:name="_Toc11588"/>
      <w:r>
        <w:rPr>
          <w:rFonts w:hint="eastAsia" w:ascii="仿宋" w:hAnsi="仿宋" w:eastAsia="仿宋"/>
          <w:b/>
          <w:color w:val="000000"/>
          <w:sz w:val="32"/>
          <w:szCs w:val="32"/>
        </w:rPr>
        <w:t>（二）政府采购支出情况</w:t>
      </w:r>
      <w:bookmarkEnd w:id="99"/>
      <w:bookmarkEnd w:id="100"/>
      <w:bookmarkEnd w:id="101"/>
    </w:p>
    <w:p>
      <w:pPr>
        <w:spacing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壤塘县人民医院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360.63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176.23</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184.40</w:t>
      </w:r>
      <w:r>
        <w:rPr>
          <w:rFonts w:hint="eastAsia" w:ascii="仿宋_GB2312" w:eastAsia="仿宋_GB2312"/>
          <w:color w:val="000000"/>
          <w:sz w:val="32"/>
          <w:szCs w:val="32"/>
        </w:rPr>
        <w:t>万元。主要</w:t>
      </w:r>
      <w:r>
        <w:rPr>
          <w:rFonts w:hint="eastAsia" w:ascii="仿宋_GB2312" w:eastAsia="仿宋_GB2312"/>
          <w:color w:val="auto"/>
          <w:sz w:val="32"/>
          <w:szCs w:val="32"/>
        </w:rPr>
        <w:t>用于</w:t>
      </w:r>
      <w:r>
        <w:rPr>
          <w:rFonts w:hint="eastAsia" w:ascii="仿宋_GB2312" w:eastAsia="仿宋_GB2312"/>
          <w:color w:val="auto"/>
          <w:sz w:val="32"/>
          <w:szCs w:val="32"/>
          <w:lang w:eastAsia="zh-CN"/>
        </w:rPr>
        <w:t>壤塘县人民医院安保与消防服务能力项目</w:t>
      </w:r>
      <w:r>
        <w:rPr>
          <w:rFonts w:hint="eastAsia" w:ascii="仿宋_GB2312" w:eastAsia="仿宋_GB2312"/>
          <w:color w:val="auto"/>
          <w:sz w:val="32"/>
          <w:szCs w:val="32"/>
          <w:lang w:val="en-US" w:eastAsia="zh-CN"/>
        </w:rPr>
        <w:t>146.00万元、壤塘县人民医院防疫物资采购项目34.62万元、四川省阿坝藏族羌族自治州壤塘县人民医院有创呼吸机设备采购项目126.00万元、壤塘县人民医院办公用品采购项目15.61万元、壤塘县人民医院CT维保三年采购项目38.40万元</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360.63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360.63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bookmarkStart w:id="102" w:name="_Toc15377224"/>
      <w:bookmarkStart w:id="103" w:name="_Toc79163627"/>
    </w:p>
    <w:p>
      <w:pPr>
        <w:spacing w:line="600" w:lineRule="exact"/>
        <w:ind w:firstLine="642" w:firstLineChars="200"/>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102"/>
      <w:bookmarkEnd w:id="10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壤塘县人民医院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auto"/>
          <w:sz w:val="32"/>
          <w:szCs w:val="32"/>
        </w:rPr>
        <w:t>其他用车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w:t>
      </w:r>
      <w:r>
        <w:rPr>
          <w:rFonts w:hint="eastAsia" w:ascii="仿宋_GB2312" w:eastAsia="仿宋_GB2312"/>
          <w:color w:val="auto"/>
          <w:sz w:val="32"/>
          <w:szCs w:val="32"/>
          <w:lang w:eastAsia="zh-CN"/>
        </w:rPr>
        <w:t>（救护车），</w:t>
      </w:r>
      <w:r>
        <w:rPr>
          <w:rFonts w:hint="eastAsia" w:ascii="仿宋_GB2312" w:eastAsia="仿宋_GB2312"/>
          <w:color w:val="auto"/>
          <w:sz w:val="32"/>
          <w:szCs w:val="32"/>
        </w:rPr>
        <w:t>其他用车主要是用于</w:t>
      </w:r>
      <w:r>
        <w:rPr>
          <w:rFonts w:hint="eastAsia" w:ascii="仿宋_GB2312" w:eastAsia="仿宋_GB2312"/>
          <w:color w:val="auto"/>
          <w:sz w:val="32"/>
          <w:szCs w:val="32"/>
          <w:lang w:eastAsia="zh-CN"/>
        </w:rPr>
        <w:t>救护急救病人，</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r>
        <w:rPr>
          <w:rFonts w:hint="eastAsia" w:ascii="仿宋_GB2312" w:eastAsia="仿宋_GB2312"/>
          <w:color w:val="000000"/>
          <w:sz w:val="32"/>
          <w:szCs w:val="32"/>
        </w:rPr>
        <w:t>，单价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rPr>
      </w:pPr>
      <w:bookmarkStart w:id="104" w:name="_Toc79163628"/>
      <w:bookmarkStart w:id="105" w:name="_Toc1521"/>
      <w:r>
        <w:rPr>
          <w:rFonts w:hint="eastAsia" w:ascii="仿宋" w:hAnsi="仿宋" w:eastAsia="仿宋"/>
          <w:b/>
          <w:color w:val="auto"/>
          <w:sz w:val="32"/>
          <w:szCs w:val="32"/>
        </w:rPr>
        <w:t>（四）预算绩效管理情况。</w:t>
      </w:r>
      <w:bookmarkEnd w:id="104"/>
      <w:bookmarkEnd w:id="105"/>
    </w:p>
    <w:p>
      <w:pPr>
        <w:autoSpaceDE w:val="0"/>
        <w:autoSpaceDN w:val="0"/>
        <w:adjustRightInd w:val="0"/>
        <w:spacing w:line="60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根据预算绩效管理要求，</w:t>
      </w:r>
      <w:r>
        <w:rPr>
          <w:rFonts w:hint="eastAsia" w:ascii="仿宋_GB2312" w:eastAsia="仿宋_GB2312"/>
          <w:color w:val="auto"/>
          <w:sz w:val="32"/>
          <w:szCs w:val="32"/>
          <w:lang w:eastAsia="zh-CN"/>
        </w:rPr>
        <w:t>我院</w:t>
      </w:r>
      <w:r>
        <w:rPr>
          <w:rFonts w:hint="eastAsia" w:ascii="仿宋_GB2312" w:eastAsia="仿宋_GB2312"/>
          <w:color w:val="auto"/>
          <w:sz w:val="32"/>
          <w:szCs w:val="32"/>
        </w:rPr>
        <w:t>在年初预算编制阶段，组织对</w:t>
      </w:r>
      <w:r>
        <w:rPr>
          <w:rFonts w:hint="eastAsia" w:ascii="仿宋_GB2312" w:eastAsia="仿宋_GB2312"/>
          <w:color w:val="auto"/>
          <w:sz w:val="32"/>
          <w:szCs w:val="32"/>
          <w:lang w:eastAsia="zh-CN"/>
        </w:rPr>
        <w:t>公立医院取消药品加成项目（财政兜底）</w:t>
      </w:r>
      <w:r>
        <w:rPr>
          <w:rFonts w:hint="eastAsia" w:ascii="仿宋_GB2312" w:eastAsia="仿宋_GB2312"/>
          <w:color w:val="auto"/>
          <w:sz w:val="32"/>
          <w:szCs w:val="32"/>
        </w:rPr>
        <w:t>开展了预算事前绩效评估，预算执行过程中，选取</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个项目开展绩效监控，年终执行完毕后，对</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个项目开展了绩效目标完成情况梳理填报。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我院</w:t>
      </w:r>
      <w:r>
        <w:rPr>
          <w:rFonts w:hint="default" w:ascii="仿宋_GB2312" w:hAnsi="仿宋_GB2312" w:eastAsia="仿宋_GB2312" w:cs="仿宋_GB2312"/>
          <w:sz w:val="32"/>
          <w:szCs w:val="32"/>
          <w:lang w:val="en-US" w:eastAsia="zh-CN"/>
        </w:rPr>
        <w:t>根据年初工作规划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通过加强预算收支管理，不断建立健全内部管理制度，梳理内部管理流程，部门整体支出管理情况有序平稳提升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较好的完成了年度工作目标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无不良现象存在</w:t>
      </w:r>
      <w:r>
        <w:rPr>
          <w:rFonts w:hint="eastAsia" w:ascii="仿宋_GB2312" w:hAnsi="仿宋_GB2312" w:eastAsia="仿宋_GB2312" w:cs="仿宋_GB2312"/>
          <w:sz w:val="32"/>
          <w:szCs w:val="32"/>
        </w:rPr>
        <w:t>。本部门组织了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项目得到了有效实施和落实，对经济、社会</w:t>
      </w:r>
      <w:r>
        <w:rPr>
          <w:rFonts w:hint="eastAsia" w:ascii="仿宋_GB2312" w:hAnsi="仿宋_GB2312" w:eastAsia="仿宋_GB2312" w:cs="仿宋_GB2312"/>
          <w:sz w:val="32"/>
          <w:szCs w:val="32"/>
          <w:lang w:val="en-US" w:eastAsia="zh-CN"/>
        </w:rPr>
        <w:t>的平稳发展</w:t>
      </w:r>
      <w:r>
        <w:rPr>
          <w:rFonts w:hint="eastAsia" w:ascii="仿宋_GB2312" w:hAnsi="仿宋_GB2312" w:eastAsia="仿宋_GB2312" w:cs="仿宋_GB2312"/>
          <w:sz w:val="32"/>
          <w:szCs w:val="32"/>
          <w:lang w:eastAsia="zh-CN"/>
        </w:rPr>
        <w:t>起到了积极作用。</w:t>
      </w:r>
    </w:p>
    <w:p>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本部门在</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年度部门决算中反映2021年度医疗服务能力提升补助资金（县级公立医院综合改革能力提升补助资金）1个项目绩效目标实际完成情况如下：2021年度医疗服务能力提升补助资金（县级公立医院综合改革能力提升补助资金）绩效目标完成情况综述：项目全年预算数40.49万元，执行数为40.49万元，完成预算的100%。通过项目实施，完成了医</w:t>
      </w:r>
      <w:r>
        <w:rPr>
          <w:rFonts w:hint="eastAsia" w:ascii="仿宋_GB2312" w:hAnsi="仿宋_GB2312" w:eastAsia="仿宋_GB2312" w:cs="仿宋_GB2312"/>
          <w:sz w:val="32"/>
          <w:szCs w:val="32"/>
        </w:rPr>
        <w:t>院移动支付系统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国家医保平台接口改造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发热门诊CT升级改造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儿科屋面、药品库房屋面漏水铺设彩钢瓦</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后勤零星维修及培训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通过项目的实施保障了医疗服务能力，提升了医务人员技能和为患者服务的能力、基础设施进一步改善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项目实施过程中</w:t>
      </w:r>
      <w:r>
        <w:rPr>
          <w:rFonts w:hint="eastAsia" w:ascii="仿宋_GB2312" w:hAnsi="仿宋_GB2312" w:eastAsia="仿宋_GB2312" w:cs="仿宋_GB2312"/>
          <w:sz w:val="32"/>
          <w:szCs w:val="32"/>
        </w:rPr>
        <w:t>发现的主要问题：在执行过程中，存在进度缓慢等不足之处。下一步改进措施：今后我们将积极做好准备工作，防止因工作拖沓等失误影响总体绩效目标进度。</w:t>
      </w: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w:t>
            </w:r>
            <w:r>
              <w:rPr>
                <w:rFonts w:hint="eastAsia" w:ascii="宋体" w:hAnsi="宋体" w:cs="宋体"/>
                <w:color w:val="000000"/>
                <w:kern w:val="0"/>
                <w:sz w:val="36"/>
                <w:szCs w:val="36"/>
                <w:lang w:val="en-US" w:eastAsia="zh-CN" w:bidi="ar"/>
              </w:rPr>
              <w:t>1</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color w:val="000000"/>
                <w:kern w:val="0"/>
                <w:sz w:val="24"/>
                <w:lang w:val="en-US" w:eastAsia="zh-CN"/>
              </w:rPr>
              <w:t>2021年度医疗服务能力提升补助资金（县级公立医院综合改革能力提升补助资金）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壤塘县人民医院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40.49万元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40.49万元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40.49万元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40.49万元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highlight w:val="none"/>
                <w:lang w:bidi="ar"/>
              </w:rPr>
              <w:t>其</w:t>
            </w:r>
            <w:r>
              <w:rPr>
                <w:rFonts w:hint="eastAsia" w:ascii="宋体" w:hAnsi="宋体" w:cs="宋体"/>
                <w:color w:val="000000"/>
                <w:kern w:val="0"/>
                <w:sz w:val="24"/>
                <w:highlight w:val="none"/>
                <w:lang w:val="en-US" w:eastAsia="zh-CN" w:bidi="ar"/>
              </w:rPr>
              <w:t>他</w:t>
            </w:r>
            <w:r>
              <w:rPr>
                <w:rFonts w:hint="eastAsia" w:ascii="宋体" w:hAnsi="宋体" w:cs="宋体"/>
                <w:color w:val="000000"/>
                <w:kern w:val="0"/>
                <w:sz w:val="24"/>
                <w:highlight w:val="none"/>
                <w:lang w:bidi="ar"/>
              </w:rPr>
              <w:t>资金</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highlight w:val="none"/>
                <w:lang w:bidi="ar"/>
              </w:rPr>
              <w:t>其</w:t>
            </w:r>
            <w:r>
              <w:rPr>
                <w:rFonts w:hint="eastAsia" w:ascii="宋体" w:hAnsi="宋体" w:cs="宋体"/>
                <w:color w:val="000000"/>
                <w:kern w:val="0"/>
                <w:sz w:val="24"/>
                <w:highlight w:val="none"/>
                <w:lang w:val="en-US" w:eastAsia="zh-CN" w:bidi="ar"/>
              </w:rPr>
              <w:t>他</w:t>
            </w:r>
            <w:r>
              <w:rPr>
                <w:rFonts w:hint="eastAsia" w:ascii="宋体" w:hAnsi="宋体" w:cs="宋体"/>
                <w:color w:val="000000"/>
                <w:kern w:val="0"/>
                <w:sz w:val="24"/>
                <w:highlight w:val="none"/>
                <w:lang w:bidi="ar"/>
              </w:rPr>
              <w:t>资金</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该资金主要用于通过医院基础设施建设。医疗服务能力与保障能力得到了进一步提升。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该资金主要用于医院基础设施建设。</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医院移动支付系统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1套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1套</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国家医保平台接口改造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套</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发热门诊CT升级改造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1个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儿科屋面、药品库房屋面漏水铺设彩钢瓦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130平方米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130平方米</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服务质量合格率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设备验收合格率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2021年12月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2021年12月</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w:t>
            </w: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资金使用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40.49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40.49</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bidi="ar"/>
              </w:rPr>
              <w:t>效益</w:t>
            </w:r>
            <w:r>
              <w:rPr>
                <w:rFonts w:hint="eastAsia" w:ascii="宋体" w:hAnsi="宋体" w:cs="宋体"/>
                <w:color w:val="000000"/>
                <w:kern w:val="0"/>
                <w:sz w:val="24"/>
                <w:lang w:bidi="ar"/>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社会效益</w:t>
            </w:r>
          </w:p>
          <w:p>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医疗服务能力与保障能力得到了进一步提升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良好</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效益</w:t>
            </w:r>
            <w:r>
              <w:rPr>
                <w:rFonts w:hint="eastAsia" w:ascii="宋体" w:hAnsi="宋体" w:cs="宋体"/>
                <w:color w:val="000000"/>
                <w:kern w:val="0"/>
                <w:sz w:val="24"/>
                <w:lang w:bidi="ar"/>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项目对于医院发展可持续效果良好程度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良好</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效益</w:t>
            </w:r>
            <w:r>
              <w:rPr>
                <w:rFonts w:hint="eastAsia" w:ascii="宋体" w:hAnsi="宋体" w:cs="宋体"/>
                <w:color w:val="000000"/>
                <w:kern w:val="0"/>
                <w:sz w:val="24"/>
                <w:lang w:bidi="ar"/>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提升医院整体实力，更好的为患者提供医疗服务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优良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优良</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服务对象</w:t>
            </w:r>
          </w:p>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项目预期服务对象对项目的满意度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r>
    </w:tbl>
    <w:p>
      <w:pPr>
        <w:spacing w:line="580" w:lineRule="exact"/>
        <w:ind w:left="630"/>
        <w:rPr>
          <w:rFonts w:ascii="仿宋_GB2312" w:hAnsi="仿宋_GB2312" w:eastAsia="仿宋_GB2312" w:cs="仿宋_GB2312"/>
          <w:color w:val="0000FF"/>
          <w:sz w:val="32"/>
          <w:szCs w:val="32"/>
        </w:rPr>
      </w:pPr>
    </w:p>
    <w:p>
      <w:pPr>
        <w:spacing w:line="580" w:lineRule="exact"/>
        <w:ind w:left="630"/>
        <w:rPr>
          <w:rFonts w:ascii="仿宋_GB2312" w:hAnsi="仿宋_GB2312" w:eastAsia="仿宋_GB2312" w:cs="仿宋_GB2312"/>
          <w:color w:val="0000FF"/>
          <w:sz w:val="32"/>
          <w:szCs w:val="32"/>
        </w:rPr>
      </w:pPr>
    </w:p>
    <w:p>
      <w:pPr>
        <w:spacing w:line="580" w:lineRule="exact"/>
        <w:ind w:left="630"/>
        <w:rPr>
          <w:rFonts w:ascii="仿宋_GB2312" w:hAnsi="仿宋_GB2312" w:eastAsia="仿宋_GB2312" w:cs="仿宋_GB2312"/>
          <w:color w:val="auto"/>
          <w:sz w:val="32"/>
          <w:szCs w:val="32"/>
        </w:rPr>
      </w:pPr>
      <w:r>
        <w:rPr>
          <w:rFonts w:ascii="楷体_GB2312" w:hAnsi="楷体_GB2312" w:eastAsia="楷体_GB2312" w:cs="楷体_GB2312"/>
          <w:color w:val="auto"/>
          <w:sz w:val="32"/>
          <w:szCs w:val="32"/>
        </w:rPr>
        <w:t>2.</w:t>
      </w:r>
      <w:r>
        <w:rPr>
          <w:rFonts w:hint="eastAsia" w:ascii="楷体_GB2312" w:hAnsi="楷体_GB2312" w:eastAsia="楷体_GB2312" w:cs="楷体_GB2312"/>
          <w:color w:val="auto"/>
          <w:sz w:val="32"/>
          <w:szCs w:val="32"/>
        </w:rPr>
        <w:t>部门绩效评价结果。</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1年部门整体支出绩效评价情况开展自评，《</w:t>
      </w:r>
      <w:r>
        <w:rPr>
          <w:rFonts w:hint="eastAsia" w:ascii="仿宋_GB2312" w:hAnsi="仿宋_GB2312" w:eastAsia="仿宋_GB2312" w:cs="仿宋_GB2312"/>
          <w:color w:val="auto"/>
          <w:sz w:val="32"/>
          <w:szCs w:val="32"/>
          <w:lang w:val="en-US" w:eastAsia="zh-CN"/>
        </w:rPr>
        <w:t>壤塘县人民医院</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1年部门整体支出绩效评价报告》见附件（附件</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color w:val="auto"/>
          <w:sz w:val="32"/>
          <w:szCs w:val="32"/>
        </w:rPr>
        <w:t>本部门自行组织对</w:t>
      </w:r>
      <w:r>
        <w:rPr>
          <w:rFonts w:hint="eastAsia" w:ascii="仿宋_GB2312" w:hAnsi="仿宋_GB2312" w:eastAsia="仿宋_GB2312" w:cs="仿宋_GB2312"/>
          <w:sz w:val="32"/>
          <w:szCs w:val="32"/>
          <w:lang w:val="en-US" w:eastAsia="zh-CN"/>
        </w:rPr>
        <w:t>2021年度医疗服务能力提升补助资金（县级公立医院综合改革能力提升补助资金）</w:t>
      </w:r>
      <w:r>
        <w:rPr>
          <w:rFonts w:hint="eastAsia" w:ascii="仿宋_GB2312" w:hAnsi="仿宋_GB2312" w:eastAsia="仿宋_GB2312" w:cs="仿宋_GB2312"/>
          <w:color w:val="auto"/>
          <w:sz w:val="32"/>
          <w:szCs w:val="32"/>
        </w:rPr>
        <w:t>项目开展了绩效评价，《</w:t>
      </w:r>
      <w:r>
        <w:rPr>
          <w:rFonts w:hint="eastAsia" w:ascii="仿宋_GB2312" w:hAnsi="仿宋_GB2312" w:eastAsia="仿宋_GB2312" w:cs="仿宋_GB2312"/>
          <w:sz w:val="32"/>
          <w:szCs w:val="32"/>
          <w:lang w:val="en-US" w:eastAsia="zh-CN"/>
        </w:rPr>
        <w:t>2021年度医疗服务能力提升补助资金（县级公立医院综合改革能力提升补助资金）</w:t>
      </w:r>
      <w:r>
        <w:rPr>
          <w:rFonts w:hint="eastAsia" w:ascii="仿宋_GB2312" w:hAnsi="仿宋_GB2312" w:eastAsia="仿宋_GB2312" w:cs="仿宋_GB2312"/>
          <w:color w:val="auto"/>
          <w:sz w:val="32"/>
          <w:szCs w:val="32"/>
        </w:rPr>
        <w:t>绩效评价报告》见附件（附件</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w:t>
      </w:r>
    </w:p>
    <w:p>
      <w:pPr>
        <w:numPr>
          <w:ilvl w:val="0"/>
          <w:numId w:val="4"/>
        </w:numPr>
        <w:spacing w:line="600" w:lineRule="exact"/>
        <w:ind w:firstLine="660" w:firstLineChars="150"/>
        <w:jc w:val="center"/>
        <w:outlineLvl w:val="0"/>
        <w:rPr>
          <w:rStyle w:val="25"/>
          <w:rFonts w:ascii="黑体" w:hAnsi="黑体" w:eastAsia="黑体"/>
          <w:b w:val="0"/>
        </w:rPr>
      </w:pPr>
      <w:bookmarkStart w:id="106" w:name="_Toc79163629"/>
      <w:bookmarkStart w:id="107" w:name="_Toc30112"/>
      <w:bookmarkStart w:id="108" w:name="_Toc15396613"/>
      <w:bookmarkStart w:id="109"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106"/>
      <w:bookmarkEnd w:id="107"/>
      <w:bookmarkEnd w:id="108"/>
      <w:bookmarkEnd w:id="109"/>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事业收入：指事业单位开展专业业务活动及辅助活动取得的收入。如我院的医疗性收入等。</w:t>
      </w:r>
    </w:p>
    <w:p>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其他收入：指单位取得的除上述收入以外的各项收入。主要是捐赠收入、财产物资盘盈收入等。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9.</w:t>
      </w:r>
      <w:r>
        <w:rPr>
          <w:rFonts w:hint="eastAsia" w:ascii="仿宋_GB2312" w:eastAsia="仿宋_GB2312"/>
          <w:color w:val="auto"/>
          <w:sz w:val="32"/>
          <w:szCs w:val="32"/>
        </w:rPr>
        <w:t>教育（类）进修及培训（款）其他进修及培训（项）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2050899</w:t>
      </w:r>
      <w:r>
        <w:rPr>
          <w:rFonts w:hint="eastAsia" w:ascii="仿宋_GB2312" w:eastAsia="仿宋_GB2312"/>
          <w:color w:val="auto"/>
          <w:sz w:val="32"/>
          <w:szCs w:val="32"/>
          <w:lang w:eastAsia="zh-CN"/>
        </w:rPr>
        <w:t>）</w:t>
      </w:r>
      <w:r>
        <w:rPr>
          <w:rFonts w:hint="eastAsia" w:ascii="仿宋_GB2312" w:eastAsia="仿宋_GB2312"/>
          <w:color w:val="auto"/>
          <w:sz w:val="32"/>
          <w:szCs w:val="32"/>
        </w:rPr>
        <w:t>：指</w:t>
      </w:r>
      <w:r>
        <w:rPr>
          <w:rFonts w:hint="eastAsia" w:ascii="仿宋_GB2312" w:eastAsia="仿宋_GB2312"/>
          <w:color w:val="auto"/>
          <w:sz w:val="32"/>
          <w:szCs w:val="32"/>
          <w:lang w:val="en-US" w:eastAsia="zh-CN"/>
        </w:rPr>
        <w:t>其他用于进修及培训方面的支出</w:t>
      </w:r>
      <w:r>
        <w:rPr>
          <w:rFonts w:hint="eastAsia" w:ascii="仿宋_GB2312" w:eastAsia="仿宋_GB2312"/>
          <w:color w:val="auto"/>
          <w:sz w:val="32"/>
          <w:szCs w:val="32"/>
        </w:rPr>
        <w:t>。</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社会保障和就业（类）行政事业单位养老支出（款）机关事业单位基本养老保险缴费支出（项）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lang w:val="en-US" w:eastAsia="zh-CN"/>
        </w:rPr>
        <w:t>2080505</w:t>
      </w:r>
      <w:r>
        <w:rPr>
          <w:rFonts w:hint="eastAsia" w:ascii="仿宋_GB2312" w:eastAsia="仿宋_GB2312"/>
          <w:sz w:val="32"/>
          <w:szCs w:val="32"/>
          <w:lang w:eastAsia="zh-CN"/>
        </w:rPr>
        <w:t>）</w:t>
      </w:r>
      <w:r>
        <w:rPr>
          <w:rFonts w:hint="eastAsia" w:ascii="仿宋_GB2312" w:eastAsia="仿宋_GB2312"/>
          <w:sz w:val="32"/>
          <w:szCs w:val="32"/>
        </w:rPr>
        <w:t>：指</w:t>
      </w:r>
      <w:r>
        <w:rPr>
          <w:rFonts w:hint="eastAsia" w:ascii="仿宋_GB2312" w:hAnsi="Calibri" w:eastAsia="仿宋_GB2312" w:cs="仿宋"/>
          <w:color w:val="000000"/>
          <w:kern w:val="0"/>
          <w:sz w:val="32"/>
          <w:szCs w:val="32"/>
        </w:rPr>
        <w:t>机关事业单位实</w:t>
      </w:r>
      <w:r>
        <w:rPr>
          <w:rFonts w:hint="eastAsia" w:ascii="仿宋_GB2312" w:eastAsia="仿宋_GB2312"/>
          <w:color w:val="000000"/>
          <w:sz w:val="32"/>
          <w:szCs w:val="32"/>
        </w:rPr>
        <w:t>施养老保险制度由单位缴纳的基本养老保险费支出</w:t>
      </w:r>
      <w:r>
        <w:rPr>
          <w:rFonts w:hint="eastAsia" w:ascii="仿宋_GB2312" w:eastAsia="仿宋_GB2312"/>
          <w:sz w:val="32"/>
          <w:szCs w:val="32"/>
        </w:rPr>
        <w:t>。</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社会保障和就业（类）行政事业单位养老支出（款）机关事业单位职业年金缴费支出（项）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lang w:val="en-US" w:eastAsia="zh-CN"/>
        </w:rPr>
        <w:t>2080506</w:t>
      </w:r>
      <w:r>
        <w:rPr>
          <w:rFonts w:hint="eastAsia" w:ascii="仿宋_GB2312" w:eastAsia="仿宋_GB2312"/>
          <w:sz w:val="32"/>
          <w:szCs w:val="32"/>
          <w:lang w:eastAsia="zh-CN"/>
        </w:rPr>
        <w:t>）</w:t>
      </w:r>
      <w:r>
        <w:rPr>
          <w:rFonts w:hint="eastAsia" w:ascii="仿宋_GB2312" w:eastAsia="仿宋_GB2312"/>
          <w:sz w:val="32"/>
          <w:szCs w:val="32"/>
        </w:rPr>
        <w:t>：指</w:t>
      </w:r>
      <w:r>
        <w:rPr>
          <w:rFonts w:hint="eastAsia" w:ascii="仿宋_GB2312" w:eastAsia="仿宋_GB2312"/>
          <w:color w:val="000000"/>
          <w:sz w:val="32"/>
          <w:szCs w:val="32"/>
        </w:rPr>
        <w:t>机关事业单位实施养老保险制度由单位实际缴纳的职业年金支出</w:t>
      </w:r>
      <w:r>
        <w:rPr>
          <w:rFonts w:hint="eastAsia" w:ascii="仿宋_GB2312" w:eastAsia="仿宋_GB2312"/>
          <w:color w:val="000000"/>
          <w:sz w:val="32"/>
          <w:szCs w:val="32"/>
          <w:lang w:eastAsia="zh-CN"/>
        </w:rPr>
        <w:t>。</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卫生健康（类）公立医院（款）综合医院（项）</w:t>
      </w:r>
      <w:r>
        <w:rPr>
          <w:rFonts w:hint="eastAsia" w:ascii="仿宋_GB2312" w:eastAsia="仿宋_GB2312"/>
          <w:sz w:val="32"/>
          <w:szCs w:val="32"/>
          <w:lang w:eastAsia="zh-CN"/>
        </w:rPr>
        <w:t>（</w:t>
      </w:r>
      <w:r>
        <w:rPr>
          <w:rFonts w:hint="eastAsia" w:ascii="仿宋_GB2312" w:eastAsia="仿宋_GB2312"/>
          <w:sz w:val="32"/>
          <w:szCs w:val="32"/>
          <w:lang w:val="en-US" w:eastAsia="zh-CN"/>
        </w:rPr>
        <w:t>2100201</w:t>
      </w:r>
      <w:r>
        <w:rPr>
          <w:rFonts w:hint="eastAsia" w:ascii="仿宋_GB2312" w:eastAsia="仿宋_GB2312"/>
          <w:sz w:val="32"/>
          <w:szCs w:val="32"/>
          <w:lang w:eastAsia="zh-CN"/>
        </w:rPr>
        <w:t>）</w:t>
      </w:r>
      <w:r>
        <w:rPr>
          <w:rFonts w:hint="eastAsia" w:ascii="仿宋_GB2312" w:eastAsia="仿宋_GB2312"/>
          <w:sz w:val="32"/>
          <w:szCs w:val="32"/>
        </w:rPr>
        <w:t>：指</w:t>
      </w:r>
      <w:r>
        <w:rPr>
          <w:rFonts w:hint="eastAsia" w:ascii="仿宋_GB2312" w:eastAsia="仿宋_GB2312"/>
          <w:sz w:val="32"/>
          <w:szCs w:val="32"/>
          <w:lang w:val="en-US" w:eastAsia="zh-CN"/>
        </w:rPr>
        <w:t>县医院的</w:t>
      </w:r>
      <w:r>
        <w:rPr>
          <w:rFonts w:hint="eastAsia" w:ascii="仿宋_GB2312" w:eastAsia="仿宋_GB2312"/>
          <w:sz w:val="32"/>
          <w:szCs w:val="32"/>
        </w:rPr>
        <w:t>综合</w:t>
      </w:r>
      <w:r>
        <w:rPr>
          <w:rFonts w:hint="eastAsia" w:ascii="仿宋_GB2312" w:eastAsia="仿宋_GB2312"/>
          <w:sz w:val="32"/>
          <w:szCs w:val="32"/>
          <w:lang w:val="en-US" w:eastAsia="zh-CN"/>
        </w:rPr>
        <w:t>支出</w:t>
      </w:r>
      <w:r>
        <w:rPr>
          <w:rFonts w:hint="eastAsia" w:ascii="仿宋_GB2312" w:eastAsia="仿宋_GB2312"/>
          <w:sz w:val="32"/>
          <w:szCs w:val="32"/>
        </w:rPr>
        <w:t>。</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卫生健康（类）公立医院（款）其他公立医院支出（项）</w:t>
      </w:r>
      <w:r>
        <w:rPr>
          <w:rFonts w:hint="eastAsia" w:ascii="仿宋_GB2312" w:eastAsia="仿宋_GB2312"/>
          <w:sz w:val="32"/>
          <w:szCs w:val="32"/>
          <w:lang w:eastAsia="zh-CN"/>
        </w:rPr>
        <w:t>（</w:t>
      </w:r>
      <w:r>
        <w:rPr>
          <w:rFonts w:hint="eastAsia" w:ascii="仿宋_GB2312" w:eastAsia="仿宋_GB2312"/>
          <w:sz w:val="32"/>
          <w:szCs w:val="32"/>
          <w:lang w:val="en-US" w:eastAsia="zh-CN"/>
        </w:rPr>
        <w:t>2100299</w:t>
      </w:r>
      <w:r>
        <w:rPr>
          <w:rFonts w:hint="eastAsia" w:ascii="仿宋_GB2312" w:eastAsia="仿宋_GB2312"/>
          <w:sz w:val="32"/>
          <w:szCs w:val="32"/>
          <w:lang w:eastAsia="zh-CN"/>
        </w:rPr>
        <w:t>）</w:t>
      </w:r>
      <w:r>
        <w:rPr>
          <w:rFonts w:hint="eastAsia" w:ascii="仿宋_GB2312" w:eastAsia="仿宋_GB2312"/>
          <w:sz w:val="32"/>
          <w:szCs w:val="32"/>
        </w:rPr>
        <w:t>：指其他</w:t>
      </w:r>
      <w:r>
        <w:rPr>
          <w:rFonts w:hint="eastAsia" w:ascii="仿宋_GB2312" w:eastAsia="仿宋_GB2312"/>
          <w:sz w:val="32"/>
          <w:szCs w:val="32"/>
          <w:lang w:val="en-US" w:eastAsia="zh-CN"/>
        </w:rPr>
        <w:t>用于公立医院方面的</w:t>
      </w:r>
      <w:r>
        <w:rPr>
          <w:rFonts w:hint="eastAsia" w:ascii="仿宋_GB2312" w:eastAsia="仿宋_GB2312"/>
          <w:sz w:val="32"/>
          <w:szCs w:val="32"/>
        </w:rPr>
        <w:t>支出。</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卫生健康（类）公共卫生（款）基本公共卫生服务（项）</w:t>
      </w:r>
      <w:r>
        <w:rPr>
          <w:rFonts w:hint="eastAsia" w:ascii="仿宋_GB2312" w:eastAsia="仿宋_GB2312"/>
          <w:sz w:val="32"/>
          <w:szCs w:val="32"/>
          <w:lang w:eastAsia="zh-CN"/>
        </w:rPr>
        <w:t>（2100408）</w:t>
      </w:r>
      <w:r>
        <w:rPr>
          <w:rFonts w:hint="eastAsia" w:ascii="仿宋_GB2312" w:eastAsia="仿宋_GB2312"/>
          <w:sz w:val="32"/>
          <w:szCs w:val="32"/>
        </w:rPr>
        <w:t>：指基本公共卫生服务</w:t>
      </w:r>
      <w:r>
        <w:rPr>
          <w:rFonts w:hint="eastAsia" w:ascii="仿宋_GB2312" w:eastAsia="仿宋_GB2312"/>
          <w:sz w:val="32"/>
          <w:szCs w:val="32"/>
          <w:lang w:val="en-US" w:eastAsia="zh-CN"/>
        </w:rPr>
        <w:t>支出</w:t>
      </w:r>
      <w:r>
        <w:rPr>
          <w:rFonts w:hint="eastAsia" w:ascii="仿宋_GB2312" w:eastAsia="仿宋_GB2312"/>
          <w:sz w:val="32"/>
          <w:szCs w:val="32"/>
        </w:rPr>
        <w:t>。</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卫生健康（类）公共卫生（款）重大公共卫生服务（项）</w:t>
      </w:r>
      <w:r>
        <w:rPr>
          <w:rFonts w:hint="eastAsia" w:ascii="仿宋_GB2312" w:eastAsia="仿宋_GB2312"/>
          <w:sz w:val="32"/>
          <w:szCs w:val="32"/>
          <w:lang w:eastAsia="zh-CN"/>
        </w:rPr>
        <w:t>（2100409）</w:t>
      </w:r>
      <w:r>
        <w:rPr>
          <w:rFonts w:hint="eastAsia" w:ascii="仿宋_GB2312" w:eastAsia="仿宋_GB2312"/>
          <w:sz w:val="32"/>
          <w:szCs w:val="32"/>
        </w:rPr>
        <w:t>：指</w:t>
      </w:r>
      <w:r>
        <w:rPr>
          <w:rFonts w:hint="eastAsia" w:ascii="仿宋_GB2312" w:eastAsia="仿宋_GB2312"/>
          <w:sz w:val="32"/>
          <w:szCs w:val="32"/>
          <w:lang w:val="en-US" w:eastAsia="zh-CN"/>
        </w:rPr>
        <w:t>重大疾病、重大传染病预防控制等重大公共卫生服务项目</w:t>
      </w:r>
      <w:r>
        <w:rPr>
          <w:rFonts w:hint="eastAsia" w:ascii="仿宋_GB2312" w:eastAsia="仿宋_GB2312"/>
          <w:sz w:val="32"/>
          <w:szCs w:val="32"/>
        </w:rPr>
        <w:t>支出。</w:t>
      </w:r>
    </w:p>
    <w:p>
      <w:pPr>
        <w:ind w:firstLine="640" w:firstLineChars="200"/>
        <w:rPr>
          <w:rFonts w:ascii="仿宋_GB2312" w:eastAsia="仿宋_GB2312"/>
          <w:color w:val="000000"/>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卫生健康（类）行政事业单位医疗（款）事业单位医疗（项）</w:t>
      </w:r>
      <w:r>
        <w:rPr>
          <w:rFonts w:hint="eastAsia" w:ascii="仿宋_GB2312" w:eastAsia="仿宋_GB2312"/>
          <w:sz w:val="32"/>
          <w:szCs w:val="32"/>
          <w:lang w:eastAsia="zh-CN"/>
        </w:rPr>
        <w:t>（2101102）</w:t>
      </w:r>
      <w:r>
        <w:rPr>
          <w:rFonts w:hint="eastAsia" w:ascii="仿宋_GB2312" w:eastAsia="仿宋_GB2312"/>
          <w:sz w:val="32"/>
          <w:szCs w:val="32"/>
        </w:rPr>
        <w:t>：指</w:t>
      </w:r>
      <w:r>
        <w:rPr>
          <w:rFonts w:hint="eastAsia" w:ascii="仿宋_GB2312" w:eastAsia="仿宋_GB2312"/>
          <w:color w:val="000000"/>
          <w:sz w:val="32"/>
          <w:szCs w:val="32"/>
        </w:rPr>
        <w:t>财政部门安排的事业单位基本医疗保险缴费经费，未参加医疗保险的事业单位的公费医疗经费，按国家规定享受离退休人员待遇的医疗经费。</w:t>
      </w:r>
    </w:p>
    <w:p>
      <w:pPr>
        <w:pStyle w:val="35"/>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（6）</w:t>
      </w:r>
      <w:r>
        <w:rPr>
          <w:rFonts w:hint="eastAsia" w:ascii="仿宋_GB2312" w:eastAsia="仿宋_GB2312"/>
          <w:sz w:val="32"/>
          <w:szCs w:val="32"/>
        </w:rPr>
        <w:t>卫生健康（类）行政事业单位医疗（款）其他行政事业单位医疗支出（项）</w:t>
      </w:r>
      <w:r>
        <w:rPr>
          <w:rFonts w:hint="eastAsia" w:ascii="仿宋_GB2312" w:eastAsia="仿宋_GB2312"/>
          <w:sz w:val="32"/>
          <w:szCs w:val="32"/>
          <w:lang w:eastAsia="zh-CN"/>
        </w:rPr>
        <w:t>（21011</w:t>
      </w:r>
      <w:r>
        <w:rPr>
          <w:rFonts w:hint="eastAsia" w:ascii="仿宋_GB2312" w:eastAsia="仿宋_GB2312"/>
          <w:sz w:val="32"/>
          <w:szCs w:val="32"/>
          <w:lang w:val="en-US" w:eastAsia="zh-CN"/>
        </w:rPr>
        <w:t>99</w:t>
      </w:r>
      <w:r>
        <w:rPr>
          <w:rFonts w:hint="eastAsia" w:ascii="仿宋_GB2312" w:eastAsia="仿宋_GB2312"/>
          <w:sz w:val="32"/>
          <w:szCs w:val="32"/>
          <w:lang w:eastAsia="zh-CN"/>
        </w:rPr>
        <w:t>）</w:t>
      </w:r>
      <w:r>
        <w:rPr>
          <w:rFonts w:hint="eastAsia" w:ascii="仿宋_GB2312" w:eastAsia="仿宋_GB2312"/>
          <w:sz w:val="32"/>
          <w:szCs w:val="32"/>
        </w:rPr>
        <w:t>：指</w:t>
      </w:r>
      <w:r>
        <w:rPr>
          <w:rFonts w:hint="eastAsia" w:ascii="仿宋_GB2312" w:eastAsia="仿宋_GB2312"/>
          <w:sz w:val="32"/>
          <w:szCs w:val="32"/>
          <w:lang w:val="en-US" w:eastAsia="zh-CN"/>
        </w:rPr>
        <w:t>其他用于</w:t>
      </w:r>
      <w:r>
        <w:rPr>
          <w:rFonts w:hint="eastAsia" w:ascii="仿宋_GB2312" w:eastAsia="仿宋_GB2312"/>
          <w:sz w:val="32"/>
          <w:szCs w:val="32"/>
        </w:rPr>
        <w:t>行政事业单位医疗</w:t>
      </w:r>
      <w:r>
        <w:rPr>
          <w:rFonts w:hint="eastAsia" w:ascii="仿宋_GB2312" w:eastAsia="仿宋_GB2312"/>
          <w:sz w:val="32"/>
          <w:szCs w:val="32"/>
          <w:lang w:val="en-US" w:eastAsia="zh-CN"/>
        </w:rPr>
        <w:t>方面的支出。</w:t>
      </w:r>
    </w:p>
    <w:p>
      <w:pPr>
        <w:pStyle w:val="3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卫生健康（类）其他卫生健康支出（款）其他卫生健康支出（项）</w:t>
      </w:r>
      <w:r>
        <w:rPr>
          <w:rFonts w:hint="eastAsia" w:ascii="仿宋_GB2312" w:eastAsia="仿宋_GB2312"/>
          <w:sz w:val="32"/>
          <w:szCs w:val="32"/>
          <w:lang w:eastAsia="zh-CN"/>
        </w:rPr>
        <w:t>（2109999）</w:t>
      </w:r>
      <w:r>
        <w:rPr>
          <w:rFonts w:hint="eastAsia" w:ascii="仿宋_GB2312" w:eastAsia="仿宋_GB2312"/>
          <w:sz w:val="32"/>
          <w:szCs w:val="32"/>
        </w:rPr>
        <w:t>：指</w:t>
      </w:r>
      <w:r>
        <w:rPr>
          <w:rFonts w:hint="eastAsia" w:ascii="仿宋_GB2312" w:eastAsia="仿宋_GB2312"/>
          <w:sz w:val="32"/>
          <w:szCs w:val="32"/>
          <w:lang w:val="en-US" w:eastAsia="zh-CN"/>
        </w:rPr>
        <w:t>其他用于卫生健康方面的支出。</w:t>
      </w:r>
    </w:p>
    <w:p>
      <w:pPr>
        <w:pStyle w:val="35"/>
        <w:spacing w:line="560" w:lineRule="exact"/>
        <w:ind w:firstLine="640" w:firstLineChars="200"/>
        <w:rPr>
          <w:rFonts w:hint="eastAsia" w:ascii="仿宋_GB2312" w:eastAsia="仿宋_GB2312"/>
          <w:sz w:val="32"/>
          <w:szCs w:val="32"/>
          <w:lang w:eastAsia="zh-CN"/>
        </w:rPr>
      </w:pPr>
    </w:p>
    <w:p>
      <w:pPr>
        <w:pStyle w:val="35"/>
        <w:numPr>
          <w:ilvl w:val="0"/>
          <w:numId w:val="5"/>
        </w:num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（2210201）</w:t>
      </w:r>
      <w:r>
        <w:rPr>
          <w:rFonts w:hint="eastAsia" w:ascii="仿宋_GB2312" w:eastAsia="仿宋_GB2312"/>
          <w:sz w:val="32"/>
          <w:szCs w:val="32"/>
        </w:rPr>
        <w:t>：指</w:t>
      </w:r>
      <w:r>
        <w:rPr>
          <w:rFonts w:hint="eastAsia" w:ascii="仿宋_GB2312" w:eastAsia="仿宋_GB2312"/>
          <w:color w:val="000000"/>
          <w:sz w:val="32"/>
          <w:szCs w:val="32"/>
        </w:rPr>
        <w:t>行政事业单位按人力资源和社会保障部、财政部规定的基本工资和津贴补贴以及规定比例为职工缴纳的住房公积金。</w:t>
      </w:r>
    </w:p>
    <w:p>
      <w:pPr>
        <w:pStyle w:val="35"/>
        <w:numPr>
          <w:ilvl w:val="0"/>
          <w:numId w:val="5"/>
        </w:num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其他（类）其他支出（款）其他支出（项）</w:t>
      </w:r>
      <w:r>
        <w:rPr>
          <w:rFonts w:hint="eastAsia" w:ascii="仿宋_GB2312" w:eastAsia="仿宋_GB2312"/>
          <w:sz w:val="32"/>
          <w:szCs w:val="32"/>
          <w:lang w:eastAsia="zh-CN"/>
        </w:rPr>
        <w:t>（2299999）</w:t>
      </w:r>
      <w:r>
        <w:rPr>
          <w:rFonts w:hint="eastAsia" w:ascii="仿宋_GB2312" w:eastAsia="仿宋_GB2312"/>
          <w:sz w:val="32"/>
          <w:szCs w:val="32"/>
        </w:rPr>
        <w:t>：指</w:t>
      </w:r>
      <w:r>
        <w:rPr>
          <w:rFonts w:hint="eastAsia" w:ascii="仿宋_GB2312" w:eastAsia="仿宋_GB2312"/>
          <w:sz w:val="32"/>
          <w:szCs w:val="32"/>
          <w:lang w:val="en-US" w:eastAsia="zh-CN"/>
        </w:rPr>
        <w:t>其他不能划分到具体功能科目中的支出项目。</w:t>
      </w:r>
    </w:p>
    <w:p>
      <w:pPr>
        <w:pStyle w:val="35"/>
        <w:numPr>
          <w:ilvl w:val="0"/>
          <w:numId w:val="5"/>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抗疫特别国债安排（类）基础设施建设（款）公共卫生体系建设（项）</w:t>
      </w:r>
      <w:r>
        <w:rPr>
          <w:rFonts w:hint="eastAsia" w:ascii="仿宋_GB2312" w:eastAsia="仿宋_GB2312"/>
          <w:sz w:val="32"/>
          <w:szCs w:val="32"/>
          <w:lang w:eastAsia="zh-CN"/>
        </w:rPr>
        <w:t>（2340101）</w:t>
      </w:r>
      <w:r>
        <w:rPr>
          <w:rFonts w:hint="eastAsia" w:ascii="仿宋_GB2312" w:eastAsia="仿宋_GB2312"/>
          <w:sz w:val="32"/>
          <w:szCs w:val="32"/>
        </w:rPr>
        <w:t>：指</w:t>
      </w:r>
      <w:r>
        <w:rPr>
          <w:rFonts w:hint="eastAsia" w:ascii="仿宋_GB2312" w:eastAsia="仿宋_GB2312"/>
          <w:sz w:val="32"/>
          <w:szCs w:val="32"/>
          <w:lang w:val="en-US" w:eastAsia="zh-CN"/>
        </w:rPr>
        <w:t>抗击新冠肺炎疫情方面的支出。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color w:val="auto"/>
        </w:rPr>
      </w:pPr>
      <w:bookmarkStart w:id="110" w:name="_Toc15377226"/>
      <w:r>
        <w:rPr>
          <w:rFonts w:ascii="宋体"/>
          <w:b/>
          <w:color w:val="000000"/>
          <w:sz w:val="44"/>
          <w:szCs w:val="44"/>
        </w:rPr>
        <w:br w:type="page"/>
      </w:r>
      <w:bookmarkStart w:id="111" w:name="_Toc79163630"/>
      <w:bookmarkStart w:id="112" w:name="_Toc23843"/>
      <w:bookmarkStart w:id="113" w:name="_Toc15396614"/>
      <w:r>
        <w:rPr>
          <w:rFonts w:hint="eastAsia" w:ascii="黑体" w:hAnsi="黑体" w:eastAsia="黑体"/>
          <w:color w:val="auto"/>
          <w:sz w:val="44"/>
          <w:szCs w:val="44"/>
        </w:rPr>
        <w:t>第</w:t>
      </w:r>
      <w:r>
        <w:rPr>
          <w:rStyle w:val="25"/>
          <w:rFonts w:hint="eastAsia" w:ascii="黑体" w:hAnsi="黑体" w:eastAsia="黑体"/>
          <w:b w:val="0"/>
          <w:color w:val="auto"/>
        </w:rPr>
        <w:t>四部分</w:t>
      </w:r>
      <w:r>
        <w:rPr>
          <w:rStyle w:val="25"/>
          <w:rFonts w:ascii="黑体" w:hAnsi="黑体" w:eastAsia="黑体"/>
          <w:b w:val="0"/>
          <w:color w:val="auto"/>
        </w:rPr>
        <w:t xml:space="preserve"> </w:t>
      </w:r>
      <w:r>
        <w:rPr>
          <w:rStyle w:val="25"/>
          <w:rFonts w:hint="eastAsia" w:ascii="黑体" w:hAnsi="黑体" w:eastAsia="黑体"/>
          <w:b w:val="0"/>
          <w:color w:val="auto"/>
        </w:rPr>
        <w:t>附件</w:t>
      </w:r>
      <w:bookmarkEnd w:id="111"/>
      <w:bookmarkEnd w:id="112"/>
      <w:bookmarkEnd w:id="113"/>
    </w:p>
    <w:p>
      <w:pPr>
        <w:spacing w:line="600" w:lineRule="exact"/>
        <w:jc w:val="center"/>
        <w:outlineLvl w:val="0"/>
        <w:rPr>
          <w:rFonts w:ascii="方正小标宋简体" w:hAnsi="方正小标宋简体" w:eastAsia="方正小标宋简体" w:cs="方正小标宋简体"/>
          <w:color w:val="auto"/>
          <w:sz w:val="32"/>
          <w:szCs w:val="32"/>
        </w:rPr>
      </w:pPr>
      <w:bookmarkStart w:id="114" w:name="_Toc79163631"/>
      <w:bookmarkStart w:id="115" w:name="_Toc22488"/>
      <w:r>
        <w:rPr>
          <w:rFonts w:hint="eastAsia" w:ascii="黑体" w:hAnsi="黑体" w:eastAsia="黑体" w:cs="黑体"/>
          <w:color w:val="auto"/>
          <w:sz w:val="32"/>
          <w:szCs w:val="32"/>
        </w:rPr>
        <w:t>附件</w:t>
      </w:r>
      <w:r>
        <w:rPr>
          <w:rFonts w:ascii="黑体" w:hAnsi="黑体" w:eastAsia="黑体" w:cs="黑体"/>
          <w:color w:val="auto"/>
          <w:sz w:val="32"/>
          <w:szCs w:val="32"/>
        </w:rPr>
        <w:t>1</w:t>
      </w:r>
      <w:bookmarkEnd w:id="114"/>
      <w:bookmarkEnd w:id="115"/>
    </w:p>
    <w:p>
      <w:pPr>
        <w:spacing w:line="580" w:lineRule="exact"/>
        <w:jc w:val="center"/>
        <w:rPr>
          <w:rFonts w:ascii="方正小标宋简体" w:hAnsi="方正小标宋简体" w:eastAsia="方正小标宋简体" w:cs="方正小标宋简体"/>
          <w:color w:val="auto"/>
          <w:sz w:val="44"/>
          <w:szCs w:val="44"/>
        </w:rPr>
      </w:pPr>
    </w:p>
    <w:p>
      <w:pPr>
        <w:spacing w:line="600" w:lineRule="exact"/>
        <w:jc w:val="center"/>
        <w:outlineLvl w:val="0"/>
        <w:rPr>
          <w:rFonts w:ascii="方正小标宋简体" w:hAnsi="黑体" w:eastAsia="方正小标宋简体" w:cs="黑体"/>
          <w:color w:val="auto"/>
          <w:sz w:val="44"/>
          <w:szCs w:val="44"/>
        </w:rPr>
      </w:pPr>
      <w:bookmarkStart w:id="116" w:name="_Toc5422"/>
      <w:bookmarkStart w:id="117" w:name="_Toc79163632"/>
      <w:r>
        <w:rPr>
          <w:rFonts w:hint="eastAsia" w:ascii="方正小标宋简体" w:hAnsi="黑体" w:eastAsia="方正小标宋简体" w:cs="黑体"/>
          <w:color w:val="auto"/>
          <w:sz w:val="44"/>
          <w:szCs w:val="44"/>
          <w:lang w:val="en-US" w:eastAsia="zh-CN"/>
        </w:rPr>
        <w:t>壤塘县人民医院</w:t>
      </w:r>
      <w:r>
        <w:rPr>
          <w:rFonts w:hint="eastAsia" w:ascii="方正小标宋简体" w:hAnsi="黑体" w:eastAsia="方正小标宋简体" w:cs="黑体"/>
          <w:color w:val="auto"/>
          <w:sz w:val="44"/>
          <w:szCs w:val="44"/>
        </w:rPr>
        <w:t>部门</w:t>
      </w:r>
      <w:r>
        <w:rPr>
          <w:rFonts w:ascii="方正小标宋简体" w:hAnsi="黑体" w:eastAsia="方正小标宋简体" w:cs="黑体"/>
          <w:color w:val="auto"/>
          <w:sz w:val="44"/>
          <w:szCs w:val="44"/>
        </w:rPr>
        <w:t>202</w:t>
      </w:r>
      <w:r>
        <w:rPr>
          <w:rFonts w:hint="eastAsia" w:ascii="方正小标宋简体" w:hAnsi="黑体" w:eastAsia="方正小标宋简体" w:cs="黑体"/>
          <w:color w:val="auto"/>
          <w:sz w:val="44"/>
          <w:szCs w:val="44"/>
        </w:rPr>
        <w:t>1年部门整体支出绩效评价报告</w:t>
      </w:r>
      <w:bookmarkEnd w:id="116"/>
      <w:bookmarkEnd w:id="117"/>
    </w:p>
    <w:p>
      <w:pPr>
        <w:widowControl/>
        <w:adjustRightInd w:val="0"/>
        <w:snapToGrid w:val="0"/>
        <w:spacing w:line="580" w:lineRule="exact"/>
        <w:ind w:firstLine="480" w:firstLineChars="200"/>
        <w:contextualSpacing/>
        <w:jc w:val="left"/>
        <w:rPr>
          <w:rFonts w:ascii="黑体" w:hAnsi="宋体" w:eastAsia="黑体" w:cs="宋体"/>
          <w:color w:val="auto"/>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（一）机构组成。</w:t>
      </w:r>
    </w:p>
    <w:p>
      <w:pPr>
        <w:spacing w:line="560" w:lineRule="exact"/>
        <w:ind w:firstLine="640" w:firstLineChars="200"/>
        <w:rPr>
          <w:lang w:val="zh-CN"/>
        </w:rPr>
      </w:pPr>
      <w:r>
        <w:rPr>
          <w:rFonts w:hint="eastAsia" w:ascii="仿宋_GB2312" w:hAnsi="仿宋" w:eastAsia="仿宋_GB2312" w:cs="仿宋"/>
          <w:color w:val="000000"/>
          <w:kern w:val="0"/>
          <w:sz w:val="32"/>
          <w:szCs w:val="32"/>
        </w:rPr>
        <w:t>壤塘县</w:t>
      </w:r>
      <w:r>
        <w:rPr>
          <w:rFonts w:hint="eastAsia" w:ascii="仿宋_GB2312" w:hAnsi="仿宋" w:eastAsia="仿宋_GB2312" w:cs="仿宋"/>
          <w:color w:val="000000"/>
          <w:kern w:val="0"/>
          <w:sz w:val="32"/>
          <w:szCs w:val="32"/>
          <w:lang w:val="en-US" w:eastAsia="zh-CN"/>
        </w:rPr>
        <w:t>人民</w:t>
      </w:r>
      <w:r>
        <w:rPr>
          <w:rFonts w:hint="eastAsia" w:ascii="仿宋_GB2312" w:hAnsi="仿宋" w:eastAsia="仿宋_GB2312" w:cs="仿宋"/>
          <w:color w:val="000000"/>
          <w:kern w:val="0"/>
          <w:sz w:val="32"/>
          <w:szCs w:val="32"/>
        </w:rPr>
        <w:t>医院为壤塘县卫生健康局下属二级预算单位，</w:t>
      </w:r>
      <w:r>
        <w:rPr>
          <w:rFonts w:hint="eastAsia" w:ascii="仿宋_GB2312" w:hAnsi="仿宋" w:eastAsia="仿宋_GB2312" w:cs="仿宋"/>
          <w:sz w:val="32"/>
          <w:szCs w:val="32"/>
        </w:rPr>
        <w:t>属二级预算单位，所需经费全部由财政拨款解决。</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w:t>
      </w:r>
      <w:r>
        <w:rPr>
          <w:rFonts w:hint="eastAsia" w:ascii="仿宋_GB2312" w:hAnsi="宋体" w:eastAsia="仿宋_GB2312" w:cs="宋体"/>
          <w:color w:val="auto"/>
          <w:kern w:val="0"/>
          <w:sz w:val="32"/>
          <w:szCs w:val="32"/>
          <w:shd w:val="clear" w:color="auto" w:fill="FFFFFF"/>
          <w:lang w:val="en-US" w:eastAsia="zh-CN"/>
        </w:rPr>
        <w:t>二</w:t>
      </w:r>
      <w:r>
        <w:rPr>
          <w:rFonts w:hint="eastAsia" w:ascii="仿宋_GB2312" w:hAnsi="宋体" w:eastAsia="仿宋_GB2312" w:cs="宋体"/>
          <w:color w:val="auto"/>
          <w:kern w:val="0"/>
          <w:sz w:val="32"/>
          <w:szCs w:val="32"/>
          <w:shd w:val="clear" w:color="auto" w:fill="FFFFFF"/>
          <w:lang w:val="zh-CN"/>
        </w:rPr>
        <w:t>）机构职能。</w:t>
      </w:r>
    </w:p>
    <w:p>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壤塘</w:t>
      </w:r>
      <w:r>
        <w:rPr>
          <w:rFonts w:hint="eastAsia" w:ascii="仿宋" w:hAnsi="仿宋" w:eastAsia="仿宋" w:cs="Times New Roman"/>
          <w:sz w:val="32"/>
          <w:szCs w:val="32"/>
        </w:rPr>
        <w:t>县人民医院始建于1953年，为事业单位的综合性二级</w:t>
      </w:r>
      <w:r>
        <w:rPr>
          <w:rFonts w:hint="eastAsia" w:ascii="仿宋" w:hAnsi="仿宋" w:eastAsia="仿宋" w:cs="Times New Roman"/>
          <w:sz w:val="32"/>
          <w:szCs w:val="32"/>
          <w:lang w:val="en-US" w:eastAsia="zh-CN"/>
        </w:rPr>
        <w:t>甲</w:t>
      </w:r>
      <w:r>
        <w:rPr>
          <w:rFonts w:hint="eastAsia" w:ascii="仿宋" w:hAnsi="仿宋" w:eastAsia="仿宋" w:cs="Times New Roman"/>
          <w:sz w:val="32"/>
          <w:szCs w:val="32"/>
        </w:rPr>
        <w:t>等医院及国家</w:t>
      </w:r>
      <w:r>
        <w:rPr>
          <w:rFonts w:hint="eastAsia" w:ascii="仿宋" w:hAnsi="仿宋" w:eastAsia="仿宋" w:cs="Times New Roman"/>
          <w:sz w:val="32"/>
          <w:szCs w:val="32"/>
          <w:highlight w:val="none"/>
        </w:rPr>
        <w:t>爱婴</w:t>
      </w:r>
      <w:r>
        <w:rPr>
          <w:rFonts w:hint="eastAsia" w:ascii="仿宋" w:hAnsi="仿宋" w:eastAsia="仿宋" w:cs="Times New Roman"/>
          <w:sz w:val="32"/>
          <w:szCs w:val="32"/>
        </w:rPr>
        <w:t>医院。取得《事业单位法人证书》；事业证书号为事证第51323</w:t>
      </w:r>
      <w:r>
        <w:rPr>
          <w:rFonts w:hint="eastAsia" w:ascii="仿宋" w:hAnsi="仿宋" w:eastAsia="仿宋" w:cs="Times New Roman"/>
          <w:sz w:val="32"/>
          <w:szCs w:val="32"/>
          <w:lang w:val="en-US" w:eastAsia="zh-CN"/>
        </w:rPr>
        <w:t>011</w:t>
      </w:r>
      <w:r>
        <w:rPr>
          <w:rFonts w:hint="eastAsia" w:ascii="仿宋" w:hAnsi="仿宋" w:eastAsia="仿宋" w:cs="Times New Roman"/>
          <w:sz w:val="32"/>
          <w:szCs w:val="32"/>
        </w:rPr>
        <w:t>号；《中华人民共和国医疗机构执业许可证》登记号为</w:t>
      </w:r>
      <w:r>
        <w:rPr>
          <w:rFonts w:hint="eastAsia" w:ascii="仿宋" w:hAnsi="仿宋" w:eastAsia="仿宋" w:cs="Times New Roman"/>
          <w:sz w:val="32"/>
          <w:szCs w:val="32"/>
          <w:lang w:val="en-US" w:eastAsia="zh-CN"/>
        </w:rPr>
        <w:t>51323011</w:t>
      </w:r>
      <w:r>
        <w:rPr>
          <w:rFonts w:hint="eastAsia" w:ascii="仿宋" w:hAnsi="仿宋" w:eastAsia="仿宋" w:cs="Times New Roman"/>
          <w:sz w:val="32"/>
          <w:szCs w:val="32"/>
        </w:rPr>
        <w:t>4526</w:t>
      </w:r>
      <w:r>
        <w:rPr>
          <w:rFonts w:hint="eastAsia" w:ascii="仿宋" w:hAnsi="仿宋" w:eastAsia="仿宋" w:cs="Times New Roman"/>
          <w:sz w:val="32"/>
          <w:szCs w:val="32"/>
          <w:lang w:val="en-US" w:eastAsia="zh-CN"/>
        </w:rPr>
        <w:t>1330XA1002</w:t>
      </w:r>
      <w:r>
        <w:rPr>
          <w:rFonts w:hint="eastAsia" w:ascii="仿宋" w:hAnsi="仿宋" w:eastAsia="仿宋" w:cs="Times New Roman"/>
          <w:sz w:val="32"/>
          <w:szCs w:val="32"/>
        </w:rPr>
        <w:t>；法定代表：</w:t>
      </w:r>
      <w:r>
        <w:rPr>
          <w:rFonts w:hint="eastAsia" w:ascii="仿宋" w:hAnsi="仿宋" w:eastAsia="仿宋" w:cs="Times New Roman"/>
          <w:sz w:val="32"/>
          <w:szCs w:val="32"/>
          <w:lang w:val="en-US" w:eastAsia="zh-CN"/>
        </w:rPr>
        <w:t>李俊</w:t>
      </w:r>
      <w:r>
        <w:rPr>
          <w:rFonts w:hint="eastAsia" w:ascii="仿宋" w:hAnsi="仿宋" w:eastAsia="仿宋" w:cs="Times New Roman"/>
          <w:sz w:val="32"/>
          <w:szCs w:val="32"/>
        </w:rPr>
        <w:t>；主要负责人：</w:t>
      </w:r>
      <w:r>
        <w:rPr>
          <w:rFonts w:hint="eastAsia" w:ascii="仿宋" w:hAnsi="仿宋" w:eastAsia="仿宋" w:cs="Times New Roman"/>
          <w:sz w:val="32"/>
          <w:szCs w:val="32"/>
          <w:lang w:val="en-US" w:eastAsia="zh-CN"/>
        </w:rPr>
        <w:t>李俊</w:t>
      </w:r>
      <w:r>
        <w:rPr>
          <w:rFonts w:hint="eastAsia" w:ascii="仿宋" w:hAnsi="仿宋" w:eastAsia="仿宋" w:cs="Times New Roman"/>
          <w:sz w:val="32"/>
          <w:szCs w:val="32"/>
        </w:rPr>
        <w:t>；地址：</w:t>
      </w:r>
      <w:r>
        <w:rPr>
          <w:rFonts w:hint="eastAsia" w:ascii="仿宋" w:hAnsi="仿宋" w:eastAsia="仿宋" w:cs="Times New Roman"/>
          <w:sz w:val="32"/>
          <w:szCs w:val="32"/>
          <w:lang w:val="en-US" w:eastAsia="zh-CN"/>
        </w:rPr>
        <w:t>壤塘县罗吾塘中街180号。</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壤塘县</w:t>
      </w:r>
      <w:r>
        <w:rPr>
          <w:rFonts w:hint="eastAsia" w:ascii="仿宋" w:hAnsi="仿宋" w:eastAsia="仿宋" w:cs="Times New Roman"/>
          <w:sz w:val="32"/>
          <w:szCs w:val="32"/>
        </w:rPr>
        <w:t>人民医院下设科室：外科、内科、儿科、妇产科、</w:t>
      </w:r>
      <w:r>
        <w:rPr>
          <w:rFonts w:hint="eastAsia" w:ascii="仿宋" w:hAnsi="仿宋" w:eastAsia="仿宋" w:cs="Times New Roman"/>
          <w:sz w:val="32"/>
          <w:szCs w:val="32"/>
          <w:lang w:val="en-US" w:eastAsia="zh-CN"/>
        </w:rPr>
        <w:t>五官科</w:t>
      </w:r>
      <w:r>
        <w:rPr>
          <w:rFonts w:hint="eastAsia" w:ascii="仿宋" w:hAnsi="仿宋" w:eastAsia="仿宋" w:cs="Times New Roman"/>
          <w:sz w:val="32"/>
          <w:szCs w:val="32"/>
        </w:rPr>
        <w:t>、实验诊断、影象诊断等36各临床医技科室。医院现有编制床位</w:t>
      </w:r>
      <w:r>
        <w:rPr>
          <w:rFonts w:hint="eastAsia" w:ascii="仿宋" w:hAnsi="仿宋" w:eastAsia="仿宋" w:cs="Times New Roman"/>
          <w:sz w:val="32"/>
          <w:szCs w:val="32"/>
          <w:lang w:val="en-US" w:eastAsia="zh-CN"/>
        </w:rPr>
        <w:t>150</w:t>
      </w:r>
      <w:r>
        <w:rPr>
          <w:rFonts w:hint="eastAsia" w:ascii="仿宋" w:hAnsi="仿宋" w:eastAsia="仿宋" w:cs="Times New Roman"/>
          <w:sz w:val="32"/>
          <w:szCs w:val="32"/>
        </w:rPr>
        <w:t>张，开放床位</w:t>
      </w:r>
      <w:r>
        <w:rPr>
          <w:rFonts w:hint="eastAsia" w:ascii="仿宋" w:hAnsi="仿宋" w:eastAsia="仿宋" w:cs="Times New Roman"/>
          <w:sz w:val="32"/>
          <w:szCs w:val="32"/>
          <w:lang w:val="en-US" w:eastAsia="zh-CN"/>
        </w:rPr>
        <w:t>138</w:t>
      </w:r>
      <w:r>
        <w:rPr>
          <w:rFonts w:hint="eastAsia" w:ascii="仿宋" w:hAnsi="仿宋" w:eastAsia="仿宋" w:cs="Times New Roman"/>
          <w:sz w:val="32"/>
          <w:szCs w:val="32"/>
        </w:rPr>
        <w:t>张。医院现有人员编制</w:t>
      </w:r>
      <w:r>
        <w:rPr>
          <w:rFonts w:hint="eastAsia" w:ascii="仿宋" w:hAnsi="仿宋" w:eastAsia="仿宋" w:cs="Times New Roman"/>
          <w:sz w:val="32"/>
          <w:szCs w:val="32"/>
          <w:lang w:val="en-US" w:eastAsia="zh-CN"/>
        </w:rPr>
        <w:t>104</w:t>
      </w:r>
      <w:r>
        <w:rPr>
          <w:rFonts w:hint="eastAsia" w:ascii="仿宋" w:hAnsi="仿宋" w:eastAsia="仿宋" w:cs="Times New Roman"/>
          <w:sz w:val="32"/>
          <w:szCs w:val="32"/>
        </w:rPr>
        <w:t>人；实有在册人员</w:t>
      </w:r>
      <w:r>
        <w:rPr>
          <w:rFonts w:hint="eastAsia" w:ascii="仿宋" w:hAnsi="仿宋" w:eastAsia="仿宋" w:cs="Times New Roman"/>
          <w:sz w:val="32"/>
          <w:szCs w:val="32"/>
          <w:lang w:val="en-US" w:eastAsia="zh-CN"/>
        </w:rPr>
        <w:t>98</w:t>
      </w:r>
      <w:r>
        <w:rPr>
          <w:rFonts w:hint="eastAsia" w:ascii="仿宋" w:hAnsi="仿宋" w:eastAsia="仿宋" w:cs="Times New Roman"/>
          <w:sz w:val="32"/>
          <w:szCs w:val="32"/>
        </w:rPr>
        <w:t>人，其中正高职称</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人，副高职称</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人，中级职称</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人。</w:t>
      </w:r>
    </w:p>
    <w:p>
      <w:pPr>
        <w:pStyle w:val="18"/>
        <w:numPr>
          <w:ilvl w:val="0"/>
          <w:numId w:val="0"/>
        </w:numPr>
        <w:ind w:firstLine="640" w:firstLineChars="200"/>
        <w:rPr>
          <w:lang w:val="zh-CN"/>
        </w:rPr>
      </w:pPr>
      <w:r>
        <w:rPr>
          <w:rFonts w:hint="eastAsia" w:ascii="仿宋" w:hAnsi="仿宋" w:eastAsia="仿宋" w:cs="Times New Roman"/>
          <w:sz w:val="32"/>
          <w:szCs w:val="32"/>
        </w:rPr>
        <w:t>我院确立了敬业、仁爱、创新、和谐的院训。遵循一切为人民健康的服务宗旨，大力发展各项业务，使各项工作得到快速发展，为更好地服务藏区广大人民群众打下了良好的基础，并在本地区享有极高声誉，对辖区内的民族团结和政治稳定起到了积极的作用，努力把医院打造成为政府放心、群众相信、职工安心的和谐医院。</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人员概况。</w:t>
      </w:r>
    </w:p>
    <w:p>
      <w:pPr>
        <w:widowControl/>
        <w:adjustRightInd w:val="0"/>
        <w:snapToGrid w:val="0"/>
        <w:spacing w:line="580" w:lineRule="exact"/>
        <w:ind w:firstLine="640" w:firstLineChars="200"/>
        <w:contextualSpacing/>
        <w:jc w:val="left"/>
        <w:rPr>
          <w:lang w:val="zh-CN"/>
        </w:rPr>
      </w:pPr>
      <w:r>
        <w:rPr>
          <w:rFonts w:hint="eastAsia" w:ascii="仿宋_GB2312" w:hAnsi="宋体" w:eastAsia="仿宋_GB2312" w:cs="宋体"/>
          <w:color w:val="000000"/>
          <w:kern w:val="0"/>
          <w:sz w:val="32"/>
          <w:szCs w:val="32"/>
          <w:shd w:val="clear" w:color="auto" w:fill="FFFFFF"/>
          <w:lang w:val="en-US" w:eastAsia="zh-CN"/>
        </w:rPr>
        <w:t>我</w:t>
      </w:r>
      <w:r>
        <w:rPr>
          <w:rFonts w:hint="eastAsia" w:ascii="仿宋_GB2312" w:hAnsi="宋体" w:eastAsia="仿宋_GB2312" w:cs="宋体"/>
          <w:color w:val="000000"/>
          <w:kern w:val="0"/>
          <w:sz w:val="32"/>
          <w:szCs w:val="32"/>
          <w:shd w:val="clear" w:color="auto" w:fill="FFFFFF"/>
          <w:lang w:val="zh-CN"/>
        </w:rPr>
        <w:t>院</w:t>
      </w:r>
      <w:r>
        <w:rPr>
          <w:rFonts w:hint="eastAsia" w:ascii="仿宋" w:hAnsi="仿宋" w:eastAsia="仿宋" w:cs="仿宋_GB2312"/>
          <w:sz w:val="32"/>
          <w:szCs w:val="32"/>
        </w:rPr>
        <w:t>总编人</w:t>
      </w:r>
      <w:r>
        <w:rPr>
          <w:rFonts w:hint="eastAsia" w:ascii="仿宋" w:hAnsi="仿宋" w:eastAsia="仿宋" w:cs="仿宋_GB2312"/>
          <w:sz w:val="32"/>
          <w:szCs w:val="32"/>
          <w:lang w:val="en-US" w:eastAsia="zh-CN"/>
        </w:rPr>
        <w:t>数</w:t>
      </w:r>
      <w:r>
        <w:rPr>
          <w:rFonts w:hint="eastAsia" w:ascii="仿宋_GB2312" w:hAnsi="宋体" w:eastAsia="仿宋_GB2312" w:cs="宋体"/>
          <w:color w:val="000000"/>
          <w:kern w:val="0"/>
          <w:sz w:val="32"/>
          <w:szCs w:val="32"/>
          <w:shd w:val="clear" w:color="auto" w:fill="FFFFFF"/>
          <w:lang w:val="zh-CN"/>
        </w:rPr>
        <w:t>104人，</w:t>
      </w:r>
      <w:r>
        <w:rPr>
          <w:rFonts w:hint="eastAsia" w:ascii="仿宋" w:hAnsi="仿宋" w:eastAsia="仿宋" w:cs="仿宋_GB2312"/>
          <w:sz w:val="32"/>
          <w:szCs w:val="32"/>
        </w:rPr>
        <w:t>在职人员总数</w:t>
      </w:r>
      <w:r>
        <w:rPr>
          <w:rFonts w:hint="eastAsia" w:ascii="仿宋" w:hAnsi="仿宋" w:eastAsia="仿宋" w:cs="仿宋_GB2312"/>
          <w:sz w:val="32"/>
          <w:szCs w:val="32"/>
          <w:lang w:val="en-US" w:eastAsia="zh-CN"/>
        </w:rPr>
        <w:t>98人</w:t>
      </w:r>
      <w:r>
        <w:rPr>
          <w:rFonts w:hint="eastAsia" w:ascii="仿宋" w:hAnsi="仿宋" w:eastAsia="仿宋" w:cs="仿宋_GB2312"/>
          <w:sz w:val="32"/>
          <w:szCs w:val="32"/>
          <w:lang w:eastAsia="zh-CN"/>
        </w:rPr>
        <w:t>，</w:t>
      </w:r>
      <w:r>
        <w:rPr>
          <w:rFonts w:hint="eastAsia" w:ascii="仿宋" w:hAnsi="仿宋" w:eastAsia="仿宋" w:cs="仿宋_GB2312"/>
          <w:sz w:val="32"/>
          <w:szCs w:val="32"/>
        </w:rPr>
        <w:t>其中：事业专</w:t>
      </w:r>
      <w:r>
        <w:rPr>
          <w:rFonts w:hint="eastAsia" w:ascii="仿宋" w:hAnsi="仿宋" w:eastAsia="仿宋" w:cs="仿宋_GB2312"/>
          <w:sz w:val="32"/>
          <w:szCs w:val="32"/>
          <w:lang w:val="en-US" w:eastAsia="zh-CN"/>
        </w:rPr>
        <w:t>技</w:t>
      </w:r>
      <w:r>
        <w:rPr>
          <w:rFonts w:hint="eastAsia" w:ascii="仿宋" w:hAnsi="仿宋" w:eastAsia="仿宋" w:cs="仿宋_GB2312"/>
          <w:sz w:val="32"/>
          <w:szCs w:val="32"/>
        </w:rPr>
        <w:t>人员</w:t>
      </w:r>
      <w:r>
        <w:rPr>
          <w:rFonts w:hint="eastAsia" w:ascii="仿宋" w:hAnsi="仿宋" w:eastAsia="仿宋" w:cs="仿宋_GB2312"/>
          <w:sz w:val="32"/>
          <w:szCs w:val="32"/>
          <w:lang w:val="en-US" w:eastAsia="zh-CN"/>
        </w:rPr>
        <w:t>96</w:t>
      </w:r>
      <w:r>
        <w:rPr>
          <w:rFonts w:hint="eastAsia" w:ascii="仿宋" w:hAnsi="仿宋" w:eastAsia="仿宋" w:cs="仿宋_GB2312"/>
          <w:sz w:val="32"/>
          <w:szCs w:val="32"/>
        </w:rPr>
        <w:t>名，事业工勤2名</w:t>
      </w:r>
      <w:r>
        <w:rPr>
          <w:rFonts w:hint="eastAsia" w:ascii="仿宋" w:hAnsi="仿宋" w:eastAsia="仿宋" w:cs="仿宋_GB2312"/>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（一）部门财政资金收入情况。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lang w:val="zh-CN"/>
        </w:rPr>
      </w:pPr>
      <w:r>
        <w:rPr>
          <w:rFonts w:hint="eastAsia" w:ascii="仿宋" w:hAnsi="仿宋" w:eastAsia="仿宋" w:cs="Times New Roman"/>
          <w:smallCaps/>
          <w:kern w:val="2"/>
          <w:sz w:val="32"/>
          <w:szCs w:val="32"/>
          <w:lang w:val="en-US" w:eastAsia="zh-CN" w:bidi="ar-SA"/>
        </w:rPr>
        <w:t>2021年本年收入合计4294.35万元，其中：一般公共预算财政拨款收入1944.25万元，占45.27%；事业收入为2350.10万元，占54.73%。</w:t>
      </w:r>
    </w:p>
    <w:p>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部门财政资金支出情况。</w:t>
      </w:r>
    </w:p>
    <w:p>
      <w:pPr>
        <w:spacing w:line="56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en-US" w:eastAsia="zh-CN"/>
        </w:rPr>
        <w:t>21</w:t>
      </w:r>
      <w:r>
        <w:rPr>
          <w:rFonts w:hint="eastAsia" w:ascii="仿宋_GB2312" w:hAnsi="仿宋_GB2312" w:eastAsia="仿宋_GB2312" w:cs="仿宋_GB2312"/>
          <w:color w:val="000000"/>
          <w:kern w:val="0"/>
          <w:sz w:val="32"/>
          <w:szCs w:val="32"/>
          <w:shd w:val="clear" w:color="auto" w:fill="FFFFFF"/>
        </w:rPr>
        <w:t>年本年</w:t>
      </w:r>
      <w:r>
        <w:rPr>
          <w:rFonts w:hint="eastAsia" w:ascii="仿宋_GB2312" w:hAnsi="仿宋_GB2312" w:eastAsia="仿宋_GB2312" w:cs="仿宋_GB2312"/>
          <w:color w:val="000000"/>
          <w:kern w:val="0"/>
          <w:sz w:val="32"/>
          <w:szCs w:val="32"/>
          <w:shd w:val="clear" w:color="auto" w:fill="FFFFFF"/>
          <w:lang w:val="en-US" w:eastAsia="zh-CN"/>
        </w:rPr>
        <w:t>支出合计4398.62万元，其中：一般</w:t>
      </w:r>
      <w:r>
        <w:rPr>
          <w:rFonts w:hint="eastAsia" w:ascii="仿宋_GB2312" w:hAnsi="仿宋_GB2312" w:eastAsia="仿宋_GB2312" w:cs="仿宋_GB2312"/>
          <w:color w:val="000000"/>
          <w:kern w:val="0"/>
          <w:sz w:val="32"/>
          <w:szCs w:val="32"/>
          <w:shd w:val="clear" w:color="auto" w:fill="FFFFFF"/>
        </w:rPr>
        <w:t>公共预算财政拨款支出2228.01万元，政府性基金预算财政拨款5.91</w:t>
      </w:r>
      <w:r>
        <w:rPr>
          <w:rFonts w:hint="eastAsia" w:ascii="仿宋_GB2312" w:hAnsi="仿宋_GB2312" w:eastAsia="仿宋_GB2312" w:cs="仿宋_GB2312"/>
          <w:color w:val="000000"/>
          <w:kern w:val="0"/>
          <w:sz w:val="32"/>
          <w:szCs w:val="32"/>
          <w:shd w:val="clear" w:color="auto" w:fill="FFFFFF"/>
          <w:lang w:val="en-US" w:eastAsia="zh-CN"/>
        </w:rPr>
        <w:t>万元，</w:t>
      </w:r>
      <w:r>
        <w:rPr>
          <w:rFonts w:hint="eastAsia" w:ascii="仿宋_GB2312" w:hAnsi="仿宋_GB2312" w:eastAsia="仿宋_GB2312" w:cs="仿宋_GB2312"/>
          <w:color w:val="000000"/>
          <w:kern w:val="0"/>
          <w:sz w:val="32"/>
          <w:szCs w:val="32"/>
          <w:shd w:val="clear" w:color="auto" w:fill="FFFFFF"/>
        </w:rPr>
        <w:t>其中：教育支出</w:t>
      </w:r>
      <w:r>
        <w:rPr>
          <w:rFonts w:hint="eastAsia" w:ascii="仿宋_GB2312" w:hAnsi="仿宋_GB2312" w:eastAsia="仿宋_GB2312" w:cs="仿宋_GB2312"/>
          <w:color w:val="000000"/>
          <w:kern w:val="0"/>
          <w:sz w:val="32"/>
          <w:szCs w:val="32"/>
          <w:shd w:val="clear" w:color="auto" w:fill="FFFFFF"/>
          <w:lang w:val="en-US" w:eastAsia="zh-CN"/>
        </w:rPr>
        <w:t>3.00万元，</w:t>
      </w:r>
      <w:r>
        <w:rPr>
          <w:rFonts w:hint="eastAsia" w:ascii="仿宋_GB2312" w:hAnsi="仿宋_GB2312" w:eastAsia="仿宋_GB2312" w:cs="仿宋_GB2312"/>
          <w:color w:val="000000"/>
          <w:kern w:val="0"/>
          <w:sz w:val="32"/>
          <w:szCs w:val="32"/>
          <w:shd w:val="clear" w:color="auto" w:fill="FFFFFF"/>
          <w:lang w:val="zh-CN"/>
        </w:rPr>
        <w:t>卫生健康支出</w:t>
      </w:r>
      <w:r>
        <w:rPr>
          <w:rFonts w:hint="eastAsia" w:ascii="仿宋_GB2312" w:hAnsi="仿宋_GB2312" w:eastAsia="仿宋_GB2312" w:cs="仿宋_GB2312"/>
          <w:color w:val="000000"/>
          <w:kern w:val="0"/>
          <w:sz w:val="32"/>
          <w:szCs w:val="32"/>
          <w:shd w:val="clear" w:color="auto" w:fill="FFFFFF"/>
        </w:rPr>
        <w:t>1849.26</w:t>
      </w:r>
      <w:r>
        <w:rPr>
          <w:rFonts w:hint="eastAsia" w:ascii="仿宋_GB2312" w:hAnsi="仿宋_GB2312" w:eastAsia="仿宋_GB2312" w:cs="仿宋_GB2312"/>
          <w:color w:val="000000"/>
          <w:kern w:val="0"/>
          <w:sz w:val="32"/>
          <w:szCs w:val="32"/>
          <w:shd w:val="clear" w:color="auto" w:fill="FFFFFF"/>
          <w:lang w:val="zh-CN"/>
        </w:rPr>
        <w:t>万元，社会保障和就业支出</w:t>
      </w:r>
      <w:r>
        <w:rPr>
          <w:rFonts w:hint="eastAsia" w:ascii="仿宋_GB2312" w:hAnsi="仿宋_GB2312" w:eastAsia="仿宋_GB2312" w:cs="仿宋_GB2312"/>
          <w:color w:val="000000"/>
          <w:kern w:val="0"/>
          <w:sz w:val="32"/>
          <w:szCs w:val="32"/>
          <w:shd w:val="clear" w:color="auto" w:fill="FFFFFF"/>
          <w:lang w:val="en-US" w:eastAsia="zh-CN"/>
        </w:rPr>
        <w:t>226.02</w:t>
      </w:r>
      <w:r>
        <w:rPr>
          <w:rFonts w:hint="eastAsia" w:ascii="仿宋_GB2312" w:hAnsi="仿宋_GB2312" w:eastAsia="仿宋_GB2312" w:cs="仿宋_GB2312"/>
          <w:color w:val="000000"/>
          <w:kern w:val="0"/>
          <w:sz w:val="32"/>
          <w:szCs w:val="32"/>
          <w:shd w:val="clear" w:color="auto" w:fill="FFFFFF"/>
          <w:lang w:val="zh-CN"/>
        </w:rPr>
        <w:t>万元，住房保障支出</w:t>
      </w:r>
      <w:r>
        <w:rPr>
          <w:rFonts w:hint="eastAsia" w:ascii="仿宋_GB2312" w:hAnsi="仿宋_GB2312" w:eastAsia="仿宋_GB2312" w:cs="仿宋_GB2312"/>
          <w:color w:val="000000"/>
          <w:kern w:val="0"/>
          <w:sz w:val="32"/>
          <w:szCs w:val="32"/>
          <w:shd w:val="clear" w:color="auto" w:fill="FFFFFF"/>
          <w:lang w:val="en-US" w:eastAsia="zh-CN"/>
        </w:rPr>
        <w:t>149.73</w:t>
      </w:r>
      <w:r>
        <w:rPr>
          <w:rFonts w:hint="eastAsia" w:ascii="仿宋_GB2312" w:hAnsi="仿宋_GB2312" w:eastAsia="仿宋_GB2312" w:cs="仿宋_GB2312"/>
          <w:color w:val="000000"/>
          <w:kern w:val="0"/>
          <w:sz w:val="32"/>
          <w:szCs w:val="32"/>
          <w:shd w:val="clear" w:color="auto" w:fill="FFFFFF"/>
          <w:lang w:val="zh-CN"/>
        </w:rPr>
        <w:t>万元，抗疫特别国债安排的支出</w:t>
      </w:r>
      <w:r>
        <w:rPr>
          <w:rFonts w:hint="eastAsia" w:ascii="仿宋_GB2312" w:hAnsi="仿宋_GB2312" w:eastAsia="仿宋_GB2312" w:cs="仿宋_GB2312"/>
          <w:color w:val="000000"/>
          <w:kern w:val="0"/>
          <w:sz w:val="32"/>
          <w:szCs w:val="32"/>
          <w:shd w:val="clear" w:color="auto" w:fill="FFFFFF"/>
          <w:lang w:val="en-US" w:eastAsia="zh-CN"/>
        </w:rPr>
        <w:t>5.91万元</w:t>
      </w:r>
      <w:r>
        <w:rPr>
          <w:rFonts w:hint="eastAsia" w:ascii="仿宋_GB2312" w:hAnsi="仿宋_GB2312" w:eastAsia="仿宋_GB2312" w:cs="仿宋_GB2312"/>
          <w:color w:val="000000"/>
          <w:kern w:val="0"/>
          <w:sz w:val="32"/>
          <w:szCs w:val="32"/>
          <w:shd w:val="clear" w:color="auto" w:fill="FFFFFF"/>
          <w:lang w:val="zh-CN"/>
        </w:rPr>
        <w:t>。</w:t>
      </w:r>
    </w:p>
    <w:p>
      <w:pPr>
        <w:pStyle w:val="2"/>
        <w:numPr>
          <w:ilvl w:val="0"/>
          <w:numId w:val="0"/>
        </w:numPr>
        <w:rPr>
          <w:lang w:val="zh-CN"/>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我院根据预算法和县财政局的有关要求，制定绩效目标工作规划，较好的完成了本年度工作目标。我院资金预算的编制坚持实事求是的原则、严格控制支出；资金预算于规定时间内在政府网站公开，主动接受社会监督。在资金的使用过程中，对预算不足的资金进行及时、适当调整，执行进度适中，我院无违规记录等情况。我院严格按照预算绩效管理要求按时编报绩效目标，编报过程注重绩效目标科学合理，细化量化，详细反映经费预算测算过程、使用范围、完成数量及预期达成效果等要素。</w:t>
      </w:r>
    </w:p>
    <w:p>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我院按要求对20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年部门整体支出情况进行自评，并编制了部门整体支出绩效评价报告，通过绩效评价，进一步改进了我院管理措施，完善了管理办法，调整和优化我院预算支出结构，合理配置资源。</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（一）评价结论。</w:t>
      </w:r>
    </w:p>
    <w:p>
      <w:pPr>
        <w:spacing w:line="560" w:lineRule="exact"/>
        <w:ind w:firstLine="640" w:firstLineChars="200"/>
        <w:rPr>
          <w:lang w:val="zh-CN"/>
        </w:rPr>
      </w:pPr>
      <w:r>
        <w:rPr>
          <w:rFonts w:hint="eastAsia"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en-US" w:eastAsia="zh-CN"/>
        </w:rPr>
        <w:t>21</w:t>
      </w:r>
      <w:r>
        <w:rPr>
          <w:rFonts w:hint="eastAsia" w:ascii="仿宋_GB2312" w:hAnsi="仿宋_GB2312" w:eastAsia="仿宋_GB2312" w:cs="仿宋_GB2312"/>
          <w:color w:val="000000"/>
          <w:kern w:val="0"/>
          <w:sz w:val="32"/>
          <w:szCs w:val="32"/>
          <w:shd w:val="clear" w:color="auto" w:fill="FFFFFF"/>
        </w:rPr>
        <w:t>年我单位部门整体支出绩效评价自查自评结果良好，全年基本支出保证了部门的正常运行和日常工作的正常开展，项目支出保障了重点工作的开展，达到预期绩效目标。</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（二）存在问题。</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sz w:val="32"/>
          <w:szCs w:val="32"/>
        </w:rPr>
        <w:t>在编制部门预算时，我医院严格根据本单位职能职责和年度工作计划进行了编制，</w:t>
      </w:r>
      <w:r>
        <w:rPr>
          <w:rFonts w:hint="eastAsia" w:ascii="仿宋" w:hAnsi="仿宋" w:eastAsia="仿宋" w:cs="仿宋_GB2312"/>
          <w:bCs/>
          <w:sz w:val="32"/>
          <w:szCs w:val="32"/>
        </w:rPr>
        <w:t>因部门整体支出的预算资金安排和使用上仍有不可预见性，还需加强预算管理，科学编制预算。</w:t>
      </w:r>
    </w:p>
    <w:p>
      <w:pPr>
        <w:widowControl/>
        <w:adjustRightInd w:val="0"/>
        <w:snapToGrid w:val="0"/>
        <w:spacing w:line="560" w:lineRule="exact"/>
        <w:ind w:firstLine="640" w:firstLineChars="200"/>
        <w:jc w:val="left"/>
        <w:rPr>
          <w:lang w:val="zh-CN"/>
        </w:rPr>
      </w:pPr>
      <w:r>
        <w:rPr>
          <w:rFonts w:hint="eastAsia" w:ascii="仿宋" w:hAnsi="仿宋" w:eastAsia="仿宋" w:cs="仿宋"/>
          <w:sz w:val="32"/>
          <w:szCs w:val="32"/>
        </w:rPr>
        <w:t>进一步完善预算编制制度及相关工作机制、加强沟通进一步提高工作手段。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70C0"/>
          <w:sz w:val="32"/>
          <w:szCs w:val="32"/>
        </w:rPr>
      </w:pPr>
      <w:r>
        <w:rPr>
          <w:rFonts w:hint="eastAsia" w:ascii="仿宋_GB2312" w:hAnsi="宋体" w:eastAsia="仿宋_GB2312" w:cs="宋体"/>
          <w:color w:val="auto"/>
          <w:kern w:val="0"/>
          <w:sz w:val="32"/>
          <w:szCs w:val="32"/>
          <w:shd w:val="clear" w:color="auto" w:fill="FFFFFF"/>
          <w:lang w:val="zh-CN"/>
        </w:rPr>
        <w:t>（三）改进建议。</w:t>
      </w:r>
    </w:p>
    <w:p>
      <w:pPr>
        <w:widowControl/>
        <w:adjustRightInd w:val="0"/>
        <w:snapToGrid w:val="0"/>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一是加强培训，积极探索，不断提高预算编制水平。要加强对预算编制人员业务知识培训，不仅要掌握理论知识，更应熟悉实际操作。</w:t>
      </w:r>
    </w:p>
    <w:p>
      <w:pPr>
        <w:widowControl/>
        <w:adjustRightInd w:val="0"/>
        <w:snapToGrid w:val="0"/>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二是要加强与其他科室间的沟通交流，积极研究解决出现的新情况、新问题，保证预算编制的准确性。</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三是进一步健全和完善财务管理制度及内部控制制度，积极探索在新形势下部门预算、国库集中支付等财政支出改革的特点，不断更新管理思路，在规范财务收支和控制经费增长上，创新管理手段，用新思路、新方法，改进完善财务管理方法。</w:t>
      </w:r>
    </w:p>
    <w:p>
      <w:pPr>
        <w:spacing w:line="580" w:lineRule="exact"/>
        <w:ind w:firstLine="640" w:firstLineChars="200"/>
        <w:rPr>
          <w:rFonts w:ascii="仿宋_GB2312" w:hAnsi="仿宋_GB2312" w:eastAsia="仿宋_GB2312" w:cs="仿宋_GB2312"/>
          <w:color w:val="0070C0"/>
          <w:sz w:val="32"/>
          <w:szCs w:val="32"/>
        </w:rPr>
      </w:pPr>
    </w:p>
    <w:p>
      <w:pPr>
        <w:spacing w:line="600" w:lineRule="exact"/>
        <w:jc w:val="left"/>
        <w:outlineLvl w:val="0"/>
        <w:rPr>
          <w:rFonts w:ascii="黑体" w:hAnsi="黑体" w:eastAsia="黑体" w:cs="黑体"/>
          <w:color w:val="auto"/>
          <w:sz w:val="32"/>
          <w:szCs w:val="32"/>
        </w:rPr>
      </w:pPr>
      <w:bookmarkStart w:id="118" w:name="_Toc20798"/>
      <w:bookmarkStart w:id="119" w:name="_Toc79163633"/>
      <w:r>
        <w:rPr>
          <w:rFonts w:hint="eastAsia" w:ascii="黑体" w:hAnsi="黑体" w:eastAsia="黑体" w:cs="黑体"/>
          <w:color w:val="auto"/>
          <w:sz w:val="32"/>
          <w:szCs w:val="32"/>
        </w:rPr>
        <w:t>附件</w:t>
      </w:r>
      <w:r>
        <w:rPr>
          <w:rFonts w:ascii="黑体" w:hAnsi="黑体" w:eastAsia="黑体" w:cs="黑体"/>
          <w:color w:val="auto"/>
          <w:sz w:val="32"/>
          <w:szCs w:val="32"/>
        </w:rPr>
        <w:t>2</w:t>
      </w:r>
      <w:bookmarkEnd w:id="118"/>
      <w:bookmarkEnd w:id="119"/>
    </w:p>
    <w:p>
      <w:pPr>
        <w:spacing w:line="580" w:lineRule="exact"/>
        <w:ind w:firstLine="640" w:firstLineChars="200"/>
        <w:rPr>
          <w:rFonts w:ascii="仿宋_GB2312" w:hAnsi="仿宋_GB2312" w:eastAsia="仿宋_GB2312" w:cs="仿宋_GB2312"/>
          <w:color w:val="0070C0"/>
          <w:sz w:val="32"/>
          <w:szCs w:val="32"/>
        </w:rPr>
      </w:pPr>
    </w:p>
    <w:p>
      <w:pPr>
        <w:spacing w:line="600" w:lineRule="exact"/>
        <w:jc w:val="center"/>
        <w:outlineLvl w:val="0"/>
        <w:rPr>
          <w:rFonts w:ascii="方正小标宋简体" w:hAnsi="黑体" w:eastAsia="方正小标宋简体" w:cs="黑体"/>
          <w:color w:val="0070C0"/>
          <w:sz w:val="44"/>
          <w:szCs w:val="44"/>
        </w:rPr>
      </w:pPr>
      <w:bookmarkStart w:id="120" w:name="_Toc2948"/>
      <w:bookmarkStart w:id="121" w:name="_Toc79163634"/>
      <w:r>
        <w:rPr>
          <w:rFonts w:hint="eastAsia" w:ascii="方正小标宋简体" w:hAnsi="黑体" w:eastAsia="方正小标宋简体" w:cs="黑体"/>
          <w:color w:val="auto"/>
          <w:sz w:val="44"/>
          <w:szCs w:val="44"/>
          <w:lang w:val="en-US" w:eastAsia="zh-CN"/>
        </w:rPr>
        <w:t>2021年度医疗服务能力提升补助资金（县级公立医院综合改革能力提升补助资金）</w:t>
      </w:r>
      <w:r>
        <w:rPr>
          <w:rFonts w:hint="eastAsia" w:ascii="方正小标宋简体" w:hAnsi="黑体" w:eastAsia="方正小标宋简体" w:cs="黑体"/>
          <w:color w:val="auto"/>
          <w:sz w:val="44"/>
          <w:szCs w:val="44"/>
        </w:rPr>
        <w:t>绩效评价报告</w:t>
      </w:r>
      <w:bookmarkEnd w:id="120"/>
      <w:bookmarkEnd w:id="121"/>
    </w:p>
    <w:p>
      <w:pPr>
        <w:spacing w:line="600" w:lineRule="exact"/>
        <w:rPr>
          <w:rFonts w:ascii="宋体"/>
          <w:color w:val="0070C0"/>
          <w:sz w:val="32"/>
          <w:szCs w:val="32"/>
          <w:lang w:val="zh-CN"/>
        </w:rPr>
      </w:pPr>
    </w:p>
    <w:p>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adjustRightInd w:val="0"/>
        <w:snapToGrid w:val="0"/>
        <w:spacing w:line="600" w:lineRule="exact"/>
        <w:ind w:firstLine="720"/>
        <w:rPr>
          <w:lang w:val="zh-CN"/>
        </w:rPr>
      </w:pPr>
      <w:r>
        <w:rPr>
          <w:rFonts w:hint="eastAsia" w:ascii="仿宋_GB2312" w:hAnsi="宋体" w:eastAsia="仿宋_GB2312"/>
          <w:sz w:val="32"/>
          <w:szCs w:val="32"/>
          <w:lang w:val="zh-CN"/>
        </w:rPr>
        <w:t>根据我院实际情况，项目全年预算数</w:t>
      </w:r>
      <w:r>
        <w:rPr>
          <w:rFonts w:hint="eastAsia" w:ascii="仿宋_GB2312" w:hAnsi="宋体" w:eastAsia="仿宋_GB2312"/>
          <w:sz w:val="32"/>
          <w:szCs w:val="32"/>
          <w:lang w:val="en-US" w:eastAsia="zh-CN"/>
        </w:rPr>
        <w:t>40.49万元</w:t>
      </w:r>
      <w:r>
        <w:rPr>
          <w:rFonts w:hint="eastAsia" w:ascii="仿宋_GB2312" w:hAnsi="宋体" w:eastAsia="仿宋_GB2312"/>
          <w:sz w:val="32"/>
          <w:szCs w:val="32"/>
          <w:lang w:val="zh-CN"/>
        </w:rPr>
        <w:t>万元，执行数为</w:t>
      </w:r>
      <w:r>
        <w:rPr>
          <w:rFonts w:hint="eastAsia" w:ascii="仿宋_GB2312" w:hAnsi="宋体" w:eastAsia="仿宋_GB2312"/>
          <w:sz w:val="32"/>
          <w:szCs w:val="32"/>
          <w:lang w:val="en-US" w:eastAsia="zh-CN"/>
        </w:rPr>
        <w:t>40.49</w:t>
      </w:r>
      <w:r>
        <w:rPr>
          <w:rFonts w:hint="eastAsia" w:ascii="仿宋_GB2312" w:hAnsi="宋体" w:eastAsia="仿宋_GB2312"/>
          <w:sz w:val="32"/>
          <w:szCs w:val="32"/>
          <w:lang w:val="zh-CN"/>
        </w:rPr>
        <w:t>万元。</w:t>
      </w:r>
    </w:p>
    <w:p>
      <w:pPr>
        <w:adjustRightInd w:val="0"/>
        <w:snapToGrid w:val="0"/>
        <w:spacing w:line="600" w:lineRule="exact"/>
        <w:ind w:firstLine="720"/>
        <w:rPr>
          <w:rFonts w:hint="eastAsia" w:ascii="楷体_GB2312" w:hAnsi="宋体" w:eastAsia="楷体_GB2312"/>
          <w:b/>
          <w:color w:val="auto"/>
          <w:sz w:val="32"/>
          <w:szCs w:val="32"/>
          <w:lang w:val="zh-CN"/>
        </w:rPr>
      </w:pP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pPr>
        <w:adjustRightInd w:val="0"/>
        <w:snapToGrid w:val="0"/>
        <w:spacing w:line="600" w:lineRule="exact"/>
        <w:ind w:firstLine="720"/>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rPr>
        <w:t>1．</w:t>
      </w:r>
      <w:r>
        <w:rPr>
          <w:rFonts w:hint="eastAsia" w:ascii="仿宋_GB2312" w:hAnsi="宋体" w:eastAsia="仿宋_GB2312" w:cs="Times New Roman"/>
          <w:color w:val="auto"/>
          <w:sz w:val="32"/>
          <w:szCs w:val="32"/>
          <w:lang w:val="zh-CN" w:eastAsia="zh-CN"/>
        </w:rPr>
        <w:t>该项目资金主要用于</w:t>
      </w:r>
      <w:r>
        <w:rPr>
          <w:rFonts w:hint="eastAsia" w:ascii="仿宋_GB2312" w:hAnsi="宋体" w:eastAsia="仿宋_GB2312" w:cs="Times New Roman"/>
          <w:color w:val="auto"/>
          <w:sz w:val="32"/>
          <w:szCs w:val="32"/>
          <w:lang w:val="en-US" w:eastAsia="zh-CN"/>
        </w:rPr>
        <w:t>医</w:t>
      </w:r>
      <w:r>
        <w:rPr>
          <w:rFonts w:hint="eastAsia" w:ascii="仿宋_GB2312" w:hAnsi="宋体" w:eastAsia="仿宋_GB2312" w:cs="Times New Roman"/>
          <w:color w:val="auto"/>
          <w:sz w:val="32"/>
          <w:szCs w:val="32"/>
          <w:lang w:val="zh-CN"/>
        </w:rPr>
        <w:t>院移动支付系统</w:t>
      </w:r>
      <w:r>
        <w:rPr>
          <w:rFonts w:hint="eastAsia" w:ascii="仿宋_GB2312" w:hAnsi="宋体" w:eastAsia="仿宋_GB2312" w:cs="Times New Roman"/>
          <w:color w:val="auto"/>
          <w:sz w:val="32"/>
          <w:szCs w:val="32"/>
          <w:lang w:val="zh-CN" w:eastAsia="zh-CN"/>
        </w:rPr>
        <w:t>、</w:t>
      </w:r>
      <w:r>
        <w:rPr>
          <w:rFonts w:hint="eastAsia" w:ascii="仿宋_GB2312" w:hAnsi="宋体" w:eastAsia="仿宋_GB2312" w:cs="Times New Roman"/>
          <w:color w:val="auto"/>
          <w:sz w:val="32"/>
          <w:szCs w:val="32"/>
          <w:lang w:val="zh-CN"/>
        </w:rPr>
        <w:t>国家医保平台接口改造</w:t>
      </w:r>
      <w:r>
        <w:rPr>
          <w:rFonts w:hint="eastAsia" w:ascii="仿宋_GB2312" w:hAnsi="宋体" w:eastAsia="仿宋_GB2312" w:cs="Times New Roman"/>
          <w:color w:val="auto"/>
          <w:sz w:val="32"/>
          <w:szCs w:val="32"/>
          <w:lang w:val="zh-CN" w:eastAsia="zh-CN"/>
        </w:rPr>
        <w:t>、</w:t>
      </w:r>
      <w:r>
        <w:rPr>
          <w:rFonts w:hint="eastAsia" w:ascii="仿宋_GB2312" w:hAnsi="宋体" w:eastAsia="仿宋_GB2312" w:cs="Times New Roman"/>
          <w:color w:val="auto"/>
          <w:sz w:val="32"/>
          <w:szCs w:val="32"/>
          <w:lang w:val="zh-CN"/>
        </w:rPr>
        <w:t>发热门诊CT升级改造</w:t>
      </w:r>
      <w:r>
        <w:rPr>
          <w:rFonts w:hint="eastAsia" w:ascii="仿宋_GB2312" w:hAnsi="宋体" w:eastAsia="仿宋_GB2312" w:cs="Times New Roman"/>
          <w:color w:val="auto"/>
          <w:sz w:val="32"/>
          <w:szCs w:val="32"/>
          <w:lang w:val="zh-CN" w:eastAsia="zh-CN"/>
        </w:rPr>
        <w:t>、</w:t>
      </w:r>
      <w:r>
        <w:rPr>
          <w:rFonts w:hint="eastAsia" w:ascii="仿宋_GB2312" w:hAnsi="宋体" w:eastAsia="仿宋_GB2312" w:cs="Times New Roman"/>
          <w:color w:val="auto"/>
          <w:sz w:val="32"/>
          <w:szCs w:val="32"/>
          <w:lang w:val="zh-CN"/>
        </w:rPr>
        <w:t>儿科屋面、药品库房屋面漏水铺设彩钢瓦</w:t>
      </w:r>
      <w:r>
        <w:rPr>
          <w:rFonts w:hint="eastAsia" w:ascii="仿宋_GB2312" w:hAnsi="宋体" w:eastAsia="仿宋_GB2312" w:cs="Times New Roman"/>
          <w:color w:val="auto"/>
          <w:sz w:val="32"/>
          <w:szCs w:val="32"/>
          <w:lang w:val="zh-CN" w:eastAsia="zh-CN"/>
        </w:rPr>
        <w:t>以及</w:t>
      </w:r>
      <w:r>
        <w:rPr>
          <w:rFonts w:hint="eastAsia" w:ascii="仿宋_GB2312" w:hAnsi="宋体" w:eastAsia="仿宋_GB2312" w:cs="Times New Roman"/>
          <w:color w:val="auto"/>
          <w:sz w:val="32"/>
          <w:szCs w:val="32"/>
          <w:lang w:val="zh-CN"/>
        </w:rPr>
        <w:t>后勤</w:t>
      </w:r>
      <w:r>
        <w:rPr>
          <w:rFonts w:hint="eastAsia" w:ascii="仿宋_GB2312" w:hAnsi="宋体" w:eastAsia="仿宋_GB2312" w:cs="Times New Roman"/>
          <w:color w:val="auto"/>
          <w:sz w:val="32"/>
          <w:szCs w:val="32"/>
          <w:lang w:val="en-US" w:eastAsia="zh-CN"/>
        </w:rPr>
        <w:t>科室的</w:t>
      </w:r>
      <w:r>
        <w:rPr>
          <w:rFonts w:hint="eastAsia" w:ascii="仿宋_GB2312" w:hAnsi="宋体" w:eastAsia="仿宋_GB2312" w:cs="Times New Roman"/>
          <w:color w:val="auto"/>
          <w:sz w:val="32"/>
          <w:szCs w:val="32"/>
          <w:lang w:val="zh-CN"/>
        </w:rPr>
        <w:t>零星维修</w:t>
      </w:r>
      <w:r>
        <w:rPr>
          <w:rFonts w:hint="eastAsia" w:ascii="仿宋_GB2312" w:hAnsi="宋体" w:eastAsia="仿宋_GB2312" w:cs="Times New Roman"/>
          <w:color w:val="auto"/>
          <w:sz w:val="32"/>
          <w:szCs w:val="32"/>
          <w:lang w:val="zh-CN" w:eastAsia="zh-CN"/>
        </w:rPr>
        <w:t>。</w:t>
      </w:r>
    </w:p>
    <w:p>
      <w:pPr>
        <w:adjustRightInd w:val="0"/>
        <w:snapToGrid w:val="0"/>
        <w:spacing w:line="600" w:lineRule="exact"/>
        <w:ind w:firstLine="720"/>
        <w:rPr>
          <w:rFonts w:hint="eastAsia" w:ascii="仿宋_GB2312" w:hAnsi="宋体" w:eastAsia="仿宋_GB2312" w:cs="Times New Roman"/>
          <w:color w:val="auto"/>
          <w:sz w:val="32"/>
          <w:szCs w:val="32"/>
          <w:lang w:val="zh-CN"/>
        </w:rPr>
      </w:pPr>
      <w:r>
        <w:rPr>
          <w:rFonts w:hint="eastAsia" w:ascii="仿宋_GB2312" w:hAnsi="宋体" w:eastAsia="仿宋_GB2312" w:cs="Times New Roman"/>
          <w:color w:val="auto"/>
          <w:sz w:val="32"/>
          <w:szCs w:val="32"/>
          <w:lang w:val="zh-CN"/>
        </w:rPr>
        <w:t>2．</w:t>
      </w:r>
      <w:r>
        <w:rPr>
          <w:rFonts w:hint="eastAsia" w:ascii="仿宋_GB2312" w:hAnsi="宋体" w:eastAsia="仿宋_GB2312" w:cs="Times New Roman"/>
          <w:color w:val="auto"/>
          <w:sz w:val="32"/>
          <w:szCs w:val="32"/>
          <w:lang w:val="zh-CN" w:eastAsia="zh-CN"/>
        </w:rPr>
        <w:t>预期目标</w:t>
      </w:r>
      <w:r>
        <w:rPr>
          <w:rFonts w:hint="eastAsia" w:ascii="仿宋_GB2312" w:hAnsi="宋体" w:eastAsia="仿宋_GB2312" w:cs="Times New Roman"/>
          <w:color w:val="auto"/>
          <w:sz w:val="32"/>
          <w:szCs w:val="32"/>
          <w:lang w:val="en-US" w:eastAsia="zh-CN"/>
        </w:rPr>
        <w:t>通过更新医</w:t>
      </w:r>
      <w:r>
        <w:rPr>
          <w:rFonts w:hint="eastAsia" w:ascii="仿宋_GB2312" w:hAnsi="宋体" w:eastAsia="仿宋_GB2312" w:cs="Times New Roman"/>
          <w:color w:val="auto"/>
          <w:sz w:val="32"/>
          <w:szCs w:val="32"/>
          <w:lang w:val="zh-CN"/>
        </w:rPr>
        <w:t>院移动支付系统</w:t>
      </w:r>
      <w:r>
        <w:rPr>
          <w:rFonts w:hint="eastAsia" w:ascii="仿宋_GB2312" w:hAnsi="宋体" w:eastAsia="仿宋_GB2312" w:cs="Times New Roman"/>
          <w:color w:val="auto"/>
          <w:sz w:val="32"/>
          <w:szCs w:val="32"/>
          <w:lang w:val="zh-CN" w:eastAsia="zh-CN"/>
        </w:rPr>
        <w:t>、</w:t>
      </w:r>
      <w:r>
        <w:rPr>
          <w:rFonts w:hint="eastAsia" w:ascii="仿宋_GB2312" w:hAnsi="宋体" w:eastAsia="仿宋_GB2312" w:cs="Times New Roman"/>
          <w:color w:val="auto"/>
          <w:sz w:val="32"/>
          <w:szCs w:val="32"/>
          <w:lang w:val="zh-CN"/>
        </w:rPr>
        <w:t>国家医保平台接口改造</w:t>
      </w:r>
      <w:r>
        <w:rPr>
          <w:rFonts w:hint="eastAsia" w:ascii="仿宋_GB2312" w:hAnsi="宋体" w:eastAsia="仿宋_GB2312" w:cs="Times New Roman"/>
          <w:color w:val="auto"/>
          <w:sz w:val="32"/>
          <w:szCs w:val="32"/>
          <w:lang w:val="zh-CN" w:eastAsia="zh-CN"/>
        </w:rPr>
        <w:t>、</w:t>
      </w:r>
      <w:r>
        <w:rPr>
          <w:rFonts w:hint="eastAsia" w:ascii="仿宋_GB2312" w:hAnsi="宋体" w:eastAsia="仿宋_GB2312" w:cs="Times New Roman"/>
          <w:color w:val="auto"/>
          <w:sz w:val="32"/>
          <w:szCs w:val="32"/>
          <w:lang w:val="zh-CN"/>
        </w:rPr>
        <w:t>发热门诊CT升级改造</w:t>
      </w:r>
      <w:r>
        <w:rPr>
          <w:rFonts w:hint="eastAsia" w:ascii="仿宋_GB2312" w:hAnsi="宋体" w:eastAsia="仿宋_GB2312" w:cs="Times New Roman"/>
          <w:color w:val="auto"/>
          <w:sz w:val="32"/>
          <w:szCs w:val="32"/>
          <w:lang w:val="zh-CN" w:eastAsia="zh-CN"/>
        </w:rPr>
        <w:t>、</w:t>
      </w:r>
      <w:r>
        <w:rPr>
          <w:rFonts w:hint="eastAsia" w:ascii="仿宋_GB2312" w:hAnsi="宋体" w:eastAsia="仿宋_GB2312" w:cs="Times New Roman"/>
          <w:color w:val="auto"/>
          <w:sz w:val="32"/>
          <w:szCs w:val="32"/>
          <w:lang w:val="zh-CN"/>
        </w:rPr>
        <w:t>儿科屋面、药品库房屋面漏水铺设彩钢瓦</w:t>
      </w:r>
      <w:r>
        <w:rPr>
          <w:rFonts w:hint="eastAsia" w:ascii="仿宋_GB2312" w:hAnsi="宋体" w:eastAsia="仿宋_GB2312" w:cs="Times New Roman"/>
          <w:color w:val="auto"/>
          <w:sz w:val="32"/>
          <w:szCs w:val="32"/>
          <w:lang w:val="zh-CN" w:eastAsia="zh-CN"/>
        </w:rPr>
        <w:t>以及</w:t>
      </w:r>
      <w:r>
        <w:rPr>
          <w:rFonts w:hint="eastAsia" w:ascii="仿宋_GB2312" w:hAnsi="宋体" w:eastAsia="仿宋_GB2312" w:cs="Times New Roman"/>
          <w:color w:val="auto"/>
          <w:sz w:val="32"/>
          <w:szCs w:val="32"/>
          <w:lang w:val="zh-CN"/>
        </w:rPr>
        <w:t>后勤</w:t>
      </w:r>
      <w:r>
        <w:rPr>
          <w:rFonts w:hint="eastAsia" w:ascii="仿宋_GB2312" w:hAnsi="宋体" w:eastAsia="仿宋_GB2312" w:cs="Times New Roman"/>
          <w:color w:val="auto"/>
          <w:sz w:val="32"/>
          <w:szCs w:val="32"/>
          <w:lang w:val="en-US" w:eastAsia="zh-CN"/>
        </w:rPr>
        <w:t>科室的</w:t>
      </w:r>
      <w:r>
        <w:rPr>
          <w:rFonts w:hint="eastAsia" w:ascii="仿宋_GB2312" w:hAnsi="宋体" w:eastAsia="仿宋_GB2312" w:cs="Times New Roman"/>
          <w:color w:val="auto"/>
          <w:sz w:val="32"/>
          <w:szCs w:val="32"/>
          <w:lang w:val="zh-CN"/>
        </w:rPr>
        <w:t>零星维修，</w:t>
      </w:r>
      <w:r>
        <w:rPr>
          <w:rFonts w:hint="eastAsia" w:ascii="仿宋_GB2312" w:hAnsi="宋体" w:eastAsia="仿宋_GB2312" w:cs="Times New Roman"/>
          <w:color w:val="auto"/>
          <w:sz w:val="32"/>
          <w:szCs w:val="32"/>
          <w:lang w:val="zh-CN" w:eastAsia="zh-CN"/>
        </w:rPr>
        <w:t>从而进一步提升壤塘县人民医院医疗服务能力，更好的为壤塘县农牧民提供医疗服务。</w:t>
      </w:r>
    </w:p>
    <w:p>
      <w:pPr>
        <w:adjustRightInd w:val="0"/>
        <w:snapToGrid w:val="0"/>
        <w:spacing w:line="600" w:lineRule="exact"/>
        <w:ind w:firstLine="720"/>
        <w:rPr>
          <w:rFonts w:hint="eastAsia" w:ascii="仿宋_GB2312" w:hAnsi="宋体" w:eastAsia="仿宋_GB2312" w:cs="Times New Roman"/>
          <w:color w:val="auto"/>
          <w:sz w:val="32"/>
          <w:szCs w:val="32"/>
          <w:lang w:val="zh-CN"/>
        </w:rPr>
      </w:pPr>
      <w:r>
        <w:rPr>
          <w:rFonts w:hint="eastAsia" w:ascii="仿宋_GB2312" w:hAnsi="宋体" w:eastAsia="仿宋_GB2312" w:cs="Times New Roman"/>
          <w:color w:val="auto"/>
          <w:sz w:val="32"/>
          <w:szCs w:val="32"/>
          <w:lang w:val="zh-CN"/>
        </w:rPr>
        <w:t>3．</w:t>
      </w:r>
      <w:r>
        <w:rPr>
          <w:rFonts w:hint="eastAsia" w:ascii="仿宋_GB2312" w:hAnsi="宋体" w:eastAsia="仿宋_GB2312" w:cs="Times New Roman"/>
          <w:color w:val="auto"/>
          <w:sz w:val="32"/>
          <w:szCs w:val="32"/>
          <w:lang w:val="zh-CN" w:eastAsia="zh-CN"/>
        </w:rPr>
        <w:t>该项目申报内容与具体实施内容相符、申报目标合理可行。</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pPr>
        <w:adjustRightInd w:val="0"/>
        <w:snapToGrid w:val="0"/>
        <w:spacing w:line="600" w:lineRule="exact"/>
        <w:ind w:firstLine="720"/>
        <w:rPr>
          <w:rFonts w:hint="default" w:ascii="仿宋_GB2312" w:hAnsi="宋体" w:eastAsia="仿宋_GB2312" w:cs="Times New Roman"/>
          <w:color w:val="auto"/>
          <w:sz w:val="32"/>
          <w:szCs w:val="32"/>
          <w:lang w:val="zh-CN" w:eastAsia="zh-CN"/>
        </w:rPr>
      </w:pPr>
      <w:r>
        <w:rPr>
          <w:rFonts w:hint="default" w:ascii="仿宋_GB2312" w:hAnsi="宋体" w:eastAsia="仿宋_GB2312" w:cs="Times New Roman"/>
          <w:color w:val="auto"/>
          <w:sz w:val="32"/>
          <w:szCs w:val="32"/>
          <w:lang w:val="en-US" w:eastAsia="zh-CN"/>
        </w:rPr>
        <w:t>该项目共设置12个指标，其中：数量指标6个，质量指标1个，成本指标1个，时效指标1个；社会效益指标1个，可持续影响指标1个，满意度指标1个。该项目指标设置均符合项目特征。</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我院对该项目资金申报、批复等符合资金管理办法等相关规定。</w:t>
      </w:r>
    </w:p>
    <w:p>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color w:val="auto"/>
          <w:sz w:val="32"/>
          <w:szCs w:val="32"/>
          <w:lang w:val="zh-CN"/>
        </w:rPr>
      </w:pPr>
      <w:r>
        <w:rPr>
          <w:rFonts w:ascii="楷体_GB2312" w:hAnsi="宋体" w:eastAsia="楷体_GB2312"/>
          <w:color w:val="auto"/>
          <w:sz w:val="32"/>
          <w:szCs w:val="32"/>
          <w:lang w:val="zh-CN"/>
        </w:rPr>
        <w:t>1</w:t>
      </w:r>
      <w:r>
        <w:rPr>
          <w:rFonts w:hint="eastAsia" w:ascii="楷体_GB2312" w:hAnsi="宋体" w:eastAsia="楷体_GB2312"/>
          <w:color w:val="auto"/>
          <w:sz w:val="32"/>
          <w:szCs w:val="32"/>
          <w:lang w:val="zh-CN"/>
        </w:rPr>
        <w:t>．资金计划。</w:t>
      </w:r>
      <w:r>
        <w:rPr>
          <w:rFonts w:hint="default" w:ascii="仿宋_GB2312" w:hAnsi="宋体" w:eastAsia="仿宋_GB2312" w:cs="Times New Roman"/>
          <w:color w:val="auto"/>
          <w:sz w:val="32"/>
          <w:szCs w:val="32"/>
          <w:lang w:val="zh-CN"/>
        </w:rPr>
        <w:t>壤塘县财政局于20</w:t>
      </w:r>
      <w:r>
        <w:rPr>
          <w:rFonts w:hint="default" w:ascii="仿宋_GB2312" w:hAnsi="宋体" w:eastAsia="仿宋_GB2312" w:cs="Times New Roman"/>
          <w:color w:val="auto"/>
          <w:sz w:val="32"/>
          <w:szCs w:val="32"/>
          <w:lang w:val="en-US" w:eastAsia="zh-CN"/>
        </w:rPr>
        <w:t>21</w:t>
      </w:r>
      <w:r>
        <w:rPr>
          <w:rFonts w:hint="default" w:ascii="仿宋_GB2312" w:hAnsi="宋体" w:eastAsia="仿宋_GB2312" w:cs="Times New Roman"/>
          <w:color w:val="auto"/>
          <w:sz w:val="32"/>
          <w:szCs w:val="32"/>
          <w:lang w:val="zh-CN"/>
        </w:rPr>
        <w:t>年</w:t>
      </w:r>
      <w:r>
        <w:rPr>
          <w:rFonts w:hint="default" w:ascii="仿宋_GB2312" w:hAnsi="宋体" w:eastAsia="仿宋_GB2312" w:cs="Times New Roman"/>
          <w:color w:val="auto"/>
          <w:sz w:val="32"/>
          <w:szCs w:val="32"/>
          <w:lang w:val="en-US" w:eastAsia="zh-CN"/>
        </w:rPr>
        <w:t>7</w:t>
      </w:r>
      <w:r>
        <w:rPr>
          <w:rFonts w:hint="default" w:ascii="仿宋_GB2312" w:hAnsi="宋体" w:eastAsia="仿宋_GB2312" w:cs="Times New Roman"/>
          <w:color w:val="auto"/>
          <w:sz w:val="32"/>
          <w:szCs w:val="32"/>
          <w:lang w:val="zh-CN"/>
        </w:rPr>
        <w:t>月</w:t>
      </w:r>
      <w:r>
        <w:rPr>
          <w:rFonts w:hint="default" w:ascii="仿宋_GB2312" w:hAnsi="宋体" w:eastAsia="仿宋_GB2312" w:cs="Times New Roman"/>
          <w:color w:val="auto"/>
          <w:sz w:val="32"/>
          <w:szCs w:val="32"/>
          <w:lang w:val="en-US" w:eastAsia="zh-CN"/>
        </w:rPr>
        <w:t>26</w:t>
      </w:r>
      <w:r>
        <w:rPr>
          <w:rFonts w:hint="default" w:ascii="仿宋_GB2312" w:hAnsi="宋体" w:eastAsia="仿宋_GB2312" w:cs="Times New Roman"/>
          <w:color w:val="auto"/>
          <w:sz w:val="32"/>
          <w:szCs w:val="32"/>
          <w:lang w:val="zh-CN"/>
        </w:rPr>
        <w:t>日</w:t>
      </w:r>
      <w:r>
        <w:rPr>
          <w:rFonts w:hint="default" w:ascii="仿宋_GB2312" w:hAnsi="宋体" w:eastAsia="仿宋_GB2312" w:cs="Times New Roman"/>
          <w:color w:val="auto"/>
          <w:sz w:val="32"/>
          <w:szCs w:val="32"/>
          <w:lang w:val="zh-CN" w:eastAsia="zh-CN"/>
        </w:rPr>
        <w:t>，通过</w:t>
      </w:r>
      <w:r>
        <w:rPr>
          <w:rFonts w:hint="eastAsia" w:ascii="仿宋_GB2312" w:hAnsi="宋体" w:eastAsia="仿宋_GB2312" w:cs="Times New Roman"/>
          <w:color w:val="auto"/>
          <w:sz w:val="32"/>
          <w:szCs w:val="32"/>
          <w:lang w:val="en-US" w:eastAsia="zh-CN"/>
        </w:rPr>
        <w:t>阿州财</w:t>
      </w:r>
      <w:r>
        <w:rPr>
          <w:rFonts w:hint="default" w:ascii="仿宋_GB2312" w:hAnsi="宋体" w:eastAsia="仿宋_GB2312" w:cs="Times New Roman"/>
          <w:color w:val="auto"/>
          <w:sz w:val="32"/>
          <w:szCs w:val="32"/>
          <w:lang w:val="zh-CN" w:eastAsia="zh-CN"/>
        </w:rPr>
        <w:t>社</w:t>
      </w:r>
      <w:r>
        <w:rPr>
          <w:rFonts w:hint="default" w:ascii="仿宋_GB2312" w:hAnsi="宋体" w:eastAsia="仿宋_GB2312" w:cs="Times New Roman"/>
          <w:color w:val="auto"/>
          <w:sz w:val="32"/>
          <w:szCs w:val="32"/>
          <w:lang w:val="zh-CN"/>
        </w:rPr>
        <w:t>[20</w:t>
      </w:r>
      <w:r>
        <w:rPr>
          <w:rFonts w:hint="default" w:ascii="仿宋_GB2312" w:hAnsi="宋体" w:eastAsia="仿宋_GB2312" w:cs="Times New Roman"/>
          <w:color w:val="auto"/>
          <w:sz w:val="32"/>
          <w:szCs w:val="32"/>
          <w:lang w:val="en-US" w:eastAsia="zh-CN"/>
        </w:rPr>
        <w:t>21</w:t>
      </w:r>
      <w:r>
        <w:rPr>
          <w:rFonts w:hint="default" w:ascii="仿宋_GB2312" w:hAnsi="宋体" w:eastAsia="仿宋_GB2312" w:cs="Times New Roman"/>
          <w:color w:val="auto"/>
          <w:sz w:val="32"/>
          <w:szCs w:val="32"/>
          <w:lang w:val="zh-CN"/>
        </w:rPr>
        <w:t>]</w:t>
      </w:r>
      <w:r>
        <w:rPr>
          <w:rFonts w:hint="eastAsia" w:ascii="仿宋_GB2312" w:hAnsi="宋体" w:eastAsia="仿宋_GB2312" w:cs="Times New Roman"/>
          <w:color w:val="auto"/>
          <w:sz w:val="32"/>
          <w:szCs w:val="32"/>
          <w:lang w:val="en-US" w:eastAsia="zh-CN"/>
        </w:rPr>
        <w:t>71</w:t>
      </w:r>
      <w:r>
        <w:rPr>
          <w:rFonts w:hint="default" w:ascii="仿宋_GB2312" w:hAnsi="宋体" w:eastAsia="仿宋_GB2312" w:cs="Times New Roman"/>
          <w:color w:val="auto"/>
          <w:sz w:val="32"/>
          <w:szCs w:val="32"/>
          <w:lang w:val="en-US" w:eastAsia="zh-CN"/>
        </w:rPr>
        <w:t>号将</w:t>
      </w:r>
      <w:r>
        <w:rPr>
          <w:rFonts w:hint="eastAsia" w:ascii="仿宋_GB2312" w:hAnsi="宋体" w:eastAsia="仿宋_GB2312" w:cs="Times New Roman"/>
          <w:color w:val="auto"/>
          <w:sz w:val="32"/>
          <w:szCs w:val="32"/>
          <w:lang w:val="en-US" w:eastAsia="zh-CN"/>
        </w:rPr>
        <w:t>项目资金</w:t>
      </w:r>
      <w:r>
        <w:rPr>
          <w:rFonts w:hint="default" w:ascii="仿宋_GB2312" w:hAnsi="宋体" w:eastAsia="仿宋_GB2312" w:cs="Times New Roman"/>
          <w:color w:val="auto"/>
          <w:sz w:val="32"/>
          <w:szCs w:val="32"/>
          <w:lang w:val="zh-CN"/>
        </w:rPr>
        <w:t>资金</w:t>
      </w:r>
      <w:r>
        <w:rPr>
          <w:rFonts w:hint="default" w:ascii="仿宋_GB2312" w:hAnsi="宋体" w:eastAsia="仿宋_GB2312" w:cs="Times New Roman"/>
          <w:color w:val="auto"/>
          <w:sz w:val="32"/>
          <w:szCs w:val="32"/>
          <w:lang w:val="en-US" w:eastAsia="zh-CN"/>
        </w:rPr>
        <w:t>40.49</w:t>
      </w:r>
      <w:r>
        <w:rPr>
          <w:rFonts w:hint="default" w:ascii="仿宋_GB2312" w:hAnsi="宋体" w:eastAsia="仿宋_GB2312" w:cs="Times New Roman"/>
          <w:color w:val="auto"/>
          <w:sz w:val="32"/>
          <w:szCs w:val="32"/>
          <w:lang w:val="zh-CN"/>
        </w:rPr>
        <w:t>万元</w:t>
      </w:r>
      <w:r>
        <w:rPr>
          <w:rFonts w:hint="default" w:ascii="仿宋_GB2312" w:hAnsi="宋体" w:eastAsia="仿宋_GB2312" w:cs="Times New Roman"/>
          <w:color w:val="auto"/>
          <w:sz w:val="32"/>
          <w:szCs w:val="32"/>
          <w:lang w:val="zh-CN" w:eastAsia="zh-CN"/>
        </w:rPr>
        <w:t>下达至</w:t>
      </w:r>
      <w:r>
        <w:rPr>
          <w:rFonts w:hint="default" w:ascii="仿宋_GB2312" w:hAnsi="宋体" w:eastAsia="仿宋_GB2312" w:cs="Times New Roman"/>
          <w:color w:val="auto"/>
          <w:sz w:val="32"/>
          <w:szCs w:val="32"/>
          <w:lang w:val="zh-CN"/>
        </w:rPr>
        <w:t>我院，资金全部到位。</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rPr>
      </w:pPr>
      <w:r>
        <w:rPr>
          <w:rFonts w:ascii="楷体_GB2312" w:hAnsi="宋体" w:eastAsia="楷体_GB2312"/>
          <w:color w:val="auto"/>
          <w:sz w:val="32"/>
          <w:szCs w:val="32"/>
          <w:lang w:val="zh-CN"/>
        </w:rPr>
        <w:t>2</w:t>
      </w:r>
      <w:r>
        <w:rPr>
          <w:rFonts w:hint="eastAsia" w:ascii="楷体_GB2312" w:hAnsi="宋体" w:eastAsia="楷体_GB2312"/>
          <w:color w:val="auto"/>
          <w:sz w:val="32"/>
          <w:szCs w:val="32"/>
          <w:lang w:val="zh-CN"/>
        </w:rPr>
        <w:t>．资金到位。</w:t>
      </w:r>
      <w:r>
        <w:rPr>
          <w:rFonts w:hint="eastAsia" w:ascii="仿宋_GB2312" w:hAnsi="宋体" w:eastAsia="仿宋_GB2312" w:cs="Times New Roman"/>
          <w:color w:val="auto"/>
          <w:sz w:val="32"/>
          <w:szCs w:val="32"/>
          <w:lang w:val="en-US" w:eastAsia="zh-CN"/>
        </w:rPr>
        <w:t>根据县财政局下达该项目资金主要用于：更新</w:t>
      </w:r>
      <w:r>
        <w:rPr>
          <w:rFonts w:hint="default" w:ascii="仿宋_GB2312" w:hAnsi="宋体" w:eastAsia="仿宋_GB2312" w:cs="Times New Roman"/>
          <w:color w:val="auto"/>
          <w:sz w:val="32"/>
          <w:szCs w:val="32"/>
          <w:lang w:val="en-US" w:eastAsia="zh-CN"/>
        </w:rPr>
        <w:t>移动支付系统接口费用</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医保贯标升级改造接口改造经费</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基础设施建设：药房仓库维修维护费用、医保资料仓库维修维护、零星维修等费用</w:t>
      </w:r>
      <w:r>
        <w:rPr>
          <w:rFonts w:hint="eastAsia" w:ascii="仿宋_GB2312" w:hAnsi="宋体" w:eastAsia="仿宋_GB2312" w:cs="Times New Roman"/>
          <w:color w:val="auto"/>
          <w:sz w:val="32"/>
          <w:szCs w:val="32"/>
          <w:lang w:val="en-US" w:eastAsia="zh-CN"/>
        </w:rPr>
        <w:t>。</w:t>
      </w:r>
    </w:p>
    <w:p>
      <w:pPr>
        <w:adjustRightInd w:val="0"/>
        <w:snapToGrid w:val="0"/>
        <w:spacing w:line="600" w:lineRule="exact"/>
        <w:ind w:firstLine="720"/>
        <w:rPr>
          <w:rFonts w:hint="eastAsia" w:ascii="仿宋_GB2312" w:hAnsi="宋体" w:eastAsia="仿宋_GB2312"/>
          <w:color w:val="auto"/>
          <w:sz w:val="32"/>
          <w:szCs w:val="32"/>
          <w:lang w:val="en-US" w:eastAsia="zh-CN"/>
        </w:rPr>
      </w:pPr>
      <w:r>
        <w:rPr>
          <w:rFonts w:ascii="楷体_GB2312" w:hAnsi="宋体" w:eastAsia="楷体_GB2312"/>
          <w:color w:val="auto"/>
          <w:sz w:val="32"/>
          <w:szCs w:val="32"/>
          <w:lang w:val="zh-CN"/>
        </w:rPr>
        <w:t>3</w:t>
      </w:r>
      <w:r>
        <w:rPr>
          <w:rFonts w:hint="eastAsia" w:ascii="楷体_GB2312" w:hAnsi="宋体" w:eastAsia="楷体_GB2312"/>
          <w:color w:val="auto"/>
          <w:sz w:val="32"/>
          <w:szCs w:val="32"/>
          <w:lang w:val="zh-CN"/>
        </w:rPr>
        <w:t>．资金使用。</w:t>
      </w:r>
      <w:r>
        <w:rPr>
          <w:rFonts w:hint="eastAsia" w:ascii="仿宋_GB2312" w:hAnsi="宋体" w:eastAsia="仿宋_GB2312"/>
          <w:color w:val="auto"/>
          <w:sz w:val="32"/>
          <w:szCs w:val="32"/>
          <w:lang w:val="en-US" w:eastAsia="zh-CN"/>
        </w:rPr>
        <w:t>项目资金按照实施方案顺利进行，按时完成支付。</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（三）项目财务管理情况。</w:t>
      </w:r>
    </w:p>
    <w:p>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我院严格执行财务管理制度，对该项目资金采购的设备财务处理及时、会计核算规范。</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三、项目实施及管理情况</w:t>
      </w:r>
    </w:p>
    <w:p>
      <w:pPr>
        <w:adjustRightInd w:val="0"/>
        <w:snapToGrid w:val="0"/>
        <w:spacing w:line="600" w:lineRule="exact"/>
        <w:ind w:firstLine="72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zh-CN"/>
        </w:rPr>
        <w:t>我院收到该笔资金后</w:t>
      </w:r>
      <w:r>
        <w:rPr>
          <w:rFonts w:hint="eastAsia" w:ascii="仿宋_GB2312" w:hAnsi="宋体" w:eastAsia="仿宋_GB2312" w:cs="Times New Roman"/>
          <w:color w:val="auto"/>
          <w:sz w:val="32"/>
          <w:szCs w:val="32"/>
          <w:lang w:val="zh-CN" w:eastAsia="zh-CN"/>
        </w:rPr>
        <w:t>，</w:t>
      </w:r>
      <w:r>
        <w:rPr>
          <w:rFonts w:hint="eastAsia" w:ascii="仿宋_GB2312" w:hAnsi="宋体" w:eastAsia="仿宋_GB2312" w:cs="Times New Roman"/>
          <w:color w:val="auto"/>
          <w:sz w:val="32"/>
          <w:szCs w:val="32"/>
          <w:lang w:val="en-US" w:eastAsia="zh-CN"/>
        </w:rPr>
        <w:t>主要用于更新</w:t>
      </w:r>
      <w:r>
        <w:rPr>
          <w:rFonts w:hint="default" w:ascii="仿宋_GB2312" w:hAnsi="宋体" w:eastAsia="仿宋_GB2312" w:cs="Times New Roman"/>
          <w:color w:val="auto"/>
          <w:sz w:val="32"/>
          <w:szCs w:val="32"/>
          <w:lang w:val="en-US" w:eastAsia="zh-CN"/>
        </w:rPr>
        <w:t>移动支付系统接口费用</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医保贯标升级改造接口改造经费</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药房仓库维修维护费用、医保资料仓库维修维护、零星维修等</w:t>
      </w:r>
      <w:r>
        <w:rPr>
          <w:rFonts w:hint="eastAsia" w:ascii="仿宋_GB2312" w:hAnsi="宋体" w:eastAsia="仿宋_GB2312" w:cs="Times New Roman"/>
          <w:color w:val="auto"/>
          <w:sz w:val="32"/>
          <w:szCs w:val="32"/>
          <w:lang w:val="en-US" w:eastAsia="zh-CN"/>
        </w:rPr>
        <w:t>，制定项目实施方案，并严格按照项目实施方案精心组织实施。共支付40.49万元，现已完成项目100%目标。资金使用符合规定用途，无违法违规使用问题。</w:t>
      </w:r>
    </w:p>
    <w:p>
      <w:pPr>
        <w:adjustRightInd w:val="0"/>
        <w:snapToGrid w:val="0"/>
        <w:spacing w:line="600" w:lineRule="exact"/>
        <w:ind w:firstLine="720"/>
        <w:rPr>
          <w:rFonts w:ascii="仿宋_GB2312" w:hAnsi="宋体" w:eastAsia="仿宋_GB2312"/>
          <w:color w:val="auto"/>
          <w:sz w:val="32"/>
          <w:szCs w:val="32"/>
          <w:lang w:val="zh-CN"/>
        </w:rPr>
      </w:pPr>
      <w:r>
        <w:rPr>
          <w:rFonts w:hint="eastAsia" w:ascii="黑体" w:hAnsi="宋体" w:eastAsia="黑体"/>
          <w:color w:val="auto"/>
          <w:sz w:val="32"/>
          <w:szCs w:val="32"/>
        </w:rPr>
        <w:t>四、项目绩效情况</w:t>
      </w:r>
      <w:r>
        <w:rPr>
          <w:rFonts w:ascii="仿宋_GB2312" w:hAnsi="宋体" w:eastAsia="仿宋_GB2312"/>
          <w:color w:val="auto"/>
          <w:sz w:val="32"/>
          <w:szCs w:val="32"/>
          <w:lang w:val="zh-CN"/>
        </w:rPr>
        <w:tab/>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pPr>
        <w:adjustRightInd w:val="0"/>
        <w:snapToGrid w:val="0"/>
        <w:spacing w:line="600" w:lineRule="exact"/>
        <w:ind w:firstLine="720"/>
        <w:rPr>
          <w:rFonts w:hint="default"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en-US" w:eastAsia="zh-CN"/>
        </w:rPr>
        <w:t>该项目经费主要用于</w:t>
      </w:r>
      <w:r>
        <w:rPr>
          <w:rFonts w:hint="default" w:ascii="仿宋_GB2312" w:hAnsi="宋体" w:eastAsia="仿宋_GB2312" w:cs="Times New Roman"/>
          <w:color w:val="auto"/>
          <w:sz w:val="32"/>
          <w:szCs w:val="32"/>
          <w:lang w:val="en-US" w:eastAsia="zh-CN"/>
        </w:rPr>
        <w:t>移动支付系统接口费用</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医保贯标升级改造接口改造经费</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基础设施建设：药房仓库维修维护费用、医保资料仓库维修维护、零星维修等费用</w:t>
      </w:r>
      <w:r>
        <w:rPr>
          <w:rFonts w:hint="eastAsia" w:ascii="仿宋_GB2312" w:hAnsi="宋体" w:eastAsia="仿宋_GB2312" w:cs="Times New Roman"/>
          <w:color w:val="auto"/>
          <w:sz w:val="32"/>
          <w:szCs w:val="32"/>
          <w:lang w:val="en-US" w:eastAsia="zh-CN"/>
        </w:rPr>
        <w:t>。共支付40.49万元，现完成项目100%目标。</w:t>
      </w:r>
      <w:r>
        <w:rPr>
          <w:rFonts w:hint="default" w:ascii="仿宋_GB2312" w:hAnsi="宋体" w:eastAsia="仿宋_GB2312" w:cs="Times New Roman"/>
          <w:color w:val="auto"/>
          <w:sz w:val="32"/>
          <w:szCs w:val="32"/>
          <w:lang w:val="en-US" w:eastAsia="zh-CN"/>
        </w:rPr>
        <w:t>该项目共设置12个指标，其中：数量指标6个，质量指标1个，成本指标1个，时效指标1个；社会效益指标1个，可持续影响指标1个，满意度指标1个。该项目指标设置均符合项目特征。</w:t>
      </w:r>
    </w:p>
    <w:p>
      <w:pPr>
        <w:adjustRightInd w:val="0"/>
        <w:snapToGrid w:val="0"/>
        <w:spacing w:line="600" w:lineRule="exact"/>
        <w:ind w:firstLine="642" w:firstLineChars="20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pPr>
        <w:adjustRightInd w:val="0"/>
        <w:snapToGrid w:val="0"/>
        <w:spacing w:line="600" w:lineRule="exact"/>
        <w:ind w:firstLine="720"/>
        <w:rPr>
          <w:rFonts w:hint="eastAsia" w:ascii="仿宋_GB2312" w:hAnsi="宋体" w:eastAsia="仿宋_GB2312" w:cs="Times New Roman"/>
          <w:color w:val="auto"/>
          <w:sz w:val="32"/>
          <w:szCs w:val="32"/>
          <w:lang w:val="zh-CN"/>
        </w:rPr>
      </w:pPr>
      <w:r>
        <w:rPr>
          <w:rFonts w:hint="eastAsia" w:ascii="仿宋_GB2312" w:hAnsi="宋体" w:eastAsia="仿宋_GB2312" w:cs="Times New Roman"/>
          <w:color w:val="auto"/>
          <w:sz w:val="32"/>
          <w:szCs w:val="32"/>
          <w:lang w:val="en-US" w:eastAsia="zh-CN"/>
        </w:rPr>
        <w:t>该项目资金完成了</w:t>
      </w:r>
      <w:r>
        <w:rPr>
          <w:rFonts w:hint="default" w:ascii="仿宋_GB2312" w:hAnsi="宋体" w:eastAsia="仿宋_GB2312" w:cs="Times New Roman"/>
          <w:color w:val="auto"/>
          <w:sz w:val="32"/>
          <w:szCs w:val="32"/>
          <w:lang w:val="en-US" w:eastAsia="zh-CN"/>
        </w:rPr>
        <w:t>移动支付系统接口费用</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医保贯标升级改造接口改造经费</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sz w:val="32"/>
          <w:szCs w:val="32"/>
          <w:lang w:val="en-US" w:eastAsia="zh-CN"/>
        </w:rPr>
        <w:t>基础设施建设：药房仓库维修维护费用、医保资料仓库维修维护、零星维修等</w:t>
      </w:r>
      <w:r>
        <w:rPr>
          <w:rFonts w:hint="eastAsia" w:ascii="仿宋_GB2312" w:hAnsi="宋体" w:eastAsia="仿宋_GB2312" w:cs="Times New Roman"/>
          <w:color w:val="auto"/>
          <w:sz w:val="32"/>
          <w:szCs w:val="32"/>
          <w:lang w:val="en-US" w:eastAsia="zh-CN"/>
        </w:rPr>
        <w:t>。该项目对于医院发展可持续效果良好；该项目预期服务对象对项目的满意度良好；稳步提升医疗服务能力；提升人才队伍建设、医务人员技能和为患者服务的能力、基础设施进一步改善；更好的为壤塘县农牧民提供医疗服务，同时也提高了就诊患者对医院的认可度及满意度，增加了看病就医的体验感（舒适度）</w:t>
      </w:r>
      <w:r>
        <w:rPr>
          <w:rFonts w:hint="eastAsia" w:ascii="仿宋_GB2312" w:hAnsi="宋体" w:eastAsia="仿宋_GB2312" w:cs="Times New Roman"/>
          <w:color w:val="auto"/>
          <w:sz w:val="32"/>
          <w:szCs w:val="32"/>
          <w:lang w:val="zh-CN"/>
        </w:rPr>
        <w:t>。</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五、评价结论及建议</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pPr>
        <w:adjustRightInd w:val="0"/>
        <w:snapToGrid w:val="0"/>
        <w:spacing w:line="600" w:lineRule="exact"/>
        <w:ind w:firstLine="640" w:firstLineChars="200"/>
        <w:rPr>
          <w:rFonts w:hint="eastAsia" w:ascii="仿宋_GB2312" w:hAnsi="宋体" w:eastAsia="仿宋_GB2312" w:cs="Times New Roman"/>
          <w:color w:val="auto"/>
          <w:sz w:val="32"/>
          <w:szCs w:val="32"/>
          <w:lang w:val="zh-CN"/>
        </w:rPr>
      </w:pPr>
      <w:r>
        <w:rPr>
          <w:rFonts w:hint="eastAsia" w:ascii="仿宋_GB2312" w:hAnsi="宋体" w:eastAsia="仿宋_GB2312" w:cs="Times New Roman"/>
          <w:color w:val="auto"/>
          <w:sz w:val="32"/>
          <w:szCs w:val="32"/>
          <w:lang w:val="en-US" w:eastAsia="zh-CN"/>
        </w:rPr>
        <w:t>2021年度医疗服务能力提升补助资金（县级公立医院综合改革能力提升补助资金）项目</w:t>
      </w:r>
      <w:r>
        <w:rPr>
          <w:rFonts w:hint="eastAsia" w:ascii="仿宋_GB2312" w:hAnsi="宋体" w:eastAsia="仿宋_GB2312" w:cs="Times New Roman"/>
          <w:color w:val="auto"/>
          <w:sz w:val="32"/>
          <w:szCs w:val="32"/>
          <w:lang w:val="zh-CN"/>
        </w:rPr>
        <w:t>绩效评价自查自评结果良好，</w:t>
      </w:r>
      <w:r>
        <w:rPr>
          <w:rFonts w:hint="eastAsia" w:ascii="仿宋_GB2312" w:hAnsi="宋体" w:eastAsia="仿宋_GB2312" w:cs="Times New Roman"/>
          <w:color w:val="auto"/>
          <w:sz w:val="32"/>
          <w:szCs w:val="32"/>
          <w:lang w:val="en-US" w:eastAsia="zh-CN"/>
        </w:rPr>
        <w:t>该项目对于医院发展可持续效果良好；该项目预期服务对象对项目的满意度良好；稳步提升医疗服务能力；提升人才队伍建设、医务人员技能和为患者服务的能力、基础设施进一步改善；更好的为壤塘县农牧民提供医疗服务，同时也提高了就诊患者对医院的认可度及满意度，增加了看病就医的体验感</w:t>
      </w:r>
      <w:r>
        <w:rPr>
          <w:rFonts w:hint="eastAsia" w:ascii="仿宋_GB2312" w:hAnsi="宋体" w:eastAsia="仿宋_GB2312" w:cs="Times New Roman"/>
          <w:color w:val="auto"/>
          <w:sz w:val="32"/>
          <w:szCs w:val="32"/>
          <w:lang w:val="zh-CN"/>
        </w:rPr>
        <w:t>，达到预期绩效目标。</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（二）存在的问题。</w:t>
      </w:r>
    </w:p>
    <w:p>
      <w:p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en-US" w:eastAsia="zh-CN"/>
        </w:rPr>
        <w:t>无</w:t>
      </w:r>
      <w:r>
        <w:rPr>
          <w:rFonts w:ascii="仿宋_GB2312" w:hAnsi="宋体" w:eastAsia="仿宋_GB2312"/>
          <w:color w:val="auto"/>
          <w:sz w:val="32"/>
          <w:szCs w:val="32"/>
          <w:lang w:val="zh-CN"/>
        </w:rPr>
        <w:tab/>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pPr>
        <w:spacing w:line="580" w:lineRule="exact"/>
        <w:ind w:firstLine="640"/>
        <w:rPr>
          <w:rFonts w:hint="eastAsia" w:ascii="仿宋_GB2312" w:hAnsi="仿宋_GB2312" w:eastAsia="仿宋_GB2312" w:cs="仿宋_GB2312"/>
          <w:color w:val="auto"/>
          <w:sz w:val="32"/>
          <w:szCs w:val="32"/>
          <w:lang w:eastAsia="zh-CN"/>
        </w:rPr>
      </w:pPr>
      <w:r>
        <w:rPr>
          <w:rFonts w:hint="eastAsia" w:ascii="仿宋_GB2312" w:hAnsi="宋体" w:eastAsia="仿宋_GB2312"/>
          <w:color w:val="auto"/>
          <w:sz w:val="32"/>
          <w:szCs w:val="32"/>
          <w:lang w:val="en-US" w:eastAsia="zh-CN"/>
        </w:rPr>
        <w:t>无</w:t>
      </w:r>
    </w:p>
    <w:p>
      <w:pPr>
        <w:widowControl/>
        <w:jc w:val="left"/>
        <w:rPr>
          <w:rStyle w:val="25"/>
          <w:rFonts w:ascii="黑体" w:hAnsi="黑体" w:eastAsia="黑体"/>
          <w:b w:val="0"/>
          <w:color w:val="0070C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bookmarkStart w:id="122" w:name="_Toc79163635"/>
      <w:bookmarkStart w:id="123" w:name="_Toc28988"/>
      <w:bookmarkStart w:id="124" w:name="_Toc15396618"/>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10"/>
      <w:bookmarkEnd w:id="122"/>
      <w:bookmarkEnd w:id="123"/>
      <w:bookmarkEnd w:id="124"/>
    </w:p>
    <w:p>
      <w:pPr>
        <w:pStyle w:val="5"/>
        <w:rPr>
          <w:rFonts w:ascii="仿宋" w:hAnsi="仿宋" w:eastAsia="仿宋"/>
          <w:color w:val="000000"/>
        </w:rPr>
      </w:pPr>
      <w:bookmarkStart w:id="125" w:name="_Toc8870"/>
      <w:bookmarkStart w:id="126" w:name="_Toc15396619"/>
      <w:bookmarkStart w:id="127" w:name="_Toc79163636"/>
      <w:r>
        <w:rPr>
          <w:rFonts w:hint="eastAsia" w:ascii="仿宋" w:hAnsi="仿宋" w:eastAsia="仿宋"/>
          <w:b w:val="0"/>
          <w:color w:val="000000"/>
        </w:rPr>
        <w:t>一、收</w:t>
      </w:r>
      <w:r>
        <w:rPr>
          <w:rStyle w:val="26"/>
          <w:rFonts w:hint="eastAsia" w:ascii="仿宋" w:hAnsi="仿宋" w:eastAsia="仿宋"/>
          <w:b w:val="0"/>
          <w:bCs w:val="0"/>
        </w:rPr>
        <w:t>入支出决算总表</w:t>
      </w:r>
      <w:bookmarkEnd w:id="125"/>
      <w:bookmarkEnd w:id="126"/>
      <w:bookmarkEnd w:id="127"/>
    </w:p>
    <w:p>
      <w:pPr>
        <w:pStyle w:val="5"/>
        <w:rPr>
          <w:rFonts w:ascii="仿宋" w:hAnsi="仿宋" w:eastAsia="仿宋"/>
          <w:color w:val="000000"/>
        </w:rPr>
      </w:pPr>
      <w:bookmarkStart w:id="128" w:name="_Toc15396620"/>
      <w:bookmarkStart w:id="129" w:name="_Toc17958"/>
      <w:bookmarkStart w:id="130" w:name="_Toc79163637"/>
      <w:r>
        <w:rPr>
          <w:rFonts w:hint="eastAsia" w:ascii="仿宋" w:hAnsi="仿宋" w:eastAsia="仿宋"/>
          <w:b w:val="0"/>
          <w:color w:val="000000"/>
        </w:rPr>
        <w:t>二、收</w:t>
      </w:r>
      <w:r>
        <w:rPr>
          <w:rStyle w:val="26"/>
          <w:rFonts w:hint="eastAsia" w:ascii="仿宋" w:hAnsi="仿宋" w:eastAsia="仿宋"/>
          <w:b w:val="0"/>
          <w:bCs w:val="0"/>
        </w:rPr>
        <w:t>入决算表</w:t>
      </w:r>
      <w:bookmarkEnd w:id="128"/>
      <w:bookmarkEnd w:id="129"/>
      <w:bookmarkEnd w:id="130"/>
    </w:p>
    <w:p>
      <w:pPr>
        <w:pStyle w:val="5"/>
        <w:rPr>
          <w:rFonts w:ascii="仿宋" w:hAnsi="仿宋" w:eastAsia="仿宋"/>
          <w:color w:val="000000"/>
        </w:rPr>
      </w:pPr>
      <w:bookmarkStart w:id="131" w:name="_Toc15396621"/>
      <w:bookmarkStart w:id="132" w:name="_Toc22048"/>
      <w:bookmarkStart w:id="133" w:name="_Toc7916363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31"/>
      <w:bookmarkEnd w:id="132"/>
      <w:bookmarkEnd w:id="133"/>
    </w:p>
    <w:p>
      <w:pPr>
        <w:pStyle w:val="5"/>
        <w:rPr>
          <w:rFonts w:ascii="仿宋" w:hAnsi="仿宋" w:eastAsia="仿宋"/>
          <w:b w:val="0"/>
          <w:color w:val="000000"/>
        </w:rPr>
      </w:pPr>
      <w:bookmarkStart w:id="134" w:name="_Toc4532"/>
      <w:bookmarkStart w:id="135" w:name="_Toc15396622"/>
      <w:bookmarkStart w:id="136" w:name="_Toc7916363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34"/>
      <w:bookmarkEnd w:id="135"/>
      <w:bookmarkEnd w:id="136"/>
    </w:p>
    <w:p>
      <w:pPr>
        <w:pStyle w:val="5"/>
        <w:rPr>
          <w:rStyle w:val="26"/>
          <w:rFonts w:ascii="仿宋" w:hAnsi="仿宋" w:eastAsia="仿宋"/>
          <w:b w:val="0"/>
          <w:bCs w:val="0"/>
        </w:rPr>
      </w:pPr>
      <w:bookmarkStart w:id="137" w:name="_Toc15396623"/>
      <w:bookmarkStart w:id="138" w:name="_Toc19362"/>
      <w:bookmarkStart w:id="139" w:name="_Toc79163640"/>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37"/>
      <w:bookmarkEnd w:id="138"/>
      <w:bookmarkEnd w:id="139"/>
      <w:bookmarkStart w:id="140" w:name="_Toc15396624"/>
    </w:p>
    <w:p>
      <w:pPr>
        <w:pStyle w:val="5"/>
        <w:rPr>
          <w:rFonts w:ascii="仿宋" w:hAnsi="仿宋" w:eastAsia="仿宋"/>
          <w:color w:val="000000"/>
        </w:rPr>
      </w:pPr>
      <w:bookmarkStart w:id="141" w:name="_Toc2635"/>
      <w:bookmarkStart w:id="142" w:name="_Toc7916364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40"/>
      <w:bookmarkEnd w:id="141"/>
      <w:bookmarkEnd w:id="142"/>
    </w:p>
    <w:p>
      <w:pPr>
        <w:pStyle w:val="5"/>
        <w:rPr>
          <w:rFonts w:ascii="仿宋" w:hAnsi="仿宋" w:eastAsia="仿宋"/>
          <w:color w:val="000000"/>
        </w:rPr>
      </w:pPr>
      <w:bookmarkStart w:id="143" w:name="_Toc79163642"/>
      <w:bookmarkStart w:id="144" w:name="_Toc12712"/>
      <w:bookmarkStart w:id="14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43"/>
      <w:bookmarkEnd w:id="144"/>
      <w:bookmarkEnd w:id="145"/>
    </w:p>
    <w:p>
      <w:pPr>
        <w:pStyle w:val="5"/>
        <w:rPr>
          <w:rFonts w:ascii="仿宋" w:hAnsi="仿宋" w:eastAsia="仿宋"/>
          <w:color w:val="000000"/>
        </w:rPr>
      </w:pPr>
      <w:bookmarkStart w:id="146" w:name="_Toc79163643"/>
      <w:bookmarkStart w:id="147" w:name="_Toc22390"/>
      <w:bookmarkStart w:id="148"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46"/>
      <w:bookmarkEnd w:id="147"/>
      <w:bookmarkEnd w:id="148"/>
    </w:p>
    <w:p>
      <w:pPr>
        <w:pStyle w:val="5"/>
        <w:rPr>
          <w:rFonts w:ascii="仿宋" w:hAnsi="仿宋" w:eastAsia="仿宋"/>
          <w:color w:val="000000"/>
        </w:rPr>
      </w:pPr>
      <w:bookmarkStart w:id="149" w:name="_Toc139"/>
      <w:bookmarkStart w:id="150" w:name="_Toc79163644"/>
      <w:bookmarkStart w:id="151"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49"/>
      <w:bookmarkEnd w:id="150"/>
      <w:bookmarkEnd w:id="151"/>
    </w:p>
    <w:p>
      <w:pPr>
        <w:pStyle w:val="5"/>
        <w:rPr>
          <w:rFonts w:ascii="仿宋" w:hAnsi="仿宋" w:eastAsia="仿宋"/>
          <w:color w:val="000000"/>
        </w:rPr>
      </w:pPr>
      <w:bookmarkStart w:id="152" w:name="_Toc11073"/>
      <w:bookmarkStart w:id="153" w:name="_Toc15396628"/>
      <w:bookmarkStart w:id="154" w:name="_Toc79163645"/>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52"/>
      <w:bookmarkEnd w:id="153"/>
      <w:bookmarkEnd w:id="154"/>
    </w:p>
    <w:p>
      <w:pPr>
        <w:pStyle w:val="5"/>
        <w:rPr>
          <w:rFonts w:ascii="仿宋" w:hAnsi="仿宋" w:eastAsia="仿宋"/>
          <w:color w:val="000000"/>
        </w:rPr>
      </w:pPr>
      <w:bookmarkStart w:id="155" w:name="_Toc6386"/>
      <w:bookmarkStart w:id="156" w:name="_Toc79163646"/>
      <w:bookmarkStart w:id="157"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55"/>
      <w:bookmarkEnd w:id="156"/>
      <w:bookmarkEnd w:id="157"/>
    </w:p>
    <w:p>
      <w:pPr>
        <w:pStyle w:val="5"/>
        <w:rPr>
          <w:rFonts w:ascii="仿宋" w:hAnsi="仿宋" w:eastAsia="仿宋"/>
          <w:color w:val="000000"/>
        </w:rPr>
      </w:pPr>
      <w:bookmarkStart w:id="158" w:name="_Toc10067"/>
      <w:bookmarkStart w:id="159" w:name="_Toc15396630"/>
      <w:bookmarkStart w:id="160" w:name="_Toc79163647"/>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58"/>
      <w:bookmarkEnd w:id="159"/>
      <w:bookmarkEnd w:id="160"/>
    </w:p>
    <w:p>
      <w:pPr>
        <w:pStyle w:val="5"/>
        <w:rPr>
          <w:rStyle w:val="26"/>
          <w:rFonts w:ascii="仿宋" w:hAnsi="仿宋" w:eastAsia="仿宋"/>
          <w:b w:val="0"/>
          <w:bCs w:val="0"/>
        </w:rPr>
      </w:pPr>
      <w:bookmarkStart w:id="161" w:name="_Toc15396631"/>
      <w:bookmarkStart w:id="162" w:name="_Toc79163648"/>
      <w:bookmarkStart w:id="163" w:name="_Toc21247"/>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bookmarkEnd w:id="161"/>
      <w:bookmarkEnd w:id="162"/>
      <w:bookmarkEnd w:id="163"/>
    </w:p>
    <w:p>
      <w:pPr>
        <w:pStyle w:val="5"/>
        <w:rPr>
          <w:rStyle w:val="26"/>
          <w:rFonts w:ascii="仿宋" w:hAnsi="仿宋" w:eastAsia="仿宋"/>
          <w:b w:val="0"/>
          <w:bCs w:val="0"/>
        </w:rPr>
      </w:pPr>
      <w:bookmarkStart w:id="164" w:name="_Toc29695"/>
      <w:bookmarkStart w:id="165" w:name="_Toc79163649"/>
      <w:r>
        <w:rPr>
          <w:rStyle w:val="26"/>
          <w:rFonts w:hint="eastAsia" w:ascii="仿宋" w:hAnsi="仿宋" w:eastAsia="仿宋"/>
          <w:b w:val="0"/>
          <w:bCs w:val="0"/>
        </w:rPr>
        <w:t>十四、国有资本经营预算财政拨款支出决算表</w:t>
      </w:r>
      <w:bookmarkEnd w:id="164"/>
      <w:bookmarkEnd w:id="16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25</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A721D"/>
    <w:multiLevelType w:val="singleLevel"/>
    <w:tmpl w:val="A35A721D"/>
    <w:lvl w:ilvl="0" w:tentative="0">
      <w:start w:val="3"/>
      <w:numFmt w:val="chineseCounting"/>
      <w:suff w:val="nothing"/>
      <w:lvlText w:val="（%1）"/>
      <w:lvlJc w:val="left"/>
      <w:rPr>
        <w:rFonts w:hint="eastAsia"/>
      </w:rPr>
    </w:lvl>
  </w:abstractNum>
  <w:abstractNum w:abstractNumId="1">
    <w:nsid w:val="B897678D"/>
    <w:multiLevelType w:val="singleLevel"/>
    <w:tmpl w:val="B897678D"/>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D15E100A"/>
    <w:multiLevelType w:val="singleLevel"/>
    <w:tmpl w:val="D15E100A"/>
    <w:lvl w:ilvl="0" w:tentative="0">
      <w:start w:val="12"/>
      <w:numFmt w:val="decimal"/>
      <w:lvlText w:val="%1."/>
      <w:lvlJc w:val="left"/>
      <w:pPr>
        <w:tabs>
          <w:tab w:val="left" w:pos="312"/>
        </w:tabs>
      </w:pPr>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29EFE2AF"/>
    <w:multiLevelType w:val="singleLevel"/>
    <w:tmpl w:val="29EFE2AF"/>
    <w:lvl w:ilvl="0" w:tentative="0">
      <w:start w:val="7"/>
      <w:numFmt w:val="decimal"/>
      <w:lvlText w:val="%1."/>
      <w:lvlJc w:val="left"/>
      <w:pPr>
        <w:tabs>
          <w:tab w:val="left" w:pos="312"/>
        </w:tabs>
        <w:ind w:left="-13"/>
      </w:p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M3ZmFlMTExYTUzM2I1ZjRlZmNiMTNmZTBjMjZiO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A75466"/>
    <w:rsid w:val="01B04614"/>
    <w:rsid w:val="03204088"/>
    <w:rsid w:val="040B5974"/>
    <w:rsid w:val="045F303F"/>
    <w:rsid w:val="04A40A52"/>
    <w:rsid w:val="05E27DC7"/>
    <w:rsid w:val="099B5F30"/>
    <w:rsid w:val="09D11529"/>
    <w:rsid w:val="0A2032A3"/>
    <w:rsid w:val="0C1C1816"/>
    <w:rsid w:val="0E416DB8"/>
    <w:rsid w:val="0E8B1FB8"/>
    <w:rsid w:val="10C055FF"/>
    <w:rsid w:val="10F10783"/>
    <w:rsid w:val="118107EC"/>
    <w:rsid w:val="12325DDA"/>
    <w:rsid w:val="12551AA5"/>
    <w:rsid w:val="13ED31AC"/>
    <w:rsid w:val="14BD7FD8"/>
    <w:rsid w:val="16BB723D"/>
    <w:rsid w:val="18DC777A"/>
    <w:rsid w:val="1B010554"/>
    <w:rsid w:val="1B891FB6"/>
    <w:rsid w:val="1D155CEE"/>
    <w:rsid w:val="1E4569AA"/>
    <w:rsid w:val="1EAE454F"/>
    <w:rsid w:val="1EC64443"/>
    <w:rsid w:val="201A052D"/>
    <w:rsid w:val="20F621DE"/>
    <w:rsid w:val="23EE246C"/>
    <w:rsid w:val="240371BF"/>
    <w:rsid w:val="251827E2"/>
    <w:rsid w:val="25D80104"/>
    <w:rsid w:val="26EC14E4"/>
    <w:rsid w:val="274E65B0"/>
    <w:rsid w:val="297D3A7D"/>
    <w:rsid w:val="29FD04D3"/>
    <w:rsid w:val="2A1A3608"/>
    <w:rsid w:val="2AFE7172"/>
    <w:rsid w:val="2B163BA8"/>
    <w:rsid w:val="2BEE0A5A"/>
    <w:rsid w:val="2C5659CB"/>
    <w:rsid w:val="2D6D7CCB"/>
    <w:rsid w:val="2DB33930"/>
    <w:rsid w:val="30372418"/>
    <w:rsid w:val="30450A8C"/>
    <w:rsid w:val="30601421"/>
    <w:rsid w:val="30C34087"/>
    <w:rsid w:val="30E1475F"/>
    <w:rsid w:val="317258B0"/>
    <w:rsid w:val="319F7F4E"/>
    <w:rsid w:val="326B7F22"/>
    <w:rsid w:val="34767465"/>
    <w:rsid w:val="34B31905"/>
    <w:rsid w:val="36706CE9"/>
    <w:rsid w:val="37476E97"/>
    <w:rsid w:val="376746D0"/>
    <w:rsid w:val="3B181276"/>
    <w:rsid w:val="3E6B5B61"/>
    <w:rsid w:val="3EE85107"/>
    <w:rsid w:val="3FC60AAB"/>
    <w:rsid w:val="3FC77F2E"/>
    <w:rsid w:val="40153FD6"/>
    <w:rsid w:val="40540A08"/>
    <w:rsid w:val="40C95DB1"/>
    <w:rsid w:val="41953D34"/>
    <w:rsid w:val="41DC4ACF"/>
    <w:rsid w:val="432951B1"/>
    <w:rsid w:val="434B7302"/>
    <w:rsid w:val="43DE0B83"/>
    <w:rsid w:val="440920A4"/>
    <w:rsid w:val="46A674E4"/>
    <w:rsid w:val="46CE372E"/>
    <w:rsid w:val="46ED2549"/>
    <w:rsid w:val="4711394C"/>
    <w:rsid w:val="48BB0BE9"/>
    <w:rsid w:val="48F935F6"/>
    <w:rsid w:val="493E459E"/>
    <w:rsid w:val="49556DEB"/>
    <w:rsid w:val="49785C10"/>
    <w:rsid w:val="4B187071"/>
    <w:rsid w:val="4D387EC3"/>
    <w:rsid w:val="4DAE5A6A"/>
    <w:rsid w:val="4ECE2238"/>
    <w:rsid w:val="4ED02613"/>
    <w:rsid w:val="4F0F6D4C"/>
    <w:rsid w:val="4F585831"/>
    <w:rsid w:val="4FDE5EB6"/>
    <w:rsid w:val="50CB5C58"/>
    <w:rsid w:val="527D6C13"/>
    <w:rsid w:val="537868FE"/>
    <w:rsid w:val="566D1A04"/>
    <w:rsid w:val="56EA65FB"/>
    <w:rsid w:val="57E91B79"/>
    <w:rsid w:val="57FC08F2"/>
    <w:rsid w:val="59CB48FD"/>
    <w:rsid w:val="59E10A7D"/>
    <w:rsid w:val="5A7C4F26"/>
    <w:rsid w:val="5AB50438"/>
    <w:rsid w:val="5BDB56B1"/>
    <w:rsid w:val="5D614E3F"/>
    <w:rsid w:val="5D85422D"/>
    <w:rsid w:val="5DCF2D51"/>
    <w:rsid w:val="5EF613A0"/>
    <w:rsid w:val="5F5D7DC0"/>
    <w:rsid w:val="5F6C2205"/>
    <w:rsid w:val="60912DAE"/>
    <w:rsid w:val="613F28B1"/>
    <w:rsid w:val="63832F92"/>
    <w:rsid w:val="63E47698"/>
    <w:rsid w:val="686E1002"/>
    <w:rsid w:val="6B317416"/>
    <w:rsid w:val="6C4A05C8"/>
    <w:rsid w:val="6CE648FE"/>
    <w:rsid w:val="6D4C3C15"/>
    <w:rsid w:val="6DF82239"/>
    <w:rsid w:val="6E1D32AE"/>
    <w:rsid w:val="6E596BEB"/>
    <w:rsid w:val="6E66587A"/>
    <w:rsid w:val="6EB6635C"/>
    <w:rsid w:val="70D72A5F"/>
    <w:rsid w:val="71F30B03"/>
    <w:rsid w:val="722A0845"/>
    <w:rsid w:val="72342018"/>
    <w:rsid w:val="72734D90"/>
    <w:rsid w:val="72895CE2"/>
    <w:rsid w:val="728C5D71"/>
    <w:rsid w:val="78AE679B"/>
    <w:rsid w:val="7AAF0901"/>
    <w:rsid w:val="7BED508F"/>
    <w:rsid w:val="7D0E333A"/>
    <w:rsid w:val="7D7E0518"/>
    <w:rsid w:val="7DB157C1"/>
    <w:rsid w:val="7DEA37C5"/>
    <w:rsid w:val="7DF82266"/>
    <w:rsid w:val="7F8824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next w:val="2"/>
    <w:qFormat/>
    <w:uiPriority w:val="0"/>
    <w:pPr>
      <w:spacing w:after="120"/>
      <w:ind w:left="420" w:leftChars="2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4"/>
    <w:qFormat/>
    <w:uiPriority w:val="99"/>
    <w:pPr>
      <w:spacing w:beforeLines="30"/>
    </w:pPr>
    <w:rPr>
      <w:rFonts w:ascii="仿宋_GB2312" w:eastAsia="仿宋_GB2312"/>
      <w:kern w:val="0"/>
      <w:sz w:val="24"/>
      <w:szCs w:val="20"/>
      <w:lang w:val="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semiHidden/>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Char"/>
    <w:basedOn w:val="22"/>
    <w:link w:val="4"/>
    <w:qFormat/>
    <w:locked/>
    <w:uiPriority w:val="9"/>
    <w:rPr>
      <w:rFonts w:ascii="Times New Roman" w:hAnsi="Times New Roman" w:cs="Times New Roman"/>
      <w:b/>
      <w:bCs/>
      <w:kern w:val="44"/>
      <w:sz w:val="44"/>
      <w:szCs w:val="44"/>
    </w:rPr>
  </w:style>
  <w:style w:type="character" w:customStyle="1" w:styleId="26">
    <w:name w:val="标题 2 Char"/>
    <w:basedOn w:val="22"/>
    <w:link w:val="5"/>
    <w:qFormat/>
    <w:locked/>
    <w:uiPriority w:val="9"/>
    <w:rPr>
      <w:rFonts w:ascii="Cambria" w:hAnsi="Cambria" w:eastAsia="宋体" w:cs="Times New Roman"/>
      <w:b/>
      <w:bCs/>
      <w:kern w:val="2"/>
      <w:sz w:val="32"/>
      <w:szCs w:val="32"/>
    </w:rPr>
  </w:style>
  <w:style w:type="character" w:customStyle="1" w:styleId="27">
    <w:name w:val="标题 3 Char"/>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Char"/>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Char"/>
    <w:link w:val="14"/>
    <w:semiHidden/>
    <w:qFormat/>
    <w:locked/>
    <w:uiPriority w:val="99"/>
    <w:rPr>
      <w:sz w:val="18"/>
    </w:rPr>
  </w:style>
  <w:style w:type="character" w:customStyle="1" w:styleId="33">
    <w:name w:val="页脚 Char"/>
    <w:link w:val="13"/>
    <w:qFormat/>
    <w:locked/>
    <w:uiPriority w:val="99"/>
    <w:rPr>
      <w:sz w:val="18"/>
    </w:rPr>
  </w:style>
  <w:style w:type="character" w:customStyle="1" w:styleId="34">
    <w:name w:val="正文文本 Char"/>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1.xml"/><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2021&#24180;&#20915;&#31639;&#20844;&#24320;&#36164;&#26009;&#26410;&#23436;&#25104;\2021&#24180;&#37096;&#38376;&#20915;&#31639;&#20844;&#24320;&#65288;&#26609;&#29366;&#22270;&#6528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'[2021年部门决算公开（柱状图）2.xlsx]Sheet1'!$A$21</c:f>
              <c:strCache>
                <c:ptCount val="1"/>
                <c:pt idx="0">
                  <c:v>2021年一般公共预算财政拨款支出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'[2021年部门决算公开（柱状图）2.xlsx]Sheet1'!$B$20:$E$20</c:f>
              <c:strCache>
                <c:ptCount val="4"/>
                <c:pt idx="0">
                  <c:v>社会保障和就业（类）支出（万元）</c:v>
                </c:pt>
                <c:pt idx="1">
                  <c:v>卫生健康支出</c:v>
                </c:pt>
                <c:pt idx="2">
                  <c:v>教育支出（万元）</c:v>
                </c:pt>
                <c:pt idx="3">
                  <c:v>住房保障支出（万元）</c:v>
                </c:pt>
              </c:strCache>
            </c:strRef>
          </c:cat>
          <c:val>
            <c:numRef>
              <c:f>'[2021年部门决算公开（柱状图）2.xlsx]Sheet1'!$B$21:$E$21</c:f>
              <c:numCache>
                <c:formatCode>General</c:formatCode>
                <c:ptCount val="4"/>
                <c:pt idx="0">
                  <c:v>226.02</c:v>
                </c:pt>
                <c:pt idx="1">
                  <c:v>1849.26</c:v>
                </c:pt>
                <c:pt idx="2" c:formatCode="0.00_ ">
                  <c:v>3</c:v>
                </c:pt>
                <c:pt idx="3">
                  <c:v>149.73</c:v>
                </c:pt>
              </c:numCache>
            </c:numRef>
          </c:val>
        </c:ser>
        <c:ser>
          <c:idx val="1"/>
          <c:order val="1"/>
          <c:tx>
            <c:strRef>
              <c:f>'[2021年部门决算公开（柱状图）2.xlsx]Sheet1'!$A$22</c:f>
              <c:strCache>
                <c:ptCount val="1"/>
                <c:pt idx="0">
                  <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'[2021年部门决算公开（柱状图）2.xlsx]Sheet1'!$B$20:$E$20</c:f>
              <c:strCache>
                <c:ptCount val="4"/>
                <c:pt idx="0">
                  <c:v>社会保障和就业（类）支出（万元）</c:v>
                </c:pt>
                <c:pt idx="1">
                  <c:v>卫生健康支出</c:v>
                </c:pt>
                <c:pt idx="2">
                  <c:v>教育支出（万元）</c:v>
                </c:pt>
                <c:pt idx="3">
                  <c:v>住房保障支出（万元）</c:v>
                </c:pt>
              </c:strCache>
            </c:strRef>
          </c:cat>
          <c:val>
            <c:numRef>
              <c:f>'[2021年部门决算公开（柱状图）2.xlsx]Sheet1'!$B$22:$E$22</c:f>
              <c:numCache>
                <c:formatCode>General</c:formatCode>
                <c:ptCount val="4"/>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11348</Words>
  <Characters>12351</Characters>
  <Lines>74</Lines>
  <Paragraphs>21</Paragraphs>
  <TotalTime>1</TotalTime>
  <ScaleCrop>false</ScaleCrop>
  <LinksUpToDate>false</LinksUpToDate>
  <CharactersWithSpaces>12520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ʚ小 画月牙 ིྀɞ</cp:lastModifiedBy>
  <cp:lastPrinted>2022-10-21T19:56:00Z</cp:lastPrinted>
  <dcterms:modified xsi:type="dcterms:W3CDTF">2022-10-21T16:25:44Z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58DA53CC62FF474196A039118A0D234A</vt:lpwstr>
  </property>
</Properties>
</file>