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黑体" w:eastAsia="黑体" w:cs="Times New Roman"/>
          <w:sz w:val="44"/>
          <w:szCs w:val="44"/>
        </w:rPr>
      </w:pPr>
    </w:p>
    <w:p>
      <w:pPr>
        <w:jc w:val="center"/>
        <w:rPr>
          <w:rFonts w:ascii="黑体" w:eastAsia="黑体" w:cs="Times New Roman"/>
          <w:sz w:val="72"/>
          <w:szCs w:val="72"/>
        </w:rPr>
      </w:pPr>
      <w:bookmarkStart w:id="0" w:name="_GoBack"/>
      <w:r>
        <w:rPr>
          <w:rFonts w:ascii="黑体" w:eastAsia="黑体" w:cs="黑体" w:hint="eastAsia"/>
          <w:sz w:val="72"/>
          <w:szCs w:val="72"/>
        </w:rPr>
        <w:t>壤塘县行政审批局</w:t>
      </w:r>
      <w:r>
        <w:rPr>
          <w:rFonts w:ascii="黑体" w:eastAsia="黑体" w:cs="黑体"/>
          <w:sz w:val="72"/>
          <w:szCs w:val="72"/>
        </w:rPr>
        <w:t>202</w:t>
      </w:r>
      <w:r>
        <w:rPr>
          <w:rFonts w:ascii="黑体" w:eastAsia="黑体" w:cs="黑体" w:hint="eastAsia"/>
          <w:sz w:val="72"/>
          <w:szCs w:val="72"/>
          <w:lang w:val="en-US" w:eastAsia="zh-CN"/>
        </w:rPr>
        <w:t>2</w:t>
      </w:r>
      <w:r>
        <w:rPr>
          <w:rFonts w:ascii="黑体" w:eastAsia="黑体" w:cs="黑体"/>
          <w:sz w:val="72"/>
          <w:szCs w:val="72"/>
        </w:rPr>
        <w:t>年</w:t>
      </w:r>
      <w:r>
        <w:rPr>
          <w:rFonts w:ascii="黑体" w:eastAsia="黑体" w:cs="黑体" w:hint="eastAsia"/>
          <w:sz w:val="72"/>
          <w:szCs w:val="72"/>
        </w:rPr>
        <w:t>部门预算</w:t>
      </w:r>
    </w:p>
    <w:p>
      <w:pPr>
        <w:jc w:val="center"/>
        <w:rPr>
          <w:rFonts w:ascii="黑体" w:eastAsia="黑体" w:cs="Times New Roman"/>
          <w:sz w:val="44"/>
          <w:szCs w:val="44"/>
        </w:rPr>
      </w:pPr>
      <w:bookmarkEnd w:id="0"/>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Times New Roman"/>
          <w:sz w:val="44"/>
          <w:szCs w:val="44"/>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Times New Roman" w:hint="eastAsia"/>
          <w:sz w:val="52"/>
          <w:szCs w:val="52"/>
        </w:rPr>
      </w:pPr>
      <w:r>
        <w:rPr>
          <w:rFonts w:ascii="黑体" w:eastAsia="黑体" w:cs="黑体" w:hint="eastAsia"/>
          <w:sz w:val="52"/>
          <w:szCs w:val="52"/>
        </w:rPr>
        <w:t>202</w:t>
      </w:r>
      <w:r>
        <w:rPr>
          <w:rFonts w:ascii="黑体" w:eastAsia="黑体" w:cs="黑体" w:hint="eastAsia"/>
          <w:sz w:val="52"/>
          <w:szCs w:val="52"/>
          <w:lang w:val="en-US" w:eastAsia="zh-CN"/>
        </w:rPr>
        <w:t>2</w:t>
      </w:r>
      <w:r>
        <w:rPr>
          <w:rFonts w:ascii="黑体" w:eastAsia="黑体" w:cs="黑体" w:hint="eastAsia"/>
          <w:sz w:val="52"/>
          <w:szCs w:val="52"/>
        </w:rPr>
        <w:t>年</w:t>
      </w:r>
      <w:r>
        <w:rPr>
          <w:rFonts w:ascii="黑体" w:eastAsia="黑体" w:cs="黑体" w:hint="eastAsia"/>
          <w:sz w:val="52"/>
          <w:szCs w:val="52"/>
          <w:lang w:val="en-US" w:eastAsia="zh-CN"/>
        </w:rPr>
        <w:t>1</w:t>
      </w:r>
      <w:r>
        <w:rPr>
          <w:rFonts w:ascii="黑体" w:eastAsia="黑体" w:cs="黑体" w:hint="eastAsia"/>
          <w:sz w:val="52"/>
          <w:szCs w:val="52"/>
        </w:rPr>
        <w:t>月2</w:t>
      </w:r>
      <w:r>
        <w:rPr>
          <w:rFonts w:ascii="黑体" w:eastAsia="黑体" w:cs="黑体" w:hint="eastAsia"/>
          <w:sz w:val="52"/>
          <w:szCs w:val="52"/>
          <w:lang w:val="en-US" w:eastAsia="zh-CN"/>
        </w:rPr>
        <w:t>1</w:t>
      </w:r>
      <w:r>
        <w:rPr>
          <w:rFonts w:ascii="黑体" w:eastAsia="黑体" w:cs="黑体" w:hint="eastAsia"/>
          <w:sz w:val="52"/>
          <w:szCs w:val="52"/>
        </w:rPr>
        <w:t>日</w:t>
      </w:r>
    </w:p>
    <w:p>
      <w:pPr>
        <w:rPr>
          <w:rFonts w:ascii="黑体" w:eastAsia="黑体" w:cs="Times New Roman"/>
          <w:sz w:val="32"/>
          <w:szCs w:val="32"/>
        </w:rPr>
      </w:pPr>
    </w:p>
    <w:sdt>
      <w:sdtPr>
        <w:rPr>
          <w:rFonts w:ascii="宋体" w:eastAsia="宋体" w:cs="Calibri"/>
          <w:kern w:val="2"/>
          <w:sz w:val="52"/>
          <w:szCs w:val="52"/>
          <w:lang w:val="en-US" w:eastAsia="zh-CN" w:bidi="ar-SA"/>
        </w:rPr>
        <w:id w:val="2100211683"/>
        <w15:color w:val="DBDBDB"/>
        <w:docPartObj>
          <w:docPartGallery w:val="Table of Contents"/>
          <w:docPartUnique/>
        </w:docPartObj>
      </w:sdtPr>
      <w:sdtEndPr>
        <w:rPr>
          <w:rFonts w:ascii="黑体" w:eastAsia="黑体" w:cs="Times New Roman"/>
          <w:sz w:val="21"/>
          <w:szCs w:val="32"/>
        </w:rPr>
      </w:sdtEndPr>
      <w:sdtContent>
        <w:p>
          <w:pPr>
            <w:spacing w:before="0" w:after="0" w:line="240" w:lineRule="auto"/>
            <w:ind w:left="0" w:right="0" w:firstLine="0"/>
            <w:jc w:val="center"/>
            <w:rPr>
              <w:sz w:val="52"/>
              <w:szCs w:val="52"/>
            </w:rPr>
          </w:pPr>
          <w:r>
            <w:rPr>
              <w:rFonts w:ascii="宋体" w:eastAsia="宋体"/>
              <w:sz w:val="52"/>
              <w:szCs w:val="52"/>
            </w:rPr>
            <w:t>目录</w:t>
          </w:r>
        </w:p>
        <w:p>
          <w:pPr>
            <w:pStyle w:val="18"/>
            <w:tabs>
              <w:tab w:val="right" w:leader="dot" w:pos="8306"/>
            </w:tabs>
          </w:pPr>
          <w:r>
            <w:rPr>
              <w:rFonts w:ascii="黑体" w:eastAsia="黑体" w:cs="Times New Roman"/>
              <w:sz w:val="32"/>
              <w:szCs w:val="32"/>
            </w:rPr>
            <w:fldChar w:fldCharType="begin"/>
          </w:r>
          <w:r>
            <w:rPr>
              <w:rFonts w:ascii="黑体" w:eastAsia="黑体" w:cs="Times New Roman"/>
              <w:sz w:val="32"/>
              <w:szCs w:val="32"/>
            </w:rPr>
            <w:instrText xml:space="preserve">TOC \o "1-3" \h \u </w:instrText>
          </w:r>
          <w:r>
            <w:rPr>
              <w:rFonts w:ascii="黑体" w:eastAsia="黑体" w:cs="Times New Roman"/>
              <w:sz w:val="32"/>
              <w:szCs w:val="32"/>
            </w:rPr>
            <w:fldChar w:fldCharType="separate"/>
          </w:r>
          <w:r>
            <w:rPr>
              <w:rFonts w:ascii="黑体" w:eastAsia="黑体" w:cs="Times New Roman"/>
              <w:szCs w:val="32"/>
            </w:rPr>
            <w:fldChar w:fldCharType="begin"/>
          </w:r>
          <w:r>
            <w:rPr>
              <w:rFonts w:ascii="黑体" w:eastAsia="黑体" w:cs="Times New Roman"/>
              <w:szCs w:val="32"/>
            </w:rPr>
            <w:instrText xml:space="preserve"> HYPERLINK \l _Toc21431 </w:instrText>
          </w:r>
          <w:r>
            <w:rPr>
              <w:rFonts w:ascii="黑体" w:eastAsia="黑体" w:cs="Times New Roman"/>
              <w:szCs w:val="32"/>
            </w:rPr>
            <w:fldChar w:fldCharType="separate"/>
          </w:r>
          <w:r>
            <w:rPr>
              <w:rFonts w:ascii="黑体" w:eastAsia="黑体" w:cs="黑体" w:hint="eastAsia"/>
              <w:kern w:val="2"/>
              <w:szCs w:val="32"/>
            </w:rPr>
            <w:t>一、 基本职能及主要工作</w:t>
          </w:r>
          <w:r>
            <w:tab/>
          </w:r>
          <w:r>
            <w:fldChar w:fldCharType="begin"/>
          </w:r>
          <w:r>
            <w:instrText xml:space="preserve"> PAGEREF _Toc21431 \h </w:instrText>
          </w:r>
          <w:r>
            <w:fldChar w:fldCharType="separate"/>
          </w:r>
          <w:r>
            <w:t>3</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_Toc27636 </w:instrText>
          </w:r>
          <w:r>
            <w:rPr>
              <w:rFonts w:ascii="黑体" w:eastAsia="黑体" w:cs="Times New Roman"/>
              <w:szCs w:val="32"/>
            </w:rPr>
            <w:fldChar w:fldCharType="separate"/>
          </w:r>
          <w:r>
            <w:rPr>
              <w:rFonts w:ascii="楷体_GB2312" w:eastAsia="楷体_GB2312" w:cs="楷体_GB2312" w:hint="eastAsia"/>
              <w:bCs/>
              <w:kern w:val="2"/>
              <w:szCs w:val="32"/>
            </w:rPr>
            <w:t>（一）壤塘县行政审批局职能简介</w:t>
          </w:r>
          <w:r>
            <w:tab/>
          </w:r>
          <w:r>
            <w:fldChar w:fldCharType="begin"/>
          </w:r>
          <w:r>
            <w:instrText xml:space="preserve"> PAGEREF _Toc27636 \h </w:instrText>
          </w:r>
          <w:r>
            <w:fldChar w:fldCharType="separate"/>
          </w:r>
          <w:r>
            <w:t>3</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_Toc17472 </w:instrText>
          </w:r>
          <w:r>
            <w:rPr>
              <w:rFonts w:ascii="黑体" w:eastAsia="黑体" w:cs="Times New Roman"/>
              <w:szCs w:val="32"/>
            </w:rPr>
            <w:fldChar w:fldCharType="separate"/>
          </w:r>
          <w:r>
            <w:rPr>
              <w:rFonts w:ascii="楷体_GB2312" w:eastAsia="楷体_GB2312" w:cs="楷体_GB2312" w:hint="eastAsia"/>
              <w:bCs/>
              <w:kern w:val="2"/>
              <w:szCs w:val="32"/>
            </w:rPr>
            <w:t>（二）壤塘县行政审批局202</w:t>
          </w:r>
          <w:r>
            <w:rPr>
              <w:rFonts w:ascii="楷体_GB2312" w:eastAsia="楷体_GB2312" w:cs="楷体_GB2312" w:hint="eastAsia"/>
              <w:bCs/>
              <w:kern w:val="2"/>
              <w:szCs w:val="32"/>
              <w:lang w:val="en-US" w:eastAsia="zh-CN"/>
            </w:rPr>
            <w:t>2</w:t>
          </w:r>
          <w:r>
            <w:rPr>
              <w:rFonts w:ascii="楷体_GB2312" w:eastAsia="楷体_GB2312" w:cs="楷体_GB2312" w:hint="eastAsia"/>
              <w:bCs/>
              <w:kern w:val="2"/>
              <w:szCs w:val="32"/>
            </w:rPr>
            <w:t>年重点工作</w:t>
          </w:r>
          <w:r>
            <w:tab/>
          </w:r>
          <w:r>
            <w:fldChar w:fldCharType="begin"/>
          </w:r>
          <w:r>
            <w:instrText xml:space="preserve"> PAGEREF _Toc17472 \h </w:instrText>
          </w:r>
          <w:r>
            <w:fldChar w:fldCharType="separate"/>
          </w:r>
          <w:r>
            <w:t>4</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_Toc18689 </w:instrText>
          </w:r>
          <w:r>
            <w:rPr>
              <w:rFonts w:ascii="黑体" w:eastAsia="黑体" w:cs="Times New Roman"/>
              <w:szCs w:val="32"/>
            </w:rPr>
            <w:fldChar w:fldCharType="separate"/>
          </w:r>
          <w:r>
            <w:rPr>
              <w:rFonts w:ascii="黑体" w:eastAsia="黑体" w:cs="黑体" w:hint="eastAsia"/>
              <w:kern w:val="2"/>
              <w:szCs w:val="32"/>
            </w:rPr>
            <w:t>二、部门预算单位构</w:t>
          </w:r>
          <w:r>
            <w:rPr>
              <w:rFonts w:ascii="黑体" w:eastAsia="黑体" w:cs="黑体" w:hint="eastAsia"/>
              <w:kern w:val="2"/>
              <w:szCs w:val="32"/>
              <w:lang w:val="en-US" w:eastAsia="zh-CN"/>
            </w:rPr>
            <w:t>成</w:t>
          </w:r>
          <w:r>
            <w:tab/>
          </w:r>
          <w:r>
            <w:fldChar w:fldCharType="begin"/>
          </w:r>
          <w:r>
            <w:instrText xml:space="preserve"> PAGEREF _Toc18689 \h </w:instrText>
          </w:r>
          <w:r>
            <w:fldChar w:fldCharType="separate"/>
          </w:r>
          <w:r>
            <w:t>6</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_Toc32709 </w:instrText>
          </w:r>
          <w:r>
            <w:rPr>
              <w:rFonts w:ascii="黑体" w:eastAsia="黑体" w:cs="Times New Roman"/>
              <w:szCs w:val="32"/>
            </w:rPr>
            <w:fldChar w:fldCharType="separate"/>
          </w:r>
          <w:r>
            <w:rPr>
              <w:rFonts w:ascii="黑体" w:eastAsia="黑体" w:cs="黑体" w:hint="eastAsia"/>
              <w:kern w:val="2"/>
              <w:szCs w:val="32"/>
              <w:lang w:val="en-US" w:eastAsia="zh-CN"/>
            </w:rPr>
            <w:t>三、</w:t>
          </w:r>
          <w:r>
            <w:rPr>
              <w:rFonts w:ascii="黑体" w:eastAsia="黑体" w:cs="黑体" w:hint="eastAsia"/>
              <w:kern w:val="2"/>
              <w:szCs w:val="32"/>
            </w:rPr>
            <w:t>收支预算情况说明</w:t>
          </w:r>
          <w:r>
            <w:tab/>
          </w:r>
          <w:r>
            <w:fldChar w:fldCharType="begin"/>
          </w:r>
          <w:r>
            <w:instrText xml:space="preserve"> PAGEREF _Toc32709 \h </w:instrText>
          </w:r>
          <w:r>
            <w:fldChar w:fldCharType="separate"/>
          </w:r>
          <w:r>
            <w:t>7</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_Toc657 </w:instrText>
          </w:r>
          <w:r>
            <w:rPr>
              <w:rFonts w:ascii="黑体" w:eastAsia="黑体" w:cs="Times New Roman"/>
              <w:szCs w:val="32"/>
            </w:rPr>
            <w:fldChar w:fldCharType="separate"/>
          </w:r>
          <w:r>
            <w:rPr>
              <w:rFonts w:ascii="楷体_GB2312" w:eastAsia="楷体_GB2312" w:cs="楷体_GB2312" w:hint="eastAsia"/>
              <w:bCs/>
              <w:kern w:val="2"/>
              <w:szCs w:val="32"/>
              <w:lang w:eastAsia="zh-CN"/>
            </w:rPr>
            <w:t>（</w:t>
          </w:r>
          <w:r>
            <w:rPr>
              <w:rFonts w:ascii="楷体_GB2312" w:eastAsia="楷体_GB2312" w:cs="楷体_GB2312" w:hint="eastAsia"/>
              <w:bCs/>
              <w:kern w:val="2"/>
              <w:szCs w:val="32"/>
              <w:lang w:val="en-US" w:eastAsia="zh-CN"/>
            </w:rPr>
            <w:t>一</w:t>
          </w:r>
          <w:r>
            <w:rPr>
              <w:rFonts w:ascii="楷体_GB2312" w:eastAsia="楷体_GB2312" w:cs="楷体_GB2312" w:hint="eastAsia"/>
              <w:bCs/>
              <w:kern w:val="2"/>
              <w:szCs w:val="32"/>
              <w:lang w:eastAsia="zh-CN"/>
            </w:rPr>
            <w:t>）</w:t>
          </w:r>
          <w:r>
            <w:rPr>
              <w:rFonts w:ascii="楷体_GB2312" w:eastAsia="楷体_GB2312" w:cs="楷体_GB2312" w:hint="eastAsia"/>
              <w:bCs/>
              <w:kern w:val="2"/>
              <w:szCs w:val="32"/>
            </w:rPr>
            <w:t>收入预算情</w:t>
          </w:r>
          <w:r>
            <w:rPr>
              <w:rFonts w:ascii="楷体_GB2312" w:eastAsia="楷体_GB2312" w:cs="楷体_GB2312" w:hint="eastAsia"/>
              <w:bCs/>
              <w:kern w:val="2"/>
              <w:szCs w:val="32"/>
              <w:lang w:val="en-US" w:eastAsia="zh-CN"/>
            </w:rPr>
            <w:t>况</w:t>
          </w:r>
          <w:r>
            <w:tab/>
          </w:r>
          <w:r>
            <w:fldChar w:fldCharType="begin"/>
          </w:r>
          <w:r>
            <w:instrText xml:space="preserve"> PAGEREF _Toc657 \h </w:instrText>
          </w:r>
          <w:r>
            <w:fldChar w:fldCharType="separate"/>
          </w:r>
          <w:r>
            <w:t>7</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_Toc25172 </w:instrText>
          </w:r>
          <w:r>
            <w:rPr>
              <w:rFonts w:ascii="黑体" w:eastAsia="黑体" w:cs="Times New Roman"/>
              <w:szCs w:val="32"/>
            </w:rPr>
            <w:fldChar w:fldCharType="separate"/>
          </w:r>
          <w:r>
            <w:rPr>
              <w:rFonts w:ascii="楷体_GB2312" w:eastAsia="楷体_GB2312" w:cs="楷体_GB2312" w:hint="eastAsia"/>
              <w:bCs/>
              <w:kern w:val="2"/>
              <w:szCs w:val="32"/>
            </w:rPr>
            <w:t>（二）支出预算情况</w:t>
          </w:r>
          <w:r>
            <w:tab/>
          </w:r>
          <w:r>
            <w:fldChar w:fldCharType="begin"/>
          </w:r>
          <w:r>
            <w:instrText xml:space="preserve"> PAGEREF _Toc25172 \h </w:instrText>
          </w:r>
          <w:r>
            <w:fldChar w:fldCharType="separate"/>
          </w:r>
          <w:r>
            <w:t>7</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_Toc12872 </w:instrText>
          </w:r>
          <w:r>
            <w:rPr>
              <w:rFonts w:ascii="黑体" w:eastAsia="黑体" w:cs="Times New Roman"/>
              <w:szCs w:val="32"/>
            </w:rPr>
            <w:fldChar w:fldCharType="separate"/>
          </w:r>
          <w:r>
            <w:rPr>
              <w:rFonts w:ascii="黑体" w:eastAsia="黑体" w:cs="黑体" w:hint="eastAsia"/>
              <w:kern w:val="2"/>
              <w:szCs w:val="32"/>
              <w:lang w:val="en-US" w:eastAsia="zh-CN"/>
            </w:rPr>
            <w:t>四、</w:t>
          </w:r>
          <w:r>
            <w:rPr>
              <w:rFonts w:ascii="黑体" w:eastAsia="黑体" w:cs="黑体" w:hint="eastAsia"/>
              <w:kern w:val="2"/>
              <w:szCs w:val="32"/>
            </w:rPr>
            <w:t>财政拨款收支预算情况说</w:t>
          </w:r>
          <w:r>
            <w:rPr>
              <w:rFonts w:ascii="黑体" w:eastAsia="黑体" w:cs="黑体" w:hint="eastAsia"/>
              <w:kern w:val="2"/>
              <w:szCs w:val="32"/>
              <w:lang w:val="en-US" w:eastAsia="zh-CN"/>
            </w:rPr>
            <w:t>明</w:t>
          </w:r>
          <w:r>
            <w:tab/>
          </w:r>
          <w:r>
            <w:fldChar w:fldCharType="begin"/>
          </w:r>
          <w:r>
            <w:instrText xml:space="preserve"> PAGEREF _Toc12872 \h </w:instrText>
          </w:r>
          <w:r>
            <w:fldChar w:fldCharType="separate"/>
          </w:r>
          <w:r>
            <w:t>7</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_Toc15781 </w:instrText>
          </w:r>
          <w:r>
            <w:rPr>
              <w:rFonts w:ascii="黑体" w:eastAsia="黑体" w:cs="Times New Roman"/>
              <w:szCs w:val="32"/>
            </w:rPr>
            <w:fldChar w:fldCharType="separate"/>
          </w:r>
          <w:r>
            <w:rPr>
              <w:rFonts w:ascii="黑体" w:eastAsia="黑体" w:cs="黑体" w:hint="eastAsia"/>
              <w:kern w:val="2"/>
              <w:szCs w:val="32"/>
            </w:rPr>
            <w:t>五、一般公共预算当年拨款情况说明</w:t>
          </w:r>
          <w:r>
            <w:tab/>
          </w:r>
          <w:r>
            <w:fldChar w:fldCharType="begin"/>
          </w:r>
          <w:r>
            <w:instrText xml:space="preserve"> PAGEREF _Toc15781 \h </w:instrText>
          </w:r>
          <w:r>
            <w:fldChar w:fldCharType="separate"/>
          </w:r>
          <w:r>
            <w:t>7</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_Toc3862 </w:instrText>
          </w:r>
          <w:r>
            <w:rPr>
              <w:rFonts w:ascii="黑体" w:eastAsia="黑体" w:cs="Times New Roman"/>
              <w:szCs w:val="32"/>
            </w:rPr>
            <w:fldChar w:fldCharType="separate"/>
          </w:r>
          <w:r>
            <w:rPr>
              <w:rFonts w:ascii="楷体_GB2312" w:eastAsia="楷体_GB2312" w:cs="楷体_GB2312" w:hint="eastAsia"/>
              <w:bCs/>
              <w:kern w:val="2"/>
              <w:szCs w:val="32"/>
            </w:rPr>
            <w:t>（一）一般公共预算当年拨款规模变化情况</w:t>
          </w:r>
          <w:r>
            <w:tab/>
          </w:r>
          <w:r>
            <w:fldChar w:fldCharType="begin"/>
          </w:r>
          <w:r>
            <w:instrText xml:space="preserve"> PAGEREF _Toc3862 \h </w:instrText>
          </w:r>
          <w:r>
            <w:fldChar w:fldCharType="separate"/>
          </w:r>
          <w:r>
            <w:t>8</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_Toc20629 </w:instrText>
          </w:r>
          <w:r>
            <w:rPr>
              <w:rFonts w:ascii="黑体" w:eastAsia="黑体" w:cs="Times New Roman"/>
              <w:szCs w:val="32"/>
            </w:rPr>
            <w:fldChar w:fldCharType="separate"/>
          </w:r>
          <w:r>
            <w:rPr>
              <w:rFonts w:ascii="楷体_GB2312" w:eastAsia="楷体_GB2312" w:cs="楷体_GB2312" w:hint="eastAsia"/>
              <w:bCs/>
              <w:kern w:val="2"/>
              <w:szCs w:val="32"/>
              <w:lang w:eastAsia="zh-CN"/>
            </w:rPr>
            <w:t>（</w:t>
          </w:r>
          <w:r>
            <w:rPr>
              <w:rFonts w:ascii="楷体_GB2312" w:eastAsia="楷体_GB2312" w:cs="楷体_GB2312" w:hint="eastAsia"/>
              <w:bCs/>
              <w:kern w:val="2"/>
              <w:szCs w:val="32"/>
              <w:lang w:val="en-US" w:eastAsia="zh-CN"/>
            </w:rPr>
            <w:t>二</w:t>
          </w:r>
          <w:r>
            <w:rPr>
              <w:rFonts w:ascii="楷体_GB2312" w:eastAsia="楷体_GB2312" w:cs="楷体_GB2312" w:hint="eastAsia"/>
              <w:bCs/>
              <w:kern w:val="2"/>
              <w:szCs w:val="32"/>
              <w:lang w:eastAsia="zh-CN"/>
            </w:rPr>
            <w:t>）</w:t>
          </w:r>
          <w:r>
            <w:rPr>
              <w:rFonts w:ascii="楷体_GB2312" w:eastAsia="楷体_GB2312" w:cs="楷体_GB2312" w:hint="eastAsia"/>
              <w:bCs/>
              <w:kern w:val="2"/>
              <w:szCs w:val="32"/>
            </w:rPr>
            <w:t>一般公共预算当年拨款结构情况</w:t>
          </w:r>
          <w:r>
            <w:tab/>
          </w:r>
          <w:r>
            <w:fldChar w:fldCharType="begin"/>
          </w:r>
          <w:r>
            <w:instrText xml:space="preserve"> PAGEREF _Toc20629 \h </w:instrText>
          </w:r>
          <w:r>
            <w:fldChar w:fldCharType="separate"/>
          </w:r>
          <w:r>
            <w:t>8</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_Toc31053 </w:instrText>
          </w:r>
          <w:r>
            <w:rPr>
              <w:rFonts w:ascii="黑体" w:eastAsia="黑体" w:cs="Times New Roman"/>
              <w:szCs w:val="32"/>
            </w:rPr>
            <w:fldChar w:fldCharType="separate"/>
          </w:r>
          <w:r>
            <w:rPr>
              <w:rFonts w:ascii="楷体_GB2312" w:eastAsia="楷体_GB2312" w:cs="楷体_GB2312" w:hint="eastAsia"/>
              <w:bCs/>
              <w:kern w:val="2"/>
              <w:szCs w:val="32"/>
              <w:lang w:eastAsia="zh-CN"/>
            </w:rPr>
            <w:t>（</w:t>
          </w:r>
          <w:r>
            <w:rPr>
              <w:rFonts w:ascii="楷体_GB2312" w:eastAsia="楷体_GB2312" w:cs="楷体_GB2312" w:hint="eastAsia"/>
              <w:bCs/>
              <w:kern w:val="2"/>
              <w:szCs w:val="32"/>
              <w:lang w:val="en-US" w:eastAsia="zh-CN"/>
            </w:rPr>
            <w:t>三</w:t>
          </w:r>
          <w:r>
            <w:rPr>
              <w:rFonts w:ascii="楷体_GB2312" w:eastAsia="楷体_GB2312" w:cs="楷体_GB2312" w:hint="eastAsia"/>
              <w:bCs/>
              <w:kern w:val="2"/>
              <w:szCs w:val="32"/>
              <w:lang w:eastAsia="zh-CN"/>
            </w:rPr>
            <w:t>）</w:t>
          </w:r>
          <w:r>
            <w:rPr>
              <w:rFonts w:ascii="楷体_GB2312" w:eastAsia="楷体_GB2312" w:cs="楷体_GB2312" w:hint="eastAsia"/>
              <w:bCs/>
              <w:kern w:val="2"/>
              <w:szCs w:val="32"/>
            </w:rPr>
            <w:t>一般公共预算当年拨款具体使用情况</w:t>
          </w:r>
          <w:r>
            <w:tab/>
          </w:r>
          <w:r>
            <w:fldChar w:fldCharType="begin"/>
          </w:r>
          <w:r>
            <w:instrText xml:space="preserve"> PAGEREF _Toc31053 \h </w:instrText>
          </w:r>
          <w:r>
            <w:fldChar w:fldCharType="separate"/>
          </w:r>
          <w:r>
            <w:t>8</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_Toc19322 </w:instrText>
          </w:r>
          <w:r>
            <w:rPr>
              <w:rFonts w:ascii="黑体" w:eastAsia="黑体" w:cs="Times New Roman"/>
              <w:szCs w:val="32"/>
            </w:rPr>
            <w:fldChar w:fldCharType="separate"/>
          </w:r>
          <w:r>
            <w:rPr>
              <w:rFonts w:ascii="黑体" w:eastAsia="黑体" w:cs="黑体" w:hint="eastAsia"/>
              <w:kern w:val="2"/>
              <w:szCs w:val="32"/>
            </w:rPr>
            <w:t>六、一般公共预算基本支出情况说明</w:t>
          </w:r>
          <w:r>
            <w:tab/>
          </w:r>
          <w:r>
            <w:fldChar w:fldCharType="begin"/>
          </w:r>
          <w:r>
            <w:instrText xml:space="preserve"> PAGEREF _Toc19322 \h </w:instrText>
          </w:r>
          <w:r>
            <w:fldChar w:fldCharType="separate"/>
          </w:r>
          <w:r>
            <w:t>9</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_Toc29738 </w:instrText>
          </w:r>
          <w:r>
            <w:rPr>
              <w:rFonts w:ascii="黑体" w:eastAsia="黑体" w:cs="Times New Roman"/>
              <w:szCs w:val="32"/>
            </w:rPr>
            <w:fldChar w:fldCharType="separate"/>
          </w:r>
          <w:r>
            <w:rPr>
              <w:rFonts w:ascii="黑体" w:eastAsia="黑体" w:cs="Times New Roman" w:hint="eastAsia"/>
              <w:kern w:val="2"/>
              <w:szCs w:val="32"/>
              <w:lang w:val="en-US" w:eastAsia="zh-CN"/>
            </w:rPr>
            <w:t>七、</w:t>
          </w:r>
          <w:r>
            <w:rPr>
              <w:rFonts w:ascii="黑体" w:eastAsia="黑体" w:cs="Times New Roman"/>
              <w:kern w:val="2"/>
              <w:szCs w:val="32"/>
            </w:rPr>
            <w:t>“</w:t>
          </w:r>
          <w:r>
            <w:rPr>
              <w:rFonts w:ascii="黑体" w:eastAsia="黑体" w:cs="黑体" w:hint="eastAsia"/>
              <w:kern w:val="2"/>
              <w:szCs w:val="32"/>
            </w:rPr>
            <w:t>三公</w:t>
          </w:r>
          <w:r>
            <w:rPr>
              <w:rFonts w:ascii="黑体" w:eastAsia="黑体" w:cs="Times New Roman"/>
              <w:kern w:val="2"/>
              <w:szCs w:val="32"/>
            </w:rPr>
            <w:t>”</w:t>
          </w:r>
          <w:r>
            <w:rPr>
              <w:rFonts w:ascii="黑体" w:eastAsia="黑体" w:cs="黑体" w:hint="eastAsia"/>
              <w:kern w:val="2"/>
              <w:szCs w:val="32"/>
            </w:rPr>
            <w:t>经费财政拨款预算安排情况说明</w:t>
          </w:r>
          <w:r>
            <w:tab/>
          </w:r>
          <w:r>
            <w:fldChar w:fldCharType="begin"/>
          </w:r>
          <w:r>
            <w:instrText xml:space="preserve"> PAGEREF _Toc29738 \h </w:instrText>
          </w:r>
          <w:r>
            <w:fldChar w:fldCharType="separate"/>
          </w:r>
          <w:r>
            <w:t>10</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_Toc20456 </w:instrText>
          </w:r>
          <w:r>
            <w:rPr>
              <w:rFonts w:ascii="黑体" w:eastAsia="黑体" w:cs="Times New Roman"/>
              <w:szCs w:val="32"/>
            </w:rPr>
            <w:fldChar w:fldCharType="separate"/>
          </w:r>
          <w:r>
            <w:rPr>
              <w:rFonts w:ascii="黑体" w:eastAsia="黑体" w:cs="黑体" w:hint="eastAsia"/>
              <w:kern w:val="2"/>
              <w:szCs w:val="32"/>
              <w:lang w:val="en-US" w:eastAsia="zh-CN"/>
            </w:rPr>
            <w:t>八、</w:t>
          </w:r>
          <w:r>
            <w:rPr>
              <w:rFonts w:ascii="黑体" w:eastAsia="黑体" w:cs="黑体" w:hint="eastAsia"/>
              <w:kern w:val="2"/>
              <w:szCs w:val="32"/>
            </w:rPr>
            <w:t>政府性基金预算支出情况说明</w:t>
          </w:r>
          <w:r>
            <w:tab/>
          </w:r>
          <w:r>
            <w:fldChar w:fldCharType="begin"/>
          </w:r>
          <w:r>
            <w:instrText xml:space="preserve"> PAGEREF _Toc20456 \h </w:instrText>
          </w:r>
          <w:r>
            <w:fldChar w:fldCharType="separate"/>
          </w:r>
          <w:r>
            <w:t>10</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_Toc24820 </w:instrText>
          </w:r>
          <w:r>
            <w:rPr>
              <w:rFonts w:ascii="黑体" w:eastAsia="黑体" w:cs="Times New Roman"/>
              <w:szCs w:val="32"/>
            </w:rPr>
            <w:fldChar w:fldCharType="separate"/>
          </w:r>
          <w:r>
            <w:rPr>
              <w:rFonts w:ascii="黑体" w:eastAsia="黑体" w:cs="黑体" w:hint="eastAsia"/>
              <w:kern w:val="2"/>
              <w:szCs w:val="32"/>
            </w:rPr>
            <w:t>九、其他重要事项的情况说明</w:t>
          </w:r>
          <w:r>
            <w:tab/>
          </w:r>
          <w:r>
            <w:fldChar w:fldCharType="begin"/>
          </w:r>
          <w:r>
            <w:instrText xml:space="preserve"> PAGEREF _Toc24820 \h </w:instrText>
          </w:r>
          <w:r>
            <w:fldChar w:fldCharType="separate"/>
          </w:r>
          <w:r>
            <w:t>10</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_Toc4073 </w:instrText>
          </w:r>
          <w:r>
            <w:rPr>
              <w:rFonts w:ascii="黑体" w:eastAsia="黑体" w:cs="Times New Roman"/>
              <w:szCs w:val="32"/>
            </w:rPr>
            <w:fldChar w:fldCharType="separate"/>
          </w:r>
          <w:r>
            <w:rPr>
              <w:rFonts w:ascii="楷体_GB2312" w:eastAsia="楷体_GB2312" w:cs="楷体_GB2312" w:hint="eastAsia"/>
              <w:bCs/>
              <w:kern w:val="2"/>
              <w:szCs w:val="32"/>
            </w:rPr>
            <w:t>（一）机关运行经费</w:t>
          </w:r>
          <w:r>
            <w:tab/>
          </w:r>
          <w:r>
            <w:fldChar w:fldCharType="begin"/>
          </w:r>
          <w:r>
            <w:instrText xml:space="preserve"> PAGEREF _Toc4073 \h </w:instrText>
          </w:r>
          <w:r>
            <w:fldChar w:fldCharType="separate"/>
          </w:r>
          <w:r>
            <w:t>10</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_Toc12266 </w:instrText>
          </w:r>
          <w:r>
            <w:rPr>
              <w:rFonts w:ascii="黑体" w:eastAsia="黑体" w:cs="Times New Roman"/>
              <w:szCs w:val="32"/>
            </w:rPr>
            <w:fldChar w:fldCharType="separate"/>
          </w:r>
          <w:r>
            <w:rPr>
              <w:rFonts w:ascii="楷体_GB2312" w:eastAsia="楷体_GB2312" w:cs="楷体_GB2312" w:hint="eastAsia"/>
              <w:bCs/>
              <w:kern w:val="2"/>
              <w:szCs w:val="32"/>
            </w:rPr>
            <w:t>（二）政府采购情况</w:t>
          </w:r>
          <w:r>
            <w:tab/>
          </w:r>
          <w:r>
            <w:fldChar w:fldCharType="begin"/>
          </w:r>
          <w:r>
            <w:instrText xml:space="preserve"> PAGEREF _Toc12266 \h </w:instrText>
          </w:r>
          <w:r>
            <w:fldChar w:fldCharType="separate"/>
          </w:r>
          <w:r>
            <w:t>10</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_Toc4026 </w:instrText>
          </w:r>
          <w:r>
            <w:rPr>
              <w:rFonts w:ascii="黑体" w:eastAsia="黑体" w:cs="Times New Roman"/>
              <w:szCs w:val="32"/>
            </w:rPr>
            <w:fldChar w:fldCharType="separate"/>
          </w:r>
          <w:r>
            <w:rPr>
              <w:rFonts w:ascii="楷体_GB2312" w:eastAsia="楷体_GB2312" w:cs="楷体_GB2312" w:hint="eastAsia"/>
              <w:bCs/>
              <w:kern w:val="2"/>
              <w:szCs w:val="32"/>
            </w:rPr>
            <w:t>（三）国有资产占有使用情况</w:t>
          </w:r>
          <w:r>
            <w:tab/>
          </w:r>
          <w:r>
            <w:fldChar w:fldCharType="begin"/>
          </w:r>
          <w:r>
            <w:instrText xml:space="preserve"> PAGEREF _Toc4026 \h </w:instrText>
          </w:r>
          <w:r>
            <w:fldChar w:fldCharType="separate"/>
          </w:r>
          <w:r>
            <w:t>10</w:t>
          </w:r>
          <w:r>
            <w:fldChar w:fldCharType="end"/>
          </w:r>
          <w:r>
            <w:rPr>
              <w:rFonts w:ascii="黑体" w:eastAsia="黑体" w:cs="Times New Roman"/>
              <w:szCs w:val="32"/>
            </w:rPr>
            <w:fldChar w:fldCharType="end"/>
          </w:r>
        </w:p>
        <w:p>
          <w:pPr>
            <w:pStyle w:val="20"/>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_Toc7552 </w:instrText>
          </w:r>
          <w:r>
            <w:rPr>
              <w:rFonts w:ascii="黑体" w:eastAsia="黑体" w:cs="Times New Roman"/>
              <w:szCs w:val="32"/>
            </w:rPr>
            <w:fldChar w:fldCharType="separate"/>
          </w:r>
          <w:r>
            <w:rPr>
              <w:rFonts w:ascii="楷体_GB2312" w:eastAsia="楷体_GB2312" w:cs="楷体_GB2312" w:hint="eastAsia"/>
              <w:bCs/>
              <w:kern w:val="2"/>
              <w:szCs w:val="32"/>
              <w:lang w:eastAsia="zh-CN"/>
            </w:rPr>
            <w:t>（</w:t>
          </w:r>
          <w:r>
            <w:rPr>
              <w:rFonts w:ascii="楷体_GB2312" w:eastAsia="楷体_GB2312" w:cs="楷体_GB2312" w:hint="eastAsia"/>
              <w:bCs/>
              <w:kern w:val="2"/>
              <w:szCs w:val="32"/>
              <w:lang w:val="en-US" w:eastAsia="zh-CN"/>
            </w:rPr>
            <w:t>四</w:t>
          </w:r>
          <w:r>
            <w:rPr>
              <w:rFonts w:ascii="楷体_GB2312" w:eastAsia="楷体_GB2312" w:cs="楷体_GB2312" w:hint="eastAsia"/>
              <w:bCs/>
              <w:kern w:val="2"/>
              <w:szCs w:val="32"/>
              <w:lang w:eastAsia="zh-CN"/>
            </w:rPr>
            <w:t>）</w:t>
          </w:r>
          <w:r>
            <w:rPr>
              <w:rFonts w:ascii="楷体_GB2312" w:eastAsia="楷体_GB2312" w:cs="楷体_GB2312" w:hint="eastAsia"/>
              <w:bCs/>
              <w:kern w:val="2"/>
              <w:szCs w:val="32"/>
            </w:rPr>
            <w:t>绩效目标设置情况</w:t>
          </w:r>
          <w:r>
            <w:tab/>
          </w:r>
          <w:r>
            <w:fldChar w:fldCharType="begin"/>
          </w:r>
          <w:r>
            <w:instrText xml:space="preserve"> PAGEREF _Toc7552 \h </w:instrText>
          </w:r>
          <w:r>
            <w:fldChar w:fldCharType="separate"/>
          </w:r>
          <w:r>
            <w:t>10</w:t>
          </w:r>
          <w:r>
            <w:fldChar w:fldCharType="end"/>
          </w:r>
          <w:r>
            <w:rPr>
              <w:rFonts w:ascii="黑体" w:eastAsia="黑体" w:cs="Times New Roman"/>
              <w:szCs w:val="32"/>
            </w:rPr>
            <w:fldChar w:fldCharType="end"/>
          </w:r>
        </w:p>
        <w:p>
          <w:pPr>
            <w:pStyle w:val="18"/>
            <w:tabs>
              <w:tab w:val="right" w:leader="dot" w:pos="8306"/>
            </w:tabs>
          </w:pPr>
          <w:r>
            <w:rPr>
              <w:rFonts w:ascii="黑体" w:eastAsia="黑体" w:cs="Times New Roman"/>
              <w:szCs w:val="32"/>
            </w:rPr>
            <w:fldChar w:fldCharType="begin"/>
          </w:r>
          <w:r>
            <w:rPr>
              <w:rFonts w:ascii="黑体" w:eastAsia="黑体" w:cs="Times New Roman"/>
              <w:szCs w:val="32"/>
            </w:rPr>
            <w:instrText xml:space="preserve"> HYPERLINK \l _Toc26237 </w:instrText>
          </w:r>
          <w:r>
            <w:rPr>
              <w:rFonts w:ascii="黑体" w:eastAsia="黑体" w:cs="Times New Roman"/>
              <w:szCs w:val="32"/>
            </w:rPr>
            <w:fldChar w:fldCharType="separate"/>
          </w:r>
          <w:r>
            <w:rPr>
              <w:rFonts w:ascii="黑体" w:eastAsia="黑体" w:cs="黑体" w:hint="eastAsia"/>
              <w:kern w:val="2"/>
              <w:szCs w:val="32"/>
            </w:rPr>
            <w:t>十、名词解释</w:t>
          </w:r>
          <w:r>
            <w:tab/>
          </w:r>
          <w:r>
            <w:fldChar w:fldCharType="begin"/>
          </w:r>
          <w:r>
            <w:instrText xml:space="preserve"> PAGEREF _Toc26237 \h </w:instrText>
          </w:r>
          <w:r>
            <w:fldChar w:fldCharType="separate"/>
          </w:r>
          <w:r>
            <w:t>10</w:t>
          </w:r>
          <w:r>
            <w:fldChar w:fldCharType="end"/>
          </w:r>
          <w:r>
            <w:rPr>
              <w:rFonts w:ascii="黑体" w:eastAsia="黑体" w:cs="Times New Roman"/>
              <w:szCs w:val="32"/>
            </w:rPr>
            <w:fldChar w:fldCharType="end"/>
          </w:r>
        </w:p>
        <w:p>
          <w:pPr>
            <w:rPr>
              <w:rFonts w:ascii="黑体" w:eastAsia="黑体" w:cs="Times New Roman"/>
              <w:sz w:val="32"/>
              <w:szCs w:val="32"/>
            </w:rPr>
          </w:pPr>
          <w:r>
            <w:rPr>
              <w:rFonts w:ascii="黑体" w:eastAsia="黑体" w:cs="Times New Roman"/>
              <w:szCs w:val="32"/>
            </w:rPr>
            <w:fldChar w:fldCharType="end"/>
          </w:r>
        </w:p>
      </w:sdtContent>
    </w:sdt>
    <w:p>
      <w:pPr>
        <w:widowControl/>
        <w:shd w:val="clear" w:color="auto" w:fill="FFFFFF"/>
        <w:spacing w:before="100" w:beforeAutospacing="1" w:after="100" w:afterAutospacing="1" w:line="290" w:lineRule="atLeast"/>
        <w:ind w:right="300"/>
        <w:jc w:val="left"/>
        <w:rPr>
          <w:rFonts w:ascii="??" w:cs="??" w:hAnsi="??" w:hint="eastAsia"/>
          <w:kern w:val="0"/>
          <w:sz w:val="12"/>
          <w:szCs w:val="12"/>
        </w:rPr>
      </w:pPr>
    </w:p>
    <w:p>
      <w:pPr>
        <w:rPr>
          <w:rFonts w:ascii="??" w:cs="??" w:hAnsi="??"/>
          <w:kern w:val="0"/>
          <w:sz w:val="12"/>
          <w:szCs w:val="12"/>
        </w:rPr>
      </w:pPr>
      <w:r>
        <w:rPr>
          <w:rFonts w:ascii="??" w:cs="??" w:hAnsi="??"/>
          <w:kern w:val="0"/>
          <w:sz w:val="12"/>
          <w:szCs w:val="12"/>
        </w:rPr>
        <w:br w:type="page"/>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0"/>
        <w:rPr>
          <w:rFonts w:ascii="黑体" w:eastAsia="黑体" w:cs="黑体" w:hint="eastAsia"/>
          <w:kern w:val="2"/>
          <w:sz w:val="32"/>
          <w:szCs w:val="32"/>
        </w:rPr>
      </w:pPr>
      <w:bookmarkStart w:id="1" w:name="_Toc21431"/>
      <w:r>
        <w:rPr>
          <w:rFonts w:ascii="黑体" w:eastAsia="黑体" w:cs="黑体" w:hint="eastAsia"/>
          <w:kern w:val="2"/>
          <w:sz w:val="32"/>
          <w:szCs w:val="32"/>
          <w:lang w:val="en-US" w:eastAsia="zh-CN"/>
        </w:rPr>
        <w:t>一、</w:t>
      </w:r>
      <w:r>
        <w:rPr>
          <w:rFonts w:ascii="黑体" w:eastAsia="黑体" w:cs="黑体" w:hint="eastAsia"/>
          <w:kern w:val="2"/>
          <w:sz w:val="32"/>
          <w:szCs w:val="32"/>
        </w:rPr>
        <w:t>基本职能及主要工作</w:t>
      </w:r>
      <w:bookmarkEnd w:id="1"/>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ascii="楷体_GB2312" w:eastAsia="楷体_GB2312" w:cs="楷体_GB2312"/>
          <w:b/>
          <w:bCs/>
          <w:kern w:val="2"/>
          <w:sz w:val="32"/>
          <w:szCs w:val="32"/>
        </w:rPr>
      </w:pPr>
      <w:bookmarkStart w:id="2" w:name="_Toc27636"/>
      <w:r>
        <w:rPr>
          <w:rFonts w:ascii="楷体_GB2312" w:eastAsia="楷体_GB2312" w:cs="楷体_GB2312" w:hint="eastAsia"/>
          <w:b/>
          <w:bCs/>
          <w:kern w:val="2"/>
          <w:sz w:val="32"/>
          <w:szCs w:val="32"/>
        </w:rPr>
        <w:t>（一）壤塘县行政审批局职能简介</w:t>
      </w:r>
      <w:bookmarkEnd w:id="2"/>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rPr>
      </w:pPr>
      <w:r>
        <w:rPr>
          <w:rFonts w:ascii="仿宋_GB2312" w:eastAsia="仿宋_GB2312" w:hint="eastAsia"/>
          <w:sz w:val="32"/>
          <w:lang w:eastAsia="zh-CN"/>
        </w:rPr>
        <w:t>（</w:t>
      </w:r>
      <w:r>
        <w:rPr>
          <w:rFonts w:ascii="仿宋_GB2312" w:eastAsia="仿宋_GB2312" w:hint="eastAsia"/>
          <w:sz w:val="32"/>
          <w:lang w:val="en-US" w:eastAsia="zh-CN"/>
        </w:rPr>
        <w:t>1</w:t>
      </w:r>
      <w:r>
        <w:rPr>
          <w:rFonts w:ascii="仿宋_GB2312" w:eastAsia="仿宋_GB2312" w:hint="eastAsia"/>
          <w:sz w:val="32"/>
          <w:lang w:eastAsia="zh-CN"/>
        </w:rPr>
        <w:t>）</w:t>
      </w:r>
      <w:r>
        <w:rPr>
          <w:rFonts w:ascii="仿宋_GB2312" w:eastAsia="仿宋_GB2312" w:hint="eastAsia"/>
          <w:sz w:val="32"/>
        </w:rPr>
        <w:t>负责深化行政审批制度改革和“放管服”改革工作。贯彻实施有关法律、法规、规章，执行上级有关行政审批制度改革和“放管服”改革的方针、政策。会同有关部门推进行政审批制度改革和“放管服”改革，提出行政审批制度改革和“放管服”改革的建议，承担县本级行政权力清单和责任清单的动态调整，负责全县行政权力清单和责任清单工作，建立完善相关工作机制。制定县行政审批局各项规章制度和管理办法，并组织实施。</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rPr>
      </w:pPr>
      <w:r>
        <w:rPr>
          <w:rFonts w:ascii="仿宋_GB2312" w:eastAsia="仿宋_GB2312" w:hint="eastAsia"/>
          <w:sz w:val="32"/>
          <w:lang w:eastAsia="zh-CN"/>
        </w:rPr>
        <w:t>（</w:t>
      </w:r>
      <w:r>
        <w:rPr>
          <w:rFonts w:ascii="仿宋_GB2312" w:eastAsia="仿宋_GB2312" w:hint="eastAsia"/>
          <w:sz w:val="32"/>
          <w:lang w:val="en-US" w:eastAsia="zh-CN"/>
        </w:rPr>
        <w:t>2</w:t>
      </w:r>
      <w:r>
        <w:rPr>
          <w:rFonts w:ascii="仿宋_GB2312" w:eastAsia="仿宋_GB2312" w:hint="eastAsia"/>
          <w:sz w:val="32"/>
          <w:lang w:eastAsia="zh-CN"/>
        </w:rPr>
        <w:t>）</w:t>
      </w:r>
      <w:r>
        <w:rPr>
          <w:rFonts w:ascii="仿宋_GB2312" w:eastAsia="仿宋_GB2312" w:hint="eastAsia"/>
          <w:sz w:val="32"/>
        </w:rPr>
        <w:t>负责协调、指导入驻县政务大厅部门的行政审批工作。建立和完善相应工作机制，推进标准化建设。负责对划转的行政许可事项进行流程再造、环节优化、时限压缩，并对办理情况进行跟踪督办。</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rPr>
      </w:pPr>
      <w:r>
        <w:rPr>
          <w:rFonts w:ascii="仿宋_GB2312" w:eastAsia="仿宋_GB2312" w:hint="eastAsia"/>
          <w:sz w:val="32"/>
        </w:rPr>
        <w:t>（3）按照“成熟一批，划转一批”的原则，负责承办经批准划入的涉及市场准入、建设工程、交通、水利、文教卫生、社会事务、涉农事务等方面的行政审批事项，逐步实行“一枚印章管审批”。负责将行政审批事项的审批结果及时通报给县直相关部门。</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rPr>
      </w:pPr>
      <w:r>
        <w:rPr>
          <w:rFonts w:ascii="仿宋_GB2312" w:eastAsia="仿宋_GB2312" w:hint="eastAsia"/>
          <w:sz w:val="32"/>
        </w:rPr>
        <w:t>（4）负责对涉及县政务服务大厅、县公共资源交易中心、县行政审批服务机构的投诉举报的承办、转办和督办工作。</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lang w:eastAsia="zh-CN"/>
        </w:rPr>
      </w:pPr>
      <w:r>
        <w:rPr>
          <w:rFonts w:ascii="仿宋_GB2312" w:eastAsia="仿宋_GB2312" w:hint="eastAsia"/>
          <w:sz w:val="32"/>
          <w:lang w:eastAsia="zh-CN"/>
        </w:rPr>
        <w:t>（</w:t>
      </w:r>
      <w:r>
        <w:rPr>
          <w:rFonts w:ascii="仿宋_GB2312" w:eastAsia="仿宋_GB2312" w:hint="eastAsia"/>
          <w:sz w:val="32"/>
          <w:lang w:val="en-US" w:eastAsia="zh-CN"/>
        </w:rPr>
        <w:t>5</w:t>
      </w:r>
      <w:r>
        <w:rPr>
          <w:rFonts w:ascii="仿宋_GB2312" w:eastAsia="仿宋_GB2312" w:hint="eastAsia"/>
          <w:sz w:val="32"/>
          <w:lang w:eastAsia="zh-CN"/>
        </w:rPr>
        <w:t>）负责对各乡镇便民服务中心相关工作的运行进行业务指导，建立和完善高效的政务服务体系。</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lang w:eastAsia="zh-CN"/>
        </w:rPr>
      </w:pPr>
      <w:r>
        <w:rPr>
          <w:rFonts w:ascii="仿宋_GB2312" w:eastAsia="仿宋_GB2312" w:hint="eastAsia"/>
          <w:sz w:val="32"/>
          <w:lang w:eastAsia="zh-CN"/>
        </w:rPr>
        <w:t>（</w:t>
      </w:r>
      <w:r>
        <w:rPr>
          <w:rFonts w:ascii="仿宋_GB2312" w:eastAsia="仿宋_GB2312" w:hint="eastAsia"/>
          <w:sz w:val="32"/>
          <w:lang w:val="en-US" w:eastAsia="zh-CN"/>
        </w:rPr>
        <w:t>6</w:t>
      </w:r>
      <w:r>
        <w:rPr>
          <w:rFonts w:ascii="仿宋_GB2312" w:eastAsia="仿宋_GB2312" w:hint="eastAsia"/>
          <w:sz w:val="32"/>
          <w:lang w:eastAsia="zh-CN"/>
        </w:rPr>
        <w:t>）负责全县政务服务管理工作，指导全县政务服务体系建设。</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lang w:eastAsia="zh-CN"/>
        </w:rPr>
      </w:pPr>
      <w:r>
        <w:rPr>
          <w:rFonts w:ascii="仿宋_GB2312" w:eastAsia="仿宋_GB2312" w:hint="eastAsia"/>
          <w:sz w:val="32"/>
          <w:lang w:eastAsia="zh-CN"/>
        </w:rPr>
        <w:t>（</w:t>
      </w:r>
      <w:r>
        <w:rPr>
          <w:rFonts w:ascii="仿宋_GB2312" w:eastAsia="仿宋_GB2312" w:hint="eastAsia"/>
          <w:sz w:val="32"/>
          <w:lang w:val="en-US" w:eastAsia="zh-CN"/>
        </w:rPr>
        <w:t>7</w:t>
      </w:r>
      <w:r>
        <w:rPr>
          <w:rFonts w:ascii="仿宋_GB2312" w:eastAsia="仿宋_GB2312" w:hint="eastAsia"/>
          <w:sz w:val="32"/>
          <w:lang w:eastAsia="zh-CN"/>
        </w:rPr>
        <w:t>）负责全县公共资源交易管理工作，推进公共资源交易体系建设。</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lang w:eastAsia="zh-CN"/>
        </w:rPr>
      </w:pPr>
      <w:r>
        <w:rPr>
          <w:rFonts w:ascii="仿宋_GB2312" w:eastAsia="仿宋_GB2312" w:hint="eastAsia"/>
          <w:sz w:val="32"/>
          <w:lang w:eastAsia="zh-CN"/>
        </w:rPr>
        <w:t>（</w:t>
      </w:r>
      <w:r>
        <w:rPr>
          <w:rFonts w:ascii="仿宋_GB2312" w:eastAsia="仿宋_GB2312" w:hint="eastAsia"/>
          <w:sz w:val="32"/>
          <w:lang w:val="en-US" w:eastAsia="zh-CN"/>
        </w:rPr>
        <w:t>8</w:t>
      </w:r>
      <w:r>
        <w:rPr>
          <w:rFonts w:ascii="仿宋_GB2312" w:eastAsia="仿宋_GB2312" w:hint="eastAsia"/>
          <w:sz w:val="32"/>
          <w:lang w:eastAsia="zh-CN"/>
        </w:rPr>
        <w:t>）负责职责范围内的安全生产、职业健康、生态环境保护、公共机构能源节能减排等工作。</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lang w:eastAsia="zh-CN"/>
        </w:rPr>
      </w:pPr>
      <w:r>
        <w:rPr>
          <w:rFonts w:ascii="仿宋_GB2312" w:eastAsia="仿宋_GB2312" w:hint="eastAsia"/>
          <w:sz w:val="32"/>
          <w:lang w:eastAsia="zh-CN"/>
        </w:rPr>
        <w:t>（</w:t>
      </w:r>
      <w:r>
        <w:rPr>
          <w:rFonts w:ascii="仿宋_GB2312" w:eastAsia="仿宋_GB2312" w:hint="eastAsia"/>
          <w:sz w:val="32"/>
          <w:lang w:val="en-US" w:eastAsia="zh-CN"/>
        </w:rPr>
        <w:t>9</w:t>
      </w:r>
      <w:r>
        <w:rPr>
          <w:rFonts w:ascii="仿宋_GB2312" w:eastAsia="仿宋_GB2312" w:hint="eastAsia"/>
          <w:sz w:val="32"/>
          <w:lang w:eastAsia="zh-CN"/>
        </w:rPr>
        <w:t>）完成县委和县政府交办的其他任务。</w:t>
      </w:r>
      <w:bookmarkStart w:id="3" w:name="_Toc17472"/>
    </w:p>
    <w:p>
      <w:pPr>
        <w:keepNext w:val="0"/>
        <w:keepLines w:val="0"/>
        <w:pageBreakBefore w:val="0"/>
        <w:widowControl/>
        <w:tabs>
          <w:tab w:val="left" w:pos="8080"/>
        </w:tabs>
        <w:kinsoku/>
        <w:wordWrap/>
        <w:overflowPunct/>
        <w:topLinePunct w:val="0"/>
        <w:autoSpaceDE/>
        <w:autoSpaceDN/>
        <w:bidi w:val="0"/>
        <w:adjustRightInd/>
        <w:snapToGrid/>
        <w:spacing w:line="560" w:lineRule="exact"/>
        <w:ind w:firstLineChars="200" w:firstLine="640"/>
        <w:jc w:val="left"/>
        <w:textAlignment w:val="auto"/>
        <w:rPr>
          <w:rFonts w:ascii="楷体_GB2312" w:eastAsia="楷体_GB2312" w:cs="楷体_GB2312"/>
          <w:b/>
          <w:bCs/>
          <w:color w:val="auto"/>
          <w:kern w:val="2"/>
          <w:sz w:val="32"/>
          <w:szCs w:val="32"/>
        </w:rPr>
      </w:pPr>
      <w:r>
        <w:rPr>
          <w:rFonts w:ascii="楷体_GB2312" w:eastAsia="楷体_GB2312" w:cs="楷体_GB2312" w:hint="eastAsia"/>
          <w:b/>
          <w:bCs/>
          <w:color w:val="auto"/>
          <w:kern w:val="2"/>
          <w:sz w:val="32"/>
          <w:szCs w:val="32"/>
        </w:rPr>
        <w:t>（二）壤塘县行政审批局202</w:t>
      </w:r>
      <w:r>
        <w:rPr>
          <w:rFonts w:ascii="楷体_GB2312" w:eastAsia="楷体_GB2312" w:cs="楷体_GB2312" w:hint="eastAsia"/>
          <w:b/>
          <w:bCs/>
          <w:color w:val="auto"/>
          <w:kern w:val="2"/>
          <w:sz w:val="32"/>
          <w:szCs w:val="32"/>
          <w:lang w:val="en-US" w:eastAsia="zh-CN"/>
        </w:rPr>
        <w:t>2</w:t>
      </w:r>
      <w:r>
        <w:rPr>
          <w:rFonts w:ascii="楷体_GB2312" w:eastAsia="楷体_GB2312" w:cs="楷体_GB2312" w:hint="eastAsia"/>
          <w:b/>
          <w:bCs/>
          <w:color w:val="auto"/>
          <w:kern w:val="2"/>
          <w:sz w:val="32"/>
          <w:szCs w:val="32"/>
        </w:rPr>
        <w:t>年重点工作</w:t>
      </w:r>
      <w:bookmarkEnd w:id="3"/>
    </w:p>
    <w:p>
      <w:pPr>
        <w:ind w:left="0" w:firstLineChars="200" w:firstLine="640"/>
        <w:rPr>
          <w:rFonts w:ascii="仿宋_GB2312" w:eastAsia="仿宋_GB2312" w:cs="仿宋_GB2312"/>
          <w:b/>
          <w:bCs/>
          <w:kern w:val="2"/>
          <w:sz w:val="32"/>
          <w:szCs w:val="21"/>
          <w:lang w:val="en-US" w:eastAsia="zh-CN" w:bidi="ar-SA"/>
        </w:rPr>
      </w:pPr>
      <w:r>
        <w:rPr>
          <w:rFonts w:ascii="仿宋_GB2312" w:eastAsia="仿宋_GB2312" w:cs="仿宋_GB2312" w:hint="eastAsia"/>
          <w:b/>
          <w:bCs/>
          <w:kern w:val="2"/>
          <w:sz w:val="32"/>
          <w:szCs w:val="21"/>
          <w:lang w:val="en-US" w:eastAsia="zh-CN" w:bidi="ar-SA"/>
        </w:rPr>
        <w:t>1.</w:t>
      </w:r>
      <w:r>
        <w:rPr>
          <w:rFonts w:ascii="仿宋_GB2312" w:eastAsia="仿宋_GB2312" w:cs="仿宋_GB2312"/>
          <w:b/>
          <w:bCs/>
          <w:kern w:val="2"/>
          <w:sz w:val="32"/>
          <w:szCs w:val="21"/>
          <w:lang w:val="en-US" w:eastAsia="zh-CN" w:bidi="ar-SA"/>
        </w:rPr>
        <w:t>制定改革要点，推进任务落实。</w:t>
      </w:r>
      <w:r>
        <w:rPr>
          <w:rFonts w:ascii="仿宋_GB2312" w:eastAsia="仿宋_GB2312"/>
          <w:sz w:val="32"/>
          <w:lang w:val="en-US" w:eastAsia="zh-CN"/>
        </w:rPr>
        <w:t>积极与上级部门沟通协调，按照2022年“放管服”改革工作要点，结合我县实际，梳理形成“壤塘县2022年‘放管服’改革要点”，充分发挥牵头部门职责，加强部门沟通协调，分解改革任务，跟踪督导积极推进改革任务，确保改革工作落地落实。</w:t>
      </w:r>
    </w:p>
    <w:p>
      <w:pPr>
        <w:ind w:left="0" w:firstLineChars="200" w:firstLine="640"/>
        <w:rPr>
          <w:rFonts w:ascii="仿宋_GB2312" w:eastAsia="仿宋_GB2312"/>
          <w:sz w:val="32"/>
          <w:lang w:val="en-US" w:eastAsia="zh-CN"/>
        </w:rPr>
      </w:pPr>
      <w:r>
        <w:rPr>
          <w:rFonts w:ascii="仿宋_GB2312" w:eastAsia="仿宋_GB2312" w:cs="仿宋_GB2312" w:hint="eastAsia"/>
          <w:b/>
          <w:bCs/>
          <w:kern w:val="2"/>
          <w:sz w:val="32"/>
          <w:szCs w:val="21"/>
          <w:lang w:val="en-US" w:eastAsia="zh-CN" w:bidi="ar-SA"/>
        </w:rPr>
        <w:t>2.</w:t>
      </w:r>
      <w:r>
        <w:rPr>
          <w:rFonts w:ascii="仿宋_GB2312" w:eastAsia="仿宋_GB2312" w:cs="仿宋_GB2312"/>
          <w:b/>
          <w:bCs/>
          <w:kern w:val="2"/>
          <w:sz w:val="32"/>
          <w:szCs w:val="21"/>
          <w:lang w:val="en-US" w:eastAsia="zh-CN" w:bidi="ar-SA"/>
        </w:rPr>
        <w:t>畅通服务路径，实现政务服务“易办”</w:t>
      </w:r>
      <w:r>
        <w:rPr>
          <w:rFonts w:ascii="仿宋_GB2312" w:eastAsia="仿宋_GB2312" w:cs="仿宋_GB2312" w:hint="eastAsia"/>
          <w:b/>
          <w:bCs/>
          <w:kern w:val="2"/>
          <w:sz w:val="32"/>
          <w:szCs w:val="21"/>
          <w:lang w:val="en-US" w:eastAsia="zh-CN" w:bidi="ar-SA"/>
        </w:rPr>
        <w:t>。</w:t>
      </w:r>
      <w:r>
        <w:rPr>
          <w:rFonts w:ascii="仿宋_GB2312" w:eastAsia="仿宋_GB2312"/>
          <w:sz w:val="32"/>
          <w:lang w:val="en-US" w:eastAsia="zh-CN"/>
        </w:rPr>
        <w:t>持续巩固“一网通办”能力提升。</w:t>
      </w:r>
      <w:r>
        <w:rPr>
          <w:rFonts w:ascii="Times New Roman" w:eastAsia="仿宋_GB2312" w:cs="Times New Roman" w:hAnsi="Times New Roman"/>
          <w:b/>
          <w:bCs/>
          <w:sz w:val="32"/>
          <w:szCs w:val="22"/>
          <w:lang w:val="en-US" w:eastAsia="zh-CN"/>
        </w:rPr>
        <w:t>一是</w:t>
      </w:r>
      <w:r>
        <w:rPr>
          <w:rFonts w:ascii="仿宋_GB2312" w:eastAsia="仿宋_GB2312"/>
          <w:sz w:val="32"/>
          <w:lang w:val="en-US" w:eastAsia="zh-CN"/>
        </w:rPr>
        <w:t>强化认识，提高站位。积极推进我县政务服务平台规范化、标准化、集约化建设，推动实现政务服务全事项标准统一、全流程网上办理</w:t>
      </w:r>
      <w:r>
        <w:rPr>
          <w:rFonts w:ascii="仿宋_GB2312" w:eastAsia="仿宋_GB2312" w:hint="eastAsia"/>
          <w:sz w:val="32"/>
          <w:lang w:val="en-US" w:eastAsia="zh-CN"/>
        </w:rPr>
        <w:t>。</w:t>
      </w:r>
      <w:r>
        <w:rPr>
          <w:rFonts w:ascii="Times New Roman" w:eastAsia="仿宋_GB2312" w:cs="Times New Roman" w:hAnsi="Times New Roman"/>
          <w:b/>
          <w:bCs/>
          <w:sz w:val="32"/>
          <w:szCs w:val="22"/>
          <w:lang w:val="en-US" w:eastAsia="zh-CN"/>
        </w:rPr>
        <w:t>二是</w:t>
      </w:r>
      <w:r>
        <w:rPr>
          <w:rFonts w:ascii="仿宋_GB2312" w:eastAsia="仿宋_GB2312"/>
          <w:sz w:val="32"/>
          <w:lang w:val="en-US" w:eastAsia="zh-CN"/>
        </w:rPr>
        <w:t>强化工作人员责任意识，加强乡镇和部门“一网通办”工作人员保障，积极开展各类业务培训，做好工作衔接，提高工作人员业务能力，确保能独立完成各项工作。</w:t>
      </w:r>
      <w:r>
        <w:rPr>
          <w:rFonts w:ascii="Times New Roman" w:eastAsia="仿宋_GB2312" w:cs="Times New Roman" w:hAnsi="Times New Roman"/>
          <w:b/>
          <w:bCs/>
          <w:sz w:val="32"/>
          <w:szCs w:val="22"/>
          <w:lang w:val="en-US" w:eastAsia="zh-CN"/>
        </w:rPr>
        <w:t>三是</w:t>
      </w:r>
      <w:r>
        <w:rPr>
          <w:rFonts w:ascii="仿宋_GB2312" w:eastAsia="仿宋_GB2312"/>
          <w:sz w:val="32"/>
          <w:lang w:val="en-US" w:eastAsia="zh-CN"/>
        </w:rPr>
        <w:t>聚焦短板强弱项，持续巩固“一网通办”事项基础配置、工改主线办件等方面；要加强工改辅线办件归集力度，加强天府通办AAP注册力度完成自然人注册50%，法人注册80%目标，加强电子证照应用，实现电子证照同步生产率及签章率达100%。同时，加强对乡镇和部门“一网通办”指导，提升“一网通办”阶段性任务承接力度，对标阶段性数据短板弱项提出整改措施，教授方法，分解任务，确保我县“一网通办”保持较高水平。</w:t>
      </w:r>
      <w:r>
        <w:rPr>
          <w:rFonts w:ascii="Times New Roman" w:eastAsia="仿宋_GB2312" w:cs="Times New Roman" w:hAnsi="Times New Roman"/>
          <w:b/>
          <w:bCs/>
          <w:sz w:val="32"/>
          <w:szCs w:val="22"/>
          <w:lang w:val="en-US" w:eastAsia="zh-CN"/>
        </w:rPr>
        <w:t>四是</w:t>
      </w:r>
      <w:r>
        <w:rPr>
          <w:rFonts w:ascii="仿宋_GB2312" w:eastAsia="仿宋_GB2312"/>
          <w:sz w:val="32"/>
          <w:lang w:val="en-US" w:eastAsia="zh-CN"/>
        </w:rPr>
        <w:t>加强乡镇的基础配置和提升乡镇下放事项的承接能力；做好一体化平台事项承接工作，加强事项的认领、配置、提速等日常维护工作，切实为群众提供更加优质的网上政务服务。</w:t>
      </w:r>
      <w:r>
        <w:rPr>
          <w:rFonts w:ascii="Times New Roman" w:eastAsia="仿宋_GB2312" w:cs="Times New Roman" w:hAnsi="Times New Roman"/>
          <w:b/>
          <w:bCs/>
          <w:sz w:val="32"/>
          <w:szCs w:val="22"/>
          <w:lang w:val="en-US" w:eastAsia="zh-CN"/>
        </w:rPr>
        <w:t>五是</w:t>
      </w:r>
      <w:r>
        <w:rPr>
          <w:rFonts w:ascii="仿宋_GB2312" w:eastAsia="仿宋_GB2312"/>
          <w:sz w:val="32"/>
          <w:lang w:val="en-US" w:eastAsia="zh-CN"/>
        </w:rPr>
        <w:t>提高办件质量和归集力度，结合省、州“一网通办”办件指标考核重点由数量转为数量和质量结合的侧重点，加强各乡镇和部门主动引导群众在一体化办件的督促，避免体外循环。</w:t>
      </w:r>
    </w:p>
    <w:p>
      <w:pPr>
        <w:ind w:firstLineChars="200" w:firstLine="640"/>
        <w:jc w:val="both"/>
        <w:rPr>
          <w:rFonts w:ascii="仿宋_GB2312" w:eastAsia="仿宋_GB2312"/>
          <w:sz w:val="32"/>
          <w:lang w:val="en-US" w:eastAsia="zh-CN"/>
        </w:rPr>
      </w:pPr>
      <w:r>
        <w:rPr>
          <w:rFonts w:ascii="Times New Roman" w:eastAsia="仿宋_GB2312" w:cs="Times New Roman" w:hAnsi="Times New Roman" w:hint="eastAsia"/>
          <w:b/>
          <w:bCs/>
          <w:sz w:val="32"/>
          <w:szCs w:val="22"/>
          <w:lang w:val="en-US" w:eastAsia="zh-CN"/>
        </w:rPr>
        <w:t>3.</w:t>
      </w:r>
      <w:r>
        <w:rPr>
          <w:rFonts w:ascii="Times New Roman" w:eastAsia="仿宋_GB2312" w:cs="Times New Roman" w:hAnsi="Times New Roman"/>
          <w:b/>
          <w:bCs/>
          <w:sz w:val="32"/>
          <w:szCs w:val="22"/>
          <w:lang w:val="en-US" w:eastAsia="zh-CN"/>
        </w:rPr>
        <w:t>纵深推进“两项改革”后半篇文章。一是</w:t>
      </w:r>
      <w:r>
        <w:rPr>
          <w:rFonts w:ascii="仿宋_GB2312" w:eastAsia="仿宋_GB2312"/>
          <w:sz w:val="32"/>
          <w:lang w:val="en-US" w:eastAsia="zh-CN"/>
        </w:rPr>
        <w:t>优化“指尖”系统平台建设</w:t>
      </w:r>
      <w:r>
        <w:rPr>
          <w:rFonts w:ascii="仿宋_GB2312" w:eastAsia="仿宋_GB2312" w:hint="eastAsia"/>
          <w:sz w:val="32"/>
          <w:lang w:val="en-US" w:eastAsia="zh-CN"/>
        </w:rPr>
        <w:t>，推动更多事项群众能</w:t>
      </w:r>
      <w:r>
        <w:rPr>
          <w:rFonts w:ascii="仿宋_GB2312" w:eastAsia="仿宋_GB2312"/>
          <w:sz w:val="32"/>
          <w:lang w:val="en-US" w:eastAsia="zh-CN"/>
        </w:rPr>
        <w:t>在“指尖”</w:t>
      </w:r>
      <w:r>
        <w:rPr>
          <w:rFonts w:ascii="仿宋_GB2312" w:eastAsia="仿宋_GB2312" w:hint="eastAsia"/>
          <w:sz w:val="32"/>
          <w:lang w:val="en-US" w:eastAsia="zh-CN"/>
        </w:rPr>
        <w:t>上办理</w:t>
      </w:r>
      <w:r>
        <w:rPr>
          <w:rFonts w:ascii="仿宋_GB2312" w:eastAsia="仿宋_GB2312"/>
          <w:sz w:val="32"/>
          <w:lang w:val="en-US" w:eastAsia="zh-CN"/>
        </w:rPr>
        <w:t>；将“指尖”便民服务体系工作作为一项长期任务来抓，持续宣传推广，拓宽群众使用面，及时解决群众诉求；建立健全“指尖”常态化机制，全力推广“指尖”系统，打造壤塘便民服务及网上政务服务“名片”。</w:t>
      </w:r>
      <w:r>
        <w:rPr>
          <w:rFonts w:ascii="Times New Roman" w:eastAsia="仿宋_GB2312" w:cs="Times New Roman" w:hAnsi="Times New Roman"/>
          <w:b/>
          <w:bCs/>
          <w:sz w:val="32"/>
          <w:szCs w:val="22"/>
          <w:lang w:val="en-US" w:eastAsia="zh-CN"/>
        </w:rPr>
        <w:t>二是</w:t>
      </w:r>
      <w:r>
        <w:rPr>
          <w:rFonts w:ascii="仿宋_GB2312" w:eastAsia="仿宋_GB2312"/>
          <w:sz w:val="32"/>
          <w:lang w:val="en-US" w:eastAsia="zh-CN"/>
        </w:rPr>
        <w:t>加强下放事项的精准化。开展乡镇下放事项的调研工作，充分考虑基层实际情况，做到下放事项精准，下放群众真正需要的事项；加强乡镇行政权</w:t>
      </w:r>
      <w:r>
        <w:rPr>
          <w:rFonts w:ascii="仿宋_GB2312" w:eastAsia="仿宋_GB2312"/>
          <w:sz w:val="32"/>
          <w:lang w:val="en-US" w:eastAsia="zh-CN"/>
        </w:rPr>
        <w:t>力</w:t>
      </w:r>
      <w:r>
        <w:rPr>
          <w:rFonts w:ascii="仿宋_GB2312" w:eastAsia="仿宋_GB2312"/>
          <w:sz w:val="32"/>
          <w:lang w:val="en-US" w:eastAsia="zh-CN"/>
        </w:rPr>
        <w:t>承接能力提升，做好下放乡镇事项的承接，保证群众能在乡镇办理事项，实现群众办事少跑路。</w:t>
      </w:r>
      <w:r>
        <w:rPr>
          <w:rFonts w:ascii="Times New Roman" w:eastAsia="仿宋_GB2312" w:cs="Times New Roman" w:hAnsi="Times New Roman"/>
          <w:b/>
          <w:bCs/>
          <w:sz w:val="32"/>
          <w:szCs w:val="22"/>
          <w:lang w:val="en-US" w:eastAsia="zh-CN"/>
        </w:rPr>
        <w:t>三是</w:t>
      </w:r>
      <w:r>
        <w:rPr>
          <w:rFonts w:ascii="仿宋_GB2312" w:eastAsia="仿宋_GB2312"/>
          <w:sz w:val="32"/>
          <w:lang w:val="en-US" w:eastAsia="zh-CN"/>
        </w:rPr>
        <w:t>持续深化镇村便民服务体系“三化”建设。优化便民服务室（点）的服务机制，建立健全对村社便民服务室（点）、帮办代办人员考核办法，加强帮办代办人员业务能力提升，做好村社事项的承接工作，让群众在家门口就能办成事。</w:t>
      </w:r>
    </w:p>
    <w:p>
      <w:pPr>
        <w:ind w:firstLineChars="200" w:firstLine="640"/>
        <w:rPr>
          <w:rFonts w:ascii="仿宋_GB2312" w:eastAsia="仿宋_GB2312" w:cs="Calibri"/>
          <w:kern w:val="2"/>
          <w:sz w:val="32"/>
          <w:szCs w:val="21"/>
          <w:lang w:val="en-US" w:eastAsia="zh-CN" w:bidi="ar-SA"/>
        </w:rPr>
      </w:pPr>
      <w:r>
        <w:rPr>
          <w:rFonts w:ascii="Times New Roman" w:eastAsia="仿宋_GB2312" w:cs="Times New Roman" w:hAnsi="Times New Roman" w:hint="eastAsia"/>
          <w:b/>
          <w:bCs/>
          <w:sz w:val="32"/>
          <w:szCs w:val="22"/>
          <w:lang w:val="en-US" w:eastAsia="zh-CN"/>
        </w:rPr>
        <w:t>4.</w:t>
      </w:r>
      <w:r>
        <w:rPr>
          <w:rFonts w:ascii="Times New Roman" w:eastAsia="仿宋_GB2312" w:cs="Times New Roman" w:hAnsi="Times New Roman"/>
          <w:b/>
          <w:bCs/>
          <w:sz w:val="32"/>
          <w:szCs w:val="22"/>
          <w:lang w:val="en-US" w:eastAsia="zh-CN"/>
        </w:rPr>
        <w:t>优化服务流程，实现政务服务“好办”。一是</w:t>
      </w:r>
      <w:r>
        <w:rPr>
          <w:rFonts w:ascii="仿宋_GB2312" w:eastAsia="仿宋_GB2312" w:cs="Calibri"/>
          <w:kern w:val="2"/>
          <w:sz w:val="32"/>
          <w:szCs w:val="21"/>
          <w:lang w:val="en-US" w:eastAsia="zh-CN" w:bidi="ar-SA"/>
        </w:rPr>
        <w:t>全面提升大厅窗口“一站式”能力。</w:t>
      </w:r>
      <w:r>
        <w:rPr>
          <w:rFonts w:ascii="Times New Roman" w:eastAsia="仿宋_GB2312" w:cs="Times New Roman" w:hAnsi="Times New Roman" w:hint="eastAsia"/>
          <w:b/>
          <w:bCs/>
          <w:sz w:val="32"/>
          <w:szCs w:val="22"/>
          <w:lang w:val="en-US" w:eastAsia="zh-CN"/>
        </w:rPr>
        <w:t>二</w:t>
      </w:r>
      <w:r>
        <w:rPr>
          <w:rFonts w:ascii="Times New Roman" w:eastAsia="仿宋_GB2312" w:cs="Times New Roman" w:hAnsi="Times New Roman"/>
          <w:b/>
          <w:bCs/>
          <w:sz w:val="32"/>
          <w:szCs w:val="22"/>
          <w:lang w:val="en-US" w:eastAsia="zh-CN"/>
        </w:rPr>
        <w:t>是</w:t>
      </w:r>
      <w:r>
        <w:rPr>
          <w:rFonts w:ascii="仿宋_GB2312" w:eastAsia="仿宋_GB2312" w:cs="Calibri"/>
          <w:kern w:val="2"/>
          <w:sz w:val="32"/>
          <w:szCs w:val="21"/>
          <w:lang w:val="en-US" w:eastAsia="zh-CN" w:bidi="ar-SA"/>
        </w:rPr>
        <w:t>依法、依规稳步推进相对集中行政许可权改革。按照先易后难，成熟一批划转一批的原则，对拟相对集中行使权力事项136项实现划转，逐步形成“一枚印章管审批”的政务服务运行格局。</w:t>
      </w:r>
      <w:r>
        <w:rPr>
          <w:rFonts w:ascii="Times New Roman" w:eastAsia="仿宋_GB2312" w:cs="Times New Roman" w:hAnsi="Times New Roman" w:hint="eastAsia"/>
          <w:b/>
          <w:bCs/>
          <w:sz w:val="32"/>
          <w:szCs w:val="22"/>
          <w:lang w:val="en-US" w:eastAsia="zh-CN"/>
        </w:rPr>
        <w:t>三</w:t>
      </w:r>
      <w:r>
        <w:rPr>
          <w:rFonts w:ascii="Times New Roman" w:eastAsia="仿宋_GB2312" w:cs="Times New Roman" w:hAnsi="Times New Roman"/>
          <w:b/>
          <w:bCs/>
          <w:sz w:val="32"/>
          <w:szCs w:val="22"/>
          <w:lang w:val="en-US" w:eastAsia="zh-CN"/>
        </w:rPr>
        <w:t>是</w:t>
      </w:r>
      <w:r>
        <w:rPr>
          <w:rFonts w:ascii="仿宋_GB2312" w:eastAsia="仿宋_GB2312" w:cs="Calibri"/>
          <w:kern w:val="2"/>
          <w:sz w:val="32"/>
          <w:szCs w:val="21"/>
          <w:lang w:val="en-US" w:eastAsia="zh-CN" w:bidi="ar-SA"/>
        </w:rPr>
        <w:t>厘清权责关系，确保权利公开透明。开展政务服务事项动态调整。</w:t>
      </w:r>
      <w:r>
        <w:rPr>
          <w:rFonts w:ascii="Times New Roman" w:eastAsia="仿宋_GB2312" w:cs="Times New Roman" w:hAnsi="Times New Roman" w:hint="eastAsia"/>
          <w:b/>
          <w:bCs/>
          <w:sz w:val="32"/>
          <w:szCs w:val="22"/>
          <w:lang w:val="en-US" w:eastAsia="zh-CN"/>
        </w:rPr>
        <w:t>四</w:t>
      </w:r>
      <w:r>
        <w:rPr>
          <w:rFonts w:ascii="Times New Roman" w:eastAsia="仿宋_GB2312" w:cs="Times New Roman" w:hAnsi="Times New Roman"/>
          <w:b/>
          <w:bCs/>
          <w:sz w:val="32"/>
          <w:szCs w:val="22"/>
          <w:lang w:val="en-US" w:eastAsia="zh-CN"/>
        </w:rPr>
        <w:t>是</w:t>
      </w:r>
      <w:r>
        <w:rPr>
          <w:rFonts w:ascii="仿宋_GB2312" w:eastAsia="仿宋_GB2312" w:cs="Calibri"/>
          <w:kern w:val="2"/>
          <w:sz w:val="32"/>
          <w:szCs w:val="21"/>
          <w:lang w:val="en-US" w:eastAsia="zh-CN" w:bidi="ar-SA"/>
        </w:rPr>
        <w:t>进一步优化审批方式和审批流程。持续深化“川渝通办”、“省内通办”、“跨省通办”的事项承接；完成200项一件事一次办的事项配置；持续精简审批服务事项和申报资料，优化流程，压缩办理时限，不断提升办事效率。</w:t>
      </w:r>
    </w:p>
    <w:p>
      <w:pPr>
        <w:pStyle w:val="19"/>
        <w:widowControl w:val="0"/>
        <w:spacing w:line="560" w:lineRule="exact"/>
        <w:ind w:leftChars="0" w:left="0" w:firstLineChars="200" w:firstLine="640"/>
        <w:jc w:val="both"/>
        <w:rPr>
          <w:rFonts w:ascii="仿宋_GB2312" w:eastAsia="仿宋_GB2312" w:cs="Calibri"/>
          <w:kern w:val="2"/>
          <w:sz w:val="32"/>
          <w:szCs w:val="21"/>
          <w:lang w:val="en-US" w:eastAsia="zh-CN" w:bidi="ar-SA"/>
        </w:rPr>
      </w:pPr>
      <w:r>
        <w:rPr>
          <w:rFonts w:ascii="仿宋_GB2312" w:eastAsia="仿宋_GB2312" w:cs="仿宋_GB2312" w:hint="eastAsia"/>
          <w:b/>
          <w:bCs/>
          <w:kern w:val="2"/>
          <w:sz w:val="32"/>
          <w:szCs w:val="21"/>
          <w:lang w:val="en-US" w:eastAsia="zh-CN" w:bidi="ar-SA"/>
        </w:rPr>
        <w:t>5.</w:t>
      </w:r>
      <w:r>
        <w:rPr>
          <w:rFonts w:ascii="仿宋_GB2312" w:eastAsia="仿宋_GB2312" w:cs="仿宋_GB2312"/>
          <w:b/>
          <w:bCs/>
          <w:kern w:val="2"/>
          <w:sz w:val="32"/>
          <w:szCs w:val="21"/>
          <w:lang w:val="en-US" w:eastAsia="zh-CN" w:bidi="ar-SA"/>
        </w:rPr>
        <w:t>深化公共资源交易改革，巩固改革成果。</w:t>
      </w:r>
      <w:r>
        <w:rPr>
          <w:rFonts w:ascii="仿宋_GB2312" w:eastAsia="仿宋_GB2312" w:cs="Calibri"/>
          <w:kern w:val="2"/>
          <w:sz w:val="32"/>
          <w:szCs w:val="21"/>
          <w:lang w:val="en-US" w:eastAsia="zh-CN" w:bidi="ar-SA"/>
        </w:rPr>
        <w:t>进一步完善公共资源交易制度；加强廉政风险防控，逐级压实廉洁自律责任；规范开标流程，强化监督管理；加强评标专家管理、规范专家评标行为；加强平台建设，提升档案数字化管理；巩固提升前台受理、后台审批交易活动；深化示范交易中心创建工作，组织实施开展全县政府采购干部人才教育专业培训，持续开展政府采购项目全流程电子化交易，不断优化营商环境。</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0"/>
        <w:rPr>
          <w:rFonts w:ascii="黑体" w:eastAsia="黑体" w:cs="黑体" w:hint="eastAsia"/>
          <w:kern w:val="2"/>
          <w:sz w:val="32"/>
          <w:szCs w:val="32"/>
          <w:lang w:val="en-US" w:eastAsia="zh-CN"/>
        </w:rPr>
      </w:pPr>
      <w:bookmarkStart w:id="4" w:name="_Toc18689"/>
      <w:r>
        <w:rPr>
          <w:rFonts w:ascii="黑体" w:eastAsia="黑体" w:cs="黑体" w:hint="eastAsia"/>
          <w:kern w:val="2"/>
          <w:sz w:val="32"/>
          <w:szCs w:val="32"/>
        </w:rPr>
        <w:t>二、部门预算单位构</w:t>
      </w:r>
      <w:r>
        <w:rPr>
          <w:rFonts w:ascii="黑体" w:eastAsia="黑体" w:cs="黑体" w:hint="eastAsia"/>
          <w:kern w:val="2"/>
          <w:sz w:val="32"/>
          <w:szCs w:val="32"/>
          <w:lang w:val="en-US" w:eastAsia="zh-CN"/>
        </w:rPr>
        <w:t>成</w:t>
      </w:r>
      <w:bookmarkEnd w:id="4"/>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rFonts w:hint="eastAsia"/>
          <w:kern w:val="2"/>
          <w:sz w:val="32"/>
          <w:szCs w:val="32"/>
        </w:rPr>
        <w:t>行政审批局属一级预算单位，下属二级预算单位0个，其中：行政单位0个；参照公务员法管理的事业单位0个；其他事业单位0个。</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0"/>
        <w:rPr>
          <w:rFonts w:ascii="黑体" w:eastAsia="黑体" w:cs="黑体" w:hint="eastAsia"/>
          <w:kern w:val="2"/>
          <w:sz w:val="32"/>
          <w:szCs w:val="32"/>
        </w:rPr>
      </w:pPr>
      <w:bookmarkStart w:id="5" w:name="_Toc32709"/>
      <w:r>
        <w:rPr>
          <w:rFonts w:ascii="黑体" w:eastAsia="黑体" w:cs="黑体" w:hint="eastAsia"/>
          <w:kern w:val="2"/>
          <w:sz w:val="32"/>
          <w:szCs w:val="32"/>
          <w:lang w:val="en-US" w:eastAsia="zh-CN"/>
        </w:rPr>
        <w:t>三、</w:t>
      </w:r>
      <w:r>
        <w:rPr>
          <w:rFonts w:ascii="黑体" w:eastAsia="黑体" w:cs="黑体" w:hint="eastAsia"/>
          <w:kern w:val="2"/>
          <w:sz w:val="32"/>
          <w:szCs w:val="32"/>
        </w:rPr>
        <w:t>收支预算情况说明</w:t>
      </w:r>
      <w:bookmarkEnd w:id="5"/>
    </w:p>
    <w:p>
      <w:pPr>
        <w:pStyle w:val="27"/>
        <w:keepNext w:val="0"/>
        <w:keepLines w:val="0"/>
        <w:pageBreakBefore w:val="0"/>
        <w:widowControl w:val="0"/>
        <w:kinsoku/>
        <w:wordWrap/>
        <w:overflowPunct/>
        <w:topLinePunct w:val="0"/>
        <w:autoSpaceDE/>
        <w:autoSpaceDN/>
        <w:bidi w:val="0"/>
        <w:adjustRightInd/>
        <w:snapToGrid/>
        <w:spacing w:before="0" w:line="560" w:lineRule="exact"/>
        <w:ind w:leftChars="196" w:left="412" w:firstLineChars="200" w:firstLine="640"/>
        <w:textAlignment w:val="auto"/>
        <w:rPr>
          <w:rFonts w:hint="eastAsia"/>
          <w:kern w:val="2"/>
          <w:sz w:val="32"/>
          <w:szCs w:val="32"/>
        </w:rPr>
      </w:pPr>
      <w:r>
        <w:rPr>
          <w:rFonts w:hint="eastAsia"/>
          <w:kern w:val="2"/>
          <w:sz w:val="32"/>
          <w:szCs w:val="32"/>
        </w:rPr>
        <w:t>按照综合预算的原则，壤塘县行政审批局所有收入和支出均纳入部门预算管理。收入包括：一般公共预算拨款收入</w:t>
      </w:r>
      <w:r>
        <w:rPr>
          <w:rFonts w:cs="Times New Roman" w:hint="eastAsia"/>
          <w:kern w:val="2"/>
          <w:sz w:val="32"/>
          <w:szCs w:val="32"/>
        </w:rPr>
        <w:t>235.97</w:t>
      </w:r>
      <w:r>
        <w:rPr>
          <w:rFonts w:hint="eastAsia"/>
          <w:kern w:val="2"/>
          <w:sz w:val="32"/>
          <w:szCs w:val="32"/>
        </w:rPr>
        <w:t>万元；支出包括：一般公共服务支出147.17万元，社会保障和就业支出</w:t>
      </w:r>
      <w:r>
        <w:rPr>
          <w:rFonts w:cs="Times New Roman" w:hint="eastAsia"/>
          <w:kern w:val="2"/>
          <w:sz w:val="32"/>
          <w:szCs w:val="32"/>
        </w:rPr>
        <w:t>44.01</w:t>
      </w:r>
      <w:r>
        <w:rPr>
          <w:rFonts w:hint="eastAsia"/>
          <w:kern w:val="2"/>
          <w:sz w:val="32"/>
          <w:szCs w:val="32"/>
        </w:rPr>
        <w:t>万元，卫生健康支出</w:t>
      </w:r>
      <w:r>
        <w:rPr>
          <w:rFonts w:cs="Times New Roman" w:hint="eastAsia"/>
          <w:kern w:val="2"/>
          <w:sz w:val="32"/>
          <w:szCs w:val="32"/>
        </w:rPr>
        <w:t>16.49</w:t>
      </w:r>
      <w:r>
        <w:rPr>
          <w:rFonts w:hint="eastAsia"/>
          <w:kern w:val="2"/>
          <w:sz w:val="32"/>
          <w:szCs w:val="32"/>
        </w:rPr>
        <w:t>万元，住房保障支出</w:t>
      </w:r>
      <w:r>
        <w:rPr>
          <w:rFonts w:cs="Times New Roman" w:hint="eastAsia"/>
          <w:kern w:val="2"/>
          <w:sz w:val="32"/>
          <w:szCs w:val="32"/>
        </w:rPr>
        <w:t>28.30</w:t>
      </w:r>
      <w:r>
        <w:rPr>
          <w:rFonts w:hint="eastAsia"/>
          <w:kern w:val="2"/>
          <w:sz w:val="32"/>
          <w:szCs w:val="32"/>
        </w:rPr>
        <w:t>万元。壤塘县行政审批局</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收支总预算</w:t>
      </w:r>
      <w:r>
        <w:rPr>
          <w:rFonts w:cs="Times New Roman" w:hint="eastAsia"/>
          <w:kern w:val="2"/>
          <w:sz w:val="32"/>
          <w:szCs w:val="32"/>
        </w:rPr>
        <w:t>235.97</w:t>
      </w:r>
      <w:r>
        <w:rPr>
          <w:rFonts w:hint="eastAsia"/>
          <w:kern w:val="2"/>
          <w:sz w:val="32"/>
          <w:szCs w:val="32"/>
        </w:rPr>
        <w:t>万元</w:t>
      </w:r>
      <w:r>
        <w:rPr>
          <w:kern w:val="2"/>
          <w:sz w:val="32"/>
          <w:szCs w:val="32"/>
        </w:rPr>
        <w:t>,</w:t>
      </w:r>
      <w:r>
        <w:rPr>
          <w:rFonts w:hint="eastAsia"/>
          <w:kern w:val="2"/>
          <w:sz w:val="32"/>
          <w:szCs w:val="32"/>
        </w:rPr>
        <w:t>　比</w:t>
      </w:r>
      <w:r>
        <w:rPr>
          <w:kern w:val="2"/>
          <w:sz w:val="32"/>
          <w:szCs w:val="32"/>
        </w:rPr>
        <w:t>20</w:t>
      </w:r>
      <w:r>
        <w:rPr>
          <w:rFonts w:hint="eastAsia"/>
          <w:kern w:val="2"/>
          <w:sz w:val="32"/>
          <w:szCs w:val="32"/>
        </w:rPr>
        <w:t>2</w:t>
      </w:r>
      <w:r>
        <w:rPr>
          <w:rFonts w:hint="eastAsia"/>
          <w:kern w:val="2"/>
          <w:sz w:val="32"/>
          <w:szCs w:val="32"/>
          <w:lang w:val="en-US" w:eastAsia="zh-CN"/>
        </w:rPr>
        <w:t>1</w:t>
      </w:r>
      <w:r>
        <w:rPr>
          <w:kern w:val="2"/>
          <w:sz w:val="32"/>
          <w:szCs w:val="32"/>
        </w:rPr>
        <w:t>年</w:t>
      </w:r>
      <w:r>
        <w:rPr>
          <w:rFonts w:hint="eastAsia"/>
          <w:kern w:val="2"/>
          <w:sz w:val="32"/>
          <w:szCs w:val="32"/>
        </w:rPr>
        <w:t>收支预算总数</w:t>
      </w:r>
      <w:r>
        <w:rPr>
          <w:rFonts w:hint="eastAsia"/>
          <w:kern w:val="2"/>
          <w:sz w:val="32"/>
          <w:szCs w:val="32"/>
          <w:lang w:val="en-US" w:eastAsia="zh-CN"/>
        </w:rPr>
        <w:t>减少</w:t>
      </w:r>
      <w:r>
        <w:rPr>
          <w:rFonts w:hint="eastAsia"/>
          <w:kern w:val="2"/>
          <w:sz w:val="32"/>
          <w:szCs w:val="32"/>
        </w:rPr>
        <w:t>77.03万元，</w:t>
      </w:r>
      <w:r>
        <w:rPr>
          <w:rFonts w:cs="Times New Roman" w:hint="eastAsia"/>
          <w:kern w:val="2"/>
          <w:sz w:val="32"/>
          <w:szCs w:val="32"/>
        </w:rPr>
        <w:t>主要原因: 202</w:t>
      </w:r>
      <w:r>
        <w:rPr>
          <w:rFonts w:cs="Times New Roman" w:hint="eastAsia"/>
          <w:kern w:val="2"/>
          <w:sz w:val="32"/>
          <w:szCs w:val="32"/>
          <w:lang w:val="en-US" w:eastAsia="zh-CN"/>
        </w:rPr>
        <w:t>2年项目减少。</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ascii="楷体_GB2312" w:eastAsia="楷体_GB2312" w:cs="楷体_GB2312" w:hint="eastAsia"/>
          <w:b/>
          <w:bCs/>
          <w:kern w:val="2"/>
          <w:sz w:val="32"/>
          <w:szCs w:val="32"/>
          <w:lang w:val="en-US" w:eastAsia="zh-CN"/>
        </w:rPr>
      </w:pPr>
      <w:bookmarkStart w:id="6" w:name="_Toc657"/>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lang w:val="en-US" w:eastAsia="zh-CN"/>
        </w:rPr>
        <w:t>一</w:t>
      </w:r>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rPr>
        <w:t>收入预算情</w:t>
      </w:r>
      <w:r>
        <w:rPr>
          <w:rFonts w:ascii="楷体_GB2312" w:eastAsia="楷体_GB2312" w:cs="楷体_GB2312" w:hint="eastAsia"/>
          <w:b/>
          <w:bCs/>
          <w:kern w:val="2"/>
          <w:sz w:val="32"/>
          <w:szCs w:val="32"/>
          <w:lang w:val="en-US" w:eastAsia="zh-CN"/>
        </w:rPr>
        <w:t>况</w:t>
      </w:r>
      <w:bookmarkEnd w:id="6"/>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rPr>
          <w:rFonts w:cs="Times New Roman"/>
          <w:kern w:val="2"/>
          <w:sz w:val="32"/>
          <w:szCs w:val="32"/>
        </w:rPr>
      </w:pPr>
      <w:r>
        <w:rPr>
          <w:rFonts w:hint="eastAsia"/>
          <w:kern w:val="2"/>
          <w:sz w:val="32"/>
          <w:szCs w:val="32"/>
        </w:rPr>
        <w:t>壤塘县行政审批局</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收入预算</w:t>
      </w:r>
      <w:r>
        <w:rPr>
          <w:rFonts w:cs="Times New Roman" w:hint="eastAsia"/>
          <w:kern w:val="2"/>
          <w:sz w:val="32"/>
          <w:szCs w:val="32"/>
        </w:rPr>
        <w:t>235.97</w:t>
      </w:r>
      <w:r>
        <w:rPr>
          <w:rFonts w:hint="eastAsia"/>
          <w:kern w:val="2"/>
          <w:sz w:val="32"/>
          <w:szCs w:val="32"/>
        </w:rPr>
        <w:t>万元；一般公共预算拨款收入</w:t>
      </w:r>
      <w:r>
        <w:rPr>
          <w:rFonts w:cs="Times New Roman" w:hint="eastAsia"/>
          <w:kern w:val="2"/>
          <w:sz w:val="32"/>
          <w:szCs w:val="32"/>
        </w:rPr>
        <w:t>235.97</w:t>
      </w:r>
      <w:r>
        <w:rPr>
          <w:rFonts w:hint="eastAsia"/>
          <w:kern w:val="2"/>
          <w:sz w:val="32"/>
          <w:szCs w:val="32"/>
        </w:rPr>
        <w:t>万元，占</w:t>
      </w:r>
      <w:r>
        <w:rPr>
          <w:rFonts w:cs="Times New Roman"/>
          <w:kern w:val="2"/>
          <w:sz w:val="32"/>
          <w:szCs w:val="32"/>
        </w:rPr>
        <w:t>100</w:t>
      </w:r>
      <w:r>
        <w:rPr>
          <w:kern w:val="2"/>
          <w:sz w:val="32"/>
          <w:szCs w:val="32"/>
        </w:rPr>
        <w:t>%</w:t>
      </w:r>
      <w:r>
        <w:rPr>
          <w:rFonts w:hint="eastAsia"/>
          <w:kern w:val="2"/>
          <w:sz w:val="32"/>
          <w:szCs w:val="32"/>
        </w:rPr>
        <w:t>。</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1"/>
        <w:rPr>
          <w:rFonts w:cs="Times New Roman"/>
          <w:b/>
          <w:bCs/>
          <w:kern w:val="2"/>
          <w:sz w:val="32"/>
          <w:szCs w:val="32"/>
        </w:rPr>
      </w:pPr>
      <w:bookmarkStart w:id="7" w:name="_Toc25172"/>
      <w:r>
        <w:rPr>
          <w:rFonts w:ascii="楷体_GB2312" w:eastAsia="楷体_GB2312" w:cs="楷体_GB2312" w:hint="eastAsia"/>
          <w:b/>
          <w:bCs/>
          <w:kern w:val="2"/>
          <w:sz w:val="32"/>
          <w:szCs w:val="32"/>
        </w:rPr>
        <w:t>（二）支出预算情况</w:t>
      </w:r>
      <w:bookmarkEnd w:id="7"/>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cs="Times New Roman"/>
          <w:kern w:val="2"/>
          <w:sz w:val="32"/>
          <w:szCs w:val="32"/>
        </w:rPr>
      </w:pPr>
      <w:r>
        <w:rPr>
          <w:rFonts w:hint="eastAsia"/>
          <w:kern w:val="2"/>
          <w:sz w:val="32"/>
          <w:szCs w:val="32"/>
        </w:rPr>
        <w:t>壤塘县行政审批局</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支出预算</w:t>
      </w:r>
      <w:r>
        <w:rPr>
          <w:rFonts w:cs="Times New Roman" w:hint="eastAsia"/>
          <w:kern w:val="2"/>
          <w:sz w:val="32"/>
          <w:szCs w:val="32"/>
        </w:rPr>
        <w:t>235.97</w:t>
      </w:r>
      <w:r>
        <w:rPr>
          <w:rFonts w:hint="eastAsia"/>
          <w:kern w:val="2"/>
          <w:sz w:val="32"/>
          <w:szCs w:val="32"/>
        </w:rPr>
        <w:t>万元，其中：基本支出</w:t>
      </w:r>
      <w:r>
        <w:rPr>
          <w:rFonts w:cs="Times New Roman" w:hint="eastAsia"/>
          <w:kern w:val="2"/>
          <w:sz w:val="32"/>
          <w:szCs w:val="32"/>
        </w:rPr>
        <w:t>235.97</w:t>
      </w:r>
      <w:r>
        <w:rPr>
          <w:rFonts w:hint="eastAsia"/>
          <w:kern w:val="2"/>
          <w:sz w:val="32"/>
          <w:szCs w:val="32"/>
        </w:rPr>
        <w:t>万元，占</w:t>
      </w:r>
      <w:r>
        <w:rPr>
          <w:rFonts w:cs="Times New Roman"/>
          <w:kern w:val="2"/>
          <w:sz w:val="32"/>
          <w:szCs w:val="32"/>
        </w:rPr>
        <w:t>100</w:t>
      </w:r>
      <w:r>
        <w:rPr>
          <w:kern w:val="2"/>
          <w:sz w:val="32"/>
          <w:szCs w:val="32"/>
        </w:rPr>
        <w:t>%</w:t>
      </w:r>
      <w:r>
        <w:rPr>
          <w:rFonts w:hint="eastAsia"/>
          <w:kern w:val="2"/>
          <w:sz w:val="32"/>
          <w:szCs w:val="32"/>
        </w:rPr>
        <w:t>。</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0"/>
        <w:rPr>
          <w:rFonts w:ascii="黑体" w:eastAsia="黑体" w:cs="黑体" w:hint="eastAsia"/>
          <w:kern w:val="2"/>
          <w:sz w:val="32"/>
          <w:szCs w:val="32"/>
          <w:lang w:val="en-US" w:eastAsia="zh-CN"/>
        </w:rPr>
      </w:pPr>
      <w:bookmarkStart w:id="8" w:name="_Toc12872"/>
      <w:r>
        <w:rPr>
          <w:rFonts w:ascii="黑体" w:eastAsia="黑体" w:cs="黑体" w:hint="eastAsia"/>
          <w:kern w:val="2"/>
          <w:sz w:val="32"/>
          <w:szCs w:val="32"/>
          <w:lang w:val="en-US" w:eastAsia="zh-CN"/>
        </w:rPr>
        <w:t>四、</w:t>
      </w:r>
      <w:r>
        <w:rPr>
          <w:rFonts w:ascii="黑体" w:eastAsia="黑体" w:cs="黑体" w:hint="eastAsia"/>
          <w:kern w:val="2"/>
          <w:sz w:val="32"/>
          <w:szCs w:val="32"/>
        </w:rPr>
        <w:t>财政拨款收支预算情况说</w:t>
      </w:r>
      <w:r>
        <w:rPr>
          <w:rFonts w:ascii="黑体" w:eastAsia="黑体" w:cs="黑体" w:hint="eastAsia"/>
          <w:kern w:val="2"/>
          <w:sz w:val="32"/>
          <w:szCs w:val="32"/>
          <w:lang w:val="en-US" w:eastAsia="zh-CN"/>
        </w:rPr>
        <w:t>明</w:t>
      </w:r>
      <w:bookmarkEnd w:id="8"/>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cs="Times New Roman" w:hint="eastAsia"/>
          <w:kern w:val="2"/>
          <w:sz w:val="32"/>
          <w:szCs w:val="32"/>
          <w:lang w:val="en-US" w:eastAsia="zh-CN"/>
        </w:rPr>
      </w:pPr>
      <w:r>
        <w:rPr>
          <w:rFonts w:hint="eastAsia"/>
          <w:kern w:val="2"/>
          <w:sz w:val="32"/>
          <w:szCs w:val="32"/>
        </w:rPr>
        <w:t>壤塘县行政审批局202</w:t>
      </w:r>
      <w:r>
        <w:rPr>
          <w:rFonts w:hint="eastAsia"/>
          <w:kern w:val="2"/>
          <w:sz w:val="32"/>
          <w:szCs w:val="32"/>
          <w:lang w:val="en-US" w:eastAsia="zh-CN"/>
        </w:rPr>
        <w:t>2</w:t>
      </w:r>
      <w:r>
        <w:rPr>
          <w:rFonts w:hint="eastAsia"/>
          <w:kern w:val="2"/>
          <w:sz w:val="32"/>
          <w:szCs w:val="32"/>
        </w:rPr>
        <w:t>年财政拨款收支总预算235.97万元,比202</w:t>
      </w:r>
      <w:r>
        <w:rPr>
          <w:rFonts w:hint="eastAsia"/>
          <w:kern w:val="2"/>
          <w:sz w:val="32"/>
          <w:szCs w:val="32"/>
          <w:lang w:val="en-US" w:eastAsia="zh-CN"/>
        </w:rPr>
        <w:t>1</w:t>
      </w:r>
      <w:r>
        <w:rPr>
          <w:rFonts w:hint="eastAsia"/>
          <w:kern w:val="2"/>
          <w:sz w:val="32"/>
          <w:szCs w:val="32"/>
        </w:rPr>
        <w:t>年财政拨款收支总预算</w:t>
      </w:r>
      <w:r>
        <w:rPr>
          <w:rFonts w:hint="eastAsia"/>
          <w:kern w:val="2"/>
          <w:sz w:val="32"/>
          <w:szCs w:val="32"/>
          <w:lang w:val="en-US" w:eastAsia="zh-CN"/>
        </w:rPr>
        <w:t>减少</w:t>
      </w:r>
      <w:r>
        <w:rPr>
          <w:rFonts w:hint="eastAsia"/>
          <w:kern w:val="2"/>
          <w:sz w:val="32"/>
          <w:szCs w:val="32"/>
        </w:rPr>
        <w:t>77.03万元，</w:t>
      </w:r>
      <w:r>
        <w:rPr>
          <w:rFonts w:cs="Times New Roman" w:hint="eastAsia"/>
          <w:kern w:val="2"/>
          <w:sz w:val="32"/>
          <w:szCs w:val="32"/>
        </w:rPr>
        <w:t>主要原因: 202</w:t>
      </w:r>
      <w:r>
        <w:rPr>
          <w:rFonts w:cs="Times New Roman" w:hint="eastAsia"/>
          <w:kern w:val="2"/>
          <w:sz w:val="32"/>
          <w:szCs w:val="32"/>
          <w:lang w:val="en-US" w:eastAsia="zh-CN"/>
        </w:rPr>
        <w:t>2年项目减少。</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rFonts w:hint="eastAsia"/>
          <w:kern w:val="2"/>
          <w:sz w:val="32"/>
          <w:szCs w:val="32"/>
        </w:rPr>
        <w:t xml:space="preserve">收入包括：本年一般公共预算拨款收入235.97万元。 </w:t>
        <w:br/>
        <w:t>　　支出包括：一般公共服务支出147.17万元，社会保障和就业支出44.01万元，卫生健康支出16.49万元，住房保障支出28.30万元。</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0"/>
        <w:rPr>
          <w:rFonts w:ascii="??" w:eastAsia="宋体" w:cs="Times New Roman" w:hAnsi="??"/>
          <w:sz w:val="16"/>
          <w:szCs w:val="16"/>
        </w:rPr>
      </w:pPr>
      <w:bookmarkStart w:id="9" w:name="_Toc15781"/>
      <w:r>
        <w:rPr>
          <w:rFonts w:ascii="黑体" w:eastAsia="黑体" w:cs="黑体" w:hint="eastAsia"/>
          <w:kern w:val="2"/>
          <w:sz w:val="32"/>
          <w:szCs w:val="32"/>
        </w:rPr>
        <w:t>五、一般公共预算当年拨款情况说明</w:t>
      </w:r>
      <w:bookmarkEnd w:id="9"/>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1"/>
        <w:rPr>
          <w:rFonts w:cs="Times New Roman"/>
          <w:kern w:val="2"/>
          <w:sz w:val="32"/>
          <w:szCs w:val="32"/>
        </w:rPr>
      </w:pPr>
      <w:bookmarkStart w:id="10" w:name="_Toc3862"/>
      <w:r>
        <w:rPr>
          <w:rFonts w:ascii="楷体_GB2312" w:eastAsia="楷体_GB2312" w:cs="楷体_GB2312" w:hint="eastAsia"/>
          <w:b/>
          <w:bCs/>
          <w:kern w:val="2"/>
          <w:sz w:val="32"/>
          <w:szCs w:val="32"/>
        </w:rPr>
        <w:t>（一）一般公共预算当年拨款规模变化情况</w:t>
      </w:r>
      <w:bookmarkEnd w:id="10"/>
    </w:p>
    <w:p>
      <w:pPr>
        <w:pStyle w:val="27"/>
        <w:keepNext w:val="0"/>
        <w:keepLines w:val="0"/>
        <w:pageBreakBefore w:val="0"/>
        <w:widowControl w:val="0"/>
        <w:kinsoku/>
        <w:wordWrap/>
        <w:overflowPunct/>
        <w:topLinePunct w:val="0"/>
        <w:autoSpaceDE/>
        <w:autoSpaceDN/>
        <w:bidi w:val="0"/>
        <w:adjustRightInd/>
        <w:snapToGrid/>
        <w:spacing w:before="0" w:line="560" w:lineRule="exact"/>
        <w:ind w:leftChars="196" w:left="412" w:firstLineChars="200" w:firstLine="640"/>
        <w:textAlignment w:val="auto"/>
        <w:rPr>
          <w:rFonts w:hint="eastAsia"/>
          <w:kern w:val="2"/>
          <w:sz w:val="32"/>
          <w:szCs w:val="32"/>
        </w:rPr>
      </w:pPr>
      <w:r>
        <w:rPr>
          <w:rFonts w:hint="eastAsia"/>
          <w:kern w:val="2"/>
          <w:sz w:val="32"/>
          <w:szCs w:val="32"/>
        </w:rPr>
        <w:t>壤塘县行政审批局202</w:t>
      </w:r>
      <w:r>
        <w:rPr>
          <w:rFonts w:hint="eastAsia"/>
          <w:kern w:val="2"/>
          <w:sz w:val="32"/>
          <w:szCs w:val="32"/>
          <w:lang w:val="en-US" w:eastAsia="zh-CN"/>
        </w:rPr>
        <w:t>2</w:t>
      </w:r>
      <w:r>
        <w:rPr>
          <w:rFonts w:hint="eastAsia"/>
          <w:kern w:val="2"/>
          <w:sz w:val="32"/>
          <w:szCs w:val="32"/>
        </w:rPr>
        <w:t>年一般公共预算当年拨款235.97万元，比202</w:t>
      </w:r>
      <w:r>
        <w:rPr>
          <w:rFonts w:hint="eastAsia"/>
          <w:kern w:val="2"/>
          <w:sz w:val="32"/>
          <w:szCs w:val="32"/>
          <w:lang w:val="en-US" w:eastAsia="zh-CN"/>
        </w:rPr>
        <w:t>1</w:t>
      </w:r>
      <w:r>
        <w:rPr>
          <w:rFonts w:hint="eastAsia"/>
          <w:kern w:val="2"/>
          <w:sz w:val="32"/>
          <w:szCs w:val="32"/>
        </w:rPr>
        <w:t>年预算数</w:t>
      </w:r>
      <w:r>
        <w:rPr>
          <w:rFonts w:hint="eastAsia"/>
          <w:kern w:val="2"/>
          <w:sz w:val="32"/>
          <w:szCs w:val="32"/>
          <w:lang w:val="en-US" w:eastAsia="zh-CN"/>
        </w:rPr>
        <w:t>减少</w:t>
      </w:r>
      <w:r>
        <w:rPr>
          <w:rFonts w:hint="eastAsia"/>
          <w:kern w:val="2"/>
          <w:sz w:val="32"/>
          <w:szCs w:val="32"/>
        </w:rPr>
        <w:t>77.03万元，主要是基本支出</w:t>
      </w:r>
      <w:r>
        <w:rPr>
          <w:rFonts w:hint="eastAsia"/>
          <w:kern w:val="2"/>
          <w:sz w:val="32"/>
          <w:szCs w:val="32"/>
          <w:lang w:val="en-US" w:eastAsia="zh-CN"/>
        </w:rPr>
        <w:t>减少</w:t>
      </w:r>
      <w:r>
        <w:rPr>
          <w:rFonts w:hint="eastAsia"/>
          <w:kern w:val="2"/>
          <w:sz w:val="32"/>
          <w:szCs w:val="32"/>
        </w:rPr>
        <w:t>77.03万元，</w:t>
      </w:r>
      <w:r>
        <w:rPr>
          <w:rFonts w:cs="Times New Roman" w:hint="eastAsia"/>
          <w:kern w:val="2"/>
          <w:sz w:val="32"/>
          <w:szCs w:val="32"/>
        </w:rPr>
        <w:t>主要原因: 202</w:t>
      </w:r>
      <w:r>
        <w:rPr>
          <w:rFonts w:cs="Times New Roman" w:hint="eastAsia"/>
          <w:kern w:val="2"/>
          <w:sz w:val="32"/>
          <w:szCs w:val="32"/>
          <w:lang w:val="en-US" w:eastAsia="zh-CN"/>
        </w:rPr>
        <w:t>2年项目减少。</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ascii="楷体_GB2312" w:eastAsia="楷体_GB2312" w:cs="楷体_GB2312" w:hint="eastAsia"/>
          <w:b/>
          <w:bCs/>
          <w:kern w:val="2"/>
          <w:sz w:val="32"/>
          <w:szCs w:val="32"/>
        </w:rPr>
      </w:pPr>
      <w:bookmarkStart w:id="11" w:name="_Toc20629"/>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lang w:val="en-US" w:eastAsia="zh-CN"/>
        </w:rPr>
        <w:t>二</w:t>
      </w:r>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rPr>
        <w:t>一般公共预算当年拨款结构情况</w:t>
      </w:r>
      <w:bookmarkEnd w:id="11"/>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rPr>
          <w:rFonts w:hint="eastAsia"/>
          <w:kern w:val="2"/>
          <w:sz w:val="32"/>
          <w:szCs w:val="32"/>
        </w:rPr>
      </w:pPr>
      <w:r>
        <w:rPr>
          <w:rFonts w:hint="eastAsia"/>
          <w:kern w:val="2"/>
          <w:sz w:val="32"/>
          <w:szCs w:val="32"/>
        </w:rPr>
        <w:t>一般公共服务支出147.17万元，</w:t>
      </w:r>
      <w:r>
        <w:rPr>
          <w:rFonts w:hint="eastAsia"/>
          <w:kern w:val="2"/>
          <w:sz w:val="32"/>
          <w:szCs w:val="32"/>
          <w:lang w:val="en-US" w:eastAsia="zh-CN"/>
        </w:rPr>
        <w:t>占62.37%；</w:t>
      </w:r>
      <w:r>
        <w:rPr>
          <w:rFonts w:hint="eastAsia"/>
          <w:kern w:val="2"/>
          <w:sz w:val="32"/>
          <w:szCs w:val="32"/>
        </w:rPr>
        <w:t>社会保障和就业支出44.01万元，</w:t>
      </w:r>
      <w:r>
        <w:rPr>
          <w:rFonts w:hint="eastAsia"/>
          <w:kern w:val="2"/>
          <w:sz w:val="32"/>
          <w:szCs w:val="32"/>
          <w:lang w:val="en-US" w:eastAsia="zh-CN"/>
        </w:rPr>
        <w:t>占18.65%；</w:t>
      </w:r>
      <w:r>
        <w:rPr>
          <w:rFonts w:hint="eastAsia"/>
          <w:kern w:val="2"/>
          <w:sz w:val="32"/>
          <w:szCs w:val="32"/>
        </w:rPr>
        <w:t>卫生健康支出16.49万元，</w:t>
      </w:r>
      <w:r>
        <w:rPr>
          <w:rFonts w:hint="eastAsia"/>
          <w:kern w:val="2"/>
          <w:sz w:val="32"/>
          <w:szCs w:val="32"/>
          <w:lang w:val="en-US" w:eastAsia="zh-CN"/>
        </w:rPr>
        <w:t>占6.99%；</w:t>
      </w:r>
      <w:r>
        <w:rPr>
          <w:rFonts w:hint="eastAsia"/>
          <w:kern w:val="2"/>
          <w:sz w:val="32"/>
          <w:szCs w:val="32"/>
        </w:rPr>
        <w:t>住房保障支出28.30万元</w:t>
      </w:r>
      <w:r>
        <w:rPr>
          <w:rFonts w:hint="eastAsia"/>
          <w:kern w:val="2"/>
          <w:sz w:val="32"/>
          <w:szCs w:val="32"/>
          <w:lang w:eastAsia="zh-CN"/>
        </w:rPr>
        <w:t>，</w:t>
      </w:r>
      <w:r>
        <w:rPr>
          <w:rFonts w:hint="eastAsia"/>
          <w:kern w:val="2"/>
          <w:sz w:val="32"/>
          <w:szCs w:val="32"/>
          <w:lang w:val="en-US" w:eastAsia="zh-CN"/>
        </w:rPr>
        <w:t>占11.99%</w:t>
      </w:r>
      <w:r>
        <w:rPr>
          <w:rFonts w:hint="eastAsia"/>
          <w:kern w:val="2"/>
          <w:sz w:val="32"/>
          <w:szCs w:val="32"/>
        </w:rPr>
        <w:t>。</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ascii="楷体_GB2312" w:eastAsia="楷体_GB2312" w:cs="楷体_GB2312" w:hint="eastAsia"/>
          <w:b/>
          <w:bCs/>
          <w:kern w:val="2"/>
          <w:sz w:val="32"/>
          <w:szCs w:val="32"/>
        </w:rPr>
      </w:pPr>
      <w:bookmarkStart w:id="12" w:name="_Toc31053"/>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lang w:val="en-US" w:eastAsia="zh-CN"/>
        </w:rPr>
        <w:t>三</w:t>
      </w:r>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rPr>
        <w:t>一般公共预算当年拨款具体使用情况</w:t>
      </w:r>
      <w:bookmarkEnd w:id="12"/>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rPr>
          <w:kern w:val="2"/>
          <w:sz w:val="32"/>
          <w:szCs w:val="32"/>
        </w:rPr>
      </w:pPr>
      <w:r>
        <w:rPr>
          <w:rFonts w:hint="eastAsia"/>
          <w:kern w:val="2"/>
          <w:sz w:val="32"/>
          <w:szCs w:val="32"/>
        </w:rPr>
        <w:t>1</w:t>
      </w:r>
      <w:r>
        <w:rPr>
          <w:kern w:val="2"/>
          <w:sz w:val="32"/>
          <w:szCs w:val="32"/>
        </w:rPr>
        <w:t>.</w:t>
      </w:r>
      <w:r>
        <w:rPr>
          <w:rFonts w:hint="eastAsia"/>
          <w:kern w:val="2"/>
          <w:sz w:val="32"/>
          <w:szCs w:val="32"/>
        </w:rPr>
        <w:t>一般公共服务支出（类）政府办公厅（室）及相关机构事务（款）行政运行（项）：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预算数为135.72万元，主要用于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年单位职工工资福利支出（基本工资、津补贴、绩效工资等）。</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kern w:val="2"/>
          <w:sz w:val="32"/>
          <w:szCs w:val="32"/>
        </w:rPr>
      </w:pPr>
      <w:r>
        <w:rPr>
          <w:kern w:val="2"/>
          <w:sz w:val="32"/>
          <w:szCs w:val="32"/>
        </w:rPr>
        <w:t>2.</w:t>
      </w:r>
      <w:r>
        <w:rPr>
          <w:rFonts w:hint="eastAsia"/>
          <w:kern w:val="2"/>
          <w:sz w:val="32"/>
          <w:szCs w:val="32"/>
        </w:rPr>
        <w:t>一般公共服务支出（类）政府办公厅（室）及相关机构事务（款）事业运行（项）：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预算数为11.45万元，主要用于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年单位职工工资福利支出（基本工资、津补贴、绩效工资等）</w:t>
      </w:r>
      <w:r>
        <w:rPr>
          <w:kern w:val="2"/>
          <w:sz w:val="32"/>
          <w:szCs w:val="32"/>
        </w:rPr>
        <w:br/>
      </w:r>
      <w:r>
        <w:rPr>
          <w:rFonts w:hint="eastAsia"/>
          <w:kern w:val="2"/>
          <w:sz w:val="32"/>
          <w:szCs w:val="32"/>
        </w:rPr>
        <w:t>　　</w:t>
      </w:r>
      <w:r>
        <w:rPr>
          <w:kern w:val="2"/>
          <w:sz w:val="32"/>
          <w:szCs w:val="32"/>
        </w:rPr>
        <w:t>3.</w:t>
      </w:r>
      <w:r>
        <w:rPr>
          <w:rFonts w:hint="eastAsia"/>
          <w:kern w:val="2"/>
          <w:sz w:val="32"/>
          <w:szCs w:val="32"/>
        </w:rPr>
        <w:t>社会保障和就业支出（类）行政事业单位养老支出（款）机关事业单位基本养老保险缴费支出（项）：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预算数为29.34万元，主要用于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年单位养老保险支出。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kern w:val="2"/>
          <w:sz w:val="32"/>
          <w:szCs w:val="32"/>
        </w:rPr>
      </w:pPr>
      <w:r>
        <w:rPr>
          <w:kern w:val="2"/>
          <w:sz w:val="32"/>
          <w:szCs w:val="32"/>
        </w:rPr>
        <w:t>4.</w:t>
      </w:r>
      <w:r>
        <w:rPr>
          <w:rFonts w:hint="eastAsia"/>
          <w:kern w:val="2"/>
          <w:sz w:val="32"/>
          <w:szCs w:val="32"/>
        </w:rPr>
        <w:t>社会保障和就业支出（类）行政事业单位养老支出（款）机关事业单位职业年金缴费支出（项）：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预算数为14.67万元，主要用于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年单位职业年金支出。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kern w:val="2"/>
          <w:sz w:val="32"/>
          <w:szCs w:val="32"/>
        </w:rPr>
        <w:t>5.</w:t>
      </w:r>
      <w:r>
        <w:rPr>
          <w:rFonts w:hint="eastAsia"/>
          <w:kern w:val="2"/>
          <w:sz w:val="32"/>
          <w:szCs w:val="32"/>
        </w:rPr>
        <w:t>卫生健康支出（类）行政事业单位医疗（款）行政单位医疗（项）行政单位医疗</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预算数为7.91万元，主要用于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年单位行政医疗支出。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kern w:val="2"/>
          <w:sz w:val="32"/>
          <w:szCs w:val="32"/>
        </w:rPr>
        <w:t>6.</w:t>
      </w:r>
      <w:r>
        <w:rPr>
          <w:rFonts w:hint="eastAsia"/>
          <w:kern w:val="2"/>
          <w:sz w:val="32"/>
          <w:szCs w:val="32"/>
        </w:rPr>
        <w:t>卫生健康支出（类）行政事业单位医疗（款）事业单位医疗（项）：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预算数为4.93万元，主要用于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年单位事业医疗支出。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kern w:val="2"/>
          <w:sz w:val="32"/>
          <w:szCs w:val="32"/>
        </w:rPr>
        <w:t>7.</w:t>
      </w:r>
      <w:r>
        <w:rPr>
          <w:rFonts w:hint="eastAsia"/>
          <w:kern w:val="2"/>
          <w:sz w:val="32"/>
          <w:szCs w:val="32"/>
        </w:rPr>
        <w:t>卫生健康支出（类）行政事业单位医疗（款）公务员医疗补助（项）：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预算数为2.19万元，主要用于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年单位公务员医疗补助支出。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rFonts w:hint="eastAsia"/>
          <w:kern w:val="2"/>
          <w:sz w:val="32"/>
          <w:szCs w:val="32"/>
          <w:lang w:val="en-US" w:eastAsia="zh-CN"/>
        </w:rPr>
        <w:t>8</w:t>
      </w:r>
      <w:r>
        <w:rPr>
          <w:rFonts w:hint="eastAsia"/>
          <w:kern w:val="2"/>
          <w:sz w:val="32"/>
          <w:szCs w:val="32"/>
        </w:rPr>
        <w:t>.卫生健康支出（类）行政事业单位医疗（款）其他行政事业单位医疗支出（项）：202</w:t>
      </w:r>
      <w:r>
        <w:rPr>
          <w:rFonts w:hint="eastAsia"/>
          <w:kern w:val="2"/>
          <w:sz w:val="32"/>
          <w:szCs w:val="32"/>
          <w:lang w:val="en-US" w:eastAsia="zh-CN"/>
        </w:rPr>
        <w:t>2</w:t>
      </w:r>
      <w:r>
        <w:rPr>
          <w:rFonts w:hint="eastAsia"/>
          <w:kern w:val="2"/>
          <w:sz w:val="32"/>
          <w:szCs w:val="32"/>
        </w:rPr>
        <w:t>年预算数为1.46万元，主要用于 :202</w:t>
      </w:r>
      <w:r>
        <w:rPr>
          <w:rFonts w:hint="eastAsia"/>
          <w:kern w:val="2"/>
          <w:sz w:val="32"/>
          <w:szCs w:val="32"/>
          <w:lang w:val="en-US" w:eastAsia="zh-CN"/>
        </w:rPr>
        <w:t>2</w:t>
      </w:r>
      <w:r>
        <w:rPr>
          <w:rFonts w:hint="eastAsia"/>
          <w:kern w:val="2"/>
          <w:sz w:val="32"/>
          <w:szCs w:val="32"/>
        </w:rPr>
        <w:t>年单位其他行政事业单位医疗支出。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hint="eastAsia"/>
          <w:kern w:val="2"/>
          <w:sz w:val="32"/>
          <w:szCs w:val="32"/>
        </w:rPr>
      </w:pPr>
      <w:r>
        <w:rPr>
          <w:rFonts w:hint="eastAsia"/>
          <w:kern w:val="2"/>
          <w:sz w:val="32"/>
          <w:szCs w:val="32"/>
          <w:lang w:val="en-US" w:eastAsia="zh-CN"/>
        </w:rPr>
        <w:t>9</w:t>
      </w:r>
      <w:r>
        <w:rPr>
          <w:kern w:val="2"/>
          <w:sz w:val="32"/>
          <w:szCs w:val="32"/>
        </w:rPr>
        <w:t>.</w:t>
      </w:r>
      <w:r>
        <w:rPr>
          <w:rFonts w:hint="eastAsia"/>
          <w:kern w:val="2"/>
          <w:sz w:val="32"/>
          <w:szCs w:val="32"/>
        </w:rPr>
        <w:t>住房保障支出（类）住房改革支出（款）住房公积金（项）：</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预算数为28.30万元，主要用于</w:t>
      </w:r>
      <w:r>
        <w:rPr>
          <w:kern w:val="2"/>
          <w:sz w:val="32"/>
          <w:szCs w:val="32"/>
        </w:rPr>
        <w:t xml:space="preserve"> :</w:t>
      </w:r>
      <w:r>
        <w:rPr>
          <w:rFonts w:hint="eastAsia"/>
          <w:kern w:val="2"/>
          <w:sz w:val="32"/>
          <w:szCs w:val="32"/>
        </w:rPr>
        <w:t>202</w:t>
      </w:r>
      <w:r>
        <w:rPr>
          <w:rFonts w:hint="eastAsia"/>
          <w:kern w:val="2"/>
          <w:sz w:val="32"/>
          <w:szCs w:val="32"/>
          <w:lang w:val="en-US" w:eastAsia="zh-CN"/>
        </w:rPr>
        <w:t>2</w:t>
      </w:r>
      <w:r>
        <w:rPr>
          <w:rFonts w:hint="eastAsia"/>
          <w:kern w:val="2"/>
          <w:sz w:val="32"/>
          <w:szCs w:val="32"/>
        </w:rPr>
        <w:t>年单位住房公积金支出。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0"/>
        <w:rPr>
          <w:rFonts w:ascii="??" w:eastAsia="宋体" w:cs="Times New Roman" w:hAnsi="??"/>
          <w:b/>
          <w:bCs/>
          <w:sz w:val="16"/>
          <w:szCs w:val="16"/>
        </w:rPr>
      </w:pPr>
      <w:bookmarkStart w:id="13" w:name="_Toc19322"/>
      <w:r>
        <w:rPr>
          <w:rFonts w:ascii="黑体" w:eastAsia="黑体" w:cs="黑体" w:hint="eastAsia"/>
          <w:kern w:val="2"/>
          <w:sz w:val="32"/>
          <w:szCs w:val="32"/>
        </w:rPr>
        <w:t>六、一般公共预算基本支出情况说明</w:t>
      </w:r>
      <w:bookmarkEnd w:id="13"/>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cs="Times New Roman"/>
          <w:kern w:val="2"/>
          <w:sz w:val="32"/>
          <w:szCs w:val="32"/>
        </w:rPr>
      </w:pPr>
      <w:r>
        <w:rPr>
          <w:rFonts w:hint="eastAsia"/>
          <w:kern w:val="2"/>
          <w:sz w:val="32"/>
          <w:szCs w:val="32"/>
        </w:rPr>
        <w:t>壤塘县行政审批局</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一般公共预算基本支出235.97万元，其中：人员经费205.50万元，主要包括：基本工资、津贴补贴、奖金、其他社会保障缴费、绩效工资、机关事业单位基本养老保险缴费、职业年金缴费、其他工资福利支出、离休费、奖励金、住房公积金、其他对个人和家庭的补助支出。公用经费30.47万元，主要包括：办公费、印刷费、手续费、水费、电费、邮电费、差旅费、维修（护）费、租赁费、会议费、培训费、劳务费、工会经费、福利费、其他交通工具运行维护费、其他商品和服务支出。</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0"/>
        <w:rPr>
          <w:rFonts w:ascii="黑体" w:eastAsia="黑体" w:cs="黑体" w:hint="eastAsia"/>
          <w:kern w:val="2"/>
          <w:sz w:val="32"/>
          <w:szCs w:val="32"/>
        </w:rPr>
      </w:pPr>
      <w:bookmarkStart w:id="14" w:name="_Toc29738"/>
      <w:r>
        <w:rPr>
          <w:rFonts w:ascii="黑体" w:eastAsia="黑体" w:cs="Times New Roman" w:hint="eastAsia"/>
          <w:kern w:val="2"/>
          <w:sz w:val="32"/>
          <w:szCs w:val="32"/>
          <w:lang w:val="en-US" w:eastAsia="zh-CN"/>
        </w:rPr>
        <w:t>七、</w:t>
      </w:r>
      <w:r>
        <w:rPr>
          <w:rFonts w:ascii="黑体" w:eastAsia="黑体" w:cs="Times New Roman"/>
          <w:kern w:val="2"/>
          <w:sz w:val="32"/>
          <w:szCs w:val="32"/>
        </w:rPr>
        <w:t>“</w:t>
      </w:r>
      <w:r>
        <w:rPr>
          <w:rFonts w:ascii="黑体" w:eastAsia="黑体" w:cs="黑体" w:hint="eastAsia"/>
          <w:kern w:val="2"/>
          <w:sz w:val="32"/>
          <w:szCs w:val="32"/>
        </w:rPr>
        <w:t>三公</w:t>
      </w:r>
      <w:r>
        <w:rPr>
          <w:rFonts w:ascii="黑体" w:eastAsia="黑体" w:cs="Times New Roman"/>
          <w:kern w:val="2"/>
          <w:sz w:val="32"/>
          <w:szCs w:val="32"/>
        </w:rPr>
        <w:t>”</w:t>
      </w:r>
      <w:r>
        <w:rPr>
          <w:rFonts w:ascii="黑体" w:eastAsia="黑体" w:cs="黑体" w:hint="eastAsia"/>
          <w:kern w:val="2"/>
          <w:sz w:val="32"/>
          <w:szCs w:val="32"/>
        </w:rPr>
        <w:t>经费财政拨款预算安排情况说明</w:t>
      </w:r>
      <w:bookmarkEnd w:id="14"/>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9"/>
        <w:rPr>
          <w:rFonts w:hint="eastAsia"/>
          <w:kern w:val="2"/>
          <w:sz w:val="32"/>
          <w:szCs w:val="32"/>
        </w:rPr>
      </w:pPr>
      <w:r>
        <w:rPr>
          <w:rFonts w:hint="eastAsia"/>
          <w:kern w:val="2"/>
          <w:sz w:val="32"/>
          <w:szCs w:val="32"/>
        </w:rPr>
        <w:t>壤塘县行政审批局</w:t>
      </w:r>
      <w:r>
        <w:rPr>
          <w:kern w:val="2"/>
          <w:sz w:val="32"/>
          <w:szCs w:val="32"/>
        </w:rPr>
        <w:t>202</w:t>
      </w:r>
      <w:r>
        <w:rPr>
          <w:rFonts w:hint="eastAsia"/>
          <w:kern w:val="2"/>
          <w:sz w:val="32"/>
          <w:szCs w:val="32"/>
          <w:lang w:val="en-US" w:eastAsia="zh-CN"/>
        </w:rPr>
        <w:t>2</w:t>
      </w:r>
      <w:r>
        <w:rPr>
          <w:kern w:val="2"/>
          <w:sz w:val="32"/>
          <w:szCs w:val="32"/>
        </w:rPr>
        <w:t>年</w:t>
      </w:r>
      <w:r>
        <w:rPr>
          <w:rFonts w:cs="Times New Roman"/>
          <w:kern w:val="2"/>
          <w:sz w:val="32"/>
          <w:szCs w:val="32"/>
        </w:rPr>
        <w:t>“</w:t>
      </w:r>
      <w:r>
        <w:rPr>
          <w:rFonts w:hint="eastAsia"/>
          <w:kern w:val="2"/>
          <w:sz w:val="32"/>
          <w:szCs w:val="32"/>
        </w:rPr>
        <w:t>三公</w:t>
      </w:r>
      <w:r>
        <w:rPr>
          <w:rFonts w:cs="Times New Roman"/>
          <w:kern w:val="2"/>
          <w:sz w:val="32"/>
          <w:szCs w:val="32"/>
        </w:rPr>
        <w:t>”</w:t>
      </w:r>
      <w:r>
        <w:rPr>
          <w:rFonts w:hint="eastAsia"/>
          <w:kern w:val="2"/>
          <w:sz w:val="32"/>
          <w:szCs w:val="32"/>
        </w:rPr>
        <w:t>经费财政拨款预算数</w:t>
      </w:r>
      <w:r>
        <w:rPr>
          <w:kern w:val="2"/>
          <w:sz w:val="32"/>
          <w:szCs w:val="32"/>
        </w:rPr>
        <w:t>10</w:t>
      </w:r>
      <w:r>
        <w:rPr>
          <w:rFonts w:hint="eastAsia"/>
          <w:kern w:val="2"/>
          <w:sz w:val="32"/>
          <w:szCs w:val="32"/>
          <w:lang w:val="en-US" w:eastAsia="zh-CN"/>
        </w:rPr>
        <w:t>.4</w:t>
      </w:r>
      <w:r>
        <w:rPr>
          <w:rFonts w:hint="eastAsia"/>
          <w:kern w:val="2"/>
          <w:sz w:val="32"/>
          <w:szCs w:val="32"/>
        </w:rPr>
        <w:t>万元，其中：公务用车运行维护费</w:t>
      </w:r>
      <w:r>
        <w:rPr>
          <w:kern w:val="2"/>
          <w:sz w:val="32"/>
          <w:szCs w:val="32"/>
        </w:rPr>
        <w:t>10</w:t>
      </w:r>
      <w:r>
        <w:rPr>
          <w:rFonts w:hint="eastAsia"/>
          <w:kern w:val="2"/>
          <w:sz w:val="32"/>
          <w:szCs w:val="32"/>
        </w:rPr>
        <w:t>万元</w:t>
      </w:r>
      <w:r>
        <w:rPr>
          <w:rFonts w:hint="eastAsia"/>
          <w:kern w:val="2"/>
          <w:sz w:val="32"/>
          <w:szCs w:val="32"/>
          <w:lang w:eastAsia="zh-CN"/>
        </w:rPr>
        <w:t>，</w:t>
      </w:r>
      <w:r>
        <w:rPr>
          <w:rFonts w:hint="eastAsia"/>
          <w:kern w:val="2"/>
          <w:sz w:val="32"/>
          <w:szCs w:val="32"/>
          <w:lang w:val="en-US" w:eastAsia="zh-CN"/>
        </w:rPr>
        <w:t>公务接待费0.4万元</w:t>
      </w:r>
      <w:r>
        <w:rPr>
          <w:rFonts w:hint="eastAsia"/>
          <w:kern w:val="2"/>
          <w:sz w:val="32"/>
          <w:szCs w:val="32"/>
        </w:rPr>
        <w:t>。</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0"/>
        <w:rPr>
          <w:rFonts w:ascii="黑体" w:eastAsia="黑体" w:cs="黑体" w:hint="eastAsia"/>
          <w:kern w:val="2"/>
          <w:sz w:val="32"/>
          <w:szCs w:val="32"/>
        </w:rPr>
      </w:pPr>
      <w:bookmarkStart w:id="15" w:name="_Toc20456"/>
      <w:r>
        <w:rPr>
          <w:rFonts w:ascii="黑体" w:eastAsia="黑体" w:cs="黑体" w:hint="eastAsia"/>
          <w:kern w:val="2"/>
          <w:sz w:val="32"/>
          <w:szCs w:val="32"/>
          <w:lang w:val="en-US" w:eastAsia="zh-CN"/>
        </w:rPr>
        <w:t>八、</w:t>
      </w:r>
      <w:r>
        <w:rPr>
          <w:rFonts w:ascii="黑体" w:eastAsia="黑体" w:cs="黑体" w:hint="eastAsia"/>
          <w:kern w:val="2"/>
          <w:sz w:val="32"/>
          <w:szCs w:val="32"/>
        </w:rPr>
        <w:t>政府性基金预算支出情况说明</w:t>
      </w:r>
      <w:bookmarkEnd w:id="15"/>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9"/>
        <w:rPr>
          <w:rFonts w:eastAsia="仿宋_GB2312" w:hint="eastAsia"/>
          <w:kern w:val="2"/>
          <w:sz w:val="32"/>
          <w:szCs w:val="32"/>
          <w:lang w:eastAsia="zh-CN"/>
        </w:rPr>
      </w:pPr>
      <w:r>
        <w:rPr>
          <w:rFonts w:hint="eastAsia"/>
          <w:kern w:val="2"/>
          <w:sz w:val="32"/>
          <w:szCs w:val="32"/>
        </w:rPr>
        <w:t>壤塘县行政审批局</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无政府性基金预算拨款</w:t>
      </w:r>
      <w:r>
        <w:rPr>
          <w:rFonts w:hint="eastAsia"/>
          <w:kern w:val="2"/>
          <w:sz w:val="32"/>
          <w:szCs w:val="32"/>
          <w:lang w:eastAsia="zh-CN"/>
        </w:rPr>
        <w:t>。</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0"/>
        <w:rPr>
          <w:rFonts w:ascii="黑体" w:eastAsia="黑体" w:cs="黑体" w:hint="eastAsia"/>
          <w:kern w:val="2"/>
          <w:sz w:val="32"/>
          <w:szCs w:val="32"/>
        </w:rPr>
      </w:pPr>
      <w:bookmarkStart w:id="16" w:name="_Toc24820"/>
      <w:r>
        <w:rPr>
          <w:rFonts w:ascii="黑体" w:eastAsia="黑体" w:cs="黑体" w:hint="eastAsia"/>
          <w:kern w:val="2"/>
          <w:sz w:val="32"/>
          <w:szCs w:val="32"/>
        </w:rPr>
        <w:t>九、其他重要事项的情况说明</w:t>
      </w:r>
      <w:bookmarkEnd w:id="16"/>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ascii="楷体_GB2312" w:eastAsia="楷体_GB2312" w:cs="楷体_GB2312" w:hint="eastAsia"/>
          <w:b/>
          <w:bCs/>
          <w:kern w:val="2"/>
          <w:sz w:val="32"/>
          <w:szCs w:val="32"/>
        </w:rPr>
      </w:pPr>
      <w:bookmarkStart w:id="17" w:name="_Toc4073"/>
      <w:r>
        <w:rPr>
          <w:rFonts w:ascii="楷体_GB2312" w:eastAsia="楷体_GB2312" w:cs="楷体_GB2312" w:hint="eastAsia"/>
          <w:b/>
          <w:bCs/>
          <w:kern w:val="2"/>
          <w:sz w:val="32"/>
          <w:szCs w:val="32"/>
        </w:rPr>
        <w:t>（一）机关运行经费</w:t>
      </w:r>
      <w:bookmarkEnd w:id="17"/>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9"/>
        <w:rPr>
          <w:rFonts w:hint="eastAsia"/>
          <w:kern w:val="2"/>
          <w:sz w:val="32"/>
          <w:szCs w:val="32"/>
        </w:rPr>
      </w:pPr>
      <w:r>
        <w:rPr>
          <w:rFonts w:hint="eastAsia"/>
          <w:kern w:val="2"/>
          <w:sz w:val="32"/>
          <w:szCs w:val="32"/>
        </w:rPr>
        <w:t>壤塘县行政审批局</w:t>
      </w: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机关运行经费财政拨款预算为30.47万元，比</w:t>
      </w:r>
      <w:r>
        <w:rPr>
          <w:kern w:val="2"/>
          <w:sz w:val="32"/>
          <w:szCs w:val="32"/>
        </w:rPr>
        <w:t>202</w:t>
      </w:r>
      <w:r>
        <w:rPr>
          <w:rFonts w:hint="eastAsia"/>
          <w:kern w:val="2"/>
          <w:sz w:val="32"/>
          <w:szCs w:val="32"/>
          <w:lang w:val="en-US" w:eastAsia="zh-CN"/>
        </w:rPr>
        <w:t>1</w:t>
      </w:r>
      <w:r>
        <w:rPr>
          <w:kern w:val="2"/>
          <w:sz w:val="32"/>
          <w:szCs w:val="32"/>
        </w:rPr>
        <w:t>年</w:t>
      </w:r>
      <w:r>
        <w:rPr>
          <w:rFonts w:hint="eastAsia"/>
          <w:kern w:val="2"/>
          <w:sz w:val="32"/>
          <w:szCs w:val="32"/>
        </w:rPr>
        <w:t>预算增加11.24万元，增长40.14</w:t>
      </w:r>
      <w:r>
        <w:rPr>
          <w:kern w:val="2"/>
          <w:sz w:val="32"/>
          <w:szCs w:val="32"/>
        </w:rPr>
        <w:t>%</w:t>
      </w:r>
      <w:r>
        <w:rPr>
          <w:rFonts w:hint="eastAsia"/>
          <w:kern w:val="2"/>
          <w:sz w:val="32"/>
          <w:szCs w:val="32"/>
          <w:lang w:eastAsia="zh-CN"/>
        </w:rPr>
        <w:t>，主要原因：</w:t>
      </w:r>
      <w:r>
        <w:rPr>
          <w:rFonts w:hint="eastAsia"/>
          <w:kern w:val="2"/>
          <w:sz w:val="32"/>
          <w:szCs w:val="32"/>
          <w:lang w:val="en-US" w:eastAsia="zh-CN"/>
        </w:rPr>
        <w:t>2022年单位预算人数比2021年多，人员经费和公用经费相应上升。</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cs="Times New Roman"/>
          <w:kern w:val="2"/>
          <w:sz w:val="32"/>
          <w:szCs w:val="32"/>
        </w:rPr>
      </w:pPr>
      <w:bookmarkStart w:id="18" w:name="_Toc12266"/>
      <w:r>
        <w:rPr>
          <w:rFonts w:ascii="楷体_GB2312" w:eastAsia="楷体_GB2312" w:cs="楷体_GB2312" w:hint="eastAsia"/>
          <w:b/>
          <w:bCs/>
          <w:kern w:val="2"/>
          <w:sz w:val="32"/>
          <w:szCs w:val="32"/>
        </w:rPr>
        <w:t>（二）政府采购情况</w:t>
      </w:r>
      <w:bookmarkEnd w:id="18"/>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kern w:val="2"/>
          <w:sz w:val="32"/>
          <w:szCs w:val="32"/>
        </w:rPr>
      </w:pP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壤塘县行政审批局未安排政府采购预算。</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1"/>
        <w:rPr>
          <w:rFonts w:ascii="楷体_GB2312" w:eastAsia="楷体_GB2312" w:cs="楷体_GB2312"/>
          <w:b/>
          <w:bCs/>
          <w:kern w:val="2"/>
          <w:sz w:val="32"/>
          <w:szCs w:val="32"/>
        </w:rPr>
      </w:pPr>
      <w:bookmarkStart w:id="19" w:name="_Toc4026"/>
      <w:r>
        <w:rPr>
          <w:rFonts w:ascii="楷体_GB2312" w:eastAsia="楷体_GB2312" w:cs="楷体_GB2312" w:hint="eastAsia"/>
          <w:b/>
          <w:bCs/>
          <w:kern w:val="2"/>
          <w:sz w:val="32"/>
          <w:szCs w:val="32"/>
        </w:rPr>
        <w:t>（三）国有资产占有使用情况</w:t>
      </w:r>
      <w:bookmarkEnd w:id="19"/>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300" w:firstLine="960"/>
        <w:textAlignment w:val="auto"/>
        <w:rPr>
          <w:rFonts w:hint="eastAsia"/>
          <w:kern w:val="2"/>
          <w:sz w:val="32"/>
          <w:szCs w:val="32"/>
        </w:rPr>
      </w:pPr>
      <w:r>
        <w:rPr>
          <w:rFonts w:hint="eastAsia"/>
          <w:kern w:val="2"/>
          <w:sz w:val="32"/>
          <w:szCs w:val="32"/>
        </w:rPr>
        <w:t>无</w:t>
      </w:r>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outlineLvl w:val="1"/>
        <w:rPr>
          <w:rFonts w:ascii="楷体_GB2312" w:eastAsia="楷体_GB2312" w:cs="楷体_GB2312"/>
          <w:b/>
          <w:bCs/>
          <w:kern w:val="2"/>
          <w:sz w:val="32"/>
          <w:szCs w:val="32"/>
        </w:rPr>
      </w:pPr>
      <w:bookmarkStart w:id="20" w:name="_Toc7552"/>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lang w:val="en-US" w:eastAsia="zh-CN"/>
        </w:rPr>
        <w:t>四</w:t>
      </w:r>
      <w:r>
        <w:rPr>
          <w:rFonts w:ascii="楷体_GB2312" w:eastAsia="楷体_GB2312" w:cs="楷体_GB2312" w:hint="eastAsia"/>
          <w:b/>
          <w:bCs/>
          <w:kern w:val="2"/>
          <w:sz w:val="32"/>
          <w:szCs w:val="32"/>
          <w:lang w:eastAsia="zh-CN"/>
        </w:rPr>
        <w:t>）</w:t>
      </w:r>
      <w:r>
        <w:rPr>
          <w:rFonts w:ascii="楷体_GB2312" w:eastAsia="楷体_GB2312" w:cs="楷体_GB2312" w:hint="eastAsia"/>
          <w:b/>
          <w:bCs/>
          <w:kern w:val="2"/>
          <w:sz w:val="32"/>
          <w:szCs w:val="32"/>
        </w:rPr>
        <w:t>绩效目标设置情况</w:t>
      </w:r>
      <w:bookmarkEnd w:id="20"/>
    </w:p>
    <w:p>
      <w:pPr>
        <w:pStyle w:val="27"/>
        <w:keepNext w:val="0"/>
        <w:keepLines w:val="0"/>
        <w:pageBreakBefore w:val="0"/>
        <w:widowControl w:val="0"/>
        <w:kinsoku/>
        <w:wordWrap/>
        <w:overflowPunct/>
        <w:topLinePunct w:val="0"/>
        <w:autoSpaceDE/>
        <w:autoSpaceDN/>
        <w:bidi w:val="0"/>
        <w:adjustRightInd/>
        <w:snapToGrid/>
        <w:spacing w:before="0" w:line="560" w:lineRule="exact"/>
        <w:ind w:left="0" w:firstLineChars="200" w:firstLine="640"/>
        <w:textAlignment w:val="auto"/>
        <w:rPr>
          <w:rFonts w:ascii="楷体_GB2312" w:eastAsia="楷体_GB2312" w:cs="楷体_GB2312"/>
          <w:b/>
          <w:bCs/>
          <w:kern w:val="2"/>
          <w:sz w:val="32"/>
          <w:szCs w:val="32"/>
        </w:rPr>
      </w:pPr>
      <w:r>
        <w:rPr>
          <w:kern w:val="2"/>
          <w:sz w:val="32"/>
          <w:szCs w:val="32"/>
        </w:rPr>
        <w:t>202</w:t>
      </w:r>
      <w:r>
        <w:rPr>
          <w:rFonts w:hint="eastAsia"/>
          <w:kern w:val="2"/>
          <w:sz w:val="32"/>
          <w:szCs w:val="32"/>
          <w:lang w:val="en-US" w:eastAsia="zh-CN"/>
        </w:rPr>
        <w:t>2</w:t>
      </w:r>
      <w:r>
        <w:rPr>
          <w:kern w:val="2"/>
          <w:sz w:val="32"/>
          <w:szCs w:val="32"/>
        </w:rPr>
        <w:t>年</w:t>
      </w:r>
      <w:r>
        <w:rPr>
          <w:rFonts w:hint="eastAsia"/>
          <w:kern w:val="2"/>
          <w:sz w:val="32"/>
          <w:szCs w:val="32"/>
        </w:rPr>
        <w:t>壤塘县行政审批局通用项目和专用项目均按要求实行绩效目标管理。</w:t>
      </w:r>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outlineLvl w:val="0"/>
        <w:rPr>
          <w:rFonts w:ascii="??" w:eastAsia="宋体" w:cs="Times New Roman" w:hAnsi="??" w:hint="eastAsia"/>
          <w:sz w:val="16"/>
          <w:szCs w:val="16"/>
        </w:rPr>
      </w:pPr>
      <w:bookmarkStart w:id="21" w:name="_Toc26237"/>
      <w:r>
        <w:rPr>
          <w:rFonts w:ascii="黑体" w:eastAsia="黑体" w:cs="黑体" w:hint="eastAsia"/>
          <w:kern w:val="2"/>
          <w:sz w:val="32"/>
          <w:szCs w:val="32"/>
        </w:rPr>
        <w:t>十、名词解释</w:t>
      </w:r>
      <w:bookmarkEnd w:id="21"/>
    </w:p>
    <w:p>
      <w:pPr>
        <w:pStyle w:val="27"/>
        <w:keepNext w:val="0"/>
        <w:keepLines w:val="0"/>
        <w:pageBreakBefore w:val="0"/>
        <w:widowControl w:val="0"/>
        <w:kinsoku/>
        <w:wordWrap/>
        <w:overflowPunct/>
        <w:topLinePunct w:val="0"/>
        <w:autoSpaceDE/>
        <w:autoSpaceDN/>
        <w:bidi w:val="0"/>
        <w:adjustRightInd/>
        <w:snapToGrid/>
        <w:spacing w:before="0" w:line="560" w:lineRule="exact"/>
        <w:ind w:firstLineChars="200" w:firstLine="640"/>
        <w:textAlignment w:val="auto"/>
        <w:rPr>
          <w:rFonts w:cs="Times New Roman"/>
          <w:kern w:val="2"/>
          <w:sz w:val="32"/>
          <w:szCs w:val="32"/>
        </w:rPr>
      </w:pPr>
      <w:r>
        <w:rPr>
          <w:rFonts w:ascii="楷体_GB2312" w:eastAsia="楷体_GB2312" w:cs="楷体_GB2312" w:hint="eastAsia"/>
          <w:b/>
          <w:bCs/>
          <w:kern w:val="2"/>
          <w:sz w:val="32"/>
          <w:szCs w:val="32"/>
        </w:rPr>
        <w:t>（一）财政拨款收入：</w:t>
      </w:r>
      <w:r>
        <w:rPr>
          <w:rFonts w:hint="eastAsia"/>
          <w:kern w:val="2"/>
          <w:sz w:val="32"/>
          <w:szCs w:val="32"/>
        </w:rPr>
        <w:t>指由财政拨款形成的部门收入。按现行管理制度，部门预算中反映的财政拨款仅包括一般公共预算拨款和政府性基金预算拨款。</w:t>
      </w:r>
      <w:r>
        <w:rPr>
          <w:rFonts w:cs="Times New Roman"/>
          <w:kern w:val="2"/>
          <w:sz w:val="32"/>
          <w:szCs w:val="32"/>
        </w:rPr>
        <w:br/>
      </w:r>
      <w:r>
        <w:rPr>
          <w:rFonts w:hint="eastAsia"/>
          <w:kern w:val="2"/>
          <w:sz w:val="32"/>
          <w:szCs w:val="32"/>
        </w:rPr>
        <w:t>　　</w:t>
      </w:r>
      <w:r>
        <w:rPr>
          <w:rFonts w:ascii="楷体_GB2312" w:eastAsia="楷体_GB2312" w:cs="楷体_GB2312" w:hint="eastAsia"/>
          <w:b/>
          <w:bCs/>
          <w:kern w:val="2"/>
          <w:sz w:val="32"/>
          <w:szCs w:val="32"/>
        </w:rPr>
        <w:t>（二）事业收入：</w:t>
      </w:r>
      <w:r>
        <w:rPr>
          <w:rFonts w:hint="eastAsia"/>
          <w:kern w:val="2"/>
          <w:sz w:val="32"/>
          <w:szCs w:val="32"/>
        </w:rPr>
        <w:t>指所属事业单位开展专业业务活动及辅助活动所取得的收入。</w:t>
      </w:r>
      <w:r>
        <w:rPr>
          <w:rFonts w:cs="Times New Roman"/>
          <w:kern w:val="2"/>
          <w:sz w:val="32"/>
          <w:szCs w:val="32"/>
        </w:rPr>
        <w:br/>
      </w:r>
      <w:r>
        <w:rPr>
          <w:rFonts w:hint="eastAsia"/>
          <w:kern w:val="2"/>
          <w:sz w:val="32"/>
          <w:szCs w:val="32"/>
        </w:rPr>
        <w:t>　　</w:t>
      </w:r>
      <w:r>
        <w:rPr>
          <w:rFonts w:ascii="楷体_GB2312" w:eastAsia="楷体_GB2312" w:cs="楷体_GB2312" w:hint="eastAsia"/>
          <w:b/>
          <w:bCs/>
          <w:kern w:val="2"/>
          <w:sz w:val="32"/>
          <w:szCs w:val="32"/>
        </w:rPr>
        <w:t>（三）事业单位经营收入：</w:t>
      </w:r>
      <w:r>
        <w:rPr>
          <w:rFonts w:hint="eastAsia"/>
          <w:kern w:val="2"/>
          <w:sz w:val="32"/>
          <w:szCs w:val="32"/>
        </w:rPr>
        <w:t>指所属事业单位在专业业务活动及其辅助活动之外开展非独立核算经营活动取得的收入。</w:t>
      </w:r>
      <w:r>
        <w:rPr>
          <w:rFonts w:cs="Times New Roman"/>
          <w:kern w:val="2"/>
          <w:sz w:val="32"/>
          <w:szCs w:val="32"/>
        </w:rPr>
        <w:br/>
      </w:r>
      <w:r>
        <w:rPr>
          <w:rFonts w:hint="eastAsia"/>
          <w:kern w:val="2"/>
          <w:sz w:val="32"/>
          <w:szCs w:val="32"/>
        </w:rPr>
        <w:t>　　</w:t>
      </w:r>
      <w:r>
        <w:rPr>
          <w:rFonts w:ascii="楷体_GB2312" w:eastAsia="楷体_GB2312" w:cs="楷体_GB2312" w:hint="eastAsia"/>
          <w:b/>
          <w:bCs/>
          <w:kern w:val="2"/>
          <w:sz w:val="32"/>
          <w:szCs w:val="32"/>
        </w:rPr>
        <w:t>（四）其他收入：</w:t>
      </w:r>
      <w:r>
        <w:rPr>
          <w:rFonts w:hint="eastAsia"/>
          <w:kern w:val="2"/>
          <w:sz w:val="32"/>
          <w:szCs w:val="32"/>
        </w:rPr>
        <w:t>指除上述</w:t>
      </w:r>
      <w:r>
        <w:rPr>
          <w:rFonts w:cs="Times New Roman"/>
          <w:kern w:val="2"/>
          <w:sz w:val="32"/>
          <w:szCs w:val="32"/>
        </w:rPr>
        <w:t>“</w:t>
      </w:r>
      <w:r>
        <w:rPr>
          <w:rFonts w:hint="eastAsia"/>
          <w:kern w:val="2"/>
          <w:sz w:val="32"/>
          <w:szCs w:val="32"/>
        </w:rPr>
        <w:t>财政拨款收入</w:t>
      </w:r>
      <w:r>
        <w:rPr>
          <w:rFonts w:cs="Times New Roman"/>
          <w:kern w:val="2"/>
          <w:sz w:val="32"/>
          <w:szCs w:val="32"/>
        </w:rPr>
        <w:t>”</w:t>
      </w:r>
      <w:r>
        <w:rPr>
          <w:rFonts w:hint="eastAsia"/>
          <w:kern w:val="2"/>
          <w:sz w:val="32"/>
          <w:szCs w:val="32"/>
        </w:rPr>
        <w:t>、</w:t>
      </w:r>
      <w:r>
        <w:rPr>
          <w:rFonts w:cs="Times New Roman"/>
          <w:kern w:val="2"/>
          <w:sz w:val="32"/>
          <w:szCs w:val="32"/>
        </w:rPr>
        <w:t>“</w:t>
      </w:r>
      <w:r>
        <w:rPr>
          <w:rFonts w:hint="eastAsia"/>
          <w:kern w:val="2"/>
          <w:sz w:val="32"/>
          <w:szCs w:val="32"/>
        </w:rPr>
        <w:t>事业收入</w:t>
      </w:r>
      <w:r>
        <w:rPr>
          <w:rFonts w:cs="Times New Roman"/>
          <w:kern w:val="2"/>
          <w:sz w:val="32"/>
          <w:szCs w:val="32"/>
        </w:rPr>
        <w:t>”</w:t>
      </w:r>
      <w:r>
        <w:rPr>
          <w:rFonts w:hint="eastAsia"/>
          <w:kern w:val="2"/>
          <w:sz w:val="32"/>
          <w:szCs w:val="32"/>
        </w:rPr>
        <w:t>、</w:t>
      </w:r>
      <w:r>
        <w:rPr>
          <w:rFonts w:cs="Times New Roman"/>
          <w:kern w:val="2"/>
          <w:sz w:val="32"/>
          <w:szCs w:val="32"/>
        </w:rPr>
        <w:t>“</w:t>
      </w:r>
      <w:r>
        <w:rPr>
          <w:rFonts w:hint="eastAsia"/>
          <w:kern w:val="2"/>
          <w:sz w:val="32"/>
          <w:szCs w:val="32"/>
        </w:rPr>
        <w:t>事业单位经营收入</w:t>
      </w:r>
      <w:r>
        <w:rPr>
          <w:rFonts w:cs="Times New Roman"/>
          <w:kern w:val="2"/>
          <w:sz w:val="32"/>
          <w:szCs w:val="32"/>
        </w:rPr>
        <w:t>”</w:t>
      </w:r>
      <w:r>
        <w:rPr>
          <w:rFonts w:hint="eastAsia"/>
          <w:kern w:val="2"/>
          <w:sz w:val="32"/>
          <w:szCs w:val="32"/>
        </w:rPr>
        <w:t>等以外的收入，主要是所属行政事业单位按规定动用的售房收入、存款利息收入等。</w:t>
      </w:r>
      <w:r>
        <w:rPr>
          <w:rFonts w:cs="Times New Roman"/>
          <w:kern w:val="2"/>
          <w:sz w:val="32"/>
          <w:szCs w:val="32"/>
        </w:rPr>
        <w:br/>
      </w:r>
      <w:r>
        <w:rPr>
          <w:rFonts w:hint="eastAsia"/>
          <w:kern w:val="2"/>
          <w:sz w:val="32"/>
          <w:szCs w:val="32"/>
        </w:rPr>
        <w:t>　　</w:t>
      </w:r>
      <w:r>
        <w:rPr>
          <w:rFonts w:ascii="楷体_GB2312" w:eastAsia="楷体_GB2312" w:cs="楷体_GB2312" w:hint="eastAsia"/>
          <w:b/>
          <w:bCs/>
          <w:kern w:val="2"/>
          <w:sz w:val="32"/>
          <w:szCs w:val="32"/>
        </w:rPr>
        <w:t>（五）用事业基金弥补收支差额：</w:t>
      </w:r>
      <w:r>
        <w:rPr>
          <w:rFonts w:hint="eastAsia"/>
          <w:kern w:val="2"/>
          <w:sz w:val="32"/>
          <w:szCs w:val="32"/>
        </w:rPr>
        <w:t>指所属事业单位在预计用当年的</w:t>
      </w:r>
      <w:r>
        <w:rPr>
          <w:rFonts w:cs="Times New Roman"/>
          <w:kern w:val="2"/>
          <w:sz w:val="32"/>
          <w:szCs w:val="32"/>
        </w:rPr>
        <w:t>“</w:t>
      </w:r>
      <w:r>
        <w:rPr>
          <w:rFonts w:hint="eastAsia"/>
          <w:kern w:val="2"/>
          <w:sz w:val="32"/>
          <w:szCs w:val="32"/>
        </w:rPr>
        <w:t>财政拨款收入</w:t>
      </w:r>
      <w:r>
        <w:rPr>
          <w:rFonts w:cs="Times New Roman"/>
          <w:kern w:val="2"/>
          <w:sz w:val="32"/>
          <w:szCs w:val="32"/>
        </w:rPr>
        <w:t>”</w:t>
      </w:r>
      <w:r>
        <w:rPr>
          <w:rFonts w:hint="eastAsia"/>
          <w:kern w:val="2"/>
          <w:sz w:val="32"/>
          <w:szCs w:val="32"/>
        </w:rPr>
        <w:t>、</w:t>
      </w:r>
      <w:r>
        <w:rPr>
          <w:rFonts w:cs="Times New Roman"/>
          <w:kern w:val="2"/>
          <w:sz w:val="32"/>
          <w:szCs w:val="32"/>
        </w:rPr>
        <w:t>“</w:t>
      </w:r>
      <w:r>
        <w:rPr>
          <w:rFonts w:hint="eastAsia"/>
          <w:kern w:val="2"/>
          <w:sz w:val="32"/>
          <w:szCs w:val="32"/>
        </w:rPr>
        <w:t>事业收入</w:t>
      </w:r>
      <w:r>
        <w:rPr>
          <w:rFonts w:cs="Times New Roman"/>
          <w:kern w:val="2"/>
          <w:sz w:val="32"/>
          <w:szCs w:val="32"/>
        </w:rPr>
        <w:t>”</w:t>
      </w:r>
      <w:r>
        <w:rPr>
          <w:rFonts w:hint="eastAsia"/>
          <w:kern w:val="2"/>
          <w:sz w:val="32"/>
          <w:szCs w:val="32"/>
        </w:rPr>
        <w:t>、</w:t>
      </w:r>
      <w:r>
        <w:rPr>
          <w:rFonts w:cs="Times New Roman"/>
          <w:kern w:val="2"/>
          <w:sz w:val="32"/>
          <w:szCs w:val="32"/>
        </w:rPr>
        <w:t>“</w:t>
      </w:r>
      <w:r>
        <w:rPr>
          <w:rFonts w:hint="eastAsia"/>
          <w:kern w:val="2"/>
          <w:sz w:val="32"/>
          <w:szCs w:val="32"/>
        </w:rPr>
        <w:t>事业单位经营收入</w:t>
      </w:r>
      <w:r>
        <w:rPr>
          <w:rFonts w:cs="Times New Roman"/>
          <w:kern w:val="2"/>
          <w:sz w:val="32"/>
          <w:szCs w:val="32"/>
        </w:rPr>
        <w:t>”</w:t>
      </w:r>
      <w:r>
        <w:rPr>
          <w:rFonts w:hint="eastAsia"/>
          <w:kern w:val="2"/>
          <w:sz w:val="32"/>
          <w:szCs w:val="32"/>
        </w:rPr>
        <w:t>、</w:t>
      </w:r>
      <w:r>
        <w:rPr>
          <w:rFonts w:cs="Times New Roman"/>
          <w:kern w:val="2"/>
          <w:sz w:val="32"/>
          <w:szCs w:val="32"/>
        </w:rPr>
        <w:t>“</w:t>
      </w:r>
      <w:r>
        <w:rPr>
          <w:rFonts w:hint="eastAsia"/>
          <w:kern w:val="2"/>
          <w:sz w:val="32"/>
          <w:szCs w:val="32"/>
        </w:rPr>
        <w:t>其他收入</w:t>
      </w:r>
      <w:r>
        <w:rPr>
          <w:rFonts w:cs="Times New Roman"/>
          <w:kern w:val="2"/>
          <w:sz w:val="32"/>
          <w:szCs w:val="32"/>
        </w:rPr>
        <w:t>”</w:t>
      </w:r>
      <w:r>
        <w:rPr>
          <w:rFonts w:hint="eastAsia"/>
          <w:kern w:val="2"/>
          <w:sz w:val="32"/>
          <w:szCs w:val="32"/>
        </w:rPr>
        <w:t>不足以安排当年支出的情况下，使用以前年度积累的事业基金弥补本年度收支缺口的资金。</w:t>
      </w:r>
      <w:r>
        <w:rPr>
          <w:rFonts w:cs="Times New Roman"/>
          <w:kern w:val="2"/>
          <w:sz w:val="32"/>
          <w:szCs w:val="32"/>
        </w:rPr>
        <w:br/>
      </w:r>
      <w:r>
        <w:rPr>
          <w:rFonts w:hint="eastAsia"/>
          <w:kern w:val="2"/>
          <w:sz w:val="32"/>
          <w:szCs w:val="32"/>
        </w:rPr>
        <w:t>　　</w:t>
      </w:r>
      <w:r>
        <w:rPr>
          <w:rFonts w:ascii="楷体_GB2312" w:eastAsia="楷体_GB2312" w:cs="楷体_GB2312" w:hint="eastAsia"/>
          <w:b/>
          <w:bCs/>
          <w:kern w:val="2"/>
          <w:sz w:val="32"/>
          <w:szCs w:val="32"/>
        </w:rPr>
        <w:t>（六）上年结转：</w:t>
      </w:r>
      <w:r>
        <w:rPr>
          <w:rFonts w:hint="eastAsia"/>
          <w:kern w:val="2"/>
          <w:sz w:val="32"/>
          <w:szCs w:val="32"/>
        </w:rPr>
        <w:t>指所属行政事业单位以前年度尚未完成、结转至本年按原规定用途继续使用的资金和以前年度已完成项目剩余资金经批准用于新用途使用的资金。</w:t>
      </w:r>
    </w:p>
    <w:p>
      <w:pPr>
        <w:rPr>
          <w:rFonts w:ascii="仿宋_GB2312" w:eastAsia="仿宋_GB2312" w:cs="Times New Roman"/>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Times New Roman">
    <w:panose1 w:val="02020603050405020304"/>
    <w:charset w:val="01"/>
    <w:family w:val="auto"/>
    <w:pitch w:val="variable"/>
    <w:sig w:usb0="E0002AFF" w:usb1="C0007841" w:usb2="00000009" w:usb3="00000000" w:csb0="400001FF" w:csb1="FFFF0000"/>
  </w:font>
  <w:font w:name="宋体">
    <w:panose1 w:val="02010600030101010101"/>
    <w:charset w:val="7A"/>
    <w:family w:val="auto"/>
    <w:pitch w:val="variable"/>
    <w:sig w:usb0="00000003" w:usb1="288F0000" w:usb2="00000006" w:usb3="00000000" w:csb0="00040001" w:csb1="00000000"/>
  </w:font>
  <w:font w:name="Calibri">
    <w:altName w:val="Times New Roman"/>
    <w:panose1 w:val="020F0502020204030204"/>
    <w:charset w:val="00"/>
    <w:family w:val="swiss"/>
    <w:pitch w:val="variable"/>
    <w:sig w:usb0="E00002FF" w:usb1="4000ACFF" w:usb2="00000001" w:usb3="00000000" w:csb0="2000019F" w:csb1="00000000"/>
  </w:font>
  <w:font w:name="楷体_GB2312">
    <w:altName w:val="楷体"/>
    <w:panose1 w:val="02010609030101010101"/>
    <w:charset w:val="86"/>
    <w:family w:val="modern"/>
    <w:pitch w:val="variable"/>
    <w:sig w:usb0="00000000" w:usb1="00000000" w:usb2="00000010" w:usb3="00000000" w:csb0="00040000" w:csb1="00000000"/>
  </w:font>
  <w:font w:name="??">
    <w:altName w:val="Times New Roman"/>
    <w:panose1 w:val="00000000000000000000"/>
    <w:charset w:val="00"/>
    <w:family w:val="roman"/>
    <w:pitch w:val="variable"/>
    <w:sig w:usb0="00000000" w:usb1="00000000" w:usb2="00000000" w:usb3="00000000" w:csb0="00000001" w:csb1="00000000"/>
  </w:font>
  <w:font w:name="仿宋_GB2312">
    <w:panose1 w:val="02010609030101010101"/>
    <w:charset w:val="86"/>
    <w:family w:val="modern"/>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Arial">
    <w:altName w:val="DejaVu Sans"/>
    <w:panose1 w:val="020B0604020202020204"/>
    <w:charset w:val="01"/>
    <w:family w:val="swiss"/>
    <w:pitch w:val="variable"/>
    <w:sig w:usb0="E0002AFF" w:usb1="C0007843"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EBB3C91"/>
    <w:multiLevelType w:val="multilevel"/>
    <w:tmpl w:val="3EBB3C91"/>
    <w:lvl w:ilvl="0">
      <w:start w:val="1"/>
      <w:numFmt w:val="chineseCountingThousand"/>
      <w:lvlRestart w:val="0"/>
      <w:suff w:val="space"/>
      <w:lvlText w:val="%1. "/>
      <w:lvlJc w:val="left"/>
      <w:pPr>
        <w:ind w:left="907" w:hanging="907"/>
      </w:pPr>
    </w:lvl>
    <w:lvl w:ilvl="1">
      <w:start w:val="1"/>
      <w:numFmt w:val="decimal"/>
      <w:suff w:val="space"/>
      <w:lvlText w:val="%1.%2 "/>
      <w:lvlJc w:val="left"/>
      <w:pPr>
        <w:ind w:left="794" w:hanging="794"/>
      </w:pPr>
    </w:lvl>
    <w:lvl w:ilvl="2">
      <w:start w:val="0"/>
      <w:numFmt w:val="decimal"/>
      <w:lvlJc w:val="left"/>
      <w:pPr>
        <w:ind w:left="0" w:hanging="0"/>
      </w:pPr>
    </w:lvl>
    <w:lvl w:ilvl="3">
      <w:start w:val="0"/>
      <w:numFmt w:val="decimal"/>
      <w:lvlJc w:val="left"/>
      <w:pPr>
        <w:ind w:left="0" w:hanging="0"/>
      </w:pPr>
    </w:lvl>
    <w:lvl w:ilvl="4">
      <w:start w:val="0"/>
      <w:numFmt w:val="decimal"/>
      <w:pStyle w:val="25"/>
      <w:lvlJc w:val="left"/>
      <w:pPr>
        <w:ind w:left="0" w:hanging="0"/>
      </w:pPr>
    </w:lvl>
    <w:lvl w:ilvl="5">
      <w:start w:val="0"/>
      <w:numFmt w:val="decimal"/>
      <w:lvlJc w:val="left"/>
      <w:pPr>
        <w:ind w:left="0" w:hanging="0"/>
      </w:pPr>
    </w:lvl>
    <w:lvl w:ilvl="6">
      <w:start w:val="0"/>
      <w:numFmt w:val="decimal"/>
      <w:lvlJc w:val="left"/>
      <w:pPr>
        <w:ind w:left="0" w:hanging="0"/>
      </w:pPr>
    </w:lvl>
    <w:lvl w:ilvl="7">
      <w:start w:val="0"/>
      <w:numFmt w:val="decimal"/>
      <w:lvlJc w:val="left"/>
      <w:pPr>
        <w:ind w:left="0" w:hanging="0"/>
      </w:pPr>
    </w:lvl>
    <w:lvl w:ilvl="8">
      <w:start w:val="0"/>
      <w:numFmt w:val="decimal"/>
      <w:lvlJc w:val="left"/>
      <w:pPr>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6"/>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noLineBreaksAfter w:lang="zh-CN" w:val="([{·‘“〈《「『【〔〖（．［｛￡￥"/>
  <w:noLineBreaksBefore w:lang="zh-CN" w:val="!),.:;?]}¨·ˇˉ―‖’”…∶、。〃々〉》」』】〕〗！＂＇），．：；？］｀｜｝～￠"/>
  <w:compat>
    <w:spaceForUL/>
    <w:balanceSingleByteDoubleByteWidth/>
    <w:ulTrailSpace/>
    <w:doNotExpandShiftReturn/>
    <w:adjustLineHeightInTable/>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方正小标宋简体" w:cs="Calibri" w:hAnsi="Times New Roman"/>
      <w:kern w:val="2"/>
      <w:sz w:val="21"/>
      <w:szCs w:val="21"/>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index 6"/>
    <w:basedOn w:val="0"/>
    <w:next w:val="0"/>
    <w:pPr>
      <w:ind w:left="2100"/>
    </w:pPr>
  </w:style>
  <w:style w:type="paragraph" w:styleId="16">
    <w:name w:val="footer"/>
    <w:basedOn w:val="0"/>
    <w:pPr>
      <w:tabs>
        <w:tab w:val="center" w:pos="4153"/>
        <w:tab w:val="right" w:pos="8306"/>
      </w:tabs>
      <w:snapToGrid w:val="0"/>
      <w:jc w:val="left"/>
    </w:pPr>
    <w:rPr>
      <w:rFonts w:cs="Times New Roman"/>
      <w:kern w:val="0"/>
      <w:sz w:val="18"/>
      <w:szCs w:val="18"/>
    </w:rPr>
  </w:style>
  <w:style w:type="paragraph" w:styleId="17">
    <w:name w:val="header"/>
    <w:basedOn w:val="0"/>
    <w:pPr>
      <w:pBdr>
        <w:bottom w:val="single" w:sz="6" w:space="1" w:color="auto"/>
      </w:pBdr>
      <w:tabs>
        <w:tab w:val="center" w:pos="4153"/>
        <w:tab w:val="right" w:pos="8306"/>
      </w:tabs>
      <w:snapToGrid w:val="0"/>
      <w:jc w:val="center"/>
    </w:pPr>
    <w:rPr>
      <w:rFonts w:cs="Times New Roman"/>
      <w:kern w:val="0"/>
      <w:sz w:val="18"/>
      <w:szCs w:val="18"/>
    </w:rPr>
  </w:style>
  <w:style w:type="paragraph" w:styleId="18">
    <w:name w:val="toc 1"/>
    <w:basedOn w:val="0"/>
    <w:next w:val="0"/>
  </w:style>
  <w:style w:type="paragraph" w:styleId="19">
    <w:name w:val="table of figures"/>
    <w:basedOn w:val="0"/>
    <w:next w:val="0"/>
    <w:pPr>
      <w:widowControl w:val="0"/>
      <w:ind w:leftChars="200" w:left="400" w:hangingChars="200" w:hanging="200"/>
      <w:jc w:val="both"/>
    </w:pPr>
    <w:rPr>
      <w:rFonts w:ascii="Calibri" w:cs="Arial" w:hAnsi="Calibri"/>
      <w:kern w:val="2"/>
      <w:sz w:val="21"/>
      <w:szCs w:val="22"/>
      <w:lang w:val="en-US" w:eastAsia="zh-CN" w:bidi="ar-SA"/>
    </w:rPr>
  </w:style>
  <w:style w:type="paragraph" w:styleId="20">
    <w:name w:val="toc 2"/>
    <w:basedOn w:val="0"/>
    <w:next w:val="0"/>
    <w:pPr>
      <w:ind w:leftChars="200" w:left="200"/>
    </w:pPr>
  </w:style>
  <w:style w:type="paragraph" w:styleId="21">
    <w:name w:val="Normal (Web)"/>
    <w:basedOn w:val="0"/>
    <w:pPr>
      <w:widowControl/>
      <w:spacing w:before="100" w:beforeAutospacing="1" w:after="100" w:afterAutospacing="1"/>
      <w:jc w:val="left"/>
    </w:pPr>
    <w:rPr>
      <w:rFonts w:ascii="宋体" w:cs="宋体" w:hAnsi="宋体"/>
      <w:kern w:val="0"/>
      <w:sz w:val="24"/>
      <w:szCs w:val="24"/>
    </w:rPr>
  </w:style>
  <w:style w:type="character" w:styleId="22">
    <w:name w:val="Emphasis"/>
    <w:basedOn w:val="10"/>
  </w:style>
  <w:style w:type="character" w:customStyle="1" w:styleId="23">
    <w:name w:val="默认段落字体1"/>
    <w:rPr>
      <w:sz w:val="22"/>
      <w:szCs w:val="22"/>
    </w:rPr>
  </w:style>
  <w:style w:type="character" w:customStyle="1" w:styleId="24">
    <w:name w:val="NormalCharacter"/>
  </w:style>
  <w:style w:type="paragraph" w:customStyle="1" w:styleId="25">
    <w:name w:val="UserStyle_1"/>
    <w:basedOn w:val="0"/>
    <w:next w:val="26"/>
    <w:pPr>
      <w:keepNext/>
      <w:keepLines/>
      <w:widowControl w:val="0"/>
      <w:numPr>
        <w:ilvl w:val="4"/>
        <w:numId w:val="1"/>
      </w:numPr>
      <w:tabs>
        <w:tab w:val="left" w:pos="3600"/>
      </w:tabs>
      <w:spacing w:before="280" w:after="156" w:line="377" w:lineRule="auto"/>
      <w:ind w:left="3600" w:hanging="360"/>
      <w:textAlignment w:val="auto"/>
    </w:pPr>
    <w:rPr>
      <w:rFonts w:ascii="Arial" w:eastAsia="黑体" w:cs="Times New Roman" w:hAnsi="Arial"/>
      <w:b/>
      <w:sz w:val="24"/>
      <w:szCs w:val="28"/>
    </w:rPr>
  </w:style>
  <w:style w:type="paragraph" w:customStyle="1" w:styleId="26">
    <w:name w:val="UserStyle_0"/>
    <w:pPr>
      <w:spacing w:line="300" w:lineRule="auto"/>
      <w:textAlignment w:val="baseline"/>
    </w:pPr>
    <w:rPr>
      <w:rFonts w:ascii="Arial" w:eastAsia="方正小标宋简体" w:cs="Times New Roman" w:hAnsi="Arial"/>
      <w:sz w:val="21"/>
      <w:szCs w:val="21"/>
      <w:lang w:val="en-US" w:eastAsia="zh-CN" w:bidi="ar-SA"/>
    </w:rPr>
  </w:style>
  <w:style w:type="paragraph" w:customStyle="1" w:styleId="27">
    <w:name w:val="正文文本1"/>
    <w:basedOn w:val="0"/>
    <w:pPr>
      <w:spacing w:before="93"/>
    </w:pPr>
    <w:rPr>
      <w:rFonts w:ascii="仿宋_GB2312" w:eastAsia="仿宋_GB2312" w:cs="仿宋_GB2312"/>
      <w:kern w:val="0"/>
      <w:sz w:val="30"/>
      <w:szCs w:val="30"/>
    </w:rPr>
  </w:style>
  <w:style w:type="paragraph" w:customStyle="1" w:styleId="28">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Yozo_Office27021597764231179</Application>
  <Pages>1</Pages>
  <Words>14</Words>
  <Characters>17</Characters>
  <Lines>2</Lines>
  <Paragraphs>1</Paragraphs>
  <CharactersWithSpaces>17</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薛永萍</dc:creator>
  <cp:lastModifiedBy>user</cp:lastModifiedBy>
  <cp:revision>3</cp:revision>
  <cp:lastPrinted>2022-01-20T10:24:00Z</cp:lastPrinted>
  <dcterms:created xsi:type="dcterms:W3CDTF">2017-12-15T01:50:00Z</dcterms:created>
  <dcterms:modified xsi:type="dcterms:W3CDTF">2022-01-30T08:28:22Z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2052-11.1.0.11294</vt:lpwstr>
  </property>
  <property fmtid="{D5CDD505-2E9C-101B-9397-08002B2CF9AE}" pid="3" name="ICV">
    <vt:lpwstr>B51A473F4CA041D185FE2729DEE9D346</vt:lpwstr>
  </property>
</Properties>
</file>