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78441"/>
      <w:bookmarkStart w:id="4" w:name="_Toc15396597"/>
      <w:bookmarkStart w:id="5" w:name="_Toc15396475"/>
      <w:bookmarkStart w:id="69" w:name="_GoBack"/>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77426"/>
      <w:bookmarkStart w:id="7" w:name="_Toc15396598"/>
      <w:bookmarkStart w:id="8" w:name="_Toc15378442"/>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壤塘县</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公共资源交易中心部门</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决算</w:t>
      </w:r>
      <w:bookmarkEnd w:id="6"/>
      <w:bookmarkEnd w:id="7"/>
      <w:bookmarkEnd w:id="8"/>
      <w:bookmarkEnd w:id="9"/>
      <w:bookmarkEnd w:id="10"/>
      <w:bookmarkEnd w:id="11"/>
    </w:p>
    <w:bookmarkEnd w:id="69"/>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rPr>
          <w:rFonts w:hint="eastAsia"/>
        </w:rPr>
        <w:t>7</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2</w:t>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eastAsia="仿宋"/>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3</w:t>
      </w:r>
    </w:p>
    <w:p>
      <w:pPr>
        <w:rPr>
          <w:color w:val="000000" w:themeColor="text1"/>
          <w14:textFill>
            <w14:solidFill>
              <w14:schemeClr w14:val="tx1"/>
            </w14:solidFill>
          </w14:textFill>
        </w:rPr>
      </w:pPr>
      <w:r>
        <w:rPr>
          <w:rFonts w:hint="eastAsia"/>
        </w:rPr>
        <w:t xml:space="preserve">    </w:t>
      </w:r>
      <w:r>
        <w:rPr>
          <w:rStyle w:val="16"/>
          <w:rFonts w:hint="eastAsia" w:ascii="仿宋" w:hAnsi="仿宋" w:eastAsia="仿宋" w:cstheme="majorBidi"/>
          <w:bCs/>
          <w:color w:val="000000" w:themeColor="text1"/>
          <w:sz w:val="28"/>
          <w:szCs w:val="28"/>
          <w:u w:val="none"/>
          <w14:textFill>
            <w14:solidFill>
              <w14:schemeClr w14:val="tx1"/>
            </w14:solidFill>
          </w14:textFill>
        </w:rPr>
        <w:t>十、预算绩效情况说明</w:t>
      </w:r>
      <w:r>
        <w:rPr>
          <w:rStyle w:val="16"/>
          <w:rFonts w:ascii="仿宋" w:hAnsi="仿宋" w:eastAsia="仿宋" w:cstheme="majorBidi"/>
          <w:bCs/>
          <w:color w:val="000000" w:themeColor="text1"/>
          <w:sz w:val="28"/>
          <w:szCs w:val="28"/>
          <w:u w:val="none"/>
          <w14:textFill>
            <w14:solidFill>
              <w14:schemeClr w14:val="tx1"/>
            </w14:solidFill>
          </w14:textFill>
        </w:rPr>
        <w:t>…………………………………………</w:t>
      </w:r>
      <w:r>
        <w:rPr>
          <w:rStyle w:val="16"/>
          <w:rFonts w:hint="eastAsia" w:ascii="仿宋" w:hAnsi="仿宋" w:eastAsia="仿宋" w:cstheme="majorBidi"/>
          <w:bCs/>
          <w:color w:val="000000" w:themeColor="text1"/>
          <w:sz w:val="28"/>
          <w:szCs w:val="28"/>
          <w:u w:val="none"/>
          <w14:textFill>
            <w14:solidFill>
              <w14:schemeClr w14:val="tx1"/>
            </w14:solidFill>
          </w14:textFill>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6</w:t>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1</w:t>
      </w:r>
      <w:r>
        <w:rPr>
          <w:rFonts w:hint="eastAsia"/>
        </w:rPr>
        <w:fldChar w:fldCharType="end"/>
      </w:r>
      <w:r>
        <w:rPr>
          <w:rFonts w:hint="eastAsia"/>
        </w:rPr>
        <w:t>7</w:t>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rPr>
          <w:rFonts w:hint="eastAsia"/>
        </w:rPr>
        <w:t>2</w:t>
      </w:r>
      <w:r>
        <w:rPr>
          <w:rFonts w:hint="eastAsia"/>
        </w:rPr>
        <w:fldChar w:fldCharType="end"/>
      </w:r>
      <w:r>
        <w:rPr>
          <w:rFonts w:hint="eastAsia"/>
        </w:rPr>
        <w:t>0</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1</w:t>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rPr>
          <w:rFonts w:hint="eastAsia"/>
        </w:rPr>
        <w:t>2</w:t>
      </w:r>
      <w:r>
        <w:rPr>
          <w:rFonts w:hint="eastAsia"/>
        </w:rPr>
        <w:fldChar w:fldCharType="end"/>
      </w:r>
      <w:r>
        <w:rPr>
          <w:rFonts w:hint="eastAsia"/>
        </w:rPr>
        <w:t>3</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hint="eastAsia"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spacing w:line="560" w:lineRule="exact"/>
        <w:rPr>
          <w:rFonts w:ascii="仿宋_GB2312" w:eastAsia="仿宋_GB2312"/>
          <w:b/>
          <w:sz w:val="32"/>
          <w:szCs w:val="32"/>
        </w:rPr>
      </w:pPr>
      <w:r>
        <w:rPr>
          <w:rFonts w:hint="eastAsia" w:ascii="仿宋_GB2312" w:eastAsia="仿宋_GB2312"/>
          <w:b/>
          <w:sz w:val="32"/>
          <w:szCs w:val="32"/>
        </w:rPr>
        <w:t>一、中心职责、职能及主要工作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各类交易活动办理交易登记和招标申请，统一发布交易信息，受理招标报名，为开标、评标和定标等交易活动提供优质服务；2、收集、存储和发布招标政策法规以及相关价格、科技和人才等信息，并为招标交易提供信息、咨询服务，为有关监督部门参与监督和各类交易提供服务；3、负责制定进入中心项目的有关交易规则，维护交易场所活动秩序；4、负责建立招投标集中统一平台，建立各方主体信用和市场不良行为记录体系，并做好交易档案的收集、整理、归档、立卷和管理；5、承担政府集中采购机构职责，负责财政下达计划的政府采购工作和县级机关、事业单位和团体组织委托的政府采购工作；6、承担国有产权交易职责，接受委托，组织开展土地使用权和矿业权“招拍挂”交易活动，承办土地使用权和矿业权“招拍挂”交易事务；7、承办县人民政府交办的其他工作。按照“政府主导、管办分离、集中交易、规范运行、部门监管、行政监察”的总体要求，坚持“统筹谋划、整合资源、因地制宜、扎实推进”的工作思路，有效整合政府采购、工程招标等监督力量，实现公共资源交易公开透明化。</w:t>
      </w:r>
    </w:p>
    <w:p>
      <w:pPr>
        <w:pStyle w:val="2"/>
        <w:spacing w:before="0" w:after="0" w:line="560" w:lineRule="exact"/>
        <w:ind w:firstLine="640" w:firstLineChars="200"/>
        <w:rPr>
          <w:rFonts w:ascii="仿宋_GB2312" w:eastAsia="仿宋_GB2312"/>
          <w:b w:val="0"/>
          <w:sz w:val="32"/>
          <w:szCs w:val="32"/>
        </w:rPr>
      </w:pPr>
      <w:r>
        <w:rPr>
          <w:rFonts w:hint="eastAsia" w:ascii="仿宋_GB2312" w:eastAsia="仿宋_GB2312"/>
          <w:b w:val="0"/>
          <w:sz w:val="32"/>
          <w:szCs w:val="32"/>
        </w:rPr>
        <w:t>（一）工程方面。</w:t>
      </w:r>
    </w:p>
    <w:p>
      <w:pPr>
        <w:pStyle w:val="2"/>
        <w:spacing w:before="0" w:after="0" w:line="560" w:lineRule="exact"/>
        <w:ind w:firstLine="640" w:firstLineChars="200"/>
        <w:rPr>
          <w:rFonts w:ascii="仿宋_GB2312" w:eastAsia="仿宋_GB2312"/>
          <w:b w:val="0"/>
          <w:bCs w:val="0"/>
          <w:kern w:val="2"/>
          <w:sz w:val="32"/>
          <w:szCs w:val="32"/>
        </w:rPr>
      </w:pPr>
      <w:r>
        <w:rPr>
          <w:rFonts w:hint="eastAsia" w:ascii="仿宋_GB2312" w:eastAsia="仿宋_GB2312"/>
          <w:b w:val="0"/>
          <w:sz w:val="32"/>
          <w:szCs w:val="32"/>
        </w:rPr>
        <w:t>1、项目招投标工作。截止目前共开展工程招标</w:t>
      </w:r>
      <w:r>
        <w:rPr>
          <w:rFonts w:hint="eastAsia" w:ascii="仿宋_GB2312" w:eastAsia="仿宋_GB2312"/>
          <w:b w:val="0"/>
          <w:color w:val="auto"/>
          <w:sz w:val="32"/>
          <w:szCs w:val="32"/>
        </w:rPr>
        <w:t>241</w:t>
      </w:r>
      <w:r>
        <w:rPr>
          <w:rFonts w:hint="eastAsia" w:ascii="仿宋_GB2312" w:eastAsia="仿宋_GB2312"/>
          <w:b w:val="0"/>
          <w:sz w:val="32"/>
          <w:szCs w:val="32"/>
        </w:rPr>
        <w:t>件，项目控制价为</w:t>
      </w:r>
      <w:r>
        <w:rPr>
          <w:rFonts w:hint="eastAsia" w:ascii="仿宋_GB2312" w:eastAsia="仿宋_GB2312"/>
          <w:b w:val="0"/>
          <w:color w:val="auto"/>
          <w:sz w:val="32"/>
          <w:szCs w:val="32"/>
        </w:rPr>
        <w:t>13184.96</w:t>
      </w:r>
      <w:r>
        <w:rPr>
          <w:rFonts w:hint="eastAsia" w:ascii="仿宋_GB2312" w:eastAsia="仿宋_GB2312"/>
          <w:b w:val="0"/>
          <w:sz w:val="32"/>
          <w:szCs w:val="32"/>
        </w:rPr>
        <w:t>万元，中标价为</w:t>
      </w:r>
      <w:r>
        <w:rPr>
          <w:rFonts w:hint="eastAsia" w:ascii="仿宋_GB2312" w:eastAsia="仿宋_GB2312"/>
          <w:b w:val="0"/>
          <w:color w:val="auto"/>
          <w:sz w:val="32"/>
          <w:szCs w:val="32"/>
        </w:rPr>
        <w:t>12166.331</w:t>
      </w:r>
      <w:r>
        <w:rPr>
          <w:rFonts w:hint="eastAsia" w:ascii="仿宋_GB2312" w:eastAsia="仿宋_GB2312"/>
          <w:b w:val="0"/>
          <w:sz w:val="32"/>
          <w:szCs w:val="32"/>
        </w:rPr>
        <w:t>万元，节约资金</w:t>
      </w:r>
      <w:r>
        <w:rPr>
          <w:rFonts w:hint="eastAsia" w:ascii="仿宋_GB2312" w:eastAsia="仿宋_GB2312"/>
          <w:b w:val="0"/>
          <w:color w:val="auto"/>
          <w:sz w:val="32"/>
          <w:szCs w:val="32"/>
        </w:rPr>
        <w:t>1018.629</w:t>
      </w:r>
      <w:r>
        <w:rPr>
          <w:rFonts w:hint="eastAsia" w:ascii="仿宋_GB2312" w:eastAsia="仿宋_GB2312"/>
          <w:b w:val="0"/>
          <w:sz w:val="32"/>
          <w:szCs w:val="32"/>
        </w:rPr>
        <w:t>万元。其中开展工程竞争性谈判90件，项目控制价为2525.554374万元，中标价为2280.055389万元，节约资金245.499万元；开展工程比选27件，控制价为3398.836393万元，中标价为31535.3万元，节约资金265.5364万元。顺利完成扶贫项目抽签49件，控制价为7260.5698万元，中标价为6750.9756万元，节约资金</w:t>
      </w:r>
      <w:r>
        <w:rPr>
          <w:rFonts w:hint="eastAsia" w:ascii="仿宋_GB2312" w:eastAsia="仿宋_GB2312"/>
          <w:b w:val="0"/>
          <w:bCs w:val="0"/>
          <w:kern w:val="2"/>
          <w:sz w:val="32"/>
          <w:szCs w:val="32"/>
        </w:rPr>
        <w:t>509.5942万元。完成招投标41件，项目概算58153.52万元。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（二）政府采购方面。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1、招标方面。截止</w:t>
      </w:r>
      <w:r>
        <w:rPr>
          <w:rFonts w:ascii="仿宋_GB2312" w:eastAsia="仿宋_GB2312"/>
          <w:sz w:val="32"/>
          <w:szCs w:val="32"/>
        </w:rPr>
        <w:t>目前共实施政府采购</w:t>
      </w:r>
      <w:r>
        <w:rPr>
          <w:rFonts w:hint="eastAsia" w:ascii="仿宋_GB2312" w:eastAsia="仿宋_GB2312"/>
          <w:sz w:val="32"/>
          <w:szCs w:val="32"/>
        </w:rPr>
        <w:t>80</w:t>
      </w:r>
      <w:r>
        <w:rPr>
          <w:rFonts w:ascii="仿宋_GB2312" w:eastAsia="仿宋_GB2312"/>
          <w:sz w:val="32"/>
          <w:szCs w:val="32"/>
        </w:rPr>
        <w:t>项，</w:t>
      </w:r>
      <w:r>
        <w:rPr>
          <w:rFonts w:hint="eastAsia" w:ascii="仿宋_GB2312" w:eastAsia="仿宋_GB2312"/>
          <w:sz w:val="32"/>
          <w:szCs w:val="32"/>
        </w:rPr>
        <w:t xml:space="preserve">开展公开招标13次（成交13项，预算价：4454.646258万，中标价：3471.931325万元，节约资金：285.14293万），竞争性谈判31次（成交31项，预算价：877.0586万元，成交价：827.27995万元，节约：49.77865万元），询价17次（成交17项，预算价：331.756万元，成交价：323.312万元，节约：8.444万元）竞争性磋商3次（成交3项，预算价：无，成交价：按实际量决算下浮。）网上竞价12项，商场直购14项。  </w:t>
      </w:r>
    </w:p>
    <w:p>
      <w:pPr>
        <w:spacing w:line="560" w:lineRule="exact"/>
        <w:ind w:firstLine="640" w:firstLineChars="200"/>
        <w:rPr>
          <w:rFonts w:ascii="仿宋_GB2312" w:eastAsia="仿宋_GB2312"/>
          <w:sz w:val="32"/>
          <w:szCs w:val="32"/>
        </w:rPr>
      </w:pPr>
    </w:p>
    <w:p>
      <w:pPr>
        <w:pStyle w:val="31"/>
        <w:spacing w:before="0" w:line="360" w:lineRule="auto"/>
        <w:ind w:left="300"/>
        <w:rPr>
          <w:rStyle w:val="27"/>
        </w:rPr>
      </w:pPr>
      <w:bookmarkStart w:id="14" w:name="_Toc15396601"/>
      <w:bookmarkStart w:id="15" w:name="_Toc15377200"/>
      <w:r>
        <w:rPr>
          <w:rFonts w:hint="eastAsia" w:ascii="黑体" w:eastAsia="黑体"/>
          <w:color w:val="000000"/>
        </w:rPr>
        <w:t>二、</w:t>
      </w:r>
      <w:r>
        <w:rPr>
          <w:rFonts w:hint="eastAsia" w:ascii="黑体" w:hAnsi="黑体" w:eastAsia="黑体"/>
          <w:color w:val="000000"/>
        </w:rPr>
        <w:t>机</w:t>
      </w:r>
      <w:r>
        <w:rPr>
          <w:rStyle w:val="27"/>
          <w:rFonts w:hint="eastAsia" w:ascii="黑体" w:hAnsi="黑体" w:eastAsia="黑体"/>
        </w:rPr>
        <w:t>构设置</w:t>
      </w:r>
      <w:bookmarkEnd w:id="14"/>
      <w:bookmarkEnd w:id="15"/>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中心根据壤塘县委机构编制委员会办公室核定的三定方案，中心核定事业编制8名，其中副科级领导职数1名，股所级领导职数3名。目前中心有工作人员6名。</w:t>
      </w:r>
    </w:p>
    <w:p>
      <w:pPr>
        <w:pStyle w:val="2"/>
        <w:ind w:right="440"/>
        <w:jc w:val="right"/>
        <w:rPr>
          <w:rFonts w:ascii="黑体" w:hAnsi="黑体" w:eastAsia="黑体"/>
          <w:b w:val="0"/>
          <w:color w:val="000000"/>
        </w:rPr>
      </w:pPr>
      <w:bookmarkStart w:id="16" w:name="_Toc15377204"/>
      <w:bookmarkStart w:id="17" w:name="_Toc15396602"/>
    </w:p>
    <w:p>
      <w:pPr>
        <w:pStyle w:val="2"/>
        <w:ind w:right="440"/>
        <w:jc w:val="right"/>
        <w:rPr>
          <w:rFonts w:ascii="黑体" w:hAnsi="黑体" w:eastAsia="黑体"/>
          <w:b w:val="0"/>
          <w:color w:val="000000"/>
        </w:rPr>
      </w:pPr>
    </w:p>
    <w:p>
      <w:pPr>
        <w:pStyle w:val="2"/>
        <w:ind w:right="440"/>
        <w:jc w:val="right"/>
        <w:rPr>
          <w:rFonts w:ascii="黑体" w:hAnsi="黑体" w:eastAsia="黑体"/>
          <w:b w:val="0"/>
          <w:color w:val="000000"/>
        </w:rPr>
      </w:pPr>
    </w:p>
    <w:p>
      <w:pPr>
        <w:pStyle w:val="2"/>
        <w:ind w:right="440"/>
        <w:jc w:val="right"/>
        <w:rPr>
          <w:rFonts w:ascii="黑体" w:hAnsi="黑体" w:eastAsia="黑体"/>
          <w:b w:val="0"/>
          <w:color w:val="000000"/>
        </w:rPr>
      </w:pPr>
    </w:p>
    <w:p>
      <w:pPr>
        <w:pStyle w:val="2"/>
        <w:ind w:right="440"/>
        <w:jc w:val="right"/>
        <w:rPr>
          <w:rFonts w:ascii="黑体" w:hAnsi="黑体" w:eastAsia="黑体"/>
          <w:b w:val="0"/>
          <w:color w:val="000000"/>
        </w:rPr>
      </w:pPr>
    </w:p>
    <w:p>
      <w:pPr>
        <w:pStyle w:val="2"/>
        <w:ind w:right="440"/>
        <w:jc w:val="right"/>
        <w:rPr>
          <w:rFonts w:ascii="黑体" w:hAnsi="黑体" w:eastAsia="黑体"/>
          <w:b w:val="0"/>
          <w:color w:val="000000"/>
        </w:rPr>
      </w:pPr>
    </w:p>
    <w:p>
      <w:pPr>
        <w:pStyle w:val="2"/>
        <w:ind w:right="440"/>
        <w:jc w:val="right"/>
        <w:rPr>
          <w:rFonts w:ascii="黑体" w:hAnsi="黑体" w:eastAsia="黑体"/>
          <w:b w:val="0"/>
          <w:color w:val="000000"/>
        </w:rPr>
      </w:pPr>
    </w:p>
    <w:p/>
    <w:p/>
    <w:p/>
    <w:p/>
    <w:p/>
    <w:p/>
    <w:p/>
    <w:p/>
    <w:p/>
    <w:p/>
    <w:p/>
    <w:p/>
    <w:p>
      <w:pPr>
        <w:pStyle w:val="2"/>
        <w:ind w:right="440"/>
        <w:jc w:val="right"/>
        <w:rPr>
          <w:rStyle w:val="26"/>
          <w:rFonts w:ascii="黑体" w:hAnsi="黑体" w:eastAsia="黑体"/>
          <w:b w:val="0"/>
          <w:bCs w:val="0"/>
        </w:rPr>
      </w:pPr>
      <w:r>
        <w:rPr>
          <w:rFonts w:hint="eastAsia" w:ascii="黑体" w:hAnsi="黑体" w:eastAsia="黑体"/>
          <w:b w:val="0"/>
          <w:color w:val="000000"/>
        </w:rPr>
        <w:t>第二部分</w:t>
      </w:r>
      <w:r>
        <w:rPr>
          <w:rStyle w:val="26"/>
          <w:rFonts w:hint="eastAsia" w:ascii="黑体" w:hAnsi="黑体" w:eastAsia="黑体"/>
          <w:b w:val="0"/>
          <w:bCs w:val="0"/>
        </w:rPr>
        <w:t>2018年度部门决算情况说明</w:t>
      </w:r>
      <w:bookmarkEnd w:id="16"/>
      <w:bookmarkEnd w:id="17"/>
    </w:p>
    <w:p>
      <w:pPr>
        <w:pStyle w:val="25"/>
        <w:numPr>
          <w:ilvl w:val="0"/>
          <w:numId w:val="1"/>
        </w:numPr>
        <w:spacing w:line="600" w:lineRule="exact"/>
        <w:ind w:firstLineChars="0"/>
        <w:outlineLvl w:val="1"/>
        <w:rPr>
          <w:rFonts w:ascii="黑体" w:hAnsi="黑体" w:eastAsia="黑体" w:cstheme="majorBidi"/>
          <w:bCs/>
          <w:sz w:val="32"/>
          <w:szCs w:val="32"/>
        </w:rPr>
      </w:pPr>
      <w:bookmarkStart w:id="18" w:name="_Toc15377205"/>
      <w:bookmarkStart w:id="19"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color w:val="000000"/>
          <w:sz w:val="32"/>
          <w:szCs w:val="32"/>
        </w:rPr>
      </w:pPr>
      <w:r>
        <w:rPr>
          <w:rFonts w:ascii="仿宋_GB2312" w:hAnsi="仿宋" w:eastAsia="仿宋_GB2312" w:cs="宋体"/>
          <w:kern w:val="0"/>
          <w:sz w:val="32"/>
          <w:szCs w:val="32"/>
        </w:rPr>
        <w:drawing>
          <wp:anchor distT="0" distB="0" distL="114300" distR="114300" simplePos="0" relativeHeight="251656192" behindDoc="0" locked="0" layoutInCell="1" allowOverlap="1">
            <wp:simplePos x="0" y="0"/>
            <wp:positionH relativeFrom="column">
              <wp:posOffset>48895</wp:posOffset>
            </wp:positionH>
            <wp:positionV relativeFrom="paragraph">
              <wp:posOffset>1589405</wp:posOffset>
            </wp:positionV>
            <wp:extent cx="5363210" cy="2604770"/>
            <wp:effectExtent l="19050" t="0" r="27940" b="508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2018年度收入总计99.48万元、支出总计99.49万元。与2017年相比，收入总计增加47.98万元，增加48</w:t>
      </w:r>
      <w:r>
        <w:rPr>
          <w:rFonts w:ascii="仿宋" w:hAnsi="仿宋" w:eastAsia="仿宋"/>
          <w:color w:val="000000"/>
          <w:sz w:val="32"/>
          <w:szCs w:val="32"/>
        </w:rPr>
        <w:t>%</w:t>
      </w:r>
      <w:r>
        <w:rPr>
          <w:rFonts w:hint="eastAsia" w:ascii="仿宋" w:hAnsi="仿宋" w:eastAsia="仿宋"/>
          <w:color w:val="000000"/>
          <w:sz w:val="32"/>
          <w:szCs w:val="32"/>
        </w:rPr>
        <w:t>。支出总计增加47.99万元，增加48</w:t>
      </w:r>
      <w:r>
        <w:rPr>
          <w:rFonts w:ascii="仿宋" w:hAnsi="仿宋" w:eastAsia="仿宋"/>
          <w:color w:val="000000"/>
          <w:sz w:val="32"/>
          <w:szCs w:val="32"/>
        </w:rPr>
        <w:t>%</w:t>
      </w:r>
      <w:r>
        <w:rPr>
          <w:rFonts w:hint="eastAsia" w:ascii="仿宋" w:hAnsi="仿宋" w:eastAsia="仿宋"/>
          <w:color w:val="000000"/>
          <w:sz w:val="32"/>
          <w:szCs w:val="32"/>
        </w:rPr>
        <w:t>。主要变动原因是17年决算数据仅含8至12月数据且2018年有人员增加。</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5"/>
        <w:numPr>
          <w:ilvl w:val="0"/>
          <w:numId w:val="1"/>
        </w:numPr>
        <w:spacing w:line="600" w:lineRule="exact"/>
        <w:ind w:firstLineChars="0"/>
        <w:outlineLvl w:val="1"/>
        <w:rPr>
          <w:rStyle w:val="27"/>
          <w:rFonts w:ascii="黑体" w:hAnsi="黑体" w:eastAsia="黑体"/>
          <w:b w:val="0"/>
        </w:rPr>
      </w:pPr>
      <w:bookmarkStart w:id="20" w:name="_Toc15396604"/>
      <w:bookmarkStart w:id="21"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8年本年收入合计79.44万元，其中：一般公共预算财政拨款收入79.39万元，占99.93</w:t>
      </w:r>
      <w:r>
        <w:rPr>
          <w:rFonts w:ascii="仿宋" w:hAnsi="仿宋" w:eastAsia="仿宋"/>
          <w:color w:val="000000"/>
          <w:sz w:val="32"/>
          <w:szCs w:val="32"/>
        </w:rPr>
        <w:t>%</w:t>
      </w:r>
      <w:r>
        <w:rPr>
          <w:rFonts w:hint="eastAsia" w:ascii="仿宋" w:hAnsi="仿宋" w:eastAsia="仿宋"/>
          <w:color w:val="000000"/>
          <w:sz w:val="32"/>
          <w:szCs w:val="32"/>
        </w:rPr>
        <w:t>；其他收入0.05万元占0.07</w:t>
      </w:r>
      <w:r>
        <w:rPr>
          <w:rFonts w:ascii="仿宋" w:hAnsi="仿宋" w:eastAsia="仿宋"/>
          <w:color w:val="000000"/>
          <w:sz w:val="32"/>
          <w:szCs w:val="32"/>
        </w:rPr>
        <w:t>%</w:t>
      </w:r>
      <w:r>
        <w:rPr>
          <w:rFonts w:hint="eastAsia" w:ascii="仿宋" w:hAnsi="仿宋" w:eastAsia="仿宋"/>
          <w:color w:val="000000"/>
          <w:sz w:val="32"/>
          <w:szCs w:val="32"/>
        </w:rPr>
        <w:t>。</w:t>
      </w:r>
    </w:p>
    <w:p>
      <w:r>
        <w:drawing>
          <wp:inline distT="0" distB="0" distL="0" distR="0">
            <wp:extent cx="5274310" cy="3076575"/>
            <wp:effectExtent l="19050" t="0" r="2159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5"/>
        <w:numPr>
          <w:ilvl w:val="0"/>
          <w:numId w:val="1"/>
        </w:numPr>
        <w:spacing w:line="600" w:lineRule="exact"/>
        <w:ind w:firstLineChars="0"/>
        <w:outlineLvl w:val="1"/>
        <w:rPr>
          <w:rStyle w:val="27"/>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2"/>
      <w:bookmarkEnd w:id="2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8年本年支出合计99.4万元，其中：基本支出99.4万元，占100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70528" behindDoc="0" locked="0" layoutInCell="1" allowOverlap="1">
            <wp:simplePos x="0" y="0"/>
            <wp:positionH relativeFrom="column">
              <wp:posOffset>385445</wp:posOffset>
            </wp:positionH>
            <wp:positionV relativeFrom="paragraph">
              <wp:posOffset>69850</wp:posOffset>
            </wp:positionV>
            <wp:extent cx="4355465" cy="2105025"/>
            <wp:effectExtent l="19050" t="0" r="26035" b="0"/>
            <wp:wrapSquare wrapText="bothSides"/>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68480" behindDoc="0" locked="0" layoutInCell="1" allowOverlap="1">
            <wp:simplePos x="0" y="0"/>
            <wp:positionH relativeFrom="column">
              <wp:posOffset>385445</wp:posOffset>
            </wp:positionH>
            <wp:positionV relativeFrom="paragraph">
              <wp:posOffset>69850</wp:posOffset>
            </wp:positionV>
            <wp:extent cx="4355465" cy="2104390"/>
            <wp:effectExtent l="19050" t="0" r="26035" b="0"/>
            <wp:wrapSquare wrapText="bothSides"/>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388620</wp:posOffset>
            </wp:positionH>
            <wp:positionV relativeFrom="paragraph">
              <wp:posOffset>74295</wp:posOffset>
            </wp:positionV>
            <wp:extent cx="4356735" cy="2102485"/>
            <wp:effectExtent l="19050" t="0" r="24765" b="0"/>
            <wp:wrapSquare wrapText="bothSides"/>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57216" behindDoc="0" locked="0" layoutInCell="1" allowOverlap="1">
            <wp:simplePos x="0" y="0"/>
            <wp:positionH relativeFrom="column">
              <wp:posOffset>386080</wp:posOffset>
            </wp:positionH>
            <wp:positionV relativeFrom="paragraph">
              <wp:posOffset>71120</wp:posOffset>
            </wp:positionV>
            <wp:extent cx="4356100" cy="1727200"/>
            <wp:effectExtent l="19050" t="0" r="25400" b="635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7"/>
          <w:rFonts w:ascii="黑体" w:hAnsi="黑体" w:eastAsia="黑体"/>
          <w:b w:val="0"/>
        </w:rPr>
      </w:pPr>
      <w:bookmarkStart w:id="24" w:name="_Toc15377208"/>
      <w:bookmarkStart w:id="25"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8年财政拨款收入总计：99.48万元，支出总计99.49万元。与</w:t>
      </w:r>
      <w:r>
        <w:rPr>
          <w:rFonts w:ascii="仿宋" w:hAnsi="仿宋" w:eastAsia="仿宋"/>
          <w:color w:val="000000"/>
          <w:sz w:val="32"/>
          <w:szCs w:val="32"/>
        </w:rPr>
        <w:t>201</w:t>
      </w:r>
      <w:r>
        <w:rPr>
          <w:rFonts w:hint="eastAsia" w:ascii="仿宋" w:hAnsi="仿宋" w:eastAsia="仿宋"/>
          <w:color w:val="000000"/>
          <w:sz w:val="32"/>
          <w:szCs w:val="32"/>
        </w:rPr>
        <w:t>7年相比，财政拨款收入增加47.98万元、增加48</w:t>
      </w:r>
      <w:r>
        <w:rPr>
          <w:rFonts w:ascii="仿宋" w:hAnsi="仿宋" w:eastAsia="仿宋"/>
          <w:color w:val="000000"/>
          <w:sz w:val="32"/>
          <w:szCs w:val="32"/>
        </w:rPr>
        <w:t>%</w:t>
      </w:r>
      <w:r>
        <w:rPr>
          <w:rFonts w:hint="eastAsia" w:ascii="仿宋" w:hAnsi="仿宋" w:eastAsia="仿宋"/>
          <w:color w:val="000000"/>
          <w:sz w:val="32"/>
          <w:szCs w:val="32"/>
        </w:rPr>
        <w:t>、支总计增加48.03万元，增加48</w:t>
      </w:r>
      <w:r>
        <w:rPr>
          <w:rFonts w:ascii="仿宋" w:hAnsi="仿宋" w:eastAsia="仿宋"/>
          <w:color w:val="000000"/>
          <w:sz w:val="32"/>
          <w:szCs w:val="32"/>
        </w:rPr>
        <w:t>%</w:t>
      </w:r>
      <w:r>
        <w:rPr>
          <w:rFonts w:hint="eastAsia" w:ascii="仿宋" w:hAnsi="仿宋" w:eastAsia="仿宋"/>
          <w:color w:val="000000"/>
          <w:sz w:val="32"/>
          <w:szCs w:val="32"/>
        </w:rPr>
        <w:t>。主要变动原因是17年决算数据仅含8至12月数据且2018年有人员增加。</w:t>
      </w:r>
    </w:p>
    <w:p>
      <w:r>
        <w:drawing>
          <wp:inline distT="0" distB="0" distL="0" distR="0">
            <wp:extent cx="5274310" cy="3076575"/>
            <wp:effectExtent l="19050" t="0" r="21590" b="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7"/>
          <w:rFonts w:ascii="黑体" w:hAnsi="黑体" w:eastAsia="黑体"/>
          <w:b w:val="0"/>
        </w:rPr>
      </w:pPr>
      <w:bookmarkStart w:id="26" w:name="_Toc15396607"/>
      <w:bookmarkStart w:id="2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r>
        <w:rPr>
          <w:rFonts w:ascii="仿宋" w:hAnsi="仿宋" w:eastAsia="仿宋"/>
          <w:color w:val="000000"/>
          <w:sz w:val="32"/>
          <w:szCs w:val="32"/>
        </w:rPr>
        <w:t>201</w:t>
      </w:r>
      <w:r>
        <w:rPr>
          <w:rFonts w:hint="eastAsia" w:ascii="仿宋" w:hAnsi="仿宋" w:eastAsia="仿宋"/>
          <w:color w:val="000000"/>
          <w:sz w:val="32"/>
          <w:szCs w:val="32"/>
        </w:rPr>
        <w:t>8年一般公共预算财政拨款支出76.53万元，占本年支出合计的100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 xml:space="preserve">7年相比，一般公共预算财政拨款增加 25.07万元，增加32 </w:t>
      </w:r>
      <w:r>
        <w:rPr>
          <w:rFonts w:ascii="仿宋" w:hAnsi="仿宋" w:eastAsia="仿宋"/>
          <w:color w:val="000000"/>
          <w:sz w:val="32"/>
          <w:szCs w:val="32"/>
        </w:rPr>
        <w:t>%</w:t>
      </w:r>
      <w:r>
        <w:rPr>
          <w:rFonts w:hint="eastAsia" w:ascii="仿宋" w:hAnsi="仿宋" w:eastAsia="仿宋"/>
          <w:color w:val="000000"/>
          <w:sz w:val="32"/>
          <w:szCs w:val="32"/>
        </w:rPr>
        <w:t>。主要变动原因是17年决算数据仅含8至12月数据且2018年有人员增加。</w:t>
      </w:r>
      <w:r>
        <w:drawing>
          <wp:inline distT="0" distB="0" distL="0" distR="0">
            <wp:extent cx="5274310" cy="3076575"/>
            <wp:effectExtent l="19050" t="0" r="21590" b="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560" w:lineRule="exact"/>
        <w:ind w:firstLine="640" w:firstLineChars="200"/>
        <w:rPr>
          <w:rStyle w:val="15"/>
          <w:rFonts w:ascii="仿宋" w:eastAsia="仿宋"/>
          <w:b w:val="0"/>
          <w:bCs/>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政拨款支出99.4万元，主要用于以下方面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支出76.53万元，占70.06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eastAsia="仿宋"/>
          <w:b w:val="0"/>
          <w:bCs/>
          <w:color w:val="000000"/>
          <w:sz w:val="32"/>
          <w:szCs w:val="32"/>
        </w:rPr>
        <w:t>社会保障和就业（类）支出12.92万元，占20</w:t>
      </w:r>
      <w:r>
        <w:rPr>
          <w:rStyle w:val="15"/>
          <w:rFonts w:ascii="仿宋" w:eastAsia="仿宋"/>
          <w:b w:val="0"/>
          <w:bCs/>
          <w:color w:val="000000"/>
          <w:sz w:val="32"/>
          <w:szCs w:val="32"/>
        </w:rPr>
        <w:t>%</w:t>
      </w:r>
      <w:r>
        <w:rPr>
          <w:rStyle w:val="15"/>
          <w:rFonts w:hint="eastAsia" w:ascii="仿宋" w:eastAsia="仿宋"/>
          <w:b w:val="0"/>
          <w:bCs/>
          <w:color w:val="000000"/>
          <w:sz w:val="32"/>
          <w:szCs w:val="32"/>
        </w:rPr>
        <w:t>；医疗卫生支出3.18万元，占0.02</w:t>
      </w:r>
      <w:r>
        <w:rPr>
          <w:rStyle w:val="15"/>
          <w:rFonts w:ascii="仿宋" w:eastAsia="仿宋"/>
          <w:b w:val="0"/>
          <w:bCs/>
          <w:color w:val="000000"/>
          <w:sz w:val="32"/>
          <w:szCs w:val="32"/>
        </w:rPr>
        <w:t>%</w:t>
      </w:r>
      <w:r>
        <w:rPr>
          <w:rStyle w:val="15"/>
          <w:rFonts w:hint="eastAsia" w:ascii="仿宋" w:eastAsia="仿宋"/>
          <w:b w:val="0"/>
          <w:bCs/>
          <w:color w:val="000000"/>
          <w:sz w:val="32"/>
          <w:szCs w:val="32"/>
        </w:rPr>
        <w:t>；住房保障支出6.77万元，占0.06</w:t>
      </w:r>
      <w:r>
        <w:rPr>
          <w:rStyle w:val="15"/>
          <w:rFonts w:ascii="仿宋" w:eastAsia="仿宋"/>
          <w:b w:val="0"/>
          <w:bCs/>
          <w:color w:val="000000"/>
          <w:sz w:val="32"/>
          <w:szCs w:val="32"/>
        </w:rPr>
        <w:t>%</w:t>
      </w:r>
      <w:r>
        <w:rPr>
          <w:rStyle w:val="15"/>
          <w:rFonts w:hint="eastAsia" w:ascii="仿宋" w:eastAsia="仿宋"/>
          <w:b w:val="0"/>
          <w:bCs/>
          <w:color w:val="000000"/>
          <w:sz w:val="32"/>
          <w:szCs w:val="32"/>
        </w:rPr>
        <w:t>。</w:t>
      </w:r>
    </w:p>
    <w:p>
      <w:pPr>
        <w:spacing w:line="560" w:lineRule="exact"/>
        <w:ind w:firstLine="640" w:firstLineChars="200"/>
        <w:rPr>
          <w:rStyle w:val="15"/>
          <w:rFonts w:ascii="仿宋" w:eastAsia="仿宋"/>
          <w:b w:val="0"/>
          <w:bCs/>
          <w:color w:val="000000"/>
          <w:sz w:val="32"/>
          <w:szCs w:val="32"/>
        </w:rPr>
      </w:pPr>
    </w:p>
    <w:p>
      <w:pPr>
        <w:spacing w:line="560" w:lineRule="exact"/>
        <w:ind w:firstLine="640" w:firstLineChars="200"/>
        <w:rPr>
          <w:rStyle w:val="15"/>
          <w:rFonts w:ascii="仿宋" w:eastAsia="仿宋"/>
          <w:b w:val="0"/>
          <w:bCs/>
          <w:color w:val="000000"/>
          <w:sz w:val="32"/>
          <w:szCs w:val="32"/>
        </w:rPr>
      </w:pPr>
      <w:r>
        <w:rPr>
          <w:rFonts w:ascii="仿宋" w:eastAsia="仿宋"/>
          <w:bCs/>
          <w:color w:val="000000"/>
          <w:sz w:val="32"/>
          <w:szCs w:val="32"/>
        </w:rPr>
        <w:drawing>
          <wp:anchor distT="0" distB="0" distL="114300" distR="114300" simplePos="0" relativeHeight="251662336" behindDoc="0" locked="0" layoutInCell="1" allowOverlap="1">
            <wp:simplePos x="0" y="0"/>
            <wp:positionH relativeFrom="column">
              <wp:posOffset>344805</wp:posOffset>
            </wp:positionH>
            <wp:positionV relativeFrom="paragraph">
              <wp:posOffset>866775</wp:posOffset>
            </wp:positionV>
            <wp:extent cx="4791710" cy="2395855"/>
            <wp:effectExtent l="19050" t="0" r="27940" b="4445"/>
            <wp:wrapSquare wrapText="bothSides"/>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560" w:lineRule="exact"/>
        <w:ind w:firstLine="640" w:firstLineChars="200"/>
        <w:rPr>
          <w:rStyle w:val="15"/>
          <w:rFonts w:ascii="仿宋" w:eastAsia="仿宋"/>
          <w:b w:val="0"/>
          <w:bCs/>
          <w:color w:val="000000"/>
          <w:sz w:val="32"/>
          <w:szCs w:val="32"/>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FF0000"/>
          <w:sz w:val="32"/>
          <w:szCs w:val="32"/>
        </w:rPr>
      </w:pPr>
      <w:bookmarkStart w:id="31" w:name="_Toc15377213"/>
      <w:bookmarkStart w:id="32" w:name="_Toc15377444"/>
      <w:bookmarkStart w:id="33" w:name="_Toc15378460"/>
      <w:r>
        <w:rPr>
          <w:rFonts w:hint="eastAsia" w:ascii="仿宋" w:hAnsi="仿宋" w:eastAsia="仿宋"/>
          <w:b/>
          <w:color w:val="000000" w:themeColor="text1"/>
          <w:sz w:val="32"/>
          <w:szCs w:val="32"/>
          <w14:textFill>
            <w14:solidFill>
              <w14:schemeClr w14:val="tx1"/>
            </w14:solidFill>
          </w14:textFill>
        </w:rPr>
        <w:t>2018年般公共预算支出决算数为99.4</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1"/>
      <w:bookmarkEnd w:id="32"/>
      <w:bookmarkEnd w:id="33"/>
    </w:p>
    <w:p>
      <w:pPr>
        <w:numPr>
          <w:ilvl w:val="0"/>
          <w:numId w:val="2"/>
        </w:num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一般公共服务（类）事业运行支出（项）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支出决算为76.53万元，完成预算100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2"/>
        </w:num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社会保障和就业（类）行政事业单位离退休（款）机关事业单位基本养老保险缴费支出（项）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支出决算为9.23万元，完成预算100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2"/>
        </w:num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社会保障和就业（类）行政事业单位离退休（款）机关事业单位职业年金缴费支出（项）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支出决算为3.69万元，完成预算100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医疗卫生与计划生育（类）行政事业单位医疗（款） 行政单位医疗（项）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支出决算为3.18万元，完成预算100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6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9.住房保障支出（类）住房改革支出（款）住房公积金（项）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支出决算为6.77万元，完成预算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r>
        <w:rPr>
          <w:rFonts w:hint="eastAsia" w:ascii="仿宋" w:hAnsi="仿宋" w:eastAsia="仿宋"/>
          <w:bCs/>
          <w:color w:val="000000"/>
          <w:sz w:val="32"/>
          <w:szCs w:val="32"/>
        </w:rPr>
        <w:t>完成预算100</w:t>
      </w:r>
      <w:r>
        <w:rPr>
          <w:rFonts w:ascii="仿宋" w:hAnsi="仿宋" w:eastAsia="仿宋"/>
          <w:bCs/>
          <w:color w:val="000000"/>
          <w:sz w:val="32"/>
          <w:szCs w:val="32"/>
        </w:rPr>
        <w:t>%</w:t>
      </w:r>
      <w:r>
        <w:rPr>
          <w:rFonts w:hint="eastAsia" w:ascii="仿宋" w:hAnsi="仿宋" w:eastAsia="仿宋"/>
          <w:bCs/>
          <w:color w:val="000000"/>
          <w:sz w:val="32"/>
          <w:szCs w:val="32"/>
        </w:rPr>
        <w:t>。</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7"/>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8年一般公共预算财政拨款基本支出99.4万元，其中：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88.52万元，主要包括：基本工资15.93万元、津贴补贴29.68万元、绩效工资18.48万元、伙食补助0.30万元、机关事业单位基本养老保险缴费9.23万元、职业年金缴费3.69万元、医疗卫生3.18万元、其他社会保障缴费1.05万元、医疗补助0.21万元、住房公积金6.77万元。</w:t>
      </w:r>
      <w:r>
        <w:rPr>
          <w:rFonts w:ascii="仿宋" w:hAnsi="仿宋" w:eastAsia="仿宋"/>
          <w:color w:val="000000"/>
          <w:sz w:val="32"/>
          <w:szCs w:val="32"/>
        </w:rPr>
        <w:br w:type="textWrapping"/>
      </w:r>
      <w:r>
        <w:rPr>
          <w:rFonts w:hint="eastAsia" w:ascii="仿宋" w:hAnsi="仿宋" w:eastAsia="仿宋"/>
          <w:color w:val="000000"/>
          <w:sz w:val="32"/>
          <w:szCs w:val="32"/>
        </w:rPr>
        <w:t>　　公用经费10.87万元，主要包括：办公费2.88万元、印刷费0.85万元、电费0.82万元、邮电费0.50万元、物业管理费0.28万元、差旅费5.32万元、培训费0.22万元。</w:t>
      </w:r>
    </w:p>
    <w:p>
      <w:pPr>
        <w:spacing w:line="600" w:lineRule="exact"/>
        <w:ind w:firstLine="645"/>
        <w:rPr>
          <w:rFonts w:ascii="仿宋" w:hAnsi="仿宋" w:eastAsia="仿宋"/>
          <w:color w:val="000000"/>
          <w:sz w:val="32"/>
          <w:szCs w:val="32"/>
        </w:rPr>
      </w:pP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。主要原因是未做因公出国预算，我单位未有因公出国事务。</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w:t>
      </w:r>
      <w:r>
        <w:rPr>
          <w:rFonts w:hint="eastAsia" w:ascii="仿宋_GB2312" w:eastAsia="仿宋_GB2312"/>
          <w:color w:val="000000"/>
          <w:sz w:val="32"/>
          <w:szCs w:val="32"/>
        </w:rPr>
        <w:t>0</w:t>
      </w:r>
      <w:r>
        <w:rPr>
          <w:rFonts w:ascii="仿宋_GB2312" w:eastAsia="仿宋_GB2312"/>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7年增加0万元，增长0</w:t>
      </w:r>
      <w:r>
        <w:rPr>
          <w:rFonts w:ascii="仿宋_GB2312" w:eastAsia="仿宋_GB2312"/>
          <w:color w:val="000000"/>
          <w:sz w:val="32"/>
          <w:szCs w:val="32"/>
        </w:rPr>
        <w:t>%</w:t>
      </w:r>
      <w:r>
        <w:rPr>
          <w:rFonts w:hint="eastAsia" w:ascii="仿宋_GB2312" w:eastAsia="仿宋_GB2312"/>
          <w:color w:val="000000"/>
          <w:sz w:val="32"/>
          <w:szCs w:val="32"/>
        </w:rPr>
        <w:t>。主要原因单位无公务用车。</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 单位无公务用车。</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。无产生公务接待。</w:t>
      </w:r>
    </w:p>
    <w:p>
      <w:pPr>
        <w:spacing w:line="600" w:lineRule="exact"/>
        <w:ind w:firstLine="640"/>
        <w:outlineLvl w:val="1"/>
        <w:rPr>
          <w:rFonts w:ascii="黑体" w:eastAsia="黑体"/>
          <w:color w:val="000000"/>
          <w:sz w:val="32"/>
          <w:szCs w:val="32"/>
        </w:rPr>
      </w:pPr>
      <w:bookmarkStart w:id="40" w:name="_Toc15396610"/>
      <w:bookmarkStart w:id="41" w:name="_Toc15377218"/>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0"/>
      <w:bookmarkEnd w:id="41"/>
    </w:p>
    <w:p>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8年无政府性基金预算拨款支出。</w:t>
      </w:r>
    </w:p>
    <w:p>
      <w:pPr>
        <w:numPr>
          <w:ilvl w:val="0"/>
          <w:numId w:val="3"/>
        </w:numPr>
        <w:spacing w:line="600" w:lineRule="exact"/>
        <w:ind w:firstLine="640"/>
        <w:outlineLvl w:val="1"/>
        <w:rPr>
          <w:rStyle w:val="27"/>
          <w:rFonts w:ascii="黑体" w:hAnsi="黑体" w:eastAsia="黑体"/>
          <w:b w:val="0"/>
        </w:rPr>
      </w:pPr>
      <w:bookmarkStart w:id="42" w:name="_Toc15396611"/>
      <w:bookmarkStart w:id="43" w:name="_Toc15377219"/>
      <w:r>
        <w:rPr>
          <w:rStyle w:val="27"/>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8年无国有资本经营预算拨款支出。</w:t>
      </w:r>
    </w:p>
    <w:p>
      <w:pPr>
        <w:pStyle w:val="25"/>
        <w:numPr>
          <w:ilvl w:val="0"/>
          <w:numId w:val="4"/>
        </w:numPr>
        <w:spacing w:line="580" w:lineRule="exact"/>
        <w:ind w:firstLineChars="0"/>
        <w:rPr>
          <w:rStyle w:val="27"/>
          <w:rFonts w:ascii="黑体" w:hAnsi="黑体" w:eastAsia="黑体"/>
          <w:b w:val="0"/>
        </w:rPr>
      </w:pPr>
      <w:r>
        <w:rPr>
          <w:rStyle w:val="27"/>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pStyle w:val="25"/>
        <w:spacing w:line="580" w:lineRule="exact"/>
        <w:ind w:left="420"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本单位按要求对2018年部门整体支出开展绩效自评，从评价情况来看我局严格按照预算进行部门整体支出，始终坚持先有预算、后有执行、监督贯穿全程。</w:t>
      </w:r>
    </w:p>
    <w:p>
      <w:pPr>
        <w:pStyle w:val="25"/>
        <w:spacing w:line="580" w:lineRule="exact"/>
        <w:ind w:left="420"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楷体_GB2312"/>
          <w:b/>
          <w:bCs/>
          <w:sz w:val="32"/>
          <w:szCs w:val="32"/>
        </w:rPr>
        <w:t>项目绩效目标完成情况。</w:t>
      </w:r>
    </w:p>
    <w:p>
      <w:pPr>
        <w:spacing w:line="580" w:lineRule="exact"/>
        <w:ind w:left="643"/>
        <w:rPr>
          <w:rFonts w:ascii="仿宋_GB2312" w:hAnsi="仿宋_GB2312" w:eastAsia="仿宋_GB2312" w:cs="仿宋_GB2312"/>
          <w:sz w:val="32"/>
          <w:szCs w:val="32"/>
        </w:rPr>
      </w:pPr>
      <w:r>
        <w:rPr>
          <w:rFonts w:hint="eastAsia" w:ascii="楷体_GB2312" w:hAnsi="楷体_GB2312" w:eastAsia="楷体_GB2312" w:cs="楷体_GB2312"/>
          <w:bCs/>
          <w:sz w:val="32"/>
          <w:szCs w:val="32"/>
        </w:rPr>
        <w:t>2018年壤塘县公共资源交易中心无项目</w:t>
      </w:r>
      <w:r>
        <w:rPr>
          <w:rFonts w:hint="eastAsia" w:ascii="楷体_GB2312" w:hAnsi="楷体_GB2312" w:eastAsia="楷体_GB2312" w:cs="楷体_GB2312"/>
          <w:bCs/>
          <w:sz w:val="32"/>
          <w:szCs w:val="32"/>
        </w:rPr>
        <w:br w:type="textWrapping"/>
      </w:r>
    </w:p>
    <w:tbl>
      <w:tblPr>
        <w:tblStyle w:val="1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3567" w:leftChars="1013" w:hanging="1440" w:hangingChars="400"/>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项目支出绩效目标完成情况表一</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tbl>
      <w:tblPr>
        <w:tblStyle w:val="1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9" w:leftChars="1310" w:hanging="1428" w:hangingChars="395"/>
              <w:textAlignment w:val="center"/>
              <w:rPr>
                <w:rFonts w:ascii="宋体" w:hAnsi="宋体" w:cs="宋体"/>
                <w:color w:val="000000"/>
                <w:sz w:val="36"/>
                <w:szCs w:val="36"/>
              </w:rPr>
            </w:pPr>
            <w:r>
              <w:rPr>
                <w:rFonts w:hint="eastAsia" w:ascii="宋体" w:hAnsi="宋体" w:cs="宋体"/>
                <w:b/>
                <w:bCs/>
                <w:color w:val="000000"/>
                <w:kern w:val="0"/>
                <w:sz w:val="36"/>
                <w:szCs w:val="36"/>
              </w:rPr>
              <w:br w:type="textWrapping"/>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本部门按要求对2018年部门整体支出绩效评价情况开展自评，《壤塘县公共资源交易中心部门2018年部门整体支出绩效评价报告》见附件。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7"/>
          <w:rFonts w:ascii="黑体" w:hAnsi="黑体" w:eastAsia="黑体"/>
        </w:rPr>
      </w:pPr>
      <w:bookmarkStart w:id="44" w:name="_Toc15377221"/>
      <w:bookmarkStart w:id="45" w:name="_Toc15396612"/>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8年，壤塘县公共资源交易中心机关运行经费支出0万元，比</w:t>
      </w:r>
      <w:r>
        <w:rPr>
          <w:rFonts w:ascii="仿宋_GB2312" w:eastAsia="仿宋_GB2312"/>
          <w:color w:val="000000"/>
          <w:sz w:val="32"/>
          <w:szCs w:val="32"/>
        </w:rPr>
        <w:t>201</w:t>
      </w:r>
      <w:r>
        <w:rPr>
          <w:rFonts w:hint="eastAsia" w:ascii="仿宋_GB2312" w:eastAsia="仿宋_GB2312"/>
          <w:color w:val="000000"/>
          <w:sz w:val="32"/>
          <w:szCs w:val="32"/>
        </w:rPr>
        <w:t>7年减少0万元，下降</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8年，壤塘县公共资源交易中心政府采购支出总额0万元。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日，壤塘县公共资源交易中心共有车辆0辆，其中：一般公务用车用车0辆，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6"/>
          <w:rFonts w:ascii="黑体" w:hAnsi="黑体" w:eastAsia="黑体"/>
          <w:b w:val="0"/>
        </w:rPr>
      </w:pPr>
      <w:bookmarkStart w:id="49" w:name="_Toc15377225"/>
      <w:bookmarkStart w:id="50" w:name="_Toc15396613"/>
      <w:r>
        <w:rPr>
          <w:rFonts w:hint="eastAsia" w:ascii="黑体" w:hAnsi="黑体" w:eastAsia="黑体"/>
          <w:b/>
          <w:color w:val="000000"/>
          <w:sz w:val="44"/>
          <w:szCs w:val="44"/>
        </w:rPr>
        <w:t>名</w:t>
      </w:r>
      <w:r>
        <w:rPr>
          <w:rStyle w:val="26"/>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其他收入：其他收入：指单位取得的除上述收入以外的各项收入。主要是利息收入等。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ind w:firstLine="640" w:firstLineChars="200"/>
        <w:rPr>
          <w:rStyle w:val="15"/>
          <w:rFonts w:ascii="仿宋" w:hAnsi="仿宋" w:eastAsia="仿宋"/>
          <w:b w:val="0"/>
          <w:color w:val="000000"/>
          <w:sz w:val="32"/>
          <w:szCs w:val="32"/>
        </w:rPr>
      </w:pPr>
      <w:r>
        <w:rPr>
          <w:rStyle w:val="15"/>
          <w:rFonts w:hint="eastAsia" w:ascii="仿宋" w:hAnsi="仿宋" w:eastAsia="仿宋"/>
          <w:b w:val="0"/>
          <w:color w:val="000000"/>
          <w:sz w:val="32"/>
          <w:szCs w:val="32"/>
        </w:rPr>
        <w:t>6.一般公共服务（类）宗教事务（款）行政运行（项）</w:t>
      </w:r>
      <w:r>
        <w:rPr>
          <w:rStyle w:val="15"/>
          <w:rFonts w:ascii="仿宋" w:hAnsi="仿宋" w:eastAsia="仿宋"/>
          <w:b w:val="0"/>
          <w:color w:val="000000"/>
          <w:sz w:val="32"/>
          <w:szCs w:val="32"/>
        </w:rPr>
        <w:t>:</w:t>
      </w:r>
      <w:r>
        <w:rPr>
          <w:rStyle w:val="15"/>
          <w:rFonts w:hint="eastAsia" w:ascii="仿宋" w:hAnsi="仿宋" w:eastAsia="仿宋"/>
          <w:b w:val="0"/>
          <w:color w:val="000000"/>
          <w:sz w:val="32"/>
          <w:szCs w:val="32"/>
        </w:rPr>
        <w:t>人员经费支出。</w:t>
      </w:r>
    </w:p>
    <w:p>
      <w:pPr>
        <w:ind w:firstLine="643" w:firstLineChars="200"/>
        <w:rPr>
          <w:rFonts w:ascii="仿宋_GB2312" w:eastAsia="仿宋_GB2312"/>
          <w:color w:val="000000"/>
          <w:sz w:val="32"/>
          <w:szCs w:val="32"/>
        </w:rPr>
      </w:pPr>
      <w:r>
        <w:rPr>
          <w:rStyle w:val="15"/>
          <w:rFonts w:hint="eastAsia" w:ascii="仿宋" w:hAnsi="仿宋" w:eastAsia="仿宋"/>
          <w:bCs/>
          <w:color w:val="000000"/>
          <w:sz w:val="32"/>
          <w:szCs w:val="32"/>
        </w:rPr>
        <w:t>7</w:t>
      </w:r>
      <w:r>
        <w:rPr>
          <w:rFonts w:hint="eastAsia" w:ascii="仿宋_GB2312" w:eastAsia="仿宋_GB2312"/>
          <w:color w:val="000000"/>
          <w:sz w:val="32"/>
          <w:szCs w:val="32"/>
        </w:rPr>
        <w:t>.社会保障和就业（类）行政事业单位离退休（款）机关事业单位基本养老保险缴费支出（项）：反映机关事业单位实施养老保险制度由单位缴纳的基本养老保险费支出。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8.社会保障和就业（类）行政事业单位离退休（款）机关事业单位职业年金缴费支出（项）: 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9.医疗卫生与计划生育（类）行政事业单位医疗（款）行政单位医疗（项）: 反映财政部门集中安排的行政单位基本医疗保险缴费经费，未参加医疗保险的行政单位的公费医疗经费，按国家规定享受离休人员待遇的医疗经费。</w:t>
      </w:r>
    </w:p>
    <w:p>
      <w:pPr>
        <w:ind w:firstLine="640" w:firstLineChars="200"/>
        <w:rPr>
          <w:rFonts w:ascii="仿宋_GB2312" w:eastAsia="仿宋_GB2312"/>
          <w:b/>
          <w:color w:val="000000"/>
          <w:sz w:val="32"/>
          <w:szCs w:val="32"/>
        </w:rPr>
      </w:pPr>
      <w:r>
        <w:rPr>
          <w:rFonts w:hint="eastAsia" w:ascii="仿宋_GB2312" w:eastAsia="仿宋_GB2312"/>
          <w:bCs/>
          <w:color w:val="000000"/>
          <w:sz w:val="32"/>
          <w:szCs w:val="32"/>
        </w:rPr>
        <w:t>10</w:t>
      </w:r>
      <w:r>
        <w:rPr>
          <w:rFonts w:ascii="仿宋_GB2312" w:eastAsia="仿宋_GB2312"/>
          <w:bCs/>
          <w:color w:val="000000"/>
          <w:sz w:val="32"/>
          <w:szCs w:val="32"/>
        </w:rPr>
        <w:t>.</w:t>
      </w:r>
      <w:r>
        <w:rPr>
          <w:rFonts w:hint="eastAsia" w:ascii="仿宋_GB2312" w:eastAsia="仿宋_GB2312"/>
          <w:bCs/>
          <w:color w:val="000000"/>
          <w:sz w:val="32"/>
          <w:szCs w:val="32"/>
        </w:rPr>
        <w:t>医疗卫生与计划生育（类）行政事业单位（款）公务员医疗补助（项）</w:t>
      </w:r>
      <w:r>
        <w:rPr>
          <w:rFonts w:hint="eastAsia" w:ascii="仿宋_GB2312" w:eastAsia="仿宋_GB2312"/>
          <w:b/>
          <w:color w:val="000000"/>
          <w:sz w:val="32"/>
          <w:szCs w:val="32"/>
        </w:rPr>
        <w:t>：</w:t>
      </w:r>
      <w:r>
        <w:rPr>
          <w:rFonts w:hint="eastAsia" w:ascii="仿宋_GB2312" w:eastAsia="仿宋_GB2312"/>
          <w:color w:val="000000"/>
          <w:sz w:val="32"/>
          <w:szCs w:val="32"/>
        </w:rPr>
        <w:t>指财政部门集中安排的公务员医疗补助经费</w:t>
      </w:r>
      <w:r>
        <w:rPr>
          <w:rFonts w:hint="eastAsia" w:ascii="仿宋_GB2312" w:eastAsia="仿宋_GB2312"/>
          <w:b/>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11.住房保障支出（类）住房改革支出（款）住房公积金（项）: 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2.基本支出：指为保障机构正常运转、完成日常工作任务而发生的人员支出和公用支出。</w:t>
      </w:r>
    </w:p>
    <w:p>
      <w:pPr>
        <w:autoSpaceDE w:val="0"/>
        <w:autoSpaceDN w:val="0"/>
        <w:adjustRightInd w:val="0"/>
        <w:spacing w:line="56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w:t>
      </w:r>
      <w:r>
        <w:rPr>
          <w:rFonts w:hint="eastAsia" w:ascii="仿宋_GB2312" w:hAnsi="Calibri" w:eastAsia="仿宋_GB2312" w:cs="仿宋"/>
          <w:color w:val="000000"/>
          <w:kern w:val="0"/>
          <w:sz w:val="32"/>
          <w:szCs w:val="32"/>
        </w:rPr>
        <w:t>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56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eastAsia="仿宋_GB2312" w:cs="黑体"/>
          <w:sz w:val="32"/>
          <w:szCs w:val="32"/>
        </w:rPr>
      </w:pPr>
    </w:p>
    <w:p>
      <w:pPr>
        <w:spacing w:line="600" w:lineRule="exact"/>
        <w:jc w:val="center"/>
        <w:outlineLvl w:val="0"/>
        <w:rPr>
          <w:rStyle w:val="26"/>
          <w:rFonts w:ascii="黑体" w:hAnsi="黑体" w:eastAsia="黑体"/>
          <w:b w:val="0"/>
        </w:rPr>
      </w:pPr>
      <w:bookmarkStart w:id="51" w:name="_Toc15377226"/>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2"/>
    </w:p>
    <w:p>
      <w:pPr>
        <w:spacing w:line="600" w:lineRule="exact"/>
        <w:jc w:val="center"/>
        <w:outlineLvl w:val="0"/>
        <w:rPr>
          <w:rStyle w:val="26"/>
        </w:rPr>
      </w:pPr>
    </w:p>
    <w:p>
      <w:pPr>
        <w:pStyle w:val="3"/>
        <w:rPr>
          <w:rStyle w:val="26"/>
          <w:rFonts w:ascii="仿宋" w:hAnsi="仿宋" w:eastAsia="仿宋"/>
          <w:b w:val="0"/>
          <w:bCs w:val="0"/>
          <w:sz w:val="32"/>
          <w:szCs w:val="32"/>
        </w:rPr>
      </w:pPr>
      <w:bookmarkStart w:id="53" w:name="_Toc15396615"/>
      <w:r>
        <w:rPr>
          <w:rStyle w:val="26"/>
          <w:rFonts w:hint="eastAsia" w:ascii="仿宋" w:hAnsi="仿宋" w:eastAsia="仿宋"/>
          <w:b w:val="0"/>
          <w:bCs w:val="0"/>
          <w:sz w:val="32"/>
          <w:szCs w:val="32"/>
        </w:rPr>
        <w:t>附件1</w:t>
      </w:r>
      <w:bookmarkEnd w:id="53"/>
    </w:p>
    <w:p>
      <w:pPr>
        <w:spacing w:line="600" w:lineRule="exact"/>
        <w:jc w:val="center"/>
        <w:outlineLvl w:val="0"/>
        <w:rPr>
          <w:rFonts w:ascii="黑体" w:hAnsi="黑体" w:eastAsia="黑体" w:cs="方正小标宋简体"/>
          <w:sz w:val="36"/>
          <w:szCs w:val="36"/>
        </w:rPr>
      </w:pPr>
      <w:bookmarkStart w:id="54" w:name="_Toc15396616"/>
      <w:r>
        <w:rPr>
          <w:rFonts w:hint="eastAsia" w:ascii="黑体" w:hAnsi="黑体" w:eastAsia="黑体" w:cs="方正小标宋简体"/>
          <w:sz w:val="36"/>
          <w:szCs w:val="36"/>
        </w:rPr>
        <w:t>壤塘县公共资源交易中心部门2018年部门整体支出绩效评价报告</w:t>
      </w:r>
      <w:bookmarkEnd w:id="5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我中心由综合股、采购股、招投标和公共资源交易股3个股室组成。</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
          <w:color w:val="000000"/>
          <w:sz w:val="32"/>
          <w:szCs w:val="32"/>
        </w:rPr>
        <w:t>根据壤塘县人民政府办公室印发《壤塘县公共资源交易中心主要职责、内设机构和人员编制规定》（壤府办发【2016</w:t>
      </w:r>
      <w:r>
        <w:rPr>
          <w:rFonts w:ascii="仿宋" w:hAnsi="仿宋" w:eastAsia="仿宋" w:cs="仿宋"/>
          <w:color w:val="000000"/>
          <w:sz w:val="32"/>
          <w:szCs w:val="32"/>
        </w:rPr>
        <w:t>】</w:t>
      </w:r>
      <w:r>
        <w:rPr>
          <w:rFonts w:hint="eastAsia" w:ascii="仿宋" w:hAnsi="仿宋" w:eastAsia="仿宋" w:cs="仿宋"/>
          <w:color w:val="000000"/>
          <w:sz w:val="32"/>
          <w:szCs w:val="32"/>
        </w:rPr>
        <w:t>7号）的通知、壤塘县公共资源交易中心为县政府办公室管理的独立核算的副科级事业单位</w:t>
      </w:r>
      <w:r>
        <w:rPr>
          <w:rFonts w:hint="eastAsia" w:ascii="仿宋" w:hAnsi="仿宋" w:eastAsia="仿宋" w:cs="仿宋"/>
          <w:sz w:val="32"/>
          <w:szCs w:val="32"/>
        </w:rPr>
        <w:t>。</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人员概况。</w:t>
      </w:r>
    </w:p>
    <w:p>
      <w:pPr>
        <w:spacing w:line="580" w:lineRule="exact"/>
        <w:rPr>
          <w:rFonts w:ascii="仿宋" w:hAnsi="仿宋" w:eastAsia="仿宋_GB2312" w:cs="仿宋_GB2312"/>
          <w:sz w:val="32"/>
          <w:szCs w:val="32"/>
        </w:rPr>
      </w:pPr>
      <w:r>
        <w:rPr>
          <w:rFonts w:hint="eastAsia" w:ascii="仿宋" w:hAnsi="仿宋" w:eastAsia="仿宋" w:cs="仿宋_GB2312"/>
          <w:sz w:val="32"/>
          <w:szCs w:val="32"/>
        </w:rPr>
        <w:t>我中心现有编制8名，其中事业副科级领导编制1名，事业编7名。</w:t>
      </w:r>
      <w:r>
        <w:rPr>
          <w:rFonts w:hint="eastAsia" w:ascii="仿宋_GB2312" w:eastAsia="仿宋_GB2312"/>
          <w:kern w:val="0"/>
          <w:sz w:val="32"/>
          <w:szCs w:val="32"/>
          <w:lang w:val="zh-CN"/>
        </w:rPr>
        <w:t>截止2018年12月31日我中心实有人数</w:t>
      </w:r>
      <w:r>
        <w:rPr>
          <w:rFonts w:hint="eastAsia" w:ascii="仿宋_GB2312" w:eastAsia="仿宋_GB2312"/>
          <w:kern w:val="0"/>
          <w:sz w:val="32"/>
          <w:szCs w:val="32"/>
        </w:rPr>
        <w:t>6人。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（一）部门财政资金收入情况。</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color w:val="505050"/>
          <w:sz w:val="32"/>
          <w:szCs w:val="32"/>
          <w:shd w:val="clear" w:color="auto" w:fill="FFFFFF"/>
        </w:rPr>
        <w:t>2018年本单位财政拨款收入79.44万元，其他收入0.05万元，年初结转资金20.04万元。</w:t>
      </w:r>
    </w:p>
    <w:p>
      <w:pPr>
        <w:numPr>
          <w:ilvl w:val="0"/>
          <w:numId w:val="8"/>
        </w:num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部门财政资金支出情况。</w:t>
      </w:r>
    </w:p>
    <w:p>
      <w:pPr>
        <w:pStyle w:val="13"/>
        <w:widowControl/>
        <w:shd w:val="clear" w:color="auto" w:fill="FFFFFF"/>
        <w:wordWrap w:val="0"/>
        <w:spacing w:beforeAutospacing="0" w:afterAutospacing="0" w:line="360" w:lineRule="atLeast"/>
        <w:ind w:firstLine="640" w:firstLineChars="200"/>
        <w:rPr>
          <w:rFonts w:ascii="仿宋_GB2312" w:hAnsi="仿宋" w:eastAsia="仿宋_GB2312" w:cs="仿宋"/>
          <w:color w:val="333333"/>
          <w:sz w:val="32"/>
          <w:szCs w:val="32"/>
        </w:rPr>
      </w:pPr>
      <w:r>
        <w:rPr>
          <w:rFonts w:hint="eastAsia" w:ascii="仿宋_GB2312" w:hAnsi="仿宋" w:eastAsia="仿宋_GB2312" w:cs="仿宋"/>
          <w:color w:val="505050"/>
          <w:sz w:val="32"/>
          <w:szCs w:val="32"/>
          <w:shd w:val="clear" w:color="auto" w:fill="FFFFFF"/>
        </w:rPr>
        <w:t>本单位本年实际支出76.53万元；年末结转结余20.04万元。</w:t>
      </w:r>
    </w:p>
    <w:p>
      <w:pPr>
        <w:spacing w:line="580" w:lineRule="exact"/>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201</w:t>
      </w:r>
      <w:r>
        <w:rPr>
          <w:rFonts w:ascii="仿宋_GB2312" w:eastAsia="仿宋_GB2312"/>
          <w:color w:val="000000"/>
          <w:kern w:val="0"/>
          <w:sz w:val="32"/>
          <w:szCs w:val="32"/>
          <w:lang w:val="zh-CN"/>
        </w:rPr>
        <w:t>8</w:t>
      </w:r>
      <w:r>
        <w:rPr>
          <w:rFonts w:hint="eastAsia" w:ascii="仿宋_GB2312" w:eastAsia="仿宋_GB2312"/>
          <w:color w:val="000000"/>
          <w:kern w:val="0"/>
          <w:sz w:val="32"/>
          <w:szCs w:val="32"/>
          <w:lang w:val="zh-CN"/>
        </w:rPr>
        <w:t>年，我中心按照“扩面增量、整体推进，深化完善，构建体系”的总体目标，严格按照《预算法》、《阿坝州州级预算绩效目标管理办法》、《预算编制通知》等文件要求，完整编制部门整体绩效目标，合理完成单位绩效目标，按时完成报送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在债务管理及非税收入执行情况方面，2018年无政府性债务管理、非税收入执收。在政府采购实施计划方面，实施计划与政府采购预算、备案计划一致，中期无调整或细化资金。在资产管理方面，安排专人专项管理资产，将所属单位国有资产全额纳入资产系统管理，实时更新系统数据，及时、准确、全面开展资产清查工作，真实、准确、全面上报国有资产报表数据，依法接受财政监督。在内控制度管理方面，内部控制制度健全完整并执行良好。在信息公开方面，严格按照要求对部门预算、决算、绩效信息对社会公开。在绩效评价方面，实施绩效评价项目与对下级预算单位开展整体绩效评价均做到全覆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通过对预算编制、预算执行、综合管理、整体效益等方面进行全面分析评价，2018年部门</w:t>
      </w:r>
      <w:r>
        <w:rPr>
          <w:rFonts w:ascii="仿宋_GB2312" w:eastAsia="仿宋_GB2312"/>
          <w:color w:val="000000"/>
          <w:kern w:val="0"/>
          <w:sz w:val="32"/>
          <w:szCs w:val="32"/>
          <w:lang w:val="zh-CN"/>
        </w:rPr>
        <w:t>整体支出绩效</w:t>
      </w:r>
      <w:r>
        <w:rPr>
          <w:rFonts w:hint="eastAsia" w:ascii="仿宋_GB2312" w:eastAsia="仿宋_GB2312"/>
          <w:color w:val="000000"/>
          <w:kern w:val="0"/>
          <w:sz w:val="32"/>
          <w:szCs w:val="32"/>
          <w:lang w:val="zh-CN"/>
        </w:rPr>
        <w:t>自评得分为90分。将针对评价总结的问题进行整改。</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pStyle w:val="13"/>
        <w:widowControl/>
        <w:shd w:val="clear" w:color="auto" w:fill="FFFFFF"/>
        <w:wordWrap w:val="0"/>
        <w:spacing w:beforeAutospacing="0" w:afterAutospacing="0" w:line="360" w:lineRule="atLeast"/>
        <w:ind w:firstLine="640" w:firstLineChars="200"/>
        <w:rPr>
          <w:rFonts w:ascii="仿宋" w:hAnsi="仿宋" w:eastAsia="仿宋" w:cs="仿宋_GB2312"/>
          <w:sz w:val="32"/>
          <w:szCs w:val="32"/>
        </w:rPr>
      </w:pPr>
      <w:r>
        <w:rPr>
          <w:rFonts w:hint="eastAsia" w:ascii="仿宋_GB2312" w:hAnsi="仿宋" w:eastAsia="仿宋_GB2312" w:cs="仿宋"/>
          <w:color w:val="505050"/>
          <w:sz w:val="32"/>
          <w:szCs w:val="32"/>
          <w:shd w:val="clear" w:color="auto" w:fill="FFFFFF"/>
        </w:rPr>
        <w:t>按照县政府的工作任务要求，结合我中心2018年度工作开展实际，根据年初工作计划有序开展各项工作，进一步细化工作任务，按照工作计划和要求细致分工，是财政收支预算执行得到了良好的制度保障和实施效果</w:t>
      </w:r>
      <w:r>
        <w:rPr>
          <w:rFonts w:hint="eastAsia" w:ascii="仿宋" w:hAnsi="仿宋" w:eastAsia="仿宋" w:cs="仿宋"/>
          <w:color w:val="505050"/>
          <w:sz w:val="32"/>
          <w:szCs w:val="32"/>
          <w:shd w:val="clear" w:color="auto" w:fill="FFFFFF"/>
        </w:rPr>
        <w:t>。</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一是人员增加导致预算不合理。</w:t>
      </w:r>
    </w:p>
    <w:p>
      <w:pPr>
        <w:ind w:firstLine="640" w:firstLineChars="200"/>
        <w:rPr>
          <w:rFonts w:ascii="仿宋" w:hAnsi="仿宋" w:eastAsia="仿宋" w:cs="仿宋_GB2312"/>
          <w:sz w:val="32"/>
          <w:szCs w:val="32"/>
        </w:rPr>
      </w:pPr>
      <w:r>
        <w:rPr>
          <w:rFonts w:hint="eastAsia" w:ascii="仿宋_GB2312" w:eastAsia="仿宋_GB2312"/>
          <w:color w:val="000000"/>
          <w:sz w:val="32"/>
          <w:szCs w:val="32"/>
        </w:rPr>
        <w:t>二是内部控制不合理。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一是合理预算。</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二是加强内部控制管理。</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80" w:lineRule="exact"/>
        <w:ind w:left="640"/>
        <w:rPr>
          <w:rFonts w:ascii="仿宋" w:hAnsi="仿宋" w:eastAsia="仿宋" w:cs="仿宋_GB2312"/>
          <w:sz w:val="32"/>
          <w:szCs w:val="32"/>
        </w:rPr>
      </w:pPr>
    </w:p>
    <w:p>
      <w:pPr>
        <w:spacing w:line="600" w:lineRule="exact"/>
        <w:outlineLvl w:val="0"/>
        <w:rPr>
          <w:rFonts w:ascii="黑体" w:hAnsi="黑体" w:eastAsia="黑体"/>
          <w:color w:val="000000"/>
          <w:sz w:val="44"/>
          <w:szCs w:val="44"/>
        </w:rPr>
      </w:pPr>
      <w:bookmarkStart w:id="55" w:name="_Toc15396618"/>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51"/>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57"/>
    </w:p>
    <w:p>
      <w:pPr>
        <w:pStyle w:val="3"/>
        <w:rPr>
          <w:rFonts w:ascii="仿宋" w:hAnsi="仿宋" w:eastAsia="仿宋"/>
          <w:color w:val="000000"/>
        </w:rPr>
      </w:pPr>
      <w:bookmarkStart w:id="58"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58"/>
    </w:p>
    <w:p>
      <w:pPr>
        <w:pStyle w:val="3"/>
        <w:rPr>
          <w:rFonts w:ascii="仿宋" w:hAnsi="仿宋" w:eastAsia="仿宋"/>
          <w:b w:val="0"/>
          <w:color w:val="000000"/>
        </w:rPr>
      </w:pPr>
      <w:bookmarkStart w:id="59"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59"/>
    </w:p>
    <w:p>
      <w:pPr>
        <w:pStyle w:val="3"/>
        <w:rPr>
          <w:rFonts w:ascii="仿宋" w:hAnsi="仿宋" w:eastAsia="仿宋"/>
          <w:color w:val="000000"/>
        </w:rPr>
      </w:pPr>
      <w:bookmarkStart w:id="60"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0"/>
    </w:p>
    <w:p>
      <w:pPr>
        <w:pStyle w:val="3"/>
        <w:rPr>
          <w:rFonts w:ascii="仿宋" w:hAnsi="仿宋" w:eastAsia="仿宋"/>
          <w:color w:val="000000"/>
        </w:rPr>
      </w:pPr>
      <w:bookmarkStart w:id="61"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14:textFill>
            <w14:solidFill>
              <w14:schemeClr w14:val="tx1"/>
            </w14:solidFill>
          </w14:textFill>
        </w:rPr>
      </w:pPr>
      <w:bookmarkStart w:id="68"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429"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1E57BE5D"/>
    <w:multiLevelType w:val="singleLevel"/>
    <w:tmpl w:val="1E57BE5D"/>
    <w:lvl w:ilvl="0" w:tentative="0">
      <w:start w:val="2"/>
      <w:numFmt w:val="chineseCounting"/>
      <w:suff w:val="nothing"/>
      <w:lvlText w:val="（%1）"/>
      <w:lvlJc w:val="left"/>
      <w:rPr>
        <w:rFonts w:hint="eastAsia"/>
      </w:rPr>
    </w:lvl>
  </w:abstractNum>
  <w:abstractNum w:abstractNumId="6">
    <w:nsid w:val="2D5B7993"/>
    <w:multiLevelType w:val="singleLevel"/>
    <w:tmpl w:val="2D5B7993"/>
    <w:lvl w:ilvl="0" w:tentative="0">
      <w:start w:val="1"/>
      <w:numFmt w:val="decimal"/>
      <w:lvlText w:val="%1."/>
      <w:lvlJc w:val="left"/>
      <w:pPr>
        <w:tabs>
          <w:tab w:val="left" w:pos="312"/>
        </w:tabs>
      </w:pPr>
    </w:lvl>
  </w:abstractNum>
  <w:abstractNum w:abstractNumId="7">
    <w:nsid w:val="43C214C4"/>
    <w:multiLevelType w:val="singleLevel"/>
    <w:tmpl w:val="43C214C4"/>
    <w:lvl w:ilvl="0" w:tentative="0">
      <w:start w:val="2"/>
      <w:numFmt w:val="chineseCounting"/>
      <w:suff w:val="nothing"/>
      <w:lvlText w:val="（%1）"/>
      <w:lvlJc w:val="left"/>
      <w:rPr>
        <w:rFonts w:hint="eastAsia"/>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3A9B"/>
    <w:rsid w:val="0003661C"/>
    <w:rsid w:val="000428A8"/>
    <w:rsid w:val="0006487A"/>
    <w:rsid w:val="00065F8F"/>
    <w:rsid w:val="000717FE"/>
    <w:rsid w:val="000768F2"/>
    <w:rsid w:val="00082EAC"/>
    <w:rsid w:val="0009184B"/>
    <w:rsid w:val="0009593C"/>
    <w:rsid w:val="0009771A"/>
    <w:rsid w:val="000B047F"/>
    <w:rsid w:val="000B5923"/>
    <w:rsid w:val="000B5A48"/>
    <w:rsid w:val="000B6FF3"/>
    <w:rsid w:val="000C3467"/>
    <w:rsid w:val="000C3CA6"/>
    <w:rsid w:val="000C42E7"/>
    <w:rsid w:val="000D1267"/>
    <w:rsid w:val="000D1D50"/>
    <w:rsid w:val="000D5782"/>
    <w:rsid w:val="000E12DA"/>
    <w:rsid w:val="000E6613"/>
    <w:rsid w:val="000E7119"/>
    <w:rsid w:val="000F6DFC"/>
    <w:rsid w:val="00103866"/>
    <w:rsid w:val="0011064E"/>
    <w:rsid w:val="00114E9B"/>
    <w:rsid w:val="00121086"/>
    <w:rsid w:val="0014729F"/>
    <w:rsid w:val="00157433"/>
    <w:rsid w:val="00157BAB"/>
    <w:rsid w:val="001654D1"/>
    <w:rsid w:val="00167347"/>
    <w:rsid w:val="00175D4E"/>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085"/>
    <w:rsid w:val="00235629"/>
    <w:rsid w:val="00260C38"/>
    <w:rsid w:val="002616C0"/>
    <w:rsid w:val="002662AA"/>
    <w:rsid w:val="0027249C"/>
    <w:rsid w:val="002764E5"/>
    <w:rsid w:val="00280496"/>
    <w:rsid w:val="00295495"/>
    <w:rsid w:val="002B2613"/>
    <w:rsid w:val="002C1A35"/>
    <w:rsid w:val="002F1818"/>
    <w:rsid w:val="002F567B"/>
    <w:rsid w:val="00315402"/>
    <w:rsid w:val="003155E0"/>
    <w:rsid w:val="003216A9"/>
    <w:rsid w:val="00327281"/>
    <w:rsid w:val="00342E19"/>
    <w:rsid w:val="0037013F"/>
    <w:rsid w:val="00380C92"/>
    <w:rsid w:val="003A484F"/>
    <w:rsid w:val="003B0BE0"/>
    <w:rsid w:val="003B0C1B"/>
    <w:rsid w:val="003B688C"/>
    <w:rsid w:val="003C0291"/>
    <w:rsid w:val="003C39AE"/>
    <w:rsid w:val="003C6105"/>
    <w:rsid w:val="003C7B60"/>
    <w:rsid w:val="003D1FB2"/>
    <w:rsid w:val="003D66DA"/>
    <w:rsid w:val="003E1310"/>
    <w:rsid w:val="003E6F55"/>
    <w:rsid w:val="00404A3B"/>
    <w:rsid w:val="00406254"/>
    <w:rsid w:val="004132F9"/>
    <w:rsid w:val="004223DE"/>
    <w:rsid w:val="004225B1"/>
    <w:rsid w:val="00425CA2"/>
    <w:rsid w:val="00427000"/>
    <w:rsid w:val="00430984"/>
    <w:rsid w:val="00434489"/>
    <w:rsid w:val="00437085"/>
    <w:rsid w:val="00443880"/>
    <w:rsid w:val="004464F4"/>
    <w:rsid w:val="004517F3"/>
    <w:rsid w:val="00471401"/>
    <w:rsid w:val="00473F31"/>
    <w:rsid w:val="0048263A"/>
    <w:rsid w:val="00487E5D"/>
    <w:rsid w:val="004A711F"/>
    <w:rsid w:val="004B199D"/>
    <w:rsid w:val="004B4690"/>
    <w:rsid w:val="004C0C07"/>
    <w:rsid w:val="004C66FB"/>
    <w:rsid w:val="004D0CD5"/>
    <w:rsid w:val="004D124A"/>
    <w:rsid w:val="004E0A2D"/>
    <w:rsid w:val="004E206B"/>
    <w:rsid w:val="004E6DF7"/>
    <w:rsid w:val="004F0FBD"/>
    <w:rsid w:val="00505A47"/>
    <w:rsid w:val="00512FDA"/>
    <w:rsid w:val="00520DA0"/>
    <w:rsid w:val="005664BB"/>
    <w:rsid w:val="0057481D"/>
    <w:rsid w:val="0058486E"/>
    <w:rsid w:val="005B6D27"/>
    <w:rsid w:val="005D1C8B"/>
    <w:rsid w:val="005D5CED"/>
    <w:rsid w:val="005F1A4C"/>
    <w:rsid w:val="00605688"/>
    <w:rsid w:val="006070AF"/>
    <w:rsid w:val="00607E6C"/>
    <w:rsid w:val="006101B1"/>
    <w:rsid w:val="00614E44"/>
    <w:rsid w:val="00622830"/>
    <w:rsid w:val="006245F0"/>
    <w:rsid w:val="00630AEF"/>
    <w:rsid w:val="006325F8"/>
    <w:rsid w:val="00634C9A"/>
    <w:rsid w:val="00637F55"/>
    <w:rsid w:val="006438BF"/>
    <w:rsid w:val="006440E4"/>
    <w:rsid w:val="00651CC6"/>
    <w:rsid w:val="00655830"/>
    <w:rsid w:val="0066343B"/>
    <w:rsid w:val="00664777"/>
    <w:rsid w:val="006717DB"/>
    <w:rsid w:val="00672385"/>
    <w:rsid w:val="006748A4"/>
    <w:rsid w:val="006771D1"/>
    <w:rsid w:val="00683E73"/>
    <w:rsid w:val="006A3141"/>
    <w:rsid w:val="006A5E34"/>
    <w:rsid w:val="006B2422"/>
    <w:rsid w:val="006B2B9A"/>
    <w:rsid w:val="006C1937"/>
    <w:rsid w:val="006F020C"/>
    <w:rsid w:val="006F05C4"/>
    <w:rsid w:val="007127B7"/>
    <w:rsid w:val="007220F0"/>
    <w:rsid w:val="007416B6"/>
    <w:rsid w:val="007469A1"/>
    <w:rsid w:val="00746F48"/>
    <w:rsid w:val="0075404D"/>
    <w:rsid w:val="0076182A"/>
    <w:rsid w:val="007625EF"/>
    <w:rsid w:val="00767B7E"/>
    <w:rsid w:val="007770C3"/>
    <w:rsid w:val="00784D24"/>
    <w:rsid w:val="00785FBA"/>
    <w:rsid w:val="00786E4A"/>
    <w:rsid w:val="007875EB"/>
    <w:rsid w:val="0079426B"/>
    <w:rsid w:val="007A3D50"/>
    <w:rsid w:val="007C40BF"/>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976E8"/>
    <w:rsid w:val="008B768C"/>
    <w:rsid w:val="008C4DB1"/>
    <w:rsid w:val="008C4EAF"/>
    <w:rsid w:val="008C5176"/>
    <w:rsid w:val="008C7FD0"/>
    <w:rsid w:val="008E1DE7"/>
    <w:rsid w:val="008E707C"/>
    <w:rsid w:val="00900B08"/>
    <w:rsid w:val="00902155"/>
    <w:rsid w:val="00902FA3"/>
    <w:rsid w:val="00923564"/>
    <w:rsid w:val="0092392E"/>
    <w:rsid w:val="00923BDE"/>
    <w:rsid w:val="009315F9"/>
    <w:rsid w:val="00940DF8"/>
    <w:rsid w:val="00946945"/>
    <w:rsid w:val="00951248"/>
    <w:rsid w:val="0095152F"/>
    <w:rsid w:val="00954C49"/>
    <w:rsid w:val="00957EC3"/>
    <w:rsid w:val="00966817"/>
    <w:rsid w:val="0097099F"/>
    <w:rsid w:val="00971997"/>
    <w:rsid w:val="00971FFC"/>
    <w:rsid w:val="0098660A"/>
    <w:rsid w:val="009931C3"/>
    <w:rsid w:val="009953A1"/>
    <w:rsid w:val="009A5322"/>
    <w:rsid w:val="009B2C43"/>
    <w:rsid w:val="009B4EAE"/>
    <w:rsid w:val="009B7573"/>
    <w:rsid w:val="009C22F4"/>
    <w:rsid w:val="009C2E98"/>
    <w:rsid w:val="009D3447"/>
    <w:rsid w:val="009D44F4"/>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0413"/>
    <w:rsid w:val="00A91760"/>
    <w:rsid w:val="00A93B00"/>
    <w:rsid w:val="00A93C21"/>
    <w:rsid w:val="00AB28D8"/>
    <w:rsid w:val="00AC3C6A"/>
    <w:rsid w:val="00AC6F22"/>
    <w:rsid w:val="00AD5620"/>
    <w:rsid w:val="00AD7C1B"/>
    <w:rsid w:val="00AE16BA"/>
    <w:rsid w:val="00AE1EBE"/>
    <w:rsid w:val="00B022E5"/>
    <w:rsid w:val="00B03C9D"/>
    <w:rsid w:val="00B060AE"/>
    <w:rsid w:val="00B10517"/>
    <w:rsid w:val="00B14E76"/>
    <w:rsid w:val="00B161B8"/>
    <w:rsid w:val="00B2048C"/>
    <w:rsid w:val="00B310B9"/>
    <w:rsid w:val="00B31E49"/>
    <w:rsid w:val="00B35F3F"/>
    <w:rsid w:val="00B36CBB"/>
    <w:rsid w:val="00B40756"/>
    <w:rsid w:val="00B425E0"/>
    <w:rsid w:val="00B440AA"/>
    <w:rsid w:val="00B44B70"/>
    <w:rsid w:val="00B53C56"/>
    <w:rsid w:val="00B61345"/>
    <w:rsid w:val="00B77EA6"/>
    <w:rsid w:val="00B81598"/>
    <w:rsid w:val="00B82D13"/>
    <w:rsid w:val="00B841F1"/>
    <w:rsid w:val="00B857AE"/>
    <w:rsid w:val="00B944D6"/>
    <w:rsid w:val="00BA6700"/>
    <w:rsid w:val="00BB4DF0"/>
    <w:rsid w:val="00BC091E"/>
    <w:rsid w:val="00BC289F"/>
    <w:rsid w:val="00BC5361"/>
    <w:rsid w:val="00BC5460"/>
    <w:rsid w:val="00BC6B50"/>
    <w:rsid w:val="00BD0C68"/>
    <w:rsid w:val="00BD0E25"/>
    <w:rsid w:val="00BF5BD6"/>
    <w:rsid w:val="00BF7033"/>
    <w:rsid w:val="00C03E31"/>
    <w:rsid w:val="00C20E0B"/>
    <w:rsid w:val="00C33E72"/>
    <w:rsid w:val="00C354B2"/>
    <w:rsid w:val="00C35554"/>
    <w:rsid w:val="00C42709"/>
    <w:rsid w:val="00C45B5B"/>
    <w:rsid w:val="00C533CC"/>
    <w:rsid w:val="00C5751C"/>
    <w:rsid w:val="00C61BFC"/>
    <w:rsid w:val="00C62B85"/>
    <w:rsid w:val="00C65438"/>
    <w:rsid w:val="00C71CE9"/>
    <w:rsid w:val="00C91CBB"/>
    <w:rsid w:val="00C95349"/>
    <w:rsid w:val="00CC09B6"/>
    <w:rsid w:val="00CC666F"/>
    <w:rsid w:val="00CD1E3F"/>
    <w:rsid w:val="00CE44F6"/>
    <w:rsid w:val="00CE49DA"/>
    <w:rsid w:val="00CE7B61"/>
    <w:rsid w:val="00D00095"/>
    <w:rsid w:val="00D05179"/>
    <w:rsid w:val="00D155D1"/>
    <w:rsid w:val="00D1679B"/>
    <w:rsid w:val="00D20620"/>
    <w:rsid w:val="00D26091"/>
    <w:rsid w:val="00D34E7C"/>
    <w:rsid w:val="00D35489"/>
    <w:rsid w:val="00D43F91"/>
    <w:rsid w:val="00D51276"/>
    <w:rsid w:val="00D62855"/>
    <w:rsid w:val="00D7035F"/>
    <w:rsid w:val="00D93670"/>
    <w:rsid w:val="00DA6426"/>
    <w:rsid w:val="00DA65AC"/>
    <w:rsid w:val="00DB1913"/>
    <w:rsid w:val="00DB20D7"/>
    <w:rsid w:val="00DB638B"/>
    <w:rsid w:val="00DC410D"/>
    <w:rsid w:val="00DC68CA"/>
    <w:rsid w:val="00DC7CBA"/>
    <w:rsid w:val="00DD73B7"/>
    <w:rsid w:val="00DE7DA7"/>
    <w:rsid w:val="00DF28BC"/>
    <w:rsid w:val="00DF34B9"/>
    <w:rsid w:val="00DF3BA9"/>
    <w:rsid w:val="00E00DE6"/>
    <w:rsid w:val="00E01053"/>
    <w:rsid w:val="00E0353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2551F"/>
    <w:rsid w:val="00F315D3"/>
    <w:rsid w:val="00F36D8F"/>
    <w:rsid w:val="00F41704"/>
    <w:rsid w:val="00F417AA"/>
    <w:rsid w:val="00F417B1"/>
    <w:rsid w:val="00F44B92"/>
    <w:rsid w:val="00F602DF"/>
    <w:rsid w:val="00F61B31"/>
    <w:rsid w:val="00F81FD9"/>
    <w:rsid w:val="00F841AA"/>
    <w:rsid w:val="00F94C6B"/>
    <w:rsid w:val="00FA23E8"/>
    <w:rsid w:val="00FB31CF"/>
    <w:rsid w:val="00FC1A81"/>
    <w:rsid w:val="00FD3CC1"/>
    <w:rsid w:val="00FF1E02"/>
    <w:rsid w:val="00FF30B4"/>
    <w:rsid w:val="0B9C5311"/>
    <w:rsid w:val="0FE837EF"/>
    <w:rsid w:val="10C055FF"/>
    <w:rsid w:val="16BB723D"/>
    <w:rsid w:val="1A4C70E7"/>
    <w:rsid w:val="20043591"/>
    <w:rsid w:val="20EA358E"/>
    <w:rsid w:val="23DE6415"/>
    <w:rsid w:val="240371BF"/>
    <w:rsid w:val="29FD04D3"/>
    <w:rsid w:val="2C1975E2"/>
    <w:rsid w:val="2D1002C1"/>
    <w:rsid w:val="3079478B"/>
    <w:rsid w:val="319F7F4E"/>
    <w:rsid w:val="3DA208F6"/>
    <w:rsid w:val="42E5546A"/>
    <w:rsid w:val="4BEF5625"/>
    <w:rsid w:val="59017256"/>
    <w:rsid w:val="5CCA737B"/>
    <w:rsid w:val="64090819"/>
    <w:rsid w:val="65457AF4"/>
    <w:rsid w:val="6620706B"/>
    <w:rsid w:val="6AEB791D"/>
    <w:rsid w:val="733E71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 w:type="paragraph" w:customStyle="1" w:styleId="31">
    <w:name w:val="正文文本1"/>
    <w:basedOn w:val="1"/>
    <w:qFormat/>
    <w:uiPriority w:val="99"/>
    <w:pPr>
      <w:spacing w:before="93"/>
    </w:pPr>
    <w:rPr>
      <w:rFonts w:ascii="仿宋_GB2312" w:hAnsi="仿宋_GB2312" w:eastAsia="仿宋_GB2312" w:cs="仿宋_GB2312"/>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93454545454545"/>
          <c:y val="0.409620991253649"/>
          <c:w val="0.897018181818181"/>
          <c:h val="0.50478134110787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dLbl>
              <c:idx val="1"/>
              <c:layout>
                <c:manualLayout>
                  <c:x val="0.00169696969696971"/>
                  <c:y val="0.00816326530612246"/>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99.4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1029.22</c:v>
                </c:pt>
                <c:pt idx="1">
                  <c:v>716.19</c:v>
                </c:pt>
              </c:numCache>
            </c:numRef>
          </c:val>
        </c:ser>
        <c:dLbls>
          <c:showLegendKey val="0"/>
          <c:showVal val="1"/>
          <c:showCatName val="0"/>
          <c:showSerName val="0"/>
          <c:showPercent val="0"/>
          <c:showBubbleSize val="0"/>
        </c:dLbls>
        <c:gapWidth val="219"/>
        <c:overlap val="-27"/>
        <c:axId val="109230720"/>
        <c:axId val="109238912"/>
      </c:barChart>
      <c:catAx>
        <c:axId val="10923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238912"/>
        <c:crosses val="autoZero"/>
        <c:auto val="1"/>
        <c:lblAlgn val="ctr"/>
        <c:lblOffset val="100"/>
        <c:noMultiLvlLbl val="0"/>
      </c:catAx>
      <c:valAx>
        <c:axId val="109238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230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2018收入决算结构图</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一般公共预算财政拨款收入
</a:t>
                    </a:r>
                    <a:r>
                      <a:rPr lang="en-US" altLang="zh-CN"/>
                      <a:t>99.93%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
0.07</a:t>
                    </a:r>
                    <a:r>
                      <a:rPr lang="en-US" altLang="zh-CN"/>
                      <a:t>%</a:t>
                    </a:r>
                    <a:endParaRPr lang="en-US"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2"/>
                <c:pt idx="0">
                  <c:v>一般公共预算财政拨款收入</c:v>
                </c:pt>
                <c:pt idx="1">
                  <c:v>其他收入</c:v>
                </c:pt>
              </c:strCache>
            </c:strRef>
          </c:cat>
          <c:val>
            <c:numRef>
              <c:f>'Sheet1'!$B$2:$B$5</c:f>
              <c:numCache>
                <c:formatCode>General</c:formatCode>
                <c:ptCount val="4"/>
                <c:pt idx="0">
                  <c:v>79.39</c:v>
                </c:pt>
                <c:pt idx="1">
                  <c:v>0.05</c:v>
                </c:pt>
                <c:pt idx="3">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469387755102041"/>
          <c:y val="0.0772058823529413"/>
        </c:manualLayout>
      </c:layout>
      <c:overlay val="0"/>
      <c:spPr>
        <a:noFill/>
        <a:ln>
          <a:noFill/>
        </a:ln>
        <a:effectLst/>
      </c:spPr>
      <c:txPr>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394551841199491"/>
          <c:y val="0.186947952260684"/>
          <c:w val="0.939586732047716"/>
          <c:h val="0.687778438072601"/>
        </c:manualLayout>
      </c:layout>
      <c:pieChart>
        <c:varyColors val="1"/>
        <c:ser>
          <c:idx val="0"/>
          <c:order val="0"/>
          <c:tx>
            <c:strRef>
              <c:f>Sheet1!$B$1</c:f>
              <c:strCache>
                <c:ptCount val="1"/>
                <c:pt idx="0">
                  <c:v>2018年支出</c:v>
                </c:pt>
              </c:strCache>
            </c:strRef>
          </c:tx>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1"/>
              <c:layout/>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279.08</c:v>
                </c:pt>
                <c:pt idx="1">
                  <c:v>100.99</c:v>
                </c:pt>
              </c:numCache>
            </c:numRef>
          </c:val>
        </c:ser>
        <c:dLbls>
          <c:showLegendKey val="0"/>
          <c:showVal val="0"/>
          <c:showCatName val="1"/>
          <c:showSerName val="0"/>
          <c:showPercent val="0"/>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94551841199491"/>
          <c:y val="0.186947952260684"/>
          <c:w val="0.939586732047716"/>
          <c:h val="0.687778438072601"/>
        </c:manualLayout>
      </c:layout>
      <c:pieChart>
        <c:varyColors val="1"/>
        <c:dLbls>
          <c:showLegendKey val="0"/>
          <c:showVal val="0"/>
          <c:showCatName val="1"/>
          <c:showSerName val="0"/>
          <c:showPercent val="0"/>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469387755102041"/>
          <c:y val="0.0772058823529413"/>
        </c:manualLayout>
      </c:layout>
      <c:overlay val="0"/>
      <c:spPr>
        <a:noFill/>
        <a:ln>
          <a:noFill/>
        </a:ln>
        <a:effectLst/>
      </c:spPr>
      <c:txPr>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394551841199491"/>
          <c:y val="0.186947952260684"/>
          <c:w val="0.939586732047716"/>
          <c:h val="0.687778438072601"/>
        </c:manualLayout>
      </c:layout>
      <c:pieChart>
        <c:varyColors val="1"/>
        <c:ser>
          <c:idx val="0"/>
          <c:order val="0"/>
          <c:tx>
            <c:strRef>
              <c:f>Sheet1!$B$1</c:f>
              <c:strCache>
                <c:ptCount val="1"/>
                <c:pt idx="0">
                  <c:v>2018年支出</c:v>
                </c:pt>
              </c:strCache>
            </c:strRef>
          </c:tx>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1"/>
              <c:layout/>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279.08</c:v>
                </c:pt>
                <c:pt idx="1">
                  <c:v>100.99</c:v>
                </c:pt>
              </c:numCache>
            </c:numRef>
          </c:val>
        </c:ser>
        <c:dLbls>
          <c:showLegendKey val="0"/>
          <c:showVal val="0"/>
          <c:showCatName val="1"/>
          <c:showSerName val="0"/>
          <c:showPercent val="0"/>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2018年支出</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2018</a:t>
                    </a:r>
                    <a:r>
                      <a:rPr lang="zh-CN" altLang="en-US"/>
                      <a:t>年支出
基本支出</a:t>
                    </a:r>
                    <a:r>
                      <a:rPr lang="en-US" altLang="zh-CN"/>
                      <a:t>100%</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1"/>
                <c:pt idx="0">
                  <c:v>基本支出</c:v>
                </c:pt>
              </c:strCache>
            </c:strRef>
          </c:cat>
          <c:val>
            <c:numRef>
              <c:f>Sheet1!$B$2:$B$3</c:f>
              <c:numCache>
                <c:formatCode>General</c:formatCode>
                <c:ptCount val="2"/>
                <c:pt idx="0">
                  <c:v>279.08</c:v>
                </c:pt>
                <c:pt idx="1">
                  <c:v>100.99</c:v>
                </c:pt>
              </c:numCache>
            </c:numRef>
          </c:val>
        </c:ser>
        <c:dLbls>
          <c:showLegendKey val="0"/>
          <c:showVal val="0"/>
          <c:showCatName val="0"/>
          <c:showSerName val="0"/>
          <c:showPercent val="1"/>
          <c:showBubbleSize val="0"/>
          <c:showLeaderLines val="1"/>
        </c:dLbls>
        <c:firstSliceAng val="15"/>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Lbl>
              <c:idx val="0"/>
              <c:delete val="1"/>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99.48</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2017</c:v>
                </c:pt>
                <c:pt idx="2">
                  <c:v>2018</c:v>
                </c:pt>
              </c:numCache>
            </c:numRef>
          </c:cat>
          <c:val>
            <c:numRef>
              <c:f>Sheet1!$B$2:$B$5</c:f>
              <c:numCache>
                <c:formatCode>General</c:formatCode>
                <c:ptCount val="4"/>
                <c:pt idx="1">
                  <c:v>51.5</c:v>
                </c:pt>
                <c:pt idx="2">
                  <c:v>99.48</c:v>
                </c:pt>
              </c:numCache>
            </c:numRef>
          </c:val>
        </c:ser>
        <c:ser>
          <c:idx val="1"/>
          <c:order val="1"/>
          <c:tx>
            <c:strRef>
              <c:f>Sheet1!$C$1</c:f>
              <c:strCache>
                <c:ptCount val="1"/>
                <c:pt idx="0">
                  <c:v>支出</c:v>
                </c:pt>
              </c:strCache>
            </c:strRef>
          </c:tx>
          <c:invertIfNegative val="0"/>
          <c:dLbls>
            <c:dLbl>
              <c:idx val="0"/>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2017</c:v>
                </c:pt>
                <c:pt idx="2">
                  <c:v>2018</c:v>
                </c:pt>
              </c:numCache>
            </c:numRef>
          </c:cat>
          <c:val>
            <c:numRef>
              <c:f>Sheet1!$C$2:$C$5</c:f>
              <c:numCache>
                <c:formatCode>General</c:formatCode>
                <c:ptCount val="4"/>
                <c:pt idx="1">
                  <c:v>51.46</c:v>
                </c:pt>
                <c:pt idx="2">
                  <c:v>99.49</c:v>
                </c:pt>
              </c:numCache>
            </c:numRef>
          </c:val>
        </c:ser>
        <c:ser>
          <c:idx val="2"/>
          <c:order val="2"/>
          <c:tx>
            <c:strRef>
              <c:f>Sheet1!$D$1</c:f>
              <c:strCache>
                <c:ptCount val="1"/>
                <c:pt idx="0">
                  <c:v>列1</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2017</c:v>
                </c:pt>
                <c:pt idx="2">
                  <c:v>2018</c:v>
                </c:pt>
              </c:numCache>
            </c:numRef>
          </c:cat>
          <c:val>
            <c:numRef>
              <c:f>Sheet1!$D$2:$D$5</c:f>
              <c:numCache>
                <c:formatCode>General</c:formatCode>
                <c:ptCount val="4"/>
              </c:numCache>
            </c:numRef>
          </c:val>
        </c:ser>
        <c:dLbls>
          <c:showLegendKey val="0"/>
          <c:showVal val="1"/>
          <c:showCatName val="0"/>
          <c:showSerName val="0"/>
          <c:showPercent val="0"/>
          <c:showBubbleSize val="0"/>
        </c:dLbls>
        <c:gapWidth val="75"/>
        <c:axId val="133523328"/>
        <c:axId val="134484352"/>
      </c:barChart>
      <c:catAx>
        <c:axId val="13352332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484352"/>
        <c:crosses val="autoZero"/>
        <c:auto val="1"/>
        <c:lblAlgn val="ctr"/>
        <c:lblOffset val="100"/>
        <c:noMultiLvlLbl val="0"/>
      </c:catAx>
      <c:valAx>
        <c:axId val="13448435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523328"/>
        <c:crosses val="autoZero"/>
        <c:crossBetween val="between"/>
      </c:valAx>
    </c:plotArea>
    <c:legend>
      <c:legendPos val="b"/>
      <c:legendEntry>
        <c:idx val="2"/>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2017</c:v>
                </c:pt>
                <c:pt idx="2">
                  <c:v>2018</c:v>
                </c:pt>
              </c:numCache>
            </c:numRef>
          </c:cat>
          <c:val>
            <c:numRef>
              <c:f>'Sheet1'!$B$2:$B$5</c:f>
              <c:numCache>
                <c:formatCode>General</c:formatCode>
                <c:ptCount val="4"/>
                <c:pt idx="1">
                  <c:v>51.46</c:v>
                </c:pt>
                <c:pt idx="2">
                  <c:v>76.53</c:v>
                </c:pt>
              </c:numCache>
            </c:numRef>
          </c:val>
        </c:ser>
        <c:ser>
          <c:idx val="1"/>
          <c:order val="1"/>
          <c:tx>
            <c:strRef>
              <c:f>'Sheet1'!$C$1</c:f>
              <c:strCache>
                <c:ptCount val="1"/>
                <c:pt idx="0">
                  <c:v>列2</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2017</c:v>
                </c:pt>
                <c:pt idx="2">
                  <c:v>2018</c:v>
                </c:pt>
              </c:numCache>
            </c:numRef>
          </c:cat>
          <c:val>
            <c:numRef>
              <c:f>'Sheet1'!$C$2:$C$5</c:f>
              <c:numCache>
                <c:formatCode>General</c:formatCode>
                <c:ptCount val="4"/>
              </c:numCache>
            </c:numRef>
          </c:val>
        </c:ser>
        <c:ser>
          <c:idx val="2"/>
          <c:order val="2"/>
          <c:tx>
            <c:strRef>
              <c:f>'Sheet1'!$D$1</c:f>
              <c:strCache>
                <c:ptCount val="1"/>
                <c:pt idx="0">
                  <c:v>列1</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1">
                  <c:v>2017</c:v>
                </c:pt>
                <c:pt idx="2">
                  <c:v>2018</c:v>
                </c:pt>
              </c:numCache>
            </c:numRef>
          </c:cat>
          <c:val>
            <c:numRef>
              <c:f>'Sheet1'!$D$2:$D$5</c:f>
              <c:numCache>
                <c:formatCode>General</c:formatCode>
                <c:ptCount val="4"/>
              </c:numCache>
            </c:numRef>
          </c:val>
        </c:ser>
        <c:dLbls>
          <c:showLegendKey val="0"/>
          <c:showVal val="1"/>
          <c:showCatName val="0"/>
          <c:showSerName val="0"/>
          <c:showPercent val="0"/>
          <c:showBubbleSize val="0"/>
        </c:dLbls>
        <c:gapWidth val="75"/>
        <c:axId val="133553152"/>
        <c:axId val="134517504"/>
      </c:barChart>
      <c:catAx>
        <c:axId val="13355315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517504"/>
        <c:crosses val="autoZero"/>
        <c:auto val="1"/>
        <c:lblAlgn val="ctr"/>
        <c:lblOffset val="100"/>
        <c:noMultiLvlLbl val="0"/>
      </c:catAx>
      <c:valAx>
        <c:axId val="13451750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553152"/>
        <c:crosses val="autoZero"/>
        <c:crossBetween val="between"/>
      </c:valAx>
    </c:plotArea>
    <c:legend>
      <c:legendPos val="b"/>
      <c:legendEntry>
        <c:idx val="1"/>
        <c:delete val="1"/>
      </c:legendEntry>
      <c:legendEntry>
        <c:idx val="2"/>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0567465321563684"/>
          <c:y val="0.0181159420289855"/>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0505446276970738"/>
          <c:y val="0.152363726273346"/>
          <c:w val="0.947026246087166"/>
          <c:h val="0.702476292630605"/>
        </c:manualLayout>
      </c:layout>
      <c:pieChart>
        <c:varyColors val="1"/>
        <c:ser>
          <c:idx val="0"/>
          <c:order val="0"/>
          <c:tx>
            <c:strRef>
              <c:f>Sheet1!$B$1</c:f>
              <c:strCache>
                <c:ptCount val="1"/>
                <c:pt idx="0">
                  <c:v>一般公共预算财政拨款支出</c:v>
                </c:pt>
              </c:strCache>
            </c:strRef>
          </c:tx>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一般公共服务类</c:v>
                </c:pt>
                <c:pt idx="1">
                  <c:v>社会保障和就业类</c:v>
                </c:pt>
                <c:pt idx="2">
                  <c:v>医疗卫生支出</c:v>
                </c:pt>
                <c:pt idx="3">
                  <c:v>住房保障支出</c:v>
                </c:pt>
              </c:strCache>
            </c:strRef>
          </c:cat>
          <c:val>
            <c:numRef>
              <c:f>Sheet1!$B$2:$B$5</c:f>
              <c:numCache>
                <c:formatCode>General</c:formatCode>
                <c:ptCount val="4"/>
                <c:pt idx="0">
                  <c:v>76.53</c:v>
                </c:pt>
                <c:pt idx="1">
                  <c:v>12.92</c:v>
                </c:pt>
                <c:pt idx="2">
                  <c:v>8.15</c:v>
                </c:pt>
                <c:pt idx="3">
                  <c:v>6.77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0" y="0"/>
          <a:ext cx="33147000" cy="19850100"/>
        </a:xfrm>
        <a:prstGeom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0" y="0"/>
          <a:ext cx="33147000" cy="19850100"/>
        </a:xfrm>
        <a:prstGeom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0" y="0"/>
          <a:ext cx="33147000" cy="19850100"/>
        </a:xfrm>
        <a:prstGeom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2DE97-8A51-493B-86EA-E4B037877C3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1311</Words>
  <Characters>7473</Characters>
  <Lines>62</Lines>
  <Paragraphs>17</Paragraphs>
  <TotalTime>897</TotalTime>
  <ScaleCrop>false</ScaleCrop>
  <LinksUpToDate>false</LinksUpToDate>
  <CharactersWithSpaces>8767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2019-10-21T11:55:00Z</dcterms:created>
  <dc:creator>张彬茜</dc:creator>
  <cp:lastModifiedBy>陶淑群</cp:lastModifiedBy>
  <cp:lastPrinted>2019-08-01T00:48:00Z</cp:lastPrinted>
  <dcterms:modified xsi:type="dcterms:W3CDTF">2019-10-31T02:45:12Z</dcterms:modified>
  <dc:title>四川省***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