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方正小标宋简体" w:hAnsi="宋体" w:eastAsia="方正小标宋简体"/>
          <w:color w:val="000000"/>
          <w:sz w:val="72"/>
          <w:szCs w:val="72"/>
        </w:rPr>
      </w:pPr>
      <w:bookmarkStart w:id="143" w:name="_GoBack"/>
      <w:bookmarkStart w:id="0" w:name="_Toc15306267"/>
    </w:p>
    <w:p>
      <w:pPr>
        <w:spacing w:line="600" w:lineRule="exact"/>
        <w:jc w:val="center"/>
        <w:outlineLvl w:val="0"/>
        <w:rPr>
          <w:rFonts w:ascii="方正小标宋简体" w:hAnsi="宋体" w:eastAsia="方正小标宋简体"/>
          <w:color w:val="000000"/>
          <w:sz w:val="72"/>
          <w:szCs w:val="72"/>
        </w:rPr>
      </w:pPr>
    </w:p>
    <w:p>
      <w:pPr>
        <w:spacing w:line="600" w:lineRule="exact"/>
        <w:jc w:val="center"/>
        <w:outlineLvl w:val="0"/>
        <w:rPr>
          <w:rFonts w:ascii="方正小标宋简体" w:hAnsi="宋体" w:eastAsia="方正小标宋简体"/>
          <w:color w:val="000000"/>
          <w:sz w:val="72"/>
          <w:szCs w:val="72"/>
        </w:rPr>
      </w:pPr>
    </w:p>
    <w:bookmarkEnd w:id="0"/>
    <w:p>
      <w:pPr>
        <w:pStyle w:val="6"/>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阿坝州壤塘县</w:t>
      </w:r>
    </w:p>
    <w:p>
      <w:pPr>
        <w:pStyle w:val="6"/>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2025年度壤塘县三郎寺寺庙管理委员会</w:t>
      </w:r>
    </w:p>
    <w:p>
      <w:pPr>
        <w:pStyle w:val="6"/>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部门决算公开</w:t>
      </w:r>
    </w:p>
    <w:p>
      <w:pPr>
        <w:jc w:val="center"/>
        <w:rPr>
          <w:rFonts w:ascii="方正小标宋简体" w:eastAsia="方正小标宋简体"/>
          <w:sz w:val="72"/>
          <w:szCs w:val="72"/>
        </w:rPr>
      </w:pPr>
    </w:p>
    <w:p>
      <w:pPr>
        <w:widowControl/>
        <w:jc w:val="center"/>
        <w:rPr>
          <w:rFonts w:ascii="方正小标宋简体" w:hAnsi="宋体" w:eastAsia="方正小标宋简体"/>
          <w:color w:val="000000"/>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pStyle w:val="19"/>
        <w:rPr>
          <w:rFonts w:ascii="方正小标宋简体" w:hAnsi="宋体" w:eastAsia="方正小标宋简体"/>
          <w:sz w:val="36"/>
          <w:szCs w:val="36"/>
        </w:rPr>
      </w:pPr>
    </w:p>
    <w:p>
      <w:pPr>
        <w:rPr>
          <w:rFonts w:ascii="方正小标宋简体" w:hAnsi="宋体" w:eastAsia="方正小标宋简体"/>
          <w:sz w:val="36"/>
          <w:szCs w:val="36"/>
        </w:rPr>
      </w:pPr>
    </w:p>
    <w:p>
      <w:pPr>
        <w:pStyle w:val="19"/>
        <w:rPr>
          <w:rFonts w:ascii="方正小标宋简体" w:hAnsi="宋体" w:eastAsia="方正小标宋简体"/>
          <w:sz w:val="36"/>
          <w:szCs w:val="36"/>
        </w:rPr>
      </w:pPr>
    </w:p>
    <w:p/>
    <w:p>
      <w:pPr>
        <w:rPr>
          <w:rFonts w:ascii="方正小标宋简体" w:hAnsi="宋体" w:eastAsia="方正小标宋简体"/>
          <w:sz w:val="36"/>
          <w:szCs w:val="36"/>
        </w:rPr>
      </w:pPr>
    </w:p>
    <w:p>
      <w:pPr>
        <w:widowControl/>
        <w:jc w:val="center"/>
        <w:rPr>
          <w:rFonts w:hint="eastAsia" w:ascii="方正小标宋简体" w:hAnsi="宋体" w:eastAsia="方正小标宋简体"/>
          <w:color w:val="000000"/>
          <w:sz w:val="36"/>
          <w:szCs w:val="36"/>
          <w:lang w:val="en-US" w:eastAsia="zh-CN"/>
        </w:rPr>
      </w:pPr>
      <w:r>
        <w:rPr>
          <w:rFonts w:hint="eastAsia" w:ascii="方正小标宋简体" w:hAnsi="宋体" w:eastAsia="方正小标宋简体"/>
          <w:color w:val="000000"/>
          <w:sz w:val="36"/>
          <w:szCs w:val="36"/>
          <w:lang w:val="en-US" w:eastAsia="zh-CN"/>
        </w:rPr>
        <w:t xml:space="preserve"> </w:t>
      </w:r>
    </w:p>
    <w:p>
      <w:pPr>
        <w:pStyle w:val="19"/>
        <w:rPr>
          <w:rFonts w:hint="eastAsia" w:ascii="方正小标宋简体" w:hAnsi="宋体" w:eastAsia="方正小标宋简体"/>
          <w:color w:val="000000"/>
          <w:sz w:val="36"/>
          <w:szCs w:val="36"/>
          <w:lang w:val="en-US" w:eastAsia="zh-CN"/>
        </w:rPr>
      </w:pPr>
    </w:p>
    <w:p>
      <w:pPr>
        <w:rPr>
          <w:rFonts w:hint="eastAsia" w:ascii="方正小标宋简体" w:hAnsi="宋体" w:eastAsia="方正小标宋简体"/>
          <w:color w:val="000000"/>
          <w:sz w:val="36"/>
          <w:szCs w:val="36"/>
          <w:lang w:val="en-US" w:eastAsia="zh-CN"/>
        </w:rPr>
      </w:pPr>
    </w:p>
    <w:p>
      <w:pPr>
        <w:pStyle w:val="19"/>
        <w:rPr>
          <w:rFonts w:hint="eastAsia"/>
          <w:lang w:val="en-US" w:eastAsia="zh-CN"/>
        </w:rPr>
      </w:pPr>
    </w:p>
    <w:p>
      <w:pPr>
        <w:widowControl/>
        <w:jc w:val="center"/>
        <w:rPr>
          <w:rFonts w:ascii="黑体" w:hAnsi="黑体" w:eastAsia="黑体"/>
          <w:color w:val="000000"/>
          <w:sz w:val="48"/>
          <w:szCs w:val="48"/>
        </w:rPr>
      </w:pPr>
      <w:r>
        <w:rPr>
          <w:rFonts w:hint="eastAsia" w:ascii="黑体" w:hAnsi="黑体" w:eastAsia="黑体"/>
          <w:color w:val="000000"/>
          <w:sz w:val="48"/>
          <w:szCs w:val="48"/>
        </w:rPr>
        <w:t>目录</w:t>
      </w:r>
    </w:p>
    <w:p>
      <w:pPr>
        <w:pStyle w:val="15"/>
        <w:jc w:val="center"/>
        <w:rPr>
          <w:rFonts w:hAnsiTheme="minorHAnsi"/>
          <w:b w:val="0"/>
          <w:bCs w:val="0"/>
          <w:sz w:val="24"/>
          <w:szCs w:val="24"/>
        </w:rPr>
      </w:pPr>
      <w:r>
        <w:rPr>
          <w:rFonts w:hint="eastAsia" w:hAnsiTheme="minorHAnsi"/>
          <w:b w:val="0"/>
          <w:bCs w:val="0"/>
          <w:sz w:val="24"/>
          <w:szCs w:val="24"/>
        </w:rPr>
        <w:t>公开时间：202</w:t>
      </w:r>
      <w:r>
        <w:rPr>
          <w:rFonts w:hint="eastAsia" w:hAnsiTheme="minorHAnsi"/>
          <w:b w:val="0"/>
          <w:bCs w:val="0"/>
          <w:sz w:val="24"/>
          <w:szCs w:val="24"/>
          <w:lang w:val="en-US" w:eastAsia="zh-CN"/>
        </w:rPr>
        <w:t>6</w:t>
      </w:r>
      <w:r>
        <w:rPr>
          <w:rFonts w:hint="eastAsia" w:hAnsiTheme="minorHAnsi"/>
          <w:b w:val="0"/>
          <w:bCs w:val="0"/>
          <w:sz w:val="24"/>
          <w:szCs w:val="24"/>
        </w:rPr>
        <w:t>年</w:t>
      </w:r>
      <w:r>
        <w:rPr>
          <w:rFonts w:hint="eastAsia" w:hAnsiTheme="minorHAnsi"/>
          <w:b w:val="0"/>
          <w:bCs w:val="0"/>
          <w:sz w:val="24"/>
          <w:szCs w:val="24"/>
          <w:lang w:val="en-US" w:eastAsia="zh-CN"/>
        </w:rPr>
        <w:t>10</w:t>
      </w:r>
      <w:r>
        <w:rPr>
          <w:rFonts w:hint="eastAsia" w:hAnsiTheme="minorHAnsi"/>
          <w:b w:val="0"/>
          <w:bCs w:val="0"/>
          <w:sz w:val="24"/>
          <w:szCs w:val="24"/>
        </w:rPr>
        <w:t>月</w:t>
      </w:r>
      <w:r>
        <w:rPr>
          <w:rFonts w:hint="eastAsia" w:hAnsiTheme="minorHAnsi"/>
          <w:b w:val="0"/>
          <w:bCs w:val="0"/>
          <w:sz w:val="24"/>
          <w:szCs w:val="24"/>
          <w:lang w:val="en-US" w:eastAsia="zh-CN"/>
        </w:rPr>
        <w:t>27</w:t>
      </w:r>
      <w:r>
        <w:rPr>
          <w:rFonts w:hint="eastAsia" w:hAnsiTheme="minorHAnsi"/>
          <w:b w:val="0"/>
          <w:bCs w:val="0"/>
          <w:sz w:val="24"/>
          <w:szCs w:val="24"/>
        </w:rPr>
        <w:t>日</w:t>
      </w:r>
    </w:p>
    <w:p>
      <w:pPr>
        <w:pStyle w:val="15"/>
        <w:tabs>
          <w:tab w:val="right" w:leader="dot" w:pos="8306"/>
        </w:tabs>
      </w:pPr>
      <w:r>
        <w:rPr>
          <w:b w:val="0"/>
          <w:bCs w:val="0"/>
          <w:caps w:val="0"/>
        </w:rPr>
        <w:fldChar w:fldCharType="begin"/>
      </w:r>
      <w:r>
        <w:rPr>
          <w:b w:val="0"/>
          <w:bCs w:val="0"/>
          <w:caps w:val="0"/>
        </w:rPr>
        <w:instrText xml:space="preserve"> TOC \o \u </w:instrText>
      </w:r>
      <w:r>
        <w:rPr>
          <w:b w:val="0"/>
          <w:bCs w:val="0"/>
          <w:caps w:val="0"/>
        </w:rPr>
        <w:fldChar w:fldCharType="separate"/>
      </w:r>
      <w:r>
        <w:rPr>
          <w:rFonts w:hint="eastAsia" w:ascii="黑体" w:hAnsi="黑体" w:eastAsia="黑体"/>
        </w:rPr>
        <w:t>第一部分</w:t>
      </w:r>
      <w:r>
        <w:rPr>
          <w:rFonts w:ascii="黑体" w:hAnsi="黑体" w:eastAsia="黑体"/>
        </w:rPr>
        <w:t xml:space="preserve"> </w:t>
      </w:r>
      <w:r>
        <w:rPr>
          <w:rFonts w:hint="eastAsia" w:ascii="黑体" w:hAnsi="黑体" w:eastAsia="黑体"/>
          <w:bCs w:val="0"/>
        </w:rPr>
        <w:t>部门概况</w:t>
      </w:r>
      <w:r>
        <w:tab/>
      </w:r>
      <w:r>
        <w:fldChar w:fldCharType="begin"/>
      </w:r>
      <w:r>
        <w:instrText xml:space="preserve"> PAGEREF _Toc29378 \h </w:instrText>
      </w:r>
      <w:r>
        <w:fldChar w:fldCharType="separate"/>
      </w:r>
      <w:r>
        <w:t>1</w:t>
      </w:r>
      <w:r>
        <w:fldChar w:fldCharType="end"/>
      </w:r>
    </w:p>
    <w:p>
      <w:pPr>
        <w:pStyle w:val="20"/>
        <w:tabs>
          <w:tab w:val="right" w:leader="dot" w:pos="8306"/>
        </w:tabs>
      </w:pPr>
      <w:r>
        <w:rPr>
          <w:rFonts w:hint="eastAsia" w:ascii="黑体" w:hAnsi="黑体" w:eastAsia="黑体"/>
          <w:bCs w:val="0"/>
          <w:lang w:val="en-US" w:eastAsia="zh-CN"/>
        </w:rPr>
        <w:t>一、 部门职责</w:t>
      </w:r>
      <w:r>
        <w:tab/>
      </w:r>
      <w:r>
        <w:fldChar w:fldCharType="begin"/>
      </w:r>
      <w:r>
        <w:instrText xml:space="preserve"> PAGEREF _Toc21186 \h </w:instrText>
      </w:r>
      <w:r>
        <w:fldChar w:fldCharType="separate"/>
      </w:r>
      <w:r>
        <w:t>1</w:t>
      </w:r>
      <w:r>
        <w:fldChar w:fldCharType="end"/>
      </w:r>
    </w:p>
    <w:p>
      <w:pPr>
        <w:pStyle w:val="20"/>
        <w:tabs>
          <w:tab w:val="right" w:leader="dot" w:pos="8306"/>
        </w:tabs>
      </w:pPr>
      <w:r>
        <w:rPr>
          <w:rFonts w:hint="eastAsia" w:ascii="黑体" w:eastAsia="黑体"/>
          <w:color w:val="000000"/>
        </w:rPr>
        <w:t>二、</w:t>
      </w:r>
      <w:r>
        <w:rPr>
          <w:rFonts w:hint="eastAsia" w:ascii="黑体" w:hAnsi="黑体" w:eastAsia="黑体"/>
          <w:color w:val="000000"/>
        </w:rPr>
        <w:t>机</w:t>
      </w:r>
      <w:r>
        <w:rPr>
          <w:rFonts w:hint="eastAsia" w:ascii="黑体" w:hAnsi="黑体" w:eastAsia="黑体"/>
          <w:bCs w:val="0"/>
        </w:rPr>
        <w:t>构设置</w:t>
      </w:r>
      <w:r>
        <w:tab/>
      </w:r>
      <w:r>
        <w:fldChar w:fldCharType="begin"/>
      </w:r>
      <w:r>
        <w:instrText xml:space="preserve"> PAGEREF _Toc19752 \h </w:instrText>
      </w:r>
      <w:r>
        <w:fldChar w:fldCharType="separate"/>
      </w:r>
      <w:r>
        <w:t>1</w:t>
      </w:r>
      <w:r>
        <w:fldChar w:fldCharType="end"/>
      </w:r>
    </w:p>
    <w:p>
      <w:pPr>
        <w:pStyle w:val="15"/>
        <w:tabs>
          <w:tab w:val="right" w:leader="dot" w:pos="8306"/>
        </w:tabs>
      </w:pPr>
      <w:r>
        <w:rPr>
          <w:rFonts w:hint="eastAsia" w:ascii="黑体" w:hAnsi="黑体" w:eastAsia="黑体"/>
          <w:color w:val="000000"/>
        </w:rPr>
        <w:t>第二部分</w:t>
      </w:r>
      <w:r>
        <w:rPr>
          <w:rFonts w:ascii="黑体" w:hAnsi="黑体" w:eastAsia="黑体"/>
          <w:color w:val="000000"/>
        </w:rPr>
        <w:t xml:space="preserve"> </w:t>
      </w:r>
      <w:r>
        <w:rPr>
          <w:rFonts w:hint="eastAsia" w:ascii="黑体" w:hAnsi="黑体" w:eastAsia="黑体"/>
          <w:bCs w:val="0"/>
          <w:lang w:eastAsia="zh-CN"/>
        </w:rPr>
        <w:t>2025年</w:t>
      </w:r>
      <w:r>
        <w:rPr>
          <w:rFonts w:hint="eastAsia" w:ascii="黑体" w:hAnsi="黑体" w:eastAsia="黑体"/>
          <w:bCs w:val="0"/>
        </w:rPr>
        <w:t>度部门决算情况说明</w:t>
      </w:r>
      <w:r>
        <w:tab/>
      </w:r>
      <w:r>
        <w:fldChar w:fldCharType="begin"/>
      </w:r>
      <w:r>
        <w:instrText xml:space="preserve"> PAGEREF _Toc23287 \h </w:instrText>
      </w:r>
      <w:r>
        <w:fldChar w:fldCharType="separate"/>
      </w:r>
      <w:r>
        <w:t>2</w:t>
      </w:r>
      <w:r>
        <w:fldChar w:fldCharType="end"/>
      </w:r>
    </w:p>
    <w:p>
      <w:pPr>
        <w:pStyle w:val="20"/>
        <w:tabs>
          <w:tab w:val="right" w:leader="dot" w:pos="8306"/>
        </w:tabs>
      </w:pPr>
      <w:r>
        <w:rPr>
          <w:rFonts w:hint="eastAsia" w:ascii="黑体" w:hAnsi="黑体" w:eastAsia="黑体" w:cs="黑体"/>
          <w:lang w:val="en-US" w:eastAsia="zh-CN"/>
        </w:rPr>
        <w:t>一、收入支出决算总体情况说明</w:t>
      </w:r>
      <w:r>
        <w:tab/>
      </w:r>
      <w:r>
        <w:fldChar w:fldCharType="begin"/>
      </w:r>
      <w:r>
        <w:instrText xml:space="preserve"> PAGEREF _Toc5625 \h </w:instrText>
      </w:r>
      <w:r>
        <w:fldChar w:fldCharType="separate"/>
      </w:r>
      <w:r>
        <w:t>2</w:t>
      </w:r>
      <w:r>
        <w:fldChar w:fldCharType="end"/>
      </w:r>
    </w:p>
    <w:p>
      <w:pPr>
        <w:pStyle w:val="20"/>
        <w:tabs>
          <w:tab w:val="right" w:leader="dot" w:pos="8306"/>
        </w:tabs>
      </w:pPr>
      <w:r>
        <w:rPr>
          <w:rFonts w:hint="eastAsia" w:ascii="黑体" w:hAnsi="黑体" w:eastAsia="黑体" w:cs="Times New Roman"/>
          <w:bCs w:val="0"/>
          <w:color w:val="000000"/>
          <w:kern w:val="2"/>
          <w:szCs w:val="32"/>
          <w:lang w:val="en-US" w:eastAsia="zh-CN" w:bidi="ar-SA"/>
        </w:rPr>
        <w:t>二、收入决算情况说明</w:t>
      </w:r>
      <w:r>
        <w:tab/>
      </w:r>
      <w:r>
        <w:fldChar w:fldCharType="begin"/>
      </w:r>
      <w:r>
        <w:instrText xml:space="preserve"> PAGEREF _Toc25939 \h </w:instrText>
      </w:r>
      <w:r>
        <w:fldChar w:fldCharType="separate"/>
      </w:r>
      <w:r>
        <w:t>2</w:t>
      </w:r>
      <w:r>
        <w:fldChar w:fldCharType="end"/>
      </w:r>
    </w:p>
    <w:p>
      <w:pPr>
        <w:pStyle w:val="20"/>
        <w:tabs>
          <w:tab w:val="right" w:leader="dot" w:pos="8306"/>
        </w:tabs>
      </w:pPr>
      <w:r>
        <w:rPr>
          <w:rFonts w:hint="eastAsia" w:ascii="黑体" w:hAnsi="黑体" w:eastAsia="黑体" w:cs="Times New Roman"/>
          <w:bCs w:val="0"/>
          <w:color w:val="000000"/>
          <w:kern w:val="2"/>
          <w:szCs w:val="32"/>
          <w:lang w:val="en-US" w:eastAsia="zh-CN" w:bidi="ar-SA"/>
        </w:rPr>
        <w:t>三、支出决算情况说</w:t>
      </w:r>
      <w:r>
        <w:rPr>
          <w:rFonts w:hint="eastAsia"/>
          <w:lang w:val="en-US" w:eastAsia="zh-CN"/>
        </w:rPr>
        <w:t>明</w:t>
      </w:r>
      <w:r>
        <w:tab/>
      </w:r>
      <w:r>
        <w:fldChar w:fldCharType="begin"/>
      </w:r>
      <w:r>
        <w:instrText xml:space="preserve"> PAGEREF _Toc11538 \h </w:instrText>
      </w:r>
      <w:r>
        <w:fldChar w:fldCharType="separate"/>
      </w:r>
      <w:r>
        <w:t>3</w:t>
      </w:r>
      <w:r>
        <w:fldChar w:fldCharType="end"/>
      </w:r>
    </w:p>
    <w:p>
      <w:pPr>
        <w:pStyle w:val="20"/>
        <w:tabs>
          <w:tab w:val="right" w:leader="dot" w:pos="8306"/>
        </w:tabs>
      </w:pPr>
      <w:r>
        <w:rPr>
          <w:rFonts w:hint="eastAsia" w:ascii="黑体" w:hAnsi="黑体" w:eastAsia="黑体"/>
          <w:color w:val="000000"/>
          <w:szCs w:val="32"/>
        </w:rPr>
        <w:t>四、财</w:t>
      </w:r>
      <w:r>
        <w:rPr>
          <w:rFonts w:hint="eastAsia" w:ascii="黑体" w:hAnsi="黑体" w:eastAsia="黑体"/>
        </w:rPr>
        <w:t>政拨款收入支出决算总体情况说明</w:t>
      </w:r>
      <w:r>
        <w:tab/>
      </w:r>
      <w:r>
        <w:fldChar w:fldCharType="begin"/>
      </w:r>
      <w:r>
        <w:instrText xml:space="preserve"> PAGEREF _Toc20383 \h </w:instrText>
      </w:r>
      <w:r>
        <w:fldChar w:fldCharType="separate"/>
      </w:r>
      <w:r>
        <w:t>3</w:t>
      </w:r>
      <w:r>
        <w:fldChar w:fldCharType="end"/>
      </w:r>
    </w:p>
    <w:p>
      <w:pPr>
        <w:pStyle w:val="20"/>
        <w:tabs>
          <w:tab w:val="right" w:leader="dot" w:pos="8306"/>
        </w:tabs>
      </w:pPr>
      <w:r>
        <w:rPr>
          <w:rFonts w:hint="eastAsia" w:ascii="黑体" w:hAnsi="黑体" w:eastAsia="黑体"/>
          <w:color w:val="000000"/>
          <w:szCs w:val="32"/>
        </w:rPr>
        <w:t>五、一</w:t>
      </w:r>
      <w:r>
        <w:rPr>
          <w:rFonts w:hint="eastAsia" w:ascii="黑体" w:hAnsi="黑体" w:eastAsia="黑体"/>
        </w:rPr>
        <w:t>般公共预算财政拨款支出决算情况说明</w:t>
      </w:r>
      <w:r>
        <w:tab/>
      </w:r>
      <w:r>
        <w:fldChar w:fldCharType="begin"/>
      </w:r>
      <w:r>
        <w:instrText xml:space="preserve"> PAGEREF _Toc26894 \h </w:instrText>
      </w:r>
      <w:r>
        <w:fldChar w:fldCharType="separate"/>
      </w:r>
      <w:r>
        <w:t>4</w:t>
      </w:r>
      <w:r>
        <w:fldChar w:fldCharType="end"/>
      </w:r>
    </w:p>
    <w:p>
      <w:pPr>
        <w:pStyle w:val="20"/>
        <w:tabs>
          <w:tab w:val="right" w:leader="dot" w:pos="8306"/>
        </w:tabs>
      </w:pPr>
      <w:r>
        <w:rPr>
          <w:rFonts w:hint="eastAsia" w:ascii="黑体" w:eastAsia="黑体"/>
          <w:color w:val="000000"/>
          <w:szCs w:val="32"/>
        </w:rPr>
        <w:t>六、</w:t>
      </w:r>
      <w:r>
        <w:rPr>
          <w:rFonts w:hint="eastAsia" w:ascii="黑体" w:hAnsi="黑体" w:eastAsia="黑体"/>
          <w:color w:val="000000"/>
          <w:szCs w:val="32"/>
        </w:rPr>
        <w:t>一</w:t>
      </w:r>
      <w:r>
        <w:rPr>
          <w:rFonts w:hint="eastAsia" w:ascii="黑体" w:hAnsi="黑体" w:eastAsia="黑体"/>
        </w:rPr>
        <w:t>般公共预算财政拨款基本支出决算情况说明</w:t>
      </w:r>
      <w:r>
        <w:tab/>
      </w:r>
      <w:r>
        <w:fldChar w:fldCharType="begin"/>
      </w:r>
      <w:r>
        <w:instrText xml:space="preserve"> PAGEREF _Toc7382 \h </w:instrText>
      </w:r>
      <w:r>
        <w:fldChar w:fldCharType="separate"/>
      </w:r>
      <w:r>
        <w:t>6</w:t>
      </w:r>
      <w:r>
        <w:fldChar w:fldCharType="end"/>
      </w:r>
    </w:p>
    <w:p>
      <w:pPr>
        <w:pStyle w:val="20"/>
        <w:tabs>
          <w:tab w:val="right" w:leader="dot" w:pos="8306"/>
        </w:tabs>
      </w:pPr>
      <w:r>
        <w:rPr>
          <w:rFonts w:hint="eastAsia" w:ascii="黑体" w:eastAsia="黑体"/>
          <w:color w:val="000000"/>
          <w:szCs w:val="32"/>
        </w:rPr>
        <w:t>七、</w:t>
      </w:r>
      <w:r>
        <w:rPr>
          <w:rFonts w:hint="eastAsia" w:ascii="黑体" w:hAnsi="黑体" w:eastAsia="黑体"/>
        </w:rPr>
        <w:t>“三公”经费财政拨款支出决算情况说明</w:t>
      </w:r>
      <w:r>
        <w:tab/>
      </w:r>
      <w:r>
        <w:fldChar w:fldCharType="begin"/>
      </w:r>
      <w:r>
        <w:instrText xml:space="preserve"> PAGEREF _Toc8807 \h </w:instrText>
      </w:r>
      <w:r>
        <w:fldChar w:fldCharType="separate"/>
      </w:r>
      <w:r>
        <w:t>7</w:t>
      </w:r>
      <w:r>
        <w:fldChar w:fldCharType="end"/>
      </w:r>
    </w:p>
    <w:p>
      <w:pPr>
        <w:pStyle w:val="20"/>
        <w:tabs>
          <w:tab w:val="right" w:leader="dot" w:pos="8306"/>
        </w:tabs>
      </w:pPr>
      <w:r>
        <w:rPr>
          <w:rFonts w:hint="eastAsia" w:ascii="黑体" w:eastAsia="黑体"/>
          <w:color w:val="000000"/>
          <w:szCs w:val="32"/>
        </w:rPr>
        <w:t>八、</w:t>
      </w:r>
      <w:r>
        <w:rPr>
          <w:rFonts w:hint="eastAsia" w:ascii="黑体" w:hAnsi="黑体" w:eastAsia="黑体"/>
        </w:rPr>
        <w:t>政府性基金预算支出决算情况说明</w:t>
      </w:r>
      <w:r>
        <w:tab/>
      </w:r>
      <w:r>
        <w:fldChar w:fldCharType="begin"/>
      </w:r>
      <w:r>
        <w:instrText xml:space="preserve"> PAGEREF _Toc29657 \h </w:instrText>
      </w:r>
      <w:r>
        <w:fldChar w:fldCharType="separate"/>
      </w:r>
      <w:r>
        <w:t>8</w:t>
      </w:r>
      <w:r>
        <w:fldChar w:fldCharType="end"/>
      </w:r>
    </w:p>
    <w:p>
      <w:pPr>
        <w:pStyle w:val="20"/>
        <w:tabs>
          <w:tab w:val="right" w:leader="dot" w:pos="8306"/>
        </w:tabs>
      </w:pPr>
      <w:r>
        <w:rPr>
          <w:rFonts w:hint="eastAsia" w:ascii="黑体" w:hAnsi="黑体" w:eastAsia="黑体" w:cs="Times New Roman"/>
        </w:rPr>
        <w:t xml:space="preserve">九、 </w:t>
      </w:r>
      <w:r>
        <w:rPr>
          <w:rFonts w:hint="eastAsia" w:ascii="黑体" w:hAnsi="黑体" w:eastAsia="黑体"/>
        </w:rPr>
        <w:t>国有资本经营预算支出决算情况说明</w:t>
      </w:r>
      <w:r>
        <w:tab/>
      </w:r>
      <w:r>
        <w:fldChar w:fldCharType="begin"/>
      </w:r>
      <w:r>
        <w:instrText xml:space="preserve"> PAGEREF _Toc7924 \h </w:instrText>
      </w:r>
      <w:r>
        <w:fldChar w:fldCharType="separate"/>
      </w:r>
      <w:r>
        <w:t>8</w:t>
      </w:r>
      <w:r>
        <w:fldChar w:fldCharType="end"/>
      </w:r>
    </w:p>
    <w:p>
      <w:pPr>
        <w:pStyle w:val="20"/>
        <w:tabs>
          <w:tab w:val="right" w:leader="dot" w:pos="8306"/>
        </w:tabs>
      </w:pPr>
      <w:r>
        <w:rPr>
          <w:rFonts w:hint="eastAsia" w:ascii="黑体" w:hAnsi="黑体" w:eastAsia="黑体"/>
          <w:color w:val="000000"/>
          <w:szCs w:val="32"/>
        </w:rPr>
        <w:t>十</w:t>
      </w:r>
      <w:r>
        <w:rPr>
          <w:rFonts w:hint="eastAsia" w:ascii="黑体" w:hAnsi="黑体" w:eastAsia="黑体"/>
        </w:rPr>
        <w:t>、其他重要事项的情况说明</w:t>
      </w:r>
      <w:r>
        <w:tab/>
      </w:r>
      <w:r>
        <w:fldChar w:fldCharType="begin"/>
      </w:r>
      <w:r>
        <w:instrText xml:space="preserve"> PAGEREF _Toc9008 \h </w:instrText>
      </w:r>
      <w:r>
        <w:fldChar w:fldCharType="separate"/>
      </w:r>
      <w:r>
        <w:t>8</w:t>
      </w:r>
      <w:r>
        <w:fldChar w:fldCharType="end"/>
      </w:r>
    </w:p>
    <w:p>
      <w:pPr>
        <w:pStyle w:val="15"/>
        <w:tabs>
          <w:tab w:val="right" w:leader="dot" w:pos="8306"/>
        </w:tabs>
      </w:pPr>
      <w:r>
        <w:rPr>
          <w:rFonts w:hint="eastAsia" w:ascii="黑体" w:hAnsi="黑体" w:eastAsia="黑体" w:cs="Times New Roman"/>
        </w:rPr>
        <w:t xml:space="preserve">第三部分 </w:t>
      </w:r>
      <w:r>
        <w:rPr>
          <w:rFonts w:hint="eastAsia" w:ascii="黑体" w:hAnsi="黑体" w:eastAsia="黑体"/>
          <w:color w:val="000000"/>
          <w:szCs w:val="44"/>
        </w:rPr>
        <w:t>名</w:t>
      </w:r>
      <w:r>
        <w:rPr>
          <w:rFonts w:hint="eastAsia" w:ascii="黑体" w:hAnsi="黑体" w:eastAsia="黑体"/>
        </w:rPr>
        <w:t>词解释</w:t>
      </w:r>
      <w:r>
        <w:tab/>
      </w:r>
      <w:r>
        <w:fldChar w:fldCharType="begin"/>
      </w:r>
      <w:r>
        <w:instrText xml:space="preserve"> PAGEREF _Toc12304 \h </w:instrText>
      </w:r>
      <w:r>
        <w:fldChar w:fldCharType="separate"/>
      </w:r>
      <w:r>
        <w:t>10</w:t>
      </w:r>
      <w:r>
        <w:fldChar w:fldCharType="end"/>
      </w:r>
    </w:p>
    <w:p>
      <w:pPr>
        <w:pStyle w:val="15"/>
        <w:tabs>
          <w:tab w:val="right" w:leader="dot" w:pos="8306"/>
        </w:tabs>
      </w:pPr>
      <w:r>
        <w:rPr>
          <w:rFonts w:hint="eastAsia" w:ascii="黑体" w:hAnsi="黑体" w:eastAsia="黑体"/>
          <w:color w:val="000000"/>
          <w:szCs w:val="44"/>
        </w:rPr>
        <w:t>第</w:t>
      </w:r>
      <w:r>
        <w:rPr>
          <w:rFonts w:hint="eastAsia" w:ascii="黑体" w:hAnsi="黑体" w:eastAsia="黑体"/>
        </w:rPr>
        <w:t>四部分</w:t>
      </w:r>
      <w:r>
        <w:rPr>
          <w:rFonts w:ascii="黑体" w:hAnsi="黑体" w:eastAsia="黑体"/>
        </w:rPr>
        <w:t xml:space="preserve"> </w:t>
      </w:r>
      <w:r>
        <w:rPr>
          <w:rFonts w:hint="eastAsia" w:ascii="黑体" w:hAnsi="黑体" w:eastAsia="黑体"/>
        </w:rPr>
        <w:t>附件</w:t>
      </w:r>
      <w:r>
        <w:tab/>
      </w:r>
      <w:r>
        <w:fldChar w:fldCharType="begin"/>
      </w:r>
      <w:r>
        <w:instrText xml:space="preserve"> PAGEREF _Toc14215 \h </w:instrText>
      </w:r>
      <w:r>
        <w:fldChar w:fldCharType="separate"/>
      </w:r>
      <w:r>
        <w:t>13</w:t>
      </w:r>
      <w:r>
        <w:fldChar w:fldCharType="end"/>
      </w:r>
    </w:p>
    <w:p>
      <w:pPr>
        <w:pStyle w:val="15"/>
        <w:tabs>
          <w:tab w:val="right" w:leader="dot" w:pos="8306"/>
        </w:tabs>
      </w:pPr>
      <w:r>
        <w:rPr>
          <w:rFonts w:hint="eastAsia" w:ascii="黑体" w:eastAsia="黑体"/>
          <w:color w:val="000000"/>
          <w:szCs w:val="44"/>
        </w:rPr>
        <w:t>第</w:t>
      </w:r>
      <w:r>
        <w:rPr>
          <w:rFonts w:hint="eastAsia" w:ascii="黑体" w:eastAsia="黑体"/>
          <w:bCs/>
          <w:kern w:val="44"/>
          <w:szCs w:val="44"/>
        </w:rPr>
        <w:t>五部分</w:t>
      </w:r>
      <w:r>
        <w:rPr>
          <w:rFonts w:ascii="黑体" w:eastAsia="黑体"/>
          <w:bCs/>
          <w:kern w:val="44"/>
          <w:szCs w:val="44"/>
        </w:rPr>
        <w:t xml:space="preserve"> </w:t>
      </w:r>
      <w:r>
        <w:rPr>
          <w:rFonts w:hint="eastAsia" w:ascii="黑体" w:eastAsia="黑体"/>
          <w:bCs/>
          <w:kern w:val="44"/>
          <w:szCs w:val="44"/>
        </w:rPr>
        <w:t>附表</w:t>
      </w:r>
      <w:r>
        <w:tab/>
      </w:r>
      <w:r>
        <w:fldChar w:fldCharType="begin"/>
      </w:r>
      <w:r>
        <w:instrText xml:space="preserve"> PAGEREF _Toc9716 \h </w:instrText>
      </w:r>
      <w:r>
        <w:fldChar w:fldCharType="separate"/>
      </w:r>
      <w:r>
        <w:t>19</w:t>
      </w:r>
      <w:r>
        <w:fldChar w:fldCharType="end"/>
      </w:r>
    </w:p>
    <w:p>
      <w:pPr>
        <w:pStyle w:val="20"/>
        <w:tabs>
          <w:tab w:val="right" w:leader="dot" w:pos="8306"/>
        </w:tabs>
      </w:pPr>
      <w:r>
        <w:rPr>
          <w:rFonts w:hint="eastAsia" w:ascii="仿宋" w:hAnsi="Cambria" w:eastAsia="仿宋" w:cs="Times New Roman"/>
          <w:bCs/>
          <w:color w:val="000000"/>
          <w:kern w:val="2"/>
          <w:szCs w:val="32"/>
          <w:lang w:val="en-US" w:eastAsia="zh-CN" w:bidi="ar-SA"/>
        </w:rPr>
        <w:t>一、收</w:t>
      </w:r>
      <w:r>
        <w:rPr>
          <w:rFonts w:hint="eastAsia" w:ascii="仿宋" w:hAnsi="Cambria" w:eastAsia="仿宋" w:cs="Times New Roman"/>
          <w:bCs w:val="0"/>
          <w:kern w:val="2"/>
          <w:szCs w:val="32"/>
          <w:lang w:val="en-US" w:eastAsia="zh-CN" w:bidi="ar-SA"/>
        </w:rPr>
        <w:t>入支出决算总表</w:t>
      </w:r>
      <w:r>
        <w:tab/>
      </w:r>
      <w:r>
        <w:fldChar w:fldCharType="begin"/>
      </w:r>
      <w:r>
        <w:instrText xml:space="preserve"> PAGEREF _Toc31486 \h </w:instrText>
      </w:r>
      <w:r>
        <w:fldChar w:fldCharType="separate"/>
      </w:r>
      <w:r>
        <w:t>19</w:t>
      </w:r>
      <w:r>
        <w:fldChar w:fldCharType="end"/>
      </w:r>
    </w:p>
    <w:p>
      <w:pPr>
        <w:pStyle w:val="20"/>
        <w:tabs>
          <w:tab w:val="right" w:leader="dot" w:pos="8306"/>
        </w:tabs>
      </w:pPr>
      <w:r>
        <w:rPr>
          <w:rFonts w:hint="eastAsia" w:ascii="仿宋" w:hAnsi="Cambria" w:eastAsia="仿宋" w:cs="Times New Roman"/>
          <w:bCs/>
          <w:color w:val="000000"/>
          <w:kern w:val="2"/>
          <w:szCs w:val="32"/>
          <w:lang w:val="en-US" w:eastAsia="zh-CN" w:bidi="ar-SA"/>
        </w:rPr>
        <w:t>二、收</w:t>
      </w:r>
      <w:r>
        <w:rPr>
          <w:rFonts w:hint="eastAsia" w:ascii="仿宋" w:hAnsi="Cambria" w:eastAsia="仿宋" w:cs="Times New Roman"/>
          <w:bCs w:val="0"/>
          <w:kern w:val="2"/>
          <w:szCs w:val="32"/>
          <w:lang w:val="en-US" w:eastAsia="zh-CN" w:bidi="ar-SA"/>
        </w:rPr>
        <w:t>入决算表</w:t>
      </w:r>
      <w:r>
        <w:tab/>
      </w:r>
      <w:r>
        <w:fldChar w:fldCharType="begin"/>
      </w:r>
      <w:r>
        <w:instrText xml:space="preserve"> PAGEREF _Toc6181 \h </w:instrText>
      </w:r>
      <w:r>
        <w:fldChar w:fldCharType="separate"/>
      </w:r>
      <w:r>
        <w:t>19</w:t>
      </w:r>
      <w:r>
        <w:fldChar w:fldCharType="end"/>
      </w:r>
    </w:p>
    <w:p>
      <w:pPr>
        <w:pStyle w:val="20"/>
        <w:tabs>
          <w:tab w:val="right" w:leader="dot" w:pos="8306"/>
        </w:tabs>
      </w:pPr>
      <w:r>
        <w:rPr>
          <w:rFonts w:hint="eastAsia" w:ascii="仿宋" w:hAnsi="Cambria" w:eastAsia="仿宋" w:cs="Times New Roman"/>
          <w:bCs w:val="0"/>
          <w:kern w:val="2"/>
          <w:szCs w:val="32"/>
          <w:lang w:val="en-US" w:eastAsia="zh-CN" w:bidi="ar-SA"/>
        </w:rPr>
        <w:t>三、</w:t>
      </w:r>
      <w:r>
        <w:rPr>
          <w:rFonts w:hint="eastAsia" w:ascii="仿宋" w:hAnsi="Cambria" w:eastAsia="仿宋" w:cs="Times New Roman"/>
          <w:bCs/>
          <w:color w:val="000000"/>
          <w:kern w:val="2"/>
          <w:szCs w:val="32"/>
          <w:lang w:val="en-US" w:eastAsia="zh-CN" w:bidi="ar-SA"/>
        </w:rPr>
        <w:t>支</w:t>
      </w:r>
      <w:r>
        <w:rPr>
          <w:rFonts w:hint="eastAsia" w:ascii="仿宋" w:hAnsi="Cambria" w:eastAsia="仿宋" w:cs="Times New Roman"/>
          <w:bCs w:val="0"/>
          <w:kern w:val="2"/>
          <w:szCs w:val="32"/>
          <w:lang w:val="en-US" w:eastAsia="zh-CN" w:bidi="ar-SA"/>
        </w:rPr>
        <w:t>出决算表</w:t>
      </w:r>
      <w:r>
        <w:tab/>
      </w:r>
      <w:r>
        <w:fldChar w:fldCharType="begin"/>
      </w:r>
      <w:r>
        <w:instrText xml:space="preserve"> PAGEREF _Toc5004 \h </w:instrText>
      </w:r>
      <w:r>
        <w:fldChar w:fldCharType="separate"/>
      </w:r>
      <w:r>
        <w:t>19</w:t>
      </w:r>
      <w:r>
        <w:fldChar w:fldCharType="end"/>
      </w:r>
    </w:p>
    <w:p>
      <w:pPr>
        <w:pStyle w:val="20"/>
        <w:tabs>
          <w:tab w:val="right" w:leader="dot" w:pos="8306"/>
        </w:tabs>
      </w:pPr>
      <w:r>
        <w:rPr>
          <w:rFonts w:hint="eastAsia" w:ascii="仿宋" w:hAnsi="Cambria" w:eastAsia="仿宋" w:cs="Times New Roman"/>
          <w:bCs w:val="0"/>
          <w:kern w:val="2"/>
          <w:szCs w:val="32"/>
          <w:lang w:val="en-US" w:eastAsia="zh-CN" w:bidi="ar-SA"/>
        </w:rPr>
        <w:t>四、</w:t>
      </w:r>
      <w:r>
        <w:rPr>
          <w:rFonts w:hint="eastAsia" w:ascii="仿宋" w:hAnsi="Cambria" w:eastAsia="仿宋" w:cs="Times New Roman"/>
          <w:bCs/>
          <w:color w:val="000000"/>
          <w:kern w:val="2"/>
          <w:szCs w:val="32"/>
          <w:lang w:val="en-US" w:eastAsia="zh-CN" w:bidi="ar-SA"/>
        </w:rPr>
        <w:t>财</w:t>
      </w:r>
      <w:r>
        <w:rPr>
          <w:rFonts w:hint="eastAsia" w:ascii="仿宋" w:hAnsi="Cambria" w:eastAsia="仿宋" w:cs="Times New Roman"/>
          <w:bCs w:val="0"/>
          <w:kern w:val="2"/>
          <w:szCs w:val="32"/>
          <w:lang w:val="en-US" w:eastAsia="zh-CN" w:bidi="ar-SA"/>
        </w:rPr>
        <w:t>政拨款收入支出决算总表</w:t>
      </w:r>
      <w:r>
        <w:tab/>
      </w:r>
      <w:r>
        <w:fldChar w:fldCharType="begin"/>
      </w:r>
      <w:r>
        <w:instrText xml:space="preserve"> PAGEREF _Toc29105 \h </w:instrText>
      </w:r>
      <w:r>
        <w:fldChar w:fldCharType="separate"/>
      </w:r>
      <w:r>
        <w:t>19</w:t>
      </w:r>
      <w:r>
        <w:fldChar w:fldCharType="end"/>
      </w:r>
    </w:p>
    <w:p>
      <w:pPr>
        <w:pStyle w:val="20"/>
        <w:tabs>
          <w:tab w:val="right" w:leader="dot" w:pos="8306"/>
        </w:tabs>
      </w:pPr>
      <w:r>
        <w:rPr>
          <w:rFonts w:hint="eastAsia" w:ascii="仿宋" w:hAnsi="Cambria" w:eastAsia="仿宋" w:cs="Times New Roman"/>
          <w:bCs w:val="0"/>
          <w:kern w:val="2"/>
          <w:szCs w:val="32"/>
          <w:lang w:val="en-US" w:eastAsia="zh-CN" w:bidi="ar-SA"/>
        </w:rPr>
        <w:t>五、</w:t>
      </w:r>
      <w:r>
        <w:rPr>
          <w:rFonts w:hint="eastAsia" w:ascii="仿宋" w:hAnsi="Cambria" w:eastAsia="仿宋" w:cs="Times New Roman"/>
          <w:bCs/>
          <w:color w:val="000000"/>
          <w:kern w:val="2"/>
          <w:szCs w:val="32"/>
          <w:lang w:val="en-US" w:eastAsia="zh-CN" w:bidi="ar-SA"/>
        </w:rPr>
        <w:t>财</w:t>
      </w:r>
      <w:r>
        <w:rPr>
          <w:rFonts w:hint="eastAsia" w:ascii="仿宋" w:hAnsi="Cambria" w:eastAsia="仿宋" w:cs="Times New Roman"/>
          <w:bCs w:val="0"/>
          <w:kern w:val="2"/>
          <w:szCs w:val="32"/>
          <w:lang w:val="en-US" w:eastAsia="zh-CN" w:bidi="ar-SA"/>
        </w:rPr>
        <w:t>政拨款支出决算明细表</w:t>
      </w:r>
      <w:r>
        <w:tab/>
      </w:r>
      <w:r>
        <w:fldChar w:fldCharType="begin"/>
      </w:r>
      <w:r>
        <w:instrText xml:space="preserve"> PAGEREF _Toc19307 \h </w:instrText>
      </w:r>
      <w:r>
        <w:fldChar w:fldCharType="separate"/>
      </w:r>
      <w:r>
        <w:t>19</w:t>
      </w:r>
      <w:r>
        <w:fldChar w:fldCharType="end"/>
      </w:r>
    </w:p>
    <w:p>
      <w:pPr>
        <w:pStyle w:val="20"/>
        <w:tabs>
          <w:tab w:val="right" w:leader="dot" w:pos="8306"/>
        </w:tabs>
      </w:pPr>
      <w:r>
        <w:rPr>
          <w:rFonts w:hint="eastAsia" w:ascii="仿宋" w:hAnsi="Cambria" w:eastAsia="仿宋" w:cs="Times New Roman"/>
          <w:bCs w:val="0"/>
          <w:kern w:val="2"/>
          <w:szCs w:val="32"/>
          <w:lang w:val="en-US" w:eastAsia="zh-CN" w:bidi="ar-SA"/>
        </w:rPr>
        <w:t>六、</w:t>
      </w:r>
      <w:r>
        <w:rPr>
          <w:rFonts w:hint="eastAsia" w:ascii="仿宋" w:hAnsi="Cambria" w:eastAsia="仿宋" w:cs="Times New Roman"/>
          <w:bCs/>
          <w:color w:val="000000"/>
          <w:kern w:val="2"/>
          <w:szCs w:val="32"/>
          <w:lang w:val="en-US" w:eastAsia="zh-CN" w:bidi="ar-SA"/>
        </w:rPr>
        <w:t>一</w:t>
      </w:r>
      <w:r>
        <w:rPr>
          <w:rFonts w:hint="eastAsia" w:ascii="仿宋" w:hAnsi="Cambria" w:eastAsia="仿宋" w:cs="Times New Roman"/>
          <w:bCs w:val="0"/>
          <w:kern w:val="2"/>
          <w:szCs w:val="32"/>
          <w:lang w:val="en-US" w:eastAsia="zh-CN" w:bidi="ar-SA"/>
        </w:rPr>
        <w:t>般公共预算财政拨款支出决算表</w:t>
      </w:r>
      <w:r>
        <w:tab/>
      </w:r>
      <w:r>
        <w:fldChar w:fldCharType="begin"/>
      </w:r>
      <w:r>
        <w:instrText xml:space="preserve"> PAGEREF _Toc29231 \h </w:instrText>
      </w:r>
      <w:r>
        <w:fldChar w:fldCharType="separate"/>
      </w:r>
      <w:r>
        <w:t>19</w:t>
      </w:r>
      <w:r>
        <w:fldChar w:fldCharType="end"/>
      </w:r>
    </w:p>
    <w:p>
      <w:pPr>
        <w:pStyle w:val="20"/>
        <w:tabs>
          <w:tab w:val="right" w:leader="dot" w:pos="8306"/>
        </w:tabs>
      </w:pPr>
      <w:r>
        <w:rPr>
          <w:rFonts w:hint="eastAsia" w:ascii="仿宋" w:hAnsi="Cambria" w:eastAsia="仿宋" w:cs="Times New Roman"/>
          <w:bCs w:val="0"/>
          <w:kern w:val="2"/>
          <w:szCs w:val="32"/>
          <w:lang w:val="en-US" w:eastAsia="zh-CN" w:bidi="ar-SA"/>
        </w:rPr>
        <w:t>七、</w:t>
      </w:r>
      <w:r>
        <w:rPr>
          <w:rFonts w:hint="eastAsia" w:ascii="仿宋" w:hAnsi="Cambria" w:eastAsia="仿宋" w:cs="Times New Roman"/>
          <w:bCs/>
          <w:color w:val="000000"/>
          <w:kern w:val="2"/>
          <w:szCs w:val="32"/>
          <w:lang w:val="en-US" w:eastAsia="zh-CN" w:bidi="ar-SA"/>
        </w:rPr>
        <w:t>一</w:t>
      </w:r>
      <w:r>
        <w:rPr>
          <w:rFonts w:hint="eastAsia" w:ascii="仿宋" w:hAnsi="Cambria" w:eastAsia="仿宋" w:cs="Times New Roman"/>
          <w:bCs w:val="0"/>
          <w:kern w:val="2"/>
          <w:szCs w:val="32"/>
          <w:lang w:val="en-US" w:eastAsia="zh-CN" w:bidi="ar-SA"/>
        </w:rPr>
        <w:t>般公共预算财政拨款支出决算明细表</w:t>
      </w:r>
      <w:r>
        <w:tab/>
      </w:r>
      <w:r>
        <w:fldChar w:fldCharType="begin"/>
      </w:r>
      <w:r>
        <w:instrText xml:space="preserve"> PAGEREF _Toc28856 \h </w:instrText>
      </w:r>
      <w:r>
        <w:fldChar w:fldCharType="separate"/>
      </w:r>
      <w:r>
        <w:t>19</w:t>
      </w:r>
      <w:r>
        <w:fldChar w:fldCharType="end"/>
      </w:r>
    </w:p>
    <w:p>
      <w:pPr>
        <w:pStyle w:val="20"/>
        <w:tabs>
          <w:tab w:val="right" w:leader="dot" w:pos="8306"/>
        </w:tabs>
      </w:pPr>
      <w:r>
        <w:rPr>
          <w:rFonts w:hint="eastAsia" w:ascii="仿宋" w:hAnsi="Cambria" w:eastAsia="仿宋" w:cs="Times New Roman"/>
          <w:bCs w:val="0"/>
          <w:kern w:val="2"/>
          <w:szCs w:val="32"/>
          <w:lang w:val="en-US" w:eastAsia="zh-CN" w:bidi="ar-SA"/>
        </w:rPr>
        <w:t>八、</w:t>
      </w:r>
      <w:r>
        <w:rPr>
          <w:rFonts w:hint="eastAsia" w:ascii="仿宋" w:hAnsi="Cambria" w:eastAsia="仿宋" w:cs="Times New Roman"/>
          <w:bCs/>
          <w:color w:val="000000"/>
          <w:kern w:val="2"/>
          <w:szCs w:val="32"/>
          <w:lang w:val="en-US" w:eastAsia="zh-CN" w:bidi="ar-SA"/>
        </w:rPr>
        <w:t>一</w:t>
      </w:r>
      <w:r>
        <w:rPr>
          <w:rFonts w:hint="eastAsia" w:ascii="仿宋" w:hAnsi="Cambria" w:eastAsia="仿宋" w:cs="Times New Roman"/>
          <w:bCs w:val="0"/>
          <w:kern w:val="2"/>
          <w:szCs w:val="32"/>
          <w:lang w:val="en-US" w:eastAsia="zh-CN" w:bidi="ar-SA"/>
        </w:rPr>
        <w:t>般公共预算财政拨款基本支出决算表</w:t>
      </w:r>
      <w:r>
        <w:tab/>
      </w:r>
      <w:r>
        <w:fldChar w:fldCharType="begin"/>
      </w:r>
      <w:r>
        <w:instrText xml:space="preserve"> PAGEREF _Toc12433 \h </w:instrText>
      </w:r>
      <w:r>
        <w:fldChar w:fldCharType="separate"/>
      </w:r>
      <w:r>
        <w:t>19</w:t>
      </w:r>
      <w:r>
        <w:fldChar w:fldCharType="end"/>
      </w:r>
    </w:p>
    <w:p>
      <w:pPr>
        <w:pStyle w:val="20"/>
        <w:tabs>
          <w:tab w:val="right" w:leader="dot" w:pos="8306"/>
        </w:tabs>
      </w:pPr>
      <w:r>
        <w:rPr>
          <w:rFonts w:hint="eastAsia" w:ascii="仿宋" w:hAnsi="Cambria" w:eastAsia="仿宋" w:cs="Times New Roman"/>
          <w:bCs w:val="0"/>
          <w:kern w:val="2"/>
          <w:szCs w:val="32"/>
          <w:lang w:val="en-US" w:eastAsia="zh-CN" w:bidi="ar-SA"/>
        </w:rPr>
        <w:t>九、</w:t>
      </w:r>
      <w:r>
        <w:rPr>
          <w:rFonts w:hint="eastAsia" w:ascii="仿宋" w:hAnsi="Cambria" w:eastAsia="仿宋" w:cs="Times New Roman"/>
          <w:bCs/>
          <w:color w:val="000000"/>
          <w:kern w:val="2"/>
          <w:szCs w:val="32"/>
          <w:lang w:val="en-US" w:eastAsia="zh-CN" w:bidi="ar-SA"/>
        </w:rPr>
        <w:t>一</w:t>
      </w:r>
      <w:r>
        <w:rPr>
          <w:rFonts w:hint="eastAsia" w:ascii="仿宋" w:hAnsi="Cambria" w:eastAsia="仿宋" w:cs="Times New Roman"/>
          <w:bCs w:val="0"/>
          <w:kern w:val="2"/>
          <w:szCs w:val="32"/>
          <w:lang w:val="en-US" w:eastAsia="zh-CN" w:bidi="ar-SA"/>
        </w:rPr>
        <w:t>般公共预算财政拨款项目支出决算表</w:t>
      </w:r>
      <w:r>
        <w:tab/>
      </w:r>
      <w:r>
        <w:fldChar w:fldCharType="begin"/>
      </w:r>
      <w:r>
        <w:instrText xml:space="preserve"> PAGEREF _Toc17116 \h </w:instrText>
      </w:r>
      <w:r>
        <w:fldChar w:fldCharType="separate"/>
      </w:r>
      <w:r>
        <w:t>19</w:t>
      </w:r>
      <w:r>
        <w:fldChar w:fldCharType="end"/>
      </w:r>
    </w:p>
    <w:p>
      <w:pPr>
        <w:pStyle w:val="20"/>
        <w:tabs>
          <w:tab w:val="right" w:leader="dot" w:pos="8306"/>
        </w:tabs>
      </w:pPr>
      <w:r>
        <w:rPr>
          <w:rFonts w:hint="eastAsia" w:ascii="仿宋" w:hAnsi="Cambria" w:eastAsia="仿宋" w:cs="Times New Roman"/>
          <w:bCs w:val="0"/>
          <w:kern w:val="2"/>
          <w:szCs w:val="32"/>
          <w:lang w:val="en-US" w:eastAsia="zh-CN" w:bidi="ar-SA"/>
        </w:rPr>
        <w:t>十、</w:t>
      </w:r>
      <w:r>
        <w:rPr>
          <w:rFonts w:hint="eastAsia" w:ascii="仿宋" w:hAnsi="Cambria" w:eastAsia="仿宋" w:cs="Times New Roman"/>
          <w:bCs/>
          <w:color w:val="000000"/>
          <w:kern w:val="2"/>
          <w:szCs w:val="32"/>
          <w:lang w:val="en-US" w:eastAsia="zh-CN" w:bidi="ar-SA"/>
        </w:rPr>
        <w:t>政</w:t>
      </w:r>
      <w:r>
        <w:rPr>
          <w:rFonts w:hint="eastAsia" w:ascii="仿宋" w:hAnsi="Cambria" w:eastAsia="仿宋" w:cs="Times New Roman"/>
          <w:bCs w:val="0"/>
          <w:kern w:val="2"/>
          <w:szCs w:val="32"/>
          <w:lang w:val="en-US" w:eastAsia="zh-CN" w:bidi="ar-SA"/>
        </w:rPr>
        <w:t>府性基金预算财政拨款收入支出决算表</w:t>
      </w:r>
      <w:r>
        <w:tab/>
      </w:r>
      <w:r>
        <w:fldChar w:fldCharType="begin"/>
      </w:r>
      <w:r>
        <w:instrText xml:space="preserve"> PAGEREF _Toc18920 \h </w:instrText>
      </w:r>
      <w:r>
        <w:fldChar w:fldCharType="separate"/>
      </w:r>
      <w:r>
        <w:t>19</w:t>
      </w:r>
      <w:r>
        <w:fldChar w:fldCharType="end"/>
      </w:r>
    </w:p>
    <w:p>
      <w:pPr>
        <w:pStyle w:val="20"/>
        <w:tabs>
          <w:tab w:val="right" w:leader="dot" w:pos="8306"/>
        </w:tabs>
      </w:pPr>
      <w:r>
        <w:rPr>
          <w:rFonts w:hint="eastAsia" w:ascii="仿宋" w:hAnsi="Cambria" w:eastAsia="仿宋" w:cs="Times New Roman"/>
          <w:bCs w:val="0"/>
          <w:kern w:val="2"/>
          <w:szCs w:val="32"/>
          <w:lang w:val="en-US" w:eastAsia="zh-CN" w:bidi="ar-SA"/>
        </w:rPr>
        <w:t>十一、</w:t>
      </w:r>
      <w:r>
        <w:rPr>
          <w:rFonts w:hint="eastAsia" w:ascii="仿宋" w:hAnsi="Cambria" w:eastAsia="仿宋" w:cs="Times New Roman"/>
          <w:bCs/>
          <w:color w:val="000000"/>
          <w:kern w:val="2"/>
          <w:szCs w:val="32"/>
          <w:lang w:val="en-US" w:eastAsia="zh-CN" w:bidi="ar-SA"/>
        </w:rPr>
        <w:t>国</w:t>
      </w:r>
      <w:r>
        <w:rPr>
          <w:rFonts w:hint="eastAsia" w:ascii="仿宋" w:hAnsi="Cambria" w:eastAsia="仿宋" w:cs="Times New Roman"/>
          <w:bCs w:val="0"/>
          <w:kern w:val="2"/>
          <w:szCs w:val="32"/>
          <w:lang w:val="en-US" w:eastAsia="zh-CN" w:bidi="ar-SA"/>
        </w:rPr>
        <w:t>有资本经营预算财政拨款收入支出决算表</w:t>
      </w:r>
      <w:r>
        <w:tab/>
      </w:r>
      <w:r>
        <w:fldChar w:fldCharType="begin"/>
      </w:r>
      <w:r>
        <w:instrText xml:space="preserve"> PAGEREF _Toc8364 \h </w:instrText>
      </w:r>
      <w:r>
        <w:fldChar w:fldCharType="separate"/>
      </w:r>
      <w:r>
        <w:t>19</w:t>
      </w:r>
      <w:r>
        <w:fldChar w:fldCharType="end"/>
      </w:r>
    </w:p>
    <w:p>
      <w:pPr>
        <w:pStyle w:val="20"/>
        <w:tabs>
          <w:tab w:val="right" w:leader="dot" w:pos="8306"/>
        </w:tabs>
      </w:pPr>
      <w:r>
        <w:rPr>
          <w:rFonts w:hint="eastAsia" w:ascii="仿宋" w:hAnsi="Cambria" w:eastAsia="仿宋" w:cs="Times New Roman"/>
          <w:bCs w:val="0"/>
          <w:kern w:val="2"/>
          <w:szCs w:val="32"/>
          <w:lang w:val="en-US" w:eastAsia="zh-CN" w:bidi="ar-SA"/>
        </w:rPr>
        <w:t>十二、国有资本经营预算财政拨款支出决算表</w:t>
      </w:r>
      <w:r>
        <w:tab/>
      </w:r>
      <w:r>
        <w:fldChar w:fldCharType="begin"/>
      </w:r>
      <w:r>
        <w:instrText xml:space="preserve"> PAGEREF _Toc10137 \h </w:instrText>
      </w:r>
      <w:r>
        <w:fldChar w:fldCharType="separate"/>
      </w:r>
      <w:r>
        <w:t>19</w:t>
      </w:r>
      <w:r>
        <w:fldChar w:fldCharType="end"/>
      </w:r>
    </w:p>
    <w:p>
      <w:r>
        <w:rPr>
          <w:rFonts w:asciiTheme="minorHAnsi" w:eastAsiaTheme="minorHAnsi"/>
          <w:bCs/>
          <w:caps/>
          <w:szCs w:val="20"/>
        </w:rPr>
        <w:fldChar w:fldCharType="end"/>
      </w:r>
    </w:p>
    <w:p>
      <w:pPr>
        <w:pStyle w:val="2"/>
        <w:jc w:val="center"/>
        <w:rPr>
          <w:rFonts w:hint="eastAsia" w:ascii="黑体" w:hAnsi="黑体" w:eastAsia="黑体"/>
          <w:b w:val="0"/>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bookmarkStart w:id="1" w:name="_Toc15396599"/>
      <w:bookmarkStart w:id="2" w:name="_Toc79163601"/>
      <w:bookmarkStart w:id="3" w:name="_Toc15377196"/>
      <w:bookmarkStart w:id="4" w:name="_Toc29378"/>
    </w:p>
    <w:p>
      <w:pPr>
        <w:pStyle w:val="2"/>
        <w:jc w:val="center"/>
        <w:rPr>
          <w:rStyle w:val="29"/>
          <w:rFonts w:ascii="黑体" w:hAnsi="黑体" w:eastAsia="黑体"/>
          <w:b/>
          <w:bCs w:val="0"/>
        </w:rPr>
      </w:pPr>
      <w:r>
        <w:rPr>
          <w:rFonts w:hint="eastAsia" w:ascii="黑体" w:hAnsi="黑体" w:eastAsia="黑体"/>
          <w:b w:val="0"/>
        </w:rPr>
        <w:t>第一部分</w:t>
      </w:r>
      <w:r>
        <w:rPr>
          <w:rFonts w:ascii="黑体" w:hAnsi="黑体" w:eastAsia="黑体"/>
          <w:b w:val="0"/>
        </w:rPr>
        <w:t xml:space="preserve"> </w:t>
      </w:r>
      <w:r>
        <w:rPr>
          <w:rStyle w:val="29"/>
          <w:rFonts w:hint="eastAsia" w:ascii="黑体" w:hAnsi="黑体" w:eastAsia="黑体"/>
          <w:b w:val="0"/>
          <w:bCs w:val="0"/>
        </w:rPr>
        <w:t>部门概况</w:t>
      </w:r>
      <w:bookmarkEnd w:id="1"/>
      <w:bookmarkEnd w:id="2"/>
      <w:bookmarkEnd w:id="3"/>
      <w:bookmarkEnd w:id="4"/>
    </w:p>
    <w:p>
      <w:pPr>
        <w:widowControl/>
        <w:jc w:val="left"/>
        <w:rPr>
          <w:rFonts w:ascii="黑体" w:eastAsia="黑体"/>
          <w:color w:val="000000"/>
          <w:sz w:val="32"/>
          <w:szCs w:val="32"/>
        </w:rPr>
      </w:pPr>
    </w:p>
    <w:p>
      <w:pPr>
        <w:pStyle w:val="3"/>
        <w:keepNext/>
        <w:keepLines/>
        <w:pageBreakBefore w:val="0"/>
        <w:widowControl w:val="0"/>
        <w:numPr>
          <w:ilvl w:val="0"/>
          <w:numId w:val="1"/>
        </w:numPr>
        <w:kinsoku/>
        <w:wordWrap/>
        <w:overflowPunct/>
        <w:topLinePunct w:val="0"/>
        <w:autoSpaceDE/>
        <w:autoSpaceDN/>
        <w:bidi w:val="0"/>
        <w:adjustRightInd/>
        <w:snapToGrid/>
        <w:spacing w:line="560" w:lineRule="exact"/>
        <w:textAlignment w:val="auto"/>
        <w:rPr>
          <w:rStyle w:val="30"/>
          <w:rFonts w:hint="eastAsia" w:ascii="黑体" w:hAnsi="黑体" w:eastAsia="黑体"/>
          <w:b w:val="0"/>
          <w:bCs w:val="0"/>
          <w:lang w:val="en-US" w:eastAsia="zh-CN"/>
        </w:rPr>
      </w:pPr>
      <w:bookmarkStart w:id="5" w:name="_Toc21186"/>
      <w:bookmarkStart w:id="6" w:name="_Toc15377197"/>
      <w:bookmarkStart w:id="7" w:name="_Toc79163602"/>
      <w:bookmarkStart w:id="8" w:name="_Toc15396600"/>
      <w:r>
        <w:rPr>
          <w:rStyle w:val="30"/>
          <w:rFonts w:hint="eastAsia" w:ascii="黑体" w:hAnsi="黑体" w:eastAsia="黑体"/>
          <w:b w:val="0"/>
          <w:bCs w:val="0"/>
          <w:lang w:val="en-US" w:eastAsia="zh-CN"/>
        </w:rPr>
        <w:t>部门职责</w:t>
      </w:r>
      <w:bookmarkEnd w:id="5"/>
      <w:bookmarkEnd w:id="6"/>
      <w:bookmarkEnd w:id="7"/>
      <w:bookmarkEnd w:id="8"/>
      <w:bookmarkStart w:id="9" w:name="_Toc15378445"/>
      <w:bookmarkStart w:id="10" w:name="_Toc15377198"/>
    </w:p>
    <w:bookmarkEnd w:id="9"/>
    <w:bookmarkEnd w:id="10"/>
    <w:p>
      <w:pPr>
        <w:pStyle w:val="6"/>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textAlignment w:val="auto"/>
        <w:rPr>
          <w:rFonts w:hint="eastAsia"/>
          <w:sz w:val="32"/>
          <w:szCs w:val="32"/>
          <w:lang w:val="en-US" w:eastAsia="zh-CN"/>
        </w:rPr>
      </w:pPr>
      <w:r>
        <w:rPr>
          <w:rFonts w:hint="eastAsia"/>
          <w:sz w:val="32"/>
          <w:szCs w:val="32"/>
          <w:lang w:val="en-US" w:eastAsia="zh-CN"/>
        </w:rPr>
        <w:t>依法加强寺庙宗教事务管理：严守法律底线，坚决把以寺庙、僧人、宗教佛事活动管理为重点的宗教事务管理纳入依法管理轨道，牢牢掌握寺庙领导权和管理权，做到不发生重大责任事故和稳定责任事故。</w:t>
      </w:r>
    </w:p>
    <w:p>
      <w:pPr>
        <w:pStyle w:val="6"/>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textAlignment w:val="auto"/>
        <w:rPr>
          <w:rFonts w:hint="eastAsia" w:hAnsi="Times New Roman" w:cs="Times New Roman"/>
          <w:sz w:val="32"/>
          <w:szCs w:val="32"/>
        </w:rPr>
      </w:pPr>
      <w:r>
        <w:rPr>
          <w:rFonts w:hint="eastAsia"/>
          <w:sz w:val="32"/>
          <w:szCs w:val="32"/>
          <w:lang w:val="en-US" w:eastAsia="zh-CN"/>
        </w:rPr>
        <w:t>加强教育引导：以增强僧人法治意识、公民意识、政治意识、祖国意识为目的，坚持不懈加强对僧人的教育引导</w:t>
      </w:r>
      <w:r>
        <w:rPr>
          <w:rFonts w:hint="eastAsia" w:hAnsi="Times New Roman" w:cs="Times New Roman"/>
          <w:sz w:val="32"/>
          <w:szCs w:val="32"/>
          <w:lang w:eastAsia="zh-CN"/>
        </w:rPr>
        <w:t>。</w:t>
      </w:r>
    </w:p>
    <w:p>
      <w:pPr>
        <w:pStyle w:val="3"/>
        <w:pageBreakBefore w:val="0"/>
        <w:widowControl w:val="0"/>
        <w:kinsoku/>
        <w:wordWrap/>
        <w:overflowPunct/>
        <w:topLinePunct w:val="0"/>
        <w:bidi w:val="0"/>
        <w:spacing w:line="560" w:lineRule="exact"/>
        <w:ind w:firstLine="640" w:firstLineChars="200"/>
        <w:textAlignment w:val="auto"/>
        <w:rPr>
          <w:rStyle w:val="30"/>
          <w:b w:val="0"/>
          <w:bCs w:val="0"/>
        </w:rPr>
      </w:pPr>
      <w:bookmarkStart w:id="11" w:name="_Toc15396601"/>
      <w:bookmarkStart w:id="12" w:name="_Toc19752"/>
      <w:bookmarkStart w:id="13" w:name="_Toc79163605"/>
      <w:bookmarkStart w:id="14" w:name="_Toc15377200"/>
      <w:r>
        <w:rPr>
          <w:rFonts w:hint="eastAsia" w:ascii="黑体" w:eastAsia="黑体"/>
          <w:b w:val="0"/>
          <w:color w:val="000000"/>
        </w:rPr>
        <w:t>二、</w:t>
      </w:r>
      <w:r>
        <w:rPr>
          <w:rFonts w:hint="eastAsia" w:ascii="黑体" w:hAnsi="黑体" w:eastAsia="黑体"/>
          <w:b w:val="0"/>
          <w:color w:val="000000"/>
        </w:rPr>
        <w:t>机</w:t>
      </w:r>
      <w:r>
        <w:rPr>
          <w:rStyle w:val="30"/>
          <w:rFonts w:hint="eastAsia" w:ascii="黑体" w:hAnsi="黑体" w:eastAsia="黑体"/>
          <w:b w:val="0"/>
          <w:bCs w:val="0"/>
        </w:rPr>
        <w:t>构设置</w:t>
      </w:r>
      <w:bookmarkEnd w:id="11"/>
      <w:bookmarkEnd w:id="12"/>
      <w:bookmarkEnd w:id="13"/>
      <w:bookmarkEnd w:id="14"/>
    </w:p>
    <w:p>
      <w:pPr>
        <w:pStyle w:val="6"/>
        <w:pageBreakBefore w:val="0"/>
        <w:widowControl w:val="0"/>
        <w:kinsoku/>
        <w:wordWrap/>
        <w:overflowPunct/>
        <w:topLinePunct w:val="0"/>
        <w:bidi w:val="0"/>
        <w:adjustRightInd w:val="0"/>
        <w:snapToGrid w:val="0"/>
        <w:spacing w:before="93" w:line="560" w:lineRule="exact"/>
        <w:ind w:firstLine="672" w:firstLineChars="210"/>
        <w:textAlignment w:val="auto"/>
        <w:rPr>
          <w:rFonts w:hint="eastAsia" w:ascii="仿宋_GB2312" w:hAnsi="仿宋" w:eastAsia="仿宋_GB2312" w:cs="Times New Roman"/>
          <w:b w:val="0"/>
          <w:bCs w:val="0"/>
          <w:kern w:val="2"/>
          <w:sz w:val="32"/>
          <w:szCs w:val="32"/>
          <w:highlight w:val="none"/>
          <w:lang w:val="en-US" w:eastAsia="zh-CN" w:bidi="ar-SA"/>
        </w:rPr>
      </w:pPr>
      <w:bookmarkStart w:id="15" w:name="_Toc30939"/>
      <w:bookmarkStart w:id="16" w:name="_Toc10699"/>
      <w:bookmarkStart w:id="17" w:name="_Toc12356"/>
      <w:r>
        <w:rPr>
          <w:rFonts w:hint="eastAsia" w:hAnsi="仿宋" w:cs="Times New Roman"/>
          <w:b w:val="0"/>
          <w:bCs w:val="0"/>
          <w:kern w:val="2"/>
          <w:sz w:val="32"/>
          <w:szCs w:val="32"/>
          <w:highlight w:val="none"/>
          <w:lang w:val="en-US" w:eastAsia="zh-CN" w:bidi="ar-SA"/>
        </w:rPr>
        <w:t>壤塘县三郎寺寺庙管理委员会</w:t>
      </w:r>
      <w:r>
        <w:rPr>
          <w:rFonts w:hint="eastAsia" w:ascii="仿宋_GB2312" w:hAnsi="仿宋" w:eastAsia="仿宋_GB2312" w:cs="Times New Roman"/>
          <w:b w:val="0"/>
          <w:bCs w:val="0"/>
          <w:kern w:val="2"/>
          <w:sz w:val="32"/>
          <w:szCs w:val="32"/>
          <w:highlight w:val="none"/>
          <w:lang w:val="en-US" w:eastAsia="zh-CN" w:bidi="ar-SA"/>
        </w:rPr>
        <w:t>无下属二级单位，本单位属</w:t>
      </w:r>
      <w:r>
        <w:rPr>
          <w:rFonts w:hint="eastAsia" w:hAnsi="仿宋" w:cs="Times New Roman"/>
          <w:b w:val="0"/>
          <w:bCs w:val="0"/>
          <w:kern w:val="2"/>
          <w:sz w:val="32"/>
          <w:szCs w:val="32"/>
          <w:highlight w:val="none"/>
          <w:lang w:val="en-US" w:eastAsia="zh-CN" w:bidi="ar-SA"/>
        </w:rPr>
        <w:t>行政</w:t>
      </w:r>
      <w:r>
        <w:rPr>
          <w:rFonts w:hint="eastAsia" w:ascii="仿宋_GB2312" w:hAnsi="仿宋" w:eastAsia="仿宋_GB2312" w:cs="Times New Roman"/>
          <w:b w:val="0"/>
          <w:bCs w:val="0"/>
          <w:kern w:val="2"/>
          <w:sz w:val="32"/>
          <w:szCs w:val="32"/>
          <w:highlight w:val="none"/>
          <w:lang w:val="en-US" w:eastAsia="zh-CN" w:bidi="ar-SA"/>
        </w:rPr>
        <w:t>单位。</w:t>
      </w:r>
      <w:bookmarkEnd w:id="15"/>
      <w:bookmarkEnd w:id="16"/>
      <w:bookmarkEnd w:id="17"/>
    </w:p>
    <w:p>
      <w:pPr>
        <w:pStyle w:val="6"/>
        <w:pageBreakBefore w:val="0"/>
        <w:widowControl w:val="0"/>
        <w:kinsoku/>
        <w:wordWrap/>
        <w:overflowPunct/>
        <w:topLinePunct w:val="0"/>
        <w:bidi w:val="0"/>
        <w:adjustRightInd w:val="0"/>
        <w:snapToGrid w:val="0"/>
        <w:spacing w:before="93" w:line="560" w:lineRule="exact"/>
        <w:ind w:firstLine="672" w:firstLineChars="210"/>
        <w:textAlignment w:val="auto"/>
        <w:rPr>
          <w:rFonts w:hint="eastAsia" w:ascii="仿宋_GB2312" w:hAnsi="仿宋" w:eastAsia="仿宋_GB2312" w:cs="Times New Roman"/>
          <w:b w:val="0"/>
          <w:bCs w:val="0"/>
          <w:kern w:val="2"/>
          <w:sz w:val="32"/>
          <w:szCs w:val="32"/>
          <w:highlight w:val="none"/>
          <w:lang w:val="en-US" w:eastAsia="zh-CN" w:bidi="ar-SA"/>
        </w:rPr>
      </w:pPr>
    </w:p>
    <w:p>
      <w:pPr>
        <w:pStyle w:val="6"/>
        <w:pageBreakBefore w:val="0"/>
        <w:widowControl w:val="0"/>
        <w:kinsoku/>
        <w:wordWrap/>
        <w:overflowPunct/>
        <w:topLinePunct w:val="0"/>
        <w:bidi w:val="0"/>
        <w:adjustRightInd w:val="0"/>
        <w:snapToGrid w:val="0"/>
        <w:spacing w:before="93" w:line="560" w:lineRule="exact"/>
        <w:ind w:firstLine="672" w:firstLineChars="210"/>
        <w:textAlignment w:val="auto"/>
        <w:rPr>
          <w:rFonts w:hint="eastAsia" w:ascii="仿宋_GB2312" w:hAnsi="仿宋" w:eastAsia="仿宋_GB2312" w:cs="Times New Roman"/>
          <w:b w:val="0"/>
          <w:bCs w:val="0"/>
          <w:kern w:val="2"/>
          <w:sz w:val="32"/>
          <w:szCs w:val="32"/>
          <w:highlight w:val="none"/>
          <w:lang w:val="en-US" w:eastAsia="zh-CN" w:bidi="ar-SA"/>
        </w:rPr>
      </w:pPr>
    </w:p>
    <w:p>
      <w:pPr>
        <w:pStyle w:val="6"/>
        <w:pageBreakBefore w:val="0"/>
        <w:widowControl w:val="0"/>
        <w:kinsoku/>
        <w:wordWrap/>
        <w:overflowPunct/>
        <w:topLinePunct w:val="0"/>
        <w:bidi w:val="0"/>
        <w:adjustRightInd w:val="0"/>
        <w:snapToGrid w:val="0"/>
        <w:spacing w:before="93" w:line="560" w:lineRule="exact"/>
        <w:ind w:firstLine="672" w:firstLineChars="210"/>
        <w:textAlignment w:val="auto"/>
        <w:rPr>
          <w:rFonts w:hint="eastAsia" w:ascii="仿宋_GB2312" w:hAnsi="仿宋" w:eastAsia="仿宋_GB2312" w:cs="Times New Roman"/>
          <w:b w:val="0"/>
          <w:bCs w:val="0"/>
          <w:kern w:val="2"/>
          <w:sz w:val="32"/>
          <w:szCs w:val="32"/>
          <w:highlight w:val="none"/>
          <w:lang w:val="en-US" w:eastAsia="zh-CN" w:bidi="ar-SA"/>
        </w:rPr>
      </w:pPr>
    </w:p>
    <w:p>
      <w:pPr>
        <w:pStyle w:val="6"/>
        <w:pageBreakBefore w:val="0"/>
        <w:widowControl w:val="0"/>
        <w:kinsoku/>
        <w:wordWrap/>
        <w:overflowPunct/>
        <w:topLinePunct w:val="0"/>
        <w:bidi w:val="0"/>
        <w:adjustRightInd w:val="0"/>
        <w:snapToGrid w:val="0"/>
        <w:spacing w:before="93" w:line="560" w:lineRule="exact"/>
        <w:ind w:firstLine="672" w:firstLineChars="210"/>
        <w:textAlignment w:val="auto"/>
        <w:rPr>
          <w:rFonts w:hint="eastAsia" w:ascii="仿宋_GB2312" w:hAnsi="仿宋" w:eastAsia="仿宋_GB2312" w:cs="Times New Roman"/>
          <w:b w:val="0"/>
          <w:bCs w:val="0"/>
          <w:kern w:val="2"/>
          <w:sz w:val="32"/>
          <w:szCs w:val="32"/>
          <w:highlight w:val="none"/>
          <w:lang w:val="en-US" w:eastAsia="zh-CN" w:bidi="ar-SA"/>
        </w:rPr>
      </w:pPr>
    </w:p>
    <w:p>
      <w:pPr>
        <w:pStyle w:val="6"/>
        <w:pageBreakBefore w:val="0"/>
        <w:widowControl w:val="0"/>
        <w:kinsoku/>
        <w:wordWrap/>
        <w:overflowPunct/>
        <w:topLinePunct w:val="0"/>
        <w:bidi w:val="0"/>
        <w:adjustRightInd w:val="0"/>
        <w:snapToGrid w:val="0"/>
        <w:spacing w:before="93" w:line="560" w:lineRule="exact"/>
        <w:ind w:firstLine="672" w:firstLineChars="210"/>
        <w:textAlignment w:val="auto"/>
        <w:rPr>
          <w:rFonts w:hint="eastAsia" w:ascii="仿宋_GB2312" w:hAnsi="仿宋" w:eastAsia="仿宋_GB2312" w:cs="Times New Roman"/>
          <w:b w:val="0"/>
          <w:bCs w:val="0"/>
          <w:kern w:val="2"/>
          <w:sz w:val="32"/>
          <w:szCs w:val="32"/>
          <w:highlight w:val="none"/>
          <w:lang w:val="en-US" w:eastAsia="zh-CN" w:bidi="ar-SA"/>
        </w:rPr>
      </w:pPr>
    </w:p>
    <w:p>
      <w:pPr>
        <w:pStyle w:val="2"/>
        <w:pageBreakBefore w:val="0"/>
        <w:widowControl w:val="0"/>
        <w:kinsoku/>
        <w:wordWrap/>
        <w:overflowPunct/>
        <w:topLinePunct w:val="0"/>
        <w:bidi w:val="0"/>
        <w:spacing w:line="560" w:lineRule="exact"/>
        <w:ind w:right="440"/>
        <w:jc w:val="right"/>
        <w:textAlignment w:val="auto"/>
        <w:rPr>
          <w:rStyle w:val="29"/>
          <w:rFonts w:ascii="黑体" w:hAnsi="黑体" w:eastAsia="黑体"/>
          <w:b w:val="0"/>
          <w:bCs w:val="0"/>
        </w:rPr>
      </w:pPr>
      <w:bookmarkStart w:id="18" w:name="_Toc79163609"/>
      <w:bookmarkStart w:id="19" w:name="_Toc15396602"/>
      <w:bookmarkStart w:id="20" w:name="_Toc15377204"/>
      <w:bookmarkStart w:id="21" w:name="_Toc23287"/>
      <w:r>
        <w:rPr>
          <w:rFonts w:hint="eastAsia" w:ascii="黑体" w:hAnsi="黑体" w:eastAsia="黑体"/>
          <w:b w:val="0"/>
          <w:color w:val="000000"/>
        </w:rPr>
        <w:t>第二部分</w:t>
      </w:r>
      <w:r>
        <w:rPr>
          <w:rFonts w:ascii="黑体" w:hAnsi="黑体" w:eastAsia="黑体"/>
          <w:color w:val="000000"/>
        </w:rPr>
        <w:t xml:space="preserve"> </w:t>
      </w:r>
      <w:r>
        <w:rPr>
          <w:rStyle w:val="29"/>
          <w:rFonts w:hint="eastAsia" w:ascii="黑体" w:hAnsi="黑体" w:eastAsia="黑体"/>
          <w:b w:val="0"/>
          <w:bCs w:val="0"/>
          <w:lang w:eastAsia="zh-CN"/>
        </w:rPr>
        <w:t>2025年</w:t>
      </w:r>
      <w:r>
        <w:rPr>
          <w:rStyle w:val="29"/>
          <w:rFonts w:hint="eastAsia" w:ascii="黑体" w:hAnsi="黑体" w:eastAsia="黑体"/>
          <w:b w:val="0"/>
          <w:bCs w:val="0"/>
        </w:rPr>
        <w:t>度部门决算情况说明</w:t>
      </w:r>
      <w:bookmarkEnd w:id="18"/>
      <w:bookmarkEnd w:id="19"/>
      <w:bookmarkEnd w:id="20"/>
      <w:bookmarkEnd w:id="21"/>
    </w:p>
    <w:p>
      <w:pPr>
        <w:pStyle w:val="3"/>
        <w:keepNext/>
        <w:keepLines/>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黑体" w:hAnsi="黑体" w:eastAsia="黑体" w:cs="黑体"/>
          <w:lang w:val="en-US" w:eastAsia="zh-CN"/>
        </w:rPr>
      </w:pPr>
      <w:bookmarkStart w:id="22" w:name="_Toc5625"/>
      <w:r>
        <w:rPr>
          <w:rFonts w:hint="eastAsia" w:ascii="黑体" w:hAnsi="黑体" w:eastAsia="黑体" w:cs="黑体"/>
          <w:lang w:val="en-US" w:eastAsia="zh-CN"/>
        </w:rPr>
        <w:t>一、收入支出决算总体情况说明</w:t>
      </w:r>
      <w:bookmarkEnd w:id="22"/>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Times New Roman"/>
          <w:color w:val="000000"/>
          <w:kern w:val="2"/>
          <w:sz w:val="32"/>
          <w:szCs w:val="32"/>
        </w:rPr>
      </w:pPr>
      <w:r>
        <w:rPr>
          <w:rFonts w:hint="eastAsia" w:ascii="仿宋" w:hAnsi="仿宋" w:eastAsia="仿宋" w:cs="仿宋"/>
          <w:color w:val="000000"/>
          <w:kern w:val="2"/>
          <w:sz w:val="32"/>
          <w:szCs w:val="32"/>
          <w:lang w:val="en-US" w:eastAsia="zh-CN" w:bidi="ar"/>
        </w:rPr>
        <w:t>2025年度收入总计196.34万元，与2024年相比，减少10.85万元，下降5.24%。 2025年支出总计196.34万元，与2024年相比，减少10.85万元，下降5.24%。主要变动原因:人员变动，收支减少。</w:t>
      </w:r>
    </w:p>
    <w:p>
      <w:pPr>
        <w:pStyle w:val="22"/>
        <w:keepNext w:val="0"/>
        <w:keepLines w:val="0"/>
        <w:widowControl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kern w:val="2"/>
          <w:sz w:val="21"/>
          <w:szCs w:val="21"/>
        </w:rPr>
      </w:pPr>
      <w:r>
        <w:drawing>
          <wp:inline distT="0" distB="0" distL="114300" distR="114300">
            <wp:extent cx="3261360" cy="2204720"/>
            <wp:effectExtent l="5080" t="4445" r="10160" b="19685"/>
            <wp:docPr id="135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drawing>
          <wp:inline distT="0" distB="0" distL="114300" distR="114300">
            <wp:extent cx="3299460" cy="1948180"/>
            <wp:effectExtent l="4445" t="4445" r="10795" b="9525"/>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Times New Roman"/>
          <w:color w:val="000000"/>
          <w:kern w:val="2"/>
          <w:sz w:val="32"/>
          <w:szCs w:val="32"/>
        </w:rPr>
      </w:pPr>
      <w:r>
        <w:rPr>
          <w:rFonts w:hint="eastAsia" w:ascii="仿宋" w:hAnsi="仿宋" w:eastAsia="仿宋" w:cs="仿宋"/>
          <w:color w:val="000000"/>
          <w:kern w:val="2"/>
          <w:sz w:val="32"/>
          <w:szCs w:val="32"/>
          <w:lang w:val="en-US" w:eastAsia="zh-CN" w:bidi="ar"/>
        </w:rPr>
        <w:t>（图</w:t>
      </w:r>
      <w:r>
        <w:rPr>
          <w:rFonts w:hint="eastAsia" w:ascii="仿宋" w:hAnsi="仿宋" w:eastAsia="仿宋" w:cs="Times New Roman"/>
          <w:color w:val="000000"/>
          <w:kern w:val="2"/>
          <w:sz w:val="32"/>
          <w:szCs w:val="32"/>
          <w:lang w:val="en-US" w:eastAsia="zh-CN" w:bidi="ar"/>
        </w:rPr>
        <w:t>1</w:t>
      </w:r>
      <w:r>
        <w:rPr>
          <w:rFonts w:hint="eastAsia" w:ascii="仿宋" w:hAnsi="仿宋" w:eastAsia="仿宋" w:cs="仿宋"/>
          <w:color w:val="000000"/>
          <w:kern w:val="2"/>
          <w:sz w:val="32"/>
          <w:szCs w:val="32"/>
          <w:lang w:val="en-US" w:eastAsia="zh-CN" w:bidi="ar"/>
        </w:rPr>
        <w:t>：收、支决算总计变动情况图）（柱状图）</w:t>
      </w:r>
    </w:p>
    <w:p>
      <w:pPr>
        <w:pStyle w:val="3"/>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23" w:name="_Toc25939"/>
      <w:r>
        <w:rPr>
          <w:rFonts w:hint="eastAsia" w:ascii="黑体" w:hAnsi="黑体" w:eastAsia="黑体" w:cs="Times New Roman"/>
          <w:b w:val="0"/>
          <w:bCs w:val="0"/>
          <w:color w:val="000000"/>
          <w:kern w:val="2"/>
          <w:sz w:val="32"/>
          <w:szCs w:val="32"/>
          <w:lang w:val="en-US" w:eastAsia="zh-CN" w:bidi="ar-SA"/>
        </w:rPr>
        <w:t>二、收入决算情况说明</w:t>
      </w:r>
      <w:bookmarkEnd w:id="23"/>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Times New Roman"/>
          <w:color w:val="000000"/>
          <w:kern w:val="2"/>
          <w:sz w:val="32"/>
          <w:szCs w:val="32"/>
        </w:rPr>
      </w:pPr>
      <w:r>
        <w:rPr>
          <w:rFonts w:hint="eastAsia" w:ascii="仿宋" w:hAnsi="仿宋" w:eastAsia="仿宋" w:cs="Times New Roman"/>
          <w:color w:val="000000"/>
          <w:kern w:val="2"/>
          <w:sz w:val="32"/>
          <w:szCs w:val="32"/>
          <w:lang w:val="en-US" w:eastAsia="zh-CN" w:bidi="ar"/>
        </w:rPr>
        <w:t>2025年</w:t>
      </w:r>
      <w:r>
        <w:rPr>
          <w:rFonts w:hint="eastAsia" w:ascii="仿宋" w:hAnsi="仿宋" w:eastAsia="仿宋" w:cs="仿宋"/>
          <w:color w:val="000000"/>
          <w:kern w:val="2"/>
          <w:sz w:val="32"/>
          <w:szCs w:val="32"/>
          <w:lang w:val="en-US" w:eastAsia="zh-CN" w:bidi="ar"/>
        </w:rPr>
        <w:t>本年收入合计196.34万元，其中：一般公共预算财政拨款收入196.34万元，占100</w:t>
      </w:r>
      <w:r>
        <w:rPr>
          <w:rFonts w:hint="eastAsia" w:ascii="仿宋" w:hAnsi="仿宋" w:eastAsia="仿宋" w:cs="Times New Roman"/>
          <w:color w:val="000000"/>
          <w:kern w:val="2"/>
          <w:sz w:val="32"/>
          <w:szCs w:val="32"/>
          <w:lang w:val="en-US" w:eastAsia="zh-CN" w:bidi="ar"/>
        </w:rPr>
        <w:t>%</w:t>
      </w:r>
      <w:r>
        <w:rPr>
          <w:rFonts w:hint="eastAsia" w:ascii="仿宋" w:hAnsi="仿宋" w:eastAsia="仿宋" w:cs="仿宋"/>
          <w:color w:val="000000"/>
          <w:kern w:val="2"/>
          <w:sz w:val="32"/>
          <w:szCs w:val="32"/>
          <w:lang w:val="en-US" w:eastAsia="zh-CN" w:bidi="ar"/>
        </w:rPr>
        <w:t>。</w:t>
      </w:r>
    </w:p>
    <w:p>
      <w:pPr>
        <w:pStyle w:val="22"/>
        <w:keepNext w:val="0"/>
        <w:keepLines w:val="0"/>
        <w:widowControl w:val="0"/>
        <w:suppressLineNumbers w:val="0"/>
        <w:spacing w:before="0" w:beforeAutospacing="1" w:after="120" w:afterAutospacing="0" w:line="360" w:lineRule="auto"/>
        <w:ind w:left="0" w:leftChars="0" w:right="0" w:firstLine="420" w:firstLineChars="200"/>
        <w:jc w:val="center"/>
        <w:rPr>
          <w:rFonts w:hint="default" w:ascii="Times New Roman" w:hAnsi="Times New Roman" w:eastAsia="宋体" w:cs="Times New Roman"/>
          <w:kern w:val="2"/>
          <w:sz w:val="21"/>
          <w:szCs w:val="21"/>
        </w:rPr>
      </w:pPr>
      <w:r>
        <w:drawing>
          <wp:inline distT="0" distB="0" distL="114300" distR="114300">
            <wp:extent cx="3620135" cy="2018030"/>
            <wp:effectExtent l="5080" t="4445" r="13335" b="15875"/>
            <wp:docPr id="135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Times New Roman"/>
          <w:color w:val="000000"/>
          <w:kern w:val="2"/>
          <w:sz w:val="32"/>
          <w:szCs w:val="32"/>
        </w:rPr>
      </w:pPr>
      <w:r>
        <w:rPr>
          <w:rFonts w:hint="eastAsia" w:ascii="仿宋" w:hAnsi="仿宋" w:eastAsia="仿宋" w:cs="仿宋"/>
          <w:color w:val="000000"/>
          <w:kern w:val="2"/>
          <w:sz w:val="32"/>
          <w:szCs w:val="32"/>
          <w:lang w:val="en-US" w:eastAsia="zh-CN" w:bidi="ar"/>
        </w:rPr>
        <w:t>（图</w:t>
      </w:r>
      <w:r>
        <w:rPr>
          <w:rFonts w:hint="eastAsia" w:ascii="仿宋" w:hAnsi="仿宋" w:eastAsia="仿宋" w:cs="Times New Roman"/>
          <w:color w:val="000000"/>
          <w:kern w:val="2"/>
          <w:sz w:val="32"/>
          <w:szCs w:val="32"/>
          <w:lang w:val="en-US" w:eastAsia="zh-CN" w:bidi="ar"/>
        </w:rPr>
        <w:t>2</w:t>
      </w:r>
      <w:r>
        <w:rPr>
          <w:rFonts w:hint="eastAsia" w:ascii="仿宋" w:hAnsi="仿宋" w:eastAsia="仿宋" w:cs="仿宋"/>
          <w:color w:val="000000"/>
          <w:kern w:val="2"/>
          <w:sz w:val="32"/>
          <w:szCs w:val="32"/>
          <w:lang w:val="en-US" w:eastAsia="zh-CN" w:bidi="ar"/>
        </w:rPr>
        <w:t>：收入决算结构图）（饼状图）</w:t>
      </w:r>
    </w:p>
    <w:p>
      <w:pPr>
        <w:pStyle w:val="3"/>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bookmarkStart w:id="24" w:name="_Toc11538"/>
      <w:r>
        <w:rPr>
          <w:rFonts w:hint="eastAsia" w:ascii="黑体" w:hAnsi="黑体" w:eastAsia="黑体" w:cs="Times New Roman"/>
          <w:b w:val="0"/>
          <w:bCs w:val="0"/>
          <w:color w:val="000000"/>
          <w:kern w:val="2"/>
          <w:sz w:val="32"/>
          <w:szCs w:val="32"/>
          <w:lang w:val="en-US" w:eastAsia="zh-CN" w:bidi="ar-SA"/>
        </w:rPr>
        <w:t>三、支出决算情况说</w:t>
      </w:r>
      <w:r>
        <w:rPr>
          <w:rFonts w:hint="eastAsia"/>
          <w:lang w:val="en-US" w:eastAsia="zh-CN"/>
        </w:rPr>
        <w:t>明</w:t>
      </w:r>
      <w:bookmarkEnd w:id="24"/>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eastAsia="仿宋_GB2312"/>
          <w:sz w:val="32"/>
          <w:szCs w:val="32"/>
        </w:rPr>
      </w:pPr>
      <w:r>
        <w:rPr>
          <w:rFonts w:hint="eastAsia" w:ascii="仿宋_GB2312" w:eastAsia="仿宋_GB2312" w:cs="Times New Roman"/>
          <w:kern w:val="2"/>
          <w:sz w:val="32"/>
          <w:szCs w:val="32"/>
          <w:lang w:val="en-US" w:eastAsia="zh-CN" w:bidi="ar"/>
        </w:rPr>
        <w:t>2025年</w:t>
      </w:r>
      <w:r>
        <w:rPr>
          <w:rFonts w:hint="default" w:ascii="仿宋_GB2312" w:hAnsi="Times New Roman" w:eastAsia="仿宋_GB2312" w:cs="仿宋_GB2312"/>
          <w:kern w:val="2"/>
          <w:sz w:val="32"/>
          <w:szCs w:val="32"/>
          <w:lang w:val="en-US" w:eastAsia="zh-CN" w:bidi="ar"/>
        </w:rPr>
        <w:t>本年支出合计</w:t>
      </w:r>
      <w:r>
        <w:rPr>
          <w:rFonts w:hint="eastAsia" w:ascii="仿宋_GB2312" w:eastAsia="仿宋_GB2312" w:cs="仿宋_GB2312"/>
          <w:kern w:val="2"/>
          <w:sz w:val="32"/>
          <w:szCs w:val="32"/>
          <w:lang w:val="en-US" w:eastAsia="zh-CN" w:bidi="ar"/>
        </w:rPr>
        <w:t>196.34万</w:t>
      </w:r>
      <w:r>
        <w:rPr>
          <w:rFonts w:hint="default" w:ascii="仿宋_GB2312" w:hAnsi="Times New Roman" w:eastAsia="仿宋_GB2312" w:cs="仿宋_GB2312"/>
          <w:kern w:val="2"/>
          <w:sz w:val="32"/>
          <w:szCs w:val="32"/>
          <w:lang w:val="en-US" w:eastAsia="zh-CN" w:bidi="ar"/>
        </w:rPr>
        <w:t>元</w:t>
      </w:r>
      <w:r>
        <w:rPr>
          <w:rFonts w:hint="eastAsia" w:ascii="仿宋_GB2312" w:eastAsia="仿宋_GB2312"/>
          <w:sz w:val="32"/>
          <w:szCs w:val="32"/>
        </w:rPr>
        <w:t>，其中：基本支出</w:t>
      </w:r>
      <w:r>
        <w:rPr>
          <w:rFonts w:hint="eastAsia" w:ascii="仿宋_GB2312" w:eastAsia="仿宋_GB2312"/>
          <w:sz w:val="32"/>
          <w:szCs w:val="32"/>
          <w:lang w:val="en-US" w:eastAsia="zh-CN"/>
        </w:rPr>
        <w:t>188.41</w:t>
      </w:r>
      <w:r>
        <w:rPr>
          <w:rFonts w:hint="eastAsia" w:ascii="仿宋_GB2312" w:eastAsia="仿宋_GB2312"/>
          <w:sz w:val="32"/>
          <w:szCs w:val="32"/>
        </w:rPr>
        <w:t>万元，占</w:t>
      </w:r>
      <w:r>
        <w:rPr>
          <w:rFonts w:hint="eastAsia" w:ascii="仿宋_GB2312" w:eastAsia="仿宋_GB2312"/>
          <w:sz w:val="32"/>
          <w:szCs w:val="32"/>
          <w:lang w:val="en-US" w:eastAsia="zh-CN"/>
        </w:rPr>
        <w:t>95.96</w:t>
      </w:r>
      <w:r>
        <w:rPr>
          <w:rFonts w:hint="eastAsia" w:ascii="仿宋_GB2312" w:eastAsia="仿宋_GB2312"/>
          <w:sz w:val="32"/>
          <w:szCs w:val="32"/>
        </w:rPr>
        <w:t>%；项目支出</w:t>
      </w:r>
      <w:r>
        <w:rPr>
          <w:rFonts w:hint="eastAsia" w:ascii="仿宋_GB2312" w:eastAsia="仿宋_GB2312"/>
          <w:sz w:val="32"/>
          <w:szCs w:val="32"/>
          <w:lang w:val="en-US" w:eastAsia="zh-CN"/>
        </w:rPr>
        <w:t>7.93</w:t>
      </w:r>
      <w:r>
        <w:rPr>
          <w:rFonts w:hint="eastAsia" w:ascii="仿宋_GB2312" w:eastAsia="仿宋_GB2312"/>
          <w:sz w:val="32"/>
          <w:szCs w:val="32"/>
        </w:rPr>
        <w:t>万元，占</w:t>
      </w:r>
      <w:r>
        <w:rPr>
          <w:rFonts w:hint="eastAsia" w:ascii="仿宋_GB2312" w:eastAsia="仿宋_GB2312"/>
          <w:sz w:val="32"/>
          <w:szCs w:val="32"/>
          <w:lang w:val="en-US" w:eastAsia="zh-CN"/>
        </w:rPr>
        <w:t>4.04</w:t>
      </w:r>
      <w:r>
        <w:rPr>
          <w:rFonts w:ascii="仿宋_GB2312" w:eastAsia="仿宋_GB2312"/>
          <w:sz w:val="32"/>
          <w:szCs w:val="32"/>
        </w:rPr>
        <w:t>%</w:t>
      </w:r>
      <w:r>
        <w:rPr>
          <w:rFonts w:hint="eastAsia" w:ascii="仿宋_GB2312" w:eastAsia="仿宋_GB2312"/>
          <w:sz w:val="32"/>
          <w:szCs w:val="32"/>
        </w:rPr>
        <w:t>。</w:t>
      </w:r>
    </w:p>
    <w:p>
      <w:pPr>
        <w:pStyle w:val="8"/>
        <w:jc w:val="center"/>
        <w:rPr>
          <w:rFonts w:ascii="仿宋" w:hAnsi="仿宋" w:eastAsia="仿宋"/>
          <w:color w:val="000000"/>
          <w:sz w:val="32"/>
          <w:szCs w:val="32"/>
          <w:shd w:val="pct10" w:color="auto" w:fill="FFFFFF"/>
        </w:rPr>
      </w:pPr>
      <w:r>
        <w:drawing>
          <wp:inline distT="0" distB="0" distL="114300" distR="114300">
            <wp:extent cx="3100705" cy="2204085"/>
            <wp:effectExtent l="5080" t="5080" r="18415" b="19685"/>
            <wp:docPr id="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ageBreakBefore w:val="0"/>
        <w:widowControl w:val="0"/>
        <w:kinsoku/>
        <w:wordWrap/>
        <w:overflowPunct/>
        <w:topLinePunct w:val="0"/>
        <w:bidi w:val="0"/>
        <w:spacing w:line="560" w:lineRule="exact"/>
        <w:ind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：支出决算结构图）（饼状图）</w:t>
      </w:r>
    </w:p>
    <w:p>
      <w:pPr>
        <w:pageBreakBefore w:val="0"/>
        <w:widowControl w:val="0"/>
        <w:kinsoku/>
        <w:wordWrap/>
        <w:overflowPunct/>
        <w:topLinePunct w:val="0"/>
        <w:bidi w:val="0"/>
        <w:spacing w:line="560" w:lineRule="exact"/>
        <w:ind w:firstLine="640" w:firstLineChars="200"/>
        <w:textAlignment w:val="auto"/>
        <w:rPr>
          <w:rFonts w:ascii="仿宋_GB2312" w:eastAsia="仿宋_GB2312"/>
          <w:color w:val="FF0000"/>
          <w:sz w:val="32"/>
          <w:szCs w:val="32"/>
        </w:rPr>
      </w:pPr>
    </w:p>
    <w:p>
      <w:pPr>
        <w:pageBreakBefore w:val="0"/>
        <w:widowControl w:val="0"/>
        <w:kinsoku/>
        <w:wordWrap/>
        <w:overflowPunct/>
        <w:topLinePunct w:val="0"/>
        <w:bidi w:val="0"/>
        <w:spacing w:line="560" w:lineRule="exact"/>
        <w:ind w:firstLine="640" w:firstLineChars="200"/>
        <w:textAlignment w:val="auto"/>
        <w:outlineLvl w:val="1"/>
        <w:rPr>
          <w:rStyle w:val="30"/>
          <w:rFonts w:ascii="黑体" w:hAnsi="黑体" w:eastAsia="黑体"/>
          <w:b w:val="0"/>
        </w:rPr>
      </w:pPr>
      <w:bookmarkStart w:id="25" w:name="_Toc79163613"/>
      <w:bookmarkStart w:id="26" w:name="_Toc15396606"/>
      <w:bookmarkStart w:id="27" w:name="_Toc15377208"/>
      <w:bookmarkStart w:id="28" w:name="_Toc20383"/>
      <w:r>
        <w:rPr>
          <w:rFonts w:hint="eastAsia" w:ascii="黑体" w:hAnsi="黑体" w:eastAsia="黑体"/>
          <w:color w:val="000000"/>
          <w:sz w:val="32"/>
          <w:szCs w:val="32"/>
        </w:rPr>
        <w:t>四、财</w:t>
      </w:r>
      <w:r>
        <w:rPr>
          <w:rStyle w:val="30"/>
          <w:rFonts w:hint="eastAsia" w:ascii="黑体" w:hAnsi="黑体" w:eastAsia="黑体"/>
          <w:b w:val="0"/>
        </w:rPr>
        <w:t>政拨款收入支出决算总体情况说明</w:t>
      </w:r>
      <w:bookmarkEnd w:id="25"/>
      <w:bookmarkEnd w:id="26"/>
      <w:bookmarkEnd w:id="27"/>
      <w:bookmarkEnd w:id="28"/>
    </w:p>
    <w:p>
      <w:pPr>
        <w:pageBreakBefore w:val="0"/>
        <w:widowControl w:val="0"/>
        <w:kinsoku/>
        <w:wordWrap/>
        <w:overflowPunct/>
        <w:topLinePunct w:val="0"/>
        <w:bidi w:val="0"/>
        <w:spacing w:line="560" w:lineRule="exact"/>
        <w:ind w:firstLine="640"/>
        <w:textAlignment w:val="auto"/>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财政拨款</w:t>
      </w:r>
      <w:r>
        <w:rPr>
          <w:rFonts w:hint="eastAsia" w:ascii="仿宋" w:hAnsi="仿宋" w:eastAsia="仿宋"/>
          <w:color w:val="000000"/>
          <w:sz w:val="32"/>
          <w:szCs w:val="32"/>
          <w:lang w:eastAsia="zh-CN"/>
        </w:rPr>
        <w:t>收入</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196.34万元，与2024年相比，</w:t>
      </w:r>
      <w:r>
        <w:rPr>
          <w:rFonts w:hint="eastAsia" w:ascii="仿宋" w:hAnsi="仿宋" w:eastAsia="仿宋" w:cs="仿宋"/>
          <w:color w:val="000000"/>
          <w:kern w:val="2"/>
          <w:sz w:val="32"/>
          <w:szCs w:val="32"/>
          <w:lang w:val="en-US" w:eastAsia="zh-CN" w:bidi="ar"/>
        </w:rPr>
        <w:t>减少10.85万元，下降5.24%。</w:t>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lang w:eastAsia="zh-CN"/>
        </w:rPr>
        <w:t>2025年</w:t>
      </w:r>
      <w:r>
        <w:rPr>
          <w:rFonts w:hint="eastAsia" w:ascii="仿宋" w:hAnsi="仿宋" w:eastAsia="仿宋"/>
          <w:color w:val="000000"/>
          <w:sz w:val="32"/>
          <w:szCs w:val="32"/>
        </w:rPr>
        <w:t>财政拨款支出总计</w:t>
      </w:r>
      <w:r>
        <w:rPr>
          <w:rFonts w:hint="eastAsia" w:ascii="仿宋" w:hAnsi="仿宋" w:eastAsia="仿宋"/>
          <w:color w:val="000000"/>
          <w:sz w:val="32"/>
          <w:szCs w:val="32"/>
          <w:lang w:val="en-US" w:eastAsia="zh-CN"/>
        </w:rPr>
        <w:t>196.34万元。与2024年相比，</w:t>
      </w:r>
      <w:r>
        <w:rPr>
          <w:rFonts w:hint="eastAsia" w:ascii="仿宋" w:hAnsi="仿宋" w:eastAsia="仿宋" w:cs="仿宋"/>
          <w:color w:val="000000"/>
          <w:kern w:val="2"/>
          <w:sz w:val="32"/>
          <w:szCs w:val="32"/>
          <w:lang w:val="en-US" w:eastAsia="zh-CN" w:bidi="ar"/>
        </w:rPr>
        <w:t>减少10.85万元，下降5.24%。主要变动原因：人员变动，收支减少</w:t>
      </w:r>
      <w:r>
        <w:rPr>
          <w:rFonts w:hint="eastAsia" w:ascii="仿宋" w:hAnsi="仿宋" w:eastAsia="仿宋"/>
          <w:color w:val="000000"/>
          <w:sz w:val="32"/>
          <w:szCs w:val="32"/>
          <w:lang w:eastAsia="zh-CN"/>
        </w:rPr>
        <w:t>。</w:t>
      </w:r>
    </w:p>
    <w:p>
      <w:pPr>
        <w:pStyle w:val="8"/>
        <w:jc w:val="center"/>
        <w:rPr>
          <w:rFonts w:ascii="仿宋" w:hAnsi="仿宋" w:eastAsia="仿宋"/>
          <w:color w:val="000000"/>
          <w:sz w:val="32"/>
          <w:szCs w:val="32"/>
        </w:rPr>
      </w:pPr>
      <w:r>
        <w:drawing>
          <wp:inline distT="0" distB="0" distL="114300" distR="114300">
            <wp:extent cx="3614420" cy="1985010"/>
            <wp:effectExtent l="4445" t="5080" r="19685" b="10160"/>
            <wp:docPr id="134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eastAsia"/>
          <w:lang w:val="en-US" w:eastAsia="zh-CN"/>
        </w:rPr>
        <w:t xml:space="preserve"> </w:t>
      </w:r>
      <w:r>
        <w:drawing>
          <wp:inline distT="0" distB="0" distL="114300" distR="114300">
            <wp:extent cx="3592830" cy="2003425"/>
            <wp:effectExtent l="4445" t="4445" r="22225" b="11430"/>
            <wp:docPr id="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ageBreakBefore w:val="0"/>
        <w:widowControl w:val="0"/>
        <w:kinsoku/>
        <w:wordWrap/>
        <w:overflowPunct/>
        <w:topLinePunct w:val="0"/>
        <w:bidi w:val="0"/>
        <w:spacing w:line="560" w:lineRule="exact"/>
        <w:ind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：财政拨款收、支决算总计变动情况）（柱状图）</w:t>
      </w:r>
    </w:p>
    <w:p>
      <w:pPr>
        <w:pageBreakBefore w:val="0"/>
        <w:widowControl w:val="0"/>
        <w:kinsoku/>
        <w:wordWrap/>
        <w:overflowPunct/>
        <w:topLinePunct w:val="0"/>
        <w:bidi w:val="0"/>
        <w:spacing w:line="560" w:lineRule="exact"/>
        <w:ind w:firstLine="640"/>
        <w:textAlignment w:val="auto"/>
        <w:rPr>
          <w:rFonts w:ascii="仿宋" w:hAnsi="仿宋" w:eastAsia="仿宋"/>
          <w:b/>
          <w:color w:val="00B050"/>
          <w:sz w:val="32"/>
          <w:szCs w:val="32"/>
        </w:rPr>
      </w:pPr>
    </w:p>
    <w:p>
      <w:pPr>
        <w:pageBreakBefore w:val="0"/>
        <w:widowControl w:val="0"/>
        <w:kinsoku/>
        <w:wordWrap/>
        <w:overflowPunct/>
        <w:topLinePunct w:val="0"/>
        <w:bidi w:val="0"/>
        <w:spacing w:line="560" w:lineRule="exact"/>
        <w:ind w:firstLine="640" w:firstLineChars="200"/>
        <w:textAlignment w:val="auto"/>
        <w:outlineLvl w:val="1"/>
        <w:rPr>
          <w:rStyle w:val="30"/>
          <w:rFonts w:ascii="黑体" w:hAnsi="黑体" w:eastAsia="黑体"/>
          <w:b w:val="0"/>
        </w:rPr>
      </w:pPr>
      <w:bookmarkStart w:id="29" w:name="_Toc79163614"/>
      <w:bookmarkStart w:id="30" w:name="_Toc15396607"/>
      <w:bookmarkStart w:id="31" w:name="_Toc15377209"/>
      <w:bookmarkStart w:id="32" w:name="_Toc26894"/>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30"/>
          <w:rFonts w:hint="eastAsia" w:ascii="黑体" w:hAnsi="黑体" w:eastAsia="黑体"/>
          <w:b w:val="0"/>
        </w:rPr>
        <w:t>般公共预算财政拨款支出决算情况说明</w:t>
      </w:r>
      <w:bookmarkEnd w:id="29"/>
      <w:bookmarkEnd w:id="30"/>
      <w:bookmarkEnd w:id="31"/>
      <w:bookmarkEnd w:id="32"/>
    </w:p>
    <w:p>
      <w:pPr>
        <w:pageBreakBefore w:val="0"/>
        <w:widowControl w:val="0"/>
        <w:kinsoku/>
        <w:wordWrap/>
        <w:overflowPunct/>
        <w:topLinePunct w:val="0"/>
        <w:bidi w:val="0"/>
        <w:spacing w:line="560" w:lineRule="exact"/>
        <w:ind w:firstLine="642" w:firstLineChars="200"/>
        <w:textAlignment w:val="auto"/>
        <w:outlineLvl w:val="2"/>
        <w:rPr>
          <w:rFonts w:ascii="仿宋" w:hAnsi="仿宋" w:eastAsia="仿宋"/>
          <w:b/>
          <w:color w:val="000000"/>
          <w:sz w:val="32"/>
          <w:szCs w:val="32"/>
        </w:rPr>
      </w:pPr>
      <w:bookmarkStart w:id="33" w:name="_Toc79163615"/>
      <w:bookmarkStart w:id="34" w:name="_Toc3631"/>
      <w:bookmarkStart w:id="35" w:name="_Toc15377210"/>
      <w:r>
        <w:rPr>
          <w:rFonts w:hint="eastAsia" w:ascii="仿宋" w:hAnsi="仿宋" w:eastAsia="仿宋"/>
          <w:b/>
          <w:color w:val="000000"/>
          <w:sz w:val="32"/>
          <w:szCs w:val="32"/>
        </w:rPr>
        <w:t>（一）一般公共预算财政拨款支出决算总体情况</w:t>
      </w:r>
      <w:bookmarkEnd w:id="33"/>
      <w:bookmarkEnd w:id="34"/>
      <w:bookmarkEnd w:id="35"/>
    </w:p>
    <w:p>
      <w:pPr>
        <w:pageBreakBefore w:val="0"/>
        <w:widowControl w:val="0"/>
        <w:kinsoku/>
        <w:wordWrap/>
        <w:overflowPunct/>
        <w:topLinePunct w:val="0"/>
        <w:bidi w:val="0"/>
        <w:spacing w:line="560" w:lineRule="exact"/>
        <w:ind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一般公共预算财政拨款支出</w:t>
      </w:r>
      <w:r>
        <w:rPr>
          <w:rFonts w:hint="eastAsia" w:ascii="仿宋" w:hAnsi="仿宋" w:eastAsia="仿宋"/>
          <w:color w:val="000000"/>
          <w:sz w:val="32"/>
          <w:szCs w:val="32"/>
          <w:lang w:eastAsia="zh-CN"/>
        </w:rPr>
        <w:t>196.34万</w:t>
      </w:r>
      <w:r>
        <w:rPr>
          <w:rFonts w:hint="eastAsia" w:ascii="仿宋" w:hAnsi="仿宋" w:eastAsia="仿宋"/>
          <w:color w:val="000000"/>
          <w:sz w:val="32"/>
          <w:szCs w:val="32"/>
        </w:rPr>
        <w:t>元，占本年支出合计的</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。与</w:t>
      </w:r>
      <w:r>
        <w:rPr>
          <w:rFonts w:hint="eastAsia" w:ascii="仿宋" w:hAnsi="仿宋" w:eastAsia="仿宋"/>
          <w:color w:val="000000"/>
          <w:sz w:val="32"/>
          <w:szCs w:val="32"/>
          <w:lang w:eastAsia="zh-CN"/>
        </w:rPr>
        <w:t>2024年</w:t>
      </w:r>
      <w:r>
        <w:rPr>
          <w:rFonts w:hint="eastAsia" w:ascii="仿宋" w:hAnsi="仿宋" w:eastAsia="仿宋"/>
          <w:color w:val="000000"/>
          <w:sz w:val="32"/>
          <w:szCs w:val="32"/>
        </w:rPr>
        <w:t>相比，一般公共预算财政拨款</w:t>
      </w:r>
      <w:r>
        <w:rPr>
          <w:rFonts w:hint="eastAsia" w:ascii="仿宋" w:hAnsi="仿宋" w:eastAsia="仿宋" w:cs="仿宋"/>
          <w:color w:val="000000"/>
          <w:kern w:val="2"/>
          <w:sz w:val="32"/>
          <w:szCs w:val="32"/>
          <w:lang w:val="en-US" w:eastAsia="zh-CN" w:bidi="ar"/>
        </w:rPr>
        <w:t>减少10.85万元，下降5.24%。主要变动原因：人员变动，收支减少</w:t>
      </w:r>
      <w:r>
        <w:rPr>
          <w:rFonts w:hint="eastAsia" w:ascii="仿宋" w:hAnsi="仿宋" w:eastAsia="仿宋"/>
          <w:color w:val="000000"/>
          <w:sz w:val="32"/>
          <w:szCs w:val="32"/>
          <w:lang w:val="en-US" w:eastAsia="zh-CN"/>
        </w:rPr>
        <w:t>。</w:t>
      </w:r>
    </w:p>
    <w:p>
      <w:pPr>
        <w:jc w:val="center"/>
        <w:rPr>
          <w:rFonts w:ascii="仿宋" w:hAnsi="仿宋" w:eastAsia="仿宋"/>
          <w:color w:val="000000"/>
          <w:sz w:val="32"/>
          <w:szCs w:val="32"/>
        </w:rPr>
      </w:pPr>
      <w:r>
        <w:drawing>
          <wp:inline distT="0" distB="0" distL="114300" distR="114300">
            <wp:extent cx="3340735" cy="2211705"/>
            <wp:effectExtent l="5080" t="4445" r="6985" b="12700"/>
            <wp:docPr id="1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pageBreakBefore w:val="0"/>
        <w:widowControl w:val="0"/>
        <w:kinsoku/>
        <w:wordWrap/>
        <w:overflowPunct/>
        <w:topLinePunct w:val="0"/>
        <w:bidi w:val="0"/>
        <w:spacing w:line="560" w:lineRule="exact"/>
        <w:textAlignment w:val="auto"/>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5</w:t>
      </w:r>
      <w:r>
        <w:rPr>
          <w:rFonts w:hint="eastAsia" w:ascii="仿宋" w:hAnsi="仿宋" w:eastAsia="仿宋"/>
          <w:color w:val="000000"/>
          <w:sz w:val="32"/>
          <w:szCs w:val="32"/>
        </w:rPr>
        <w:t>：一般公共预算财政拨款支出决算变动情况）（柱状图）</w:t>
      </w:r>
    </w:p>
    <w:p>
      <w:pPr>
        <w:pageBreakBefore w:val="0"/>
        <w:widowControl w:val="0"/>
        <w:kinsoku/>
        <w:wordWrap/>
        <w:overflowPunct/>
        <w:topLinePunct w:val="0"/>
        <w:bidi w:val="0"/>
        <w:spacing w:line="560" w:lineRule="exact"/>
        <w:ind w:firstLine="640" w:firstLineChars="200"/>
        <w:textAlignment w:val="auto"/>
        <w:rPr>
          <w:rFonts w:ascii="仿宋" w:hAnsi="仿宋" w:eastAsia="仿宋"/>
          <w:color w:val="000000"/>
          <w:sz w:val="32"/>
          <w:szCs w:val="32"/>
        </w:rPr>
      </w:pPr>
    </w:p>
    <w:p>
      <w:pPr>
        <w:pageBreakBefore w:val="0"/>
        <w:widowControl w:val="0"/>
        <w:kinsoku/>
        <w:wordWrap/>
        <w:overflowPunct/>
        <w:topLinePunct w:val="0"/>
        <w:bidi w:val="0"/>
        <w:spacing w:line="560" w:lineRule="exact"/>
        <w:ind w:firstLine="642" w:firstLineChars="200"/>
        <w:textAlignment w:val="auto"/>
        <w:outlineLvl w:val="2"/>
        <w:rPr>
          <w:rFonts w:ascii="仿宋" w:hAnsi="仿宋" w:eastAsia="仿宋"/>
          <w:b/>
          <w:color w:val="000000"/>
          <w:sz w:val="32"/>
          <w:szCs w:val="32"/>
        </w:rPr>
      </w:pPr>
      <w:bookmarkStart w:id="36" w:name="_Toc11374"/>
      <w:bookmarkStart w:id="37" w:name="_Toc15377211"/>
      <w:bookmarkStart w:id="38" w:name="_Toc79163616"/>
      <w:r>
        <w:rPr>
          <w:rFonts w:hint="eastAsia" w:ascii="仿宋" w:hAnsi="仿宋" w:eastAsia="仿宋"/>
          <w:b/>
          <w:color w:val="000000"/>
          <w:sz w:val="32"/>
          <w:szCs w:val="32"/>
        </w:rPr>
        <w:t>（二）一般公共预算财政拨款支出决算结构情况</w:t>
      </w:r>
      <w:bookmarkEnd w:id="36"/>
      <w:bookmarkEnd w:id="37"/>
      <w:bookmarkEnd w:id="38"/>
    </w:p>
    <w:p>
      <w:pPr>
        <w:pageBreakBefore w:val="0"/>
        <w:widowControl w:val="0"/>
        <w:kinsoku/>
        <w:wordWrap/>
        <w:overflowPunct/>
        <w:topLinePunct w:val="0"/>
        <w:bidi w:val="0"/>
        <w:spacing w:line="560" w:lineRule="exact"/>
        <w:ind w:firstLine="640"/>
        <w:textAlignment w:val="auto"/>
        <w:rPr>
          <w:rFonts w:hint="eastAsia" w:ascii="仿宋" w:hAnsi="仿宋" w:eastAsia="仿宋"/>
          <w:b/>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一般公共预算财政拨款支出</w:t>
      </w:r>
      <w:r>
        <w:rPr>
          <w:rFonts w:hint="eastAsia" w:ascii="仿宋" w:hAnsi="仿宋" w:eastAsia="仿宋"/>
          <w:color w:val="000000"/>
          <w:sz w:val="32"/>
          <w:szCs w:val="32"/>
          <w:lang w:eastAsia="zh-CN"/>
        </w:rPr>
        <w:t>196.34万</w:t>
      </w:r>
      <w:r>
        <w:rPr>
          <w:rFonts w:hint="eastAsia" w:ascii="仿宋" w:hAnsi="仿宋" w:eastAsia="仿宋"/>
          <w:color w:val="000000"/>
          <w:sz w:val="32"/>
          <w:szCs w:val="32"/>
        </w:rPr>
        <w:t>元，主要用于以下方面</w:t>
      </w:r>
      <w:r>
        <w:rPr>
          <w:rFonts w:ascii="仿宋" w:hAnsi="仿宋" w:eastAsia="仿宋"/>
          <w:color w:val="000000"/>
          <w:sz w:val="32"/>
          <w:szCs w:val="32"/>
        </w:rPr>
        <w:t>:</w:t>
      </w:r>
      <w:r>
        <w:rPr>
          <w:rFonts w:hint="eastAsia" w:ascii="仿宋" w:hAnsi="仿宋" w:eastAsia="仿宋"/>
          <w:b/>
          <w:bCs/>
          <w:color w:val="000000"/>
          <w:sz w:val="32"/>
          <w:szCs w:val="32"/>
        </w:rPr>
        <w:t>一般公共服务支出</w:t>
      </w:r>
      <w:r>
        <w:rPr>
          <w:rFonts w:hint="eastAsia" w:ascii="仿宋" w:hAnsi="仿宋" w:eastAsia="仿宋"/>
          <w:color w:val="000000"/>
          <w:sz w:val="32"/>
          <w:szCs w:val="32"/>
        </w:rPr>
        <w:t>148.62万元，占</w:t>
      </w:r>
      <w:r>
        <w:rPr>
          <w:rFonts w:hint="eastAsia" w:ascii="仿宋" w:hAnsi="仿宋" w:eastAsia="仿宋"/>
          <w:color w:val="000000"/>
          <w:sz w:val="32"/>
          <w:szCs w:val="32"/>
          <w:lang w:val="en-US" w:eastAsia="zh-CN"/>
        </w:rPr>
        <w:t>75.7</w:t>
      </w:r>
      <w:r>
        <w:rPr>
          <w:rFonts w:hint="eastAsia" w:ascii="仿宋" w:hAnsi="仿宋" w:eastAsia="仿宋"/>
          <w:color w:val="000000"/>
          <w:sz w:val="32"/>
          <w:szCs w:val="32"/>
        </w:rPr>
        <w:t>%；</w:t>
      </w:r>
      <w:r>
        <w:rPr>
          <w:rFonts w:hint="eastAsia" w:ascii="仿宋" w:hAnsi="仿宋" w:eastAsia="仿宋"/>
          <w:b/>
          <w:color w:val="000000"/>
          <w:sz w:val="32"/>
          <w:szCs w:val="32"/>
        </w:rPr>
        <w:t>社会保障和就业</w:t>
      </w:r>
      <w:r>
        <w:rPr>
          <w:rFonts w:hint="eastAsia" w:ascii="仿宋" w:hAnsi="仿宋" w:eastAsia="仿宋"/>
          <w:b/>
          <w:bCs/>
          <w:color w:val="000000"/>
          <w:sz w:val="32"/>
          <w:szCs w:val="32"/>
        </w:rPr>
        <w:t>支出</w:t>
      </w:r>
      <w:r>
        <w:rPr>
          <w:rFonts w:hint="eastAsia" w:ascii="仿宋" w:hAnsi="仿宋" w:eastAsia="仿宋"/>
          <w:color w:val="000000"/>
          <w:sz w:val="32"/>
          <w:szCs w:val="32"/>
        </w:rPr>
        <w:t>24.92万元，占</w:t>
      </w:r>
      <w:r>
        <w:rPr>
          <w:rFonts w:hint="eastAsia" w:ascii="仿宋" w:hAnsi="仿宋" w:eastAsia="仿宋"/>
          <w:color w:val="000000"/>
          <w:sz w:val="32"/>
          <w:szCs w:val="32"/>
          <w:lang w:val="en-US" w:eastAsia="zh-CN"/>
        </w:rPr>
        <w:t>12.69</w:t>
      </w:r>
      <w:r>
        <w:rPr>
          <w:rFonts w:hint="eastAsia" w:ascii="仿宋" w:hAnsi="仿宋" w:eastAsia="仿宋"/>
          <w:color w:val="000000"/>
          <w:sz w:val="32"/>
          <w:szCs w:val="32"/>
        </w:rPr>
        <w:t>%；</w:t>
      </w:r>
      <w:r>
        <w:rPr>
          <w:rFonts w:hint="eastAsia" w:ascii="仿宋" w:hAnsi="仿宋" w:eastAsia="仿宋"/>
          <w:b/>
          <w:bCs/>
          <w:color w:val="000000"/>
          <w:sz w:val="32"/>
          <w:szCs w:val="32"/>
        </w:rPr>
        <w:t>卫生健康支出</w:t>
      </w:r>
      <w:r>
        <w:rPr>
          <w:rFonts w:hint="eastAsia" w:ascii="仿宋" w:hAnsi="仿宋" w:eastAsia="仿宋"/>
          <w:b w:val="0"/>
          <w:bCs w:val="0"/>
          <w:color w:val="000000"/>
          <w:sz w:val="32"/>
          <w:szCs w:val="32"/>
        </w:rPr>
        <w:t>8.86万</w:t>
      </w:r>
      <w:r>
        <w:rPr>
          <w:rFonts w:hint="eastAsia" w:ascii="仿宋" w:hAnsi="仿宋" w:eastAsia="仿宋"/>
          <w:color w:val="000000"/>
          <w:sz w:val="32"/>
          <w:szCs w:val="32"/>
        </w:rPr>
        <w:t>元，占</w:t>
      </w:r>
      <w:r>
        <w:rPr>
          <w:rFonts w:hint="eastAsia" w:ascii="仿宋" w:hAnsi="仿宋" w:eastAsia="仿宋"/>
          <w:color w:val="000000"/>
          <w:sz w:val="32"/>
          <w:szCs w:val="32"/>
          <w:lang w:val="en-US" w:eastAsia="zh-CN"/>
        </w:rPr>
        <w:t>4.51</w:t>
      </w:r>
      <w:r>
        <w:rPr>
          <w:rFonts w:hint="eastAsia" w:ascii="仿宋" w:hAnsi="仿宋" w:eastAsia="仿宋"/>
          <w:color w:val="000000"/>
          <w:sz w:val="32"/>
          <w:szCs w:val="32"/>
        </w:rPr>
        <w:t>%；</w:t>
      </w:r>
      <w:r>
        <w:rPr>
          <w:rFonts w:hint="eastAsia" w:ascii="仿宋" w:hAnsi="仿宋" w:eastAsia="仿宋"/>
          <w:b/>
          <w:bCs/>
          <w:color w:val="000000"/>
          <w:sz w:val="32"/>
          <w:szCs w:val="32"/>
          <w:lang w:eastAsia="zh-CN"/>
        </w:rPr>
        <w:t>住房保障支出</w:t>
      </w:r>
      <w:r>
        <w:rPr>
          <w:rFonts w:hint="eastAsia" w:ascii="仿宋" w:hAnsi="仿宋" w:eastAsia="仿宋"/>
          <w:b w:val="0"/>
          <w:bCs w:val="0"/>
          <w:color w:val="000000"/>
          <w:sz w:val="32"/>
          <w:szCs w:val="32"/>
          <w:lang w:val="en-US" w:eastAsia="zh-CN"/>
        </w:rPr>
        <w:t>13.94</w:t>
      </w:r>
      <w:r>
        <w:rPr>
          <w:rFonts w:hint="eastAsia" w:ascii="仿宋" w:hAnsi="仿宋" w:eastAsia="仿宋"/>
          <w:color w:val="000000"/>
          <w:sz w:val="32"/>
          <w:szCs w:val="32"/>
          <w:lang w:eastAsia="zh-CN"/>
        </w:rPr>
        <w:t>万元，</w:t>
      </w:r>
      <w:r>
        <w:rPr>
          <w:rFonts w:hint="eastAsia" w:ascii="仿宋" w:hAnsi="仿宋" w:eastAsia="仿宋"/>
          <w:color w:val="000000"/>
          <w:sz w:val="32"/>
          <w:szCs w:val="32"/>
          <w:lang w:val="en-US" w:eastAsia="zh-CN"/>
        </w:rPr>
        <w:t>占7.1</w:t>
      </w:r>
      <w:r>
        <w:rPr>
          <w:rFonts w:hint="eastAsia" w:ascii="仿宋" w:hAnsi="仿宋" w:eastAsia="仿宋"/>
          <w:color w:val="000000"/>
          <w:sz w:val="32"/>
          <w:szCs w:val="32"/>
          <w:lang w:eastAsia="zh-CN"/>
        </w:rPr>
        <w:t>%。</w:t>
      </w:r>
    </w:p>
    <w:p>
      <w:pPr>
        <w:jc w:val="center"/>
        <w:rPr>
          <w:rFonts w:ascii="仿宋" w:hAnsi="仿宋" w:eastAsia="仿宋"/>
          <w:color w:val="000000"/>
          <w:sz w:val="32"/>
          <w:szCs w:val="32"/>
        </w:rPr>
      </w:pPr>
      <w:r>
        <w:drawing>
          <wp:inline distT="0" distB="0" distL="114300" distR="114300">
            <wp:extent cx="4180840" cy="2260600"/>
            <wp:effectExtent l="4445" t="4445" r="5715" b="20955"/>
            <wp:docPr id="135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pageBreakBefore w:val="0"/>
        <w:widowControl w:val="0"/>
        <w:kinsoku/>
        <w:wordWrap/>
        <w:overflowPunct/>
        <w:topLinePunct w:val="0"/>
        <w:bidi w:val="0"/>
        <w:spacing w:line="560" w:lineRule="exact"/>
        <w:textAlignment w:val="auto"/>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：一般公共预算财政拨款支出决算结构）（饼状图）</w:t>
      </w:r>
    </w:p>
    <w:p>
      <w:pPr>
        <w:pageBreakBefore w:val="0"/>
        <w:widowControl w:val="0"/>
        <w:kinsoku/>
        <w:wordWrap/>
        <w:overflowPunct/>
        <w:topLinePunct w:val="0"/>
        <w:bidi w:val="0"/>
        <w:spacing w:line="560" w:lineRule="exact"/>
        <w:ind w:firstLine="640" w:firstLineChars="200"/>
        <w:textAlignment w:val="auto"/>
        <w:rPr>
          <w:rFonts w:ascii="仿宋" w:hAnsi="仿宋" w:eastAsia="仿宋"/>
          <w:color w:val="000000"/>
          <w:sz w:val="32"/>
          <w:szCs w:val="32"/>
        </w:rPr>
      </w:pPr>
    </w:p>
    <w:p>
      <w:pPr>
        <w:pageBreakBefore w:val="0"/>
        <w:widowControl w:val="0"/>
        <w:kinsoku/>
        <w:wordWrap/>
        <w:overflowPunct/>
        <w:topLinePunct w:val="0"/>
        <w:bidi w:val="0"/>
        <w:spacing w:line="560" w:lineRule="exact"/>
        <w:ind w:firstLine="642" w:firstLineChars="200"/>
        <w:textAlignment w:val="auto"/>
        <w:outlineLvl w:val="2"/>
        <w:rPr>
          <w:rFonts w:ascii="仿宋" w:hAnsi="仿宋" w:eastAsia="仿宋"/>
          <w:b/>
          <w:color w:val="000000"/>
          <w:sz w:val="32"/>
          <w:szCs w:val="32"/>
        </w:rPr>
      </w:pPr>
      <w:bookmarkStart w:id="39" w:name="_Toc15377212"/>
      <w:bookmarkStart w:id="40" w:name="_Toc17150"/>
      <w:bookmarkStart w:id="41" w:name="_Toc79163617"/>
      <w:r>
        <w:rPr>
          <w:rFonts w:hint="eastAsia" w:ascii="仿宋" w:hAnsi="仿宋" w:eastAsia="仿宋"/>
          <w:b/>
          <w:color w:val="000000"/>
          <w:sz w:val="32"/>
          <w:szCs w:val="32"/>
        </w:rPr>
        <w:t>（三）一般公共预算财政拨款支出决算具体情况</w:t>
      </w:r>
      <w:bookmarkEnd w:id="39"/>
      <w:bookmarkEnd w:id="40"/>
      <w:bookmarkEnd w:id="41"/>
    </w:p>
    <w:p>
      <w:pPr>
        <w:pageBreakBefore w:val="0"/>
        <w:widowControl w:val="0"/>
        <w:kinsoku/>
        <w:wordWrap/>
        <w:overflowPunct/>
        <w:topLinePunct w:val="0"/>
        <w:bidi w:val="0"/>
        <w:spacing w:line="560" w:lineRule="exact"/>
        <w:ind w:firstLine="642" w:firstLineChars="200"/>
        <w:textAlignment w:val="auto"/>
        <w:rPr>
          <w:rFonts w:hint="eastAsia" w:ascii="仿宋_GB2312" w:eastAsia="仿宋_GB2312"/>
          <w:b/>
          <w:bCs/>
          <w:sz w:val="32"/>
          <w:szCs w:val="32"/>
        </w:rPr>
      </w:pPr>
      <w:bookmarkStart w:id="42" w:name="_Toc15378460"/>
      <w:bookmarkStart w:id="43" w:name="_Toc15377444"/>
      <w:bookmarkStart w:id="44" w:name="_Toc15377213"/>
      <w:r>
        <w:rPr>
          <w:rFonts w:hint="eastAsia" w:ascii="仿宋_GB2312" w:eastAsia="仿宋_GB2312"/>
          <w:b/>
          <w:bCs/>
          <w:sz w:val="32"/>
          <w:szCs w:val="32"/>
          <w:lang w:eastAsia="zh-CN"/>
        </w:rPr>
        <w:t>2025年</w:t>
      </w:r>
      <w:r>
        <w:rPr>
          <w:rFonts w:hint="eastAsia" w:ascii="仿宋_GB2312" w:eastAsia="仿宋_GB2312"/>
          <w:b/>
          <w:bCs/>
          <w:sz w:val="32"/>
          <w:szCs w:val="32"/>
        </w:rPr>
        <w:t>一般公共预算支出决算数为</w:t>
      </w:r>
      <w:r>
        <w:rPr>
          <w:rFonts w:hint="eastAsia" w:ascii="仿宋_GB2312" w:eastAsia="仿宋_GB2312"/>
          <w:b/>
          <w:bCs/>
          <w:sz w:val="32"/>
          <w:szCs w:val="32"/>
          <w:lang w:eastAsia="zh-CN"/>
        </w:rPr>
        <w:t>196.34万</w:t>
      </w:r>
      <w:r>
        <w:rPr>
          <w:rFonts w:hint="eastAsia" w:ascii="仿宋_GB2312" w:eastAsia="仿宋_GB2312"/>
          <w:b/>
          <w:bCs/>
          <w:sz w:val="32"/>
          <w:szCs w:val="32"/>
          <w:lang w:val="en-US" w:eastAsia="zh-CN"/>
        </w:rPr>
        <w:t>元</w:t>
      </w:r>
      <w:r>
        <w:rPr>
          <w:rFonts w:hint="eastAsia" w:ascii="仿宋_GB2312" w:eastAsia="仿宋_GB2312"/>
          <w:b/>
          <w:bCs/>
          <w:sz w:val="32"/>
          <w:szCs w:val="32"/>
        </w:rPr>
        <w:t>，完成预算</w:t>
      </w:r>
      <w:r>
        <w:rPr>
          <w:rFonts w:hint="eastAsia" w:ascii="仿宋_GB2312" w:eastAsia="仿宋_GB2312"/>
          <w:b/>
          <w:bCs/>
          <w:sz w:val="32"/>
          <w:szCs w:val="32"/>
          <w:lang w:val="en-US" w:eastAsia="zh-CN"/>
        </w:rPr>
        <w:t>100</w:t>
      </w:r>
      <w:r>
        <w:rPr>
          <w:rFonts w:ascii="仿宋_GB2312" w:eastAsia="仿宋_GB2312"/>
          <w:b/>
          <w:bCs/>
          <w:sz w:val="32"/>
          <w:szCs w:val="32"/>
        </w:rPr>
        <w:t>%</w:t>
      </w:r>
      <w:r>
        <w:rPr>
          <w:rFonts w:hint="eastAsia" w:ascii="仿宋_GB2312" w:eastAsia="仿宋_GB2312"/>
          <w:b/>
          <w:bCs/>
          <w:sz w:val="32"/>
          <w:szCs w:val="32"/>
        </w:rPr>
        <w:t>。其中：</w:t>
      </w:r>
      <w:bookmarkEnd w:id="42"/>
      <w:bookmarkEnd w:id="43"/>
      <w:bookmarkEnd w:id="44"/>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2" w:firstLineChars="200"/>
        <w:jc w:val="both"/>
        <w:textAlignment w:val="auto"/>
        <w:rPr>
          <w:rFonts w:hint="default" w:ascii="仿宋_GB2312" w:hAnsi="仿宋" w:eastAsia="仿宋_GB2312" w:cs="仿宋_GB2312"/>
          <w:b w:val="0"/>
          <w:bCs/>
          <w:color w:val="000000"/>
          <w:kern w:val="2"/>
          <w:sz w:val="32"/>
          <w:szCs w:val="32"/>
          <w:lang w:val="en-US" w:eastAsia="zh-CN" w:bidi="ar"/>
        </w:rPr>
      </w:pPr>
      <w:r>
        <w:rPr>
          <w:rFonts w:hint="eastAsia" w:ascii="仿宋_GB2312" w:hAnsi="仿宋" w:eastAsia="仿宋_GB2312" w:cs="仿宋_GB2312"/>
          <w:b/>
          <w:bCs w:val="0"/>
          <w:color w:val="000000"/>
          <w:kern w:val="2"/>
          <w:sz w:val="32"/>
          <w:szCs w:val="32"/>
          <w:lang w:val="en-US" w:eastAsia="zh-CN" w:bidi="ar"/>
        </w:rPr>
        <w:t>1.</w:t>
      </w:r>
      <w:r>
        <w:rPr>
          <w:rFonts w:hint="default" w:ascii="仿宋_GB2312" w:hAnsi="仿宋" w:eastAsia="仿宋_GB2312" w:cs="仿宋_GB2312"/>
          <w:b/>
          <w:bCs w:val="0"/>
          <w:color w:val="000000"/>
          <w:kern w:val="2"/>
          <w:sz w:val="32"/>
          <w:szCs w:val="32"/>
          <w:lang w:eastAsia="zh-CN" w:bidi="ar"/>
        </w:rPr>
        <w:t>一般公共服务支出（类）</w:t>
      </w:r>
      <w:r>
        <w:rPr>
          <w:rFonts w:hint="default" w:ascii="仿宋_GB2312" w:hAnsi="仿宋" w:eastAsia="仿宋_GB2312" w:cs="仿宋_GB2312"/>
          <w:b/>
          <w:bCs w:val="0"/>
          <w:color w:val="000000"/>
          <w:kern w:val="2"/>
          <w:sz w:val="32"/>
          <w:szCs w:val="32"/>
          <w:lang w:val="en-US" w:eastAsia="zh-CN" w:bidi="ar"/>
        </w:rPr>
        <w:t>民族事务（款）行政运行（项）</w:t>
      </w:r>
      <w:r>
        <w:rPr>
          <w:rFonts w:hint="default" w:ascii="仿宋_GB2312" w:hAnsi="仿宋" w:eastAsia="仿宋_GB2312" w:cs="仿宋_GB2312"/>
          <w:b w:val="0"/>
          <w:bCs/>
          <w:color w:val="000000"/>
          <w:kern w:val="2"/>
          <w:sz w:val="32"/>
          <w:szCs w:val="32"/>
          <w:lang w:val="en-US" w:eastAsia="zh-CN" w:bidi="ar"/>
        </w:rPr>
        <w:t>:支出决算为140.69万元，完成预算100%。</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right="0" w:rightChars="0" w:firstLine="642" w:firstLineChars="200"/>
        <w:jc w:val="both"/>
        <w:textAlignment w:val="auto"/>
        <w:rPr>
          <w:rFonts w:hint="default" w:ascii="仿宋_GB2312" w:hAnsi="仿宋" w:eastAsia="仿宋_GB2312" w:cs="仿宋_GB2312"/>
          <w:b w:val="0"/>
          <w:bCs/>
          <w:color w:val="000000"/>
          <w:kern w:val="2"/>
          <w:sz w:val="32"/>
          <w:szCs w:val="32"/>
          <w:lang w:eastAsia="zh-CN" w:bidi="ar"/>
        </w:rPr>
      </w:pPr>
      <w:r>
        <w:rPr>
          <w:rFonts w:hint="eastAsia" w:ascii="仿宋_GB2312" w:hAnsi="仿宋" w:eastAsia="仿宋_GB2312" w:cs="仿宋_GB2312"/>
          <w:b/>
          <w:bCs w:val="0"/>
          <w:color w:val="000000"/>
          <w:kern w:val="2"/>
          <w:sz w:val="32"/>
          <w:szCs w:val="32"/>
          <w:lang w:val="en-US" w:eastAsia="zh-CN" w:bidi="ar"/>
        </w:rPr>
        <w:t>2</w:t>
      </w:r>
      <w:r>
        <w:rPr>
          <w:rFonts w:hint="eastAsia" w:ascii="仿宋_GB2312" w:hAnsi="仿宋" w:eastAsia="仿宋_GB2312" w:cs="仿宋_GB2312"/>
          <w:b w:val="0"/>
          <w:bCs/>
          <w:color w:val="000000"/>
          <w:kern w:val="2"/>
          <w:sz w:val="32"/>
          <w:szCs w:val="32"/>
          <w:lang w:val="en-US" w:eastAsia="zh-CN" w:bidi="ar"/>
        </w:rPr>
        <w:t>.</w:t>
      </w:r>
      <w:r>
        <w:rPr>
          <w:rFonts w:hint="default" w:ascii="仿宋_GB2312" w:hAnsi="仿宋" w:eastAsia="仿宋_GB2312" w:cs="仿宋_GB2312"/>
          <w:b/>
          <w:bCs w:val="0"/>
          <w:color w:val="000000"/>
          <w:kern w:val="2"/>
          <w:sz w:val="32"/>
          <w:szCs w:val="32"/>
          <w:lang w:eastAsia="zh-CN" w:bidi="ar"/>
        </w:rPr>
        <w:t>一般公共服务支出（类）</w:t>
      </w:r>
      <w:r>
        <w:rPr>
          <w:rFonts w:hint="default" w:ascii="仿宋_GB2312" w:hAnsi="仿宋" w:eastAsia="仿宋_GB2312" w:cs="仿宋_GB2312"/>
          <w:b/>
          <w:bCs w:val="0"/>
          <w:color w:val="000000"/>
          <w:kern w:val="2"/>
          <w:sz w:val="32"/>
          <w:szCs w:val="32"/>
          <w:lang w:val="en-US" w:eastAsia="zh-CN" w:bidi="ar"/>
        </w:rPr>
        <w:t>民族事务</w:t>
      </w:r>
      <w:r>
        <w:rPr>
          <w:rFonts w:hint="eastAsia" w:ascii="仿宋_GB2312" w:hAnsi="仿宋" w:eastAsia="仿宋_GB2312" w:cs="仿宋_GB2312"/>
          <w:b/>
          <w:bCs w:val="0"/>
          <w:color w:val="000000"/>
          <w:kern w:val="2"/>
          <w:sz w:val="32"/>
          <w:szCs w:val="32"/>
          <w:lang w:val="en-US" w:eastAsia="zh-CN" w:bidi="ar"/>
        </w:rPr>
        <w:t>（款）</w:t>
      </w:r>
      <w:r>
        <w:rPr>
          <w:rFonts w:hint="default" w:ascii="仿宋_GB2312" w:hAnsi="仿宋" w:eastAsia="仿宋_GB2312" w:cs="仿宋_GB2312"/>
          <w:b/>
          <w:bCs w:val="0"/>
          <w:color w:val="000000"/>
          <w:kern w:val="2"/>
          <w:sz w:val="32"/>
          <w:szCs w:val="32"/>
          <w:lang w:val="en-US" w:eastAsia="zh-CN" w:bidi="ar"/>
        </w:rPr>
        <w:t>其他民族事务支出（项）:</w:t>
      </w:r>
      <w:r>
        <w:rPr>
          <w:rFonts w:hint="default" w:ascii="仿宋_GB2312" w:hAnsi="仿宋" w:eastAsia="仿宋_GB2312" w:cs="仿宋_GB2312"/>
          <w:b w:val="0"/>
          <w:bCs/>
          <w:color w:val="000000"/>
          <w:kern w:val="2"/>
          <w:sz w:val="32"/>
          <w:szCs w:val="32"/>
          <w:lang w:val="en-US" w:eastAsia="zh-CN" w:bidi="ar"/>
        </w:rPr>
        <w:t>支出决算为4.93万元，完成预算100%</w:t>
      </w:r>
      <w:r>
        <w:rPr>
          <w:rFonts w:hint="eastAsia" w:ascii="仿宋_GB2312" w:hAnsi="仿宋" w:eastAsia="仿宋_GB2312" w:cs="仿宋_GB2312"/>
          <w:b w:val="0"/>
          <w:bCs/>
          <w:color w:val="000000"/>
          <w:kern w:val="2"/>
          <w:sz w:val="32"/>
          <w:szCs w:val="32"/>
          <w:lang w:val="en-US" w:eastAsia="zh-CN" w:bidi="ar"/>
        </w:rPr>
        <w:t>。</w:t>
      </w:r>
      <w:r>
        <w:rPr>
          <w:rFonts w:hint="default" w:ascii="仿宋_GB2312" w:hAnsi="仿宋" w:eastAsia="仿宋_GB2312" w:cs="仿宋_GB2312"/>
          <w:b w:val="0"/>
          <w:bCs/>
          <w:color w:val="000000"/>
          <w:kern w:val="2"/>
          <w:sz w:val="32"/>
          <w:szCs w:val="32"/>
          <w:lang w:eastAsia="zh-CN" w:bidi="ar"/>
        </w:rPr>
        <w:t xml:space="preserve"> </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right="0" w:rightChars="0" w:firstLine="642" w:firstLineChars="200"/>
        <w:jc w:val="both"/>
        <w:textAlignment w:val="auto"/>
        <w:rPr>
          <w:rFonts w:hint="default" w:ascii="仿宋_GB2312" w:hAnsi="仿宋" w:eastAsia="仿宋_GB2312" w:cs="仿宋_GB2312"/>
          <w:b w:val="0"/>
          <w:bCs/>
          <w:color w:val="000000"/>
          <w:kern w:val="2"/>
          <w:sz w:val="32"/>
          <w:szCs w:val="32"/>
          <w:lang w:eastAsia="zh-CN" w:bidi="ar"/>
        </w:rPr>
      </w:pPr>
      <w:r>
        <w:rPr>
          <w:rFonts w:hint="eastAsia" w:ascii="仿宋_GB2312" w:hAnsi="仿宋" w:eastAsia="仿宋_GB2312" w:cs="仿宋_GB2312"/>
          <w:b/>
          <w:bCs w:val="0"/>
          <w:color w:val="000000"/>
          <w:kern w:val="2"/>
          <w:sz w:val="32"/>
          <w:szCs w:val="32"/>
          <w:lang w:val="en-US" w:eastAsia="zh-CN" w:bidi="ar"/>
        </w:rPr>
        <w:t>3</w:t>
      </w:r>
      <w:r>
        <w:rPr>
          <w:rFonts w:hint="eastAsia" w:ascii="仿宋_GB2312" w:hAnsi="仿宋" w:eastAsia="仿宋_GB2312" w:cs="仿宋_GB2312"/>
          <w:b w:val="0"/>
          <w:bCs/>
          <w:color w:val="000000"/>
          <w:kern w:val="2"/>
          <w:sz w:val="32"/>
          <w:szCs w:val="32"/>
          <w:lang w:val="en-US" w:eastAsia="zh-CN" w:bidi="ar"/>
        </w:rPr>
        <w:t>.</w:t>
      </w:r>
      <w:r>
        <w:rPr>
          <w:rFonts w:hint="default" w:ascii="仿宋_GB2312" w:hAnsi="仿宋" w:eastAsia="仿宋_GB2312" w:cs="仿宋_GB2312"/>
          <w:b/>
          <w:bCs w:val="0"/>
          <w:color w:val="000000"/>
          <w:kern w:val="2"/>
          <w:sz w:val="32"/>
          <w:szCs w:val="32"/>
          <w:lang w:eastAsia="zh-CN" w:bidi="ar"/>
        </w:rPr>
        <w:t>一般公共服务支出（类）</w:t>
      </w:r>
      <w:r>
        <w:rPr>
          <w:rFonts w:hint="eastAsia" w:ascii="仿宋_GB2312" w:hAnsi="仿宋" w:eastAsia="仿宋_GB2312" w:cs="仿宋_GB2312"/>
          <w:b/>
          <w:bCs w:val="0"/>
          <w:color w:val="000000"/>
          <w:kern w:val="2"/>
          <w:sz w:val="32"/>
          <w:szCs w:val="32"/>
          <w:lang w:val="en-US" w:eastAsia="zh-CN" w:bidi="ar"/>
        </w:rPr>
        <w:t>统战事务（款）</w:t>
      </w:r>
      <w:r>
        <w:rPr>
          <w:rFonts w:hint="default" w:ascii="仿宋_GB2312" w:hAnsi="仿宋" w:eastAsia="仿宋_GB2312" w:cs="仿宋_GB2312"/>
          <w:b/>
          <w:bCs w:val="0"/>
          <w:color w:val="000000"/>
          <w:kern w:val="2"/>
          <w:sz w:val="32"/>
          <w:szCs w:val="32"/>
          <w:lang w:val="en-US" w:eastAsia="zh-CN" w:bidi="ar"/>
        </w:rPr>
        <w:t>宗教事务（项）:</w:t>
      </w:r>
      <w:r>
        <w:rPr>
          <w:rFonts w:hint="default" w:ascii="仿宋_GB2312" w:hAnsi="仿宋" w:eastAsia="仿宋_GB2312" w:cs="仿宋_GB2312"/>
          <w:b w:val="0"/>
          <w:bCs/>
          <w:color w:val="000000"/>
          <w:kern w:val="2"/>
          <w:sz w:val="32"/>
          <w:szCs w:val="32"/>
          <w:lang w:val="en-US" w:eastAsia="zh-CN" w:bidi="ar"/>
        </w:rPr>
        <w:t>支出决算为3万元，完成预算100%</w:t>
      </w:r>
      <w:r>
        <w:rPr>
          <w:rFonts w:hint="eastAsia" w:ascii="仿宋_GB2312" w:hAnsi="仿宋" w:eastAsia="仿宋_GB2312" w:cs="仿宋_GB2312"/>
          <w:b w:val="0"/>
          <w:bCs/>
          <w:color w:val="000000"/>
          <w:kern w:val="2"/>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ascii="仿宋" w:hAnsi="仿宋" w:eastAsia="仿宋"/>
          <w:b/>
          <w:color w:val="000000"/>
          <w:sz w:val="32"/>
          <w:szCs w:val="32"/>
        </w:rPr>
      </w:pPr>
      <w:r>
        <w:rPr>
          <w:rStyle w:val="25"/>
          <w:rFonts w:hint="eastAsia" w:ascii="仿宋" w:hAnsi="仿宋" w:eastAsia="仿宋"/>
          <w:bCs/>
          <w:color w:val="000000"/>
          <w:sz w:val="32"/>
          <w:szCs w:val="32"/>
          <w:lang w:val="en-US" w:eastAsia="zh-CN"/>
        </w:rPr>
        <w:t>4</w:t>
      </w:r>
      <w:r>
        <w:rPr>
          <w:rStyle w:val="25"/>
          <w:rFonts w:ascii="仿宋" w:hAnsi="仿宋" w:eastAsia="仿宋"/>
          <w:bCs/>
          <w:color w:val="000000"/>
          <w:sz w:val="32"/>
          <w:szCs w:val="32"/>
        </w:rPr>
        <w:t>.</w:t>
      </w:r>
      <w:r>
        <w:rPr>
          <w:rStyle w:val="25"/>
          <w:rFonts w:hint="eastAsia" w:ascii="仿宋" w:hAnsi="仿宋" w:eastAsia="仿宋"/>
          <w:bCs/>
          <w:color w:val="000000"/>
          <w:sz w:val="32"/>
          <w:szCs w:val="32"/>
        </w:rPr>
        <w:t>社会保障和就业支出（类）行政事业单位养老支出（款）机关事业单位基本养老保险缴费支出（项）</w:t>
      </w:r>
      <w:r>
        <w:rPr>
          <w:rStyle w:val="25"/>
          <w:rFonts w:ascii="仿宋" w:hAnsi="仿宋" w:eastAsia="仿宋"/>
          <w:bCs/>
          <w:color w:val="000000"/>
          <w:sz w:val="32"/>
          <w:szCs w:val="32"/>
        </w:rPr>
        <w:t>:</w:t>
      </w:r>
      <w:r>
        <w:rPr>
          <w:rStyle w:val="25"/>
          <w:rFonts w:ascii="仿宋" w:hAnsi="仿宋" w:eastAsia="仿宋"/>
          <w:b w:val="0"/>
          <w:bCs/>
          <w:color w:val="000000"/>
          <w:sz w:val="32"/>
          <w:szCs w:val="32"/>
        </w:rPr>
        <w:t xml:space="preserve"> </w:t>
      </w:r>
      <w:r>
        <w:rPr>
          <w:rStyle w:val="25"/>
          <w:rFonts w:hint="eastAsia" w:ascii="仿宋" w:hAnsi="仿宋" w:eastAsia="仿宋"/>
          <w:b w:val="0"/>
          <w:bCs/>
          <w:color w:val="000000"/>
          <w:sz w:val="32"/>
          <w:szCs w:val="32"/>
        </w:rPr>
        <w:t>支出决算为16.61万元，完成预算</w:t>
      </w:r>
      <w:r>
        <w:rPr>
          <w:rStyle w:val="25"/>
          <w:rFonts w:hint="eastAsia" w:ascii="仿宋" w:hAnsi="仿宋" w:eastAsia="仿宋"/>
          <w:b w:val="0"/>
          <w:bCs/>
          <w:color w:val="000000"/>
          <w:sz w:val="32"/>
          <w:szCs w:val="32"/>
          <w:lang w:val="en-US" w:eastAsia="zh-CN"/>
        </w:rPr>
        <w:t>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2" w:firstLineChars="200"/>
        <w:rPr>
          <w:rStyle w:val="25"/>
          <w:rFonts w:hint="eastAsia" w:ascii="仿宋" w:hAnsi="仿宋" w:eastAsia="仿宋"/>
          <w:b w:val="0"/>
          <w:bCs/>
          <w:color w:val="000000"/>
          <w:sz w:val="32"/>
          <w:szCs w:val="32"/>
        </w:rPr>
      </w:pPr>
      <w:r>
        <w:rPr>
          <w:rStyle w:val="25"/>
          <w:rFonts w:hint="eastAsia" w:ascii="仿宋" w:hAnsi="仿宋" w:eastAsia="仿宋"/>
          <w:bCs/>
          <w:color w:val="000000"/>
          <w:sz w:val="32"/>
          <w:szCs w:val="32"/>
          <w:lang w:val="en-US" w:eastAsia="zh-CN"/>
        </w:rPr>
        <w:t>5</w:t>
      </w:r>
      <w:r>
        <w:rPr>
          <w:rStyle w:val="25"/>
          <w:rFonts w:ascii="仿宋" w:hAnsi="仿宋" w:eastAsia="仿宋"/>
          <w:bCs/>
          <w:color w:val="000000"/>
          <w:sz w:val="32"/>
          <w:szCs w:val="32"/>
        </w:rPr>
        <w:t>.</w:t>
      </w:r>
      <w:r>
        <w:rPr>
          <w:rFonts w:hint="eastAsia" w:ascii="仿宋" w:hAnsi="仿宋" w:eastAsia="仿宋"/>
          <w:b/>
          <w:bCs/>
          <w:color w:val="000000"/>
          <w:sz w:val="32"/>
          <w:szCs w:val="32"/>
        </w:rPr>
        <w:t>社会保障和就业支出（类）行政事业单位养老支出（款）机关事业单位职业年金缴费支出（项）</w:t>
      </w:r>
      <w:r>
        <w:rPr>
          <w:rStyle w:val="25"/>
          <w:rFonts w:ascii="仿宋" w:hAnsi="仿宋" w:eastAsia="仿宋"/>
          <w:bCs/>
          <w:color w:val="000000"/>
          <w:sz w:val="32"/>
          <w:szCs w:val="32"/>
        </w:rPr>
        <w:t>:</w:t>
      </w:r>
      <w:r>
        <w:rPr>
          <w:rStyle w:val="25"/>
          <w:rFonts w:hint="eastAsia" w:ascii="仿宋" w:hAnsi="仿宋" w:eastAsia="仿宋"/>
          <w:b w:val="0"/>
          <w:bCs/>
          <w:color w:val="000000"/>
          <w:sz w:val="32"/>
          <w:szCs w:val="32"/>
        </w:rPr>
        <w:t>支出决算为</w:t>
      </w:r>
      <w:r>
        <w:rPr>
          <w:rStyle w:val="25"/>
          <w:rFonts w:hint="eastAsia" w:ascii="仿宋" w:hAnsi="仿宋" w:eastAsia="仿宋"/>
          <w:b w:val="0"/>
          <w:bCs/>
          <w:color w:val="000000"/>
          <w:sz w:val="32"/>
          <w:szCs w:val="32"/>
          <w:lang w:val="en-US" w:eastAsia="zh-CN"/>
        </w:rPr>
        <w:t>8.31</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2" w:firstLineChars="200"/>
        <w:rPr>
          <w:rFonts w:hint="eastAsia" w:ascii="仿宋" w:hAnsi="仿宋" w:eastAsia="仿宋"/>
          <w:b/>
          <w:color w:val="000000"/>
          <w:sz w:val="32"/>
          <w:szCs w:val="32"/>
        </w:rPr>
      </w:pPr>
      <w:r>
        <w:rPr>
          <w:rStyle w:val="25"/>
          <w:rFonts w:hint="eastAsia" w:ascii="仿宋" w:hAnsi="仿宋" w:eastAsia="仿宋"/>
          <w:color w:val="000000"/>
          <w:sz w:val="32"/>
          <w:szCs w:val="32"/>
          <w:lang w:val="en-US" w:eastAsia="zh-CN"/>
        </w:rPr>
        <w:t>6</w:t>
      </w:r>
      <w:r>
        <w:rPr>
          <w:rStyle w:val="25"/>
          <w:rFonts w:hint="eastAsia" w:ascii="仿宋" w:hAnsi="仿宋" w:eastAsia="仿宋"/>
          <w:color w:val="000000"/>
          <w:sz w:val="32"/>
          <w:szCs w:val="32"/>
        </w:rPr>
        <w:t>.卫生健康支出（类）行政事业单位医疗（款）行政单位医疗（项）:</w:t>
      </w:r>
      <w:r>
        <w:rPr>
          <w:rStyle w:val="25"/>
          <w:rFonts w:hint="eastAsia" w:ascii="仿宋" w:hAnsi="仿宋" w:eastAsia="仿宋"/>
          <w:b w:val="0"/>
          <w:color w:val="000000"/>
          <w:sz w:val="32"/>
          <w:szCs w:val="32"/>
        </w:rPr>
        <w:t xml:space="preserve"> 支出决算为</w:t>
      </w:r>
      <w:r>
        <w:rPr>
          <w:rStyle w:val="25"/>
          <w:rFonts w:hint="eastAsia" w:ascii="仿宋" w:hAnsi="仿宋" w:eastAsia="仿宋"/>
          <w:b w:val="0"/>
          <w:color w:val="000000"/>
          <w:sz w:val="32"/>
          <w:szCs w:val="32"/>
          <w:lang w:val="en-US" w:eastAsia="zh-CN"/>
        </w:rPr>
        <w:t>7.73</w:t>
      </w:r>
      <w:r>
        <w:rPr>
          <w:rStyle w:val="25"/>
          <w:rFonts w:hint="eastAsia" w:ascii="仿宋" w:hAnsi="仿宋" w:eastAsia="仿宋"/>
          <w:b w:val="0"/>
          <w:color w:val="000000"/>
          <w:sz w:val="32"/>
          <w:szCs w:val="32"/>
        </w:rPr>
        <w:t>万元，完成预算100%。</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2" w:firstLineChars="200"/>
        <w:rPr>
          <w:rStyle w:val="25"/>
          <w:rFonts w:hint="eastAsia" w:ascii="仿宋" w:hAnsi="仿宋" w:eastAsia="仿宋"/>
          <w:b w:val="0"/>
          <w:color w:val="000000"/>
          <w:sz w:val="32"/>
          <w:szCs w:val="32"/>
        </w:rPr>
      </w:pPr>
      <w:r>
        <w:rPr>
          <w:rStyle w:val="25"/>
          <w:rFonts w:hint="eastAsia" w:ascii="仿宋" w:hAnsi="仿宋" w:eastAsia="仿宋"/>
          <w:color w:val="000000"/>
          <w:sz w:val="32"/>
          <w:szCs w:val="32"/>
          <w:lang w:val="en-US" w:eastAsia="zh-CN"/>
        </w:rPr>
        <w:t>7</w:t>
      </w:r>
      <w:r>
        <w:rPr>
          <w:rStyle w:val="25"/>
          <w:rFonts w:hint="eastAsia" w:ascii="仿宋" w:hAnsi="仿宋" w:eastAsia="仿宋"/>
          <w:color w:val="000000"/>
          <w:sz w:val="32"/>
          <w:szCs w:val="32"/>
        </w:rPr>
        <w:t xml:space="preserve">.卫生健康支出（类）行政事业单位医疗（款）公务员医疗补助（项）: </w:t>
      </w:r>
      <w:r>
        <w:rPr>
          <w:rStyle w:val="25"/>
          <w:rFonts w:hint="eastAsia" w:ascii="仿宋" w:hAnsi="仿宋" w:eastAsia="仿宋"/>
          <w:b w:val="0"/>
          <w:color w:val="000000"/>
          <w:sz w:val="32"/>
          <w:szCs w:val="32"/>
        </w:rPr>
        <w:t>支出决算为1.13万元，完成预算100%。</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ascii="仿宋" w:hAnsi="仿宋" w:eastAsia="仿宋"/>
          <w:b/>
          <w:color w:val="FF0000"/>
          <w:sz w:val="32"/>
          <w:szCs w:val="32"/>
        </w:rPr>
      </w:pPr>
      <w:r>
        <w:rPr>
          <w:rStyle w:val="25"/>
          <w:rFonts w:hint="eastAsia" w:ascii="仿宋" w:hAnsi="仿宋" w:eastAsia="仿宋"/>
          <w:color w:val="000000"/>
          <w:sz w:val="32"/>
          <w:szCs w:val="32"/>
          <w:lang w:val="en-US" w:eastAsia="zh-CN"/>
        </w:rPr>
        <w:t>8</w:t>
      </w:r>
      <w:r>
        <w:rPr>
          <w:rFonts w:hint="eastAsia" w:ascii="仿宋" w:hAnsi="仿宋" w:eastAsia="仿宋" w:cs="仿宋"/>
          <w:b/>
          <w:bCs w:val="0"/>
          <w:color w:val="000000"/>
          <w:kern w:val="2"/>
          <w:sz w:val="32"/>
          <w:szCs w:val="32"/>
          <w:lang w:val="en-US" w:eastAsia="zh-CN" w:bidi="ar"/>
        </w:rPr>
        <w:t>.住房保障支出（类）住房改革支出（款）住房公积金（项）:</w:t>
      </w:r>
      <w:r>
        <w:rPr>
          <w:rFonts w:hint="eastAsia" w:ascii="仿宋" w:hAnsi="仿宋" w:eastAsia="仿宋" w:cs="仿宋"/>
          <w:b w:val="0"/>
          <w:color w:val="000000"/>
          <w:kern w:val="2"/>
          <w:sz w:val="32"/>
          <w:szCs w:val="32"/>
          <w:lang w:val="en-US" w:eastAsia="zh-CN" w:bidi="ar"/>
        </w:rPr>
        <w:t>支出决算为13.94万元，完成预算100%。</w:t>
      </w:r>
    </w:p>
    <w:p>
      <w:pPr>
        <w:pageBreakBefore w:val="0"/>
        <w:widowControl w:val="0"/>
        <w:kinsoku/>
        <w:wordWrap/>
        <w:overflowPunct/>
        <w:topLinePunct w:val="0"/>
        <w:bidi w:val="0"/>
        <w:spacing w:line="560" w:lineRule="exact"/>
        <w:ind w:firstLine="640"/>
        <w:textAlignment w:val="auto"/>
        <w:rPr>
          <w:rFonts w:ascii="仿宋" w:hAnsi="仿宋" w:eastAsia="仿宋"/>
          <w:b/>
          <w:color w:val="000000"/>
          <w:sz w:val="32"/>
          <w:szCs w:val="32"/>
        </w:rPr>
      </w:pPr>
    </w:p>
    <w:p>
      <w:pPr>
        <w:pageBreakBefore w:val="0"/>
        <w:widowControl w:val="0"/>
        <w:tabs>
          <w:tab w:val="right" w:pos="8306"/>
        </w:tabs>
        <w:kinsoku/>
        <w:wordWrap/>
        <w:overflowPunct/>
        <w:topLinePunct w:val="0"/>
        <w:bidi w:val="0"/>
        <w:spacing w:line="560" w:lineRule="exact"/>
        <w:ind w:firstLine="640"/>
        <w:textAlignment w:val="auto"/>
        <w:outlineLvl w:val="1"/>
        <w:rPr>
          <w:rStyle w:val="30"/>
        </w:rPr>
      </w:pPr>
      <w:bookmarkStart w:id="45" w:name="_Toc79163618"/>
      <w:bookmarkStart w:id="46" w:name="_Toc7382"/>
      <w:bookmarkStart w:id="47" w:name="_Toc15377214"/>
      <w:bookmarkStart w:id="48"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30"/>
          <w:rFonts w:hint="eastAsia" w:ascii="黑体" w:hAnsi="黑体" w:eastAsia="黑体"/>
          <w:b w:val="0"/>
        </w:rPr>
        <w:t>般公共预算财政拨款基本支出决算情况说明</w:t>
      </w:r>
      <w:bookmarkEnd w:id="45"/>
      <w:bookmarkEnd w:id="46"/>
      <w:bookmarkEnd w:id="47"/>
      <w:bookmarkEnd w:id="48"/>
      <w:r>
        <w:rPr>
          <w:rStyle w:val="30"/>
          <w:rFonts w:ascii="黑体" w:hAnsi="黑体" w:eastAsia="黑体"/>
          <w:b w:val="0"/>
        </w:rPr>
        <w:tab/>
      </w:r>
    </w:p>
    <w:p>
      <w:pPr>
        <w:pageBreakBefore w:val="0"/>
        <w:widowControl w:val="0"/>
        <w:kinsoku/>
        <w:wordWrap/>
        <w:overflowPunct/>
        <w:topLinePunct w:val="0"/>
        <w:bidi w:val="0"/>
        <w:spacing w:line="560" w:lineRule="exact"/>
        <w:ind w:firstLine="645"/>
        <w:textAlignment w:val="auto"/>
        <w:rPr>
          <w:rFonts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一般公共预算财政拨款基本支出</w:t>
      </w:r>
      <w:r>
        <w:rPr>
          <w:rFonts w:hint="eastAsia" w:ascii="仿宋" w:hAnsi="仿宋" w:eastAsia="仿宋"/>
          <w:color w:val="000000"/>
          <w:sz w:val="32"/>
          <w:szCs w:val="32"/>
          <w:lang w:val="en-US" w:eastAsia="zh-CN"/>
        </w:rPr>
        <w:t>188.41</w:t>
      </w:r>
      <w:r>
        <w:rPr>
          <w:rFonts w:hint="eastAsia" w:ascii="仿宋" w:hAnsi="仿宋" w:eastAsia="仿宋"/>
          <w:color w:val="000000"/>
          <w:sz w:val="32"/>
          <w:szCs w:val="32"/>
        </w:rPr>
        <w:t>万元，其中：</w:t>
      </w:r>
    </w:p>
    <w:p>
      <w:pPr>
        <w:pageBreakBefore w:val="0"/>
        <w:widowControl w:val="0"/>
        <w:kinsoku/>
        <w:wordWrap/>
        <w:overflowPunct/>
        <w:topLinePunct w:val="0"/>
        <w:bidi w:val="0"/>
        <w:spacing w:line="560" w:lineRule="exact"/>
        <w:ind w:firstLine="645"/>
        <w:textAlignment w:val="auto"/>
        <w:rPr>
          <w:rFonts w:hint="eastAsia" w:ascii="仿宋" w:hAnsi="仿宋" w:eastAsia="仿宋"/>
          <w:color w:val="000000"/>
          <w:sz w:val="32"/>
          <w:szCs w:val="32"/>
          <w:lang w:eastAsia="zh-CN"/>
        </w:rPr>
      </w:pPr>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170.01</w:t>
      </w:r>
      <w:r>
        <w:rPr>
          <w:rFonts w:hint="eastAsia" w:ascii="仿宋" w:hAnsi="仿宋" w:eastAsia="仿宋"/>
          <w:color w:val="000000"/>
          <w:sz w:val="32"/>
          <w:szCs w:val="32"/>
        </w:rPr>
        <w:t>万元，主要包括：基本工资、津贴补贴</w:t>
      </w:r>
      <w:r>
        <w:rPr>
          <w:rFonts w:hint="eastAsia" w:ascii="仿宋" w:hAnsi="仿宋" w:eastAsia="仿宋"/>
          <w:color w:val="000000"/>
          <w:sz w:val="32"/>
          <w:szCs w:val="32"/>
          <w:lang w:eastAsia="zh-CN"/>
        </w:rPr>
        <w:t>、奖金、</w:t>
      </w:r>
      <w:r>
        <w:rPr>
          <w:rFonts w:hint="eastAsia" w:ascii="仿宋" w:hAnsi="仿宋" w:eastAsia="仿宋"/>
          <w:color w:val="000000"/>
          <w:sz w:val="32"/>
          <w:szCs w:val="32"/>
          <w:lang w:val="en-US" w:eastAsia="zh-CN"/>
        </w:rPr>
        <w:t>绩效工资、</w:t>
      </w:r>
      <w:r>
        <w:rPr>
          <w:rFonts w:hint="eastAsia" w:ascii="仿宋" w:hAnsi="仿宋" w:eastAsia="仿宋"/>
          <w:color w:val="000000"/>
          <w:sz w:val="32"/>
          <w:szCs w:val="32"/>
          <w:lang w:eastAsia="zh-CN"/>
        </w:rPr>
        <w:t>机关事业单位基本养老保险费、职业年金缴费、职工基本医疗保险缴费、其他社会保障缴费、住房公积金、医疗费补助</w:t>
      </w:r>
      <w:r>
        <w:rPr>
          <w:rFonts w:hint="eastAsia" w:ascii="仿宋" w:hAnsi="仿宋" w:eastAsia="仿宋"/>
          <w:color w:val="000000"/>
          <w:sz w:val="32"/>
          <w:szCs w:val="32"/>
        </w:rPr>
        <w:t>。</w:t>
      </w:r>
    </w:p>
    <w:p>
      <w:pPr>
        <w:pageBreakBefore w:val="0"/>
        <w:widowControl w:val="0"/>
        <w:kinsoku/>
        <w:wordWrap/>
        <w:overflowPunct/>
        <w:topLinePunct w:val="0"/>
        <w:bidi w:val="0"/>
        <w:spacing w:line="560" w:lineRule="exact"/>
        <w:ind w:firstLine="645"/>
        <w:textAlignment w:val="auto"/>
        <w:rPr>
          <w:rFonts w:ascii="仿宋" w:hAnsi="仿宋" w:eastAsia="仿宋"/>
          <w:b/>
          <w:color w:val="FF0000"/>
          <w:sz w:val="32"/>
          <w:szCs w:val="32"/>
        </w:rPr>
      </w:pPr>
      <w:r>
        <w:rPr>
          <w:rFonts w:hint="eastAsia" w:ascii="仿宋" w:hAnsi="仿宋" w:eastAsia="仿宋"/>
          <w:color w:val="000000"/>
          <w:sz w:val="32"/>
          <w:szCs w:val="32"/>
        </w:rPr>
        <w:t>日常公用经费</w:t>
      </w:r>
      <w:r>
        <w:rPr>
          <w:rFonts w:hint="eastAsia" w:ascii="仿宋" w:hAnsi="仿宋" w:eastAsia="仿宋"/>
          <w:color w:val="000000"/>
          <w:sz w:val="32"/>
          <w:szCs w:val="32"/>
          <w:lang w:val="en-US" w:eastAsia="zh-CN"/>
        </w:rPr>
        <w:t>18.4</w:t>
      </w:r>
      <w:r>
        <w:rPr>
          <w:rFonts w:hint="eastAsia" w:ascii="仿宋" w:hAnsi="仿宋" w:eastAsia="仿宋"/>
          <w:color w:val="000000"/>
          <w:sz w:val="32"/>
          <w:szCs w:val="32"/>
        </w:rPr>
        <w:t>万元，主要包括：办公费、</w:t>
      </w:r>
      <w:r>
        <w:rPr>
          <w:rFonts w:hint="eastAsia" w:ascii="仿宋" w:hAnsi="仿宋" w:eastAsia="仿宋"/>
          <w:color w:val="000000"/>
          <w:sz w:val="32"/>
          <w:szCs w:val="32"/>
          <w:lang w:eastAsia="zh-CN"/>
        </w:rPr>
        <w:t>印刷</w:t>
      </w:r>
      <w:r>
        <w:rPr>
          <w:rFonts w:hint="eastAsia" w:ascii="仿宋" w:hAnsi="仿宋" w:eastAsia="仿宋"/>
          <w:color w:val="000000"/>
          <w:sz w:val="32"/>
          <w:szCs w:val="32"/>
        </w:rPr>
        <w:t>费</w:t>
      </w:r>
      <w:r>
        <w:rPr>
          <w:rFonts w:hint="eastAsia" w:ascii="仿宋" w:hAnsi="仿宋" w:eastAsia="仿宋"/>
          <w:color w:val="000000"/>
          <w:sz w:val="32"/>
          <w:szCs w:val="32"/>
          <w:lang w:eastAsia="zh-CN"/>
        </w:rPr>
        <w:t>、电费、</w:t>
      </w:r>
      <w:r>
        <w:rPr>
          <w:rFonts w:hint="eastAsia" w:ascii="仿宋" w:hAnsi="仿宋" w:eastAsia="仿宋"/>
          <w:color w:val="000000"/>
          <w:sz w:val="32"/>
          <w:szCs w:val="32"/>
          <w:lang w:val="en-US" w:eastAsia="zh-CN"/>
        </w:rPr>
        <w:t>邮电费、</w:t>
      </w:r>
      <w:r>
        <w:rPr>
          <w:rFonts w:hint="eastAsia" w:ascii="仿宋" w:hAnsi="仿宋" w:eastAsia="仿宋"/>
          <w:color w:val="000000"/>
          <w:sz w:val="32"/>
          <w:szCs w:val="32"/>
          <w:lang w:eastAsia="zh-CN"/>
        </w:rPr>
        <w:t>差旅费、</w:t>
      </w:r>
      <w:r>
        <w:rPr>
          <w:rFonts w:hint="eastAsia" w:ascii="仿宋" w:hAnsi="仿宋" w:eastAsia="仿宋"/>
          <w:color w:val="000000"/>
          <w:sz w:val="32"/>
          <w:szCs w:val="32"/>
          <w:lang w:val="en-US" w:eastAsia="zh-CN"/>
        </w:rPr>
        <w:t>维修（护）费、</w:t>
      </w:r>
      <w:r>
        <w:rPr>
          <w:rFonts w:hint="eastAsia" w:ascii="仿宋" w:hAnsi="仿宋" w:eastAsia="仿宋"/>
          <w:color w:val="000000"/>
          <w:sz w:val="32"/>
          <w:szCs w:val="32"/>
          <w:lang w:eastAsia="zh-CN"/>
        </w:rPr>
        <w:t>劳务费、公务用车运行维护费</w:t>
      </w:r>
      <w:r>
        <w:rPr>
          <w:rFonts w:hint="eastAsia" w:ascii="仿宋" w:hAnsi="仿宋" w:eastAsia="仿宋"/>
          <w:color w:val="000000"/>
          <w:sz w:val="32"/>
          <w:szCs w:val="32"/>
        </w:rPr>
        <w:t>。</w:t>
      </w:r>
    </w:p>
    <w:p>
      <w:pPr>
        <w:pageBreakBefore w:val="0"/>
        <w:widowControl w:val="0"/>
        <w:kinsoku/>
        <w:wordWrap/>
        <w:overflowPunct/>
        <w:topLinePunct w:val="0"/>
        <w:bidi w:val="0"/>
        <w:spacing w:line="560" w:lineRule="exact"/>
        <w:ind w:firstLine="640"/>
        <w:textAlignment w:val="auto"/>
        <w:rPr>
          <w:rFonts w:ascii="仿宋" w:hAnsi="仿宋" w:eastAsia="仿宋"/>
          <w:b/>
          <w:color w:val="FF0000"/>
          <w:sz w:val="32"/>
          <w:szCs w:val="32"/>
        </w:rPr>
      </w:pPr>
    </w:p>
    <w:p>
      <w:pPr>
        <w:pageBreakBefore w:val="0"/>
        <w:widowControl w:val="0"/>
        <w:kinsoku/>
        <w:wordWrap/>
        <w:overflowPunct/>
        <w:topLinePunct w:val="0"/>
        <w:bidi w:val="0"/>
        <w:spacing w:line="560" w:lineRule="exact"/>
        <w:ind w:firstLine="640"/>
        <w:textAlignment w:val="auto"/>
        <w:outlineLvl w:val="1"/>
        <w:rPr>
          <w:rStyle w:val="30"/>
          <w:rFonts w:ascii="黑体" w:hAnsi="黑体" w:eastAsia="黑体"/>
          <w:b w:val="0"/>
        </w:rPr>
      </w:pPr>
      <w:bookmarkStart w:id="49" w:name="_Toc8807"/>
      <w:bookmarkStart w:id="50" w:name="_Toc15377215"/>
      <w:bookmarkStart w:id="51" w:name="_Toc15396609"/>
      <w:bookmarkStart w:id="52" w:name="_Toc79163619"/>
      <w:r>
        <w:rPr>
          <w:rFonts w:hint="eastAsia" w:ascii="黑体" w:eastAsia="黑体"/>
          <w:color w:val="000000"/>
          <w:sz w:val="32"/>
          <w:szCs w:val="32"/>
        </w:rPr>
        <w:t>七、</w:t>
      </w:r>
      <w:r>
        <w:rPr>
          <w:rStyle w:val="30"/>
          <w:rFonts w:hint="eastAsia" w:ascii="黑体" w:hAnsi="黑体" w:eastAsia="黑体"/>
        </w:rPr>
        <w:t>“</w:t>
      </w:r>
      <w:r>
        <w:rPr>
          <w:rStyle w:val="30"/>
          <w:rFonts w:hint="eastAsia" w:ascii="黑体" w:hAnsi="黑体" w:eastAsia="黑体"/>
          <w:b w:val="0"/>
        </w:rPr>
        <w:t>三公”经费财政拨款支出决算情况说明</w:t>
      </w:r>
      <w:bookmarkEnd w:id="49"/>
      <w:bookmarkEnd w:id="50"/>
      <w:bookmarkEnd w:id="51"/>
      <w:bookmarkEnd w:id="52"/>
    </w:p>
    <w:p>
      <w:pPr>
        <w:pageBreakBefore w:val="0"/>
        <w:widowControl w:val="0"/>
        <w:kinsoku/>
        <w:wordWrap/>
        <w:overflowPunct/>
        <w:topLinePunct w:val="0"/>
        <w:bidi w:val="0"/>
        <w:spacing w:line="560" w:lineRule="exact"/>
        <w:ind w:firstLine="640"/>
        <w:textAlignment w:val="auto"/>
        <w:outlineLvl w:val="2"/>
        <w:rPr>
          <w:rFonts w:ascii="仿宋" w:hAnsi="仿宋" w:eastAsia="仿宋"/>
          <w:b/>
          <w:color w:val="000000"/>
          <w:sz w:val="32"/>
          <w:szCs w:val="32"/>
        </w:rPr>
      </w:pPr>
      <w:bookmarkStart w:id="53" w:name="_Toc79163620"/>
      <w:bookmarkStart w:id="54" w:name="_Toc21846"/>
      <w:bookmarkStart w:id="55" w:name="_Toc15377216"/>
      <w:r>
        <w:rPr>
          <w:rFonts w:hint="eastAsia" w:ascii="仿宋" w:hAnsi="仿宋" w:eastAsia="仿宋"/>
          <w:b/>
          <w:color w:val="000000"/>
          <w:sz w:val="32"/>
          <w:szCs w:val="32"/>
        </w:rPr>
        <w:t>（一）“三公”经费财政拨款支出决算总体情况说明</w:t>
      </w:r>
      <w:bookmarkEnd w:id="53"/>
      <w:bookmarkEnd w:id="54"/>
      <w:bookmarkEnd w:id="55"/>
    </w:p>
    <w:p>
      <w:pPr>
        <w:pageBreakBefore w:val="0"/>
        <w:widowControl w:val="0"/>
        <w:kinsoku/>
        <w:wordWrap/>
        <w:overflowPunct/>
        <w:topLinePunct w:val="0"/>
        <w:bidi w:val="0"/>
        <w:spacing w:line="560" w:lineRule="exact"/>
        <w:ind w:firstLine="640"/>
        <w:textAlignment w:val="auto"/>
        <w:rPr>
          <w:rFonts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“三公”经费财政拨款支出决算为</w:t>
      </w:r>
      <w:r>
        <w:rPr>
          <w:rFonts w:hint="eastAsia" w:ascii="仿宋" w:hAnsi="仿宋" w:eastAsia="仿宋"/>
          <w:color w:val="000000"/>
          <w:sz w:val="32"/>
          <w:szCs w:val="32"/>
          <w:lang w:val="en-US" w:eastAsia="zh-CN"/>
        </w:rPr>
        <w:t>4.72</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94.4</w:t>
      </w:r>
      <w:r>
        <w:rPr>
          <w:rFonts w:ascii="仿宋" w:hAnsi="仿宋" w:eastAsia="仿宋"/>
          <w:color w:val="000000"/>
          <w:sz w:val="32"/>
          <w:szCs w:val="32"/>
        </w:rPr>
        <w:t>%</w:t>
      </w:r>
      <w:r>
        <w:rPr>
          <w:rFonts w:hint="eastAsia" w:ascii="仿宋" w:hAnsi="仿宋" w:eastAsia="仿宋"/>
          <w:color w:val="000000"/>
          <w:sz w:val="32"/>
          <w:szCs w:val="32"/>
        </w:rPr>
        <w:t>。</w:t>
      </w:r>
    </w:p>
    <w:p>
      <w:pPr>
        <w:pageBreakBefore w:val="0"/>
        <w:widowControl w:val="0"/>
        <w:kinsoku/>
        <w:wordWrap/>
        <w:overflowPunct/>
        <w:topLinePunct w:val="0"/>
        <w:bidi w:val="0"/>
        <w:spacing w:line="560" w:lineRule="exact"/>
        <w:ind w:firstLine="640"/>
        <w:textAlignment w:val="auto"/>
        <w:outlineLvl w:val="2"/>
        <w:rPr>
          <w:rFonts w:ascii="仿宋" w:hAnsi="仿宋" w:eastAsia="仿宋"/>
          <w:b/>
          <w:color w:val="000000"/>
          <w:sz w:val="32"/>
          <w:szCs w:val="32"/>
        </w:rPr>
      </w:pPr>
      <w:bookmarkStart w:id="56" w:name="_Toc15063"/>
      <w:bookmarkStart w:id="57" w:name="_Toc15377217"/>
      <w:bookmarkStart w:id="58" w:name="_Toc79163621"/>
      <w:r>
        <w:rPr>
          <w:rFonts w:hint="eastAsia" w:ascii="仿宋" w:hAnsi="仿宋" w:eastAsia="仿宋"/>
          <w:b/>
          <w:color w:val="000000"/>
          <w:sz w:val="32"/>
          <w:szCs w:val="32"/>
        </w:rPr>
        <w:t>（二）“三公”经费财政拨款支出决算具体情况说明</w:t>
      </w:r>
      <w:bookmarkEnd w:id="56"/>
      <w:bookmarkEnd w:id="57"/>
      <w:bookmarkEnd w:id="58"/>
    </w:p>
    <w:p>
      <w:pPr>
        <w:pageBreakBefore w:val="0"/>
        <w:widowControl w:val="0"/>
        <w:kinsoku/>
        <w:wordWrap/>
        <w:overflowPunct/>
        <w:topLinePunct w:val="0"/>
        <w:bidi w:val="0"/>
        <w:spacing w:line="560" w:lineRule="exact"/>
        <w:ind w:firstLine="64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4.72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具体情况如下：</w:t>
      </w:r>
    </w:p>
    <w:p>
      <w:pPr>
        <w:pStyle w:val="8"/>
        <w:rPr>
          <w:rFonts w:hint="eastAsia" w:ascii="仿宋" w:hAnsi="仿宋" w:eastAsia="仿宋"/>
          <w:color w:val="000000"/>
          <w:sz w:val="32"/>
          <w:szCs w:val="32"/>
          <w:lang w:val="en-US" w:eastAsia="zh-CN"/>
        </w:rPr>
      </w:pPr>
      <w:r>
        <w:drawing>
          <wp:inline distT="0" distB="0" distL="114300" distR="114300">
            <wp:extent cx="4444365" cy="2331085"/>
            <wp:effectExtent l="4445" t="4445" r="8890" b="7620"/>
            <wp:docPr id="1350"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pStyle w:val="19"/>
        <w:rPr>
          <w:rFonts w:hint="default"/>
          <w:lang w:val="en-US" w:eastAsia="zh-CN"/>
        </w:rPr>
      </w:pPr>
    </w:p>
    <w:p>
      <w:pPr>
        <w:pStyle w:val="19"/>
        <w:rPr>
          <w:rFonts w:hint="default"/>
          <w:lang w:val="en-US" w:eastAsia="zh-CN"/>
        </w:rPr>
      </w:pPr>
      <w:r>
        <w:rPr>
          <w:rFonts w:hint="eastAsia" w:ascii="仿宋" w:hAnsi="仿宋" w:eastAsia="仿宋"/>
          <w:color w:val="000000"/>
          <w:sz w:val="32"/>
          <w:szCs w:val="32"/>
        </w:rPr>
        <w:t>（图</w:t>
      </w:r>
      <w:r>
        <w:rPr>
          <w:rFonts w:ascii="仿宋" w:hAnsi="仿宋" w:eastAsia="仿宋"/>
          <w:color w:val="000000"/>
          <w:sz w:val="32"/>
          <w:szCs w:val="32"/>
        </w:rPr>
        <w:t>7</w:t>
      </w:r>
      <w:r>
        <w:rPr>
          <w:rFonts w:hint="eastAsia" w:ascii="仿宋" w:hAnsi="仿宋" w:eastAsia="仿宋"/>
          <w:color w:val="000000"/>
          <w:sz w:val="32"/>
          <w:szCs w:val="32"/>
        </w:rPr>
        <w:t>：“三公”经费财政拨款支出结构）（饼状图）</w:t>
      </w:r>
    </w:p>
    <w:p>
      <w:pPr>
        <w:pageBreakBefore w:val="0"/>
        <w:widowControl w:val="0"/>
        <w:kinsoku/>
        <w:wordWrap/>
        <w:overflowPunct/>
        <w:topLinePunct w:val="0"/>
        <w:bidi w:val="0"/>
        <w:spacing w:line="560" w:lineRule="exact"/>
        <w:ind w:firstLine="640"/>
        <w:textAlignment w:val="auto"/>
        <w:rPr>
          <w:rFonts w:ascii="仿宋_GB2312" w:eastAsia="仿宋_GB2312"/>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pageBreakBefore w:val="0"/>
        <w:widowControl w:val="0"/>
        <w:kinsoku/>
        <w:wordWrap/>
        <w:overflowPunct/>
        <w:topLinePunct w:val="0"/>
        <w:bidi w:val="0"/>
        <w:spacing w:line="560" w:lineRule="exact"/>
        <w:ind w:firstLine="640"/>
        <w:textAlignment w:val="auto"/>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b w:val="0"/>
          <w:bCs/>
          <w:color w:val="000000"/>
          <w:sz w:val="32"/>
          <w:szCs w:val="32"/>
          <w:lang w:val="en-US" w:eastAsia="zh-CN"/>
        </w:rPr>
        <w:t>4.72</w:t>
      </w:r>
      <w:r>
        <w:rPr>
          <w:rFonts w:hint="eastAsia" w:ascii="仿宋_GB2312" w:eastAsia="仿宋_GB2312"/>
          <w:b w:val="0"/>
          <w:bCs/>
          <w:color w:val="000000"/>
          <w:sz w:val="32"/>
          <w:szCs w:val="32"/>
        </w:rPr>
        <w:t>万</w:t>
      </w:r>
      <w:r>
        <w:rPr>
          <w:rFonts w:hint="eastAsia" w:ascii="仿宋_GB2312" w:eastAsia="仿宋_GB2312"/>
          <w:color w:val="000000"/>
          <w:sz w:val="32"/>
          <w:szCs w:val="32"/>
        </w:rPr>
        <w:t>元</w:t>
      </w:r>
      <w:r>
        <w:rPr>
          <w:rFonts w:ascii="仿宋_GB2312" w:eastAsia="仿宋_GB2312"/>
          <w:color w:val="000000"/>
          <w:sz w:val="32"/>
          <w:szCs w:val="32"/>
        </w:rPr>
        <w:t>,</w:t>
      </w:r>
      <w:r>
        <w:rPr>
          <w:rStyle w:val="25"/>
          <w:rFonts w:hint="eastAsia" w:ascii="仿宋" w:hAnsi="仿宋" w:eastAsia="仿宋"/>
          <w:b w:val="0"/>
          <w:bCs/>
          <w:color w:val="000000"/>
          <w:sz w:val="32"/>
          <w:szCs w:val="32"/>
        </w:rPr>
        <w:t>完成预算</w:t>
      </w:r>
      <w:r>
        <w:rPr>
          <w:rStyle w:val="25"/>
          <w:rFonts w:hint="eastAsia" w:ascii="仿宋" w:hAnsi="仿宋" w:eastAsia="仿宋"/>
          <w:b w:val="0"/>
          <w:bCs/>
          <w:color w:val="000000"/>
          <w:sz w:val="32"/>
          <w:szCs w:val="32"/>
          <w:lang w:val="en-US" w:eastAsia="zh-CN"/>
        </w:rPr>
        <w:t>94.4</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hint="eastAsia" w:ascii="仿宋_GB2312" w:eastAsia="仿宋_GB2312"/>
          <w:color w:val="000000"/>
          <w:sz w:val="32"/>
          <w:szCs w:val="32"/>
          <w:lang w:eastAsia="zh-CN"/>
        </w:rPr>
        <w:t>2024年</w:t>
      </w:r>
      <w:r>
        <w:rPr>
          <w:rFonts w:hint="eastAsia" w:ascii="仿宋_GB2312" w:eastAsia="仿宋_GB2312"/>
          <w:color w:val="000000"/>
          <w:sz w:val="32"/>
          <w:szCs w:val="32"/>
          <w:lang w:val="en-US" w:eastAsia="zh-CN"/>
        </w:rPr>
        <w:t>增加0.05</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增长1.07%</w:t>
      </w:r>
      <w:r>
        <w:rPr>
          <w:rFonts w:hint="eastAsia" w:ascii="仿宋_GB2312" w:eastAsia="仿宋_GB2312"/>
          <w:color w:val="000000"/>
          <w:sz w:val="32"/>
          <w:szCs w:val="32"/>
        </w:rPr>
        <w:t>。主要原因是本年度业务活动</w:t>
      </w:r>
      <w:r>
        <w:rPr>
          <w:rFonts w:hint="eastAsia" w:ascii="仿宋_GB2312" w:eastAsia="仿宋_GB2312"/>
          <w:color w:val="000000"/>
          <w:sz w:val="32"/>
          <w:szCs w:val="32"/>
          <w:lang w:val="en-US" w:eastAsia="zh-CN"/>
        </w:rPr>
        <w:t>增加</w:t>
      </w:r>
      <w:r>
        <w:rPr>
          <w:rFonts w:hint="eastAsia" w:ascii="仿宋_GB2312" w:eastAsia="仿宋_GB2312"/>
          <w:color w:val="000000"/>
          <w:sz w:val="32"/>
          <w:szCs w:val="32"/>
        </w:rPr>
        <w:t>，相应费用</w:t>
      </w:r>
      <w:r>
        <w:rPr>
          <w:rFonts w:hint="eastAsia" w:ascii="仿宋_GB2312" w:eastAsia="仿宋_GB2312"/>
          <w:color w:val="000000"/>
          <w:sz w:val="32"/>
          <w:szCs w:val="32"/>
          <w:lang w:val="en-US" w:eastAsia="zh-CN"/>
        </w:rPr>
        <w:t>增加</w:t>
      </w:r>
      <w:r>
        <w:rPr>
          <w:rFonts w:hint="eastAsia" w:ascii="仿宋_GB2312" w:eastAsia="仿宋_GB2312"/>
          <w:color w:val="000000"/>
          <w:sz w:val="32"/>
          <w:szCs w:val="32"/>
        </w:rPr>
        <w:t>。</w:t>
      </w:r>
    </w:p>
    <w:p>
      <w:pPr>
        <w:pageBreakBefore w:val="0"/>
        <w:widowControl w:val="0"/>
        <w:kinsoku/>
        <w:wordWrap/>
        <w:overflowPunct/>
        <w:topLinePunct w:val="0"/>
        <w:bidi w:val="0"/>
        <w:spacing w:line="560" w:lineRule="exact"/>
        <w:ind w:firstLine="640" w:firstLineChars="200"/>
        <w:textAlignment w:val="auto"/>
        <w:rPr>
          <w:rFonts w:ascii="仿宋_GB2312" w:eastAsia="仿宋_GB2312"/>
          <w:b/>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b/>
          <w:color w:val="000000"/>
          <w:sz w:val="32"/>
          <w:szCs w:val="32"/>
          <w:lang w:val="en-US" w:eastAsia="zh-CN"/>
        </w:rPr>
        <w:t>0</w:t>
      </w:r>
      <w:r>
        <w:rPr>
          <w:rFonts w:hint="eastAsia" w:ascii="仿宋_GB2312" w:eastAsia="仿宋_GB2312"/>
          <w:color w:val="000000"/>
          <w:sz w:val="32"/>
          <w:szCs w:val="32"/>
        </w:rPr>
        <w:t>万元。全年按规定更新购置公务用车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万元，越野车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。截至2025年</w:t>
      </w:r>
      <w:r>
        <w:rPr>
          <w:rFonts w:ascii="仿宋_GB2312" w:eastAsia="仿宋_GB2312"/>
          <w:color w:val="000000"/>
          <w:sz w:val="32"/>
          <w:szCs w:val="32"/>
        </w:rPr>
        <w:t>12</w:t>
      </w:r>
      <w:r>
        <w:rPr>
          <w:rFonts w:hint="eastAsia" w:ascii="仿宋_GB2312" w:eastAsia="仿宋_GB2312"/>
          <w:color w:val="000000"/>
          <w:sz w:val="32"/>
          <w:szCs w:val="32"/>
        </w:rPr>
        <w:t>月</w:t>
      </w:r>
      <w:r>
        <w:rPr>
          <w:rFonts w:hint="eastAsia" w:ascii="仿宋_GB2312" w:eastAsia="仿宋_GB2312"/>
          <w:color w:val="000000"/>
          <w:sz w:val="32"/>
          <w:szCs w:val="32"/>
          <w:lang w:val="en-US" w:eastAsia="zh-CN"/>
        </w:rPr>
        <w:t>31日</w:t>
      </w:r>
      <w:r>
        <w:rPr>
          <w:rFonts w:hint="eastAsia" w:ascii="仿宋_GB2312" w:eastAsia="仿宋_GB2312"/>
          <w:color w:val="000000"/>
          <w:sz w:val="32"/>
          <w:szCs w:val="32"/>
        </w:rPr>
        <w:t>，单位共有公务用车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辆、越野车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其他用车1辆</w:t>
      </w:r>
      <w:r>
        <w:rPr>
          <w:rFonts w:hint="eastAsia" w:ascii="仿宋_GB2312" w:eastAsia="仿宋_GB2312"/>
          <w:color w:val="000000"/>
          <w:sz w:val="32"/>
          <w:szCs w:val="32"/>
        </w:rPr>
        <w:t>。</w:t>
      </w:r>
    </w:p>
    <w:p>
      <w:pPr>
        <w:pageBreakBefore w:val="0"/>
        <w:widowControl w:val="0"/>
        <w:kinsoku/>
        <w:wordWrap/>
        <w:overflowPunct/>
        <w:topLinePunct w:val="0"/>
        <w:bidi w:val="0"/>
        <w:spacing w:line="560" w:lineRule="exact"/>
        <w:ind w:firstLine="640"/>
        <w:textAlignment w:val="auto"/>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4.72</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主要用于车辆日常所需的维修费、过路费、保险费等支出</w:t>
      </w:r>
      <w:r>
        <w:rPr>
          <w:rFonts w:hint="eastAsia" w:ascii="仿宋_GB2312" w:eastAsia="仿宋_GB2312"/>
          <w:color w:val="000000"/>
          <w:sz w:val="32"/>
          <w:szCs w:val="32"/>
        </w:rPr>
        <w:t>。</w:t>
      </w:r>
    </w:p>
    <w:p>
      <w:pPr>
        <w:pageBreakBefore w:val="0"/>
        <w:widowControl w:val="0"/>
        <w:kinsoku/>
        <w:wordWrap/>
        <w:overflowPunct/>
        <w:topLinePunct w:val="0"/>
        <w:bidi w:val="0"/>
        <w:spacing w:line="560" w:lineRule="exact"/>
        <w:ind w:firstLine="642" w:firstLineChars="200"/>
        <w:textAlignment w:val="auto"/>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pageBreakBefore w:val="0"/>
        <w:widowControl w:val="0"/>
        <w:kinsoku/>
        <w:wordWrap/>
        <w:overflowPunct/>
        <w:topLinePunct w:val="0"/>
        <w:bidi w:val="0"/>
        <w:spacing w:line="560" w:lineRule="exact"/>
        <w:ind w:firstLine="640"/>
        <w:textAlignment w:val="auto"/>
        <w:outlineLvl w:val="1"/>
        <w:rPr>
          <w:rStyle w:val="30"/>
          <w:rFonts w:ascii="黑体" w:hAnsi="黑体" w:eastAsia="黑体"/>
        </w:rPr>
      </w:pPr>
      <w:bookmarkStart w:id="59" w:name="_Toc15396610"/>
      <w:bookmarkStart w:id="60" w:name="_Toc79163622"/>
      <w:bookmarkStart w:id="61" w:name="_Toc15377218"/>
      <w:bookmarkStart w:id="62" w:name="_Toc29657"/>
      <w:r>
        <w:rPr>
          <w:rFonts w:hint="eastAsia" w:ascii="黑体" w:eastAsia="黑体"/>
          <w:color w:val="000000"/>
          <w:sz w:val="32"/>
          <w:szCs w:val="32"/>
        </w:rPr>
        <w:t>八、</w:t>
      </w:r>
      <w:r>
        <w:rPr>
          <w:rStyle w:val="30"/>
          <w:rFonts w:hint="eastAsia" w:ascii="黑体" w:hAnsi="黑体" w:eastAsia="黑体"/>
          <w:b w:val="0"/>
        </w:rPr>
        <w:t>政府性基金预算支出决算情况说明</w:t>
      </w:r>
      <w:bookmarkEnd w:id="59"/>
      <w:bookmarkEnd w:id="60"/>
      <w:bookmarkEnd w:id="61"/>
      <w:bookmarkEnd w:id="62"/>
    </w:p>
    <w:p>
      <w:pPr>
        <w:pageBreakBefore w:val="0"/>
        <w:widowControl w:val="0"/>
        <w:kinsoku/>
        <w:wordWrap/>
        <w:overflowPunct/>
        <w:topLinePunct w:val="0"/>
        <w:bidi w:val="0"/>
        <w:spacing w:line="560" w:lineRule="exact"/>
        <w:ind w:firstLine="640"/>
        <w:textAlignment w:val="auto"/>
        <w:rPr>
          <w:rFonts w:ascii="仿宋_GB2312" w:eastAsia="仿宋_GB2312"/>
          <w:color w:val="000000"/>
          <w:sz w:val="32"/>
          <w:szCs w:val="32"/>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pageBreakBefore w:val="0"/>
        <w:widowControl w:val="0"/>
        <w:numPr>
          <w:ilvl w:val="0"/>
          <w:numId w:val="2"/>
        </w:numPr>
        <w:kinsoku/>
        <w:wordWrap/>
        <w:overflowPunct/>
        <w:topLinePunct w:val="0"/>
        <w:bidi w:val="0"/>
        <w:spacing w:line="560" w:lineRule="exact"/>
        <w:ind w:firstLine="640"/>
        <w:textAlignment w:val="auto"/>
        <w:outlineLvl w:val="1"/>
        <w:rPr>
          <w:rStyle w:val="30"/>
          <w:rFonts w:ascii="黑体" w:hAnsi="黑体" w:eastAsia="黑体"/>
          <w:b w:val="0"/>
        </w:rPr>
      </w:pPr>
      <w:bookmarkStart w:id="63" w:name="_Toc79163623"/>
      <w:bookmarkStart w:id="64" w:name="_Toc15377219"/>
      <w:bookmarkStart w:id="65" w:name="_Toc15396611"/>
      <w:bookmarkStart w:id="66" w:name="_Toc7924"/>
      <w:r>
        <w:rPr>
          <w:rStyle w:val="30"/>
          <w:rFonts w:hint="eastAsia" w:ascii="黑体" w:hAnsi="黑体" w:eastAsia="黑体"/>
          <w:b w:val="0"/>
        </w:rPr>
        <w:t>国有资本经营预算支出决算情况说明</w:t>
      </w:r>
      <w:bookmarkEnd w:id="63"/>
      <w:bookmarkEnd w:id="64"/>
      <w:bookmarkEnd w:id="65"/>
      <w:bookmarkEnd w:id="66"/>
    </w:p>
    <w:p>
      <w:pPr>
        <w:pageBreakBefore w:val="0"/>
        <w:widowControl w:val="0"/>
        <w:kinsoku/>
        <w:wordWrap/>
        <w:overflowPunct/>
        <w:topLinePunct w:val="0"/>
        <w:bidi w:val="0"/>
        <w:spacing w:line="560" w:lineRule="exact"/>
        <w:ind w:firstLine="640"/>
        <w:textAlignment w:val="auto"/>
        <w:rPr>
          <w:rFonts w:ascii="仿宋_GB2312" w:eastAsia="仿宋_GB2312"/>
          <w:color w:val="000000"/>
          <w:sz w:val="32"/>
          <w:szCs w:val="32"/>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pageBreakBefore w:val="0"/>
        <w:widowControl w:val="0"/>
        <w:kinsoku/>
        <w:wordWrap/>
        <w:overflowPunct/>
        <w:topLinePunct w:val="0"/>
        <w:bidi w:val="0"/>
        <w:spacing w:line="560" w:lineRule="exact"/>
        <w:ind w:firstLine="800" w:firstLineChars="250"/>
        <w:textAlignment w:val="auto"/>
        <w:outlineLvl w:val="1"/>
        <w:rPr>
          <w:rStyle w:val="30"/>
          <w:rFonts w:ascii="黑体" w:hAnsi="黑体" w:eastAsia="黑体"/>
        </w:rPr>
      </w:pPr>
      <w:bookmarkStart w:id="67" w:name="_Toc15377221"/>
      <w:bookmarkStart w:id="68" w:name="_Toc9008"/>
      <w:bookmarkStart w:id="69" w:name="_Toc79163624"/>
      <w:bookmarkStart w:id="70" w:name="_Toc15396612"/>
      <w:r>
        <w:rPr>
          <w:rFonts w:hint="eastAsia" w:ascii="黑体" w:hAnsi="黑体" w:eastAsia="黑体"/>
          <w:color w:val="000000"/>
          <w:sz w:val="32"/>
          <w:szCs w:val="32"/>
        </w:rPr>
        <w:t>十</w:t>
      </w:r>
      <w:r>
        <w:rPr>
          <w:rStyle w:val="30"/>
          <w:rFonts w:hint="eastAsia" w:ascii="黑体" w:hAnsi="黑体" w:eastAsia="黑体"/>
        </w:rPr>
        <w:t>、</w:t>
      </w:r>
      <w:r>
        <w:rPr>
          <w:rStyle w:val="30"/>
          <w:rFonts w:hint="eastAsia" w:ascii="黑体" w:hAnsi="黑体" w:eastAsia="黑体"/>
          <w:b w:val="0"/>
        </w:rPr>
        <w:t>其他重要事项的情况说明</w:t>
      </w:r>
      <w:bookmarkEnd w:id="67"/>
      <w:bookmarkEnd w:id="68"/>
      <w:bookmarkEnd w:id="69"/>
      <w:bookmarkEnd w:id="70"/>
    </w:p>
    <w:p>
      <w:pPr>
        <w:pageBreakBefore w:val="0"/>
        <w:widowControl w:val="0"/>
        <w:kinsoku/>
        <w:wordWrap/>
        <w:overflowPunct/>
        <w:topLinePunct w:val="0"/>
        <w:bidi w:val="0"/>
        <w:spacing w:line="560" w:lineRule="exact"/>
        <w:ind w:firstLine="642" w:firstLineChars="200"/>
        <w:textAlignment w:val="auto"/>
        <w:outlineLvl w:val="2"/>
        <w:rPr>
          <w:rFonts w:ascii="仿宋" w:hAnsi="仿宋" w:eastAsia="仿宋"/>
          <w:color w:val="000000"/>
          <w:sz w:val="32"/>
          <w:szCs w:val="32"/>
        </w:rPr>
      </w:pPr>
      <w:bookmarkStart w:id="71" w:name="_Toc15377222"/>
      <w:bookmarkStart w:id="72" w:name="_Toc79163625"/>
      <w:bookmarkStart w:id="73" w:name="_Toc11781"/>
      <w:r>
        <w:rPr>
          <w:rFonts w:hint="eastAsia" w:ascii="仿宋" w:hAnsi="仿宋" w:eastAsia="仿宋"/>
          <w:b/>
          <w:color w:val="000000"/>
          <w:sz w:val="32"/>
          <w:szCs w:val="32"/>
        </w:rPr>
        <w:t>（一）机关运行经费支出情况</w:t>
      </w:r>
      <w:bookmarkEnd w:id="71"/>
      <w:bookmarkEnd w:id="72"/>
      <w:bookmarkEnd w:id="73"/>
    </w:p>
    <w:p>
      <w:pPr>
        <w:pageBreakBefore w:val="0"/>
        <w:widowControl w:val="0"/>
        <w:kinsoku/>
        <w:wordWrap/>
        <w:overflowPunct/>
        <w:topLinePunct w:val="0"/>
        <w:bidi w:val="0"/>
        <w:spacing w:line="560" w:lineRule="exact"/>
        <w:ind w:firstLine="640" w:firstLineChars="200"/>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w:t>
      </w:r>
      <w:r>
        <w:rPr>
          <w:rFonts w:hint="eastAsia" w:ascii="仿宋_GB2312" w:eastAsia="仿宋_GB2312"/>
          <w:color w:val="000000"/>
          <w:sz w:val="32"/>
          <w:szCs w:val="32"/>
          <w:lang w:eastAsia="zh-CN"/>
        </w:rPr>
        <w:t>壤塘县三郎寺寺庙管理委员会</w:t>
      </w:r>
      <w:r>
        <w:rPr>
          <w:rFonts w:hint="eastAsia" w:ascii="仿宋_GB2312" w:eastAsia="仿宋_GB2312"/>
          <w:color w:val="000000"/>
          <w:sz w:val="32"/>
          <w:szCs w:val="32"/>
        </w:rPr>
        <w:t>机关运行经费支出</w:t>
      </w:r>
      <w:r>
        <w:rPr>
          <w:rFonts w:hint="eastAsia" w:ascii="仿宋_GB2312" w:eastAsia="仿宋_GB2312"/>
          <w:color w:val="000000"/>
          <w:sz w:val="32"/>
          <w:szCs w:val="32"/>
          <w:lang w:val="en-US" w:eastAsia="zh-CN"/>
        </w:rPr>
        <w:t>18.4</w:t>
      </w:r>
      <w:r>
        <w:rPr>
          <w:rFonts w:hint="eastAsia" w:ascii="仿宋_GB2312" w:eastAsia="仿宋_GB2312"/>
          <w:color w:val="000000"/>
          <w:sz w:val="32"/>
          <w:szCs w:val="32"/>
        </w:rPr>
        <w:t>万元，比</w:t>
      </w:r>
      <w:r>
        <w:rPr>
          <w:rFonts w:hint="eastAsia" w:ascii="仿宋_GB2312" w:eastAsia="仿宋_GB2312"/>
          <w:color w:val="000000"/>
          <w:sz w:val="32"/>
          <w:szCs w:val="32"/>
          <w:lang w:eastAsia="zh-CN"/>
        </w:rPr>
        <w:t>2024年</w:t>
      </w:r>
      <w:r>
        <w:rPr>
          <w:rFonts w:hint="eastAsia" w:ascii="仿宋_GB2312" w:eastAsia="仿宋_GB2312"/>
          <w:color w:val="000000"/>
          <w:sz w:val="32"/>
          <w:szCs w:val="32"/>
          <w:lang w:val="en-US" w:eastAsia="zh-CN"/>
        </w:rPr>
        <w:t>增加1.01</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增长5.81%</w:t>
      </w:r>
      <w:r>
        <w:rPr>
          <w:rFonts w:hint="eastAsia" w:ascii="仿宋_GB2312" w:eastAsia="仿宋_GB2312"/>
          <w:color w:val="000000"/>
          <w:sz w:val="32"/>
          <w:szCs w:val="32"/>
        </w:rPr>
        <w:t>。主要原因是本年度业务活动</w:t>
      </w:r>
      <w:r>
        <w:rPr>
          <w:rFonts w:hint="eastAsia" w:ascii="仿宋_GB2312" w:eastAsia="仿宋_GB2312"/>
          <w:color w:val="000000"/>
          <w:sz w:val="32"/>
          <w:szCs w:val="32"/>
          <w:lang w:val="en-US" w:eastAsia="zh-CN"/>
        </w:rPr>
        <w:t>增加</w:t>
      </w:r>
      <w:r>
        <w:rPr>
          <w:rFonts w:hint="eastAsia" w:ascii="仿宋_GB2312" w:eastAsia="仿宋_GB2312"/>
          <w:color w:val="000000"/>
          <w:sz w:val="32"/>
          <w:szCs w:val="32"/>
        </w:rPr>
        <w:t>，相应费用</w:t>
      </w:r>
      <w:r>
        <w:rPr>
          <w:rFonts w:hint="eastAsia" w:ascii="仿宋_GB2312" w:eastAsia="仿宋_GB2312"/>
          <w:color w:val="000000"/>
          <w:sz w:val="32"/>
          <w:szCs w:val="32"/>
          <w:lang w:val="en-US" w:eastAsia="zh-CN"/>
        </w:rPr>
        <w:t>增加</w:t>
      </w:r>
      <w:r>
        <w:rPr>
          <w:rFonts w:hint="eastAsia" w:ascii="仿宋_GB2312" w:eastAsia="仿宋_GB2312"/>
          <w:color w:val="000000"/>
          <w:sz w:val="32"/>
          <w:szCs w:val="32"/>
          <w:lang w:eastAsia="zh-CN"/>
        </w:rPr>
        <w:t>。</w:t>
      </w:r>
    </w:p>
    <w:p>
      <w:pPr>
        <w:pageBreakBefore w:val="0"/>
        <w:widowControl w:val="0"/>
        <w:kinsoku/>
        <w:wordWrap/>
        <w:overflowPunct/>
        <w:topLinePunct w:val="0"/>
        <w:autoSpaceDE w:val="0"/>
        <w:autoSpaceDN w:val="0"/>
        <w:bidi w:val="0"/>
        <w:adjustRightInd w:val="0"/>
        <w:spacing w:line="560" w:lineRule="exact"/>
        <w:ind w:firstLine="642" w:firstLineChars="200"/>
        <w:jc w:val="left"/>
        <w:textAlignment w:val="auto"/>
        <w:outlineLvl w:val="2"/>
        <w:rPr>
          <w:rFonts w:ascii="仿宋" w:hAnsi="仿宋" w:eastAsia="仿宋"/>
          <w:b/>
          <w:color w:val="000000"/>
          <w:sz w:val="32"/>
          <w:szCs w:val="32"/>
        </w:rPr>
      </w:pPr>
      <w:bookmarkStart w:id="74" w:name="_Toc3670"/>
      <w:bookmarkStart w:id="75" w:name="_Toc15377223"/>
      <w:bookmarkStart w:id="76" w:name="_Toc79163626"/>
      <w:r>
        <w:rPr>
          <w:rFonts w:hint="eastAsia" w:ascii="仿宋" w:hAnsi="仿宋" w:eastAsia="仿宋"/>
          <w:b/>
          <w:color w:val="000000"/>
          <w:sz w:val="32"/>
          <w:szCs w:val="32"/>
        </w:rPr>
        <w:t>（二）政府采购支出情况</w:t>
      </w:r>
      <w:bookmarkEnd w:id="74"/>
      <w:bookmarkEnd w:id="75"/>
      <w:bookmarkEnd w:id="76"/>
    </w:p>
    <w:p>
      <w:pPr>
        <w:pageBreakBefore w:val="0"/>
        <w:widowControl w:val="0"/>
        <w:kinsoku/>
        <w:wordWrap/>
        <w:overflowPunct/>
        <w:topLinePunct w:val="0"/>
        <w:bidi w:val="0"/>
        <w:spacing w:line="560" w:lineRule="exact"/>
        <w:ind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w:t>
      </w:r>
      <w:r>
        <w:rPr>
          <w:rFonts w:hint="eastAsia" w:ascii="仿宋_GB2312" w:eastAsia="仿宋_GB2312"/>
          <w:color w:val="000000"/>
          <w:sz w:val="32"/>
          <w:szCs w:val="32"/>
          <w:lang w:eastAsia="zh-CN"/>
        </w:rPr>
        <w:t>壤塘县三郎寺寺庙管理委员会</w:t>
      </w:r>
      <w:r>
        <w:rPr>
          <w:rFonts w:hint="eastAsia" w:ascii="仿宋_GB2312" w:eastAsia="仿宋_GB2312"/>
          <w:color w:val="000000"/>
          <w:sz w:val="32"/>
          <w:szCs w:val="32"/>
        </w:rPr>
        <w:t>政府采购支出总额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万元、政府采购工程支出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万元、政府采购服务支出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万元。授予中小企业合同金额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万元，其中：授予小微企业合同金额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pageBreakBefore w:val="0"/>
        <w:widowControl w:val="0"/>
        <w:kinsoku/>
        <w:wordWrap/>
        <w:overflowPunct/>
        <w:topLinePunct w:val="0"/>
        <w:autoSpaceDE w:val="0"/>
        <w:autoSpaceDN w:val="0"/>
        <w:bidi w:val="0"/>
        <w:adjustRightInd w:val="0"/>
        <w:spacing w:line="560" w:lineRule="exact"/>
        <w:ind w:firstLine="642" w:firstLineChars="200"/>
        <w:jc w:val="left"/>
        <w:textAlignment w:val="auto"/>
        <w:outlineLvl w:val="2"/>
        <w:rPr>
          <w:rFonts w:ascii="仿宋" w:hAnsi="仿宋" w:eastAsia="仿宋"/>
          <w:b/>
          <w:color w:val="000000"/>
          <w:sz w:val="32"/>
          <w:szCs w:val="32"/>
        </w:rPr>
      </w:pPr>
      <w:bookmarkStart w:id="77" w:name="_Toc21672"/>
      <w:bookmarkStart w:id="78" w:name="_Toc15377224"/>
      <w:bookmarkStart w:id="79" w:name="_Toc79163627"/>
      <w:r>
        <w:rPr>
          <w:rFonts w:hint="eastAsia" w:ascii="仿宋" w:hAnsi="仿宋" w:eastAsia="仿宋"/>
          <w:b/>
          <w:color w:val="000000"/>
          <w:sz w:val="32"/>
          <w:szCs w:val="32"/>
        </w:rPr>
        <w:t>（三）国有资产占有使用情况</w:t>
      </w:r>
      <w:bookmarkEnd w:id="77"/>
      <w:bookmarkEnd w:id="78"/>
      <w:bookmarkEnd w:id="79"/>
    </w:p>
    <w:p>
      <w:pPr>
        <w:pageBreakBefore w:val="0"/>
        <w:widowControl w:val="0"/>
        <w:kinsoku/>
        <w:wordWrap/>
        <w:overflowPunct/>
        <w:topLinePunct w:val="0"/>
        <w:autoSpaceDE w:val="0"/>
        <w:autoSpaceDN w:val="0"/>
        <w:bidi w:val="0"/>
        <w:adjustRightInd w:val="0"/>
        <w:spacing w:line="560" w:lineRule="exact"/>
        <w:ind w:firstLine="640" w:firstLineChars="200"/>
        <w:jc w:val="left"/>
        <w:textAlignment w:val="auto"/>
        <w:rPr>
          <w:rFonts w:ascii="仿宋" w:hAnsi="仿宋" w:eastAsia="仿宋"/>
          <w:b/>
          <w:color w:val="FF0000"/>
          <w:sz w:val="32"/>
          <w:szCs w:val="32"/>
        </w:rPr>
      </w:pPr>
      <w:r>
        <w:rPr>
          <w:rFonts w:hint="eastAsia" w:ascii="仿宋_GB2312" w:eastAsia="仿宋_GB2312"/>
          <w:color w:val="000000"/>
          <w:sz w:val="32"/>
          <w:szCs w:val="32"/>
          <w:lang w:eastAsia="zh-CN"/>
        </w:rPr>
        <w:t>截至2025年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w:t>
      </w:r>
      <w:r>
        <w:rPr>
          <w:rFonts w:hint="eastAsia" w:ascii="仿宋_GB2312" w:eastAsia="仿宋_GB2312"/>
          <w:color w:val="000000"/>
          <w:sz w:val="32"/>
          <w:szCs w:val="32"/>
          <w:lang w:eastAsia="zh-CN"/>
        </w:rPr>
        <w:t>壤塘县三郎寺寺庙管理委员会</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辆，其中：主要领导干部用车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辆、机要通信用车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辆、应急保障用车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辆、其他用车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r>
        <w:rPr>
          <w:rFonts w:hint="eastAsia" w:ascii="仿宋_GB2312" w:eastAsia="仿宋_GB2312"/>
          <w:color w:val="000000"/>
          <w:sz w:val="32"/>
          <w:szCs w:val="32"/>
        </w:rPr>
        <w:t>单价</w:t>
      </w:r>
      <w:r>
        <w:rPr>
          <w:rFonts w:ascii="仿宋_GB2312" w:eastAsia="仿宋_GB2312"/>
          <w:color w:val="000000"/>
          <w:sz w:val="32"/>
          <w:szCs w:val="32"/>
        </w:rPr>
        <w:t>50</w:t>
      </w:r>
      <w:r>
        <w:rPr>
          <w:rFonts w:hint="eastAsia" w:ascii="仿宋_GB2312" w:eastAsia="仿宋_GB2312"/>
          <w:color w:val="000000"/>
          <w:sz w:val="32"/>
          <w:szCs w:val="32"/>
        </w:rPr>
        <w:t>万元以上通用设备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台（套），单价</w:t>
      </w:r>
      <w:r>
        <w:rPr>
          <w:rFonts w:ascii="仿宋_GB2312" w:eastAsia="仿宋_GB2312"/>
          <w:color w:val="000000"/>
          <w:sz w:val="32"/>
          <w:szCs w:val="32"/>
        </w:rPr>
        <w:t>100</w:t>
      </w:r>
      <w:r>
        <w:rPr>
          <w:rFonts w:hint="eastAsia" w:ascii="仿宋_GB2312" w:eastAsia="仿宋_GB2312"/>
          <w:color w:val="000000"/>
          <w:sz w:val="32"/>
          <w:szCs w:val="32"/>
        </w:rPr>
        <w:t>万元以上专用设备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w:t>
      </w:r>
    </w:p>
    <w:p>
      <w:pPr>
        <w:pageBreakBefore w:val="0"/>
        <w:widowControl w:val="0"/>
        <w:kinsoku/>
        <w:wordWrap/>
        <w:overflowPunct/>
        <w:topLinePunct w:val="0"/>
        <w:autoSpaceDE w:val="0"/>
        <w:autoSpaceDN w:val="0"/>
        <w:bidi w:val="0"/>
        <w:adjustRightInd w:val="0"/>
        <w:spacing w:line="560" w:lineRule="exact"/>
        <w:ind w:firstLine="642" w:firstLineChars="200"/>
        <w:jc w:val="left"/>
        <w:textAlignment w:val="auto"/>
        <w:outlineLvl w:val="2"/>
        <w:rPr>
          <w:rFonts w:ascii="仿宋" w:hAnsi="仿宋" w:eastAsia="仿宋"/>
          <w:b/>
          <w:color w:val="000000"/>
          <w:sz w:val="32"/>
          <w:szCs w:val="32"/>
        </w:rPr>
      </w:pPr>
      <w:bookmarkStart w:id="80" w:name="_Toc20182"/>
      <w:bookmarkStart w:id="81" w:name="_Toc79163628"/>
      <w:r>
        <w:rPr>
          <w:rFonts w:hint="eastAsia" w:ascii="仿宋" w:hAnsi="仿宋" w:eastAsia="仿宋"/>
          <w:b/>
          <w:color w:val="000000"/>
          <w:sz w:val="32"/>
          <w:szCs w:val="32"/>
        </w:rPr>
        <w:t>（四）预算绩效管理情况。</w:t>
      </w:r>
      <w:bookmarkEnd w:id="80"/>
      <w:bookmarkEnd w:id="81"/>
    </w:p>
    <w:p>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根据预算绩效管理要求，本部门在</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rPr>
        <w:t>预算编制阶段，组织对寺管会特殊工作经费</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lang w:val="en-US" w:eastAsia="zh-CN"/>
        </w:rPr>
        <w:t>2个项目</w:t>
      </w:r>
      <w:r>
        <w:rPr>
          <w:rFonts w:hint="eastAsia" w:ascii="仿宋_GB2312" w:hAnsi="仿宋_GB2312" w:eastAsia="仿宋_GB2312" w:cs="仿宋_GB2312"/>
          <w:sz w:val="32"/>
          <w:szCs w:val="32"/>
        </w:rPr>
        <w:t>开展了预算事前绩效评估，对</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个项目开展绩效监控</w:t>
      </w:r>
      <w:r>
        <w:rPr>
          <w:rFonts w:hint="eastAsia" w:ascii="仿宋_GB2312" w:hAnsi="仿宋_GB2312" w:eastAsia="仿宋_GB2312" w:cs="仿宋_GB2312"/>
          <w:sz w:val="32"/>
          <w:szCs w:val="32"/>
          <w:lang w:eastAsia="zh-CN"/>
        </w:rPr>
        <w:t>。</w:t>
      </w:r>
    </w:p>
    <w:p>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2025年度一般公共预算</w:t>
      </w:r>
      <w:r>
        <w:rPr>
          <w:rFonts w:hint="eastAsia" w:ascii="仿宋_GB2312" w:hAnsi="仿宋_GB2312" w:eastAsia="仿宋_GB2312" w:cs="仿宋_GB2312"/>
          <w:sz w:val="32"/>
          <w:szCs w:val="32"/>
          <w:lang w:eastAsia="zh-CN"/>
        </w:rPr>
        <w:t>以及资本资产等</w:t>
      </w:r>
      <w:r>
        <w:rPr>
          <w:rFonts w:hint="eastAsia" w:ascii="仿宋_GB2312" w:hAnsi="仿宋_GB2312" w:eastAsia="仿宋_GB2312" w:cs="仿宋_GB2312"/>
          <w:sz w:val="32"/>
          <w:szCs w:val="32"/>
          <w:lang w:val="en-US" w:eastAsia="zh-CN"/>
        </w:rPr>
        <w:t>全面开展绩效自评，形成壤塘县三郎寺寺庙管理委员会</w:t>
      </w:r>
      <w:r>
        <w:rPr>
          <w:rFonts w:hint="eastAsia" w:ascii="仿宋_GB2312" w:hAnsi="仿宋_GB2312" w:eastAsia="仿宋_GB2312" w:cs="仿宋_GB2312"/>
          <w:sz w:val="32"/>
          <w:szCs w:val="32"/>
          <w:lang w:eastAsia="zh-CN"/>
        </w:rPr>
        <w:t>部门整体（含部门预算项目）</w:t>
      </w:r>
      <w:r>
        <w:rPr>
          <w:rFonts w:hint="eastAsia" w:ascii="仿宋_GB2312" w:hAnsi="仿宋_GB2312" w:eastAsia="仿宋_GB2312" w:cs="仿宋_GB2312"/>
          <w:sz w:val="32"/>
          <w:szCs w:val="32"/>
          <w:lang w:val="en-US" w:eastAsia="zh-CN"/>
        </w:rPr>
        <w:t>绩效自评报告，其中，壤塘县三郎寺寺庙管理委员会部门整体</w:t>
      </w:r>
      <w:r>
        <w:rPr>
          <w:rFonts w:hint="eastAsia" w:ascii="仿宋_GB2312" w:hAnsi="仿宋_GB2312" w:eastAsia="仿宋_GB2312" w:cs="仿宋_GB2312"/>
          <w:sz w:val="32"/>
          <w:szCs w:val="32"/>
          <w:lang w:eastAsia="zh-CN"/>
        </w:rPr>
        <w:t>（含部门预算项目）</w:t>
      </w:r>
      <w:r>
        <w:rPr>
          <w:rFonts w:hint="eastAsia" w:ascii="仿宋_GB2312" w:hAnsi="仿宋_GB2312" w:eastAsia="仿宋_GB2312" w:cs="仿宋_GB2312"/>
          <w:sz w:val="32"/>
          <w:szCs w:val="32"/>
          <w:lang w:val="en-US" w:eastAsia="zh-CN"/>
        </w:rPr>
        <w:t>绩效自评得分为97分，绩效自评综述：本次自评得分为97分，总体表现较好；我单位无专项项目，因此未开展专项项目自评。整体绩效自评报告详见附件。</w:t>
      </w:r>
    </w:p>
    <w:p>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p>
    <w:p>
      <w:pPr>
        <w:numPr>
          <w:ilvl w:val="0"/>
          <w:numId w:val="3"/>
        </w:numPr>
        <w:spacing w:line="600" w:lineRule="exact"/>
        <w:ind w:firstLine="660" w:firstLineChars="150"/>
        <w:jc w:val="center"/>
        <w:outlineLvl w:val="0"/>
        <w:rPr>
          <w:rStyle w:val="29"/>
          <w:rFonts w:ascii="黑体" w:hAnsi="黑体" w:eastAsia="黑体"/>
          <w:b w:val="0"/>
        </w:rPr>
      </w:pPr>
      <w:bookmarkStart w:id="82" w:name="_Toc15377225"/>
      <w:bookmarkStart w:id="83" w:name="_Toc15396613"/>
      <w:bookmarkStart w:id="84" w:name="_Toc12304"/>
      <w:bookmarkStart w:id="85" w:name="_Toc79163629"/>
      <w:r>
        <w:rPr>
          <w:rFonts w:hint="eastAsia" w:ascii="黑体" w:hAnsi="黑体" w:eastAsia="黑体"/>
          <w:color w:val="000000"/>
          <w:sz w:val="44"/>
          <w:szCs w:val="44"/>
        </w:rPr>
        <w:t>名</w:t>
      </w:r>
      <w:r>
        <w:rPr>
          <w:rStyle w:val="29"/>
          <w:rFonts w:hint="eastAsia" w:ascii="黑体" w:hAnsi="黑体" w:eastAsia="黑体"/>
          <w:b w:val="0"/>
        </w:rPr>
        <w:t>词解释</w:t>
      </w:r>
      <w:bookmarkEnd w:id="82"/>
      <w:bookmarkEnd w:id="83"/>
      <w:bookmarkEnd w:id="84"/>
      <w:bookmarkEnd w:id="85"/>
    </w:p>
    <w:p>
      <w:pPr>
        <w:pStyle w:val="39"/>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pPr>
        <w:pStyle w:val="39"/>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事业收入：指事业单位开展专业业务活动及辅助活动取得的收入。（二级预算事业</w:t>
      </w:r>
      <w:r>
        <w:rPr>
          <w:rFonts w:hint="eastAsia" w:ascii="仿宋_GB2312" w:eastAsia="仿宋_GB2312"/>
          <w:sz w:val="32"/>
          <w:szCs w:val="32"/>
          <w:lang w:val="en-US" w:eastAsia="zh-CN"/>
        </w:rPr>
        <w:t>单位</w:t>
      </w:r>
      <w:r>
        <w:rPr>
          <w:rFonts w:hint="eastAsia" w:ascii="仿宋_GB2312" w:eastAsia="仿宋_GB2312"/>
          <w:sz w:val="32"/>
          <w:szCs w:val="32"/>
        </w:rPr>
        <w:t>收入情况）等。</w:t>
      </w:r>
    </w:p>
    <w:p>
      <w:pPr>
        <w:pStyle w:val="39"/>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经营收入：指事业单位在专业业务活动及其辅助活动之外开展非独立核算经营活动取得的收入。（二级预算单位经营收入情况）等。</w:t>
      </w:r>
    </w:p>
    <w:p>
      <w:pPr>
        <w:pStyle w:val="39"/>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其他收入：指单位取得的除上述收入以外的各项收入。主要是（收入类型）等。</w:t>
      </w:r>
      <w:r>
        <w:rPr>
          <w:rFonts w:ascii="仿宋_GB2312" w:eastAsia="仿宋_GB2312"/>
          <w:sz w:val="32"/>
          <w:szCs w:val="32"/>
        </w:rPr>
        <w:t xml:space="preserve"> </w:t>
      </w:r>
    </w:p>
    <w:p>
      <w:pPr>
        <w:pStyle w:val="39"/>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pPr>
        <w:pStyle w:val="39"/>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pPr>
        <w:pStyle w:val="39"/>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pPr>
        <w:pStyle w:val="39"/>
        <w:spacing w:line="560" w:lineRule="exact"/>
        <w:ind w:firstLine="640" w:firstLineChars="200"/>
        <w:rPr>
          <w:rFonts w:hint="eastAsia"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pPr>
        <w:pStyle w:val="39"/>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9.</w:t>
      </w:r>
      <w:r>
        <w:rPr>
          <w:rFonts w:hint="default" w:ascii="仿宋_GB2312" w:eastAsia="仿宋_GB2312"/>
          <w:sz w:val="32"/>
          <w:szCs w:val="32"/>
          <w:lang w:eastAsia="zh-CN"/>
        </w:rPr>
        <w:t>一般公共服务支出（类）</w:t>
      </w:r>
      <w:r>
        <w:rPr>
          <w:rFonts w:hint="eastAsia" w:ascii="仿宋_GB2312" w:eastAsia="仿宋_GB2312"/>
          <w:sz w:val="32"/>
          <w:szCs w:val="32"/>
          <w:lang w:val="en-US" w:eastAsia="zh-CN"/>
        </w:rPr>
        <w:t>民族事务（款）行政运行（项）：反映行政单位（包括实行公务员管理的事业单位）的基本支出。</w:t>
      </w:r>
    </w:p>
    <w:p>
      <w:pPr>
        <w:pStyle w:val="39"/>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10.</w:t>
      </w:r>
      <w:r>
        <w:rPr>
          <w:rFonts w:hint="default" w:ascii="仿宋_GB2312" w:eastAsia="仿宋_GB2312"/>
          <w:sz w:val="32"/>
          <w:szCs w:val="32"/>
          <w:lang w:eastAsia="zh-CN"/>
        </w:rPr>
        <w:t>一般公共服务支出（类）</w:t>
      </w:r>
      <w:r>
        <w:rPr>
          <w:rFonts w:hint="eastAsia" w:ascii="仿宋_GB2312" w:eastAsia="仿宋_GB2312"/>
          <w:sz w:val="32"/>
          <w:szCs w:val="32"/>
          <w:lang w:val="en-US" w:eastAsia="zh-CN"/>
        </w:rPr>
        <w:t>民族事务（款）一般行政管理事务（项）：反映行政单位（包括实行公务员管理的事业单位）未单独设置项级科目的其他项目支出。</w:t>
      </w:r>
    </w:p>
    <w:p>
      <w:pPr>
        <w:pStyle w:val="39"/>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11.</w:t>
      </w:r>
      <w:r>
        <w:rPr>
          <w:rFonts w:hint="default" w:ascii="仿宋_GB2312" w:eastAsia="仿宋_GB2312"/>
          <w:sz w:val="32"/>
          <w:szCs w:val="32"/>
          <w:lang w:eastAsia="zh-CN"/>
        </w:rPr>
        <w:t>一般公共服务支出（类）</w:t>
      </w:r>
      <w:r>
        <w:rPr>
          <w:rFonts w:hint="eastAsia" w:ascii="仿宋_GB2312" w:eastAsia="仿宋_GB2312"/>
          <w:sz w:val="32"/>
          <w:szCs w:val="32"/>
          <w:lang w:val="en-US" w:eastAsia="zh-CN"/>
        </w:rPr>
        <w:t>民族事务（款）民族工作专项（项）：反映用于民族事务管理方面的支出。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lang w:val="en-US" w:eastAsia="zh-CN"/>
        </w:rPr>
        <w:t>12</w:t>
      </w:r>
      <w:r>
        <w:rPr>
          <w:rFonts w:hint="eastAsia" w:ascii="仿宋_GB2312" w:eastAsia="仿宋_GB2312"/>
          <w:color w:val="000000"/>
          <w:sz w:val="32"/>
          <w:szCs w:val="32"/>
        </w:rPr>
        <w:t>.社会保障和就业（类）行政事业单位养老支出（款）机关事业单位基本养老保险缴费支出（项）：指机关事业单位实施养老保险制度由单位缴纳的基本养老保险费支出。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3</w:t>
      </w:r>
      <w:r>
        <w:rPr>
          <w:rFonts w:hint="eastAsia" w:ascii="仿宋_GB2312" w:eastAsia="仿宋_GB2312"/>
          <w:color w:val="000000"/>
          <w:sz w:val="32"/>
          <w:szCs w:val="32"/>
        </w:rPr>
        <w:t>. 社会保障和就业（类）行政事业单位养老支出（款）机关事业单位职业年金缴费支出（项）：指机关事业单位养老保险制度由单位缴纳的职业年金支出。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.卫生健康支出（类）行政事业单位医疗（款）事业单位医疗（项）：指财政部门集中安排的事业单位基本医疗保险缴费。</w:t>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.住房保障（类）住房改革（款）住房公积金（项）：指行政事业单位按规定的标准和比例为职工缴纳的住房公积金。</w:t>
      </w:r>
    </w:p>
    <w:p>
      <w:pPr>
        <w:pStyle w:val="39"/>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6</w:t>
      </w:r>
      <w:r>
        <w:rPr>
          <w:rFonts w:hint="eastAsia" w:ascii="仿宋_GB2312" w:eastAsia="仿宋_GB2312"/>
          <w:color w:val="000000"/>
          <w:sz w:val="32"/>
          <w:szCs w:val="32"/>
        </w:rPr>
        <w:t>.基本支出：指为保障机构正常运转、完成日常工作任务而发生的人员支出和公用支出。</w:t>
      </w:r>
    </w:p>
    <w:p>
      <w:pPr>
        <w:pStyle w:val="39"/>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7</w:t>
      </w:r>
      <w:r>
        <w:rPr>
          <w:rFonts w:hint="eastAsia" w:ascii="仿宋_GB2312" w:eastAsia="仿宋_GB2312"/>
          <w:color w:val="000000"/>
          <w:sz w:val="32"/>
          <w:szCs w:val="32"/>
        </w:rPr>
        <w:t>.项目支出：指在基本支出之外为完成特定行政任务和事业发展目标所发生的支出。</w:t>
      </w:r>
    </w:p>
    <w:p>
      <w:pPr>
        <w:pStyle w:val="39"/>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8</w:t>
      </w:r>
      <w:r>
        <w:rPr>
          <w:rFonts w:hint="eastAsia" w:ascii="仿宋_GB2312" w:eastAsia="仿宋_GB2312"/>
          <w:color w:val="000000"/>
          <w:sz w:val="32"/>
          <w:szCs w:val="32"/>
        </w:rPr>
        <w:t>.经营支出：指事业单位在专业业务活动及其辅助活动之外开展非独立核算经营活动发生的支出。</w:t>
      </w:r>
    </w:p>
    <w:p>
      <w:pPr>
        <w:pStyle w:val="39"/>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9"/>
        <w:spacing w:line="560" w:lineRule="exact"/>
        <w:ind w:firstLine="640" w:firstLineChars="200"/>
        <w:rPr>
          <w:rFonts w:ascii="仿宋_GB2312" w:eastAsia="仿宋_GB2312"/>
          <w:sz w:val="32"/>
          <w:szCs w:val="32"/>
        </w:rPr>
      </w:pPr>
      <w:r>
        <w:rPr>
          <w:rFonts w:hint="eastAsia" w:ascii="仿宋_GB2312" w:eastAsia="仿宋_GB2312"/>
          <w:color w:val="000000"/>
          <w:sz w:val="32"/>
          <w:szCs w:val="32"/>
          <w:lang w:val="en-US" w:eastAsia="zh-CN"/>
        </w:rPr>
        <w:t>20</w:t>
      </w:r>
      <w:r>
        <w:rPr>
          <w:rFonts w:hint="eastAsia" w:ascii="仿宋_GB2312" w:eastAsia="仿宋_GB2312"/>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pPr>
        <w:spacing w:line="600" w:lineRule="exact"/>
        <w:jc w:val="center"/>
        <w:outlineLvl w:val="0"/>
        <w:rPr>
          <w:rStyle w:val="29"/>
          <w:rFonts w:hint="eastAsia" w:ascii="黑体" w:hAnsi="黑体" w:eastAsia="黑体"/>
          <w:b w:val="0"/>
        </w:rPr>
      </w:pPr>
      <w:bookmarkStart w:id="86" w:name="_Toc15377226"/>
      <w:r>
        <w:rPr>
          <w:rFonts w:ascii="宋体"/>
          <w:b/>
          <w:color w:val="000000"/>
          <w:sz w:val="44"/>
          <w:szCs w:val="44"/>
        </w:rPr>
        <w:br w:type="page"/>
      </w:r>
      <w:bookmarkStart w:id="87" w:name="_Toc14215"/>
      <w:bookmarkStart w:id="88" w:name="_Toc15396614"/>
      <w:bookmarkStart w:id="89" w:name="_Toc79163630"/>
      <w:r>
        <w:rPr>
          <w:rFonts w:hint="eastAsia" w:ascii="黑体" w:hAnsi="黑体" w:eastAsia="黑体"/>
          <w:color w:val="000000"/>
          <w:sz w:val="44"/>
          <w:szCs w:val="44"/>
        </w:rPr>
        <w:t>第</w:t>
      </w:r>
      <w:r>
        <w:rPr>
          <w:rStyle w:val="29"/>
          <w:rFonts w:hint="eastAsia" w:ascii="黑体" w:hAnsi="黑体" w:eastAsia="黑体"/>
          <w:b w:val="0"/>
        </w:rPr>
        <w:t>四部分</w:t>
      </w:r>
      <w:r>
        <w:rPr>
          <w:rStyle w:val="29"/>
          <w:rFonts w:ascii="黑体" w:hAnsi="黑体" w:eastAsia="黑体"/>
          <w:b w:val="0"/>
        </w:rPr>
        <w:t xml:space="preserve"> </w:t>
      </w:r>
      <w:r>
        <w:rPr>
          <w:rStyle w:val="29"/>
          <w:rFonts w:hint="eastAsia" w:ascii="黑体" w:hAnsi="黑体" w:eastAsia="黑体"/>
          <w:b w:val="0"/>
        </w:rPr>
        <w:t>附件</w:t>
      </w:r>
      <w:bookmarkEnd w:id="87"/>
      <w:bookmarkEnd w:id="88"/>
      <w:bookmarkEnd w:id="89"/>
    </w:p>
    <w:p>
      <w:pPr>
        <w:pStyle w:val="19"/>
      </w:pPr>
    </w:p>
    <w:p>
      <w:pPr>
        <w:spacing w:line="360" w:lineRule="auto"/>
        <w:jc w:val="center"/>
        <w:rPr>
          <w:rFonts w:hint="eastAsia" w:ascii="宋体" w:hAnsi="宋体" w:cs="宋体"/>
          <w:b/>
          <w:bCs/>
          <w:kern w:val="0"/>
          <w:sz w:val="44"/>
          <w:szCs w:val="44"/>
        </w:rPr>
      </w:pPr>
      <w:r>
        <w:rPr>
          <w:rFonts w:hint="eastAsia" w:ascii="宋体" w:hAnsi="宋体" w:cs="宋体"/>
          <w:b/>
          <w:bCs/>
          <w:kern w:val="0"/>
          <w:sz w:val="44"/>
          <w:szCs w:val="44"/>
        </w:rPr>
        <w:t>壤塘县三郎寺寺庙管理委员会</w:t>
      </w:r>
    </w:p>
    <w:p>
      <w:pPr>
        <w:spacing w:line="360" w:lineRule="auto"/>
        <w:jc w:val="center"/>
        <w:rPr>
          <w:rFonts w:ascii="宋体" w:hAnsi="宋体" w:cs="宋体"/>
          <w:b/>
          <w:bCs/>
          <w:kern w:val="0"/>
          <w:sz w:val="44"/>
          <w:szCs w:val="44"/>
        </w:rPr>
      </w:pPr>
      <w:r>
        <w:rPr>
          <w:rFonts w:hint="eastAsia" w:ascii="宋体" w:hAnsi="宋体" w:cs="宋体"/>
          <w:b/>
          <w:bCs/>
          <w:kern w:val="0"/>
          <w:sz w:val="44"/>
          <w:szCs w:val="44"/>
          <w:lang w:eastAsia="zh-CN"/>
        </w:rPr>
        <w:t>2025年</w:t>
      </w:r>
      <w:r>
        <w:rPr>
          <w:rFonts w:hint="eastAsia" w:ascii="宋体" w:hAnsi="宋体" w:cs="宋体"/>
          <w:b/>
          <w:bCs/>
          <w:kern w:val="0"/>
          <w:sz w:val="44"/>
          <w:szCs w:val="44"/>
        </w:rPr>
        <w:t>度部门整体支出绩效评价自评报告</w:t>
      </w:r>
    </w:p>
    <w:p>
      <w:pPr>
        <w:spacing w:line="360" w:lineRule="auto"/>
        <w:jc w:val="center"/>
        <w:rPr>
          <w:rFonts w:ascii="宋体" w:hAnsi="宋体" w:cs="宋体"/>
          <w:kern w:val="0"/>
          <w:szCs w:val="21"/>
        </w:rPr>
      </w:pPr>
    </w:p>
    <w:p>
      <w:pPr>
        <w:spacing w:line="360" w:lineRule="auto"/>
        <w:ind w:firstLine="642"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rPr>
        <w:t>一、部门（单位）概况</w:t>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壤塘县三郎寺寺庙管理委员会机构性质：机关，机构地址：四川省壤塘县南木达镇谐多街5号。</w:t>
      </w:r>
    </w:p>
    <w:p>
      <w:pPr>
        <w:spacing w:line="360" w:lineRule="auto"/>
        <w:ind w:firstLine="642" w:firstLineChars="200"/>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（一）机构组成</w:t>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壤塘县三郎寺寺庙管理委员会</w:t>
      </w:r>
      <w:r>
        <w:rPr>
          <w:rFonts w:hint="eastAsia" w:ascii="仿宋_GB2312" w:hAnsi="仿宋_GB2312" w:eastAsia="仿宋_GB2312" w:cs="仿宋_GB2312"/>
          <w:color w:val="auto"/>
          <w:sz w:val="32"/>
          <w:szCs w:val="32"/>
        </w:rPr>
        <w:t>共有1个股室，办公室</w:t>
      </w:r>
      <w:r>
        <w:rPr>
          <w:rFonts w:hint="eastAsia" w:ascii="仿宋_GB2312" w:hAnsi="仿宋_GB2312" w:eastAsia="仿宋_GB2312" w:cs="仿宋_GB2312"/>
          <w:sz w:val="32"/>
          <w:szCs w:val="32"/>
        </w:rPr>
        <w:t>。</w:t>
      </w:r>
    </w:p>
    <w:p>
      <w:pPr>
        <w:numPr>
          <w:ilvl w:val="0"/>
          <w:numId w:val="4"/>
        </w:numPr>
        <w:spacing w:line="360" w:lineRule="auto"/>
        <w:ind w:firstLine="642"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rPr>
        <w:t>机构职能</w:t>
      </w:r>
    </w:p>
    <w:p>
      <w:pPr>
        <w:pStyle w:val="6"/>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textAlignment w:val="auto"/>
        <w:rPr>
          <w:rFonts w:hint="eastAsia"/>
          <w:sz w:val="32"/>
          <w:szCs w:val="32"/>
          <w:lang w:val="en-US" w:eastAsia="zh-CN"/>
        </w:rPr>
      </w:pPr>
      <w:r>
        <w:rPr>
          <w:rFonts w:hint="eastAsia"/>
          <w:sz w:val="32"/>
          <w:szCs w:val="32"/>
          <w:lang w:val="en-US" w:eastAsia="zh-CN"/>
        </w:rPr>
        <w:t>依法加强寺庙宗教事务管理：严守法律底线，坚决把以寺庙、僧人、宗教佛事活动管理为重点的宗教事务管理纳入依法管理轨道，牢牢掌握寺庙领导权和管理权，做到不发生重大责任事故。</w:t>
      </w:r>
    </w:p>
    <w:p>
      <w:pPr>
        <w:pStyle w:val="6"/>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textAlignment w:val="auto"/>
        <w:rPr>
          <w:rFonts w:hint="eastAsia" w:hAnsi="Times New Roman" w:cs="Times New Roman"/>
          <w:sz w:val="32"/>
          <w:szCs w:val="32"/>
        </w:rPr>
      </w:pPr>
      <w:r>
        <w:rPr>
          <w:rFonts w:hint="eastAsia"/>
          <w:sz w:val="32"/>
          <w:szCs w:val="32"/>
          <w:lang w:val="en-US" w:eastAsia="zh-CN"/>
        </w:rPr>
        <w:t>加强教育引导：以增强僧人法治意识、公民意识、政治意识、祖国意识为目的，坚持不懈加强对僧人的教育引导</w:t>
      </w:r>
      <w:r>
        <w:rPr>
          <w:rFonts w:hint="eastAsia" w:hAnsi="Times New Roman" w:cs="Times New Roman"/>
          <w:sz w:val="32"/>
          <w:szCs w:val="32"/>
          <w:lang w:eastAsia="zh-CN"/>
        </w:rPr>
        <w:t>。</w:t>
      </w:r>
    </w:p>
    <w:p>
      <w:pPr>
        <w:numPr>
          <w:ilvl w:val="0"/>
          <w:numId w:val="4"/>
        </w:numPr>
        <w:spacing w:line="360" w:lineRule="auto"/>
        <w:ind w:firstLine="642" w:firstLineChars="200"/>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人员概况</w:t>
      </w:r>
    </w:p>
    <w:p>
      <w:pPr>
        <w:ind w:firstLine="800" w:firstLineChars="250"/>
        <w:rPr>
          <w:rFonts w:ascii="仿宋_GB2312" w:hAnsi="仿宋_GB2312" w:eastAsia="仿宋_GB2312" w:cs="仿宋_GB2312"/>
          <w:sz w:val="32"/>
          <w:szCs w:val="32"/>
        </w:rPr>
      </w:pPr>
      <w:r>
        <w:rPr>
          <w:rFonts w:hint="eastAsia" w:ascii="仿宋_GB2312" w:hAnsi="宋体" w:eastAsia="仿宋_GB2312" w:cs="仿宋_GB2312"/>
          <w:kern w:val="0"/>
          <w:sz w:val="32"/>
          <w:szCs w:val="32"/>
        </w:rPr>
        <w:t>人员情况：总编制</w:t>
      </w:r>
      <w:r>
        <w:rPr>
          <w:rFonts w:hint="eastAsia" w:ascii="仿宋_GB2312" w:hAnsi="宋体" w:eastAsia="仿宋_GB2312" w:cs="仿宋_GB2312"/>
          <w:kern w:val="0"/>
          <w:sz w:val="32"/>
          <w:szCs w:val="32"/>
          <w:lang w:val="en-US" w:eastAsia="zh-CN"/>
        </w:rPr>
        <w:t>7</w:t>
      </w:r>
      <w:r>
        <w:rPr>
          <w:rFonts w:hint="eastAsia" w:ascii="仿宋_GB2312" w:hAnsi="宋体" w:eastAsia="仿宋_GB2312" w:cs="仿宋_GB2312"/>
          <w:kern w:val="0"/>
          <w:sz w:val="32"/>
          <w:szCs w:val="32"/>
        </w:rPr>
        <w:t>名</w:t>
      </w:r>
      <w:r>
        <w:rPr>
          <w:rFonts w:ascii="仿宋_GB2312" w:hAnsi="宋体" w:eastAsia="仿宋_GB2312" w:cs="仿宋_GB2312"/>
          <w:kern w:val="0"/>
          <w:sz w:val="32"/>
          <w:szCs w:val="32"/>
        </w:rPr>
        <w:t>,</w:t>
      </w:r>
      <w:r>
        <w:rPr>
          <w:rFonts w:hint="eastAsia" w:ascii="仿宋_GB2312" w:hAnsi="宋体" w:eastAsia="仿宋_GB2312" w:cs="仿宋_GB2312"/>
          <w:kern w:val="0"/>
          <w:sz w:val="32"/>
          <w:szCs w:val="32"/>
        </w:rPr>
        <w:t>其中</w:t>
      </w:r>
      <w:r>
        <w:rPr>
          <w:rFonts w:ascii="仿宋_GB2312" w:hAnsi="宋体" w:eastAsia="仿宋_GB2312" w:cs="仿宋_GB2312"/>
          <w:kern w:val="0"/>
          <w:sz w:val="32"/>
          <w:szCs w:val="32"/>
        </w:rPr>
        <w:t>:</w:t>
      </w:r>
      <w:r>
        <w:rPr>
          <w:rFonts w:hint="eastAsia" w:ascii="仿宋_GB2312" w:hAnsi="宋体" w:eastAsia="仿宋_GB2312" w:cs="仿宋_GB2312"/>
          <w:kern w:val="0"/>
          <w:sz w:val="32"/>
          <w:szCs w:val="32"/>
        </w:rPr>
        <w:t>行政编制</w:t>
      </w:r>
      <w:r>
        <w:rPr>
          <w:rFonts w:hint="eastAsia" w:ascii="仿宋_GB2312" w:hAnsi="宋体" w:eastAsia="仿宋_GB2312" w:cs="仿宋_GB2312"/>
          <w:kern w:val="0"/>
          <w:sz w:val="32"/>
          <w:szCs w:val="32"/>
          <w:lang w:val="en-US" w:eastAsia="zh-CN"/>
        </w:rPr>
        <w:t>6</w:t>
      </w:r>
      <w:r>
        <w:rPr>
          <w:rFonts w:hint="eastAsia" w:ascii="仿宋_GB2312" w:hAnsi="宋体" w:eastAsia="仿宋_GB2312" w:cs="仿宋_GB2312"/>
          <w:kern w:val="0"/>
          <w:sz w:val="32"/>
          <w:szCs w:val="32"/>
        </w:rPr>
        <w:t>人、行政工勤1人</w:t>
      </w:r>
      <w:r>
        <w:rPr>
          <w:rFonts w:hint="eastAsia" w:ascii="仿宋_GB2312" w:hAnsi="仿宋_GB2312" w:eastAsia="仿宋_GB2312" w:cs="仿宋_GB2312"/>
          <w:sz w:val="32"/>
          <w:szCs w:val="32"/>
        </w:rPr>
        <w:t>。</w:t>
      </w:r>
    </w:p>
    <w:p>
      <w:pPr>
        <w:spacing w:line="360" w:lineRule="auto"/>
        <w:ind w:firstLine="642" w:firstLineChars="200"/>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二、部门财政资金收支情况</w:t>
      </w:r>
    </w:p>
    <w:p>
      <w:pPr>
        <w:spacing w:line="360" w:lineRule="auto"/>
        <w:ind w:firstLine="642"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（一）部门财政资金收入情况</w:t>
      </w:r>
    </w:p>
    <w:p>
      <w:pPr>
        <w:pStyle w:val="45"/>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财政下达壤塘县三郎寺寺庙管理委员会年初预算收入</w:t>
      </w:r>
      <w:r>
        <w:rPr>
          <w:rFonts w:hint="eastAsia" w:ascii="仿宋_GB2312" w:hAnsi="仿宋_GB2312" w:eastAsia="仿宋_GB2312" w:cs="仿宋_GB2312"/>
          <w:sz w:val="32"/>
          <w:szCs w:val="32"/>
          <w:lang w:val="en-US" w:eastAsia="zh-CN"/>
        </w:rPr>
        <w:t>159.15</w:t>
      </w:r>
      <w:r>
        <w:rPr>
          <w:rFonts w:hint="eastAsia" w:ascii="仿宋_GB2312" w:hAnsi="仿宋_GB2312" w:eastAsia="仿宋_GB2312" w:cs="仿宋_GB2312"/>
          <w:sz w:val="32"/>
          <w:szCs w:val="32"/>
        </w:rPr>
        <w:t>万元，执行期中追加收入</w:t>
      </w:r>
      <w:r>
        <w:rPr>
          <w:rFonts w:hint="eastAsia" w:ascii="仿宋_GB2312" w:hAnsi="仿宋_GB2312" w:eastAsia="仿宋_GB2312" w:cs="仿宋_GB2312"/>
          <w:sz w:val="32"/>
          <w:szCs w:val="32"/>
          <w:lang w:val="en-US" w:eastAsia="zh-CN"/>
        </w:rPr>
        <w:t>37.19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全年实际收入合计为196.34万元，本年度无财政应返还额度</w:t>
      </w:r>
      <w:r>
        <w:rPr>
          <w:rFonts w:hint="eastAsia" w:ascii="仿宋_GB2312" w:hAnsi="仿宋_GB2312" w:eastAsia="仿宋_GB2312" w:cs="仿宋_GB2312"/>
          <w:sz w:val="32"/>
          <w:szCs w:val="32"/>
        </w:rPr>
        <w:t xml:space="preserve">。 </w:t>
      </w:r>
    </w:p>
    <w:p>
      <w:pPr>
        <w:pStyle w:val="45"/>
        <w:spacing w:line="360" w:lineRule="auto"/>
        <w:ind w:firstLine="643"/>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（二）部门财政资金支出情况</w:t>
      </w:r>
      <w:r>
        <w:rPr>
          <w:rFonts w:hint="eastAsia" w:ascii="仿宋_GB2312" w:hAnsi="仿宋_GB2312" w:eastAsia="仿宋_GB2312" w:cs="仿宋_GB2312"/>
          <w:sz w:val="32"/>
          <w:szCs w:val="32"/>
        </w:rPr>
        <w:t xml:space="preserve">  </w:t>
      </w:r>
    </w:p>
    <w:p>
      <w:pPr>
        <w:pStyle w:val="45"/>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壤塘县三郎寺寺庙管理委员会支出全年预算数共计</w:t>
      </w:r>
      <w:r>
        <w:rPr>
          <w:rFonts w:hint="eastAsia" w:ascii="仿宋_GB2312" w:hAnsi="仿宋_GB2312" w:eastAsia="仿宋_GB2312" w:cs="仿宋_GB2312"/>
          <w:sz w:val="32"/>
          <w:szCs w:val="32"/>
          <w:lang w:eastAsia="zh-CN"/>
        </w:rPr>
        <w:t>196.34</w:t>
      </w:r>
      <w:r>
        <w:rPr>
          <w:rFonts w:hint="eastAsia" w:ascii="仿宋_GB2312" w:hAnsi="仿宋_GB2312" w:eastAsia="仿宋_GB2312" w:cs="仿宋_GB2312"/>
          <w:sz w:val="32"/>
          <w:szCs w:val="32"/>
        </w:rPr>
        <w:t>万元，其中基本支出188.41万元，项目支出</w:t>
      </w:r>
      <w:r>
        <w:rPr>
          <w:rFonts w:hint="eastAsia" w:ascii="仿宋_GB2312" w:hAnsi="仿宋_GB2312" w:eastAsia="仿宋_GB2312" w:cs="仿宋_GB2312"/>
          <w:sz w:val="32"/>
          <w:szCs w:val="32"/>
          <w:lang w:val="en-US" w:eastAsia="zh-CN"/>
        </w:rPr>
        <w:t>7.93</w:t>
      </w:r>
      <w:r>
        <w:rPr>
          <w:rFonts w:hint="eastAsia" w:ascii="仿宋_GB2312" w:hAnsi="仿宋_GB2312" w:eastAsia="仿宋_GB2312" w:cs="仿宋_GB2312"/>
          <w:sz w:val="32"/>
          <w:szCs w:val="32"/>
        </w:rPr>
        <w:t>万元。</w:t>
      </w:r>
    </w:p>
    <w:p>
      <w:pPr>
        <w:spacing w:line="360" w:lineRule="auto"/>
        <w:ind w:firstLine="642" w:firstLineChars="200"/>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rPr>
        <w:t>三、部门整体预算绩效管理情况</w:t>
      </w:r>
    </w:p>
    <w:p>
      <w:pPr>
        <w:pStyle w:val="45"/>
        <w:spacing w:line="360" w:lineRule="auto"/>
        <w:ind w:firstLine="643"/>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rPr>
        <w:t>（一）部门预算管理</w:t>
      </w:r>
    </w:p>
    <w:p>
      <w:pPr>
        <w:pStyle w:val="45"/>
        <w:spacing w:line="360" w:lineRule="auto"/>
        <w:ind w:firstLine="643"/>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rPr>
        <w:t>1.部门整体绩效目标制定情况</w:t>
      </w:r>
    </w:p>
    <w:p>
      <w:pPr>
        <w:pStyle w:val="45"/>
        <w:spacing w:line="360" w:lineRule="auto"/>
        <w:ind w:firstLine="64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lang w:val="en-US" w:eastAsia="zh-CN"/>
        </w:rPr>
        <w:t>扎实开展群众工作、寺庙管理，有力地维护辖区寺庙和谐稳定。</w:t>
      </w:r>
    </w:p>
    <w:p>
      <w:pPr>
        <w:pStyle w:val="45"/>
        <w:spacing w:line="360" w:lineRule="auto"/>
        <w:ind w:firstLine="643"/>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rPr>
        <w:t>2.部门整体绩效目标完成情况</w:t>
      </w:r>
    </w:p>
    <w:p>
      <w:pPr>
        <w:pStyle w:val="45"/>
        <w:spacing w:line="360" w:lineRule="auto"/>
        <w:ind w:firstLine="643"/>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1）寺庙管理更规范</w:t>
      </w:r>
    </w:p>
    <w:p>
      <w:pPr>
        <w:pStyle w:val="45"/>
        <w:spacing w:line="360" w:lineRule="auto"/>
        <w:ind w:firstLine="643"/>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2）联系僧尼更紧密</w:t>
      </w:r>
    </w:p>
    <w:p>
      <w:pPr>
        <w:pStyle w:val="45"/>
        <w:spacing w:line="360" w:lineRule="auto"/>
        <w:ind w:firstLine="643"/>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3）僧尼安全意识更牢固</w:t>
      </w:r>
    </w:p>
    <w:p>
      <w:pPr>
        <w:pStyle w:val="45"/>
        <w:spacing w:line="360" w:lineRule="auto"/>
        <w:ind w:firstLine="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3.预算编制情况</w:t>
      </w:r>
    </w:p>
    <w:p>
      <w:pPr>
        <w:pStyle w:val="45"/>
        <w:spacing w:line="36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壤塘县三郎寺寺庙管理委员会</w:t>
      </w:r>
      <w:r>
        <w:rPr>
          <w:rFonts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159.15</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执行期间根据工作安排和开展情况追加收入</w:t>
      </w:r>
      <w:r>
        <w:rPr>
          <w:rFonts w:hint="eastAsia" w:ascii="仿宋_GB2312" w:hAnsi="仿宋_GB2312" w:eastAsia="仿宋_GB2312" w:cs="仿宋_GB2312"/>
          <w:sz w:val="32"/>
          <w:szCs w:val="32"/>
          <w:lang w:val="en-US" w:eastAsia="zh-CN"/>
        </w:rPr>
        <w:t>37.19</w:t>
      </w:r>
      <w:r>
        <w:rPr>
          <w:rFonts w:hint="eastAsia" w:ascii="仿宋_GB2312" w:hAnsi="仿宋_GB2312" w:eastAsia="仿宋_GB2312" w:cs="仿宋_GB2312"/>
          <w:sz w:val="32"/>
          <w:szCs w:val="32"/>
        </w:rPr>
        <w:t>万元，</w:t>
      </w:r>
      <w:r>
        <w:rPr>
          <w:rFonts w:ascii="仿宋_GB2312" w:hAnsi="仿宋_GB2312" w:eastAsia="仿宋_GB2312" w:cs="仿宋_GB2312"/>
          <w:sz w:val="32"/>
          <w:szCs w:val="32"/>
        </w:rPr>
        <w:t>调整预算数为</w:t>
      </w:r>
      <w:r>
        <w:rPr>
          <w:rFonts w:hint="eastAsia" w:ascii="仿宋_GB2312" w:hAnsi="仿宋_GB2312" w:eastAsia="仿宋_GB2312" w:cs="仿宋_GB2312"/>
          <w:sz w:val="32"/>
          <w:szCs w:val="32"/>
          <w:lang w:eastAsia="zh-CN"/>
        </w:rPr>
        <w:t>196.34</w:t>
      </w:r>
      <w:r>
        <w:rPr>
          <w:rFonts w:ascii="仿宋_GB2312" w:hAnsi="仿宋_GB2312" w:eastAsia="仿宋_GB2312" w:cs="仿宋_GB2312"/>
          <w:sz w:val="32"/>
          <w:szCs w:val="32"/>
        </w:rPr>
        <w:t>万元。</w:t>
      </w:r>
    </w:p>
    <w:p>
      <w:pPr>
        <w:pStyle w:val="45"/>
        <w:spacing w:line="360" w:lineRule="auto"/>
        <w:ind w:firstLine="643"/>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4.执行进度</w:t>
      </w:r>
    </w:p>
    <w:p>
      <w:pPr>
        <w:pStyle w:val="45"/>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壤塘县三郎寺寺庙管理委员会财政拨款执行数</w:t>
      </w:r>
      <w:r>
        <w:rPr>
          <w:rFonts w:hint="eastAsia" w:ascii="仿宋_GB2312" w:hAnsi="仿宋_GB2312" w:eastAsia="仿宋_GB2312" w:cs="仿宋_GB2312"/>
          <w:sz w:val="32"/>
          <w:szCs w:val="32"/>
          <w:lang w:eastAsia="zh-CN"/>
        </w:rPr>
        <w:t>196.34</w:t>
      </w:r>
      <w:r>
        <w:rPr>
          <w:rFonts w:hint="eastAsia" w:ascii="仿宋_GB2312" w:hAnsi="仿宋_GB2312" w:eastAsia="仿宋_GB2312" w:cs="仿宋_GB2312"/>
          <w:sz w:val="32"/>
          <w:szCs w:val="32"/>
        </w:rPr>
        <w:t>万元，财政拨款调整预算数</w:t>
      </w:r>
      <w:r>
        <w:rPr>
          <w:rFonts w:hint="eastAsia" w:ascii="仿宋_GB2312" w:hAnsi="仿宋_GB2312" w:eastAsia="仿宋_GB2312" w:cs="仿宋_GB2312"/>
          <w:sz w:val="32"/>
          <w:szCs w:val="32"/>
          <w:lang w:eastAsia="zh-CN"/>
        </w:rPr>
        <w:t>196.34</w:t>
      </w:r>
      <w:r>
        <w:rPr>
          <w:rFonts w:hint="eastAsia" w:ascii="仿宋_GB2312" w:hAnsi="仿宋_GB2312" w:eastAsia="仿宋_GB2312" w:cs="仿宋_GB2312"/>
          <w:sz w:val="32"/>
          <w:szCs w:val="32"/>
        </w:rPr>
        <w:t>万元，部门总体执行进度</w:t>
      </w:r>
      <w:r>
        <w:rPr>
          <w:rFonts w:hint="eastAsia" w:ascii="仿宋_GB2312" w:hAnsi="仿宋_GB2312" w:eastAsia="仿宋_GB2312" w:cs="仿宋_GB2312"/>
          <w:sz w:val="32"/>
          <w:szCs w:val="32"/>
          <w:lang w:val="en-US" w:eastAsia="zh-CN"/>
        </w:rPr>
        <w:t>为100%，执行进度较高</w:t>
      </w:r>
      <w:r>
        <w:rPr>
          <w:rFonts w:hint="eastAsia" w:ascii="仿宋_GB2312" w:hAnsi="仿宋_GB2312" w:eastAsia="仿宋_GB2312" w:cs="仿宋_GB2312"/>
          <w:sz w:val="32"/>
          <w:szCs w:val="32"/>
        </w:rPr>
        <w:t>。</w:t>
      </w:r>
    </w:p>
    <w:p>
      <w:pPr>
        <w:pStyle w:val="45"/>
        <w:spacing w:line="360" w:lineRule="auto"/>
        <w:ind w:firstLine="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5.预算完成情况</w:t>
      </w:r>
    </w:p>
    <w:p>
      <w:pPr>
        <w:pStyle w:val="45"/>
        <w:spacing w:line="360" w:lineRule="auto"/>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壤塘县三郎寺寺庙管理委员会</w:t>
      </w:r>
      <w:r>
        <w:rPr>
          <w:rFonts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159.15</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执行期间根据工作安排和开展情况追加收入</w:t>
      </w:r>
      <w:r>
        <w:rPr>
          <w:rFonts w:hint="eastAsia" w:ascii="仿宋_GB2312" w:hAnsi="仿宋_GB2312" w:eastAsia="仿宋_GB2312" w:cs="仿宋_GB2312"/>
          <w:sz w:val="32"/>
          <w:szCs w:val="32"/>
          <w:lang w:val="en-US" w:eastAsia="zh-CN"/>
        </w:rPr>
        <w:t>37.19</w:t>
      </w:r>
      <w:r>
        <w:rPr>
          <w:rFonts w:hint="eastAsia" w:ascii="仿宋_GB2312" w:hAnsi="仿宋_GB2312" w:eastAsia="仿宋_GB2312" w:cs="仿宋_GB2312"/>
          <w:sz w:val="32"/>
          <w:szCs w:val="32"/>
        </w:rPr>
        <w:t>万元，</w:t>
      </w:r>
      <w:r>
        <w:rPr>
          <w:rFonts w:ascii="仿宋_GB2312" w:hAnsi="仿宋_GB2312" w:eastAsia="仿宋_GB2312" w:cs="仿宋_GB2312"/>
          <w:sz w:val="32"/>
          <w:szCs w:val="32"/>
        </w:rPr>
        <w:t>调整预算数为</w:t>
      </w:r>
      <w:r>
        <w:rPr>
          <w:rFonts w:hint="eastAsia" w:ascii="仿宋_GB2312" w:hAnsi="仿宋_GB2312" w:eastAsia="仿宋_GB2312" w:cs="仿宋_GB2312"/>
          <w:sz w:val="32"/>
          <w:szCs w:val="32"/>
          <w:lang w:eastAsia="zh-CN"/>
        </w:rPr>
        <w:t>196.34</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年末决算数为196.34万元，</w:t>
      </w:r>
      <w:r>
        <w:rPr>
          <w:rFonts w:hint="eastAsia" w:ascii="仿宋_GB2312" w:hAnsi="仿宋_GB2312" w:eastAsia="仿宋_GB2312" w:cs="仿宋_GB2312"/>
          <w:sz w:val="32"/>
          <w:szCs w:val="32"/>
        </w:rPr>
        <w:t>预算完成进度为100%，预算完成度较高。</w:t>
      </w:r>
    </w:p>
    <w:p>
      <w:pPr>
        <w:pStyle w:val="45"/>
        <w:spacing w:line="360" w:lineRule="auto"/>
        <w:ind w:firstLine="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6.违规纪录</w:t>
      </w:r>
    </w:p>
    <w:p>
      <w:pPr>
        <w:pStyle w:val="45"/>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截至2025年</w:t>
      </w:r>
      <w:r>
        <w:rPr>
          <w:rFonts w:hint="eastAsia" w:ascii="仿宋_GB2312" w:hAnsi="仿宋_GB2312" w:eastAsia="仿宋_GB2312" w:cs="仿宋_GB2312"/>
          <w:sz w:val="32"/>
          <w:szCs w:val="32"/>
        </w:rPr>
        <w:t>12月31日，我单位无违规纪录情况。</w:t>
      </w:r>
    </w:p>
    <w:p>
      <w:pPr>
        <w:pStyle w:val="45"/>
        <w:spacing w:line="360" w:lineRule="auto"/>
        <w:ind w:firstLine="64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7.“三公”经费</w:t>
      </w:r>
    </w:p>
    <w:p>
      <w:pPr>
        <w:pStyle w:val="45"/>
        <w:spacing w:line="360" w:lineRule="auto"/>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公”经费控制。壤塘县三郎寺寺庙管理委员会2025年“三公”经费预算5万元，决算支出4.72万元。其中公务用车购置及运行维护费预算5万元，决算支出4.72万元（其中公务用车运行维护费4.72万元）,未发生因公出国（境）费及公务接待费，2025年“三公”经费决算均未超过预算。</w:t>
      </w:r>
    </w:p>
    <w:p>
      <w:pPr>
        <w:pStyle w:val="45"/>
        <w:spacing w:line="360" w:lineRule="auto"/>
        <w:ind w:firstLine="64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8.政府采购</w:t>
      </w:r>
    </w:p>
    <w:p>
      <w:pPr>
        <w:pStyle w:val="45"/>
        <w:spacing w:line="360" w:lineRule="auto"/>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采购规范性。壤塘县三郎寺寺庙管理委员会2025年度政府采购货物支出0万元，政府采购工程支出0万元，政府采购服务支出0万元。</w:t>
      </w:r>
    </w:p>
    <w:p>
      <w:pPr>
        <w:pStyle w:val="45"/>
        <w:spacing w:line="360" w:lineRule="auto"/>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9.资产管理</w:t>
      </w:r>
      <w:r>
        <w:rPr>
          <w:rFonts w:hint="eastAsia" w:ascii="仿宋_GB2312" w:hAnsi="仿宋_GB2312" w:eastAsia="仿宋_GB2312" w:cs="仿宋_GB2312"/>
          <w:sz w:val="32"/>
          <w:szCs w:val="32"/>
          <w:lang w:val="en-US" w:eastAsia="zh-CN"/>
        </w:rPr>
        <w:t xml:space="preserve">  </w:t>
      </w:r>
    </w:p>
    <w:p>
      <w:pPr>
        <w:pStyle w:val="45"/>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固定资产在用率。截至2025年12月31日，壤塘县三郎寺寺庙管理委员会《行政单位资产管理系统》固定资产总计46.67万元，在用的固定资产总计46.67万元，固定资产在用率达100%。</w:t>
      </w:r>
    </w:p>
    <w:p>
      <w:pPr>
        <w:pStyle w:val="45"/>
        <w:numPr>
          <w:ilvl w:val="0"/>
          <w:numId w:val="5"/>
        </w:numPr>
        <w:spacing w:line="360" w:lineRule="auto"/>
        <w:ind w:firstLine="643"/>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结果应用情况</w:t>
      </w:r>
    </w:p>
    <w:p>
      <w:pPr>
        <w:pStyle w:val="45"/>
        <w:spacing w:line="360" w:lineRule="auto"/>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rPr>
        <w:t>　</w:t>
      </w:r>
      <w:r>
        <w:rPr>
          <w:rFonts w:hint="eastAsia" w:ascii="仿宋_GB2312" w:hAnsi="仿宋_GB2312" w:eastAsia="仿宋_GB2312" w:cs="仿宋_GB2312"/>
          <w:sz w:val="32"/>
          <w:szCs w:val="32"/>
        </w:rPr>
        <w:t>　根据县财政局要求，我会成立自评工作小组，组织实施本单位</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绩效管理自评工作。信息公开情况：按照财政要求，及时在预决算批复后20日内，在壤塘县人民政府网站进行了信息公开，公开内容真实、完整。依法接受财政、审计、纪检监察、巡</w:t>
      </w:r>
      <w:r>
        <w:rPr>
          <w:rFonts w:hint="eastAsia" w:ascii="仿宋_GB2312" w:hAnsi="仿宋_GB2312" w:eastAsia="仿宋_GB2312" w:cs="仿宋_GB2312"/>
          <w:sz w:val="32"/>
          <w:szCs w:val="32"/>
          <w:lang w:val="en-US" w:eastAsia="zh-CN"/>
        </w:rPr>
        <w:t>察</w:t>
      </w:r>
      <w:r>
        <w:rPr>
          <w:rFonts w:hint="eastAsia" w:ascii="仿宋_GB2312" w:hAnsi="仿宋_GB2312" w:eastAsia="仿宋_GB2312" w:cs="仿宋_GB2312"/>
          <w:sz w:val="32"/>
          <w:szCs w:val="32"/>
        </w:rPr>
        <w:t>等部门的监督检查。严守财经法规，严</w:t>
      </w:r>
      <w:r>
        <w:rPr>
          <w:rFonts w:hint="eastAsia" w:ascii="仿宋_GB2312" w:hAnsi="仿宋_GB2312" w:eastAsia="仿宋_GB2312" w:cs="仿宋_GB2312"/>
          <w:sz w:val="32"/>
          <w:szCs w:val="32"/>
          <w:lang w:val="en-US" w:eastAsia="zh-CN"/>
        </w:rPr>
        <w:t>肃</w:t>
      </w:r>
      <w:r>
        <w:rPr>
          <w:rFonts w:hint="eastAsia" w:ascii="仿宋_GB2312" w:hAnsi="仿宋_GB2312" w:eastAsia="仿宋_GB2312" w:cs="仿宋_GB2312"/>
          <w:sz w:val="32"/>
          <w:szCs w:val="32"/>
        </w:rPr>
        <w:t>财经纪律，依法接受财政、审计、巡察、派驻纪检监</w:t>
      </w:r>
      <w:r>
        <w:rPr>
          <w:rFonts w:hint="eastAsia" w:ascii="仿宋_GB2312" w:hAnsi="仿宋_GB2312" w:eastAsia="仿宋_GB2312" w:cs="仿宋_GB2312"/>
          <w:sz w:val="32"/>
          <w:szCs w:val="32"/>
          <w:lang w:val="en-US" w:eastAsia="zh-CN"/>
        </w:rPr>
        <w:t>察</w:t>
      </w:r>
      <w:r>
        <w:rPr>
          <w:rFonts w:hint="eastAsia" w:ascii="仿宋_GB2312" w:hAnsi="仿宋_GB2312" w:eastAsia="仿宋_GB2312" w:cs="仿宋_GB2312"/>
          <w:sz w:val="32"/>
          <w:szCs w:val="32"/>
        </w:rPr>
        <w:t>，按时上报各类资料。严格遵守有关厉行勤俭节约相关规定，严格执行财务管理制度，根据年初预算合理安排日常公用经费资金，做到厉行节约、精打细算，把有效的资金用到刀刃上，让财政资金发挥最大的社会及经济效益并保证</w:t>
      </w:r>
      <w:r>
        <w:rPr>
          <w:rFonts w:hint="eastAsia" w:ascii="仿宋_GB2312" w:hAnsi="仿宋_GB2312" w:eastAsia="仿宋_GB2312" w:cs="仿宋_GB2312"/>
          <w:sz w:val="32"/>
          <w:szCs w:val="32"/>
          <w:lang w:eastAsia="zh-CN"/>
        </w:rPr>
        <w:t>本单位</w:t>
      </w:r>
      <w:r>
        <w:rPr>
          <w:rFonts w:hint="eastAsia" w:ascii="仿宋_GB2312" w:hAnsi="仿宋_GB2312" w:eastAsia="仿宋_GB2312" w:cs="仿宋_GB2312"/>
          <w:sz w:val="32"/>
          <w:szCs w:val="32"/>
        </w:rPr>
        <w:t>各项工作的正常运转。</w:t>
      </w:r>
    </w:p>
    <w:p>
      <w:pPr>
        <w:pStyle w:val="45"/>
        <w:spacing w:line="360" w:lineRule="auto"/>
        <w:ind w:firstLine="643"/>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四、评价结论及措施</w:t>
      </w:r>
    </w:p>
    <w:p>
      <w:pPr>
        <w:pStyle w:val="45"/>
        <w:spacing w:line="360" w:lineRule="auto"/>
        <w:ind w:firstLine="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（一）评价结论</w:t>
      </w:r>
    </w:p>
    <w:p>
      <w:pPr>
        <w:pStyle w:val="45"/>
        <w:spacing w:line="360" w:lineRule="auto"/>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我</w:t>
      </w:r>
      <w:r>
        <w:rPr>
          <w:rFonts w:hint="eastAsia" w:ascii="仿宋_GB2312" w:hAnsi="仿宋_GB2312" w:eastAsia="仿宋_GB2312" w:cs="仿宋_GB2312"/>
          <w:sz w:val="32"/>
          <w:szCs w:val="32"/>
        </w:rPr>
        <w:t>会</w:t>
      </w:r>
      <w:r>
        <w:rPr>
          <w:rFonts w:hint="eastAsia" w:ascii="仿宋_GB2312" w:hAnsi="仿宋_GB2312" w:eastAsia="仿宋_GB2312" w:cs="仿宋_GB2312"/>
          <w:sz w:val="32"/>
          <w:szCs w:val="32"/>
          <w:lang w:val="zh-CN"/>
        </w:rPr>
        <w:t>通过加强预算</w:t>
      </w:r>
      <w:r>
        <w:rPr>
          <w:rFonts w:hint="eastAsia" w:ascii="仿宋_GB2312" w:hAnsi="仿宋_GB2312" w:eastAsia="仿宋_GB2312" w:cs="仿宋_GB2312"/>
          <w:sz w:val="32"/>
          <w:szCs w:val="32"/>
          <w:lang w:val="en-US" w:eastAsia="zh-CN"/>
        </w:rPr>
        <w:t>绩效</w:t>
      </w:r>
      <w:r>
        <w:rPr>
          <w:rFonts w:hint="eastAsia" w:ascii="仿宋_GB2312" w:hAnsi="仿宋_GB2312" w:eastAsia="仿宋_GB2312" w:cs="仿宋_GB2312"/>
          <w:sz w:val="32"/>
          <w:szCs w:val="32"/>
          <w:lang w:val="zh-CN"/>
        </w:rPr>
        <w:t>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w:t>
      </w:r>
      <w:r>
        <w:rPr>
          <w:rFonts w:hint="eastAsia" w:ascii="仿宋_GB2312" w:hAnsi="仿宋_GB2312" w:eastAsia="仿宋_GB2312" w:cs="仿宋_GB2312"/>
          <w:sz w:val="32"/>
          <w:szCs w:val="32"/>
        </w:rPr>
        <w:t>会</w:t>
      </w:r>
      <w:r>
        <w:rPr>
          <w:rFonts w:hint="eastAsia" w:ascii="仿宋_GB2312" w:hAnsi="仿宋_GB2312" w:eastAsia="仿宋_GB2312" w:cs="仿宋_GB2312"/>
          <w:sz w:val="32"/>
          <w:szCs w:val="32"/>
          <w:lang w:val="zh-CN"/>
        </w:rPr>
        <w:t>将继续努力，科学合理编制预决算，进行绩效评价，加强精细管理，完善不足</w:t>
      </w:r>
      <w:r>
        <w:rPr>
          <w:rFonts w:hint="eastAsia" w:ascii="仿宋_GB2312" w:hAnsi="仿宋_GB2312" w:eastAsia="仿宋_GB2312" w:cs="仿宋_GB2312"/>
          <w:sz w:val="32"/>
          <w:szCs w:val="32"/>
        </w:rPr>
        <w:t>。</w:t>
      </w:r>
    </w:p>
    <w:p>
      <w:pPr>
        <w:pStyle w:val="45"/>
        <w:spacing w:line="360" w:lineRule="auto"/>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（二）存在问题</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1.未制定明确的财务监控监督措施。</w:t>
      </w:r>
    </w:p>
    <w:p>
      <w:pPr>
        <w:keepNext w:val="0"/>
        <w:keepLines w:val="0"/>
        <w:pageBreakBefore w:val="0"/>
        <w:widowControl/>
        <w:kinsoku/>
        <w:wordWrap/>
        <w:overflowPunct/>
        <w:topLinePunct w:val="0"/>
        <w:autoSpaceDE/>
        <w:autoSpaceDN/>
        <w:bidi w:val="0"/>
        <w:adjustRightInd/>
        <w:snapToGrid/>
        <w:ind w:firstLine="642" w:firstLineChars="200"/>
        <w:textAlignment w:val="auto"/>
        <w:rPr>
          <w:rFonts w:hint="eastAsia"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（三）改进建议</w:t>
      </w:r>
    </w:p>
    <w:p>
      <w:pPr>
        <w:pStyle w:val="45"/>
        <w:spacing w:line="360" w:lineRule="auto"/>
        <w:ind w:firstLine="640"/>
        <w:rPr>
          <w:rFonts w:hint="default" w:ascii="仿宋_GB2312" w:hAnsi="仿宋_GB2312" w:eastAsia="仿宋_GB2312" w:cs="仿宋_GB2312"/>
          <w:b/>
          <w:bCs/>
          <w:sz w:val="32"/>
          <w:szCs w:val="32"/>
          <w:lang w:val="en-US"/>
        </w:rPr>
      </w:pPr>
      <w:r>
        <w:rPr>
          <w:rFonts w:hint="eastAsia" w:ascii="仿宋_GB2312" w:hAnsi="仿宋_GB2312" w:eastAsia="仿宋_GB2312" w:cs="仿宋_GB2312"/>
          <w:sz w:val="32"/>
          <w:szCs w:val="32"/>
          <w:lang w:val="en-US" w:eastAsia="zh-CN"/>
        </w:rPr>
        <w:t>1.制定明确的财务监控监督措施且确保监控监督有效。</w:t>
      </w:r>
    </w:p>
    <w:p>
      <w:pPr>
        <w:pStyle w:val="17"/>
        <w:rPr>
          <w:lang w:val="zh-CN"/>
        </w:rPr>
      </w:pPr>
    </w:p>
    <w:p>
      <w:pPr>
        <w:pStyle w:val="19"/>
        <w:rPr>
          <w:rFonts w:hint="eastAsia" w:hAnsi="Times New Roman" w:cs="Times New Roman"/>
          <w:color w:val="auto"/>
          <w:sz w:val="32"/>
          <w:szCs w:val="32"/>
          <w:highlight w:val="none"/>
          <w:lang w:val="en-US" w:eastAsia="zh-CN"/>
        </w:rPr>
      </w:pPr>
      <w:r>
        <w:rPr>
          <w:rFonts w:hint="eastAsia" w:hAnsi="Times New Roman" w:cs="Times New Roman"/>
          <w:color w:val="auto"/>
          <w:sz w:val="32"/>
          <w:szCs w:val="32"/>
          <w:highlight w:val="none"/>
          <w:lang w:val="zh-CN" w:eastAsia="zh-CN"/>
        </w:rPr>
        <w:t>附表：</w:t>
      </w:r>
      <w:r>
        <w:rPr>
          <w:rFonts w:hint="eastAsia" w:hAnsi="Times New Roman" w:cs="Times New Roman"/>
          <w:color w:val="auto"/>
          <w:sz w:val="32"/>
          <w:szCs w:val="32"/>
          <w:highlight w:val="none"/>
          <w:lang w:val="en-US" w:eastAsia="zh-CN"/>
        </w:rPr>
        <w:t>部门预算项目支出绩效自评表（2025年度）</w:t>
      </w:r>
    </w:p>
    <w:p>
      <w:pPr>
        <w:rPr>
          <w:rFonts w:ascii="仿宋_GB2312" w:hAnsi="仿宋_GB2312" w:eastAsia="仿宋_GB2312" w:cs="仿宋_GB2312"/>
          <w:sz w:val="32"/>
          <w:szCs w:val="32"/>
        </w:rPr>
      </w:pPr>
      <w:r>
        <w:drawing>
          <wp:inline distT="0" distB="0" distL="114300" distR="114300">
            <wp:extent cx="5269230" cy="4058920"/>
            <wp:effectExtent l="0" t="0" r="7620" b="177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8"/>
                    <a:stretch>
                      <a:fillRect/>
                    </a:stretch>
                  </pic:blipFill>
                  <pic:spPr>
                    <a:xfrm>
                      <a:off x="0" y="0"/>
                      <a:ext cx="5269230" cy="4058920"/>
                    </a:xfrm>
                    <a:prstGeom prst="rect">
                      <a:avLst/>
                    </a:prstGeom>
                    <a:noFill/>
                    <a:ln>
                      <a:noFill/>
                    </a:ln>
                  </pic:spPr>
                </pic:pic>
              </a:graphicData>
            </a:graphic>
          </wp:inline>
        </w:drawing>
      </w:r>
      <w:r>
        <w:drawing>
          <wp:inline distT="0" distB="0" distL="114300" distR="114300">
            <wp:extent cx="5269230" cy="3231515"/>
            <wp:effectExtent l="0" t="0" r="762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9"/>
                    <a:stretch>
                      <a:fillRect/>
                    </a:stretch>
                  </pic:blipFill>
                  <pic:spPr>
                    <a:xfrm>
                      <a:off x="0" y="0"/>
                      <a:ext cx="5269230" cy="3231515"/>
                    </a:xfrm>
                    <a:prstGeom prst="rect">
                      <a:avLst/>
                    </a:prstGeom>
                    <a:noFill/>
                    <a:ln>
                      <a:noFill/>
                    </a:ln>
                  </pic:spPr>
                </pic:pic>
              </a:graphicData>
            </a:graphic>
          </wp:inline>
        </w:drawing>
      </w:r>
    </w:p>
    <w:p>
      <w:pPr>
        <w:pStyle w:val="19"/>
        <w:rPr>
          <w:rFonts w:ascii="仿宋_GB2312" w:hAnsi="仿宋_GB2312" w:eastAsia="仿宋_GB2312" w:cs="仿宋_GB2312"/>
          <w:sz w:val="32"/>
          <w:szCs w:val="32"/>
        </w:rPr>
      </w:pPr>
    </w:p>
    <w:p>
      <w:pPr>
        <w:rPr>
          <w:rFonts w:ascii="仿宋_GB2312" w:hAnsi="仿宋_GB2312" w:eastAsia="仿宋_GB2312" w:cs="仿宋_GB2312"/>
          <w:sz w:val="32"/>
          <w:szCs w:val="32"/>
        </w:rPr>
      </w:pPr>
    </w:p>
    <w:p>
      <w:pPr>
        <w:pStyle w:val="19"/>
      </w:pPr>
    </w:p>
    <w:p>
      <w:pPr>
        <w:pStyle w:val="19"/>
        <w:rPr>
          <w:rFonts w:ascii="仿宋_GB2312" w:hAnsi="仿宋_GB2312" w:eastAsia="仿宋_GB2312" w:cs="仿宋_GB2312"/>
          <w:sz w:val="32"/>
          <w:szCs w:val="32"/>
        </w:rPr>
      </w:pPr>
    </w:p>
    <w:p>
      <w:pPr>
        <w:rPr>
          <w:rFonts w:ascii="仿宋_GB2312" w:hAnsi="仿宋_GB2312" w:eastAsia="仿宋_GB2312" w:cs="仿宋_GB2312"/>
          <w:sz w:val="32"/>
          <w:szCs w:val="32"/>
        </w:rPr>
      </w:pPr>
    </w:p>
    <w:p>
      <w:pPr>
        <w:rPr>
          <w:rFonts w:ascii="仿宋_GB2312" w:hAnsi="仿宋_GB2312" w:eastAsia="仿宋_GB2312" w:cs="仿宋_GB2312"/>
          <w:sz w:val="32"/>
          <w:szCs w:val="32"/>
        </w:rPr>
      </w:pPr>
    </w:p>
    <w:p>
      <w:pPr>
        <w:rPr>
          <w:rFonts w:ascii="仿宋_GB2312" w:hAnsi="仿宋_GB2312" w:eastAsia="仿宋_GB2312" w:cs="仿宋_GB2312"/>
          <w:sz w:val="32"/>
          <w:szCs w:val="32"/>
        </w:rPr>
      </w:pPr>
    </w:p>
    <w:p>
      <w:pPr>
        <w:rPr>
          <w:rFonts w:ascii="仿宋_GB2312" w:hAnsi="仿宋_GB2312" w:eastAsia="仿宋_GB2312" w:cs="仿宋_GB2312"/>
          <w:sz w:val="32"/>
          <w:szCs w:val="32"/>
        </w:rPr>
      </w:pPr>
    </w:p>
    <w:p>
      <w:pPr>
        <w:rPr>
          <w:rFonts w:ascii="仿宋_GB2312" w:hAnsi="仿宋_GB2312" w:eastAsia="仿宋_GB2312" w:cs="仿宋_GB2312"/>
          <w:sz w:val="32"/>
          <w:szCs w:val="32"/>
        </w:rPr>
      </w:pPr>
    </w:p>
    <w:p>
      <w:pPr>
        <w:rPr>
          <w:rFonts w:ascii="仿宋_GB2312" w:hAnsi="仿宋_GB2312" w:eastAsia="仿宋_GB2312" w:cs="仿宋_GB2312"/>
          <w:sz w:val="32"/>
          <w:szCs w:val="32"/>
        </w:rPr>
      </w:pPr>
    </w:p>
    <w:p>
      <w:pPr>
        <w:rPr>
          <w:rFonts w:ascii="仿宋_GB2312" w:hAnsi="仿宋_GB2312" w:eastAsia="仿宋_GB2312" w:cs="仿宋_GB2312"/>
          <w:sz w:val="32"/>
          <w:szCs w:val="32"/>
        </w:rPr>
      </w:pPr>
    </w:p>
    <w:p>
      <w:pPr>
        <w:rPr>
          <w:rFonts w:ascii="仿宋_GB2312" w:hAnsi="仿宋_GB2312" w:eastAsia="仿宋_GB2312" w:cs="仿宋_GB2312"/>
          <w:sz w:val="32"/>
          <w:szCs w:val="32"/>
        </w:rPr>
      </w:pPr>
    </w:p>
    <w:p>
      <w:pPr>
        <w:rPr>
          <w:rFonts w:ascii="仿宋_GB2312" w:hAnsi="仿宋_GB2312" w:eastAsia="仿宋_GB2312" w:cs="仿宋_GB2312"/>
          <w:sz w:val="32"/>
          <w:szCs w:val="32"/>
        </w:rPr>
      </w:pPr>
    </w:p>
    <w:p/>
    <w:bookmarkEnd w:id="86"/>
    <w:p>
      <w:pPr>
        <w:rPr>
          <w:rFonts w:hint="eastAsia"/>
        </w:rPr>
      </w:pPr>
    </w:p>
    <w:p>
      <w:pPr>
        <w:spacing w:line="600" w:lineRule="exact"/>
        <w:jc w:val="center"/>
        <w:outlineLvl w:val="0"/>
        <w:rPr>
          <w:rFonts w:ascii="黑体" w:eastAsia="黑体"/>
          <w:b w:val="0"/>
        </w:rPr>
      </w:pPr>
      <w:bookmarkStart w:id="90" w:name="_Toc9716"/>
      <w:r>
        <w:rPr>
          <w:rFonts w:hint="eastAsia" w:ascii="黑体" w:eastAsia="黑体"/>
          <w:color w:val="000000"/>
          <w:sz w:val="44"/>
          <w:szCs w:val="44"/>
        </w:rPr>
        <w:t>第</w:t>
      </w:r>
      <w:r>
        <w:rPr>
          <w:rFonts w:hint="eastAsia" w:ascii="黑体" w:eastAsia="黑体"/>
          <w:b w:val="0"/>
          <w:bCs/>
          <w:kern w:val="44"/>
          <w:sz w:val="44"/>
          <w:szCs w:val="44"/>
        </w:rPr>
        <w:t>五部分</w:t>
      </w:r>
      <w:r>
        <w:rPr>
          <w:rFonts w:ascii="黑体" w:eastAsia="黑体"/>
          <w:b w:val="0"/>
          <w:bCs/>
          <w:kern w:val="44"/>
          <w:sz w:val="44"/>
          <w:szCs w:val="44"/>
        </w:rPr>
        <w:t xml:space="preserve"> </w:t>
      </w:r>
      <w:r>
        <w:rPr>
          <w:rFonts w:hint="eastAsia" w:ascii="黑体" w:eastAsia="黑体"/>
          <w:b w:val="0"/>
          <w:bCs/>
          <w:kern w:val="44"/>
          <w:sz w:val="44"/>
          <w:szCs w:val="44"/>
        </w:rPr>
        <w:t>附表</w:t>
      </w:r>
      <w:bookmarkEnd w:id="90"/>
    </w:p>
    <w:p>
      <w:pPr>
        <w:keepNext/>
        <w:keepLines/>
        <w:widowControl w:val="0"/>
        <w:spacing w:before="260" w:after="260" w:line="415" w:lineRule="auto"/>
        <w:jc w:val="both"/>
        <w:outlineLvl w:val="1"/>
        <w:rPr>
          <w:rFonts w:ascii="仿宋" w:hAnsi="Cambria" w:eastAsia="仿宋" w:cs="Times New Roman"/>
          <w:b/>
          <w:bCs/>
          <w:color w:val="000000"/>
          <w:kern w:val="2"/>
          <w:sz w:val="32"/>
          <w:szCs w:val="32"/>
          <w:lang w:val="en-US" w:eastAsia="zh-CN" w:bidi="ar-SA"/>
        </w:rPr>
      </w:pPr>
      <w:bookmarkStart w:id="91" w:name="_Toc15396619"/>
      <w:bookmarkStart w:id="92" w:name="_Toc31486"/>
      <w:bookmarkStart w:id="93" w:name="_Toc18544"/>
      <w:bookmarkStart w:id="94" w:name="_Toc79163636"/>
      <w:r>
        <w:rPr>
          <w:rFonts w:hint="eastAsia" w:ascii="仿宋" w:hAnsi="Cambria" w:eastAsia="仿宋" w:cs="Times New Roman"/>
          <w:b w:val="0"/>
          <w:bCs/>
          <w:color w:val="000000"/>
          <w:kern w:val="2"/>
          <w:sz w:val="32"/>
          <w:szCs w:val="32"/>
          <w:lang w:val="en-US" w:eastAsia="zh-CN" w:bidi="ar-SA"/>
        </w:rPr>
        <w:t>一、收</w:t>
      </w:r>
      <w:r>
        <w:rPr>
          <w:rFonts w:hint="eastAsia" w:ascii="仿宋" w:hAnsi="Cambria" w:eastAsia="仿宋" w:cs="Times New Roman"/>
          <w:b w:val="0"/>
          <w:bCs w:val="0"/>
          <w:kern w:val="2"/>
          <w:sz w:val="32"/>
          <w:szCs w:val="32"/>
          <w:lang w:val="en-US" w:eastAsia="zh-CN" w:bidi="ar-SA"/>
        </w:rPr>
        <w:t>入支出决算总表</w:t>
      </w:r>
      <w:bookmarkEnd w:id="91"/>
      <w:bookmarkEnd w:id="92"/>
      <w:bookmarkEnd w:id="93"/>
      <w:bookmarkEnd w:id="94"/>
    </w:p>
    <w:p>
      <w:pPr>
        <w:keepNext/>
        <w:keepLines/>
        <w:widowControl w:val="0"/>
        <w:spacing w:before="260" w:after="260" w:line="415" w:lineRule="auto"/>
        <w:jc w:val="both"/>
        <w:outlineLvl w:val="1"/>
        <w:rPr>
          <w:rFonts w:ascii="仿宋" w:hAnsi="Cambria" w:eastAsia="仿宋" w:cs="Times New Roman"/>
          <w:b/>
          <w:bCs/>
          <w:color w:val="000000"/>
          <w:kern w:val="2"/>
          <w:sz w:val="32"/>
          <w:szCs w:val="32"/>
          <w:lang w:val="en-US" w:eastAsia="zh-CN" w:bidi="ar-SA"/>
        </w:rPr>
      </w:pPr>
      <w:bookmarkStart w:id="95" w:name="_Toc13553"/>
      <w:bookmarkStart w:id="96" w:name="_Toc79163637"/>
      <w:bookmarkStart w:id="97" w:name="_Toc6181"/>
      <w:bookmarkStart w:id="98" w:name="_Toc15396620"/>
      <w:r>
        <w:rPr>
          <w:rFonts w:hint="eastAsia" w:ascii="仿宋" w:hAnsi="Cambria" w:eastAsia="仿宋" w:cs="Times New Roman"/>
          <w:b w:val="0"/>
          <w:bCs/>
          <w:color w:val="000000"/>
          <w:kern w:val="2"/>
          <w:sz w:val="32"/>
          <w:szCs w:val="32"/>
          <w:lang w:val="en-US" w:eastAsia="zh-CN" w:bidi="ar-SA"/>
        </w:rPr>
        <w:t>二、收</w:t>
      </w:r>
      <w:r>
        <w:rPr>
          <w:rFonts w:hint="eastAsia" w:ascii="仿宋" w:hAnsi="Cambria" w:eastAsia="仿宋" w:cs="Times New Roman"/>
          <w:b w:val="0"/>
          <w:bCs w:val="0"/>
          <w:kern w:val="2"/>
          <w:sz w:val="32"/>
          <w:szCs w:val="32"/>
          <w:lang w:val="en-US" w:eastAsia="zh-CN" w:bidi="ar-SA"/>
        </w:rPr>
        <w:t>入决算表</w:t>
      </w:r>
      <w:bookmarkEnd w:id="95"/>
      <w:bookmarkEnd w:id="96"/>
      <w:bookmarkEnd w:id="97"/>
      <w:bookmarkEnd w:id="98"/>
    </w:p>
    <w:p>
      <w:pPr>
        <w:keepNext/>
        <w:keepLines/>
        <w:widowControl w:val="0"/>
        <w:spacing w:before="260" w:after="260" w:line="415" w:lineRule="auto"/>
        <w:jc w:val="both"/>
        <w:outlineLvl w:val="1"/>
        <w:rPr>
          <w:rFonts w:ascii="仿宋" w:hAnsi="Cambria" w:eastAsia="仿宋" w:cs="Times New Roman"/>
          <w:b/>
          <w:bCs/>
          <w:color w:val="000000"/>
          <w:kern w:val="2"/>
          <w:sz w:val="32"/>
          <w:szCs w:val="32"/>
          <w:lang w:val="en-US" w:eastAsia="zh-CN" w:bidi="ar-SA"/>
        </w:rPr>
      </w:pPr>
      <w:bookmarkStart w:id="99" w:name="_Toc79163638"/>
      <w:bookmarkStart w:id="100" w:name="_Toc401"/>
      <w:bookmarkStart w:id="101" w:name="_Toc5004"/>
      <w:bookmarkStart w:id="102" w:name="_Toc15396621"/>
      <w:r>
        <w:rPr>
          <w:rFonts w:hint="eastAsia" w:ascii="仿宋" w:hAnsi="Cambria" w:eastAsia="仿宋" w:cs="Times New Roman"/>
          <w:b w:val="0"/>
          <w:bCs w:val="0"/>
          <w:kern w:val="2"/>
          <w:sz w:val="32"/>
          <w:szCs w:val="32"/>
          <w:lang w:val="en-US" w:eastAsia="zh-CN" w:bidi="ar-SA"/>
        </w:rPr>
        <w:t>三、</w:t>
      </w:r>
      <w:r>
        <w:rPr>
          <w:rFonts w:hint="eastAsia" w:ascii="仿宋" w:hAnsi="Cambria" w:eastAsia="仿宋" w:cs="Times New Roman"/>
          <w:b w:val="0"/>
          <w:bCs/>
          <w:color w:val="000000"/>
          <w:kern w:val="2"/>
          <w:sz w:val="32"/>
          <w:szCs w:val="32"/>
          <w:lang w:val="en-US" w:eastAsia="zh-CN" w:bidi="ar-SA"/>
        </w:rPr>
        <w:t>支</w:t>
      </w:r>
      <w:r>
        <w:rPr>
          <w:rFonts w:hint="eastAsia" w:ascii="仿宋" w:hAnsi="Cambria" w:eastAsia="仿宋" w:cs="Times New Roman"/>
          <w:b w:val="0"/>
          <w:bCs w:val="0"/>
          <w:kern w:val="2"/>
          <w:sz w:val="32"/>
          <w:szCs w:val="32"/>
          <w:lang w:val="en-US" w:eastAsia="zh-CN" w:bidi="ar-SA"/>
        </w:rPr>
        <w:t>出决算表</w:t>
      </w:r>
      <w:bookmarkEnd w:id="99"/>
      <w:bookmarkEnd w:id="100"/>
      <w:bookmarkEnd w:id="101"/>
      <w:bookmarkEnd w:id="102"/>
    </w:p>
    <w:p>
      <w:pPr>
        <w:keepNext/>
        <w:keepLines/>
        <w:widowControl w:val="0"/>
        <w:spacing w:before="260" w:after="260" w:line="415" w:lineRule="auto"/>
        <w:jc w:val="both"/>
        <w:outlineLvl w:val="1"/>
        <w:rPr>
          <w:rFonts w:ascii="仿宋" w:hAnsi="Cambria" w:eastAsia="仿宋" w:cs="Times New Roman"/>
          <w:b w:val="0"/>
          <w:bCs/>
          <w:color w:val="000000"/>
          <w:kern w:val="2"/>
          <w:sz w:val="32"/>
          <w:szCs w:val="32"/>
          <w:lang w:val="en-US" w:eastAsia="zh-CN" w:bidi="ar-SA"/>
        </w:rPr>
      </w:pPr>
      <w:bookmarkStart w:id="103" w:name="_Toc15396622"/>
      <w:bookmarkStart w:id="104" w:name="_Toc29105"/>
      <w:bookmarkStart w:id="105" w:name="_Toc79163639"/>
      <w:bookmarkStart w:id="106" w:name="_Toc7929"/>
      <w:r>
        <w:rPr>
          <w:rFonts w:hint="eastAsia" w:ascii="仿宋" w:hAnsi="Cambria" w:eastAsia="仿宋" w:cs="Times New Roman"/>
          <w:b w:val="0"/>
          <w:bCs w:val="0"/>
          <w:kern w:val="2"/>
          <w:sz w:val="32"/>
          <w:szCs w:val="32"/>
          <w:lang w:val="en-US" w:eastAsia="zh-CN" w:bidi="ar-SA"/>
        </w:rPr>
        <w:t>四、</w:t>
      </w:r>
      <w:r>
        <w:rPr>
          <w:rFonts w:hint="eastAsia" w:ascii="仿宋" w:hAnsi="Cambria" w:eastAsia="仿宋" w:cs="Times New Roman"/>
          <w:b w:val="0"/>
          <w:bCs/>
          <w:color w:val="000000"/>
          <w:kern w:val="2"/>
          <w:sz w:val="32"/>
          <w:szCs w:val="32"/>
          <w:lang w:val="en-US" w:eastAsia="zh-CN" w:bidi="ar-SA"/>
        </w:rPr>
        <w:t>财</w:t>
      </w:r>
      <w:r>
        <w:rPr>
          <w:rFonts w:hint="eastAsia" w:ascii="仿宋" w:hAnsi="Cambria" w:eastAsia="仿宋" w:cs="Times New Roman"/>
          <w:b w:val="0"/>
          <w:bCs w:val="0"/>
          <w:kern w:val="2"/>
          <w:sz w:val="32"/>
          <w:szCs w:val="32"/>
          <w:lang w:val="en-US" w:eastAsia="zh-CN" w:bidi="ar-SA"/>
        </w:rPr>
        <w:t>政拨款收入支出决算总表</w:t>
      </w:r>
      <w:bookmarkEnd w:id="103"/>
      <w:bookmarkEnd w:id="104"/>
      <w:bookmarkEnd w:id="105"/>
      <w:bookmarkEnd w:id="106"/>
    </w:p>
    <w:p>
      <w:pPr>
        <w:keepNext/>
        <w:keepLines/>
        <w:widowControl w:val="0"/>
        <w:spacing w:before="260" w:after="260" w:line="415" w:lineRule="auto"/>
        <w:jc w:val="both"/>
        <w:outlineLvl w:val="1"/>
        <w:rPr>
          <w:rFonts w:ascii="仿宋" w:hAnsi="Cambria" w:eastAsia="仿宋" w:cs="Times New Roman"/>
          <w:b w:val="0"/>
          <w:bCs w:val="0"/>
          <w:kern w:val="2"/>
          <w:sz w:val="32"/>
          <w:szCs w:val="32"/>
          <w:lang w:val="en-US" w:eastAsia="zh-CN" w:bidi="ar-SA"/>
        </w:rPr>
      </w:pPr>
      <w:bookmarkStart w:id="107" w:name="_Toc15396623"/>
      <w:bookmarkStart w:id="108" w:name="_Toc19307"/>
      <w:bookmarkStart w:id="109" w:name="_Toc79163640"/>
      <w:bookmarkStart w:id="110" w:name="_Toc20440"/>
      <w:r>
        <w:rPr>
          <w:rFonts w:hint="eastAsia" w:ascii="仿宋" w:hAnsi="Cambria" w:eastAsia="仿宋" w:cs="Times New Roman"/>
          <w:b w:val="0"/>
          <w:bCs w:val="0"/>
          <w:kern w:val="2"/>
          <w:sz w:val="32"/>
          <w:szCs w:val="32"/>
          <w:lang w:val="en-US" w:eastAsia="zh-CN" w:bidi="ar-SA"/>
        </w:rPr>
        <w:t>五、</w:t>
      </w:r>
      <w:r>
        <w:rPr>
          <w:rFonts w:hint="eastAsia" w:ascii="仿宋" w:hAnsi="Cambria" w:eastAsia="仿宋" w:cs="Times New Roman"/>
          <w:b w:val="0"/>
          <w:bCs/>
          <w:color w:val="000000"/>
          <w:kern w:val="2"/>
          <w:sz w:val="32"/>
          <w:szCs w:val="32"/>
          <w:lang w:val="en-US" w:eastAsia="zh-CN" w:bidi="ar-SA"/>
        </w:rPr>
        <w:t>财</w:t>
      </w:r>
      <w:r>
        <w:rPr>
          <w:rFonts w:hint="eastAsia" w:ascii="仿宋" w:hAnsi="Cambria" w:eastAsia="仿宋" w:cs="Times New Roman"/>
          <w:b w:val="0"/>
          <w:bCs w:val="0"/>
          <w:kern w:val="2"/>
          <w:sz w:val="32"/>
          <w:szCs w:val="32"/>
          <w:lang w:val="en-US" w:eastAsia="zh-CN" w:bidi="ar-SA"/>
        </w:rPr>
        <w:t>政拨款支出决算明细表</w:t>
      </w:r>
      <w:bookmarkEnd w:id="107"/>
      <w:bookmarkEnd w:id="108"/>
      <w:bookmarkEnd w:id="109"/>
      <w:bookmarkEnd w:id="110"/>
      <w:bookmarkStart w:id="111" w:name="_Toc15396624"/>
    </w:p>
    <w:p>
      <w:pPr>
        <w:keepNext/>
        <w:keepLines/>
        <w:widowControl w:val="0"/>
        <w:spacing w:before="260" w:after="260" w:line="415" w:lineRule="auto"/>
        <w:jc w:val="both"/>
        <w:outlineLvl w:val="1"/>
        <w:rPr>
          <w:rFonts w:ascii="仿宋" w:hAnsi="Cambria" w:eastAsia="仿宋" w:cs="Times New Roman"/>
          <w:b/>
          <w:bCs/>
          <w:color w:val="000000"/>
          <w:kern w:val="2"/>
          <w:sz w:val="32"/>
          <w:szCs w:val="32"/>
          <w:lang w:val="en-US" w:eastAsia="zh-CN" w:bidi="ar-SA"/>
        </w:rPr>
      </w:pPr>
      <w:bookmarkStart w:id="112" w:name="_Toc10532"/>
      <w:bookmarkStart w:id="113" w:name="_Toc79163641"/>
      <w:bookmarkStart w:id="114" w:name="_Toc29231"/>
      <w:r>
        <w:rPr>
          <w:rFonts w:hint="eastAsia" w:ascii="仿宋" w:hAnsi="Cambria" w:eastAsia="仿宋" w:cs="Times New Roman"/>
          <w:b w:val="0"/>
          <w:bCs w:val="0"/>
          <w:kern w:val="2"/>
          <w:sz w:val="32"/>
          <w:szCs w:val="32"/>
          <w:lang w:val="en-US" w:eastAsia="zh-CN" w:bidi="ar-SA"/>
        </w:rPr>
        <w:t>六、</w:t>
      </w:r>
      <w:r>
        <w:rPr>
          <w:rFonts w:hint="eastAsia" w:ascii="仿宋" w:hAnsi="Cambria" w:eastAsia="仿宋" w:cs="Times New Roman"/>
          <w:b w:val="0"/>
          <w:bCs/>
          <w:color w:val="000000"/>
          <w:kern w:val="2"/>
          <w:sz w:val="32"/>
          <w:szCs w:val="32"/>
          <w:lang w:val="en-US" w:eastAsia="zh-CN" w:bidi="ar-SA"/>
        </w:rPr>
        <w:t>一</w:t>
      </w:r>
      <w:r>
        <w:rPr>
          <w:rFonts w:hint="eastAsia" w:ascii="仿宋" w:hAnsi="Cambria" w:eastAsia="仿宋" w:cs="Times New Roman"/>
          <w:b w:val="0"/>
          <w:bCs w:val="0"/>
          <w:kern w:val="2"/>
          <w:sz w:val="32"/>
          <w:szCs w:val="32"/>
          <w:lang w:val="en-US" w:eastAsia="zh-CN" w:bidi="ar-SA"/>
        </w:rPr>
        <w:t>般公共预算财政拨款支出决算表</w:t>
      </w:r>
      <w:bookmarkEnd w:id="111"/>
      <w:bookmarkEnd w:id="112"/>
      <w:bookmarkEnd w:id="113"/>
      <w:bookmarkEnd w:id="114"/>
    </w:p>
    <w:p>
      <w:pPr>
        <w:keepNext/>
        <w:keepLines/>
        <w:widowControl w:val="0"/>
        <w:spacing w:before="260" w:after="260" w:line="415" w:lineRule="auto"/>
        <w:jc w:val="both"/>
        <w:outlineLvl w:val="1"/>
        <w:rPr>
          <w:rFonts w:ascii="仿宋" w:hAnsi="Cambria" w:eastAsia="仿宋" w:cs="Times New Roman"/>
          <w:b/>
          <w:bCs/>
          <w:color w:val="000000"/>
          <w:kern w:val="2"/>
          <w:sz w:val="32"/>
          <w:szCs w:val="32"/>
          <w:lang w:val="en-US" w:eastAsia="zh-CN" w:bidi="ar-SA"/>
        </w:rPr>
      </w:pPr>
      <w:bookmarkStart w:id="115" w:name="_Toc1017"/>
      <w:bookmarkStart w:id="116" w:name="_Toc15396625"/>
      <w:bookmarkStart w:id="117" w:name="_Toc79163642"/>
      <w:bookmarkStart w:id="118" w:name="_Toc28856"/>
      <w:r>
        <w:rPr>
          <w:rFonts w:hint="eastAsia" w:ascii="仿宋" w:hAnsi="Cambria" w:eastAsia="仿宋" w:cs="Times New Roman"/>
          <w:b w:val="0"/>
          <w:bCs w:val="0"/>
          <w:kern w:val="2"/>
          <w:sz w:val="32"/>
          <w:szCs w:val="32"/>
          <w:lang w:val="en-US" w:eastAsia="zh-CN" w:bidi="ar-SA"/>
        </w:rPr>
        <w:t>七、</w:t>
      </w:r>
      <w:r>
        <w:rPr>
          <w:rFonts w:hint="eastAsia" w:ascii="仿宋" w:hAnsi="Cambria" w:eastAsia="仿宋" w:cs="Times New Roman"/>
          <w:b w:val="0"/>
          <w:bCs/>
          <w:color w:val="000000"/>
          <w:kern w:val="2"/>
          <w:sz w:val="32"/>
          <w:szCs w:val="32"/>
          <w:lang w:val="en-US" w:eastAsia="zh-CN" w:bidi="ar-SA"/>
        </w:rPr>
        <w:t>一</w:t>
      </w:r>
      <w:r>
        <w:rPr>
          <w:rFonts w:hint="eastAsia" w:ascii="仿宋" w:hAnsi="Cambria" w:eastAsia="仿宋" w:cs="Times New Roman"/>
          <w:b w:val="0"/>
          <w:bCs w:val="0"/>
          <w:kern w:val="2"/>
          <w:sz w:val="32"/>
          <w:szCs w:val="32"/>
          <w:lang w:val="en-US" w:eastAsia="zh-CN" w:bidi="ar-SA"/>
        </w:rPr>
        <w:t>般公共预算财政拨款支出决算明细表</w:t>
      </w:r>
      <w:bookmarkEnd w:id="115"/>
      <w:bookmarkEnd w:id="116"/>
      <w:bookmarkEnd w:id="117"/>
      <w:bookmarkEnd w:id="118"/>
    </w:p>
    <w:p>
      <w:pPr>
        <w:keepNext/>
        <w:keepLines/>
        <w:widowControl w:val="0"/>
        <w:spacing w:before="260" w:after="260" w:line="415" w:lineRule="auto"/>
        <w:jc w:val="both"/>
        <w:outlineLvl w:val="1"/>
        <w:rPr>
          <w:rFonts w:ascii="仿宋" w:hAnsi="Cambria" w:eastAsia="仿宋" w:cs="Times New Roman"/>
          <w:b/>
          <w:bCs/>
          <w:color w:val="000000"/>
          <w:kern w:val="2"/>
          <w:sz w:val="32"/>
          <w:szCs w:val="32"/>
          <w:lang w:val="en-US" w:eastAsia="zh-CN" w:bidi="ar-SA"/>
        </w:rPr>
      </w:pPr>
      <w:bookmarkStart w:id="119" w:name="_Toc32767"/>
      <w:bookmarkStart w:id="120" w:name="_Toc15396626"/>
      <w:bookmarkStart w:id="121" w:name="_Toc79163643"/>
      <w:bookmarkStart w:id="122" w:name="_Toc12433"/>
      <w:r>
        <w:rPr>
          <w:rFonts w:hint="eastAsia" w:ascii="仿宋" w:hAnsi="Cambria" w:eastAsia="仿宋" w:cs="Times New Roman"/>
          <w:b w:val="0"/>
          <w:bCs w:val="0"/>
          <w:kern w:val="2"/>
          <w:sz w:val="32"/>
          <w:szCs w:val="32"/>
          <w:lang w:val="en-US" w:eastAsia="zh-CN" w:bidi="ar-SA"/>
        </w:rPr>
        <w:t>八、</w:t>
      </w:r>
      <w:r>
        <w:rPr>
          <w:rFonts w:hint="eastAsia" w:ascii="仿宋" w:hAnsi="Cambria" w:eastAsia="仿宋" w:cs="Times New Roman"/>
          <w:b w:val="0"/>
          <w:bCs/>
          <w:color w:val="000000"/>
          <w:kern w:val="2"/>
          <w:sz w:val="32"/>
          <w:szCs w:val="32"/>
          <w:lang w:val="en-US" w:eastAsia="zh-CN" w:bidi="ar-SA"/>
        </w:rPr>
        <w:t>一</w:t>
      </w:r>
      <w:r>
        <w:rPr>
          <w:rFonts w:hint="eastAsia" w:ascii="仿宋" w:hAnsi="Cambria" w:eastAsia="仿宋" w:cs="Times New Roman"/>
          <w:b w:val="0"/>
          <w:bCs w:val="0"/>
          <w:kern w:val="2"/>
          <w:sz w:val="32"/>
          <w:szCs w:val="32"/>
          <w:lang w:val="en-US" w:eastAsia="zh-CN" w:bidi="ar-SA"/>
        </w:rPr>
        <w:t>般公共预算财政拨款基本支出决算表</w:t>
      </w:r>
      <w:bookmarkEnd w:id="119"/>
      <w:bookmarkEnd w:id="120"/>
      <w:bookmarkEnd w:id="121"/>
      <w:bookmarkEnd w:id="122"/>
    </w:p>
    <w:p>
      <w:pPr>
        <w:keepNext/>
        <w:keepLines/>
        <w:widowControl w:val="0"/>
        <w:spacing w:before="260" w:after="260" w:line="415" w:lineRule="auto"/>
        <w:jc w:val="both"/>
        <w:outlineLvl w:val="1"/>
        <w:rPr>
          <w:rFonts w:ascii="仿宋" w:hAnsi="Cambria" w:eastAsia="仿宋" w:cs="Times New Roman"/>
          <w:b/>
          <w:bCs/>
          <w:color w:val="000000"/>
          <w:kern w:val="2"/>
          <w:sz w:val="32"/>
          <w:szCs w:val="32"/>
          <w:lang w:val="en-US" w:eastAsia="zh-CN" w:bidi="ar-SA"/>
        </w:rPr>
      </w:pPr>
      <w:bookmarkStart w:id="123" w:name="_Toc15396627"/>
      <w:bookmarkStart w:id="124" w:name="_Toc17116"/>
      <w:bookmarkStart w:id="125" w:name="_Toc79163644"/>
      <w:bookmarkStart w:id="126" w:name="_Toc25673"/>
      <w:r>
        <w:rPr>
          <w:rFonts w:hint="eastAsia" w:ascii="仿宋" w:hAnsi="Cambria" w:eastAsia="仿宋" w:cs="Times New Roman"/>
          <w:b w:val="0"/>
          <w:bCs w:val="0"/>
          <w:kern w:val="2"/>
          <w:sz w:val="32"/>
          <w:szCs w:val="32"/>
          <w:lang w:val="en-US" w:eastAsia="zh-CN" w:bidi="ar-SA"/>
        </w:rPr>
        <w:t>九、</w:t>
      </w:r>
      <w:r>
        <w:rPr>
          <w:rFonts w:hint="eastAsia" w:ascii="仿宋" w:hAnsi="Cambria" w:eastAsia="仿宋" w:cs="Times New Roman"/>
          <w:b w:val="0"/>
          <w:bCs/>
          <w:color w:val="000000"/>
          <w:kern w:val="2"/>
          <w:sz w:val="32"/>
          <w:szCs w:val="32"/>
          <w:lang w:val="en-US" w:eastAsia="zh-CN" w:bidi="ar-SA"/>
        </w:rPr>
        <w:t>一</w:t>
      </w:r>
      <w:r>
        <w:rPr>
          <w:rFonts w:hint="eastAsia" w:ascii="仿宋" w:hAnsi="Cambria" w:eastAsia="仿宋" w:cs="Times New Roman"/>
          <w:b w:val="0"/>
          <w:bCs w:val="0"/>
          <w:kern w:val="2"/>
          <w:sz w:val="32"/>
          <w:szCs w:val="32"/>
          <w:lang w:val="en-US" w:eastAsia="zh-CN" w:bidi="ar-SA"/>
        </w:rPr>
        <w:t>般公共预算财政拨款项目支出决算表</w:t>
      </w:r>
      <w:bookmarkEnd w:id="123"/>
      <w:bookmarkEnd w:id="124"/>
      <w:bookmarkEnd w:id="125"/>
      <w:bookmarkEnd w:id="126"/>
    </w:p>
    <w:p>
      <w:pPr>
        <w:keepNext/>
        <w:keepLines/>
        <w:widowControl w:val="0"/>
        <w:spacing w:before="260" w:after="260" w:line="415" w:lineRule="auto"/>
        <w:jc w:val="both"/>
        <w:outlineLvl w:val="1"/>
        <w:rPr>
          <w:rFonts w:ascii="仿宋" w:hAnsi="Cambria" w:eastAsia="仿宋" w:cs="Times New Roman"/>
          <w:b/>
          <w:bCs/>
          <w:color w:val="000000"/>
          <w:kern w:val="2"/>
          <w:sz w:val="32"/>
          <w:szCs w:val="32"/>
          <w:lang w:val="en-US" w:eastAsia="zh-CN" w:bidi="ar-SA"/>
        </w:rPr>
      </w:pPr>
      <w:bookmarkStart w:id="127" w:name="_Toc79163645"/>
      <w:bookmarkStart w:id="128" w:name="_Toc15396628"/>
      <w:bookmarkStart w:id="129" w:name="_Toc29832"/>
      <w:bookmarkStart w:id="130" w:name="_Toc18920"/>
      <w:r>
        <w:rPr>
          <w:rFonts w:hint="eastAsia" w:ascii="仿宋" w:hAnsi="Cambria" w:eastAsia="仿宋" w:cs="Times New Roman"/>
          <w:b w:val="0"/>
          <w:bCs w:val="0"/>
          <w:kern w:val="2"/>
          <w:sz w:val="32"/>
          <w:szCs w:val="32"/>
          <w:lang w:val="en-US" w:eastAsia="zh-CN" w:bidi="ar-SA"/>
        </w:rPr>
        <w:t>十、</w:t>
      </w:r>
      <w:bookmarkEnd w:id="127"/>
      <w:bookmarkEnd w:id="128"/>
      <w:bookmarkStart w:id="131" w:name="_Toc79163646"/>
      <w:bookmarkStart w:id="132" w:name="_Toc15396629"/>
      <w:r>
        <w:rPr>
          <w:rFonts w:hint="eastAsia" w:ascii="仿宋" w:hAnsi="Cambria" w:eastAsia="仿宋" w:cs="Times New Roman"/>
          <w:b w:val="0"/>
          <w:bCs/>
          <w:color w:val="000000"/>
          <w:kern w:val="2"/>
          <w:sz w:val="32"/>
          <w:szCs w:val="32"/>
          <w:lang w:val="en-US" w:eastAsia="zh-CN" w:bidi="ar-SA"/>
        </w:rPr>
        <w:t>政</w:t>
      </w:r>
      <w:r>
        <w:rPr>
          <w:rFonts w:hint="eastAsia" w:ascii="仿宋" w:hAnsi="Cambria" w:eastAsia="仿宋" w:cs="Times New Roman"/>
          <w:b w:val="0"/>
          <w:bCs w:val="0"/>
          <w:kern w:val="2"/>
          <w:sz w:val="32"/>
          <w:szCs w:val="32"/>
          <w:lang w:val="en-US" w:eastAsia="zh-CN" w:bidi="ar-SA"/>
        </w:rPr>
        <w:t>府性基金预算财政拨款收入支出决算表</w:t>
      </w:r>
      <w:bookmarkEnd w:id="129"/>
      <w:bookmarkEnd w:id="130"/>
      <w:bookmarkEnd w:id="131"/>
      <w:bookmarkEnd w:id="132"/>
    </w:p>
    <w:p>
      <w:pPr>
        <w:keepNext/>
        <w:keepLines/>
        <w:widowControl w:val="0"/>
        <w:spacing w:before="260" w:after="260" w:line="415" w:lineRule="auto"/>
        <w:jc w:val="both"/>
        <w:outlineLvl w:val="1"/>
        <w:rPr>
          <w:rFonts w:ascii="仿宋" w:hAnsi="Cambria" w:eastAsia="仿宋" w:cs="Times New Roman"/>
          <w:b w:val="0"/>
          <w:bCs w:val="0"/>
          <w:kern w:val="2"/>
          <w:sz w:val="32"/>
          <w:szCs w:val="32"/>
          <w:lang w:val="en-US" w:eastAsia="zh-CN" w:bidi="ar-SA"/>
        </w:rPr>
      </w:pPr>
      <w:bookmarkStart w:id="133" w:name="_Toc15396630"/>
      <w:bookmarkStart w:id="134" w:name="_Toc79163647"/>
      <w:bookmarkStart w:id="135" w:name="_Toc8364"/>
      <w:bookmarkStart w:id="136" w:name="_Toc31206"/>
      <w:r>
        <w:rPr>
          <w:rFonts w:hint="eastAsia" w:ascii="仿宋" w:hAnsi="Cambria" w:eastAsia="仿宋" w:cs="Times New Roman"/>
          <w:b w:val="0"/>
          <w:bCs w:val="0"/>
          <w:kern w:val="2"/>
          <w:sz w:val="32"/>
          <w:szCs w:val="32"/>
          <w:lang w:val="en-US" w:eastAsia="zh-CN" w:bidi="ar-SA"/>
        </w:rPr>
        <w:t>十</w:t>
      </w:r>
      <w:bookmarkEnd w:id="133"/>
      <w:bookmarkEnd w:id="134"/>
      <w:bookmarkStart w:id="137" w:name="_Toc15396631"/>
      <w:bookmarkStart w:id="138" w:name="_Toc79163648"/>
      <w:r>
        <w:rPr>
          <w:rFonts w:hint="eastAsia" w:ascii="仿宋" w:hAnsi="Cambria" w:eastAsia="仿宋" w:cs="Times New Roman"/>
          <w:b w:val="0"/>
          <w:bCs w:val="0"/>
          <w:kern w:val="2"/>
          <w:sz w:val="32"/>
          <w:szCs w:val="32"/>
          <w:lang w:val="en-US" w:eastAsia="zh-CN" w:bidi="ar-SA"/>
        </w:rPr>
        <w:t>一、</w:t>
      </w:r>
      <w:r>
        <w:rPr>
          <w:rFonts w:hint="eastAsia" w:ascii="仿宋" w:hAnsi="Cambria" w:eastAsia="仿宋" w:cs="Times New Roman"/>
          <w:b w:val="0"/>
          <w:bCs/>
          <w:color w:val="000000"/>
          <w:kern w:val="2"/>
          <w:sz w:val="32"/>
          <w:szCs w:val="32"/>
          <w:lang w:val="en-US" w:eastAsia="zh-CN" w:bidi="ar-SA"/>
        </w:rPr>
        <w:t>国</w:t>
      </w:r>
      <w:r>
        <w:rPr>
          <w:rFonts w:hint="eastAsia" w:ascii="仿宋" w:hAnsi="Cambria" w:eastAsia="仿宋" w:cs="Times New Roman"/>
          <w:b w:val="0"/>
          <w:bCs w:val="0"/>
          <w:kern w:val="2"/>
          <w:sz w:val="32"/>
          <w:szCs w:val="32"/>
          <w:lang w:val="en-US" w:eastAsia="zh-CN" w:bidi="ar-SA"/>
        </w:rPr>
        <w:t>有资本经营预算财政拨款收入支出决算表</w:t>
      </w:r>
      <w:bookmarkEnd w:id="135"/>
      <w:bookmarkEnd w:id="136"/>
      <w:bookmarkEnd w:id="137"/>
      <w:bookmarkEnd w:id="138"/>
    </w:p>
    <w:p>
      <w:pPr>
        <w:keepNext/>
        <w:keepLines/>
        <w:widowControl w:val="0"/>
        <w:spacing w:before="260" w:after="260" w:line="415" w:lineRule="auto"/>
        <w:jc w:val="both"/>
        <w:outlineLvl w:val="1"/>
        <w:rPr>
          <w:rFonts w:hint="eastAsia" w:ascii="仿宋" w:hAnsi="Cambria" w:eastAsia="仿宋" w:cs="Times New Roman"/>
          <w:b w:val="0"/>
          <w:bCs w:val="0"/>
          <w:kern w:val="2"/>
          <w:sz w:val="32"/>
          <w:szCs w:val="32"/>
          <w:lang w:val="en-US" w:eastAsia="zh-CN" w:bidi="ar-SA"/>
        </w:rPr>
      </w:pPr>
      <w:bookmarkStart w:id="139" w:name="_Toc10137"/>
      <w:bookmarkStart w:id="140" w:name="_Toc79163649"/>
      <w:bookmarkStart w:id="141" w:name="_Toc16172"/>
      <w:r>
        <w:rPr>
          <w:rFonts w:hint="eastAsia" w:ascii="仿宋" w:hAnsi="Cambria" w:eastAsia="仿宋" w:cs="Times New Roman"/>
          <w:b w:val="0"/>
          <w:bCs w:val="0"/>
          <w:kern w:val="2"/>
          <w:sz w:val="32"/>
          <w:szCs w:val="32"/>
          <w:lang w:val="en-US" w:eastAsia="zh-CN" w:bidi="ar-SA"/>
        </w:rPr>
        <w:t>十二、国有资本经营预算财政拨款支出决算表</w:t>
      </w:r>
      <w:bookmarkEnd w:id="139"/>
      <w:bookmarkEnd w:id="140"/>
      <w:bookmarkEnd w:id="141"/>
    </w:p>
    <w:p>
      <w:bookmarkStart w:id="142" w:name="_Toc18470"/>
      <w:r>
        <w:rPr>
          <w:rFonts w:hint="eastAsia" w:ascii="仿宋" w:hAnsi="Cambria" w:eastAsia="仿宋"/>
          <w:b w:val="0"/>
          <w:bCs w:val="0"/>
          <w:sz w:val="32"/>
          <w:szCs w:val="32"/>
          <w:lang w:val="en-US" w:eastAsia="zh-CN"/>
        </w:rPr>
        <w:t>十三、</w:t>
      </w:r>
      <w:r>
        <w:rPr>
          <w:rFonts w:hint="eastAsia" w:ascii="仿宋" w:hAnsi="Cambria" w:eastAsia="仿宋"/>
          <w:b w:val="0"/>
          <w:bCs w:val="0"/>
          <w:sz w:val="32"/>
          <w:szCs w:val="32"/>
        </w:rPr>
        <w:t>财政拨款“三公”经费支出决算表</w:t>
      </w:r>
      <w:bookmarkEnd w:id="142"/>
    </w:p>
    <w:p>
      <w:pPr>
        <w:pStyle w:val="19"/>
        <w:ind w:left="0" w:leftChars="0" w:firstLine="0" w:firstLineChars="0"/>
        <w:rPr>
          <w:rFonts w:hint="eastAsia"/>
        </w:rPr>
      </w:pPr>
    </w:p>
    <w:bookmarkEnd w:id="143"/>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等线">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等线">
    <w:altName w:val="仿宋"/>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fldChar w:fldCharType="begin"/>
                          </w:r>
                          <w:r>
                            <w:instrText xml:space="preserve">PAGE   \* MERGEFORMAT</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13"/>
                      <w:jc w:val="center"/>
                    </w:pPr>
                    <w:r>
                      <w:fldChar w:fldCharType="begin"/>
                    </w:r>
                    <w:r>
                      <w:instrText xml:space="preserve">PAGE   \* MERGEFORMAT</w:instrText>
                    </w:r>
                    <w:r>
                      <w:fldChar w:fldCharType="separate"/>
                    </w:r>
                    <w:r>
                      <w:t>25</w:t>
                    </w:r>
                    <w:r>
                      <w:fldChar w:fldCharType="end"/>
                    </w:r>
                  </w:p>
                </w:txbxContent>
              </v:textbox>
            </v:shape>
          </w:pict>
        </mc:Fallback>
      </mc:AlternateContent>
    </w: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fldChar w:fldCharType="begin"/>
                          </w:r>
                          <w:r>
                            <w:instrText xml:space="preserve">PAGE   \* MERGEFORMAT</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13"/>
                      <w:jc w:val="center"/>
                    </w:pPr>
                    <w:r>
                      <w:fldChar w:fldCharType="begin"/>
                    </w:r>
                    <w:r>
                      <w:instrText xml:space="preserve">PAGE   \* MERGEFORMAT</w:instrText>
                    </w:r>
                    <w:r>
                      <w:fldChar w:fldCharType="separate"/>
                    </w:r>
                    <w:r>
                      <w:t>25</w:t>
                    </w:r>
                    <w:r>
                      <w:fldChar w:fldCharType="end"/>
                    </w:r>
                  </w:p>
                </w:txbxContent>
              </v:textbox>
            </v:shape>
          </w:pict>
        </mc:Fallback>
      </mc:AlternateContent>
    </w:r>
  </w:p>
  <w:p>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E33080"/>
    <w:multiLevelType w:val="singleLevel"/>
    <w:tmpl w:val="ACE33080"/>
    <w:lvl w:ilvl="0" w:tentative="0">
      <w:start w:val="2"/>
      <w:numFmt w:val="chineseCounting"/>
      <w:suff w:val="nothing"/>
      <w:lvlText w:val="（%1）"/>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2">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3">
    <w:nsid w:val="27BE6324"/>
    <w:multiLevelType w:val="singleLevel"/>
    <w:tmpl w:val="27BE6324"/>
    <w:lvl w:ilvl="0" w:tentative="0">
      <w:start w:val="2"/>
      <w:numFmt w:val="chineseCounting"/>
      <w:suff w:val="nothing"/>
      <w:lvlText w:val="（%1）"/>
      <w:lvlJc w:val="left"/>
      <w:rPr>
        <w:rFonts w:hint="eastAsia"/>
      </w:rPr>
    </w:lvl>
  </w:abstractNum>
  <w:abstractNum w:abstractNumId="4">
    <w:nsid w:val="7EED1195"/>
    <w:multiLevelType w:val="singleLevel"/>
    <w:tmpl w:val="7EED1195"/>
    <w:lvl w:ilvl="0" w:tentative="0">
      <w:start w:val="1"/>
      <w:numFmt w:val="chineseCounting"/>
      <w:suff w:val="nothing"/>
      <w:lvlText w:val="%1、"/>
      <w:lvlJc w:val="left"/>
      <w:rPr>
        <w:rFonts w:hint="eastAsia"/>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26640"/>
    <w:rsid w:val="00235629"/>
    <w:rsid w:val="00256262"/>
    <w:rsid w:val="00260C38"/>
    <w:rsid w:val="002616C0"/>
    <w:rsid w:val="00264FA2"/>
    <w:rsid w:val="00265372"/>
    <w:rsid w:val="002662AA"/>
    <w:rsid w:val="0027224D"/>
    <w:rsid w:val="00280496"/>
    <w:rsid w:val="00294DC9"/>
    <w:rsid w:val="00295495"/>
    <w:rsid w:val="002A31DE"/>
    <w:rsid w:val="002B2613"/>
    <w:rsid w:val="002D6D05"/>
    <w:rsid w:val="002F1818"/>
    <w:rsid w:val="002F567B"/>
    <w:rsid w:val="003216A9"/>
    <w:rsid w:val="00335A74"/>
    <w:rsid w:val="0036561B"/>
    <w:rsid w:val="0037013F"/>
    <w:rsid w:val="00380C92"/>
    <w:rsid w:val="00394E7F"/>
    <w:rsid w:val="003A484F"/>
    <w:rsid w:val="003A4883"/>
    <w:rsid w:val="003B0BE0"/>
    <w:rsid w:val="003B0C1B"/>
    <w:rsid w:val="003B688C"/>
    <w:rsid w:val="003C0291"/>
    <w:rsid w:val="003C39AE"/>
    <w:rsid w:val="003C7B60"/>
    <w:rsid w:val="003D0C0F"/>
    <w:rsid w:val="003D1FB2"/>
    <w:rsid w:val="003D53FE"/>
    <w:rsid w:val="003D66DA"/>
    <w:rsid w:val="003E1310"/>
    <w:rsid w:val="003E6F55"/>
    <w:rsid w:val="003E6FE4"/>
    <w:rsid w:val="00406254"/>
    <w:rsid w:val="004223DE"/>
    <w:rsid w:val="00434489"/>
    <w:rsid w:val="00437085"/>
    <w:rsid w:val="00443880"/>
    <w:rsid w:val="00445607"/>
    <w:rsid w:val="004464F4"/>
    <w:rsid w:val="00471401"/>
    <w:rsid w:val="00473F31"/>
    <w:rsid w:val="00476DF9"/>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5271A"/>
    <w:rsid w:val="0066343B"/>
    <w:rsid w:val="00664777"/>
    <w:rsid w:val="006748A4"/>
    <w:rsid w:val="00681A31"/>
    <w:rsid w:val="00683E73"/>
    <w:rsid w:val="006A3141"/>
    <w:rsid w:val="006A5E34"/>
    <w:rsid w:val="006B2422"/>
    <w:rsid w:val="006B2B9A"/>
    <w:rsid w:val="006C1937"/>
    <w:rsid w:val="006E2684"/>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D4A41"/>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632E0"/>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20FF3"/>
    <w:rsid w:val="00B310B9"/>
    <w:rsid w:val="00B35F3F"/>
    <w:rsid w:val="00B36CBB"/>
    <w:rsid w:val="00B425E0"/>
    <w:rsid w:val="00B440AA"/>
    <w:rsid w:val="00B44B70"/>
    <w:rsid w:val="00B53C56"/>
    <w:rsid w:val="00B54DB4"/>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1C39"/>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05477"/>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952C9"/>
    <w:rsid w:val="00FA23E8"/>
    <w:rsid w:val="00FD3CC1"/>
    <w:rsid w:val="00FF1E02"/>
    <w:rsid w:val="00FF30B4"/>
    <w:rsid w:val="014C4DA3"/>
    <w:rsid w:val="016D3530"/>
    <w:rsid w:val="02F91977"/>
    <w:rsid w:val="051200B1"/>
    <w:rsid w:val="05B747B5"/>
    <w:rsid w:val="06FA704F"/>
    <w:rsid w:val="07FB6BDB"/>
    <w:rsid w:val="08674270"/>
    <w:rsid w:val="09844198"/>
    <w:rsid w:val="0A2032A3"/>
    <w:rsid w:val="0A5026DB"/>
    <w:rsid w:val="0B91295B"/>
    <w:rsid w:val="0B925AA8"/>
    <w:rsid w:val="0C917B0E"/>
    <w:rsid w:val="0D1A52F9"/>
    <w:rsid w:val="10C055FF"/>
    <w:rsid w:val="114C04A7"/>
    <w:rsid w:val="118107EC"/>
    <w:rsid w:val="11BD58B2"/>
    <w:rsid w:val="12C30C3D"/>
    <w:rsid w:val="13D44FA7"/>
    <w:rsid w:val="169923E1"/>
    <w:rsid w:val="16BB723D"/>
    <w:rsid w:val="18D53478"/>
    <w:rsid w:val="19094ED0"/>
    <w:rsid w:val="1D155CEE"/>
    <w:rsid w:val="1E8E3821"/>
    <w:rsid w:val="210E5779"/>
    <w:rsid w:val="22BA200B"/>
    <w:rsid w:val="240371BF"/>
    <w:rsid w:val="285604E0"/>
    <w:rsid w:val="29481B83"/>
    <w:rsid w:val="29FD04D3"/>
    <w:rsid w:val="2B6F5066"/>
    <w:rsid w:val="2E67780F"/>
    <w:rsid w:val="2E6C3ADF"/>
    <w:rsid w:val="2EE713B8"/>
    <w:rsid w:val="2F0401BB"/>
    <w:rsid w:val="2FC101D2"/>
    <w:rsid w:val="303D5733"/>
    <w:rsid w:val="319F7F4E"/>
    <w:rsid w:val="326B7F22"/>
    <w:rsid w:val="33A20380"/>
    <w:rsid w:val="34AE30A3"/>
    <w:rsid w:val="361374D2"/>
    <w:rsid w:val="39237490"/>
    <w:rsid w:val="396D4B38"/>
    <w:rsid w:val="3B4E6126"/>
    <w:rsid w:val="3D0C62A9"/>
    <w:rsid w:val="3D477BF1"/>
    <w:rsid w:val="3F47037C"/>
    <w:rsid w:val="3FEA2348"/>
    <w:rsid w:val="40F778EA"/>
    <w:rsid w:val="41004C87"/>
    <w:rsid w:val="41122F36"/>
    <w:rsid w:val="42755200"/>
    <w:rsid w:val="42864E7C"/>
    <w:rsid w:val="44E93F10"/>
    <w:rsid w:val="464A0752"/>
    <w:rsid w:val="47971775"/>
    <w:rsid w:val="48B85449"/>
    <w:rsid w:val="4A235542"/>
    <w:rsid w:val="4C6365C5"/>
    <w:rsid w:val="4E606D65"/>
    <w:rsid w:val="4EBC7D13"/>
    <w:rsid w:val="4ECE2238"/>
    <w:rsid w:val="4F1F6ABC"/>
    <w:rsid w:val="4F3F2E1E"/>
    <w:rsid w:val="50CC248F"/>
    <w:rsid w:val="52020AD7"/>
    <w:rsid w:val="52350508"/>
    <w:rsid w:val="529B480F"/>
    <w:rsid w:val="53AB0A82"/>
    <w:rsid w:val="595D1779"/>
    <w:rsid w:val="5BA763A4"/>
    <w:rsid w:val="5BC80B8E"/>
    <w:rsid w:val="5CB63FF4"/>
    <w:rsid w:val="5DC664B8"/>
    <w:rsid w:val="5E0A6709"/>
    <w:rsid w:val="5E3E24F3"/>
    <w:rsid w:val="5EFF5C7C"/>
    <w:rsid w:val="5F0A0997"/>
    <w:rsid w:val="5F526256"/>
    <w:rsid w:val="5FC37F08"/>
    <w:rsid w:val="600734E4"/>
    <w:rsid w:val="61502C69"/>
    <w:rsid w:val="61F730E4"/>
    <w:rsid w:val="623600B0"/>
    <w:rsid w:val="626616D3"/>
    <w:rsid w:val="631A352E"/>
    <w:rsid w:val="631A4274"/>
    <w:rsid w:val="67453ECB"/>
    <w:rsid w:val="67B37AAD"/>
    <w:rsid w:val="6850354E"/>
    <w:rsid w:val="69780FAF"/>
    <w:rsid w:val="6C4A05C8"/>
    <w:rsid w:val="6C845EBC"/>
    <w:rsid w:val="71724535"/>
    <w:rsid w:val="72020D13"/>
    <w:rsid w:val="72734D90"/>
    <w:rsid w:val="79725A1A"/>
    <w:rsid w:val="79BC6C95"/>
    <w:rsid w:val="79C773E8"/>
    <w:rsid w:val="7A6B246A"/>
    <w:rsid w:val="7B492952"/>
    <w:rsid w:val="7B580C40"/>
    <w:rsid w:val="7BBF8EEC"/>
    <w:rsid w:val="7BD236CC"/>
    <w:rsid w:val="7D44147C"/>
    <w:rsid w:val="7E0429B9"/>
    <w:rsid w:val="7E3239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4"/>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50"/>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31"/>
    <w:qFormat/>
    <w:uiPriority w:val="9"/>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260"/>
      <w:jc w:val="left"/>
    </w:pPr>
    <w:rPr>
      <w:rFonts w:asciiTheme="minorHAnsi" w:eastAsiaTheme="minorHAnsi"/>
      <w:sz w:val="18"/>
      <w:szCs w:val="18"/>
    </w:rPr>
  </w:style>
  <w:style w:type="paragraph" w:styleId="6">
    <w:name w:val="Body Text"/>
    <w:basedOn w:val="1"/>
    <w:link w:val="38"/>
    <w:qFormat/>
    <w:uiPriority w:val="99"/>
    <w:pPr>
      <w:spacing w:beforeLines="30"/>
    </w:pPr>
    <w:rPr>
      <w:rFonts w:ascii="仿宋_GB2312" w:eastAsia="仿宋_GB2312"/>
      <w:kern w:val="0"/>
      <w:sz w:val="24"/>
      <w:szCs w:val="20"/>
      <w:lang w:val="zh-CN"/>
    </w:rPr>
  </w:style>
  <w:style w:type="paragraph" w:styleId="7">
    <w:name w:val="Body Text Indent"/>
    <w:basedOn w:val="1"/>
    <w:next w:val="8"/>
    <w:qFormat/>
    <w:uiPriority w:val="0"/>
    <w:pPr>
      <w:spacing w:after="120"/>
      <w:ind w:left="420" w:leftChars="200"/>
    </w:pPr>
    <w:rPr>
      <w:rFonts w:ascii="Calibri" w:hAnsi="Calibri"/>
      <w:szCs w:val="22"/>
    </w:rPr>
  </w:style>
  <w:style w:type="paragraph" w:styleId="8">
    <w:name w:val="Body Text First Indent 2"/>
    <w:basedOn w:val="7"/>
    <w:qFormat/>
    <w:uiPriority w:val="0"/>
    <w:pPr>
      <w:spacing w:line="360" w:lineRule="auto"/>
      <w:ind w:left="0" w:leftChars="0" w:firstLine="420" w:firstLineChars="200"/>
    </w:pPr>
    <w:rPr>
      <w:rFonts w:ascii="Times New Roman" w:hAnsi="Times New Roman" w:eastAsia="宋体"/>
    </w:rPr>
  </w:style>
  <w:style w:type="paragraph" w:styleId="9">
    <w:name w:val="toc 5"/>
    <w:basedOn w:val="1"/>
    <w:next w:val="1"/>
    <w:unhideWhenUsed/>
    <w:qFormat/>
    <w:uiPriority w:val="39"/>
    <w:pPr>
      <w:ind w:left="840"/>
      <w:jc w:val="left"/>
    </w:pPr>
    <w:rPr>
      <w:rFonts w:asciiTheme="minorHAnsi" w:eastAsiaTheme="minorHAnsi"/>
      <w:sz w:val="18"/>
      <w:szCs w:val="18"/>
    </w:rPr>
  </w:style>
  <w:style w:type="paragraph" w:styleId="10">
    <w:name w:val="toc 3"/>
    <w:basedOn w:val="1"/>
    <w:next w:val="1"/>
    <w:unhideWhenUsed/>
    <w:qFormat/>
    <w:uiPriority w:val="39"/>
    <w:pPr>
      <w:ind w:left="420"/>
      <w:jc w:val="left"/>
    </w:pPr>
    <w:rPr>
      <w:rFonts w:asciiTheme="minorHAnsi" w:eastAsiaTheme="minorHAnsi"/>
      <w:i/>
      <w:iCs/>
      <w:sz w:val="20"/>
      <w:szCs w:val="20"/>
    </w:rPr>
  </w:style>
  <w:style w:type="paragraph" w:styleId="11">
    <w:name w:val="toc 8"/>
    <w:basedOn w:val="1"/>
    <w:next w:val="1"/>
    <w:unhideWhenUsed/>
    <w:qFormat/>
    <w:uiPriority w:val="39"/>
    <w:pPr>
      <w:ind w:left="1470"/>
      <w:jc w:val="left"/>
    </w:pPr>
    <w:rPr>
      <w:rFonts w:asciiTheme="minorHAnsi" w:eastAsiaTheme="minorHAnsi"/>
      <w:sz w:val="18"/>
      <w:szCs w:val="18"/>
    </w:rPr>
  </w:style>
  <w:style w:type="paragraph" w:styleId="12">
    <w:name w:val="Balloon Text"/>
    <w:basedOn w:val="1"/>
    <w:link w:val="33"/>
    <w:semiHidden/>
    <w:unhideWhenUsed/>
    <w:qFormat/>
    <w:uiPriority w:val="99"/>
    <w:rPr>
      <w:sz w:val="18"/>
      <w:szCs w:val="18"/>
    </w:rPr>
  </w:style>
  <w:style w:type="paragraph" w:styleId="13">
    <w:name w:val="footer"/>
    <w:basedOn w:val="1"/>
    <w:link w:val="37"/>
    <w:qFormat/>
    <w:uiPriority w:val="99"/>
    <w:pPr>
      <w:tabs>
        <w:tab w:val="center" w:pos="4153"/>
        <w:tab w:val="right" w:pos="8306"/>
      </w:tabs>
      <w:snapToGrid w:val="0"/>
      <w:jc w:val="left"/>
    </w:pPr>
    <w:rPr>
      <w:rFonts w:ascii="Calibri" w:hAnsi="Calibri"/>
      <w:kern w:val="0"/>
      <w:sz w:val="18"/>
      <w:szCs w:val="20"/>
      <w:lang w:val="zh-CN"/>
    </w:rPr>
  </w:style>
  <w:style w:type="paragraph" w:styleId="14">
    <w:name w:val="header"/>
    <w:basedOn w:val="1"/>
    <w:link w:val="36"/>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rPr>
  </w:style>
  <w:style w:type="paragraph" w:styleId="15">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6">
    <w:name w:val="toc 4"/>
    <w:basedOn w:val="1"/>
    <w:next w:val="1"/>
    <w:unhideWhenUsed/>
    <w:qFormat/>
    <w:uiPriority w:val="39"/>
    <w:pPr>
      <w:ind w:left="630"/>
      <w:jc w:val="left"/>
    </w:pPr>
    <w:rPr>
      <w:rFonts w:asciiTheme="minorHAnsi" w:eastAsiaTheme="minorHAnsi"/>
      <w:sz w:val="18"/>
      <w:szCs w:val="18"/>
    </w:rPr>
  </w:style>
  <w:style w:type="paragraph" w:styleId="17">
    <w:name w:val="footnote text"/>
    <w:basedOn w:val="1"/>
    <w:next w:val="8"/>
    <w:semiHidden/>
    <w:qFormat/>
    <w:uiPriority w:val="0"/>
    <w:pPr>
      <w:snapToGrid w:val="0"/>
      <w:jc w:val="left"/>
    </w:pPr>
    <w:rPr>
      <w:sz w:val="18"/>
      <w:szCs w:val="18"/>
    </w:rPr>
  </w:style>
  <w:style w:type="paragraph" w:styleId="18">
    <w:name w:val="toc 6"/>
    <w:basedOn w:val="1"/>
    <w:next w:val="1"/>
    <w:unhideWhenUsed/>
    <w:qFormat/>
    <w:uiPriority w:val="39"/>
    <w:pPr>
      <w:ind w:left="1050"/>
      <w:jc w:val="left"/>
    </w:pPr>
    <w:rPr>
      <w:rFonts w:asciiTheme="minorHAnsi" w:eastAsiaTheme="minorHAnsi"/>
      <w:sz w:val="18"/>
      <w:szCs w:val="18"/>
    </w:rPr>
  </w:style>
  <w:style w:type="paragraph" w:styleId="19">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4"/>
      <w:lang w:val="en-US" w:eastAsia="zh-CN" w:bidi="ar-SA"/>
    </w:rPr>
  </w:style>
  <w:style w:type="paragraph" w:styleId="20">
    <w:name w:val="toc 2"/>
    <w:basedOn w:val="1"/>
    <w:next w:val="1"/>
    <w:unhideWhenUsed/>
    <w:qFormat/>
    <w:uiPriority w:val="39"/>
    <w:pPr>
      <w:ind w:left="210"/>
      <w:jc w:val="left"/>
    </w:pPr>
    <w:rPr>
      <w:rFonts w:asciiTheme="minorHAnsi" w:eastAsiaTheme="minorHAnsi"/>
      <w:smallCaps/>
      <w:sz w:val="20"/>
      <w:szCs w:val="20"/>
    </w:rPr>
  </w:style>
  <w:style w:type="paragraph" w:styleId="21">
    <w:name w:val="toc 9"/>
    <w:basedOn w:val="1"/>
    <w:next w:val="1"/>
    <w:unhideWhenUsed/>
    <w:qFormat/>
    <w:uiPriority w:val="39"/>
    <w:pPr>
      <w:ind w:left="1680"/>
      <w:jc w:val="left"/>
    </w:pPr>
    <w:rPr>
      <w:rFonts w:asciiTheme="minorHAnsi" w:eastAsiaTheme="minorHAnsi"/>
      <w:sz w:val="18"/>
      <w:szCs w:val="18"/>
    </w:rPr>
  </w:style>
  <w:style w:type="paragraph" w:styleId="22">
    <w:name w:val="Normal (Web)"/>
    <w:basedOn w:val="1"/>
    <w:unhideWhenUsed/>
    <w:qFormat/>
    <w:uiPriority w:val="0"/>
    <w:pPr>
      <w:spacing w:before="100" w:beforeAutospacing="1" w:after="100" w:afterAutospacing="1"/>
    </w:pPr>
  </w:style>
  <w:style w:type="character" w:styleId="25">
    <w:name w:val="Strong"/>
    <w:basedOn w:val="24"/>
    <w:qFormat/>
    <w:uiPriority w:val="99"/>
    <w:rPr>
      <w:rFonts w:cs="Times New Roman"/>
      <w:b/>
    </w:rPr>
  </w:style>
  <w:style w:type="character" w:styleId="26">
    <w:name w:val="Hyperlink"/>
    <w:basedOn w:val="24"/>
    <w:unhideWhenUsed/>
    <w:qFormat/>
    <w:uiPriority w:val="99"/>
    <w:rPr>
      <w:rFonts w:cs="Times New Roman"/>
      <w:color w:val="0000FF"/>
      <w:u w:val="single"/>
    </w:rPr>
  </w:style>
  <w:style w:type="paragraph" w:customStyle="1" w:styleId="27">
    <w:name w:val="BodyText1I2"/>
    <w:basedOn w:val="28"/>
    <w:next w:val="1"/>
    <w:qFormat/>
    <w:uiPriority w:val="0"/>
    <w:pPr>
      <w:tabs>
        <w:tab w:val="left" w:pos="960"/>
      </w:tabs>
      <w:spacing w:after="120"/>
      <w:ind w:left="420" w:leftChars="200" w:firstLine="200" w:firstLineChars="200"/>
      <w:jc w:val="both"/>
      <w:textAlignment w:val="baseline"/>
    </w:pPr>
  </w:style>
  <w:style w:type="paragraph" w:customStyle="1" w:styleId="28">
    <w:name w:val="BodyTextIndent"/>
    <w:basedOn w:val="1"/>
    <w:next w:val="27"/>
    <w:qFormat/>
    <w:uiPriority w:val="0"/>
    <w:pPr>
      <w:spacing w:after="120"/>
      <w:ind w:left="420" w:leftChars="200"/>
      <w:jc w:val="both"/>
      <w:textAlignment w:val="baseline"/>
    </w:pPr>
  </w:style>
  <w:style w:type="character" w:customStyle="1" w:styleId="29">
    <w:name w:val="标题 1 Char"/>
    <w:basedOn w:val="24"/>
    <w:link w:val="2"/>
    <w:qFormat/>
    <w:locked/>
    <w:uiPriority w:val="9"/>
    <w:rPr>
      <w:rFonts w:ascii="Times New Roman" w:hAnsi="Times New Roman" w:cs="Times New Roman"/>
      <w:b/>
      <w:bCs/>
      <w:kern w:val="44"/>
      <w:sz w:val="44"/>
      <w:szCs w:val="44"/>
    </w:rPr>
  </w:style>
  <w:style w:type="character" w:customStyle="1" w:styleId="30">
    <w:name w:val="标题 2 Char"/>
    <w:basedOn w:val="24"/>
    <w:link w:val="3"/>
    <w:qFormat/>
    <w:locked/>
    <w:uiPriority w:val="9"/>
    <w:rPr>
      <w:rFonts w:ascii="Cambria" w:hAnsi="Cambria" w:eastAsia="宋体" w:cs="Times New Roman"/>
      <w:b/>
      <w:bCs/>
      <w:kern w:val="2"/>
      <w:sz w:val="32"/>
      <w:szCs w:val="32"/>
    </w:rPr>
  </w:style>
  <w:style w:type="character" w:customStyle="1" w:styleId="31">
    <w:name w:val="标题 3 Char"/>
    <w:basedOn w:val="24"/>
    <w:link w:val="4"/>
    <w:qFormat/>
    <w:locked/>
    <w:uiPriority w:val="9"/>
    <w:rPr>
      <w:rFonts w:ascii="Times New Roman" w:hAnsi="Times New Roman" w:cs="Times New Roman"/>
      <w:b/>
      <w:bCs/>
      <w:kern w:val="2"/>
      <w:sz w:val="32"/>
      <w:szCs w:val="32"/>
    </w:rPr>
  </w:style>
  <w:style w:type="character" w:customStyle="1" w:styleId="32">
    <w:name w:val="Body Text Char"/>
    <w:basedOn w:val="24"/>
    <w:semiHidden/>
    <w:qFormat/>
    <w:uiPriority w:val="99"/>
    <w:rPr>
      <w:rFonts w:ascii="Times New Roman" w:hAnsi="Times New Roman" w:cs="Times New Roman"/>
      <w:sz w:val="24"/>
      <w:szCs w:val="24"/>
    </w:rPr>
  </w:style>
  <w:style w:type="character" w:customStyle="1" w:styleId="33">
    <w:name w:val="批注框文本 Char"/>
    <w:basedOn w:val="24"/>
    <w:link w:val="12"/>
    <w:semiHidden/>
    <w:qFormat/>
    <w:locked/>
    <w:uiPriority w:val="99"/>
    <w:rPr>
      <w:rFonts w:ascii="Times New Roman" w:hAnsi="Times New Roman" w:cs="Times New Roman"/>
      <w:kern w:val="2"/>
      <w:sz w:val="18"/>
      <w:szCs w:val="18"/>
    </w:rPr>
  </w:style>
  <w:style w:type="character" w:customStyle="1" w:styleId="34">
    <w:name w:val="Footer Char"/>
    <w:basedOn w:val="24"/>
    <w:semiHidden/>
    <w:qFormat/>
    <w:uiPriority w:val="99"/>
    <w:rPr>
      <w:rFonts w:ascii="Times New Roman" w:hAnsi="Times New Roman" w:cs="Times New Roman"/>
      <w:sz w:val="18"/>
      <w:szCs w:val="18"/>
    </w:rPr>
  </w:style>
  <w:style w:type="character" w:customStyle="1" w:styleId="35">
    <w:name w:val="Header Char"/>
    <w:basedOn w:val="24"/>
    <w:semiHidden/>
    <w:qFormat/>
    <w:uiPriority w:val="99"/>
    <w:rPr>
      <w:rFonts w:ascii="Times New Roman" w:hAnsi="Times New Roman" w:cs="Times New Roman"/>
      <w:sz w:val="18"/>
      <w:szCs w:val="18"/>
    </w:rPr>
  </w:style>
  <w:style w:type="character" w:customStyle="1" w:styleId="36">
    <w:name w:val="页眉 Char"/>
    <w:link w:val="14"/>
    <w:semiHidden/>
    <w:qFormat/>
    <w:locked/>
    <w:uiPriority w:val="99"/>
    <w:rPr>
      <w:sz w:val="18"/>
    </w:rPr>
  </w:style>
  <w:style w:type="character" w:customStyle="1" w:styleId="37">
    <w:name w:val="页脚 Char"/>
    <w:link w:val="13"/>
    <w:qFormat/>
    <w:locked/>
    <w:uiPriority w:val="99"/>
    <w:rPr>
      <w:sz w:val="18"/>
    </w:rPr>
  </w:style>
  <w:style w:type="character" w:customStyle="1" w:styleId="38">
    <w:name w:val="正文文本 Char"/>
    <w:link w:val="6"/>
    <w:qFormat/>
    <w:locked/>
    <w:uiPriority w:val="99"/>
    <w:rPr>
      <w:rFonts w:ascii="仿宋_GB2312" w:hAnsi="Times New Roman" w:eastAsia="仿宋_GB2312"/>
      <w:sz w:val="24"/>
    </w:rPr>
  </w:style>
  <w:style w:type="paragraph" w:customStyle="1" w:styleId="3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40">
    <w:name w:val="列表段落1"/>
    <w:basedOn w:val="1"/>
    <w:qFormat/>
    <w:uiPriority w:val="34"/>
    <w:pPr>
      <w:ind w:firstLine="420" w:firstLineChars="200"/>
    </w:pPr>
  </w:style>
  <w:style w:type="paragraph" w:customStyle="1" w:styleId="41">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2">
    <w:name w:val="TOC Heading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3">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44">
    <w:name w:val="NormalCharacter"/>
    <w:link w:val="1"/>
    <w:semiHidden/>
    <w:qFormat/>
    <w:uiPriority w:val="0"/>
    <w:rPr>
      <w:rFonts w:ascii="Times New Roman" w:hAnsi="Times New Roman" w:eastAsia="宋体" w:cs="Times New Roman"/>
      <w:kern w:val="2"/>
      <w:sz w:val="21"/>
      <w:szCs w:val="24"/>
      <w:lang w:val="en-US" w:eastAsia="zh-CN" w:bidi="ar-SA"/>
    </w:rPr>
  </w:style>
  <w:style w:type="paragraph" w:customStyle="1" w:styleId="45">
    <w:name w:val="列出段落1"/>
    <w:basedOn w:val="1"/>
    <w:qFormat/>
    <w:uiPriority w:val="34"/>
    <w:pPr>
      <w:ind w:firstLine="420" w:firstLineChars="200"/>
    </w:pPr>
    <w:rPr>
      <w:rFonts w:ascii="Calibri" w:hAnsi="Calibri" w:eastAsia="宋体" w:cs="Times New Roman"/>
    </w:rPr>
  </w:style>
  <w:style w:type="character" w:customStyle="1" w:styleId="46">
    <w:name w:val="15"/>
    <w:basedOn w:val="24"/>
    <w:qFormat/>
    <w:uiPriority w:val="0"/>
    <w:rPr>
      <w:rFonts w:hint="default" w:ascii="Cambria" w:hAnsi="Cambria" w:eastAsia="宋体" w:cs="Times New Roman"/>
      <w:b/>
      <w:bCs/>
      <w:kern w:val="2"/>
      <w:sz w:val="32"/>
      <w:szCs w:val="32"/>
    </w:rPr>
  </w:style>
  <w:style w:type="character" w:customStyle="1" w:styleId="47">
    <w:name w:val="10"/>
    <w:basedOn w:val="24"/>
    <w:qFormat/>
    <w:uiPriority w:val="0"/>
    <w:rPr>
      <w:rFonts w:hint="default" w:ascii="Times New Roman" w:hAnsi="Times New Roman" w:cs="Times New Roman"/>
    </w:rPr>
  </w:style>
  <w:style w:type="paragraph" w:customStyle="1" w:styleId="48">
    <w:name w:val="UserStyle_2"/>
    <w:basedOn w:val="1"/>
    <w:qFormat/>
    <w:uiPriority w:val="0"/>
    <w:pPr>
      <w:spacing w:before="0" w:beforeAutospacing="0" w:after="0" w:afterAutospacing="0"/>
      <w:ind w:left="0" w:right="0" w:firstLine="420" w:firstLineChars="200"/>
      <w:jc w:val="both"/>
      <w:textAlignment w:val="baseline"/>
    </w:pPr>
    <w:rPr>
      <w:rFonts w:hint="default" w:ascii="Calibri" w:hAnsi="Calibri" w:eastAsia="宋体" w:cs="Times New Roman"/>
      <w:kern w:val="2"/>
      <w:sz w:val="21"/>
      <w:szCs w:val="21"/>
      <w:lang w:val="en-US" w:eastAsia="zh-CN" w:bidi="ar"/>
    </w:rPr>
  </w:style>
  <w:style w:type="character" w:customStyle="1" w:styleId="49">
    <w:name w:val="heading 1 Char"/>
    <w:basedOn w:val="24"/>
    <w:link w:val="2"/>
    <w:qFormat/>
    <w:uiPriority w:val="0"/>
    <w:rPr>
      <w:rFonts w:ascii="Times New Roman" w:hAnsi="Times New Roman" w:eastAsia="宋体" w:cs="Times New Roman"/>
      <w:b/>
      <w:bCs/>
      <w:kern w:val="44"/>
      <w:sz w:val="44"/>
      <w:szCs w:val="44"/>
      <w:lang w:val="en-US" w:eastAsia="zh-CN" w:bidi="ar-SA"/>
    </w:rPr>
  </w:style>
  <w:style w:type="character" w:customStyle="1" w:styleId="50">
    <w:name w:val="heading 2 Char"/>
    <w:basedOn w:val="24"/>
    <w:link w:val="3"/>
    <w:qFormat/>
    <w:uiPriority w:val="0"/>
    <w:rPr>
      <w:rFonts w:ascii="Cambria" w:hAnsi="Cambria" w:eastAsia="宋体" w:cs="Times New Roman"/>
      <w:b/>
      <w:bCs/>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chart" Target="charts/chart9.xml"/><Relationship Id="rId16" Type="http://schemas.openxmlformats.org/officeDocument/2006/relationships/chart" Target="charts/chart8.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32993;&#32993;&#32993;\&#20915;&#31639;&#20844;&#24320;&#20998;&#26512;&#22270;&#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32993;&#32993;&#32993;\&#20915;&#31639;&#20844;&#24320;&#20998;&#26512;&#22270;&#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20915;&#31639;&#20844;&#24320;&#20998;&#26512;&#22270;&#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esktop\&#32993;&#32993;&#32993;\&#20915;&#31639;&#20844;&#24320;&#20998;&#26512;&#22270;&#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esktop\&#32993;&#32993;&#32993;\&#20915;&#31639;&#20844;&#24320;&#20998;&#26512;&#22270;&#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esktop\&#32993;&#32993;&#32993;\&#20915;&#31639;&#20844;&#24320;&#20998;&#26512;&#22270;&#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esktop\&#32993;&#32993;&#32993;\&#20915;&#31639;&#20844;&#24320;&#20998;&#26512;&#22270;&#34920;.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20915;&#31639;&#20844;&#24320;&#20998;&#26512;&#22270;&#34920;.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20915;&#31639;&#20844;&#24320;&#20998;&#26512;&#2227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收入决算总计变动情况图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912383177570093"/>
          <c:y val="0.169208909370199"/>
          <c:w val="0.844222222222222"/>
          <c:h val="0.711666666666667"/>
        </c:manualLayout>
      </c:layout>
      <c:barChart>
        <c:barDir val="col"/>
        <c:grouping val="clustered"/>
        <c:varyColors val="0"/>
        <c:ser>
          <c:idx val="0"/>
          <c:order val="0"/>
          <c:spPr>
            <a:solidFill>
              <a:schemeClr val="accent1"/>
            </a:solidFill>
            <a:ln>
              <a:noFill/>
            </a:ln>
            <a:effectLst/>
          </c:spPr>
          <c:invertIfNegative val="0"/>
          <c:dLbls>
            <c:delete val="1"/>
          </c:dLbls>
          <c:cat>
            <c:strRef>
              <c:f>[决算公开分析图表.xls]Sheet1!$A$3:$B$3</c:f>
              <c:strCache>
                <c:ptCount val="2"/>
                <c:pt idx="0">
                  <c:v>2024年</c:v>
                </c:pt>
                <c:pt idx="1">
                  <c:v>2025年</c:v>
                </c:pt>
              </c:strCache>
            </c:strRef>
          </c:cat>
          <c:val>
            <c:numRef>
              <c:f>[决算公开分析图表.xls]Sheet1!$A$4:$B$4</c:f>
              <c:numCache>
                <c:formatCode>General</c:formatCode>
                <c:ptCount val="2"/>
                <c:pt idx="0">
                  <c:v>207.19</c:v>
                </c:pt>
                <c:pt idx="1" c:formatCode="#,##0.00">
                  <c:v>196.34</c:v>
                </c:pt>
              </c:numCache>
            </c:numRef>
          </c:val>
        </c:ser>
        <c:dLbls>
          <c:showLegendKey val="0"/>
          <c:showVal val="0"/>
          <c:showCatName val="0"/>
          <c:showSerName val="0"/>
          <c:showPercent val="0"/>
          <c:showBubbleSize val="0"/>
        </c:dLbls>
        <c:gapWidth val="219"/>
        <c:overlap val="-27"/>
        <c:axId val="972025894"/>
        <c:axId val="200436013"/>
      </c:barChart>
      <c:catAx>
        <c:axId val="97202589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436013"/>
        <c:crosses val="autoZero"/>
        <c:auto val="1"/>
        <c:lblAlgn val="ctr"/>
        <c:lblOffset val="100"/>
        <c:noMultiLvlLbl val="0"/>
      </c:catAx>
      <c:valAx>
        <c:axId val="20043601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202589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支出决算总计变动情况图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[决算公开分析图表.xls]Sheet1!$A$24:$B$24</c:f>
              <c:strCache>
                <c:ptCount val="2"/>
                <c:pt idx="0">
                  <c:v>2024年</c:v>
                </c:pt>
                <c:pt idx="1">
                  <c:v>2025年</c:v>
                </c:pt>
              </c:strCache>
            </c:strRef>
          </c:cat>
          <c:val>
            <c:numRef>
              <c:f>[决算公开分析图表.xls]Sheet1!$A$25:$B$25</c:f>
              <c:numCache>
                <c:formatCode>General</c:formatCode>
                <c:ptCount val="2"/>
                <c:pt idx="0">
                  <c:v>207.19</c:v>
                </c:pt>
                <c:pt idx="1" c:formatCode="#,##0.00">
                  <c:v>196.34</c:v>
                </c:pt>
              </c:numCache>
            </c:numRef>
          </c:val>
        </c:ser>
        <c:dLbls>
          <c:showLegendKey val="0"/>
          <c:showVal val="0"/>
          <c:showCatName val="0"/>
          <c:showSerName val="0"/>
          <c:showPercent val="0"/>
          <c:showBubbleSize val="0"/>
        </c:dLbls>
        <c:gapWidth val="219"/>
        <c:overlap val="-27"/>
        <c:axId val="267184116"/>
        <c:axId val="717079057"/>
      </c:barChart>
      <c:catAx>
        <c:axId val="26718411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7079057"/>
        <c:crosses val="autoZero"/>
        <c:auto val="1"/>
        <c:lblAlgn val="ctr"/>
        <c:lblOffset val="100"/>
        <c:noMultiLvlLbl val="0"/>
      </c:catAx>
      <c:valAx>
        <c:axId val="717079057"/>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1841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Lbls>
            <c:delete val="1"/>
          </c:dLbls>
          <c:cat>
            <c:strRef>
              <c:f>[决算公开分析图表.xls]Sheet1!$D$43</c:f>
              <c:strCache>
                <c:ptCount val="1"/>
                <c:pt idx="0">
                  <c:v>一般公共预算财政拨款收入</c:v>
                </c:pt>
              </c:strCache>
            </c:strRef>
          </c:cat>
          <c:val>
            <c:numRef>
              <c:f>[决算公开分析图表.xls]Sheet1!$E$43</c:f>
              <c:numCache>
                <c:formatCode>General</c:formatCode>
                <c:ptCount val="1"/>
                <c:pt idx="0">
                  <c:v>388.55</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199979541734861"/>
          <c:y val="0.176318063958513"/>
          <c:w val="0.509206219312602"/>
          <c:h val="0.717084413713627"/>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elete val="1"/>
          </c:dLbls>
          <c:cat>
            <c:strRef>
              <c:f>[决算公开分析图表.xls]Sheet1!$C$58:$C$59</c:f>
              <c:strCache>
                <c:ptCount val="2"/>
                <c:pt idx="0">
                  <c:v>基本支出</c:v>
                </c:pt>
                <c:pt idx="1">
                  <c:v>项目支出</c:v>
                </c:pt>
              </c:strCache>
            </c:strRef>
          </c:cat>
          <c:val>
            <c:numRef>
              <c:f>[决算公开分析图表.xls]Sheet1!$D$58:$D$59</c:f>
              <c:numCache>
                <c:formatCode>#,##0.00</c:formatCode>
                <c:ptCount val="2"/>
                <c:pt idx="0">
                  <c:v>188.41</c:v>
                </c:pt>
                <c:pt idx="1">
                  <c:v>7.93</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022"/>
          <c:y val="0.89475"/>
          <c:w val="0.9275"/>
          <c:h val="0.0932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财政拨款收入总计变动表</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57086851628468"/>
          <c:y val="0.0353356890459364"/>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[决算公开分析图表.xls]Sheet1!$A$83:$B$83</c:f>
              <c:strCache>
                <c:ptCount val="2"/>
                <c:pt idx="0">
                  <c:v>2024年</c:v>
                </c:pt>
                <c:pt idx="1">
                  <c:v>2025年</c:v>
                </c:pt>
              </c:strCache>
            </c:strRef>
          </c:cat>
          <c:val>
            <c:numRef>
              <c:f>[决算公开分析图表.xls]Sheet1!$A$84:$B$84</c:f>
              <c:numCache>
                <c:formatCode>General</c:formatCode>
                <c:ptCount val="2"/>
                <c:pt idx="0">
                  <c:v>207.19</c:v>
                </c:pt>
                <c:pt idx="1" c:formatCode="#,##0.00">
                  <c:v>196.34</c:v>
                </c:pt>
              </c:numCache>
            </c:numRef>
          </c:val>
        </c:ser>
        <c:dLbls>
          <c:showLegendKey val="0"/>
          <c:showVal val="0"/>
          <c:showCatName val="0"/>
          <c:showSerName val="0"/>
          <c:showPercent val="0"/>
          <c:showBubbleSize val="0"/>
        </c:dLbls>
        <c:gapWidth val="219"/>
        <c:overlap val="-27"/>
        <c:axId val="666415365"/>
        <c:axId val="401953827"/>
      </c:barChart>
      <c:catAx>
        <c:axId val="666415365"/>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953827"/>
        <c:crosses val="autoZero"/>
        <c:auto val="1"/>
        <c:lblAlgn val="ctr"/>
        <c:lblOffset val="100"/>
        <c:noMultiLvlLbl val="0"/>
      </c:catAx>
      <c:valAx>
        <c:axId val="401953827"/>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641536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财政拨款支出总计变动表</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765720971044165"/>
          <c:y val="0.238871473354232"/>
          <c:w val="0.889061128985083"/>
          <c:h val="0.609529780564263"/>
        </c:manualLayout>
      </c:layout>
      <c:barChart>
        <c:barDir val="col"/>
        <c:grouping val="clustered"/>
        <c:varyColors val="0"/>
        <c:ser>
          <c:idx val="0"/>
          <c:order val="0"/>
          <c:spPr>
            <a:solidFill>
              <a:schemeClr val="accent1"/>
            </a:solidFill>
            <a:ln>
              <a:noFill/>
            </a:ln>
            <a:effectLst/>
          </c:spPr>
          <c:invertIfNegative val="0"/>
          <c:dLbls>
            <c:delete val="1"/>
          </c:dLbls>
          <c:cat>
            <c:strRef>
              <c:f>[决算公开分析图表.xls]Sheet1!$A$100:$B$100</c:f>
              <c:strCache>
                <c:ptCount val="2"/>
                <c:pt idx="0">
                  <c:v>2024年</c:v>
                </c:pt>
                <c:pt idx="1">
                  <c:v>2025年</c:v>
                </c:pt>
              </c:strCache>
            </c:strRef>
          </c:cat>
          <c:val>
            <c:numRef>
              <c:f>[决算公开分析图表.xls]Sheet1!$A$101:$B$101</c:f>
              <c:numCache>
                <c:formatCode>General</c:formatCode>
                <c:ptCount val="2"/>
                <c:pt idx="0">
                  <c:v>207.19</c:v>
                </c:pt>
                <c:pt idx="1" c:formatCode="#,##0.00">
                  <c:v>196.34</c:v>
                </c:pt>
              </c:numCache>
            </c:numRef>
          </c:val>
        </c:ser>
        <c:dLbls>
          <c:showLegendKey val="0"/>
          <c:showVal val="0"/>
          <c:showCatName val="0"/>
          <c:showSerName val="0"/>
          <c:showPercent val="0"/>
          <c:showBubbleSize val="0"/>
        </c:dLbls>
        <c:gapWidth val="219"/>
        <c:overlap val="-27"/>
        <c:axId val="628680138"/>
        <c:axId val="551708298"/>
      </c:barChart>
      <c:catAx>
        <c:axId val="62868013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708298"/>
        <c:crosses val="autoZero"/>
        <c:auto val="1"/>
        <c:lblAlgn val="ctr"/>
        <c:lblOffset val="100"/>
        <c:noMultiLvlLbl val="0"/>
      </c:catAx>
      <c:valAx>
        <c:axId val="55170829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868013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0653868085915225"/>
          <c:y val="0.022846470693581"/>
        </c:manualLayout>
      </c:layout>
      <c:overlay val="0"/>
      <c:spPr>
        <a:noFill/>
        <a:ln>
          <a:noFill/>
        </a:ln>
        <a:effectLst/>
      </c:spPr>
    </c:title>
    <c:autoTitleDeleted val="0"/>
    <c:plotArea>
      <c:layout>
        <c:manualLayout>
          <c:layoutTarget val="inner"/>
          <c:xMode val="edge"/>
          <c:yMode val="edge"/>
          <c:x val="0.058544689334367"/>
          <c:y val="0.255962378233121"/>
          <c:w val="0.915981836305239"/>
          <c:h val="0.581592206919718"/>
        </c:manualLayout>
      </c:layout>
      <c:barChart>
        <c:barDir val="col"/>
        <c:grouping val="clustered"/>
        <c:varyColors val="0"/>
        <c:ser>
          <c:idx val="0"/>
          <c:order val="0"/>
          <c:spPr>
            <a:solidFill>
              <a:schemeClr val="accent1"/>
            </a:solidFill>
            <a:ln>
              <a:noFill/>
            </a:ln>
            <a:effectLst/>
          </c:spPr>
          <c:invertIfNegative val="0"/>
          <c:dLbls>
            <c:delete val="1"/>
          </c:dLbls>
          <c:cat>
            <c:strRef>
              <c:f>[决算公开分析图表.xls]Sheet1!$A$116:$B$116</c:f>
              <c:strCache>
                <c:ptCount val="2"/>
                <c:pt idx="0">
                  <c:v>2024年</c:v>
                </c:pt>
                <c:pt idx="1">
                  <c:v>2025年</c:v>
                </c:pt>
              </c:strCache>
            </c:strRef>
          </c:cat>
          <c:val>
            <c:numRef>
              <c:f>[决算公开分析图表.xls]Sheet1!$A$117:$B$117</c:f>
              <c:numCache>
                <c:formatCode>General</c:formatCode>
                <c:ptCount val="2"/>
                <c:pt idx="0">
                  <c:v>207.19</c:v>
                </c:pt>
                <c:pt idx="1" c:formatCode="#,##0.00">
                  <c:v>196.34</c:v>
                </c:pt>
              </c:numCache>
            </c:numRef>
          </c:val>
        </c:ser>
        <c:dLbls>
          <c:showLegendKey val="0"/>
          <c:showVal val="0"/>
          <c:showCatName val="0"/>
          <c:showSerName val="0"/>
          <c:showPercent val="0"/>
          <c:showBubbleSize val="0"/>
        </c:dLbls>
        <c:gapWidth val="219"/>
        <c:overlap val="-27"/>
        <c:axId val="226556663"/>
        <c:axId val="879498769"/>
      </c:barChart>
      <c:catAx>
        <c:axId val="22655666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9498769"/>
        <c:crosses val="autoZero"/>
        <c:auto val="1"/>
        <c:lblAlgn val="ctr"/>
        <c:lblOffset val="100"/>
        <c:noMultiLvlLbl val="0"/>
      </c:catAx>
      <c:valAx>
        <c:axId val="879498769"/>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65566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62923053574139"/>
          <c:y val="0.0421348314606742"/>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Lbls>
            <c:delete val="1"/>
          </c:dLbls>
          <c:cat>
            <c:strRef>
              <c:f>[决算公开分析图表.xls]Sheet1!$C$140:$C$143</c:f>
              <c:strCache>
                <c:ptCount val="4"/>
                <c:pt idx="0">
                  <c:v>社会保障和就业支出</c:v>
                </c:pt>
                <c:pt idx="1">
                  <c:v>卫生健康支出</c:v>
                </c:pt>
                <c:pt idx="2">
                  <c:v>住房保障支出</c:v>
                </c:pt>
                <c:pt idx="3">
                  <c:v>一般公共服务支出</c:v>
                </c:pt>
              </c:strCache>
            </c:strRef>
          </c:cat>
          <c:val>
            <c:numRef>
              <c:f>[决算公开分析图表.xls]Sheet1!$D$140:$D$143</c:f>
              <c:numCache>
                <c:formatCode>General</c:formatCode>
                <c:ptCount val="4"/>
                <c:pt idx="0">
                  <c:v>27.81</c:v>
                </c:pt>
                <c:pt idx="1">
                  <c:v>10.07</c:v>
                </c:pt>
                <c:pt idx="2" c:formatCode="#,##0.00">
                  <c:v>15.36</c:v>
                </c:pt>
                <c:pt idx="3" c:formatCode="#,##0.00">
                  <c:v>153.95</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“三公”经费财政拨款支出结构</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dPt>
          <c:dPt>
            <c:idx val="4"/>
            <c:bubble3D val="0"/>
            <c:explosion val="0"/>
          </c:dPt>
          <c:dLbls>
            <c:delete val="1"/>
          </c:dLbls>
          <c:cat>
            <c:strRef>
              <c:f>[决算公开分析图表.xls]Sheet1!$A$163:$A$167</c:f>
              <c:strCache>
                <c:ptCount val="5"/>
                <c:pt idx="0">
                  <c:v>因公出国（境）费</c:v>
                </c:pt>
                <c:pt idx="1">
                  <c:v>公务接待费</c:v>
                </c:pt>
                <c:pt idx="2">
                  <c:v>公务用车购置及运行维护费</c:v>
                </c:pt>
                <c:pt idx="3">
                  <c:v>其中：购置费</c:v>
                </c:pt>
                <c:pt idx="4">
                  <c:v>       运行费</c:v>
                </c:pt>
              </c:strCache>
            </c:strRef>
          </c:cat>
          <c:val>
            <c:numRef>
              <c:f>[决算公开分析图表.xls]Sheet1!$B$163:$B$167</c:f>
              <c:numCache>
                <c:formatCode>General</c:formatCode>
                <c:ptCount val="5"/>
                <c:pt idx="0">
                  <c:v>0</c:v>
                </c:pt>
                <c:pt idx="1">
                  <c:v>0</c:v>
                </c:pt>
                <c:pt idx="2">
                  <c:v>0</c:v>
                </c:pt>
                <c:pt idx="4">
                  <c:v>3.95</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609244273762172"/>
          <c:y val="0.327893931667517"/>
          <c:w val="0.35175"/>
          <c:h val="0.6397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10A26A-4F96-4E33-A4F8-80E1B883F3E0}">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6038</Words>
  <Characters>6601</Characters>
  <Lines>1</Lines>
  <Paragraphs>1</Paragraphs>
  <TotalTime>40</TotalTime>
  <ScaleCrop>false</ScaleCrop>
  <LinksUpToDate>false</LinksUpToDate>
  <CharactersWithSpaces>6661</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2021-08-07T01:38:00Z</dcterms:created>
  <dc:creator>曹颖</dc:creator>
  <cp:lastModifiedBy>user</cp:lastModifiedBy>
  <cp:lastPrinted>2021-07-29T19:56:00Z</cp:lastPrinted>
  <dcterms:modified xsi:type="dcterms:W3CDTF">2026-10-27T15:40:52Z</dcterms:modified>
  <dc:title>阿坝州部门决算说明</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8B10F41522894992A9BEEED8A9A7BDC4_13</vt:lpwstr>
  </property>
  <property fmtid="{D5CDD505-2E9C-101B-9397-08002B2CF9AE}" pid="4" name="KSOTemplateDocerSaveRecord">
    <vt:lpwstr>eyJoZGlkIjoiNGU5YTk2NWU3OTRhNTU0YjZlNWE0ODExMjY4YzM0MTgiLCJ1c2VySWQiOiI4OTIzOTU0NjkifQ==</vt:lpwstr>
  </property>
</Properties>
</file>