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ind w:left="0" w:leftChars="0" w:firstLine="0" w:firstLineChars="0"/>
        <w:rPr>
          <w:rFonts w:hint="eastAsia" w:ascii="Times New Roman" w:hAnsi="Times New Roman" w:eastAsia="方正小标宋简体" w:cs="Times New Roman"/>
          <w:color w:val="auto"/>
          <w:kern w:val="2"/>
          <w:sz w:val="44"/>
          <w:szCs w:val="44"/>
          <w:highlight w:val="none"/>
          <w:lang w:val="en-US" w:eastAsia="zh-CN" w:bidi="ar-SA"/>
        </w:rPr>
      </w:pPr>
      <w:bookmarkStart w:id="62" w:name="_GoBack"/>
      <w:bookmarkEnd w:id="62"/>
    </w:p>
    <w:p>
      <w:pPr>
        <w:pStyle w:val="6"/>
        <w:rPr>
          <w:rFonts w:hint="eastAsia"/>
          <w:lang w:val="en-US" w:eastAsia="zh-CN"/>
        </w:rPr>
      </w:pPr>
    </w:p>
    <w:p>
      <w:pPr>
        <w:pStyle w:val="5"/>
        <w:jc w:val="center"/>
        <w:rPr>
          <w:rFonts w:hint="eastAsia" w:ascii="黑体" w:hAnsi="黑体" w:eastAsia="黑体" w:cs="黑体"/>
          <w:kern w:val="2"/>
          <w:sz w:val="56"/>
          <w:szCs w:val="56"/>
          <w:lang w:val="en-US" w:eastAsia="zh-CN" w:bidi="ar-SA"/>
        </w:rPr>
      </w:pPr>
      <w:r>
        <w:rPr>
          <w:rFonts w:hint="eastAsia" w:ascii="黑体" w:hAnsi="黑体" w:eastAsia="黑体" w:cs="黑体"/>
          <w:kern w:val="2"/>
          <w:sz w:val="56"/>
          <w:szCs w:val="56"/>
          <w:lang w:val="en-US" w:eastAsia="zh-CN" w:bidi="ar-SA"/>
        </w:rPr>
        <w:t>阿坝州壤塘县</w:t>
      </w:r>
    </w:p>
    <w:p>
      <w:pPr>
        <w:pStyle w:val="5"/>
        <w:jc w:val="center"/>
        <w:rPr>
          <w:rFonts w:hint="eastAsia" w:ascii="黑体" w:hAnsi="黑体" w:eastAsia="黑体" w:cs="黑体"/>
          <w:kern w:val="2"/>
          <w:sz w:val="56"/>
          <w:szCs w:val="56"/>
          <w:lang w:val="en-US" w:eastAsia="zh-CN" w:bidi="ar-SA"/>
        </w:rPr>
      </w:pPr>
      <w:r>
        <w:rPr>
          <w:rFonts w:hint="eastAsia" w:ascii="黑体" w:hAnsi="黑体" w:eastAsia="黑体" w:cs="黑体"/>
          <w:kern w:val="2"/>
          <w:sz w:val="56"/>
          <w:szCs w:val="56"/>
          <w:lang w:val="en-US" w:eastAsia="zh-CN" w:bidi="ar-SA"/>
        </w:rPr>
        <w:t>2025年度壤塘县鱼托寺庙管理委员会部门决算公开</w:t>
      </w: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both"/>
        <w:rPr>
          <w:rFonts w:hint="eastAsia" w:ascii="Times New Roman" w:hAnsi="Times New Roman" w:eastAsia="黑体"/>
          <w:color w:val="auto"/>
          <w:sz w:val="48"/>
          <w:szCs w:val="48"/>
          <w:highlight w:val="none"/>
        </w:rPr>
      </w:pPr>
    </w:p>
    <w:p>
      <w:pPr>
        <w:jc w:val="center"/>
        <w:rPr>
          <w:rFonts w:hint="eastAsia" w:ascii="Times New Roman" w:hAnsi="Times New Roman" w:eastAsia="黑体"/>
          <w:color w:val="auto"/>
          <w:sz w:val="48"/>
          <w:szCs w:val="48"/>
          <w:highlight w:val="none"/>
        </w:rPr>
      </w:pPr>
      <w:r>
        <w:rPr>
          <w:rFonts w:hint="eastAsia" w:ascii="黑体" w:hAnsi="黑体" w:eastAsia="黑体" w:cs="黑体"/>
          <w:sz w:val="52"/>
          <w:szCs w:val="52"/>
          <w:lang w:eastAsia="zh-CN"/>
        </w:rPr>
        <w:t>202</w:t>
      </w:r>
      <w:r>
        <w:rPr>
          <w:rFonts w:hint="eastAsia" w:ascii="黑体" w:hAnsi="黑体" w:eastAsia="黑体" w:cs="黑体"/>
          <w:sz w:val="52"/>
          <w:szCs w:val="52"/>
          <w:lang w:val="en-US" w:eastAsia="zh-CN"/>
        </w:rPr>
        <w:t>6</w:t>
      </w:r>
      <w:r>
        <w:rPr>
          <w:rFonts w:hint="eastAsia" w:ascii="黑体" w:hAnsi="黑体" w:eastAsia="黑体" w:cs="黑体"/>
          <w:sz w:val="52"/>
          <w:szCs w:val="52"/>
        </w:rPr>
        <w:t>年</w:t>
      </w:r>
      <w:r>
        <w:rPr>
          <w:rFonts w:hint="eastAsia" w:ascii="黑体" w:hAnsi="黑体" w:eastAsia="黑体" w:cs="黑体"/>
          <w:sz w:val="52"/>
          <w:szCs w:val="52"/>
          <w:lang w:val="en-US" w:eastAsia="zh-CN"/>
        </w:rPr>
        <w:t>10</w:t>
      </w:r>
      <w:r>
        <w:rPr>
          <w:rFonts w:hint="eastAsia" w:ascii="黑体" w:hAnsi="黑体" w:eastAsia="黑体" w:cs="黑体"/>
          <w:sz w:val="52"/>
          <w:szCs w:val="52"/>
        </w:rPr>
        <w:t>月</w:t>
      </w:r>
      <w:r>
        <w:rPr>
          <w:rFonts w:hint="eastAsia" w:ascii="黑体" w:hAnsi="黑体" w:eastAsia="黑体" w:cs="黑体"/>
          <w:sz w:val="52"/>
          <w:szCs w:val="52"/>
          <w:lang w:val="en-US" w:eastAsia="zh-CN"/>
        </w:rPr>
        <w:t>20</w:t>
      </w:r>
      <w:r>
        <w:rPr>
          <w:rFonts w:hint="eastAsia" w:ascii="黑体" w:hAnsi="黑体" w:eastAsia="黑体" w:cs="黑体"/>
          <w:sz w:val="52"/>
          <w:szCs w:val="52"/>
        </w:rPr>
        <w:t>日</w:t>
      </w:r>
    </w:p>
    <w:p>
      <w:pPr>
        <w:widowControl/>
        <w:jc w:val="both"/>
        <w:rPr>
          <w:rFonts w:hint="eastAsia" w:ascii="Times New Roman" w:hAnsi="Times New Roman" w:eastAsia="黑体"/>
          <w:color w:val="auto"/>
          <w:sz w:val="48"/>
          <w:szCs w:val="48"/>
          <w:highlight w:val="none"/>
        </w:rPr>
      </w:pPr>
    </w:p>
    <w:p>
      <w:pPr>
        <w:widowControl/>
        <w:jc w:val="both"/>
        <w:rPr>
          <w:rFonts w:hint="eastAsia" w:ascii="Times New Roman" w:hAnsi="Times New Roman" w:eastAsia="黑体"/>
          <w:color w:val="auto"/>
          <w:sz w:val="48"/>
          <w:szCs w:val="48"/>
          <w:highlight w:val="none"/>
        </w:rPr>
      </w:pPr>
    </w:p>
    <w:p>
      <w:pPr>
        <w:widowControl/>
        <w:jc w:val="both"/>
        <w:rPr>
          <w:rFonts w:hint="eastAsia" w:ascii="Times New Roman" w:hAnsi="Times New Roman" w:eastAsia="黑体"/>
          <w:color w:val="auto"/>
          <w:sz w:val="48"/>
          <w:szCs w:val="48"/>
          <w:highlight w:val="none"/>
        </w:rPr>
      </w:pPr>
    </w:p>
    <w:p>
      <w:pPr>
        <w:widowControl/>
        <w:jc w:val="both"/>
        <w:rPr>
          <w:rFonts w:hint="eastAsia" w:ascii="Times New Roman" w:hAnsi="Times New Roman" w:eastAsia="黑体"/>
          <w:color w:val="auto"/>
          <w:sz w:val="48"/>
          <w:szCs w:val="48"/>
          <w:highlight w:val="none"/>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20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0" w:name="_Toc15377196"/>
      <w:bookmarkStart w:id="1" w:name="_Toc15396599"/>
      <w:r>
        <w:rPr>
          <w:rFonts w:hint="eastAsia" w:ascii="Times New Roman" w:hAnsi="Times New Roman" w:eastAsia="仿宋_GB2312" w:cs="仿宋_GB2312"/>
          <w:b/>
          <w:color w:val="auto"/>
          <w:sz w:val="32"/>
          <w:szCs w:val="32"/>
          <w:highlight w:val="none"/>
        </w:rPr>
        <w:br w:type="page"/>
      </w:r>
    </w:p>
    <w:p>
      <w:pPr>
        <w:pStyle w:val="2"/>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0"/>
      <w:bookmarkEnd w:id="1"/>
    </w:p>
    <w:p>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bookmarkStart w:id="2" w:name="_Toc15377199"/>
      <w:bookmarkStart w:id="3" w:name="_Toc5516"/>
      <w:bookmarkStart w:id="4" w:name="_Toc15378446"/>
    </w:p>
    <w:p>
      <w:pPr>
        <w:pStyle w:val="3"/>
        <w:numPr>
          <w:ilvl w:val="0"/>
          <w:numId w:val="0"/>
        </w:numPr>
        <w:ind w:firstLine="642" w:firstLineChars="200"/>
        <w:rPr>
          <w:rFonts w:hint="eastAsia"/>
          <w:lang w:eastAsia="zh-CN"/>
        </w:rPr>
      </w:pPr>
      <w:r>
        <w:rPr>
          <w:rFonts w:hint="eastAsia" w:ascii="仿宋" w:hAnsi="仿宋" w:eastAsia="仿宋" w:cs="Times New Roman"/>
          <w:bCs/>
          <w:color w:val="000000"/>
          <w:kern w:val="0"/>
          <w:sz w:val="32"/>
          <w:szCs w:val="32"/>
          <w:lang w:val="zh-CN" w:eastAsia="zh-CN" w:bidi="ar-SA"/>
        </w:rPr>
        <w:t>认真贯彻落实党的宗教工作方针政策和国家、省、州宗教事务法律法规条例,依法开展宗教事务管理工作,落实上级宗教工作决策部署,加强对所在乡、村(社区)宗教人士、宗教活动、宗教场所、信教群众的教育管理服务,充分发挥宗教人士的作用,做好信教群众工作,确保宗教活动依法依规规范有序,促进宗教与社会主义社会相适应</w:t>
      </w:r>
      <w:r>
        <w:rPr>
          <w:rFonts w:ascii="Times New Roman" w:hAnsi="Times New Roman" w:eastAsia="仿宋_GB2312" w:cs="Times New Roman"/>
          <w:sz w:val="32"/>
          <w:szCs w:val="32"/>
        </w:rPr>
        <w:t>。</w:t>
      </w:r>
      <w:bookmarkEnd w:id="2"/>
      <w:bookmarkEnd w:id="3"/>
      <w:bookmarkEnd w:id="4"/>
    </w:p>
    <w:p>
      <w:pPr>
        <w:pStyle w:val="3"/>
        <w:numPr>
          <w:ilvl w:val="0"/>
          <w:numId w:val="1"/>
        </w:numPr>
        <w:ind w:left="0" w:leftChars="0" w:firstLine="0" w:firstLineChars="0"/>
        <w:rPr>
          <w:rStyle w:val="30"/>
          <w:rFonts w:hint="eastAsia" w:ascii="Times New Roman" w:hAnsi="Times New Roman" w:eastAsia="黑体"/>
          <w:b w:val="0"/>
          <w:bCs w:val="0"/>
          <w:color w:val="auto"/>
          <w:highlight w:val="none"/>
        </w:rPr>
      </w:pPr>
      <w:bookmarkStart w:id="5" w:name="_Toc15396601"/>
      <w:bookmarkStart w:id="6" w:name="_Toc15377200"/>
      <w:r>
        <w:rPr>
          <w:rFonts w:hint="eastAsia" w:ascii="Times New Roman" w:hAnsi="Times New Roman" w:eastAsia="黑体"/>
          <w:b w:val="0"/>
          <w:color w:val="auto"/>
          <w:highlight w:val="none"/>
        </w:rPr>
        <w:t>机</w:t>
      </w:r>
      <w:r>
        <w:rPr>
          <w:rStyle w:val="30"/>
          <w:rFonts w:hint="eastAsia" w:ascii="Times New Roman" w:hAnsi="Times New Roman" w:eastAsia="黑体"/>
          <w:b w:val="0"/>
          <w:bCs w:val="0"/>
          <w:color w:val="auto"/>
          <w:highlight w:val="none"/>
        </w:rPr>
        <w:t>构设置</w:t>
      </w:r>
      <w:bookmarkEnd w:id="5"/>
      <w:bookmarkEnd w:id="6"/>
    </w:p>
    <w:p>
      <w:pPr>
        <w:pStyle w:val="3"/>
        <w:numPr>
          <w:ilvl w:val="0"/>
          <w:numId w:val="0"/>
        </w:numPr>
        <w:ind w:leftChars="0" w:firstLine="642" w:firstLineChars="200"/>
        <w:rPr>
          <w:rFonts w:ascii="Times New Roman" w:hAnsi="Times New Roman" w:eastAsia="仿宋"/>
          <w:color w:val="auto"/>
          <w:kern w:val="0"/>
          <w:sz w:val="32"/>
          <w:szCs w:val="32"/>
          <w:highlight w:val="none"/>
        </w:rPr>
      </w:pPr>
      <w:r>
        <w:rPr>
          <w:rFonts w:hint="eastAsia" w:ascii="仿宋" w:hAnsi="仿宋" w:eastAsia="仿宋"/>
          <w:sz w:val="32"/>
          <w:szCs w:val="32"/>
          <w:lang w:val="en-US" w:eastAsia="zh-CN"/>
        </w:rPr>
        <w:t>壤塘县鱼托寺寺庙管理委员会无下属二级单位，基本性质为行政单位，</w:t>
      </w:r>
      <w:r>
        <w:rPr>
          <w:rFonts w:hint="eastAsia" w:ascii="仿宋_GB2312" w:hAnsi="仿宋_GB2312" w:eastAsia="仿宋_GB2312" w:cs="仿宋_GB2312"/>
          <w:color w:val="auto"/>
          <w:sz w:val="32"/>
          <w:szCs w:val="32"/>
          <w:lang w:eastAsia="zh-CN"/>
        </w:rPr>
        <w:t>鱼托寺寺庙管理委员会</w:t>
      </w:r>
      <w:r>
        <w:rPr>
          <w:rFonts w:hint="eastAsia" w:ascii="仿宋_GB2312" w:hAnsi="仿宋_GB2312" w:eastAsia="仿宋_GB2312" w:cs="仿宋_GB2312"/>
          <w:color w:val="auto"/>
          <w:sz w:val="32"/>
          <w:szCs w:val="32"/>
          <w:lang w:val="en-US" w:eastAsia="zh-CN"/>
        </w:rPr>
        <w:t>共</w:t>
      </w:r>
      <w:r>
        <w:rPr>
          <w:rFonts w:hint="eastAsia" w:ascii="仿宋_GB2312" w:hAnsi="仿宋_GB2312" w:eastAsia="仿宋_GB2312" w:cs="仿宋_GB2312"/>
          <w:color w:val="auto"/>
          <w:sz w:val="32"/>
          <w:szCs w:val="32"/>
        </w:rPr>
        <w:t>有</w:t>
      </w:r>
      <w:r>
        <w:rPr>
          <w:rFonts w:hint="eastAsia" w:ascii="仿宋_GB2312" w:hAnsi="仿宋_GB2312" w:eastAsia="仿宋_GB2312" w:cs="仿宋_GB2312"/>
          <w:color w:val="auto"/>
          <w:sz w:val="32"/>
          <w:szCs w:val="32"/>
          <w:lang w:val="en-US" w:eastAsia="zh-CN"/>
        </w:rPr>
        <w:t>4个股室，分别为综合办、社会化服务科、宗教管理科、法治宣传科</w:t>
      </w:r>
      <w:r>
        <w:rPr>
          <w:rFonts w:hint="eastAsia" w:ascii="仿宋_GB2312" w:hAnsi="仿宋_GB2312" w:eastAsia="仿宋_GB2312" w:cs="仿宋_GB2312"/>
          <w:color w:val="auto"/>
          <w:sz w:val="32"/>
          <w:szCs w:val="32"/>
        </w:rPr>
        <w:t>。</w:t>
      </w:r>
    </w:p>
    <w:p>
      <w:pPr>
        <w:pStyle w:val="2"/>
        <w:jc w:val="both"/>
        <w:rPr>
          <w:rFonts w:hint="eastAsia" w:ascii="Times New Roman" w:hAnsi="Times New Roman" w:eastAsia="方正小标宋简体" w:cs="方正小标宋简体"/>
          <w:b w:val="0"/>
          <w:color w:val="auto"/>
          <w:highlight w:val="none"/>
        </w:rPr>
      </w:pPr>
      <w:bookmarkStart w:id="7" w:name="_Toc15396602"/>
      <w:bookmarkStart w:id="8"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7"/>
      <w:bookmarkEnd w:id="8"/>
      <w:bookmarkStart w:id="9" w:name="_Toc15396603"/>
      <w:bookmarkStart w:id="10" w:name="_Toc15377205"/>
    </w:p>
    <w:p>
      <w:pPr>
        <w:pStyle w:val="2"/>
        <w:jc w:val="both"/>
        <w:rPr>
          <w:rFonts w:hint="eastAsia" w:eastAsia="仿宋_GB2312" w:cs="仿宋_GB2312"/>
          <w:color w:val="auto"/>
          <w:sz w:val="32"/>
          <w:szCs w:val="32"/>
          <w:highlight w:val="none"/>
          <w:lang w:eastAsia="zh-CN"/>
        </w:rPr>
      </w:pPr>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bCs/>
          <w:color w:val="auto"/>
          <w:highlight w:val="none"/>
        </w:rPr>
        <w:t>入支出决算总体情况说明</w:t>
      </w:r>
      <w:bookmarkEnd w:id="9"/>
      <w:bookmarkEnd w:id="10"/>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w:t>
      </w:r>
      <w:r>
        <w:rPr>
          <w:rFonts w:hint="eastAsia" w:ascii="仿宋_GB2312" w:hAnsi="仿宋_GB2312" w:eastAsia="仿宋_GB2312" w:cs="仿宋_GB2312"/>
          <w:sz w:val="32"/>
          <w:szCs w:val="32"/>
          <w:lang w:eastAsia="zh-CN"/>
        </w:rPr>
        <w:t>入</w:t>
      </w:r>
      <w:r>
        <w:rPr>
          <w:rFonts w:hint="eastAsia" w:ascii="仿宋_GB2312" w:hAnsi="仿宋_GB2312" w:eastAsia="仿宋_GB2312" w:cs="仿宋_GB2312"/>
          <w:sz w:val="32"/>
          <w:szCs w:val="32"/>
        </w:rPr>
        <w:t>总计</w:t>
      </w:r>
      <w:r>
        <w:rPr>
          <w:rFonts w:hint="eastAsia" w:ascii="仿宋_GB2312" w:hAnsi="仿宋_GB2312" w:eastAsia="仿宋_GB2312" w:cs="仿宋_GB2312"/>
          <w:sz w:val="32"/>
          <w:szCs w:val="32"/>
          <w:lang w:val="en-US" w:eastAsia="zh-CN"/>
        </w:rPr>
        <w:t>347.37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支出总计347.37万元</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年相比，收</w:t>
      </w:r>
      <w:r>
        <w:rPr>
          <w:rFonts w:hint="eastAsia" w:ascii="仿宋_GB2312" w:hAnsi="仿宋_GB2312" w:eastAsia="仿宋_GB2312" w:cs="仿宋_GB2312"/>
          <w:sz w:val="32"/>
          <w:szCs w:val="32"/>
          <w:lang w:val="en-US" w:eastAsia="zh-CN"/>
        </w:rPr>
        <w:t>入</w:t>
      </w:r>
      <w:r>
        <w:rPr>
          <w:rFonts w:hint="eastAsia" w:ascii="仿宋_GB2312" w:hAnsi="仿宋_GB2312" w:eastAsia="仿宋_GB2312" w:cs="仿宋_GB2312"/>
          <w:sz w:val="32"/>
          <w:szCs w:val="32"/>
        </w:rPr>
        <w:t>总计</w:t>
      </w:r>
      <w:r>
        <w:rPr>
          <w:rFonts w:hint="eastAsia" w:ascii="Times New Roman" w:hAnsi="Times New Roman" w:eastAsia="仿宋_GB2312" w:cs="仿宋_GB2312"/>
          <w:color w:val="auto"/>
          <w:sz w:val="32"/>
          <w:szCs w:val="32"/>
          <w:highlight w:val="none"/>
        </w:rPr>
        <w:t>增加</w:t>
      </w:r>
      <w:r>
        <w:rPr>
          <w:rFonts w:hint="eastAsia" w:ascii="仿宋_GB2312" w:hAnsi="仿宋_GB2312" w:eastAsia="仿宋_GB2312" w:cs="仿宋_GB2312"/>
          <w:sz w:val="32"/>
          <w:szCs w:val="32"/>
          <w:lang w:val="en-US" w:eastAsia="zh-CN"/>
        </w:rPr>
        <w:t>20.56</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sz w:val="32"/>
          <w:szCs w:val="32"/>
          <w:highlight w:val="none"/>
        </w:rPr>
        <w:t>增长</w:t>
      </w:r>
      <w:r>
        <w:rPr>
          <w:rFonts w:hint="eastAsia" w:ascii="仿宋_GB2312" w:hAnsi="仿宋_GB2312" w:eastAsia="仿宋_GB2312" w:cs="仿宋_GB2312"/>
          <w:sz w:val="32"/>
          <w:szCs w:val="32"/>
          <w:lang w:val="en-US" w:eastAsia="zh-CN"/>
        </w:rPr>
        <w:t>6.29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支出</w:t>
      </w:r>
      <w:r>
        <w:rPr>
          <w:rFonts w:hint="eastAsia" w:ascii="仿宋_GB2312" w:hAnsi="仿宋_GB2312" w:eastAsia="仿宋_GB2312" w:cs="仿宋_GB2312"/>
          <w:sz w:val="32"/>
          <w:szCs w:val="32"/>
        </w:rPr>
        <w:t>总计</w:t>
      </w:r>
      <w:r>
        <w:rPr>
          <w:rFonts w:hint="eastAsia" w:ascii="仿宋_GB2312" w:hAnsi="仿宋_GB2312" w:eastAsia="仿宋_GB2312" w:cs="仿宋_GB2312"/>
          <w:sz w:val="32"/>
          <w:szCs w:val="32"/>
          <w:lang w:val="en-US" w:eastAsia="zh-CN"/>
        </w:rPr>
        <w:t>减少20.56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下降6.29</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单位人员及项目减少，导致收入支出减少。</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872990" cy="2743200"/>
            <wp:effectExtent l="4445" t="4445" r="1841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1" w:name="_Toc15396604"/>
      <w:bookmarkStart w:id="12" w:name="_Toc15377206"/>
      <w:r>
        <w:rPr>
          <w:rFonts w:hint="eastAsia" w:ascii="Times New Roman" w:hAnsi="Times New Roman" w:eastAsia="黑体"/>
          <w:color w:val="auto"/>
          <w:sz w:val="32"/>
          <w:szCs w:val="32"/>
          <w:highlight w:val="none"/>
          <w:lang w:eastAsia="zh-CN"/>
        </w:rPr>
        <w:t>二、收入决算情况说明</w:t>
      </w:r>
      <w:bookmarkEnd w:id="11"/>
      <w:bookmarkEnd w:id="12"/>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347.37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347.37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59264" behindDoc="0" locked="0" layoutInCell="1" allowOverlap="1">
            <wp:simplePos x="0" y="0"/>
            <wp:positionH relativeFrom="column">
              <wp:posOffset>23495</wp:posOffset>
            </wp:positionH>
            <wp:positionV relativeFrom="paragraph">
              <wp:posOffset>128270</wp:posOffset>
            </wp:positionV>
            <wp:extent cx="5339715" cy="2743200"/>
            <wp:effectExtent l="4445" t="4445" r="8890" b="14605"/>
            <wp:wrapNone/>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3" w:name="_Toc15377207"/>
      <w:bookmarkStart w:id="14"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3"/>
      <w:bookmarkEnd w:id="14"/>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347.37</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337.37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97.12</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2.88</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b/>
          <w:bCs/>
          <w:color w:val="auto"/>
          <w:sz w:val="32"/>
          <w:szCs w:val="32"/>
          <w:highlight w:val="none"/>
          <w:lang w:eastAsia="zh-CN"/>
        </w:rPr>
      </w:pPr>
      <w:r>
        <w:drawing>
          <wp:anchor distT="0" distB="0" distL="114300" distR="114300" simplePos="0" relativeHeight="251660288" behindDoc="1" locked="0" layoutInCell="1" allowOverlap="1">
            <wp:simplePos x="0" y="0"/>
            <wp:positionH relativeFrom="column">
              <wp:posOffset>175895</wp:posOffset>
            </wp:positionH>
            <wp:positionV relativeFrom="paragraph">
              <wp:posOffset>252095</wp:posOffset>
            </wp:positionV>
            <wp:extent cx="5006975" cy="2743200"/>
            <wp:effectExtent l="4445" t="4445" r="17780" b="14605"/>
            <wp:wrapNone/>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bookmarkStart w:id="15" w:name="_Toc15396606"/>
      <w:bookmarkStart w:id="16"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5"/>
      <w:bookmarkEnd w:id="16"/>
    </w:p>
    <w:p>
      <w:pPr>
        <w:spacing w:line="600" w:lineRule="exact"/>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度财政拨款收入总计347.37万元，财政拨款支出总计347.37万元。与2024年相比，财政拨款收入总计增加20.56万元，增长6.29%；财政拨款支出总计增加20.56万元，增长6.29%。主要变动原因：一是人员经费等刚性支出有所增长，基本工资、津贴补贴、社会保障缴费、住房公积金等工资福利支出相应增加；二是寺庙管理、宗教事务服务保障、民族团结宣传教育等工作任务落实，公用经费及专项业务保障投入加大，保障本单位各项职能正常履行。</w:t>
      </w:r>
    </w:p>
    <w:p>
      <w:pPr>
        <w:spacing w:line="240" w:lineRule="auto"/>
        <w:ind w:firstLine="0"/>
        <w:rPr>
          <w:rFonts w:hint="eastAsia" w:ascii="仿宋_GB2312" w:hAnsi="仿宋_GB2312" w:eastAsia="仿宋_GB2312" w:cs="仿宋_GB2312"/>
          <w:sz w:val="32"/>
          <w:szCs w:val="32"/>
          <w:lang w:val="en-US" w:eastAsia="zh-CN"/>
        </w:rPr>
      </w:pPr>
      <w:r>
        <w:drawing>
          <wp:inline distT="0" distB="0" distL="114300" distR="114300">
            <wp:extent cx="5330190" cy="2800350"/>
            <wp:effectExtent l="4445" t="4445" r="1841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outlineLvl w:val="1"/>
        <w:rPr>
          <w:rStyle w:val="30"/>
          <w:rFonts w:ascii="Times New Roman" w:hAnsi="Times New Roman" w:eastAsia="黑体"/>
          <w:b w:val="0"/>
          <w:color w:val="auto"/>
          <w:highlight w:val="none"/>
        </w:rPr>
      </w:pPr>
      <w:bookmarkStart w:id="17" w:name="_Toc15377209"/>
      <w:bookmarkStart w:id="18"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17"/>
      <w:bookmarkEnd w:id="1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1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19"/>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347.37万元，占本年支出合计的100%。与2024年度相比，一般公共预算财政拨款支出增加20.56万元，增长6.29%。主要变动原因：一是工资福利等人员刚性支出增加；二是为扎实做好寺庙管理、宗教领域服务保障、民族团结进步宣传等各项工作，相应增加了公用及业务经费投入，保障各项工作有序开展。</w:t>
      </w:r>
    </w:p>
    <w:p>
      <w:pPr>
        <w:spacing w:line="240" w:lineRule="auto"/>
        <w:ind w:firstLine="0"/>
        <w:rPr>
          <w:rFonts w:hint="eastAsia" w:eastAsia="仿宋_GB2312" w:cs="仿宋_GB2312"/>
          <w:color w:val="auto"/>
          <w:kern w:val="2"/>
          <w:sz w:val="32"/>
          <w:szCs w:val="32"/>
          <w:highlight w:val="none"/>
          <w:lang w:val="en-US" w:eastAsia="zh-CN" w:bidi="ar-SA"/>
        </w:rPr>
      </w:pPr>
      <w:r>
        <w:drawing>
          <wp:inline distT="0" distB="0" distL="114300" distR="114300">
            <wp:extent cx="5283200" cy="2248535"/>
            <wp:effectExtent l="4445" t="4445" r="8255" b="13970"/>
            <wp:docPr id="1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0"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0"/>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2025年度一般公共预算财政拨款支出347.37万元，主要用于以下方面：一般公共服务支出261.37万元，占75.24%；社会保障和就业支出45.27万元，占13.03%；卫生健康支出15.31万元，占4.41%；住房保障支出25.42万元，占7.32%；</w:t>
      </w:r>
    </w:p>
    <w:p>
      <w:pPr>
        <w:spacing w:line="240" w:lineRule="auto"/>
        <w:ind w:firstLine="0"/>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5245100" cy="2514600"/>
            <wp:effectExtent l="4445" t="4445" r="825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1"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1"/>
    </w:p>
    <w:p>
      <w:pPr>
        <w:ind w:firstLine="642" w:firstLineChars="200"/>
        <w:rPr>
          <w:rFonts w:hint="eastAsia" w:ascii="仿宋_GB2312" w:hAnsi="仿宋_GB2312" w:eastAsia="仿宋_GB2312" w:cs="仿宋_GB2312"/>
          <w:b/>
          <w:bCs/>
          <w:sz w:val="32"/>
          <w:szCs w:val="32"/>
        </w:rPr>
      </w:pPr>
      <w:bookmarkStart w:id="22" w:name="_Toc25701"/>
      <w:bookmarkStart w:id="23" w:name="_Toc20654"/>
      <w:bookmarkStart w:id="24" w:name="_Toc15377213"/>
      <w:bookmarkStart w:id="25" w:name="_Toc15377444"/>
      <w:bookmarkStart w:id="26" w:name="_Toc15378460"/>
      <w:r>
        <w:rPr>
          <w:rFonts w:hint="eastAsia" w:ascii="仿宋_GB2312" w:hAnsi="仿宋_GB2312" w:eastAsia="仿宋_GB2312" w:cs="仿宋_GB2312"/>
          <w:b/>
          <w:bCs/>
          <w:sz w:val="32"/>
          <w:szCs w:val="32"/>
          <w:lang w:eastAsia="zh-CN"/>
        </w:rPr>
        <w:t>202</w:t>
      </w: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年一般公共预算支出决算数为</w:t>
      </w:r>
      <w:r>
        <w:rPr>
          <w:rFonts w:hint="eastAsia" w:ascii="仿宋_GB2312" w:hAnsi="仿宋_GB2312" w:eastAsia="仿宋_GB2312" w:cs="仿宋_GB2312"/>
          <w:b/>
          <w:bCs/>
          <w:sz w:val="32"/>
          <w:szCs w:val="32"/>
          <w:lang w:val="en-US" w:eastAsia="zh-CN"/>
        </w:rPr>
        <w:t>347.37万元</w:t>
      </w:r>
      <w:r>
        <w:rPr>
          <w:rFonts w:hint="eastAsia" w:ascii="仿宋_GB2312" w:hAnsi="仿宋_GB2312" w:eastAsia="仿宋_GB2312" w:cs="仿宋_GB2312"/>
          <w:b/>
          <w:bCs/>
          <w:sz w:val="32"/>
          <w:szCs w:val="32"/>
        </w:rPr>
        <w:t>，完成预算</w:t>
      </w:r>
      <w:r>
        <w:rPr>
          <w:rFonts w:hint="eastAsia" w:ascii="仿宋_GB2312" w:hAnsi="仿宋_GB2312" w:eastAsia="仿宋_GB2312" w:cs="仿宋_GB2312"/>
          <w:b/>
          <w:bCs/>
          <w:sz w:val="32"/>
          <w:szCs w:val="32"/>
          <w:lang w:val="en-US" w:eastAsia="zh-CN"/>
        </w:rPr>
        <w:t>100</w:t>
      </w:r>
      <w:r>
        <w:rPr>
          <w:rFonts w:hint="eastAsia" w:ascii="仿宋_GB2312" w:hAnsi="仿宋_GB2312" w:eastAsia="仿宋_GB2312" w:cs="仿宋_GB2312"/>
          <w:b/>
          <w:bCs/>
          <w:sz w:val="32"/>
          <w:szCs w:val="32"/>
        </w:rPr>
        <w:t>%。其中：</w:t>
      </w:r>
      <w:bookmarkEnd w:id="22"/>
      <w:bookmarkEnd w:id="23"/>
    </w:p>
    <w:p>
      <w:pPr>
        <w:spacing w:line="600" w:lineRule="exact"/>
        <w:ind w:firstLine="640"/>
        <w:rPr>
          <w:rFonts w:hint="default" w:ascii="仿宋" w:hAnsi="仿宋" w:eastAsia="仿宋"/>
          <w:color w:val="auto"/>
          <w:sz w:val="32"/>
          <w:szCs w:val="32"/>
          <w:highlight w:val="none"/>
          <w:lang w:val="en-US" w:eastAsia="zh-CN"/>
        </w:rPr>
      </w:pPr>
      <w:r>
        <w:rPr>
          <w:rFonts w:hint="eastAsia" w:ascii="仿宋" w:hAnsi="仿宋" w:eastAsia="仿宋"/>
          <w:b/>
          <w:bCs/>
          <w:color w:val="auto"/>
          <w:sz w:val="32"/>
          <w:szCs w:val="32"/>
          <w:highlight w:val="none"/>
          <w:lang w:val="en-US" w:eastAsia="zh-CN"/>
        </w:rPr>
        <w:t>1、</w:t>
      </w:r>
      <w:r>
        <w:rPr>
          <w:rFonts w:hint="eastAsia" w:ascii="仿宋" w:hAnsi="仿宋" w:eastAsia="仿宋"/>
          <w:b/>
          <w:bCs/>
          <w:color w:val="auto"/>
          <w:sz w:val="32"/>
          <w:szCs w:val="32"/>
          <w:highlight w:val="none"/>
          <w:lang w:eastAsia="zh-CN"/>
        </w:rPr>
        <w:t>一般公共服务支出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类</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民族事务</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款</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行政运行</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项</w:t>
      </w:r>
      <w:r>
        <w:rPr>
          <w:rStyle w:val="18"/>
          <w:rFonts w:hint="eastAsia" w:ascii="仿宋" w:hAnsi="仿宋" w:eastAsia="仿宋"/>
          <w:bCs/>
          <w:color w:val="auto"/>
          <w:sz w:val="32"/>
          <w:szCs w:val="32"/>
          <w:highlight w:val="none"/>
        </w:rPr>
        <w:t>）</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251.37</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完成预算100%，决算数等于预算数。</w:t>
      </w:r>
    </w:p>
    <w:p>
      <w:pPr>
        <w:spacing w:line="600" w:lineRule="exact"/>
        <w:ind w:firstLine="640"/>
        <w:rPr>
          <w:rFonts w:hint="eastAsia" w:ascii="仿宋" w:hAnsi="仿宋" w:eastAsia="仿宋"/>
          <w:color w:val="auto"/>
          <w:sz w:val="32"/>
          <w:szCs w:val="32"/>
          <w:highlight w:val="none"/>
          <w:lang w:eastAsia="zh-CN"/>
        </w:rPr>
      </w:pPr>
      <w:r>
        <w:rPr>
          <w:rFonts w:hint="eastAsia" w:ascii="仿宋" w:hAnsi="仿宋" w:eastAsia="仿宋"/>
          <w:b/>
          <w:bCs/>
          <w:color w:val="auto"/>
          <w:sz w:val="32"/>
          <w:szCs w:val="32"/>
          <w:highlight w:val="none"/>
          <w:lang w:val="en-US" w:eastAsia="zh-CN"/>
        </w:rPr>
        <w:t>2、</w:t>
      </w:r>
      <w:r>
        <w:rPr>
          <w:rFonts w:hint="eastAsia" w:ascii="仿宋" w:hAnsi="仿宋" w:eastAsia="仿宋"/>
          <w:b/>
          <w:bCs/>
          <w:color w:val="auto"/>
          <w:sz w:val="32"/>
          <w:szCs w:val="32"/>
          <w:highlight w:val="none"/>
          <w:lang w:eastAsia="zh-CN"/>
        </w:rPr>
        <w:t>一般公共服务支出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类</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民族事务</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款</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其他民族事务支出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项</w:t>
      </w:r>
      <w:r>
        <w:rPr>
          <w:rStyle w:val="18"/>
          <w:rFonts w:hint="eastAsia" w:ascii="仿宋" w:hAnsi="仿宋" w:eastAsia="仿宋"/>
          <w:bCs/>
          <w:color w:val="auto"/>
          <w:sz w:val="32"/>
          <w:szCs w:val="32"/>
          <w:highlight w:val="none"/>
        </w:rPr>
        <w:t>）</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完成预算100%，决算数等于预算数。</w:t>
      </w:r>
    </w:p>
    <w:p>
      <w:pPr>
        <w:spacing w:line="600" w:lineRule="exact"/>
        <w:ind w:firstLine="640"/>
        <w:rPr>
          <w:rFonts w:hint="eastAsia" w:ascii="仿宋" w:hAnsi="仿宋" w:eastAsia="仿宋"/>
          <w:color w:val="auto"/>
          <w:sz w:val="32"/>
          <w:szCs w:val="32"/>
          <w:highlight w:val="none"/>
          <w:lang w:eastAsia="zh-CN"/>
        </w:rPr>
      </w:pPr>
      <w:r>
        <w:rPr>
          <w:rFonts w:hint="eastAsia" w:ascii="仿宋" w:hAnsi="仿宋" w:eastAsia="仿宋"/>
          <w:b/>
          <w:bCs/>
          <w:color w:val="auto"/>
          <w:sz w:val="32"/>
          <w:szCs w:val="32"/>
          <w:highlight w:val="none"/>
          <w:lang w:val="en-US" w:eastAsia="zh-CN"/>
        </w:rPr>
        <w:t>3、一</w:t>
      </w:r>
      <w:r>
        <w:rPr>
          <w:rFonts w:hint="eastAsia" w:ascii="仿宋" w:hAnsi="仿宋" w:eastAsia="仿宋"/>
          <w:b/>
          <w:bCs/>
          <w:color w:val="auto"/>
          <w:sz w:val="32"/>
          <w:szCs w:val="32"/>
          <w:highlight w:val="none"/>
          <w:lang w:eastAsia="zh-CN"/>
        </w:rPr>
        <w:t>般公共服务支出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类</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统战事务</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款</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宗教事务</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项</w:t>
      </w:r>
      <w:r>
        <w:rPr>
          <w:rStyle w:val="18"/>
          <w:rFonts w:hint="eastAsia" w:ascii="仿宋" w:hAnsi="仿宋" w:eastAsia="仿宋"/>
          <w:bCs/>
          <w:color w:val="auto"/>
          <w:sz w:val="32"/>
          <w:szCs w:val="32"/>
          <w:highlight w:val="none"/>
        </w:rPr>
        <w:t>）</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完成预算100%，决算数等于预算数。</w:t>
      </w:r>
    </w:p>
    <w:p>
      <w:pPr>
        <w:spacing w:line="600" w:lineRule="exact"/>
        <w:ind w:firstLine="640"/>
        <w:rPr>
          <w:rFonts w:hint="eastAsia" w:ascii="仿宋" w:hAnsi="仿宋" w:eastAsia="仿宋"/>
          <w:color w:val="auto"/>
          <w:sz w:val="32"/>
          <w:szCs w:val="32"/>
          <w:highlight w:val="none"/>
          <w:lang w:eastAsia="zh-CN"/>
        </w:rPr>
      </w:pPr>
      <w:r>
        <w:rPr>
          <w:rFonts w:hint="eastAsia" w:ascii="仿宋" w:hAnsi="仿宋" w:eastAsia="仿宋"/>
          <w:b/>
          <w:bCs/>
          <w:color w:val="auto"/>
          <w:sz w:val="32"/>
          <w:szCs w:val="32"/>
          <w:highlight w:val="none"/>
          <w:lang w:val="en-US" w:eastAsia="zh-CN"/>
        </w:rPr>
        <w:t>4、</w:t>
      </w:r>
      <w:r>
        <w:rPr>
          <w:rFonts w:hint="eastAsia" w:ascii="仿宋" w:hAnsi="仿宋" w:eastAsia="仿宋"/>
          <w:b/>
          <w:bCs/>
          <w:color w:val="auto"/>
          <w:sz w:val="32"/>
          <w:szCs w:val="32"/>
          <w:highlight w:val="none"/>
          <w:lang w:eastAsia="zh-CN"/>
        </w:rPr>
        <w:t>社会保障和就业支出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类</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社会保障和就业支出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款</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 xml:space="preserve">  机关事业单位基本养老保险缴费支出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项</w:t>
      </w:r>
      <w:r>
        <w:rPr>
          <w:rStyle w:val="18"/>
          <w:rFonts w:hint="eastAsia" w:ascii="仿宋" w:hAnsi="仿宋" w:eastAsia="仿宋"/>
          <w:bCs/>
          <w:color w:val="auto"/>
          <w:sz w:val="32"/>
          <w:szCs w:val="32"/>
          <w:highlight w:val="none"/>
        </w:rPr>
        <w:t>）</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30.18</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完成预算100%，决算数等于预算数。</w:t>
      </w:r>
    </w:p>
    <w:p>
      <w:pPr>
        <w:spacing w:line="600" w:lineRule="exact"/>
        <w:ind w:firstLine="640"/>
        <w:rPr>
          <w:rFonts w:hint="eastAsia" w:ascii="仿宋" w:hAnsi="仿宋" w:eastAsia="仿宋"/>
          <w:color w:val="auto"/>
          <w:sz w:val="32"/>
          <w:szCs w:val="32"/>
          <w:highlight w:val="none"/>
          <w:lang w:val="en-US" w:eastAsia="zh-CN"/>
        </w:rPr>
      </w:pPr>
      <w:r>
        <w:rPr>
          <w:rFonts w:hint="eastAsia" w:ascii="仿宋" w:hAnsi="仿宋" w:eastAsia="仿宋"/>
          <w:b/>
          <w:bCs/>
          <w:color w:val="auto"/>
          <w:sz w:val="32"/>
          <w:szCs w:val="32"/>
          <w:highlight w:val="none"/>
          <w:lang w:val="en-US" w:eastAsia="zh-CN"/>
        </w:rPr>
        <w:t>5、</w:t>
      </w:r>
      <w:r>
        <w:rPr>
          <w:rFonts w:hint="eastAsia" w:ascii="仿宋" w:hAnsi="仿宋" w:eastAsia="仿宋"/>
          <w:b/>
          <w:bCs/>
          <w:color w:val="auto"/>
          <w:sz w:val="32"/>
          <w:szCs w:val="32"/>
          <w:highlight w:val="none"/>
          <w:lang w:eastAsia="zh-CN"/>
        </w:rPr>
        <w:t>社会保障和就业支出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类</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社会保障和就业支出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款</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 xml:space="preserve">    机关事业单位职业年金缴费支出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项</w:t>
      </w:r>
      <w:r>
        <w:rPr>
          <w:rStyle w:val="18"/>
          <w:rFonts w:hint="eastAsia" w:ascii="仿宋" w:hAnsi="仿宋" w:eastAsia="仿宋"/>
          <w:bCs/>
          <w:color w:val="auto"/>
          <w:sz w:val="32"/>
          <w:szCs w:val="32"/>
          <w:highlight w:val="none"/>
        </w:rPr>
        <w:t>）</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15.09</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完成预算100%，决算数等于预算数。</w:t>
      </w:r>
    </w:p>
    <w:p>
      <w:pPr>
        <w:spacing w:line="600" w:lineRule="exact"/>
        <w:ind w:firstLine="640"/>
        <w:rPr>
          <w:rFonts w:hint="eastAsia" w:ascii="仿宋" w:hAnsi="仿宋" w:eastAsia="仿宋"/>
          <w:color w:val="auto"/>
          <w:sz w:val="32"/>
          <w:szCs w:val="32"/>
          <w:highlight w:val="none"/>
          <w:lang w:eastAsia="zh-CN"/>
        </w:rPr>
      </w:pPr>
      <w:r>
        <w:rPr>
          <w:rFonts w:hint="eastAsia" w:ascii="仿宋" w:hAnsi="仿宋" w:eastAsia="仿宋"/>
          <w:b/>
          <w:bCs/>
          <w:color w:val="auto"/>
          <w:sz w:val="32"/>
          <w:szCs w:val="32"/>
          <w:highlight w:val="none"/>
          <w:lang w:val="en-US" w:eastAsia="zh-CN"/>
        </w:rPr>
        <w:t>6、</w:t>
      </w:r>
      <w:r>
        <w:rPr>
          <w:rFonts w:hint="eastAsia" w:ascii="仿宋" w:hAnsi="仿宋" w:eastAsia="仿宋"/>
          <w:b/>
          <w:bCs/>
          <w:color w:val="auto"/>
          <w:sz w:val="32"/>
          <w:szCs w:val="32"/>
          <w:highlight w:val="none"/>
          <w:lang w:eastAsia="zh-CN"/>
        </w:rPr>
        <w:t>卫生健康支出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类</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行政事业单位医疗</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款</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行政事业单位医疗</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项</w:t>
      </w:r>
      <w:r>
        <w:rPr>
          <w:rStyle w:val="18"/>
          <w:rFonts w:hint="eastAsia" w:ascii="仿宋" w:hAnsi="仿宋" w:eastAsia="仿宋"/>
          <w:bCs/>
          <w:color w:val="auto"/>
          <w:sz w:val="32"/>
          <w:szCs w:val="32"/>
          <w:highlight w:val="none"/>
        </w:rPr>
        <w:t>）</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13.20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完成预算100%，决算数等于预算数。</w:t>
      </w:r>
    </w:p>
    <w:p>
      <w:pPr>
        <w:spacing w:line="600" w:lineRule="exact"/>
        <w:ind w:firstLine="640"/>
        <w:rPr>
          <w:rFonts w:hint="eastAsia" w:ascii="仿宋" w:hAnsi="仿宋" w:eastAsia="仿宋"/>
          <w:color w:val="auto"/>
          <w:sz w:val="32"/>
          <w:szCs w:val="32"/>
          <w:highlight w:val="none"/>
          <w:lang w:eastAsia="zh-CN"/>
        </w:rPr>
      </w:pPr>
      <w:r>
        <w:rPr>
          <w:rFonts w:hint="eastAsia" w:ascii="仿宋" w:hAnsi="仿宋" w:eastAsia="仿宋"/>
          <w:b/>
          <w:bCs/>
          <w:color w:val="auto"/>
          <w:sz w:val="32"/>
          <w:szCs w:val="32"/>
          <w:highlight w:val="none"/>
          <w:lang w:val="en-US" w:eastAsia="zh-CN"/>
        </w:rPr>
        <w:t>7、</w:t>
      </w:r>
      <w:r>
        <w:rPr>
          <w:rFonts w:hint="eastAsia" w:ascii="仿宋" w:hAnsi="仿宋" w:eastAsia="仿宋"/>
          <w:b/>
          <w:bCs/>
          <w:color w:val="auto"/>
          <w:sz w:val="32"/>
          <w:szCs w:val="32"/>
          <w:highlight w:val="none"/>
          <w:lang w:eastAsia="zh-CN"/>
        </w:rPr>
        <w:t>卫生健康支出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类</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eastAsia="zh-CN"/>
        </w:rPr>
        <w:t>行政事业单位医疗</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款</w:t>
      </w:r>
      <w:r>
        <w:rPr>
          <w:rStyle w:val="18"/>
          <w:rFonts w:hint="eastAsia" w:ascii="仿宋" w:hAnsi="仿宋" w:eastAsia="仿宋"/>
          <w:bCs/>
          <w:color w:val="auto"/>
          <w:sz w:val="32"/>
          <w:szCs w:val="32"/>
          <w:highlight w:val="none"/>
        </w:rPr>
        <w:t>）</w:t>
      </w:r>
      <w:r>
        <w:rPr>
          <w:rFonts w:hint="eastAsia" w:ascii="仿宋" w:hAnsi="仿宋" w:eastAsia="仿宋"/>
          <w:b/>
          <w:bCs/>
          <w:color w:val="auto"/>
          <w:sz w:val="32"/>
          <w:szCs w:val="32"/>
          <w:highlight w:val="none"/>
          <w:lang w:val="en-US" w:eastAsia="zh-CN"/>
        </w:rPr>
        <w:t>公务员医疗补助</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项</w:t>
      </w:r>
      <w:r>
        <w:rPr>
          <w:rStyle w:val="18"/>
          <w:rFonts w:hint="eastAsia" w:ascii="仿宋" w:hAnsi="仿宋" w:eastAsia="仿宋"/>
          <w:bCs/>
          <w:color w:val="auto"/>
          <w:sz w:val="32"/>
          <w:szCs w:val="32"/>
          <w:highlight w:val="none"/>
        </w:rPr>
        <w:t>）</w:t>
      </w:r>
      <w:r>
        <w:rPr>
          <w:rFonts w:hint="eastAsia" w:ascii="仿宋" w:hAnsi="仿宋" w:eastAsia="仿宋"/>
          <w:color w:val="auto"/>
          <w:sz w:val="32"/>
          <w:szCs w:val="32"/>
          <w:highlight w:val="none"/>
        </w:rPr>
        <w:t>支出</w:t>
      </w:r>
      <w:r>
        <w:rPr>
          <w:rFonts w:hint="eastAsia" w:ascii="仿宋" w:hAnsi="仿宋" w:eastAsia="仿宋"/>
          <w:b w:val="0"/>
          <w:bCs w:val="0"/>
          <w:color w:val="auto"/>
          <w:sz w:val="32"/>
          <w:szCs w:val="32"/>
          <w:highlight w:val="none"/>
          <w:lang w:val="en-US" w:eastAsia="zh-CN"/>
        </w:rPr>
        <w:t>2.11</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完成预算100%，决算数等于预算数。</w:t>
      </w:r>
    </w:p>
    <w:p>
      <w:pPr>
        <w:tabs>
          <w:tab w:val="right" w:pos="8306"/>
        </w:tabs>
        <w:spacing w:line="600" w:lineRule="exact"/>
        <w:ind w:firstLine="640"/>
        <w:outlineLvl w:val="1"/>
        <w:rPr>
          <w:rFonts w:hint="eastAsia" w:ascii="仿宋" w:hAnsi="仿宋" w:eastAsia="仿宋"/>
          <w:color w:val="auto"/>
          <w:sz w:val="32"/>
          <w:szCs w:val="32"/>
          <w:highlight w:val="none"/>
          <w:lang w:val="en-US" w:eastAsia="zh-CN"/>
        </w:rPr>
      </w:pPr>
      <w:r>
        <w:rPr>
          <w:rFonts w:hint="eastAsia" w:ascii="仿宋" w:hAnsi="仿宋" w:eastAsia="仿宋"/>
          <w:b/>
          <w:bCs/>
          <w:color w:val="auto"/>
          <w:sz w:val="32"/>
          <w:szCs w:val="32"/>
          <w:highlight w:val="none"/>
          <w:lang w:val="en-US" w:eastAsia="zh-CN"/>
        </w:rPr>
        <w:t>8、住房保障支出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类</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住房改革支出</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款</w:t>
      </w:r>
      <w:r>
        <w:rPr>
          <w:rStyle w:val="18"/>
          <w:rFonts w:hint="eastAsia" w:ascii="仿宋" w:hAnsi="仿宋" w:eastAsia="仿宋"/>
          <w:bCs/>
          <w:color w:val="auto"/>
          <w:sz w:val="32"/>
          <w:szCs w:val="32"/>
          <w:highlight w:val="none"/>
        </w:rPr>
        <w:t xml:space="preserve">） </w:t>
      </w:r>
      <w:r>
        <w:rPr>
          <w:rStyle w:val="18"/>
          <w:rFonts w:hint="eastAsia" w:ascii="仿宋" w:hAnsi="仿宋" w:eastAsia="仿宋"/>
          <w:bCs/>
          <w:color w:val="auto"/>
          <w:sz w:val="32"/>
          <w:szCs w:val="32"/>
          <w:highlight w:val="none"/>
          <w:lang w:val="en-US" w:eastAsia="zh-CN"/>
        </w:rPr>
        <w:t>住房公积金</w:t>
      </w:r>
      <w:r>
        <w:rPr>
          <w:rStyle w:val="18"/>
          <w:rFonts w:hint="eastAsia" w:ascii="仿宋" w:hAnsi="仿宋" w:eastAsia="仿宋"/>
          <w:bCs/>
          <w:color w:val="auto"/>
          <w:sz w:val="32"/>
          <w:szCs w:val="32"/>
          <w:highlight w:val="none"/>
        </w:rPr>
        <w:t>（</w:t>
      </w:r>
      <w:r>
        <w:rPr>
          <w:rStyle w:val="18"/>
          <w:rFonts w:hint="eastAsia" w:ascii="仿宋" w:hAnsi="仿宋" w:eastAsia="仿宋"/>
          <w:bCs/>
          <w:color w:val="auto"/>
          <w:sz w:val="32"/>
          <w:szCs w:val="32"/>
          <w:highlight w:val="none"/>
          <w:lang w:val="en-US" w:eastAsia="zh-CN"/>
        </w:rPr>
        <w:t>项</w:t>
      </w:r>
      <w:r>
        <w:rPr>
          <w:rStyle w:val="18"/>
          <w:rFonts w:hint="eastAsia" w:ascii="仿宋" w:hAnsi="仿宋" w:eastAsia="仿宋"/>
          <w:bCs/>
          <w:color w:val="auto"/>
          <w:sz w:val="32"/>
          <w:szCs w:val="32"/>
          <w:highlight w:val="none"/>
        </w:rPr>
        <w:t>）</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25.42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完成预算100%，决算数等于预算数。</w:t>
      </w:r>
      <w:bookmarkEnd w:id="24"/>
      <w:bookmarkEnd w:id="25"/>
      <w:bookmarkEnd w:id="26"/>
      <w:bookmarkStart w:id="27" w:name="_Toc15377214"/>
      <w:bookmarkStart w:id="28" w:name="_Toc15396608"/>
    </w:p>
    <w:p>
      <w:pPr>
        <w:tabs>
          <w:tab w:val="right" w:pos="8306"/>
        </w:tabs>
        <w:spacing w:line="600" w:lineRule="exact"/>
        <w:ind w:firstLine="640"/>
        <w:outlineLvl w:val="1"/>
        <w:rPr>
          <w:rStyle w:val="30"/>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7"/>
      <w:bookmarkEnd w:id="28"/>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337.37</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5"/>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311.09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 w:hAnsi="仿宋" w:eastAsia="仿宋"/>
          <w:sz w:val="32"/>
          <w:szCs w:val="32"/>
        </w:rPr>
        <w:t>主要包括：基本工资、津贴补贴、奖金、机关事业单位基本养老保险缴费、职业年金缴费、</w:t>
      </w:r>
      <w:r>
        <w:rPr>
          <w:rFonts w:hint="eastAsia" w:ascii="仿宋" w:hAnsi="仿宋" w:eastAsia="仿宋"/>
          <w:sz w:val="32"/>
          <w:szCs w:val="32"/>
          <w:lang w:val="en-US" w:eastAsia="zh-CN"/>
        </w:rPr>
        <w:t>职工基本医疗保险缴费、公务员医疗补助</w:t>
      </w:r>
      <w:r>
        <w:rPr>
          <w:rFonts w:hint="eastAsia" w:ascii="仿宋" w:hAnsi="仿宋" w:eastAsia="仿宋"/>
          <w:sz w:val="32"/>
          <w:szCs w:val="32"/>
          <w:lang w:eastAsia="zh-CN"/>
        </w:rPr>
        <w:t>、</w:t>
      </w:r>
      <w:r>
        <w:rPr>
          <w:rFonts w:hint="eastAsia" w:ascii="仿宋" w:hAnsi="仿宋" w:eastAsia="仿宋"/>
          <w:sz w:val="32"/>
          <w:szCs w:val="32"/>
        </w:rPr>
        <w:t>其他社会保障缴费、生活补助、奖励金、住房公积金等。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26.28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 w:hAnsi="仿宋" w:eastAsia="仿宋"/>
          <w:sz w:val="32"/>
          <w:szCs w:val="32"/>
        </w:rPr>
        <w:t>主要包括：办公费、印刷费</w:t>
      </w:r>
      <w:r>
        <w:rPr>
          <w:rFonts w:hint="eastAsia" w:ascii="仿宋" w:hAnsi="仿宋" w:eastAsia="仿宋"/>
          <w:sz w:val="32"/>
          <w:szCs w:val="32"/>
          <w:lang w:eastAsia="zh-CN"/>
        </w:rPr>
        <w:t>、</w:t>
      </w:r>
      <w:r>
        <w:rPr>
          <w:rFonts w:hint="eastAsia" w:ascii="仿宋" w:hAnsi="仿宋" w:eastAsia="仿宋"/>
          <w:sz w:val="32"/>
          <w:szCs w:val="32"/>
        </w:rPr>
        <w:t>电费、邮电费、取暖费、差旅费、劳务费、公务用车运行维护费等。</w:t>
      </w:r>
    </w:p>
    <w:p>
      <w:pPr>
        <w:spacing w:line="600" w:lineRule="exact"/>
        <w:ind w:firstLine="640"/>
        <w:outlineLvl w:val="1"/>
        <w:rPr>
          <w:rStyle w:val="30"/>
          <w:rFonts w:ascii="Times New Roman" w:hAnsi="Times New Roman" w:eastAsia="黑体"/>
          <w:b w:val="0"/>
          <w:color w:val="auto"/>
          <w:highlight w:val="none"/>
        </w:rPr>
      </w:pPr>
      <w:bookmarkStart w:id="29" w:name="_Toc15377215"/>
      <w:bookmarkStart w:id="30"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29"/>
      <w:bookmarkEnd w:id="30"/>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1"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1"/>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default" w:eastAsia="仿宋_GB2312" w:cs="仿宋_GB2312"/>
          <w:color w:val="auto"/>
          <w:kern w:val="2"/>
          <w:sz w:val="32"/>
          <w:szCs w:val="32"/>
          <w:highlight w:val="none"/>
          <w:lang w:eastAsia="zh-CN" w:bidi="ar-SA"/>
        </w:rPr>
        <w:t>4.96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default" w:eastAsia="仿宋_GB2312" w:cs="仿宋_GB2312"/>
          <w:color w:val="auto"/>
          <w:kern w:val="2"/>
          <w:sz w:val="32"/>
          <w:szCs w:val="32"/>
          <w:highlight w:val="none"/>
          <w:lang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ascii="仿宋" w:hAnsi="仿宋" w:eastAsia="仿宋"/>
          <w:color w:val="auto"/>
          <w:sz w:val="32"/>
          <w:szCs w:val="32"/>
          <w:highlight w:val="none"/>
          <w:lang w:val="en-US" w:eastAsia="zh-CN"/>
        </w:rPr>
        <w:t>4.99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50.15</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default" w:eastAsia="仿宋_GB2312" w:cs="仿宋_GB2312"/>
          <w:color w:val="auto"/>
          <w:kern w:val="2"/>
          <w:sz w:val="32"/>
          <w:szCs w:val="32"/>
          <w:highlight w:val="none"/>
          <w:lang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default" w:eastAsia="仿宋_GB2312" w:cs="仿宋_GB2312"/>
          <w:color w:val="auto"/>
          <w:kern w:val="2"/>
          <w:sz w:val="32"/>
          <w:szCs w:val="32"/>
          <w:highlight w:val="none"/>
          <w:lang w:eastAsia="zh-CN" w:bidi="ar-SA"/>
        </w:rPr>
        <w:t>4.96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default" w:eastAsia="仿宋_GB2312" w:cs="仿宋_GB2312"/>
          <w:color w:val="auto"/>
          <w:kern w:val="2"/>
          <w:sz w:val="32"/>
          <w:szCs w:val="32"/>
          <w:highlight w:val="none"/>
          <w:lang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eastAsia="仿宋_GB2312" w:cs="仿宋_GB2312"/>
          <w:color w:val="auto"/>
          <w:kern w:val="2"/>
          <w:sz w:val="32"/>
          <w:szCs w:val="32"/>
          <w:highlight w:val="none"/>
          <w:lang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ascii="FangSong_GB2312" w:eastAsia="FangSong_GB2312"/>
          <w:b/>
          <w:sz w:val="32"/>
          <w:szCs w:val="32"/>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FangSong_GB2312" w:eastAsia="FangSong_GB2312"/>
          <w:sz w:val="32"/>
          <w:szCs w:val="32"/>
        </w:rPr>
        <w:t>全年安排因公出国（境）团组</w:t>
      </w:r>
      <w:r>
        <w:rPr>
          <w:rFonts w:hint="eastAsia" w:ascii="FangSong_GB2312" w:eastAsia="FangSong_GB2312"/>
          <w:sz w:val="32"/>
          <w:szCs w:val="32"/>
          <w:lang w:val="en-US" w:eastAsia="zh-CN"/>
        </w:rPr>
        <w:t>0</w:t>
      </w:r>
      <w:r>
        <w:rPr>
          <w:rFonts w:hint="eastAsia" w:ascii="FangSong_GB2312" w:eastAsia="FangSong_GB2312"/>
          <w:sz w:val="32"/>
          <w:szCs w:val="32"/>
        </w:rPr>
        <w:t>次，出国（境）</w:t>
      </w:r>
      <w:r>
        <w:rPr>
          <w:rFonts w:hint="eastAsia" w:ascii="FangSong_GB2312" w:eastAsia="FangSong_GB2312"/>
          <w:sz w:val="32"/>
          <w:szCs w:val="32"/>
          <w:lang w:val="en-US" w:eastAsia="zh-CN"/>
        </w:rPr>
        <w:t>0</w:t>
      </w:r>
      <w:r>
        <w:rPr>
          <w:rFonts w:hint="eastAsia" w:ascii="FangSong_GB2312" w:eastAsia="FangSong_GB2312"/>
          <w:sz w:val="32"/>
          <w:szCs w:val="32"/>
        </w:rPr>
        <w:t>人</w:t>
      </w:r>
      <w:r>
        <w:rPr>
          <w:rFonts w:hint="eastAsia" w:ascii="FangSong_GB2312" w:eastAsia="FangSong_GB2312"/>
          <w:sz w:val="32"/>
          <w:szCs w:val="32"/>
          <w:lang w:eastAsia="zh-CN"/>
        </w:rPr>
        <w:t>。</w:t>
      </w:r>
      <w:r>
        <w:rPr>
          <w:rFonts w:hint="eastAsia" w:ascii="FangSong_GB2312" w:eastAsia="FangSong_GB2312"/>
          <w:sz w:val="32"/>
          <w:szCs w:val="32"/>
        </w:rPr>
        <w:t>主要原因是</w:t>
      </w:r>
      <w:r>
        <w:rPr>
          <w:rFonts w:hint="eastAsia" w:ascii="FangSong_GB2312" w:eastAsia="FangSong_GB2312"/>
          <w:sz w:val="32"/>
          <w:szCs w:val="32"/>
          <w:lang w:eastAsia="zh-CN"/>
        </w:rPr>
        <w:t>未安排</w:t>
      </w:r>
      <w:r>
        <w:rPr>
          <w:rFonts w:hint="eastAsia" w:ascii="FangSong_GB2312" w:eastAsia="FangSong_GB2312"/>
          <w:sz w:val="32"/>
          <w:szCs w:val="32"/>
        </w:rPr>
        <w:t>因公出国（境）。</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4.96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100%。公务用车购置及运行维护费支出决算比2024年减少4.99万元，减少50.15%，主要原因是单位严格落实厉行节约相关规定，合理压缩公务出行，公务用车使用频次降低，燃油、维修等运行维护费用相应减少。</w:t>
      </w:r>
    </w:p>
    <w:p>
      <w:pPr>
        <w:spacing w:line="600" w:lineRule="exact"/>
        <w:ind w:firstLine="640" w:firstLineChars="200"/>
        <w:rPr>
          <w:rFonts w:ascii="FangSong_GB2312" w:eastAsia="FangSong_GB2312"/>
          <w:b/>
          <w:sz w:val="32"/>
          <w:szCs w:val="32"/>
        </w:rPr>
      </w:pP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1.</w:t>
      </w:r>
      <w:r>
        <w:rPr>
          <w:rFonts w:hint="eastAsia" w:ascii="FangSong_GB2312" w:eastAsia="FangSong_GB2312"/>
          <w:b/>
          <w:sz w:val="32"/>
          <w:szCs w:val="32"/>
        </w:rPr>
        <w:t>公务用车购置支出</w:t>
      </w:r>
      <w:r>
        <w:rPr>
          <w:rFonts w:hint="eastAsia" w:ascii="FangSong_GB2312" w:eastAsia="FangSong_GB2312"/>
          <w:sz w:val="32"/>
          <w:szCs w:val="32"/>
          <w:lang w:val="en-US" w:eastAsia="zh-CN"/>
        </w:rPr>
        <w:t>0</w:t>
      </w:r>
      <w:r>
        <w:rPr>
          <w:rFonts w:hint="eastAsia" w:ascii="FangSong_GB2312" w:eastAsia="FangSong_GB2312"/>
          <w:sz w:val="32"/>
          <w:szCs w:val="32"/>
        </w:rPr>
        <w:t>万元。全年按规定更新购置公务用车</w:t>
      </w:r>
      <w:r>
        <w:rPr>
          <w:rFonts w:hint="eastAsia" w:ascii="FangSong_GB2312" w:eastAsia="FangSong_GB2312"/>
          <w:sz w:val="32"/>
          <w:szCs w:val="32"/>
          <w:lang w:val="en-US" w:eastAsia="zh-CN"/>
        </w:rPr>
        <w:t>0</w:t>
      </w:r>
      <w:r>
        <w:rPr>
          <w:rFonts w:hint="eastAsia" w:ascii="FangSong_GB2312" w:eastAsia="FangSong_GB2312"/>
          <w:sz w:val="32"/>
          <w:szCs w:val="32"/>
        </w:rPr>
        <w:t>辆，其中：轿车</w:t>
      </w:r>
      <w:r>
        <w:rPr>
          <w:rFonts w:hint="eastAsia" w:ascii="FangSong_GB2312" w:eastAsia="FangSong_GB2312"/>
          <w:sz w:val="32"/>
          <w:szCs w:val="32"/>
          <w:lang w:val="en-US" w:eastAsia="zh-CN"/>
        </w:rPr>
        <w:t>0</w:t>
      </w:r>
      <w:r>
        <w:rPr>
          <w:rFonts w:hint="eastAsia" w:ascii="FangSong_GB2312" w:eastAsia="FangSong_GB2312"/>
          <w:sz w:val="32"/>
          <w:szCs w:val="32"/>
        </w:rPr>
        <w:t>辆、金额</w:t>
      </w:r>
      <w:r>
        <w:rPr>
          <w:rFonts w:hint="eastAsia" w:ascii="FangSong_GB2312" w:eastAsia="FangSong_GB2312"/>
          <w:sz w:val="32"/>
          <w:szCs w:val="32"/>
          <w:lang w:val="en-US" w:eastAsia="zh-CN"/>
        </w:rPr>
        <w:t>0</w:t>
      </w:r>
      <w:r>
        <w:rPr>
          <w:rFonts w:hint="eastAsia" w:ascii="FangSong_GB2312" w:eastAsia="FangSong_GB2312"/>
          <w:sz w:val="32"/>
          <w:szCs w:val="32"/>
        </w:rPr>
        <w:t>万元，越野车</w:t>
      </w:r>
      <w:r>
        <w:rPr>
          <w:rFonts w:hint="eastAsia" w:ascii="FangSong_GB2312" w:eastAsia="FangSong_GB2312"/>
          <w:sz w:val="32"/>
          <w:szCs w:val="32"/>
          <w:lang w:val="en-US" w:eastAsia="zh-CN"/>
        </w:rPr>
        <w:t>0</w:t>
      </w:r>
      <w:r>
        <w:rPr>
          <w:rFonts w:hint="eastAsia" w:ascii="FangSong_GB2312" w:eastAsia="FangSong_GB2312"/>
          <w:sz w:val="32"/>
          <w:szCs w:val="32"/>
        </w:rPr>
        <w:t>辆、金额</w:t>
      </w:r>
      <w:r>
        <w:rPr>
          <w:rFonts w:hint="eastAsia" w:ascii="FangSong_GB2312" w:eastAsia="FangSong_GB2312"/>
          <w:sz w:val="32"/>
          <w:szCs w:val="32"/>
          <w:lang w:val="en-US" w:eastAsia="zh-CN"/>
        </w:rPr>
        <w:t>0</w:t>
      </w:r>
      <w:r>
        <w:rPr>
          <w:rFonts w:hint="eastAsia" w:ascii="FangSong_GB2312" w:eastAsia="FangSong_GB2312"/>
          <w:sz w:val="32"/>
          <w:szCs w:val="32"/>
        </w:rPr>
        <w:t>万元，载客汽车</w:t>
      </w:r>
      <w:r>
        <w:rPr>
          <w:rFonts w:hint="eastAsia" w:ascii="FangSong_GB2312" w:eastAsia="FangSong_GB2312"/>
          <w:sz w:val="32"/>
          <w:szCs w:val="32"/>
          <w:lang w:val="en-US" w:eastAsia="zh-CN"/>
        </w:rPr>
        <w:t>0</w:t>
      </w:r>
      <w:r>
        <w:rPr>
          <w:rFonts w:hint="eastAsia" w:ascii="FangSong_GB2312" w:eastAsia="FangSong_GB2312"/>
          <w:sz w:val="32"/>
          <w:szCs w:val="32"/>
        </w:rPr>
        <w:t>辆、金额</w:t>
      </w:r>
      <w:r>
        <w:rPr>
          <w:rFonts w:hint="eastAsia" w:ascii="FangSong_GB2312" w:eastAsia="FangSong_GB2312"/>
          <w:sz w:val="32"/>
          <w:szCs w:val="32"/>
          <w:lang w:val="en-US" w:eastAsia="zh-CN"/>
        </w:rPr>
        <w:t>0</w:t>
      </w:r>
      <w:r>
        <w:rPr>
          <w:rFonts w:hint="eastAsia" w:ascii="FangSong_GB2312" w:eastAsia="FangSong_GB2312"/>
          <w:sz w:val="32"/>
          <w:szCs w:val="32"/>
        </w:rPr>
        <w:t>万元。截至</w:t>
      </w:r>
      <w:r>
        <w:rPr>
          <w:rFonts w:hint="eastAsia" w:ascii="FangSong_GB2312" w:eastAsia="FangSong_GB2312"/>
          <w:sz w:val="32"/>
          <w:szCs w:val="32"/>
          <w:lang w:eastAsia="zh-CN"/>
        </w:rPr>
        <w:t>202</w:t>
      </w:r>
      <w:r>
        <w:rPr>
          <w:rFonts w:hint="eastAsia" w:ascii="FangSong_GB2312" w:eastAsia="FangSong_GB2312"/>
          <w:sz w:val="32"/>
          <w:szCs w:val="32"/>
          <w:lang w:val="en-US" w:eastAsia="zh-CN"/>
        </w:rPr>
        <w:t>5</w:t>
      </w:r>
      <w:r>
        <w:rPr>
          <w:rFonts w:hint="eastAsia" w:ascii="FangSong_GB2312" w:eastAsia="FangSong_GB2312"/>
          <w:sz w:val="32"/>
          <w:szCs w:val="32"/>
        </w:rPr>
        <w:t>年</w:t>
      </w:r>
      <w:r>
        <w:rPr>
          <w:rFonts w:ascii="FangSong_GB2312" w:eastAsia="FangSong_GB2312"/>
          <w:sz w:val="32"/>
          <w:szCs w:val="32"/>
        </w:rPr>
        <w:t>12</w:t>
      </w:r>
      <w:r>
        <w:rPr>
          <w:rFonts w:hint="eastAsia" w:ascii="FangSong_GB2312" w:eastAsia="FangSong_GB2312"/>
          <w:sz w:val="32"/>
          <w:szCs w:val="32"/>
        </w:rPr>
        <w:t>月</w:t>
      </w:r>
      <w:r>
        <w:rPr>
          <w:rFonts w:hint="eastAsia" w:ascii="FangSong_GB2312" w:eastAsia="FangSong_GB2312"/>
          <w:sz w:val="32"/>
          <w:szCs w:val="32"/>
          <w:lang w:val="en-US" w:eastAsia="zh-CN"/>
        </w:rPr>
        <w:t>31日</w:t>
      </w:r>
      <w:r>
        <w:rPr>
          <w:rFonts w:hint="eastAsia" w:ascii="FangSong_GB2312" w:eastAsia="FangSong_GB2312"/>
          <w:sz w:val="32"/>
          <w:szCs w:val="32"/>
        </w:rPr>
        <w:t>底，单位共有公务用车</w:t>
      </w:r>
      <w:r>
        <w:rPr>
          <w:rFonts w:hint="eastAsia" w:ascii="FangSong_GB2312" w:eastAsia="FangSong_GB2312"/>
          <w:sz w:val="32"/>
          <w:szCs w:val="32"/>
          <w:lang w:val="en-US" w:eastAsia="zh-CN"/>
        </w:rPr>
        <w:t>1</w:t>
      </w:r>
      <w:r>
        <w:rPr>
          <w:rFonts w:hint="eastAsia" w:ascii="FangSong_GB2312" w:eastAsia="FangSong_GB2312"/>
          <w:sz w:val="32"/>
          <w:szCs w:val="32"/>
        </w:rPr>
        <w:t>辆，其中：轿车</w:t>
      </w:r>
      <w:r>
        <w:rPr>
          <w:rFonts w:hint="eastAsia" w:ascii="FangSong_GB2312" w:eastAsia="FangSong_GB2312"/>
          <w:sz w:val="32"/>
          <w:szCs w:val="32"/>
          <w:lang w:val="en-US" w:eastAsia="zh-CN"/>
        </w:rPr>
        <w:t>0</w:t>
      </w:r>
      <w:r>
        <w:rPr>
          <w:rFonts w:hint="eastAsia" w:ascii="FangSong_GB2312" w:eastAsia="FangSong_GB2312"/>
          <w:sz w:val="32"/>
          <w:szCs w:val="32"/>
        </w:rPr>
        <w:t>辆、越野车</w:t>
      </w:r>
      <w:r>
        <w:rPr>
          <w:rFonts w:hint="eastAsia" w:ascii="FangSong_GB2312" w:eastAsia="FangSong_GB2312"/>
          <w:sz w:val="32"/>
          <w:szCs w:val="32"/>
          <w:lang w:val="en-US" w:eastAsia="zh-CN"/>
        </w:rPr>
        <w:t>1</w:t>
      </w:r>
      <w:r>
        <w:rPr>
          <w:rFonts w:hint="eastAsia" w:ascii="FangSong_GB2312" w:eastAsia="FangSong_GB2312"/>
          <w:sz w:val="32"/>
          <w:szCs w:val="32"/>
        </w:rPr>
        <w:t>辆、载客汽车</w:t>
      </w:r>
      <w:r>
        <w:rPr>
          <w:rFonts w:hint="eastAsia" w:ascii="FangSong_GB2312" w:eastAsia="FangSong_GB2312"/>
          <w:sz w:val="32"/>
          <w:szCs w:val="32"/>
          <w:lang w:val="en-US" w:eastAsia="zh-CN"/>
        </w:rPr>
        <w:t>0</w:t>
      </w:r>
      <w:r>
        <w:rPr>
          <w:rFonts w:hint="eastAsia" w:ascii="FangSong_GB2312" w:eastAsia="FangSong_GB2312"/>
          <w:sz w:val="32"/>
          <w:szCs w:val="32"/>
        </w:rPr>
        <w:t>辆。</w:t>
      </w:r>
    </w:p>
    <w:p>
      <w:pPr>
        <w:spacing w:line="600" w:lineRule="exact"/>
        <w:ind w:firstLine="640"/>
        <w:rPr>
          <w:rFonts w:ascii="FangSong_GB2312" w:eastAsia="FangSong_GB2312"/>
          <w:sz w:val="32"/>
          <w:szCs w:val="32"/>
        </w:rPr>
      </w:pPr>
      <w:r>
        <w:rPr>
          <w:rFonts w:hint="eastAsia" w:eastAsia="仿宋_GB2312" w:cs="仿宋_GB2312"/>
          <w:b/>
          <w:bCs/>
          <w:color w:val="auto"/>
          <w:kern w:val="2"/>
          <w:sz w:val="32"/>
          <w:szCs w:val="32"/>
          <w:highlight w:val="none"/>
          <w:lang w:val="en-US" w:eastAsia="zh-CN" w:bidi="ar-SA"/>
        </w:rPr>
        <w:t>2.</w:t>
      </w:r>
      <w:r>
        <w:rPr>
          <w:rFonts w:hint="eastAsia" w:ascii="Times New Roman" w:hAnsi="Times New Roman" w:eastAsia="仿宋_GB2312" w:cs="仿宋_GB2312"/>
          <w:b/>
          <w:bCs/>
          <w:color w:val="auto"/>
          <w:kern w:val="2"/>
          <w:sz w:val="32"/>
          <w:szCs w:val="32"/>
          <w:highlight w:val="none"/>
          <w:lang w:val="en-US" w:eastAsia="zh-CN" w:bidi="ar-SA"/>
        </w:rPr>
        <w:t>公务用车运行维护费支出</w:t>
      </w:r>
      <w:r>
        <w:rPr>
          <w:rFonts w:hint="eastAsia" w:eastAsia="仿宋_GB2312" w:cs="仿宋_GB2312"/>
          <w:b/>
          <w:bCs/>
          <w:color w:val="auto"/>
          <w:kern w:val="2"/>
          <w:sz w:val="32"/>
          <w:szCs w:val="32"/>
          <w:highlight w:val="none"/>
          <w:lang w:val="en-US" w:eastAsia="zh-CN" w:bidi="ar-SA"/>
        </w:rPr>
        <w:t>4.96</w:t>
      </w:r>
      <w:r>
        <w:rPr>
          <w:rFonts w:hint="eastAsia" w:ascii="Times New Roman" w:hAnsi="Times New Roman" w:eastAsia="仿宋_GB2312" w:cs="仿宋_GB2312"/>
          <w:b/>
          <w:bCs/>
          <w:color w:val="auto"/>
          <w:kern w:val="2"/>
          <w:sz w:val="32"/>
          <w:szCs w:val="32"/>
          <w:highlight w:val="none"/>
          <w:lang w:val="en-US" w:eastAsia="zh-CN" w:bidi="ar-SA"/>
        </w:rPr>
        <w:t>万元。</w:t>
      </w:r>
      <w:r>
        <w:rPr>
          <w:rStyle w:val="18"/>
          <w:rFonts w:hint="eastAsia" w:ascii="仿宋" w:hAnsi="仿宋" w:eastAsia="仿宋"/>
          <w:b w:val="0"/>
          <w:bCs/>
          <w:sz w:val="32"/>
          <w:szCs w:val="32"/>
        </w:rPr>
        <w:t>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FangSong_GB2312" w:eastAsia="FangSong_GB2312"/>
          <w:sz w:val="32"/>
          <w:szCs w:val="32"/>
        </w:rPr>
        <w:t>主要用于所需的公务用车燃料费、维修费、过路过桥费、保险费等支出。</w:t>
      </w:r>
    </w:p>
    <w:p>
      <w:pPr>
        <w:spacing w:line="600" w:lineRule="exact"/>
        <w:ind w:firstLine="640"/>
        <w:rPr>
          <w:rFonts w:ascii="FangSong_GB2312" w:eastAsia="FangSong_GB2312"/>
          <w:sz w:val="32"/>
          <w:szCs w:val="32"/>
        </w:rPr>
      </w:pPr>
      <w:r>
        <w:rPr>
          <w:rFonts w:hint="eastAsia" w:ascii="Times New Roman" w:hAnsi="Times New Roman" w:eastAsia="仿宋_GB2312" w:cs="仿宋_GB2312"/>
          <w:b/>
          <w:bCs/>
          <w:color w:val="auto"/>
          <w:kern w:val="2"/>
          <w:sz w:val="32"/>
          <w:szCs w:val="32"/>
          <w:highlight w:val="none"/>
          <w:lang w:val="en-US" w:eastAsia="zh-CN" w:bidi="ar-SA"/>
        </w:rPr>
        <w:t>3.</w:t>
      </w:r>
      <w:bookmarkStart w:id="33" w:name="_Toc15377218"/>
      <w:bookmarkStart w:id="34" w:name="_Toc15396610"/>
      <w:r>
        <w:rPr>
          <w:rFonts w:hint="eastAsia" w:ascii="FangSong_GB2312" w:eastAsia="FangSong_GB2312"/>
          <w:b/>
          <w:sz w:val="32"/>
          <w:szCs w:val="32"/>
        </w:rPr>
        <w:t>公务接待费支出</w:t>
      </w:r>
      <w:r>
        <w:rPr>
          <w:rFonts w:hint="eastAsia" w:ascii="FangSong_GB2312" w:eastAsia="FangSong_GB2312"/>
          <w:sz w:val="32"/>
          <w:szCs w:val="32"/>
          <w:lang w:val="en-US" w:eastAsia="zh-CN"/>
        </w:rPr>
        <w:t>0</w:t>
      </w:r>
      <w:r>
        <w:rPr>
          <w:rFonts w:hint="eastAsia" w:ascii="FangSong_GB2312" w:eastAsia="FangSong_GB2312"/>
          <w:sz w:val="32"/>
          <w:szCs w:val="32"/>
        </w:rPr>
        <w:t>万元，</w:t>
      </w:r>
      <w:r>
        <w:rPr>
          <w:rStyle w:val="18"/>
          <w:rFonts w:hint="eastAsia" w:ascii="仿宋" w:hAnsi="仿宋" w:eastAsia="仿宋"/>
          <w:b w:val="0"/>
          <w:bCs/>
          <w:sz w:val="32"/>
          <w:szCs w:val="32"/>
        </w:rPr>
        <w:t>完成预算</w:t>
      </w:r>
      <w:r>
        <w:rPr>
          <w:rStyle w:val="18"/>
          <w:rFonts w:hint="eastAsia" w:ascii="仿宋" w:hAnsi="仿宋" w:eastAsia="仿宋"/>
          <w:b w:val="0"/>
          <w:bCs/>
          <w:sz w:val="32"/>
          <w:szCs w:val="32"/>
          <w:lang w:val="en-US" w:eastAsia="zh-CN"/>
        </w:rPr>
        <w:t>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FangSong_GB2312" w:eastAsia="FangSong_GB2312"/>
          <w:sz w:val="32"/>
          <w:szCs w:val="32"/>
        </w:rPr>
        <w:t>公务接待费支出决算比</w:t>
      </w:r>
      <w:r>
        <w:rPr>
          <w:rFonts w:hint="eastAsia" w:ascii="FangSong_GB2312" w:eastAsia="FangSong_GB2312"/>
          <w:sz w:val="32"/>
          <w:szCs w:val="32"/>
          <w:lang w:eastAsia="zh-CN"/>
        </w:rPr>
        <w:t>202</w:t>
      </w:r>
      <w:r>
        <w:rPr>
          <w:rFonts w:hint="eastAsia" w:ascii="FangSong_GB2312" w:eastAsia="FangSong_GB2312"/>
          <w:sz w:val="32"/>
          <w:szCs w:val="32"/>
          <w:lang w:val="en-US" w:eastAsia="zh-CN"/>
        </w:rPr>
        <w:t>4</w:t>
      </w:r>
      <w:r>
        <w:rPr>
          <w:rFonts w:hint="eastAsia" w:ascii="FangSong_GB2312" w:eastAsia="FangSong_GB2312"/>
          <w:sz w:val="32"/>
          <w:szCs w:val="32"/>
        </w:rPr>
        <w:t>年减少</w:t>
      </w:r>
      <w:r>
        <w:rPr>
          <w:rFonts w:hint="eastAsia" w:ascii="FangSong_GB2312" w:eastAsia="FangSong_GB2312"/>
          <w:sz w:val="32"/>
          <w:szCs w:val="32"/>
          <w:lang w:val="en-US" w:eastAsia="zh-CN"/>
        </w:rPr>
        <w:t>0</w:t>
      </w:r>
      <w:r>
        <w:rPr>
          <w:rFonts w:hint="eastAsia" w:ascii="FangSong_GB2312" w:eastAsia="FangSong_GB2312"/>
          <w:sz w:val="32"/>
          <w:szCs w:val="32"/>
        </w:rPr>
        <w:t>万元，下降</w:t>
      </w:r>
      <w:r>
        <w:rPr>
          <w:rFonts w:hint="eastAsia" w:ascii="FangSong_GB2312" w:eastAsia="FangSong_GB2312"/>
          <w:sz w:val="32"/>
          <w:szCs w:val="32"/>
          <w:lang w:val="en-US" w:eastAsia="zh-CN"/>
        </w:rPr>
        <w:t>0</w:t>
      </w:r>
      <w:r>
        <w:rPr>
          <w:rFonts w:ascii="FangSong_GB2312" w:eastAsia="FangSong_GB2312"/>
          <w:sz w:val="32"/>
          <w:szCs w:val="32"/>
        </w:rPr>
        <w:t>%</w:t>
      </w:r>
      <w:r>
        <w:rPr>
          <w:rFonts w:hint="eastAsia" w:ascii="FangSong_GB2312" w:eastAsia="FangSong_GB2312"/>
          <w:sz w:val="32"/>
          <w:szCs w:val="32"/>
        </w:rPr>
        <w:t>。主要原因是。其中：</w:t>
      </w:r>
    </w:p>
    <w:p>
      <w:pPr>
        <w:spacing w:line="600" w:lineRule="exact"/>
        <w:ind w:firstLine="640"/>
        <w:rPr>
          <w:rFonts w:ascii="FangSong_GB2312" w:eastAsia="FangSong_GB2312"/>
          <w:sz w:val="32"/>
          <w:szCs w:val="32"/>
        </w:rPr>
      </w:pPr>
      <w:r>
        <w:rPr>
          <w:rFonts w:hint="eastAsia" w:ascii="仿宋" w:hAnsi="仿宋" w:eastAsia="仿宋"/>
          <w:b/>
          <w:sz w:val="32"/>
          <w:szCs w:val="32"/>
          <w:lang w:val="en-US" w:eastAsia="zh-CN"/>
        </w:rPr>
        <w:t>4.</w:t>
      </w:r>
      <w:r>
        <w:rPr>
          <w:rFonts w:hint="eastAsia" w:ascii="仿宋" w:hAnsi="仿宋" w:eastAsia="仿宋"/>
          <w:b/>
          <w:sz w:val="32"/>
          <w:szCs w:val="32"/>
        </w:rPr>
        <w:t>国内公务接待支出</w:t>
      </w:r>
      <w:r>
        <w:rPr>
          <w:rFonts w:hint="eastAsia" w:ascii="仿宋" w:hAnsi="仿宋" w:eastAsia="仿宋"/>
          <w:sz w:val="32"/>
          <w:szCs w:val="32"/>
          <w:lang w:val="en-US" w:eastAsia="zh-CN"/>
        </w:rPr>
        <w:t>0</w:t>
      </w:r>
      <w:r>
        <w:rPr>
          <w:rFonts w:hint="eastAsia" w:ascii="FangSong_GB2312" w:eastAsia="FangSong_GB2312"/>
          <w:sz w:val="32"/>
          <w:szCs w:val="32"/>
        </w:rPr>
        <w:t>万元，主要用于执行公务、开展业务活动开支的交通费、住宿费、用餐费等，共计支出</w:t>
      </w:r>
      <w:r>
        <w:rPr>
          <w:rFonts w:hint="eastAsia" w:ascii="FangSong_GB2312" w:eastAsia="FangSong_GB2312"/>
          <w:sz w:val="32"/>
          <w:szCs w:val="32"/>
          <w:lang w:val="en-US" w:eastAsia="zh-CN"/>
        </w:rPr>
        <w:t>0</w:t>
      </w:r>
      <w:r>
        <w:rPr>
          <w:rFonts w:hint="eastAsia" w:ascii="FangSong_GB2312" w:eastAsia="FangSong_GB2312"/>
          <w:sz w:val="32"/>
          <w:szCs w:val="32"/>
        </w:rPr>
        <w:t>万元。</w:t>
      </w:r>
    </w:p>
    <w:p>
      <w:pPr>
        <w:spacing w:line="600" w:lineRule="exact"/>
        <w:ind w:firstLine="642" w:firstLineChars="200"/>
        <w:rPr>
          <w:rFonts w:ascii="黑体" w:eastAsia="黑体"/>
          <w:sz w:val="32"/>
          <w:szCs w:val="32"/>
        </w:rPr>
      </w:pPr>
      <w:r>
        <w:rPr>
          <w:rFonts w:hint="eastAsia" w:ascii="仿宋" w:hAnsi="仿宋" w:eastAsia="仿宋"/>
          <w:b/>
          <w:sz w:val="32"/>
          <w:szCs w:val="32"/>
          <w:lang w:val="en-US" w:eastAsia="zh-CN"/>
        </w:rPr>
        <w:t>5.</w:t>
      </w:r>
      <w:r>
        <w:rPr>
          <w:rFonts w:hint="eastAsia" w:ascii="仿宋" w:hAnsi="仿宋" w:eastAsia="仿宋"/>
          <w:b/>
          <w:sz w:val="32"/>
          <w:szCs w:val="32"/>
        </w:rPr>
        <w:t>外事接待支出</w:t>
      </w:r>
      <w:r>
        <w:rPr>
          <w:rFonts w:hint="eastAsia" w:ascii="仿宋" w:hAnsi="仿宋" w:eastAsia="仿宋"/>
          <w:sz w:val="32"/>
          <w:szCs w:val="32"/>
          <w:lang w:val="en-US" w:eastAsia="zh-CN"/>
        </w:rPr>
        <w:t>0</w:t>
      </w:r>
      <w:r>
        <w:rPr>
          <w:rFonts w:hint="eastAsia" w:ascii="FangSong_GB2312" w:eastAsia="FangSong_GB2312"/>
          <w:sz w:val="32"/>
          <w:szCs w:val="32"/>
        </w:rPr>
        <w:t>万元，外事接待</w:t>
      </w:r>
      <w:r>
        <w:rPr>
          <w:rFonts w:hint="eastAsia" w:ascii="FangSong_GB2312" w:eastAsia="FangSong_GB2312"/>
          <w:sz w:val="32"/>
          <w:szCs w:val="32"/>
          <w:lang w:val="en-US" w:eastAsia="zh-CN"/>
        </w:rPr>
        <w:t>0</w:t>
      </w:r>
      <w:r>
        <w:rPr>
          <w:rFonts w:hint="eastAsia" w:ascii="FangSong_GB2312" w:eastAsia="FangSong_GB2312"/>
          <w:sz w:val="32"/>
          <w:szCs w:val="32"/>
        </w:rPr>
        <w:t>批次，</w:t>
      </w:r>
      <w:r>
        <w:rPr>
          <w:rFonts w:hint="eastAsia" w:ascii="FangSong_GB2312" w:eastAsia="FangSong_GB2312"/>
          <w:sz w:val="32"/>
          <w:szCs w:val="32"/>
          <w:lang w:val="en-US" w:eastAsia="zh-CN"/>
        </w:rPr>
        <w:t>0</w:t>
      </w:r>
      <w:r>
        <w:rPr>
          <w:rFonts w:hint="eastAsia" w:ascii="FangSong_GB2312" w:eastAsia="FangSong_GB2312"/>
          <w:sz w:val="32"/>
          <w:szCs w:val="32"/>
        </w:rPr>
        <w:t>人，共计支出</w:t>
      </w:r>
      <w:r>
        <w:rPr>
          <w:rFonts w:hint="eastAsia" w:ascii="FangSong_GB2312" w:eastAsia="FangSong_GB2312"/>
          <w:sz w:val="32"/>
          <w:szCs w:val="32"/>
          <w:lang w:val="en-US" w:eastAsia="zh-CN"/>
        </w:rPr>
        <w:t>0</w:t>
      </w:r>
      <w:r>
        <w:rPr>
          <w:rFonts w:hint="eastAsia" w:ascii="FangSong_GB2312" w:eastAsia="FangSong_GB2312"/>
          <w:sz w:val="32"/>
          <w:szCs w:val="32"/>
        </w:rPr>
        <w:t>万元。</w:t>
      </w:r>
    </w:p>
    <w:p>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3"/>
      <w:bookmarkEnd w:id="3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5" w:name="_Toc15396611"/>
      <w:bookmarkStart w:id="36"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5"/>
      <w:bookmarkEnd w:id="3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7" w:name="_Toc15396612"/>
      <w:bookmarkStart w:id="38"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7"/>
      <w:bookmarkEnd w:id="3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9" w:name="_Toc15377222"/>
      <w:r>
        <w:rPr>
          <w:rFonts w:hint="eastAsia" w:ascii="Times New Roman" w:hAnsi="Times New Roman" w:eastAsia="楷体_GB2312" w:cs="楷体_GB2312"/>
          <w:b/>
          <w:color w:val="auto"/>
          <w:sz w:val="32"/>
          <w:szCs w:val="32"/>
          <w:highlight w:val="none"/>
        </w:rPr>
        <w:t>（一）机关运行经费支出情况</w:t>
      </w:r>
      <w:bookmarkEnd w:id="39"/>
    </w:p>
    <w:p>
      <w:p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bookmarkStart w:id="40" w:name="_Toc15377223"/>
      <w:r>
        <w:rPr>
          <w:rFonts w:hint="eastAsia" w:ascii="Times New Roman" w:hAnsi="Times New Roman" w:eastAsia="仿宋_GB2312" w:cs="仿宋_GB2312"/>
          <w:color w:val="auto"/>
          <w:kern w:val="2"/>
          <w:sz w:val="32"/>
          <w:szCs w:val="32"/>
          <w:highlight w:val="none"/>
          <w:lang w:val="en-US" w:eastAsia="zh-CN" w:bidi="ar-SA"/>
        </w:rPr>
        <w:t>壤塘县鱼托寺寺庙管理委员会机关运行经费支出26.28万元，较2024年度减少0.85万元，下降3.13%。主要原因是单位严格落实厉行节约要求，严控日常公用经费，减少非必要开支。</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40"/>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FangSong_GB2312" w:eastAsia="FangSong_GB2312"/>
          <w:sz w:val="32"/>
          <w:szCs w:val="32"/>
          <w:lang w:eastAsia="zh-CN"/>
        </w:rPr>
        <w:t>壤塘县鱼托寺寺庙管理委员会</w:t>
      </w:r>
      <w:r>
        <w:rPr>
          <w:rFonts w:hint="eastAsia" w:ascii="FangSong_GB2312" w:eastAsia="FangSong_GB2312"/>
          <w:sz w:val="32"/>
          <w:szCs w:val="32"/>
        </w:rPr>
        <w:t>政府采购支出总额</w:t>
      </w:r>
      <w:r>
        <w:rPr>
          <w:rFonts w:hint="eastAsia" w:ascii="仿宋_GB2312" w:hAnsi="仿宋_GB2312" w:eastAsia="仿宋_GB2312"/>
          <w:color w:val="000000"/>
          <w:kern w:val="2"/>
          <w:sz w:val="32"/>
          <w:szCs w:val="24"/>
          <w:lang w:val="en-US" w:eastAsia="zh-CN"/>
        </w:rPr>
        <w:t>0</w:t>
      </w:r>
      <w:r>
        <w:rPr>
          <w:rFonts w:hint="eastAsia" w:ascii="FangSong_GB2312" w:eastAsia="FangSong_GB2312"/>
          <w:sz w:val="32"/>
          <w:szCs w:val="32"/>
        </w:rPr>
        <w:t>万元，其中：政府采购货物支出</w:t>
      </w:r>
      <w:r>
        <w:rPr>
          <w:rFonts w:hint="eastAsia" w:ascii="FangSong_GB2312" w:eastAsia="FangSong_GB2312"/>
          <w:sz w:val="32"/>
          <w:szCs w:val="32"/>
          <w:lang w:val="en-US" w:eastAsia="zh-CN"/>
        </w:rPr>
        <w:t>0</w:t>
      </w:r>
      <w:r>
        <w:rPr>
          <w:rFonts w:hint="eastAsia" w:ascii="FangSong_GB2312" w:eastAsia="FangSong_GB2312"/>
          <w:sz w:val="32"/>
          <w:szCs w:val="32"/>
        </w:rPr>
        <w:t>万元、政府采购工程支出</w:t>
      </w:r>
      <w:r>
        <w:rPr>
          <w:rFonts w:hint="eastAsia" w:ascii="FangSong_GB2312" w:eastAsia="FangSong_GB2312"/>
          <w:sz w:val="32"/>
          <w:szCs w:val="32"/>
          <w:lang w:val="en-US" w:eastAsia="zh-CN"/>
        </w:rPr>
        <w:t>0</w:t>
      </w:r>
      <w:r>
        <w:rPr>
          <w:rFonts w:hint="eastAsia" w:ascii="FangSong_GB2312" w:eastAsia="FangSong_GB2312"/>
          <w:sz w:val="32"/>
          <w:szCs w:val="32"/>
        </w:rPr>
        <w:t>万元、政府采购服务支出</w:t>
      </w:r>
      <w:r>
        <w:rPr>
          <w:rFonts w:hint="eastAsia" w:ascii="仿宋_GB2312" w:hAnsi="仿宋_GB2312" w:eastAsia="仿宋_GB2312"/>
          <w:color w:val="000000"/>
          <w:kern w:val="2"/>
          <w:sz w:val="32"/>
          <w:szCs w:val="24"/>
          <w:lang w:val="en-US" w:eastAsia="zh-CN"/>
        </w:rPr>
        <w:t>0</w:t>
      </w:r>
      <w:r>
        <w:rPr>
          <w:rFonts w:hint="eastAsia" w:ascii="FangSong_GB2312" w:eastAsia="FangSong_GB2312"/>
          <w:sz w:val="32"/>
          <w:szCs w:val="32"/>
        </w:rPr>
        <w:t>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24"/>
      <w:r>
        <w:rPr>
          <w:rFonts w:hint="eastAsia" w:ascii="Times New Roman" w:hAnsi="Times New Roman" w:eastAsia="楷体_GB2312" w:cs="楷体_GB2312"/>
          <w:b/>
          <w:color w:val="auto"/>
          <w:sz w:val="32"/>
          <w:szCs w:val="32"/>
          <w:highlight w:val="none"/>
        </w:rPr>
        <w:t>（三）国有资产占有使用情况</w:t>
      </w:r>
      <w:bookmarkEnd w:id="41"/>
    </w:p>
    <w:p>
      <w:pPr>
        <w:autoSpaceDE w:val="0"/>
        <w:autoSpaceDN w:val="0"/>
        <w:adjustRightInd w:val="0"/>
        <w:spacing w:line="600" w:lineRule="exact"/>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FangSong_GB2312" w:eastAsia="FangSong_GB2312"/>
          <w:sz w:val="32"/>
          <w:szCs w:val="32"/>
          <w:lang w:eastAsia="zh-CN"/>
        </w:rPr>
        <w:t>阿坝州壤塘县壤塘县鱼托寺寺庙管理委员会</w:t>
      </w:r>
      <w:r>
        <w:rPr>
          <w:rFonts w:hint="eastAsia" w:ascii="FangSong_GB2312" w:eastAsia="FangSong_GB2312"/>
          <w:sz w:val="32"/>
          <w:szCs w:val="32"/>
        </w:rPr>
        <w:t>共有车辆</w:t>
      </w:r>
      <w:r>
        <w:rPr>
          <w:rFonts w:hint="eastAsia" w:ascii="FangSong_GB2312" w:eastAsia="FangSong_GB2312"/>
          <w:sz w:val="32"/>
          <w:szCs w:val="32"/>
          <w:lang w:val="en-US" w:eastAsia="zh-CN"/>
        </w:rPr>
        <w:t>1</w:t>
      </w:r>
      <w:r>
        <w:rPr>
          <w:rFonts w:hint="eastAsia" w:ascii="FangSong_GB2312" w:eastAsia="FangSong_GB2312"/>
          <w:sz w:val="32"/>
          <w:szCs w:val="32"/>
        </w:rPr>
        <w:t>辆，其中：主要领导干部用车</w:t>
      </w:r>
      <w:r>
        <w:rPr>
          <w:rFonts w:hint="eastAsia" w:ascii="FangSong_GB2312" w:eastAsia="FangSong_GB2312"/>
          <w:sz w:val="32"/>
          <w:szCs w:val="32"/>
          <w:lang w:val="en-US" w:eastAsia="zh-CN"/>
        </w:rPr>
        <w:t>0</w:t>
      </w:r>
      <w:r>
        <w:rPr>
          <w:rFonts w:hint="eastAsia" w:ascii="FangSong_GB2312" w:eastAsia="FangSong_GB2312"/>
          <w:sz w:val="32"/>
          <w:szCs w:val="32"/>
        </w:rPr>
        <w:t>辆、机要通信用车</w:t>
      </w:r>
      <w:r>
        <w:rPr>
          <w:rFonts w:hint="eastAsia" w:ascii="FangSong_GB2312" w:eastAsia="FangSong_GB2312"/>
          <w:sz w:val="32"/>
          <w:szCs w:val="32"/>
          <w:lang w:val="en-US" w:eastAsia="zh-CN"/>
        </w:rPr>
        <w:t>0</w:t>
      </w:r>
      <w:r>
        <w:rPr>
          <w:rFonts w:hint="eastAsia" w:ascii="FangSong_GB2312" w:eastAsia="FangSong_GB2312"/>
          <w:sz w:val="32"/>
          <w:szCs w:val="32"/>
        </w:rPr>
        <w:t>辆、应急保障用车</w:t>
      </w:r>
      <w:r>
        <w:rPr>
          <w:rFonts w:hint="eastAsia" w:ascii="FangSong_GB2312" w:eastAsia="FangSong_GB2312"/>
          <w:sz w:val="32"/>
          <w:szCs w:val="32"/>
          <w:lang w:val="en-US" w:eastAsia="zh-CN"/>
        </w:rPr>
        <w:t>0</w:t>
      </w:r>
      <w:r>
        <w:rPr>
          <w:rFonts w:hint="eastAsia" w:ascii="FangSong_GB2312" w:eastAsia="FangSong_GB2312"/>
          <w:sz w:val="32"/>
          <w:szCs w:val="32"/>
        </w:rPr>
        <w:t>辆、其他用车</w:t>
      </w:r>
      <w:r>
        <w:rPr>
          <w:rFonts w:hint="eastAsia" w:ascii="FangSong_GB2312" w:eastAsia="FangSong_GB2312"/>
          <w:sz w:val="32"/>
          <w:szCs w:val="32"/>
          <w:lang w:val="en-US" w:eastAsia="zh-CN"/>
        </w:rPr>
        <w:t>1</w:t>
      </w:r>
      <w:r>
        <w:rPr>
          <w:rFonts w:hint="eastAsia" w:ascii="FangSong_GB2312" w:eastAsia="FangSong_GB2312"/>
          <w:sz w:val="32"/>
          <w:szCs w:val="32"/>
        </w:rPr>
        <w:t>辆</w:t>
      </w:r>
      <w:r>
        <w:rPr>
          <w:rFonts w:hint="eastAsia" w:ascii="FangSong_GB2312" w:eastAsia="FangSong_GB2312"/>
          <w:sz w:val="32"/>
          <w:szCs w:val="32"/>
          <w:lang w:eastAsia="zh-CN"/>
        </w:rPr>
        <w:t>。</w:t>
      </w:r>
      <w:r>
        <w:rPr>
          <w:rFonts w:hint="eastAsia" w:ascii="FangSong_GB2312" w:eastAsia="FangSong_GB2312"/>
          <w:sz w:val="32"/>
          <w:szCs w:val="32"/>
        </w:rPr>
        <w:t>单价</w:t>
      </w:r>
      <w:r>
        <w:rPr>
          <w:rFonts w:ascii="FangSong_GB2312" w:eastAsia="FangSong_GB2312"/>
          <w:sz w:val="32"/>
          <w:szCs w:val="32"/>
        </w:rPr>
        <w:t>50</w:t>
      </w:r>
      <w:r>
        <w:rPr>
          <w:rFonts w:hint="eastAsia" w:ascii="FangSong_GB2312" w:eastAsia="FangSong_GB2312"/>
          <w:sz w:val="32"/>
          <w:szCs w:val="32"/>
        </w:rPr>
        <w:t>万元以上通用设备</w:t>
      </w:r>
      <w:r>
        <w:rPr>
          <w:rFonts w:hint="eastAsia" w:ascii="FangSong_GB2312" w:eastAsia="FangSong_GB2312"/>
          <w:sz w:val="32"/>
          <w:szCs w:val="32"/>
          <w:lang w:val="en-US" w:eastAsia="zh-CN"/>
        </w:rPr>
        <w:t>0</w:t>
      </w:r>
      <w:r>
        <w:rPr>
          <w:rFonts w:hint="eastAsia" w:ascii="FangSong_GB2312" w:eastAsia="FangSong_GB2312"/>
          <w:sz w:val="32"/>
          <w:szCs w:val="32"/>
        </w:rPr>
        <w:t>台（套），单价</w:t>
      </w:r>
      <w:r>
        <w:rPr>
          <w:rFonts w:ascii="FangSong_GB2312" w:eastAsia="FangSong_GB2312"/>
          <w:sz w:val="32"/>
          <w:szCs w:val="32"/>
        </w:rPr>
        <w:t>100</w:t>
      </w:r>
      <w:r>
        <w:rPr>
          <w:rFonts w:hint="eastAsia" w:ascii="FangSong_GB2312" w:eastAsia="FangSong_GB2312"/>
          <w:sz w:val="32"/>
          <w:szCs w:val="32"/>
        </w:rPr>
        <w:t>万元以上专用设备</w:t>
      </w:r>
      <w:r>
        <w:rPr>
          <w:rFonts w:hint="eastAsia" w:ascii="FangSong_GB2312" w:eastAsia="FangSong_GB2312"/>
          <w:sz w:val="32"/>
          <w:szCs w:val="32"/>
          <w:lang w:val="en-US" w:eastAsia="zh-CN"/>
        </w:rPr>
        <w:t>0</w:t>
      </w:r>
      <w:r>
        <w:rPr>
          <w:rFonts w:hint="eastAsia" w:ascii="FangSong_GB2312" w:eastAsia="FangSong_GB2312"/>
          <w:sz w:val="32"/>
          <w:szCs w:val="32"/>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58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根据预算绩效管理要求，本部门在</w:t>
      </w:r>
      <w:r>
        <w:rPr>
          <w:rFonts w:hint="eastAsia" w:ascii="仿宋_GB2312" w:hAnsi="仿宋_GB2312" w:eastAsia="仿宋_GB2312" w:cs="仿宋_GB2312"/>
          <w:color w:val="auto"/>
          <w:sz w:val="32"/>
          <w:szCs w:val="32"/>
          <w:highlight w:val="none"/>
          <w:lang w:val="en-US" w:eastAsia="zh-CN"/>
        </w:rPr>
        <w:t>2025年度</w:t>
      </w:r>
      <w:r>
        <w:rPr>
          <w:rFonts w:hint="eastAsia" w:ascii="仿宋_GB2312" w:hAnsi="仿宋_GB2312" w:eastAsia="仿宋_GB2312" w:cs="仿宋_GB2312"/>
          <w:color w:val="auto"/>
          <w:sz w:val="32"/>
          <w:szCs w:val="32"/>
          <w:highlight w:val="none"/>
        </w:rPr>
        <w:t>预算编制阶段，组织对</w:t>
      </w:r>
      <w:r>
        <w:rPr>
          <w:rFonts w:hint="eastAsia" w:ascii="仿宋_GB2312" w:hAnsi="仿宋_GB2312" w:eastAsia="仿宋_GB2312" w:cs="仿宋_GB2312"/>
          <w:color w:val="auto"/>
          <w:sz w:val="32"/>
          <w:szCs w:val="32"/>
          <w:highlight w:val="none"/>
          <w:lang w:val="en-US" w:eastAsia="zh-CN"/>
        </w:rPr>
        <w:t>3个项目</w:t>
      </w:r>
      <w:r>
        <w:rPr>
          <w:rFonts w:hint="eastAsia" w:ascii="仿宋_GB2312" w:hAnsi="仿宋_GB2312" w:eastAsia="仿宋_GB2312" w:cs="仿宋_GB2312"/>
          <w:color w:val="auto"/>
          <w:sz w:val="32"/>
          <w:szCs w:val="32"/>
          <w:highlight w:val="none"/>
        </w:rPr>
        <w:t>开展了预算事前绩效评估，对</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个项目开展绩效监控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本单位无专项项目。</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eastAsia="zh-CN"/>
        </w:rPr>
        <w:t>组织</w:t>
      </w:r>
      <w:r>
        <w:rPr>
          <w:rFonts w:hint="eastAsia" w:ascii="仿宋_GB2312" w:hAnsi="仿宋_GB2312" w:eastAsia="仿宋_GB2312" w:cs="仿宋_GB2312"/>
          <w:color w:val="auto"/>
          <w:sz w:val="32"/>
          <w:szCs w:val="32"/>
          <w:highlight w:val="none"/>
        </w:rPr>
        <w:t>对</w:t>
      </w:r>
      <w:r>
        <w:rPr>
          <w:rFonts w:hint="eastAsia" w:ascii="仿宋_GB2312" w:hAnsi="仿宋_GB2312" w:eastAsia="仿宋_GB2312" w:cs="仿宋_GB2312"/>
          <w:color w:val="auto"/>
          <w:sz w:val="32"/>
          <w:szCs w:val="32"/>
          <w:highlight w:val="none"/>
          <w:lang w:val="en-US" w:eastAsia="zh-CN"/>
        </w:rPr>
        <w:t>2025年度一般公共预算、</w:t>
      </w:r>
      <w:r>
        <w:rPr>
          <w:rFonts w:hint="eastAsia" w:ascii="仿宋_GB2312" w:hAnsi="仿宋_GB2312" w:eastAsia="仿宋_GB2312" w:cs="仿宋_GB2312"/>
          <w:color w:val="auto"/>
          <w:sz w:val="32"/>
          <w:szCs w:val="32"/>
          <w:highlight w:val="none"/>
          <w:lang w:eastAsia="zh-CN"/>
        </w:rPr>
        <w:t>政府性基金预算、国有资本经营预算、社会保险基金预算以及资本资产、债券资金等</w:t>
      </w:r>
      <w:r>
        <w:rPr>
          <w:rFonts w:hint="eastAsia" w:ascii="仿宋_GB2312" w:hAnsi="仿宋_GB2312" w:eastAsia="仿宋_GB2312" w:cs="仿宋_GB2312"/>
          <w:color w:val="auto"/>
          <w:sz w:val="32"/>
          <w:szCs w:val="32"/>
          <w:highlight w:val="none"/>
          <w:lang w:val="en-US" w:eastAsia="zh-CN"/>
        </w:rPr>
        <w:t>全面开展绩效自评，形成</w:t>
      </w:r>
      <w:r>
        <w:rPr>
          <w:rFonts w:hint="eastAsia" w:ascii="FangSong_GB2312" w:eastAsia="FangSong_GB2312"/>
          <w:sz w:val="32"/>
          <w:szCs w:val="32"/>
          <w:highlight w:val="none"/>
          <w:lang w:eastAsia="zh-CN"/>
        </w:rPr>
        <w:t>壤塘县鱼托寺寺庙管理委员会</w:t>
      </w:r>
      <w:r>
        <w:rPr>
          <w:rFonts w:hint="eastAsia" w:ascii="仿宋_GB2312" w:hAnsi="仿宋_GB2312" w:eastAsia="仿宋_GB2312" w:cs="仿宋_GB2312"/>
          <w:color w:val="auto"/>
          <w:sz w:val="32"/>
          <w:szCs w:val="32"/>
          <w:highlight w:val="none"/>
          <w:lang w:eastAsia="zh-CN"/>
        </w:rPr>
        <w:t>部门整体（含部门预算项目）</w:t>
      </w:r>
      <w:r>
        <w:rPr>
          <w:rFonts w:hint="eastAsia" w:ascii="仿宋_GB2312" w:hAnsi="仿宋_GB2312" w:eastAsia="仿宋_GB2312" w:cs="仿宋_GB2312"/>
          <w:color w:val="auto"/>
          <w:sz w:val="32"/>
          <w:szCs w:val="32"/>
          <w:highlight w:val="none"/>
          <w:lang w:val="en-US" w:eastAsia="zh-CN"/>
        </w:rPr>
        <w:t>绩效自评报告，其中，</w:t>
      </w:r>
      <w:r>
        <w:rPr>
          <w:rFonts w:hint="eastAsia" w:ascii="FangSong_GB2312" w:eastAsia="FangSong_GB2312"/>
          <w:sz w:val="32"/>
          <w:szCs w:val="32"/>
          <w:highlight w:val="none"/>
          <w:lang w:eastAsia="zh-CN"/>
        </w:rPr>
        <w:t>壤塘县鱼托寺寺庙管理委员会</w:t>
      </w:r>
      <w:r>
        <w:rPr>
          <w:rFonts w:hint="eastAsia" w:ascii="仿宋_GB2312" w:hAnsi="仿宋_GB2312" w:eastAsia="仿宋_GB2312" w:cs="仿宋_GB2312"/>
          <w:color w:val="auto"/>
          <w:sz w:val="32"/>
          <w:szCs w:val="32"/>
          <w:highlight w:val="none"/>
          <w:lang w:val="en-US" w:eastAsia="zh-CN"/>
        </w:rPr>
        <w:t>部门整体</w:t>
      </w:r>
      <w:r>
        <w:rPr>
          <w:rFonts w:hint="eastAsia" w:ascii="仿宋_GB2312" w:hAnsi="仿宋_GB2312" w:eastAsia="仿宋_GB2312" w:cs="仿宋_GB2312"/>
          <w:color w:val="auto"/>
          <w:sz w:val="32"/>
          <w:szCs w:val="32"/>
          <w:highlight w:val="none"/>
          <w:lang w:eastAsia="zh-CN"/>
        </w:rPr>
        <w:t>（含部门预算项目）</w:t>
      </w:r>
      <w:r>
        <w:rPr>
          <w:rFonts w:hint="eastAsia" w:ascii="仿宋_GB2312" w:hAnsi="仿宋_GB2312" w:eastAsia="仿宋_GB2312" w:cs="仿宋_GB2312"/>
          <w:color w:val="auto"/>
          <w:sz w:val="32"/>
          <w:szCs w:val="32"/>
          <w:highlight w:val="none"/>
          <w:lang w:val="en-US" w:eastAsia="zh-CN"/>
        </w:rPr>
        <w:t>绩效自评得分为97分，绩效自评综述：总体表现良好,主要问题为项目绩效目标设置不合理；绩效自评报告详见附件。</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2" w:name="_Toc15377225"/>
      <w:bookmarkStart w:id="43"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2"/>
      <w:bookmarkEnd w:id="43"/>
    </w:p>
    <w:p>
      <w:pPr>
        <w:spacing w:line="600" w:lineRule="exact"/>
        <w:jc w:val="left"/>
        <w:rPr>
          <w:rFonts w:ascii="Times New Roman" w:hAnsi="Times New Roman"/>
          <w:b/>
          <w:color w:val="auto"/>
          <w:sz w:val="44"/>
          <w:szCs w:val="44"/>
          <w:highlight w:val="none"/>
        </w:rPr>
      </w:pPr>
    </w:p>
    <w:p>
      <w:pPr>
        <w:ind w:firstLine="640" w:firstLineChars="200"/>
        <w:rPr>
          <w:rFonts w:ascii="FangSong_GB2312" w:eastAsia="FangSong_GB2312"/>
          <w:color w:val="auto"/>
          <w:szCs w:val="32"/>
        </w:rPr>
      </w:pPr>
      <w:bookmarkStart w:id="44" w:name="_Toc16002"/>
      <w:bookmarkStart w:id="45" w:name="_Toc14439"/>
      <w:bookmarkStart w:id="46" w:name="_Toc15377226"/>
      <w:r>
        <w:rPr>
          <w:rFonts w:hint="eastAsia" w:ascii="仿宋_GB2312" w:hAnsi="仿宋_GB2312" w:eastAsia="仿宋_GB2312" w:cs="仿宋_GB2312"/>
          <w:sz w:val="32"/>
          <w:szCs w:val="32"/>
          <w:lang w:val="en-US" w:eastAsia="zh-CN"/>
        </w:rPr>
        <w:t>1.财政拨款收入：指单位从同级财政部门取得的财政预算资金。</w:t>
      </w:r>
      <w:bookmarkEnd w:id="44"/>
      <w:bookmarkEnd w:id="45"/>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2.事业收入：指事业单位开展专业业务活动及辅助活动取得的收入。</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3.经营收入：指事业单位在专业业务活动及其辅助活动之外开展非独立核算经营活动取得的收入。</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4.其他收入：指单位取得的除上述收入以外的各项收入。 </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5.使用非财政拨款结余：指事业单位使用以前年度积累的非财政拨款结余弥补当年收支差额的金额。 </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6.年初结转和结余：指以前年度尚未完成、结转到本年按有关规定继续使用的资金。 </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7.结余分配：指事业单位按照会计制度规定缴纳的所得税、提取的专用结余以及转入非财政拨款结余的金额等。</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8、年末结转和结余：指单位按有关规定结转到下年或以后年度继续使用的资金。</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9.社会保障和就业（类）社会保障和就业支出（款）机关事业单位基本养老保险缴费支出（项）：指基本养老保险单位部分支出。</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10.医疗卫生与计划生育（类）卫生健康（款）行政事业单位基本医疗保险、公务员医疗、医疗补助（项）：指基本医疗保险与公务员医疗补助缴费支出。</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11.节能环保（类）节能环保（款）节能环保（项）：指开展节能环保各项工作的支出。</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12.住房保障（类）住房保障支出（款）住房改革支出（项）：住房公积金指单位为职工按比例缴纳的住房公积金支出。</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13.基本支出：指为保障机构正常运转、完成日常工作任务而发生的人员支出和公用支出。</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14.项目支出：指在基本支出之外为完成特定行政任务和事业发展目标所发生的支出。 </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15.经营支出：指事业单位在专业业务活动及其辅助活动之外开展非独立核算经营活动发生的支出。</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ind w:firstLine="640" w:firstLineChars="200"/>
        <w:rPr>
          <w:rFonts w:ascii="FangSong_GB2312" w:eastAsia="FangSong_GB2312"/>
          <w:color w:val="auto"/>
          <w:sz w:val="32"/>
          <w:szCs w:val="32"/>
        </w:rPr>
      </w:pPr>
      <w:r>
        <w:rPr>
          <w:rFonts w:hint="eastAsia" w:ascii="仿宋_GB2312" w:hAnsi="仿宋_GB2312" w:eastAsia="仿宋_GB2312" w:cs="仿宋_GB2312"/>
          <w:sz w:val="32"/>
          <w:szCs w:val="32"/>
          <w:lang w:val="en-US" w:eastAsia="zh-CN"/>
        </w:rPr>
        <w:t>17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FangSong_GB2312" w:eastAsia="FangSong_GB2312"/>
          <w:color w:val="auto"/>
          <w:sz w:val="32"/>
          <w:szCs w:val="32"/>
        </w:rPr>
        <w:t>。</w:t>
      </w:r>
    </w:p>
    <w:p>
      <w:pPr>
        <w:spacing w:line="600" w:lineRule="exact"/>
        <w:jc w:val="center"/>
        <w:rPr>
          <w:rStyle w:val="29"/>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47"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7"/>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960" w:firstLineChars="3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仿宋_GB2312" w:hAnsi="仿宋_GB2312" w:eastAsia="仿宋_GB2312" w:cs="仿宋_GB2312"/>
          <w:sz w:val="32"/>
          <w:szCs w:val="32"/>
        </w:rPr>
        <w:t>壤塘县</w:t>
      </w:r>
      <w:r>
        <w:rPr>
          <w:rFonts w:hint="eastAsia" w:ascii="仿宋_GB2312" w:hAnsi="仿宋_GB2312" w:eastAsia="仿宋_GB2312" w:cs="仿宋_GB2312"/>
          <w:sz w:val="32"/>
          <w:szCs w:val="32"/>
          <w:lang w:val="en-US" w:eastAsia="zh-CN"/>
        </w:rPr>
        <w:t>鱼托寺</w:t>
      </w:r>
      <w:r>
        <w:rPr>
          <w:rFonts w:hint="eastAsia" w:ascii="仿宋_GB2312" w:hAnsi="仿宋_GB2312" w:eastAsia="仿宋_GB2312" w:cs="仿宋_GB2312"/>
          <w:sz w:val="32"/>
          <w:szCs w:val="32"/>
        </w:rPr>
        <w:t>寺庙管理委员会机构性质：机关，机构地址：四川省壤塘县上杜柯乡吉拉村戈拉塘，单位负责人：</w:t>
      </w:r>
      <w:r>
        <w:rPr>
          <w:rFonts w:hint="eastAsia" w:ascii="仿宋_GB2312" w:hAnsi="仿宋_GB2312" w:eastAsia="仿宋_GB2312" w:cs="仿宋_GB2312"/>
          <w:sz w:val="32"/>
          <w:szCs w:val="32"/>
          <w:lang w:val="en-US" w:eastAsia="zh-CN"/>
        </w:rPr>
        <w:t>扎西郎吉</w:t>
      </w:r>
      <w:r>
        <w:rPr>
          <w:rFonts w:hint="eastAsia" w:ascii="仿宋_GB2312" w:hAnsi="仿宋_GB2312" w:eastAsia="仿宋_GB2312" w:cs="仿宋_GB2312"/>
          <w:sz w:val="32"/>
          <w:szCs w:val="32"/>
        </w:rPr>
        <w:t>。</w:t>
      </w:r>
    </w:p>
    <w:p>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机构组成。</w:t>
      </w: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960" w:firstLineChars="3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仿宋_GB2312" w:hAnsi="仿宋_GB2312" w:eastAsia="仿宋_GB2312" w:cs="仿宋_GB2312"/>
          <w:sz w:val="32"/>
          <w:szCs w:val="32"/>
          <w:lang w:val="zh-CN"/>
        </w:rPr>
        <w:t>壤塘县</w:t>
      </w:r>
      <w:r>
        <w:rPr>
          <w:rFonts w:hint="eastAsia" w:ascii="仿宋_GB2312" w:hAnsi="仿宋_GB2312" w:eastAsia="仿宋_GB2312" w:cs="仿宋_GB2312"/>
          <w:sz w:val="32"/>
          <w:szCs w:val="32"/>
          <w:lang w:val="en-US" w:eastAsia="zh-CN"/>
        </w:rPr>
        <w:t>鱼托</w:t>
      </w:r>
      <w:r>
        <w:rPr>
          <w:rFonts w:hint="eastAsia" w:ascii="仿宋_GB2312" w:hAnsi="仿宋_GB2312" w:eastAsia="仿宋_GB2312" w:cs="仿宋_GB2312"/>
          <w:sz w:val="32"/>
          <w:szCs w:val="32"/>
          <w:lang w:val="zh-CN"/>
        </w:rPr>
        <w:t>寺寺庙管理委员会</w:t>
      </w:r>
      <w:r>
        <w:rPr>
          <w:rFonts w:hint="eastAsia" w:ascii="仿宋_GB2312" w:hAnsi="仿宋_GB2312" w:eastAsia="仿宋_GB2312" w:cs="仿宋_GB2312"/>
          <w:color w:val="auto"/>
          <w:sz w:val="32"/>
          <w:szCs w:val="32"/>
        </w:rPr>
        <w:t>共有1个股室，办公室</w:t>
      </w:r>
      <w:r>
        <w:rPr>
          <w:rFonts w:hint="eastAsia" w:ascii="仿宋_GB2312" w:hAnsi="仿宋_GB2312" w:eastAsia="仿宋_GB2312" w:cs="仿宋_GB2312"/>
          <w:sz w:val="32"/>
          <w:szCs w:val="32"/>
        </w:rPr>
        <w:t>。</w:t>
      </w:r>
    </w:p>
    <w:p>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pPr>
        <w:pStyle w:val="36"/>
        <w:keepNext w:val="0"/>
        <w:keepLines w:val="0"/>
        <w:pageBreakBefore w:val="0"/>
        <w:kinsoku/>
        <w:wordWrap/>
        <w:topLinePunct w:val="0"/>
        <w:autoSpaceDE/>
        <w:autoSpaceDN/>
        <w:bidi w:val="0"/>
        <w:adjustRightInd/>
        <w:snapToGrid/>
        <w:spacing w:line="560" w:lineRule="exact"/>
        <w:ind w:firstLine="960" w:firstLineChars="3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依法加强寺庙宗教事务管理：一是加强</w:t>
      </w:r>
      <w:r>
        <w:rPr>
          <w:rFonts w:hint="eastAsia" w:ascii="仿宋_GB2312" w:hAnsi="仿宋_GB2312" w:eastAsia="仿宋_GB2312" w:cs="仿宋_GB2312"/>
          <w:sz w:val="32"/>
          <w:szCs w:val="32"/>
          <w:lang w:eastAsia="zh-CN"/>
        </w:rPr>
        <w:t>寺庙规范</w:t>
      </w:r>
      <w:r>
        <w:rPr>
          <w:rFonts w:hint="eastAsia" w:ascii="仿宋_GB2312" w:hAnsi="仿宋_GB2312" w:eastAsia="仿宋_GB2312" w:cs="仿宋_GB2312"/>
          <w:sz w:val="32"/>
          <w:szCs w:val="32"/>
        </w:rPr>
        <w:t>管理。规范寺庙建设行为，严格执行寺庙用地、修建宗教建筑的有关规定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规范僧人扎康的建设和管理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加强寺庙财务收支、卫生防疫、文物保护工作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二是加强僧人管理。健全完善并及时更新僧人基本信息</w:t>
      </w:r>
      <w:r>
        <w:rPr>
          <w:rFonts w:hint="eastAsia" w:ascii="仿宋_GB2312" w:hAnsi="仿宋_GB2312" w:eastAsia="仿宋_GB2312" w:cs="仿宋_GB2312"/>
          <w:sz w:val="32"/>
          <w:szCs w:val="32"/>
          <w:lang w:eastAsia="zh-CN"/>
        </w:rPr>
        <w:t>“台账”，</w:t>
      </w:r>
      <w:r>
        <w:rPr>
          <w:rFonts w:hint="eastAsia" w:ascii="仿宋_GB2312" w:hAnsi="仿宋_GB2312" w:eastAsia="仿宋_GB2312" w:cs="仿宋_GB2312"/>
          <w:sz w:val="32"/>
          <w:szCs w:val="32"/>
        </w:rPr>
        <w:t>完善僧人证信息采集，僧人办理僧人证并持证住寺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严格落实僧人外出请销假制度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三是加强宗教佛事活动管理。建立完善寺庙宗教佛事活动</w:t>
      </w:r>
      <w:r>
        <w:rPr>
          <w:rFonts w:hint="eastAsia" w:ascii="仿宋_GB2312" w:hAnsi="仿宋_GB2312" w:eastAsia="仿宋_GB2312" w:cs="仿宋_GB2312"/>
          <w:sz w:val="32"/>
          <w:szCs w:val="32"/>
          <w:lang w:eastAsia="zh-CN"/>
        </w:rPr>
        <w:t>“台账”</w:t>
      </w:r>
      <w:r>
        <w:rPr>
          <w:rFonts w:hint="eastAsia" w:ascii="仿宋_GB2312" w:hAnsi="仿宋_GB2312" w:eastAsia="仿宋_GB2312" w:cs="仿宋_GB2312"/>
          <w:sz w:val="32"/>
          <w:szCs w:val="32"/>
        </w:rPr>
        <w:t>，切实掌握寺庙佛事活动举办的时间、规模、地点、参与人数等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实行宗教佛事活动报批制度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坚持“小型、就地、短期”</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rPr>
        <w:t>“谁主办，谁负责”原则。</w:t>
      </w:r>
    </w:p>
    <w:p>
      <w:pPr>
        <w:pStyle w:val="36"/>
        <w:keepNext w:val="0"/>
        <w:keepLines w:val="0"/>
        <w:pageBreakBefore w:val="0"/>
        <w:kinsoku/>
        <w:wordWrap/>
        <w:topLinePunct w:val="0"/>
        <w:autoSpaceDE/>
        <w:autoSpaceDN/>
        <w:bidi w:val="0"/>
        <w:adjustRightInd/>
        <w:snapToGrid/>
        <w:spacing w:line="560" w:lineRule="exact"/>
        <w:textAlignment w:val="auto"/>
        <w:rPr>
          <w:rFonts w:hint="default" w:ascii="Times New Roman" w:hAnsi="Times New Roman" w:eastAsia="楷体_GB2312" w:cs="楷体_GB2312"/>
          <w:b/>
          <w:color w:val="auto"/>
          <w:sz w:val="32"/>
          <w:szCs w:val="32"/>
          <w:highlight w:val="none"/>
          <w:lang w:val="zh-CN"/>
        </w:rPr>
      </w:pPr>
      <w:r>
        <w:rPr>
          <w:rFonts w:hint="eastAsia" w:ascii="仿宋_GB2312" w:hAnsi="仿宋_GB2312" w:eastAsia="仿宋_GB2312" w:cs="仿宋_GB2312"/>
          <w:sz w:val="32"/>
          <w:szCs w:val="32"/>
        </w:rPr>
        <w:t>加强教育引导：以增强僧人</w:t>
      </w:r>
      <w:r>
        <w:rPr>
          <w:rFonts w:hint="eastAsia" w:ascii="仿宋_GB2312" w:hAnsi="仿宋_GB2312" w:eastAsia="仿宋_GB2312" w:cs="仿宋_GB2312"/>
          <w:sz w:val="32"/>
          <w:szCs w:val="32"/>
          <w:lang w:eastAsia="zh-CN"/>
        </w:rPr>
        <w:t>法治</w:t>
      </w:r>
      <w:r>
        <w:rPr>
          <w:rFonts w:hint="eastAsia" w:ascii="仿宋_GB2312" w:hAnsi="仿宋_GB2312" w:eastAsia="仿宋_GB2312" w:cs="仿宋_GB2312"/>
          <w:sz w:val="32"/>
          <w:szCs w:val="32"/>
        </w:rPr>
        <w:t>意识、公民意识、</w:t>
      </w:r>
      <w:r>
        <w:rPr>
          <w:rFonts w:hint="eastAsia" w:ascii="仿宋_GB2312" w:hAnsi="仿宋_GB2312" w:eastAsia="仿宋_GB2312" w:cs="仿宋_GB2312"/>
          <w:sz w:val="32"/>
          <w:szCs w:val="32"/>
          <w:lang w:eastAsia="zh-CN"/>
        </w:rPr>
        <w:t>政治意识</w:t>
      </w:r>
      <w:r>
        <w:rPr>
          <w:rFonts w:hint="eastAsia" w:ascii="仿宋_GB2312" w:hAnsi="仿宋_GB2312" w:eastAsia="仿宋_GB2312" w:cs="仿宋_GB2312"/>
          <w:sz w:val="32"/>
          <w:szCs w:val="32"/>
        </w:rPr>
        <w:t>为目的，坚持不懈加强对僧人的教育引导。一是完善教育制度。把寺庙爱国主义教育和</w:t>
      </w:r>
      <w:r>
        <w:rPr>
          <w:rFonts w:hint="eastAsia" w:ascii="仿宋_GB2312" w:hAnsi="仿宋_GB2312" w:eastAsia="仿宋_GB2312" w:cs="仿宋_GB2312"/>
          <w:sz w:val="32"/>
          <w:szCs w:val="32"/>
          <w:lang w:eastAsia="zh-CN"/>
        </w:rPr>
        <w:t>法治</w:t>
      </w:r>
      <w:r>
        <w:rPr>
          <w:rFonts w:hint="eastAsia" w:ascii="仿宋_GB2312" w:hAnsi="仿宋_GB2312" w:eastAsia="仿宋_GB2312" w:cs="仿宋_GB2312"/>
          <w:sz w:val="32"/>
          <w:szCs w:val="32"/>
        </w:rPr>
        <w:t>宣传教育常态化、制度化，引导僧人坚定不移守法持戒、爱国爱教。二是丰富教育。开展</w:t>
      </w:r>
      <w:r>
        <w:rPr>
          <w:rFonts w:hint="eastAsia" w:ascii="仿宋_GB2312" w:hAnsi="仿宋_GB2312" w:eastAsia="仿宋_GB2312" w:cs="仿宋_GB2312"/>
          <w:sz w:val="32"/>
          <w:szCs w:val="32"/>
          <w:lang w:eastAsia="zh-CN"/>
        </w:rPr>
        <w:t>法治</w:t>
      </w:r>
      <w:r>
        <w:rPr>
          <w:rFonts w:hint="eastAsia" w:ascii="仿宋_GB2312" w:hAnsi="仿宋_GB2312" w:eastAsia="仿宋_GB2312" w:cs="仿宋_GB2312"/>
          <w:sz w:val="32"/>
          <w:szCs w:val="32"/>
        </w:rPr>
        <w:t>教育、政策教育、爱国教育、形势教育、团结教育、教规教育、生命教育、知识教育、技能教育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教育引导僧人要与推进</w:t>
      </w:r>
      <w:r>
        <w:rPr>
          <w:rFonts w:hint="eastAsia" w:ascii="仿宋_GB2312" w:hAnsi="仿宋_GB2312" w:eastAsia="仿宋_GB2312" w:cs="仿宋_GB2312"/>
          <w:sz w:val="32"/>
          <w:szCs w:val="32"/>
          <w:lang w:eastAsia="zh-CN"/>
        </w:rPr>
        <w:t>政务公开</w:t>
      </w:r>
      <w:r>
        <w:rPr>
          <w:rFonts w:hint="eastAsia" w:ascii="仿宋_GB2312" w:hAnsi="仿宋_GB2312" w:eastAsia="仿宋_GB2312" w:cs="仿宋_GB2312"/>
          <w:sz w:val="32"/>
          <w:szCs w:val="32"/>
        </w:rPr>
        <w:t>服务相结合。</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2"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firstLine="320" w:firstLineChars="1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Times New Roman" w:hAnsi="Times New Roman" w:eastAsia="仿宋_GB2312" w:cs="仿宋_GB2312"/>
          <w:color w:val="auto"/>
          <w:kern w:val="2"/>
          <w:sz w:val="32"/>
          <w:szCs w:val="32"/>
          <w:highlight w:val="none"/>
          <w:lang w:val="en-US" w:eastAsia="zh-CN" w:bidi="ar-SA"/>
        </w:rPr>
        <w:t>壤塘县鱼托寺寺庙管理委员会及下属单位编制情况、年末实有人数情况：年末实有人数共计11人，其中：行政人员10人、工勤人员1人。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财政下达壤塘县</w:t>
      </w:r>
      <w:r>
        <w:rPr>
          <w:rFonts w:hint="eastAsia" w:ascii="仿宋_GB2312" w:hAnsi="仿宋_GB2312" w:eastAsia="仿宋_GB2312" w:cs="仿宋_GB2312"/>
          <w:sz w:val="32"/>
          <w:szCs w:val="32"/>
          <w:lang w:eastAsia="zh-CN"/>
        </w:rPr>
        <w:t>鱼托</w:t>
      </w:r>
      <w:r>
        <w:rPr>
          <w:rFonts w:hint="eastAsia" w:ascii="仿宋_GB2312" w:hAnsi="仿宋_GB2312" w:eastAsia="仿宋_GB2312" w:cs="仿宋_GB2312"/>
          <w:sz w:val="32"/>
          <w:szCs w:val="32"/>
        </w:rPr>
        <w:t>寺寺庙管理委员会年初预算收入</w:t>
      </w:r>
      <w:r>
        <w:rPr>
          <w:rFonts w:hint="eastAsia" w:ascii="仿宋_GB2312" w:hAnsi="仿宋_GB2312" w:eastAsia="仿宋_GB2312" w:cs="仿宋_GB2312"/>
          <w:sz w:val="32"/>
          <w:szCs w:val="32"/>
          <w:lang w:val="en-US" w:eastAsia="zh-CN"/>
        </w:rPr>
        <w:t>287.44</w:t>
      </w:r>
      <w:r>
        <w:rPr>
          <w:rFonts w:hint="eastAsia" w:ascii="仿宋_GB2312" w:hAnsi="仿宋_GB2312" w:eastAsia="仿宋_GB2312" w:cs="仿宋_GB2312"/>
          <w:sz w:val="32"/>
          <w:szCs w:val="32"/>
        </w:rPr>
        <w:t>万元，执行期中追加收入</w:t>
      </w:r>
      <w:r>
        <w:rPr>
          <w:rFonts w:hint="eastAsia" w:ascii="仿宋_GB2312" w:hAnsi="仿宋_GB2312" w:eastAsia="仿宋_GB2312" w:cs="仿宋_GB2312"/>
          <w:sz w:val="32"/>
          <w:szCs w:val="32"/>
          <w:lang w:val="en-US" w:eastAsia="zh-CN"/>
        </w:rPr>
        <w:t>59.93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全年实际收入合计为347.44万元，本年度无财政应返还额度</w:t>
      </w:r>
      <w:r>
        <w:rPr>
          <w:rFonts w:hint="eastAsia" w:ascii="仿宋_GB2312" w:hAnsi="仿宋_GB2312" w:eastAsia="仿宋_GB2312" w:cs="仿宋_GB2312"/>
          <w:sz w:val="32"/>
          <w:szCs w:val="32"/>
        </w:rPr>
        <w:t>。</w:t>
      </w:r>
    </w:p>
    <w:p>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pStyle w:val="36"/>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壤塘县</w:t>
      </w:r>
      <w:r>
        <w:rPr>
          <w:rFonts w:hint="eastAsia" w:ascii="仿宋_GB2312" w:hAnsi="仿宋_GB2312" w:eastAsia="仿宋_GB2312" w:cs="仿宋_GB2312"/>
          <w:sz w:val="32"/>
          <w:szCs w:val="32"/>
          <w:lang w:eastAsia="zh-CN"/>
        </w:rPr>
        <w:t>鱼托</w:t>
      </w:r>
      <w:r>
        <w:rPr>
          <w:rFonts w:hint="eastAsia" w:ascii="仿宋_GB2312" w:hAnsi="仿宋_GB2312" w:eastAsia="仿宋_GB2312" w:cs="仿宋_GB2312"/>
          <w:sz w:val="32"/>
          <w:szCs w:val="32"/>
        </w:rPr>
        <w:t>寺寺庙管理委员会支出全年预算数共计</w:t>
      </w:r>
      <w:r>
        <w:rPr>
          <w:rFonts w:hint="eastAsia" w:ascii="仿宋_GB2312" w:hAnsi="仿宋_GB2312" w:eastAsia="仿宋_GB2312" w:cs="仿宋_GB2312"/>
          <w:sz w:val="32"/>
          <w:szCs w:val="32"/>
          <w:lang w:val="en-US" w:eastAsia="zh-CN"/>
        </w:rPr>
        <w:t>347.37</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337.37</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万元。</w:t>
      </w:r>
    </w:p>
    <w:p>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eastAsia"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eastAsia" w:ascii="仿宋" w:hAnsi="仿宋" w:eastAsia="仿宋" w:cs="仿宋"/>
          <w:sz w:val="32"/>
          <w:szCs w:val="32"/>
          <w:lang w:val="en-US" w:eastAsia="zh-CN"/>
        </w:rPr>
        <w:t>2025年未结转结余0万元。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pStyle w:val="36"/>
        <w:spacing w:line="360" w:lineRule="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lang w:val="en-US" w:eastAsia="zh-CN"/>
        </w:rPr>
        <w:t>1</w:t>
      </w:r>
      <w:r>
        <w:rPr>
          <w:rFonts w:hint="eastAsia" w:ascii="仿宋_GB2312" w:hAnsi="仿宋_GB2312" w:eastAsia="仿宋_GB2312" w:cs="仿宋_GB2312"/>
          <w:b/>
          <w:bCs/>
          <w:kern w:val="0"/>
          <w:sz w:val="32"/>
          <w:szCs w:val="32"/>
        </w:rPr>
        <w:t>.部门整体绩效目标完成情况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Times New Roman"/>
          <w:b/>
          <w:bCs/>
          <w:sz w:val="32"/>
          <w:szCs w:val="32"/>
          <w:lang w:val="en-US" w:eastAsia="zh-CN"/>
        </w:rPr>
        <w:t>一是</w:t>
      </w:r>
      <w:r>
        <w:rPr>
          <w:rFonts w:hint="eastAsia" w:ascii="仿宋_GB2312" w:hAnsi="仿宋_GB2312" w:eastAsia="仿宋_GB2312" w:cs="仿宋_GB2312"/>
          <w:color w:val="000000"/>
          <w:sz w:val="32"/>
          <w:szCs w:val="32"/>
          <w:lang w:val="en-US" w:eastAsia="zh-CN"/>
        </w:rPr>
        <w:t>持续在辖区寺庙开展民族宗教政策、法律法规宣传和思想教育引导工作，积极全面教育引导僧众</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b/>
          <w:bCs/>
          <w:sz w:val="32"/>
          <w:szCs w:val="32"/>
          <w:lang w:val="en-US" w:eastAsia="zh-CN"/>
        </w:rPr>
        <w:t>二是</w:t>
      </w:r>
      <w:r>
        <w:rPr>
          <w:rFonts w:hint="eastAsia" w:ascii="Times New Roman" w:hAnsi="Times New Roman" w:eastAsia="仿宋_GB2312" w:cs="Times New Roman"/>
          <w:b w:val="0"/>
          <w:bCs w:val="0"/>
          <w:sz w:val="32"/>
          <w:szCs w:val="32"/>
          <w:lang w:val="en-US" w:eastAsia="zh-CN"/>
        </w:rPr>
        <w:t>积极</w:t>
      </w:r>
      <w:r>
        <w:rPr>
          <w:rFonts w:hint="eastAsia" w:ascii="Times New Roman" w:hAnsi="Times New Roman" w:eastAsia="仿宋_GB2312" w:cs="Times New Roman"/>
          <w:sz w:val="32"/>
          <w:szCs w:val="32"/>
          <w:lang w:val="en-US" w:eastAsia="zh-CN"/>
        </w:rPr>
        <w:t>落实干部+僧人“1+7+N”综合服务管理寺庙工作，深入了解</w:t>
      </w:r>
      <w:r>
        <w:rPr>
          <w:rFonts w:hint="default" w:ascii="Times New Roman" w:hAnsi="Times New Roman" w:eastAsia="仿宋_GB2312" w:cs="Times New Roman"/>
          <w:sz w:val="32"/>
          <w:szCs w:val="32"/>
          <w:lang w:val="en-US" w:eastAsia="zh-CN"/>
        </w:rPr>
        <w:t>辖区寺情僧</w:t>
      </w:r>
      <w:r>
        <w:rPr>
          <w:rFonts w:hint="eastAsia" w:ascii="Times New Roman" w:hAnsi="Times New Roman" w:eastAsia="仿宋_GB2312" w:cs="Times New Roman"/>
          <w:sz w:val="32"/>
          <w:szCs w:val="32"/>
          <w:lang w:val="en-US" w:eastAsia="zh-CN"/>
        </w:rPr>
        <w:t>态</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切实提高寺庙管理能力；</w:t>
      </w:r>
      <w:r>
        <w:rPr>
          <w:rFonts w:hint="eastAsia" w:ascii="Times New Roman" w:hAnsi="Times New Roman" w:eastAsia="仿宋_GB2312" w:cs="Times New Roman"/>
          <w:b/>
          <w:bCs/>
          <w:sz w:val="32"/>
          <w:szCs w:val="32"/>
          <w:lang w:val="en-US" w:eastAsia="zh-CN"/>
        </w:rPr>
        <w:t>三是</w:t>
      </w:r>
      <w:r>
        <w:rPr>
          <w:rFonts w:hint="eastAsia" w:ascii="仿宋_GB2312" w:hAnsi="仿宋_GB2312" w:eastAsia="仿宋_GB2312" w:cs="仿宋_GB2312"/>
          <w:kern w:val="1"/>
          <w:sz w:val="32"/>
          <w:szCs w:val="32"/>
          <w:lang w:eastAsia="zh-CN"/>
        </w:rPr>
        <w:t>提前谋划寺庙民管会后备力量的培养，培养一批年轻僧才。</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pPr>
        <w:pStyle w:val="36"/>
        <w:spacing w:line="360" w:lineRule="auto"/>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.预算编制情况</w:t>
      </w:r>
    </w:p>
    <w:p>
      <w:pPr>
        <w:pStyle w:val="36"/>
        <w:spacing w:line="36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壤塘县</w:t>
      </w:r>
      <w:r>
        <w:rPr>
          <w:rFonts w:hint="eastAsia" w:ascii="仿宋_GB2312" w:hAnsi="仿宋_GB2312" w:eastAsia="仿宋_GB2312" w:cs="仿宋_GB2312"/>
          <w:sz w:val="32"/>
          <w:szCs w:val="32"/>
          <w:lang w:eastAsia="zh-CN"/>
        </w:rPr>
        <w:t>鱼托</w:t>
      </w:r>
      <w:r>
        <w:rPr>
          <w:rFonts w:hint="eastAsia" w:ascii="仿宋_GB2312" w:hAnsi="仿宋_GB2312" w:eastAsia="仿宋_GB2312" w:cs="仿宋_GB2312"/>
          <w:sz w:val="32"/>
          <w:szCs w:val="32"/>
        </w:rPr>
        <w:t>寺寺庙管理委员会</w:t>
      </w:r>
      <w:r>
        <w:rPr>
          <w:rFonts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287.44</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执行期间根据工作安排和开展情况追加收入</w:t>
      </w:r>
      <w:r>
        <w:rPr>
          <w:rFonts w:hint="eastAsia" w:ascii="仿宋_GB2312" w:hAnsi="仿宋_GB2312" w:eastAsia="仿宋_GB2312" w:cs="仿宋_GB2312"/>
          <w:sz w:val="32"/>
          <w:szCs w:val="32"/>
          <w:lang w:val="en-US" w:eastAsia="zh-CN"/>
        </w:rPr>
        <w:t>59.93</w:t>
      </w:r>
      <w:r>
        <w:rPr>
          <w:rFonts w:hint="eastAsia" w:ascii="仿宋_GB2312" w:hAnsi="仿宋_GB2312" w:eastAsia="仿宋_GB2312" w:cs="仿宋_GB2312"/>
          <w:sz w:val="32"/>
          <w:szCs w:val="32"/>
        </w:rPr>
        <w:t>万元，</w:t>
      </w:r>
      <w:r>
        <w:rPr>
          <w:rFonts w:ascii="仿宋_GB2312" w:hAnsi="仿宋_GB2312" w:eastAsia="仿宋_GB2312" w:cs="仿宋_GB2312"/>
          <w:sz w:val="32"/>
          <w:szCs w:val="32"/>
        </w:rPr>
        <w:t>调整预算数为</w:t>
      </w:r>
      <w:r>
        <w:rPr>
          <w:rFonts w:hint="eastAsia" w:ascii="仿宋_GB2312" w:hAnsi="仿宋_GB2312" w:eastAsia="仿宋_GB2312" w:cs="仿宋_GB2312"/>
          <w:sz w:val="32"/>
          <w:szCs w:val="32"/>
          <w:lang w:val="en-US" w:eastAsia="zh-CN"/>
        </w:rPr>
        <w:t>347.37</w:t>
      </w:r>
      <w:r>
        <w:rPr>
          <w:rFonts w:ascii="仿宋_GB2312" w:hAnsi="仿宋_GB2312" w:eastAsia="仿宋_GB2312" w:cs="仿宋_GB2312"/>
          <w:sz w:val="32"/>
          <w:szCs w:val="32"/>
        </w:rPr>
        <w:t>万元，预算安排</w:t>
      </w:r>
      <w:r>
        <w:rPr>
          <w:rFonts w:hint="eastAsia" w:ascii="仿宋_GB2312" w:hAnsi="仿宋_GB2312" w:eastAsia="仿宋_GB2312" w:cs="仿宋_GB2312"/>
          <w:sz w:val="32"/>
          <w:szCs w:val="32"/>
          <w:lang w:val="en-US" w:eastAsia="zh-CN"/>
        </w:rPr>
        <w:t>较为</w:t>
      </w:r>
      <w:r>
        <w:rPr>
          <w:rFonts w:ascii="仿宋_GB2312" w:hAnsi="仿宋_GB2312" w:eastAsia="仿宋_GB2312" w:cs="仿宋_GB2312"/>
          <w:sz w:val="32"/>
          <w:szCs w:val="32"/>
        </w:rPr>
        <w:t>准确。</w:t>
      </w:r>
    </w:p>
    <w:p>
      <w:pPr>
        <w:pStyle w:val="36"/>
        <w:spacing w:line="360" w:lineRule="auto"/>
        <w:ind w:firstLine="643"/>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lang w:val="en-US" w:eastAsia="zh-CN"/>
        </w:rPr>
        <w:t>3</w:t>
      </w:r>
      <w:r>
        <w:rPr>
          <w:rFonts w:hint="eastAsia" w:ascii="仿宋_GB2312" w:hAnsi="仿宋_GB2312" w:eastAsia="仿宋_GB2312" w:cs="仿宋_GB2312"/>
          <w:b/>
          <w:bCs/>
          <w:kern w:val="0"/>
          <w:sz w:val="32"/>
          <w:szCs w:val="32"/>
        </w:rPr>
        <w:t>.执行进度</w:t>
      </w:r>
    </w:p>
    <w:p>
      <w:pPr>
        <w:pStyle w:val="36"/>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壤塘县</w:t>
      </w:r>
      <w:r>
        <w:rPr>
          <w:rFonts w:hint="eastAsia" w:ascii="仿宋_GB2312" w:hAnsi="仿宋_GB2312" w:eastAsia="仿宋_GB2312" w:cs="仿宋_GB2312"/>
          <w:sz w:val="32"/>
          <w:szCs w:val="32"/>
          <w:lang w:eastAsia="zh-CN"/>
        </w:rPr>
        <w:t>鱼托</w:t>
      </w:r>
      <w:r>
        <w:rPr>
          <w:rFonts w:hint="eastAsia" w:ascii="仿宋_GB2312" w:hAnsi="仿宋_GB2312" w:eastAsia="仿宋_GB2312" w:cs="仿宋_GB2312"/>
          <w:sz w:val="32"/>
          <w:szCs w:val="32"/>
        </w:rPr>
        <w:t>寺寺庙管理委员会财政拨款执行数</w:t>
      </w:r>
      <w:r>
        <w:rPr>
          <w:rFonts w:hint="eastAsia" w:ascii="仿宋_GB2312" w:hAnsi="仿宋_GB2312" w:eastAsia="仿宋_GB2312" w:cs="仿宋_GB2312"/>
          <w:sz w:val="32"/>
          <w:szCs w:val="32"/>
          <w:lang w:val="en-US" w:eastAsia="zh-CN"/>
        </w:rPr>
        <w:t>347.37</w:t>
      </w:r>
      <w:r>
        <w:rPr>
          <w:rFonts w:hint="eastAsia" w:ascii="仿宋_GB2312" w:hAnsi="仿宋_GB2312" w:eastAsia="仿宋_GB2312" w:cs="仿宋_GB2312"/>
          <w:sz w:val="32"/>
          <w:szCs w:val="32"/>
        </w:rPr>
        <w:t>万元，财政拨款调整预算数</w:t>
      </w:r>
      <w:r>
        <w:rPr>
          <w:rFonts w:hint="eastAsia" w:ascii="仿宋_GB2312" w:hAnsi="仿宋_GB2312" w:eastAsia="仿宋_GB2312" w:cs="仿宋_GB2312"/>
          <w:sz w:val="32"/>
          <w:szCs w:val="32"/>
          <w:lang w:val="en-US" w:eastAsia="zh-CN"/>
        </w:rPr>
        <w:t>347.37</w:t>
      </w:r>
      <w:r>
        <w:rPr>
          <w:rFonts w:hint="eastAsia" w:ascii="仿宋_GB2312" w:hAnsi="仿宋_GB2312" w:eastAsia="仿宋_GB2312" w:cs="仿宋_GB2312"/>
          <w:sz w:val="32"/>
          <w:szCs w:val="32"/>
        </w:rPr>
        <w:t>万元，部门总体执行进度</w:t>
      </w:r>
      <w:r>
        <w:rPr>
          <w:rFonts w:hint="eastAsia" w:ascii="仿宋_GB2312" w:hAnsi="仿宋_GB2312" w:eastAsia="仿宋_GB2312" w:cs="仿宋_GB2312"/>
          <w:sz w:val="32"/>
          <w:szCs w:val="32"/>
          <w:lang w:val="en-US" w:eastAsia="zh-CN"/>
        </w:rPr>
        <w:t>为100%，执行进度较高</w:t>
      </w:r>
      <w:r>
        <w:rPr>
          <w:rFonts w:hint="eastAsia" w:ascii="仿宋_GB2312" w:hAnsi="仿宋_GB2312" w:eastAsia="仿宋_GB2312" w:cs="仿宋_GB2312"/>
          <w:sz w:val="32"/>
          <w:szCs w:val="32"/>
        </w:rPr>
        <w:t>。</w:t>
      </w:r>
    </w:p>
    <w:p>
      <w:pPr>
        <w:pStyle w:val="36"/>
        <w:spacing w:line="360" w:lineRule="auto"/>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.预算完成情况</w:t>
      </w:r>
    </w:p>
    <w:p>
      <w:pPr>
        <w:pStyle w:val="36"/>
        <w:spacing w:line="360" w:lineRule="auto"/>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壤塘县</w:t>
      </w:r>
      <w:r>
        <w:rPr>
          <w:rFonts w:hint="eastAsia" w:ascii="仿宋_GB2312" w:hAnsi="仿宋_GB2312" w:eastAsia="仿宋_GB2312" w:cs="仿宋_GB2312"/>
          <w:sz w:val="32"/>
          <w:szCs w:val="32"/>
          <w:lang w:eastAsia="zh-CN"/>
        </w:rPr>
        <w:t>鱼托</w:t>
      </w:r>
      <w:r>
        <w:rPr>
          <w:rFonts w:hint="eastAsia" w:ascii="仿宋_GB2312" w:hAnsi="仿宋_GB2312" w:eastAsia="仿宋_GB2312" w:cs="仿宋_GB2312"/>
          <w:sz w:val="32"/>
          <w:szCs w:val="32"/>
        </w:rPr>
        <w:t>寺寺庙管理委员会</w:t>
      </w:r>
      <w:r>
        <w:rPr>
          <w:rFonts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287.44</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执行期间根据工作安排和开展情况追加收入</w:t>
      </w:r>
      <w:r>
        <w:rPr>
          <w:rFonts w:hint="eastAsia" w:ascii="仿宋_GB2312" w:hAnsi="仿宋_GB2312" w:eastAsia="仿宋_GB2312" w:cs="仿宋_GB2312"/>
          <w:sz w:val="32"/>
          <w:szCs w:val="32"/>
          <w:lang w:val="en-US" w:eastAsia="zh-CN"/>
        </w:rPr>
        <w:t>59.93</w:t>
      </w:r>
      <w:r>
        <w:rPr>
          <w:rFonts w:hint="eastAsia" w:ascii="仿宋_GB2312" w:hAnsi="仿宋_GB2312" w:eastAsia="仿宋_GB2312" w:cs="仿宋_GB2312"/>
          <w:sz w:val="32"/>
          <w:szCs w:val="32"/>
        </w:rPr>
        <w:t>万元，</w:t>
      </w:r>
      <w:r>
        <w:rPr>
          <w:rFonts w:ascii="仿宋_GB2312" w:hAnsi="仿宋_GB2312" w:eastAsia="仿宋_GB2312" w:cs="仿宋_GB2312"/>
          <w:sz w:val="32"/>
          <w:szCs w:val="32"/>
        </w:rPr>
        <w:t>调整预算数为</w:t>
      </w:r>
      <w:r>
        <w:rPr>
          <w:rFonts w:hint="eastAsia" w:ascii="仿宋_GB2312" w:hAnsi="仿宋_GB2312" w:eastAsia="仿宋_GB2312" w:cs="仿宋_GB2312"/>
          <w:sz w:val="32"/>
          <w:szCs w:val="32"/>
          <w:lang w:val="en-US" w:eastAsia="zh-CN"/>
        </w:rPr>
        <w:t>347.37</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年末决算数为347.37万元，</w:t>
      </w:r>
      <w:r>
        <w:rPr>
          <w:rFonts w:hint="eastAsia" w:ascii="仿宋_GB2312" w:hAnsi="仿宋_GB2312" w:eastAsia="仿宋_GB2312" w:cs="仿宋_GB2312"/>
          <w:sz w:val="32"/>
          <w:szCs w:val="32"/>
        </w:rPr>
        <w:t>预算完成进度为100%，预算完成度较高。</w:t>
      </w:r>
    </w:p>
    <w:p>
      <w:pPr>
        <w:pStyle w:val="36"/>
        <w:spacing w:line="360" w:lineRule="auto"/>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.违规纪录</w:t>
      </w:r>
    </w:p>
    <w:p>
      <w:pPr>
        <w:pStyle w:val="36"/>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12月31日，我单位无违规纪录情况。</w:t>
      </w:r>
    </w:p>
    <w:p>
      <w:pPr>
        <w:pStyle w:val="36"/>
        <w:spacing w:line="360" w:lineRule="auto"/>
        <w:ind w:firstLine="64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6.“三公”经费</w:t>
      </w:r>
    </w:p>
    <w:p>
      <w:pPr>
        <w:pStyle w:val="36"/>
        <w:spacing w:line="360" w:lineRule="auto"/>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公”经费控制。壤塘县鱼托寺寺庙管理委员会2025年“三公”经费预算5万元，决算支出4.96万元。其中公务用车购置及运行维护费预算5万元，决算支出4.96万元（其中公务用车运行维护费4.96万元）,未发生因公出国（境）费及公务接待费，2025年“三公”经费决算均未超过预算。</w:t>
      </w:r>
    </w:p>
    <w:p>
      <w:pPr>
        <w:pStyle w:val="36"/>
        <w:spacing w:line="360" w:lineRule="auto"/>
        <w:ind w:firstLine="64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7.政府采购</w:t>
      </w:r>
    </w:p>
    <w:p>
      <w:pPr>
        <w:pStyle w:val="36"/>
        <w:spacing w:line="360" w:lineRule="auto"/>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采购规范性。壤塘县鱼托寺寺庙管理委员会2025年度政府采购货物支出0万元，政府采购工程支出0万元，政府采购服务支出0万元。</w:t>
      </w:r>
    </w:p>
    <w:p>
      <w:pPr>
        <w:pStyle w:val="36"/>
        <w:spacing w:line="360" w:lineRule="auto"/>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8.资产管理</w:t>
      </w:r>
      <w:r>
        <w:rPr>
          <w:rFonts w:hint="eastAsia" w:ascii="仿宋_GB2312" w:hAnsi="仿宋_GB2312" w:eastAsia="仿宋_GB2312" w:cs="仿宋_GB2312"/>
          <w:sz w:val="32"/>
          <w:szCs w:val="32"/>
          <w:lang w:val="en-US" w:eastAsia="zh-CN"/>
        </w:rPr>
        <w:t xml:space="preserve">  </w:t>
      </w:r>
    </w:p>
    <w:p>
      <w:pPr>
        <w:pStyle w:val="36"/>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固定资产在用率。2025年12月31日，壤塘县鱼托寺寺庙管理委员会《行政单位资产管理系统》固定资产总计91.67万元，在用的固定资产总计91.67万元，固定资产在用率达100%。</w:t>
      </w:r>
    </w:p>
    <w:p>
      <w:pPr>
        <w:pStyle w:val="36"/>
        <w:numPr>
          <w:ilvl w:val="0"/>
          <w:numId w:val="5"/>
        </w:numPr>
        <w:spacing w:line="360" w:lineRule="auto"/>
        <w:ind w:firstLine="643"/>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结果应用情况</w:t>
      </w:r>
    </w:p>
    <w:p>
      <w:pPr>
        <w:pStyle w:val="36"/>
        <w:spacing w:line="360" w:lineRule="auto"/>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rPr>
        <w:t>　</w:t>
      </w:r>
      <w:r>
        <w:rPr>
          <w:rFonts w:hint="eastAsia" w:ascii="仿宋_GB2312" w:hAnsi="仿宋_GB2312" w:eastAsia="仿宋_GB2312" w:cs="仿宋_GB2312"/>
          <w:sz w:val="32"/>
          <w:szCs w:val="32"/>
        </w:rPr>
        <w:t>　根据县财政局要求，我会成立自评工作小组，组织实施本单位</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绩效管理自评工作。信息公开情况：按照财政要求，及时在预决算批复后20日内，在壤塘县人民</w:t>
      </w:r>
      <w:r>
        <w:rPr>
          <w:rFonts w:hint="eastAsia" w:ascii="仿宋_GB2312" w:hAnsi="仿宋_GB2312" w:eastAsia="仿宋_GB2312" w:cs="仿宋_GB2312"/>
          <w:sz w:val="32"/>
          <w:szCs w:val="32"/>
          <w:lang w:eastAsia="zh-CN"/>
        </w:rPr>
        <w:t>政府网站</w:t>
      </w:r>
      <w:r>
        <w:rPr>
          <w:rFonts w:hint="eastAsia" w:ascii="仿宋_GB2312" w:hAnsi="仿宋_GB2312" w:eastAsia="仿宋_GB2312" w:cs="仿宋_GB2312"/>
          <w:sz w:val="32"/>
          <w:szCs w:val="32"/>
        </w:rPr>
        <w:t>进行了信息公开，公开内容真实、完整。依法接受财政、审计、</w:t>
      </w:r>
      <w:r>
        <w:rPr>
          <w:rFonts w:hint="eastAsia" w:ascii="仿宋_GB2312" w:hAnsi="仿宋_GB2312" w:eastAsia="仿宋_GB2312" w:cs="仿宋_GB2312"/>
          <w:sz w:val="32"/>
          <w:szCs w:val="32"/>
          <w:lang w:eastAsia="zh-CN"/>
        </w:rPr>
        <w:t>纪检监察</w:t>
      </w:r>
      <w:r>
        <w:rPr>
          <w:rFonts w:hint="eastAsia" w:ascii="仿宋_GB2312" w:hAnsi="仿宋_GB2312" w:eastAsia="仿宋_GB2312" w:cs="仿宋_GB2312"/>
          <w:sz w:val="32"/>
          <w:szCs w:val="32"/>
        </w:rPr>
        <w:t>、巡查等部门的监督检查。严守财经法规，</w:t>
      </w:r>
      <w:r>
        <w:rPr>
          <w:rFonts w:hint="eastAsia" w:ascii="仿宋_GB2312" w:hAnsi="仿宋_GB2312" w:eastAsia="仿宋_GB2312" w:cs="仿宋_GB2312"/>
          <w:sz w:val="32"/>
          <w:szCs w:val="32"/>
          <w:lang w:eastAsia="zh-CN"/>
        </w:rPr>
        <w:t>严肃财经纪律</w:t>
      </w:r>
      <w:r>
        <w:rPr>
          <w:rFonts w:hint="eastAsia" w:ascii="仿宋_GB2312" w:hAnsi="仿宋_GB2312" w:eastAsia="仿宋_GB2312" w:cs="仿宋_GB2312"/>
          <w:sz w:val="32"/>
          <w:szCs w:val="32"/>
        </w:rPr>
        <w:t>，依法接受财政、审计、巡察、派驻</w:t>
      </w:r>
      <w:r>
        <w:rPr>
          <w:rFonts w:hint="eastAsia" w:ascii="仿宋_GB2312" w:hAnsi="仿宋_GB2312" w:eastAsia="仿宋_GB2312" w:cs="仿宋_GB2312"/>
          <w:sz w:val="32"/>
          <w:szCs w:val="32"/>
          <w:lang w:eastAsia="zh-CN"/>
        </w:rPr>
        <w:t>纪检监察</w:t>
      </w:r>
      <w:r>
        <w:rPr>
          <w:rFonts w:hint="eastAsia" w:ascii="仿宋_GB2312" w:hAnsi="仿宋_GB2312" w:eastAsia="仿宋_GB2312" w:cs="仿宋_GB2312"/>
          <w:sz w:val="32"/>
          <w:szCs w:val="32"/>
        </w:rPr>
        <w:t>，按时上报各类资料。严格遵守中央八项规定及省市县有关厉行勤俭节约相关规定，严格执行财务管理制度，根据年初预算合理安排日常公用经费资金，做到厉行节约、精打细算，把有效的资金用到刀刃上，让财政资金发挥最大的社会及经济效益并保证全局各项工作的正常运转。</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eastAsia" w:ascii="仿宋_GB2312" w:hAnsi="仿宋_GB2312" w:eastAsia="仿宋_GB2312" w:cs="仿宋_GB2312"/>
          <w:sz w:val="32"/>
          <w:szCs w:val="32"/>
          <w:lang w:val="zh-CN"/>
        </w:rPr>
        <w:t>本单位持续加强预算收支管理，不断建立健全内部管理制度，规范内部管理流程，部门整体支出管理水平稳步提升，较好完成部门决算编制、送审、批复及信息公开各项工作。同时，也清醒认识到决算编制工作中仍存在项目分类不够精细、功能科目使用不够精准等问题。在下一年度部门预算编制、执行及决算工作中，我单位将持续发力，科学合理编制预决算，扎实开展绩效评价，推进预算管理精细化，补齐短板、完善不足。</w:t>
      </w:r>
    </w:p>
    <w:p>
      <w:pPr>
        <w:keepNext w:val="0"/>
        <w:keepLines w:val="0"/>
        <w:pageBreakBefore w:val="0"/>
        <w:widowControl/>
        <w:numPr>
          <w:ilvl w:val="0"/>
          <w:numId w:val="5"/>
        </w:numPr>
        <w:kinsoku/>
        <w:wordWrap/>
        <w:overflowPunct/>
        <w:topLinePunct w:val="0"/>
        <w:autoSpaceDE/>
        <w:autoSpaceDN/>
        <w:bidi w:val="0"/>
        <w:adjustRightInd/>
        <w:snapToGrid/>
        <w:ind w:left="0" w:leftChars="0"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pPr>
        <w:keepNext w:val="0"/>
        <w:keepLines w:val="0"/>
        <w:pageBreakBefore w:val="0"/>
        <w:widowControl/>
        <w:numPr>
          <w:ilvl w:val="0"/>
          <w:numId w:val="6"/>
        </w:numPr>
        <w:kinsoku/>
        <w:wordWrap/>
        <w:overflowPunct/>
        <w:topLinePunct w:val="0"/>
        <w:autoSpaceDE/>
        <w:autoSpaceDN/>
        <w:bidi w:val="0"/>
        <w:adjustRightInd/>
        <w:snapToGrid/>
        <w:ind w:leftChars="200"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预算执行阶段，因年度重点工作任务调整，追加收</w:t>
      </w:r>
    </w:p>
    <w:p>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入事项较多，年初预算数与调整后预算数偏差较大，预算编制的精准性不足。</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2.财务内控体系有待完善，尚未建立健全常态化财务监控监督机制。</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p>
    <w:p>
      <w:pPr>
        <w:pStyle w:val="36"/>
        <w:spacing w:line="360" w:lineRule="auto"/>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1.提升预算编制精准度。结合单位年度工作任务科学测算收支，做实年初预算，尽可能减少预算执行过程中的追加调整，强化预算刚性约束。</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仿宋_GB2312" w:hAnsi="仿宋_GB2312" w:eastAsia="仿宋_GB2312" w:cs="仿宋_GB2312"/>
          <w:sz w:val="32"/>
          <w:szCs w:val="32"/>
          <w:lang w:val="en-US" w:eastAsia="zh-CN"/>
        </w:rPr>
        <w:t>2.健全财务监督管控机制。制定完善财务监控监督管理制度，落实全过程财务监管举措，保障监督工作落地见效。</w:t>
      </w:r>
    </w:p>
    <w:p>
      <w:pPr>
        <w:pStyle w:val="5"/>
        <w:ind w:firstLine="640" w:firstLineChars="200"/>
        <w:rPr>
          <w:rFonts w:hint="eastAsia" w:hAnsi="Times New Roman" w:cs="Times New Roman"/>
          <w:color w:val="auto"/>
          <w:sz w:val="32"/>
          <w:szCs w:val="32"/>
          <w:highlight w:val="none"/>
          <w:lang w:val="zh-CN" w:eastAsia="zh-CN"/>
        </w:rPr>
      </w:pPr>
    </w:p>
    <w:p>
      <w:pPr>
        <w:pStyle w:val="5"/>
        <w:ind w:firstLine="640" w:firstLineChars="200"/>
        <w:rPr>
          <w:rFonts w:hint="eastAsia" w:ascii="Times New Roman" w:hAnsi="Times New Roman" w:cs="宋体"/>
          <w:color w:val="FF0000"/>
          <w:kern w:val="0"/>
          <w:sz w:val="32"/>
          <w:szCs w:val="32"/>
          <w:highlight w:val="yellow"/>
          <w:shd w:val="clear" w:color="auto" w:fill="FFFFFF"/>
          <w:lang w:val="zh-CN"/>
        </w:rPr>
      </w:pPr>
      <w:r>
        <w:rPr>
          <w:rFonts w:hint="eastAsia" w:hAnsi="Times New Roman" w:cs="Times New Roman"/>
          <w:color w:val="auto"/>
          <w:sz w:val="32"/>
          <w:szCs w:val="32"/>
          <w:highlight w:val="none"/>
          <w:lang w:val="zh-CN" w:eastAsia="zh-CN"/>
        </w:rPr>
        <w:t>附表：</w:t>
      </w:r>
      <w:r>
        <w:rPr>
          <w:rFonts w:hint="eastAsia" w:hAnsi="Times New Roman" w:cs="Times New Roman"/>
          <w:color w:val="auto"/>
          <w:sz w:val="32"/>
          <w:szCs w:val="32"/>
          <w:highlight w:val="none"/>
          <w:lang w:val="en-US" w:eastAsia="zh-CN"/>
        </w:rPr>
        <w:t>部门预算项目支出绩效自评表（202</w:t>
      </w:r>
      <w:r>
        <w:rPr>
          <w:rFonts w:hint="eastAsia" w:cs="Times New Roman"/>
          <w:color w:val="auto"/>
          <w:sz w:val="32"/>
          <w:szCs w:val="32"/>
          <w:highlight w:val="none"/>
          <w:lang w:val="en-US" w:eastAsia="zh-CN"/>
        </w:rPr>
        <w:t>5</w:t>
      </w:r>
      <w:r>
        <w:rPr>
          <w:rFonts w:hint="eastAsia" w:hAnsi="Times New Roman" w:cs="Times New Roman"/>
          <w:color w:val="auto"/>
          <w:sz w:val="32"/>
          <w:szCs w:val="32"/>
          <w:highlight w:val="none"/>
          <w:lang w:val="en-US" w:eastAsia="zh-CN"/>
        </w:rPr>
        <w:t>年度）</w:t>
      </w:r>
    </w:p>
    <w:p>
      <w:pPr>
        <w:rPr>
          <w:rFonts w:hint="eastAsia" w:ascii="Times New Roman" w:hAnsi="Times New Roman" w:eastAsia="方正小标宋简体" w:cs="方正小标宋简体"/>
          <w:color w:val="auto"/>
          <w:kern w:val="2"/>
          <w:sz w:val="44"/>
          <w:szCs w:val="44"/>
          <w:highlight w:val="none"/>
          <w:lang w:val="en-US" w:eastAsia="zh-CN"/>
        </w:rPr>
      </w:pPr>
    </w:p>
    <w:p>
      <w:pPr>
        <w:pStyle w:val="35"/>
        <w:keepNext w:val="0"/>
        <w:keepLines w:val="0"/>
        <w:pageBreakBefore w:val="0"/>
        <w:widowControl w:val="0"/>
        <w:kinsoku/>
        <w:wordWrap/>
        <w:overflowPunct/>
        <w:topLinePunct w:val="0"/>
        <w:autoSpaceDE/>
        <w:autoSpaceDN/>
        <w:bidi w:val="0"/>
        <w:spacing w:line="240" w:lineRule="auto"/>
        <w:ind w:left="0" w:leftChars="0" w:firstLine="0"/>
        <w:jc w:val="center"/>
        <w:textAlignment w:val="auto"/>
        <w:rPr>
          <w:rFonts w:hint="eastAsia" w:ascii="Times New Roman" w:hAnsi="Times New Roman" w:eastAsia="宋体"/>
          <w:color w:val="auto"/>
          <w:kern w:val="2"/>
          <w:sz w:val="32"/>
          <w:szCs w:val="32"/>
          <w:highlight w:val="none"/>
          <w:lang w:eastAsia="zh-CN"/>
        </w:rPr>
      </w:pPr>
      <w:r>
        <w:rPr>
          <w:rFonts w:hint="eastAsia" w:ascii="Times New Roman" w:hAnsi="Times New Roman" w:eastAsia="宋体"/>
          <w:color w:val="auto"/>
          <w:kern w:val="2"/>
          <w:sz w:val="32"/>
          <w:szCs w:val="32"/>
          <w:highlight w:val="none"/>
          <w:lang w:eastAsia="zh-CN"/>
        </w:rPr>
        <w:drawing>
          <wp:inline distT="0" distB="0" distL="114300" distR="114300">
            <wp:extent cx="5152390" cy="8837930"/>
            <wp:effectExtent l="0" t="0" r="3810" b="1270"/>
            <wp:docPr id="1" name="图片 1" descr="鱼托寺2025年部门预算公开报表（部门公开）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鱼托寺2025年部门预算公开报表（部门公开）_6"/>
                    <pic:cNvPicPr>
                      <a:picLocks noChangeAspect="1"/>
                    </pic:cNvPicPr>
                  </pic:nvPicPr>
                  <pic:blipFill>
                    <a:blip r:embed="rId13"/>
                    <a:stretch>
                      <a:fillRect/>
                    </a:stretch>
                  </pic:blipFill>
                  <pic:spPr>
                    <a:xfrm>
                      <a:off x="0" y="0"/>
                      <a:ext cx="5152390" cy="8837930"/>
                    </a:xfrm>
                    <a:prstGeom prst="rect">
                      <a:avLst/>
                    </a:prstGeom>
                  </pic:spPr>
                </pic:pic>
              </a:graphicData>
            </a:graphic>
          </wp:inline>
        </w:drawing>
      </w:r>
    </w:p>
    <w:p>
      <w:pPr>
        <w:pStyle w:val="35"/>
        <w:keepNext w:val="0"/>
        <w:keepLines w:val="0"/>
        <w:pageBreakBefore w:val="0"/>
        <w:widowControl w:val="0"/>
        <w:kinsoku/>
        <w:wordWrap/>
        <w:overflowPunct/>
        <w:topLinePunct w:val="0"/>
        <w:autoSpaceDE/>
        <w:autoSpaceDN/>
        <w:bidi w:val="0"/>
        <w:spacing w:line="240" w:lineRule="auto"/>
        <w:ind w:left="0" w:leftChars="0" w:firstLine="0"/>
        <w:jc w:val="center"/>
        <w:textAlignment w:val="auto"/>
        <w:rPr>
          <w:rFonts w:hint="eastAsia" w:ascii="Times New Roman" w:hAnsi="Times New Roman" w:eastAsia="宋体"/>
          <w:color w:val="auto"/>
          <w:kern w:val="2"/>
          <w:sz w:val="32"/>
          <w:szCs w:val="32"/>
          <w:highlight w:val="none"/>
          <w:lang w:eastAsia="zh-CN"/>
        </w:rPr>
      </w:pPr>
      <w:r>
        <w:rPr>
          <w:rFonts w:hint="eastAsia" w:ascii="Times New Roman" w:hAnsi="Times New Roman" w:eastAsia="宋体"/>
          <w:color w:val="auto"/>
          <w:kern w:val="2"/>
          <w:sz w:val="32"/>
          <w:szCs w:val="32"/>
          <w:highlight w:val="none"/>
          <w:lang w:eastAsia="zh-CN"/>
        </w:rPr>
        <w:drawing>
          <wp:inline distT="0" distB="0" distL="114300" distR="114300">
            <wp:extent cx="5261610" cy="6195695"/>
            <wp:effectExtent l="0" t="0" r="8890" b="1905"/>
            <wp:docPr id="4" name="图片 4" descr="鱼托寺2025年部门预算公开报表（部门公开）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鱼托寺2025年部门预算公开报表（部门公开）_7"/>
                    <pic:cNvPicPr>
                      <a:picLocks noChangeAspect="1"/>
                    </pic:cNvPicPr>
                  </pic:nvPicPr>
                  <pic:blipFill>
                    <a:blip r:embed="rId14"/>
                    <a:stretch>
                      <a:fillRect/>
                    </a:stretch>
                  </pic:blipFill>
                  <pic:spPr>
                    <a:xfrm>
                      <a:off x="0" y="0"/>
                      <a:ext cx="5261610" cy="6195695"/>
                    </a:xfrm>
                    <a:prstGeom prst="rect">
                      <a:avLst/>
                    </a:prstGeom>
                  </pic:spPr>
                </pic:pic>
              </a:graphicData>
            </a:graphic>
          </wp:inline>
        </w:drawing>
      </w:r>
    </w:p>
    <w:p>
      <w:pPr>
        <w:widowControl/>
        <w:jc w:val="center"/>
        <w:rPr>
          <w:rFonts w:hint="eastAsia" w:ascii="Times New Roman" w:hAnsi="Times New Roman" w:eastAsia="黑体"/>
          <w:color w:val="auto"/>
          <w:sz w:val="44"/>
          <w:szCs w:val="44"/>
          <w:highlight w:val="none"/>
        </w:rPr>
      </w:pPr>
      <w:bookmarkStart w:id="48" w:name="_Toc15396618"/>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6"/>
      <w:bookmarkEnd w:id="48"/>
      <w:bookmarkStart w:id="49"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FangSong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E33080"/>
    <w:multiLevelType w:val="singleLevel"/>
    <w:tmpl w:val="ACE33080"/>
    <w:lvl w:ilvl="0" w:tentative="0">
      <w:start w:val="2"/>
      <w:numFmt w:val="chineseCounting"/>
      <w:suff w:val="nothing"/>
      <w:lvlText w:val="（%1）"/>
      <w:lvlJc w:val="left"/>
      <w:rPr>
        <w:rFonts w:hint="eastAsia"/>
      </w:rPr>
    </w:lvl>
  </w:abstractNum>
  <w:abstractNum w:abstractNumId="1">
    <w:nsid w:val="D2CEC853"/>
    <w:multiLevelType w:val="singleLevel"/>
    <w:tmpl w:val="D2CEC853"/>
    <w:lvl w:ilvl="0" w:tentative="0">
      <w:start w:val="1"/>
      <w:numFmt w:val="chineseCounting"/>
      <w:suff w:val="nothing"/>
      <w:lvlText w:val="%1、"/>
      <w:lvlJc w:val="left"/>
      <w:rPr>
        <w:rFonts w:hint="eastAsia"/>
      </w:rPr>
    </w:lvl>
  </w:abstractNum>
  <w:abstractNum w:abstractNumId="2">
    <w:nsid w:val="D475EF50"/>
    <w:multiLevelType w:val="singleLevel"/>
    <w:tmpl w:val="D475EF50"/>
    <w:lvl w:ilvl="0" w:tentative="0">
      <w:start w:val="1"/>
      <w:numFmt w:val="decimal"/>
      <w:lvlText w:val="%1."/>
      <w:lvlJc w:val="left"/>
      <w:pPr>
        <w:tabs>
          <w:tab w:val="left" w:pos="312"/>
        </w:tabs>
      </w:pPr>
    </w:lvl>
  </w:abstractNum>
  <w:abstractNum w:abstractNumId="3">
    <w:nsid w:val="0E39647C"/>
    <w:multiLevelType w:val="singleLevel"/>
    <w:tmpl w:val="0E39647C"/>
    <w:lvl w:ilvl="0" w:tentative="0">
      <w:start w:val="1"/>
      <w:numFmt w:val="chineseCounting"/>
      <w:suff w:val="nothing"/>
      <w:lvlText w:val="（%1）"/>
      <w:lvlJc w:val="left"/>
      <w:rPr>
        <w:rFonts w:hint="eastAsia"/>
      </w:rPr>
    </w:lvl>
  </w:abstractNum>
  <w:abstractNum w:abstractNumId="4">
    <w:nsid w:val="3DFA6946"/>
    <w:multiLevelType w:val="singleLevel"/>
    <w:tmpl w:val="3DFA6946"/>
    <w:lvl w:ilvl="0" w:tentative="0">
      <w:start w:val="2"/>
      <w:numFmt w:val="chineseCounting"/>
      <w:suff w:val="nothing"/>
      <w:lvlText w:val="（%1）"/>
      <w:lvlJc w:val="left"/>
      <w:rPr>
        <w:rFonts w:hint="eastAsia"/>
      </w:rPr>
    </w:lvl>
  </w:abstractNum>
  <w:abstractNum w:abstractNumId="5">
    <w:nsid w:val="4D6E4501"/>
    <w:multiLevelType w:val="singleLevel"/>
    <w:tmpl w:val="4D6E4501"/>
    <w:lvl w:ilvl="0" w:tentative="0">
      <w:start w:val="1"/>
      <w:numFmt w:val="chineseCounting"/>
      <w:suff w:val="nothing"/>
      <w:lvlText w:val="%1、"/>
      <w:lvlJc w:val="left"/>
      <w:rPr>
        <w:rFonts w:hint="eastAsia"/>
      </w:r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33160EB"/>
    <w:rsid w:val="056C7E29"/>
    <w:rsid w:val="061E35DE"/>
    <w:rsid w:val="066E0107"/>
    <w:rsid w:val="07996F6E"/>
    <w:rsid w:val="07DFD8BA"/>
    <w:rsid w:val="07ED1F67"/>
    <w:rsid w:val="08DB07E4"/>
    <w:rsid w:val="09867E8F"/>
    <w:rsid w:val="0A2032A3"/>
    <w:rsid w:val="0B670629"/>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8EC7736"/>
    <w:rsid w:val="1938089F"/>
    <w:rsid w:val="19A445FC"/>
    <w:rsid w:val="1A3441CE"/>
    <w:rsid w:val="1B7D550C"/>
    <w:rsid w:val="1BE8440E"/>
    <w:rsid w:val="1D155CEE"/>
    <w:rsid w:val="1E740ACF"/>
    <w:rsid w:val="1FF35744"/>
    <w:rsid w:val="1FF6BC77"/>
    <w:rsid w:val="21962A9E"/>
    <w:rsid w:val="21AE7C77"/>
    <w:rsid w:val="22BC3C41"/>
    <w:rsid w:val="23860B96"/>
    <w:rsid w:val="240371BF"/>
    <w:rsid w:val="24AD52A9"/>
    <w:rsid w:val="257C18DE"/>
    <w:rsid w:val="25C428AA"/>
    <w:rsid w:val="260F557C"/>
    <w:rsid w:val="281408E2"/>
    <w:rsid w:val="29FD04D3"/>
    <w:rsid w:val="2BFF7BC6"/>
    <w:rsid w:val="2C8A61B5"/>
    <w:rsid w:val="2D2E01CF"/>
    <w:rsid w:val="2DF04E50"/>
    <w:rsid w:val="2E9545B0"/>
    <w:rsid w:val="2F040D46"/>
    <w:rsid w:val="2FAE5751"/>
    <w:rsid w:val="2FB1A395"/>
    <w:rsid w:val="2FD933F6"/>
    <w:rsid w:val="2FD9A7D8"/>
    <w:rsid w:val="319F7F4E"/>
    <w:rsid w:val="321B2544"/>
    <w:rsid w:val="3304709D"/>
    <w:rsid w:val="33DA750D"/>
    <w:rsid w:val="34281836"/>
    <w:rsid w:val="349D6851"/>
    <w:rsid w:val="35BA6CAF"/>
    <w:rsid w:val="364D14C1"/>
    <w:rsid w:val="36AA5135"/>
    <w:rsid w:val="36BE0DA7"/>
    <w:rsid w:val="376B6AA6"/>
    <w:rsid w:val="376D39B2"/>
    <w:rsid w:val="37E16F03"/>
    <w:rsid w:val="37F53A3B"/>
    <w:rsid w:val="389B6C89"/>
    <w:rsid w:val="38D469F0"/>
    <w:rsid w:val="395835DE"/>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2002A64"/>
    <w:rsid w:val="43A407DF"/>
    <w:rsid w:val="444E5D09"/>
    <w:rsid w:val="44515BEA"/>
    <w:rsid w:val="4476700E"/>
    <w:rsid w:val="44BB31EF"/>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ED3E15"/>
    <w:rsid w:val="4FFB052F"/>
    <w:rsid w:val="5253098E"/>
    <w:rsid w:val="53083A92"/>
    <w:rsid w:val="537E6D0A"/>
    <w:rsid w:val="53AF27A2"/>
    <w:rsid w:val="53F74C96"/>
    <w:rsid w:val="553C5B31"/>
    <w:rsid w:val="56E47B74"/>
    <w:rsid w:val="57BD3DD4"/>
    <w:rsid w:val="58E40592"/>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6515870"/>
    <w:rsid w:val="66D103A8"/>
    <w:rsid w:val="67AA3209"/>
    <w:rsid w:val="681C4F0D"/>
    <w:rsid w:val="69046D0F"/>
    <w:rsid w:val="69894F6A"/>
    <w:rsid w:val="698D0931"/>
    <w:rsid w:val="6A993CED"/>
    <w:rsid w:val="6B053271"/>
    <w:rsid w:val="6B5415A7"/>
    <w:rsid w:val="6BCE6674"/>
    <w:rsid w:val="6C4A05C8"/>
    <w:rsid w:val="6C8742B8"/>
    <w:rsid w:val="6C8A170F"/>
    <w:rsid w:val="6CB54609"/>
    <w:rsid w:val="6D063D6A"/>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6167CC"/>
    <w:rsid w:val="72233669"/>
    <w:rsid w:val="72734D90"/>
    <w:rsid w:val="7332FE48"/>
    <w:rsid w:val="73AB61DA"/>
    <w:rsid w:val="73AD73D5"/>
    <w:rsid w:val="73B6EB34"/>
    <w:rsid w:val="73FA497D"/>
    <w:rsid w:val="744731E5"/>
    <w:rsid w:val="74527205"/>
    <w:rsid w:val="74980275"/>
    <w:rsid w:val="74BBD01D"/>
    <w:rsid w:val="74ED5379"/>
    <w:rsid w:val="74FC2395"/>
    <w:rsid w:val="751678CE"/>
    <w:rsid w:val="75C630A2"/>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BDF591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link w:val="26"/>
    <w:qFormat/>
    <w:uiPriority w:val="99"/>
    <w:pPr>
      <w:spacing w:beforeLines="30"/>
    </w:pPr>
    <w:rPr>
      <w:rFonts w:ascii="仿宋_GB2312" w:eastAsia="仿宋_GB2312"/>
      <w:kern w:val="0"/>
      <w:sz w:val="30"/>
    </w:rPr>
  </w:style>
  <w:style w:type="paragraph" w:styleId="6">
    <w:name w:val="Body Text First Indent"/>
    <w:basedOn w:val="5"/>
    <w:qFormat/>
    <w:uiPriority w:val="0"/>
    <w:pPr>
      <w:keepNext w:val="0"/>
      <w:keepLines w:val="0"/>
      <w:widowControl w:val="0"/>
      <w:suppressLineNumbers w:val="0"/>
      <w:spacing w:after="120" w:afterAutospacing="0"/>
      <w:ind w:firstLine="420" w:firstLineChars="100"/>
      <w:jc w:val="both"/>
    </w:pPr>
    <w:rPr>
      <w:rFonts w:hint="default" w:ascii="Calibri" w:hAnsi="Calibri" w:eastAsia="宋体" w:cs="Times New Roman"/>
      <w:kern w:val="2"/>
      <w:sz w:val="21"/>
      <w:szCs w:val="21"/>
      <w:lang w:val="en-US" w:eastAsia="zh-CN" w:bidi="ar"/>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xwechat_files\wxid_mccauydok6db21_6825\msg\file\2026-10\&#34920;&#26684;_1792122068184(1).csv"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xwechat_files\wxid_mccauydok6db21_6825\msg\file\2026-10\&#34920;&#26684;_1792122817215.csv"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D:\xwechat_files\wxid_mccauydok6db21_6825\msg\file\2026-10\&#34920;&#26684;_1792134621814.csv"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xwechat_files\wxid_mccauydok6db21_6825\msg\file\2026-10\&#34920;&#26684;_1792135849007.csv"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xwechat_files\wxid_mccauydok6db21_6825\msg\file\2026-10\&#34920;&#26684;_1792136347728.csv"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xwechat_files\wxid_mccauydok6db21_6825\msg\file\2026-10\&#34920;&#26684;_1792137071431.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收入和支付决算总计变动情况图</a:t>
            </a:r>
          </a:p>
          <a:p>
            <a:pPr defTabSz="914400">
              <a:defRPr lang="zh-CN" sz="1400" b="1" i="0" u="none" strike="noStrike" kern="1200" baseline="0">
                <a:solidFill>
                  <a:schemeClr val="tx1">
                    <a:lumMod val="75000"/>
                    <a:lumOff val="25000"/>
                  </a:schemeClr>
                </a:solidFill>
                <a:latin typeface="+mn-lt"/>
                <a:ea typeface="+mn-ea"/>
                <a:cs typeface="+mn-cs"/>
              </a:defRPr>
            </a:pPr>
          </a:p>
        </c:rich>
      </c:tx>
      <c:layout>
        <c:manualLayout>
          <c:xMode val="edge"/>
          <c:yMode val="edge"/>
          <c:x val="0.235470419598645"/>
          <c:y val="0.0451388888888889"/>
        </c:manualLayout>
      </c:layout>
      <c:overlay val="0"/>
      <c:spPr>
        <a:noFill/>
        <a:ln>
          <a:noFill/>
        </a:ln>
        <a:effectLst/>
      </c:spPr>
    </c:title>
    <c:autoTitleDeleted val="0"/>
    <c:plotArea>
      <c:layout/>
      <c:barChart>
        <c:barDir val="col"/>
        <c:grouping val="clustered"/>
        <c:varyColors val="0"/>
        <c:ser>
          <c:idx val="0"/>
          <c:order val="0"/>
          <c:tx>
            <c:strRef>
              <c:f>'表格_1792122068184(1).csv'!$A$2</c:f>
              <c:strCache>
                <c:ptCount val="1"/>
                <c:pt idx="0">
                  <c:v>2024年</c:v>
                </c:pt>
              </c:strCache>
            </c:strRef>
          </c:tx>
          <c:spPr>
            <a:solidFill>
              <a:schemeClr val="accent1"/>
            </a:solidFill>
            <a:ln>
              <a:noFill/>
            </a:ln>
            <a:effectLst/>
          </c:spPr>
          <c:invertIfNegative val="0"/>
          <c:dLbls>
            <c:delete val="1"/>
          </c:dLbls>
          <c:cat>
            <c:strRef>
              <c:f>'表格_1792122068184(1).csv'!$B$1:$C$1</c:f>
              <c:strCache>
                <c:ptCount val="2"/>
                <c:pt idx="0">
                  <c:v>收入总计（万元）</c:v>
                </c:pt>
                <c:pt idx="1">
                  <c:v>支出总计（万元）</c:v>
                </c:pt>
              </c:strCache>
            </c:strRef>
          </c:cat>
          <c:val>
            <c:numRef>
              <c:f>'表格_1792122068184(1).csv'!$B$2:$C$2</c:f>
              <c:numCache>
                <c:formatCode>General</c:formatCode>
                <c:ptCount val="2"/>
                <c:pt idx="0">
                  <c:v>326.81</c:v>
                </c:pt>
                <c:pt idx="1">
                  <c:v>326.81</c:v>
                </c:pt>
              </c:numCache>
            </c:numRef>
          </c:val>
        </c:ser>
        <c:ser>
          <c:idx val="1"/>
          <c:order val="1"/>
          <c:tx>
            <c:strRef>
              <c:f>'表格_1792122068184(1).csv'!$A$3</c:f>
              <c:strCache>
                <c:ptCount val="1"/>
                <c:pt idx="0">
                  <c:v>2025年</c:v>
                </c:pt>
              </c:strCache>
            </c:strRef>
          </c:tx>
          <c:spPr>
            <a:solidFill>
              <a:schemeClr val="accent2"/>
            </a:solidFill>
            <a:ln>
              <a:noFill/>
            </a:ln>
            <a:effectLst/>
          </c:spPr>
          <c:invertIfNegative val="0"/>
          <c:dLbls>
            <c:delete val="1"/>
          </c:dLbls>
          <c:cat>
            <c:strRef>
              <c:f>'表格_1792122068184(1).csv'!$B$1:$C$1</c:f>
              <c:strCache>
                <c:ptCount val="2"/>
                <c:pt idx="0">
                  <c:v>收入总计（万元）</c:v>
                </c:pt>
                <c:pt idx="1">
                  <c:v>支出总计（万元）</c:v>
                </c:pt>
              </c:strCache>
            </c:strRef>
          </c:cat>
          <c:val>
            <c:numRef>
              <c:f>'表格_1792122068184(1).csv'!$B$3:$C$3</c:f>
              <c:numCache>
                <c:formatCode>General</c:formatCode>
                <c:ptCount val="2"/>
                <c:pt idx="0">
                  <c:v>347.37</c:v>
                </c:pt>
                <c:pt idx="1">
                  <c:v>347.37</c:v>
                </c:pt>
              </c:numCache>
            </c:numRef>
          </c:val>
        </c:ser>
        <c:dLbls>
          <c:showLegendKey val="0"/>
          <c:showVal val="0"/>
          <c:showCatName val="0"/>
          <c:showSerName val="0"/>
          <c:showPercent val="0"/>
          <c:showBubbleSize val="0"/>
        </c:dLbls>
        <c:gapWidth val="246"/>
        <c:overlap val="-28"/>
        <c:axId val="112429738"/>
        <c:axId val="646973725"/>
      </c:barChart>
      <c:catAx>
        <c:axId val="1124297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6973725"/>
        <c:crosses val="autoZero"/>
        <c:auto val="1"/>
        <c:lblAlgn val="ctr"/>
        <c:lblOffset val="100"/>
        <c:noMultiLvlLbl val="0"/>
      </c:catAx>
      <c:valAx>
        <c:axId val="64697372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242973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表格_1792122817215.csv!$B$1</c:f>
              <c:strCache>
                <c:ptCount val="1"/>
                <c:pt idx="0">
                  <c:v>金额（万元）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delete val="1"/>
          </c:dLbls>
          <c:cat>
            <c:strRef>
              <c:f>表格_1792122817215.csv!$A$2:$A$9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表格_1792122817215.csv!$B$2:$B$9</c:f>
              <c:numCache>
                <c:formatCode>General</c:formatCode>
                <c:ptCount val="8"/>
                <c:pt idx="0">
                  <c:v>347.37</c:v>
                </c:pt>
                <c:pt idx="1">
                  <c:v>0</c:v>
                </c:pt>
                <c:pt idx="2">
                  <c:v>0</c:v>
                </c:pt>
                <c:pt idx="3">
                  <c:v>0</c:v>
                </c:pt>
                <c:pt idx="4">
                  <c:v>0</c:v>
                </c:pt>
                <c:pt idx="5">
                  <c:v>0</c:v>
                </c:pt>
                <c:pt idx="6">
                  <c:v>0</c:v>
                </c:pt>
                <c:pt idx="7">
                  <c:v>0</c:v>
                </c:pt>
              </c:numCache>
            </c:numRef>
          </c:val>
        </c:ser>
        <c:ser>
          <c:idx val="1"/>
          <c:order val="1"/>
          <c:tx>
            <c:strRef>
              <c:f>表格_1792122817215.csv!$C$1</c:f>
              <c:strCache>
                <c:ptCount val="1"/>
                <c:pt idx="0">
                  <c:v>占比</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delete val="1"/>
          </c:dLbls>
          <c:cat>
            <c:strRef>
              <c:f>表格_1792122817215.csv!$A$2:$A$9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表格_1792122817215.csv!$C$2:$C$9</c:f>
              <c:numCache>
                <c:formatCode>0%</c:formatCode>
                <c:ptCount val="8"/>
                <c:pt idx="0">
                  <c:v>1</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manualLayout>
          <c:xMode val="edge"/>
          <c:yMode val="edge"/>
          <c:x val="0.367105263157895"/>
          <c:y val="0.0347222222222222"/>
        </c:manualLayout>
      </c:layout>
      <c:overlay val="0"/>
      <c:spPr>
        <a:noFill/>
        <a:ln>
          <a:noFill/>
        </a:ln>
        <a:effectLst/>
      </c:spPr>
    </c:title>
    <c:autoTitleDeleted val="0"/>
    <c:plotArea>
      <c:layout/>
      <c:pieChart>
        <c:varyColors val="1"/>
        <c:ser>
          <c:idx val="0"/>
          <c:order val="0"/>
          <c:tx>
            <c:strRef>
              <c:f>表格_1792134621814.csv!$B$1</c:f>
              <c:strCache>
                <c:ptCount val="1"/>
                <c:pt idx="0">
                  <c:v>金额（万元）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表格_1792134621814.csv!$A$2:$A$6</c:f>
              <c:strCache>
                <c:ptCount val="5"/>
                <c:pt idx="0">
                  <c:v>基本支出</c:v>
                </c:pt>
                <c:pt idx="1">
                  <c:v>项目支出</c:v>
                </c:pt>
                <c:pt idx="2">
                  <c:v>上缴上级支出</c:v>
                </c:pt>
                <c:pt idx="3">
                  <c:v>经营支出</c:v>
                </c:pt>
                <c:pt idx="4">
                  <c:v>对附属单位补助支出</c:v>
                </c:pt>
              </c:strCache>
            </c:strRef>
          </c:cat>
          <c:val>
            <c:numRef>
              <c:f>表格_1792134621814.csv!$B$2:$B$6</c:f>
              <c:numCache>
                <c:formatCode>General</c:formatCode>
                <c:ptCount val="5"/>
                <c:pt idx="0">
                  <c:v>337.37</c:v>
                </c:pt>
                <c:pt idx="1">
                  <c:v>10</c:v>
                </c:pt>
                <c:pt idx="2">
                  <c:v>0</c:v>
                </c:pt>
                <c:pt idx="3">
                  <c:v>0</c:v>
                </c:pt>
                <c:pt idx="4">
                  <c:v>0</c:v>
                </c:pt>
              </c:numCache>
            </c:numRef>
          </c:val>
        </c:ser>
        <c:ser>
          <c:idx val="1"/>
          <c:order val="1"/>
          <c:tx>
            <c:strRef>
              <c:f>表格_1792134621814.csv!$C$1</c:f>
              <c:strCache>
                <c:ptCount val="1"/>
                <c:pt idx="0">
                  <c:v>占比</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表格_1792134621814.csv!$A$2:$A$6</c:f>
              <c:strCache>
                <c:ptCount val="5"/>
                <c:pt idx="0">
                  <c:v>基本支出</c:v>
                </c:pt>
                <c:pt idx="1">
                  <c:v>项目支出</c:v>
                </c:pt>
                <c:pt idx="2">
                  <c:v>上缴上级支出</c:v>
                </c:pt>
                <c:pt idx="3">
                  <c:v>经营支出</c:v>
                </c:pt>
                <c:pt idx="4">
                  <c:v>对附属单位补助支出</c:v>
                </c:pt>
              </c:strCache>
            </c:strRef>
          </c:cat>
          <c:val>
            <c:numRef>
              <c:f>表格_1792134621814.csv!$C$2:$C$6</c:f>
              <c:numCache>
                <c:formatCode>0.00%</c:formatCode>
                <c:ptCount val="5"/>
                <c:pt idx="0">
                  <c:v>0.9712</c:v>
                </c:pt>
                <c:pt idx="1">
                  <c:v>0.0288</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财政拨款收入和支付总计变动表</a:t>
            </a:r>
          </a:p>
        </c:rich>
      </c:tx>
      <c:layout>
        <c:manualLayout>
          <c:xMode val="edge"/>
          <c:yMode val="edge"/>
          <c:x val="0.268815789473684"/>
          <c:y val="0.0555555555555556"/>
        </c:manualLayout>
      </c:layout>
      <c:overlay val="0"/>
      <c:spPr>
        <a:noFill/>
        <a:ln>
          <a:noFill/>
        </a:ln>
        <a:effectLst/>
      </c:spPr>
    </c:title>
    <c:autoTitleDeleted val="0"/>
    <c:plotArea>
      <c:layout/>
      <c:barChart>
        <c:barDir val="col"/>
        <c:grouping val="clustered"/>
        <c:varyColors val="0"/>
        <c:ser>
          <c:idx val="0"/>
          <c:order val="0"/>
          <c:tx>
            <c:strRef>
              <c:f>表格_1792135849007.csv!$A$2</c:f>
              <c:strCache>
                <c:ptCount val="1"/>
                <c:pt idx="0">
                  <c:v>2024年</c:v>
                </c:pt>
              </c:strCache>
            </c:strRef>
          </c:tx>
          <c:spPr>
            <a:solidFill>
              <a:schemeClr val="accent1"/>
            </a:solidFill>
            <a:ln>
              <a:noFill/>
            </a:ln>
            <a:effectLst/>
          </c:spPr>
          <c:invertIfNegative val="0"/>
          <c:dLbls>
            <c:delete val="1"/>
          </c:dLbls>
          <c:cat>
            <c:strRef>
              <c:f>表格_1792135849007.csv!$B$1:$C$1</c:f>
              <c:strCache>
                <c:ptCount val="2"/>
                <c:pt idx="0">
                  <c:v>财政拨款收入（万元）</c:v>
                </c:pt>
                <c:pt idx="1">
                  <c:v>财政拨款支出（万元）</c:v>
                </c:pt>
              </c:strCache>
            </c:strRef>
          </c:cat>
          <c:val>
            <c:numRef>
              <c:f>表格_1792135849007.csv!$B$2:$C$2</c:f>
              <c:numCache>
                <c:formatCode>General</c:formatCode>
                <c:ptCount val="2"/>
                <c:pt idx="0">
                  <c:v>326.81</c:v>
                </c:pt>
                <c:pt idx="1">
                  <c:v>326.81</c:v>
                </c:pt>
              </c:numCache>
            </c:numRef>
          </c:val>
        </c:ser>
        <c:ser>
          <c:idx val="1"/>
          <c:order val="1"/>
          <c:tx>
            <c:strRef>
              <c:f>表格_1792135849007.csv!$A$3</c:f>
              <c:strCache>
                <c:ptCount val="1"/>
                <c:pt idx="0">
                  <c:v>2025年</c:v>
                </c:pt>
              </c:strCache>
            </c:strRef>
          </c:tx>
          <c:spPr>
            <a:solidFill>
              <a:schemeClr val="accent2"/>
            </a:solidFill>
            <a:ln>
              <a:noFill/>
            </a:ln>
            <a:effectLst/>
          </c:spPr>
          <c:invertIfNegative val="0"/>
          <c:dLbls>
            <c:delete val="1"/>
          </c:dLbls>
          <c:cat>
            <c:strRef>
              <c:f>表格_1792135849007.csv!$B$1:$C$1</c:f>
              <c:strCache>
                <c:ptCount val="2"/>
                <c:pt idx="0">
                  <c:v>财政拨款收入（万元）</c:v>
                </c:pt>
                <c:pt idx="1">
                  <c:v>财政拨款支出（万元）</c:v>
                </c:pt>
              </c:strCache>
            </c:strRef>
          </c:cat>
          <c:val>
            <c:numRef>
              <c:f>表格_1792135849007.csv!$B$3:$C$3</c:f>
              <c:numCache>
                <c:formatCode>General</c:formatCode>
                <c:ptCount val="2"/>
                <c:pt idx="0">
                  <c:v>347.37</c:v>
                </c:pt>
                <c:pt idx="1">
                  <c:v>347.37</c:v>
                </c:pt>
              </c:numCache>
            </c:numRef>
          </c:val>
        </c:ser>
        <c:dLbls>
          <c:showLegendKey val="0"/>
          <c:showVal val="0"/>
          <c:showCatName val="0"/>
          <c:showSerName val="0"/>
          <c:showPercent val="0"/>
          <c:showBubbleSize val="0"/>
        </c:dLbls>
        <c:gapWidth val="246"/>
        <c:overlap val="-28"/>
        <c:axId val="435620286"/>
        <c:axId val="360136213"/>
      </c:barChart>
      <c:catAx>
        <c:axId val="43562028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136213"/>
        <c:crosses val="autoZero"/>
        <c:auto val="1"/>
        <c:lblAlgn val="ctr"/>
        <c:lblOffset val="100"/>
        <c:noMultiLvlLbl val="0"/>
      </c:catAx>
      <c:valAx>
        <c:axId val="36013621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6202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一般公共预算财政拨款支出变动情况</a:t>
            </a:r>
          </a:p>
        </c:rich>
      </c:tx>
      <c:layout/>
      <c:overlay val="0"/>
      <c:spPr>
        <a:noFill/>
        <a:ln>
          <a:noFill/>
        </a:ln>
        <a:effectLst/>
      </c:spPr>
    </c:title>
    <c:autoTitleDeleted val="0"/>
    <c:plotArea>
      <c:layout/>
      <c:barChart>
        <c:barDir val="col"/>
        <c:grouping val="clustered"/>
        <c:varyColors val="0"/>
        <c:ser>
          <c:idx val="0"/>
          <c:order val="0"/>
          <c:tx>
            <c:strRef>
              <c:f>表格_1792136347728.csv!$B$1</c:f>
              <c:strCache>
                <c:ptCount val="1"/>
                <c:pt idx="0">
                  <c:v>一般公共预算财政拨款支出（万元）</c:v>
                </c:pt>
              </c:strCache>
            </c:strRef>
          </c:tx>
          <c:spPr>
            <a:solidFill>
              <a:schemeClr val="accent1"/>
            </a:solidFill>
            <a:ln>
              <a:noFill/>
            </a:ln>
            <a:effectLst/>
          </c:spPr>
          <c:invertIfNegative val="0"/>
          <c:dLbls>
            <c:delete val="1"/>
          </c:dLbls>
          <c:cat>
            <c:strRef>
              <c:f>表格_1792136347728.csv!$A$2:$A$3</c:f>
              <c:strCache>
                <c:ptCount val="2"/>
                <c:pt idx="0">
                  <c:v>2024年</c:v>
                </c:pt>
                <c:pt idx="1">
                  <c:v>2025年</c:v>
                </c:pt>
              </c:strCache>
            </c:strRef>
          </c:cat>
          <c:val>
            <c:numRef>
              <c:f>表格_1792136347728.csv!$B$2:$B$3</c:f>
              <c:numCache>
                <c:formatCode>General</c:formatCode>
                <c:ptCount val="2"/>
                <c:pt idx="0">
                  <c:v>326.81</c:v>
                </c:pt>
                <c:pt idx="1">
                  <c:v>347.37</c:v>
                </c:pt>
              </c:numCache>
            </c:numRef>
          </c:val>
        </c:ser>
        <c:dLbls>
          <c:showLegendKey val="0"/>
          <c:showVal val="0"/>
          <c:showCatName val="0"/>
          <c:showSerName val="0"/>
          <c:showPercent val="0"/>
          <c:showBubbleSize val="0"/>
        </c:dLbls>
        <c:gapWidth val="246"/>
        <c:overlap val="-28"/>
        <c:axId val="359648059"/>
        <c:axId val="395788691"/>
      </c:barChart>
      <c:catAx>
        <c:axId val="35964805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5788691"/>
        <c:crosses val="autoZero"/>
        <c:auto val="1"/>
        <c:lblAlgn val="ctr"/>
        <c:lblOffset val="100"/>
        <c:noMultiLvlLbl val="0"/>
      </c:catAx>
      <c:valAx>
        <c:axId val="39578869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96480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表格_1792137071431.csv!$B$1</c:f>
              <c:strCache>
                <c:ptCount val="1"/>
                <c:pt idx="0">
                  <c:v>金额（万元）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表格_1792137071431.csv!$A$2:$A$6</c:f>
              <c:strCache>
                <c:ptCount val="5"/>
                <c:pt idx="0">
                  <c:v>一般公共服务支出</c:v>
                </c:pt>
                <c:pt idx="1">
                  <c:v>教育支出</c:v>
                </c:pt>
                <c:pt idx="2">
                  <c:v>社会保障和就业支出</c:v>
                </c:pt>
                <c:pt idx="3">
                  <c:v>卫生健康支出</c:v>
                </c:pt>
                <c:pt idx="4">
                  <c:v>住房保障支出</c:v>
                </c:pt>
              </c:strCache>
            </c:strRef>
          </c:cat>
          <c:val>
            <c:numRef>
              <c:f>表格_1792137071431.csv!$B$2:$B$6</c:f>
              <c:numCache>
                <c:formatCode>General</c:formatCode>
                <c:ptCount val="5"/>
                <c:pt idx="0">
                  <c:v>261.37</c:v>
                </c:pt>
                <c:pt idx="1">
                  <c:v>0</c:v>
                </c:pt>
                <c:pt idx="2">
                  <c:v>45.27</c:v>
                </c:pt>
                <c:pt idx="3">
                  <c:v>15.31</c:v>
                </c:pt>
                <c:pt idx="4">
                  <c:v>25.42</c:v>
                </c:pt>
              </c:numCache>
            </c:numRef>
          </c:val>
        </c:ser>
        <c:ser>
          <c:idx val="1"/>
          <c:order val="1"/>
          <c:tx>
            <c:strRef>
              <c:f>表格_1792137071431.csv!$C$1</c:f>
              <c:strCache>
                <c:ptCount val="1"/>
                <c:pt idx="0">
                  <c:v>占比</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表格_1792137071431.csv!$A$2:$A$6</c:f>
              <c:strCache>
                <c:ptCount val="5"/>
                <c:pt idx="0">
                  <c:v>一般公共服务支出</c:v>
                </c:pt>
                <c:pt idx="1">
                  <c:v>教育支出</c:v>
                </c:pt>
                <c:pt idx="2">
                  <c:v>社会保障和就业支出</c:v>
                </c:pt>
                <c:pt idx="3">
                  <c:v>卫生健康支出</c:v>
                </c:pt>
                <c:pt idx="4">
                  <c:v>住房保障支出</c:v>
                </c:pt>
              </c:strCache>
            </c:strRef>
          </c:cat>
          <c:val>
            <c:numRef>
              <c:f>表格_1792137071431.csv!$C$2:$C$6</c:f>
              <c:numCache>
                <c:formatCode>0.00%</c:formatCode>
                <c:ptCount val="5"/>
                <c:pt idx="0">
                  <c:v>0.7524</c:v>
                </c:pt>
                <c:pt idx="1">
                  <c:v>0</c:v>
                </c:pt>
                <c:pt idx="2">
                  <c:v>0.1303</c:v>
                </c:pt>
                <c:pt idx="3">
                  <c:v>0.0441</c:v>
                </c:pt>
                <c:pt idx="4">
                  <c:v>0.0732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7006</Words>
  <Characters>7571</Characters>
  <Lines>61</Lines>
  <Paragraphs>17</Paragraphs>
  <TotalTime>37</TotalTime>
  <ScaleCrop>false</ScaleCrop>
  <LinksUpToDate>false</LinksUpToDate>
  <CharactersWithSpaces>7604</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2026-10-20T17:34:00Z</cp:lastPrinted>
  <dcterms:modified xsi:type="dcterms:W3CDTF">2026-10-21T10:58:50Z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BC75491A76EB4974B777B71D70701132_13</vt:lpwstr>
  </property>
  <property fmtid="{D5CDD505-2E9C-101B-9397-08002B2CF9AE}" pid="4" name="KSOTemplateDocerSaveRecord">
    <vt:lpwstr>eyJoZGlkIjoiZGFkMWI1MTNjY2M2NzlhOGM0ODQwODdkYmZmMTI5ZmIiLCJ1c2VySWQiOiIzNjU4MTkzODYifQ==</vt:lpwstr>
  </property>
</Properties>
</file>