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EE8" w:rsidRDefault="002F4EE8">
      <w:pPr>
        <w:rPr>
          <w:rFonts w:ascii="黑体" w:eastAsia="黑体" w:hAnsi="黑体" w:cs="Times New Roman"/>
          <w:sz w:val="44"/>
          <w:szCs w:val="44"/>
        </w:rPr>
      </w:pPr>
    </w:p>
    <w:p w:rsidR="002F4EE8" w:rsidRDefault="002F4EE8">
      <w:pPr>
        <w:rPr>
          <w:rFonts w:ascii="黑体" w:eastAsia="黑体" w:hAnsi="黑体" w:cs="Times New Roman"/>
          <w:sz w:val="44"/>
          <w:szCs w:val="44"/>
        </w:rPr>
      </w:pPr>
    </w:p>
    <w:p w:rsidR="002F4EE8" w:rsidRDefault="002F4EE8">
      <w:pPr>
        <w:rPr>
          <w:rFonts w:ascii="黑体" w:eastAsia="黑体" w:hAnsi="黑体" w:cs="Times New Roman"/>
          <w:sz w:val="44"/>
          <w:szCs w:val="44"/>
        </w:rPr>
      </w:pPr>
    </w:p>
    <w:p w:rsidR="002F4EE8" w:rsidRDefault="002F4EE8">
      <w:pPr>
        <w:rPr>
          <w:rFonts w:ascii="黑体" w:eastAsia="黑体" w:hAnsi="黑体" w:cs="Times New Roman"/>
          <w:sz w:val="44"/>
          <w:szCs w:val="44"/>
        </w:rPr>
      </w:pPr>
    </w:p>
    <w:p w:rsidR="002F4EE8" w:rsidRDefault="002F4EE8">
      <w:pPr>
        <w:rPr>
          <w:rFonts w:ascii="黑体" w:eastAsia="黑体" w:hAnsi="黑体" w:cs="Times New Roman"/>
          <w:sz w:val="44"/>
          <w:szCs w:val="44"/>
        </w:rPr>
      </w:pPr>
    </w:p>
    <w:p w:rsidR="002F4EE8" w:rsidRDefault="00A51F84">
      <w:pPr>
        <w:jc w:val="center"/>
        <w:rPr>
          <w:rFonts w:ascii="黑体" w:eastAsia="黑体" w:hAnsi="黑体" w:cs="Times New Roman"/>
          <w:sz w:val="56"/>
          <w:szCs w:val="56"/>
        </w:rPr>
      </w:pPr>
      <w:r>
        <w:rPr>
          <w:rFonts w:ascii="黑体" w:eastAsia="黑体" w:hAnsi="黑体" w:cs="黑体" w:hint="eastAsia"/>
          <w:sz w:val="56"/>
          <w:szCs w:val="56"/>
        </w:rPr>
        <w:t>壤塘县</w:t>
      </w:r>
      <w:proofErr w:type="gramStart"/>
      <w:r>
        <w:rPr>
          <w:rFonts w:ascii="黑体" w:eastAsia="黑体" w:hAnsi="黑体" w:cs="黑体" w:hint="eastAsia"/>
          <w:sz w:val="56"/>
          <w:szCs w:val="56"/>
        </w:rPr>
        <w:t>鱼托寺</w:t>
      </w:r>
      <w:proofErr w:type="gramEnd"/>
      <w:r>
        <w:rPr>
          <w:rFonts w:ascii="黑体" w:eastAsia="黑体" w:hAnsi="黑体" w:cs="黑体" w:hint="eastAsia"/>
          <w:sz w:val="56"/>
          <w:szCs w:val="56"/>
        </w:rPr>
        <w:t>寺庙管理委员会</w:t>
      </w:r>
      <w:r>
        <w:rPr>
          <w:rFonts w:ascii="黑体" w:eastAsia="黑体" w:hAnsi="黑体" w:cs="黑体"/>
          <w:sz w:val="56"/>
          <w:szCs w:val="56"/>
        </w:rPr>
        <w:t>202</w:t>
      </w:r>
      <w:r>
        <w:rPr>
          <w:rFonts w:ascii="黑体" w:eastAsia="黑体" w:hAnsi="黑体" w:cs="黑体" w:hint="eastAsia"/>
          <w:sz w:val="56"/>
          <w:szCs w:val="56"/>
        </w:rPr>
        <w:t>2</w:t>
      </w:r>
      <w:r>
        <w:rPr>
          <w:rFonts w:ascii="黑体" w:eastAsia="黑体" w:hAnsi="黑体" w:cs="黑体"/>
          <w:sz w:val="56"/>
          <w:szCs w:val="56"/>
        </w:rPr>
        <w:t>年</w:t>
      </w:r>
      <w:r>
        <w:rPr>
          <w:rFonts w:ascii="黑体" w:eastAsia="黑体" w:hAnsi="黑体" w:cs="黑体" w:hint="eastAsia"/>
          <w:sz w:val="56"/>
          <w:szCs w:val="56"/>
        </w:rPr>
        <w:t>部门预算</w:t>
      </w:r>
      <w:r>
        <w:rPr>
          <w:rFonts w:ascii="黑体" w:eastAsia="黑体" w:hAnsi="黑体" w:cs="黑体" w:hint="eastAsia"/>
          <w:sz w:val="56"/>
          <w:szCs w:val="56"/>
        </w:rPr>
        <w:t>编制说明</w:t>
      </w:r>
    </w:p>
    <w:p w:rsidR="002F4EE8" w:rsidRDefault="002F4EE8">
      <w:pPr>
        <w:jc w:val="center"/>
        <w:rPr>
          <w:rFonts w:ascii="黑体" w:eastAsia="黑体" w:hAnsi="黑体" w:cs="Times New Roman"/>
          <w:sz w:val="44"/>
          <w:szCs w:val="44"/>
        </w:rPr>
      </w:pPr>
    </w:p>
    <w:p w:rsidR="002F4EE8" w:rsidRDefault="002F4EE8">
      <w:pPr>
        <w:jc w:val="center"/>
        <w:rPr>
          <w:rFonts w:ascii="黑体" w:eastAsia="黑体" w:hAnsi="黑体" w:cs="Times New Roman"/>
          <w:sz w:val="44"/>
          <w:szCs w:val="44"/>
        </w:rPr>
      </w:pPr>
    </w:p>
    <w:p w:rsidR="002F4EE8" w:rsidRDefault="002F4EE8">
      <w:pPr>
        <w:jc w:val="center"/>
        <w:rPr>
          <w:rFonts w:ascii="黑体" w:eastAsia="黑体" w:hAnsi="黑体" w:cs="Times New Roman"/>
          <w:sz w:val="44"/>
          <w:szCs w:val="44"/>
        </w:rPr>
      </w:pPr>
    </w:p>
    <w:p w:rsidR="002F4EE8" w:rsidRDefault="002F4EE8">
      <w:pPr>
        <w:jc w:val="center"/>
        <w:rPr>
          <w:rFonts w:ascii="黑体" w:eastAsia="黑体" w:hAnsi="黑体" w:cs="Times New Roman"/>
          <w:sz w:val="44"/>
          <w:szCs w:val="44"/>
        </w:rPr>
      </w:pPr>
    </w:p>
    <w:p w:rsidR="002F4EE8" w:rsidRDefault="002F4EE8">
      <w:pPr>
        <w:jc w:val="center"/>
        <w:rPr>
          <w:rFonts w:ascii="黑体" w:eastAsia="黑体" w:hAnsi="黑体" w:cs="Times New Roman"/>
          <w:sz w:val="44"/>
          <w:szCs w:val="44"/>
        </w:rPr>
      </w:pPr>
    </w:p>
    <w:p w:rsidR="002F4EE8" w:rsidRDefault="002F4EE8">
      <w:pPr>
        <w:jc w:val="center"/>
        <w:rPr>
          <w:rFonts w:ascii="黑体" w:eastAsia="黑体" w:hAnsi="黑体" w:cs="Times New Roman"/>
          <w:sz w:val="44"/>
          <w:szCs w:val="44"/>
        </w:rPr>
      </w:pPr>
    </w:p>
    <w:p w:rsidR="002F4EE8" w:rsidRDefault="002F4EE8">
      <w:pPr>
        <w:jc w:val="center"/>
        <w:rPr>
          <w:rFonts w:ascii="黑体" w:eastAsia="黑体" w:hAnsi="黑体" w:cs="Times New Roman"/>
          <w:sz w:val="44"/>
          <w:szCs w:val="44"/>
        </w:rPr>
      </w:pPr>
    </w:p>
    <w:p w:rsidR="002F4EE8" w:rsidRDefault="002F4EE8">
      <w:pPr>
        <w:jc w:val="center"/>
        <w:rPr>
          <w:rFonts w:ascii="黑体" w:eastAsia="黑体" w:hAnsi="黑体" w:cs="Times New Roman"/>
          <w:sz w:val="44"/>
          <w:szCs w:val="44"/>
        </w:rPr>
      </w:pPr>
    </w:p>
    <w:p w:rsidR="002F4EE8" w:rsidRDefault="002F4EE8">
      <w:pPr>
        <w:jc w:val="center"/>
        <w:rPr>
          <w:rFonts w:ascii="黑体" w:eastAsia="黑体" w:hAnsi="黑体" w:cs="Times New Roman"/>
          <w:sz w:val="44"/>
          <w:szCs w:val="44"/>
        </w:rPr>
      </w:pPr>
    </w:p>
    <w:p w:rsidR="002F4EE8" w:rsidRDefault="002F4EE8">
      <w:pPr>
        <w:jc w:val="center"/>
        <w:rPr>
          <w:rFonts w:ascii="黑体" w:eastAsia="黑体" w:hAnsi="黑体" w:cs="Times New Roman"/>
          <w:sz w:val="44"/>
          <w:szCs w:val="44"/>
        </w:rPr>
      </w:pPr>
    </w:p>
    <w:p w:rsidR="002F4EE8" w:rsidRDefault="00A51F84">
      <w:pPr>
        <w:jc w:val="center"/>
        <w:rPr>
          <w:rFonts w:ascii="黑体" w:eastAsia="黑体" w:hAnsi="黑体" w:cs="Times New Roman"/>
          <w:sz w:val="52"/>
          <w:szCs w:val="52"/>
        </w:rPr>
      </w:pPr>
      <w:r>
        <w:rPr>
          <w:rFonts w:ascii="黑体" w:eastAsia="黑体" w:hAnsi="黑体" w:cs="黑体" w:hint="eastAsia"/>
          <w:sz w:val="52"/>
          <w:szCs w:val="52"/>
        </w:rPr>
        <w:t>2022</w:t>
      </w:r>
      <w:r>
        <w:rPr>
          <w:rFonts w:ascii="黑体" w:eastAsia="黑体" w:hAnsi="黑体" w:cs="黑体" w:hint="eastAsia"/>
          <w:sz w:val="52"/>
          <w:szCs w:val="52"/>
        </w:rPr>
        <w:t>年</w:t>
      </w:r>
      <w:r>
        <w:rPr>
          <w:rFonts w:ascii="黑体" w:eastAsia="黑体" w:hAnsi="黑体" w:cs="黑体" w:hint="eastAsia"/>
          <w:sz w:val="52"/>
          <w:szCs w:val="52"/>
        </w:rPr>
        <w:t>1</w:t>
      </w:r>
      <w:r>
        <w:rPr>
          <w:rFonts w:ascii="黑体" w:eastAsia="黑体" w:hAnsi="黑体" w:cs="黑体" w:hint="eastAsia"/>
          <w:sz w:val="52"/>
          <w:szCs w:val="52"/>
        </w:rPr>
        <w:t>月</w:t>
      </w:r>
      <w:bookmarkStart w:id="0" w:name="_GoBack"/>
      <w:bookmarkEnd w:id="0"/>
      <w:r>
        <w:rPr>
          <w:rFonts w:ascii="黑体" w:eastAsia="黑体" w:hAnsi="黑体" w:cs="黑体" w:hint="eastAsia"/>
          <w:sz w:val="52"/>
          <w:szCs w:val="52"/>
        </w:rPr>
        <w:t>20日</w:t>
      </w:r>
    </w:p>
    <w:p w:rsidR="002F4EE8" w:rsidRDefault="002F4EE8">
      <w:pPr>
        <w:rPr>
          <w:rFonts w:ascii="黑体" w:eastAsia="黑体" w:hAnsi="黑体" w:cs="Times New Roman"/>
          <w:sz w:val="44"/>
          <w:szCs w:val="44"/>
        </w:rPr>
      </w:pPr>
    </w:p>
    <w:p w:rsidR="002F4EE8" w:rsidRDefault="002F4EE8">
      <w:pPr>
        <w:rPr>
          <w:rFonts w:ascii="黑体" w:eastAsia="黑体" w:hAnsi="黑体" w:cs="Times New Roman"/>
          <w:sz w:val="44"/>
          <w:szCs w:val="44"/>
        </w:rPr>
      </w:pPr>
    </w:p>
    <w:p w:rsidR="002F4EE8" w:rsidRDefault="002F4EE8" w:rsidP="002F4EE8">
      <w:pPr>
        <w:pStyle w:val="a0"/>
        <w:ind w:left="1300" w:hanging="880"/>
        <w:rPr>
          <w:rFonts w:ascii="黑体" w:eastAsia="黑体" w:hAnsi="黑体" w:cs="Times New Roman"/>
          <w:sz w:val="44"/>
          <w:szCs w:val="44"/>
        </w:rPr>
      </w:pPr>
    </w:p>
    <w:p w:rsidR="002F4EE8" w:rsidRDefault="002F4EE8"/>
    <w:bookmarkStart w:id="1" w:name="_Toc8451_WPSOffice_Type3" w:displacedByCustomXml="next"/>
    <w:sdt>
      <w:sdtPr>
        <w:id w:val="147454894"/>
        <w:docPartObj>
          <w:docPartGallery w:val="Table of Contents"/>
          <w:docPartUnique/>
        </w:docPartObj>
      </w:sdtPr>
      <w:sdtEndPr>
        <w:rPr>
          <w:sz w:val="22"/>
          <w:szCs w:val="22"/>
        </w:rPr>
      </w:sdtEndPr>
      <w:sdtContent>
        <w:p w:rsidR="002F4EE8" w:rsidRDefault="00A51F84" w:rsidP="002F4EE8">
          <w:pPr>
            <w:pStyle w:val="WPSOffice2"/>
            <w:tabs>
              <w:tab w:val="right" w:leader="dot" w:pos="8306"/>
            </w:tabs>
            <w:ind w:left="420"/>
            <w:jc w:val="center"/>
          </w:pPr>
          <w:r>
            <w:t>目录</w:t>
          </w:r>
        </w:p>
        <w:p w:rsidR="002F4EE8" w:rsidRDefault="002F4EE8">
          <w:pPr>
            <w:pStyle w:val="WPSOffice1"/>
            <w:tabs>
              <w:tab w:val="right" w:leader="dot" w:pos="8306"/>
            </w:tabs>
            <w:spacing w:line="560" w:lineRule="exact"/>
            <w:rPr>
              <w:sz w:val="22"/>
              <w:szCs w:val="22"/>
            </w:rPr>
          </w:pPr>
          <w:hyperlink w:anchor="_Toc3670_WPSOffice_Level1" w:history="1">
            <w:r w:rsidR="00A51F84">
              <w:rPr>
                <w:rFonts w:ascii="黑体" w:eastAsia="黑体" w:hAnsi="黑体" w:cs="黑体" w:hint="eastAsia"/>
                <w:sz w:val="22"/>
                <w:szCs w:val="22"/>
              </w:rPr>
              <w:t>一、</w:t>
            </w:r>
            <w:r w:rsidR="00A51F84">
              <w:rPr>
                <w:rFonts w:ascii="黑体" w:eastAsia="黑体" w:hAnsi="黑体" w:cs="黑体" w:hint="eastAsia"/>
                <w:sz w:val="22"/>
                <w:szCs w:val="22"/>
              </w:rPr>
              <w:t xml:space="preserve"> </w:t>
            </w:r>
            <w:r w:rsidR="00A51F84">
              <w:rPr>
                <w:rFonts w:ascii="黑体" w:eastAsia="黑体" w:hAnsi="黑体" w:cs="黑体" w:hint="eastAsia"/>
                <w:sz w:val="22"/>
                <w:szCs w:val="22"/>
              </w:rPr>
              <w:t>基本职能及主要工作</w:t>
            </w:r>
            <w:r>
              <w:rPr>
                <w:rFonts w:cs="Calibri"/>
                <w:kern w:val="2"/>
                <w:sz w:val="24"/>
                <w:szCs w:val="24"/>
              </w:rPr>
            </w:r>
            <w:r w:rsidR="00A51F84">
              <w:rPr>
                <w:sz w:val="22"/>
                <w:szCs w:val="22"/>
              </w:rPr>
              <w:tab/>
            </w:r>
            <w:bookmarkStart w:id="2" w:name="_Toc3670_WPSOffice_Level1Page"/>
            <w:r w:rsidR="00A51F84">
              <w:rPr>
                <w:sz w:val="22"/>
                <w:szCs w:val="22"/>
              </w:rPr>
              <w:t>3</w:t>
            </w:r>
            <w:bookmarkEnd w:id="2"/>
          </w:hyperlink>
        </w:p>
        <w:p w:rsidR="002F4EE8" w:rsidRDefault="002F4EE8" w:rsidP="002F4EE8">
          <w:pPr>
            <w:pStyle w:val="WPSOffice2"/>
            <w:tabs>
              <w:tab w:val="right" w:leader="dot" w:pos="8306"/>
            </w:tabs>
            <w:spacing w:line="560" w:lineRule="exact"/>
            <w:ind w:left="420"/>
            <w:rPr>
              <w:sz w:val="22"/>
              <w:szCs w:val="22"/>
            </w:rPr>
          </w:pPr>
          <w:hyperlink w:anchor="_Toc8451_WPSOffice_Level2" w:history="1">
            <w:r w:rsidR="00A51F84">
              <w:rPr>
                <w:rFonts w:ascii="楷体_GB2312" w:eastAsia="楷体_GB2312" w:hAnsi="黑体" w:cs="楷体_GB2312" w:hint="eastAsia"/>
                <w:sz w:val="22"/>
                <w:szCs w:val="22"/>
              </w:rPr>
              <w:t>（一）壤塘县</w:t>
            </w:r>
            <w:proofErr w:type="gramStart"/>
            <w:r w:rsidR="00A51F84">
              <w:rPr>
                <w:rFonts w:ascii="楷体_GB2312" w:eastAsia="楷体_GB2312" w:hAnsi="黑体" w:cs="楷体_GB2312" w:hint="eastAsia"/>
                <w:sz w:val="22"/>
                <w:szCs w:val="22"/>
              </w:rPr>
              <w:t>鱼托寺</w:t>
            </w:r>
            <w:proofErr w:type="gramEnd"/>
            <w:r w:rsidR="00A51F84">
              <w:rPr>
                <w:rFonts w:ascii="楷体_GB2312" w:eastAsia="楷体_GB2312" w:hAnsi="黑体" w:cs="楷体_GB2312" w:hint="eastAsia"/>
                <w:sz w:val="22"/>
                <w:szCs w:val="22"/>
              </w:rPr>
              <w:t>寺庙管理委员会职能简介</w:t>
            </w:r>
            <w:r>
              <w:rPr>
                <w:rFonts w:cs="Calibri"/>
                <w:kern w:val="2"/>
                <w:sz w:val="24"/>
                <w:szCs w:val="24"/>
              </w:rPr>
            </w:r>
            <w:r w:rsidR="00A51F84">
              <w:rPr>
                <w:sz w:val="22"/>
                <w:szCs w:val="22"/>
              </w:rPr>
              <w:tab/>
            </w:r>
            <w:bookmarkStart w:id="3" w:name="_Toc8451_WPSOffice_Level2Page"/>
            <w:r w:rsidR="00A51F84">
              <w:rPr>
                <w:sz w:val="22"/>
                <w:szCs w:val="22"/>
              </w:rPr>
              <w:t>3</w:t>
            </w:r>
            <w:bookmarkEnd w:id="3"/>
          </w:hyperlink>
        </w:p>
        <w:p w:rsidR="002F4EE8" w:rsidRDefault="002F4EE8" w:rsidP="002F4EE8">
          <w:pPr>
            <w:pStyle w:val="WPSOffice2"/>
            <w:tabs>
              <w:tab w:val="right" w:leader="dot" w:pos="8306"/>
            </w:tabs>
            <w:spacing w:line="560" w:lineRule="exact"/>
            <w:ind w:left="420"/>
            <w:rPr>
              <w:sz w:val="22"/>
              <w:szCs w:val="22"/>
            </w:rPr>
          </w:pPr>
          <w:hyperlink w:anchor="_Toc4428_WPSOffice_Level2" w:history="1">
            <w:r w:rsidR="00A51F84">
              <w:rPr>
                <w:rFonts w:ascii="楷体_GB2312" w:eastAsia="楷体_GB2312" w:hAnsi="黑体" w:cs="楷体_GB2312" w:hint="eastAsia"/>
                <w:sz w:val="22"/>
                <w:szCs w:val="22"/>
              </w:rPr>
              <w:t>（二）</w:t>
            </w:r>
            <w:r w:rsidR="00A51F84">
              <w:rPr>
                <w:rFonts w:ascii="楷体_GB2312" w:eastAsia="楷体_GB2312" w:hAnsi="黑体" w:cs="楷体_GB2312" w:hint="eastAsia"/>
                <w:sz w:val="22"/>
                <w:szCs w:val="22"/>
              </w:rPr>
              <w:t xml:space="preserve"> </w:t>
            </w:r>
            <w:r w:rsidR="00A51F84">
              <w:rPr>
                <w:rFonts w:ascii="楷体_GB2312" w:eastAsia="楷体_GB2312" w:hAnsi="黑体" w:cs="楷体_GB2312" w:hint="eastAsia"/>
                <w:sz w:val="22"/>
                <w:szCs w:val="22"/>
              </w:rPr>
              <w:t>壤塘县</w:t>
            </w:r>
            <w:proofErr w:type="gramStart"/>
            <w:r w:rsidR="00A51F84">
              <w:rPr>
                <w:rFonts w:ascii="楷体_GB2312" w:eastAsia="楷体_GB2312" w:hAnsi="黑体" w:cs="楷体_GB2312" w:hint="eastAsia"/>
                <w:sz w:val="22"/>
                <w:szCs w:val="22"/>
              </w:rPr>
              <w:t>鱼托寺</w:t>
            </w:r>
            <w:proofErr w:type="gramEnd"/>
            <w:r w:rsidR="00A51F84">
              <w:rPr>
                <w:rFonts w:ascii="楷体_GB2312" w:eastAsia="楷体_GB2312" w:hAnsi="黑体" w:cs="楷体_GB2312" w:hint="eastAsia"/>
                <w:sz w:val="22"/>
                <w:szCs w:val="22"/>
              </w:rPr>
              <w:t>寺庙管理委员会</w:t>
            </w:r>
            <w:r w:rsidR="00A51F84">
              <w:rPr>
                <w:rFonts w:ascii="楷体_GB2312" w:eastAsia="楷体_GB2312" w:hAnsi="黑体" w:cs="楷体_GB2312" w:hint="eastAsia"/>
                <w:sz w:val="22"/>
                <w:szCs w:val="22"/>
              </w:rPr>
              <w:t>2022</w:t>
            </w:r>
            <w:r w:rsidR="00A51F84">
              <w:rPr>
                <w:rFonts w:ascii="楷体_GB2312" w:eastAsia="楷体_GB2312" w:hAnsi="黑体" w:cs="楷体_GB2312" w:hint="eastAsia"/>
                <w:sz w:val="22"/>
                <w:szCs w:val="22"/>
              </w:rPr>
              <w:t>年重点工作</w:t>
            </w:r>
            <w:r>
              <w:rPr>
                <w:rFonts w:cs="Calibri"/>
                <w:kern w:val="2"/>
                <w:sz w:val="24"/>
                <w:szCs w:val="24"/>
              </w:rPr>
            </w:r>
            <w:r w:rsidR="00A51F84">
              <w:rPr>
                <w:sz w:val="22"/>
                <w:szCs w:val="22"/>
              </w:rPr>
              <w:tab/>
            </w:r>
            <w:bookmarkStart w:id="4" w:name="_Toc4428_WPSOffice_Level2Page"/>
            <w:r w:rsidR="00A51F84">
              <w:rPr>
                <w:sz w:val="22"/>
                <w:szCs w:val="22"/>
              </w:rPr>
              <w:t>3</w:t>
            </w:r>
            <w:bookmarkEnd w:id="4"/>
          </w:hyperlink>
        </w:p>
        <w:p w:rsidR="002F4EE8" w:rsidRDefault="002F4EE8">
          <w:pPr>
            <w:pStyle w:val="WPSOffice1"/>
            <w:tabs>
              <w:tab w:val="right" w:leader="dot" w:pos="8306"/>
            </w:tabs>
            <w:spacing w:line="560" w:lineRule="exact"/>
            <w:rPr>
              <w:sz w:val="22"/>
              <w:szCs w:val="22"/>
            </w:rPr>
          </w:pPr>
          <w:hyperlink w:anchor="_Toc8451_WPSOffice_Level1" w:history="1">
            <w:r w:rsidR="00A51F84">
              <w:rPr>
                <w:rFonts w:ascii="黑体" w:eastAsia="黑体" w:hAnsi="黑体" w:cs="黑体" w:hint="eastAsia"/>
                <w:sz w:val="22"/>
                <w:szCs w:val="22"/>
              </w:rPr>
              <w:t>二、部门预算单位构成</w:t>
            </w:r>
            <w:r>
              <w:rPr>
                <w:rFonts w:cs="Calibri"/>
                <w:kern w:val="2"/>
                <w:sz w:val="24"/>
                <w:szCs w:val="24"/>
              </w:rPr>
            </w:r>
            <w:r w:rsidR="00A51F84">
              <w:rPr>
                <w:sz w:val="22"/>
                <w:szCs w:val="22"/>
              </w:rPr>
              <w:tab/>
            </w:r>
            <w:bookmarkStart w:id="5" w:name="_Toc8451_WPSOffice_Level1Page"/>
            <w:r w:rsidR="00A51F84">
              <w:rPr>
                <w:sz w:val="22"/>
                <w:szCs w:val="22"/>
              </w:rPr>
              <w:t>4</w:t>
            </w:r>
            <w:bookmarkEnd w:id="5"/>
          </w:hyperlink>
        </w:p>
        <w:p w:rsidR="002F4EE8" w:rsidRDefault="002F4EE8">
          <w:pPr>
            <w:pStyle w:val="WPSOffice1"/>
            <w:tabs>
              <w:tab w:val="right" w:leader="dot" w:pos="8306"/>
            </w:tabs>
            <w:spacing w:line="560" w:lineRule="exact"/>
            <w:rPr>
              <w:sz w:val="22"/>
              <w:szCs w:val="22"/>
            </w:rPr>
          </w:pPr>
          <w:hyperlink w:anchor="_Toc4428_WPSOffice_Level1" w:history="1">
            <w:r w:rsidR="00A51F84">
              <w:rPr>
                <w:rFonts w:ascii="黑体" w:eastAsia="黑体" w:hAnsi="黑体" w:cs="黑体" w:hint="eastAsia"/>
                <w:sz w:val="22"/>
                <w:szCs w:val="22"/>
              </w:rPr>
              <w:t>三、收支预算情况说明</w:t>
            </w:r>
            <w:r>
              <w:rPr>
                <w:rFonts w:cs="Calibri"/>
                <w:kern w:val="2"/>
                <w:sz w:val="24"/>
                <w:szCs w:val="24"/>
              </w:rPr>
            </w:r>
            <w:r w:rsidR="00A51F84">
              <w:rPr>
                <w:sz w:val="22"/>
                <w:szCs w:val="22"/>
              </w:rPr>
              <w:tab/>
            </w:r>
            <w:bookmarkStart w:id="6" w:name="_Toc4428_WPSOffice_Level1Page"/>
            <w:r w:rsidR="00A51F84">
              <w:rPr>
                <w:sz w:val="22"/>
                <w:szCs w:val="22"/>
              </w:rPr>
              <w:t>4</w:t>
            </w:r>
            <w:bookmarkEnd w:id="6"/>
          </w:hyperlink>
        </w:p>
        <w:p w:rsidR="002F4EE8" w:rsidRDefault="002F4EE8" w:rsidP="002F4EE8">
          <w:pPr>
            <w:pStyle w:val="WPSOffice2"/>
            <w:tabs>
              <w:tab w:val="right" w:leader="dot" w:pos="8306"/>
            </w:tabs>
            <w:spacing w:line="560" w:lineRule="exact"/>
            <w:ind w:left="420"/>
            <w:rPr>
              <w:sz w:val="22"/>
              <w:szCs w:val="22"/>
            </w:rPr>
          </w:pPr>
          <w:hyperlink w:anchor="_Toc14015_WPSOffice_Level2" w:history="1">
            <w:r w:rsidR="00A51F84">
              <w:rPr>
                <w:rFonts w:ascii="楷体_GB2312" w:eastAsia="楷体_GB2312" w:hAnsi="黑体" w:cs="楷体_GB2312" w:hint="eastAsia"/>
                <w:sz w:val="22"/>
                <w:szCs w:val="22"/>
              </w:rPr>
              <w:t>（一）收入预算情况</w:t>
            </w:r>
            <w:r>
              <w:rPr>
                <w:rFonts w:cs="Calibri"/>
                <w:kern w:val="2"/>
                <w:sz w:val="24"/>
                <w:szCs w:val="24"/>
              </w:rPr>
            </w:r>
            <w:r w:rsidR="00A51F84">
              <w:rPr>
                <w:sz w:val="22"/>
                <w:szCs w:val="22"/>
              </w:rPr>
              <w:tab/>
            </w:r>
            <w:bookmarkStart w:id="7" w:name="_Toc14015_WPSOffice_Level2Page"/>
            <w:r w:rsidR="00A51F84">
              <w:rPr>
                <w:sz w:val="22"/>
                <w:szCs w:val="22"/>
              </w:rPr>
              <w:t>4</w:t>
            </w:r>
            <w:bookmarkEnd w:id="7"/>
          </w:hyperlink>
        </w:p>
        <w:p w:rsidR="002F4EE8" w:rsidRDefault="002F4EE8" w:rsidP="002F4EE8">
          <w:pPr>
            <w:pStyle w:val="WPSOffice2"/>
            <w:tabs>
              <w:tab w:val="right" w:leader="dot" w:pos="8306"/>
            </w:tabs>
            <w:spacing w:line="560" w:lineRule="exact"/>
            <w:ind w:left="420"/>
            <w:rPr>
              <w:sz w:val="22"/>
              <w:szCs w:val="22"/>
            </w:rPr>
          </w:pPr>
          <w:hyperlink w:anchor="_Toc11052_WPSOffice_Level2" w:history="1">
            <w:r w:rsidR="00A51F84">
              <w:rPr>
                <w:rFonts w:ascii="楷体_GB2312" w:eastAsia="楷体_GB2312" w:hAnsi="黑体" w:cs="楷体_GB2312" w:hint="eastAsia"/>
                <w:sz w:val="22"/>
                <w:szCs w:val="22"/>
              </w:rPr>
              <w:t>（二）支出预算情况</w:t>
            </w:r>
            <w:r>
              <w:rPr>
                <w:rFonts w:cs="Calibri"/>
                <w:kern w:val="2"/>
                <w:sz w:val="24"/>
                <w:szCs w:val="24"/>
              </w:rPr>
            </w:r>
            <w:r w:rsidR="00A51F84">
              <w:rPr>
                <w:sz w:val="22"/>
                <w:szCs w:val="22"/>
              </w:rPr>
              <w:tab/>
            </w:r>
            <w:bookmarkStart w:id="8" w:name="_Toc11052_WPSOffice_Level2Page"/>
            <w:r w:rsidR="00A51F84">
              <w:rPr>
                <w:sz w:val="22"/>
                <w:szCs w:val="22"/>
              </w:rPr>
              <w:t>4</w:t>
            </w:r>
            <w:bookmarkEnd w:id="8"/>
          </w:hyperlink>
        </w:p>
        <w:p w:rsidR="002F4EE8" w:rsidRDefault="002F4EE8">
          <w:pPr>
            <w:pStyle w:val="WPSOffice1"/>
            <w:tabs>
              <w:tab w:val="right" w:leader="dot" w:pos="8306"/>
            </w:tabs>
            <w:spacing w:line="560" w:lineRule="exact"/>
            <w:rPr>
              <w:sz w:val="22"/>
              <w:szCs w:val="22"/>
            </w:rPr>
          </w:pPr>
          <w:hyperlink w:anchor="_Toc14015_WPSOffice_Level1" w:history="1">
            <w:r w:rsidR="00A51F84">
              <w:rPr>
                <w:rFonts w:ascii="黑体" w:eastAsia="黑体" w:hAnsi="黑体" w:cs="黑体" w:hint="eastAsia"/>
                <w:sz w:val="22"/>
                <w:szCs w:val="22"/>
              </w:rPr>
              <w:t>四、</w:t>
            </w:r>
            <w:r w:rsidR="00A51F84">
              <w:rPr>
                <w:rFonts w:ascii="黑体" w:eastAsia="黑体" w:hAnsi="黑体" w:cs="黑体" w:hint="eastAsia"/>
                <w:sz w:val="22"/>
                <w:szCs w:val="22"/>
              </w:rPr>
              <w:t xml:space="preserve"> </w:t>
            </w:r>
            <w:r w:rsidR="00A51F84">
              <w:rPr>
                <w:rFonts w:ascii="黑体" w:eastAsia="黑体" w:hAnsi="黑体" w:cs="黑体" w:hint="eastAsia"/>
                <w:sz w:val="22"/>
                <w:szCs w:val="22"/>
              </w:rPr>
              <w:t>财政拨款收支预算情况说明</w:t>
            </w:r>
            <w:r>
              <w:rPr>
                <w:rFonts w:cs="Calibri"/>
                <w:kern w:val="2"/>
                <w:sz w:val="24"/>
                <w:szCs w:val="24"/>
              </w:rPr>
            </w:r>
            <w:r w:rsidR="00A51F84">
              <w:rPr>
                <w:sz w:val="22"/>
                <w:szCs w:val="22"/>
              </w:rPr>
              <w:tab/>
            </w:r>
            <w:bookmarkStart w:id="9" w:name="_Toc14015_WPSOffice_Level1Page"/>
            <w:r w:rsidR="00A51F84">
              <w:rPr>
                <w:sz w:val="22"/>
                <w:szCs w:val="22"/>
              </w:rPr>
              <w:t>5</w:t>
            </w:r>
            <w:bookmarkEnd w:id="9"/>
          </w:hyperlink>
        </w:p>
        <w:p w:rsidR="002F4EE8" w:rsidRDefault="002F4EE8">
          <w:pPr>
            <w:pStyle w:val="WPSOffice1"/>
            <w:tabs>
              <w:tab w:val="right" w:leader="dot" w:pos="8306"/>
            </w:tabs>
            <w:spacing w:line="560" w:lineRule="exact"/>
            <w:rPr>
              <w:sz w:val="22"/>
              <w:szCs w:val="22"/>
            </w:rPr>
          </w:pPr>
          <w:hyperlink w:anchor="_Toc11052_WPSOffice_Level1" w:history="1">
            <w:r w:rsidR="00A51F84">
              <w:rPr>
                <w:rFonts w:ascii="黑体" w:eastAsia="黑体" w:hAnsi="黑体" w:cs="黑体" w:hint="eastAsia"/>
                <w:sz w:val="22"/>
                <w:szCs w:val="22"/>
              </w:rPr>
              <w:t>五、一般公共预算当年拨款情况说明</w:t>
            </w:r>
            <w:r>
              <w:rPr>
                <w:rFonts w:cs="Calibri"/>
                <w:kern w:val="2"/>
                <w:sz w:val="24"/>
                <w:szCs w:val="24"/>
              </w:rPr>
            </w:r>
            <w:r w:rsidR="00A51F84">
              <w:rPr>
                <w:sz w:val="22"/>
                <w:szCs w:val="22"/>
              </w:rPr>
              <w:tab/>
            </w:r>
            <w:bookmarkStart w:id="10" w:name="_Toc11052_WPSOffice_Level1Page"/>
            <w:r w:rsidR="00A51F84">
              <w:rPr>
                <w:sz w:val="22"/>
                <w:szCs w:val="22"/>
              </w:rPr>
              <w:t>5</w:t>
            </w:r>
            <w:bookmarkEnd w:id="10"/>
          </w:hyperlink>
        </w:p>
        <w:p w:rsidR="002F4EE8" w:rsidRDefault="002F4EE8" w:rsidP="002F4EE8">
          <w:pPr>
            <w:pStyle w:val="WPSOffice2"/>
            <w:tabs>
              <w:tab w:val="right" w:leader="dot" w:pos="8306"/>
            </w:tabs>
            <w:spacing w:line="560" w:lineRule="exact"/>
            <w:ind w:left="420"/>
            <w:rPr>
              <w:sz w:val="22"/>
              <w:szCs w:val="22"/>
            </w:rPr>
          </w:pPr>
          <w:hyperlink w:anchor="_Toc2183_WPSOffice_Level2" w:history="1">
            <w:r w:rsidR="00A51F84">
              <w:rPr>
                <w:rFonts w:ascii="楷体_GB2312" w:eastAsia="楷体_GB2312" w:hAnsi="黑体" w:cs="楷体_GB2312" w:hint="eastAsia"/>
                <w:sz w:val="22"/>
                <w:szCs w:val="22"/>
              </w:rPr>
              <w:t>（一）一般公共预算当年拨款规模变化情况</w:t>
            </w:r>
            <w:r>
              <w:rPr>
                <w:rFonts w:cs="Calibri"/>
                <w:kern w:val="2"/>
                <w:sz w:val="24"/>
                <w:szCs w:val="24"/>
              </w:rPr>
            </w:r>
            <w:r w:rsidR="00A51F84">
              <w:rPr>
                <w:sz w:val="22"/>
                <w:szCs w:val="22"/>
              </w:rPr>
              <w:tab/>
            </w:r>
            <w:bookmarkStart w:id="11" w:name="_Toc2183_WPSOffice_Level2Page"/>
            <w:r w:rsidR="00A51F84">
              <w:rPr>
                <w:sz w:val="22"/>
                <w:szCs w:val="22"/>
              </w:rPr>
              <w:t>5</w:t>
            </w:r>
            <w:bookmarkEnd w:id="11"/>
          </w:hyperlink>
        </w:p>
        <w:p w:rsidR="002F4EE8" w:rsidRDefault="002F4EE8" w:rsidP="002F4EE8">
          <w:pPr>
            <w:pStyle w:val="WPSOffice2"/>
            <w:tabs>
              <w:tab w:val="right" w:leader="dot" w:pos="8306"/>
            </w:tabs>
            <w:spacing w:line="560" w:lineRule="exact"/>
            <w:ind w:left="420"/>
            <w:rPr>
              <w:sz w:val="22"/>
              <w:szCs w:val="22"/>
            </w:rPr>
          </w:pPr>
          <w:hyperlink w:anchor="_Toc17863_WPSOffice_Level2" w:history="1">
            <w:r w:rsidR="00A51F84">
              <w:rPr>
                <w:rFonts w:ascii="楷体_GB2312" w:eastAsia="楷体_GB2312" w:hAnsi="黑体" w:cs="楷体_GB2312" w:hint="eastAsia"/>
                <w:sz w:val="22"/>
                <w:szCs w:val="22"/>
              </w:rPr>
              <w:t>（三）</w:t>
            </w:r>
            <w:r w:rsidR="00A51F84">
              <w:rPr>
                <w:rFonts w:ascii="楷体_GB2312" w:eastAsia="楷体_GB2312" w:hAnsi="黑体" w:cs="楷体_GB2312" w:hint="eastAsia"/>
                <w:sz w:val="22"/>
                <w:szCs w:val="22"/>
              </w:rPr>
              <w:t xml:space="preserve"> </w:t>
            </w:r>
            <w:r w:rsidR="00A51F84">
              <w:rPr>
                <w:rFonts w:ascii="楷体_GB2312" w:eastAsia="楷体_GB2312" w:hAnsi="黑体" w:cs="楷体_GB2312" w:hint="eastAsia"/>
                <w:sz w:val="22"/>
                <w:szCs w:val="22"/>
              </w:rPr>
              <w:t>一般公共预算当年拨款结构情况</w:t>
            </w:r>
            <w:r>
              <w:rPr>
                <w:rFonts w:cs="Calibri"/>
                <w:kern w:val="2"/>
                <w:sz w:val="24"/>
                <w:szCs w:val="24"/>
              </w:rPr>
            </w:r>
            <w:r w:rsidR="00A51F84">
              <w:rPr>
                <w:sz w:val="22"/>
                <w:szCs w:val="22"/>
              </w:rPr>
              <w:tab/>
            </w:r>
            <w:bookmarkStart w:id="12" w:name="_Toc17863_WPSOffice_Level2Page"/>
            <w:r w:rsidR="00A51F84">
              <w:rPr>
                <w:sz w:val="22"/>
                <w:szCs w:val="22"/>
              </w:rPr>
              <w:t>5</w:t>
            </w:r>
            <w:bookmarkEnd w:id="12"/>
          </w:hyperlink>
        </w:p>
        <w:p w:rsidR="002F4EE8" w:rsidRDefault="002F4EE8" w:rsidP="002F4EE8">
          <w:pPr>
            <w:pStyle w:val="WPSOffice2"/>
            <w:tabs>
              <w:tab w:val="right" w:leader="dot" w:pos="8306"/>
            </w:tabs>
            <w:spacing w:line="560" w:lineRule="exact"/>
            <w:ind w:left="420"/>
            <w:rPr>
              <w:sz w:val="22"/>
              <w:szCs w:val="22"/>
            </w:rPr>
          </w:pPr>
          <w:hyperlink w:anchor="_Toc16002_WPSOffice_Level2" w:history="1">
            <w:r w:rsidR="00A51F84">
              <w:rPr>
                <w:rFonts w:ascii="楷体_GB2312" w:eastAsia="楷体_GB2312" w:hAnsi="黑体" w:cs="楷体_GB2312" w:hint="eastAsia"/>
                <w:sz w:val="22"/>
                <w:szCs w:val="22"/>
              </w:rPr>
              <w:t>（三）一般公共预算当年拨款具体使用情况</w:t>
            </w:r>
            <w:r>
              <w:rPr>
                <w:rFonts w:cs="Calibri"/>
                <w:kern w:val="2"/>
                <w:sz w:val="24"/>
                <w:szCs w:val="24"/>
              </w:rPr>
            </w:r>
            <w:r w:rsidR="00A51F84">
              <w:rPr>
                <w:sz w:val="22"/>
                <w:szCs w:val="22"/>
              </w:rPr>
              <w:tab/>
            </w:r>
            <w:bookmarkStart w:id="13" w:name="_Toc16002_WPSOffice_Level2Page"/>
            <w:r w:rsidR="00A51F84">
              <w:rPr>
                <w:sz w:val="22"/>
                <w:szCs w:val="22"/>
              </w:rPr>
              <w:t>5</w:t>
            </w:r>
            <w:bookmarkEnd w:id="13"/>
          </w:hyperlink>
        </w:p>
        <w:p w:rsidR="002F4EE8" w:rsidRDefault="002F4EE8">
          <w:pPr>
            <w:pStyle w:val="WPSOffice1"/>
            <w:tabs>
              <w:tab w:val="right" w:leader="dot" w:pos="8306"/>
            </w:tabs>
            <w:spacing w:line="560" w:lineRule="exact"/>
            <w:rPr>
              <w:sz w:val="22"/>
              <w:szCs w:val="22"/>
            </w:rPr>
          </w:pPr>
          <w:hyperlink w:anchor="_Toc2183_WPSOffice_Level1" w:history="1">
            <w:r w:rsidR="00A51F84">
              <w:rPr>
                <w:rFonts w:ascii="黑体" w:eastAsia="黑体" w:hAnsi="黑体" w:cs="黑体" w:hint="eastAsia"/>
                <w:sz w:val="22"/>
                <w:szCs w:val="22"/>
              </w:rPr>
              <w:t>六、一般公共预算基本支出情况说明</w:t>
            </w:r>
            <w:r>
              <w:rPr>
                <w:rFonts w:cs="Calibri"/>
                <w:kern w:val="2"/>
                <w:sz w:val="24"/>
                <w:szCs w:val="24"/>
              </w:rPr>
            </w:r>
            <w:r w:rsidR="00A51F84">
              <w:rPr>
                <w:sz w:val="22"/>
                <w:szCs w:val="22"/>
              </w:rPr>
              <w:tab/>
            </w:r>
            <w:bookmarkStart w:id="14" w:name="_Toc2183_WPSOffice_Level1Page"/>
            <w:r w:rsidR="00A51F84">
              <w:rPr>
                <w:sz w:val="22"/>
                <w:szCs w:val="22"/>
              </w:rPr>
              <w:t>6</w:t>
            </w:r>
            <w:bookmarkEnd w:id="14"/>
          </w:hyperlink>
        </w:p>
        <w:p w:rsidR="002F4EE8" w:rsidRDefault="002F4EE8">
          <w:pPr>
            <w:pStyle w:val="WPSOffice1"/>
            <w:tabs>
              <w:tab w:val="right" w:leader="dot" w:pos="8306"/>
            </w:tabs>
            <w:spacing w:line="560" w:lineRule="exact"/>
            <w:rPr>
              <w:sz w:val="22"/>
              <w:szCs w:val="22"/>
            </w:rPr>
          </w:pPr>
          <w:hyperlink w:anchor="_Toc17863_WPSOffice_Level1" w:history="1">
            <w:r w:rsidR="00A51F84">
              <w:rPr>
                <w:rFonts w:ascii="黑体" w:eastAsia="黑体" w:hAnsi="黑体" w:cs="黑体" w:hint="eastAsia"/>
                <w:sz w:val="22"/>
                <w:szCs w:val="22"/>
              </w:rPr>
              <w:t>七、</w:t>
            </w:r>
            <w:r w:rsidR="00A51F84">
              <w:rPr>
                <w:rFonts w:ascii="黑体" w:eastAsia="黑体" w:hAnsi="黑体"/>
                <w:sz w:val="22"/>
                <w:szCs w:val="22"/>
              </w:rPr>
              <w:t>“</w:t>
            </w:r>
            <w:r w:rsidR="00A51F84">
              <w:rPr>
                <w:rFonts w:ascii="黑体" w:eastAsia="黑体" w:hAnsi="黑体" w:cs="黑体" w:hint="eastAsia"/>
                <w:sz w:val="22"/>
                <w:szCs w:val="22"/>
              </w:rPr>
              <w:t>三公</w:t>
            </w:r>
            <w:r w:rsidR="00A51F84">
              <w:rPr>
                <w:rFonts w:ascii="黑体" w:eastAsia="黑体" w:hAnsi="黑体"/>
                <w:sz w:val="22"/>
                <w:szCs w:val="22"/>
              </w:rPr>
              <w:t>”</w:t>
            </w:r>
            <w:r w:rsidR="00A51F84">
              <w:rPr>
                <w:rFonts w:ascii="黑体" w:eastAsia="黑体" w:hAnsi="黑体" w:cs="黑体" w:hint="eastAsia"/>
                <w:sz w:val="22"/>
                <w:szCs w:val="22"/>
              </w:rPr>
              <w:t>经费财政拨款预算安排情况说明</w:t>
            </w:r>
            <w:r>
              <w:rPr>
                <w:rFonts w:cs="Calibri"/>
                <w:kern w:val="2"/>
                <w:sz w:val="24"/>
                <w:szCs w:val="24"/>
              </w:rPr>
            </w:r>
            <w:r w:rsidR="00A51F84">
              <w:rPr>
                <w:sz w:val="22"/>
                <w:szCs w:val="22"/>
              </w:rPr>
              <w:tab/>
            </w:r>
            <w:bookmarkStart w:id="15" w:name="_Toc17863_WPSOffice_Level1Page"/>
            <w:r w:rsidR="00A51F84">
              <w:rPr>
                <w:sz w:val="22"/>
                <w:szCs w:val="22"/>
              </w:rPr>
              <w:t>7</w:t>
            </w:r>
            <w:bookmarkEnd w:id="15"/>
          </w:hyperlink>
        </w:p>
        <w:p w:rsidR="002F4EE8" w:rsidRDefault="002F4EE8">
          <w:pPr>
            <w:pStyle w:val="WPSOffice1"/>
            <w:tabs>
              <w:tab w:val="right" w:leader="dot" w:pos="8306"/>
            </w:tabs>
            <w:spacing w:line="560" w:lineRule="exact"/>
            <w:rPr>
              <w:sz w:val="22"/>
              <w:szCs w:val="22"/>
            </w:rPr>
          </w:pPr>
          <w:hyperlink w:anchor="_Toc16002_WPSOffice_Level1" w:history="1">
            <w:r w:rsidR="00A51F84">
              <w:rPr>
                <w:rFonts w:ascii="黑体" w:eastAsia="黑体" w:hAnsi="黑体" w:cs="黑体" w:hint="eastAsia"/>
                <w:sz w:val="22"/>
                <w:szCs w:val="22"/>
              </w:rPr>
              <w:t>八、</w:t>
            </w:r>
            <w:r w:rsidR="00A51F84">
              <w:rPr>
                <w:rFonts w:ascii="黑体" w:eastAsia="黑体" w:hAnsi="黑体" w:cs="黑体" w:hint="eastAsia"/>
                <w:sz w:val="22"/>
                <w:szCs w:val="22"/>
              </w:rPr>
              <w:t xml:space="preserve"> </w:t>
            </w:r>
            <w:r w:rsidR="00A51F84">
              <w:rPr>
                <w:rFonts w:ascii="黑体" w:eastAsia="黑体" w:hAnsi="黑体" w:cs="黑体" w:hint="eastAsia"/>
                <w:sz w:val="22"/>
                <w:szCs w:val="22"/>
              </w:rPr>
              <w:t>政府性基金预算支出情况说明</w:t>
            </w:r>
            <w:r>
              <w:rPr>
                <w:rFonts w:cs="Calibri"/>
                <w:kern w:val="2"/>
                <w:sz w:val="24"/>
                <w:szCs w:val="24"/>
              </w:rPr>
            </w:r>
            <w:r w:rsidR="00A51F84">
              <w:rPr>
                <w:sz w:val="22"/>
                <w:szCs w:val="22"/>
              </w:rPr>
              <w:tab/>
            </w:r>
            <w:bookmarkStart w:id="16" w:name="_Toc16002_WPSOffice_Level1Page"/>
            <w:r w:rsidR="00A51F84">
              <w:rPr>
                <w:sz w:val="22"/>
                <w:szCs w:val="22"/>
              </w:rPr>
              <w:t>7</w:t>
            </w:r>
            <w:bookmarkEnd w:id="16"/>
          </w:hyperlink>
        </w:p>
        <w:p w:rsidR="002F4EE8" w:rsidRDefault="002F4EE8">
          <w:pPr>
            <w:pStyle w:val="WPSOffice1"/>
            <w:tabs>
              <w:tab w:val="right" w:leader="dot" w:pos="8306"/>
            </w:tabs>
            <w:spacing w:line="560" w:lineRule="exact"/>
            <w:rPr>
              <w:sz w:val="22"/>
              <w:szCs w:val="22"/>
            </w:rPr>
          </w:pPr>
          <w:hyperlink w:anchor="_Toc29069_WPSOffice_Level1" w:history="1">
            <w:r w:rsidR="00A51F84">
              <w:rPr>
                <w:rFonts w:ascii="黑体" w:eastAsia="黑体" w:hAnsi="黑体" w:cs="黑体" w:hint="eastAsia"/>
                <w:sz w:val="22"/>
                <w:szCs w:val="22"/>
              </w:rPr>
              <w:t>九、</w:t>
            </w:r>
            <w:r w:rsidR="00A51F84">
              <w:rPr>
                <w:rFonts w:ascii="黑体" w:eastAsia="黑体" w:hAnsi="黑体" w:cs="黑体" w:hint="eastAsia"/>
                <w:sz w:val="22"/>
                <w:szCs w:val="22"/>
              </w:rPr>
              <w:t xml:space="preserve"> </w:t>
            </w:r>
            <w:r w:rsidR="00A51F84">
              <w:rPr>
                <w:rFonts w:ascii="黑体" w:eastAsia="黑体" w:hAnsi="黑体" w:cs="黑体" w:hint="eastAsia"/>
                <w:sz w:val="22"/>
                <w:szCs w:val="22"/>
              </w:rPr>
              <w:t>其他重要事项的情况说明</w:t>
            </w:r>
            <w:r>
              <w:rPr>
                <w:rFonts w:cs="Calibri"/>
                <w:kern w:val="2"/>
                <w:sz w:val="24"/>
                <w:szCs w:val="24"/>
              </w:rPr>
            </w:r>
            <w:r w:rsidR="00A51F84">
              <w:rPr>
                <w:sz w:val="22"/>
                <w:szCs w:val="22"/>
              </w:rPr>
              <w:tab/>
            </w:r>
            <w:bookmarkStart w:id="17" w:name="_Toc29069_WPSOffice_Level1Page"/>
            <w:r w:rsidR="00A51F84">
              <w:rPr>
                <w:sz w:val="22"/>
                <w:szCs w:val="22"/>
              </w:rPr>
              <w:t>7</w:t>
            </w:r>
            <w:bookmarkEnd w:id="17"/>
          </w:hyperlink>
        </w:p>
        <w:p w:rsidR="002F4EE8" w:rsidRDefault="002F4EE8" w:rsidP="002F4EE8">
          <w:pPr>
            <w:pStyle w:val="WPSOffice2"/>
            <w:tabs>
              <w:tab w:val="right" w:leader="dot" w:pos="8306"/>
            </w:tabs>
            <w:spacing w:line="560" w:lineRule="exact"/>
            <w:ind w:left="420"/>
            <w:rPr>
              <w:sz w:val="22"/>
              <w:szCs w:val="22"/>
            </w:rPr>
          </w:pPr>
          <w:hyperlink w:anchor="_Toc29069_WPSOffice_Level2" w:history="1">
            <w:r w:rsidR="00A51F84">
              <w:rPr>
                <w:rFonts w:ascii="楷体_GB2312" w:eastAsia="楷体_GB2312" w:hAnsi="黑体" w:cs="楷体_GB2312" w:hint="eastAsia"/>
                <w:sz w:val="22"/>
                <w:szCs w:val="22"/>
              </w:rPr>
              <w:t>（一）</w:t>
            </w:r>
            <w:r w:rsidR="00A51F84">
              <w:rPr>
                <w:rFonts w:ascii="楷体_GB2312" w:eastAsia="楷体_GB2312" w:hAnsi="黑体" w:cs="楷体_GB2312" w:hint="eastAsia"/>
                <w:sz w:val="22"/>
                <w:szCs w:val="22"/>
              </w:rPr>
              <w:t xml:space="preserve"> </w:t>
            </w:r>
            <w:r w:rsidR="00A51F84">
              <w:rPr>
                <w:rFonts w:ascii="楷体_GB2312" w:eastAsia="楷体_GB2312" w:hAnsi="黑体" w:cs="楷体_GB2312" w:hint="eastAsia"/>
                <w:sz w:val="22"/>
                <w:szCs w:val="22"/>
              </w:rPr>
              <w:t>机关运行经费</w:t>
            </w:r>
            <w:r>
              <w:rPr>
                <w:rFonts w:cs="Calibri"/>
                <w:kern w:val="2"/>
                <w:sz w:val="24"/>
                <w:szCs w:val="24"/>
              </w:rPr>
            </w:r>
            <w:r w:rsidR="00A51F84">
              <w:rPr>
                <w:sz w:val="22"/>
                <w:szCs w:val="22"/>
              </w:rPr>
              <w:tab/>
            </w:r>
            <w:bookmarkStart w:id="18" w:name="_Toc29069_WPSOffice_Level2Page"/>
            <w:r w:rsidR="00A51F84">
              <w:rPr>
                <w:sz w:val="22"/>
                <w:szCs w:val="22"/>
              </w:rPr>
              <w:t>7</w:t>
            </w:r>
            <w:bookmarkEnd w:id="18"/>
          </w:hyperlink>
        </w:p>
        <w:p w:rsidR="002F4EE8" w:rsidRDefault="002F4EE8" w:rsidP="002F4EE8">
          <w:pPr>
            <w:pStyle w:val="WPSOffice2"/>
            <w:tabs>
              <w:tab w:val="right" w:leader="dot" w:pos="8306"/>
            </w:tabs>
            <w:spacing w:line="560" w:lineRule="exact"/>
            <w:ind w:left="420"/>
            <w:rPr>
              <w:sz w:val="22"/>
              <w:szCs w:val="22"/>
            </w:rPr>
          </w:pPr>
          <w:hyperlink w:anchor="_Toc13481_WPSOffice_Level2" w:history="1">
            <w:r w:rsidR="00A51F84">
              <w:rPr>
                <w:rFonts w:ascii="楷体_GB2312" w:eastAsia="楷体_GB2312" w:hAnsi="黑体" w:cs="楷体_GB2312" w:hint="eastAsia"/>
                <w:sz w:val="22"/>
                <w:szCs w:val="22"/>
              </w:rPr>
              <w:t>（二）政府采购情况</w:t>
            </w:r>
            <w:r>
              <w:rPr>
                <w:rFonts w:cs="Calibri"/>
                <w:kern w:val="2"/>
                <w:sz w:val="24"/>
                <w:szCs w:val="24"/>
              </w:rPr>
            </w:r>
            <w:r w:rsidR="00A51F84">
              <w:rPr>
                <w:sz w:val="22"/>
                <w:szCs w:val="22"/>
              </w:rPr>
              <w:tab/>
            </w:r>
            <w:bookmarkStart w:id="19" w:name="_Toc13481_WPSOffice_Level2Page"/>
            <w:r w:rsidR="00A51F84">
              <w:rPr>
                <w:sz w:val="22"/>
                <w:szCs w:val="22"/>
              </w:rPr>
              <w:t>7</w:t>
            </w:r>
            <w:bookmarkEnd w:id="19"/>
          </w:hyperlink>
        </w:p>
        <w:p w:rsidR="002F4EE8" w:rsidRDefault="002F4EE8" w:rsidP="002F4EE8">
          <w:pPr>
            <w:pStyle w:val="WPSOffice2"/>
            <w:tabs>
              <w:tab w:val="right" w:leader="dot" w:pos="8306"/>
            </w:tabs>
            <w:spacing w:line="560" w:lineRule="exact"/>
            <w:ind w:left="420"/>
            <w:rPr>
              <w:sz w:val="22"/>
              <w:szCs w:val="22"/>
            </w:rPr>
          </w:pPr>
          <w:hyperlink w:anchor="_Toc31442_WPSOffice_Level2" w:history="1">
            <w:r w:rsidR="00A51F84">
              <w:rPr>
                <w:rFonts w:ascii="楷体_GB2312" w:eastAsia="楷体_GB2312" w:hAnsi="黑体" w:cs="楷体_GB2312" w:hint="eastAsia"/>
                <w:sz w:val="22"/>
                <w:szCs w:val="22"/>
              </w:rPr>
              <w:t>（三）国有资产占有使用情况</w:t>
            </w:r>
            <w:r>
              <w:rPr>
                <w:rFonts w:cs="Calibri"/>
                <w:kern w:val="2"/>
                <w:sz w:val="24"/>
                <w:szCs w:val="24"/>
              </w:rPr>
            </w:r>
            <w:r w:rsidR="00A51F84">
              <w:rPr>
                <w:sz w:val="22"/>
                <w:szCs w:val="22"/>
              </w:rPr>
              <w:tab/>
            </w:r>
            <w:bookmarkStart w:id="20" w:name="_Toc31442_WPSOffice_Level2Page"/>
            <w:r w:rsidR="00A51F84">
              <w:rPr>
                <w:sz w:val="22"/>
                <w:szCs w:val="22"/>
              </w:rPr>
              <w:t>7</w:t>
            </w:r>
            <w:bookmarkEnd w:id="20"/>
          </w:hyperlink>
        </w:p>
        <w:p w:rsidR="002F4EE8" w:rsidRDefault="002F4EE8" w:rsidP="002F4EE8">
          <w:pPr>
            <w:pStyle w:val="WPSOffice3"/>
            <w:tabs>
              <w:tab w:val="right" w:leader="dot" w:pos="8306"/>
            </w:tabs>
            <w:spacing w:line="560" w:lineRule="exact"/>
            <w:ind w:left="840"/>
            <w:rPr>
              <w:sz w:val="22"/>
              <w:szCs w:val="22"/>
            </w:rPr>
          </w:pPr>
          <w:hyperlink w:anchor="_Toc8451_WPSOffice_Level3" w:history="1">
            <w:r w:rsidR="00A51F84">
              <w:rPr>
                <w:rFonts w:ascii="楷体_GB2312" w:eastAsia="楷体_GB2312" w:hAnsi="黑体" w:cs="楷体_GB2312" w:hint="eastAsia"/>
                <w:sz w:val="22"/>
                <w:szCs w:val="22"/>
              </w:rPr>
              <w:t>无</w:t>
            </w:r>
            <w:r>
              <w:rPr>
                <w:rFonts w:cs="Calibri"/>
                <w:kern w:val="2"/>
                <w:sz w:val="24"/>
                <w:szCs w:val="24"/>
              </w:rPr>
            </w:r>
            <w:r w:rsidR="00A51F84">
              <w:rPr>
                <w:sz w:val="22"/>
                <w:szCs w:val="22"/>
              </w:rPr>
              <w:tab/>
            </w:r>
            <w:bookmarkStart w:id="21" w:name="_Toc8451_WPSOffice_Level3Page"/>
            <w:r w:rsidR="00A51F84">
              <w:rPr>
                <w:sz w:val="22"/>
                <w:szCs w:val="22"/>
              </w:rPr>
              <w:t>7</w:t>
            </w:r>
            <w:bookmarkEnd w:id="21"/>
          </w:hyperlink>
        </w:p>
        <w:p w:rsidR="002F4EE8" w:rsidRDefault="002F4EE8" w:rsidP="002F4EE8">
          <w:pPr>
            <w:pStyle w:val="WPSOffice2"/>
            <w:tabs>
              <w:tab w:val="right" w:leader="dot" w:pos="8306"/>
            </w:tabs>
            <w:spacing w:line="560" w:lineRule="exact"/>
            <w:ind w:left="420"/>
            <w:rPr>
              <w:sz w:val="22"/>
              <w:szCs w:val="22"/>
            </w:rPr>
          </w:pPr>
          <w:hyperlink w:anchor="_Toc19787_WPSOffice_Level2" w:history="1">
            <w:r w:rsidR="00A51F84">
              <w:rPr>
                <w:rFonts w:ascii="楷体_GB2312" w:eastAsia="楷体_GB2312" w:hAnsi="黑体" w:cs="楷体_GB2312" w:hint="eastAsia"/>
                <w:sz w:val="22"/>
                <w:szCs w:val="22"/>
              </w:rPr>
              <w:t>（四）</w:t>
            </w:r>
            <w:r w:rsidR="00A51F84">
              <w:rPr>
                <w:rFonts w:ascii="楷体_GB2312" w:eastAsia="楷体_GB2312" w:hAnsi="黑体" w:cs="楷体_GB2312" w:hint="eastAsia"/>
                <w:sz w:val="22"/>
                <w:szCs w:val="22"/>
              </w:rPr>
              <w:t xml:space="preserve"> </w:t>
            </w:r>
            <w:r w:rsidR="00A51F84">
              <w:rPr>
                <w:rFonts w:ascii="楷体_GB2312" w:eastAsia="楷体_GB2312" w:hAnsi="黑体" w:cs="楷体_GB2312" w:hint="eastAsia"/>
                <w:sz w:val="22"/>
                <w:szCs w:val="22"/>
              </w:rPr>
              <w:t>绩效目标设置情况</w:t>
            </w:r>
            <w:r>
              <w:rPr>
                <w:rFonts w:cs="Calibri"/>
                <w:kern w:val="2"/>
                <w:sz w:val="24"/>
                <w:szCs w:val="24"/>
              </w:rPr>
            </w:r>
            <w:r w:rsidR="00A51F84">
              <w:rPr>
                <w:sz w:val="22"/>
                <w:szCs w:val="22"/>
              </w:rPr>
              <w:tab/>
            </w:r>
            <w:bookmarkStart w:id="22" w:name="_Toc19787_WPSOffice_Level2Page"/>
            <w:r w:rsidR="00A51F84">
              <w:rPr>
                <w:sz w:val="22"/>
                <w:szCs w:val="22"/>
              </w:rPr>
              <w:t>8</w:t>
            </w:r>
            <w:bookmarkEnd w:id="22"/>
          </w:hyperlink>
        </w:p>
        <w:p w:rsidR="002F4EE8" w:rsidRDefault="002F4EE8">
          <w:pPr>
            <w:pStyle w:val="WPSOffice1"/>
            <w:tabs>
              <w:tab w:val="right" w:leader="dot" w:pos="8306"/>
            </w:tabs>
            <w:spacing w:line="560" w:lineRule="exact"/>
            <w:rPr>
              <w:sz w:val="22"/>
              <w:szCs w:val="22"/>
            </w:rPr>
          </w:pPr>
          <w:hyperlink w:anchor="_Toc13481_WPSOffice_Level1" w:history="1">
            <w:r w:rsidR="00A51F84">
              <w:rPr>
                <w:rFonts w:ascii="黑体" w:eastAsia="黑体" w:hAnsi="黑体" w:cs="黑体" w:hint="eastAsia"/>
                <w:sz w:val="22"/>
                <w:szCs w:val="22"/>
              </w:rPr>
              <w:t>十、名词解释</w:t>
            </w:r>
            <w:r>
              <w:rPr>
                <w:rFonts w:cs="Calibri"/>
                <w:kern w:val="2"/>
                <w:sz w:val="24"/>
                <w:szCs w:val="24"/>
              </w:rPr>
            </w:r>
            <w:r w:rsidR="00A51F84">
              <w:rPr>
                <w:sz w:val="22"/>
                <w:szCs w:val="22"/>
              </w:rPr>
              <w:tab/>
            </w:r>
            <w:bookmarkStart w:id="23" w:name="_Toc13481_WPSOffice_Level1Page"/>
            <w:r w:rsidR="00A51F84">
              <w:rPr>
                <w:sz w:val="22"/>
                <w:szCs w:val="22"/>
              </w:rPr>
              <w:t>8</w:t>
            </w:r>
            <w:bookmarkEnd w:id="23"/>
          </w:hyperlink>
        </w:p>
      </w:sdtContent>
      <w:bookmarkEnd w:id="1" w:displacedByCustomXml="next"/>
    </w:sdt>
    <w:p w:rsidR="002F4EE8" w:rsidRDefault="002F4EE8">
      <w:pPr>
        <w:pStyle w:val="a0"/>
        <w:ind w:leftChars="0" w:left="0" w:firstLineChars="0" w:firstLine="0"/>
      </w:pPr>
    </w:p>
    <w:p w:rsidR="002F4EE8" w:rsidRDefault="002F4EE8" w:rsidP="002F4EE8">
      <w:pPr>
        <w:pStyle w:val="a0"/>
        <w:ind w:left="840" w:hanging="420"/>
      </w:pPr>
    </w:p>
    <w:p w:rsidR="002F4EE8" w:rsidRDefault="00A51F84">
      <w:pPr>
        <w:pStyle w:val="11"/>
        <w:spacing w:before="0" w:line="560" w:lineRule="exact"/>
        <w:outlineLvl w:val="0"/>
        <w:rPr>
          <w:rFonts w:ascii="黑体" w:eastAsia="黑体" w:hAnsi="黑体" w:cs="黑体"/>
          <w:kern w:val="2"/>
          <w:sz w:val="32"/>
          <w:szCs w:val="32"/>
        </w:rPr>
      </w:pPr>
      <w:bookmarkStart w:id="24" w:name="_Toc3670_WPSOffice_Level1"/>
      <w:r>
        <w:rPr>
          <w:rFonts w:ascii="黑体" w:eastAsia="黑体" w:hAnsi="黑体" w:cs="黑体" w:hint="eastAsia"/>
          <w:kern w:val="2"/>
          <w:sz w:val="32"/>
          <w:szCs w:val="32"/>
        </w:rPr>
        <w:t>一、</w:t>
      </w:r>
      <w:r>
        <w:rPr>
          <w:rFonts w:ascii="黑体" w:eastAsia="黑体" w:hAnsi="黑体" w:cs="黑体" w:hint="eastAsia"/>
          <w:kern w:val="2"/>
          <w:sz w:val="32"/>
          <w:szCs w:val="32"/>
        </w:rPr>
        <w:t>基本职能及主要工作</w:t>
      </w:r>
      <w:bookmarkEnd w:id="24"/>
    </w:p>
    <w:p w:rsidR="002F4EE8" w:rsidRDefault="00A51F84">
      <w:pPr>
        <w:pStyle w:val="11"/>
        <w:spacing w:before="0" w:line="560" w:lineRule="exact"/>
        <w:outlineLvl w:val="1"/>
        <w:rPr>
          <w:rFonts w:ascii="楷体_GB2312" w:eastAsia="楷体_GB2312" w:hAnsi="黑体" w:cs="楷体_GB2312"/>
          <w:b/>
          <w:bCs/>
          <w:kern w:val="2"/>
          <w:sz w:val="32"/>
          <w:szCs w:val="32"/>
        </w:rPr>
      </w:pPr>
      <w:bookmarkStart w:id="25" w:name="_Toc8451_WPSOffice_Level2"/>
      <w:r>
        <w:rPr>
          <w:rFonts w:ascii="楷体_GB2312" w:eastAsia="楷体_GB2312" w:hAnsi="黑体" w:cs="楷体_GB2312" w:hint="eastAsia"/>
          <w:b/>
          <w:bCs/>
          <w:kern w:val="2"/>
          <w:sz w:val="32"/>
          <w:szCs w:val="32"/>
        </w:rPr>
        <w:t>（一）壤塘县</w:t>
      </w:r>
      <w:proofErr w:type="gramStart"/>
      <w:r>
        <w:rPr>
          <w:rFonts w:ascii="楷体_GB2312" w:eastAsia="楷体_GB2312" w:hAnsi="黑体" w:cs="楷体_GB2312" w:hint="eastAsia"/>
          <w:b/>
          <w:bCs/>
          <w:kern w:val="2"/>
          <w:sz w:val="32"/>
          <w:szCs w:val="32"/>
        </w:rPr>
        <w:t>鱼托寺</w:t>
      </w:r>
      <w:proofErr w:type="gramEnd"/>
      <w:r>
        <w:rPr>
          <w:rFonts w:ascii="楷体_GB2312" w:eastAsia="楷体_GB2312" w:hAnsi="黑体" w:cs="楷体_GB2312" w:hint="eastAsia"/>
          <w:b/>
          <w:bCs/>
          <w:kern w:val="2"/>
          <w:sz w:val="32"/>
          <w:szCs w:val="32"/>
        </w:rPr>
        <w:t>寺庙管理委员会职能简介</w:t>
      </w:r>
      <w:bookmarkEnd w:id="25"/>
    </w:p>
    <w:p w:rsidR="002F4EE8" w:rsidRDefault="00A51F84">
      <w:pPr>
        <w:pStyle w:val="11"/>
        <w:spacing w:before="0" w:line="560" w:lineRule="exact"/>
        <w:ind w:firstLineChars="200" w:firstLine="640"/>
        <w:rPr>
          <w:rFonts w:hAnsi="黑体" w:cs="Times New Roman"/>
          <w:kern w:val="2"/>
          <w:sz w:val="32"/>
          <w:szCs w:val="32"/>
        </w:rPr>
      </w:pPr>
      <w:r>
        <w:rPr>
          <w:rFonts w:hAnsi="黑体" w:cs="Times New Roman" w:hint="eastAsia"/>
          <w:kern w:val="2"/>
          <w:sz w:val="32"/>
          <w:szCs w:val="32"/>
        </w:rPr>
        <w:t>认真贯彻落实党的宗教工作方针政策和国家、省、州宗教事务法律法规条例</w:t>
      </w:r>
      <w:r>
        <w:rPr>
          <w:rFonts w:hAnsi="黑体" w:cs="Times New Roman" w:hint="eastAsia"/>
          <w:kern w:val="2"/>
          <w:sz w:val="32"/>
          <w:szCs w:val="32"/>
        </w:rPr>
        <w:t>,</w:t>
      </w:r>
      <w:r>
        <w:rPr>
          <w:rFonts w:hAnsi="黑体" w:cs="Times New Roman" w:hint="eastAsia"/>
          <w:kern w:val="2"/>
          <w:sz w:val="32"/>
          <w:szCs w:val="32"/>
        </w:rPr>
        <w:t>依法开展宗教事务管理工作</w:t>
      </w:r>
      <w:r>
        <w:rPr>
          <w:rFonts w:hAnsi="黑体" w:cs="Times New Roman" w:hint="eastAsia"/>
          <w:kern w:val="2"/>
          <w:sz w:val="32"/>
          <w:szCs w:val="32"/>
        </w:rPr>
        <w:t>,</w:t>
      </w:r>
      <w:r>
        <w:rPr>
          <w:rFonts w:hAnsi="黑体" w:cs="Times New Roman" w:hint="eastAsia"/>
          <w:kern w:val="2"/>
          <w:sz w:val="32"/>
          <w:szCs w:val="32"/>
        </w:rPr>
        <w:t>落实上级宗教工作决策部署</w:t>
      </w:r>
      <w:r>
        <w:rPr>
          <w:rFonts w:hAnsi="黑体" w:cs="Times New Roman" w:hint="eastAsia"/>
          <w:kern w:val="2"/>
          <w:sz w:val="32"/>
          <w:szCs w:val="32"/>
        </w:rPr>
        <w:t>,</w:t>
      </w:r>
      <w:r>
        <w:rPr>
          <w:rFonts w:hAnsi="黑体" w:cs="Times New Roman" w:hint="eastAsia"/>
          <w:kern w:val="2"/>
          <w:sz w:val="32"/>
          <w:szCs w:val="32"/>
        </w:rPr>
        <w:t>做好信教群众工作</w:t>
      </w:r>
      <w:r>
        <w:rPr>
          <w:rFonts w:hAnsi="黑体" w:cs="Times New Roman" w:hint="eastAsia"/>
          <w:kern w:val="2"/>
          <w:sz w:val="32"/>
          <w:szCs w:val="32"/>
        </w:rPr>
        <w:t>,</w:t>
      </w:r>
      <w:r>
        <w:rPr>
          <w:rFonts w:hAnsi="黑体" w:cs="Times New Roman" w:hint="eastAsia"/>
          <w:kern w:val="2"/>
          <w:sz w:val="32"/>
          <w:szCs w:val="32"/>
        </w:rPr>
        <w:t>确保宗教活动依法依规规范有序</w:t>
      </w:r>
      <w:r>
        <w:rPr>
          <w:rFonts w:hAnsi="黑体" w:cs="Times New Roman" w:hint="eastAsia"/>
          <w:kern w:val="2"/>
          <w:sz w:val="32"/>
          <w:szCs w:val="32"/>
        </w:rPr>
        <w:t>,</w:t>
      </w:r>
      <w:r>
        <w:rPr>
          <w:rFonts w:hAnsi="黑体" w:cs="Times New Roman" w:hint="eastAsia"/>
          <w:kern w:val="2"/>
          <w:sz w:val="32"/>
          <w:szCs w:val="32"/>
        </w:rPr>
        <w:t>促进宗教与社会主义社会相适应。</w:t>
      </w:r>
    </w:p>
    <w:p w:rsidR="002F4EE8" w:rsidRDefault="00A51F84">
      <w:pPr>
        <w:pStyle w:val="11"/>
        <w:spacing w:before="0" w:line="560" w:lineRule="exact"/>
        <w:outlineLvl w:val="1"/>
        <w:rPr>
          <w:rFonts w:ascii="楷体_GB2312" w:eastAsia="楷体_GB2312" w:hAnsi="黑体" w:cs="楷体_GB2312"/>
          <w:b/>
          <w:bCs/>
          <w:kern w:val="2"/>
          <w:sz w:val="32"/>
          <w:szCs w:val="32"/>
        </w:rPr>
      </w:pPr>
      <w:bookmarkStart w:id="26" w:name="_Toc4428_WPSOffice_Level2"/>
      <w:r>
        <w:rPr>
          <w:rFonts w:ascii="楷体_GB2312" w:eastAsia="楷体_GB2312" w:hAnsi="黑体" w:cs="楷体_GB2312" w:hint="eastAsia"/>
          <w:b/>
          <w:bCs/>
          <w:kern w:val="2"/>
          <w:sz w:val="32"/>
          <w:szCs w:val="32"/>
        </w:rPr>
        <w:t>（</w:t>
      </w:r>
      <w:r>
        <w:rPr>
          <w:rFonts w:ascii="楷体_GB2312" w:eastAsia="楷体_GB2312" w:hAnsi="黑体" w:cs="楷体_GB2312" w:hint="eastAsia"/>
          <w:b/>
          <w:bCs/>
          <w:kern w:val="2"/>
          <w:sz w:val="32"/>
          <w:szCs w:val="32"/>
        </w:rPr>
        <w:t>二</w:t>
      </w:r>
      <w:r>
        <w:rPr>
          <w:rFonts w:ascii="楷体_GB2312" w:eastAsia="楷体_GB2312" w:hAnsi="黑体" w:cs="楷体_GB2312" w:hint="eastAsia"/>
          <w:b/>
          <w:bCs/>
          <w:kern w:val="2"/>
          <w:sz w:val="32"/>
          <w:szCs w:val="32"/>
        </w:rPr>
        <w:t>）</w:t>
      </w:r>
      <w:r>
        <w:rPr>
          <w:rFonts w:ascii="楷体_GB2312" w:eastAsia="楷体_GB2312" w:hAnsi="黑体" w:cs="楷体_GB2312" w:hint="eastAsia"/>
          <w:b/>
          <w:bCs/>
          <w:kern w:val="2"/>
          <w:sz w:val="32"/>
          <w:szCs w:val="32"/>
        </w:rPr>
        <w:t>壤塘县</w:t>
      </w:r>
      <w:proofErr w:type="gramStart"/>
      <w:r>
        <w:rPr>
          <w:rFonts w:ascii="楷体_GB2312" w:eastAsia="楷体_GB2312" w:hAnsi="黑体" w:cs="楷体_GB2312" w:hint="eastAsia"/>
          <w:b/>
          <w:bCs/>
          <w:kern w:val="2"/>
          <w:sz w:val="32"/>
          <w:szCs w:val="32"/>
        </w:rPr>
        <w:t>鱼托寺</w:t>
      </w:r>
      <w:proofErr w:type="gramEnd"/>
      <w:r>
        <w:rPr>
          <w:rFonts w:ascii="楷体_GB2312" w:eastAsia="楷体_GB2312" w:hAnsi="黑体" w:cs="楷体_GB2312" w:hint="eastAsia"/>
          <w:b/>
          <w:bCs/>
          <w:kern w:val="2"/>
          <w:sz w:val="32"/>
          <w:szCs w:val="32"/>
        </w:rPr>
        <w:t>寺庙管理委员会</w:t>
      </w:r>
      <w:r>
        <w:rPr>
          <w:rFonts w:ascii="楷体_GB2312" w:eastAsia="楷体_GB2312" w:hAnsi="黑体" w:cs="楷体_GB2312" w:hint="eastAsia"/>
          <w:b/>
          <w:bCs/>
          <w:kern w:val="2"/>
          <w:sz w:val="32"/>
          <w:szCs w:val="32"/>
        </w:rPr>
        <w:t>202</w:t>
      </w:r>
      <w:r>
        <w:rPr>
          <w:rFonts w:ascii="楷体_GB2312" w:eastAsia="楷体_GB2312" w:hAnsi="黑体" w:cs="楷体_GB2312" w:hint="eastAsia"/>
          <w:b/>
          <w:bCs/>
          <w:kern w:val="2"/>
          <w:sz w:val="32"/>
          <w:szCs w:val="32"/>
        </w:rPr>
        <w:t>2</w:t>
      </w:r>
      <w:r>
        <w:rPr>
          <w:rFonts w:ascii="楷体_GB2312" w:eastAsia="楷体_GB2312" w:hAnsi="黑体" w:cs="楷体_GB2312" w:hint="eastAsia"/>
          <w:b/>
          <w:bCs/>
          <w:kern w:val="2"/>
          <w:sz w:val="32"/>
          <w:szCs w:val="32"/>
        </w:rPr>
        <w:t>年重点工作</w:t>
      </w:r>
      <w:bookmarkEnd w:id="26"/>
    </w:p>
    <w:p w:rsidR="002F4EE8" w:rsidRDefault="00A51F84">
      <w:pPr>
        <w:pStyle w:val="11"/>
        <w:spacing w:before="0" w:line="560" w:lineRule="exact"/>
        <w:ind w:firstLineChars="196" w:firstLine="627"/>
        <w:rPr>
          <w:bCs/>
          <w:sz w:val="32"/>
          <w:szCs w:val="32"/>
        </w:rPr>
      </w:pPr>
      <w:r>
        <w:rPr>
          <w:rFonts w:hint="eastAsia"/>
          <w:bCs/>
          <w:sz w:val="32"/>
          <w:szCs w:val="32"/>
        </w:rPr>
        <w:t>一是</w:t>
      </w:r>
      <w:r>
        <w:rPr>
          <w:rFonts w:hint="eastAsia"/>
          <w:bCs/>
          <w:sz w:val="32"/>
          <w:szCs w:val="32"/>
        </w:rPr>
        <w:t>加强寺庙管理。继续依法规范管理为</w:t>
      </w:r>
      <w:r>
        <w:rPr>
          <w:rFonts w:hint="eastAsia"/>
          <w:bCs/>
          <w:sz w:val="32"/>
          <w:szCs w:val="32"/>
        </w:rPr>
        <w:t>手段</w:t>
      </w:r>
      <w:r>
        <w:rPr>
          <w:rFonts w:hint="eastAsia"/>
          <w:bCs/>
          <w:sz w:val="32"/>
          <w:szCs w:val="32"/>
        </w:rPr>
        <w:t>，对标问题导向，持续加强对寺庙建筑建设情况监管，守住寺庙建设底线</w:t>
      </w:r>
      <w:r>
        <w:rPr>
          <w:rFonts w:hint="eastAsia"/>
          <w:bCs/>
          <w:sz w:val="32"/>
          <w:szCs w:val="32"/>
        </w:rPr>
        <w:t>。</w:t>
      </w:r>
    </w:p>
    <w:p w:rsidR="002F4EE8" w:rsidRDefault="00A51F84">
      <w:pPr>
        <w:pStyle w:val="11"/>
        <w:spacing w:before="0" w:line="560" w:lineRule="exact"/>
        <w:ind w:firstLineChars="196" w:firstLine="627"/>
        <w:rPr>
          <w:bCs/>
          <w:sz w:val="32"/>
          <w:szCs w:val="32"/>
        </w:rPr>
      </w:pPr>
      <w:r>
        <w:rPr>
          <w:rFonts w:hint="eastAsia"/>
          <w:bCs/>
          <w:sz w:val="32"/>
          <w:szCs w:val="32"/>
        </w:rPr>
        <w:t>二是</w:t>
      </w:r>
      <w:r>
        <w:rPr>
          <w:rFonts w:hint="eastAsia"/>
          <w:bCs/>
          <w:sz w:val="32"/>
          <w:szCs w:val="32"/>
        </w:rPr>
        <w:t>加强</w:t>
      </w:r>
      <w:r>
        <w:rPr>
          <w:rFonts w:hint="eastAsia"/>
          <w:bCs/>
          <w:sz w:val="32"/>
          <w:szCs w:val="32"/>
        </w:rPr>
        <w:t>僧人教育</w:t>
      </w:r>
      <w:r>
        <w:rPr>
          <w:rFonts w:hint="eastAsia"/>
          <w:bCs/>
          <w:sz w:val="32"/>
          <w:szCs w:val="32"/>
        </w:rPr>
        <w:t>。以增强僧人法制意识、公民意识、政府意识、祖国意识为目的。把寺庙爱国主义教育和</w:t>
      </w:r>
      <w:r>
        <w:rPr>
          <w:rFonts w:hint="eastAsia"/>
          <w:bCs/>
          <w:sz w:val="32"/>
          <w:szCs w:val="32"/>
        </w:rPr>
        <w:t>法治</w:t>
      </w:r>
      <w:r>
        <w:rPr>
          <w:rFonts w:hint="eastAsia"/>
          <w:bCs/>
          <w:sz w:val="32"/>
          <w:szCs w:val="32"/>
        </w:rPr>
        <w:t>教育常态化、制度化，引导僧人坚定不移守法持戒、爱国爱教；</w:t>
      </w:r>
      <w:r>
        <w:rPr>
          <w:rFonts w:hint="eastAsia"/>
          <w:bCs/>
          <w:sz w:val="32"/>
          <w:szCs w:val="32"/>
        </w:rPr>
        <w:t>进一步</w:t>
      </w:r>
      <w:r>
        <w:rPr>
          <w:rFonts w:hint="eastAsia"/>
          <w:bCs/>
          <w:sz w:val="32"/>
          <w:szCs w:val="32"/>
        </w:rPr>
        <w:t>完善联系</w:t>
      </w:r>
      <w:r>
        <w:rPr>
          <w:rFonts w:hint="eastAsia"/>
          <w:bCs/>
          <w:sz w:val="32"/>
          <w:szCs w:val="32"/>
        </w:rPr>
        <w:t>宗教界</w:t>
      </w:r>
      <w:r>
        <w:rPr>
          <w:rFonts w:hint="eastAsia"/>
          <w:bCs/>
          <w:sz w:val="32"/>
          <w:szCs w:val="32"/>
        </w:rPr>
        <w:t>代表人士制度，定期交心谈心进行政策引导，让其在僧尼守法持戒方面发挥示范作用，在爱国爱教方面发挥教育引导作用，在宗教稳定中发挥稳定社会作用。</w:t>
      </w:r>
    </w:p>
    <w:p w:rsidR="002F4EE8" w:rsidRDefault="00A51F84">
      <w:pPr>
        <w:pStyle w:val="11"/>
        <w:spacing w:before="0" w:line="560" w:lineRule="exact"/>
        <w:ind w:firstLineChars="196" w:firstLine="627"/>
        <w:rPr>
          <w:bCs/>
          <w:sz w:val="32"/>
          <w:szCs w:val="32"/>
        </w:rPr>
      </w:pPr>
      <w:r>
        <w:rPr>
          <w:rFonts w:hint="eastAsia"/>
          <w:bCs/>
          <w:sz w:val="32"/>
          <w:szCs w:val="32"/>
        </w:rPr>
        <w:t>三是加强公共服务。坚决执行“寺庙是基本社会单元，僧人是基本社会公民”的重要论述，</w:t>
      </w:r>
      <w:r>
        <w:rPr>
          <w:rFonts w:hint="eastAsia"/>
          <w:bCs/>
          <w:sz w:val="32"/>
          <w:szCs w:val="32"/>
        </w:rPr>
        <w:t>充分保障寺庙和僧人普惠性待遇。落实符合条件僧人</w:t>
      </w:r>
      <w:proofErr w:type="gramStart"/>
      <w:r>
        <w:rPr>
          <w:rFonts w:hint="eastAsia"/>
          <w:bCs/>
          <w:sz w:val="32"/>
          <w:szCs w:val="32"/>
        </w:rPr>
        <w:t>的低保求助</w:t>
      </w:r>
      <w:proofErr w:type="gramEnd"/>
      <w:r>
        <w:rPr>
          <w:rFonts w:hint="eastAsia"/>
          <w:bCs/>
          <w:sz w:val="32"/>
          <w:szCs w:val="32"/>
        </w:rPr>
        <w:t>、五保供养、扶资解困政策，实现“应保尽保”，</w:t>
      </w:r>
      <w:r>
        <w:rPr>
          <w:rFonts w:hint="eastAsia"/>
          <w:bCs/>
          <w:sz w:val="32"/>
          <w:szCs w:val="32"/>
        </w:rPr>
        <w:t>解决好僧人的现实困难；统筹争取推进寺庙水电路、地灾防治等工作，解决好寺庙的现实困难。</w:t>
      </w:r>
    </w:p>
    <w:p w:rsidR="002F4EE8" w:rsidRDefault="00A51F84">
      <w:pPr>
        <w:pStyle w:val="11"/>
        <w:spacing w:before="0" w:line="560" w:lineRule="exact"/>
        <w:ind w:firstLineChars="196" w:firstLine="627"/>
        <w:rPr>
          <w:bCs/>
          <w:sz w:val="32"/>
          <w:szCs w:val="32"/>
        </w:rPr>
      </w:pPr>
      <w:r>
        <w:rPr>
          <w:rFonts w:hint="eastAsia"/>
          <w:bCs/>
          <w:sz w:val="32"/>
          <w:szCs w:val="32"/>
        </w:rPr>
        <w:t>四是加强关系协调。</w:t>
      </w:r>
      <w:r>
        <w:rPr>
          <w:rFonts w:hint="eastAsia"/>
          <w:bCs/>
          <w:sz w:val="32"/>
          <w:szCs w:val="32"/>
        </w:rPr>
        <w:t>以“一家人、</w:t>
      </w:r>
      <w:r>
        <w:rPr>
          <w:rFonts w:hint="eastAsia"/>
          <w:bCs/>
          <w:sz w:val="32"/>
          <w:szCs w:val="32"/>
        </w:rPr>
        <w:t>一条心、一盘棋、一起拼”的姿态，把</w:t>
      </w:r>
      <w:r>
        <w:rPr>
          <w:rFonts w:hint="eastAsia"/>
          <w:bCs/>
          <w:sz w:val="32"/>
          <w:szCs w:val="32"/>
        </w:rPr>
        <w:t>寺庙管理</w:t>
      </w:r>
      <w:r>
        <w:rPr>
          <w:rFonts w:hint="eastAsia"/>
          <w:bCs/>
          <w:sz w:val="32"/>
          <w:szCs w:val="32"/>
        </w:rPr>
        <w:t>工作纳入</w:t>
      </w:r>
      <w:r>
        <w:rPr>
          <w:rFonts w:hint="eastAsia"/>
          <w:bCs/>
          <w:sz w:val="32"/>
          <w:szCs w:val="32"/>
        </w:rPr>
        <w:t>管委会</w:t>
      </w:r>
      <w:r>
        <w:rPr>
          <w:rFonts w:hint="eastAsia"/>
          <w:bCs/>
          <w:sz w:val="32"/>
          <w:szCs w:val="32"/>
        </w:rPr>
        <w:t>中心任务，</w:t>
      </w:r>
      <w:r>
        <w:rPr>
          <w:rFonts w:hint="eastAsia"/>
          <w:bCs/>
          <w:sz w:val="32"/>
          <w:szCs w:val="32"/>
        </w:rPr>
        <w:t>协调</w:t>
      </w:r>
      <w:r>
        <w:rPr>
          <w:rFonts w:hint="eastAsia"/>
          <w:bCs/>
          <w:sz w:val="32"/>
          <w:szCs w:val="32"/>
        </w:rPr>
        <w:lastRenderedPageBreak/>
        <w:t>好管委会与乡镇党委、管委会与寺管所的关系，理顺</w:t>
      </w:r>
      <w:r>
        <w:rPr>
          <w:rFonts w:hint="eastAsia"/>
          <w:bCs/>
          <w:sz w:val="32"/>
          <w:szCs w:val="32"/>
        </w:rPr>
        <w:t>主体责任、属地责任</w:t>
      </w:r>
      <w:proofErr w:type="gramStart"/>
      <w:r>
        <w:rPr>
          <w:rFonts w:hint="eastAsia"/>
          <w:bCs/>
          <w:sz w:val="32"/>
          <w:szCs w:val="32"/>
        </w:rPr>
        <w:t>和属事责任</w:t>
      </w:r>
      <w:proofErr w:type="gramEnd"/>
      <w:r>
        <w:rPr>
          <w:rFonts w:hint="eastAsia"/>
          <w:bCs/>
          <w:sz w:val="32"/>
          <w:szCs w:val="32"/>
        </w:rPr>
        <w:t>，</w:t>
      </w:r>
      <w:r>
        <w:rPr>
          <w:rFonts w:hint="eastAsia"/>
          <w:bCs/>
          <w:sz w:val="32"/>
          <w:szCs w:val="32"/>
        </w:rPr>
        <w:t>动员大家</w:t>
      </w:r>
      <w:r>
        <w:rPr>
          <w:rFonts w:hint="eastAsia"/>
          <w:bCs/>
          <w:sz w:val="32"/>
          <w:szCs w:val="32"/>
        </w:rPr>
        <w:t>心往一处想，劲往一处使，主动担当、履职尽责，确保明年工作取得更优成绩。</w:t>
      </w:r>
    </w:p>
    <w:p w:rsidR="002F4EE8" w:rsidRDefault="00A51F84">
      <w:pPr>
        <w:pStyle w:val="11"/>
        <w:spacing w:before="0" w:line="560" w:lineRule="exact"/>
        <w:ind w:firstLineChars="196" w:firstLine="627"/>
        <w:rPr>
          <w:rFonts w:hAnsi="黑体"/>
          <w:kern w:val="2"/>
          <w:sz w:val="32"/>
          <w:szCs w:val="32"/>
        </w:rPr>
      </w:pPr>
      <w:r>
        <w:rPr>
          <w:rFonts w:hint="eastAsia"/>
          <w:bCs/>
          <w:sz w:val="32"/>
          <w:szCs w:val="32"/>
        </w:rPr>
        <w:t>五是加强工作创新。</w:t>
      </w:r>
      <w:r>
        <w:rPr>
          <w:rFonts w:hint="eastAsia"/>
          <w:bCs/>
          <w:sz w:val="32"/>
          <w:szCs w:val="32"/>
        </w:rPr>
        <w:t>积极探索“干部</w:t>
      </w:r>
      <w:r>
        <w:rPr>
          <w:rFonts w:hint="eastAsia"/>
          <w:bCs/>
          <w:sz w:val="32"/>
          <w:szCs w:val="32"/>
        </w:rPr>
        <w:t>+</w:t>
      </w:r>
      <w:r>
        <w:rPr>
          <w:rFonts w:hint="eastAsia"/>
          <w:bCs/>
          <w:sz w:val="32"/>
          <w:szCs w:val="32"/>
        </w:rPr>
        <w:t>僧人”的新型民管会管理模式，推动</w:t>
      </w:r>
      <w:r>
        <w:rPr>
          <w:rFonts w:hint="eastAsia"/>
          <w:bCs/>
          <w:sz w:val="32"/>
          <w:szCs w:val="32"/>
        </w:rPr>
        <w:t>寺庙管理干部和</w:t>
      </w:r>
      <w:r>
        <w:rPr>
          <w:rFonts w:hint="eastAsia"/>
          <w:bCs/>
          <w:sz w:val="32"/>
          <w:szCs w:val="32"/>
        </w:rPr>
        <w:t>和</w:t>
      </w:r>
      <w:r>
        <w:rPr>
          <w:rFonts w:hint="eastAsia"/>
          <w:bCs/>
          <w:sz w:val="32"/>
          <w:szCs w:val="32"/>
        </w:rPr>
        <w:t>寺庙及僧尼</w:t>
      </w:r>
      <w:r>
        <w:rPr>
          <w:rFonts w:hint="eastAsia"/>
          <w:bCs/>
          <w:sz w:val="32"/>
          <w:szCs w:val="32"/>
        </w:rPr>
        <w:t>关系更进一步</w:t>
      </w:r>
      <w:r>
        <w:rPr>
          <w:rFonts w:hint="eastAsia"/>
          <w:bCs/>
          <w:sz w:val="32"/>
          <w:szCs w:val="32"/>
        </w:rPr>
        <w:t>融洽</w:t>
      </w:r>
      <w:r>
        <w:rPr>
          <w:rFonts w:hint="eastAsia"/>
          <w:bCs/>
          <w:sz w:val="32"/>
          <w:szCs w:val="32"/>
        </w:rPr>
        <w:t>，达到相互沟通、相互信任、相互支持，各项工作有序推进、向好发展。</w:t>
      </w:r>
      <w:r>
        <w:rPr>
          <w:rFonts w:hint="eastAsia"/>
          <w:bCs/>
          <w:sz w:val="32"/>
          <w:szCs w:val="32"/>
        </w:rPr>
        <w:t>寺庙管理</w:t>
      </w:r>
      <w:r>
        <w:rPr>
          <w:rFonts w:hint="eastAsia"/>
          <w:bCs/>
          <w:sz w:val="32"/>
          <w:szCs w:val="32"/>
        </w:rPr>
        <w:t>工作平凡而光荣，重要而艰苦</w:t>
      </w:r>
      <w:r>
        <w:rPr>
          <w:rFonts w:hint="eastAsia"/>
          <w:bCs/>
          <w:sz w:val="32"/>
          <w:szCs w:val="32"/>
        </w:rPr>
        <w:t>,</w:t>
      </w:r>
      <w:proofErr w:type="gramStart"/>
      <w:r>
        <w:rPr>
          <w:rFonts w:hint="eastAsia"/>
          <w:bCs/>
          <w:sz w:val="32"/>
          <w:szCs w:val="32"/>
        </w:rPr>
        <w:t>鱼托</w:t>
      </w:r>
      <w:r>
        <w:rPr>
          <w:rFonts w:hint="eastAsia"/>
          <w:bCs/>
          <w:sz w:val="32"/>
          <w:szCs w:val="32"/>
        </w:rPr>
        <w:t>寺庙</w:t>
      </w:r>
      <w:proofErr w:type="gramEnd"/>
      <w:r>
        <w:rPr>
          <w:rFonts w:hint="eastAsia"/>
          <w:bCs/>
          <w:sz w:val="32"/>
          <w:szCs w:val="32"/>
        </w:rPr>
        <w:t>管理委员会</w:t>
      </w:r>
      <w:r>
        <w:rPr>
          <w:rFonts w:hint="eastAsia"/>
          <w:bCs/>
          <w:sz w:val="32"/>
          <w:szCs w:val="32"/>
        </w:rPr>
        <w:t>将一如既往地胸怀全局，与时俱进，开拓创新，进一步加强自身建设</w:t>
      </w:r>
      <w:r>
        <w:rPr>
          <w:rFonts w:hint="eastAsia"/>
          <w:bCs/>
          <w:sz w:val="32"/>
          <w:szCs w:val="32"/>
        </w:rPr>
        <w:t>，扎实工作，务求实效，努力推动</w:t>
      </w:r>
      <w:r>
        <w:rPr>
          <w:rFonts w:hint="eastAsia"/>
          <w:bCs/>
          <w:sz w:val="32"/>
          <w:szCs w:val="32"/>
        </w:rPr>
        <w:t>辖区寺庙管理</w:t>
      </w:r>
      <w:r>
        <w:rPr>
          <w:rFonts w:hint="eastAsia"/>
          <w:bCs/>
          <w:sz w:val="32"/>
          <w:szCs w:val="32"/>
        </w:rPr>
        <w:t>再上新台阶，</w:t>
      </w:r>
      <w:r>
        <w:rPr>
          <w:rFonts w:hint="eastAsia"/>
          <w:bCs/>
          <w:sz w:val="32"/>
          <w:szCs w:val="32"/>
        </w:rPr>
        <w:t>为建设“美丽幸福</w:t>
      </w:r>
      <w:proofErr w:type="gramStart"/>
      <w:r>
        <w:rPr>
          <w:rFonts w:hint="eastAsia"/>
          <w:bCs/>
          <w:sz w:val="32"/>
          <w:szCs w:val="32"/>
        </w:rPr>
        <w:t>壤</w:t>
      </w:r>
      <w:proofErr w:type="gramEnd"/>
      <w:r>
        <w:rPr>
          <w:rFonts w:hint="eastAsia"/>
          <w:bCs/>
          <w:sz w:val="32"/>
          <w:szCs w:val="32"/>
        </w:rPr>
        <w:t>巴拉家园”做出积极贡献</w:t>
      </w:r>
      <w:r>
        <w:rPr>
          <w:rFonts w:hAnsi="黑体" w:hint="eastAsia"/>
          <w:kern w:val="2"/>
          <w:sz w:val="32"/>
          <w:szCs w:val="32"/>
        </w:rPr>
        <w:t>。</w:t>
      </w:r>
    </w:p>
    <w:p w:rsidR="002F4EE8" w:rsidRDefault="00A51F84">
      <w:pPr>
        <w:spacing w:line="560" w:lineRule="exact"/>
        <w:outlineLvl w:val="0"/>
        <w:rPr>
          <w:rFonts w:ascii="黑体" w:eastAsia="黑体" w:hAnsi="黑体" w:cs="黑体"/>
          <w:sz w:val="32"/>
          <w:szCs w:val="32"/>
        </w:rPr>
      </w:pPr>
      <w:bookmarkStart w:id="27" w:name="_Toc8451_WPSOffice_Level1"/>
      <w:r>
        <w:rPr>
          <w:rFonts w:ascii="黑体" w:eastAsia="黑体" w:hAnsi="黑体" w:cs="黑体" w:hint="eastAsia"/>
          <w:sz w:val="32"/>
          <w:szCs w:val="32"/>
        </w:rPr>
        <w:t>二、部门预算单位构成</w:t>
      </w:r>
      <w:bookmarkEnd w:id="27"/>
    </w:p>
    <w:p w:rsidR="002F4EE8" w:rsidRDefault="00A51F84">
      <w:pPr>
        <w:pStyle w:val="a0"/>
        <w:spacing w:line="560" w:lineRule="exact"/>
        <w:ind w:leftChars="0" w:left="0"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壤塘县</w:t>
      </w:r>
      <w:proofErr w:type="gramStart"/>
      <w:r>
        <w:rPr>
          <w:rFonts w:ascii="仿宋_GB2312" w:eastAsia="仿宋_GB2312" w:hAnsi="仿宋_GB2312" w:cs="仿宋_GB2312" w:hint="eastAsia"/>
          <w:bCs/>
          <w:sz w:val="32"/>
          <w:szCs w:val="32"/>
        </w:rPr>
        <w:t>鱼托寺</w:t>
      </w:r>
      <w:proofErr w:type="gramEnd"/>
      <w:r>
        <w:rPr>
          <w:rFonts w:ascii="仿宋_GB2312" w:eastAsia="仿宋_GB2312" w:hAnsi="仿宋_GB2312" w:cs="仿宋_GB2312" w:hint="eastAsia"/>
          <w:bCs/>
          <w:sz w:val="32"/>
          <w:szCs w:val="32"/>
        </w:rPr>
        <w:t>管会为一级预算单位，下设无二级预算单位。</w:t>
      </w:r>
      <w:r>
        <w:rPr>
          <w:rFonts w:ascii="仿宋_GB2312" w:eastAsia="仿宋_GB2312" w:hAnsi="仿宋_GB2312" w:cs="仿宋_GB2312" w:hint="eastAsia"/>
          <w:bCs/>
          <w:sz w:val="32"/>
          <w:szCs w:val="32"/>
        </w:rPr>
        <w:t>2022</w:t>
      </w:r>
      <w:r>
        <w:rPr>
          <w:rFonts w:ascii="仿宋_GB2312" w:eastAsia="仿宋_GB2312" w:hAnsi="仿宋_GB2312" w:cs="仿宋_GB2312" w:hint="eastAsia"/>
          <w:bCs/>
          <w:sz w:val="32"/>
          <w:szCs w:val="32"/>
        </w:rPr>
        <w:t>年预算人数为</w:t>
      </w: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人。</w:t>
      </w:r>
    </w:p>
    <w:p w:rsidR="002F4EE8" w:rsidRDefault="00A51F84">
      <w:pPr>
        <w:spacing w:line="560" w:lineRule="exact"/>
        <w:outlineLvl w:val="0"/>
        <w:rPr>
          <w:rFonts w:ascii="黑体" w:eastAsia="黑体" w:hAnsi="黑体" w:cs="黑体"/>
          <w:sz w:val="32"/>
          <w:szCs w:val="32"/>
        </w:rPr>
      </w:pPr>
      <w:bookmarkStart w:id="28" w:name="_Toc4428_WPSOffice_Level1"/>
      <w:r>
        <w:rPr>
          <w:rFonts w:ascii="黑体" w:eastAsia="黑体" w:hAnsi="黑体" w:cs="黑体" w:hint="eastAsia"/>
          <w:sz w:val="32"/>
          <w:szCs w:val="32"/>
        </w:rPr>
        <w:t>三、</w:t>
      </w:r>
      <w:r>
        <w:rPr>
          <w:rFonts w:ascii="黑体" w:eastAsia="黑体" w:hAnsi="黑体" w:cs="黑体" w:hint="eastAsia"/>
          <w:sz w:val="32"/>
          <w:szCs w:val="32"/>
        </w:rPr>
        <w:t>收支预算情况说明</w:t>
      </w:r>
      <w:bookmarkEnd w:id="28"/>
    </w:p>
    <w:p w:rsidR="002F4EE8" w:rsidRDefault="00A51F84" w:rsidP="002F4EE8">
      <w:pPr>
        <w:spacing w:line="560" w:lineRule="exact"/>
        <w:ind w:leftChars="196" w:left="412"/>
        <w:outlineLvl w:val="1"/>
        <w:rPr>
          <w:rFonts w:ascii="楷体_GB2312" w:eastAsia="楷体_GB2312" w:hAnsi="黑体" w:cs="楷体_GB2312"/>
          <w:b/>
          <w:bCs/>
          <w:sz w:val="32"/>
          <w:szCs w:val="32"/>
        </w:rPr>
      </w:pPr>
      <w:bookmarkStart w:id="29" w:name="_Toc14015_WPSOffice_Level2"/>
      <w:r>
        <w:rPr>
          <w:rFonts w:ascii="楷体_GB2312" w:eastAsia="楷体_GB2312" w:hAnsi="黑体" w:cs="楷体_GB2312" w:hint="eastAsia"/>
          <w:b/>
          <w:bCs/>
          <w:sz w:val="32"/>
          <w:szCs w:val="32"/>
        </w:rPr>
        <w:t>（一）收入预算情况</w:t>
      </w:r>
      <w:bookmarkEnd w:id="29"/>
    </w:p>
    <w:p w:rsidR="002F4EE8" w:rsidRDefault="00A51F8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壤塘县</w:t>
      </w:r>
      <w:proofErr w:type="gramStart"/>
      <w:r>
        <w:rPr>
          <w:rFonts w:ascii="仿宋_GB2312" w:eastAsia="仿宋_GB2312" w:hAnsi="仿宋_GB2312" w:cs="仿宋_GB2312" w:hint="eastAsia"/>
          <w:bCs/>
          <w:sz w:val="32"/>
          <w:szCs w:val="32"/>
        </w:rPr>
        <w:t>鱼托寺</w:t>
      </w:r>
      <w:proofErr w:type="gramEnd"/>
      <w:r>
        <w:rPr>
          <w:rFonts w:ascii="仿宋_GB2312" w:eastAsia="仿宋_GB2312" w:hAnsi="仿宋_GB2312" w:cs="仿宋_GB2312" w:hint="eastAsia"/>
          <w:bCs/>
          <w:sz w:val="32"/>
          <w:szCs w:val="32"/>
        </w:rPr>
        <w:t>寺庙管理委员会</w:t>
      </w:r>
      <w:r>
        <w:rPr>
          <w:rFonts w:ascii="仿宋_GB2312" w:eastAsia="仿宋_GB2312" w:hAnsi="仿宋_GB2312" w:cs="仿宋_GB2312" w:hint="eastAsia"/>
          <w:bCs/>
          <w:sz w:val="32"/>
          <w:szCs w:val="32"/>
        </w:rPr>
        <w:t>202</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年收入预算</w:t>
      </w:r>
      <w:r>
        <w:rPr>
          <w:rFonts w:ascii="仿宋_GB2312" w:eastAsia="仿宋_GB2312" w:hAnsi="仿宋_GB2312" w:cs="仿宋_GB2312" w:hint="eastAsia"/>
          <w:bCs/>
          <w:sz w:val="32"/>
          <w:szCs w:val="32"/>
        </w:rPr>
        <w:t>238.89</w:t>
      </w:r>
      <w:r>
        <w:rPr>
          <w:rFonts w:ascii="仿宋_GB2312" w:eastAsia="仿宋_GB2312" w:hAnsi="仿宋_GB2312" w:cs="仿宋_GB2312" w:hint="eastAsia"/>
          <w:bCs/>
          <w:sz w:val="32"/>
          <w:szCs w:val="32"/>
        </w:rPr>
        <w:t>万元；一般公共预算拨款收入</w:t>
      </w:r>
      <w:r>
        <w:rPr>
          <w:rFonts w:ascii="仿宋_GB2312" w:eastAsia="仿宋_GB2312" w:hAnsi="仿宋_GB2312" w:cs="仿宋_GB2312" w:hint="eastAsia"/>
          <w:bCs/>
          <w:sz w:val="32"/>
          <w:szCs w:val="32"/>
        </w:rPr>
        <w:t>238.89</w:t>
      </w:r>
      <w:r>
        <w:rPr>
          <w:rFonts w:ascii="仿宋_GB2312" w:eastAsia="仿宋_GB2312" w:hAnsi="仿宋_GB2312" w:cs="仿宋_GB2312" w:hint="eastAsia"/>
          <w:bCs/>
          <w:sz w:val="32"/>
          <w:szCs w:val="32"/>
        </w:rPr>
        <w:t>万元，占</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w:t>
      </w:r>
    </w:p>
    <w:p w:rsidR="002F4EE8" w:rsidRDefault="00A51F84" w:rsidP="002F4EE8">
      <w:pPr>
        <w:spacing w:line="560" w:lineRule="exact"/>
        <w:ind w:leftChars="196" w:left="412"/>
        <w:outlineLvl w:val="1"/>
        <w:rPr>
          <w:rFonts w:ascii="楷体_GB2312" w:eastAsia="楷体_GB2312" w:hAnsi="黑体" w:cs="楷体_GB2312"/>
          <w:b/>
          <w:bCs/>
          <w:sz w:val="32"/>
          <w:szCs w:val="32"/>
        </w:rPr>
      </w:pPr>
      <w:bookmarkStart w:id="30" w:name="_Toc11052_WPSOffice_Level2"/>
      <w:r>
        <w:rPr>
          <w:rFonts w:ascii="楷体_GB2312" w:eastAsia="楷体_GB2312" w:hAnsi="黑体" w:cs="楷体_GB2312" w:hint="eastAsia"/>
          <w:b/>
          <w:bCs/>
          <w:sz w:val="32"/>
          <w:szCs w:val="32"/>
        </w:rPr>
        <w:t>（二）支出预算情况</w:t>
      </w:r>
      <w:bookmarkEnd w:id="30"/>
    </w:p>
    <w:p w:rsidR="002F4EE8" w:rsidRDefault="00A51F84">
      <w:pPr>
        <w:pStyle w:val="11"/>
        <w:spacing w:before="0" w:line="560" w:lineRule="exact"/>
        <w:ind w:firstLineChars="196" w:firstLine="627"/>
        <w:rPr>
          <w:rFonts w:hAnsi="黑体" w:cs="Times New Roman"/>
          <w:kern w:val="2"/>
          <w:sz w:val="32"/>
          <w:szCs w:val="32"/>
        </w:rPr>
      </w:pPr>
      <w:r>
        <w:rPr>
          <w:rFonts w:hint="eastAsia"/>
          <w:bCs/>
          <w:kern w:val="2"/>
          <w:sz w:val="32"/>
          <w:szCs w:val="32"/>
        </w:rPr>
        <w:t>壤塘县</w:t>
      </w:r>
      <w:proofErr w:type="gramStart"/>
      <w:r>
        <w:rPr>
          <w:rFonts w:hint="eastAsia"/>
          <w:bCs/>
          <w:kern w:val="2"/>
          <w:sz w:val="32"/>
          <w:szCs w:val="32"/>
        </w:rPr>
        <w:t>鱼托寺</w:t>
      </w:r>
      <w:proofErr w:type="gramEnd"/>
      <w:r>
        <w:rPr>
          <w:rFonts w:hint="eastAsia"/>
          <w:bCs/>
          <w:kern w:val="2"/>
          <w:sz w:val="32"/>
          <w:szCs w:val="32"/>
        </w:rPr>
        <w:t>寺庙管理委员会</w:t>
      </w:r>
      <w:r>
        <w:rPr>
          <w:rFonts w:hint="eastAsia"/>
          <w:bCs/>
          <w:kern w:val="2"/>
          <w:sz w:val="32"/>
          <w:szCs w:val="32"/>
        </w:rPr>
        <w:t>2022</w:t>
      </w:r>
      <w:r>
        <w:rPr>
          <w:rFonts w:hint="eastAsia"/>
          <w:bCs/>
          <w:kern w:val="2"/>
          <w:sz w:val="32"/>
          <w:szCs w:val="32"/>
        </w:rPr>
        <w:t>年支出预算</w:t>
      </w:r>
      <w:r>
        <w:rPr>
          <w:rFonts w:hint="eastAsia"/>
          <w:bCs/>
          <w:kern w:val="2"/>
          <w:sz w:val="32"/>
          <w:szCs w:val="32"/>
        </w:rPr>
        <w:t>238.89</w:t>
      </w:r>
      <w:r>
        <w:rPr>
          <w:rFonts w:hAnsi="黑体" w:hint="eastAsia"/>
          <w:kern w:val="2"/>
          <w:sz w:val="32"/>
          <w:szCs w:val="32"/>
        </w:rPr>
        <w:t>万元，其中：基本支出</w:t>
      </w:r>
      <w:r>
        <w:rPr>
          <w:rFonts w:hAnsi="黑体" w:cs="Times New Roman" w:hint="eastAsia"/>
          <w:kern w:val="2"/>
          <w:sz w:val="32"/>
          <w:szCs w:val="32"/>
        </w:rPr>
        <w:t>238.89</w:t>
      </w:r>
      <w:r>
        <w:rPr>
          <w:rFonts w:hAnsi="黑体" w:hint="eastAsia"/>
          <w:kern w:val="2"/>
          <w:sz w:val="32"/>
          <w:szCs w:val="32"/>
        </w:rPr>
        <w:t>万元，占</w:t>
      </w:r>
      <w:r>
        <w:rPr>
          <w:rFonts w:hAnsi="黑体" w:cs="Times New Roman"/>
          <w:kern w:val="2"/>
          <w:sz w:val="32"/>
          <w:szCs w:val="32"/>
        </w:rPr>
        <w:t>100</w:t>
      </w:r>
      <w:r>
        <w:rPr>
          <w:rFonts w:hAnsi="黑体"/>
          <w:kern w:val="2"/>
          <w:sz w:val="32"/>
          <w:szCs w:val="32"/>
        </w:rPr>
        <w:t>%</w:t>
      </w:r>
      <w:r>
        <w:rPr>
          <w:rFonts w:hAnsi="黑体" w:hint="eastAsia"/>
          <w:kern w:val="2"/>
          <w:sz w:val="32"/>
          <w:szCs w:val="32"/>
        </w:rPr>
        <w:t>。</w:t>
      </w:r>
    </w:p>
    <w:p w:rsidR="002F4EE8" w:rsidRDefault="00A51F84">
      <w:pPr>
        <w:pStyle w:val="11"/>
        <w:spacing w:before="0" w:line="560" w:lineRule="exact"/>
        <w:outlineLvl w:val="0"/>
        <w:rPr>
          <w:rFonts w:ascii="黑体" w:eastAsia="黑体" w:hAnsi="黑体" w:cs="黑体"/>
          <w:kern w:val="2"/>
          <w:sz w:val="32"/>
          <w:szCs w:val="32"/>
        </w:rPr>
      </w:pPr>
      <w:bookmarkStart w:id="31" w:name="_Toc14015_WPSOffice_Level1"/>
      <w:r>
        <w:rPr>
          <w:rFonts w:ascii="黑体" w:eastAsia="黑体" w:hAnsi="黑体" w:cs="黑体" w:hint="eastAsia"/>
          <w:kern w:val="2"/>
          <w:sz w:val="32"/>
          <w:szCs w:val="32"/>
        </w:rPr>
        <w:t>四、</w:t>
      </w:r>
      <w:r>
        <w:rPr>
          <w:rFonts w:ascii="黑体" w:eastAsia="黑体" w:hAnsi="黑体" w:cs="黑体" w:hint="eastAsia"/>
          <w:kern w:val="2"/>
          <w:sz w:val="32"/>
          <w:szCs w:val="32"/>
        </w:rPr>
        <w:t>财政拨款收支预算情况说明</w:t>
      </w:r>
      <w:bookmarkEnd w:id="31"/>
    </w:p>
    <w:p w:rsidR="002F4EE8" w:rsidRDefault="00A51F84">
      <w:pPr>
        <w:pStyle w:val="11"/>
        <w:spacing w:before="0" w:line="560" w:lineRule="exact"/>
        <w:ind w:firstLineChars="200" w:firstLine="640"/>
        <w:rPr>
          <w:rFonts w:hAnsi="黑体"/>
          <w:kern w:val="2"/>
          <w:sz w:val="32"/>
          <w:szCs w:val="32"/>
        </w:rPr>
      </w:pPr>
      <w:r>
        <w:rPr>
          <w:rFonts w:hAnsi="黑体" w:hint="eastAsia"/>
          <w:kern w:val="2"/>
          <w:sz w:val="32"/>
          <w:szCs w:val="32"/>
        </w:rPr>
        <w:t>壤塘县</w:t>
      </w:r>
      <w:proofErr w:type="gramStart"/>
      <w:r>
        <w:rPr>
          <w:rFonts w:hAnsi="黑体" w:hint="eastAsia"/>
          <w:kern w:val="2"/>
          <w:sz w:val="32"/>
          <w:szCs w:val="32"/>
        </w:rPr>
        <w:t>鱼托寺</w:t>
      </w:r>
      <w:proofErr w:type="gramEnd"/>
      <w:r>
        <w:rPr>
          <w:rFonts w:hAnsi="黑体" w:hint="eastAsia"/>
          <w:kern w:val="2"/>
          <w:sz w:val="32"/>
          <w:szCs w:val="32"/>
        </w:rPr>
        <w:t>寺庙管理委员会</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财政拨款收支总预算</w:t>
      </w:r>
      <w:r>
        <w:rPr>
          <w:rFonts w:hAnsi="黑体" w:cs="Times New Roman" w:hint="eastAsia"/>
          <w:kern w:val="2"/>
          <w:sz w:val="32"/>
          <w:szCs w:val="32"/>
        </w:rPr>
        <w:t>238.89</w:t>
      </w:r>
      <w:r>
        <w:rPr>
          <w:rFonts w:hAnsi="黑体" w:hint="eastAsia"/>
          <w:kern w:val="2"/>
          <w:sz w:val="32"/>
          <w:szCs w:val="32"/>
        </w:rPr>
        <w:t>万元</w:t>
      </w:r>
      <w:r>
        <w:rPr>
          <w:rFonts w:hAnsi="黑体"/>
          <w:kern w:val="2"/>
          <w:sz w:val="32"/>
          <w:szCs w:val="32"/>
        </w:rPr>
        <w:t>,</w:t>
      </w:r>
      <w:r>
        <w:rPr>
          <w:rFonts w:hAnsi="黑体" w:hint="eastAsia"/>
          <w:kern w:val="2"/>
          <w:sz w:val="32"/>
          <w:szCs w:val="32"/>
        </w:rPr>
        <w:t>比</w:t>
      </w:r>
      <w:r>
        <w:rPr>
          <w:rFonts w:hAnsi="黑体"/>
          <w:kern w:val="2"/>
          <w:sz w:val="32"/>
          <w:szCs w:val="32"/>
        </w:rPr>
        <w:t>202</w:t>
      </w:r>
      <w:r>
        <w:rPr>
          <w:rFonts w:hAnsi="黑体" w:hint="eastAsia"/>
          <w:kern w:val="2"/>
          <w:sz w:val="32"/>
          <w:szCs w:val="32"/>
        </w:rPr>
        <w:t>1</w:t>
      </w:r>
      <w:r>
        <w:rPr>
          <w:rFonts w:hAnsi="黑体"/>
          <w:kern w:val="2"/>
          <w:sz w:val="32"/>
          <w:szCs w:val="32"/>
        </w:rPr>
        <w:t>年</w:t>
      </w:r>
      <w:r>
        <w:rPr>
          <w:rFonts w:hAnsi="黑体" w:hint="eastAsia"/>
          <w:kern w:val="2"/>
          <w:sz w:val="32"/>
          <w:szCs w:val="32"/>
        </w:rPr>
        <w:t>财政拨款收支总预算</w:t>
      </w:r>
      <w:r>
        <w:rPr>
          <w:rFonts w:hAnsi="黑体" w:hint="eastAsia"/>
          <w:kern w:val="2"/>
          <w:sz w:val="32"/>
          <w:szCs w:val="32"/>
        </w:rPr>
        <w:t>减少</w:t>
      </w:r>
      <w:r>
        <w:rPr>
          <w:rFonts w:hAnsi="黑体" w:hint="eastAsia"/>
          <w:kern w:val="2"/>
          <w:sz w:val="32"/>
          <w:szCs w:val="32"/>
        </w:rPr>
        <w:t>26.11</w:t>
      </w:r>
      <w:r>
        <w:rPr>
          <w:rFonts w:hAnsi="黑体" w:hint="eastAsia"/>
          <w:kern w:val="2"/>
          <w:sz w:val="32"/>
          <w:szCs w:val="32"/>
        </w:rPr>
        <w:lastRenderedPageBreak/>
        <w:t>万元，主要原因</w:t>
      </w:r>
      <w:r>
        <w:rPr>
          <w:rFonts w:hAnsi="黑体"/>
          <w:kern w:val="2"/>
          <w:sz w:val="32"/>
          <w:szCs w:val="32"/>
        </w:rPr>
        <w:t>: 202</w:t>
      </w:r>
      <w:r>
        <w:rPr>
          <w:rFonts w:hAnsi="黑体" w:hint="eastAsia"/>
          <w:kern w:val="2"/>
          <w:sz w:val="32"/>
          <w:szCs w:val="32"/>
        </w:rPr>
        <w:t>2</w:t>
      </w:r>
      <w:r>
        <w:rPr>
          <w:rFonts w:hAnsi="黑体" w:hint="eastAsia"/>
          <w:kern w:val="2"/>
          <w:sz w:val="32"/>
          <w:szCs w:val="32"/>
        </w:rPr>
        <w:t>人员经费预算</w:t>
      </w:r>
      <w:r>
        <w:rPr>
          <w:rFonts w:hAnsi="黑体" w:hint="eastAsia"/>
          <w:kern w:val="2"/>
          <w:sz w:val="32"/>
          <w:szCs w:val="32"/>
        </w:rPr>
        <w:t>减少</w:t>
      </w:r>
      <w:r>
        <w:rPr>
          <w:rFonts w:hAnsi="黑体" w:hint="eastAsia"/>
          <w:kern w:val="2"/>
          <w:sz w:val="32"/>
          <w:szCs w:val="32"/>
        </w:rPr>
        <w:t>。</w:t>
      </w:r>
    </w:p>
    <w:p w:rsidR="002F4EE8" w:rsidRDefault="00A51F84">
      <w:pPr>
        <w:pStyle w:val="11"/>
        <w:spacing w:before="0" w:line="560" w:lineRule="exact"/>
        <w:ind w:firstLineChars="196" w:firstLine="627"/>
        <w:rPr>
          <w:rFonts w:hAnsi="黑体" w:cs="Times New Roman"/>
          <w:kern w:val="2"/>
          <w:sz w:val="32"/>
          <w:szCs w:val="32"/>
        </w:rPr>
      </w:pPr>
      <w:r>
        <w:rPr>
          <w:rFonts w:hAnsi="黑体" w:hint="eastAsia"/>
          <w:kern w:val="2"/>
          <w:sz w:val="32"/>
          <w:szCs w:val="32"/>
        </w:rPr>
        <w:t>收入包括：本年一般公共预算拨款收入</w:t>
      </w:r>
      <w:r>
        <w:rPr>
          <w:rFonts w:hAnsi="黑体" w:cs="Times New Roman" w:hint="eastAsia"/>
          <w:kern w:val="2"/>
          <w:sz w:val="32"/>
          <w:szCs w:val="32"/>
        </w:rPr>
        <w:t>238.89</w:t>
      </w:r>
      <w:r>
        <w:rPr>
          <w:rFonts w:hAnsi="黑体" w:hint="eastAsia"/>
          <w:kern w:val="2"/>
          <w:sz w:val="32"/>
          <w:szCs w:val="32"/>
        </w:rPr>
        <w:t>万元。</w:t>
      </w:r>
      <w:r>
        <w:rPr>
          <w:rFonts w:hAnsi="黑体" w:cs="Times New Roman"/>
          <w:kern w:val="2"/>
          <w:sz w:val="32"/>
          <w:szCs w:val="32"/>
        </w:rPr>
        <w:t xml:space="preserve"> </w:t>
      </w:r>
    </w:p>
    <w:p w:rsidR="002F4EE8" w:rsidRDefault="00A51F84">
      <w:pPr>
        <w:pStyle w:val="11"/>
        <w:spacing w:before="0" w:line="560" w:lineRule="exact"/>
        <w:ind w:firstLineChars="196" w:firstLine="627"/>
        <w:rPr>
          <w:rFonts w:hAnsi="黑体" w:cs="Times New Roman"/>
          <w:kern w:val="2"/>
          <w:sz w:val="32"/>
          <w:szCs w:val="32"/>
        </w:rPr>
      </w:pPr>
      <w:r>
        <w:rPr>
          <w:rFonts w:hAnsi="黑体" w:hint="eastAsia"/>
          <w:kern w:val="2"/>
          <w:sz w:val="32"/>
          <w:szCs w:val="32"/>
        </w:rPr>
        <w:t>支出包括：一般公共服务支出</w:t>
      </w:r>
      <w:r>
        <w:rPr>
          <w:rFonts w:hAnsi="黑体" w:hint="eastAsia"/>
          <w:kern w:val="2"/>
          <w:sz w:val="32"/>
          <w:szCs w:val="32"/>
        </w:rPr>
        <w:t>177.60</w:t>
      </w:r>
      <w:r>
        <w:rPr>
          <w:rFonts w:hAnsi="黑体" w:hint="eastAsia"/>
          <w:kern w:val="2"/>
          <w:sz w:val="32"/>
          <w:szCs w:val="32"/>
        </w:rPr>
        <w:t>万元；社会保障和就业支出</w:t>
      </w:r>
      <w:r>
        <w:rPr>
          <w:rFonts w:hAnsi="黑体" w:hint="eastAsia"/>
          <w:kern w:val="2"/>
          <w:sz w:val="32"/>
          <w:szCs w:val="32"/>
        </w:rPr>
        <w:t>28.80</w:t>
      </w:r>
      <w:r>
        <w:rPr>
          <w:rFonts w:hAnsi="黑体" w:hint="eastAsia"/>
          <w:kern w:val="2"/>
          <w:sz w:val="32"/>
          <w:szCs w:val="32"/>
        </w:rPr>
        <w:t>万元，卫生健康支出</w:t>
      </w:r>
      <w:r>
        <w:rPr>
          <w:rFonts w:hAnsi="黑体" w:hint="eastAsia"/>
          <w:kern w:val="2"/>
          <w:sz w:val="32"/>
          <w:szCs w:val="32"/>
        </w:rPr>
        <w:t>10.41</w:t>
      </w:r>
      <w:r>
        <w:rPr>
          <w:rFonts w:hAnsi="黑体" w:hint="eastAsia"/>
          <w:kern w:val="2"/>
          <w:sz w:val="32"/>
          <w:szCs w:val="32"/>
        </w:rPr>
        <w:t>万元，住房保障支出</w:t>
      </w:r>
      <w:r>
        <w:rPr>
          <w:rFonts w:hAnsi="黑体" w:hint="eastAsia"/>
          <w:kern w:val="2"/>
          <w:sz w:val="32"/>
          <w:szCs w:val="32"/>
        </w:rPr>
        <w:t>22.09</w:t>
      </w:r>
      <w:r>
        <w:rPr>
          <w:rFonts w:hAnsi="黑体" w:hint="eastAsia"/>
          <w:kern w:val="2"/>
          <w:sz w:val="32"/>
          <w:szCs w:val="32"/>
        </w:rPr>
        <w:t>万元。</w:t>
      </w:r>
    </w:p>
    <w:p w:rsidR="002F4EE8" w:rsidRDefault="00A51F84">
      <w:pPr>
        <w:pStyle w:val="11"/>
        <w:spacing w:before="0" w:line="560" w:lineRule="exact"/>
        <w:outlineLvl w:val="0"/>
        <w:rPr>
          <w:rFonts w:ascii="??" w:eastAsia="宋体" w:hAnsi="??" w:cs="Times New Roman"/>
          <w:sz w:val="16"/>
          <w:szCs w:val="16"/>
        </w:rPr>
      </w:pPr>
      <w:bookmarkStart w:id="32" w:name="_Toc11052_WPSOffice_Level1"/>
      <w:r>
        <w:rPr>
          <w:rFonts w:ascii="黑体" w:eastAsia="黑体" w:hAnsi="黑体" w:cs="黑体" w:hint="eastAsia"/>
          <w:kern w:val="2"/>
          <w:sz w:val="32"/>
          <w:szCs w:val="32"/>
        </w:rPr>
        <w:t>五、一般公共预算当年拨款情况说明</w:t>
      </w:r>
      <w:bookmarkEnd w:id="32"/>
    </w:p>
    <w:p w:rsidR="002F4EE8" w:rsidRDefault="00A51F84">
      <w:pPr>
        <w:pStyle w:val="11"/>
        <w:spacing w:before="0" w:line="560" w:lineRule="exact"/>
        <w:ind w:firstLineChars="196" w:firstLine="630"/>
        <w:outlineLvl w:val="1"/>
        <w:rPr>
          <w:rFonts w:hAnsi="黑体" w:cs="Times New Roman"/>
          <w:kern w:val="2"/>
          <w:sz w:val="32"/>
          <w:szCs w:val="32"/>
        </w:rPr>
      </w:pPr>
      <w:bookmarkStart w:id="33" w:name="_Toc2183_WPSOffice_Level2"/>
      <w:r>
        <w:rPr>
          <w:rFonts w:ascii="楷体_GB2312" w:eastAsia="楷体_GB2312" w:hAnsi="黑体" w:cs="楷体_GB2312" w:hint="eastAsia"/>
          <w:b/>
          <w:bCs/>
          <w:kern w:val="2"/>
          <w:sz w:val="32"/>
          <w:szCs w:val="32"/>
        </w:rPr>
        <w:t>（一）一般公共预算当年拨款规模变化情况</w:t>
      </w:r>
      <w:bookmarkEnd w:id="33"/>
    </w:p>
    <w:p w:rsidR="002F4EE8" w:rsidRDefault="00A51F84">
      <w:pPr>
        <w:pStyle w:val="11"/>
        <w:spacing w:before="0" w:line="560" w:lineRule="exact"/>
        <w:ind w:firstLineChars="196" w:firstLine="627"/>
        <w:rPr>
          <w:rFonts w:hAnsi="黑体"/>
          <w:kern w:val="2"/>
          <w:sz w:val="32"/>
          <w:szCs w:val="32"/>
        </w:rPr>
      </w:pPr>
      <w:r>
        <w:rPr>
          <w:rFonts w:hAnsi="黑体" w:hint="eastAsia"/>
          <w:kern w:val="2"/>
          <w:sz w:val="32"/>
          <w:szCs w:val="32"/>
        </w:rPr>
        <w:t>壤塘县</w:t>
      </w:r>
      <w:proofErr w:type="gramStart"/>
      <w:r>
        <w:rPr>
          <w:rFonts w:hAnsi="黑体" w:hint="eastAsia"/>
          <w:kern w:val="2"/>
          <w:sz w:val="32"/>
          <w:szCs w:val="32"/>
        </w:rPr>
        <w:t>鱼托寺</w:t>
      </w:r>
      <w:proofErr w:type="gramEnd"/>
      <w:r>
        <w:rPr>
          <w:rFonts w:hAnsi="黑体" w:hint="eastAsia"/>
          <w:kern w:val="2"/>
          <w:sz w:val="32"/>
          <w:szCs w:val="32"/>
        </w:rPr>
        <w:t>寺庙管理委员会</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一般公共预算当年拨款</w:t>
      </w:r>
      <w:r>
        <w:rPr>
          <w:rFonts w:hAnsi="黑体" w:hint="eastAsia"/>
          <w:kern w:val="2"/>
          <w:sz w:val="32"/>
          <w:szCs w:val="32"/>
        </w:rPr>
        <w:t>238.89</w:t>
      </w:r>
      <w:r>
        <w:rPr>
          <w:rFonts w:hAnsi="黑体" w:hint="eastAsia"/>
          <w:kern w:val="2"/>
          <w:sz w:val="32"/>
          <w:szCs w:val="32"/>
        </w:rPr>
        <w:t>万元，比</w:t>
      </w:r>
      <w:r>
        <w:rPr>
          <w:rFonts w:hAnsi="黑体"/>
          <w:kern w:val="2"/>
          <w:sz w:val="32"/>
          <w:szCs w:val="32"/>
        </w:rPr>
        <w:t>202</w:t>
      </w:r>
      <w:r>
        <w:rPr>
          <w:rFonts w:hAnsi="黑体" w:hint="eastAsia"/>
          <w:kern w:val="2"/>
          <w:sz w:val="32"/>
          <w:szCs w:val="32"/>
        </w:rPr>
        <w:t>1</w:t>
      </w:r>
      <w:r>
        <w:rPr>
          <w:rFonts w:hAnsi="黑体"/>
          <w:kern w:val="2"/>
          <w:sz w:val="32"/>
          <w:szCs w:val="32"/>
        </w:rPr>
        <w:t>年</w:t>
      </w:r>
      <w:r>
        <w:rPr>
          <w:rFonts w:hAnsi="黑体" w:hint="eastAsia"/>
          <w:kern w:val="2"/>
          <w:sz w:val="32"/>
          <w:szCs w:val="32"/>
        </w:rPr>
        <w:t>预算数</w:t>
      </w:r>
      <w:r>
        <w:rPr>
          <w:rFonts w:hAnsi="黑体" w:hint="eastAsia"/>
          <w:kern w:val="2"/>
          <w:sz w:val="32"/>
          <w:szCs w:val="32"/>
        </w:rPr>
        <w:t>减少</w:t>
      </w:r>
      <w:r>
        <w:rPr>
          <w:rFonts w:hAnsi="黑体" w:hint="eastAsia"/>
          <w:kern w:val="2"/>
          <w:sz w:val="32"/>
          <w:szCs w:val="32"/>
        </w:rPr>
        <w:t>26.11</w:t>
      </w:r>
      <w:r>
        <w:rPr>
          <w:rFonts w:hAnsi="黑体" w:hint="eastAsia"/>
          <w:kern w:val="2"/>
          <w:sz w:val="32"/>
          <w:szCs w:val="32"/>
        </w:rPr>
        <w:t>万元，主要是基本支出</w:t>
      </w:r>
      <w:r>
        <w:rPr>
          <w:rFonts w:hAnsi="黑体" w:hint="eastAsia"/>
          <w:kern w:val="2"/>
          <w:sz w:val="32"/>
          <w:szCs w:val="32"/>
        </w:rPr>
        <w:t>减少</w:t>
      </w:r>
      <w:r>
        <w:rPr>
          <w:rFonts w:hAnsi="黑体" w:hint="eastAsia"/>
          <w:kern w:val="2"/>
          <w:sz w:val="32"/>
          <w:szCs w:val="32"/>
        </w:rPr>
        <w:t>26.11</w:t>
      </w:r>
      <w:r>
        <w:rPr>
          <w:rFonts w:hAnsi="黑体" w:hint="eastAsia"/>
          <w:kern w:val="2"/>
          <w:sz w:val="32"/>
          <w:szCs w:val="32"/>
        </w:rPr>
        <w:t>万元，主要原因</w:t>
      </w:r>
      <w:r>
        <w:rPr>
          <w:rFonts w:hAnsi="黑体"/>
          <w:kern w:val="2"/>
          <w:sz w:val="32"/>
          <w:szCs w:val="32"/>
        </w:rPr>
        <w:t>: 202</w:t>
      </w:r>
      <w:r>
        <w:rPr>
          <w:rFonts w:hAnsi="黑体" w:hint="eastAsia"/>
          <w:kern w:val="2"/>
          <w:sz w:val="32"/>
          <w:szCs w:val="32"/>
        </w:rPr>
        <w:t>2</w:t>
      </w:r>
      <w:r>
        <w:rPr>
          <w:rFonts w:hAnsi="黑体" w:hint="eastAsia"/>
          <w:kern w:val="2"/>
          <w:sz w:val="32"/>
          <w:szCs w:val="32"/>
        </w:rPr>
        <w:t>人员经费预算</w:t>
      </w:r>
      <w:r>
        <w:rPr>
          <w:rFonts w:hAnsi="黑体" w:hint="eastAsia"/>
          <w:kern w:val="2"/>
          <w:sz w:val="32"/>
          <w:szCs w:val="32"/>
        </w:rPr>
        <w:t>减少</w:t>
      </w:r>
      <w:r>
        <w:rPr>
          <w:rFonts w:hAnsi="黑体" w:hint="eastAsia"/>
          <w:kern w:val="2"/>
          <w:sz w:val="32"/>
          <w:szCs w:val="32"/>
        </w:rPr>
        <w:t>。</w:t>
      </w:r>
    </w:p>
    <w:p w:rsidR="002F4EE8" w:rsidRDefault="00A51F84" w:rsidP="002F4EE8">
      <w:pPr>
        <w:pStyle w:val="11"/>
        <w:spacing w:before="0" w:line="560" w:lineRule="exact"/>
        <w:ind w:leftChars="196" w:left="412" w:firstLineChars="100" w:firstLine="321"/>
        <w:outlineLvl w:val="1"/>
        <w:rPr>
          <w:rFonts w:ascii="楷体_GB2312" w:eastAsia="楷体_GB2312" w:hAnsi="黑体" w:cs="楷体_GB2312"/>
          <w:b/>
          <w:bCs/>
          <w:kern w:val="2"/>
          <w:sz w:val="32"/>
          <w:szCs w:val="32"/>
        </w:rPr>
      </w:pPr>
      <w:bookmarkStart w:id="34" w:name="_Toc17863_WPSOffice_Level2"/>
      <w:r>
        <w:rPr>
          <w:rFonts w:ascii="楷体_GB2312" w:eastAsia="楷体_GB2312" w:hAnsi="黑体" w:cs="楷体_GB2312" w:hint="eastAsia"/>
          <w:b/>
          <w:bCs/>
          <w:kern w:val="2"/>
          <w:sz w:val="32"/>
          <w:szCs w:val="32"/>
        </w:rPr>
        <w:t>（</w:t>
      </w:r>
      <w:r>
        <w:rPr>
          <w:rFonts w:ascii="楷体_GB2312" w:eastAsia="楷体_GB2312" w:hAnsi="黑体" w:cs="楷体_GB2312" w:hint="eastAsia"/>
          <w:b/>
          <w:bCs/>
          <w:kern w:val="2"/>
          <w:sz w:val="32"/>
          <w:szCs w:val="32"/>
        </w:rPr>
        <w:t>二</w:t>
      </w:r>
      <w:r>
        <w:rPr>
          <w:rFonts w:ascii="楷体_GB2312" w:eastAsia="楷体_GB2312" w:hAnsi="黑体" w:cs="楷体_GB2312" w:hint="eastAsia"/>
          <w:b/>
          <w:bCs/>
          <w:kern w:val="2"/>
          <w:sz w:val="32"/>
          <w:szCs w:val="32"/>
        </w:rPr>
        <w:t>）</w:t>
      </w:r>
      <w:r>
        <w:rPr>
          <w:rFonts w:ascii="楷体_GB2312" w:eastAsia="楷体_GB2312" w:hAnsi="黑体" w:cs="楷体_GB2312" w:hint="eastAsia"/>
          <w:b/>
          <w:bCs/>
          <w:kern w:val="2"/>
          <w:sz w:val="32"/>
          <w:szCs w:val="32"/>
        </w:rPr>
        <w:t>一般公共预算当年拨款结构情况</w:t>
      </w:r>
      <w:bookmarkEnd w:id="34"/>
    </w:p>
    <w:p w:rsidR="002F4EE8" w:rsidRDefault="00A51F84">
      <w:pPr>
        <w:pStyle w:val="11"/>
        <w:spacing w:before="0" w:line="560" w:lineRule="exact"/>
        <w:ind w:firstLineChars="200" w:firstLine="640"/>
        <w:rPr>
          <w:rFonts w:hAnsi="黑体"/>
          <w:kern w:val="2"/>
          <w:sz w:val="32"/>
          <w:szCs w:val="32"/>
        </w:rPr>
      </w:pPr>
      <w:r>
        <w:rPr>
          <w:rFonts w:hAnsi="黑体" w:hint="eastAsia"/>
          <w:kern w:val="2"/>
          <w:sz w:val="32"/>
          <w:szCs w:val="32"/>
        </w:rPr>
        <w:t>一般公共服务支出</w:t>
      </w:r>
      <w:r>
        <w:rPr>
          <w:rFonts w:hAnsi="黑体" w:hint="eastAsia"/>
          <w:kern w:val="2"/>
          <w:sz w:val="32"/>
          <w:szCs w:val="32"/>
        </w:rPr>
        <w:t>177.60</w:t>
      </w:r>
      <w:r>
        <w:rPr>
          <w:rFonts w:hAnsi="黑体" w:hint="eastAsia"/>
          <w:kern w:val="2"/>
          <w:sz w:val="32"/>
          <w:szCs w:val="32"/>
        </w:rPr>
        <w:t>万元</w:t>
      </w:r>
      <w:r>
        <w:rPr>
          <w:rFonts w:hAnsi="黑体" w:hint="eastAsia"/>
          <w:kern w:val="2"/>
          <w:sz w:val="32"/>
          <w:szCs w:val="32"/>
        </w:rPr>
        <w:t>，</w:t>
      </w:r>
      <w:r>
        <w:rPr>
          <w:rFonts w:hAnsi="黑体" w:hint="eastAsia"/>
          <w:kern w:val="2"/>
          <w:sz w:val="32"/>
          <w:szCs w:val="32"/>
        </w:rPr>
        <w:t>占</w:t>
      </w:r>
      <w:r>
        <w:rPr>
          <w:rFonts w:hAnsi="黑体" w:hint="eastAsia"/>
          <w:kern w:val="2"/>
          <w:sz w:val="32"/>
          <w:szCs w:val="32"/>
        </w:rPr>
        <w:t>74.34%</w:t>
      </w:r>
      <w:r>
        <w:rPr>
          <w:rFonts w:hAnsi="黑体" w:hint="eastAsia"/>
          <w:kern w:val="2"/>
          <w:sz w:val="32"/>
          <w:szCs w:val="32"/>
        </w:rPr>
        <w:t>；社会保障和就业支出</w:t>
      </w:r>
      <w:r>
        <w:rPr>
          <w:rFonts w:hAnsi="黑体" w:hint="eastAsia"/>
          <w:kern w:val="2"/>
          <w:sz w:val="32"/>
          <w:szCs w:val="32"/>
        </w:rPr>
        <w:t>28.80</w:t>
      </w:r>
      <w:r>
        <w:rPr>
          <w:rFonts w:hAnsi="黑体" w:hint="eastAsia"/>
          <w:kern w:val="2"/>
          <w:sz w:val="32"/>
          <w:szCs w:val="32"/>
        </w:rPr>
        <w:t>万元，</w:t>
      </w:r>
      <w:r>
        <w:rPr>
          <w:rFonts w:hAnsi="黑体" w:hint="eastAsia"/>
          <w:kern w:val="2"/>
          <w:sz w:val="32"/>
          <w:szCs w:val="32"/>
        </w:rPr>
        <w:t>占</w:t>
      </w:r>
      <w:r>
        <w:rPr>
          <w:rFonts w:hAnsi="黑体" w:hint="eastAsia"/>
          <w:kern w:val="2"/>
          <w:sz w:val="32"/>
          <w:szCs w:val="32"/>
        </w:rPr>
        <w:t>12.06%</w:t>
      </w:r>
      <w:r>
        <w:rPr>
          <w:rFonts w:hAnsi="黑体" w:hint="eastAsia"/>
          <w:kern w:val="2"/>
          <w:sz w:val="32"/>
          <w:szCs w:val="32"/>
        </w:rPr>
        <w:t>；</w:t>
      </w:r>
      <w:r>
        <w:rPr>
          <w:rFonts w:hAnsi="黑体" w:hint="eastAsia"/>
          <w:kern w:val="2"/>
          <w:sz w:val="32"/>
          <w:szCs w:val="32"/>
        </w:rPr>
        <w:t>卫生健康支出</w:t>
      </w:r>
      <w:r>
        <w:rPr>
          <w:rFonts w:hAnsi="黑体" w:hint="eastAsia"/>
          <w:kern w:val="2"/>
          <w:sz w:val="32"/>
          <w:szCs w:val="32"/>
        </w:rPr>
        <w:t>10.41</w:t>
      </w:r>
      <w:r>
        <w:rPr>
          <w:rFonts w:hAnsi="黑体" w:hint="eastAsia"/>
          <w:kern w:val="2"/>
          <w:sz w:val="32"/>
          <w:szCs w:val="32"/>
        </w:rPr>
        <w:t>万元，</w:t>
      </w:r>
      <w:r>
        <w:rPr>
          <w:rFonts w:hAnsi="黑体" w:hint="eastAsia"/>
          <w:kern w:val="2"/>
          <w:sz w:val="32"/>
          <w:szCs w:val="32"/>
        </w:rPr>
        <w:t>占</w:t>
      </w:r>
      <w:r>
        <w:rPr>
          <w:rFonts w:hAnsi="黑体" w:hint="eastAsia"/>
          <w:kern w:val="2"/>
          <w:sz w:val="32"/>
          <w:szCs w:val="32"/>
        </w:rPr>
        <w:t>4.36%</w:t>
      </w:r>
      <w:r>
        <w:rPr>
          <w:rFonts w:hAnsi="黑体" w:hint="eastAsia"/>
          <w:kern w:val="2"/>
          <w:sz w:val="32"/>
          <w:szCs w:val="32"/>
        </w:rPr>
        <w:t>；</w:t>
      </w:r>
      <w:r>
        <w:rPr>
          <w:rFonts w:hAnsi="黑体" w:hint="eastAsia"/>
          <w:kern w:val="2"/>
          <w:sz w:val="32"/>
          <w:szCs w:val="32"/>
        </w:rPr>
        <w:t>住房保障支出</w:t>
      </w:r>
      <w:r>
        <w:rPr>
          <w:rFonts w:hAnsi="黑体" w:hint="eastAsia"/>
          <w:kern w:val="2"/>
          <w:sz w:val="32"/>
          <w:szCs w:val="32"/>
        </w:rPr>
        <w:t>22.09</w:t>
      </w:r>
      <w:r>
        <w:rPr>
          <w:rFonts w:hAnsi="黑体" w:hint="eastAsia"/>
          <w:kern w:val="2"/>
          <w:sz w:val="32"/>
          <w:szCs w:val="32"/>
        </w:rPr>
        <w:t>万元</w:t>
      </w:r>
      <w:r>
        <w:rPr>
          <w:rFonts w:hAnsi="黑体" w:hint="eastAsia"/>
          <w:kern w:val="2"/>
          <w:sz w:val="32"/>
          <w:szCs w:val="32"/>
        </w:rPr>
        <w:t>，</w:t>
      </w:r>
      <w:r>
        <w:rPr>
          <w:rFonts w:hAnsi="黑体" w:hint="eastAsia"/>
          <w:kern w:val="2"/>
          <w:sz w:val="32"/>
          <w:szCs w:val="32"/>
        </w:rPr>
        <w:t>占</w:t>
      </w:r>
      <w:r>
        <w:rPr>
          <w:rFonts w:hAnsi="黑体" w:hint="eastAsia"/>
          <w:kern w:val="2"/>
          <w:sz w:val="32"/>
          <w:szCs w:val="32"/>
        </w:rPr>
        <w:t>9.25%</w:t>
      </w:r>
      <w:r>
        <w:rPr>
          <w:rFonts w:hAnsi="黑体" w:hint="eastAsia"/>
          <w:kern w:val="2"/>
          <w:sz w:val="32"/>
          <w:szCs w:val="32"/>
        </w:rPr>
        <w:t>。</w:t>
      </w:r>
    </w:p>
    <w:p w:rsidR="002F4EE8" w:rsidRDefault="00A51F84" w:rsidP="002F4EE8">
      <w:pPr>
        <w:pStyle w:val="11"/>
        <w:spacing w:before="0" w:line="560" w:lineRule="exact"/>
        <w:ind w:leftChars="196" w:left="412" w:firstLineChars="100" w:firstLine="321"/>
        <w:outlineLvl w:val="1"/>
        <w:rPr>
          <w:rFonts w:ascii="楷体_GB2312" w:eastAsia="楷体_GB2312" w:hAnsi="黑体" w:cs="楷体_GB2312"/>
          <w:b/>
          <w:bCs/>
          <w:kern w:val="2"/>
          <w:sz w:val="32"/>
          <w:szCs w:val="32"/>
        </w:rPr>
      </w:pPr>
      <w:bookmarkStart w:id="35" w:name="_Toc16002_WPSOffice_Level2"/>
      <w:r>
        <w:rPr>
          <w:rFonts w:ascii="楷体_GB2312" w:eastAsia="楷体_GB2312" w:hAnsi="黑体" w:cs="楷体_GB2312" w:hint="eastAsia"/>
          <w:b/>
          <w:bCs/>
          <w:kern w:val="2"/>
          <w:sz w:val="32"/>
          <w:szCs w:val="32"/>
        </w:rPr>
        <w:t>（三）一般公共预算当年拨款具体使用情况</w:t>
      </w:r>
      <w:bookmarkEnd w:id="35"/>
    </w:p>
    <w:p w:rsidR="002F4EE8" w:rsidRDefault="00A51F84">
      <w:pPr>
        <w:pStyle w:val="11"/>
        <w:spacing w:before="0" w:line="560" w:lineRule="exact"/>
        <w:ind w:firstLineChars="200" w:firstLine="640"/>
        <w:rPr>
          <w:rFonts w:hAnsi="黑体"/>
          <w:kern w:val="2"/>
          <w:sz w:val="32"/>
          <w:szCs w:val="32"/>
        </w:rPr>
      </w:pPr>
      <w:r>
        <w:rPr>
          <w:rFonts w:hAnsi="黑体" w:hint="eastAsia"/>
          <w:kern w:val="2"/>
          <w:sz w:val="32"/>
          <w:szCs w:val="32"/>
        </w:rPr>
        <w:t>1</w:t>
      </w:r>
      <w:r>
        <w:rPr>
          <w:rFonts w:hAnsi="黑体"/>
          <w:kern w:val="2"/>
          <w:sz w:val="32"/>
          <w:szCs w:val="32"/>
        </w:rPr>
        <w:t>.201</w:t>
      </w:r>
      <w:r>
        <w:rPr>
          <w:rFonts w:hAnsi="黑体" w:hint="eastAsia"/>
          <w:kern w:val="2"/>
          <w:sz w:val="32"/>
          <w:szCs w:val="32"/>
        </w:rPr>
        <w:t>（类）</w:t>
      </w:r>
      <w:r>
        <w:rPr>
          <w:rFonts w:hAnsi="黑体"/>
          <w:kern w:val="2"/>
          <w:sz w:val="32"/>
          <w:szCs w:val="32"/>
        </w:rPr>
        <w:t>23</w:t>
      </w:r>
      <w:r>
        <w:rPr>
          <w:rFonts w:hAnsi="黑体" w:hint="eastAsia"/>
          <w:kern w:val="2"/>
          <w:sz w:val="32"/>
          <w:szCs w:val="32"/>
        </w:rPr>
        <w:t>（款）</w:t>
      </w:r>
      <w:r>
        <w:rPr>
          <w:rFonts w:hAnsi="黑体"/>
          <w:kern w:val="2"/>
          <w:sz w:val="32"/>
          <w:szCs w:val="32"/>
        </w:rPr>
        <w:t>01</w:t>
      </w:r>
      <w:r>
        <w:rPr>
          <w:rFonts w:hAnsi="黑体" w:hint="eastAsia"/>
          <w:kern w:val="2"/>
          <w:sz w:val="32"/>
          <w:szCs w:val="32"/>
        </w:rPr>
        <w:t>（项）：行政运行</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预算数为</w:t>
      </w:r>
      <w:r>
        <w:rPr>
          <w:rFonts w:hAnsi="黑体" w:hint="eastAsia"/>
          <w:kern w:val="2"/>
          <w:sz w:val="32"/>
          <w:szCs w:val="32"/>
        </w:rPr>
        <w:t>177.60</w:t>
      </w:r>
      <w:r>
        <w:rPr>
          <w:rFonts w:hAnsi="黑体" w:hint="eastAsia"/>
          <w:kern w:val="2"/>
          <w:sz w:val="32"/>
          <w:szCs w:val="32"/>
        </w:rPr>
        <w:t>万元，主要用于</w:t>
      </w:r>
      <w:r>
        <w:rPr>
          <w:rFonts w:hAnsi="黑体"/>
          <w:kern w:val="2"/>
          <w:sz w:val="32"/>
          <w:szCs w:val="32"/>
        </w:rPr>
        <w:t xml:space="preserve"> :</w:t>
      </w:r>
      <w:r>
        <w:rPr>
          <w:rFonts w:hAnsi="黑体" w:hint="eastAsia"/>
          <w:kern w:val="2"/>
          <w:sz w:val="32"/>
          <w:szCs w:val="32"/>
        </w:rPr>
        <w:t>202</w:t>
      </w:r>
      <w:r>
        <w:rPr>
          <w:rFonts w:hAnsi="黑体" w:hint="eastAsia"/>
          <w:kern w:val="2"/>
          <w:sz w:val="32"/>
          <w:szCs w:val="32"/>
        </w:rPr>
        <w:t>2</w:t>
      </w:r>
      <w:r>
        <w:rPr>
          <w:rFonts w:hAnsi="黑体" w:hint="eastAsia"/>
          <w:kern w:val="2"/>
          <w:sz w:val="32"/>
          <w:szCs w:val="32"/>
        </w:rPr>
        <w:t>年单位职工工资福利支出（基本工资、津补贴、绩效工资等）、日常公用经费支出（办公费、邮电费、劳务费等）、工会经费和公务用车运行维护费。</w:t>
      </w:r>
    </w:p>
    <w:p w:rsidR="002F4EE8" w:rsidRDefault="00A51F84">
      <w:pPr>
        <w:pStyle w:val="11"/>
        <w:spacing w:before="0" w:line="560" w:lineRule="exact"/>
        <w:rPr>
          <w:rFonts w:hAnsi="黑体"/>
          <w:kern w:val="2"/>
          <w:sz w:val="32"/>
          <w:szCs w:val="32"/>
        </w:rPr>
      </w:pPr>
      <w:r>
        <w:rPr>
          <w:rFonts w:hAnsi="黑体" w:hint="eastAsia"/>
          <w:kern w:val="2"/>
          <w:sz w:val="32"/>
          <w:szCs w:val="32"/>
        </w:rPr>
        <w:t xml:space="preserve">　　</w:t>
      </w:r>
      <w:r>
        <w:rPr>
          <w:rFonts w:hAnsi="黑体" w:hint="eastAsia"/>
          <w:kern w:val="2"/>
          <w:sz w:val="32"/>
          <w:szCs w:val="32"/>
        </w:rPr>
        <w:t>2</w:t>
      </w:r>
      <w:r>
        <w:rPr>
          <w:rFonts w:hAnsi="黑体"/>
          <w:kern w:val="2"/>
          <w:sz w:val="32"/>
          <w:szCs w:val="32"/>
        </w:rPr>
        <w:t>.</w:t>
      </w:r>
      <w:r>
        <w:rPr>
          <w:rFonts w:hAnsi="黑体" w:hint="eastAsia"/>
          <w:kern w:val="2"/>
          <w:sz w:val="32"/>
          <w:szCs w:val="32"/>
        </w:rPr>
        <w:t>208</w:t>
      </w:r>
      <w:r>
        <w:rPr>
          <w:rFonts w:hAnsi="黑体" w:hint="eastAsia"/>
          <w:kern w:val="2"/>
          <w:sz w:val="32"/>
          <w:szCs w:val="32"/>
        </w:rPr>
        <w:t>（类）</w:t>
      </w:r>
      <w:r>
        <w:rPr>
          <w:rFonts w:hAnsi="黑体" w:hint="eastAsia"/>
          <w:kern w:val="2"/>
          <w:sz w:val="32"/>
          <w:szCs w:val="32"/>
        </w:rPr>
        <w:t>05</w:t>
      </w:r>
      <w:r>
        <w:rPr>
          <w:rFonts w:hAnsi="黑体" w:hint="eastAsia"/>
          <w:kern w:val="2"/>
          <w:sz w:val="32"/>
          <w:szCs w:val="32"/>
        </w:rPr>
        <w:t>（款）</w:t>
      </w:r>
      <w:r>
        <w:rPr>
          <w:rFonts w:hAnsi="黑体" w:hint="eastAsia"/>
          <w:kern w:val="2"/>
          <w:sz w:val="32"/>
          <w:szCs w:val="32"/>
        </w:rPr>
        <w:t>05</w:t>
      </w:r>
      <w:r>
        <w:rPr>
          <w:rFonts w:hAnsi="黑体" w:hint="eastAsia"/>
          <w:kern w:val="2"/>
          <w:sz w:val="32"/>
          <w:szCs w:val="32"/>
        </w:rPr>
        <w:t>（项）机关事业单位基本养老保险缴费支出</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预算数为</w:t>
      </w:r>
      <w:r>
        <w:rPr>
          <w:rFonts w:hAnsi="黑体" w:hint="eastAsia"/>
          <w:kern w:val="2"/>
          <w:sz w:val="32"/>
          <w:szCs w:val="32"/>
        </w:rPr>
        <w:t>19.2</w:t>
      </w:r>
      <w:r>
        <w:rPr>
          <w:rFonts w:hAnsi="黑体" w:hint="eastAsia"/>
          <w:kern w:val="2"/>
          <w:sz w:val="32"/>
          <w:szCs w:val="32"/>
        </w:rPr>
        <w:t>万元，主要用于</w:t>
      </w:r>
      <w:r>
        <w:rPr>
          <w:rFonts w:hAnsi="黑体"/>
          <w:kern w:val="2"/>
          <w:sz w:val="32"/>
          <w:szCs w:val="32"/>
        </w:rPr>
        <w:t xml:space="preserve"> :</w:t>
      </w:r>
      <w:r>
        <w:rPr>
          <w:rFonts w:hAnsi="黑体" w:hint="eastAsia"/>
          <w:kern w:val="2"/>
          <w:sz w:val="32"/>
          <w:szCs w:val="32"/>
        </w:rPr>
        <w:t>202</w:t>
      </w:r>
      <w:r>
        <w:rPr>
          <w:rFonts w:hAnsi="黑体" w:hint="eastAsia"/>
          <w:kern w:val="2"/>
          <w:sz w:val="32"/>
          <w:szCs w:val="32"/>
        </w:rPr>
        <w:t>2</w:t>
      </w:r>
      <w:r>
        <w:rPr>
          <w:rFonts w:hAnsi="黑体" w:hint="eastAsia"/>
          <w:kern w:val="2"/>
          <w:sz w:val="32"/>
          <w:szCs w:val="32"/>
        </w:rPr>
        <w:t>年单位养老保险支出。</w:t>
      </w:r>
    </w:p>
    <w:p w:rsidR="002F4EE8" w:rsidRDefault="00A51F84">
      <w:pPr>
        <w:pStyle w:val="11"/>
        <w:spacing w:before="0" w:line="560" w:lineRule="exact"/>
        <w:ind w:firstLineChars="196" w:firstLine="627"/>
        <w:rPr>
          <w:rFonts w:hAnsi="黑体"/>
          <w:kern w:val="2"/>
          <w:sz w:val="32"/>
          <w:szCs w:val="32"/>
        </w:rPr>
      </w:pPr>
      <w:r>
        <w:rPr>
          <w:rFonts w:hAnsi="黑体"/>
          <w:kern w:val="2"/>
          <w:sz w:val="32"/>
          <w:szCs w:val="32"/>
        </w:rPr>
        <w:lastRenderedPageBreak/>
        <w:t>3.</w:t>
      </w:r>
      <w:r>
        <w:rPr>
          <w:rFonts w:hAnsi="黑体" w:hint="eastAsia"/>
          <w:kern w:val="2"/>
          <w:sz w:val="32"/>
          <w:szCs w:val="32"/>
        </w:rPr>
        <w:t>208</w:t>
      </w:r>
      <w:r>
        <w:rPr>
          <w:rFonts w:hAnsi="黑体" w:hint="eastAsia"/>
          <w:kern w:val="2"/>
          <w:sz w:val="32"/>
          <w:szCs w:val="32"/>
        </w:rPr>
        <w:t>（类）</w:t>
      </w:r>
      <w:r>
        <w:rPr>
          <w:rFonts w:hAnsi="黑体" w:hint="eastAsia"/>
          <w:kern w:val="2"/>
          <w:sz w:val="32"/>
          <w:szCs w:val="32"/>
        </w:rPr>
        <w:t>05</w:t>
      </w:r>
      <w:r>
        <w:rPr>
          <w:rFonts w:hAnsi="黑体" w:hint="eastAsia"/>
          <w:kern w:val="2"/>
          <w:sz w:val="32"/>
          <w:szCs w:val="32"/>
        </w:rPr>
        <w:t>（款）</w:t>
      </w:r>
      <w:r>
        <w:rPr>
          <w:rFonts w:hAnsi="黑体" w:hint="eastAsia"/>
          <w:kern w:val="2"/>
          <w:sz w:val="32"/>
          <w:szCs w:val="32"/>
        </w:rPr>
        <w:t>06</w:t>
      </w:r>
      <w:r>
        <w:rPr>
          <w:rFonts w:hAnsi="黑体" w:hint="eastAsia"/>
          <w:kern w:val="2"/>
          <w:sz w:val="32"/>
          <w:szCs w:val="32"/>
        </w:rPr>
        <w:t>（项）机关事业单位职业年金缴费支出</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预算数为</w:t>
      </w:r>
      <w:r>
        <w:rPr>
          <w:rFonts w:hAnsi="黑体" w:hint="eastAsia"/>
          <w:kern w:val="2"/>
          <w:sz w:val="32"/>
          <w:szCs w:val="32"/>
        </w:rPr>
        <w:t>9.60</w:t>
      </w:r>
      <w:r>
        <w:rPr>
          <w:rFonts w:hAnsi="黑体" w:hint="eastAsia"/>
          <w:kern w:val="2"/>
          <w:sz w:val="32"/>
          <w:szCs w:val="32"/>
        </w:rPr>
        <w:t>万元，主要用于</w:t>
      </w:r>
      <w:r>
        <w:rPr>
          <w:rFonts w:hAnsi="黑体"/>
          <w:kern w:val="2"/>
          <w:sz w:val="32"/>
          <w:szCs w:val="32"/>
        </w:rPr>
        <w:t xml:space="preserve"> :</w:t>
      </w:r>
      <w:r>
        <w:rPr>
          <w:rFonts w:hAnsi="黑体" w:hint="eastAsia"/>
          <w:kern w:val="2"/>
          <w:sz w:val="32"/>
          <w:szCs w:val="32"/>
        </w:rPr>
        <w:t>202</w:t>
      </w:r>
      <w:r>
        <w:rPr>
          <w:rFonts w:hAnsi="黑体" w:hint="eastAsia"/>
          <w:kern w:val="2"/>
          <w:sz w:val="32"/>
          <w:szCs w:val="32"/>
        </w:rPr>
        <w:t>2</w:t>
      </w:r>
      <w:r>
        <w:rPr>
          <w:rFonts w:hAnsi="黑体" w:hint="eastAsia"/>
          <w:kern w:val="2"/>
          <w:sz w:val="32"/>
          <w:szCs w:val="32"/>
        </w:rPr>
        <w:t>年单位职业年金支出。</w:t>
      </w:r>
    </w:p>
    <w:p w:rsidR="002F4EE8" w:rsidRDefault="00A51F84">
      <w:pPr>
        <w:pStyle w:val="11"/>
        <w:spacing w:before="0" w:line="560" w:lineRule="exact"/>
        <w:ind w:firstLineChars="100" w:firstLine="320"/>
        <w:rPr>
          <w:rFonts w:hAnsi="黑体"/>
          <w:kern w:val="2"/>
          <w:sz w:val="32"/>
          <w:szCs w:val="32"/>
        </w:rPr>
      </w:pPr>
      <w:r>
        <w:rPr>
          <w:rFonts w:hAnsi="黑体" w:hint="eastAsia"/>
          <w:kern w:val="2"/>
          <w:sz w:val="32"/>
          <w:szCs w:val="32"/>
        </w:rPr>
        <w:t xml:space="preserve">　</w:t>
      </w:r>
      <w:r>
        <w:rPr>
          <w:rFonts w:hAnsi="黑体"/>
          <w:kern w:val="2"/>
          <w:sz w:val="32"/>
          <w:szCs w:val="32"/>
        </w:rPr>
        <w:t>4.</w:t>
      </w:r>
      <w:r>
        <w:rPr>
          <w:rFonts w:hAnsi="黑体" w:hint="eastAsia"/>
          <w:kern w:val="2"/>
          <w:sz w:val="32"/>
          <w:szCs w:val="32"/>
        </w:rPr>
        <w:t>210</w:t>
      </w:r>
      <w:r>
        <w:rPr>
          <w:rFonts w:hAnsi="黑体" w:hint="eastAsia"/>
          <w:kern w:val="2"/>
          <w:sz w:val="32"/>
          <w:szCs w:val="32"/>
        </w:rPr>
        <w:t>（类）</w:t>
      </w:r>
      <w:r>
        <w:rPr>
          <w:rFonts w:hAnsi="黑体" w:hint="eastAsia"/>
          <w:kern w:val="2"/>
          <w:sz w:val="32"/>
          <w:szCs w:val="32"/>
        </w:rPr>
        <w:t>11</w:t>
      </w:r>
      <w:r>
        <w:rPr>
          <w:rFonts w:hAnsi="黑体" w:hint="eastAsia"/>
          <w:kern w:val="2"/>
          <w:sz w:val="32"/>
          <w:szCs w:val="32"/>
        </w:rPr>
        <w:t>（款）</w:t>
      </w:r>
      <w:r>
        <w:rPr>
          <w:rFonts w:hAnsi="黑体" w:hint="eastAsia"/>
          <w:kern w:val="2"/>
          <w:sz w:val="32"/>
          <w:szCs w:val="32"/>
        </w:rPr>
        <w:t>01</w:t>
      </w:r>
      <w:r>
        <w:rPr>
          <w:rFonts w:hAnsi="黑体" w:hint="eastAsia"/>
          <w:kern w:val="2"/>
          <w:sz w:val="32"/>
          <w:szCs w:val="32"/>
        </w:rPr>
        <w:t>（项）行政单位医疗</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预算数为</w:t>
      </w:r>
      <w:r>
        <w:rPr>
          <w:rFonts w:hAnsi="黑体" w:hint="eastAsia"/>
          <w:kern w:val="2"/>
          <w:sz w:val="32"/>
          <w:szCs w:val="32"/>
        </w:rPr>
        <w:t>8.4</w:t>
      </w:r>
      <w:r>
        <w:rPr>
          <w:rFonts w:hAnsi="黑体" w:hint="eastAsia"/>
          <w:kern w:val="2"/>
          <w:sz w:val="32"/>
          <w:szCs w:val="32"/>
        </w:rPr>
        <w:t>万元，主要用于</w:t>
      </w:r>
      <w:r>
        <w:rPr>
          <w:rFonts w:hAnsi="黑体"/>
          <w:kern w:val="2"/>
          <w:sz w:val="32"/>
          <w:szCs w:val="32"/>
        </w:rPr>
        <w:t xml:space="preserve"> :</w:t>
      </w:r>
      <w:r>
        <w:rPr>
          <w:rFonts w:hAnsi="黑体" w:hint="eastAsia"/>
          <w:kern w:val="2"/>
          <w:sz w:val="32"/>
          <w:szCs w:val="32"/>
        </w:rPr>
        <w:t>202</w:t>
      </w:r>
      <w:r>
        <w:rPr>
          <w:rFonts w:hAnsi="黑体" w:hint="eastAsia"/>
          <w:kern w:val="2"/>
          <w:sz w:val="32"/>
          <w:szCs w:val="32"/>
        </w:rPr>
        <w:t>2</w:t>
      </w:r>
      <w:r>
        <w:rPr>
          <w:rFonts w:hAnsi="黑体" w:hint="eastAsia"/>
          <w:kern w:val="2"/>
          <w:sz w:val="32"/>
          <w:szCs w:val="32"/>
        </w:rPr>
        <w:t>年单位行政医疗支出。</w:t>
      </w:r>
    </w:p>
    <w:p w:rsidR="002F4EE8" w:rsidRDefault="00A51F84">
      <w:pPr>
        <w:pStyle w:val="11"/>
        <w:spacing w:before="0" w:line="560" w:lineRule="exact"/>
        <w:ind w:firstLineChars="100" w:firstLine="320"/>
        <w:rPr>
          <w:rFonts w:hAnsi="黑体"/>
          <w:kern w:val="2"/>
          <w:sz w:val="32"/>
          <w:szCs w:val="32"/>
        </w:rPr>
      </w:pPr>
      <w:r>
        <w:rPr>
          <w:rFonts w:hAnsi="黑体" w:hint="eastAsia"/>
          <w:kern w:val="2"/>
          <w:sz w:val="32"/>
          <w:szCs w:val="32"/>
        </w:rPr>
        <w:t xml:space="preserve"> </w:t>
      </w:r>
      <w:r>
        <w:rPr>
          <w:rFonts w:hAnsi="黑体"/>
          <w:kern w:val="2"/>
          <w:sz w:val="32"/>
          <w:szCs w:val="32"/>
        </w:rPr>
        <w:t xml:space="preserve"> 5.</w:t>
      </w:r>
      <w:r>
        <w:rPr>
          <w:rFonts w:hAnsi="黑体" w:hint="eastAsia"/>
          <w:kern w:val="2"/>
          <w:sz w:val="32"/>
          <w:szCs w:val="32"/>
        </w:rPr>
        <w:t>210</w:t>
      </w:r>
      <w:r>
        <w:rPr>
          <w:rFonts w:hAnsi="黑体" w:hint="eastAsia"/>
          <w:kern w:val="2"/>
          <w:sz w:val="32"/>
          <w:szCs w:val="32"/>
        </w:rPr>
        <w:t>（类）</w:t>
      </w:r>
      <w:r>
        <w:rPr>
          <w:rFonts w:hAnsi="黑体" w:hint="eastAsia"/>
          <w:kern w:val="2"/>
          <w:sz w:val="32"/>
          <w:szCs w:val="32"/>
        </w:rPr>
        <w:t>11</w:t>
      </w:r>
      <w:r>
        <w:rPr>
          <w:rFonts w:hAnsi="黑体" w:hint="eastAsia"/>
          <w:kern w:val="2"/>
          <w:sz w:val="32"/>
          <w:szCs w:val="32"/>
        </w:rPr>
        <w:t>（款）</w:t>
      </w:r>
      <w:r>
        <w:rPr>
          <w:rFonts w:hAnsi="黑体" w:hint="eastAsia"/>
          <w:kern w:val="2"/>
          <w:sz w:val="32"/>
          <w:szCs w:val="32"/>
        </w:rPr>
        <w:t>03</w:t>
      </w:r>
      <w:r>
        <w:rPr>
          <w:rFonts w:hAnsi="黑体" w:hint="eastAsia"/>
          <w:kern w:val="2"/>
          <w:sz w:val="32"/>
          <w:szCs w:val="32"/>
        </w:rPr>
        <w:t>（项）公务员医疗补助</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预算数为</w:t>
      </w:r>
      <w:r>
        <w:rPr>
          <w:rFonts w:hAnsi="黑体" w:hint="eastAsia"/>
          <w:kern w:val="2"/>
          <w:sz w:val="32"/>
          <w:szCs w:val="32"/>
        </w:rPr>
        <w:t>2.01</w:t>
      </w:r>
      <w:r>
        <w:rPr>
          <w:rFonts w:hAnsi="黑体" w:hint="eastAsia"/>
          <w:kern w:val="2"/>
          <w:sz w:val="32"/>
          <w:szCs w:val="32"/>
        </w:rPr>
        <w:t>万元，主要用于</w:t>
      </w:r>
      <w:r>
        <w:rPr>
          <w:rFonts w:hAnsi="黑体"/>
          <w:kern w:val="2"/>
          <w:sz w:val="32"/>
          <w:szCs w:val="32"/>
        </w:rPr>
        <w:t xml:space="preserve"> :</w:t>
      </w:r>
      <w:r>
        <w:rPr>
          <w:rFonts w:hAnsi="黑体" w:hint="eastAsia"/>
          <w:kern w:val="2"/>
          <w:sz w:val="32"/>
          <w:szCs w:val="32"/>
        </w:rPr>
        <w:t>202</w:t>
      </w:r>
      <w:r>
        <w:rPr>
          <w:rFonts w:hAnsi="黑体" w:hint="eastAsia"/>
          <w:kern w:val="2"/>
          <w:sz w:val="32"/>
          <w:szCs w:val="32"/>
        </w:rPr>
        <w:t>2</w:t>
      </w:r>
      <w:r>
        <w:rPr>
          <w:rFonts w:hAnsi="黑体" w:hint="eastAsia"/>
          <w:kern w:val="2"/>
          <w:sz w:val="32"/>
          <w:szCs w:val="32"/>
        </w:rPr>
        <w:t>年单位公务员医疗补助支出。</w:t>
      </w:r>
    </w:p>
    <w:p w:rsidR="002F4EE8" w:rsidRDefault="00A51F84">
      <w:pPr>
        <w:pStyle w:val="11"/>
        <w:spacing w:before="0" w:line="560" w:lineRule="exact"/>
        <w:ind w:firstLineChars="200" w:firstLine="640"/>
        <w:rPr>
          <w:rFonts w:hAnsi="黑体"/>
          <w:kern w:val="2"/>
          <w:sz w:val="32"/>
          <w:szCs w:val="32"/>
        </w:rPr>
      </w:pPr>
      <w:r>
        <w:rPr>
          <w:rFonts w:hAnsi="黑体"/>
          <w:kern w:val="2"/>
          <w:sz w:val="32"/>
          <w:szCs w:val="32"/>
        </w:rPr>
        <w:t>6.</w:t>
      </w:r>
      <w:r>
        <w:rPr>
          <w:rFonts w:hAnsi="黑体" w:hint="eastAsia"/>
          <w:kern w:val="2"/>
          <w:sz w:val="32"/>
          <w:szCs w:val="32"/>
        </w:rPr>
        <w:t>221</w:t>
      </w:r>
      <w:r>
        <w:rPr>
          <w:rFonts w:hAnsi="黑体" w:hint="eastAsia"/>
          <w:kern w:val="2"/>
          <w:sz w:val="32"/>
          <w:szCs w:val="32"/>
        </w:rPr>
        <w:t>（类）</w:t>
      </w:r>
      <w:r>
        <w:rPr>
          <w:rFonts w:hAnsi="黑体" w:hint="eastAsia"/>
          <w:kern w:val="2"/>
          <w:sz w:val="32"/>
          <w:szCs w:val="32"/>
        </w:rPr>
        <w:t>02</w:t>
      </w:r>
      <w:r>
        <w:rPr>
          <w:rFonts w:hAnsi="黑体" w:hint="eastAsia"/>
          <w:kern w:val="2"/>
          <w:sz w:val="32"/>
          <w:szCs w:val="32"/>
        </w:rPr>
        <w:t>（款）</w:t>
      </w:r>
      <w:r>
        <w:rPr>
          <w:rFonts w:hAnsi="黑体" w:hint="eastAsia"/>
          <w:kern w:val="2"/>
          <w:sz w:val="32"/>
          <w:szCs w:val="32"/>
        </w:rPr>
        <w:t>01</w:t>
      </w:r>
      <w:r>
        <w:rPr>
          <w:rFonts w:hAnsi="黑体" w:hint="eastAsia"/>
          <w:kern w:val="2"/>
          <w:sz w:val="32"/>
          <w:szCs w:val="32"/>
        </w:rPr>
        <w:t>（项）住房公积金</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预算数为</w:t>
      </w:r>
      <w:r>
        <w:rPr>
          <w:rFonts w:hAnsi="黑体"/>
          <w:kern w:val="2"/>
          <w:sz w:val="32"/>
          <w:szCs w:val="32"/>
        </w:rPr>
        <w:t>2</w:t>
      </w:r>
      <w:r>
        <w:rPr>
          <w:rFonts w:hAnsi="黑体" w:hint="eastAsia"/>
          <w:kern w:val="2"/>
          <w:sz w:val="32"/>
          <w:szCs w:val="32"/>
        </w:rPr>
        <w:t>2.09</w:t>
      </w:r>
      <w:r>
        <w:rPr>
          <w:rFonts w:hAnsi="黑体" w:hint="eastAsia"/>
          <w:kern w:val="2"/>
          <w:sz w:val="32"/>
          <w:szCs w:val="32"/>
        </w:rPr>
        <w:t>万元，主要用于</w:t>
      </w:r>
      <w:r>
        <w:rPr>
          <w:rFonts w:hAnsi="黑体"/>
          <w:kern w:val="2"/>
          <w:sz w:val="32"/>
          <w:szCs w:val="32"/>
        </w:rPr>
        <w:t xml:space="preserve"> :</w:t>
      </w:r>
      <w:r>
        <w:rPr>
          <w:rFonts w:hAnsi="黑体" w:hint="eastAsia"/>
          <w:kern w:val="2"/>
          <w:sz w:val="32"/>
          <w:szCs w:val="32"/>
        </w:rPr>
        <w:t>202</w:t>
      </w:r>
      <w:r>
        <w:rPr>
          <w:rFonts w:hAnsi="黑体" w:hint="eastAsia"/>
          <w:kern w:val="2"/>
          <w:sz w:val="32"/>
          <w:szCs w:val="32"/>
        </w:rPr>
        <w:t>2</w:t>
      </w:r>
      <w:r>
        <w:rPr>
          <w:rFonts w:hAnsi="黑体" w:hint="eastAsia"/>
          <w:kern w:val="2"/>
          <w:sz w:val="32"/>
          <w:szCs w:val="32"/>
        </w:rPr>
        <w:t>年单位住房公积金支出。</w:t>
      </w:r>
    </w:p>
    <w:p w:rsidR="002F4EE8" w:rsidRDefault="00A51F84" w:rsidP="002F4EE8">
      <w:pPr>
        <w:pStyle w:val="11"/>
        <w:spacing w:before="0" w:line="560" w:lineRule="exact"/>
        <w:ind w:firstLineChars="196" w:firstLine="314"/>
        <w:outlineLvl w:val="0"/>
        <w:rPr>
          <w:rFonts w:ascii="??" w:eastAsia="宋体" w:hAnsi="??" w:cs="Times New Roman"/>
          <w:b/>
          <w:bCs/>
          <w:sz w:val="16"/>
          <w:szCs w:val="16"/>
        </w:rPr>
      </w:pPr>
      <w:r>
        <w:rPr>
          <w:rFonts w:ascii="??" w:eastAsia="宋体" w:hAnsi="??" w:cs="宋体" w:hint="eastAsia"/>
          <w:sz w:val="16"/>
          <w:szCs w:val="16"/>
        </w:rPr>
        <w:t xml:space="preserve">　</w:t>
      </w:r>
      <w:r>
        <w:rPr>
          <w:rFonts w:ascii="??" w:eastAsia="宋体" w:hAnsi="??" w:cs="宋体" w:hint="eastAsia"/>
          <w:b/>
          <w:bCs/>
          <w:sz w:val="16"/>
          <w:szCs w:val="16"/>
        </w:rPr>
        <w:t xml:space="preserve">　</w:t>
      </w:r>
      <w:r>
        <w:rPr>
          <w:rFonts w:ascii="??" w:eastAsia="宋体" w:hAnsi="??" w:cs="??"/>
          <w:b/>
          <w:bCs/>
          <w:sz w:val="16"/>
          <w:szCs w:val="16"/>
        </w:rPr>
        <w:t xml:space="preserve">    </w:t>
      </w:r>
      <w:bookmarkStart w:id="36" w:name="_Toc2183_WPSOffice_Level1"/>
      <w:r>
        <w:rPr>
          <w:rFonts w:ascii="黑体" w:eastAsia="黑体" w:hAnsi="黑体" w:cs="黑体" w:hint="eastAsia"/>
          <w:kern w:val="2"/>
          <w:sz w:val="32"/>
          <w:szCs w:val="32"/>
        </w:rPr>
        <w:t>六、一般公共预算基本支出情况说明</w:t>
      </w:r>
      <w:bookmarkEnd w:id="36"/>
    </w:p>
    <w:p w:rsidR="002F4EE8" w:rsidRDefault="00A51F84">
      <w:pPr>
        <w:pStyle w:val="11"/>
        <w:spacing w:before="0" w:line="560" w:lineRule="exact"/>
        <w:ind w:firstLineChars="200" w:firstLine="640"/>
        <w:rPr>
          <w:rFonts w:hAnsi="黑体" w:cs="Times New Roman"/>
          <w:kern w:val="2"/>
          <w:sz w:val="32"/>
          <w:szCs w:val="32"/>
        </w:rPr>
      </w:pPr>
      <w:r>
        <w:rPr>
          <w:rFonts w:hAnsi="黑体" w:hint="eastAsia"/>
          <w:kern w:val="2"/>
          <w:sz w:val="32"/>
          <w:szCs w:val="32"/>
        </w:rPr>
        <w:t>壤塘县</w:t>
      </w:r>
      <w:proofErr w:type="gramStart"/>
      <w:r>
        <w:rPr>
          <w:rFonts w:hAnsi="黑体" w:hint="eastAsia"/>
          <w:kern w:val="2"/>
          <w:sz w:val="32"/>
          <w:szCs w:val="32"/>
        </w:rPr>
        <w:t>鱼托寺</w:t>
      </w:r>
      <w:proofErr w:type="gramEnd"/>
      <w:r>
        <w:rPr>
          <w:rFonts w:hAnsi="黑体" w:hint="eastAsia"/>
          <w:kern w:val="2"/>
          <w:sz w:val="32"/>
          <w:szCs w:val="32"/>
        </w:rPr>
        <w:t>寺庙管理委员会</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一般公共预算基本支出</w:t>
      </w:r>
      <w:r>
        <w:rPr>
          <w:rFonts w:hAnsi="黑体" w:hint="eastAsia"/>
          <w:kern w:val="2"/>
          <w:sz w:val="32"/>
          <w:szCs w:val="32"/>
        </w:rPr>
        <w:t>238.89</w:t>
      </w:r>
      <w:r>
        <w:rPr>
          <w:rFonts w:hAnsi="黑体" w:hint="eastAsia"/>
          <w:kern w:val="2"/>
          <w:sz w:val="32"/>
          <w:szCs w:val="32"/>
        </w:rPr>
        <w:t>万元，其中：人员经费</w:t>
      </w:r>
      <w:r>
        <w:rPr>
          <w:rFonts w:hAnsi="黑体" w:hint="eastAsia"/>
          <w:kern w:val="2"/>
          <w:sz w:val="32"/>
          <w:szCs w:val="32"/>
        </w:rPr>
        <w:t>204.94</w:t>
      </w:r>
      <w:r>
        <w:rPr>
          <w:rFonts w:hAnsi="黑体" w:hint="eastAsia"/>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Ansi="黑体"/>
          <w:kern w:val="2"/>
          <w:sz w:val="32"/>
          <w:szCs w:val="32"/>
        </w:rPr>
        <w:t>3</w:t>
      </w:r>
      <w:r>
        <w:rPr>
          <w:rFonts w:hAnsi="黑体" w:hint="eastAsia"/>
          <w:kern w:val="2"/>
          <w:sz w:val="32"/>
          <w:szCs w:val="32"/>
        </w:rPr>
        <w:t>3.95</w:t>
      </w:r>
      <w:r>
        <w:rPr>
          <w:rFonts w:hAnsi="黑体" w:hint="eastAsia"/>
          <w:kern w:val="2"/>
          <w:sz w:val="32"/>
          <w:szCs w:val="32"/>
        </w:rPr>
        <w:t>万元，主要包括：办公费、印刷费、手续费、水费、电费、邮电费、差旅费、维修（护）费、租赁费、会议费、培训费、劳务费、工会经费、福利费、其他交通工具运行维护费、其他商品和服务支出。</w:t>
      </w:r>
    </w:p>
    <w:p w:rsidR="002F4EE8" w:rsidRDefault="00A51F84">
      <w:pPr>
        <w:pStyle w:val="11"/>
        <w:spacing w:before="0" w:line="560" w:lineRule="exact"/>
        <w:ind w:firstLineChars="200" w:firstLine="640"/>
        <w:outlineLvl w:val="0"/>
        <w:rPr>
          <w:rFonts w:ascii="??" w:eastAsia="宋体" w:hAnsi="??" w:cs="Times New Roman"/>
          <w:sz w:val="16"/>
          <w:szCs w:val="16"/>
        </w:rPr>
      </w:pPr>
      <w:bookmarkStart w:id="37" w:name="_Toc17863_WPSOffice_Level1"/>
      <w:r>
        <w:rPr>
          <w:rFonts w:ascii="黑体" w:eastAsia="黑体" w:hAnsi="黑体" w:cs="黑体" w:hint="eastAsia"/>
          <w:kern w:val="2"/>
          <w:sz w:val="32"/>
          <w:szCs w:val="32"/>
        </w:rPr>
        <w:t>七、</w:t>
      </w:r>
      <w:r>
        <w:rPr>
          <w:rFonts w:ascii="黑体" w:eastAsia="黑体" w:hAnsi="黑体" w:cs="Times New Roman"/>
          <w:kern w:val="2"/>
          <w:sz w:val="32"/>
          <w:szCs w:val="32"/>
        </w:rPr>
        <w:t>“</w:t>
      </w:r>
      <w:r>
        <w:rPr>
          <w:rFonts w:ascii="黑体" w:eastAsia="黑体" w:hAnsi="黑体" w:cs="黑体" w:hint="eastAsia"/>
          <w:kern w:val="2"/>
          <w:sz w:val="32"/>
          <w:szCs w:val="32"/>
        </w:rPr>
        <w:t>三公</w:t>
      </w:r>
      <w:r>
        <w:rPr>
          <w:rFonts w:ascii="黑体" w:eastAsia="黑体" w:hAnsi="黑体" w:cs="Times New Roman"/>
          <w:kern w:val="2"/>
          <w:sz w:val="32"/>
          <w:szCs w:val="32"/>
        </w:rPr>
        <w:t>”</w:t>
      </w:r>
      <w:r>
        <w:rPr>
          <w:rFonts w:ascii="黑体" w:eastAsia="黑体" w:hAnsi="黑体" w:cs="黑体" w:hint="eastAsia"/>
          <w:kern w:val="2"/>
          <w:sz w:val="32"/>
          <w:szCs w:val="32"/>
        </w:rPr>
        <w:t>经费财政拨款预算安排情况说明</w:t>
      </w:r>
      <w:bookmarkEnd w:id="37"/>
    </w:p>
    <w:p w:rsidR="002F4EE8" w:rsidRDefault="00A51F84">
      <w:pPr>
        <w:pStyle w:val="11"/>
        <w:spacing w:before="0" w:line="560" w:lineRule="exact"/>
        <w:ind w:firstLineChars="200" w:firstLine="640"/>
        <w:rPr>
          <w:rFonts w:hAnsi="黑体"/>
          <w:kern w:val="2"/>
          <w:sz w:val="32"/>
          <w:szCs w:val="32"/>
        </w:rPr>
      </w:pPr>
      <w:r>
        <w:rPr>
          <w:rFonts w:hAnsi="黑体" w:hint="eastAsia"/>
          <w:kern w:val="2"/>
          <w:sz w:val="32"/>
          <w:szCs w:val="32"/>
        </w:rPr>
        <w:t>壤塘县</w:t>
      </w:r>
      <w:proofErr w:type="gramStart"/>
      <w:r>
        <w:rPr>
          <w:rFonts w:hAnsi="黑体" w:hint="eastAsia"/>
          <w:kern w:val="2"/>
          <w:sz w:val="32"/>
          <w:szCs w:val="32"/>
        </w:rPr>
        <w:t>鱼托寺</w:t>
      </w:r>
      <w:proofErr w:type="gramEnd"/>
      <w:r>
        <w:rPr>
          <w:rFonts w:hAnsi="黑体" w:hint="eastAsia"/>
          <w:kern w:val="2"/>
          <w:sz w:val="32"/>
          <w:szCs w:val="32"/>
        </w:rPr>
        <w:t>寺庙管理委</w:t>
      </w:r>
      <w:r>
        <w:rPr>
          <w:rFonts w:hAnsi="黑体" w:hint="eastAsia"/>
          <w:kern w:val="2"/>
          <w:sz w:val="32"/>
          <w:szCs w:val="32"/>
        </w:rPr>
        <w:t>员会</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cs="Times New Roman"/>
          <w:kern w:val="2"/>
          <w:sz w:val="32"/>
          <w:szCs w:val="32"/>
        </w:rPr>
        <w:t>“</w:t>
      </w:r>
      <w:r>
        <w:rPr>
          <w:rFonts w:hAnsi="黑体" w:hint="eastAsia"/>
          <w:kern w:val="2"/>
          <w:sz w:val="32"/>
          <w:szCs w:val="32"/>
        </w:rPr>
        <w:t>三公</w:t>
      </w:r>
      <w:r>
        <w:rPr>
          <w:rFonts w:hAnsi="黑体" w:cs="Times New Roman"/>
          <w:kern w:val="2"/>
          <w:sz w:val="32"/>
          <w:szCs w:val="32"/>
        </w:rPr>
        <w:t>”</w:t>
      </w:r>
      <w:r>
        <w:rPr>
          <w:rFonts w:hAnsi="黑体" w:hint="eastAsia"/>
          <w:kern w:val="2"/>
          <w:sz w:val="32"/>
          <w:szCs w:val="32"/>
        </w:rPr>
        <w:t>经费财政拨款预算数</w:t>
      </w:r>
      <w:r>
        <w:rPr>
          <w:rFonts w:hAnsi="黑体" w:hint="eastAsia"/>
          <w:kern w:val="2"/>
          <w:sz w:val="32"/>
          <w:szCs w:val="32"/>
        </w:rPr>
        <w:t>7</w:t>
      </w:r>
      <w:r>
        <w:rPr>
          <w:rFonts w:hAnsi="黑体" w:hint="eastAsia"/>
          <w:kern w:val="2"/>
          <w:sz w:val="32"/>
          <w:szCs w:val="32"/>
        </w:rPr>
        <w:t>万元，其中：公务用车购置及运行维护费</w:t>
      </w:r>
      <w:r>
        <w:rPr>
          <w:rFonts w:hAnsi="黑体" w:hint="eastAsia"/>
          <w:kern w:val="2"/>
          <w:sz w:val="32"/>
          <w:szCs w:val="32"/>
        </w:rPr>
        <w:t>7</w:t>
      </w:r>
      <w:r>
        <w:rPr>
          <w:rFonts w:hAnsi="黑体" w:hint="eastAsia"/>
          <w:kern w:val="2"/>
          <w:sz w:val="32"/>
          <w:szCs w:val="32"/>
        </w:rPr>
        <w:t>万元。</w:t>
      </w:r>
    </w:p>
    <w:p w:rsidR="002F4EE8" w:rsidRDefault="00A51F84">
      <w:pPr>
        <w:pStyle w:val="11"/>
        <w:numPr>
          <w:ilvl w:val="0"/>
          <w:numId w:val="2"/>
        </w:numPr>
        <w:spacing w:before="0" w:line="560" w:lineRule="exact"/>
        <w:ind w:firstLineChars="200" w:firstLine="640"/>
        <w:outlineLvl w:val="0"/>
        <w:rPr>
          <w:rFonts w:ascii="黑体" w:eastAsia="黑体" w:hAnsi="黑体" w:cs="黑体"/>
          <w:kern w:val="2"/>
          <w:sz w:val="32"/>
          <w:szCs w:val="32"/>
        </w:rPr>
      </w:pPr>
      <w:bookmarkStart w:id="38" w:name="_Toc16002_WPSOffice_Level1"/>
      <w:r>
        <w:rPr>
          <w:rFonts w:ascii="黑体" w:eastAsia="黑体" w:hAnsi="黑体" w:cs="黑体" w:hint="eastAsia"/>
          <w:kern w:val="2"/>
          <w:sz w:val="32"/>
          <w:szCs w:val="32"/>
        </w:rPr>
        <w:lastRenderedPageBreak/>
        <w:t>政府性基金预算支出情况说明</w:t>
      </w:r>
      <w:bookmarkEnd w:id="38"/>
    </w:p>
    <w:p w:rsidR="002F4EE8" w:rsidRDefault="00A51F84">
      <w:pPr>
        <w:pStyle w:val="11"/>
        <w:spacing w:before="0" w:line="560" w:lineRule="exact"/>
        <w:ind w:firstLineChars="200" w:firstLine="640"/>
        <w:rPr>
          <w:rFonts w:hAnsi="黑体"/>
          <w:kern w:val="2"/>
          <w:sz w:val="32"/>
          <w:szCs w:val="32"/>
        </w:rPr>
      </w:pPr>
      <w:r>
        <w:rPr>
          <w:rFonts w:hAnsi="黑体" w:hint="eastAsia"/>
          <w:kern w:val="2"/>
          <w:sz w:val="32"/>
          <w:szCs w:val="32"/>
        </w:rPr>
        <w:t>壤塘县</w:t>
      </w:r>
      <w:proofErr w:type="gramStart"/>
      <w:r>
        <w:rPr>
          <w:rFonts w:hAnsi="黑体" w:hint="eastAsia"/>
          <w:kern w:val="2"/>
          <w:sz w:val="32"/>
          <w:szCs w:val="32"/>
        </w:rPr>
        <w:t>鱼托寺</w:t>
      </w:r>
      <w:proofErr w:type="gramEnd"/>
      <w:r>
        <w:rPr>
          <w:rFonts w:hAnsi="黑体" w:hint="eastAsia"/>
          <w:kern w:val="2"/>
          <w:sz w:val="32"/>
          <w:szCs w:val="32"/>
        </w:rPr>
        <w:t>寺庙管理委员会</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无政府性基金预算拨款。</w:t>
      </w:r>
    </w:p>
    <w:p w:rsidR="002F4EE8" w:rsidRDefault="00A51F84">
      <w:pPr>
        <w:pStyle w:val="11"/>
        <w:numPr>
          <w:ilvl w:val="0"/>
          <w:numId w:val="2"/>
        </w:numPr>
        <w:spacing w:before="0" w:line="560" w:lineRule="exact"/>
        <w:ind w:firstLineChars="200" w:firstLine="640"/>
        <w:outlineLvl w:val="0"/>
        <w:rPr>
          <w:rFonts w:ascii="黑体" w:eastAsia="黑体" w:hAnsi="黑体" w:cs="黑体"/>
          <w:kern w:val="2"/>
          <w:sz w:val="32"/>
          <w:szCs w:val="32"/>
        </w:rPr>
      </w:pPr>
      <w:bookmarkStart w:id="39" w:name="_Toc29069_WPSOffice_Level1"/>
      <w:r>
        <w:rPr>
          <w:rFonts w:ascii="黑体" w:eastAsia="黑体" w:hAnsi="黑体" w:cs="黑体" w:hint="eastAsia"/>
          <w:kern w:val="2"/>
          <w:sz w:val="32"/>
          <w:szCs w:val="32"/>
        </w:rPr>
        <w:t>其他重要事项的情况说明</w:t>
      </w:r>
      <w:bookmarkEnd w:id="39"/>
    </w:p>
    <w:p w:rsidR="002F4EE8" w:rsidRDefault="00A51F84">
      <w:pPr>
        <w:pStyle w:val="11"/>
        <w:numPr>
          <w:ilvl w:val="0"/>
          <w:numId w:val="3"/>
        </w:numPr>
        <w:spacing w:before="0" w:line="560" w:lineRule="exact"/>
        <w:outlineLvl w:val="1"/>
        <w:rPr>
          <w:rFonts w:ascii="楷体_GB2312" w:eastAsia="楷体_GB2312" w:hAnsi="黑体" w:cs="楷体_GB2312"/>
          <w:b/>
          <w:bCs/>
          <w:kern w:val="2"/>
          <w:sz w:val="32"/>
          <w:szCs w:val="32"/>
        </w:rPr>
      </w:pPr>
      <w:bookmarkStart w:id="40" w:name="_Toc29069_WPSOffice_Level2"/>
      <w:r>
        <w:rPr>
          <w:rFonts w:ascii="楷体_GB2312" w:eastAsia="楷体_GB2312" w:hAnsi="黑体" w:cs="楷体_GB2312" w:hint="eastAsia"/>
          <w:b/>
          <w:bCs/>
          <w:kern w:val="2"/>
          <w:sz w:val="32"/>
          <w:szCs w:val="32"/>
        </w:rPr>
        <w:t>机关运行经费</w:t>
      </w:r>
      <w:bookmarkEnd w:id="40"/>
    </w:p>
    <w:p w:rsidR="002F4EE8" w:rsidRDefault="00A51F84">
      <w:pPr>
        <w:pStyle w:val="11"/>
        <w:spacing w:before="0" w:line="560" w:lineRule="exact"/>
        <w:ind w:left="160"/>
        <w:rPr>
          <w:rFonts w:hAnsi="黑体"/>
          <w:kern w:val="2"/>
          <w:sz w:val="32"/>
          <w:szCs w:val="32"/>
        </w:rPr>
      </w:pPr>
      <w:r>
        <w:rPr>
          <w:rFonts w:hAnsi="黑体" w:hint="eastAsia"/>
          <w:kern w:val="2"/>
          <w:sz w:val="32"/>
          <w:szCs w:val="32"/>
        </w:rPr>
        <w:t xml:space="preserve">    </w:t>
      </w:r>
      <w:r>
        <w:rPr>
          <w:rFonts w:hAnsi="黑体" w:hint="eastAsia"/>
          <w:kern w:val="2"/>
          <w:sz w:val="32"/>
          <w:szCs w:val="32"/>
        </w:rPr>
        <w:t>壤塘县</w:t>
      </w:r>
      <w:proofErr w:type="gramStart"/>
      <w:r>
        <w:rPr>
          <w:rFonts w:hAnsi="黑体" w:hint="eastAsia"/>
          <w:kern w:val="2"/>
          <w:sz w:val="32"/>
          <w:szCs w:val="32"/>
        </w:rPr>
        <w:t>鱼托寺</w:t>
      </w:r>
      <w:proofErr w:type="gramEnd"/>
      <w:r>
        <w:rPr>
          <w:rFonts w:hAnsi="黑体" w:hint="eastAsia"/>
          <w:kern w:val="2"/>
          <w:sz w:val="32"/>
          <w:szCs w:val="32"/>
        </w:rPr>
        <w:t>寺庙管理委员会</w:t>
      </w: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机关运行经费财政拨款预算为</w:t>
      </w:r>
      <w:r>
        <w:rPr>
          <w:rFonts w:hAnsi="黑体" w:hint="eastAsia"/>
          <w:kern w:val="2"/>
          <w:sz w:val="32"/>
          <w:szCs w:val="32"/>
        </w:rPr>
        <w:t>33.95</w:t>
      </w:r>
      <w:r>
        <w:rPr>
          <w:rFonts w:hAnsi="黑体" w:hint="eastAsia"/>
          <w:kern w:val="2"/>
          <w:sz w:val="32"/>
          <w:szCs w:val="32"/>
        </w:rPr>
        <w:t>万元，比</w:t>
      </w:r>
      <w:r>
        <w:rPr>
          <w:rFonts w:hAnsi="黑体"/>
          <w:kern w:val="2"/>
          <w:sz w:val="32"/>
          <w:szCs w:val="32"/>
        </w:rPr>
        <w:t>2020</w:t>
      </w:r>
      <w:r>
        <w:rPr>
          <w:rFonts w:hAnsi="黑体"/>
          <w:kern w:val="2"/>
          <w:sz w:val="32"/>
          <w:szCs w:val="32"/>
        </w:rPr>
        <w:t>年</w:t>
      </w:r>
      <w:r>
        <w:rPr>
          <w:rFonts w:hAnsi="黑体" w:hint="eastAsia"/>
          <w:kern w:val="2"/>
          <w:sz w:val="32"/>
          <w:szCs w:val="32"/>
        </w:rPr>
        <w:t>预算</w:t>
      </w:r>
      <w:r>
        <w:rPr>
          <w:rFonts w:hAnsi="黑体" w:hint="eastAsia"/>
          <w:kern w:val="2"/>
          <w:sz w:val="32"/>
          <w:szCs w:val="32"/>
        </w:rPr>
        <w:t>下降</w:t>
      </w:r>
      <w:r>
        <w:rPr>
          <w:rFonts w:hAnsi="黑体" w:hint="eastAsia"/>
          <w:kern w:val="2"/>
          <w:sz w:val="32"/>
          <w:szCs w:val="32"/>
        </w:rPr>
        <w:t>3.05</w:t>
      </w:r>
      <w:r>
        <w:rPr>
          <w:rFonts w:hAnsi="黑体" w:hint="eastAsia"/>
          <w:kern w:val="2"/>
          <w:sz w:val="32"/>
          <w:szCs w:val="32"/>
        </w:rPr>
        <w:t>万元，</w:t>
      </w:r>
      <w:r>
        <w:rPr>
          <w:rFonts w:hAnsi="黑体" w:hint="eastAsia"/>
          <w:kern w:val="2"/>
          <w:sz w:val="32"/>
          <w:szCs w:val="32"/>
        </w:rPr>
        <w:t>降低</w:t>
      </w:r>
      <w:r>
        <w:rPr>
          <w:rFonts w:hAnsi="黑体" w:hint="eastAsia"/>
          <w:kern w:val="2"/>
          <w:sz w:val="32"/>
          <w:szCs w:val="32"/>
        </w:rPr>
        <w:t>8.24%</w:t>
      </w:r>
      <w:r>
        <w:rPr>
          <w:rFonts w:hAnsi="黑体" w:hint="eastAsia"/>
          <w:kern w:val="2"/>
          <w:sz w:val="32"/>
          <w:szCs w:val="32"/>
        </w:rPr>
        <w:t>。</w:t>
      </w:r>
    </w:p>
    <w:p w:rsidR="002F4EE8" w:rsidRDefault="00A51F84">
      <w:pPr>
        <w:pStyle w:val="11"/>
        <w:spacing w:before="0" w:line="560" w:lineRule="exact"/>
        <w:ind w:left="160"/>
        <w:outlineLvl w:val="1"/>
        <w:rPr>
          <w:rFonts w:hAnsi="黑体" w:cs="Times New Roman"/>
          <w:kern w:val="2"/>
          <w:sz w:val="32"/>
          <w:szCs w:val="32"/>
        </w:rPr>
      </w:pPr>
      <w:bookmarkStart w:id="41" w:name="_Toc13481_WPSOffice_Level2"/>
      <w:r>
        <w:rPr>
          <w:rFonts w:ascii="楷体_GB2312" w:eastAsia="楷体_GB2312" w:hAnsi="黑体" w:cs="楷体_GB2312" w:hint="eastAsia"/>
          <w:b/>
          <w:bCs/>
          <w:kern w:val="2"/>
          <w:sz w:val="32"/>
          <w:szCs w:val="32"/>
        </w:rPr>
        <w:t>（二）政府采购情况</w:t>
      </w:r>
      <w:bookmarkEnd w:id="41"/>
    </w:p>
    <w:p w:rsidR="002F4EE8" w:rsidRDefault="00A51F84">
      <w:pPr>
        <w:pStyle w:val="11"/>
        <w:spacing w:before="0" w:line="560" w:lineRule="exact"/>
        <w:ind w:firstLineChars="200" w:firstLine="640"/>
        <w:rPr>
          <w:rFonts w:hAnsi="黑体"/>
          <w:kern w:val="2"/>
          <w:sz w:val="32"/>
          <w:szCs w:val="32"/>
        </w:rPr>
      </w:pP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壤塘县</w:t>
      </w:r>
      <w:proofErr w:type="gramStart"/>
      <w:r>
        <w:rPr>
          <w:rFonts w:hAnsi="黑体" w:hint="eastAsia"/>
          <w:kern w:val="2"/>
          <w:sz w:val="32"/>
          <w:szCs w:val="32"/>
        </w:rPr>
        <w:t>鱼托寺</w:t>
      </w:r>
      <w:proofErr w:type="gramEnd"/>
      <w:r>
        <w:rPr>
          <w:rFonts w:hAnsi="黑体" w:hint="eastAsia"/>
          <w:kern w:val="2"/>
          <w:sz w:val="32"/>
          <w:szCs w:val="32"/>
        </w:rPr>
        <w:t>寺庙管理委员会未安排政府采购预算。</w:t>
      </w:r>
    </w:p>
    <w:p w:rsidR="002F4EE8" w:rsidRDefault="00A51F84">
      <w:pPr>
        <w:pStyle w:val="11"/>
        <w:spacing w:before="0" w:line="560" w:lineRule="exact"/>
        <w:ind w:firstLineChars="100" w:firstLine="321"/>
        <w:outlineLvl w:val="1"/>
        <w:rPr>
          <w:rFonts w:ascii="楷体_GB2312" w:eastAsia="楷体_GB2312" w:hAnsi="黑体" w:cs="楷体_GB2312"/>
          <w:b/>
          <w:bCs/>
          <w:kern w:val="2"/>
          <w:sz w:val="32"/>
          <w:szCs w:val="32"/>
        </w:rPr>
      </w:pPr>
      <w:bookmarkStart w:id="42" w:name="_Toc31442_WPSOffice_Level2"/>
      <w:r>
        <w:rPr>
          <w:rFonts w:ascii="楷体_GB2312" w:eastAsia="楷体_GB2312" w:hAnsi="黑体" w:cs="楷体_GB2312" w:hint="eastAsia"/>
          <w:b/>
          <w:bCs/>
          <w:kern w:val="2"/>
          <w:sz w:val="32"/>
          <w:szCs w:val="32"/>
        </w:rPr>
        <w:t>（三）国有资产占有使用情况</w:t>
      </w:r>
      <w:bookmarkEnd w:id="42"/>
    </w:p>
    <w:p w:rsidR="002F4EE8" w:rsidRDefault="00A51F84">
      <w:pPr>
        <w:pStyle w:val="11"/>
        <w:spacing w:before="0" w:line="560" w:lineRule="exact"/>
        <w:ind w:firstLineChars="200" w:firstLine="643"/>
        <w:rPr>
          <w:rFonts w:ascii="楷体_GB2312" w:eastAsia="楷体_GB2312" w:hAnsi="黑体" w:cs="楷体_GB2312"/>
          <w:b/>
          <w:bCs/>
          <w:kern w:val="2"/>
          <w:sz w:val="32"/>
          <w:szCs w:val="32"/>
        </w:rPr>
      </w:pPr>
      <w:bookmarkStart w:id="43" w:name="_Toc8451_WPSOffice_Level3"/>
      <w:r>
        <w:rPr>
          <w:rFonts w:ascii="楷体_GB2312" w:eastAsia="楷体_GB2312" w:hAnsi="黑体" w:cs="楷体_GB2312" w:hint="eastAsia"/>
          <w:b/>
          <w:bCs/>
          <w:kern w:val="2"/>
          <w:sz w:val="32"/>
          <w:szCs w:val="32"/>
        </w:rPr>
        <w:t>无</w:t>
      </w:r>
      <w:bookmarkEnd w:id="43"/>
    </w:p>
    <w:p w:rsidR="002F4EE8" w:rsidRDefault="00A51F84">
      <w:pPr>
        <w:pStyle w:val="11"/>
        <w:numPr>
          <w:ilvl w:val="0"/>
          <w:numId w:val="4"/>
        </w:numPr>
        <w:spacing w:before="0" w:line="560" w:lineRule="exact"/>
        <w:ind w:firstLineChars="196" w:firstLine="630"/>
        <w:outlineLvl w:val="1"/>
        <w:rPr>
          <w:rFonts w:ascii="楷体_GB2312" w:eastAsia="楷体_GB2312" w:hAnsi="黑体" w:cs="楷体_GB2312"/>
          <w:b/>
          <w:bCs/>
          <w:kern w:val="2"/>
          <w:sz w:val="32"/>
          <w:szCs w:val="32"/>
        </w:rPr>
      </w:pPr>
      <w:bookmarkStart w:id="44" w:name="_Toc19787_WPSOffice_Level2"/>
      <w:r>
        <w:rPr>
          <w:rFonts w:ascii="楷体_GB2312" w:eastAsia="楷体_GB2312" w:hAnsi="黑体" w:cs="楷体_GB2312" w:hint="eastAsia"/>
          <w:b/>
          <w:bCs/>
          <w:kern w:val="2"/>
          <w:sz w:val="32"/>
          <w:szCs w:val="32"/>
        </w:rPr>
        <w:t>绩效目标设置情况</w:t>
      </w:r>
      <w:bookmarkEnd w:id="44"/>
    </w:p>
    <w:p w:rsidR="002F4EE8" w:rsidRDefault="00A51F84">
      <w:pPr>
        <w:pStyle w:val="11"/>
        <w:spacing w:before="0" w:line="560" w:lineRule="exact"/>
        <w:ind w:firstLineChars="200" w:firstLine="640"/>
        <w:rPr>
          <w:rFonts w:ascii="楷体_GB2312" w:eastAsia="楷体_GB2312" w:hAnsi="黑体" w:cs="楷体_GB2312"/>
          <w:b/>
          <w:bCs/>
          <w:kern w:val="2"/>
          <w:sz w:val="32"/>
          <w:szCs w:val="32"/>
        </w:rPr>
      </w:pPr>
      <w:r>
        <w:rPr>
          <w:rFonts w:hAnsi="黑体"/>
          <w:kern w:val="2"/>
          <w:sz w:val="32"/>
          <w:szCs w:val="32"/>
        </w:rPr>
        <w:t>202</w:t>
      </w:r>
      <w:r>
        <w:rPr>
          <w:rFonts w:hAnsi="黑体" w:hint="eastAsia"/>
          <w:kern w:val="2"/>
          <w:sz w:val="32"/>
          <w:szCs w:val="32"/>
        </w:rPr>
        <w:t>2</w:t>
      </w:r>
      <w:r>
        <w:rPr>
          <w:rFonts w:hAnsi="黑体"/>
          <w:kern w:val="2"/>
          <w:sz w:val="32"/>
          <w:szCs w:val="32"/>
        </w:rPr>
        <w:t>年</w:t>
      </w:r>
      <w:r>
        <w:rPr>
          <w:rFonts w:hAnsi="黑体" w:hint="eastAsia"/>
          <w:kern w:val="2"/>
          <w:sz w:val="32"/>
          <w:szCs w:val="32"/>
        </w:rPr>
        <w:t>壤塘县</w:t>
      </w:r>
      <w:proofErr w:type="gramStart"/>
      <w:r>
        <w:rPr>
          <w:rFonts w:hAnsi="黑体" w:hint="eastAsia"/>
          <w:kern w:val="2"/>
          <w:sz w:val="32"/>
          <w:szCs w:val="32"/>
        </w:rPr>
        <w:t>鱼托寺</w:t>
      </w:r>
      <w:proofErr w:type="gramEnd"/>
      <w:r>
        <w:rPr>
          <w:rFonts w:hAnsi="黑体" w:hint="eastAsia"/>
          <w:kern w:val="2"/>
          <w:sz w:val="32"/>
          <w:szCs w:val="32"/>
        </w:rPr>
        <w:t>寺庙管理委员会通用项目和专用项目均按要求实行绩效目标管理。</w:t>
      </w:r>
    </w:p>
    <w:p w:rsidR="002F4EE8" w:rsidRDefault="00A51F84">
      <w:pPr>
        <w:pStyle w:val="11"/>
        <w:spacing w:before="0" w:line="560" w:lineRule="exact"/>
        <w:ind w:firstLineChars="200" w:firstLine="640"/>
        <w:outlineLvl w:val="0"/>
        <w:rPr>
          <w:rFonts w:ascii="??" w:eastAsia="宋体" w:hAnsi="??" w:cs="Times New Roman"/>
          <w:sz w:val="16"/>
          <w:szCs w:val="16"/>
        </w:rPr>
      </w:pPr>
      <w:bookmarkStart w:id="45" w:name="_Toc13481_WPSOffice_Level1"/>
      <w:r>
        <w:rPr>
          <w:rFonts w:ascii="黑体" w:eastAsia="黑体" w:hAnsi="黑体" w:cs="黑体" w:hint="eastAsia"/>
          <w:kern w:val="2"/>
          <w:sz w:val="32"/>
          <w:szCs w:val="32"/>
        </w:rPr>
        <w:t>十、名词解释</w:t>
      </w:r>
      <w:bookmarkEnd w:id="45"/>
    </w:p>
    <w:p w:rsidR="002F4EE8" w:rsidRDefault="00A51F84">
      <w:pPr>
        <w:pStyle w:val="11"/>
        <w:spacing w:before="0" w:line="560" w:lineRule="exact"/>
        <w:ind w:firstLineChars="200" w:firstLine="640"/>
        <w:rPr>
          <w:rFonts w:hAnsi="黑体" w:cs="Times New Roman"/>
          <w:kern w:val="2"/>
          <w:sz w:val="32"/>
          <w:szCs w:val="32"/>
        </w:rPr>
      </w:pPr>
      <w:r>
        <w:rPr>
          <w:rFonts w:hAnsi="黑体" w:hint="eastAsia"/>
          <w:kern w:val="2"/>
          <w:sz w:val="32"/>
          <w:szCs w:val="32"/>
        </w:rPr>
        <w:t>（一）财政拨款收入：指由财政拨款形成的部门收入。按现行管理制度，部门预算中反映的财政拨款仅包括一般公共预算拨款和政府性基金预算拨款。</w:t>
      </w:r>
      <w:r>
        <w:rPr>
          <w:rFonts w:hAnsi="黑体" w:cs="Times New Roman"/>
          <w:kern w:val="2"/>
          <w:sz w:val="32"/>
          <w:szCs w:val="32"/>
        </w:rPr>
        <w:br/>
      </w:r>
      <w:r>
        <w:rPr>
          <w:rFonts w:hAnsi="黑体" w:hint="eastAsia"/>
          <w:kern w:val="2"/>
          <w:sz w:val="32"/>
          <w:szCs w:val="32"/>
        </w:rPr>
        <w:t xml:space="preserve">　　（二）事业收入：指所属事业单位开展专业业务活动及辅助活动所取得的收入。</w:t>
      </w:r>
      <w:r>
        <w:rPr>
          <w:rFonts w:hAnsi="黑体" w:cs="Times New Roman"/>
          <w:kern w:val="2"/>
          <w:sz w:val="32"/>
          <w:szCs w:val="32"/>
        </w:rPr>
        <w:br/>
      </w:r>
      <w:r>
        <w:rPr>
          <w:rFonts w:hAnsi="黑体" w:hint="eastAsia"/>
          <w:kern w:val="2"/>
          <w:sz w:val="32"/>
          <w:szCs w:val="32"/>
        </w:rPr>
        <w:t xml:space="preserve">　　（三）事业单位经营收入：指所属事业单位在专业业务活动及其辅助活动之外开展非独立核算经营活动取得的收</w:t>
      </w:r>
      <w:r>
        <w:rPr>
          <w:rFonts w:hAnsi="黑体" w:hint="eastAsia"/>
          <w:kern w:val="2"/>
          <w:sz w:val="32"/>
          <w:szCs w:val="32"/>
        </w:rPr>
        <w:lastRenderedPageBreak/>
        <w:t>入。</w:t>
      </w:r>
      <w:r>
        <w:rPr>
          <w:rFonts w:hAnsi="黑体" w:cs="Times New Roman"/>
          <w:kern w:val="2"/>
          <w:sz w:val="32"/>
          <w:szCs w:val="32"/>
        </w:rPr>
        <w:br/>
      </w:r>
      <w:r>
        <w:rPr>
          <w:rFonts w:hAnsi="黑体" w:hint="eastAsia"/>
          <w:kern w:val="2"/>
          <w:sz w:val="32"/>
          <w:szCs w:val="32"/>
        </w:rPr>
        <w:t xml:space="preserve">　　（四）其他收入：指除上述</w:t>
      </w:r>
      <w:r>
        <w:rPr>
          <w:rFonts w:hAnsi="黑体" w:cs="Times New Roman"/>
          <w:kern w:val="2"/>
          <w:sz w:val="32"/>
          <w:szCs w:val="32"/>
        </w:rPr>
        <w:t>“</w:t>
      </w:r>
      <w:r>
        <w:rPr>
          <w:rFonts w:hAnsi="黑体" w:hint="eastAsia"/>
          <w:kern w:val="2"/>
          <w:sz w:val="32"/>
          <w:szCs w:val="32"/>
        </w:rPr>
        <w:t>财政拨款收入</w:t>
      </w:r>
      <w:r>
        <w:rPr>
          <w:rFonts w:hAnsi="黑体" w:cs="Times New Roman"/>
          <w:kern w:val="2"/>
          <w:sz w:val="32"/>
          <w:szCs w:val="32"/>
        </w:rPr>
        <w:t>”</w:t>
      </w:r>
      <w:r>
        <w:rPr>
          <w:rFonts w:hAnsi="黑体" w:hint="eastAsia"/>
          <w:kern w:val="2"/>
          <w:sz w:val="32"/>
          <w:szCs w:val="32"/>
        </w:rPr>
        <w:t>、</w:t>
      </w:r>
      <w:r>
        <w:rPr>
          <w:rFonts w:hAnsi="黑体" w:cs="Times New Roman"/>
          <w:kern w:val="2"/>
          <w:sz w:val="32"/>
          <w:szCs w:val="32"/>
        </w:rPr>
        <w:t>“</w:t>
      </w:r>
      <w:r>
        <w:rPr>
          <w:rFonts w:hAnsi="黑体" w:hint="eastAsia"/>
          <w:kern w:val="2"/>
          <w:sz w:val="32"/>
          <w:szCs w:val="32"/>
        </w:rPr>
        <w:t>事业收入</w:t>
      </w:r>
      <w:r>
        <w:rPr>
          <w:rFonts w:hAnsi="黑体" w:cs="Times New Roman"/>
          <w:kern w:val="2"/>
          <w:sz w:val="32"/>
          <w:szCs w:val="32"/>
        </w:rPr>
        <w:t>”</w:t>
      </w:r>
      <w:r>
        <w:rPr>
          <w:rFonts w:hAnsi="黑体" w:hint="eastAsia"/>
          <w:kern w:val="2"/>
          <w:sz w:val="32"/>
          <w:szCs w:val="32"/>
        </w:rPr>
        <w:t>、</w:t>
      </w:r>
      <w:r>
        <w:rPr>
          <w:rFonts w:hAnsi="黑体" w:cs="Times New Roman"/>
          <w:kern w:val="2"/>
          <w:sz w:val="32"/>
          <w:szCs w:val="32"/>
        </w:rPr>
        <w:t>“</w:t>
      </w:r>
      <w:r>
        <w:rPr>
          <w:rFonts w:hAnsi="黑体" w:hint="eastAsia"/>
          <w:kern w:val="2"/>
          <w:sz w:val="32"/>
          <w:szCs w:val="32"/>
        </w:rPr>
        <w:t>事业单位经营收入</w:t>
      </w:r>
      <w:r>
        <w:rPr>
          <w:rFonts w:hAnsi="黑体" w:cs="Times New Roman"/>
          <w:kern w:val="2"/>
          <w:sz w:val="32"/>
          <w:szCs w:val="32"/>
        </w:rPr>
        <w:t>”</w:t>
      </w:r>
      <w:r>
        <w:rPr>
          <w:rFonts w:hAnsi="黑体" w:hint="eastAsia"/>
          <w:kern w:val="2"/>
          <w:sz w:val="32"/>
          <w:szCs w:val="32"/>
        </w:rPr>
        <w:t>等以外的收入，主要是所属行政</w:t>
      </w:r>
      <w:r>
        <w:rPr>
          <w:rFonts w:hAnsi="黑体" w:hint="eastAsia"/>
          <w:kern w:val="2"/>
          <w:sz w:val="32"/>
          <w:szCs w:val="32"/>
        </w:rPr>
        <w:t>事业单位按规定动用的售房收入、存款利息收入等。</w:t>
      </w:r>
      <w:r>
        <w:rPr>
          <w:rFonts w:hAnsi="黑体" w:cs="Times New Roman"/>
          <w:kern w:val="2"/>
          <w:sz w:val="32"/>
          <w:szCs w:val="32"/>
        </w:rPr>
        <w:br/>
      </w:r>
      <w:r>
        <w:rPr>
          <w:rFonts w:hAnsi="黑体" w:hint="eastAsia"/>
          <w:kern w:val="2"/>
          <w:sz w:val="32"/>
          <w:szCs w:val="32"/>
        </w:rPr>
        <w:t xml:space="preserve">　　（五）用事业基金弥补收支差额：指所属事业单位在预计用当年的</w:t>
      </w:r>
      <w:r>
        <w:rPr>
          <w:rFonts w:hAnsi="黑体" w:cs="Times New Roman"/>
          <w:kern w:val="2"/>
          <w:sz w:val="32"/>
          <w:szCs w:val="32"/>
        </w:rPr>
        <w:t>“</w:t>
      </w:r>
      <w:r>
        <w:rPr>
          <w:rFonts w:hAnsi="黑体" w:hint="eastAsia"/>
          <w:kern w:val="2"/>
          <w:sz w:val="32"/>
          <w:szCs w:val="32"/>
        </w:rPr>
        <w:t>财政拨款收入</w:t>
      </w:r>
      <w:r>
        <w:rPr>
          <w:rFonts w:hAnsi="黑体" w:cs="Times New Roman"/>
          <w:kern w:val="2"/>
          <w:sz w:val="32"/>
          <w:szCs w:val="32"/>
        </w:rPr>
        <w:t>”</w:t>
      </w:r>
      <w:r>
        <w:rPr>
          <w:rFonts w:hAnsi="黑体" w:hint="eastAsia"/>
          <w:kern w:val="2"/>
          <w:sz w:val="32"/>
          <w:szCs w:val="32"/>
        </w:rPr>
        <w:t>、</w:t>
      </w:r>
      <w:r>
        <w:rPr>
          <w:rFonts w:hAnsi="黑体" w:cs="Times New Roman"/>
          <w:kern w:val="2"/>
          <w:sz w:val="32"/>
          <w:szCs w:val="32"/>
        </w:rPr>
        <w:t>“</w:t>
      </w:r>
      <w:r>
        <w:rPr>
          <w:rFonts w:hAnsi="黑体" w:hint="eastAsia"/>
          <w:kern w:val="2"/>
          <w:sz w:val="32"/>
          <w:szCs w:val="32"/>
        </w:rPr>
        <w:t>事业收入</w:t>
      </w:r>
      <w:r>
        <w:rPr>
          <w:rFonts w:hAnsi="黑体" w:cs="Times New Roman"/>
          <w:kern w:val="2"/>
          <w:sz w:val="32"/>
          <w:szCs w:val="32"/>
        </w:rPr>
        <w:t>”</w:t>
      </w:r>
      <w:r>
        <w:rPr>
          <w:rFonts w:hAnsi="黑体" w:hint="eastAsia"/>
          <w:kern w:val="2"/>
          <w:sz w:val="32"/>
          <w:szCs w:val="32"/>
        </w:rPr>
        <w:t>、</w:t>
      </w:r>
      <w:r>
        <w:rPr>
          <w:rFonts w:hAnsi="黑体" w:cs="Times New Roman"/>
          <w:kern w:val="2"/>
          <w:sz w:val="32"/>
          <w:szCs w:val="32"/>
        </w:rPr>
        <w:t>“</w:t>
      </w:r>
      <w:r>
        <w:rPr>
          <w:rFonts w:hAnsi="黑体" w:hint="eastAsia"/>
          <w:kern w:val="2"/>
          <w:sz w:val="32"/>
          <w:szCs w:val="32"/>
        </w:rPr>
        <w:t>事业单位经营收入</w:t>
      </w:r>
      <w:r>
        <w:rPr>
          <w:rFonts w:hAnsi="黑体" w:cs="Times New Roman"/>
          <w:kern w:val="2"/>
          <w:sz w:val="32"/>
          <w:szCs w:val="32"/>
        </w:rPr>
        <w:t>”</w:t>
      </w:r>
      <w:r>
        <w:rPr>
          <w:rFonts w:hAnsi="黑体" w:hint="eastAsia"/>
          <w:kern w:val="2"/>
          <w:sz w:val="32"/>
          <w:szCs w:val="32"/>
        </w:rPr>
        <w:t>、</w:t>
      </w:r>
      <w:r>
        <w:rPr>
          <w:rFonts w:hAnsi="黑体" w:cs="Times New Roman"/>
          <w:kern w:val="2"/>
          <w:sz w:val="32"/>
          <w:szCs w:val="32"/>
        </w:rPr>
        <w:t>“</w:t>
      </w:r>
      <w:r>
        <w:rPr>
          <w:rFonts w:hAnsi="黑体" w:hint="eastAsia"/>
          <w:kern w:val="2"/>
          <w:sz w:val="32"/>
          <w:szCs w:val="32"/>
        </w:rPr>
        <w:t>其他收入</w:t>
      </w:r>
      <w:r>
        <w:rPr>
          <w:rFonts w:hAnsi="黑体" w:cs="Times New Roman"/>
          <w:kern w:val="2"/>
          <w:sz w:val="32"/>
          <w:szCs w:val="32"/>
        </w:rPr>
        <w:t>”</w:t>
      </w:r>
      <w:r>
        <w:rPr>
          <w:rFonts w:hAnsi="黑体" w:hint="eastAsia"/>
          <w:kern w:val="2"/>
          <w:sz w:val="32"/>
          <w:szCs w:val="32"/>
        </w:rPr>
        <w:t>不足以安排当年支出的情况下，使用以前年度积累的事业基金弥补本年度收支缺口的资金。</w:t>
      </w:r>
      <w:r>
        <w:rPr>
          <w:rFonts w:hAnsi="黑体" w:cs="Times New Roman"/>
          <w:kern w:val="2"/>
          <w:sz w:val="32"/>
          <w:szCs w:val="32"/>
        </w:rPr>
        <w:br/>
      </w:r>
      <w:r>
        <w:rPr>
          <w:rFonts w:hAnsi="黑体" w:hint="eastAsia"/>
          <w:kern w:val="2"/>
          <w:sz w:val="32"/>
          <w:szCs w:val="32"/>
        </w:rPr>
        <w:t xml:space="preserve">　　（六）上年结转：指所属行政事业单位以前年度尚未完成、结转至本年按原规定用途继续使用的资金和以前年度已完成项目剩余资金经批准用于新用途使用的资金。</w:t>
      </w:r>
    </w:p>
    <w:p w:rsidR="002F4EE8" w:rsidRDefault="002F4EE8">
      <w:pPr>
        <w:rPr>
          <w:rFonts w:ascii="仿宋_GB2312" w:eastAsia="仿宋_GB2312" w:hAnsi="黑体" w:cs="Times New Roman"/>
          <w:sz w:val="32"/>
          <w:szCs w:val="32"/>
        </w:rPr>
      </w:pPr>
    </w:p>
    <w:p w:rsidR="002F4EE8" w:rsidRDefault="002F4EE8">
      <w:pPr>
        <w:pStyle w:val="a4"/>
        <w:rPr>
          <w:rFonts w:ascii="仿宋_GB2312" w:eastAsia="仿宋_GB2312" w:hAnsi="黑体" w:cs="Times New Roman"/>
          <w:szCs w:val="32"/>
        </w:rPr>
      </w:pPr>
    </w:p>
    <w:p w:rsidR="002F4EE8" w:rsidRDefault="002F4EE8">
      <w:pPr>
        <w:pStyle w:val="a4"/>
        <w:ind w:firstLineChars="1100" w:firstLine="3520"/>
        <w:rPr>
          <w:rFonts w:ascii="仿宋_GB2312" w:eastAsia="仿宋_GB2312" w:hAnsi="黑体" w:cs="仿宋_GB2312"/>
          <w:kern w:val="2"/>
          <w:szCs w:val="32"/>
          <w:lang w:bidi="ar-SA"/>
        </w:rPr>
      </w:pPr>
    </w:p>
    <w:sectPr w:rsidR="002F4EE8" w:rsidSect="002F4EE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F84" w:rsidRDefault="00A51F84" w:rsidP="00A51F84">
      <w:r>
        <w:separator/>
      </w:r>
    </w:p>
  </w:endnote>
  <w:endnote w:type="continuationSeparator" w:id="0">
    <w:p w:rsidR="00A51F84" w:rsidRDefault="00A51F84" w:rsidP="00A51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F84" w:rsidRDefault="00A51F84" w:rsidP="00A51F84">
      <w:r>
        <w:separator/>
      </w:r>
    </w:p>
  </w:footnote>
  <w:footnote w:type="continuationSeparator" w:id="0">
    <w:p w:rsidR="00A51F84" w:rsidRDefault="00A51F84" w:rsidP="00A51F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D1468F"/>
    <w:multiLevelType w:val="singleLevel"/>
    <w:tmpl w:val="CAD1468F"/>
    <w:lvl w:ilvl="0">
      <w:start w:val="1"/>
      <w:numFmt w:val="chineseCounting"/>
      <w:suff w:val="nothing"/>
      <w:lvlText w:val="（%1）"/>
      <w:lvlJc w:val="left"/>
      <w:pPr>
        <w:ind w:left="160" w:firstLine="0"/>
      </w:pPr>
      <w:rPr>
        <w:rFonts w:hint="eastAsia"/>
      </w:rPr>
    </w:lvl>
  </w:abstractNum>
  <w:abstractNum w:abstractNumId="1">
    <w:nsid w:val="DF3A2A0A"/>
    <w:multiLevelType w:val="singleLevel"/>
    <w:tmpl w:val="DF3A2A0A"/>
    <w:lvl w:ilvl="0">
      <w:start w:val="2"/>
      <w:numFmt w:val="chineseCounting"/>
      <w:suff w:val="nothing"/>
      <w:lvlText w:val="（%1）"/>
      <w:lvlJc w:val="left"/>
      <w:rPr>
        <w:rFonts w:hint="eastAsia"/>
      </w:rPr>
    </w:lvl>
  </w:abstractNum>
  <w:abstractNum w:abstractNumId="2">
    <w:nsid w:val="EE59C3AE"/>
    <w:multiLevelType w:val="singleLevel"/>
    <w:tmpl w:val="EE59C3AE"/>
    <w:lvl w:ilvl="0">
      <w:start w:val="8"/>
      <w:numFmt w:val="chineseCounting"/>
      <w:suff w:val="nothing"/>
      <w:lvlText w:val="%1、"/>
      <w:lvlJc w:val="left"/>
      <w:rPr>
        <w:rFonts w:hint="eastAsia"/>
      </w:rPr>
    </w:lvl>
  </w:abstractNum>
  <w:abstractNum w:abstractNumId="3">
    <w:nsid w:val="3EBB3C91"/>
    <w:multiLevelType w:val="multilevel"/>
    <w:tmpl w:val="3EBB3C91"/>
    <w:lvl w:ilvl="0">
      <w:start w:val="1"/>
      <w:numFmt w:val="chineseCountingThousand"/>
      <w:suff w:val="space"/>
      <w:lvlText w:val="%1. "/>
      <w:lvlJc w:val="left"/>
      <w:pPr>
        <w:ind w:left="907" w:hanging="907"/>
      </w:pPr>
    </w:lvl>
    <w:lvl w:ilvl="1">
      <w:start w:val="1"/>
      <w:numFmt w:val="decimal"/>
      <w:suff w:val="space"/>
      <w:lvlText w:val="%1.%2 "/>
      <w:lvlJc w:val="left"/>
      <w:pPr>
        <w:ind w:left="794" w:hanging="794"/>
      </w:pPr>
    </w:lvl>
    <w:lvl w:ilvl="2">
      <w:numFmt w:val="decimal"/>
      <w:lvlText w:val=""/>
      <w:lvlJc w:val="left"/>
      <w:pPr>
        <w:tabs>
          <w:tab w:val="left" w:pos="360"/>
        </w:tabs>
      </w:pPr>
    </w:lvl>
    <w:lvl w:ilvl="3">
      <w:numFmt w:val="decimal"/>
      <w:lvlText w:val=""/>
      <w:lvlJc w:val="left"/>
      <w:pPr>
        <w:tabs>
          <w:tab w:val="left" w:pos="360"/>
        </w:tabs>
      </w:pPr>
    </w:lvl>
    <w:lvl w:ilvl="4">
      <w:numFmt w:val="decimal"/>
      <w:pStyle w:val="UserStyle1"/>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352854"/>
    <w:rsid w:val="00002FEA"/>
    <w:rsid w:val="00082EF4"/>
    <w:rsid w:val="00085137"/>
    <w:rsid w:val="00097A74"/>
    <w:rsid w:val="00105B15"/>
    <w:rsid w:val="001A196D"/>
    <w:rsid w:val="002026C1"/>
    <w:rsid w:val="00212DBB"/>
    <w:rsid w:val="00260082"/>
    <w:rsid w:val="00264016"/>
    <w:rsid w:val="002946BD"/>
    <w:rsid w:val="002F4EE8"/>
    <w:rsid w:val="002F6713"/>
    <w:rsid w:val="00316466"/>
    <w:rsid w:val="00352854"/>
    <w:rsid w:val="003762A5"/>
    <w:rsid w:val="004103CC"/>
    <w:rsid w:val="0043059D"/>
    <w:rsid w:val="00471829"/>
    <w:rsid w:val="0047755A"/>
    <w:rsid w:val="00484AEB"/>
    <w:rsid w:val="004A2E02"/>
    <w:rsid w:val="004A7CFC"/>
    <w:rsid w:val="00527A2C"/>
    <w:rsid w:val="0059475F"/>
    <w:rsid w:val="00681CB7"/>
    <w:rsid w:val="006F18F1"/>
    <w:rsid w:val="007B3677"/>
    <w:rsid w:val="007C7CD1"/>
    <w:rsid w:val="00844940"/>
    <w:rsid w:val="00882412"/>
    <w:rsid w:val="008C1FFD"/>
    <w:rsid w:val="008D3923"/>
    <w:rsid w:val="008F63EB"/>
    <w:rsid w:val="009272A9"/>
    <w:rsid w:val="009544A0"/>
    <w:rsid w:val="00986E64"/>
    <w:rsid w:val="00987B5A"/>
    <w:rsid w:val="009C5F76"/>
    <w:rsid w:val="00A51F84"/>
    <w:rsid w:val="00A55379"/>
    <w:rsid w:val="00B35F0F"/>
    <w:rsid w:val="00B713B0"/>
    <w:rsid w:val="00BB34A8"/>
    <w:rsid w:val="00C0348B"/>
    <w:rsid w:val="00C451EA"/>
    <w:rsid w:val="00C8183B"/>
    <w:rsid w:val="00D10760"/>
    <w:rsid w:val="00D20EAB"/>
    <w:rsid w:val="00EF71D0"/>
    <w:rsid w:val="00F41AD1"/>
    <w:rsid w:val="00F743F0"/>
    <w:rsid w:val="00F806C0"/>
    <w:rsid w:val="00F80C32"/>
    <w:rsid w:val="00F823CE"/>
    <w:rsid w:val="00FF11B9"/>
    <w:rsid w:val="030A5D1C"/>
    <w:rsid w:val="10342113"/>
    <w:rsid w:val="1CEE577E"/>
    <w:rsid w:val="1F592018"/>
    <w:rsid w:val="223F326A"/>
    <w:rsid w:val="307A28A9"/>
    <w:rsid w:val="323A2D06"/>
    <w:rsid w:val="325701B3"/>
    <w:rsid w:val="35AE5EF0"/>
    <w:rsid w:val="44804503"/>
    <w:rsid w:val="58501BF8"/>
    <w:rsid w:val="5C9247B8"/>
    <w:rsid w:val="667F39B9"/>
    <w:rsid w:val="6FC61E47"/>
    <w:rsid w:val="719C0F72"/>
    <w:rsid w:val="7B9D3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able of figures" w:semiHidden="0" w:uiPriority="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semiHidden="0" w:unhideWhenUsed="0" w:qFormat="1"/>
    <w:lsdException w:name="Plain Text" w:semiHidden="0" w:uiPriority="0" w:unhideWhenUsed="0" w:qFormat="1"/>
    <w:lsdException w:name="Normal (Web)" w:semiHidden="0" w:qFormat="1"/>
    <w:lsdException w:name="Normal Table" w:semiHidden="0" w:qFormat="1"/>
    <w:lsdException w:name="Table Grid" w:locked="1"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F4EE8"/>
    <w:pPr>
      <w:widowControl w:val="0"/>
      <w:jc w:val="both"/>
    </w:pPr>
    <w:rPr>
      <w:rFonts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2F4EE8"/>
    <w:pPr>
      <w:ind w:leftChars="200" w:left="400" w:hangingChars="200" w:hanging="200"/>
    </w:pPr>
    <w:rPr>
      <w:szCs w:val="24"/>
    </w:rPr>
  </w:style>
  <w:style w:type="paragraph" w:styleId="a4">
    <w:name w:val="Plain Text"/>
    <w:basedOn w:val="a"/>
    <w:qFormat/>
    <w:rsid w:val="002F4EE8"/>
    <w:rPr>
      <w:rFonts w:ascii="宋体" w:eastAsia="仿宋" w:hAnsi="Courier New" w:cs="Arial Unicode MS"/>
      <w:kern w:val="0"/>
      <w:sz w:val="32"/>
      <w:lang w:bidi="bo-CN"/>
    </w:rPr>
  </w:style>
  <w:style w:type="paragraph" w:styleId="a5">
    <w:name w:val="footer"/>
    <w:basedOn w:val="a"/>
    <w:link w:val="Char"/>
    <w:uiPriority w:val="99"/>
    <w:semiHidden/>
    <w:rsid w:val="002F4EE8"/>
    <w:pPr>
      <w:tabs>
        <w:tab w:val="center" w:pos="4153"/>
        <w:tab w:val="right" w:pos="8306"/>
      </w:tabs>
      <w:snapToGrid w:val="0"/>
      <w:jc w:val="left"/>
    </w:pPr>
    <w:rPr>
      <w:sz w:val="18"/>
      <w:szCs w:val="18"/>
    </w:rPr>
  </w:style>
  <w:style w:type="paragraph" w:styleId="a6">
    <w:name w:val="header"/>
    <w:basedOn w:val="a"/>
    <w:link w:val="Char0"/>
    <w:uiPriority w:val="99"/>
    <w:semiHidden/>
    <w:qFormat/>
    <w:rsid w:val="002F4EE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F4EE8"/>
    <w:pPr>
      <w:widowControl/>
      <w:spacing w:before="100" w:beforeAutospacing="1" w:after="100" w:afterAutospacing="1"/>
      <w:jc w:val="left"/>
    </w:pPr>
    <w:rPr>
      <w:rFonts w:ascii="宋体" w:hAnsi="宋体" w:cs="宋体"/>
      <w:kern w:val="0"/>
      <w:sz w:val="24"/>
      <w:szCs w:val="24"/>
    </w:rPr>
  </w:style>
  <w:style w:type="table" w:styleId="a8">
    <w:name w:val="Table Grid"/>
    <w:basedOn w:val="a2"/>
    <w:uiPriority w:val="99"/>
    <w:unhideWhenUsed/>
    <w:qFormat/>
    <w:locked/>
    <w:rsid w:val="002F4EE8"/>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1"/>
    <w:uiPriority w:val="99"/>
    <w:qFormat/>
    <w:rsid w:val="002F4EE8"/>
  </w:style>
  <w:style w:type="character" w:customStyle="1" w:styleId="Char">
    <w:name w:val="页脚 Char"/>
    <w:link w:val="a5"/>
    <w:uiPriority w:val="99"/>
    <w:semiHidden/>
    <w:qFormat/>
    <w:locked/>
    <w:rsid w:val="002F4EE8"/>
    <w:rPr>
      <w:sz w:val="18"/>
      <w:szCs w:val="18"/>
    </w:rPr>
  </w:style>
  <w:style w:type="character" w:customStyle="1" w:styleId="Char0">
    <w:name w:val="页眉 Char"/>
    <w:link w:val="a6"/>
    <w:uiPriority w:val="99"/>
    <w:semiHidden/>
    <w:qFormat/>
    <w:locked/>
    <w:rsid w:val="002F4EE8"/>
    <w:rPr>
      <w:sz w:val="18"/>
      <w:szCs w:val="18"/>
    </w:rPr>
  </w:style>
  <w:style w:type="character" w:customStyle="1" w:styleId="NormalCharacter">
    <w:name w:val="NormalCharacter"/>
    <w:semiHidden/>
    <w:qFormat/>
    <w:rsid w:val="002F4EE8"/>
  </w:style>
  <w:style w:type="character" w:customStyle="1" w:styleId="1">
    <w:name w:val="默认段落字体1"/>
    <w:uiPriority w:val="99"/>
    <w:qFormat/>
    <w:rsid w:val="002F4EE8"/>
    <w:rPr>
      <w:sz w:val="22"/>
      <w:szCs w:val="22"/>
    </w:rPr>
  </w:style>
  <w:style w:type="paragraph" w:customStyle="1" w:styleId="10">
    <w:name w:val="列出段落1"/>
    <w:basedOn w:val="a"/>
    <w:uiPriority w:val="99"/>
    <w:qFormat/>
    <w:rsid w:val="002F4EE8"/>
    <w:pPr>
      <w:ind w:firstLineChars="200" w:firstLine="420"/>
    </w:pPr>
  </w:style>
  <w:style w:type="paragraph" w:customStyle="1" w:styleId="UserStyle1">
    <w:name w:val="UserStyle_1"/>
    <w:basedOn w:val="a"/>
    <w:next w:val="UserStyle0"/>
    <w:qFormat/>
    <w:rsid w:val="002F4EE8"/>
    <w:pPr>
      <w:keepNext/>
      <w:keepLines/>
      <w:numPr>
        <w:ilvl w:val="4"/>
        <w:numId w:val="1"/>
      </w:numPr>
      <w:tabs>
        <w:tab w:val="left" w:pos="3600"/>
      </w:tabs>
      <w:spacing w:before="280" w:after="156" w:line="377" w:lineRule="auto"/>
      <w:ind w:left="3600" w:hanging="360"/>
    </w:pPr>
    <w:rPr>
      <w:rFonts w:ascii="Arial" w:eastAsia="黑体" w:hAnsi="Arial" w:cs="Times New Roman"/>
      <w:b/>
      <w:sz w:val="24"/>
      <w:szCs w:val="28"/>
    </w:rPr>
  </w:style>
  <w:style w:type="paragraph" w:customStyle="1" w:styleId="UserStyle0">
    <w:name w:val="UserStyle_0"/>
    <w:qFormat/>
    <w:rsid w:val="002F4EE8"/>
    <w:pPr>
      <w:spacing w:line="300" w:lineRule="auto"/>
      <w:textAlignment w:val="baseline"/>
    </w:pPr>
    <w:rPr>
      <w:rFonts w:ascii="Arial" w:hAnsi="Arial"/>
      <w:sz w:val="21"/>
      <w:szCs w:val="21"/>
    </w:rPr>
  </w:style>
  <w:style w:type="paragraph" w:customStyle="1" w:styleId="11">
    <w:name w:val="正文文本1"/>
    <w:basedOn w:val="a"/>
    <w:uiPriority w:val="99"/>
    <w:rsid w:val="002F4EE8"/>
    <w:pPr>
      <w:spacing w:before="93"/>
    </w:pPr>
    <w:rPr>
      <w:rFonts w:ascii="仿宋_GB2312" w:eastAsia="仿宋_GB2312" w:hAnsi="仿宋_GB2312" w:cs="仿宋_GB2312"/>
      <w:kern w:val="0"/>
      <w:sz w:val="30"/>
      <w:szCs w:val="30"/>
    </w:rPr>
  </w:style>
  <w:style w:type="paragraph" w:customStyle="1" w:styleId="WPSOffice1">
    <w:name w:val="WPSOffice手动目录 1"/>
    <w:rsid w:val="002F4EE8"/>
  </w:style>
  <w:style w:type="paragraph" w:customStyle="1" w:styleId="WPSOffice2">
    <w:name w:val="WPSOffice手动目录 2"/>
    <w:rsid w:val="002F4EE8"/>
    <w:pPr>
      <w:ind w:leftChars="200" w:left="200"/>
    </w:pPr>
  </w:style>
  <w:style w:type="paragraph" w:customStyle="1" w:styleId="WPSOffice3">
    <w:name w:val="WPSOffice手动目录 3"/>
    <w:rsid w:val="002F4EE8"/>
    <w:pPr>
      <w:ind w:leftChars="400" w:left="400"/>
    </w:pPr>
  </w:style>
  <w:style w:type="paragraph" w:styleId="aa">
    <w:name w:val="Balloon Text"/>
    <w:basedOn w:val="a"/>
    <w:link w:val="Char1"/>
    <w:uiPriority w:val="99"/>
    <w:semiHidden/>
    <w:unhideWhenUsed/>
    <w:rsid w:val="00A51F84"/>
    <w:rPr>
      <w:sz w:val="18"/>
      <w:szCs w:val="18"/>
    </w:rPr>
  </w:style>
  <w:style w:type="character" w:customStyle="1" w:styleId="Char1">
    <w:name w:val="批注框文本 Char"/>
    <w:basedOn w:val="a1"/>
    <w:link w:val="aa"/>
    <w:uiPriority w:val="99"/>
    <w:semiHidden/>
    <w:rsid w:val="00A51F84"/>
    <w:rPr>
      <w:rFonts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91680C"/>
    <w:rsid w:val="009168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2906</Words>
  <Characters>1453</Characters>
  <Application>Microsoft Office Word</Application>
  <DocSecurity>0</DocSecurity>
  <Lines>12</Lines>
  <Paragraphs>8</Paragraphs>
  <ScaleCrop>false</ScaleCrop>
  <Company>Sky123.Org</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薛永萍</dc:creator>
  <cp:lastModifiedBy>吴天琪</cp:lastModifiedBy>
  <cp:revision>17</cp:revision>
  <cp:lastPrinted>2022-01-19T10:00:00Z</cp:lastPrinted>
  <dcterms:created xsi:type="dcterms:W3CDTF">2017-12-15T01:50:00Z</dcterms:created>
  <dcterms:modified xsi:type="dcterms:W3CDTF">2022-01-19T10:00:00Z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F10BA1E00161499CAEF6C2F453DF8125</vt:lpwstr>
  </property>
</Properties>
</file>