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宋体" w:eastAsia="方正小标宋简体"/>
          <w:color w:val="000000"/>
          <w:sz w:val="72"/>
          <w:szCs w:val="72"/>
        </w:rPr>
      </w:pPr>
      <w:bookmarkStart w:id="0" w:name="_Toc15306267"/>
    </w:p>
    <w:p>
      <w:pPr>
        <w:spacing w:line="560" w:lineRule="exact"/>
        <w:jc w:val="center"/>
        <w:outlineLvl w:val="0"/>
        <w:rPr>
          <w:rFonts w:ascii="方正小标宋简体" w:hAnsi="宋体" w:eastAsia="方正小标宋简体"/>
          <w:color w:val="000000"/>
          <w:sz w:val="72"/>
          <w:szCs w:val="72"/>
        </w:rPr>
      </w:pPr>
    </w:p>
    <w:p>
      <w:pPr>
        <w:spacing w:line="560" w:lineRule="exact"/>
        <w:jc w:val="center"/>
        <w:outlineLvl w:val="0"/>
        <w:rPr>
          <w:rFonts w:ascii="方正小标宋简体" w:hAnsi="宋体" w:eastAsia="方正小标宋简体"/>
          <w:color w:val="000000"/>
          <w:sz w:val="72"/>
          <w:szCs w:val="72"/>
        </w:rPr>
      </w:pPr>
    </w:p>
    <w:bookmarkEnd w:id="0"/>
    <w:p>
      <w:pPr>
        <w:adjustRightInd w:val="0"/>
        <w:snapToGrid w:val="0"/>
        <w:spacing w:line="360" w:lineRule="auto"/>
        <w:jc w:val="center"/>
        <w:outlineLvl w:val="0"/>
        <w:rPr>
          <w:rFonts w:ascii="方正小标宋简体" w:hAnsi="宋体" w:eastAsia="方正小标宋简体"/>
          <w:color w:val="000000"/>
          <w:sz w:val="72"/>
          <w:szCs w:val="72"/>
        </w:rPr>
      </w:pPr>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p>
    <w:p>
      <w:pPr>
        <w:adjustRightInd w:val="0"/>
        <w:snapToGrid w:val="0"/>
        <w:spacing w:line="360" w:lineRule="auto"/>
        <w:jc w:val="center"/>
        <w:outlineLvl w:val="0"/>
        <w:rPr>
          <w:rFonts w:hint="eastAsia" w:ascii="方正小标宋简体" w:hAnsi="宋体" w:eastAsia="方正小标宋简体"/>
          <w:color w:val="000000"/>
          <w:sz w:val="72"/>
          <w:szCs w:val="72"/>
        </w:rPr>
      </w:pPr>
      <w:bookmarkStart w:id="1" w:name="_Toc15377426"/>
      <w:bookmarkStart w:id="2" w:name="_Toc15396598"/>
      <w:bookmarkStart w:id="3" w:name="_Toc15396476"/>
      <w:bookmarkStart w:id="4" w:name="_Toc15377194"/>
      <w:bookmarkStart w:id="5" w:name="_Toc15378442"/>
      <w:r>
        <w:rPr>
          <w:rFonts w:hint="eastAsia" w:ascii="方正小标宋简体" w:hAnsi="宋体" w:eastAsia="方正小标宋简体"/>
          <w:color w:val="000000"/>
          <w:sz w:val="72"/>
          <w:szCs w:val="72"/>
        </w:rPr>
        <w:t>四川省阿坝州壤塘县</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r>
        <w:rPr>
          <w:rFonts w:hint="eastAsia" w:ascii="方正小标宋简体" w:hAnsi="宋体" w:eastAsia="方正小标宋简体"/>
          <w:color w:val="000000"/>
          <w:sz w:val="72"/>
          <w:szCs w:val="72"/>
          <w:lang w:eastAsia="zh-CN"/>
        </w:rPr>
        <w:t>鱼托寺寺庙管理委员会</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ind w:firstLine="1280" w:firstLineChars="400"/>
      </w:pPr>
      <w:r>
        <w:rPr>
          <w:rFonts w:hint="eastAsia" w:ascii="仿宋_GB2312" w:hAnsi="Calibri" w:eastAsia="仿宋_GB2312" w:cs="仿宋_GB2312"/>
          <w:sz w:val="32"/>
          <w:szCs w:val="32"/>
        </w:rPr>
        <w:t>保密审查情况：已审查，内容审定</w:t>
      </w:r>
    </w:p>
    <w:p>
      <w:pPr>
        <w:autoSpaceDE w:val="0"/>
        <w:autoSpaceDN w:val="0"/>
        <w:adjustRightInd w:val="0"/>
        <w:ind w:firstLine="1280" w:firstLineChars="400"/>
        <w:jc w:val="left"/>
        <w:rPr>
          <w:rFonts w:eastAsia="仿宋_GB2312"/>
          <w:sz w:val="32"/>
          <w:szCs w:val="32"/>
        </w:rPr>
      </w:pPr>
      <w:r>
        <w:rPr>
          <w:rFonts w:hint="eastAsia" w:ascii="仿宋_GB2312" w:eastAsia="仿宋_GB2312" w:cs="仿宋_GB2312"/>
          <w:sz w:val="32"/>
          <w:szCs w:val="32"/>
        </w:rPr>
        <w:t>部门主要负责人审签情况：已审签</w:t>
      </w:r>
      <w:r>
        <w:rPr>
          <w:rFonts w:hint="eastAsia" w:ascii="仿宋_GB2312" w:hAnsi="Calibri" w:eastAsia="仿宋_GB2312" w:cs="仿宋_GB2312"/>
          <w:sz w:val="32"/>
          <w:szCs w:val="32"/>
        </w:rPr>
        <w:t>，同意对外公开</w:t>
      </w:r>
    </w:p>
    <w:p>
      <w:pPr>
        <w:autoSpaceDE w:val="0"/>
        <w:autoSpaceDN w:val="0"/>
        <w:adjustRightInd w:val="0"/>
        <w:ind w:firstLine="1276"/>
        <w:jc w:val="left"/>
        <w:rPr>
          <w:rFonts w:eastAsia="仿宋_GB2312"/>
          <w:sz w:val="32"/>
          <w:szCs w:val="32"/>
        </w:rPr>
      </w:pPr>
    </w:p>
    <w:p>
      <w:pPr>
        <w:widowControl/>
        <w:jc w:val="center"/>
        <w:rPr>
          <w:rFonts w:ascii="方正小标宋简体" w:hAnsi="宋体" w:eastAsia="方正小标宋简体"/>
          <w:sz w:val="36"/>
          <w:szCs w:val="36"/>
        </w:rPr>
      </w:pPr>
    </w:p>
    <w:p>
      <w:pPr>
        <w:autoSpaceDE w:val="0"/>
        <w:autoSpaceDN w:val="0"/>
        <w:adjustRightInd w:val="0"/>
        <w:ind w:firstLine="1276"/>
        <w:jc w:val="left"/>
        <w:rPr>
          <w:rFonts w:eastAsia="仿宋_GB2312"/>
          <w:sz w:val="32"/>
          <w:szCs w:val="32"/>
        </w:rPr>
      </w:pPr>
    </w:p>
    <w:p>
      <w:pPr>
        <w:autoSpaceDE w:val="0"/>
        <w:autoSpaceDN w:val="0"/>
        <w:adjustRightInd w:val="0"/>
        <w:ind w:firstLine="1276"/>
        <w:jc w:val="left"/>
        <w:rPr>
          <w:rFonts w:eastAsia="仿宋_GB2312"/>
          <w:sz w:val="32"/>
          <w:szCs w:val="32"/>
        </w:rPr>
      </w:pPr>
    </w:p>
    <w:p>
      <w:pPr>
        <w:autoSpaceDE w:val="0"/>
        <w:autoSpaceDN w:val="0"/>
        <w:adjustRightInd w:val="0"/>
        <w:spacing w:line="560" w:lineRule="exact"/>
        <w:jc w:val="left"/>
        <w:rPr>
          <w:rFonts w:eastAsia="仿宋_GB2312"/>
          <w:sz w:val="32"/>
          <w:szCs w:val="32"/>
        </w:rPr>
      </w:pPr>
    </w:p>
    <w:p>
      <w:pPr>
        <w:keepNext w:val="0"/>
        <w:keepLines w:val="0"/>
        <w:pageBreakBefore w:val="0"/>
        <w:widowControl/>
        <w:kinsoku/>
        <w:wordWrap/>
        <w:overflowPunct/>
        <w:topLinePunct w:val="0"/>
        <w:autoSpaceDE/>
        <w:autoSpaceDN/>
        <w:bidi w:val="0"/>
        <w:spacing w:line="560" w:lineRule="exact"/>
        <w:ind w:firstLine="3120" w:firstLineChars="650"/>
        <w:textAlignment w:val="auto"/>
        <w:rPr>
          <w:rFonts w:ascii="黑体" w:hAnsi="黑体" w:eastAsia="黑体"/>
          <w:color w:val="000000"/>
          <w:sz w:val="48"/>
          <w:szCs w:val="48"/>
        </w:rPr>
      </w:pPr>
      <w:r>
        <w:rPr>
          <w:rFonts w:hint="eastAsia" w:ascii="黑体" w:hAnsi="黑体" w:eastAsia="黑体"/>
          <w:color w:val="000000"/>
          <w:sz w:val="48"/>
          <w:szCs w:val="48"/>
        </w:rPr>
        <w:t>目  录</w:t>
      </w:r>
    </w:p>
    <w:p>
      <w:pPr>
        <w:keepNext w:val="0"/>
        <w:keepLines w:val="0"/>
        <w:pageBreakBefore w:val="0"/>
        <w:widowControl/>
        <w:kinsoku/>
        <w:wordWrap/>
        <w:overflowPunct/>
        <w:topLinePunct w:val="0"/>
        <w:autoSpaceDE/>
        <w:autoSpaceDN/>
        <w:bidi w:val="0"/>
        <w:spacing w:line="560" w:lineRule="exact"/>
        <w:jc w:val="center"/>
        <w:textAlignment w:val="auto"/>
        <w:rPr>
          <w:rFonts w:ascii="黑体" w:hAnsi="黑体" w:eastAsia="黑体" w:cstheme="minorBidi"/>
          <w:sz w:val="28"/>
          <w:szCs w:val="28"/>
        </w:rPr>
      </w:pPr>
    </w:p>
    <w:p>
      <w:pPr>
        <w:pStyle w:val="10"/>
        <w:keepNext w:val="0"/>
        <w:keepLines w:val="0"/>
        <w:pageBreakBefore w:val="0"/>
        <w:kinsoku/>
        <w:wordWrap/>
        <w:overflowPunct/>
        <w:topLinePunct w:val="0"/>
        <w:autoSpaceDE/>
        <w:autoSpaceDN/>
        <w:bidi w:val="0"/>
        <w:spacing w:line="560" w:lineRule="exact"/>
        <w:textAlignment w:val="auto"/>
      </w:pPr>
      <w:r>
        <w:rPr>
          <w:rFonts w:hint="eastAsia"/>
        </w:rPr>
        <w:t>公开时间：2020年 10 月</w:t>
      </w:r>
      <w:r>
        <w:rPr>
          <w:rFonts w:hint="eastAsia"/>
          <w:lang w:val="en-US" w:eastAsia="zh-CN"/>
        </w:rPr>
        <w:t>22</w:t>
      </w:r>
      <w:r>
        <w:rPr>
          <w:rFonts w:hint="eastAsia"/>
        </w:rPr>
        <w:t>日</w:t>
      </w:r>
    </w:p>
    <w:p>
      <w:pPr>
        <w:keepNext w:val="0"/>
        <w:keepLines w:val="0"/>
        <w:pageBreakBefore w:val="0"/>
        <w:kinsoku/>
        <w:wordWrap/>
        <w:overflowPunct/>
        <w:topLinePunct w:val="0"/>
        <w:autoSpaceDE/>
        <w:autoSpaceDN/>
        <w:bidi w:val="0"/>
        <w:spacing w:line="560" w:lineRule="exact"/>
        <w:textAlignment w:val="auto"/>
      </w:pPr>
    </w:p>
    <w:p>
      <w:pPr>
        <w:pStyle w:val="10"/>
        <w:keepNext w:val="0"/>
        <w:keepLines w:val="0"/>
        <w:pageBreakBefore w:val="0"/>
        <w:kinsoku/>
        <w:wordWrap/>
        <w:overflowPunct/>
        <w:topLinePunct w:val="0"/>
        <w:autoSpaceDE/>
        <w:autoSpaceDN/>
        <w:bidi w:val="0"/>
        <w:adjustRightInd w:val="0"/>
        <w:snapToGrid w:val="0"/>
        <w:spacing w:before="0" w:line="560" w:lineRule="exact"/>
        <w:jc w:val="left"/>
        <w:textAlignment w:val="auto"/>
        <w:rPr>
          <w:rFonts w:cstheme="minorBidi"/>
          <w:sz w:val="24"/>
          <w:szCs w:val="24"/>
        </w:rPr>
      </w:pPr>
      <w:r>
        <w:rPr>
          <w:rFonts w:hint="eastAsia"/>
          <w:sz w:val="24"/>
        </w:rPr>
        <w:t>第一部分</w:t>
      </w:r>
      <w:r>
        <w:rPr>
          <w:sz w:val="24"/>
        </w:rPr>
        <w:t xml:space="preserve"> </w:t>
      </w:r>
      <w:r>
        <w:rPr>
          <w:rFonts w:hint="eastAsia"/>
          <w:sz w:val="24"/>
        </w:rPr>
        <w:t>部门概况...........................................</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sz w:val="24"/>
        </w:rPr>
      </w:pPr>
      <w:r>
        <w:rPr>
          <w:rFonts w:hint="eastAsia"/>
          <w:sz w:val="24"/>
        </w:rPr>
        <w:t>一、基本职能及主要工作....................................................................</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cstheme="minorBidi"/>
          <w:sz w:val="24"/>
        </w:rPr>
      </w:pPr>
      <w:r>
        <w:rPr>
          <w:rFonts w:hint="eastAsia"/>
          <w:sz w:val="24"/>
        </w:rPr>
        <w:t>二、机构设置........................................................................................</w:t>
      </w:r>
    </w:p>
    <w:p>
      <w:pPr>
        <w:pStyle w:val="10"/>
        <w:keepNext w:val="0"/>
        <w:keepLines w:val="0"/>
        <w:pageBreakBefore w:val="0"/>
        <w:kinsoku/>
        <w:wordWrap/>
        <w:overflowPunct/>
        <w:topLinePunct w:val="0"/>
        <w:autoSpaceDE/>
        <w:autoSpaceDN/>
        <w:bidi w:val="0"/>
        <w:adjustRightInd w:val="0"/>
        <w:snapToGrid w:val="0"/>
        <w:spacing w:before="0" w:line="560" w:lineRule="exact"/>
        <w:jc w:val="left"/>
        <w:textAlignment w:val="auto"/>
        <w:rPr>
          <w:sz w:val="24"/>
          <w:szCs w:val="24"/>
        </w:rPr>
      </w:pPr>
      <w:r>
        <w:rPr>
          <w:rFonts w:hint="eastAsia"/>
          <w:sz w:val="24"/>
        </w:rPr>
        <w:t>第二部分度部门决算情况说明..................................</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cstheme="minorBidi"/>
          <w:sz w:val="24"/>
        </w:rPr>
      </w:pPr>
      <w:r>
        <w:rPr>
          <w:rFonts w:hint="eastAsia"/>
          <w:sz w:val="24"/>
        </w:rPr>
        <w:t>一、收入支出决算总体情况说明........................................................</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cstheme="minorBidi"/>
          <w:sz w:val="24"/>
        </w:rPr>
      </w:pPr>
      <w:r>
        <w:rPr>
          <w:rFonts w:hint="eastAsia"/>
          <w:sz w:val="24"/>
        </w:rPr>
        <w:t>二、收入决算情况说明........................................................................</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cstheme="minorBidi"/>
          <w:sz w:val="24"/>
        </w:rPr>
      </w:pPr>
      <w:r>
        <w:rPr>
          <w:rFonts w:hint="eastAsia"/>
          <w:sz w:val="24"/>
        </w:rPr>
        <w:t>三、支出决算情况说明........................................................................</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cstheme="minorBidi"/>
          <w:sz w:val="24"/>
        </w:rPr>
      </w:pPr>
      <w:r>
        <w:rPr>
          <w:rFonts w:hint="eastAsia"/>
          <w:sz w:val="24"/>
        </w:rPr>
        <w:t>四、财政拨款收入支出决算总体情况说明.........................................</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cstheme="minorBidi"/>
          <w:sz w:val="24"/>
        </w:rPr>
      </w:pPr>
      <w:r>
        <w:rPr>
          <w:rFonts w:hint="eastAsia"/>
          <w:sz w:val="24"/>
        </w:rPr>
        <w:t>五、一般公共预算财政拨款支出决算情况说明.................................</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cstheme="minorBidi"/>
          <w:sz w:val="24"/>
        </w:rPr>
      </w:pPr>
      <w:r>
        <w:rPr>
          <w:rFonts w:hint="eastAsia"/>
          <w:sz w:val="24"/>
        </w:rPr>
        <w:t>六、一般公共预算财政拨款基本支出决算情况说明.........................</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cstheme="minorBidi"/>
          <w:sz w:val="24"/>
        </w:rPr>
      </w:pPr>
      <w:r>
        <w:rPr>
          <w:rFonts w:hint="eastAsia"/>
          <w:sz w:val="24"/>
        </w:rPr>
        <w:t>七、</w:t>
      </w:r>
      <w:r>
        <w:rPr>
          <w:sz w:val="24"/>
        </w:rPr>
        <w:t>“</w:t>
      </w:r>
      <w:r>
        <w:rPr>
          <w:rFonts w:hint="eastAsia"/>
          <w:sz w:val="24"/>
        </w:rPr>
        <w:t>三公”经费财政拨款支出决算情况说明...................................</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cstheme="minorBidi"/>
          <w:sz w:val="24"/>
        </w:rPr>
      </w:pPr>
      <w:r>
        <w:rPr>
          <w:rFonts w:hint="eastAsia"/>
          <w:sz w:val="24"/>
        </w:rPr>
        <w:t>八、政府性基金预算支出决算情况说明.............................................</w:t>
      </w:r>
    </w:p>
    <w:p>
      <w:pPr>
        <w:pStyle w:val="11"/>
        <w:keepNext w:val="0"/>
        <w:keepLines w:val="0"/>
        <w:pageBreakBefore w:val="0"/>
        <w:kinsoku/>
        <w:wordWrap/>
        <w:overflowPunct/>
        <w:topLinePunct w:val="0"/>
        <w:autoSpaceDE/>
        <w:autoSpaceDN/>
        <w:bidi w:val="0"/>
        <w:adjustRightInd w:val="0"/>
        <w:snapToGrid w:val="0"/>
        <w:spacing w:line="560" w:lineRule="exact"/>
        <w:ind w:leftChars="0"/>
        <w:jc w:val="left"/>
        <w:textAlignment w:val="auto"/>
        <w:rPr>
          <w:rFonts w:ascii="仿宋" w:hAnsi="仿宋"/>
          <w:sz w:val="24"/>
        </w:rPr>
      </w:pPr>
      <w:r>
        <w:rPr>
          <w:rFonts w:hint="eastAsia" w:ascii="仿宋" w:hAnsi="仿宋" w:eastAsia="仿宋"/>
          <w:sz w:val="24"/>
        </w:rPr>
        <w:t>九、</w:t>
      </w:r>
      <w:r>
        <w:rPr>
          <w:sz w:val="24"/>
        </w:rPr>
        <w:t xml:space="preserve"> 国</w:t>
      </w:r>
      <w:r>
        <w:rPr>
          <w:rFonts w:hint="eastAsia"/>
          <w:sz w:val="24"/>
        </w:rPr>
        <w:t>有资本经营预算支出决算情况说明.......................................</w:t>
      </w:r>
    </w:p>
    <w:p>
      <w:pPr>
        <w:keepNext w:val="0"/>
        <w:keepLines w:val="0"/>
        <w:pageBreakBefore w:val="0"/>
        <w:kinsoku/>
        <w:wordWrap/>
        <w:overflowPunct/>
        <w:topLinePunct w:val="0"/>
        <w:autoSpaceDE/>
        <w:autoSpaceDN/>
        <w:bidi w:val="0"/>
        <w:adjustRightInd w:val="0"/>
        <w:snapToGrid w:val="0"/>
        <w:spacing w:line="560" w:lineRule="exact"/>
        <w:ind w:firstLine="480" w:firstLineChars="200"/>
        <w:jc w:val="left"/>
        <w:textAlignment w:val="auto"/>
        <w:rPr>
          <w:sz w:val="24"/>
        </w:rPr>
      </w:pPr>
      <w:r>
        <w:rPr>
          <w:rStyle w:val="15"/>
          <w:rFonts w:hint="eastAsia" w:ascii="仿宋" w:hAnsi="仿宋" w:eastAsia="仿宋"/>
          <w:color w:val="000000" w:themeColor="text1"/>
          <w:sz w:val="24"/>
          <w:u w:val="none"/>
          <w14:textFill>
            <w14:solidFill>
              <w14:schemeClr w14:val="tx1"/>
            </w14:solidFill>
          </w14:textFill>
        </w:rPr>
        <w:t>十、</w:t>
      </w:r>
      <w:r>
        <w:rPr>
          <w:rFonts w:hint="eastAsia"/>
          <w:sz w:val="24"/>
        </w:rPr>
        <w:t>其他重要事项的情况说明............................................................</w:t>
      </w:r>
    </w:p>
    <w:p>
      <w:pPr>
        <w:keepNext w:val="0"/>
        <w:keepLines w:val="0"/>
        <w:pageBreakBefore w:val="0"/>
        <w:kinsoku/>
        <w:wordWrap/>
        <w:overflowPunct/>
        <w:topLinePunct w:val="0"/>
        <w:autoSpaceDE/>
        <w:autoSpaceDN/>
        <w:bidi w:val="0"/>
        <w:adjustRightInd w:val="0"/>
        <w:snapToGrid w:val="0"/>
        <w:spacing w:line="560" w:lineRule="exact"/>
        <w:ind w:firstLine="480" w:firstLineChars="200"/>
        <w:jc w:val="left"/>
        <w:textAlignment w:val="auto"/>
        <w:rPr>
          <w:sz w:val="24"/>
        </w:rPr>
      </w:pPr>
      <w:r>
        <w:rPr>
          <w:rFonts w:hint="eastAsia"/>
          <w:sz w:val="24"/>
        </w:rPr>
        <w:t>十一、预算管理绩效情况</w:t>
      </w:r>
      <w:r>
        <w:rPr>
          <w:rFonts w:ascii="仿宋" w:hAnsi="仿宋" w:eastAsia="仿宋"/>
          <w:sz w:val="24"/>
        </w:rPr>
        <w:tab/>
      </w:r>
      <w:r>
        <w:rPr>
          <w:rFonts w:hint="eastAsia"/>
          <w:sz w:val="24"/>
        </w:rPr>
        <w:t>..........................................................</w:t>
      </w:r>
    </w:p>
    <w:p>
      <w:pPr>
        <w:pStyle w:val="10"/>
        <w:keepNext w:val="0"/>
        <w:keepLines w:val="0"/>
        <w:pageBreakBefore w:val="0"/>
        <w:kinsoku/>
        <w:wordWrap/>
        <w:overflowPunct/>
        <w:topLinePunct w:val="0"/>
        <w:autoSpaceDE/>
        <w:autoSpaceDN/>
        <w:bidi w:val="0"/>
        <w:adjustRightInd w:val="0"/>
        <w:snapToGrid w:val="0"/>
        <w:spacing w:before="0" w:line="560" w:lineRule="exact"/>
        <w:jc w:val="left"/>
        <w:textAlignment w:val="auto"/>
        <w:rPr>
          <w:rFonts w:cstheme="minorBidi"/>
          <w:sz w:val="24"/>
          <w:szCs w:val="24"/>
        </w:rPr>
      </w:pPr>
      <w:r>
        <w:rPr>
          <w:rFonts w:hint="eastAsia"/>
          <w:sz w:val="24"/>
        </w:rPr>
        <w:t>第三部分</w:t>
      </w:r>
      <w:r>
        <w:rPr>
          <w:sz w:val="24"/>
        </w:rPr>
        <w:t xml:space="preserve"> </w:t>
      </w:r>
      <w:r>
        <w:rPr>
          <w:rFonts w:hint="eastAsia"/>
          <w:sz w:val="24"/>
        </w:rPr>
        <w:t>名词解释</w:t>
      </w:r>
      <w:r>
        <w:rPr>
          <w:rFonts w:hint="eastAsia" w:cstheme="minorBidi"/>
          <w:sz w:val="24"/>
          <w:szCs w:val="24"/>
        </w:rPr>
        <w:t>...........................................</w:t>
      </w:r>
    </w:p>
    <w:p>
      <w:pPr>
        <w:pStyle w:val="11"/>
        <w:keepNext w:val="0"/>
        <w:keepLines w:val="0"/>
        <w:pageBreakBefore w:val="0"/>
        <w:kinsoku/>
        <w:wordWrap/>
        <w:overflowPunct/>
        <w:topLinePunct w:val="0"/>
        <w:autoSpaceDE/>
        <w:autoSpaceDN/>
        <w:bidi w:val="0"/>
        <w:adjustRightInd w:val="0"/>
        <w:snapToGrid w:val="0"/>
        <w:spacing w:line="560" w:lineRule="exact"/>
        <w:ind w:left="0" w:leftChars="0"/>
        <w:jc w:val="left"/>
        <w:textAlignment w:val="auto"/>
        <w:rPr>
          <w:rFonts w:ascii="仿宋" w:hAnsi="仿宋" w:cstheme="minorBidi"/>
          <w:sz w:val="24"/>
        </w:rPr>
      </w:pPr>
      <w:r>
        <w:rPr>
          <w:rFonts w:hint="eastAsia" w:ascii="仿宋" w:hAnsi="仿宋" w:eastAsia="仿宋"/>
          <w:sz w:val="24"/>
          <w:szCs w:val="28"/>
        </w:rPr>
        <w:t>第四部分 附件</w:t>
      </w:r>
      <w:r>
        <w:rPr>
          <w:rFonts w:hint="eastAsia"/>
          <w:sz w:val="24"/>
        </w:rPr>
        <w:t>.....................................................................................................</w:t>
      </w:r>
    </w:p>
    <w:p>
      <w:pPr>
        <w:pStyle w:val="10"/>
        <w:keepNext w:val="0"/>
        <w:keepLines w:val="0"/>
        <w:pageBreakBefore w:val="0"/>
        <w:kinsoku/>
        <w:wordWrap/>
        <w:overflowPunct/>
        <w:topLinePunct w:val="0"/>
        <w:autoSpaceDE/>
        <w:autoSpaceDN/>
        <w:bidi w:val="0"/>
        <w:adjustRightInd w:val="0"/>
        <w:snapToGrid w:val="0"/>
        <w:spacing w:before="0" w:line="560" w:lineRule="exact"/>
        <w:jc w:val="left"/>
        <w:textAlignment w:val="auto"/>
        <w:rPr>
          <w:rFonts w:cstheme="minorBidi"/>
          <w:sz w:val="24"/>
          <w:szCs w:val="24"/>
        </w:rPr>
      </w:pPr>
      <w:r>
        <w:rPr>
          <w:rFonts w:hint="eastAsia"/>
          <w:sz w:val="24"/>
        </w:rPr>
        <w:t>第五部分部门整体绩效价...............................................</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cstheme="minorBidi"/>
          <w:sz w:val="24"/>
        </w:rPr>
      </w:pPr>
      <w:r>
        <w:rPr>
          <w:rFonts w:hint="eastAsia" w:ascii="仿宋" w:hAnsi="仿宋" w:eastAsia="仿宋"/>
          <w:sz w:val="24"/>
        </w:rPr>
        <w:t>一、</w:t>
      </w:r>
      <w:r>
        <w:rPr>
          <w:rFonts w:hint="eastAsia"/>
          <w:sz w:val="24"/>
        </w:rPr>
        <w:t>收入支出决算总表...........................................................................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cstheme="minorBidi"/>
          <w:sz w:val="24"/>
        </w:rPr>
      </w:pPr>
      <w:r>
        <w:rPr>
          <w:rFonts w:hint="eastAsia" w:ascii="仿宋" w:hAnsi="仿宋" w:eastAsia="仿宋"/>
          <w:sz w:val="24"/>
        </w:rPr>
        <w:t>四、</w:t>
      </w:r>
      <w:r>
        <w:rPr>
          <w:rFonts w:hint="eastAsia"/>
          <w:sz w:val="24"/>
        </w:rPr>
        <w:t>财政拨款收入支出决算总表................................................................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eastAsia="仿宋"/>
          <w:sz w:val="24"/>
        </w:rPr>
      </w:pPr>
      <w:r>
        <w:rPr>
          <w:rFonts w:hint="eastAsia" w:ascii="仿宋" w:hAnsi="仿宋" w:eastAsia="仿宋"/>
          <w:sz w:val="24"/>
        </w:rPr>
        <w:t>五、财政拨款支出决算明细表..................................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cstheme="minorBidi"/>
          <w:sz w:val="24"/>
        </w:rPr>
      </w:pPr>
      <w:r>
        <w:rPr>
          <w:rFonts w:hint="eastAsia" w:ascii="仿宋" w:hAnsi="仿宋" w:eastAsia="仿宋"/>
          <w:sz w:val="24"/>
        </w:rPr>
        <w:t>六、</w:t>
      </w:r>
      <w:r>
        <w:rPr>
          <w:rFonts w:hint="eastAsia"/>
          <w:sz w:val="24"/>
        </w:rPr>
        <w:t>一般公共预算财政拨款支出决算表.........................................................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cstheme="minorBidi"/>
          <w:sz w:val="24"/>
        </w:rPr>
      </w:pPr>
      <w:r>
        <w:rPr>
          <w:rFonts w:hint="eastAsia" w:ascii="仿宋" w:hAnsi="仿宋" w:eastAsia="仿宋"/>
          <w:sz w:val="24"/>
        </w:rPr>
        <w:t>七、</w:t>
      </w:r>
      <w:r>
        <w:rPr>
          <w:rFonts w:hint="eastAsia"/>
          <w:sz w:val="24"/>
        </w:rPr>
        <w:t>一般公共预算财政拨款支出决算明细表......................................................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cstheme="minorBidi"/>
          <w:sz w:val="24"/>
        </w:rPr>
      </w:pPr>
      <w:r>
        <w:rPr>
          <w:rFonts w:hint="eastAsia" w:ascii="仿宋" w:hAnsi="仿宋" w:eastAsia="仿宋"/>
          <w:sz w:val="24"/>
        </w:rPr>
        <w:t>八、</w:t>
      </w:r>
      <w:r>
        <w:rPr>
          <w:rFonts w:hint="eastAsia"/>
          <w:sz w:val="24"/>
        </w:rPr>
        <w:t>一般公共预算财政拨款基本支出决算表........................................................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cstheme="minorBidi"/>
          <w:sz w:val="24"/>
        </w:rPr>
      </w:pPr>
      <w:r>
        <w:rPr>
          <w:rFonts w:hint="eastAsia" w:ascii="仿宋" w:hAnsi="仿宋" w:eastAsia="仿宋"/>
          <w:sz w:val="24"/>
        </w:rPr>
        <w:t>九、</w:t>
      </w:r>
      <w:r>
        <w:rPr>
          <w:rFonts w:hint="eastAsia"/>
          <w:sz w:val="24"/>
        </w:rPr>
        <w:t>一般公共预算财政拨款项目支出决算表.................................................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keepNext w:val="0"/>
        <w:keepLines w:val="0"/>
        <w:pageBreakBefore w:val="0"/>
        <w:kinsoku/>
        <w:wordWrap/>
        <w:overflowPunct/>
        <w:topLinePunct w:val="0"/>
        <w:autoSpaceDE/>
        <w:autoSpaceDN/>
        <w:bidi w:val="0"/>
        <w:adjustRightInd w:val="0"/>
        <w:snapToGrid w:val="0"/>
        <w:spacing w:line="560" w:lineRule="exact"/>
        <w:jc w:val="left"/>
        <w:textAlignment w:val="auto"/>
        <w:rPr>
          <w:rFonts w:ascii="仿宋" w:hAnsi="仿宋" w:cstheme="minorBidi"/>
          <w:sz w:val="24"/>
        </w:rPr>
      </w:pPr>
      <w:r>
        <w:rPr>
          <w:rFonts w:hint="eastAsia" w:ascii="仿宋" w:hAnsi="仿宋" w:eastAsia="仿宋"/>
          <w:sz w:val="24"/>
        </w:rPr>
        <w:t>十三、</w:t>
      </w:r>
      <w:r>
        <w:rPr>
          <w:rFonts w:hint="eastAsia"/>
          <w:sz w:val="24"/>
        </w:rPr>
        <w:t>国有资本经营预算支出决算表....................................................................</w:t>
      </w:r>
    </w:p>
    <w:p>
      <w:pPr>
        <w:keepNext w:val="0"/>
        <w:keepLines w:val="0"/>
        <w:pageBreakBefore w:val="0"/>
        <w:widowControl/>
        <w:kinsoku/>
        <w:wordWrap/>
        <w:overflowPunct/>
        <w:topLinePunct w:val="0"/>
        <w:autoSpaceDE/>
        <w:autoSpaceDN/>
        <w:bidi w:val="0"/>
        <w:spacing w:line="560" w:lineRule="exact"/>
        <w:jc w:val="left"/>
        <w:textAlignment w:val="auto"/>
        <w:rPr>
          <w:rFonts w:ascii="仿宋" w:hAnsi="仿宋" w:eastAsia="仿宋"/>
          <w:bCs/>
          <w:kern w:val="44"/>
          <w:sz w:val="24"/>
        </w:rPr>
      </w:pPr>
      <w:bookmarkStart w:id="6" w:name="_Toc15396599"/>
      <w:bookmarkStart w:id="7" w:name="_Toc15377196"/>
      <w:r>
        <w:rPr>
          <w:rFonts w:ascii="仿宋" w:hAnsi="仿宋" w:eastAsia="仿宋"/>
          <w:b/>
          <w:sz w:val="24"/>
        </w:rPr>
        <w:br w:type="page"/>
      </w:r>
    </w:p>
    <w:p>
      <w:pPr>
        <w:pStyle w:val="2"/>
        <w:pageBreakBefore w:val="0"/>
        <w:kinsoku/>
        <w:wordWrap/>
        <w:overflowPunct/>
        <w:topLinePunct w:val="0"/>
        <w:autoSpaceDE/>
        <w:autoSpaceDN/>
        <w:bidi w:val="0"/>
        <w:spacing w:line="560" w:lineRule="exact"/>
        <w:jc w:val="center"/>
        <w:textAlignment w:val="auto"/>
        <w:rPr>
          <w:rStyle w:val="24"/>
          <w:rFonts w:ascii="方正小标宋简体" w:hAnsi="黑体" w:eastAsia="方正小标宋简体"/>
          <w:b/>
          <w:bCs w:val="0"/>
        </w:rPr>
      </w:pPr>
      <w:r>
        <w:rPr>
          <w:rFonts w:hint="eastAsia" w:ascii="方正小标宋简体" w:hAnsi="黑体" w:eastAsia="方正小标宋简体"/>
          <w:b w:val="0"/>
        </w:rPr>
        <w:t xml:space="preserve">第一部分 </w:t>
      </w:r>
      <w:r>
        <w:rPr>
          <w:rStyle w:val="24"/>
          <w:rFonts w:hint="eastAsia" w:ascii="方正小标宋简体" w:hAnsi="黑体" w:eastAsia="方正小标宋简体"/>
          <w:b w:val="0"/>
          <w:bCs w:val="0"/>
        </w:rPr>
        <w:t>部门概况</w:t>
      </w:r>
      <w:bookmarkEnd w:id="6"/>
      <w:bookmarkEnd w:id="7"/>
    </w:p>
    <w:p>
      <w:pPr>
        <w:pStyle w:val="3"/>
        <w:pageBreakBefore w:val="0"/>
        <w:kinsoku/>
        <w:wordWrap/>
        <w:overflowPunct/>
        <w:topLinePunct w:val="0"/>
        <w:autoSpaceDE/>
        <w:autoSpaceDN/>
        <w:bidi w:val="0"/>
        <w:spacing w:line="560" w:lineRule="exact"/>
        <w:ind w:firstLine="640" w:firstLineChars="200"/>
        <w:textAlignment w:val="auto"/>
        <w:rPr>
          <w:rStyle w:val="25"/>
          <w:rFonts w:ascii="黑体" w:hAnsi="黑体" w:eastAsia="黑体"/>
          <w:b w:val="0"/>
          <w:bCs w:val="0"/>
        </w:rPr>
      </w:pPr>
      <w:bookmarkStart w:id="8" w:name="_Toc15377197"/>
      <w:bookmarkStart w:id="9"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8"/>
      <w:bookmarkEnd w:id="9"/>
      <w:bookmarkStart w:id="10" w:name="_Toc15377198"/>
      <w:bookmarkStart w:id="11" w:name="_Toc15378445"/>
    </w:p>
    <w:bookmarkEnd w:id="10"/>
    <w:bookmarkEnd w:id="11"/>
    <w:p>
      <w:pPr>
        <w:pStyle w:val="5"/>
        <w:pageBreakBefore w:val="0"/>
        <w:kinsoku/>
        <w:wordWrap/>
        <w:overflowPunct/>
        <w:topLinePunct w:val="0"/>
        <w:autoSpaceDE/>
        <w:autoSpaceDN/>
        <w:bidi w:val="0"/>
        <w:adjustRightInd w:val="0"/>
        <w:snapToGrid w:val="0"/>
        <w:spacing w:before="93" w:line="560" w:lineRule="exact"/>
        <w:ind w:firstLine="672" w:firstLineChars="210"/>
        <w:textAlignment w:val="auto"/>
        <w:rPr>
          <w:bCs/>
          <w:color w:val="000000"/>
          <w:sz w:val="32"/>
          <w:szCs w:val="32"/>
        </w:rPr>
      </w:pPr>
      <w:r>
        <w:rPr>
          <w:rFonts w:hint="eastAsia"/>
          <w:bCs/>
          <w:color w:val="000000"/>
          <w:sz w:val="32"/>
          <w:szCs w:val="32"/>
        </w:rPr>
        <w:t>（一）主要职能。</w:t>
      </w:r>
    </w:p>
    <w:p>
      <w:pPr>
        <w:pageBreakBefore w:val="0"/>
        <w:widowControl/>
        <w:kinsoku/>
        <w:wordWrap/>
        <w:overflowPunct/>
        <w:topLinePunct w:val="0"/>
        <w:autoSpaceDE/>
        <w:autoSpaceDN/>
        <w:bidi w:val="0"/>
        <w:spacing w:line="560" w:lineRule="exact"/>
        <w:ind w:firstLine="960" w:firstLineChars="300"/>
        <w:jc w:val="left"/>
        <w:textAlignment w:val="auto"/>
        <w:rPr>
          <w:rFonts w:ascii="仿宋" w:hAnsi="仿宋" w:eastAsia="仿宋" w:cs="仿宋"/>
          <w:sz w:val="32"/>
          <w:szCs w:val="32"/>
        </w:rPr>
      </w:pPr>
      <w:r>
        <w:rPr>
          <w:rFonts w:hint="eastAsia" w:ascii="仿宋" w:hAnsi="仿宋" w:eastAsia="仿宋" w:cs="仿宋"/>
          <w:kern w:val="0"/>
          <w:sz w:val="32"/>
          <w:szCs w:val="32"/>
        </w:rPr>
        <w:t>认真贯彻落实党的宗教工作方针政策和国家、</w:t>
      </w:r>
      <w:r>
        <w:rPr>
          <w:rFonts w:hint="eastAsia" w:ascii="仿宋" w:hAnsi="仿宋" w:eastAsia="仿宋" w:cs="仿宋"/>
          <w:kern w:val="0"/>
          <w:sz w:val="32"/>
          <w:szCs w:val="32"/>
          <w:lang w:eastAsia="zh-CN"/>
        </w:rPr>
        <w:t>省、州</w:t>
      </w:r>
      <w:r>
        <w:rPr>
          <w:rFonts w:hint="eastAsia" w:ascii="仿宋" w:hAnsi="仿宋" w:eastAsia="仿宋" w:cs="仿宋"/>
          <w:kern w:val="0"/>
          <w:sz w:val="32"/>
          <w:szCs w:val="32"/>
        </w:rPr>
        <w:t>宗教事务法律法规</w:t>
      </w:r>
      <w:r>
        <w:rPr>
          <w:rFonts w:hint="eastAsia" w:ascii="仿宋" w:hAnsi="仿宋" w:eastAsia="仿宋" w:cs="仿宋"/>
          <w:kern w:val="0"/>
          <w:sz w:val="32"/>
          <w:szCs w:val="32"/>
          <w:lang w:eastAsia="zh-CN"/>
        </w:rPr>
        <w:t>条例</w:t>
      </w:r>
      <w:r>
        <w:rPr>
          <w:rFonts w:hint="eastAsia" w:ascii="仿宋" w:hAnsi="仿宋" w:eastAsia="仿宋" w:cs="仿宋"/>
          <w:kern w:val="0"/>
          <w:sz w:val="32"/>
          <w:szCs w:val="32"/>
        </w:rPr>
        <w:t>,依法开展宗教事务管理工作,落实上级宗教工作决策部署,加强对所在乡、村宗教人士、宗教活动、宗教场所、信教群众的教育管理服务,充分发挥宗教人士的作用,做好信教群众工作,确保宗教活动依法依规规范有序,促进宗教与社会主义社会相适应。</w:t>
      </w:r>
    </w:p>
    <w:p>
      <w:pPr>
        <w:pStyle w:val="5"/>
        <w:pageBreakBefore w:val="0"/>
        <w:kinsoku/>
        <w:wordWrap/>
        <w:overflowPunct/>
        <w:topLinePunct w:val="0"/>
        <w:autoSpaceDE/>
        <w:autoSpaceDN/>
        <w:bidi w:val="0"/>
        <w:adjustRightInd w:val="0"/>
        <w:snapToGrid w:val="0"/>
        <w:spacing w:before="93" w:line="560" w:lineRule="exact"/>
        <w:ind w:firstLine="672" w:firstLineChars="210"/>
        <w:textAlignment w:val="auto"/>
        <w:rPr>
          <w:bCs/>
          <w:color w:val="000000"/>
          <w:sz w:val="32"/>
          <w:szCs w:val="32"/>
        </w:rPr>
      </w:pPr>
      <w:r>
        <w:rPr>
          <w:rFonts w:hint="eastAsia"/>
          <w:bCs/>
          <w:color w:val="000000"/>
          <w:sz w:val="32"/>
          <w:szCs w:val="32"/>
        </w:rPr>
        <w:t>（二）201</w:t>
      </w:r>
      <w:r>
        <w:rPr>
          <w:rFonts w:hint="eastAsia"/>
          <w:bCs/>
          <w:color w:val="000000"/>
          <w:sz w:val="32"/>
          <w:szCs w:val="32"/>
          <w:lang w:val="en-US" w:eastAsia="zh-CN"/>
        </w:rPr>
        <w:t>9</w:t>
      </w:r>
      <w:r>
        <w:rPr>
          <w:rFonts w:hint="eastAsia"/>
          <w:bCs/>
          <w:color w:val="000000"/>
          <w:sz w:val="32"/>
          <w:szCs w:val="32"/>
        </w:rPr>
        <w:t>年重点工作完成情况。</w:t>
      </w:r>
    </w:p>
    <w:p>
      <w:pPr>
        <w:pageBreakBefore w:val="0"/>
        <w:widowControl/>
        <w:kinsoku/>
        <w:wordWrap/>
        <w:overflowPunct/>
        <w:topLinePunct w:val="0"/>
        <w:autoSpaceDE/>
        <w:autoSpaceDN/>
        <w:bidi w:val="0"/>
        <w:spacing w:line="560" w:lineRule="exact"/>
        <w:ind w:firstLine="640" w:firstLineChars="200"/>
        <w:jc w:val="left"/>
        <w:textAlignment w:val="auto"/>
        <w:rPr>
          <w:rFonts w:hint="eastAsia" w:eastAsia="仿宋"/>
          <w:lang w:val="en-US" w:eastAsia="zh-CN"/>
        </w:rPr>
      </w:pPr>
      <w:r>
        <w:rPr>
          <w:rFonts w:hint="eastAsia" w:ascii="仿宋_GB2312" w:eastAsia="仿宋_GB2312"/>
          <w:bCs/>
          <w:color w:val="000000"/>
          <w:sz w:val="32"/>
          <w:szCs w:val="32"/>
        </w:rPr>
        <w:t>主要做好</w:t>
      </w:r>
      <w:r>
        <w:rPr>
          <w:rFonts w:hint="eastAsia" w:ascii="仿宋_GB2312" w:eastAsia="仿宋_GB2312"/>
          <w:bCs/>
          <w:color w:val="000000"/>
          <w:sz w:val="32"/>
          <w:szCs w:val="32"/>
          <w:lang w:eastAsia="zh-CN"/>
        </w:rPr>
        <w:t>寺庙管理</w:t>
      </w:r>
      <w:r>
        <w:rPr>
          <w:rFonts w:hint="eastAsia" w:ascii="仿宋_GB2312" w:eastAsia="仿宋_GB2312"/>
          <w:bCs/>
          <w:color w:val="000000"/>
          <w:sz w:val="32"/>
          <w:szCs w:val="32"/>
        </w:rPr>
        <w:t>工作，</w:t>
      </w:r>
      <w:r>
        <w:rPr>
          <w:rFonts w:hint="eastAsia" w:ascii="仿宋_GB2312" w:eastAsia="仿宋_GB2312"/>
          <w:sz w:val="32"/>
          <w:szCs w:val="32"/>
        </w:rPr>
        <w:t>全面落实寺庙管理责任，加大法制宣传力度，稳步推进法律进寺活动，依法抓好藏传佛教寺庙事务管理</w:t>
      </w:r>
      <w:r>
        <w:rPr>
          <w:rFonts w:hint="eastAsia" w:ascii="仿宋_GB2312" w:eastAsia="仿宋_GB2312"/>
          <w:sz w:val="32"/>
          <w:szCs w:val="32"/>
          <w:lang w:eastAsia="zh-CN"/>
        </w:rPr>
        <w:t>。</w:t>
      </w:r>
      <w:r>
        <w:rPr>
          <w:rFonts w:hint="eastAsia" w:ascii="仿宋" w:hAnsi="仿宋" w:eastAsia="仿宋" w:cs="仿宋"/>
          <w:kern w:val="0"/>
          <w:sz w:val="32"/>
          <w:szCs w:val="32"/>
        </w:rPr>
        <w:t>加强与宗教人士日常沟通,掌握宗教人士的思想动态,相信、依靠广大宗教人士,倾听他们的意见,充分发挥他们的特殊作用,积极协调帮助宗教人士、信教群众排忧解难,把广大宗教人士和信教群众紧紧团结在党和政府周围</w:t>
      </w:r>
      <w:r>
        <w:rPr>
          <w:rFonts w:hint="eastAsia" w:ascii="仿宋" w:hAnsi="仿宋" w:eastAsia="仿宋" w:cs="仿宋"/>
          <w:kern w:val="0"/>
          <w:sz w:val="32"/>
          <w:szCs w:val="32"/>
          <w:lang w:eastAsia="zh-CN"/>
        </w:rPr>
        <w:t>。</w:t>
      </w:r>
    </w:p>
    <w:p>
      <w:pPr>
        <w:pStyle w:val="3"/>
        <w:pageBreakBefore w:val="0"/>
        <w:kinsoku/>
        <w:wordWrap/>
        <w:overflowPunct/>
        <w:topLinePunct w:val="0"/>
        <w:autoSpaceDE/>
        <w:autoSpaceDN/>
        <w:bidi w:val="0"/>
        <w:spacing w:line="560" w:lineRule="exact"/>
        <w:ind w:firstLine="640" w:firstLineChars="200"/>
        <w:textAlignment w:val="auto"/>
        <w:rPr>
          <w:rStyle w:val="25"/>
          <w:b w:val="0"/>
          <w:bCs w:val="0"/>
        </w:rPr>
      </w:pPr>
      <w:bookmarkStart w:id="12" w:name="_Toc15396601"/>
      <w:bookmarkStart w:id="13"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12"/>
      <w:bookmarkEnd w:id="13"/>
    </w:p>
    <w:p>
      <w:pPr>
        <w:pageBreakBefore w:val="0"/>
        <w:widowControl/>
        <w:kinsoku/>
        <w:wordWrap/>
        <w:overflowPunct/>
        <w:topLinePunct w:val="0"/>
        <w:autoSpaceDE/>
        <w:autoSpaceDN/>
        <w:bidi w:val="0"/>
        <w:spacing w:line="560" w:lineRule="exact"/>
        <w:ind w:left="210" w:leftChars="100" w:firstLine="643" w:firstLineChars="200"/>
        <w:jc w:val="left"/>
        <w:textAlignment w:val="auto"/>
        <w:rPr>
          <w:rFonts w:ascii="仿宋_GB2312" w:hAnsi="宋体" w:eastAsia="仿宋_GB2312" w:cs="宋体"/>
          <w:b/>
          <w:kern w:val="0"/>
          <w:sz w:val="32"/>
          <w:szCs w:val="32"/>
        </w:rPr>
      </w:pPr>
      <w:r>
        <w:rPr>
          <w:rFonts w:hint="eastAsia" w:ascii="仿宋_GB2312" w:hAnsi="宋体" w:eastAsia="仿宋_GB2312" w:cs="宋体"/>
          <w:b/>
          <w:kern w:val="0"/>
          <w:sz w:val="32"/>
          <w:szCs w:val="32"/>
        </w:rPr>
        <w:t>1.本部门机构</w:t>
      </w:r>
    </w:p>
    <w:p>
      <w:pPr>
        <w:pageBreakBefore w:val="0"/>
        <w:widowControl/>
        <w:kinsoku/>
        <w:wordWrap/>
        <w:overflowPunct/>
        <w:topLinePunct w:val="0"/>
        <w:autoSpaceDE/>
        <w:autoSpaceDN/>
        <w:bidi w:val="0"/>
        <w:spacing w:line="560" w:lineRule="exact"/>
        <w:ind w:left="210" w:leftChars="100" w:firstLine="640" w:firstLineChars="200"/>
        <w:jc w:val="left"/>
        <w:textAlignment w:val="auto"/>
        <w:rPr>
          <w:rFonts w:ascii="仿宋_GB2312" w:hAnsi="宋体" w:eastAsia="仿宋_GB2312" w:cs="宋体"/>
          <w:kern w:val="0"/>
          <w:sz w:val="32"/>
          <w:szCs w:val="32"/>
        </w:rPr>
      </w:pPr>
      <w:r>
        <w:rPr>
          <w:rFonts w:hint="eastAsia" w:ascii="仿宋_GB2312" w:hAnsi="宋体" w:eastAsia="仿宋_GB2312" w:cs="宋体"/>
          <w:kern w:val="0"/>
          <w:sz w:val="32"/>
          <w:szCs w:val="32"/>
        </w:rPr>
        <w:t>本部门</w:t>
      </w:r>
      <w:r>
        <w:rPr>
          <w:rFonts w:hint="eastAsia" w:ascii="仿宋_GB2312" w:hAnsi="宋体" w:eastAsia="仿宋_GB2312" w:cs="宋体"/>
          <w:kern w:val="0"/>
          <w:sz w:val="32"/>
          <w:szCs w:val="32"/>
          <w:lang w:eastAsia="zh-CN"/>
        </w:rPr>
        <w:t>为一级预算单位，无</w:t>
      </w:r>
      <w:r>
        <w:rPr>
          <w:rFonts w:hint="eastAsia" w:ascii="仿宋_GB2312" w:hAnsi="宋体" w:eastAsia="仿宋_GB2312" w:cs="宋体"/>
          <w:kern w:val="0"/>
          <w:sz w:val="32"/>
          <w:szCs w:val="32"/>
        </w:rPr>
        <w:t>下属二级预算单位，其中内设</w:t>
      </w:r>
      <w:r>
        <w:rPr>
          <w:rFonts w:hint="eastAsia" w:ascii="仿宋_GB2312" w:hAnsi="宋体" w:eastAsia="仿宋_GB2312" w:cs="宋体"/>
          <w:kern w:val="0"/>
          <w:sz w:val="32"/>
          <w:szCs w:val="32"/>
          <w:lang w:eastAsia="zh-CN"/>
        </w:rPr>
        <w:t>科室</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个</w:t>
      </w:r>
      <w:r>
        <w:rPr>
          <w:rFonts w:hint="eastAsia" w:ascii="仿宋_GB2312" w:hAnsi="宋体" w:eastAsia="仿宋_GB2312" w:cs="宋体"/>
          <w:kern w:val="0"/>
          <w:sz w:val="32"/>
          <w:szCs w:val="32"/>
          <w:lang w:eastAsia="zh-CN"/>
        </w:rPr>
        <w:t>，分别为综合办、社会化服务管理科、宗教事务管理科、法治宣传科</w:t>
      </w:r>
      <w:r>
        <w:rPr>
          <w:rFonts w:hint="eastAsia" w:ascii="仿宋_GB2312" w:hAnsi="宋体" w:eastAsia="仿宋_GB2312" w:cs="宋体"/>
          <w:kern w:val="0"/>
          <w:sz w:val="32"/>
          <w:szCs w:val="32"/>
        </w:rPr>
        <w:t>。</w:t>
      </w:r>
      <w:bookmarkStart w:id="62" w:name="_GoBack"/>
      <w:bookmarkEnd w:id="62"/>
    </w:p>
    <w:p>
      <w:pPr>
        <w:pageBreakBefore w:val="0"/>
        <w:widowControl/>
        <w:kinsoku/>
        <w:wordWrap/>
        <w:overflowPunct/>
        <w:topLinePunct w:val="0"/>
        <w:autoSpaceDE/>
        <w:autoSpaceDN/>
        <w:bidi w:val="0"/>
        <w:spacing w:line="560" w:lineRule="exact"/>
        <w:ind w:left="210" w:leftChars="100" w:firstLine="643" w:firstLineChars="200"/>
        <w:jc w:val="left"/>
        <w:textAlignment w:val="auto"/>
        <w:outlineLvl w:val="0"/>
        <w:rPr>
          <w:rFonts w:ascii="仿宋_GB2312" w:hAnsi="宋体" w:eastAsia="仿宋_GB2312" w:cs="宋体"/>
          <w:b/>
          <w:kern w:val="0"/>
          <w:sz w:val="32"/>
          <w:szCs w:val="32"/>
        </w:rPr>
      </w:pPr>
      <w:r>
        <w:rPr>
          <w:rFonts w:hint="eastAsia" w:ascii="仿宋_GB2312" w:hAnsi="宋体" w:eastAsia="仿宋_GB2312" w:cs="宋体"/>
          <w:b/>
          <w:kern w:val="0"/>
          <w:sz w:val="32"/>
          <w:szCs w:val="32"/>
        </w:rPr>
        <w:t>2.人员情况</w:t>
      </w:r>
    </w:p>
    <w:p>
      <w:pPr>
        <w:pageBreakBefore w:val="0"/>
        <w:widowControl/>
        <w:kinsoku/>
        <w:wordWrap/>
        <w:overflowPunct/>
        <w:topLinePunct w:val="0"/>
        <w:autoSpaceDE/>
        <w:autoSpaceDN/>
        <w:bidi w:val="0"/>
        <w:spacing w:line="560" w:lineRule="exact"/>
        <w:ind w:left="210" w:leftChars="100" w:firstLine="640" w:firstLineChars="200"/>
        <w:jc w:val="left"/>
        <w:textAlignment w:val="auto"/>
        <w:rPr>
          <w:rFonts w:ascii="仿宋_GB2312" w:hAnsi="仿宋" w:eastAsia="仿宋_GB2312"/>
          <w:color w:val="000000"/>
          <w:kern w:val="0"/>
          <w:sz w:val="32"/>
          <w:szCs w:val="32"/>
        </w:rPr>
      </w:pPr>
      <w:r>
        <w:rPr>
          <w:rFonts w:hint="eastAsia" w:ascii="仿宋_GB2312" w:hAnsi="宋体" w:eastAsia="仿宋_GB2312" w:cs="宋体"/>
          <w:kern w:val="0"/>
          <w:sz w:val="32"/>
          <w:szCs w:val="32"/>
        </w:rPr>
        <w:t>总编制</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名,其中:行政编制1</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名,行政工勤编制 1名。在职人员总数</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 xml:space="preserve">名，其中：行政人员 </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名，行政工勤编制人员 1 名</w:t>
      </w:r>
      <w:r>
        <w:rPr>
          <w:rFonts w:hint="eastAsia" w:ascii="仿宋_GB2312" w:hAnsi="宋体" w:eastAsia="仿宋_GB2312" w:cs="宋体"/>
          <w:kern w:val="0"/>
          <w:sz w:val="32"/>
          <w:szCs w:val="32"/>
          <w:lang w:eastAsia="zh-CN"/>
        </w:rPr>
        <w:t>。</w:t>
      </w:r>
    </w:p>
    <w:p>
      <w:pPr>
        <w:pStyle w:val="2"/>
        <w:pageBreakBefore w:val="0"/>
        <w:kinsoku/>
        <w:wordWrap/>
        <w:overflowPunct/>
        <w:topLinePunct w:val="0"/>
        <w:autoSpaceDE/>
        <w:autoSpaceDN/>
        <w:bidi w:val="0"/>
        <w:spacing w:line="560" w:lineRule="exact"/>
        <w:ind w:right="440"/>
        <w:jc w:val="right"/>
        <w:textAlignment w:val="auto"/>
        <w:rPr>
          <w:rFonts w:ascii="方正小标宋简体" w:hAnsi="黑体" w:eastAsia="方正小标宋简体"/>
          <w:b w:val="0"/>
          <w:bCs w:val="0"/>
        </w:rPr>
      </w:pPr>
      <w:bookmarkStart w:id="14" w:name="_Toc15396602"/>
      <w:bookmarkStart w:id="15" w:name="_Toc15377204"/>
      <w:r>
        <w:rPr>
          <w:rFonts w:hint="eastAsia" w:ascii="方正小标宋简体" w:hAnsi="黑体" w:eastAsia="方正小标宋简体"/>
          <w:b w:val="0"/>
          <w:color w:val="000000"/>
        </w:rPr>
        <w:t>第二部分</w:t>
      </w:r>
      <w:r>
        <w:rPr>
          <w:rFonts w:hint="eastAsia" w:ascii="方正小标宋简体" w:hAnsi="黑体" w:eastAsia="方正小标宋简体"/>
          <w:color w:val="000000"/>
        </w:rPr>
        <w:t xml:space="preserve"> </w:t>
      </w:r>
      <w:r>
        <w:rPr>
          <w:rStyle w:val="24"/>
          <w:rFonts w:hint="eastAsia" w:ascii="方正小标宋简体" w:hAnsi="黑体" w:eastAsia="方正小标宋简体"/>
          <w:b w:val="0"/>
          <w:bCs w:val="0"/>
        </w:rPr>
        <w:t>2019年度部门决算情况说明</w:t>
      </w:r>
      <w:bookmarkEnd w:id="14"/>
      <w:bookmarkEnd w:id="15"/>
    </w:p>
    <w:p>
      <w:pPr>
        <w:pageBreakBefore w:val="0"/>
        <w:kinsoku/>
        <w:wordWrap/>
        <w:overflowPunct/>
        <w:topLinePunct w:val="0"/>
        <w:autoSpaceDE/>
        <w:autoSpaceDN/>
        <w:bidi w:val="0"/>
        <w:spacing w:line="560" w:lineRule="exact"/>
        <w:ind w:firstLine="640" w:firstLineChars="200"/>
        <w:textAlignment w:val="auto"/>
        <w:outlineLvl w:val="1"/>
        <w:rPr>
          <w:rStyle w:val="25"/>
          <w:rFonts w:ascii="黑体" w:hAnsi="黑体" w:eastAsia="黑体"/>
          <w:b w:val="0"/>
        </w:rPr>
      </w:pPr>
      <w:bookmarkStart w:id="16" w:name="_Toc15377205"/>
      <w:bookmarkStart w:id="17" w:name="_Toc15396603"/>
      <w:r>
        <w:rPr>
          <w:rFonts w:hint="eastAsia" w:ascii="黑体" w:hAnsi="黑体" w:eastAsia="黑体"/>
          <w:color w:val="000000"/>
          <w:sz w:val="32"/>
          <w:szCs w:val="32"/>
        </w:rPr>
        <w:t>一、收</w:t>
      </w:r>
      <w:r>
        <w:rPr>
          <w:rStyle w:val="25"/>
          <w:rFonts w:hint="eastAsia" w:ascii="黑体" w:hAnsi="黑体" w:eastAsia="黑体"/>
          <w:b w:val="0"/>
        </w:rPr>
        <w:t>入支出决算总体情况说明</w:t>
      </w:r>
      <w:bookmarkEnd w:id="16"/>
      <w:bookmarkEnd w:id="17"/>
    </w:p>
    <w:p>
      <w:pPr>
        <w:pageBreakBefore w:val="0"/>
        <w:kinsoku/>
        <w:wordWrap/>
        <w:overflowPunct/>
        <w:topLinePunct w:val="0"/>
        <w:autoSpaceDE/>
        <w:autoSpaceDN/>
        <w:bidi w:val="0"/>
        <w:spacing w:line="560" w:lineRule="exact"/>
        <w:ind w:firstLine="480" w:firstLineChars="150"/>
        <w:jc w:val="left"/>
        <w:textAlignment w:val="auto"/>
        <w:outlineLvl w:val="1"/>
        <w:rPr>
          <w:rFonts w:ascii="仿宋_GB2312" w:hAnsi="黑体" w:eastAsia="仿宋_GB2312" w:cstheme="majorBidi"/>
          <w:bCs/>
          <w:sz w:val="32"/>
          <w:szCs w:val="32"/>
        </w:rPr>
      </w:pPr>
      <w:r>
        <w:rPr>
          <w:rFonts w:hint="eastAsia" w:ascii="仿宋_GB2312" w:eastAsia="仿宋_GB2312" w:cs="仿宋_GB2312"/>
          <w:sz w:val="32"/>
          <w:szCs w:val="32"/>
        </w:rPr>
        <w:t>本年财政收入</w:t>
      </w:r>
      <w:r>
        <w:rPr>
          <w:rFonts w:hint="eastAsia" w:ascii="仿宋_GB2312" w:eastAsia="仿宋_GB2312" w:cs="仿宋_GB2312"/>
          <w:sz w:val="32"/>
          <w:szCs w:val="32"/>
          <w:lang w:val="en-US" w:eastAsia="zh-CN"/>
        </w:rPr>
        <w:t>353.82</w:t>
      </w:r>
      <w:r>
        <w:rPr>
          <w:rFonts w:hint="eastAsia" w:ascii="仿宋_GB2312" w:eastAsia="仿宋_GB2312" w:cs="仿宋_GB2312"/>
          <w:sz w:val="32"/>
          <w:szCs w:val="32"/>
        </w:rPr>
        <w:t>万元，</w:t>
      </w:r>
      <w:r>
        <w:rPr>
          <w:rFonts w:hint="eastAsia" w:ascii="仿宋_GB2312" w:eastAsia="仿宋_GB2312"/>
          <w:sz w:val="32"/>
          <w:szCs w:val="32"/>
        </w:rPr>
        <w:t>2018</w:t>
      </w:r>
      <w:r>
        <w:rPr>
          <w:rFonts w:hint="eastAsia" w:ascii="仿宋_GB2312" w:eastAsia="仿宋_GB2312" w:cs="仿宋_GB2312"/>
          <w:sz w:val="32"/>
          <w:szCs w:val="32"/>
        </w:rPr>
        <w:t>年财政预收入</w:t>
      </w:r>
      <w:r>
        <w:rPr>
          <w:rFonts w:hint="eastAsia" w:ascii="仿宋" w:hAnsi="仿宋" w:eastAsia="仿宋"/>
          <w:color w:val="000000"/>
          <w:sz w:val="32"/>
          <w:szCs w:val="32"/>
          <w:lang w:val="en-US" w:eastAsia="zh-CN"/>
        </w:rPr>
        <w:t>228.48</w:t>
      </w:r>
      <w:r>
        <w:rPr>
          <w:rFonts w:hint="eastAsia" w:ascii="仿宋_GB2312" w:eastAsia="仿宋_GB2312"/>
          <w:sz w:val="32"/>
          <w:szCs w:val="32"/>
        </w:rPr>
        <w:t>万元，</w:t>
      </w:r>
      <w:r>
        <w:rPr>
          <w:rFonts w:hint="eastAsia" w:ascii="仿宋_GB2312" w:eastAsia="仿宋_GB2312" w:cs="仿宋_GB2312"/>
          <w:sz w:val="32"/>
          <w:szCs w:val="32"/>
        </w:rPr>
        <w:t>比去年</w:t>
      </w:r>
      <w:r>
        <w:rPr>
          <w:rFonts w:hint="eastAsia" w:ascii="仿宋_GB2312" w:eastAsia="仿宋_GB2312" w:cs="仿宋_GB2312"/>
          <w:sz w:val="32"/>
          <w:szCs w:val="32"/>
          <w:lang w:eastAsia="zh-CN"/>
        </w:rPr>
        <w:t>增加</w:t>
      </w:r>
      <w:r>
        <w:rPr>
          <w:rFonts w:hint="eastAsia" w:ascii="仿宋_GB2312" w:eastAsia="仿宋_GB2312" w:cs="仿宋_GB2312"/>
          <w:sz w:val="32"/>
          <w:szCs w:val="32"/>
          <w:lang w:val="en-US" w:eastAsia="zh-CN"/>
        </w:rPr>
        <w:t>125.34</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增加</w:t>
      </w:r>
      <w:r>
        <w:rPr>
          <w:rFonts w:hint="eastAsia" w:ascii="仿宋_GB2312" w:eastAsia="仿宋_GB2312" w:cs="仿宋_GB2312"/>
          <w:sz w:val="32"/>
          <w:szCs w:val="32"/>
          <w:lang w:val="en-US" w:eastAsia="zh-CN"/>
        </w:rPr>
        <w:t xml:space="preserve">54.8 </w:t>
      </w:r>
      <w:r>
        <w:rPr>
          <w:rFonts w:hint="eastAsia" w:ascii="仿宋_GB2312" w:eastAsia="仿宋_GB2312" w:cs="仿宋_GB2312"/>
          <w:sz w:val="32"/>
          <w:szCs w:val="32"/>
        </w:rPr>
        <w:t>%。本年支出数</w:t>
      </w:r>
      <w:r>
        <w:rPr>
          <w:rFonts w:hint="eastAsia" w:ascii="仿宋_GB2312" w:eastAsia="仿宋_GB2312" w:cs="仿宋_GB2312"/>
          <w:color w:val="000000"/>
          <w:sz w:val="32"/>
          <w:szCs w:val="32"/>
          <w:lang w:val="en-US" w:eastAsia="zh-CN"/>
        </w:rPr>
        <w:t>369.76</w:t>
      </w:r>
      <w:r>
        <w:rPr>
          <w:rFonts w:hint="eastAsia" w:ascii="仿宋_GB2312" w:eastAsia="仿宋_GB2312" w:cs="仿宋_GB2312"/>
          <w:sz w:val="32"/>
          <w:szCs w:val="32"/>
        </w:rPr>
        <w:t>万元，</w:t>
      </w:r>
      <w:r>
        <w:rPr>
          <w:rFonts w:hint="eastAsia" w:ascii="仿宋_GB2312" w:eastAsia="仿宋_GB2312"/>
          <w:sz w:val="32"/>
          <w:szCs w:val="32"/>
        </w:rPr>
        <w:t>2018</w:t>
      </w:r>
      <w:r>
        <w:rPr>
          <w:rFonts w:hint="eastAsia" w:ascii="仿宋_GB2312" w:eastAsia="仿宋_GB2312" w:cs="仿宋_GB2312"/>
          <w:sz w:val="32"/>
          <w:szCs w:val="32"/>
        </w:rPr>
        <w:t>年支出数</w:t>
      </w:r>
      <w:r>
        <w:rPr>
          <w:rFonts w:hint="eastAsia" w:ascii="仿宋_GB2312" w:eastAsia="仿宋_GB2312"/>
          <w:color w:val="000000"/>
          <w:sz w:val="32"/>
          <w:szCs w:val="32"/>
          <w:lang w:val="en-US" w:eastAsia="zh-CN"/>
        </w:rPr>
        <w:t>403.39</w:t>
      </w:r>
      <w:r>
        <w:rPr>
          <w:rFonts w:hint="eastAsia" w:ascii="仿宋_GB2312" w:eastAsia="仿宋_GB2312" w:cs="仿宋_GB2312"/>
          <w:sz w:val="32"/>
          <w:szCs w:val="32"/>
        </w:rPr>
        <w:t>元</w:t>
      </w:r>
      <w:r>
        <w:rPr>
          <w:rFonts w:hint="eastAsia" w:ascii="仿宋_GB2312" w:eastAsia="仿宋_GB2312" w:cs="仿宋_GB2312"/>
          <w:sz w:val="32"/>
          <w:szCs w:val="32"/>
          <w:lang w:eastAsia="zh-CN"/>
        </w:rPr>
        <w:t>，</w:t>
      </w:r>
      <w:r>
        <w:rPr>
          <w:rFonts w:hint="eastAsia" w:ascii="仿宋_GB2312" w:eastAsia="仿宋_GB2312" w:cs="仿宋_GB2312"/>
          <w:sz w:val="32"/>
          <w:szCs w:val="32"/>
        </w:rPr>
        <w:t>比去年</w:t>
      </w:r>
      <w:r>
        <w:rPr>
          <w:rFonts w:hint="eastAsia" w:ascii="仿宋_GB2312" w:eastAsia="仿宋_GB2312" w:cs="仿宋_GB2312"/>
          <w:sz w:val="32"/>
          <w:szCs w:val="32"/>
          <w:lang w:eastAsia="zh-CN"/>
        </w:rPr>
        <w:t>减少</w:t>
      </w:r>
      <w:r>
        <w:rPr>
          <w:rFonts w:hint="eastAsia" w:ascii="仿宋_GB2312" w:eastAsia="仿宋_GB2312" w:cs="仿宋_GB2312"/>
          <w:sz w:val="32"/>
          <w:szCs w:val="32"/>
          <w:lang w:val="en-US" w:eastAsia="zh-CN"/>
        </w:rPr>
        <w:t xml:space="preserve">33.63  </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下降</w:t>
      </w:r>
      <w:r>
        <w:rPr>
          <w:rFonts w:hint="eastAsia" w:ascii="仿宋_GB2312" w:eastAsia="仿宋_GB2312" w:cs="仿宋_GB2312"/>
          <w:sz w:val="32"/>
          <w:szCs w:val="32"/>
          <w:lang w:val="en-US" w:eastAsia="zh-CN"/>
        </w:rPr>
        <w:t xml:space="preserve"> 8.3</w:t>
      </w:r>
      <w:r>
        <w:rPr>
          <w:rFonts w:hint="eastAsia" w:ascii="仿宋_GB2312" w:eastAsia="仿宋_GB2312"/>
          <w:sz w:val="32"/>
          <w:szCs w:val="32"/>
        </w:rPr>
        <w:t>%</w:t>
      </w:r>
      <w:r>
        <w:rPr>
          <w:rFonts w:hint="eastAsia" w:ascii="仿宋_GB2312" w:eastAsia="仿宋_GB2312" w:cs="仿宋_GB2312"/>
          <w:sz w:val="32"/>
          <w:szCs w:val="32"/>
        </w:rPr>
        <w:t>。</w:t>
      </w:r>
    </w:p>
    <w:p>
      <w:pPr>
        <w:pageBreakBefore w:val="0"/>
        <w:kinsoku/>
        <w:wordWrap/>
        <w:overflowPunct/>
        <w:topLinePunct w:val="0"/>
        <w:bidi w:val="0"/>
        <w:spacing w:line="560" w:lineRule="exact"/>
        <w:ind w:firstLine="640" w:firstLineChars="200"/>
        <w:rPr>
          <w:rFonts w:eastAsia="仿宋_GB2312" w:cs="仿宋_GB2312"/>
          <w:sz w:val="32"/>
          <w:szCs w:val="32"/>
        </w:rPr>
      </w:pPr>
      <w:r>
        <w:rPr>
          <w:rFonts w:hint="eastAsia" w:eastAsia="仿宋_GB2312" w:cs="仿宋_GB2312"/>
          <w:sz w:val="32"/>
          <w:szCs w:val="32"/>
          <w:lang w:eastAsia="zh-CN"/>
        </w:rPr>
        <w:drawing>
          <wp:anchor distT="0" distB="0" distL="114300" distR="114300" simplePos="0" relativeHeight="251662336" behindDoc="0" locked="0" layoutInCell="1" allowOverlap="1">
            <wp:simplePos x="0" y="0"/>
            <wp:positionH relativeFrom="column">
              <wp:posOffset>549910</wp:posOffset>
            </wp:positionH>
            <wp:positionV relativeFrom="paragraph">
              <wp:posOffset>26670</wp:posOffset>
            </wp:positionV>
            <wp:extent cx="4296410" cy="2830195"/>
            <wp:effectExtent l="4445" t="4445" r="23495" b="2286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ageBreakBefore w:val="0"/>
        <w:kinsoku/>
        <w:wordWrap/>
        <w:overflowPunct/>
        <w:topLinePunct w:val="0"/>
        <w:bidi w:val="0"/>
        <w:spacing w:line="560" w:lineRule="exact"/>
        <w:ind w:left="142" w:firstLine="320" w:firstLineChars="100"/>
        <w:outlineLvl w:val="1"/>
        <w:rPr>
          <w:rStyle w:val="25"/>
          <w:rFonts w:ascii="黑体" w:hAnsi="黑体" w:eastAsia="黑体"/>
          <w:b w:val="0"/>
        </w:rPr>
      </w:pPr>
      <w:bookmarkStart w:id="18" w:name="_Toc15377206"/>
      <w:bookmarkStart w:id="19" w:name="_Toc15396604"/>
      <w:r>
        <w:rPr>
          <w:rFonts w:hint="eastAsia" w:ascii="黑体" w:hAnsi="黑体" w:eastAsia="黑体"/>
          <w:color w:val="000000"/>
          <w:sz w:val="32"/>
          <w:szCs w:val="32"/>
        </w:rPr>
        <w:t>二、收</w:t>
      </w:r>
      <w:r>
        <w:rPr>
          <w:rStyle w:val="25"/>
          <w:rFonts w:hint="eastAsia" w:ascii="黑体" w:hAnsi="黑体" w:eastAsia="黑体"/>
          <w:b w:val="0"/>
        </w:rPr>
        <w:t>入决算情况说明</w:t>
      </w:r>
      <w:bookmarkEnd w:id="18"/>
      <w:bookmarkEnd w:id="19"/>
    </w:p>
    <w:p>
      <w:pPr>
        <w:pageBreakBefore w:val="0"/>
        <w:kinsoku/>
        <w:wordWrap/>
        <w:overflowPunct/>
        <w:topLinePunct w:val="0"/>
        <w:bidi w:val="0"/>
        <w:snapToGrid w:val="0"/>
        <w:spacing w:line="560" w:lineRule="exact"/>
        <w:ind w:firstLine="640" w:firstLineChars="200"/>
        <w:rPr>
          <w:rFonts w:ascii="仿宋_GB2312" w:eastAsia="仿宋_GB2312" w:cs="仿宋_GB2312"/>
          <w:sz w:val="32"/>
          <w:szCs w:val="32"/>
        </w:rPr>
      </w:pPr>
      <w:r>
        <w:rPr>
          <w:rFonts w:hint="eastAsia" w:ascii="仿宋_GB2312" w:hAnsi="仿宋" w:eastAsia="仿宋_GB2312"/>
          <w:color w:val="000000"/>
          <w:sz w:val="32"/>
          <w:szCs w:val="32"/>
        </w:rPr>
        <w:t>2019年本年收入</w:t>
      </w:r>
      <w:r>
        <w:rPr>
          <w:rFonts w:hint="eastAsia" w:ascii="仿宋_GB2312" w:eastAsia="仿宋_GB2312" w:cs="仿宋_GB2312"/>
          <w:sz w:val="32"/>
          <w:szCs w:val="32"/>
        </w:rPr>
        <w:t>共计</w:t>
      </w:r>
      <w:r>
        <w:rPr>
          <w:rFonts w:hint="eastAsia" w:ascii="仿宋_GB2312" w:eastAsia="仿宋_GB2312" w:cs="仿宋_GB2312"/>
          <w:sz w:val="32"/>
          <w:szCs w:val="32"/>
          <w:lang w:val="en-US" w:eastAsia="zh-CN"/>
        </w:rPr>
        <w:t>353.82</w:t>
      </w:r>
      <w:r>
        <w:rPr>
          <w:rFonts w:hint="eastAsia" w:ascii="仿宋_GB2312" w:eastAsia="仿宋_GB2312" w:cs="仿宋_GB2312"/>
          <w:sz w:val="32"/>
          <w:szCs w:val="32"/>
        </w:rPr>
        <w:t>万元。其中：财政拨款收入</w:t>
      </w:r>
      <w:r>
        <w:rPr>
          <w:rFonts w:hint="eastAsia" w:ascii="仿宋_GB2312" w:eastAsia="仿宋_GB2312" w:cs="仿宋_GB2312"/>
          <w:sz w:val="32"/>
          <w:szCs w:val="32"/>
          <w:lang w:val="en-US" w:eastAsia="zh-CN"/>
        </w:rPr>
        <w:t>353.82</w:t>
      </w:r>
      <w:r>
        <w:rPr>
          <w:rFonts w:hint="eastAsia" w:ascii="仿宋_GB2312" w:eastAsia="仿宋_GB2312" w:cs="仿宋_GB2312"/>
          <w:sz w:val="32"/>
          <w:szCs w:val="32"/>
        </w:rPr>
        <w:t>万元；</w:t>
      </w:r>
    </w:p>
    <w:p>
      <w:pPr>
        <w:pageBreakBefore w:val="0"/>
        <w:kinsoku/>
        <w:wordWrap/>
        <w:overflowPunct/>
        <w:topLinePunct w:val="0"/>
        <w:bidi w:val="0"/>
        <w:spacing w:line="560" w:lineRule="exact"/>
        <w:ind w:firstLine="640" w:firstLineChars="200"/>
        <w:outlineLvl w:val="1"/>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63360" behindDoc="0" locked="0" layoutInCell="1" allowOverlap="1">
            <wp:simplePos x="0" y="0"/>
            <wp:positionH relativeFrom="column">
              <wp:posOffset>1090295</wp:posOffset>
            </wp:positionH>
            <wp:positionV relativeFrom="paragraph">
              <wp:posOffset>255270</wp:posOffset>
            </wp:positionV>
            <wp:extent cx="2567305" cy="2308225"/>
            <wp:effectExtent l="4445" t="4445" r="19050" b="1143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ageBreakBefore w:val="0"/>
        <w:kinsoku/>
        <w:wordWrap/>
        <w:overflowPunct/>
        <w:topLinePunct w:val="0"/>
        <w:bidi w:val="0"/>
        <w:spacing w:line="560" w:lineRule="exact"/>
        <w:ind w:firstLine="640" w:firstLineChars="200"/>
        <w:outlineLvl w:val="1"/>
        <w:rPr>
          <w:rFonts w:ascii="仿宋" w:hAnsi="仿宋" w:eastAsia="仿宋"/>
          <w:color w:val="000000"/>
          <w:sz w:val="32"/>
          <w:szCs w:val="32"/>
        </w:rPr>
      </w:pPr>
    </w:p>
    <w:p>
      <w:pPr>
        <w:pageBreakBefore w:val="0"/>
        <w:kinsoku/>
        <w:wordWrap/>
        <w:overflowPunct/>
        <w:topLinePunct w:val="0"/>
        <w:bidi w:val="0"/>
        <w:spacing w:line="560" w:lineRule="exact"/>
        <w:ind w:firstLine="640" w:firstLineChars="200"/>
        <w:outlineLvl w:val="1"/>
        <w:rPr>
          <w:rFonts w:ascii="仿宋" w:hAnsi="仿宋" w:eastAsia="仿宋"/>
          <w:color w:val="000000"/>
          <w:sz w:val="32"/>
          <w:szCs w:val="32"/>
        </w:rPr>
      </w:pPr>
    </w:p>
    <w:p>
      <w:pPr>
        <w:pageBreakBefore w:val="0"/>
        <w:kinsoku/>
        <w:wordWrap/>
        <w:overflowPunct/>
        <w:topLinePunct w:val="0"/>
        <w:bidi w:val="0"/>
        <w:spacing w:line="560" w:lineRule="exact"/>
        <w:ind w:firstLine="640" w:firstLineChars="200"/>
        <w:outlineLvl w:val="1"/>
        <w:rPr>
          <w:rFonts w:ascii="仿宋" w:hAnsi="仿宋" w:eastAsia="仿宋"/>
          <w:color w:val="000000"/>
          <w:sz w:val="32"/>
          <w:szCs w:val="32"/>
        </w:rPr>
      </w:pPr>
    </w:p>
    <w:p>
      <w:pPr>
        <w:pageBreakBefore w:val="0"/>
        <w:kinsoku/>
        <w:wordWrap/>
        <w:overflowPunct/>
        <w:topLinePunct w:val="0"/>
        <w:bidi w:val="0"/>
        <w:spacing w:line="560" w:lineRule="exact"/>
        <w:ind w:firstLine="640" w:firstLineChars="200"/>
        <w:outlineLvl w:val="1"/>
        <w:rPr>
          <w:rFonts w:ascii="仿宋" w:hAnsi="仿宋" w:eastAsia="仿宋"/>
          <w:color w:val="000000"/>
          <w:sz w:val="32"/>
          <w:szCs w:val="32"/>
        </w:rPr>
      </w:pPr>
    </w:p>
    <w:p>
      <w:pPr>
        <w:pageBreakBefore w:val="0"/>
        <w:kinsoku/>
        <w:wordWrap/>
        <w:overflowPunct/>
        <w:topLinePunct w:val="0"/>
        <w:bidi w:val="0"/>
        <w:spacing w:line="560" w:lineRule="exact"/>
        <w:ind w:firstLine="640" w:firstLineChars="200"/>
        <w:outlineLvl w:val="1"/>
        <w:rPr>
          <w:rFonts w:ascii="仿宋" w:hAnsi="仿宋" w:eastAsia="仿宋"/>
          <w:color w:val="000000"/>
          <w:sz w:val="32"/>
          <w:szCs w:val="32"/>
        </w:rPr>
      </w:pPr>
    </w:p>
    <w:p>
      <w:pPr>
        <w:pageBreakBefore w:val="0"/>
        <w:kinsoku/>
        <w:wordWrap/>
        <w:overflowPunct/>
        <w:topLinePunct w:val="0"/>
        <w:bidi w:val="0"/>
        <w:spacing w:line="560" w:lineRule="exact"/>
        <w:outlineLvl w:val="1"/>
        <w:rPr>
          <w:rFonts w:ascii="仿宋" w:hAnsi="仿宋" w:eastAsia="仿宋"/>
          <w:color w:val="000000"/>
          <w:sz w:val="32"/>
          <w:szCs w:val="32"/>
        </w:rPr>
      </w:pPr>
    </w:p>
    <w:p>
      <w:pPr>
        <w:pageBreakBefore w:val="0"/>
        <w:kinsoku/>
        <w:wordWrap/>
        <w:overflowPunct/>
        <w:topLinePunct w:val="0"/>
        <w:bidi w:val="0"/>
        <w:spacing w:line="560" w:lineRule="exact"/>
        <w:ind w:firstLine="800" w:firstLineChars="250"/>
        <w:outlineLvl w:val="1"/>
        <w:rPr>
          <w:rFonts w:hint="eastAsia" w:ascii="黑体" w:hAnsi="黑体" w:eastAsia="黑体"/>
          <w:color w:val="000000"/>
          <w:sz w:val="32"/>
          <w:szCs w:val="32"/>
        </w:rPr>
      </w:pPr>
      <w:bookmarkStart w:id="20" w:name="_Toc15377207"/>
      <w:bookmarkStart w:id="21" w:name="_Toc15396605"/>
    </w:p>
    <w:p>
      <w:pPr>
        <w:pageBreakBefore w:val="0"/>
        <w:kinsoku/>
        <w:wordWrap/>
        <w:overflowPunct/>
        <w:topLinePunct w:val="0"/>
        <w:bidi w:val="0"/>
        <w:spacing w:line="560" w:lineRule="exact"/>
        <w:ind w:firstLine="800" w:firstLineChars="250"/>
        <w:outlineLvl w:val="1"/>
        <w:rPr>
          <w:rStyle w:val="25"/>
          <w:rFonts w:ascii="黑体" w:hAnsi="黑体" w:eastAsia="黑体"/>
          <w:b w:val="0"/>
        </w:rPr>
      </w:pPr>
      <w:r>
        <w:rPr>
          <w:rFonts w:hint="eastAsia" w:ascii="黑体" w:hAnsi="黑体" w:eastAsia="黑体"/>
          <w:color w:val="000000"/>
          <w:sz w:val="32"/>
          <w:szCs w:val="32"/>
        </w:rPr>
        <w:t>三、支</w:t>
      </w:r>
      <w:r>
        <w:rPr>
          <w:rStyle w:val="25"/>
          <w:rFonts w:hint="eastAsia" w:ascii="黑体" w:hAnsi="黑体" w:eastAsia="黑体"/>
          <w:b w:val="0"/>
        </w:rPr>
        <w:t>出决算情况</w:t>
      </w:r>
      <w:bookmarkEnd w:id="20"/>
      <w:bookmarkEnd w:id="21"/>
      <w:r>
        <w:rPr>
          <w:rStyle w:val="25"/>
          <w:rFonts w:hint="eastAsia" w:ascii="黑体" w:hAnsi="黑体" w:eastAsia="黑体"/>
          <w:b w:val="0"/>
        </w:rPr>
        <w:t>说明</w:t>
      </w:r>
    </w:p>
    <w:p>
      <w:pPr>
        <w:pageBreakBefore w:val="0"/>
        <w:kinsoku/>
        <w:wordWrap/>
        <w:overflowPunct/>
        <w:topLinePunct w:val="0"/>
        <w:bidi w:val="0"/>
        <w:spacing w:line="560" w:lineRule="exact"/>
        <w:ind w:left="142" w:firstLine="640" w:firstLineChars="200"/>
        <w:outlineLvl w:val="1"/>
        <w:rPr>
          <w:rFonts w:ascii="黑体" w:hAnsi="黑体" w:eastAsia="黑体" w:cstheme="majorBidi"/>
          <w:bCs/>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w:t>
      </w:r>
      <w:r>
        <w:rPr>
          <w:rFonts w:hint="eastAsia" w:eastAsia="仿宋_GB2312" w:cs="仿宋_GB2312"/>
          <w:sz w:val="32"/>
          <w:szCs w:val="32"/>
        </w:rPr>
        <w:t>共计</w:t>
      </w:r>
      <w:r>
        <w:rPr>
          <w:rFonts w:hint="eastAsia" w:eastAsia="仿宋_GB2312"/>
          <w:sz w:val="32"/>
          <w:szCs w:val="32"/>
          <w:lang w:val="en-US" w:eastAsia="zh-CN"/>
        </w:rPr>
        <w:t>369.76</w:t>
      </w:r>
      <w:r>
        <w:rPr>
          <w:rFonts w:hint="eastAsia" w:eastAsia="仿宋_GB2312" w:cs="仿宋_GB2312"/>
          <w:sz w:val="32"/>
          <w:szCs w:val="32"/>
        </w:rPr>
        <w:t>万元。其中：一般公共服务支出</w:t>
      </w:r>
      <w:r>
        <w:rPr>
          <w:rFonts w:hint="eastAsia" w:eastAsia="仿宋_GB2312"/>
          <w:sz w:val="32"/>
          <w:szCs w:val="32"/>
          <w:lang w:val="en-US" w:eastAsia="zh-CN"/>
        </w:rPr>
        <w:t>303.33</w:t>
      </w:r>
      <w:r>
        <w:rPr>
          <w:rFonts w:hint="eastAsia" w:eastAsia="仿宋_GB2312" w:cs="仿宋_GB2312"/>
          <w:sz w:val="32"/>
          <w:szCs w:val="32"/>
        </w:rPr>
        <w:t>万元；社会保障和就业支出</w:t>
      </w:r>
      <w:r>
        <w:rPr>
          <w:rFonts w:hint="eastAsia" w:eastAsia="仿宋_GB2312"/>
          <w:sz w:val="32"/>
          <w:szCs w:val="32"/>
          <w:lang w:val="en-US" w:eastAsia="zh-CN"/>
        </w:rPr>
        <w:t>28.24</w:t>
      </w:r>
      <w:r>
        <w:rPr>
          <w:rFonts w:hint="eastAsia" w:eastAsia="仿宋_GB2312" w:cs="仿宋_GB2312"/>
          <w:sz w:val="32"/>
          <w:szCs w:val="32"/>
        </w:rPr>
        <w:t>万元；</w:t>
      </w:r>
      <w:r>
        <w:rPr>
          <w:rFonts w:hint="eastAsia" w:eastAsia="仿宋_GB2312" w:cs="仿宋_GB2312"/>
          <w:sz w:val="32"/>
          <w:szCs w:val="32"/>
          <w:lang w:eastAsia="zh-CN"/>
        </w:rPr>
        <w:t>卫生健康支出</w:t>
      </w:r>
      <w:r>
        <w:rPr>
          <w:rFonts w:hint="eastAsia" w:eastAsia="仿宋_GB2312"/>
          <w:sz w:val="32"/>
          <w:szCs w:val="32"/>
          <w:lang w:val="en-US" w:eastAsia="zh-CN"/>
        </w:rPr>
        <w:t>8.26</w:t>
      </w:r>
      <w:r>
        <w:rPr>
          <w:rFonts w:hint="eastAsia" w:eastAsia="仿宋_GB2312" w:cs="仿宋_GB2312"/>
          <w:sz w:val="32"/>
          <w:szCs w:val="32"/>
        </w:rPr>
        <w:t>万元；住房保障支出</w:t>
      </w:r>
      <w:r>
        <w:rPr>
          <w:rFonts w:hint="eastAsia" w:eastAsia="仿宋_GB2312"/>
          <w:sz w:val="32"/>
          <w:szCs w:val="32"/>
          <w:lang w:val="en-US" w:eastAsia="zh-CN"/>
        </w:rPr>
        <w:t>19.93</w:t>
      </w:r>
      <w:r>
        <w:rPr>
          <w:rFonts w:hint="eastAsia" w:eastAsia="仿宋_GB2312" w:cs="仿宋_GB2312"/>
          <w:sz w:val="32"/>
          <w:szCs w:val="32"/>
        </w:rPr>
        <w:t>万元</w:t>
      </w:r>
      <w:r>
        <w:rPr>
          <w:rFonts w:hint="eastAsia" w:eastAsia="仿宋_GB2312" w:cs="仿宋_GB2312"/>
          <w:sz w:val="32"/>
          <w:szCs w:val="32"/>
          <w:lang w:eastAsia="zh-CN"/>
        </w:rPr>
        <w:t>，农林水支出</w:t>
      </w:r>
      <w:r>
        <w:rPr>
          <w:rFonts w:hint="eastAsia" w:eastAsia="仿宋_GB2312" w:cs="仿宋_GB2312"/>
          <w:sz w:val="32"/>
          <w:szCs w:val="32"/>
          <w:lang w:val="en-US" w:eastAsia="zh-CN"/>
        </w:rPr>
        <w:t>10万元</w:t>
      </w:r>
      <w:r>
        <w:rPr>
          <w:rFonts w:hint="eastAsia" w:eastAsia="仿宋_GB2312" w:cs="仿宋_GB2312"/>
          <w:sz w:val="32"/>
          <w:szCs w:val="32"/>
        </w:rPr>
        <w:t>。</w:t>
      </w:r>
    </w:p>
    <w:p>
      <w:pPr>
        <w:pageBreakBefore w:val="0"/>
        <w:kinsoku/>
        <w:wordWrap/>
        <w:overflowPunct/>
        <w:topLinePunct w:val="0"/>
        <w:bidi w:val="0"/>
        <w:spacing w:line="560" w:lineRule="exact"/>
        <w:ind w:firstLine="640" w:firstLineChars="200"/>
        <w:rPr>
          <w:rFonts w:ascii="仿宋_GB2312" w:eastAsia="仿宋_GB2312"/>
          <w:color w:val="FF0000"/>
          <w:sz w:val="32"/>
          <w:szCs w:val="32"/>
        </w:rPr>
      </w:pPr>
    </w:p>
    <w:p>
      <w:pPr>
        <w:pageBreakBefore w:val="0"/>
        <w:kinsoku/>
        <w:wordWrap/>
        <w:overflowPunct/>
        <w:topLinePunct w:val="0"/>
        <w:bidi w:val="0"/>
        <w:spacing w:line="560" w:lineRule="exact"/>
        <w:ind w:firstLine="640" w:firstLineChars="200"/>
        <w:rPr>
          <w:rFonts w:ascii="仿宋_GB2312" w:eastAsia="仿宋_GB2312"/>
          <w:color w:val="FF0000"/>
          <w:sz w:val="32"/>
          <w:szCs w:val="32"/>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64384" behindDoc="0" locked="0" layoutInCell="1" allowOverlap="1">
            <wp:simplePos x="0" y="0"/>
            <wp:positionH relativeFrom="column">
              <wp:posOffset>83820</wp:posOffset>
            </wp:positionH>
            <wp:positionV relativeFrom="paragraph">
              <wp:posOffset>144780</wp:posOffset>
            </wp:positionV>
            <wp:extent cx="5196840" cy="2131695"/>
            <wp:effectExtent l="0" t="0" r="3810" b="59055"/>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ageBreakBefore w:val="0"/>
        <w:kinsoku/>
        <w:wordWrap/>
        <w:overflowPunct/>
        <w:topLinePunct w:val="0"/>
        <w:bidi w:val="0"/>
        <w:spacing w:line="560" w:lineRule="exact"/>
        <w:ind w:firstLine="640" w:firstLineChars="200"/>
        <w:outlineLvl w:val="1"/>
        <w:rPr>
          <w:rStyle w:val="25"/>
          <w:rFonts w:ascii="黑体" w:hAnsi="黑体" w:eastAsia="黑体"/>
          <w:b w:val="0"/>
        </w:rPr>
      </w:pPr>
      <w:bookmarkStart w:id="22" w:name="_Toc15377208"/>
      <w:bookmarkStart w:id="23" w:name="_Toc15396606"/>
      <w:r>
        <w:rPr>
          <w:rFonts w:hint="eastAsia" w:ascii="黑体" w:hAnsi="黑体" w:eastAsia="黑体"/>
          <w:color w:val="000000"/>
          <w:sz w:val="32"/>
          <w:szCs w:val="32"/>
        </w:rPr>
        <w:t>四、</w:t>
      </w:r>
      <w:r>
        <w:rPr>
          <w:rStyle w:val="25"/>
          <w:rFonts w:hint="eastAsia" w:ascii="黑体" w:hAnsi="黑体" w:eastAsia="黑体"/>
          <w:b w:val="0"/>
        </w:rPr>
        <w:t>政拨款收入支出决算总体情况说明</w:t>
      </w:r>
      <w:bookmarkEnd w:id="22"/>
      <w:bookmarkEnd w:id="23"/>
    </w:p>
    <w:p>
      <w:pPr>
        <w:pageBreakBefore w:val="0"/>
        <w:kinsoku/>
        <w:wordWrap/>
        <w:overflowPunct/>
        <w:topLinePunct w:val="0"/>
        <w:bidi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2019年度收、支总计</w:t>
      </w:r>
      <w:r>
        <w:rPr>
          <w:rFonts w:hint="eastAsia" w:ascii="仿宋_GB2312" w:hAnsi="仿宋" w:eastAsia="仿宋_GB2312"/>
          <w:color w:val="000000"/>
          <w:sz w:val="32"/>
          <w:szCs w:val="32"/>
          <w:lang w:val="en-US" w:eastAsia="zh-CN"/>
        </w:rPr>
        <w:t>723.59</w:t>
      </w:r>
      <w:r>
        <w:rPr>
          <w:rFonts w:hint="eastAsia" w:ascii="仿宋_GB2312" w:hAnsi="仿宋" w:eastAsia="仿宋_GB2312"/>
          <w:color w:val="000000"/>
          <w:sz w:val="32"/>
          <w:szCs w:val="32"/>
        </w:rPr>
        <w:t>万元、2018年度收、支总计</w:t>
      </w:r>
      <w:r>
        <w:rPr>
          <w:rFonts w:hint="eastAsia" w:ascii="仿宋" w:hAnsi="仿宋" w:eastAsia="仿宋"/>
          <w:color w:val="000000"/>
          <w:sz w:val="32"/>
          <w:szCs w:val="32"/>
        </w:rPr>
        <w:t>631.87</w:t>
      </w:r>
      <w:r>
        <w:rPr>
          <w:rFonts w:hint="eastAsia" w:ascii="仿宋" w:hAnsi="仿宋" w:eastAsia="仿宋"/>
          <w:color w:val="000000"/>
          <w:sz w:val="32"/>
          <w:szCs w:val="32"/>
          <w:lang w:eastAsia="zh-CN"/>
        </w:rPr>
        <w:t>万元</w:t>
      </w:r>
      <w:r>
        <w:rPr>
          <w:rFonts w:hint="eastAsia" w:ascii="仿宋_GB2312" w:hAnsi="仿宋" w:eastAsia="仿宋_GB2312"/>
          <w:color w:val="000000"/>
          <w:sz w:val="32"/>
          <w:szCs w:val="32"/>
        </w:rPr>
        <w:t>。与2018年相比，收、支总计增加</w:t>
      </w:r>
      <w:r>
        <w:rPr>
          <w:rFonts w:hint="eastAsia" w:ascii="仿宋_GB2312" w:hAnsi="仿宋" w:eastAsia="仿宋_GB2312"/>
          <w:color w:val="000000"/>
          <w:sz w:val="32"/>
          <w:szCs w:val="32"/>
          <w:lang w:val="en-US" w:eastAsia="zh-CN"/>
        </w:rPr>
        <w:t>91.72</w:t>
      </w:r>
      <w:r>
        <w:rPr>
          <w:rFonts w:hint="eastAsia" w:ascii="仿宋_GB2312" w:hAnsi="仿宋" w:eastAsia="仿宋_GB2312"/>
          <w:color w:val="000000"/>
          <w:sz w:val="32"/>
          <w:szCs w:val="32"/>
        </w:rPr>
        <w:t>万元，增长</w:t>
      </w:r>
      <w:r>
        <w:rPr>
          <w:rFonts w:hint="eastAsia" w:ascii="仿宋_GB2312" w:hAnsi="仿宋" w:eastAsia="仿宋_GB2312"/>
          <w:color w:val="000000"/>
          <w:sz w:val="32"/>
          <w:szCs w:val="32"/>
          <w:lang w:val="en-US" w:eastAsia="zh-CN"/>
        </w:rPr>
        <w:t>14.5</w:t>
      </w:r>
      <w:r>
        <w:rPr>
          <w:rFonts w:hint="eastAsia" w:ascii="仿宋_GB2312" w:hAnsi="仿宋" w:eastAsia="仿宋_GB2312"/>
          <w:color w:val="000000"/>
          <w:sz w:val="32"/>
          <w:szCs w:val="32"/>
        </w:rPr>
        <w:t>%。主要变动原因是2019年</w:t>
      </w:r>
      <w:r>
        <w:rPr>
          <w:rFonts w:hint="eastAsia" w:ascii="仿宋_GB2312" w:hAnsi="仿宋" w:eastAsia="仿宋_GB2312"/>
          <w:color w:val="000000"/>
          <w:sz w:val="32"/>
          <w:szCs w:val="32"/>
          <w:lang w:eastAsia="zh-CN"/>
        </w:rPr>
        <w:t>项目减少、娜泽求宗社区管理委员会日常公用经费调整至我委</w:t>
      </w:r>
      <w:r>
        <w:rPr>
          <w:rFonts w:hint="eastAsia" w:ascii="仿宋_GB2312" w:hAnsi="仿宋" w:eastAsia="仿宋_GB2312"/>
          <w:color w:val="000000"/>
          <w:sz w:val="32"/>
          <w:szCs w:val="32"/>
        </w:rPr>
        <w:t>。</w:t>
      </w:r>
    </w:p>
    <w:p>
      <w:pPr>
        <w:pageBreakBefore w:val="0"/>
        <w:kinsoku/>
        <w:wordWrap/>
        <w:overflowPunct/>
        <w:topLinePunct w:val="0"/>
        <w:bidi w:val="0"/>
        <w:spacing w:line="560" w:lineRule="exact"/>
        <w:ind w:firstLine="640" w:firstLineChars="200"/>
        <w:outlineLvl w:val="1"/>
        <w:rPr>
          <w:rStyle w:val="25"/>
          <w:rFonts w:ascii="黑体" w:hAnsi="黑体" w:eastAsia="黑体"/>
          <w:b w:val="0"/>
        </w:rPr>
      </w:pPr>
      <w:bookmarkStart w:id="24" w:name="_Toc15377209"/>
      <w:bookmarkStart w:id="25"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24"/>
      <w:bookmarkEnd w:id="25"/>
    </w:p>
    <w:p>
      <w:pPr>
        <w:pageBreakBefore w:val="0"/>
        <w:kinsoku/>
        <w:wordWrap/>
        <w:overflowPunct/>
        <w:topLinePunct w:val="0"/>
        <w:bidi w:val="0"/>
        <w:spacing w:line="560" w:lineRule="exact"/>
        <w:ind w:firstLine="321" w:firstLineChars="100"/>
        <w:outlineLvl w:val="2"/>
        <w:rPr>
          <w:rFonts w:ascii="楷体_GB2312" w:hAnsi="仿宋" w:eastAsia="楷体_GB2312"/>
          <w:b/>
          <w:color w:val="000000"/>
          <w:sz w:val="32"/>
          <w:szCs w:val="32"/>
        </w:rPr>
      </w:pPr>
      <w:bookmarkStart w:id="26" w:name="_Toc15377210"/>
      <w:r>
        <w:rPr>
          <w:rFonts w:hint="eastAsia" w:ascii="楷体_GB2312" w:hAnsi="仿宋" w:eastAsia="楷体_GB2312"/>
          <w:b/>
          <w:color w:val="000000"/>
          <w:sz w:val="32"/>
          <w:szCs w:val="32"/>
        </w:rPr>
        <w:t>（一）一般公共预算财政拨款支出决算总体情况</w:t>
      </w:r>
      <w:bookmarkEnd w:id="26"/>
    </w:p>
    <w:p>
      <w:pPr>
        <w:pageBreakBefore w:val="0"/>
        <w:kinsoku/>
        <w:wordWrap/>
        <w:overflowPunct/>
        <w:topLinePunct w:val="0"/>
        <w:bidi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2019年一般公共预算财政拨款支出</w:t>
      </w:r>
      <w:r>
        <w:rPr>
          <w:rFonts w:hint="eastAsia" w:eastAsia="仿宋_GB2312"/>
          <w:sz w:val="32"/>
          <w:szCs w:val="32"/>
        </w:rPr>
        <w:t>3708.14</w:t>
      </w:r>
      <w:r>
        <w:rPr>
          <w:rFonts w:hint="eastAsia" w:ascii="仿宋_GB2312" w:hAnsi="仿宋" w:eastAsia="仿宋_GB2312"/>
          <w:color w:val="000000"/>
          <w:sz w:val="32"/>
          <w:szCs w:val="32"/>
        </w:rPr>
        <w:t>万元，占本年支出合计的</w:t>
      </w:r>
      <w:r>
        <w:rPr>
          <w:rFonts w:hint="eastAsia" w:ascii="仿宋_GB2312" w:hAnsi="仿宋" w:eastAsia="仿宋_GB2312"/>
          <w:color w:val="000000"/>
          <w:sz w:val="32"/>
          <w:szCs w:val="32"/>
          <w:lang w:val="en-US" w:eastAsia="zh-CN"/>
        </w:rPr>
        <w:t>100</w:t>
      </w:r>
      <w:r>
        <w:rPr>
          <w:rFonts w:hint="eastAsia" w:ascii="仿宋_GB2312" w:hAnsi="仿宋" w:eastAsia="仿宋_GB2312"/>
          <w:color w:val="000000"/>
          <w:sz w:val="32"/>
          <w:szCs w:val="32"/>
        </w:rPr>
        <w:t>%。与2018年相比，一般公共预算财政拨款</w:t>
      </w:r>
      <w:r>
        <w:rPr>
          <w:rFonts w:hint="eastAsia" w:ascii="仿宋_GB2312" w:eastAsia="仿宋_GB2312" w:cs="仿宋_GB2312"/>
          <w:sz w:val="32"/>
          <w:szCs w:val="32"/>
        </w:rPr>
        <w:t>比去年</w:t>
      </w:r>
      <w:r>
        <w:rPr>
          <w:rFonts w:hint="eastAsia" w:ascii="仿宋_GB2312" w:eastAsia="仿宋_GB2312" w:cs="仿宋_GB2312"/>
          <w:sz w:val="32"/>
          <w:szCs w:val="32"/>
          <w:lang w:eastAsia="zh-CN"/>
        </w:rPr>
        <w:t>增加</w:t>
      </w:r>
      <w:r>
        <w:rPr>
          <w:rFonts w:hint="eastAsia" w:ascii="仿宋_GB2312" w:eastAsia="仿宋_GB2312" w:cs="仿宋_GB2312"/>
          <w:sz w:val="32"/>
          <w:szCs w:val="32"/>
          <w:lang w:val="en-US" w:eastAsia="zh-CN"/>
        </w:rPr>
        <w:t>2297.23</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增加</w:t>
      </w:r>
      <w:r>
        <w:rPr>
          <w:rFonts w:hint="eastAsia" w:ascii="仿宋_GB2312" w:eastAsia="仿宋_GB2312" w:cs="仿宋_GB2312"/>
          <w:sz w:val="32"/>
          <w:szCs w:val="32"/>
          <w:lang w:val="en-US" w:eastAsia="zh-CN"/>
        </w:rPr>
        <w:t>162</w:t>
      </w:r>
      <w:r>
        <w:rPr>
          <w:rFonts w:hint="eastAsia" w:ascii="仿宋_GB2312" w:eastAsia="仿宋_GB2312"/>
          <w:sz w:val="32"/>
          <w:szCs w:val="32"/>
        </w:rPr>
        <w:t>%</w:t>
      </w:r>
      <w:r>
        <w:rPr>
          <w:rFonts w:hint="eastAsia" w:ascii="仿宋_GB2312" w:eastAsia="仿宋_GB2312" w:cs="仿宋_GB2312"/>
          <w:sz w:val="32"/>
          <w:szCs w:val="32"/>
        </w:rPr>
        <w:t>。</w:t>
      </w:r>
      <w:r>
        <w:rPr>
          <w:rFonts w:hint="eastAsia" w:ascii="仿宋_GB2312" w:hAnsi="仿宋" w:eastAsia="仿宋_GB2312"/>
          <w:color w:val="000000"/>
          <w:sz w:val="32"/>
          <w:szCs w:val="32"/>
        </w:rPr>
        <w:t>主要变动原因是</w:t>
      </w:r>
      <w:r>
        <w:rPr>
          <w:rFonts w:hint="eastAsia" w:ascii="仿宋_GB2312" w:hAnsi="仿宋" w:eastAsia="仿宋_GB2312"/>
          <w:color w:val="000000"/>
          <w:sz w:val="32"/>
          <w:szCs w:val="32"/>
          <w:lang w:eastAsia="zh-CN"/>
        </w:rPr>
        <w:t>项目增加</w:t>
      </w:r>
      <w:r>
        <w:rPr>
          <w:rFonts w:hint="eastAsia" w:ascii="仿宋_GB2312" w:hAnsi="仿宋" w:eastAsia="仿宋_GB2312"/>
          <w:color w:val="000000"/>
          <w:sz w:val="32"/>
          <w:szCs w:val="32"/>
        </w:rPr>
        <w:t>。</w:t>
      </w:r>
    </w:p>
    <w:p>
      <w:pPr>
        <w:pageBreakBefore w:val="0"/>
        <w:kinsoku/>
        <w:wordWrap/>
        <w:overflowPunct/>
        <w:topLinePunct w:val="0"/>
        <w:bidi w:val="0"/>
        <w:spacing w:line="560" w:lineRule="exact"/>
        <w:ind w:firstLine="482" w:firstLineChars="150"/>
        <w:outlineLvl w:val="2"/>
        <w:rPr>
          <w:rFonts w:ascii="楷体_GB2312" w:hAnsi="仿宋" w:eastAsia="楷体_GB2312"/>
          <w:b/>
          <w:color w:val="000000"/>
          <w:sz w:val="32"/>
          <w:szCs w:val="32"/>
        </w:rPr>
      </w:pPr>
      <w:bookmarkStart w:id="27" w:name="_Toc15377211"/>
      <w:r>
        <w:rPr>
          <w:rFonts w:hint="eastAsia" w:ascii="楷体_GB2312" w:hAnsi="仿宋" w:eastAsia="楷体_GB2312"/>
          <w:b/>
          <w:color w:val="000000"/>
          <w:sz w:val="32"/>
          <w:szCs w:val="32"/>
        </w:rPr>
        <w:t>（二）一般公共预算财政拨款支出决算结构情况</w:t>
      </w:r>
      <w:bookmarkEnd w:id="27"/>
    </w:p>
    <w:p>
      <w:pPr>
        <w:pageBreakBefore w:val="0"/>
        <w:kinsoku/>
        <w:wordWrap/>
        <w:overflowPunct/>
        <w:topLinePunct w:val="0"/>
        <w:bidi w:val="0"/>
        <w:spacing w:line="560" w:lineRule="exact"/>
        <w:ind w:firstLine="640"/>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color w:val="000000"/>
          <w:sz w:val="32"/>
          <w:szCs w:val="32"/>
        </w:rPr>
        <w:t>2019年一般公共预算财</w:t>
      </w:r>
      <w:r>
        <w:rPr>
          <w:rFonts w:hint="eastAsia" w:ascii="仿宋_GB2312" w:hAnsi="仿宋" w:eastAsia="仿宋_GB2312"/>
          <w:color w:val="000000" w:themeColor="text1"/>
          <w:sz w:val="32"/>
          <w:szCs w:val="32"/>
          <w14:textFill>
            <w14:solidFill>
              <w14:schemeClr w14:val="tx1"/>
            </w14:solidFill>
          </w14:textFill>
        </w:rPr>
        <w:t>政拨款支出</w:t>
      </w:r>
      <w:r>
        <w:rPr>
          <w:rFonts w:hint="eastAsia" w:eastAsia="仿宋_GB2312"/>
          <w:sz w:val="32"/>
          <w:szCs w:val="32"/>
          <w:lang w:val="en-US" w:eastAsia="zh-CN"/>
        </w:rPr>
        <w:t>369.76</w:t>
      </w:r>
      <w:r>
        <w:rPr>
          <w:rFonts w:hint="eastAsia" w:ascii="仿宋_GB2312" w:hAnsi="仿宋" w:eastAsia="仿宋_GB2312"/>
          <w:color w:val="000000" w:themeColor="text1"/>
          <w:sz w:val="32"/>
          <w:szCs w:val="32"/>
          <w14:textFill>
            <w14:solidFill>
              <w14:schemeClr w14:val="tx1"/>
            </w14:solidFill>
          </w14:textFill>
        </w:rPr>
        <w:t>万元，主要用于以下方面:</w:t>
      </w:r>
      <w:r>
        <w:rPr>
          <w:rFonts w:hint="eastAsia" w:ascii="仿宋_GB2312" w:hAnsi="仿宋" w:eastAsia="仿宋_GB2312"/>
          <w:b/>
          <w:color w:val="000000" w:themeColor="text1"/>
          <w:sz w:val="32"/>
          <w:szCs w:val="32"/>
          <w14:textFill>
            <w14:solidFill>
              <w14:schemeClr w14:val="tx1"/>
            </w14:solidFill>
          </w14:textFill>
        </w:rPr>
        <w:t>一般公共服务（类）</w:t>
      </w:r>
      <w:r>
        <w:rPr>
          <w:rFonts w:hint="eastAsia" w:ascii="仿宋_GB2312" w:hAnsi="仿宋" w:eastAsia="仿宋_GB2312"/>
          <w:color w:val="000000" w:themeColor="text1"/>
          <w:sz w:val="32"/>
          <w:szCs w:val="32"/>
          <w14:textFill>
            <w14:solidFill>
              <w14:schemeClr w14:val="tx1"/>
            </w14:solidFill>
          </w14:textFill>
        </w:rPr>
        <w:t>支出</w:t>
      </w:r>
      <w:r>
        <w:rPr>
          <w:rFonts w:hint="eastAsia" w:ascii="仿宋_GB2312" w:hAnsi="仿宋" w:eastAsia="仿宋_GB2312"/>
          <w:color w:val="000000" w:themeColor="text1"/>
          <w:sz w:val="32"/>
          <w:szCs w:val="32"/>
          <w:lang w:val="en-US" w:eastAsia="zh-CN"/>
          <w14:textFill>
            <w14:solidFill>
              <w14:schemeClr w14:val="tx1"/>
            </w14:solidFill>
          </w14:textFill>
        </w:rPr>
        <w:t>303.33</w:t>
      </w:r>
      <w:r>
        <w:rPr>
          <w:rFonts w:hint="eastAsia" w:ascii="仿宋_GB2312" w:hAnsi="仿宋" w:eastAsia="仿宋_GB2312"/>
          <w:color w:val="000000" w:themeColor="text1"/>
          <w:sz w:val="32"/>
          <w:szCs w:val="32"/>
          <w14:textFill>
            <w14:solidFill>
              <w14:schemeClr w14:val="tx1"/>
            </w14:solidFill>
          </w14:textFill>
        </w:rPr>
        <w:t>万元，占</w:t>
      </w:r>
      <w:r>
        <w:rPr>
          <w:rFonts w:hint="eastAsia" w:ascii="仿宋_GB2312" w:hAnsi="仿宋" w:eastAsia="仿宋_GB2312"/>
          <w:color w:val="000000" w:themeColor="text1"/>
          <w:sz w:val="32"/>
          <w:szCs w:val="32"/>
          <w:lang w:val="en-US" w:eastAsia="zh-CN"/>
          <w14:textFill>
            <w14:solidFill>
              <w14:schemeClr w14:val="tx1"/>
            </w14:solidFill>
          </w14:textFill>
        </w:rPr>
        <w:t>82</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b/>
          <w:bCs/>
          <w:color w:val="000000" w:themeColor="text1"/>
          <w:sz w:val="32"/>
          <w:szCs w:val="32"/>
          <w:lang w:eastAsia="zh-CN"/>
          <w14:textFill>
            <w14:solidFill>
              <w14:schemeClr w14:val="tx1"/>
            </w14:solidFill>
          </w14:textFill>
        </w:rPr>
        <w:t>社会保障和就业</w:t>
      </w:r>
      <w:r>
        <w:rPr>
          <w:rFonts w:hint="eastAsia" w:ascii="仿宋_GB2312" w:hAnsi="仿宋" w:eastAsia="仿宋_GB2312"/>
          <w:b/>
          <w:bCs/>
          <w:color w:val="000000" w:themeColor="text1"/>
          <w:sz w:val="32"/>
          <w:szCs w:val="32"/>
          <w14:textFill>
            <w14:solidFill>
              <w14:schemeClr w14:val="tx1"/>
            </w14:solidFill>
          </w14:textFill>
        </w:rPr>
        <w:t>支出</w:t>
      </w:r>
      <w:r>
        <w:rPr>
          <w:rFonts w:hint="eastAsia" w:ascii="仿宋_GB2312" w:hAnsi="仿宋" w:eastAsia="仿宋_GB2312"/>
          <w:color w:val="000000" w:themeColor="text1"/>
          <w:sz w:val="32"/>
          <w:szCs w:val="32"/>
          <w:lang w:val="en-US" w:eastAsia="zh-CN"/>
          <w14:textFill>
            <w14:solidFill>
              <w14:schemeClr w14:val="tx1"/>
            </w14:solidFill>
          </w14:textFill>
        </w:rPr>
        <w:t>28.24</w:t>
      </w:r>
      <w:r>
        <w:rPr>
          <w:rFonts w:hint="eastAsia" w:ascii="仿宋_GB2312" w:hAnsi="仿宋" w:eastAsia="仿宋_GB2312"/>
          <w:color w:val="000000" w:themeColor="text1"/>
          <w:sz w:val="32"/>
          <w:szCs w:val="32"/>
          <w14:textFill>
            <w14:solidFill>
              <w14:schemeClr w14:val="tx1"/>
            </w14:solidFill>
          </w14:textFill>
        </w:rPr>
        <w:t>万元，占</w:t>
      </w:r>
      <w:r>
        <w:rPr>
          <w:rFonts w:hint="eastAsia" w:ascii="仿宋_GB2312" w:hAnsi="仿宋" w:eastAsia="仿宋_GB2312"/>
          <w:color w:val="000000" w:themeColor="text1"/>
          <w:sz w:val="32"/>
          <w:szCs w:val="32"/>
          <w:lang w:val="en-US" w:eastAsia="zh-CN"/>
          <w14:textFill>
            <w14:solidFill>
              <w14:schemeClr w14:val="tx1"/>
            </w14:solidFill>
          </w14:textFill>
        </w:rPr>
        <w:t>0.8</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b/>
          <w:bCs/>
          <w:color w:val="000000" w:themeColor="text1"/>
          <w:sz w:val="32"/>
          <w:szCs w:val="32"/>
          <w:lang w:eastAsia="zh-CN"/>
          <w14:textFill>
            <w14:solidFill>
              <w14:schemeClr w14:val="tx1"/>
            </w14:solidFill>
          </w14:textFill>
        </w:rPr>
        <w:t>卫生健康支出</w:t>
      </w:r>
      <w:r>
        <w:rPr>
          <w:rFonts w:hint="eastAsia" w:ascii="仿宋_GB2312" w:hAnsi="仿宋" w:eastAsia="仿宋_GB2312"/>
          <w:color w:val="000000" w:themeColor="text1"/>
          <w:sz w:val="32"/>
          <w:szCs w:val="32"/>
          <w:lang w:val="en-US" w:eastAsia="zh-CN"/>
          <w14:textFill>
            <w14:solidFill>
              <w14:schemeClr w14:val="tx1"/>
            </w14:solidFill>
          </w14:textFill>
        </w:rPr>
        <w:t>8.26</w:t>
      </w:r>
      <w:r>
        <w:rPr>
          <w:rFonts w:hint="eastAsia" w:ascii="仿宋_GB2312" w:hAnsi="仿宋" w:eastAsia="仿宋_GB2312"/>
          <w:color w:val="000000" w:themeColor="text1"/>
          <w:sz w:val="32"/>
          <w:szCs w:val="32"/>
          <w:lang w:eastAsia="zh-CN"/>
          <w14:textFill>
            <w14:solidFill>
              <w14:schemeClr w14:val="tx1"/>
            </w14:solidFill>
          </w14:textFill>
        </w:rPr>
        <w:t>万元，占</w:t>
      </w:r>
      <w:r>
        <w:rPr>
          <w:rFonts w:hint="eastAsia" w:ascii="仿宋_GB2312" w:hAnsi="仿宋" w:eastAsia="仿宋_GB2312"/>
          <w:color w:val="000000" w:themeColor="text1"/>
          <w:sz w:val="32"/>
          <w:szCs w:val="32"/>
          <w:lang w:val="en-US" w:eastAsia="zh-CN"/>
          <w14:textFill>
            <w14:solidFill>
              <w14:schemeClr w14:val="tx1"/>
            </w14:solidFill>
          </w14:textFill>
        </w:rPr>
        <w:t>0.2%；</w:t>
      </w:r>
      <w:r>
        <w:rPr>
          <w:rFonts w:hint="eastAsia" w:ascii="仿宋_GB2312" w:hAnsi="仿宋" w:eastAsia="仿宋_GB2312"/>
          <w:b/>
          <w:bCs/>
          <w:color w:val="000000" w:themeColor="text1"/>
          <w:sz w:val="32"/>
          <w:szCs w:val="32"/>
          <w:lang w:val="en-US" w:eastAsia="zh-CN"/>
          <w14:textFill>
            <w14:solidFill>
              <w14:schemeClr w14:val="tx1"/>
            </w14:solidFill>
          </w14:textFill>
        </w:rPr>
        <w:t>农林水支出</w:t>
      </w:r>
      <w:r>
        <w:rPr>
          <w:rFonts w:hint="eastAsia" w:ascii="仿宋_GB2312" w:hAnsi="仿宋" w:eastAsia="仿宋_GB2312"/>
          <w:color w:val="000000" w:themeColor="text1"/>
          <w:sz w:val="32"/>
          <w:szCs w:val="32"/>
          <w:lang w:val="en-US" w:eastAsia="zh-CN"/>
          <w14:textFill>
            <w14:solidFill>
              <w14:schemeClr w14:val="tx1"/>
            </w14:solidFill>
          </w14:textFill>
        </w:rPr>
        <w:t>10万元，占0.3%；</w:t>
      </w:r>
      <w:r>
        <w:rPr>
          <w:rFonts w:hint="eastAsia" w:ascii="仿宋_GB2312" w:hAnsi="仿宋" w:eastAsia="仿宋_GB2312"/>
          <w:b/>
          <w:bCs/>
          <w:color w:val="000000" w:themeColor="text1"/>
          <w:sz w:val="32"/>
          <w:szCs w:val="32"/>
          <w:lang w:eastAsia="zh-CN"/>
          <w14:textFill>
            <w14:solidFill>
              <w14:schemeClr w14:val="tx1"/>
            </w14:solidFill>
          </w14:textFill>
        </w:rPr>
        <w:t>住房保障支出</w:t>
      </w:r>
      <w:r>
        <w:rPr>
          <w:rFonts w:hint="eastAsia" w:ascii="仿宋_GB2312" w:hAnsi="仿宋" w:eastAsia="仿宋_GB2312"/>
          <w:color w:val="000000" w:themeColor="text1"/>
          <w:sz w:val="32"/>
          <w:szCs w:val="32"/>
          <w:lang w:val="en-US" w:eastAsia="zh-CN"/>
          <w14:textFill>
            <w14:solidFill>
              <w14:schemeClr w14:val="tx1"/>
            </w14:solidFill>
          </w14:textFill>
        </w:rPr>
        <w:t>19.93</w:t>
      </w:r>
      <w:r>
        <w:rPr>
          <w:rFonts w:hint="eastAsia" w:ascii="仿宋_GB2312" w:hAnsi="仿宋" w:eastAsia="仿宋_GB2312"/>
          <w:color w:val="000000" w:themeColor="text1"/>
          <w:sz w:val="32"/>
          <w:szCs w:val="32"/>
          <w14:textFill>
            <w14:solidFill>
              <w14:schemeClr w14:val="tx1"/>
            </w14:solidFill>
          </w14:textFill>
        </w:rPr>
        <w:t>万元，占</w:t>
      </w:r>
      <w:r>
        <w:rPr>
          <w:rFonts w:hint="eastAsia" w:ascii="仿宋_GB2312" w:hAnsi="仿宋" w:eastAsia="仿宋_GB2312"/>
          <w:color w:val="000000" w:themeColor="text1"/>
          <w:sz w:val="32"/>
          <w:szCs w:val="32"/>
          <w:lang w:val="en-US" w:eastAsia="zh-CN"/>
          <w14:textFill>
            <w14:solidFill>
              <w14:schemeClr w14:val="tx1"/>
            </w14:solidFill>
          </w14:textFill>
        </w:rPr>
        <w:t>0.5</w:t>
      </w:r>
      <w:r>
        <w:rPr>
          <w:rFonts w:hint="eastAsia" w:ascii="仿宋_GB2312" w:hAnsi="仿宋" w:eastAsia="仿宋_GB2312"/>
          <w:color w:val="000000" w:themeColor="text1"/>
          <w:sz w:val="32"/>
          <w:szCs w:val="32"/>
          <w14:textFill>
            <w14:solidFill>
              <w14:schemeClr w14:val="tx1"/>
            </w14:solidFill>
          </w14:textFill>
        </w:rPr>
        <w:t>%。</w:t>
      </w:r>
    </w:p>
    <w:p>
      <w:pPr>
        <w:pageBreakBefore w:val="0"/>
        <w:kinsoku/>
        <w:wordWrap/>
        <w:overflowPunct/>
        <w:topLinePunct w:val="0"/>
        <w:bidi w:val="0"/>
        <w:spacing w:line="560" w:lineRule="exact"/>
        <w:outlineLvl w:val="2"/>
        <w:rPr>
          <w:rFonts w:hint="eastAsia" w:ascii="仿宋" w:hAnsi="仿宋" w:eastAsia="仿宋"/>
          <w:b/>
          <w:color w:val="000000"/>
          <w:sz w:val="32"/>
          <w:szCs w:val="32"/>
          <w:lang w:val="en-US" w:eastAsia="zh-CN"/>
        </w:rPr>
      </w:pPr>
      <w:bookmarkStart w:id="28" w:name="_Toc15377212"/>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71552" behindDoc="0" locked="0" layoutInCell="1" allowOverlap="1">
            <wp:simplePos x="0" y="0"/>
            <wp:positionH relativeFrom="column">
              <wp:posOffset>-78740</wp:posOffset>
            </wp:positionH>
            <wp:positionV relativeFrom="paragraph">
              <wp:posOffset>698500</wp:posOffset>
            </wp:positionV>
            <wp:extent cx="5196840" cy="2131695"/>
            <wp:effectExtent l="0" t="0" r="3810" b="5905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b/>
          <w:color w:val="000000"/>
          <w:sz w:val="32"/>
          <w:szCs w:val="32"/>
          <w:lang w:val="en-US" w:eastAsia="zh-CN"/>
        </w:rPr>
        <w:t xml:space="preserve"> </w:t>
      </w:r>
    </w:p>
    <w:p>
      <w:pPr>
        <w:pageBreakBefore w:val="0"/>
        <w:kinsoku/>
        <w:wordWrap/>
        <w:overflowPunct/>
        <w:topLinePunct w:val="0"/>
        <w:bidi w:val="0"/>
        <w:spacing w:line="560" w:lineRule="exact"/>
        <w:ind w:firstLine="482" w:firstLineChars="150"/>
        <w:outlineLvl w:val="2"/>
        <w:rPr>
          <w:rFonts w:ascii="楷体_GB2312" w:hAnsi="仿宋" w:eastAsia="楷体_GB2312"/>
          <w:b/>
          <w:color w:val="000000"/>
          <w:sz w:val="32"/>
          <w:szCs w:val="32"/>
        </w:rPr>
      </w:pPr>
      <w:r>
        <w:rPr>
          <w:rFonts w:hint="eastAsia" w:ascii="楷体_GB2312" w:hAnsi="仿宋" w:eastAsia="楷体_GB2312"/>
          <w:b/>
          <w:color w:val="000000"/>
          <w:sz w:val="32"/>
          <w:szCs w:val="32"/>
        </w:rPr>
        <w:t>（三）一般公共预算财政拨款支出决算具体情况</w:t>
      </w:r>
      <w:bookmarkEnd w:id="28"/>
    </w:p>
    <w:p>
      <w:pPr>
        <w:pageBreakBefore w:val="0"/>
        <w:kinsoku/>
        <w:wordWrap/>
        <w:overflowPunct/>
        <w:topLinePunct w:val="0"/>
        <w:bidi w:val="0"/>
        <w:spacing w:line="560" w:lineRule="exact"/>
        <w:ind w:firstLine="643" w:firstLineChars="200"/>
        <w:outlineLvl w:val="2"/>
        <w:rPr>
          <w:rFonts w:ascii="仿宋_GB2312" w:hAnsi="仿宋" w:eastAsia="仿宋_GB2312"/>
          <w:color w:val="FF0000"/>
          <w:sz w:val="32"/>
          <w:szCs w:val="32"/>
        </w:rPr>
      </w:pPr>
      <w:bookmarkStart w:id="29" w:name="_Toc15378460"/>
      <w:bookmarkStart w:id="30" w:name="_Toc15377213"/>
      <w:bookmarkStart w:id="31" w:name="_Toc15377444"/>
      <w:r>
        <w:rPr>
          <w:rFonts w:hint="eastAsia" w:ascii="仿宋_GB2312" w:hAnsi="仿宋" w:eastAsia="仿宋_GB2312"/>
          <w:b/>
          <w:color w:val="000000" w:themeColor="text1"/>
          <w:sz w:val="32"/>
          <w:szCs w:val="32"/>
          <w14:textFill>
            <w14:solidFill>
              <w14:schemeClr w14:val="tx1"/>
            </w14:solidFill>
          </w14:textFill>
        </w:rPr>
        <w:t>2019年一般公共预算支出决算数为</w:t>
      </w:r>
      <w:r>
        <w:rPr>
          <w:rFonts w:hint="eastAsia" w:eastAsia="仿宋_GB2312"/>
          <w:sz w:val="32"/>
          <w:szCs w:val="32"/>
          <w:lang w:val="en-US" w:eastAsia="zh-CN"/>
        </w:rPr>
        <w:t>369.76</w:t>
      </w:r>
      <w:r>
        <w:rPr>
          <w:rFonts w:hint="eastAsia" w:eastAsia="仿宋_GB2312"/>
          <w:sz w:val="32"/>
          <w:szCs w:val="32"/>
          <w:lang w:eastAsia="zh-CN"/>
        </w:rPr>
        <w:t>万元</w:t>
      </w:r>
      <w:r>
        <w:rPr>
          <w:rFonts w:hint="eastAsia" w:ascii="仿宋_GB2312" w:hAnsi="仿宋" w:eastAsia="仿宋_GB2312"/>
          <w:color w:val="000000" w:themeColor="text1"/>
          <w:sz w:val="32"/>
          <w:szCs w:val="32"/>
          <w14:textFill>
            <w14:solidFill>
              <w14:schemeClr w14:val="tx1"/>
            </w14:solidFill>
          </w14:textFill>
        </w:rPr>
        <w:t>，</w:t>
      </w:r>
      <w:r>
        <w:rPr>
          <w:rStyle w:val="14"/>
          <w:rFonts w:hint="eastAsia" w:ascii="仿宋_GB2312" w:hAnsi="仿宋" w:eastAsia="仿宋_GB2312"/>
          <w:bCs/>
          <w:color w:val="000000" w:themeColor="text1"/>
          <w:sz w:val="32"/>
          <w:szCs w:val="32"/>
          <w14:textFill>
            <w14:solidFill>
              <w14:schemeClr w14:val="tx1"/>
            </w14:solidFill>
          </w14:textFill>
        </w:rPr>
        <w:t>完成</w:t>
      </w:r>
      <w:r>
        <w:rPr>
          <w:rStyle w:val="14"/>
          <w:rFonts w:hint="eastAsia" w:ascii="仿宋_GB2312" w:hAnsi="仿宋" w:eastAsia="仿宋_GB2312"/>
          <w:bCs/>
          <w:color w:val="000000"/>
          <w:sz w:val="32"/>
          <w:szCs w:val="32"/>
        </w:rPr>
        <w:t>预算100%。其中：</w:t>
      </w:r>
      <w:bookmarkEnd w:id="29"/>
      <w:bookmarkEnd w:id="30"/>
      <w:bookmarkEnd w:id="31"/>
    </w:p>
    <w:p>
      <w:pPr>
        <w:pageBreakBefore w:val="0"/>
        <w:kinsoku/>
        <w:wordWrap/>
        <w:overflowPunct/>
        <w:topLinePunct w:val="0"/>
        <w:bidi w:val="0"/>
        <w:spacing w:line="560" w:lineRule="exact"/>
        <w:ind w:firstLine="643" w:firstLineChars="200"/>
        <w:rPr>
          <w:rStyle w:val="14"/>
          <w:rFonts w:ascii="仿宋_GB2312" w:eastAsia="仿宋_GB2312"/>
          <w:b w:val="0"/>
          <w:bCs/>
          <w:color w:val="000000"/>
          <w:sz w:val="32"/>
          <w:szCs w:val="32"/>
        </w:rPr>
      </w:pPr>
      <w:r>
        <w:rPr>
          <w:rStyle w:val="14"/>
          <w:rFonts w:hint="eastAsia" w:ascii="仿宋_GB2312" w:eastAsia="仿宋_GB2312" w:cs="仿宋_GB2312"/>
          <w:color w:val="000000"/>
          <w:sz w:val="32"/>
          <w:szCs w:val="32"/>
        </w:rPr>
        <w:t>一般公共服务（</w:t>
      </w:r>
      <w:r>
        <w:rPr>
          <w:rStyle w:val="14"/>
          <w:rFonts w:hint="eastAsia" w:ascii="仿宋_GB2312" w:eastAsia="仿宋_GB2312"/>
          <w:color w:val="000000"/>
          <w:sz w:val="32"/>
          <w:szCs w:val="32"/>
        </w:rPr>
        <w:t>201</w:t>
      </w:r>
      <w:r>
        <w:rPr>
          <w:rStyle w:val="14"/>
          <w:rFonts w:hint="eastAsia" w:ascii="仿宋_GB2312" w:eastAsia="仿宋_GB2312" w:cs="仿宋_GB2312"/>
          <w:color w:val="000000"/>
          <w:sz w:val="32"/>
          <w:szCs w:val="32"/>
        </w:rPr>
        <w:t>类）</w:t>
      </w:r>
      <w:r>
        <w:rPr>
          <w:rStyle w:val="14"/>
          <w:rFonts w:hint="eastAsia" w:ascii="仿宋_GB2312" w:eastAsia="仿宋_GB2312"/>
          <w:color w:val="000000"/>
          <w:sz w:val="32"/>
          <w:szCs w:val="32"/>
        </w:rPr>
        <w:t>:</w:t>
      </w:r>
      <w:r>
        <w:rPr>
          <w:rStyle w:val="14"/>
          <w:rFonts w:hint="eastAsia" w:ascii="仿宋_GB2312" w:eastAsia="仿宋_GB2312"/>
          <w:b w:val="0"/>
          <w:bCs/>
          <w:color w:val="000000"/>
          <w:sz w:val="32"/>
          <w:szCs w:val="32"/>
        </w:rPr>
        <w:t xml:space="preserve"> </w:t>
      </w:r>
      <w:r>
        <w:rPr>
          <w:rStyle w:val="14"/>
          <w:rFonts w:hint="eastAsia" w:ascii="仿宋_GB2312" w:eastAsia="仿宋_GB2312" w:cs="仿宋_GB2312"/>
          <w:b w:val="0"/>
          <w:bCs/>
          <w:color w:val="000000"/>
          <w:sz w:val="32"/>
          <w:szCs w:val="32"/>
        </w:rPr>
        <w:t>支出决算为</w:t>
      </w:r>
      <w:r>
        <w:rPr>
          <w:rFonts w:hint="eastAsia" w:ascii="仿宋_GB2312" w:hAnsi="仿宋" w:eastAsia="仿宋_GB2312"/>
          <w:color w:val="000000" w:themeColor="text1"/>
          <w:sz w:val="32"/>
          <w:szCs w:val="32"/>
          <w:lang w:val="en-US" w:eastAsia="zh-CN"/>
          <w14:textFill>
            <w14:solidFill>
              <w14:schemeClr w14:val="tx1"/>
            </w14:solidFill>
          </w14:textFill>
        </w:rPr>
        <w:t>303.33</w:t>
      </w:r>
      <w:r>
        <w:rPr>
          <w:rStyle w:val="14"/>
          <w:rFonts w:hint="eastAsia" w:ascii="仿宋_GB2312" w:eastAsia="仿宋_GB2312" w:cs="仿宋_GB2312"/>
          <w:b w:val="0"/>
          <w:bCs/>
          <w:color w:val="000000"/>
          <w:sz w:val="32"/>
          <w:szCs w:val="32"/>
        </w:rPr>
        <w:t>万元，主要用于其他一般公共服务支出（</w:t>
      </w:r>
      <w:r>
        <w:rPr>
          <w:rStyle w:val="14"/>
          <w:rFonts w:hint="eastAsia" w:ascii="仿宋_GB2312" w:eastAsia="仿宋_GB2312" w:cs="仿宋_GB2312"/>
          <w:b w:val="0"/>
          <w:bCs/>
          <w:color w:val="000000"/>
          <w:sz w:val="32"/>
          <w:szCs w:val="32"/>
          <w:lang w:val="en-US" w:eastAsia="zh-CN"/>
        </w:rPr>
        <w:t>2019999</w:t>
      </w:r>
      <w:r>
        <w:rPr>
          <w:rStyle w:val="14"/>
          <w:rFonts w:hint="eastAsia" w:ascii="仿宋_GB2312" w:eastAsia="仿宋_GB2312" w:cs="仿宋_GB2312"/>
          <w:b w:val="0"/>
          <w:bCs/>
          <w:color w:val="000000"/>
          <w:sz w:val="32"/>
          <w:szCs w:val="32"/>
        </w:rPr>
        <w:t>），完成预算</w:t>
      </w:r>
      <w:r>
        <w:rPr>
          <w:rStyle w:val="14"/>
          <w:rFonts w:hint="eastAsia" w:ascii="仿宋_GB2312" w:eastAsia="仿宋_GB2312"/>
          <w:b w:val="0"/>
          <w:bCs/>
          <w:color w:val="000000"/>
          <w:sz w:val="32"/>
          <w:szCs w:val="32"/>
        </w:rPr>
        <w:t>100%</w:t>
      </w:r>
      <w:r>
        <w:rPr>
          <w:rStyle w:val="14"/>
          <w:rFonts w:hint="eastAsia" w:ascii="仿宋_GB2312" w:eastAsia="仿宋_GB2312" w:cs="仿宋_GB2312"/>
          <w:b w:val="0"/>
          <w:bCs/>
          <w:color w:val="000000"/>
          <w:sz w:val="32"/>
          <w:szCs w:val="32"/>
        </w:rPr>
        <w:t>。</w:t>
      </w:r>
    </w:p>
    <w:p>
      <w:pPr>
        <w:pageBreakBefore w:val="0"/>
        <w:kinsoku/>
        <w:wordWrap/>
        <w:overflowPunct/>
        <w:topLinePunct w:val="0"/>
        <w:bidi w:val="0"/>
        <w:spacing w:line="560" w:lineRule="exact"/>
        <w:ind w:firstLine="643" w:firstLineChars="200"/>
        <w:rPr>
          <w:rStyle w:val="14"/>
          <w:rFonts w:ascii="仿宋_GB2312" w:eastAsia="仿宋_GB2312"/>
          <w:b w:val="0"/>
          <w:bCs/>
          <w:color w:val="000000"/>
          <w:sz w:val="32"/>
          <w:szCs w:val="32"/>
        </w:rPr>
      </w:pPr>
      <w:r>
        <w:rPr>
          <w:rStyle w:val="14"/>
          <w:rFonts w:hint="eastAsia" w:ascii="仿宋_GB2312" w:eastAsia="仿宋_GB2312" w:cs="仿宋_GB2312"/>
          <w:color w:val="000000"/>
          <w:sz w:val="32"/>
          <w:szCs w:val="32"/>
        </w:rPr>
        <w:t>社会保障和就业（</w:t>
      </w:r>
      <w:r>
        <w:rPr>
          <w:rStyle w:val="14"/>
          <w:rFonts w:hint="eastAsia" w:ascii="仿宋_GB2312" w:eastAsia="仿宋_GB2312"/>
          <w:color w:val="000000"/>
          <w:sz w:val="32"/>
          <w:szCs w:val="32"/>
        </w:rPr>
        <w:t>208</w:t>
      </w:r>
      <w:r>
        <w:rPr>
          <w:rStyle w:val="14"/>
          <w:rFonts w:hint="eastAsia" w:ascii="仿宋_GB2312" w:eastAsia="仿宋_GB2312" w:cs="仿宋_GB2312"/>
          <w:color w:val="000000"/>
          <w:sz w:val="32"/>
          <w:szCs w:val="32"/>
        </w:rPr>
        <w:t>类）</w:t>
      </w:r>
      <w:r>
        <w:rPr>
          <w:rStyle w:val="14"/>
          <w:rFonts w:hint="eastAsia" w:ascii="仿宋_GB2312" w:eastAsia="仿宋_GB2312"/>
          <w:color w:val="000000"/>
          <w:sz w:val="32"/>
          <w:szCs w:val="32"/>
        </w:rPr>
        <w:t xml:space="preserve">: </w:t>
      </w:r>
      <w:r>
        <w:rPr>
          <w:rStyle w:val="14"/>
          <w:rFonts w:hint="eastAsia" w:ascii="仿宋_GB2312" w:eastAsia="仿宋_GB2312" w:cs="仿宋_GB2312"/>
          <w:b w:val="0"/>
          <w:bCs/>
          <w:color w:val="000000"/>
          <w:sz w:val="32"/>
          <w:szCs w:val="32"/>
        </w:rPr>
        <w:t>支出决算为</w:t>
      </w:r>
      <w:r>
        <w:rPr>
          <w:rFonts w:hint="eastAsia" w:ascii="仿宋_GB2312" w:hAnsi="仿宋" w:eastAsia="仿宋_GB2312"/>
          <w:color w:val="000000" w:themeColor="text1"/>
          <w:sz w:val="32"/>
          <w:szCs w:val="32"/>
          <w:lang w:val="en-US" w:eastAsia="zh-CN"/>
          <w14:textFill>
            <w14:solidFill>
              <w14:schemeClr w14:val="tx1"/>
            </w14:solidFill>
          </w14:textFill>
        </w:rPr>
        <w:t>28.24</w:t>
      </w:r>
      <w:r>
        <w:rPr>
          <w:rFonts w:hint="eastAsia" w:ascii="仿宋_GB2312" w:hAnsi="仿宋" w:eastAsia="仿宋_GB2312"/>
          <w:color w:val="000000" w:themeColor="text1"/>
          <w:sz w:val="32"/>
          <w:szCs w:val="32"/>
          <w14:textFill>
            <w14:solidFill>
              <w14:schemeClr w14:val="tx1"/>
            </w14:solidFill>
          </w14:textFill>
        </w:rPr>
        <w:t>万元</w:t>
      </w:r>
      <w:r>
        <w:rPr>
          <w:rStyle w:val="14"/>
          <w:rFonts w:hint="eastAsia" w:ascii="仿宋_GB2312" w:eastAsia="仿宋_GB2312" w:cs="仿宋_GB2312"/>
          <w:b w:val="0"/>
          <w:bCs/>
          <w:color w:val="000000"/>
          <w:sz w:val="32"/>
          <w:szCs w:val="32"/>
        </w:rPr>
        <w:t>，用于单位人员的养老保险（</w:t>
      </w:r>
      <w:r>
        <w:rPr>
          <w:rStyle w:val="14"/>
          <w:rFonts w:hint="eastAsia" w:ascii="仿宋_GB2312" w:eastAsia="仿宋_GB2312"/>
          <w:b w:val="0"/>
          <w:bCs/>
          <w:color w:val="000000"/>
          <w:sz w:val="32"/>
          <w:szCs w:val="32"/>
        </w:rPr>
        <w:t>2080505</w:t>
      </w:r>
      <w:r>
        <w:rPr>
          <w:rStyle w:val="14"/>
          <w:rFonts w:hint="eastAsia" w:ascii="仿宋_GB2312" w:eastAsia="仿宋_GB2312" w:cs="仿宋_GB2312"/>
          <w:b w:val="0"/>
          <w:bCs/>
          <w:color w:val="000000"/>
          <w:sz w:val="32"/>
          <w:szCs w:val="32"/>
        </w:rPr>
        <w:t>项）和职业年金（</w:t>
      </w:r>
      <w:r>
        <w:rPr>
          <w:rStyle w:val="14"/>
          <w:rFonts w:hint="eastAsia" w:ascii="仿宋_GB2312" w:eastAsia="仿宋_GB2312"/>
          <w:b w:val="0"/>
          <w:bCs/>
          <w:color w:val="000000"/>
          <w:sz w:val="32"/>
          <w:szCs w:val="32"/>
        </w:rPr>
        <w:t>2080506</w:t>
      </w:r>
      <w:r>
        <w:rPr>
          <w:rStyle w:val="14"/>
          <w:rFonts w:hint="eastAsia" w:ascii="仿宋_GB2312" w:eastAsia="仿宋_GB2312" w:cs="仿宋_GB2312"/>
          <w:b w:val="0"/>
          <w:bCs/>
          <w:color w:val="000000"/>
          <w:sz w:val="32"/>
          <w:szCs w:val="32"/>
        </w:rPr>
        <w:t>项）缴纳，完成预算</w:t>
      </w:r>
      <w:r>
        <w:rPr>
          <w:rStyle w:val="14"/>
          <w:rFonts w:hint="eastAsia" w:ascii="仿宋_GB2312" w:eastAsia="仿宋_GB2312"/>
          <w:b w:val="0"/>
          <w:bCs/>
          <w:color w:val="000000"/>
          <w:sz w:val="32"/>
          <w:szCs w:val="32"/>
        </w:rPr>
        <w:t>100%</w:t>
      </w:r>
      <w:r>
        <w:rPr>
          <w:rStyle w:val="14"/>
          <w:rFonts w:hint="eastAsia" w:ascii="仿宋_GB2312" w:eastAsia="仿宋_GB2312" w:cs="仿宋_GB2312"/>
          <w:b w:val="0"/>
          <w:bCs/>
          <w:color w:val="000000"/>
          <w:sz w:val="32"/>
          <w:szCs w:val="32"/>
        </w:rPr>
        <w:t>。</w:t>
      </w:r>
    </w:p>
    <w:p>
      <w:pPr>
        <w:pageBreakBefore w:val="0"/>
        <w:kinsoku/>
        <w:wordWrap/>
        <w:overflowPunct/>
        <w:topLinePunct w:val="0"/>
        <w:bidi w:val="0"/>
        <w:spacing w:line="560" w:lineRule="exact"/>
        <w:ind w:firstLine="643" w:firstLineChars="200"/>
        <w:rPr>
          <w:rStyle w:val="14"/>
          <w:rFonts w:ascii="仿宋_GB2312" w:eastAsia="仿宋_GB2312"/>
          <w:b w:val="0"/>
          <w:bCs/>
          <w:color w:val="000000"/>
          <w:sz w:val="32"/>
          <w:szCs w:val="32"/>
        </w:rPr>
      </w:pPr>
      <w:r>
        <w:rPr>
          <w:rFonts w:hint="eastAsia" w:ascii="仿宋_GB2312" w:hAnsi="仿宋" w:eastAsia="仿宋_GB2312"/>
          <w:b/>
          <w:bCs/>
          <w:color w:val="000000" w:themeColor="text1"/>
          <w:sz w:val="32"/>
          <w:szCs w:val="32"/>
          <w:lang w:eastAsia="zh-CN"/>
          <w14:textFill>
            <w14:solidFill>
              <w14:schemeClr w14:val="tx1"/>
            </w14:solidFill>
          </w14:textFill>
        </w:rPr>
        <w:t>卫生健康支出</w:t>
      </w:r>
      <w:r>
        <w:rPr>
          <w:rStyle w:val="14"/>
          <w:rFonts w:hint="eastAsia" w:ascii="仿宋_GB2312" w:eastAsia="仿宋_GB2312" w:cs="仿宋_GB2312"/>
          <w:color w:val="000000"/>
          <w:sz w:val="32"/>
          <w:szCs w:val="32"/>
        </w:rPr>
        <w:t>（</w:t>
      </w:r>
      <w:r>
        <w:rPr>
          <w:rStyle w:val="14"/>
          <w:rFonts w:hint="eastAsia" w:ascii="仿宋_GB2312" w:eastAsia="仿宋_GB2312"/>
          <w:color w:val="000000"/>
          <w:sz w:val="32"/>
          <w:szCs w:val="32"/>
        </w:rPr>
        <w:t>210</w:t>
      </w:r>
      <w:r>
        <w:rPr>
          <w:rStyle w:val="14"/>
          <w:rFonts w:hint="eastAsia" w:ascii="仿宋_GB2312" w:eastAsia="仿宋_GB2312" w:cs="仿宋_GB2312"/>
          <w:color w:val="000000"/>
          <w:sz w:val="32"/>
          <w:szCs w:val="32"/>
        </w:rPr>
        <w:t>类）</w:t>
      </w:r>
      <w:r>
        <w:rPr>
          <w:rStyle w:val="14"/>
          <w:rFonts w:hint="eastAsia" w:ascii="仿宋_GB2312" w:eastAsia="仿宋_GB2312"/>
          <w:color w:val="000000"/>
          <w:sz w:val="32"/>
          <w:szCs w:val="32"/>
        </w:rPr>
        <w:t>:</w:t>
      </w:r>
      <w:r>
        <w:rPr>
          <w:rStyle w:val="14"/>
          <w:rFonts w:hint="eastAsia" w:ascii="仿宋_GB2312" w:eastAsia="仿宋_GB2312" w:cs="仿宋_GB2312"/>
          <w:b w:val="0"/>
          <w:bCs/>
          <w:color w:val="000000"/>
          <w:sz w:val="32"/>
          <w:szCs w:val="32"/>
        </w:rPr>
        <w:t>支出决算为</w:t>
      </w:r>
      <w:r>
        <w:rPr>
          <w:rFonts w:hint="eastAsia" w:ascii="仿宋_GB2312" w:hAnsi="仿宋" w:eastAsia="仿宋_GB2312"/>
          <w:color w:val="000000" w:themeColor="text1"/>
          <w:sz w:val="32"/>
          <w:szCs w:val="32"/>
          <w:lang w:val="en-US" w:eastAsia="zh-CN"/>
          <w14:textFill>
            <w14:solidFill>
              <w14:schemeClr w14:val="tx1"/>
            </w14:solidFill>
          </w14:textFill>
        </w:rPr>
        <w:t>8.26</w:t>
      </w:r>
      <w:r>
        <w:rPr>
          <w:rStyle w:val="14"/>
          <w:rFonts w:hint="eastAsia" w:ascii="仿宋_GB2312" w:eastAsia="仿宋_GB2312" w:cs="仿宋_GB2312"/>
          <w:b w:val="0"/>
          <w:bCs/>
          <w:color w:val="000000"/>
          <w:sz w:val="32"/>
          <w:szCs w:val="32"/>
        </w:rPr>
        <w:t>万元，用于行政单位医疗（</w:t>
      </w:r>
      <w:r>
        <w:rPr>
          <w:rStyle w:val="14"/>
          <w:rFonts w:hint="eastAsia" w:ascii="仿宋_GB2312" w:eastAsia="仿宋_GB2312"/>
          <w:b w:val="0"/>
          <w:bCs/>
          <w:color w:val="000000"/>
          <w:sz w:val="32"/>
          <w:szCs w:val="32"/>
        </w:rPr>
        <w:t>2101101</w:t>
      </w:r>
      <w:r>
        <w:rPr>
          <w:rStyle w:val="14"/>
          <w:rFonts w:hint="eastAsia" w:ascii="仿宋_GB2312" w:eastAsia="仿宋_GB2312" w:cs="仿宋_GB2312"/>
          <w:b w:val="0"/>
          <w:bCs/>
          <w:color w:val="000000"/>
          <w:sz w:val="32"/>
          <w:szCs w:val="32"/>
        </w:rPr>
        <w:t>项）缴纳，完成预算</w:t>
      </w:r>
      <w:r>
        <w:rPr>
          <w:rStyle w:val="14"/>
          <w:rFonts w:hint="eastAsia" w:ascii="仿宋_GB2312" w:eastAsia="仿宋_GB2312"/>
          <w:b w:val="0"/>
          <w:bCs/>
          <w:color w:val="000000"/>
          <w:sz w:val="32"/>
          <w:szCs w:val="32"/>
        </w:rPr>
        <w:t>100%</w:t>
      </w:r>
      <w:r>
        <w:rPr>
          <w:rStyle w:val="14"/>
          <w:rFonts w:hint="eastAsia" w:ascii="仿宋_GB2312" w:eastAsia="仿宋_GB2312" w:cs="仿宋_GB2312"/>
          <w:b w:val="0"/>
          <w:bCs/>
          <w:color w:val="000000"/>
          <w:sz w:val="32"/>
          <w:szCs w:val="32"/>
        </w:rPr>
        <w:t>。</w:t>
      </w:r>
    </w:p>
    <w:p>
      <w:pPr>
        <w:pageBreakBefore w:val="0"/>
        <w:kinsoku/>
        <w:wordWrap/>
        <w:overflowPunct/>
        <w:topLinePunct w:val="0"/>
        <w:bidi w:val="0"/>
        <w:spacing w:line="560" w:lineRule="exact"/>
        <w:ind w:firstLine="643" w:firstLineChars="200"/>
        <w:rPr>
          <w:rStyle w:val="14"/>
          <w:rFonts w:hint="eastAsia" w:ascii="仿宋_GB2312" w:eastAsia="仿宋_GB2312" w:cs="仿宋_GB2312"/>
          <w:color w:val="000000"/>
          <w:sz w:val="32"/>
          <w:szCs w:val="32"/>
          <w:lang w:val="en-US" w:eastAsia="zh-CN"/>
        </w:rPr>
      </w:pPr>
      <w:r>
        <w:rPr>
          <w:rFonts w:hint="eastAsia" w:ascii="仿宋_GB2312" w:hAnsi="仿宋" w:eastAsia="仿宋_GB2312"/>
          <w:b/>
          <w:bCs/>
          <w:color w:val="000000" w:themeColor="text1"/>
          <w:sz w:val="32"/>
          <w:szCs w:val="32"/>
          <w:lang w:val="en-US" w:eastAsia="zh-CN"/>
          <w14:textFill>
            <w14:solidFill>
              <w14:schemeClr w14:val="tx1"/>
            </w14:solidFill>
          </w14:textFill>
        </w:rPr>
        <w:t>农林水支出（213）：</w:t>
      </w:r>
      <w:r>
        <w:rPr>
          <w:rStyle w:val="14"/>
          <w:rFonts w:hint="eastAsia" w:ascii="仿宋_GB2312" w:eastAsia="仿宋_GB2312" w:cs="仿宋_GB2312"/>
          <w:b w:val="0"/>
          <w:bCs/>
          <w:color w:val="000000"/>
          <w:sz w:val="32"/>
          <w:szCs w:val="32"/>
        </w:rPr>
        <w:t>支出决算为</w:t>
      </w:r>
      <w:r>
        <w:rPr>
          <w:rStyle w:val="14"/>
          <w:rFonts w:hint="eastAsia" w:ascii="仿宋_GB2312" w:eastAsia="仿宋_GB2312" w:cs="仿宋_GB2312"/>
          <w:b w:val="0"/>
          <w:bCs/>
          <w:color w:val="000000"/>
          <w:sz w:val="32"/>
          <w:szCs w:val="32"/>
          <w:lang w:val="en-US" w:eastAsia="zh-CN"/>
        </w:rPr>
        <w:t>10万元，用于农村道路建设（2130142）</w:t>
      </w:r>
      <w:r>
        <w:rPr>
          <w:rStyle w:val="14"/>
          <w:rFonts w:hint="eastAsia" w:ascii="仿宋_GB2312" w:eastAsia="仿宋_GB2312" w:cs="仿宋_GB2312"/>
          <w:b w:val="0"/>
          <w:bCs/>
          <w:color w:val="000000"/>
          <w:sz w:val="32"/>
          <w:szCs w:val="32"/>
        </w:rPr>
        <w:t>，完成预算</w:t>
      </w:r>
      <w:r>
        <w:rPr>
          <w:rStyle w:val="14"/>
          <w:rFonts w:hint="eastAsia" w:ascii="仿宋_GB2312" w:eastAsia="仿宋_GB2312"/>
          <w:b w:val="0"/>
          <w:bCs/>
          <w:color w:val="000000"/>
          <w:sz w:val="32"/>
          <w:szCs w:val="32"/>
        </w:rPr>
        <w:t>100%</w:t>
      </w:r>
      <w:r>
        <w:rPr>
          <w:rStyle w:val="14"/>
          <w:rFonts w:hint="eastAsia" w:ascii="仿宋_GB2312" w:eastAsia="仿宋_GB2312" w:cs="仿宋_GB2312"/>
          <w:b w:val="0"/>
          <w:bCs/>
          <w:color w:val="000000"/>
          <w:sz w:val="32"/>
          <w:szCs w:val="32"/>
        </w:rPr>
        <w:t>。</w:t>
      </w:r>
    </w:p>
    <w:p>
      <w:pPr>
        <w:pageBreakBefore w:val="0"/>
        <w:kinsoku/>
        <w:wordWrap/>
        <w:overflowPunct/>
        <w:topLinePunct w:val="0"/>
        <w:bidi w:val="0"/>
        <w:spacing w:line="560" w:lineRule="exact"/>
        <w:ind w:firstLine="643" w:firstLineChars="200"/>
        <w:rPr>
          <w:rStyle w:val="14"/>
          <w:rFonts w:ascii="仿宋_GB2312" w:eastAsia="仿宋_GB2312" w:cs="仿宋_GB2312"/>
          <w:b w:val="0"/>
          <w:bCs/>
          <w:color w:val="000000"/>
          <w:sz w:val="32"/>
          <w:szCs w:val="32"/>
        </w:rPr>
      </w:pPr>
      <w:r>
        <w:rPr>
          <w:rStyle w:val="14"/>
          <w:rFonts w:hint="eastAsia" w:ascii="仿宋_GB2312" w:eastAsia="仿宋_GB2312" w:cs="仿宋_GB2312"/>
          <w:color w:val="000000"/>
          <w:sz w:val="32"/>
          <w:szCs w:val="32"/>
        </w:rPr>
        <w:t>住房保障（</w:t>
      </w:r>
      <w:r>
        <w:rPr>
          <w:rStyle w:val="14"/>
          <w:rFonts w:hint="eastAsia" w:ascii="仿宋_GB2312" w:eastAsia="仿宋_GB2312"/>
          <w:color w:val="000000"/>
          <w:sz w:val="32"/>
          <w:szCs w:val="32"/>
        </w:rPr>
        <w:t>221</w:t>
      </w:r>
      <w:r>
        <w:rPr>
          <w:rStyle w:val="14"/>
          <w:rFonts w:hint="eastAsia" w:ascii="仿宋_GB2312" w:eastAsia="仿宋_GB2312" w:cs="仿宋_GB2312"/>
          <w:color w:val="000000"/>
          <w:sz w:val="32"/>
          <w:szCs w:val="32"/>
        </w:rPr>
        <w:t>类）：</w:t>
      </w:r>
      <w:r>
        <w:rPr>
          <w:rStyle w:val="14"/>
          <w:rFonts w:hint="eastAsia" w:ascii="仿宋_GB2312" w:eastAsia="仿宋_GB2312" w:cs="仿宋_GB2312"/>
          <w:b w:val="0"/>
          <w:bCs/>
          <w:color w:val="000000"/>
          <w:sz w:val="32"/>
          <w:szCs w:val="32"/>
        </w:rPr>
        <w:t>支出决算为</w:t>
      </w:r>
      <w:r>
        <w:rPr>
          <w:rFonts w:hint="eastAsia" w:ascii="仿宋_GB2312" w:hAnsi="仿宋" w:eastAsia="仿宋_GB2312"/>
          <w:color w:val="000000" w:themeColor="text1"/>
          <w:sz w:val="32"/>
          <w:szCs w:val="32"/>
          <w:lang w:val="en-US" w:eastAsia="zh-CN"/>
          <w14:textFill>
            <w14:solidFill>
              <w14:schemeClr w14:val="tx1"/>
            </w14:solidFill>
          </w14:textFill>
        </w:rPr>
        <w:t>19.93</w:t>
      </w:r>
      <w:r>
        <w:rPr>
          <w:rStyle w:val="14"/>
          <w:rFonts w:hint="eastAsia" w:ascii="仿宋_GB2312" w:eastAsia="仿宋_GB2312" w:cs="仿宋_GB2312"/>
          <w:b w:val="0"/>
          <w:bCs/>
          <w:color w:val="000000"/>
          <w:sz w:val="32"/>
          <w:szCs w:val="32"/>
        </w:rPr>
        <w:t>万元，用于缴纳单位人员住房公积金（</w:t>
      </w:r>
      <w:r>
        <w:rPr>
          <w:rStyle w:val="14"/>
          <w:rFonts w:hint="eastAsia" w:ascii="仿宋_GB2312" w:eastAsia="仿宋_GB2312"/>
          <w:b w:val="0"/>
          <w:bCs/>
          <w:color w:val="000000"/>
          <w:sz w:val="32"/>
          <w:szCs w:val="32"/>
        </w:rPr>
        <w:t>2210201</w:t>
      </w:r>
      <w:r>
        <w:rPr>
          <w:rStyle w:val="14"/>
          <w:rFonts w:hint="eastAsia" w:ascii="仿宋_GB2312" w:eastAsia="仿宋_GB2312" w:cs="仿宋_GB2312"/>
          <w:b w:val="0"/>
          <w:bCs/>
          <w:color w:val="000000"/>
          <w:sz w:val="32"/>
          <w:szCs w:val="32"/>
        </w:rPr>
        <w:t>项），完成预算</w:t>
      </w:r>
      <w:r>
        <w:rPr>
          <w:rStyle w:val="14"/>
          <w:rFonts w:hint="eastAsia" w:ascii="仿宋_GB2312" w:eastAsia="仿宋_GB2312"/>
          <w:b w:val="0"/>
          <w:bCs/>
          <w:color w:val="000000"/>
          <w:sz w:val="32"/>
          <w:szCs w:val="32"/>
        </w:rPr>
        <w:t>100%</w:t>
      </w:r>
      <w:r>
        <w:rPr>
          <w:rStyle w:val="14"/>
          <w:rFonts w:hint="eastAsia" w:ascii="仿宋_GB2312" w:eastAsia="仿宋_GB2312" w:cs="仿宋_GB2312"/>
          <w:b w:val="0"/>
          <w:bCs/>
          <w:color w:val="000000"/>
          <w:sz w:val="32"/>
          <w:szCs w:val="32"/>
        </w:rPr>
        <w:t>。</w:t>
      </w:r>
    </w:p>
    <w:p>
      <w:pPr>
        <w:pageBreakBefore w:val="0"/>
        <w:tabs>
          <w:tab w:val="right" w:pos="8306"/>
        </w:tabs>
        <w:kinsoku/>
        <w:wordWrap/>
        <w:overflowPunct/>
        <w:topLinePunct w:val="0"/>
        <w:bidi w:val="0"/>
        <w:spacing w:line="560" w:lineRule="exact"/>
        <w:ind w:firstLine="640" w:firstLineChars="200"/>
        <w:outlineLvl w:val="1"/>
        <w:rPr>
          <w:rStyle w:val="25"/>
        </w:rPr>
      </w:pPr>
      <w:bookmarkStart w:id="32" w:name="_Toc15377214"/>
      <w:bookmarkStart w:id="33"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2"/>
      <w:bookmarkEnd w:id="33"/>
      <w:r>
        <w:rPr>
          <w:rStyle w:val="25"/>
          <w:rFonts w:ascii="黑体" w:hAnsi="黑体" w:eastAsia="黑体"/>
          <w:b w:val="0"/>
        </w:rPr>
        <w:tab/>
      </w:r>
    </w:p>
    <w:p>
      <w:pPr>
        <w:pageBreakBefore w:val="0"/>
        <w:kinsoku/>
        <w:wordWrap/>
        <w:overflowPunct/>
        <w:topLinePunct w:val="0"/>
        <w:bidi w:val="0"/>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2019年一般公共预算财政拨款基本支出</w:t>
      </w:r>
      <w:r>
        <w:rPr>
          <w:rFonts w:hint="eastAsia" w:ascii="仿宋_GB2312" w:hAnsi="仿宋" w:eastAsia="仿宋_GB2312"/>
          <w:color w:val="000000"/>
          <w:sz w:val="32"/>
          <w:szCs w:val="32"/>
          <w:lang w:val="en-US" w:eastAsia="zh-CN"/>
        </w:rPr>
        <w:t>295.45</w:t>
      </w:r>
      <w:r>
        <w:rPr>
          <w:rFonts w:hint="eastAsia" w:ascii="仿宋_GB2312" w:hAnsi="仿宋" w:eastAsia="仿宋_GB2312"/>
          <w:color w:val="000000"/>
          <w:sz w:val="32"/>
          <w:szCs w:val="32"/>
        </w:rPr>
        <w:t>万元，其中：</w:t>
      </w:r>
    </w:p>
    <w:p>
      <w:pPr>
        <w:pageBreakBefore w:val="0"/>
        <w:kinsoku/>
        <w:wordWrap/>
        <w:overflowPunct/>
        <w:topLinePunct w:val="0"/>
        <w:bidi w:val="0"/>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人员经</w:t>
      </w:r>
      <w:r>
        <w:rPr>
          <w:rFonts w:hint="eastAsia" w:ascii="仿宋_GB2312" w:hAnsi="仿宋" w:eastAsia="仿宋_GB2312"/>
          <w:color w:val="000000"/>
          <w:sz w:val="32"/>
          <w:szCs w:val="32"/>
          <w:lang w:val="en-US" w:eastAsia="zh-CN"/>
        </w:rPr>
        <w:t>223.15</w:t>
      </w:r>
      <w:r>
        <w:rPr>
          <w:rFonts w:hint="eastAsia" w:ascii="仿宋_GB2312" w:hAnsi="仿宋" w:eastAsia="仿宋_GB2312"/>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w:t>
      </w:r>
      <w:r>
        <w:rPr>
          <w:rFonts w:hint="eastAsia" w:ascii="仿宋_GB2312" w:hAnsi="仿宋" w:eastAsia="仿宋_GB2312"/>
          <w:color w:val="000000"/>
          <w:sz w:val="32"/>
          <w:szCs w:val="32"/>
        </w:rPr>
        <w:br w:type="textWrapping"/>
      </w:r>
      <w:r>
        <w:rPr>
          <w:rFonts w:hint="eastAsia" w:ascii="仿宋_GB2312" w:hAnsi="仿宋" w:eastAsia="仿宋_GB2312"/>
          <w:color w:val="000000"/>
          <w:sz w:val="32"/>
          <w:szCs w:val="32"/>
        </w:rPr>
        <w:t>　　日常公用经费</w:t>
      </w:r>
      <w:r>
        <w:rPr>
          <w:rFonts w:hint="eastAsia" w:ascii="仿宋_GB2312" w:hAnsi="仿宋" w:eastAsia="仿宋_GB2312"/>
          <w:color w:val="000000"/>
          <w:sz w:val="32"/>
          <w:szCs w:val="32"/>
          <w:lang w:val="en-US" w:eastAsia="zh-CN"/>
        </w:rPr>
        <w:t>72.3</w:t>
      </w:r>
      <w:r>
        <w:rPr>
          <w:rFonts w:hint="eastAsia" w:ascii="仿宋_GB2312" w:hAnsi="仿宋" w:eastAsia="仿宋_GB2312"/>
          <w:color w:val="000000"/>
          <w:sz w:val="32"/>
          <w:szCs w:val="32"/>
        </w:rPr>
        <w:t>万元，主要包括：办公费、印刷费、咨询费、手续费、水费、电费、邮电费、取暖费、物业管理费、差旅费、因公出国（境）费用、维修（护）费、租赁费、会议费、培训费、公务接待费、公务用车运行维护费、其他商品和服务支出、办公设备购置、其他资本性支出等。</w:t>
      </w:r>
    </w:p>
    <w:p>
      <w:pPr>
        <w:pageBreakBefore w:val="0"/>
        <w:kinsoku/>
        <w:wordWrap/>
        <w:overflowPunct/>
        <w:topLinePunct w:val="0"/>
        <w:bidi w:val="0"/>
        <w:spacing w:line="560" w:lineRule="exact"/>
        <w:ind w:firstLine="640"/>
        <w:outlineLvl w:val="1"/>
        <w:rPr>
          <w:rStyle w:val="25"/>
          <w:rFonts w:ascii="黑体" w:hAnsi="黑体" w:eastAsia="黑体"/>
          <w:b w:val="0"/>
        </w:rPr>
      </w:pPr>
      <w:bookmarkStart w:id="34" w:name="_Toc15396609"/>
      <w:bookmarkStart w:id="35"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4"/>
      <w:bookmarkEnd w:id="35"/>
    </w:p>
    <w:p>
      <w:pPr>
        <w:pageBreakBefore w:val="0"/>
        <w:kinsoku/>
        <w:wordWrap/>
        <w:overflowPunct/>
        <w:topLinePunct w:val="0"/>
        <w:bidi w:val="0"/>
        <w:spacing w:line="560" w:lineRule="exact"/>
        <w:ind w:firstLine="482" w:firstLineChars="150"/>
        <w:outlineLvl w:val="2"/>
        <w:rPr>
          <w:rFonts w:ascii="楷体_GB2312" w:hAnsi="仿宋" w:eastAsia="楷体_GB2312"/>
          <w:b/>
          <w:color w:val="000000"/>
          <w:sz w:val="32"/>
          <w:szCs w:val="32"/>
        </w:rPr>
      </w:pPr>
      <w:bookmarkStart w:id="36" w:name="_Toc15377216"/>
      <w:r>
        <w:rPr>
          <w:rFonts w:hint="eastAsia" w:ascii="楷体_GB2312" w:hAnsi="仿宋" w:eastAsia="楷体_GB2312"/>
          <w:b/>
          <w:color w:val="000000"/>
          <w:sz w:val="32"/>
          <w:szCs w:val="32"/>
        </w:rPr>
        <w:t>（一）“三公”经费财政拨款支出决算总体情况说明</w:t>
      </w:r>
      <w:bookmarkEnd w:id="36"/>
    </w:p>
    <w:p>
      <w:pPr>
        <w:pageBreakBefore w:val="0"/>
        <w:kinsoku/>
        <w:wordWrap/>
        <w:overflowPunct/>
        <w:topLinePunct w:val="0"/>
        <w:bidi w:val="0"/>
        <w:spacing w:line="56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2019年“三公”经费财政拨款支出决算为</w:t>
      </w:r>
      <w:r>
        <w:rPr>
          <w:rFonts w:hint="eastAsia" w:ascii="仿宋_GB2312" w:hAnsi="仿宋" w:eastAsia="仿宋_GB2312"/>
          <w:color w:val="000000"/>
          <w:sz w:val="32"/>
          <w:szCs w:val="32"/>
          <w:lang w:val="en-US" w:eastAsia="zh-CN"/>
        </w:rPr>
        <w:t>13.05</w:t>
      </w:r>
      <w:r>
        <w:rPr>
          <w:rFonts w:hint="eastAsia" w:ascii="仿宋_GB2312" w:hAnsi="仿宋" w:eastAsia="仿宋_GB2312"/>
          <w:color w:val="000000"/>
          <w:sz w:val="32"/>
          <w:szCs w:val="32"/>
        </w:rPr>
        <w:t>万元，完成预算100%。</w:t>
      </w:r>
    </w:p>
    <w:p>
      <w:pPr>
        <w:pageBreakBefore w:val="0"/>
        <w:kinsoku/>
        <w:wordWrap/>
        <w:overflowPunct/>
        <w:topLinePunct w:val="0"/>
        <w:bidi w:val="0"/>
        <w:spacing w:line="560" w:lineRule="exact"/>
        <w:ind w:firstLine="482" w:firstLineChars="150"/>
        <w:outlineLvl w:val="2"/>
        <w:rPr>
          <w:rFonts w:ascii="楷体_GB2312" w:hAnsi="仿宋" w:eastAsia="楷体_GB2312"/>
          <w:b/>
          <w:color w:val="000000"/>
          <w:sz w:val="32"/>
          <w:szCs w:val="32"/>
        </w:rPr>
      </w:pPr>
      <w:bookmarkStart w:id="37" w:name="_Toc15377217"/>
      <w:r>
        <w:rPr>
          <w:rFonts w:hint="eastAsia" w:ascii="楷体_GB2312" w:hAnsi="仿宋" w:eastAsia="楷体_GB2312"/>
          <w:b/>
          <w:color w:val="000000"/>
          <w:sz w:val="32"/>
          <w:szCs w:val="32"/>
        </w:rPr>
        <w:t>（二）“三公”经费财政拨款支出决算具体情况说明</w:t>
      </w:r>
      <w:bookmarkEnd w:id="37"/>
    </w:p>
    <w:p>
      <w:pPr>
        <w:pageBreakBefore w:val="0"/>
        <w:kinsoku/>
        <w:wordWrap/>
        <w:overflowPunct/>
        <w:topLinePunct w:val="0"/>
        <w:bidi w:val="0"/>
        <w:spacing w:line="56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2019年“三公”经费财政拨款支出决算中，因公出国（境）费支出决算0万元；公务用车购置及运行维护费支出决算</w:t>
      </w:r>
      <w:r>
        <w:rPr>
          <w:rFonts w:hint="eastAsia" w:ascii="仿宋_GB2312" w:hAnsi="仿宋" w:eastAsia="仿宋_GB2312"/>
          <w:color w:val="000000"/>
          <w:sz w:val="32"/>
          <w:szCs w:val="32"/>
          <w:lang w:val="en-US" w:eastAsia="zh-CN"/>
        </w:rPr>
        <w:t>13.05</w:t>
      </w:r>
      <w:r>
        <w:rPr>
          <w:rFonts w:hint="eastAsia" w:ascii="仿宋_GB2312" w:hAnsi="仿宋" w:eastAsia="仿宋_GB2312"/>
          <w:color w:val="000000"/>
          <w:sz w:val="32"/>
          <w:szCs w:val="32"/>
        </w:rPr>
        <w:t>万元，占100%；公务接待费支出决算0万元。具体情况如下：</w:t>
      </w:r>
    </w:p>
    <w:p>
      <w:pPr>
        <w:pageBreakBefore w:val="0"/>
        <w:kinsoku/>
        <w:wordWrap/>
        <w:overflowPunct/>
        <w:topLinePunct w:val="0"/>
        <w:bidi w:val="0"/>
        <w:spacing w:line="560" w:lineRule="exact"/>
        <w:ind w:firstLine="803" w:firstLineChars="250"/>
        <w:rPr>
          <w:rFonts w:ascii="仿宋_GB2312" w:eastAsia="仿宋_GB2312"/>
          <w:color w:val="000000"/>
          <w:sz w:val="32"/>
          <w:szCs w:val="32"/>
        </w:rPr>
      </w:pPr>
      <w:r>
        <w:rPr>
          <w:rFonts w:hint="eastAsia" w:ascii="仿宋_GB2312" w:eastAsia="仿宋_GB2312"/>
          <w:b/>
          <w:color w:val="000000"/>
          <w:sz w:val="32"/>
          <w:szCs w:val="32"/>
        </w:rPr>
        <w:t>1.因公出国（境）经费支出</w:t>
      </w:r>
      <w:r>
        <w:rPr>
          <w:rFonts w:hint="eastAsia" w:ascii="仿宋_GB2312" w:eastAsia="仿宋_GB2312"/>
          <w:color w:val="000000"/>
          <w:sz w:val="32"/>
          <w:szCs w:val="32"/>
        </w:rPr>
        <w:t>0万元，</w:t>
      </w:r>
      <w:r>
        <w:rPr>
          <w:rStyle w:val="14"/>
          <w:rFonts w:hint="eastAsia" w:ascii="仿宋_GB2312" w:hAnsi="仿宋" w:eastAsia="仿宋_GB2312"/>
          <w:b w:val="0"/>
          <w:bCs/>
          <w:color w:val="000000"/>
          <w:sz w:val="32"/>
          <w:szCs w:val="32"/>
        </w:rPr>
        <w:t>。</w:t>
      </w:r>
    </w:p>
    <w:p>
      <w:pPr>
        <w:pageBreakBefore w:val="0"/>
        <w:kinsoku/>
        <w:wordWrap/>
        <w:overflowPunct/>
        <w:topLinePunct w:val="0"/>
        <w:bidi w:val="0"/>
        <w:spacing w:line="560" w:lineRule="exact"/>
        <w:ind w:firstLine="640"/>
        <w:rPr>
          <w:rFonts w:ascii="仿宋_GB2312" w:eastAsia="仿宋_GB2312"/>
          <w:b/>
          <w:color w:val="000000"/>
          <w:sz w:val="32"/>
          <w:szCs w:val="32"/>
        </w:rPr>
      </w:pPr>
      <w:r>
        <w:rPr>
          <w:rFonts w:hint="eastAsia" w:ascii="仿宋_GB2312" w:eastAsia="仿宋_GB2312"/>
          <w:b/>
          <w:color w:val="000000"/>
          <w:sz w:val="32"/>
          <w:szCs w:val="32"/>
        </w:rPr>
        <w:t xml:space="preserve"> 2.公务用车购置及运行维护费支出</w:t>
      </w:r>
      <w:r>
        <w:rPr>
          <w:rFonts w:hint="eastAsia" w:ascii="仿宋_GB2312" w:eastAsia="仿宋_GB2312"/>
          <w:color w:val="000000"/>
          <w:sz w:val="32"/>
          <w:szCs w:val="32"/>
          <w:lang w:val="en-US" w:eastAsia="zh-CN"/>
        </w:rPr>
        <w:t>13.05</w:t>
      </w:r>
      <w:r>
        <w:rPr>
          <w:rFonts w:hint="eastAsia" w:ascii="仿宋_GB2312" w:eastAsia="仿宋_GB2312"/>
          <w:color w:val="000000"/>
          <w:sz w:val="32"/>
          <w:szCs w:val="32"/>
        </w:rPr>
        <w:t>万元,</w:t>
      </w:r>
      <w:r>
        <w:rPr>
          <w:rStyle w:val="14"/>
          <w:rFonts w:hint="eastAsia" w:ascii="仿宋_GB2312" w:hAnsi="仿宋" w:eastAsia="仿宋_GB2312"/>
          <w:b w:val="0"/>
          <w:bCs/>
          <w:color w:val="000000"/>
          <w:sz w:val="32"/>
          <w:szCs w:val="32"/>
        </w:rPr>
        <w:t>完成预算100%。</w:t>
      </w:r>
      <w:r>
        <w:rPr>
          <w:rFonts w:hint="eastAsia" w:ascii="仿宋_GB2312" w:eastAsia="仿宋_GB2312"/>
          <w:color w:val="000000"/>
          <w:sz w:val="32"/>
          <w:szCs w:val="32"/>
        </w:rPr>
        <w:t>公务用车购置及运行维护费支出决算比2018年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5.36</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41</w:t>
      </w:r>
      <w:r>
        <w:rPr>
          <w:rFonts w:hint="eastAsia" w:ascii="仿宋_GB2312" w:eastAsia="仿宋_GB2312"/>
          <w:color w:val="000000"/>
          <w:sz w:val="32"/>
          <w:szCs w:val="32"/>
        </w:rPr>
        <w:t>%。主要原因是201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娜泽求宗社区安置点增加公车</w:t>
      </w:r>
      <w:r>
        <w:rPr>
          <w:rFonts w:hint="eastAsia" w:ascii="仿宋_GB2312" w:eastAsia="仿宋_GB2312"/>
          <w:color w:val="000000"/>
          <w:sz w:val="32"/>
          <w:szCs w:val="32"/>
          <w:lang w:val="en-US" w:eastAsia="zh-CN"/>
        </w:rPr>
        <w:t>1辆</w:t>
      </w:r>
      <w:r>
        <w:rPr>
          <w:rFonts w:hint="eastAsia" w:ascii="仿宋_GB2312" w:eastAsia="仿宋_GB2312"/>
          <w:color w:val="000000"/>
          <w:sz w:val="32"/>
          <w:szCs w:val="32"/>
        </w:rPr>
        <w:t>。</w:t>
      </w:r>
    </w:p>
    <w:p>
      <w:pPr>
        <w:pageBreakBefore w:val="0"/>
        <w:kinsoku/>
        <w:wordWrap/>
        <w:overflowPunct/>
        <w:topLinePunct w:val="0"/>
        <w:bidi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0万元。单位共有公务用车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w:t>
      </w:r>
    </w:p>
    <w:p>
      <w:pPr>
        <w:pageBreakBefore w:val="0"/>
        <w:kinsoku/>
        <w:wordWrap/>
        <w:overflowPunct/>
        <w:topLinePunct w:val="0"/>
        <w:bidi w:val="0"/>
        <w:spacing w:line="56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13.05</w:t>
      </w:r>
      <w:r>
        <w:rPr>
          <w:rFonts w:hint="eastAsia" w:ascii="仿宋_GB2312" w:eastAsia="仿宋_GB2312"/>
          <w:color w:val="000000"/>
          <w:sz w:val="32"/>
          <w:szCs w:val="32"/>
        </w:rPr>
        <w:t>万元。主要用于下乡、出差等所需的公务用车燃料费、维修费、过路过桥费、保险费等支出。</w:t>
      </w:r>
    </w:p>
    <w:p>
      <w:pPr>
        <w:pageBreakBefore w:val="0"/>
        <w:kinsoku/>
        <w:wordWrap/>
        <w:overflowPunct/>
        <w:topLinePunct w:val="0"/>
        <w:bidi w:val="0"/>
        <w:spacing w:line="560" w:lineRule="exact"/>
        <w:ind w:firstLine="640"/>
        <w:rPr>
          <w:rFonts w:ascii="仿宋_GB2312" w:eastAsia="仿宋_GB2312"/>
          <w:color w:val="000000"/>
          <w:sz w:val="32"/>
          <w:szCs w:val="32"/>
        </w:rPr>
      </w:pPr>
      <w:r>
        <w:rPr>
          <w:rFonts w:hint="eastAsia" w:ascii="仿宋_GB2312" w:eastAsia="仿宋_GB2312"/>
          <w:b/>
          <w:color w:val="000000"/>
          <w:sz w:val="32"/>
          <w:szCs w:val="32"/>
        </w:rPr>
        <w:t>3.公务接待费支出</w:t>
      </w:r>
      <w:r>
        <w:rPr>
          <w:rFonts w:hint="eastAsia" w:ascii="仿宋_GB2312" w:eastAsia="仿宋_GB2312"/>
          <w:color w:val="000000"/>
          <w:sz w:val="32"/>
          <w:szCs w:val="32"/>
        </w:rPr>
        <w:t>0万元。</w:t>
      </w:r>
    </w:p>
    <w:p>
      <w:pPr>
        <w:pageBreakBefore w:val="0"/>
        <w:kinsoku/>
        <w:wordWrap/>
        <w:overflowPunct/>
        <w:topLinePunct w:val="0"/>
        <w:bidi w:val="0"/>
        <w:spacing w:line="560" w:lineRule="exact"/>
        <w:ind w:firstLine="640"/>
        <w:outlineLvl w:val="1"/>
        <w:rPr>
          <w:rStyle w:val="25"/>
          <w:rFonts w:ascii="黑体" w:hAnsi="黑体" w:eastAsia="黑体"/>
        </w:rPr>
      </w:pPr>
      <w:bookmarkStart w:id="38" w:name="_Toc15396610"/>
      <w:bookmarkStart w:id="39" w:name="_Toc15377218"/>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38"/>
      <w:bookmarkEnd w:id="39"/>
    </w:p>
    <w:p>
      <w:pPr>
        <w:pageBreakBefore w:val="0"/>
        <w:kinsoku/>
        <w:wordWrap/>
        <w:overflowPunct/>
        <w:topLinePunct w:val="0"/>
        <w:bidi w:val="0"/>
        <w:spacing w:line="56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9年政府性基金预算拨款支出0万元。</w:t>
      </w:r>
    </w:p>
    <w:p>
      <w:pPr>
        <w:pageBreakBefore w:val="0"/>
        <w:numPr>
          <w:ilvl w:val="0"/>
          <w:numId w:val="1"/>
        </w:numPr>
        <w:kinsoku/>
        <w:wordWrap/>
        <w:overflowPunct/>
        <w:topLinePunct w:val="0"/>
        <w:bidi w:val="0"/>
        <w:spacing w:line="560" w:lineRule="exact"/>
        <w:ind w:firstLine="640"/>
        <w:outlineLvl w:val="1"/>
        <w:rPr>
          <w:rStyle w:val="25"/>
          <w:rFonts w:ascii="黑体" w:hAnsi="黑体" w:eastAsia="黑体"/>
          <w:b w:val="0"/>
        </w:rPr>
      </w:pPr>
      <w:bookmarkStart w:id="40" w:name="_Toc15377219"/>
      <w:bookmarkStart w:id="41" w:name="_Toc15396611"/>
      <w:r>
        <w:rPr>
          <w:rStyle w:val="25"/>
          <w:rFonts w:hint="eastAsia" w:ascii="黑体" w:hAnsi="黑体" w:eastAsia="黑体"/>
          <w:b w:val="0"/>
        </w:rPr>
        <w:t>国有资本经营预算支出决算情况说明</w:t>
      </w:r>
      <w:bookmarkEnd w:id="40"/>
      <w:bookmarkEnd w:id="41"/>
    </w:p>
    <w:p>
      <w:pPr>
        <w:pageBreakBefore w:val="0"/>
        <w:kinsoku/>
        <w:wordWrap/>
        <w:overflowPunct/>
        <w:topLinePunct w:val="0"/>
        <w:bidi w:val="0"/>
        <w:spacing w:line="56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9年国有资本经营预算拨款支出0万元。</w:t>
      </w:r>
    </w:p>
    <w:p>
      <w:pPr>
        <w:pageBreakBefore w:val="0"/>
        <w:kinsoku/>
        <w:wordWrap/>
        <w:overflowPunct/>
        <w:topLinePunct w:val="0"/>
        <w:autoSpaceDE w:val="0"/>
        <w:autoSpaceDN w:val="0"/>
        <w:bidi w:val="0"/>
        <w:adjustRightInd w:val="0"/>
        <w:spacing w:line="560" w:lineRule="exact"/>
        <w:ind w:firstLine="640" w:firstLineChars="200"/>
        <w:jc w:val="left"/>
        <w:outlineLvl w:val="2"/>
        <w:rPr>
          <w:rFonts w:ascii="黑体" w:hAnsi="黑体" w:eastAsia="黑体"/>
          <w:color w:val="000000"/>
          <w:sz w:val="32"/>
          <w:szCs w:val="32"/>
        </w:rPr>
      </w:pPr>
      <w:r>
        <w:rPr>
          <w:rFonts w:hint="eastAsia" w:ascii="黑体" w:hAnsi="黑体" w:eastAsia="黑体"/>
          <w:color w:val="000000"/>
          <w:sz w:val="32"/>
          <w:szCs w:val="32"/>
        </w:rPr>
        <w:t>十、预算绩效管理情况。</w:t>
      </w:r>
    </w:p>
    <w:p>
      <w:pPr>
        <w:pageBreakBefore w:val="0"/>
        <w:kinsoku/>
        <w:wordWrap/>
        <w:overflowPunct/>
        <w:topLinePunct w:val="0"/>
        <w:bidi w:val="0"/>
        <w:spacing w:line="560" w:lineRule="exact"/>
        <w:ind w:firstLine="321" w:firstLineChars="100"/>
        <w:rPr>
          <w:rFonts w:ascii="楷体_GB2312" w:hAnsi="仿宋" w:eastAsia="楷体_GB2312" w:cs="楷体_GB2312"/>
          <w:b/>
          <w:bCs/>
          <w:sz w:val="32"/>
          <w:szCs w:val="32"/>
        </w:rPr>
      </w:pPr>
      <w:bookmarkStart w:id="42" w:name="_Toc15377225"/>
      <w:bookmarkStart w:id="43" w:name="_Toc15396613"/>
      <w:r>
        <w:rPr>
          <w:rFonts w:hint="eastAsia" w:ascii="楷体_GB2312" w:hAnsi="仿宋" w:eastAsia="楷体_GB2312" w:cs="楷体_GB2312"/>
          <w:b/>
          <w:bCs/>
          <w:sz w:val="32"/>
          <w:szCs w:val="32"/>
        </w:rPr>
        <w:t>（一）预算绩效管理工作开展情况。</w:t>
      </w: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根据预算绩效管理要求，壤塘县</w:t>
      </w:r>
      <w:r>
        <w:rPr>
          <w:rFonts w:hint="eastAsia" w:ascii="仿宋_GB2312" w:hAnsi="仿宋_GB2312" w:eastAsia="仿宋_GB2312" w:cs="仿宋_GB2312"/>
          <w:sz w:val="32"/>
          <w:szCs w:val="32"/>
          <w:lang w:eastAsia="zh-CN"/>
        </w:rPr>
        <w:t>鱼托寺寺庙管理委员会</w:t>
      </w:r>
      <w:r>
        <w:rPr>
          <w:rFonts w:hint="eastAsia" w:ascii="仿宋_GB2312" w:hAnsi="仿宋_GB2312" w:eastAsia="仿宋_GB2312" w:cs="仿宋_GB2312"/>
          <w:sz w:val="32"/>
          <w:szCs w:val="32"/>
        </w:rPr>
        <w:t>在年初预算编制阶段，组织对我</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整体支出开展了预算事前绩效评估，编制了绩效目标，预算执行过程中，开展绩效监控，年终执行完毕后，开展了绩效目标完成情况梳理填报。</w:t>
      </w: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本年预算配置控制较好，财政供养人员控制在预算编制以内，实际在职人员数与编制数相同；“三公”经费支出总额较上年减少；预算执行方面，支出总额控制在预算总额以内，基本支出中财政政策性工资有所追加，本年部门预算未进行预算相关事项的调整；预算资金按规定管理使用，财政拨款支出总体控制较好；预算管理方面，制定了切实有效的内部财务、资产内部管理制度，执行总体较为有效。</w:t>
      </w:r>
    </w:p>
    <w:p>
      <w:pPr>
        <w:pageBreakBefore w:val="0"/>
        <w:numPr>
          <w:ilvl w:val="0"/>
          <w:numId w:val="0"/>
        </w:numPr>
        <w:kinsoku/>
        <w:wordWrap/>
        <w:overflowPunct/>
        <w:topLinePunct w:val="0"/>
        <w:bidi w:val="0"/>
        <w:spacing w:line="560" w:lineRule="exact"/>
        <w:rPr>
          <w:rFonts w:ascii="仿宋_GB2312" w:hAnsi="仿宋_GB2312" w:eastAsia="仿宋_GB2312" w:cs="仿宋_GB2312"/>
          <w:sz w:val="32"/>
          <w:szCs w:val="32"/>
        </w:rPr>
      </w:pPr>
      <w:r>
        <w:rPr>
          <w:rFonts w:hint="eastAsia" w:ascii="楷体_GB2312" w:hAnsi="仿宋" w:eastAsia="楷体_GB2312" w:cs="楷体_GB2312"/>
          <w:b/>
          <w:bCs/>
          <w:sz w:val="32"/>
          <w:szCs w:val="32"/>
        </w:rPr>
        <w:t>（二）项目绩效目标完成情况。</w:t>
      </w:r>
      <w:r>
        <w:rPr>
          <w:rFonts w:ascii="楷体_GB2312" w:hAnsi="楷体_GB2312" w:eastAsia="楷体_GB2312" w:cs="楷体_GB2312"/>
          <w:b/>
          <w:bCs/>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本部门在201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年度部门决算中反映“</w:t>
      </w:r>
      <w:r>
        <w:rPr>
          <w:rFonts w:hint="eastAsia" w:ascii="仿宋_GB2312" w:eastAsia="仿宋_GB2312"/>
          <w:sz w:val="32"/>
          <w:szCs w:val="32"/>
        </w:rPr>
        <w:t>辖区寺庙民主管理委员会班子成员工作补助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个项目绩效目标实际完成情况。</w:t>
      </w:r>
    </w:p>
    <w:p>
      <w:pPr>
        <w:pageBreakBefore w:val="0"/>
        <w:numPr>
          <w:ilvl w:val="0"/>
          <w:numId w:val="2"/>
        </w:numPr>
        <w:kinsoku/>
        <w:wordWrap/>
        <w:overflowPunct/>
        <w:topLinePunct w:val="0"/>
        <w:bidi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辖区民管会补助项目绩效目标完成情况综述。项目全年预算数10.32万元，执行数为10.32万元，完成预算的100%。通过项目实施，保障辖区5座寺庙民管会班子成员基础经费，进一步提高了寺庙管理工作质量。</w:t>
      </w:r>
    </w:p>
    <w:p>
      <w:pPr>
        <w:numPr>
          <w:ilvl w:val="0"/>
          <w:numId w:val="2"/>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单位伙食团经费</w:t>
      </w: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确保了单位后后勤工作，提高了基层职工生活质量</w:t>
      </w:r>
    </w:p>
    <w:tbl>
      <w:tblPr>
        <w:tblStyle w:val="12"/>
        <w:tblpPr w:leftFromText="180" w:rightFromText="180" w:vertAnchor="text" w:horzAnchor="page" w:tblpXSpec="center" w:tblpY="423"/>
        <w:tblOverlap w:val="never"/>
        <w:tblW w:w="10006" w:type="dxa"/>
        <w:jc w:val="center"/>
        <w:tblLayout w:type="fixed"/>
        <w:tblCellMar>
          <w:top w:w="0" w:type="dxa"/>
          <w:left w:w="0" w:type="dxa"/>
          <w:bottom w:w="0" w:type="dxa"/>
          <w:right w:w="0" w:type="dxa"/>
        </w:tblCellMar>
      </w:tblPr>
      <w:tblGrid>
        <w:gridCol w:w="392"/>
        <w:gridCol w:w="1373"/>
        <w:gridCol w:w="1030"/>
        <w:gridCol w:w="2403"/>
        <w:gridCol w:w="2405"/>
        <w:gridCol w:w="2403"/>
      </w:tblGrid>
      <w:tr>
        <w:tblPrEx>
          <w:tblCellMar>
            <w:top w:w="0" w:type="dxa"/>
            <w:left w:w="0" w:type="dxa"/>
            <w:bottom w:w="0" w:type="dxa"/>
            <w:right w:w="0" w:type="dxa"/>
          </w:tblCellMar>
        </w:tblPrEx>
        <w:trPr>
          <w:trHeight w:val="1219" w:hRule="exact"/>
          <w:jc w:val="center"/>
        </w:trPr>
        <w:tc>
          <w:tcPr>
            <w:tcW w:w="10006" w:type="dxa"/>
            <w:gridSpan w:val="6"/>
            <w:tcMar>
              <w:top w:w="15" w:type="dxa"/>
              <w:left w:w="15" w:type="dxa"/>
              <w:bottom w:w="0" w:type="dxa"/>
              <w:right w:w="15" w:type="dxa"/>
            </w:tcMar>
            <w:vAlign w:val="center"/>
          </w:tcPr>
          <w:p>
            <w:pPr>
              <w:pStyle w:val="23"/>
              <w:pageBreakBefore w:val="0"/>
              <w:widowControl/>
              <w:kinsoku/>
              <w:wordWrap/>
              <w:overflowPunct/>
              <w:topLinePunct w:val="0"/>
              <w:bidi w:val="0"/>
              <w:spacing w:line="560" w:lineRule="exact"/>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1219" w:hRule="exact"/>
          <w:jc w:val="center"/>
        </w:trPr>
        <w:tc>
          <w:tcPr>
            <w:tcW w:w="279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21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仿宋_GB2312" w:eastAsia="仿宋_GB2312"/>
                <w:sz w:val="32"/>
                <w:szCs w:val="32"/>
              </w:rPr>
              <w:t>辖区寺庙民主管理委员会班子成员工作补助</w:t>
            </w:r>
          </w:p>
        </w:tc>
      </w:tr>
      <w:tr>
        <w:tblPrEx>
          <w:tblCellMar>
            <w:top w:w="0" w:type="dxa"/>
            <w:left w:w="0" w:type="dxa"/>
            <w:bottom w:w="0" w:type="dxa"/>
            <w:right w:w="0" w:type="dxa"/>
          </w:tblCellMar>
        </w:tblPrEx>
        <w:trPr>
          <w:trHeight w:val="1219" w:hRule="exact"/>
          <w:jc w:val="center"/>
        </w:trPr>
        <w:tc>
          <w:tcPr>
            <w:tcW w:w="279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21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sz w:val="24"/>
              </w:rPr>
              <w:t>壤塘县鱼托寺寺庙管理委员会</w:t>
            </w:r>
          </w:p>
        </w:tc>
      </w:tr>
      <w:tr>
        <w:tblPrEx>
          <w:tblCellMar>
            <w:top w:w="0" w:type="dxa"/>
            <w:left w:w="0" w:type="dxa"/>
            <w:bottom w:w="0" w:type="dxa"/>
            <w:right w:w="0" w:type="dxa"/>
          </w:tblCellMar>
        </w:tblPrEx>
        <w:trPr>
          <w:trHeight w:val="1219" w:hRule="exact"/>
          <w:jc w:val="center"/>
        </w:trPr>
        <w:tc>
          <w:tcPr>
            <w:tcW w:w="39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sz w:val="24"/>
              </w:rPr>
              <w:t>10.32万</w:t>
            </w:r>
          </w:p>
        </w:tc>
        <w:tc>
          <w:tcPr>
            <w:tcW w:w="24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sz w:val="24"/>
              </w:rPr>
              <w:t>10.32万</w:t>
            </w:r>
          </w:p>
        </w:tc>
      </w:tr>
      <w:tr>
        <w:tblPrEx>
          <w:tblCellMar>
            <w:top w:w="0" w:type="dxa"/>
            <w:left w:w="0" w:type="dxa"/>
            <w:bottom w:w="0" w:type="dxa"/>
            <w:right w:w="0" w:type="dxa"/>
          </w:tblCellMar>
        </w:tblPrEx>
        <w:trPr>
          <w:trHeight w:val="1219" w:hRule="exact"/>
          <w:jc w:val="center"/>
        </w:trPr>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60" w:lineRule="exact"/>
              <w:jc w:val="left"/>
              <w:rPr>
                <w:rFonts w:ascii="宋体" w:hAnsi="宋体" w:cs="宋体"/>
                <w:color w:val="000000"/>
                <w:sz w:val="24"/>
              </w:rPr>
            </w:pPr>
          </w:p>
        </w:tc>
        <w:tc>
          <w:tcPr>
            <w:tcW w:w="2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sz w:val="24"/>
              </w:rPr>
              <w:t>10.32万</w:t>
            </w:r>
          </w:p>
        </w:tc>
        <w:tc>
          <w:tcPr>
            <w:tcW w:w="24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sz w:val="24"/>
              </w:rPr>
              <w:t>10.32万</w:t>
            </w:r>
          </w:p>
        </w:tc>
      </w:tr>
      <w:tr>
        <w:tblPrEx>
          <w:tblCellMar>
            <w:top w:w="0" w:type="dxa"/>
            <w:left w:w="0" w:type="dxa"/>
            <w:bottom w:w="0" w:type="dxa"/>
            <w:right w:w="0" w:type="dxa"/>
          </w:tblCellMar>
        </w:tblPrEx>
        <w:trPr>
          <w:trHeight w:val="1219" w:hRule="exact"/>
          <w:jc w:val="center"/>
        </w:trPr>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60" w:lineRule="exact"/>
              <w:jc w:val="left"/>
              <w:rPr>
                <w:rFonts w:ascii="宋体" w:hAnsi="宋体" w:cs="宋体"/>
                <w:color w:val="000000"/>
                <w:sz w:val="24"/>
              </w:rPr>
            </w:pPr>
          </w:p>
        </w:tc>
        <w:tc>
          <w:tcPr>
            <w:tcW w:w="240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kern w:val="0"/>
                <w:sz w:val="24"/>
              </w:rPr>
              <w:t>0</w:t>
            </w:r>
          </w:p>
        </w:tc>
        <w:tc>
          <w:tcPr>
            <w:tcW w:w="24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kinsoku/>
              <w:wordWrap/>
              <w:overflowPunct/>
              <w:topLinePunct w:val="0"/>
              <w:bidi w:val="0"/>
              <w:spacing w:line="560" w:lineRule="exact"/>
              <w:jc w:val="center"/>
              <w:rPr>
                <w:rFonts w:ascii="宋体" w:hAnsi="宋体" w:cs="宋体"/>
                <w:color w:val="000000"/>
                <w:sz w:val="24"/>
              </w:rPr>
            </w:pPr>
            <w:r>
              <w:rPr>
                <w:rFonts w:hint="eastAsia" w:ascii="宋体" w:hAnsi="宋体" w:cs="宋体"/>
                <w:color w:val="000000"/>
                <w:sz w:val="24"/>
              </w:rPr>
              <w:t>0</w:t>
            </w:r>
          </w:p>
        </w:tc>
      </w:tr>
      <w:tr>
        <w:tblPrEx>
          <w:tblCellMar>
            <w:top w:w="0" w:type="dxa"/>
            <w:left w:w="0" w:type="dxa"/>
            <w:bottom w:w="0" w:type="dxa"/>
            <w:right w:w="0" w:type="dxa"/>
          </w:tblCellMar>
        </w:tblPrEx>
        <w:trPr>
          <w:trHeight w:val="1219" w:hRule="exact"/>
          <w:jc w:val="center"/>
        </w:trPr>
        <w:tc>
          <w:tcPr>
            <w:tcW w:w="39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80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80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219" w:hRule="exact"/>
          <w:jc w:val="center"/>
        </w:trPr>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60" w:lineRule="exact"/>
              <w:jc w:val="left"/>
              <w:rPr>
                <w:rFonts w:ascii="宋体" w:hAnsi="宋体" w:cs="宋体"/>
                <w:color w:val="000000"/>
                <w:sz w:val="24"/>
              </w:rPr>
            </w:pPr>
          </w:p>
        </w:tc>
        <w:tc>
          <w:tcPr>
            <w:tcW w:w="480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sz w:val="24"/>
              </w:rPr>
              <w:t>保障寺庙民主管理委员会工作补助</w:t>
            </w:r>
          </w:p>
        </w:tc>
        <w:tc>
          <w:tcPr>
            <w:tcW w:w="4808"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sz w:val="24"/>
              </w:rPr>
              <w:t>保障寺庙民主管理委员会工作补助</w:t>
            </w:r>
          </w:p>
        </w:tc>
      </w:tr>
      <w:tr>
        <w:tblPrEx>
          <w:tblCellMar>
            <w:top w:w="0" w:type="dxa"/>
            <w:left w:w="0" w:type="dxa"/>
            <w:bottom w:w="0" w:type="dxa"/>
            <w:right w:w="0" w:type="dxa"/>
          </w:tblCellMar>
        </w:tblPrEx>
        <w:trPr>
          <w:trHeight w:val="1219" w:hRule="exact"/>
          <w:jc w:val="center"/>
        </w:trPr>
        <w:tc>
          <w:tcPr>
            <w:tcW w:w="39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4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1219" w:hRule="exact"/>
          <w:jc w:val="center"/>
        </w:trPr>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60" w:lineRule="exact"/>
              <w:jc w:val="left"/>
              <w:rPr>
                <w:rFonts w:ascii="宋体" w:hAnsi="宋体" w:cs="宋体"/>
                <w:color w:val="000000"/>
                <w:sz w:val="24"/>
              </w:rPr>
            </w:pPr>
          </w:p>
        </w:tc>
        <w:tc>
          <w:tcPr>
            <w:tcW w:w="13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sz w:val="24"/>
              </w:rPr>
              <w:t>数量指标</w:t>
            </w:r>
          </w:p>
        </w:tc>
        <w:tc>
          <w:tcPr>
            <w:tcW w:w="2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sz w:val="24"/>
              </w:rPr>
              <w:t>为辖区5座寺庙民管会成员发放补助</w:t>
            </w:r>
          </w:p>
        </w:tc>
        <w:tc>
          <w:tcPr>
            <w:tcW w:w="24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sz w:val="24"/>
              </w:rPr>
              <w:t>为辖区5座寺庙民管会成员发放补助</w:t>
            </w:r>
          </w:p>
        </w:tc>
        <w:tc>
          <w:tcPr>
            <w:tcW w:w="2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sz w:val="24"/>
              </w:rPr>
              <w:t>为辖区5座寺庙民管会成员发放补助</w:t>
            </w:r>
          </w:p>
        </w:tc>
      </w:tr>
      <w:tr>
        <w:tblPrEx>
          <w:tblCellMar>
            <w:top w:w="0" w:type="dxa"/>
            <w:left w:w="0" w:type="dxa"/>
            <w:bottom w:w="0" w:type="dxa"/>
            <w:right w:w="0" w:type="dxa"/>
          </w:tblCellMar>
        </w:tblPrEx>
        <w:trPr>
          <w:trHeight w:val="1219" w:hRule="exact"/>
          <w:jc w:val="center"/>
        </w:trPr>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spacing w:line="560" w:lineRule="exact"/>
              <w:jc w:val="left"/>
              <w:rPr>
                <w:rFonts w:ascii="宋体" w:hAnsi="宋体" w:cs="宋体"/>
                <w:color w:val="000000"/>
                <w:sz w:val="24"/>
              </w:rPr>
            </w:pPr>
          </w:p>
        </w:tc>
        <w:tc>
          <w:tcPr>
            <w:tcW w:w="13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sz w:val="24"/>
              </w:rPr>
              <w:t>满意度指标</w:t>
            </w:r>
          </w:p>
        </w:tc>
        <w:tc>
          <w:tcPr>
            <w:tcW w:w="2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40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sz w:val="24"/>
              </w:rPr>
              <w:t>100%</w:t>
            </w:r>
          </w:p>
        </w:tc>
        <w:tc>
          <w:tcPr>
            <w:tcW w:w="240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ageBreakBefore w:val="0"/>
              <w:widowControl/>
              <w:kinsoku/>
              <w:wordWrap/>
              <w:overflowPunct/>
              <w:topLinePunct w:val="0"/>
              <w:bidi w:val="0"/>
              <w:spacing w:line="560" w:lineRule="exact"/>
              <w:jc w:val="center"/>
              <w:textAlignment w:val="center"/>
              <w:rPr>
                <w:rFonts w:ascii="宋体" w:hAnsi="宋体" w:cs="宋体"/>
                <w:color w:val="000000"/>
                <w:sz w:val="24"/>
              </w:rPr>
            </w:pPr>
            <w:r>
              <w:rPr>
                <w:rFonts w:hint="eastAsia" w:ascii="宋体" w:hAnsi="宋体" w:cs="宋体"/>
                <w:color w:val="000000"/>
                <w:sz w:val="24"/>
              </w:rPr>
              <w:t>100%</w:t>
            </w:r>
          </w:p>
        </w:tc>
      </w:tr>
    </w:tbl>
    <w:p>
      <w:pPr>
        <w:numPr>
          <w:ilvl w:val="0"/>
          <w:numId w:val="0"/>
        </w:numPr>
        <w:spacing w:line="580" w:lineRule="exact"/>
        <w:rPr>
          <w:rFonts w:ascii="仿宋_GB2312" w:hAnsi="仿宋_GB2312" w:eastAsia="仿宋_GB2312" w:cs="仿宋_GB2312"/>
          <w:sz w:val="32"/>
          <w:szCs w:val="32"/>
        </w:rPr>
      </w:pPr>
    </w:p>
    <w:tbl>
      <w:tblPr>
        <w:tblStyle w:val="12"/>
        <w:tblpPr w:leftFromText="180" w:rightFromText="180" w:vertAnchor="text" w:horzAnchor="page" w:tblpX="844" w:tblpY="2536"/>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0" w:leftChars="0" w:firstLine="0" w:firstLineChars="0"/>
              <w:textAlignment w:val="center"/>
              <w:rPr>
                <w:rFonts w:hint="eastAsia" w:ascii="黑体" w:hAnsi="黑体" w:eastAsia="黑体" w:cs="宋体"/>
                <w:bCs/>
                <w:color w:val="000000"/>
                <w:kern w:val="0"/>
                <w:sz w:val="36"/>
                <w:szCs w:val="36"/>
              </w:rPr>
            </w:pPr>
          </w:p>
          <w:p>
            <w:pPr>
              <w:pStyle w:val="23"/>
              <w:widowControl/>
              <w:ind w:left="4173" w:leftChars="1310" w:hanging="1422" w:hangingChars="395"/>
              <w:textAlignment w:val="center"/>
              <w:rPr>
                <w:rFonts w:hint="eastAsia" w:ascii="黑体" w:hAnsi="黑体" w:eastAsia="黑体" w:cs="宋体"/>
                <w:bCs/>
                <w:color w:val="000000"/>
                <w:kern w:val="0"/>
                <w:sz w:val="36"/>
                <w:szCs w:val="36"/>
              </w:rPr>
            </w:pPr>
          </w:p>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黑体" w:hAnsi="黑体" w:eastAsia="黑体" w:cs="宋体"/>
                <w:bCs/>
                <w:color w:val="000000"/>
                <w:kern w:val="0"/>
                <w:sz w:val="36"/>
                <w:szCs w:val="36"/>
                <w:lang w:eastAsia="zh-CN"/>
              </w:rPr>
              <w:t>二</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w:t>
            </w:r>
            <w:r>
              <w:rPr>
                <w:rFonts w:hint="eastAsia" w:ascii="宋体" w:hAnsi="宋体" w:cs="宋体"/>
                <w:color w:val="000000"/>
                <w:kern w:val="0"/>
                <w:sz w:val="36"/>
                <w:szCs w:val="36"/>
                <w:lang w:val="en-US" w:eastAsia="zh-CN"/>
              </w:rPr>
              <w:t>9</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lang w:eastAsia="zh-CN"/>
              </w:rPr>
              <w:t>单位伙食团经费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壤塘县鱼托寺寺庙管理委员会</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2</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2</w:t>
            </w:r>
          </w:p>
        </w:tc>
      </w:tr>
      <w:tr>
        <w:tblPrEx>
          <w:tblCellMar>
            <w:top w:w="0" w:type="dxa"/>
            <w:left w:w="0" w:type="dxa"/>
            <w:bottom w:w="0" w:type="dxa"/>
            <w:right w:w="0" w:type="dxa"/>
          </w:tblCellMar>
        </w:tblPrEx>
        <w:trPr>
          <w:trHeight w:val="121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确保了单位后后勤工作，提高了基层职工生活质量</w:t>
            </w:r>
          </w:p>
          <w:p>
            <w:pPr>
              <w:widowControl/>
              <w:jc w:val="center"/>
              <w:textAlignment w:val="center"/>
              <w:rPr>
                <w:rFonts w:hint="eastAsia" w:ascii="宋体" w:hAnsi="宋体" w:eastAsia="宋体" w:cs="宋体"/>
                <w:color w:val="000000"/>
                <w:sz w:val="24"/>
                <w:lang w:eastAsia="zh-CN"/>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确保了单位后后勤工作，提高了基层职工生活质量</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提高基层职工</w:t>
            </w:r>
            <w:r>
              <w:rPr>
                <w:rFonts w:hint="eastAsia" w:ascii="宋体" w:hAnsi="宋体" w:cs="宋体"/>
                <w:color w:val="000000"/>
                <w:kern w:val="0"/>
                <w:sz w:val="24"/>
                <w:lang w:val="en-US" w:eastAsia="zh-CN"/>
              </w:rPr>
              <w:t>12人</w:t>
            </w:r>
            <w:r>
              <w:rPr>
                <w:rFonts w:hint="eastAsia" w:ascii="宋体" w:hAnsi="宋体" w:cs="宋体"/>
                <w:color w:val="000000"/>
                <w:kern w:val="0"/>
                <w:sz w:val="24"/>
                <w:lang w:eastAsia="zh-CN"/>
              </w:rPr>
              <w:t>生活质量</w:t>
            </w:r>
          </w:p>
          <w:p>
            <w:pPr>
              <w:widowControl/>
              <w:jc w:val="center"/>
              <w:textAlignment w:val="center"/>
              <w:rPr>
                <w:rFonts w:hint="eastAsia" w:ascii="宋体" w:hAnsi="宋体" w:eastAsia="宋体" w:cs="宋体"/>
                <w:color w:val="000000"/>
                <w:sz w:val="24"/>
                <w:lang w:val="en-US" w:eastAsia="zh-CN"/>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提高基层职工</w:t>
            </w:r>
            <w:r>
              <w:rPr>
                <w:rFonts w:hint="eastAsia" w:ascii="宋体" w:hAnsi="宋体" w:cs="宋体"/>
                <w:color w:val="000000"/>
                <w:kern w:val="0"/>
                <w:sz w:val="24"/>
                <w:lang w:val="en-US" w:eastAsia="zh-CN"/>
              </w:rPr>
              <w:t>12人</w:t>
            </w:r>
            <w:r>
              <w:rPr>
                <w:rFonts w:hint="eastAsia" w:ascii="宋体" w:hAnsi="宋体" w:cs="宋体"/>
                <w:color w:val="000000"/>
                <w:kern w:val="0"/>
                <w:sz w:val="24"/>
                <w:lang w:eastAsia="zh-CN"/>
              </w:rPr>
              <w:t>生活质量</w:t>
            </w:r>
          </w:p>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提高基层职工</w:t>
            </w:r>
            <w:r>
              <w:rPr>
                <w:rFonts w:hint="eastAsia" w:ascii="宋体" w:hAnsi="宋体" w:cs="宋体"/>
                <w:color w:val="000000"/>
                <w:kern w:val="0"/>
                <w:sz w:val="24"/>
                <w:lang w:val="en-US" w:eastAsia="zh-CN"/>
              </w:rPr>
              <w:t>12人</w:t>
            </w:r>
            <w:r>
              <w:rPr>
                <w:rFonts w:hint="eastAsia" w:ascii="宋体" w:hAnsi="宋体" w:cs="宋体"/>
                <w:color w:val="000000"/>
                <w:kern w:val="0"/>
                <w:sz w:val="24"/>
                <w:lang w:eastAsia="zh-CN"/>
              </w:rPr>
              <w:t>生活质量</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00</w:t>
            </w:r>
            <w:r>
              <w:rPr>
                <w:rFonts w:hint="eastAsia" w:ascii="宋体" w:hAnsi="宋体" w:cs="宋体"/>
                <w:color w:val="00000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00</w:t>
            </w:r>
            <w:r>
              <w:rPr>
                <w:rFonts w:hint="eastAsia" w:ascii="宋体" w:hAnsi="宋体" w:cs="宋体"/>
                <w:color w:val="000000"/>
                <w:sz w:val="24"/>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确保了单位后后勤工作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确保了单位后后勤工作</w:t>
            </w:r>
            <w:r>
              <w:rPr>
                <w:rFonts w:hint="eastAsia" w:ascii="宋体" w:hAnsi="宋体" w:cs="宋体"/>
                <w:color w:val="000000"/>
                <w:kern w:val="0"/>
                <w:sz w:val="24"/>
                <w:lang w:val="en-US" w:eastAsia="zh-CN"/>
              </w:rPr>
              <w:t>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确保了单位后后勤工作</w:t>
            </w:r>
          </w:p>
        </w:tc>
      </w:tr>
    </w:tbl>
    <w:p>
      <w:pPr>
        <w:pageBreakBefore w:val="0"/>
        <w:kinsoku/>
        <w:wordWrap/>
        <w:overflowPunct/>
        <w:topLinePunct w:val="0"/>
        <w:bidi w:val="0"/>
        <w:spacing w:line="560" w:lineRule="exact"/>
        <w:rPr>
          <w:rFonts w:ascii="仿宋_GB2312" w:hAnsi="仿宋_GB2312" w:eastAsia="仿宋_GB2312" w:cs="仿宋_GB2312"/>
          <w:sz w:val="32"/>
          <w:szCs w:val="32"/>
        </w:rPr>
      </w:pPr>
    </w:p>
    <w:p>
      <w:pPr>
        <w:pageBreakBefore w:val="0"/>
        <w:kinsoku/>
        <w:wordWrap/>
        <w:overflowPunct/>
        <w:topLinePunct w:val="0"/>
        <w:bidi w:val="0"/>
        <w:spacing w:line="560" w:lineRule="exact"/>
        <w:ind w:left="643"/>
        <w:rPr>
          <w:rFonts w:ascii="仿宋_GB2312" w:hAnsi="仿宋" w:eastAsia="仿宋_GB2312" w:cs="仿宋_GB2312"/>
          <w:sz w:val="32"/>
          <w:szCs w:val="32"/>
        </w:rPr>
      </w:pPr>
      <w:r>
        <w:rPr>
          <w:rFonts w:hint="eastAsia" w:ascii="仿宋_GB2312" w:hAnsi="仿宋" w:eastAsia="仿宋_GB2312" w:cs="楷体_GB2312"/>
          <w:b/>
          <w:bCs/>
          <w:sz w:val="32"/>
          <w:szCs w:val="32"/>
        </w:rPr>
        <w:t>（三）部门开展绩效评价结果。</w:t>
      </w:r>
    </w:p>
    <w:p>
      <w:pPr>
        <w:pageBreakBefore w:val="0"/>
        <w:kinsoku/>
        <w:wordWrap/>
        <w:overflowPunct/>
        <w:topLinePunct w:val="0"/>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本部门按要求对2019年部门整体支出绩效评价情况开展自评，《壤塘县</w:t>
      </w:r>
      <w:r>
        <w:rPr>
          <w:rFonts w:hint="eastAsia" w:ascii="仿宋_GB2312" w:hAnsi="仿宋_GB2312" w:eastAsia="仿宋_GB2312" w:cs="仿宋_GB2312"/>
          <w:sz w:val="32"/>
          <w:szCs w:val="32"/>
          <w:lang w:eastAsia="zh-CN"/>
        </w:rPr>
        <w:t>鱼托寺寺庙管理委员会</w:t>
      </w:r>
      <w:r>
        <w:rPr>
          <w:rFonts w:hint="eastAsia" w:ascii="仿宋_GB2312" w:hAnsi="仿宋_GB2312" w:eastAsia="仿宋_GB2312" w:cs="仿宋_GB2312"/>
          <w:sz w:val="32"/>
          <w:szCs w:val="32"/>
        </w:rPr>
        <w:t>2019年部门整体支出绩效评价报告》见附件。</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根据考核评分细则，我</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严格按照国家的相关财务管理制度规定，财务制度健全、会计核算规范，依照计划管理使用。按照部门整体支出绩效评价指标体系对照打分得出结果为80分，等级为良好。</w:t>
      </w: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rPr>
          <w:rFonts w:hint="eastAsia" w:ascii="仿宋_GB2312" w:hAnsi="仿宋_GB2312" w:eastAsia="仿宋_GB2312" w:cs="仿宋_GB2312"/>
          <w:sz w:val="32"/>
          <w:szCs w:val="32"/>
        </w:rPr>
      </w:pPr>
    </w:p>
    <w:p>
      <w:pPr>
        <w:pageBreakBefore w:val="0"/>
        <w:kinsoku/>
        <w:wordWrap/>
        <w:overflowPunct/>
        <w:topLinePunct w:val="0"/>
        <w:bidi w:val="0"/>
        <w:spacing w:line="560" w:lineRule="exact"/>
        <w:rPr>
          <w:rFonts w:hint="eastAsia" w:ascii="仿宋_GB2312" w:hAnsi="仿宋_GB2312" w:eastAsia="仿宋_GB2312" w:cs="仿宋_GB2312"/>
          <w:sz w:val="32"/>
          <w:szCs w:val="32"/>
        </w:rPr>
      </w:pPr>
    </w:p>
    <w:p>
      <w:pPr>
        <w:pageBreakBefore w:val="0"/>
        <w:kinsoku/>
        <w:wordWrap/>
        <w:overflowPunct/>
        <w:topLinePunct w:val="0"/>
        <w:bidi w:val="0"/>
        <w:spacing w:line="560" w:lineRule="exact"/>
        <w:ind w:left="660"/>
        <w:jc w:val="center"/>
        <w:outlineLvl w:val="0"/>
        <w:rPr>
          <w:rStyle w:val="24"/>
          <w:rFonts w:ascii="方正小标宋简体" w:hAnsi="黑体" w:eastAsia="方正小标宋简体"/>
          <w:b w:val="0"/>
        </w:rPr>
      </w:pPr>
      <w:r>
        <w:rPr>
          <w:rFonts w:hint="eastAsia" w:ascii="方正小标宋简体" w:hAnsi="黑体" w:eastAsia="方正小标宋简体"/>
          <w:color w:val="000000"/>
          <w:sz w:val="44"/>
          <w:szCs w:val="44"/>
        </w:rPr>
        <w:t>第三部分 名</w:t>
      </w:r>
      <w:r>
        <w:rPr>
          <w:rStyle w:val="24"/>
          <w:rFonts w:hint="eastAsia" w:ascii="方正小标宋简体" w:hAnsi="黑体" w:eastAsia="方正小标宋简体"/>
          <w:b w:val="0"/>
        </w:rPr>
        <w:t>词解释</w:t>
      </w:r>
      <w:bookmarkEnd w:id="42"/>
      <w:bookmarkEnd w:id="43"/>
    </w:p>
    <w:p>
      <w:pPr>
        <w:pageBreakBefore w:val="0"/>
        <w:kinsoku/>
        <w:wordWrap/>
        <w:overflowPunct/>
        <w:topLinePunct w:val="0"/>
        <w:bidi w:val="0"/>
        <w:spacing w:line="560" w:lineRule="exact"/>
        <w:jc w:val="left"/>
        <w:rPr>
          <w:rFonts w:ascii="宋体"/>
          <w:b/>
          <w:color w:val="000000"/>
          <w:sz w:val="44"/>
          <w:szCs w:val="44"/>
        </w:rPr>
      </w:pPr>
    </w:p>
    <w:p>
      <w:pPr>
        <w:pStyle w:val="22"/>
        <w:pageBreakBefore w:val="0"/>
        <w:kinsoku/>
        <w:wordWrap/>
        <w:overflowPunct/>
        <w:topLinePunct w:val="0"/>
        <w:bidi w:val="0"/>
        <w:spacing w:line="560" w:lineRule="exact"/>
        <w:ind w:firstLine="640" w:firstLineChars="200"/>
        <w:rPr>
          <w:rFonts w:ascii="仿宋_GB2312" w:eastAsia="仿宋_GB2312"/>
          <w:sz w:val="32"/>
          <w:szCs w:val="32"/>
        </w:rPr>
      </w:pPr>
      <w:bookmarkStart w:id="44" w:name="_Toc15396614"/>
      <w:bookmarkStart w:id="45" w:name="_Toc15377226"/>
      <w:r>
        <w:rPr>
          <w:rFonts w:hint="eastAsia" w:ascii="仿宋_GB2312" w:eastAsia="仿宋_GB2312"/>
          <w:sz w:val="32"/>
          <w:szCs w:val="32"/>
        </w:rPr>
        <w:t>1.财政拨款收入：指单位从同级财政部门取得的财政预算资金。</w:t>
      </w: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2.其他收入：指单位取得的除上述收入以外的各项收入。主要是银行存款中的利息收入等。 </w:t>
      </w: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3.年初结转和结余：指以前年度尚未完成、结转到本年按有关规定继续使用的资金。 </w:t>
      </w: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hint="eastAsia" w:ascii="仿宋_GB2312" w:eastAsia="仿宋_GB2312"/>
          <w:sz w:val="32"/>
          <w:szCs w:val="32"/>
        </w:rPr>
        <w:t>4.结余分配：指事业单位按照事业单位会计制度的规定从非财政补助结余中分配的事业基金和职工福利基金等。</w:t>
      </w: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hint="eastAsia" w:ascii="仿宋_GB2312" w:eastAsia="仿宋_GB2312"/>
          <w:sz w:val="32"/>
          <w:szCs w:val="32"/>
        </w:rPr>
        <w:t>5、年末结转和结余：指单位按有关规定结转到下年或以后年度继续使用的资金。</w:t>
      </w:r>
    </w:p>
    <w:p>
      <w:pPr>
        <w:pageBreakBefore w:val="0"/>
        <w:kinsoku/>
        <w:wordWrap/>
        <w:overflowPunct/>
        <w:topLinePunct w:val="0"/>
        <w:bidi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6.社会保障和就业2080505指机关事业单位基本养老保险缴费支出；2080506指机关事业单位职业年金缴费支出。</w:t>
      </w:r>
    </w:p>
    <w:p>
      <w:pPr>
        <w:pageBreakBefore w:val="0"/>
        <w:kinsoku/>
        <w:wordWrap/>
        <w:overflowPunct/>
        <w:topLinePunct w:val="0"/>
        <w:bidi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7.医疗卫生与计划生育2101102指事业单位医疗。</w:t>
      </w:r>
    </w:p>
    <w:p>
      <w:pPr>
        <w:pageBreakBefore w:val="0"/>
        <w:kinsoku/>
        <w:wordWrap/>
        <w:overflowPunct/>
        <w:topLinePunct w:val="0"/>
        <w:bidi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8.住房保障2210201指住房公积金，主要用于单位职工住房公积金；2210203指购房补贴，主要用于退休干部的住房补贴。</w:t>
      </w:r>
    </w:p>
    <w:p>
      <w:pPr>
        <w:pageBreakBefore w:val="0"/>
        <w:kinsoku/>
        <w:wordWrap/>
        <w:overflowPunct/>
        <w:topLinePunct w:val="0"/>
        <w:bidi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9.基本支出：指为保障机构正常运转、完成日常工作任务而发生的人员支出和公用支出。</w:t>
      </w:r>
    </w:p>
    <w:p>
      <w:pPr>
        <w:pageBreakBefore w:val="0"/>
        <w:kinsoku/>
        <w:wordWrap/>
        <w:overflowPunct/>
        <w:topLinePunct w:val="0"/>
        <w:bidi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10.项目支出：指在基本支出之外为完成特定行政任务和事业发展目标所发生的支出。 </w:t>
      </w:r>
    </w:p>
    <w:p>
      <w:pPr>
        <w:pStyle w:val="22"/>
        <w:pageBreakBefore w:val="0"/>
        <w:kinsoku/>
        <w:wordWrap/>
        <w:overflowPunct/>
        <w:topLinePunct w:val="0"/>
        <w:bidi w:val="0"/>
        <w:spacing w:line="560" w:lineRule="exact"/>
        <w:ind w:firstLine="640" w:firstLineChars="200"/>
        <w:rPr>
          <w:rFonts w:ascii="仿宋_GB2312" w:eastAsia="仿宋_GB2312"/>
          <w:sz w:val="32"/>
          <w:szCs w:val="32"/>
        </w:rPr>
      </w:pPr>
      <w:r>
        <w:rPr>
          <w:rFonts w:hint="eastAsia" w:ascii="仿宋_GB2312" w:eastAsia="仿宋_GB2312"/>
          <w:sz w:val="32"/>
          <w:szCs w:val="32"/>
        </w:rPr>
        <w:t>11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ageBreakBefore w:val="0"/>
        <w:kinsoku/>
        <w:wordWrap/>
        <w:overflowPunct/>
        <w:topLinePunct w:val="0"/>
        <w:bidi w:val="0"/>
        <w:spacing w:line="560" w:lineRule="exact"/>
        <w:jc w:val="center"/>
        <w:outlineLvl w:val="0"/>
        <w:rPr>
          <w:rStyle w:val="24"/>
          <w:rFonts w:ascii="方正小标宋简体" w:hAnsi="黑体" w:eastAsia="方正小标宋简体"/>
          <w:b w:val="0"/>
        </w:rPr>
      </w:pPr>
      <w:r>
        <w:rPr>
          <w:rFonts w:ascii="宋体"/>
          <w:b/>
          <w:color w:val="000000"/>
          <w:sz w:val="44"/>
          <w:szCs w:val="44"/>
        </w:rPr>
        <w:br w:type="page"/>
      </w:r>
      <w:bookmarkEnd w:id="44"/>
      <w:r>
        <w:rPr>
          <w:rFonts w:hint="eastAsia" w:ascii="方正小标宋简体" w:hAnsi="黑体" w:eastAsia="方正小标宋简体"/>
          <w:color w:val="000000"/>
          <w:sz w:val="44"/>
          <w:szCs w:val="44"/>
        </w:rPr>
        <w:t>第</w:t>
      </w:r>
      <w:r>
        <w:rPr>
          <w:rStyle w:val="24"/>
          <w:rFonts w:hint="eastAsia" w:ascii="方正小标宋简体" w:hAnsi="黑体" w:eastAsia="方正小标宋简体"/>
        </w:rPr>
        <w:t xml:space="preserve">四部分 </w:t>
      </w:r>
    </w:p>
    <w:p>
      <w:pPr>
        <w:pageBreakBefore w:val="0"/>
        <w:kinsoku/>
        <w:wordWrap/>
        <w:overflowPunct/>
        <w:topLinePunct w:val="0"/>
        <w:bidi w:val="0"/>
        <w:spacing w:line="560" w:lineRule="exact"/>
        <w:jc w:val="center"/>
        <w:outlineLvl w:val="0"/>
        <w:rPr>
          <w:rStyle w:val="24"/>
        </w:rPr>
      </w:pPr>
    </w:p>
    <w:p>
      <w:pPr>
        <w:pageBreakBefore w:val="0"/>
        <w:kinsoku/>
        <w:wordWrap/>
        <w:overflowPunct/>
        <w:topLinePunct w:val="0"/>
        <w:bidi w:val="0"/>
        <w:spacing w:line="560" w:lineRule="exact"/>
        <w:jc w:val="center"/>
        <w:outlineLvl w:val="0"/>
        <w:rPr>
          <w:rFonts w:hint="eastAsia" w:ascii="方正小标宋简体" w:hAnsi="黑体" w:eastAsia="方正小标宋简体" w:cs="方正小标宋简体"/>
          <w:sz w:val="44"/>
          <w:szCs w:val="44"/>
        </w:rPr>
      </w:pPr>
      <w:bookmarkStart w:id="46" w:name="_Toc15396616"/>
      <w:r>
        <w:rPr>
          <w:rFonts w:hint="eastAsia" w:ascii="方正小标宋简体" w:hAnsi="黑体" w:eastAsia="方正小标宋简体" w:cs="方正小标宋简体"/>
          <w:sz w:val="44"/>
          <w:szCs w:val="44"/>
        </w:rPr>
        <w:t>壤塘县</w:t>
      </w:r>
      <w:r>
        <w:rPr>
          <w:rFonts w:hint="eastAsia" w:ascii="方正小标宋简体" w:hAnsi="黑体" w:eastAsia="方正小标宋简体" w:cs="方正小标宋简体"/>
          <w:sz w:val="44"/>
          <w:szCs w:val="44"/>
          <w:lang w:eastAsia="zh-CN"/>
        </w:rPr>
        <w:t>鱼托寺</w:t>
      </w:r>
      <w:r>
        <w:rPr>
          <w:rFonts w:hint="eastAsia" w:ascii="方正小标宋简体" w:hAnsi="黑体" w:eastAsia="方正小标宋简体" w:cs="方正小标宋简体"/>
          <w:sz w:val="44"/>
          <w:szCs w:val="44"/>
        </w:rPr>
        <w:t>2019年部门整体支出绩效</w:t>
      </w:r>
    </w:p>
    <w:p>
      <w:pPr>
        <w:pageBreakBefore w:val="0"/>
        <w:kinsoku/>
        <w:wordWrap/>
        <w:overflowPunct/>
        <w:topLinePunct w:val="0"/>
        <w:bidi w:val="0"/>
        <w:spacing w:line="560" w:lineRule="exact"/>
        <w:jc w:val="center"/>
        <w:outlineLvl w:val="0"/>
        <w:rPr>
          <w:rFonts w:ascii="方正小标宋简体" w:hAnsi="黑体" w:eastAsia="方正小标宋简体" w:cs="方正小标宋简体"/>
          <w:sz w:val="44"/>
          <w:szCs w:val="44"/>
        </w:rPr>
      </w:pPr>
      <w:r>
        <w:rPr>
          <w:rFonts w:hint="eastAsia" w:ascii="方正小标宋简体" w:hAnsi="黑体" w:eastAsia="方正小标宋简体" w:cs="方正小标宋简体"/>
          <w:sz w:val="44"/>
          <w:szCs w:val="44"/>
        </w:rPr>
        <w:t>评价报告</w:t>
      </w:r>
      <w:bookmarkEnd w:id="46"/>
    </w:p>
    <w:p>
      <w:pPr>
        <w:pageBreakBefore w:val="0"/>
        <w:kinsoku/>
        <w:wordWrap/>
        <w:overflowPunct/>
        <w:topLinePunct w:val="0"/>
        <w:bidi w:val="0"/>
        <w:spacing w:line="560" w:lineRule="exact"/>
        <w:ind w:firstLine="640" w:firstLineChars="200"/>
        <w:rPr>
          <w:rFonts w:ascii="黑体" w:hAnsi="黑体" w:eastAsia="黑体" w:cs="黑体"/>
          <w:sz w:val="32"/>
          <w:szCs w:val="32"/>
        </w:rPr>
      </w:pPr>
    </w:p>
    <w:p>
      <w:pPr>
        <w:pageBreakBefore w:val="0"/>
        <w:kinsoku/>
        <w:wordWrap/>
        <w:overflowPunct/>
        <w:topLinePunct w:val="0"/>
        <w:bidi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pStyle w:val="5"/>
        <w:pageBreakBefore w:val="0"/>
        <w:kinsoku/>
        <w:wordWrap/>
        <w:overflowPunct/>
        <w:topLinePunct w:val="0"/>
        <w:autoSpaceDE/>
        <w:autoSpaceDN/>
        <w:bidi w:val="0"/>
        <w:adjustRightInd w:val="0"/>
        <w:snapToGrid w:val="0"/>
        <w:spacing w:before="93" w:line="560" w:lineRule="exact"/>
        <w:ind w:firstLine="672" w:firstLineChars="210"/>
        <w:textAlignment w:val="auto"/>
        <w:rPr>
          <w:bCs/>
          <w:color w:val="000000"/>
          <w:sz w:val="32"/>
          <w:szCs w:val="32"/>
        </w:rPr>
      </w:pPr>
      <w:r>
        <w:rPr>
          <w:rFonts w:hint="eastAsia"/>
          <w:bCs/>
          <w:color w:val="000000"/>
          <w:sz w:val="32"/>
          <w:szCs w:val="32"/>
        </w:rPr>
        <w:t>（一）主要职能。</w:t>
      </w:r>
    </w:p>
    <w:p>
      <w:pPr>
        <w:pageBreakBefore w:val="0"/>
        <w:widowControl/>
        <w:kinsoku/>
        <w:wordWrap/>
        <w:overflowPunct/>
        <w:topLinePunct w:val="0"/>
        <w:autoSpaceDE/>
        <w:autoSpaceDN/>
        <w:bidi w:val="0"/>
        <w:spacing w:line="560" w:lineRule="exact"/>
        <w:ind w:firstLine="960" w:firstLineChars="300"/>
        <w:jc w:val="left"/>
        <w:textAlignment w:val="auto"/>
        <w:rPr>
          <w:rFonts w:ascii="仿宋" w:hAnsi="仿宋" w:eastAsia="仿宋" w:cs="仿宋"/>
          <w:sz w:val="32"/>
          <w:szCs w:val="32"/>
        </w:rPr>
      </w:pPr>
      <w:r>
        <w:rPr>
          <w:rFonts w:hint="eastAsia" w:ascii="仿宋" w:hAnsi="仿宋" w:eastAsia="仿宋" w:cs="仿宋"/>
          <w:kern w:val="0"/>
          <w:sz w:val="32"/>
          <w:szCs w:val="32"/>
        </w:rPr>
        <w:t>认真贯彻落实党的宗教工作方针政策和国家、</w:t>
      </w:r>
      <w:r>
        <w:rPr>
          <w:rFonts w:hint="eastAsia" w:ascii="仿宋" w:hAnsi="仿宋" w:eastAsia="仿宋" w:cs="仿宋"/>
          <w:kern w:val="0"/>
          <w:sz w:val="32"/>
          <w:szCs w:val="32"/>
          <w:lang w:eastAsia="zh-CN"/>
        </w:rPr>
        <w:t>省、州</w:t>
      </w:r>
      <w:r>
        <w:rPr>
          <w:rFonts w:hint="eastAsia" w:ascii="仿宋" w:hAnsi="仿宋" w:eastAsia="仿宋" w:cs="仿宋"/>
          <w:kern w:val="0"/>
          <w:sz w:val="32"/>
          <w:szCs w:val="32"/>
        </w:rPr>
        <w:t>宗教事务法律法规</w:t>
      </w:r>
      <w:r>
        <w:rPr>
          <w:rFonts w:hint="eastAsia" w:ascii="仿宋" w:hAnsi="仿宋" w:eastAsia="仿宋" w:cs="仿宋"/>
          <w:kern w:val="0"/>
          <w:sz w:val="32"/>
          <w:szCs w:val="32"/>
          <w:lang w:eastAsia="zh-CN"/>
        </w:rPr>
        <w:t>条例</w:t>
      </w:r>
      <w:r>
        <w:rPr>
          <w:rFonts w:hint="eastAsia" w:ascii="仿宋" w:hAnsi="仿宋" w:eastAsia="仿宋" w:cs="仿宋"/>
          <w:kern w:val="0"/>
          <w:sz w:val="32"/>
          <w:szCs w:val="32"/>
        </w:rPr>
        <w:t>,依法开展宗教事务管理工作,落实上级宗教工作决策部署,加强对所在乡、村宗教人士、宗教活动、宗教场所、信教群众的教育管理服务,充分发挥宗教人士的作用,做好信教群众工作,确保宗教活动依法依规规范有序,促进宗教与社会主义社会相适应。</w:t>
      </w:r>
    </w:p>
    <w:p>
      <w:pPr>
        <w:pStyle w:val="5"/>
        <w:pageBreakBefore w:val="0"/>
        <w:kinsoku/>
        <w:wordWrap/>
        <w:overflowPunct/>
        <w:topLinePunct w:val="0"/>
        <w:autoSpaceDE/>
        <w:autoSpaceDN/>
        <w:bidi w:val="0"/>
        <w:adjustRightInd w:val="0"/>
        <w:snapToGrid w:val="0"/>
        <w:spacing w:before="93" w:line="560" w:lineRule="exact"/>
        <w:ind w:firstLine="672" w:firstLineChars="210"/>
        <w:textAlignment w:val="auto"/>
        <w:rPr>
          <w:bCs/>
          <w:color w:val="000000"/>
          <w:sz w:val="32"/>
          <w:szCs w:val="32"/>
        </w:rPr>
      </w:pPr>
      <w:r>
        <w:rPr>
          <w:rFonts w:hint="eastAsia"/>
          <w:bCs/>
          <w:color w:val="000000"/>
          <w:sz w:val="32"/>
          <w:szCs w:val="32"/>
        </w:rPr>
        <w:t>（二）201</w:t>
      </w:r>
      <w:r>
        <w:rPr>
          <w:rFonts w:hint="eastAsia"/>
          <w:bCs/>
          <w:color w:val="000000"/>
          <w:sz w:val="32"/>
          <w:szCs w:val="32"/>
          <w:lang w:val="en-US" w:eastAsia="zh-CN"/>
        </w:rPr>
        <w:t>9</w:t>
      </w:r>
      <w:r>
        <w:rPr>
          <w:rFonts w:hint="eastAsia"/>
          <w:bCs/>
          <w:color w:val="000000"/>
          <w:sz w:val="32"/>
          <w:szCs w:val="32"/>
        </w:rPr>
        <w:t>年重点工作完成情况。</w:t>
      </w:r>
    </w:p>
    <w:p>
      <w:pPr>
        <w:pageBreakBefore w:val="0"/>
        <w:widowControl/>
        <w:kinsoku/>
        <w:wordWrap/>
        <w:overflowPunct/>
        <w:topLinePunct w:val="0"/>
        <w:autoSpaceDE/>
        <w:autoSpaceDN/>
        <w:bidi w:val="0"/>
        <w:spacing w:line="560" w:lineRule="exact"/>
        <w:ind w:firstLine="640" w:firstLineChars="200"/>
        <w:jc w:val="left"/>
        <w:textAlignment w:val="auto"/>
      </w:pPr>
      <w:r>
        <w:rPr>
          <w:rFonts w:hint="eastAsia" w:ascii="仿宋_GB2312" w:eastAsia="仿宋_GB2312"/>
          <w:bCs/>
          <w:color w:val="000000"/>
          <w:sz w:val="32"/>
          <w:szCs w:val="32"/>
        </w:rPr>
        <w:t>主要做好</w:t>
      </w:r>
      <w:r>
        <w:rPr>
          <w:rFonts w:hint="eastAsia" w:ascii="仿宋_GB2312" w:eastAsia="仿宋_GB2312"/>
          <w:bCs/>
          <w:color w:val="000000"/>
          <w:sz w:val="32"/>
          <w:szCs w:val="32"/>
          <w:lang w:eastAsia="zh-CN"/>
        </w:rPr>
        <w:t>寺庙管理</w:t>
      </w:r>
      <w:r>
        <w:rPr>
          <w:rFonts w:hint="eastAsia" w:ascii="仿宋_GB2312" w:eastAsia="仿宋_GB2312"/>
          <w:bCs/>
          <w:color w:val="000000"/>
          <w:sz w:val="32"/>
          <w:szCs w:val="32"/>
        </w:rPr>
        <w:t>工作，</w:t>
      </w:r>
      <w:r>
        <w:rPr>
          <w:rFonts w:hint="eastAsia" w:ascii="仿宋_GB2312" w:eastAsia="仿宋_GB2312"/>
          <w:sz w:val="32"/>
          <w:szCs w:val="32"/>
        </w:rPr>
        <w:t>全面落实寺庙管理责任，加大法制宣传力度，稳步推进法律进寺活动，依法抓好藏传佛教寺庙事务管理</w:t>
      </w:r>
      <w:r>
        <w:rPr>
          <w:rFonts w:hint="eastAsia" w:ascii="仿宋_GB2312" w:eastAsia="仿宋_GB2312"/>
          <w:sz w:val="32"/>
          <w:szCs w:val="32"/>
          <w:lang w:eastAsia="zh-CN"/>
        </w:rPr>
        <w:t>。</w:t>
      </w:r>
      <w:r>
        <w:rPr>
          <w:rFonts w:hint="eastAsia" w:ascii="仿宋" w:hAnsi="仿宋" w:eastAsia="仿宋" w:cs="仿宋"/>
          <w:kern w:val="0"/>
          <w:sz w:val="32"/>
          <w:szCs w:val="32"/>
        </w:rPr>
        <w:t>加强与宗教人士日常沟通,掌握宗教人士的思想动态,相信、依靠广大宗教人士,倾听他们的意见,充分发挥他们的特殊作用,积极协调帮助宗教人士、信教群众排忧解难,把广大宗教人士和信教群众紧紧团结在党和政府周围;遵循宗教自身规律,理解、尊重、爱护信教群众的宗教感情、信仰需求和风俗习惯,注意工作方式方法,既不能不作为、也不能乱作为;既要愿管敢管,又要善管</w:t>
      </w:r>
      <w:r>
        <w:rPr>
          <w:rFonts w:ascii="宋体" w:hAnsi="宋体" w:cs="宋体"/>
          <w:kern w:val="0"/>
          <w:sz w:val="24"/>
        </w:rPr>
        <w:t>会管。</w:t>
      </w:r>
    </w:p>
    <w:p>
      <w:pPr>
        <w:pageBreakBefore w:val="0"/>
        <w:widowControl/>
        <w:kinsoku/>
        <w:wordWrap/>
        <w:overflowPunct/>
        <w:topLinePunct w:val="0"/>
        <w:bidi w:val="0"/>
        <w:spacing w:line="560" w:lineRule="exact"/>
        <w:ind w:left="210" w:leftChars="100" w:firstLine="643" w:firstLineChars="200"/>
        <w:jc w:val="left"/>
        <w:rPr>
          <w:rFonts w:hint="eastAsia" w:ascii="仿宋_GB2312" w:hAnsi="仿宋" w:eastAsia="仿宋_GB2312"/>
          <w:sz w:val="32"/>
          <w:szCs w:val="32"/>
          <w:lang w:val="en-US" w:eastAsia="zh-CN"/>
        </w:rPr>
      </w:pPr>
      <w:r>
        <w:rPr>
          <w:rFonts w:hint="eastAsia" w:ascii="仿宋_GB2312" w:hAnsi="仿宋" w:eastAsia="仿宋_GB2312" w:cs="仿宋_GB2312"/>
          <w:b/>
          <w:sz w:val="32"/>
          <w:szCs w:val="32"/>
        </w:rPr>
        <w:t>（三）人员概况：</w:t>
      </w:r>
      <w:r>
        <w:rPr>
          <w:rFonts w:hint="eastAsia" w:ascii="仿宋_GB2312" w:hAnsi="宋体" w:eastAsia="仿宋_GB2312" w:cs="宋体"/>
          <w:kern w:val="0"/>
          <w:sz w:val="32"/>
          <w:szCs w:val="32"/>
        </w:rPr>
        <w:t>总编制</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名,其中:行政编制1</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名,行政工勤编制 1名。在职人员总数</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 xml:space="preserve">名，其中：行政人员 </w:t>
      </w:r>
      <w:r>
        <w:rPr>
          <w:rFonts w:hint="eastAsia" w:ascii="仿宋_GB2312" w:hAnsi="宋体" w:eastAsia="仿宋_GB2312" w:cs="宋体"/>
          <w:kern w:val="0"/>
          <w:sz w:val="32"/>
          <w:szCs w:val="32"/>
          <w:lang w:val="en-US" w:eastAsia="zh-CN"/>
        </w:rPr>
        <w:t>11</w:t>
      </w:r>
      <w:r>
        <w:rPr>
          <w:rFonts w:hint="eastAsia" w:ascii="仿宋_GB2312" w:hAnsi="宋体" w:eastAsia="仿宋_GB2312" w:cs="宋体"/>
          <w:kern w:val="0"/>
          <w:sz w:val="32"/>
          <w:szCs w:val="32"/>
        </w:rPr>
        <w:t>名，行政工勤编制人员 1 名</w:t>
      </w:r>
      <w:r>
        <w:rPr>
          <w:rFonts w:hint="eastAsia" w:ascii="仿宋_GB2312" w:hAnsi="宋体" w:eastAsia="仿宋_GB2312" w:cs="宋体"/>
          <w:kern w:val="0"/>
          <w:sz w:val="32"/>
          <w:szCs w:val="32"/>
          <w:lang w:eastAsia="zh-CN"/>
        </w:rPr>
        <w:t>。</w:t>
      </w:r>
    </w:p>
    <w:p>
      <w:pPr>
        <w:pageBreakBefore w:val="0"/>
        <w:kinsoku/>
        <w:wordWrap/>
        <w:overflowPunct/>
        <w:topLinePunct w:val="0"/>
        <w:bidi w:val="0"/>
        <w:spacing w:line="560" w:lineRule="exact"/>
        <w:ind w:firstLine="800" w:firstLineChars="250"/>
        <w:rPr>
          <w:rFonts w:ascii="黑体" w:hAnsi="黑体" w:eastAsia="黑体" w:cs="黑体"/>
          <w:sz w:val="32"/>
          <w:szCs w:val="32"/>
        </w:rPr>
      </w:pPr>
      <w:r>
        <w:rPr>
          <w:rFonts w:hint="eastAsia" w:ascii="黑体" w:hAnsi="黑体" w:eastAsia="黑体" w:cs="黑体"/>
          <w:sz w:val="32"/>
          <w:szCs w:val="32"/>
        </w:rPr>
        <w:t>二、部门财政资金收支情况</w:t>
      </w:r>
    </w:p>
    <w:p>
      <w:pPr>
        <w:pStyle w:val="23"/>
        <w:pageBreakBefore w:val="0"/>
        <w:numPr>
          <w:ilvl w:val="0"/>
          <w:numId w:val="3"/>
        </w:numPr>
        <w:kinsoku/>
        <w:wordWrap/>
        <w:overflowPunct/>
        <w:topLinePunct w:val="0"/>
        <w:bidi w:val="0"/>
        <w:spacing w:line="560" w:lineRule="exact"/>
        <w:ind w:firstLineChars="0"/>
        <w:rPr>
          <w:rFonts w:ascii="楷体_GB2312" w:hAnsi="仿宋" w:eastAsia="楷体_GB2312" w:cs="仿宋_GB2312"/>
          <w:b/>
          <w:sz w:val="32"/>
          <w:szCs w:val="32"/>
        </w:rPr>
      </w:pPr>
      <w:r>
        <w:rPr>
          <w:rFonts w:hint="eastAsia" w:ascii="楷体_GB2312" w:hAnsi="仿宋" w:eastAsia="楷体_GB2312" w:cs="仿宋_GB2312"/>
          <w:b/>
          <w:sz w:val="32"/>
          <w:szCs w:val="32"/>
        </w:rPr>
        <w:t>部门财政资金收入情况。</w:t>
      </w:r>
    </w:p>
    <w:p>
      <w:pPr>
        <w:pStyle w:val="23"/>
        <w:pageBreakBefore w:val="0"/>
        <w:kinsoku/>
        <w:wordWrap/>
        <w:overflowPunct/>
        <w:topLinePunct w:val="0"/>
        <w:bidi w:val="0"/>
        <w:snapToGrid w:val="0"/>
        <w:spacing w:line="560" w:lineRule="exact"/>
        <w:ind w:left="160" w:firstLine="640"/>
        <w:rPr>
          <w:rFonts w:ascii="仿宋_GB2312" w:eastAsia="仿宋_GB2312" w:cs="仿宋_GB2312"/>
          <w:sz w:val="32"/>
          <w:szCs w:val="32"/>
        </w:rPr>
      </w:pPr>
      <w:r>
        <w:rPr>
          <w:rFonts w:hint="eastAsia" w:ascii="仿宋_GB2312" w:hAnsi="仿宋" w:eastAsia="仿宋_GB2312"/>
          <w:color w:val="000000"/>
          <w:sz w:val="32"/>
          <w:szCs w:val="32"/>
        </w:rPr>
        <w:t>2019年本年收入</w:t>
      </w:r>
      <w:r>
        <w:rPr>
          <w:rFonts w:hint="eastAsia" w:ascii="仿宋_GB2312" w:eastAsia="仿宋_GB2312" w:cs="仿宋_GB2312"/>
          <w:sz w:val="32"/>
          <w:szCs w:val="32"/>
        </w:rPr>
        <w:t>共计</w:t>
      </w:r>
      <w:r>
        <w:rPr>
          <w:rFonts w:hint="eastAsia" w:ascii="仿宋_GB2312" w:eastAsia="仿宋_GB2312" w:cs="仿宋_GB2312"/>
          <w:sz w:val="32"/>
          <w:szCs w:val="32"/>
          <w:lang w:val="en-US" w:eastAsia="zh-CN"/>
        </w:rPr>
        <w:t>353.82</w:t>
      </w:r>
      <w:r>
        <w:rPr>
          <w:rFonts w:hint="eastAsia" w:ascii="仿宋_GB2312" w:eastAsia="仿宋_GB2312" w:cs="仿宋_GB2312"/>
          <w:sz w:val="32"/>
          <w:szCs w:val="32"/>
        </w:rPr>
        <w:t>万元。其中：财政拨款收入</w:t>
      </w:r>
      <w:r>
        <w:rPr>
          <w:rFonts w:hint="eastAsia" w:ascii="仿宋_GB2312" w:eastAsia="仿宋_GB2312" w:cs="仿宋_GB2312"/>
          <w:sz w:val="32"/>
          <w:szCs w:val="32"/>
          <w:lang w:val="en-US" w:eastAsia="zh-CN"/>
        </w:rPr>
        <w:t>353.82</w:t>
      </w:r>
      <w:r>
        <w:rPr>
          <w:rFonts w:hint="eastAsia" w:ascii="仿宋_GB2312" w:eastAsia="仿宋_GB2312" w:cs="仿宋_GB2312"/>
          <w:sz w:val="32"/>
          <w:szCs w:val="32"/>
        </w:rPr>
        <w:t>万元；</w:t>
      </w:r>
    </w:p>
    <w:p>
      <w:pPr>
        <w:pageBreakBefore w:val="0"/>
        <w:numPr>
          <w:ilvl w:val="0"/>
          <w:numId w:val="4"/>
        </w:numPr>
        <w:kinsoku/>
        <w:wordWrap/>
        <w:overflowPunct/>
        <w:topLinePunct w:val="0"/>
        <w:bidi w:val="0"/>
        <w:spacing w:line="560" w:lineRule="exact"/>
        <w:ind w:firstLine="643" w:firstLineChars="200"/>
        <w:rPr>
          <w:rFonts w:ascii="楷体_GB2312" w:hAnsi="仿宋" w:eastAsia="楷体_GB2312" w:cs="仿宋_GB2312"/>
          <w:b/>
          <w:sz w:val="32"/>
          <w:szCs w:val="32"/>
        </w:rPr>
      </w:pPr>
      <w:r>
        <w:rPr>
          <w:rFonts w:hint="eastAsia" w:ascii="楷体_GB2312" w:hAnsi="仿宋" w:eastAsia="楷体_GB2312" w:cs="仿宋_GB2312"/>
          <w:b/>
          <w:sz w:val="32"/>
          <w:szCs w:val="32"/>
        </w:rPr>
        <w:t>部门财政资金支出情况。</w:t>
      </w:r>
    </w:p>
    <w:p>
      <w:pPr>
        <w:pageBreakBefore w:val="0"/>
        <w:kinsoku/>
        <w:wordWrap/>
        <w:overflowPunct/>
        <w:topLinePunct w:val="0"/>
        <w:bidi w:val="0"/>
        <w:snapToGrid w:val="0"/>
        <w:spacing w:line="560" w:lineRule="exact"/>
        <w:ind w:firstLine="480" w:firstLineChars="150"/>
        <w:rPr>
          <w:rFonts w:ascii="仿宋_GB2312" w:hAnsi="仿宋" w:eastAsia="仿宋_GB2312" w:cs="仿宋_GB2312"/>
          <w:sz w:val="32"/>
          <w:szCs w:val="32"/>
        </w:rPr>
      </w:pPr>
      <w:r>
        <w:rPr>
          <w:rFonts w:hint="eastAsia" w:ascii="仿宋" w:hAnsi="仿宋" w:eastAsia="仿宋" w:cs="仿宋_GB2312"/>
          <w:sz w:val="32"/>
          <w:szCs w:val="32"/>
        </w:rPr>
        <w:t xml:space="preserve"> </w:t>
      </w:r>
      <w:r>
        <w:rPr>
          <w:rFonts w:hint="eastAsia" w:ascii="仿宋_GB2312" w:hAnsi="仿宋" w:eastAsia="仿宋_GB2312" w:cs="仿宋_GB2312"/>
          <w:sz w:val="32"/>
          <w:szCs w:val="32"/>
        </w:rPr>
        <w:t>我</w:t>
      </w:r>
      <w:r>
        <w:rPr>
          <w:rFonts w:hint="eastAsia" w:ascii="仿宋_GB2312" w:hAnsi="仿宋" w:eastAsia="仿宋_GB2312" w:cs="仿宋_GB2312"/>
          <w:sz w:val="32"/>
          <w:szCs w:val="32"/>
          <w:lang w:eastAsia="zh-CN"/>
        </w:rPr>
        <w:t>委</w:t>
      </w:r>
      <w:r>
        <w:rPr>
          <w:rFonts w:hint="eastAsia" w:ascii="仿宋_GB2312" w:eastAsia="仿宋_GB2312" w:cs="仿宋_GB2312"/>
          <w:sz w:val="32"/>
          <w:szCs w:val="32"/>
        </w:rPr>
        <w:t>本年度财政拨款支出：</w:t>
      </w:r>
      <w:r>
        <w:rPr>
          <w:rFonts w:hint="eastAsia" w:ascii="仿宋_GB2312" w:hAnsi="仿宋" w:eastAsia="仿宋_GB2312" w:cs="仿宋_GB2312"/>
          <w:sz w:val="32"/>
          <w:szCs w:val="32"/>
        </w:rPr>
        <w:t>共计</w:t>
      </w:r>
      <w:r>
        <w:rPr>
          <w:rFonts w:hint="eastAsia" w:eastAsia="仿宋_GB2312"/>
          <w:sz w:val="32"/>
          <w:szCs w:val="32"/>
          <w:lang w:val="en-US" w:eastAsia="zh-CN"/>
        </w:rPr>
        <w:t>369.76</w:t>
      </w:r>
      <w:r>
        <w:rPr>
          <w:rFonts w:hint="eastAsia" w:ascii="仿宋_GB2312" w:hAnsi="仿宋" w:eastAsia="仿宋_GB2312" w:cs="仿宋_GB2312"/>
          <w:sz w:val="32"/>
          <w:szCs w:val="32"/>
        </w:rPr>
        <w:t>万元。</w:t>
      </w:r>
    </w:p>
    <w:p>
      <w:pPr>
        <w:pageBreakBefore w:val="0"/>
        <w:kinsoku/>
        <w:wordWrap/>
        <w:overflowPunct/>
        <w:topLinePunct w:val="0"/>
        <w:bidi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三、部门整体预算绩效管理情况</w:t>
      </w:r>
    </w:p>
    <w:p>
      <w:pPr>
        <w:pageBreakBefore w:val="0"/>
        <w:kinsoku/>
        <w:wordWrap/>
        <w:overflowPunct/>
        <w:topLinePunct w:val="0"/>
        <w:bidi w:val="0"/>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pageBreakBefore w:val="0"/>
        <w:kinsoku/>
        <w:wordWrap/>
        <w:overflowPunct/>
        <w:topLinePunct w:val="0"/>
        <w:bidi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年，我</w:t>
      </w:r>
      <w:r>
        <w:rPr>
          <w:rFonts w:hint="eastAsia" w:ascii="仿宋" w:hAnsi="仿宋" w:eastAsia="仿宋" w:cs="仿宋_GB2312"/>
          <w:sz w:val="32"/>
          <w:szCs w:val="32"/>
          <w:lang w:eastAsia="zh-CN"/>
        </w:rPr>
        <w:t>会</w:t>
      </w:r>
      <w:r>
        <w:rPr>
          <w:rFonts w:hint="eastAsia" w:ascii="仿宋" w:hAnsi="仿宋" w:eastAsia="仿宋" w:cs="仿宋_GB2312"/>
          <w:sz w:val="32"/>
          <w:szCs w:val="32"/>
        </w:rPr>
        <w:t>按照“扩面增量、整体推进、深化完善、构建体系”的总体目标，严格按照《预算法》等文件要求，完整编制部门整体绩效目标，按时完成报送工作。</w:t>
      </w:r>
    </w:p>
    <w:p>
      <w:pPr>
        <w:pageBreakBefore w:val="0"/>
        <w:kinsoku/>
        <w:wordWrap/>
        <w:overflowPunct/>
        <w:topLinePunct w:val="0"/>
        <w:bidi w:val="0"/>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pageBreakBefore w:val="0"/>
        <w:kinsoku/>
        <w:wordWrap/>
        <w:overflowPunct/>
        <w:topLinePunct w:val="0"/>
        <w:bidi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在债务管理及非税收入执行情况方面，201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无政府性债务管理、非税收入执收。在政府采购实施计划方面，实施计划与政府采购预算、备案计划一致，中期无调整或细化资金。在资产管理方面，安排专人专项管理资产，将所属单位国有资产全额纳入资产系统管理，实时更新系统数据，及时、准确、全面开展资产清查工作，真实、准确、全面上报国有资产报表数据，依法接受财政监督。在内控制度管理方面，内部控制制度健全完整并执行良好。在信息公开方面，严格按照要求对部门预算、决算、绩效信息对社会公开。在绩效评价方面，实施绩效评价项目与对下级预算单位开展整体绩效评价均做到全覆盖。</w:t>
      </w:r>
    </w:p>
    <w:p>
      <w:pPr>
        <w:pageBreakBefore w:val="0"/>
        <w:kinsoku/>
        <w:wordWrap/>
        <w:overflowPunct/>
        <w:topLinePunct w:val="0"/>
        <w:bidi w:val="0"/>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pageBreakBefore w:val="0"/>
        <w:kinsoku/>
        <w:wordWrap/>
        <w:overflowPunct/>
        <w:topLinePunct w:val="0"/>
        <w:bidi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通过对预算编制、预算执行、综合管理、整体效益等方面进行全面分析评价，201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年部门整体支出绩效自评得分为8</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分。将针对评价总结的问题进行整改</w:t>
      </w:r>
      <w:r>
        <w:rPr>
          <w:rFonts w:ascii="仿宋" w:hAnsi="仿宋" w:eastAsia="仿宋" w:cs="仿宋_GB2312"/>
          <w:sz w:val="32"/>
          <w:szCs w:val="32"/>
        </w:rPr>
        <w:t>。</w:t>
      </w:r>
    </w:p>
    <w:p>
      <w:pPr>
        <w:pageBreakBefore w:val="0"/>
        <w:kinsoku/>
        <w:wordWrap/>
        <w:overflowPunct/>
        <w:topLinePunct w:val="0"/>
        <w:bidi w:val="0"/>
        <w:spacing w:line="56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pageBreakBefore w:val="0"/>
        <w:kinsoku/>
        <w:wordWrap/>
        <w:overflowPunct/>
        <w:topLinePunct w:val="0"/>
        <w:bidi w:val="0"/>
        <w:spacing w:line="56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pageBreakBefore w:val="0"/>
        <w:kinsoku/>
        <w:wordWrap/>
        <w:overflowPunct/>
        <w:topLinePunct w:val="0"/>
        <w:bidi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 按照县政府的工作任务要求，结合我</w:t>
      </w:r>
      <w:r>
        <w:rPr>
          <w:rFonts w:hint="eastAsia" w:ascii="仿宋" w:hAnsi="仿宋" w:eastAsia="仿宋" w:cs="仿宋_GB2312"/>
          <w:sz w:val="32"/>
          <w:szCs w:val="32"/>
          <w:lang w:eastAsia="zh-CN"/>
        </w:rPr>
        <w:t>委</w:t>
      </w:r>
      <w:r>
        <w:rPr>
          <w:rFonts w:hint="eastAsia" w:ascii="仿宋" w:hAnsi="仿宋" w:eastAsia="仿宋" w:cs="仿宋_GB2312"/>
          <w:sz w:val="32"/>
          <w:szCs w:val="32"/>
        </w:rPr>
        <w:t>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年度工作开展实际，根据年初工作计划有序开展各项工作，进一步细化工作任务，按照工作计划和要求细致分工，是财政收支预算执行得到了良好的制度保障和实施效果。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s="仿宋_GB2312"/>
          <w:sz w:val="32"/>
          <w:szCs w:val="32"/>
        </w:rPr>
      </w:pPr>
      <w:r>
        <w:rPr>
          <w:rFonts w:ascii="仿宋" w:hAnsi="仿宋" w:eastAsia="仿宋" w:cs="仿宋_GB2312"/>
          <w:sz w:val="32"/>
          <w:szCs w:val="32"/>
        </w:rPr>
        <w:t>（二）存在问题</w:t>
      </w:r>
    </w:p>
    <w:p>
      <w:pPr>
        <w:keepNext w:val="0"/>
        <w:keepLines w:val="0"/>
        <w:pageBreakBefore w:val="0"/>
        <w:widowControl/>
        <w:shd w:val="clear" w:color="auto" w:fill="FFFFFF"/>
        <w:kinsoku/>
        <w:wordWrap/>
        <w:overflowPunct/>
        <w:topLinePunct w:val="0"/>
        <w:autoSpaceDE/>
        <w:autoSpaceDN/>
        <w:bidi w:val="0"/>
        <w:adjustRightInd/>
        <w:snapToGrid/>
        <w:spacing w:before="480" w:after="480" w:line="560" w:lineRule="exact"/>
        <w:ind w:firstLine="640" w:firstLineChars="200"/>
        <w:jc w:val="both"/>
        <w:textAlignment w:val="auto"/>
        <w:rPr>
          <w:rFonts w:hint="eastAsia"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一是人员增加导致预算不合理。</w:t>
      </w:r>
    </w:p>
    <w:p>
      <w:pPr>
        <w:keepNext w:val="0"/>
        <w:keepLines w:val="0"/>
        <w:pageBreakBefore w:val="0"/>
        <w:widowControl/>
        <w:shd w:val="clear" w:color="auto" w:fill="FFFFFF"/>
        <w:kinsoku/>
        <w:wordWrap/>
        <w:overflowPunct/>
        <w:topLinePunct w:val="0"/>
        <w:autoSpaceDE/>
        <w:autoSpaceDN/>
        <w:bidi w:val="0"/>
        <w:adjustRightInd/>
        <w:snapToGrid/>
        <w:spacing w:before="480" w:after="480" w:line="560" w:lineRule="exact"/>
        <w:ind w:firstLine="640" w:firstLineChars="200"/>
        <w:jc w:val="both"/>
        <w:textAlignment w:val="auto"/>
        <w:rPr>
          <w:rFonts w:ascii="仿宋" w:hAnsi="仿宋" w:eastAsia="仿宋" w:cs="仿宋_GB2312"/>
          <w:sz w:val="32"/>
          <w:szCs w:val="32"/>
        </w:rPr>
      </w:pPr>
      <w:r>
        <w:rPr>
          <w:rFonts w:hint="eastAsia" w:ascii="仿宋_GB2312" w:hAnsi="宋体" w:eastAsia="仿宋_GB2312" w:cs="Arial"/>
          <w:color w:val="333333"/>
          <w:kern w:val="0"/>
          <w:sz w:val="32"/>
          <w:szCs w:val="32"/>
        </w:rPr>
        <w:t>二是内部控制不合理。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_GB2312"/>
          <w:sz w:val="32"/>
          <w:szCs w:val="32"/>
        </w:rPr>
      </w:pPr>
      <w:r>
        <w:rPr>
          <w:rFonts w:ascii="仿宋" w:hAnsi="仿宋" w:eastAsia="仿宋" w:cs="仿宋_GB2312"/>
          <w:sz w:val="32"/>
          <w:szCs w:val="32"/>
        </w:rPr>
        <w:t>（三）改进建议。</w:t>
      </w:r>
    </w:p>
    <w:p>
      <w:pPr>
        <w:keepNext w:val="0"/>
        <w:keepLines w:val="0"/>
        <w:pageBreakBefore w:val="0"/>
        <w:widowControl/>
        <w:shd w:val="clear" w:color="auto" w:fill="FFFFFF"/>
        <w:kinsoku/>
        <w:wordWrap/>
        <w:overflowPunct/>
        <w:topLinePunct w:val="0"/>
        <w:autoSpaceDE/>
        <w:autoSpaceDN/>
        <w:bidi w:val="0"/>
        <w:adjustRightInd/>
        <w:snapToGrid/>
        <w:spacing w:before="480" w:after="480" w:line="560" w:lineRule="exact"/>
        <w:ind w:firstLine="640" w:firstLineChars="200"/>
        <w:jc w:val="both"/>
        <w:textAlignment w:val="auto"/>
        <w:rPr>
          <w:rFonts w:hint="eastAsia"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一是合理预算。</w:t>
      </w:r>
    </w:p>
    <w:p>
      <w:pPr>
        <w:keepNext w:val="0"/>
        <w:keepLines w:val="0"/>
        <w:pageBreakBefore w:val="0"/>
        <w:widowControl/>
        <w:shd w:val="clear" w:color="auto" w:fill="FFFFFF"/>
        <w:kinsoku/>
        <w:wordWrap/>
        <w:overflowPunct/>
        <w:topLinePunct w:val="0"/>
        <w:autoSpaceDE/>
        <w:autoSpaceDN/>
        <w:bidi w:val="0"/>
        <w:adjustRightInd/>
        <w:snapToGrid/>
        <w:spacing w:before="480" w:after="480" w:line="560" w:lineRule="exact"/>
        <w:ind w:firstLine="640" w:firstLineChars="200"/>
        <w:jc w:val="both"/>
        <w:textAlignment w:val="auto"/>
        <w:rPr>
          <w:rFonts w:hint="eastAsia"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二是加强内部控制管理。</w:t>
      </w:r>
    </w:p>
    <w:p>
      <w:pPr>
        <w:pageBreakBefore w:val="0"/>
        <w:kinsoku/>
        <w:wordWrap/>
        <w:overflowPunct/>
        <w:topLinePunct w:val="0"/>
        <w:bidi w:val="0"/>
        <w:spacing w:line="560" w:lineRule="exact"/>
        <w:ind w:firstLine="796" w:firstLineChars="249"/>
        <w:rPr>
          <w:rFonts w:ascii="仿宋_GB2312" w:hAnsi="仿宋_GB2312" w:eastAsia="仿宋_GB2312" w:cs="仿宋_GB2312"/>
          <w:sz w:val="32"/>
          <w:szCs w:val="32"/>
        </w:rPr>
      </w:pPr>
    </w:p>
    <w:p>
      <w:pPr>
        <w:pageBreakBefore w:val="0"/>
        <w:kinsoku/>
        <w:wordWrap/>
        <w:overflowPunct/>
        <w:topLinePunct w:val="0"/>
        <w:bidi w:val="0"/>
        <w:spacing w:line="560" w:lineRule="exact"/>
        <w:ind w:firstLine="640" w:firstLineChars="200"/>
        <w:rPr>
          <w:rFonts w:ascii="仿宋" w:hAnsi="仿宋" w:eastAsia="仿宋" w:cs="仿宋_GB2312"/>
          <w:sz w:val="32"/>
          <w:szCs w:val="32"/>
        </w:rPr>
      </w:pPr>
    </w:p>
    <w:p>
      <w:pPr>
        <w:pageBreakBefore w:val="0"/>
        <w:kinsoku/>
        <w:wordWrap/>
        <w:overflowPunct/>
        <w:topLinePunct w:val="0"/>
        <w:bidi w:val="0"/>
        <w:spacing w:line="560" w:lineRule="exact"/>
        <w:jc w:val="center"/>
        <w:outlineLvl w:val="0"/>
        <w:rPr>
          <w:rFonts w:ascii="方正小标宋简体" w:hAnsi="黑体" w:eastAsia="方正小标宋简体"/>
          <w:color w:val="000000"/>
          <w:sz w:val="44"/>
          <w:szCs w:val="44"/>
        </w:rPr>
      </w:pPr>
      <w:bookmarkStart w:id="47" w:name="_Toc15396618"/>
    </w:p>
    <w:p>
      <w:pPr>
        <w:pStyle w:val="3"/>
        <w:pageBreakBefore w:val="0"/>
        <w:kinsoku/>
        <w:wordWrap/>
        <w:overflowPunct/>
        <w:topLinePunct w:val="0"/>
        <w:bidi w:val="0"/>
        <w:spacing w:line="560" w:lineRule="exact"/>
        <w:rPr>
          <w:rStyle w:val="24"/>
          <w:rFonts w:hint="eastAsia" w:ascii="仿宋" w:hAnsi="仿宋" w:eastAsia="仿宋"/>
          <w:b w:val="0"/>
          <w:bCs w:val="0"/>
          <w:sz w:val="32"/>
          <w:szCs w:val="32"/>
        </w:rPr>
      </w:pPr>
      <w:bookmarkStart w:id="48" w:name="_Toc15396617"/>
      <w:r>
        <w:rPr>
          <w:rStyle w:val="24"/>
          <w:rFonts w:hint="eastAsia" w:ascii="仿宋" w:hAnsi="仿宋" w:eastAsia="仿宋"/>
          <w:b w:val="0"/>
          <w:bCs w:val="0"/>
          <w:sz w:val="32"/>
          <w:szCs w:val="32"/>
        </w:rPr>
        <w:t>附件2</w:t>
      </w:r>
      <w:bookmarkEnd w:id="48"/>
    </w:p>
    <w:p/>
    <w:p>
      <w:pPr>
        <w:spacing w:line="580" w:lineRule="exact"/>
        <w:jc w:val="center"/>
        <w:rPr>
          <w:rFonts w:hint="eastAsia" w:ascii="黑体" w:hAnsi="黑体" w:eastAsia="黑体" w:cs="方正小标宋简体"/>
          <w:sz w:val="44"/>
          <w:szCs w:val="44"/>
        </w:rPr>
      </w:pPr>
      <w:r>
        <w:rPr>
          <w:rFonts w:hint="eastAsia" w:ascii="黑体" w:hAnsi="黑体" w:eastAsia="黑体" w:cs="方正小标宋简体"/>
          <w:sz w:val="44"/>
          <w:szCs w:val="44"/>
        </w:rPr>
        <w:t>壤塘县鱼托寺寺庙管理委员会</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w:t>
      </w:r>
      <w:r>
        <w:rPr>
          <w:rFonts w:hint="eastAsia" w:ascii="黑体" w:hAnsi="黑体" w:eastAsia="黑体" w:cs="方正小标宋简体"/>
          <w:sz w:val="44"/>
          <w:szCs w:val="44"/>
          <w:lang w:val="en-US" w:eastAsia="zh-CN"/>
        </w:rPr>
        <w:t>9</w:t>
      </w:r>
      <w:r>
        <w:rPr>
          <w:rFonts w:hint="eastAsia" w:ascii="黑体" w:hAnsi="黑体" w:eastAsia="黑体" w:cs="方正小标宋简体"/>
          <w:sz w:val="44"/>
          <w:szCs w:val="44"/>
        </w:rPr>
        <w:t>年项目支出绩效评价报告</w:t>
      </w:r>
    </w:p>
    <w:p>
      <w:pPr>
        <w:widowControl/>
        <w:numPr>
          <w:ilvl w:val="0"/>
          <w:numId w:val="5"/>
        </w:numPr>
        <w:shd w:val="clear" w:color="auto" w:fill="FFFFFF"/>
        <w:spacing w:before="480" w:after="480" w:line="480" w:lineRule="auto"/>
        <w:ind w:firstLine="480"/>
        <w:jc w:val="left"/>
        <w:rPr>
          <w:rFonts w:hint="eastAsia"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评价工作开展及项目情况</w:t>
      </w:r>
    </w:p>
    <w:p>
      <w:pPr>
        <w:widowControl/>
        <w:numPr>
          <w:ilvl w:val="0"/>
          <w:numId w:val="0"/>
        </w:numPr>
        <w:shd w:val="clear" w:color="auto" w:fill="FFFFFF"/>
        <w:spacing w:before="480" w:after="480" w:line="480" w:lineRule="auto"/>
        <w:ind w:firstLine="640" w:firstLineChars="200"/>
        <w:jc w:val="left"/>
        <w:rPr>
          <w:rFonts w:hint="eastAsia"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辖区民管会补助是由民宗局发放我委，我委落实辖区5座寺庙民管会班子成员补助经费。本项目年度预算10.32万元，实际支出10.32万元。</w:t>
      </w:r>
    </w:p>
    <w:p>
      <w:pPr>
        <w:widowControl/>
        <w:shd w:val="clear" w:color="auto" w:fill="FFFFFF"/>
        <w:spacing w:before="480" w:after="480" w:line="480" w:lineRule="auto"/>
        <w:ind w:firstLine="480"/>
        <w:jc w:val="left"/>
        <w:rPr>
          <w:rFonts w:hint="eastAsia"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二、评价结论及绩效分析</w:t>
      </w:r>
    </w:p>
    <w:p>
      <w:pPr>
        <w:widowControl/>
        <w:shd w:val="clear" w:color="auto" w:fill="FFFFFF"/>
        <w:spacing w:before="480" w:after="480" w:line="480" w:lineRule="auto"/>
        <w:ind w:firstLine="480"/>
        <w:jc w:val="left"/>
        <w:rPr>
          <w:rFonts w:hint="eastAsia"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（一）评价结论</w:t>
      </w:r>
    </w:p>
    <w:p>
      <w:pPr>
        <w:widowControl/>
        <w:shd w:val="clear" w:color="auto" w:fill="FFFFFF"/>
        <w:spacing w:before="480" w:after="480" w:line="480" w:lineRule="auto"/>
        <w:ind w:firstLine="480"/>
        <w:jc w:val="left"/>
        <w:rPr>
          <w:rFonts w:hint="eastAsia"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本项目年度预算10.32万元，实际支出10.32万元。项目完成100%，项目的反映良好，具有可持续性。</w:t>
      </w:r>
    </w:p>
    <w:p>
      <w:pPr>
        <w:widowControl/>
        <w:shd w:val="clear" w:color="auto" w:fill="FFFFFF"/>
        <w:spacing w:before="480" w:after="480" w:line="480" w:lineRule="auto"/>
        <w:ind w:firstLine="480"/>
        <w:jc w:val="left"/>
        <w:rPr>
          <w:rFonts w:hint="eastAsia"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（二）绩效分析</w:t>
      </w:r>
    </w:p>
    <w:p>
      <w:pPr>
        <w:widowControl/>
        <w:shd w:val="clear" w:color="auto" w:fill="FFFFFF"/>
        <w:spacing w:before="480" w:after="480" w:line="480" w:lineRule="auto"/>
        <w:ind w:firstLine="480"/>
        <w:jc w:val="left"/>
        <w:rPr>
          <w:rFonts w:hint="eastAsia"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1、项目决策</w:t>
      </w:r>
    </w:p>
    <w:p>
      <w:pPr>
        <w:widowControl/>
        <w:shd w:val="clear" w:color="auto" w:fill="FFFFFF"/>
        <w:spacing w:before="480" w:after="480" w:line="480" w:lineRule="auto"/>
        <w:ind w:firstLine="480"/>
        <w:jc w:val="left"/>
        <w:rPr>
          <w:rFonts w:hint="eastAsia"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民主管理委员会是通过寺庙僧尼民主选举并经过当地宗教部门批准产生的管理机构，其职责就是依照国家法律和寺庙规章制度，负责管理好本寺的各项事务。学习佛经、潜心修行是每个入寺喇嘛的终身追求。发放补助是为了切实减低他们生活中的经费困难，更好的管理寺庙，管理僧人。</w:t>
      </w:r>
    </w:p>
    <w:p>
      <w:pPr>
        <w:widowControl/>
        <w:shd w:val="clear" w:color="auto" w:fill="FFFFFF"/>
        <w:spacing w:before="480" w:after="480" w:line="480" w:lineRule="auto"/>
        <w:ind w:firstLine="480"/>
        <w:jc w:val="left"/>
        <w:rPr>
          <w:rFonts w:hint="eastAsia"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2、项目管理</w:t>
      </w:r>
    </w:p>
    <w:p>
      <w:pPr>
        <w:widowControl/>
        <w:shd w:val="clear" w:color="auto" w:fill="FFFFFF"/>
        <w:spacing w:before="480" w:after="480" w:line="480" w:lineRule="auto"/>
        <w:ind w:firstLine="480"/>
        <w:jc w:val="left"/>
        <w:rPr>
          <w:rFonts w:hint="eastAsia"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补助资金由民管会主任到民管会副主任到民管会成员由高到低发放。辖区民管会补助平均每人1380-1980之间。</w:t>
      </w:r>
    </w:p>
    <w:p>
      <w:pPr>
        <w:widowControl/>
        <w:shd w:val="clear" w:color="auto" w:fill="FFFFFF"/>
        <w:spacing w:before="480" w:after="480" w:line="480" w:lineRule="auto"/>
        <w:ind w:firstLine="480"/>
        <w:jc w:val="left"/>
        <w:rPr>
          <w:rFonts w:hint="eastAsia"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3、项目绩效</w:t>
      </w:r>
    </w:p>
    <w:p>
      <w:pPr>
        <w:widowControl/>
        <w:shd w:val="clear" w:color="auto" w:fill="FFFFFF"/>
        <w:spacing w:before="480" w:after="480" w:line="480" w:lineRule="auto"/>
        <w:ind w:firstLine="480"/>
        <w:jc w:val="left"/>
        <w:rPr>
          <w:rFonts w:hint="eastAsia"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民管会补助目标是包括了数量指标、满意度指标、时效指标。该项目各项指标实际完成均达到年初绩效目标。</w:t>
      </w:r>
    </w:p>
    <w:p>
      <w:pPr>
        <w:widowControl/>
        <w:shd w:val="clear" w:color="auto" w:fill="FFFFFF"/>
        <w:spacing w:before="480" w:after="480" w:line="480" w:lineRule="auto"/>
        <w:ind w:firstLine="480"/>
        <w:jc w:val="left"/>
        <w:rPr>
          <w:rFonts w:hint="eastAsia"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4、存在主要问题</w:t>
      </w:r>
      <w:r>
        <w:rPr>
          <w:rFonts w:hint="eastAsia" w:ascii="仿宋_GB2312" w:hAnsi="MS Mincho" w:eastAsia="MS Mincho" w:cs="MS Mincho"/>
          <w:color w:val="000000" w:themeColor="text1"/>
          <w:kern w:val="0"/>
          <w:sz w:val="32"/>
          <w:szCs w:val="32"/>
          <w14:textFill>
            <w14:solidFill>
              <w14:schemeClr w14:val="tx1"/>
            </w14:solidFill>
          </w14:textFill>
        </w:rPr>
        <w:t> </w:t>
      </w:r>
      <w:r>
        <w:rPr>
          <w:rFonts w:hint="eastAsia" w:ascii="仿宋_GB2312" w:hAnsi="宋体" w:eastAsia="仿宋_GB2312" w:cs="Arial"/>
          <w:color w:val="000000" w:themeColor="text1"/>
          <w:kern w:val="0"/>
          <w:sz w:val="32"/>
          <w:szCs w:val="32"/>
          <w14:textFill>
            <w14:solidFill>
              <w14:schemeClr w14:val="tx1"/>
            </w14:solidFill>
          </w14:textFill>
        </w:rPr>
        <w:t xml:space="preserve"> </w:t>
      </w:r>
    </w:p>
    <w:p>
      <w:pPr>
        <w:widowControl/>
        <w:shd w:val="clear" w:color="auto" w:fill="FFFFFF"/>
        <w:spacing w:before="480" w:after="480" w:line="480" w:lineRule="auto"/>
        <w:ind w:firstLine="480"/>
        <w:jc w:val="left"/>
        <w:rPr>
          <w:rFonts w:hint="eastAsia"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无</w:t>
      </w:r>
      <w:r>
        <w:rPr>
          <w:rFonts w:hint="eastAsia" w:ascii="仿宋_GB2312" w:hAnsi="MS Mincho" w:eastAsia="MS Mincho" w:cs="MS Mincho"/>
          <w:color w:val="000000" w:themeColor="text1"/>
          <w:kern w:val="0"/>
          <w:sz w:val="32"/>
          <w:szCs w:val="32"/>
          <w14:textFill>
            <w14:solidFill>
              <w14:schemeClr w14:val="tx1"/>
            </w14:solidFill>
          </w14:textFill>
        </w:rPr>
        <w:t> </w:t>
      </w:r>
    </w:p>
    <w:p>
      <w:pPr>
        <w:widowControl/>
        <w:shd w:val="clear" w:color="auto" w:fill="FFFFFF"/>
        <w:spacing w:before="480" w:after="480" w:line="480" w:lineRule="auto"/>
        <w:ind w:firstLine="480"/>
        <w:jc w:val="left"/>
        <w:rPr>
          <w:rFonts w:hint="eastAsia"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5、相关措施建议</w:t>
      </w:r>
      <w:r>
        <w:rPr>
          <w:rFonts w:hint="eastAsia" w:ascii="仿宋_GB2312" w:hAnsi="MS Mincho" w:eastAsia="MS Mincho" w:cs="MS Mincho"/>
          <w:color w:val="000000" w:themeColor="text1"/>
          <w:kern w:val="0"/>
          <w:sz w:val="32"/>
          <w:szCs w:val="32"/>
          <w14:textFill>
            <w14:solidFill>
              <w14:schemeClr w14:val="tx1"/>
            </w14:solidFill>
          </w14:textFill>
        </w:rPr>
        <w:t> </w:t>
      </w:r>
      <w:r>
        <w:rPr>
          <w:rFonts w:hint="eastAsia" w:ascii="仿宋_GB2312" w:hAnsi="宋体" w:eastAsia="仿宋_GB2312" w:cs="Arial"/>
          <w:color w:val="000000" w:themeColor="text1"/>
          <w:kern w:val="0"/>
          <w:sz w:val="32"/>
          <w:szCs w:val="32"/>
          <w14:textFill>
            <w14:solidFill>
              <w14:schemeClr w14:val="tx1"/>
            </w14:solidFill>
          </w14:textFill>
        </w:rPr>
        <w:t xml:space="preserve"> </w:t>
      </w:r>
    </w:p>
    <w:p>
      <w:pPr>
        <w:widowControl/>
        <w:shd w:val="clear" w:color="auto" w:fill="FFFFFF"/>
        <w:spacing w:before="480" w:after="480" w:line="480" w:lineRule="auto"/>
        <w:ind w:firstLine="480"/>
        <w:jc w:val="left"/>
        <w:rPr>
          <w:rFonts w:hint="eastAsia" w:ascii="仿宋_GB2312" w:hAnsi="宋体" w:eastAsia="仿宋_GB2312" w:cs="Arial"/>
          <w:color w:val="000000" w:themeColor="text1"/>
          <w:kern w:val="0"/>
          <w:sz w:val="32"/>
          <w:szCs w:val="32"/>
          <w14:textFill>
            <w14:solidFill>
              <w14:schemeClr w14:val="tx1"/>
            </w14:solidFill>
          </w14:textFill>
        </w:rPr>
      </w:pPr>
      <w:r>
        <w:rPr>
          <w:rFonts w:hint="eastAsia" w:ascii="仿宋_GB2312" w:hAnsi="宋体" w:eastAsia="仿宋_GB2312" w:cs="Arial"/>
          <w:color w:val="000000" w:themeColor="text1"/>
          <w:kern w:val="0"/>
          <w:sz w:val="32"/>
          <w:szCs w:val="32"/>
          <w14:textFill>
            <w14:solidFill>
              <w14:schemeClr w14:val="tx1"/>
            </w14:solidFill>
          </w14:textFill>
        </w:rPr>
        <w:t>累积经验，完善、细化、规范绩效管理，指标的设计可能需要更加的科学性。</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eastAsia="zh-CN"/>
        </w:rPr>
        <w:t>单位伙食团经费</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2019年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基层单位职工日常工作和生活质量的后勤保障</w:t>
      </w:r>
    </w:p>
    <w:p>
      <w:pPr>
        <w:numPr>
          <w:ilvl w:val="0"/>
          <w:numId w:val="6"/>
        </w:numPr>
        <w:adjustRightInd w:val="0"/>
        <w:snapToGrid w:val="0"/>
        <w:spacing w:line="600" w:lineRule="exact"/>
        <w:ind w:leftChars="200" w:firstLine="320" w:firstLineChars="100"/>
        <w:rPr>
          <w:rFonts w:hint="eastAsia" w:ascii="仿宋_GB2312" w:hAnsi="宋体" w:eastAsia="仿宋_GB2312"/>
          <w:sz w:val="32"/>
          <w:szCs w:val="32"/>
          <w:lang w:val="zh-CN"/>
        </w:rPr>
      </w:pPr>
      <w:r>
        <w:rPr>
          <w:rFonts w:hint="eastAsia" w:ascii="仿宋_GB2312" w:hAnsi="宋体" w:eastAsia="仿宋_GB2312"/>
          <w:sz w:val="32"/>
          <w:szCs w:val="32"/>
          <w:lang w:val="zh-CN"/>
        </w:rPr>
        <w:t>项目立项、资金申报的依据。</w:t>
      </w:r>
    </w:p>
    <w:p>
      <w:pPr>
        <w:numPr>
          <w:ilvl w:val="0"/>
          <w:numId w:val="0"/>
        </w:numPr>
        <w:adjustRightInd w:val="0"/>
        <w:snapToGrid w:val="0"/>
        <w:spacing w:line="600" w:lineRule="exact"/>
        <w:ind w:leftChars="30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确保了单位后后勤工作，提高了基层职工生活质量</w:t>
      </w:r>
    </w:p>
    <w:p>
      <w:pPr>
        <w:numPr>
          <w:ilvl w:val="0"/>
          <w:numId w:val="0"/>
        </w:numPr>
        <w:adjustRightInd w:val="0"/>
        <w:snapToGrid w:val="0"/>
        <w:spacing w:line="600" w:lineRule="exact"/>
        <w:ind w:leftChars="200" w:firstLine="320" w:firstLineChars="1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rPr>
        <w:t>资金管理办法制定情况，资金支持具体项目的条件、范围与支持方式概况。</w:t>
      </w:r>
    </w:p>
    <w:p>
      <w:pPr>
        <w:numPr>
          <w:ilvl w:val="0"/>
          <w:numId w:val="0"/>
        </w:numPr>
        <w:adjustRightInd w:val="0"/>
        <w:snapToGrid w:val="0"/>
        <w:spacing w:line="600" w:lineRule="exact"/>
        <w:ind w:leftChars="200"/>
        <w:rPr>
          <w:rFonts w:hint="eastAsia" w:ascii="仿宋_GB2312" w:hAnsi="宋体" w:eastAsia="仿宋_GB2312"/>
          <w:sz w:val="32"/>
          <w:szCs w:val="32"/>
          <w:lang w:val="en-US" w:eastAsia="zh-CN"/>
        </w:rPr>
      </w:pPr>
      <w:r>
        <w:rPr>
          <w:rFonts w:hint="eastAsia" w:ascii="仿宋_GB2312" w:hAnsi="宋体" w:eastAsia="仿宋_GB2312"/>
          <w:sz w:val="32"/>
          <w:szCs w:val="32"/>
          <w:lang w:val="zh-CN"/>
        </w:rPr>
        <w:t>年初预算</w:t>
      </w:r>
      <w:r>
        <w:rPr>
          <w:rFonts w:hint="eastAsia" w:ascii="仿宋_GB2312" w:hAnsi="宋体" w:eastAsia="仿宋_GB2312"/>
          <w:sz w:val="32"/>
          <w:szCs w:val="32"/>
          <w:lang w:val="en-US" w:eastAsia="zh-CN"/>
        </w:rPr>
        <w:t>4万元，用于购买伙食团用品和柴火等。</w:t>
      </w:r>
    </w:p>
    <w:p>
      <w:pPr>
        <w:numPr>
          <w:ilvl w:val="0"/>
          <w:numId w:val="0"/>
        </w:numPr>
        <w:adjustRightInd w:val="0"/>
        <w:snapToGrid w:val="0"/>
        <w:spacing w:line="600" w:lineRule="exact"/>
        <w:ind w:leftChars="200" w:firstLine="320" w:firstLineChars="1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4.</w:t>
      </w:r>
      <w:r>
        <w:rPr>
          <w:rFonts w:hint="eastAsia" w:ascii="仿宋_GB2312" w:hAnsi="宋体" w:eastAsia="仿宋_GB2312"/>
          <w:sz w:val="32"/>
          <w:szCs w:val="32"/>
          <w:lang w:val="zh-CN"/>
        </w:rPr>
        <w:t>资金分配的原则及考虑因素。</w:t>
      </w:r>
    </w:p>
    <w:p>
      <w:pPr>
        <w:numPr>
          <w:ilvl w:val="0"/>
          <w:numId w:val="0"/>
        </w:numPr>
        <w:adjustRightInd w:val="0"/>
        <w:snapToGrid w:val="0"/>
        <w:spacing w:line="600" w:lineRule="exact"/>
        <w:ind w:leftChars="300"/>
        <w:rPr>
          <w:rFonts w:hint="eastAsia" w:ascii="仿宋_GB2312" w:hAnsi="宋体" w:eastAsia="仿宋_GB2312"/>
          <w:sz w:val="32"/>
          <w:szCs w:val="32"/>
          <w:lang w:val="zh-CN"/>
        </w:rPr>
      </w:pPr>
      <w:r>
        <w:rPr>
          <w:rFonts w:hint="eastAsia" w:ascii="仿宋_GB2312" w:hAnsi="宋体" w:eastAsia="仿宋_GB2312"/>
          <w:sz w:val="32"/>
          <w:szCs w:val="32"/>
          <w:lang w:val="zh-CN" w:eastAsia="zh-CN"/>
        </w:rPr>
        <w:t>确保单位后后勤工作，提高了基层职工生活质量</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1．项目主要内容。</w:t>
      </w:r>
    </w:p>
    <w:p>
      <w:pPr>
        <w:numPr>
          <w:ilvl w:val="0"/>
          <w:numId w:val="0"/>
        </w:numPr>
        <w:adjustRightInd w:val="0"/>
        <w:snapToGrid w:val="0"/>
        <w:spacing w:line="600" w:lineRule="exact"/>
        <w:ind w:leftChars="200" w:firstLine="320" w:firstLineChars="100"/>
        <w:rPr>
          <w:rFonts w:hint="eastAsia" w:ascii="仿宋_GB2312" w:hAnsi="宋体" w:eastAsia="仿宋_GB2312"/>
          <w:sz w:val="32"/>
          <w:szCs w:val="32"/>
          <w:lang w:val="en-US" w:eastAsia="zh-CN"/>
        </w:rPr>
      </w:pPr>
      <w:r>
        <w:rPr>
          <w:rFonts w:hint="eastAsia" w:ascii="仿宋_GB2312" w:hAnsi="宋体" w:eastAsia="仿宋_GB2312"/>
          <w:sz w:val="32"/>
          <w:szCs w:val="32"/>
          <w:lang w:val="zh-CN"/>
        </w:rPr>
        <w:t>年初预算</w:t>
      </w:r>
      <w:r>
        <w:rPr>
          <w:rFonts w:hint="eastAsia" w:ascii="仿宋_GB2312" w:hAnsi="宋体" w:eastAsia="仿宋_GB2312"/>
          <w:sz w:val="32"/>
          <w:szCs w:val="32"/>
          <w:lang w:val="en-US" w:eastAsia="zh-CN"/>
        </w:rPr>
        <w:t>2万元，用于购买伙食团用品和柴火等。</w:t>
      </w:r>
    </w:p>
    <w:p>
      <w:pPr>
        <w:numPr>
          <w:ilvl w:val="0"/>
          <w:numId w:val="0"/>
        </w:numPr>
        <w:adjustRightInd w:val="0"/>
        <w:snapToGrid w:val="0"/>
        <w:spacing w:line="600" w:lineRule="exact"/>
        <w:ind w:leftChars="3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2.</w:t>
      </w:r>
      <w:r>
        <w:rPr>
          <w:rFonts w:hint="eastAsia" w:ascii="仿宋_GB2312" w:hAnsi="宋体" w:eastAsia="仿宋_GB2312"/>
          <w:sz w:val="32"/>
          <w:szCs w:val="32"/>
          <w:lang w:val="zh-CN"/>
        </w:rPr>
        <w:t>项目应实现的具体绩效目标，包括目标的量化、细化情况以及项目实施进度计划等。</w:t>
      </w:r>
    </w:p>
    <w:p>
      <w:pPr>
        <w:numPr>
          <w:ilvl w:val="0"/>
          <w:numId w:val="0"/>
        </w:numPr>
        <w:adjustRightInd w:val="0"/>
        <w:snapToGrid w:val="0"/>
        <w:spacing w:line="600" w:lineRule="exact"/>
        <w:ind w:leftChars="3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w:t>
      </w:r>
      <w:r>
        <w:rPr>
          <w:rFonts w:hint="eastAsia" w:ascii="仿宋" w:hAnsi="仿宋" w:eastAsia="仿宋" w:cs="仿宋_GB2312"/>
          <w:sz w:val="32"/>
          <w:szCs w:val="32"/>
          <w:lang w:eastAsia="zh-CN"/>
        </w:rPr>
        <w:t>伙食团补助助是</w:t>
      </w:r>
      <w:r>
        <w:rPr>
          <w:rFonts w:hint="eastAsia" w:ascii="仿宋" w:hAnsi="仿宋" w:eastAsia="仿宋" w:cs="仿宋_GB2312"/>
          <w:sz w:val="32"/>
          <w:szCs w:val="32"/>
        </w:rPr>
        <w:t>包括了数量指标、满意度指标、时效指标。该项目各项指标实际完成均达到年初绩效目标。</w:t>
      </w:r>
    </w:p>
    <w:p>
      <w:pPr>
        <w:numPr>
          <w:ilvl w:val="0"/>
          <w:numId w:val="0"/>
        </w:numPr>
        <w:adjustRightInd w:val="0"/>
        <w:snapToGrid w:val="0"/>
        <w:spacing w:line="600" w:lineRule="exact"/>
        <w:ind w:firstLine="320" w:firstLineChars="1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rPr>
        <w:t>分析评价申报内容是否与实际相符，申报目标是否合理可行。</w:t>
      </w:r>
    </w:p>
    <w:p>
      <w:pPr>
        <w:numPr>
          <w:ilvl w:val="0"/>
          <w:numId w:val="0"/>
        </w:num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伙食团经费与实际相符，申报目标合理可行。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本项目年度预算</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万元，实际支出</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万元。项目</w:t>
      </w:r>
      <w:r>
        <w:rPr>
          <w:rFonts w:hint="eastAsia" w:ascii="仿宋" w:hAnsi="仿宋" w:eastAsia="仿宋" w:cs="仿宋_GB2312"/>
          <w:sz w:val="32"/>
          <w:szCs w:val="32"/>
          <w:lang w:eastAsia="zh-CN"/>
        </w:rPr>
        <w:t>完成</w:t>
      </w:r>
      <w:r>
        <w:rPr>
          <w:rFonts w:hint="eastAsia" w:ascii="仿宋" w:hAnsi="仿宋" w:eastAsia="仿宋" w:cs="仿宋_GB2312"/>
          <w:sz w:val="32"/>
          <w:szCs w:val="32"/>
          <w:lang w:val="en-US" w:eastAsia="zh-CN"/>
        </w:rPr>
        <w:t>100%</w:t>
      </w:r>
      <w:r>
        <w:rPr>
          <w:rFonts w:hint="eastAsia" w:ascii="仿宋" w:hAnsi="仿宋" w:eastAsia="仿宋" w:cs="仿宋_GB2312"/>
          <w:sz w:val="32"/>
          <w:szCs w:val="32"/>
        </w:rPr>
        <w:t>，项目的</w:t>
      </w:r>
      <w:r>
        <w:rPr>
          <w:rFonts w:hint="eastAsia" w:ascii="仿宋" w:hAnsi="仿宋" w:eastAsia="仿宋" w:cs="仿宋_GB2312"/>
          <w:sz w:val="32"/>
          <w:szCs w:val="32"/>
          <w:lang w:eastAsia="zh-CN"/>
        </w:rPr>
        <w:t>反映良好</w:t>
      </w:r>
      <w:r>
        <w:rPr>
          <w:rFonts w:hint="eastAsia" w:ascii="仿宋" w:hAnsi="仿宋" w:eastAsia="仿宋" w:cs="仿宋_GB2312"/>
          <w:sz w:val="32"/>
          <w:szCs w:val="32"/>
        </w:rPr>
        <w:t>，具有可持续性</w:t>
      </w:r>
      <w:r>
        <w:rPr>
          <w:rFonts w:hint="eastAsia" w:ascii="仿宋" w:hAnsi="仿宋" w:eastAsia="仿宋" w:cs="仿宋_GB2312"/>
          <w:sz w:val="32"/>
          <w:szCs w:val="32"/>
          <w:lang w:eastAsia="zh-CN"/>
        </w:rPr>
        <w:t>。</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spacing w:line="56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rPr>
        <w:t>本项目年度预算</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万元，实际支出</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color w:val="000000"/>
          <w:kern w:val="0"/>
          <w:sz w:val="32"/>
          <w:szCs w:val="32"/>
          <w:lang w:val="zh-CN" w:eastAsia="zh-CN" w:bidi="ar"/>
        </w:rPr>
      </w:pPr>
      <w:r>
        <w:rPr>
          <w:rFonts w:hint="eastAsia" w:ascii="楷体_GB2312" w:hAnsi="宋体" w:eastAsia="楷体_GB2312"/>
          <w:sz w:val="32"/>
          <w:szCs w:val="32"/>
          <w:lang w:val="zh-CN"/>
        </w:rPr>
        <w:t>1．资金计划。</w:t>
      </w:r>
      <w:r>
        <w:rPr>
          <w:rFonts w:hint="eastAsia" w:ascii="仿宋_GB2312" w:hAnsi="Times New Roman" w:eastAsia="仿宋_GB2312" w:cs="Times New Roman"/>
          <w:color w:val="000000"/>
          <w:kern w:val="0"/>
          <w:sz w:val="32"/>
          <w:szCs w:val="32"/>
          <w:lang w:val="zh-CN" w:eastAsia="zh-CN" w:bidi="ar"/>
        </w:rPr>
        <w:t>资金计划及到位。该项目资金</w:t>
      </w:r>
      <w:r>
        <w:rPr>
          <w:rFonts w:hint="eastAsia" w:ascii="仿宋_GB2312" w:hAnsi="Times New Roman" w:eastAsia="仿宋_GB2312" w:cs="Times New Roman"/>
          <w:color w:val="000000"/>
          <w:kern w:val="0"/>
          <w:sz w:val="32"/>
          <w:szCs w:val="32"/>
          <w:lang w:val="en-US" w:eastAsia="zh-CN" w:bidi="ar"/>
        </w:rPr>
        <w:t>万元</w:t>
      </w:r>
      <w:r>
        <w:rPr>
          <w:rFonts w:hint="eastAsia" w:ascii="仿宋_GB2312" w:hAnsi="Times New Roman" w:eastAsia="仿宋_GB2312" w:cs="Times New Roman"/>
          <w:color w:val="000000"/>
          <w:kern w:val="0"/>
          <w:sz w:val="32"/>
          <w:szCs w:val="32"/>
          <w:lang w:val="zh-CN" w:eastAsia="zh-CN" w:bidi="ar"/>
        </w:rPr>
        <w:t>全部到位，</w:t>
      </w:r>
      <w:r>
        <w:rPr>
          <w:rFonts w:hint="eastAsia" w:ascii="仿宋" w:hAnsi="仿宋" w:eastAsia="仿宋" w:cs="仿宋_GB2312"/>
          <w:sz w:val="32"/>
          <w:szCs w:val="32"/>
          <w:lang w:val="en-US" w:eastAsia="zh-CN"/>
        </w:rPr>
        <w:t>2</w:t>
      </w:r>
      <w:r>
        <w:rPr>
          <w:rFonts w:hint="eastAsia" w:ascii="仿宋_GB2312" w:hAnsi="Times New Roman" w:eastAsia="仿宋_GB2312" w:cs="Times New Roman"/>
          <w:color w:val="000000"/>
          <w:kern w:val="0"/>
          <w:sz w:val="32"/>
          <w:szCs w:val="32"/>
          <w:lang w:val="en-US" w:eastAsia="zh-CN" w:bidi="ar"/>
        </w:rPr>
        <w:t>万元组成。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Times New Roman"/>
          <w:color w:val="000000"/>
          <w:kern w:val="0"/>
          <w:sz w:val="32"/>
          <w:szCs w:val="32"/>
          <w:lang w:val="zh-CN" w:eastAsia="zh-CN" w:bidi="ar"/>
        </w:rPr>
      </w:pPr>
      <w:r>
        <w:rPr>
          <w:rFonts w:hint="eastAsia" w:ascii="仿宋_GB2312" w:eastAsia="仿宋_GB2312" w:cs="Times New Roman"/>
          <w:color w:val="000000"/>
          <w:kern w:val="0"/>
          <w:sz w:val="32"/>
          <w:szCs w:val="32"/>
          <w:lang w:val="en-US" w:eastAsia="zh-CN" w:bidi="ar"/>
        </w:rPr>
        <w:t>2.</w:t>
      </w:r>
      <w:r>
        <w:rPr>
          <w:rFonts w:hint="eastAsia" w:ascii="仿宋_GB2312" w:eastAsia="仿宋_GB2312" w:cs="Times New Roman"/>
          <w:color w:val="000000"/>
          <w:kern w:val="0"/>
          <w:sz w:val="32"/>
          <w:szCs w:val="32"/>
          <w:lang w:val="zh-CN" w:eastAsia="zh-CN" w:bidi="ar"/>
        </w:rPr>
        <w:t>项目</w:t>
      </w:r>
      <w:r>
        <w:rPr>
          <w:rFonts w:hint="eastAsia" w:ascii="仿宋_GB2312" w:hAnsi="Times New Roman" w:eastAsia="仿宋_GB2312" w:cs="Times New Roman"/>
          <w:color w:val="000000"/>
          <w:kern w:val="0"/>
          <w:sz w:val="32"/>
          <w:szCs w:val="32"/>
          <w:lang w:val="zh-CN" w:eastAsia="zh-CN" w:bidi="ar"/>
        </w:rPr>
        <w:t>于201</w:t>
      </w:r>
      <w:r>
        <w:rPr>
          <w:rFonts w:hint="eastAsia" w:ascii="仿宋_GB2312" w:eastAsia="仿宋_GB2312" w:cs="Times New Roman"/>
          <w:color w:val="000000"/>
          <w:kern w:val="0"/>
          <w:sz w:val="32"/>
          <w:szCs w:val="32"/>
          <w:lang w:val="en-US" w:eastAsia="zh-CN" w:bidi="ar"/>
        </w:rPr>
        <w:t>9</w:t>
      </w:r>
      <w:r>
        <w:rPr>
          <w:rFonts w:hint="eastAsia" w:ascii="仿宋_GB2312" w:hAnsi="Times New Roman" w:eastAsia="仿宋_GB2312" w:cs="Times New Roman"/>
          <w:color w:val="000000"/>
          <w:kern w:val="0"/>
          <w:sz w:val="32"/>
          <w:szCs w:val="32"/>
          <w:lang w:val="zh-CN" w:eastAsia="zh-CN" w:bidi="ar"/>
        </w:rPr>
        <w:t>年1</w:t>
      </w:r>
      <w:r>
        <w:rPr>
          <w:rFonts w:hint="eastAsia" w:ascii="仿宋_GB2312" w:eastAsia="仿宋_GB2312" w:cs="Times New Roman"/>
          <w:color w:val="000000"/>
          <w:kern w:val="0"/>
          <w:sz w:val="32"/>
          <w:szCs w:val="32"/>
          <w:lang w:val="en-US" w:eastAsia="zh-CN" w:bidi="ar"/>
        </w:rPr>
        <w:t>2</w:t>
      </w:r>
      <w:r>
        <w:rPr>
          <w:rFonts w:hint="eastAsia" w:ascii="仿宋_GB2312" w:hAnsi="Times New Roman" w:eastAsia="仿宋_GB2312" w:cs="Times New Roman"/>
          <w:color w:val="000000"/>
          <w:kern w:val="0"/>
          <w:sz w:val="32"/>
          <w:szCs w:val="32"/>
          <w:lang w:val="zh-CN" w:eastAsia="zh-CN" w:bidi="ar"/>
        </w:rPr>
        <w:t>月全部</w:t>
      </w:r>
      <w:r>
        <w:rPr>
          <w:rFonts w:hint="eastAsia" w:ascii="仿宋_GB2312" w:eastAsia="仿宋_GB2312" w:cs="Times New Roman"/>
          <w:color w:val="000000"/>
          <w:kern w:val="0"/>
          <w:sz w:val="32"/>
          <w:szCs w:val="32"/>
          <w:lang w:val="zh-CN" w:eastAsia="zh-CN" w:bidi="ar"/>
        </w:rPr>
        <w:t>完成</w:t>
      </w:r>
      <w:r>
        <w:rPr>
          <w:rFonts w:hint="eastAsia" w:ascii="仿宋_GB2312" w:hAnsi="Times New Roman" w:eastAsia="仿宋_GB2312" w:cs="Times New Roman"/>
          <w:color w:val="000000"/>
          <w:kern w:val="0"/>
          <w:sz w:val="32"/>
          <w:szCs w:val="32"/>
          <w:lang w:val="zh-CN" w:eastAsia="zh-CN" w:bidi="ar"/>
        </w:rPr>
        <w:t>，完成总投资</w:t>
      </w:r>
      <w:r>
        <w:rPr>
          <w:rFonts w:hint="eastAsia" w:ascii="仿宋" w:hAnsi="仿宋" w:eastAsia="仿宋" w:cs="仿宋_GB2312"/>
          <w:sz w:val="32"/>
          <w:szCs w:val="32"/>
          <w:lang w:val="en-US" w:eastAsia="zh-CN"/>
        </w:rPr>
        <w:t>2</w:t>
      </w:r>
      <w:r>
        <w:rPr>
          <w:rFonts w:hint="eastAsia" w:ascii="仿宋_GB2312" w:hAnsi="Times New Roman" w:eastAsia="仿宋_GB2312" w:cs="Times New Roman"/>
          <w:color w:val="000000"/>
          <w:kern w:val="0"/>
          <w:sz w:val="32"/>
          <w:szCs w:val="32"/>
          <w:lang w:val="zh-CN" w:eastAsia="zh-CN" w:bidi="ar"/>
        </w:rPr>
        <w:t>万元，项目资金拨付</w:t>
      </w:r>
      <w:r>
        <w:rPr>
          <w:rFonts w:hint="eastAsia" w:ascii="仿宋_GB2312" w:eastAsia="仿宋_GB2312" w:cs="Times New Roman"/>
          <w:color w:val="000000"/>
          <w:kern w:val="0"/>
          <w:sz w:val="32"/>
          <w:szCs w:val="32"/>
          <w:lang w:val="zh-CN" w:eastAsia="zh-CN" w:bidi="ar"/>
        </w:rPr>
        <w:t>严格严格按照合同清单支付</w:t>
      </w:r>
      <w:r>
        <w:rPr>
          <w:rFonts w:hint="eastAsia" w:ascii="仿宋_GB2312" w:hAnsi="Times New Roman" w:eastAsia="仿宋_GB2312" w:cs="Times New Roman"/>
          <w:color w:val="000000"/>
          <w:kern w:val="0"/>
          <w:sz w:val="32"/>
          <w:szCs w:val="32"/>
          <w:lang w:val="zh-CN" w:eastAsia="zh-CN" w:bidi="ar"/>
        </w:rPr>
        <w:t>，支付合法合规。</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我委财务管理制度健全，严格执行财务管理制度，账务处理及时，会计核算规范。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w:t>
      </w:r>
      <w:r>
        <w:rPr>
          <w:rFonts w:hint="eastAsia" w:ascii="仿宋_GB2312" w:hAnsi="Times New Roman" w:eastAsia="仿宋_GB2312" w:cs="Times New Roman"/>
          <w:color w:val="000000"/>
          <w:kern w:val="0"/>
          <w:sz w:val="32"/>
          <w:szCs w:val="32"/>
          <w:lang w:val="zh-CN" w:eastAsia="zh-CN" w:bidi="ar"/>
        </w:rPr>
        <w:t>项目组织实施情况。</w:t>
      </w:r>
    </w:p>
    <w:p>
      <w:pPr>
        <w:numPr>
          <w:ilvl w:val="0"/>
          <w:numId w:val="0"/>
        </w:numPr>
        <w:adjustRightInd w:val="0"/>
        <w:snapToGrid w:val="0"/>
        <w:spacing w:line="600" w:lineRule="exact"/>
        <w:ind w:firstLine="320" w:firstLineChars="100"/>
        <w:rPr>
          <w:rFonts w:hint="eastAsia" w:ascii="楷体_GB2312" w:hAnsi="宋体" w:eastAsia="仿宋"/>
          <w:b/>
          <w:sz w:val="32"/>
          <w:szCs w:val="32"/>
          <w:lang w:val="zh-CN" w:eastAsia="zh-CN"/>
        </w:rPr>
      </w:pPr>
      <w:r>
        <w:rPr>
          <w:rFonts w:hint="eastAsia" w:ascii="仿宋" w:hAnsi="仿宋" w:eastAsia="仿宋" w:cs="仿宋_GB2312"/>
          <w:sz w:val="32"/>
          <w:szCs w:val="32"/>
        </w:rPr>
        <w:t>本项目年度预算</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万元，实际支出</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w:t>
      </w:r>
      <w:r>
        <w:rPr>
          <w:rFonts w:hint="eastAsia" w:ascii="仿宋" w:hAnsi="仿宋" w:eastAsia="仿宋" w:cs="仿宋_GB2312"/>
          <w:sz w:val="32"/>
          <w:szCs w:val="32"/>
          <w:lang w:eastAsia="zh-CN"/>
        </w:rPr>
        <w:t>严格按照内容相关，购买伙食团用品和伙食团用柴。</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numPr>
          <w:ilvl w:val="0"/>
          <w:numId w:val="0"/>
        </w:numPr>
        <w:adjustRightInd w:val="0"/>
        <w:snapToGrid w:val="0"/>
        <w:spacing w:line="600" w:lineRule="exact"/>
        <w:ind w:firstLine="320" w:firstLineChars="100"/>
        <w:rPr>
          <w:rFonts w:hint="eastAsia" w:ascii="楷体_GB2312" w:hAnsi="宋体" w:eastAsia="仿宋"/>
          <w:b/>
          <w:sz w:val="32"/>
          <w:szCs w:val="32"/>
          <w:lang w:val="zh-CN" w:eastAsia="zh-CN"/>
        </w:rPr>
      </w:pPr>
      <w:r>
        <w:rPr>
          <w:rFonts w:hint="eastAsia" w:ascii="仿宋" w:hAnsi="仿宋" w:eastAsia="仿宋" w:cs="仿宋_GB2312"/>
          <w:sz w:val="32"/>
          <w:szCs w:val="32"/>
        </w:rPr>
        <w:t>本项目年度预算</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万元，实际支出</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w:t>
      </w:r>
      <w:r>
        <w:rPr>
          <w:rFonts w:hint="eastAsia" w:ascii="仿宋" w:hAnsi="仿宋" w:eastAsia="仿宋" w:cs="仿宋_GB2312"/>
          <w:sz w:val="32"/>
          <w:szCs w:val="32"/>
          <w:lang w:eastAsia="zh-CN"/>
        </w:rPr>
        <w:t>严格按照内容相关，购买伙食团用品和伙食团用柴。</w:t>
      </w:r>
    </w:p>
    <w:p>
      <w:pPr>
        <w:numPr>
          <w:ilvl w:val="0"/>
          <w:numId w:val="0"/>
        </w:numPr>
        <w:adjustRightInd w:val="0"/>
        <w:snapToGrid w:val="0"/>
        <w:spacing w:line="600" w:lineRule="exact"/>
        <w:ind w:firstLine="643" w:firstLineChars="200"/>
        <w:rPr>
          <w:rFonts w:hint="eastAsia"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numPr>
          <w:ilvl w:val="0"/>
          <w:numId w:val="0"/>
        </w:numPr>
        <w:adjustRightInd w:val="0"/>
        <w:snapToGrid w:val="0"/>
        <w:spacing w:line="600" w:lineRule="exact"/>
        <w:ind w:firstLine="320" w:firstLineChars="1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确保了单位后后勤工作，提高了基层职工生活质量</w:t>
      </w:r>
    </w:p>
    <w:p>
      <w:pPr>
        <w:numPr>
          <w:ilvl w:val="0"/>
          <w:numId w:val="0"/>
        </w:numPr>
        <w:adjustRightInd w:val="0"/>
        <w:snapToGrid w:val="0"/>
        <w:spacing w:line="600" w:lineRule="exact"/>
        <w:ind w:leftChars="200"/>
        <w:rPr>
          <w:rFonts w:hint="eastAsia" w:ascii="楷体_GB2312" w:hAnsi="宋体" w:eastAsia="楷体_GB2312"/>
          <w:b/>
          <w:sz w:val="32"/>
          <w:szCs w:val="32"/>
          <w:lang w:val="zh-CN"/>
        </w:rPr>
      </w:pP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spacing w:line="58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本项目年度预算</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万元，实际支出</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万元。项目</w:t>
      </w:r>
      <w:r>
        <w:rPr>
          <w:rFonts w:hint="eastAsia" w:ascii="仿宋" w:hAnsi="仿宋" w:eastAsia="仿宋" w:cs="仿宋_GB2312"/>
          <w:sz w:val="32"/>
          <w:szCs w:val="32"/>
          <w:lang w:eastAsia="zh-CN"/>
        </w:rPr>
        <w:t>完成</w:t>
      </w:r>
      <w:r>
        <w:rPr>
          <w:rFonts w:hint="eastAsia" w:ascii="仿宋" w:hAnsi="仿宋" w:eastAsia="仿宋" w:cs="仿宋_GB2312"/>
          <w:sz w:val="32"/>
          <w:szCs w:val="32"/>
          <w:lang w:val="en-US" w:eastAsia="zh-CN"/>
        </w:rPr>
        <w:t>100%</w:t>
      </w:r>
      <w:r>
        <w:rPr>
          <w:rFonts w:hint="eastAsia" w:ascii="仿宋" w:hAnsi="仿宋" w:eastAsia="仿宋" w:cs="仿宋_GB2312"/>
          <w:sz w:val="32"/>
          <w:szCs w:val="32"/>
        </w:rPr>
        <w:t>，项目的</w:t>
      </w:r>
      <w:r>
        <w:rPr>
          <w:rFonts w:hint="eastAsia" w:ascii="仿宋" w:hAnsi="仿宋" w:eastAsia="仿宋" w:cs="仿宋_GB2312"/>
          <w:sz w:val="32"/>
          <w:szCs w:val="32"/>
          <w:lang w:eastAsia="zh-CN"/>
        </w:rPr>
        <w:t>反映良好</w:t>
      </w:r>
      <w:r>
        <w:rPr>
          <w:rFonts w:hint="eastAsia" w:ascii="仿宋" w:hAnsi="仿宋" w:eastAsia="仿宋" w:cs="仿宋_GB2312"/>
          <w:sz w:val="32"/>
          <w:szCs w:val="32"/>
        </w:rPr>
        <w:t>，具有可持续性</w:t>
      </w:r>
      <w:r>
        <w:rPr>
          <w:rFonts w:hint="eastAsia" w:ascii="仿宋" w:hAnsi="仿宋" w:eastAsia="仿宋" w:cs="仿宋_GB2312"/>
          <w:sz w:val="32"/>
          <w:szCs w:val="32"/>
          <w:lang w:eastAsia="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无</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累积经验，完善、细化、规范绩效管理，指标的设计可能需要更加的科学性。</w:t>
      </w:r>
    </w:p>
    <w:p>
      <w:pPr>
        <w:pageBreakBefore w:val="0"/>
        <w:kinsoku/>
        <w:wordWrap/>
        <w:overflowPunct/>
        <w:topLinePunct w:val="0"/>
        <w:bidi w:val="0"/>
        <w:spacing w:line="560" w:lineRule="exact"/>
        <w:jc w:val="center"/>
        <w:outlineLvl w:val="0"/>
        <w:rPr>
          <w:rFonts w:hint="eastAsia" w:ascii="方正小标宋简体" w:hAnsi="黑体" w:eastAsia="方正小标宋简体"/>
          <w:color w:val="000000"/>
          <w:sz w:val="44"/>
          <w:szCs w:val="44"/>
        </w:rPr>
      </w:pPr>
    </w:p>
    <w:p>
      <w:pPr>
        <w:pageBreakBefore w:val="0"/>
        <w:kinsoku/>
        <w:wordWrap/>
        <w:overflowPunct/>
        <w:topLinePunct w:val="0"/>
        <w:bidi w:val="0"/>
        <w:spacing w:line="560" w:lineRule="exact"/>
        <w:jc w:val="center"/>
        <w:outlineLvl w:val="0"/>
        <w:rPr>
          <w:rFonts w:hint="eastAsia" w:ascii="方正小标宋简体" w:hAnsi="黑体" w:eastAsia="方正小标宋简体"/>
          <w:color w:val="000000"/>
          <w:sz w:val="44"/>
          <w:szCs w:val="44"/>
        </w:rPr>
      </w:pPr>
    </w:p>
    <w:p>
      <w:pPr>
        <w:pageBreakBefore w:val="0"/>
        <w:kinsoku/>
        <w:wordWrap/>
        <w:overflowPunct/>
        <w:topLinePunct w:val="0"/>
        <w:bidi w:val="0"/>
        <w:spacing w:line="560" w:lineRule="exact"/>
        <w:jc w:val="center"/>
        <w:outlineLvl w:val="0"/>
        <w:rPr>
          <w:rFonts w:hint="eastAsia" w:ascii="方正小标宋简体" w:hAnsi="黑体" w:eastAsia="方正小标宋简体"/>
          <w:color w:val="000000"/>
          <w:sz w:val="44"/>
          <w:szCs w:val="44"/>
        </w:rPr>
      </w:pPr>
    </w:p>
    <w:p>
      <w:pPr>
        <w:pageBreakBefore w:val="0"/>
        <w:kinsoku/>
        <w:wordWrap/>
        <w:overflowPunct/>
        <w:topLinePunct w:val="0"/>
        <w:bidi w:val="0"/>
        <w:spacing w:line="560" w:lineRule="exact"/>
        <w:jc w:val="both"/>
        <w:outlineLvl w:val="0"/>
        <w:rPr>
          <w:rFonts w:hint="eastAsia" w:ascii="方正小标宋简体" w:hAnsi="黑体" w:eastAsia="方正小标宋简体"/>
          <w:color w:val="000000"/>
          <w:sz w:val="44"/>
          <w:szCs w:val="44"/>
        </w:rPr>
      </w:pPr>
    </w:p>
    <w:p>
      <w:pPr>
        <w:pageBreakBefore w:val="0"/>
        <w:kinsoku/>
        <w:wordWrap/>
        <w:overflowPunct/>
        <w:topLinePunct w:val="0"/>
        <w:bidi w:val="0"/>
        <w:spacing w:line="560" w:lineRule="exact"/>
        <w:jc w:val="center"/>
        <w:outlineLvl w:val="0"/>
        <w:rPr>
          <w:rFonts w:hint="eastAsia" w:ascii="方正小标宋简体" w:hAnsi="黑体" w:eastAsia="方正小标宋简体"/>
          <w:color w:val="000000"/>
          <w:sz w:val="44"/>
          <w:szCs w:val="44"/>
        </w:rPr>
      </w:pPr>
    </w:p>
    <w:p>
      <w:pPr>
        <w:pageBreakBefore w:val="0"/>
        <w:kinsoku/>
        <w:wordWrap/>
        <w:overflowPunct/>
        <w:topLinePunct w:val="0"/>
        <w:bidi w:val="0"/>
        <w:spacing w:line="560" w:lineRule="exact"/>
        <w:jc w:val="center"/>
        <w:outlineLvl w:val="0"/>
        <w:rPr>
          <w:rFonts w:hint="eastAsia" w:ascii="方正小标宋简体" w:hAnsi="黑体" w:eastAsia="方正小标宋简体"/>
          <w:color w:val="000000"/>
          <w:sz w:val="44"/>
          <w:szCs w:val="44"/>
        </w:rPr>
      </w:pPr>
    </w:p>
    <w:p>
      <w:pPr>
        <w:pageBreakBefore w:val="0"/>
        <w:kinsoku/>
        <w:wordWrap/>
        <w:overflowPunct/>
        <w:topLinePunct w:val="0"/>
        <w:bidi w:val="0"/>
        <w:spacing w:line="560" w:lineRule="exact"/>
        <w:jc w:val="center"/>
        <w:outlineLvl w:val="0"/>
        <w:rPr>
          <w:rFonts w:hint="eastAsia" w:ascii="方正小标宋简体" w:hAnsi="黑体" w:eastAsia="方正小标宋简体"/>
          <w:color w:val="000000"/>
          <w:sz w:val="44"/>
          <w:szCs w:val="44"/>
        </w:rPr>
      </w:pPr>
    </w:p>
    <w:p>
      <w:pPr>
        <w:pageBreakBefore w:val="0"/>
        <w:kinsoku/>
        <w:wordWrap/>
        <w:overflowPunct/>
        <w:topLinePunct w:val="0"/>
        <w:bidi w:val="0"/>
        <w:spacing w:line="560" w:lineRule="exact"/>
        <w:jc w:val="center"/>
        <w:outlineLvl w:val="0"/>
        <w:rPr>
          <w:rFonts w:hint="eastAsia" w:ascii="方正小标宋简体" w:hAnsi="黑体" w:eastAsia="方正小标宋简体"/>
          <w:color w:val="000000"/>
          <w:sz w:val="44"/>
          <w:szCs w:val="44"/>
        </w:rPr>
      </w:pPr>
    </w:p>
    <w:p>
      <w:pPr>
        <w:pageBreakBefore w:val="0"/>
        <w:kinsoku/>
        <w:wordWrap/>
        <w:overflowPunct/>
        <w:topLinePunct w:val="0"/>
        <w:bidi w:val="0"/>
        <w:spacing w:line="560" w:lineRule="exact"/>
        <w:jc w:val="center"/>
        <w:outlineLvl w:val="0"/>
        <w:rPr>
          <w:rFonts w:hint="eastAsia" w:ascii="方正小标宋简体" w:hAnsi="黑体" w:eastAsia="方正小标宋简体"/>
          <w:color w:val="000000"/>
          <w:sz w:val="44"/>
          <w:szCs w:val="44"/>
        </w:rPr>
      </w:pPr>
    </w:p>
    <w:p>
      <w:pPr>
        <w:pageBreakBefore w:val="0"/>
        <w:kinsoku/>
        <w:wordWrap/>
        <w:overflowPunct/>
        <w:topLinePunct w:val="0"/>
        <w:bidi w:val="0"/>
        <w:spacing w:line="560" w:lineRule="exact"/>
        <w:jc w:val="center"/>
        <w:outlineLvl w:val="0"/>
        <w:rPr>
          <w:rFonts w:hint="eastAsia" w:ascii="方正小标宋简体" w:hAnsi="黑体" w:eastAsia="方正小标宋简体"/>
          <w:color w:val="000000"/>
          <w:sz w:val="44"/>
          <w:szCs w:val="44"/>
        </w:rPr>
      </w:pPr>
    </w:p>
    <w:p>
      <w:pPr>
        <w:pageBreakBefore w:val="0"/>
        <w:kinsoku/>
        <w:wordWrap/>
        <w:overflowPunct/>
        <w:topLinePunct w:val="0"/>
        <w:bidi w:val="0"/>
        <w:spacing w:line="560" w:lineRule="exact"/>
        <w:jc w:val="center"/>
        <w:outlineLvl w:val="0"/>
        <w:rPr>
          <w:rFonts w:hint="eastAsia" w:ascii="方正小标宋简体" w:hAnsi="黑体" w:eastAsia="方正小标宋简体"/>
          <w:color w:val="000000"/>
          <w:sz w:val="44"/>
          <w:szCs w:val="44"/>
        </w:rPr>
      </w:pPr>
    </w:p>
    <w:p>
      <w:pPr>
        <w:pageBreakBefore w:val="0"/>
        <w:kinsoku/>
        <w:wordWrap/>
        <w:overflowPunct/>
        <w:topLinePunct w:val="0"/>
        <w:bidi w:val="0"/>
        <w:spacing w:line="560" w:lineRule="exact"/>
        <w:jc w:val="center"/>
        <w:outlineLvl w:val="0"/>
        <w:rPr>
          <w:rFonts w:hint="eastAsia" w:ascii="方正小标宋简体" w:hAnsi="黑体" w:eastAsia="方正小标宋简体"/>
          <w:color w:val="000000"/>
          <w:sz w:val="44"/>
          <w:szCs w:val="44"/>
        </w:rPr>
      </w:pPr>
    </w:p>
    <w:p>
      <w:pPr>
        <w:pageBreakBefore w:val="0"/>
        <w:kinsoku/>
        <w:wordWrap/>
        <w:overflowPunct/>
        <w:topLinePunct w:val="0"/>
        <w:bidi w:val="0"/>
        <w:spacing w:line="560" w:lineRule="exact"/>
        <w:jc w:val="center"/>
        <w:outlineLvl w:val="0"/>
        <w:rPr>
          <w:rFonts w:hint="eastAsia" w:ascii="方正小标宋简体" w:hAnsi="黑体" w:eastAsia="方正小标宋简体"/>
          <w:color w:val="000000"/>
          <w:sz w:val="44"/>
          <w:szCs w:val="44"/>
        </w:rPr>
      </w:pPr>
    </w:p>
    <w:p>
      <w:pPr>
        <w:pageBreakBefore w:val="0"/>
        <w:kinsoku/>
        <w:wordWrap/>
        <w:overflowPunct/>
        <w:topLinePunct w:val="0"/>
        <w:bidi w:val="0"/>
        <w:spacing w:line="560" w:lineRule="exact"/>
        <w:jc w:val="both"/>
        <w:outlineLvl w:val="0"/>
        <w:rPr>
          <w:rFonts w:hint="eastAsia" w:ascii="方正小标宋简体" w:hAnsi="黑体" w:eastAsia="方正小标宋简体"/>
          <w:color w:val="000000"/>
          <w:sz w:val="44"/>
          <w:szCs w:val="44"/>
        </w:rPr>
      </w:pPr>
    </w:p>
    <w:p>
      <w:pPr>
        <w:pageBreakBefore w:val="0"/>
        <w:kinsoku/>
        <w:wordWrap/>
        <w:overflowPunct/>
        <w:topLinePunct w:val="0"/>
        <w:bidi w:val="0"/>
        <w:spacing w:line="560" w:lineRule="exact"/>
        <w:jc w:val="center"/>
        <w:outlineLvl w:val="0"/>
        <w:rPr>
          <w:rFonts w:ascii="方正小标宋简体" w:hAnsi="黑体" w:eastAsia="方正小标宋简体"/>
          <w:bCs/>
          <w:kern w:val="44"/>
          <w:sz w:val="44"/>
          <w:szCs w:val="44"/>
        </w:rPr>
      </w:pPr>
      <w:r>
        <w:rPr>
          <w:rFonts w:hint="eastAsia" w:ascii="方正小标宋简体" w:hAnsi="黑体" w:eastAsia="方正小标宋简体"/>
          <w:color w:val="000000"/>
          <w:sz w:val="44"/>
          <w:szCs w:val="44"/>
        </w:rPr>
        <w:t>第</w:t>
      </w:r>
      <w:r>
        <w:rPr>
          <w:rStyle w:val="24"/>
          <w:rFonts w:hint="eastAsia" w:ascii="方正小标宋简体" w:hAnsi="黑体" w:eastAsia="方正小标宋简体"/>
          <w:b w:val="0"/>
        </w:rPr>
        <w:t>五部分 附表</w:t>
      </w:r>
      <w:bookmarkEnd w:id="45"/>
      <w:bookmarkEnd w:id="47"/>
    </w:p>
    <w:p>
      <w:pPr>
        <w:pStyle w:val="3"/>
        <w:pageBreakBefore w:val="0"/>
        <w:kinsoku/>
        <w:wordWrap/>
        <w:overflowPunct/>
        <w:topLinePunct w:val="0"/>
        <w:bidi w:val="0"/>
        <w:spacing w:line="560" w:lineRule="exact"/>
        <w:rPr>
          <w:rFonts w:ascii="仿宋" w:hAnsi="仿宋" w:eastAsia="仿宋"/>
          <w:color w:val="000000"/>
        </w:rPr>
      </w:pPr>
      <w:bookmarkStart w:id="49"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49"/>
    </w:p>
    <w:p>
      <w:pPr>
        <w:pStyle w:val="3"/>
        <w:pageBreakBefore w:val="0"/>
        <w:kinsoku/>
        <w:wordWrap/>
        <w:overflowPunct/>
        <w:topLinePunct w:val="0"/>
        <w:bidi w:val="0"/>
        <w:spacing w:line="560" w:lineRule="exact"/>
        <w:rPr>
          <w:rFonts w:ascii="仿宋" w:hAnsi="仿宋" w:eastAsia="仿宋"/>
          <w:color w:val="000000"/>
        </w:rPr>
      </w:pPr>
      <w:bookmarkStart w:id="50"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50"/>
    </w:p>
    <w:p>
      <w:pPr>
        <w:pStyle w:val="3"/>
        <w:pageBreakBefore w:val="0"/>
        <w:kinsoku/>
        <w:wordWrap/>
        <w:overflowPunct/>
        <w:topLinePunct w:val="0"/>
        <w:bidi w:val="0"/>
        <w:spacing w:line="560" w:lineRule="exact"/>
        <w:rPr>
          <w:rFonts w:ascii="仿宋" w:hAnsi="仿宋" w:eastAsia="仿宋"/>
          <w:color w:val="000000"/>
        </w:rPr>
      </w:pPr>
      <w:bookmarkStart w:id="51"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51"/>
    </w:p>
    <w:p>
      <w:pPr>
        <w:pStyle w:val="3"/>
        <w:pageBreakBefore w:val="0"/>
        <w:kinsoku/>
        <w:wordWrap/>
        <w:overflowPunct/>
        <w:topLinePunct w:val="0"/>
        <w:bidi w:val="0"/>
        <w:spacing w:line="560" w:lineRule="exact"/>
        <w:rPr>
          <w:rFonts w:ascii="仿宋" w:hAnsi="仿宋" w:eastAsia="仿宋"/>
          <w:b w:val="0"/>
          <w:color w:val="000000"/>
        </w:rPr>
      </w:pPr>
      <w:bookmarkStart w:id="52"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52"/>
    </w:p>
    <w:p>
      <w:pPr>
        <w:pStyle w:val="3"/>
        <w:pageBreakBefore w:val="0"/>
        <w:kinsoku/>
        <w:wordWrap/>
        <w:overflowPunct/>
        <w:topLinePunct w:val="0"/>
        <w:bidi w:val="0"/>
        <w:spacing w:line="560" w:lineRule="exact"/>
        <w:rPr>
          <w:rStyle w:val="25"/>
          <w:rFonts w:ascii="仿宋" w:hAnsi="仿宋" w:eastAsia="仿宋"/>
          <w:b w:val="0"/>
          <w:bCs w:val="0"/>
        </w:rPr>
      </w:pPr>
      <w:bookmarkStart w:id="53"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53"/>
      <w:bookmarkStart w:id="54" w:name="_Toc15396624"/>
    </w:p>
    <w:p>
      <w:pPr>
        <w:pStyle w:val="3"/>
        <w:pageBreakBefore w:val="0"/>
        <w:kinsoku/>
        <w:wordWrap/>
        <w:overflowPunct/>
        <w:topLinePunct w:val="0"/>
        <w:bidi w:val="0"/>
        <w:spacing w:line="560" w:lineRule="exact"/>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54"/>
    </w:p>
    <w:p>
      <w:pPr>
        <w:pStyle w:val="3"/>
        <w:pageBreakBefore w:val="0"/>
        <w:kinsoku/>
        <w:wordWrap/>
        <w:overflowPunct/>
        <w:topLinePunct w:val="0"/>
        <w:bidi w:val="0"/>
        <w:spacing w:line="560" w:lineRule="exact"/>
        <w:rPr>
          <w:rFonts w:ascii="仿宋" w:hAnsi="仿宋" w:eastAsia="仿宋"/>
          <w:color w:val="000000"/>
        </w:rPr>
      </w:pPr>
      <w:bookmarkStart w:id="55"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55"/>
    </w:p>
    <w:p>
      <w:pPr>
        <w:pStyle w:val="3"/>
        <w:pageBreakBefore w:val="0"/>
        <w:kinsoku/>
        <w:wordWrap/>
        <w:overflowPunct/>
        <w:topLinePunct w:val="0"/>
        <w:bidi w:val="0"/>
        <w:spacing w:line="560" w:lineRule="exact"/>
        <w:rPr>
          <w:rFonts w:ascii="仿宋" w:hAnsi="仿宋" w:eastAsia="仿宋"/>
          <w:color w:val="000000"/>
        </w:rPr>
      </w:pPr>
      <w:bookmarkStart w:id="56"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56"/>
    </w:p>
    <w:p>
      <w:pPr>
        <w:pStyle w:val="3"/>
        <w:pageBreakBefore w:val="0"/>
        <w:kinsoku/>
        <w:wordWrap/>
        <w:overflowPunct/>
        <w:topLinePunct w:val="0"/>
        <w:bidi w:val="0"/>
        <w:spacing w:line="560" w:lineRule="exact"/>
        <w:rPr>
          <w:rFonts w:ascii="仿宋" w:hAnsi="仿宋" w:eastAsia="仿宋"/>
          <w:color w:val="000000"/>
        </w:rPr>
      </w:pPr>
      <w:bookmarkStart w:id="57"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57"/>
    </w:p>
    <w:p>
      <w:pPr>
        <w:pStyle w:val="3"/>
        <w:pageBreakBefore w:val="0"/>
        <w:kinsoku/>
        <w:wordWrap/>
        <w:overflowPunct/>
        <w:topLinePunct w:val="0"/>
        <w:bidi w:val="0"/>
        <w:spacing w:line="560" w:lineRule="exact"/>
        <w:rPr>
          <w:rFonts w:ascii="仿宋" w:hAnsi="仿宋" w:eastAsia="仿宋"/>
          <w:color w:val="000000"/>
        </w:rPr>
      </w:pPr>
      <w:bookmarkStart w:id="58"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58"/>
    </w:p>
    <w:p>
      <w:pPr>
        <w:pStyle w:val="3"/>
        <w:pageBreakBefore w:val="0"/>
        <w:kinsoku/>
        <w:wordWrap/>
        <w:overflowPunct/>
        <w:topLinePunct w:val="0"/>
        <w:bidi w:val="0"/>
        <w:spacing w:line="560" w:lineRule="exact"/>
        <w:rPr>
          <w:rFonts w:ascii="仿宋" w:hAnsi="仿宋" w:eastAsia="仿宋"/>
          <w:color w:val="000000"/>
        </w:rPr>
      </w:pPr>
      <w:bookmarkStart w:id="59"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59"/>
    </w:p>
    <w:p>
      <w:pPr>
        <w:pStyle w:val="3"/>
        <w:pageBreakBefore w:val="0"/>
        <w:kinsoku/>
        <w:wordWrap/>
        <w:overflowPunct/>
        <w:topLinePunct w:val="0"/>
        <w:bidi w:val="0"/>
        <w:spacing w:line="560" w:lineRule="exact"/>
        <w:rPr>
          <w:rFonts w:ascii="仿宋" w:hAnsi="仿宋" w:eastAsia="仿宋"/>
          <w:color w:val="000000"/>
        </w:rPr>
      </w:pPr>
      <w:bookmarkStart w:id="60"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60"/>
    </w:p>
    <w:p>
      <w:pPr>
        <w:pStyle w:val="3"/>
        <w:pageBreakBefore w:val="0"/>
        <w:kinsoku/>
        <w:wordWrap/>
        <w:overflowPunct/>
        <w:topLinePunct w:val="0"/>
        <w:bidi w:val="0"/>
        <w:spacing w:line="560" w:lineRule="exact"/>
        <w:rPr>
          <w:rFonts w:ascii="仿宋" w:hAnsi="仿宋" w:eastAsia="仿宋"/>
          <w:color w:val="000000" w:themeColor="text1"/>
          <w14:textFill>
            <w14:solidFill>
              <w14:schemeClr w14:val="tx1"/>
            </w14:solidFill>
          </w14:textFill>
        </w:rPr>
      </w:pPr>
      <w:bookmarkStart w:id="61"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61"/>
    </w:p>
    <w:sectPr>
      <w:headerReference r:id="rId3"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2C242E1F"/>
    <w:multiLevelType w:val="singleLevel"/>
    <w:tmpl w:val="2C242E1F"/>
    <w:lvl w:ilvl="0" w:tentative="0">
      <w:start w:val="1"/>
      <w:numFmt w:val="chineseCounting"/>
      <w:suff w:val="nothing"/>
      <w:lvlText w:val="%1、"/>
      <w:lvlJc w:val="left"/>
      <w:rPr>
        <w:rFonts w:hint="eastAsia"/>
      </w:rPr>
    </w:lvl>
  </w:abstractNum>
  <w:abstractNum w:abstractNumId="3">
    <w:nsid w:val="331572E4"/>
    <w:multiLevelType w:val="multilevel"/>
    <w:tmpl w:val="331572E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482DCF8D"/>
    <w:multiLevelType w:val="singleLevel"/>
    <w:tmpl w:val="482DCF8D"/>
    <w:lvl w:ilvl="0" w:tentative="0">
      <w:start w:val="2"/>
      <w:numFmt w:val="decimal"/>
      <w:lvlText w:val="%1."/>
      <w:lvlJc w:val="left"/>
      <w:pPr>
        <w:tabs>
          <w:tab w:val="left" w:pos="312"/>
        </w:tabs>
      </w:pPr>
    </w:lvl>
  </w:abstractNum>
  <w:abstractNum w:abstractNumId="5">
    <w:nsid w:val="65C4C51C"/>
    <w:multiLevelType w:val="singleLevel"/>
    <w:tmpl w:val="65C4C51C"/>
    <w:lvl w:ilvl="0" w:tentative="0">
      <w:start w:val="2"/>
      <w:numFmt w:val="chineseCounting"/>
      <w:suff w:val="nothing"/>
      <w:lvlText w:val="（%1）"/>
      <w:lvlJc w:val="left"/>
      <w:rPr>
        <w:rFonts w:hint="eastAsia"/>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160C"/>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0A3C"/>
    <w:rsid w:val="00294DC9"/>
    <w:rsid w:val="00295495"/>
    <w:rsid w:val="002A31DE"/>
    <w:rsid w:val="002B2613"/>
    <w:rsid w:val="002D19B0"/>
    <w:rsid w:val="002D6D05"/>
    <w:rsid w:val="002F1818"/>
    <w:rsid w:val="002F567B"/>
    <w:rsid w:val="002F688D"/>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E33"/>
    <w:rsid w:val="003E6F55"/>
    <w:rsid w:val="003F6619"/>
    <w:rsid w:val="00406254"/>
    <w:rsid w:val="00407B37"/>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4D0"/>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3C8F"/>
    <w:rsid w:val="00614E44"/>
    <w:rsid w:val="0062270A"/>
    <w:rsid w:val="00622830"/>
    <w:rsid w:val="00623DA0"/>
    <w:rsid w:val="00627117"/>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6F339F"/>
    <w:rsid w:val="007127B7"/>
    <w:rsid w:val="007161D0"/>
    <w:rsid w:val="0071798E"/>
    <w:rsid w:val="00727533"/>
    <w:rsid w:val="007416B6"/>
    <w:rsid w:val="007445B5"/>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62CA5"/>
    <w:rsid w:val="00871F71"/>
    <w:rsid w:val="00872FD8"/>
    <w:rsid w:val="00885AF4"/>
    <w:rsid w:val="008939CD"/>
    <w:rsid w:val="008B3681"/>
    <w:rsid w:val="008B768C"/>
    <w:rsid w:val="008C4DB1"/>
    <w:rsid w:val="008C4EAF"/>
    <w:rsid w:val="008C5176"/>
    <w:rsid w:val="008C7FD0"/>
    <w:rsid w:val="008E1DE7"/>
    <w:rsid w:val="008E707C"/>
    <w:rsid w:val="00900B08"/>
    <w:rsid w:val="009020CD"/>
    <w:rsid w:val="00902155"/>
    <w:rsid w:val="00902FA3"/>
    <w:rsid w:val="00923564"/>
    <w:rsid w:val="0092392E"/>
    <w:rsid w:val="009315F9"/>
    <w:rsid w:val="00933499"/>
    <w:rsid w:val="00935C98"/>
    <w:rsid w:val="00946945"/>
    <w:rsid w:val="00951172"/>
    <w:rsid w:val="00951248"/>
    <w:rsid w:val="0095152F"/>
    <w:rsid w:val="00951ED8"/>
    <w:rsid w:val="00953FF2"/>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060E6"/>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A0D83"/>
    <w:rsid w:val="00AB5251"/>
    <w:rsid w:val="00AB64C9"/>
    <w:rsid w:val="00AC3C6A"/>
    <w:rsid w:val="00AD0F83"/>
    <w:rsid w:val="00AD5620"/>
    <w:rsid w:val="00AD656B"/>
    <w:rsid w:val="00AD7C1B"/>
    <w:rsid w:val="00AE16BA"/>
    <w:rsid w:val="00AE1EBE"/>
    <w:rsid w:val="00AF37A0"/>
    <w:rsid w:val="00B02E88"/>
    <w:rsid w:val="00B03C9D"/>
    <w:rsid w:val="00B060AE"/>
    <w:rsid w:val="00B10517"/>
    <w:rsid w:val="00B14E76"/>
    <w:rsid w:val="00B161B8"/>
    <w:rsid w:val="00B17DB1"/>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4E37"/>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D5283"/>
    <w:rsid w:val="00CE44F6"/>
    <w:rsid w:val="00CE49DA"/>
    <w:rsid w:val="00CE7B61"/>
    <w:rsid w:val="00D00095"/>
    <w:rsid w:val="00D114F0"/>
    <w:rsid w:val="00D179F5"/>
    <w:rsid w:val="00D20620"/>
    <w:rsid w:val="00D2207C"/>
    <w:rsid w:val="00D254F7"/>
    <w:rsid w:val="00D26091"/>
    <w:rsid w:val="00D2685C"/>
    <w:rsid w:val="00D34485"/>
    <w:rsid w:val="00D34E7C"/>
    <w:rsid w:val="00D35489"/>
    <w:rsid w:val="00D36AFE"/>
    <w:rsid w:val="00D51276"/>
    <w:rsid w:val="00D7035F"/>
    <w:rsid w:val="00DA634F"/>
    <w:rsid w:val="00DA65AC"/>
    <w:rsid w:val="00DB1913"/>
    <w:rsid w:val="00DC410D"/>
    <w:rsid w:val="00DC5A81"/>
    <w:rsid w:val="00DC68CA"/>
    <w:rsid w:val="00DC7CBA"/>
    <w:rsid w:val="00DD6167"/>
    <w:rsid w:val="00DD6362"/>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B06DD"/>
    <w:rsid w:val="00EC7AED"/>
    <w:rsid w:val="00ED1B63"/>
    <w:rsid w:val="00ED3C1F"/>
    <w:rsid w:val="00ED4085"/>
    <w:rsid w:val="00ED420E"/>
    <w:rsid w:val="00ED6FBE"/>
    <w:rsid w:val="00EE2F57"/>
    <w:rsid w:val="00EF4C34"/>
    <w:rsid w:val="00EF77C6"/>
    <w:rsid w:val="00F0134C"/>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34000B"/>
    <w:rsid w:val="09783895"/>
    <w:rsid w:val="0E396E51"/>
    <w:rsid w:val="0FC04B03"/>
    <w:rsid w:val="10C055FF"/>
    <w:rsid w:val="11552894"/>
    <w:rsid w:val="11B60568"/>
    <w:rsid w:val="12D20165"/>
    <w:rsid w:val="16BB723D"/>
    <w:rsid w:val="16BD0363"/>
    <w:rsid w:val="16C1176D"/>
    <w:rsid w:val="19B253CF"/>
    <w:rsid w:val="1B3B0D5F"/>
    <w:rsid w:val="216876E5"/>
    <w:rsid w:val="240371BF"/>
    <w:rsid w:val="2510580D"/>
    <w:rsid w:val="27D20CC8"/>
    <w:rsid w:val="292955A4"/>
    <w:rsid w:val="29FD04D3"/>
    <w:rsid w:val="2E3920F2"/>
    <w:rsid w:val="319F7F4E"/>
    <w:rsid w:val="35F9506B"/>
    <w:rsid w:val="36E80D85"/>
    <w:rsid w:val="39940B30"/>
    <w:rsid w:val="3D3C19C2"/>
    <w:rsid w:val="422F58EE"/>
    <w:rsid w:val="43E36CB5"/>
    <w:rsid w:val="464645E7"/>
    <w:rsid w:val="473C1A26"/>
    <w:rsid w:val="4D6B1FD2"/>
    <w:rsid w:val="4ECE2238"/>
    <w:rsid w:val="4F952931"/>
    <w:rsid w:val="50765C53"/>
    <w:rsid w:val="50C93475"/>
    <w:rsid w:val="570B567A"/>
    <w:rsid w:val="572B5A32"/>
    <w:rsid w:val="584E04BC"/>
    <w:rsid w:val="58C87628"/>
    <w:rsid w:val="5A525D7A"/>
    <w:rsid w:val="5C834721"/>
    <w:rsid w:val="5C8728D2"/>
    <w:rsid w:val="5CE30CD7"/>
    <w:rsid w:val="5ECC6FFA"/>
    <w:rsid w:val="5F112DD2"/>
    <w:rsid w:val="5F663956"/>
    <w:rsid w:val="5FA730DA"/>
    <w:rsid w:val="5FDD49F2"/>
    <w:rsid w:val="60AB5F0E"/>
    <w:rsid w:val="61C73625"/>
    <w:rsid w:val="63A73F5B"/>
    <w:rsid w:val="67C53A0C"/>
    <w:rsid w:val="6CA73F63"/>
    <w:rsid w:val="6CFB492F"/>
    <w:rsid w:val="6D06098A"/>
    <w:rsid w:val="6D941B1B"/>
    <w:rsid w:val="6E2B0718"/>
    <w:rsid w:val="714F30B8"/>
    <w:rsid w:val="72734D90"/>
    <w:rsid w:val="7C434A70"/>
    <w:rsid w:val="7D7C527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image" Target="../media/image1.png"/><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image" Target="../media/image1.png"/><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forceAA="0"/>
          <a:lstStyle/>
          <a:p>
            <a:pPr defTabSz="914400">
              <a:defRPr lang="zh-CN" sz="1400" b="0" i="0" u="none" strike="noStrike" kern="1200" spc="0" baseline="0">
                <a:solidFill>
                  <a:schemeClr val="tx1">
                    <a:lumMod val="50000"/>
                    <a:lumOff val="50000"/>
                  </a:schemeClr>
                </a:solidFill>
                <a:latin typeface="+mn-lt"/>
                <a:ea typeface="+mn-ea"/>
                <a:cs typeface="+mn-cs"/>
              </a:defRPr>
            </a:pPr>
            <a:r>
              <a:t>收入支出对照表</a:t>
            </a:r>
          </a:p>
        </c:rich>
      </c:tx>
      <c:layout/>
      <c:overlay val="0"/>
      <c:spPr>
        <a:noFill/>
        <a:ln>
          <a:noFill/>
        </a:ln>
        <a:effectLst/>
      </c:spPr>
    </c:title>
    <c:autoTitleDeleted val="0"/>
    <c:plotArea>
      <c:layout>
        <c:manualLayout>
          <c:layoutTarget val="inner"/>
          <c:xMode val="edge"/>
          <c:yMode val="edge"/>
          <c:x val="0.103572394132096"/>
          <c:y val="0.183610811190407"/>
          <c:w val="0.876827460695669"/>
          <c:h val="0.623533563321307"/>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numCache>
            </c:numRef>
          </c:cat>
          <c:val>
            <c:numRef>
              <c:f>Sheet1!$B$2:$B$5</c:f>
              <c:numCache>
                <c:formatCode>General</c:formatCode>
                <c:ptCount val="4"/>
                <c:pt idx="0">
                  <c:v>228.48</c:v>
                </c:pt>
                <c:pt idx="1">
                  <c:v>353.82</c:v>
                </c:pt>
              </c:numCache>
            </c:numRef>
          </c:val>
        </c:ser>
        <c:ser>
          <c:idx val="1"/>
          <c:order val="1"/>
          <c:tx>
            <c:strRef>
              <c:f>Sheet1!$C$1</c:f>
              <c:strCache>
                <c:ptCount val="1"/>
                <c:pt idx="0">
                  <c:v>支出</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numCache>
            </c:numRef>
          </c:cat>
          <c:val>
            <c:numRef>
              <c:f>Sheet1!$C$2:$C$5</c:f>
              <c:numCache>
                <c:formatCode>General</c:formatCode>
                <c:ptCount val="4"/>
                <c:pt idx="0">
                  <c:v>403.39</c:v>
                </c:pt>
                <c:pt idx="1">
                  <c:v>369.76</c:v>
                </c:pt>
              </c:numCache>
            </c:numRef>
          </c:val>
        </c:ser>
        <c:ser>
          <c:idx val="2"/>
          <c:order val="2"/>
          <c:tx>
            <c:strRef>
              <c:f>Sheet1!$D$1</c:f>
              <c:strCache>
                <c:ptCount val="1"/>
                <c:pt idx="0">
                  <c:v/>
                </c:pt>
              </c:strCache>
            </c:strRef>
          </c:tx>
          <c:spPr>
            <a:solidFill>
              <a:schemeClr val="accent3"/>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numCache>
            </c:numRef>
          </c:cat>
          <c:val>
            <c:numRef>
              <c:f>Sheet1!$D$2:$D$5</c:f>
              <c:numCache>
                <c:formatCode>General</c:formatCode>
                <c:ptCount val="4"/>
              </c:numCache>
            </c:numRef>
          </c:val>
        </c:ser>
        <c:dLbls>
          <c:showLegendKey val="0"/>
          <c:showVal val="1"/>
          <c:showCatName val="0"/>
          <c:showSerName val="0"/>
          <c:showPercent val="0"/>
          <c:showBubbleSize val="0"/>
        </c:dLbls>
        <c:gapWidth val="219"/>
        <c:overlap val="-53"/>
        <c:axId val="523567893"/>
        <c:axId val="45441327"/>
      </c:barChart>
      <c:catAx>
        <c:axId val="523567893"/>
        <c:scaling>
          <c:orientation val="minMax"/>
        </c:scaling>
        <c:delete val="0"/>
        <c:axPos val="b"/>
        <c:numFmt formatCode="General" sourceLinked="0"/>
        <c:majorTickMark val="none"/>
        <c:minorTickMark val="none"/>
        <c:tickLblPos val="nextTo"/>
        <c:spPr>
          <a:noFill/>
          <a:ln w="9525" cap="flat" cmpd="sng" algn="ctr">
            <a:solidFill>
              <a:schemeClr val="bg1">
                <a:lumMod val="7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crossAx val="45441327"/>
        <c:crosses val="autoZero"/>
        <c:auto val="1"/>
        <c:lblAlgn val="ctr"/>
        <c:lblOffset val="100"/>
        <c:noMultiLvlLbl val="0"/>
      </c:catAx>
      <c:valAx>
        <c:axId val="45441327"/>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crossAx val="523567893"/>
        <c:crosses val="autoZero"/>
        <c:crossBetween val="between"/>
      </c:valAx>
      <c:spPr>
        <a:noFill/>
        <a:ln>
          <a:noFill/>
        </a:ln>
        <a:effectLst/>
      </c:spPr>
    </c:plotArea>
    <c:legend>
      <c:legendPos val="b"/>
      <c:legendEntry>
        <c:idx val="0"/>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legendEntry>
      <c:legendEntry>
        <c:idx val="1"/>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legendEntry>
      <c:legendEntry>
        <c:idx val="2"/>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solidFill>
            <a:schemeClr val="tx1">
              <a:lumMod val="65000"/>
              <a:lumOff val="35000"/>
            </a:schemeClr>
          </a:solidFill>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doughnutChart>
        <c:varyColors val="1"/>
        <c:ser>
          <c:idx val="0"/>
          <c:order val="0"/>
          <c:tx>
            <c:strRef>
              <c:f>Sheet1!$B$1</c:f>
              <c:strCache>
                <c:ptCount val="1"/>
                <c:pt idx="0">
                  <c:v>总收入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财政拨款收入</c:v>
                </c:pt>
                <c:pt idx="1">
                  <c:v>其他收入</c:v>
                </c:pt>
              </c:strCache>
            </c:strRef>
          </c:cat>
          <c:val>
            <c:numRef>
              <c:f>Sheet1!$B$2:$B$5</c:f>
              <c:numCache>
                <c:formatCode>General</c:formatCode>
                <c:ptCount val="4"/>
                <c:pt idx="0">
                  <c:v>353.82</c:v>
                </c:pt>
                <c:pt idx="1">
                  <c:v>0</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forceAA="0"/>
          <a:lstStyle/>
          <a:p>
            <a:pPr defTabSz="914400">
              <a:defRPr lang="zh-CN" sz="1400" b="0" i="0" u="none" strike="noStrike" kern="1200" spc="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r>
              <a:t>支出</a:t>
            </a:r>
          </a:p>
        </c:rich>
      </c:tx>
      <c:layout/>
      <c:overlay val="0"/>
      <c:spPr>
        <a:noFill/>
        <a:ln>
          <a:noFill/>
        </a:ln>
        <a:effectLst/>
      </c:spPr>
    </c:title>
    <c:autoTitleDeleted val="0"/>
    <c:plotArea>
      <c:layout>
        <c:manualLayout>
          <c:layoutTarget val="inner"/>
          <c:xMode val="edge"/>
          <c:yMode val="edge"/>
          <c:x val="0.307682257643062"/>
          <c:y val="0.189707806367205"/>
          <c:w val="0.39482623464855"/>
          <c:h val="0.658962058438727"/>
        </c:manualLayout>
      </c:layout>
      <c:pieChart>
        <c:varyColors val="1"/>
        <c:ser>
          <c:idx val="0"/>
          <c:order val="0"/>
          <c:tx>
            <c:strRef>
              <c:f>Sheet1!$B$1</c:f>
              <c:strCache>
                <c:ptCount val="1"/>
                <c:pt idx="0">
                  <c:v>支出</c:v>
                </c:pt>
              </c:strCache>
            </c:strRef>
          </c:tx>
          <c:spPr>
            <a:effectLst>
              <a:innerShdw blurRad="63500" dist="50800" dir="16200000">
                <a:prstClr val="black">
                  <a:alpha val="50000"/>
                </a:prstClr>
              </a:innerShdw>
            </a:effectLst>
          </c:spPr>
          <c:explosion val="0"/>
          <c:dPt>
            <c:idx val="0"/>
            <c:bubble3D val="0"/>
            <c:spPr>
              <a:solidFill>
                <a:schemeClr val="accent1"/>
              </a:solidFill>
              <a:ln w="19050">
                <a:solidFill>
                  <a:schemeClr val="lt1"/>
                </a:solidFill>
              </a:ln>
              <a:effectLst>
                <a:innerShdw blurRad="63500" dist="50800" dir="16200000">
                  <a:prstClr val="black">
                    <a:alpha val="50000"/>
                  </a:prstClr>
                </a:innerShdw>
              </a:effectLst>
            </c:spPr>
          </c:dPt>
          <c:dPt>
            <c:idx val="1"/>
            <c:bubble3D val="0"/>
            <c:spPr>
              <a:solidFill>
                <a:schemeClr val="accent2"/>
              </a:solidFill>
              <a:ln w="19050">
                <a:solidFill>
                  <a:schemeClr val="lt1"/>
                </a:solidFill>
              </a:ln>
              <a:effectLst>
                <a:innerShdw blurRad="63500" dist="50800" dir="16200000">
                  <a:prstClr val="black">
                    <a:alpha val="50000"/>
                  </a:prstClr>
                </a:innerShdw>
              </a:effectLst>
            </c:spPr>
          </c:dPt>
          <c:dPt>
            <c:idx val="2"/>
            <c:bubble3D val="0"/>
            <c:spPr>
              <a:solidFill>
                <a:schemeClr val="accent3"/>
              </a:solidFill>
              <a:ln w="19050">
                <a:solidFill>
                  <a:schemeClr val="lt1"/>
                </a:solidFill>
              </a:ln>
              <a:effectLst>
                <a:innerShdw blurRad="63500" dist="50800" dir="16200000">
                  <a:prstClr val="black">
                    <a:alpha val="50000"/>
                  </a:prstClr>
                </a:innerShdw>
              </a:effectLst>
            </c:spPr>
          </c:dPt>
          <c:dPt>
            <c:idx val="3"/>
            <c:bubble3D val="0"/>
            <c:spPr>
              <a:solidFill>
                <a:schemeClr val="accent4"/>
              </a:solidFill>
              <a:ln w="19050">
                <a:solidFill>
                  <a:schemeClr val="lt1"/>
                </a:solidFill>
              </a:ln>
              <a:effectLst>
                <a:innerShdw blurRad="63500" dist="50800" dir="16200000">
                  <a:prstClr val="black">
                    <a:alpha val="50000"/>
                  </a:prstClr>
                </a:innerShdw>
              </a:effectLst>
            </c:spPr>
          </c:dPt>
          <c:dPt>
            <c:idx val="4"/>
            <c:bubble3D val="0"/>
            <c:spPr>
              <a:solidFill>
                <a:schemeClr val="accent5"/>
              </a:solidFill>
              <a:ln w="19050">
                <a:solidFill>
                  <a:schemeClr val="lt1"/>
                </a:solidFill>
              </a:ln>
              <a:effectLst>
                <a:innerShdw blurRad="63500" dist="50800" dir="16200000">
                  <a:prstClr val="black">
                    <a:alpha val="50000"/>
                  </a:prstClr>
                </a:innerShdw>
              </a:effectLst>
            </c:spPr>
          </c:dPt>
          <c:dLbls>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rgbClr val="030540"/>
                    </a:solidFill>
                    <a:latin typeface="Arial" panose="020B0604020202020204" pitchFamily="7" charset="0"/>
                    <a:ea typeface="+mn-ea"/>
                    <a:cs typeface="Arial" panose="020B0604020202020204" pitchFamily="7" charset="0"/>
                  </a:defRPr>
                </a:pPr>
              </a:p>
            </c:txPr>
            <c:dLblPos val="in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一般公共服务支出</c:v>
                </c:pt>
                <c:pt idx="1">
                  <c:v>农林水支出</c:v>
                </c:pt>
                <c:pt idx="2">
                  <c:v>社会保障和就业支出</c:v>
                </c:pt>
                <c:pt idx="3">
                  <c:v>卫生健康支出</c:v>
                </c:pt>
                <c:pt idx="4">
                  <c:v>住房保障支出</c:v>
                </c:pt>
              </c:strCache>
            </c:strRef>
          </c:cat>
          <c:val>
            <c:numRef>
              <c:f>Sheet1!$B$2:$B$6</c:f>
              <c:numCache>
                <c:formatCode>General</c:formatCode>
                <c:ptCount val="5"/>
                <c:pt idx="0">
                  <c:v>303.33</c:v>
                </c:pt>
                <c:pt idx="1">
                  <c:v>10</c:v>
                </c:pt>
                <c:pt idx="2">
                  <c:v>28.24</c:v>
                </c:pt>
                <c:pt idx="3">
                  <c:v>8.26</c:v>
                </c:pt>
                <c:pt idx="4">
                  <c:v>19.93</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p>
      </c:txPr>
    </c:legend>
    <c:plotVisOnly val="1"/>
    <c:dispBlanksAs val="gap"/>
    <c:showDLblsOverMax val="0"/>
  </c:chart>
  <c:spPr>
    <a:blipFill>
      <a:blip xmlns:r="http://schemas.openxmlformats.org/officeDocument/2006/relationships" r:embed="rId2"/>
      <a:stretch>
        <a:fillRect/>
      </a:stretch>
    </a:blipFill>
    <a:ln w="9525" cap="flat" cmpd="sng" algn="ctr">
      <a:noFill/>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forceAA="0"/>
          <a:lstStyle/>
          <a:p>
            <a:pPr defTabSz="914400">
              <a:defRPr lang="zh-CN" sz="1400" b="0" i="0" u="none" strike="noStrike" kern="1200" spc="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r>
              <a:t>一般公共预算财政拨款支出</a:t>
            </a:r>
          </a:p>
        </c:rich>
      </c:tx>
      <c:layout/>
      <c:overlay val="0"/>
      <c:spPr>
        <a:noFill/>
        <a:ln>
          <a:noFill/>
        </a:ln>
        <a:effectLst/>
      </c:spPr>
    </c:title>
    <c:autoTitleDeleted val="0"/>
    <c:plotArea>
      <c:layout>
        <c:manualLayout>
          <c:layoutTarget val="inner"/>
          <c:xMode val="edge"/>
          <c:yMode val="edge"/>
          <c:x val="0.307682257643062"/>
          <c:y val="0.189707806367205"/>
          <c:w val="0.39482623464855"/>
          <c:h val="0.658962058438727"/>
        </c:manualLayout>
      </c:layout>
      <c:pieChart>
        <c:varyColors val="1"/>
        <c:ser>
          <c:idx val="0"/>
          <c:order val="0"/>
          <c:tx>
            <c:strRef>
              <c:f>Sheet1!$B$1</c:f>
              <c:strCache>
                <c:ptCount val="1"/>
                <c:pt idx="0">
                  <c:v>支出</c:v>
                </c:pt>
              </c:strCache>
            </c:strRef>
          </c:tx>
          <c:spPr>
            <a:effectLst>
              <a:innerShdw blurRad="63500" dist="50800" dir="16200000">
                <a:prstClr val="black">
                  <a:alpha val="50000"/>
                </a:prstClr>
              </a:innerShdw>
            </a:effectLst>
          </c:spPr>
          <c:explosion val="0"/>
          <c:dPt>
            <c:idx val="0"/>
            <c:bubble3D val="0"/>
            <c:spPr>
              <a:solidFill>
                <a:schemeClr val="accent1"/>
              </a:solidFill>
              <a:ln w="19050">
                <a:solidFill>
                  <a:schemeClr val="lt1"/>
                </a:solidFill>
              </a:ln>
              <a:effectLst>
                <a:innerShdw blurRad="63500" dist="50800" dir="16200000">
                  <a:prstClr val="black">
                    <a:alpha val="50000"/>
                  </a:prstClr>
                </a:innerShdw>
              </a:effectLst>
            </c:spPr>
          </c:dPt>
          <c:dPt>
            <c:idx val="1"/>
            <c:bubble3D val="0"/>
            <c:spPr>
              <a:solidFill>
                <a:schemeClr val="accent2"/>
              </a:solidFill>
              <a:ln w="19050">
                <a:solidFill>
                  <a:schemeClr val="lt1"/>
                </a:solidFill>
              </a:ln>
              <a:effectLst>
                <a:innerShdw blurRad="63500" dist="50800" dir="16200000">
                  <a:prstClr val="black">
                    <a:alpha val="50000"/>
                  </a:prstClr>
                </a:innerShdw>
              </a:effectLst>
            </c:spPr>
          </c:dPt>
          <c:dPt>
            <c:idx val="2"/>
            <c:bubble3D val="0"/>
            <c:spPr>
              <a:solidFill>
                <a:schemeClr val="accent3"/>
              </a:solidFill>
              <a:ln w="19050">
                <a:solidFill>
                  <a:schemeClr val="lt1"/>
                </a:solidFill>
              </a:ln>
              <a:effectLst>
                <a:innerShdw blurRad="63500" dist="50800" dir="16200000">
                  <a:prstClr val="black">
                    <a:alpha val="50000"/>
                  </a:prstClr>
                </a:innerShdw>
              </a:effectLst>
            </c:spPr>
          </c:dPt>
          <c:dPt>
            <c:idx val="3"/>
            <c:bubble3D val="0"/>
            <c:spPr>
              <a:solidFill>
                <a:schemeClr val="accent4"/>
              </a:solidFill>
              <a:ln w="19050">
                <a:solidFill>
                  <a:schemeClr val="lt1"/>
                </a:solidFill>
              </a:ln>
              <a:effectLst>
                <a:innerShdw blurRad="63500" dist="50800" dir="16200000">
                  <a:prstClr val="black">
                    <a:alpha val="50000"/>
                  </a:prstClr>
                </a:innerShdw>
              </a:effectLst>
            </c:spPr>
          </c:dPt>
          <c:dPt>
            <c:idx val="4"/>
            <c:bubble3D val="0"/>
            <c:spPr>
              <a:solidFill>
                <a:schemeClr val="accent5"/>
              </a:solidFill>
              <a:ln w="19050">
                <a:solidFill>
                  <a:schemeClr val="lt1"/>
                </a:solidFill>
              </a:ln>
              <a:effectLst>
                <a:innerShdw blurRad="63500" dist="50800" dir="16200000">
                  <a:prstClr val="black">
                    <a:alpha val="50000"/>
                  </a:prstClr>
                </a:innerShdw>
              </a:effectLst>
            </c:spPr>
          </c:dPt>
          <c:dLbls>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rgbClr val="030540"/>
                    </a:solidFill>
                    <a:latin typeface="Arial" panose="020B0604020202020204" pitchFamily="7" charset="0"/>
                    <a:ea typeface="+mn-ea"/>
                    <a:cs typeface="Arial" panose="020B0604020202020204" pitchFamily="7" charset="0"/>
                  </a:defRPr>
                </a:pPr>
              </a:p>
            </c:txPr>
            <c:dLblPos val="inEnd"/>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一般公共服务支出</c:v>
                </c:pt>
                <c:pt idx="1">
                  <c:v>农林水支出</c:v>
                </c:pt>
                <c:pt idx="2">
                  <c:v>社会保障和就业支出</c:v>
                </c:pt>
                <c:pt idx="3">
                  <c:v>卫生健康支出</c:v>
                </c:pt>
                <c:pt idx="4">
                  <c:v>住房保障支出</c:v>
                </c:pt>
              </c:strCache>
            </c:strRef>
          </c:cat>
          <c:val>
            <c:numRef>
              <c:f>Sheet1!$B$2:$B$6</c:f>
              <c:numCache>
                <c:formatCode>General</c:formatCode>
                <c:ptCount val="5"/>
                <c:pt idx="0">
                  <c:v>303.33</c:v>
                </c:pt>
                <c:pt idx="1">
                  <c:v>10</c:v>
                </c:pt>
                <c:pt idx="2">
                  <c:v>28.24</c:v>
                </c:pt>
                <c:pt idx="3">
                  <c:v>8.26</c:v>
                </c:pt>
                <c:pt idx="4">
                  <c:v>19.93</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75000"/>
                  <a:lumOff val="25000"/>
                </a:schemeClr>
              </a:solidFill>
              <a:latin typeface="微软雅黑" panose="020B0503020204020204" pitchFamily="34" charset="-122"/>
              <a:ea typeface="微软雅黑" panose="020B0503020204020204" pitchFamily="34" charset="-122"/>
              <a:cs typeface="+mn-cs"/>
            </a:defRPr>
          </a:pPr>
        </a:p>
      </c:txPr>
    </c:legend>
    <c:plotVisOnly val="1"/>
    <c:dispBlanksAs val="gap"/>
    <c:showDLblsOverMax val="0"/>
  </c:chart>
  <c:spPr>
    <a:blipFill>
      <a:blip xmlns:r="http://schemas.openxmlformats.org/officeDocument/2006/relationships" r:embed="rId2"/>
      <a:stretch>
        <a:fillRect/>
      </a:stretch>
    </a:blipFill>
    <a:ln w="9525" cap="flat" cmpd="sng" algn="ctr">
      <a:noFill/>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60D7E7-5977-410F-AEFE-9CAC29E9F735}">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20</Pages>
  <Words>6788</Words>
  <Characters>2468</Characters>
  <Lines>20</Lines>
  <Paragraphs>18</Paragraphs>
  <TotalTime>15</TotalTime>
  <ScaleCrop>false</ScaleCrop>
  <LinksUpToDate>false</LinksUpToDate>
  <CharactersWithSpaces>9238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2020-10-15T09:15:00Z</dcterms:created>
  <dc:creator>曹颖</dc:creator>
  <cp:lastModifiedBy>彬</cp:lastModifiedBy>
  <cp:lastPrinted>2020-10-19T03:13:00Z</cp:lastPrinted>
  <dcterms:modified xsi:type="dcterms:W3CDTF">2020-10-23T08:12:34Z</dcterms:modified>
  <dc:title>四川省***</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