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jc w:val="center"/>
        <w:rPr>
          <w:rFonts w:ascii="黑体" w:hAnsi="黑体" w:eastAsia="黑体" w:cs="黑体"/>
          <w:sz w:val="52"/>
          <w:szCs w:val="52"/>
        </w:rPr>
      </w:pPr>
      <w:r>
        <w:rPr>
          <w:rFonts w:hint="eastAsia" w:ascii="黑体" w:hAnsi="黑体" w:eastAsia="黑体" w:cs="黑体"/>
          <w:sz w:val="52"/>
          <w:szCs w:val="52"/>
        </w:rPr>
        <w:t>壤塘县藏洼寺寺庙管理委员会</w:t>
      </w:r>
    </w:p>
    <w:p>
      <w:pPr>
        <w:jc w:val="center"/>
        <w:rPr>
          <w:rFonts w:ascii="黑体" w:hAnsi="黑体" w:eastAsia="黑体" w:cs="Times New Roman"/>
          <w:sz w:val="72"/>
          <w:szCs w:val="72"/>
        </w:rPr>
      </w:pPr>
      <w:r>
        <w:rPr>
          <w:rFonts w:ascii="黑体" w:hAnsi="黑体" w:eastAsia="黑体" w:cs="黑体"/>
          <w:sz w:val="72"/>
          <w:szCs w:val="72"/>
        </w:rPr>
        <w:t>202</w:t>
      </w:r>
      <w:r>
        <w:rPr>
          <w:rFonts w:hint="eastAsia" w:ascii="黑体" w:hAnsi="黑体" w:eastAsia="黑体" w:cs="黑体"/>
          <w:sz w:val="72"/>
          <w:szCs w:val="72"/>
          <w:lang w:val="en-US" w:eastAsia="zh-CN"/>
        </w:rPr>
        <w:t>2</w:t>
      </w:r>
      <w:r>
        <w:rPr>
          <w:rFonts w:ascii="黑体" w:hAnsi="黑体" w:eastAsia="黑体" w:cs="黑体"/>
          <w:sz w:val="72"/>
          <w:szCs w:val="72"/>
        </w:rPr>
        <w:t>年</w:t>
      </w:r>
      <w:r>
        <w:rPr>
          <w:rFonts w:hint="eastAsia" w:ascii="黑体" w:hAnsi="黑体" w:eastAsia="黑体" w:cs="黑体"/>
          <w:sz w:val="72"/>
          <w:szCs w:val="72"/>
        </w:rPr>
        <w:t>部门预算</w:t>
      </w: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52"/>
          <w:szCs w:val="52"/>
        </w:rPr>
      </w:pPr>
      <w:r>
        <w:rPr>
          <w:rFonts w:hint="eastAsia" w:ascii="黑体" w:hAnsi="黑体" w:eastAsia="黑体" w:cs="黑体"/>
          <w:sz w:val="52"/>
          <w:szCs w:val="52"/>
        </w:rPr>
        <w:t>202</w:t>
      </w:r>
      <w:r>
        <w:rPr>
          <w:rFonts w:hint="eastAsia" w:ascii="黑体" w:hAnsi="黑体" w:eastAsia="黑体" w:cs="黑体"/>
          <w:sz w:val="52"/>
          <w:szCs w:val="52"/>
          <w:lang w:val="en-US" w:eastAsia="zh-CN"/>
        </w:rPr>
        <w:t>2</w:t>
      </w:r>
      <w:r>
        <w:rPr>
          <w:rFonts w:hint="eastAsia" w:ascii="黑体" w:hAnsi="黑体" w:eastAsia="黑体" w:cs="黑体"/>
          <w:sz w:val="52"/>
          <w:szCs w:val="52"/>
        </w:rPr>
        <w:t>年</w:t>
      </w:r>
      <w:r>
        <w:rPr>
          <w:rFonts w:hint="eastAsia" w:ascii="黑体" w:hAnsi="黑体" w:eastAsia="黑体" w:cs="黑体"/>
          <w:sz w:val="52"/>
          <w:szCs w:val="52"/>
          <w:lang w:val="en-US" w:eastAsia="zh-CN"/>
        </w:rPr>
        <w:t>1</w:t>
      </w:r>
      <w:r>
        <w:rPr>
          <w:rFonts w:hint="eastAsia" w:ascii="黑体" w:hAnsi="黑体" w:eastAsia="黑体" w:cs="黑体"/>
          <w:sz w:val="52"/>
          <w:szCs w:val="52"/>
        </w:rPr>
        <w:t>月</w:t>
      </w:r>
      <w:r>
        <w:rPr>
          <w:rFonts w:hint="eastAsia" w:ascii="黑体" w:hAnsi="黑体" w:eastAsia="黑体" w:cs="黑体"/>
          <w:sz w:val="52"/>
          <w:szCs w:val="52"/>
          <w:lang w:val="en-US" w:eastAsia="zh-CN"/>
        </w:rPr>
        <w:t>20</w:t>
      </w:r>
      <w:r>
        <w:rPr>
          <w:rFonts w:hint="eastAsia" w:ascii="黑体" w:hAnsi="黑体" w:eastAsia="黑体" w:cs="黑体"/>
          <w:sz w:val="52"/>
          <w:szCs w:val="52"/>
        </w:rPr>
        <w:t>日</w:t>
      </w:r>
    </w:p>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ind w:firstLine="3120" w:firstLineChars="600"/>
        <w:rPr>
          <w:rFonts w:ascii="黑体" w:hAnsi="黑体" w:eastAsia="黑体" w:cs="Times New Roman"/>
          <w:sz w:val="52"/>
          <w:szCs w:val="52"/>
        </w:rPr>
      </w:pPr>
      <w:r>
        <w:rPr>
          <w:rFonts w:hint="eastAsia" w:ascii="黑体" w:hAnsi="黑体" w:eastAsia="黑体" w:cs="黑体"/>
          <w:sz w:val="52"/>
          <w:szCs w:val="52"/>
        </w:rPr>
        <w:t>目</w:t>
      </w:r>
      <w:r>
        <w:rPr>
          <w:rFonts w:ascii="黑体" w:hAnsi="黑体" w:eastAsia="黑体" w:cs="黑体"/>
          <w:sz w:val="52"/>
          <w:szCs w:val="52"/>
        </w:rPr>
        <w:t xml:space="preserve"> </w:t>
      </w:r>
      <w:r>
        <w:rPr>
          <w:rFonts w:hint="eastAsia" w:ascii="黑体" w:hAnsi="黑体" w:eastAsia="黑体" w:cs="黑体"/>
          <w:sz w:val="52"/>
          <w:szCs w:val="52"/>
        </w:rPr>
        <w:t>录</w:t>
      </w:r>
    </w:p>
    <w:p>
      <w:pPr>
        <w:ind w:firstLine="3080" w:firstLineChars="700"/>
        <w:rPr>
          <w:rFonts w:ascii="黑体" w:hAnsi="黑体" w:eastAsia="黑体" w:cs="Times New Roman"/>
          <w:sz w:val="44"/>
          <w:szCs w:val="44"/>
        </w:rPr>
      </w:pPr>
    </w:p>
    <w:p>
      <w:pPr>
        <w:pStyle w:val="16"/>
        <w:numPr>
          <w:ilvl w:val="0"/>
          <w:numId w:val="1"/>
        </w:numPr>
        <w:ind w:firstLineChars="0"/>
        <w:rPr>
          <w:rFonts w:ascii="黑体" w:hAnsi="黑体" w:eastAsia="黑体" w:cs="Times New Roman"/>
          <w:sz w:val="32"/>
          <w:szCs w:val="32"/>
        </w:rPr>
      </w:pPr>
      <w:r>
        <w:rPr>
          <w:rFonts w:hint="eastAsia" w:ascii="黑体" w:hAnsi="黑体" w:eastAsia="黑体" w:cs="黑体"/>
          <w:sz w:val="32"/>
          <w:szCs w:val="32"/>
        </w:rPr>
        <w:t>基本职能及主要工作</w:t>
      </w:r>
    </w:p>
    <w:p>
      <w:pPr>
        <w:rPr>
          <w:rFonts w:ascii="仿宋_GB2312" w:hAnsi="黑体" w:eastAsia="仿宋_GB2312" w:cs="Times New Roman"/>
          <w:sz w:val="32"/>
          <w:szCs w:val="32"/>
        </w:rPr>
      </w:pPr>
      <w:r>
        <w:rPr>
          <w:rFonts w:hint="eastAsia" w:ascii="仿宋_GB2312" w:hAnsi="黑体" w:eastAsia="仿宋_GB2312" w:cs="仿宋_GB2312"/>
          <w:sz w:val="32"/>
          <w:szCs w:val="32"/>
        </w:rPr>
        <w:t>（一）部门职能简介</w:t>
      </w:r>
    </w:p>
    <w:p>
      <w:pPr>
        <w:rPr>
          <w:rFonts w:ascii="仿宋_GB2312" w:hAnsi="黑体" w:eastAsia="仿宋_GB2312" w:cs="Times New Roman"/>
          <w:sz w:val="32"/>
          <w:szCs w:val="32"/>
        </w:rPr>
      </w:pPr>
      <w:r>
        <w:rPr>
          <w:rFonts w:hint="eastAsia" w:ascii="仿宋_GB2312" w:hAnsi="黑体" w:eastAsia="仿宋_GB2312" w:cs="仿宋_GB2312"/>
          <w:sz w:val="32"/>
          <w:szCs w:val="32"/>
        </w:rPr>
        <w:t>（二）</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2</w:t>
      </w:r>
      <w:r>
        <w:rPr>
          <w:rFonts w:ascii="仿宋_GB2312" w:hAnsi="黑体" w:eastAsia="仿宋_GB2312" w:cs="仿宋_GB2312"/>
          <w:sz w:val="32"/>
          <w:szCs w:val="32"/>
        </w:rPr>
        <w:t>年</w:t>
      </w:r>
      <w:r>
        <w:rPr>
          <w:rFonts w:hint="eastAsia" w:ascii="仿宋_GB2312" w:hAnsi="黑体" w:eastAsia="仿宋_GB2312" w:cs="仿宋_GB2312"/>
          <w:sz w:val="32"/>
          <w:szCs w:val="32"/>
        </w:rPr>
        <w:t>重点工作</w:t>
      </w:r>
    </w:p>
    <w:p>
      <w:pPr>
        <w:rPr>
          <w:rFonts w:ascii="黑体" w:hAnsi="黑体" w:eastAsia="黑体" w:cs="Times New Roman"/>
          <w:sz w:val="32"/>
          <w:szCs w:val="32"/>
        </w:rPr>
      </w:pPr>
      <w:r>
        <w:rPr>
          <w:rFonts w:hint="eastAsia" w:ascii="黑体" w:hAnsi="黑体" w:eastAsia="黑体" w:cs="黑体"/>
          <w:sz w:val="32"/>
          <w:szCs w:val="32"/>
        </w:rPr>
        <w:t>二、部门预算单位构成</w:t>
      </w:r>
    </w:p>
    <w:p>
      <w:pPr>
        <w:rPr>
          <w:rFonts w:ascii="黑体" w:hAnsi="黑体" w:eastAsia="黑体" w:cs="Times New Roman"/>
          <w:sz w:val="32"/>
          <w:szCs w:val="32"/>
        </w:rPr>
      </w:pPr>
      <w:r>
        <w:rPr>
          <w:rFonts w:hint="eastAsia" w:ascii="黑体" w:hAnsi="黑体" w:eastAsia="黑体" w:cs="黑体"/>
          <w:sz w:val="32"/>
          <w:szCs w:val="32"/>
        </w:rPr>
        <w:t>三、收支预算情况说明</w:t>
      </w:r>
    </w:p>
    <w:p>
      <w:pPr>
        <w:rPr>
          <w:rFonts w:ascii="仿宋_GB2312" w:hAnsi="黑体" w:eastAsia="仿宋_GB2312" w:cs="Times New Roman"/>
          <w:sz w:val="32"/>
          <w:szCs w:val="32"/>
        </w:rPr>
      </w:pPr>
      <w:r>
        <w:rPr>
          <w:rFonts w:hint="eastAsia" w:ascii="黑体" w:hAnsi="黑体" w:eastAsia="黑体" w:cs="黑体"/>
          <w:sz w:val="32"/>
          <w:szCs w:val="32"/>
        </w:rPr>
        <w:t>（</w:t>
      </w:r>
      <w:r>
        <w:rPr>
          <w:rFonts w:hint="eastAsia" w:ascii="仿宋_GB2312" w:hAnsi="黑体" w:eastAsia="仿宋_GB2312" w:cs="仿宋_GB2312"/>
          <w:sz w:val="32"/>
          <w:szCs w:val="32"/>
        </w:rPr>
        <w:t>一）收入预算情况</w:t>
      </w:r>
    </w:p>
    <w:p>
      <w:pPr>
        <w:rPr>
          <w:rFonts w:ascii="仿宋_GB2312" w:hAnsi="黑体" w:eastAsia="仿宋_GB2312" w:cs="Times New Roman"/>
          <w:sz w:val="32"/>
          <w:szCs w:val="32"/>
        </w:rPr>
      </w:pPr>
      <w:r>
        <w:rPr>
          <w:rFonts w:hint="eastAsia" w:ascii="仿宋_GB2312" w:hAnsi="黑体" w:eastAsia="仿宋_GB2312" w:cs="仿宋_GB2312"/>
          <w:sz w:val="32"/>
          <w:szCs w:val="32"/>
        </w:rPr>
        <w:t>（二）支出预算情况</w:t>
      </w:r>
    </w:p>
    <w:p>
      <w:pPr>
        <w:rPr>
          <w:rFonts w:ascii="黑体" w:hAnsi="黑体" w:eastAsia="黑体" w:cs="Times New Roman"/>
          <w:sz w:val="32"/>
          <w:szCs w:val="32"/>
        </w:rPr>
      </w:pPr>
      <w:r>
        <w:rPr>
          <w:rFonts w:hint="eastAsia" w:ascii="黑体" w:hAnsi="黑体" w:eastAsia="黑体" w:cs="黑体"/>
          <w:sz w:val="32"/>
          <w:szCs w:val="32"/>
        </w:rPr>
        <w:t>四、财政拨款收支预算情况说明</w:t>
      </w:r>
    </w:p>
    <w:p>
      <w:pPr>
        <w:rPr>
          <w:rFonts w:ascii="黑体" w:hAnsi="黑体" w:eastAsia="黑体" w:cs="Times New Roman"/>
          <w:sz w:val="32"/>
          <w:szCs w:val="32"/>
        </w:rPr>
      </w:pPr>
      <w:r>
        <w:rPr>
          <w:rFonts w:hint="eastAsia" w:ascii="黑体" w:hAnsi="黑体" w:eastAsia="黑体" w:cs="黑体"/>
          <w:sz w:val="32"/>
          <w:szCs w:val="32"/>
        </w:rPr>
        <w:t>五、一般公共预算当年拨款情况说明</w:t>
      </w:r>
    </w:p>
    <w:p>
      <w:pPr>
        <w:rPr>
          <w:rFonts w:ascii="仿宋_GB2312" w:hAnsi="黑体" w:eastAsia="仿宋_GB2312" w:cs="仿宋_GB2312"/>
          <w:sz w:val="32"/>
          <w:szCs w:val="32"/>
        </w:rPr>
      </w:pPr>
      <w:r>
        <w:rPr>
          <w:rFonts w:hint="eastAsia" w:ascii="仿宋_GB2312" w:hAnsi="黑体" w:eastAsia="仿宋_GB2312" w:cs="仿宋_GB2312"/>
          <w:sz w:val="32"/>
          <w:szCs w:val="32"/>
        </w:rPr>
        <w:t>（一）一般公共预算当年拨款规模变化情况</w:t>
      </w:r>
    </w:p>
    <w:p>
      <w:pPr>
        <w:rPr>
          <w:rFonts w:ascii="仿宋_GB2312" w:hAnsi="黑体" w:eastAsia="仿宋_GB2312" w:cs="仿宋_GB2312"/>
          <w:sz w:val="32"/>
          <w:szCs w:val="32"/>
        </w:rPr>
      </w:pPr>
      <w:r>
        <w:rPr>
          <w:rFonts w:hint="eastAsia" w:ascii="仿宋_GB2312" w:hAnsi="黑体" w:eastAsia="仿宋_GB2312" w:cs="仿宋_GB2312"/>
          <w:sz w:val="32"/>
          <w:szCs w:val="32"/>
        </w:rPr>
        <w:t>（二）一般公共预算当年拨款结构情况</w:t>
      </w:r>
    </w:p>
    <w:p>
      <w:pPr>
        <w:rPr>
          <w:rFonts w:ascii="仿宋_GB2312" w:hAnsi="黑体" w:eastAsia="仿宋_GB2312" w:cs="仿宋_GB2312"/>
          <w:sz w:val="32"/>
          <w:szCs w:val="32"/>
        </w:rPr>
      </w:pPr>
      <w:r>
        <w:rPr>
          <w:rFonts w:hint="eastAsia" w:ascii="仿宋_GB2312" w:hAnsi="黑体" w:eastAsia="仿宋_GB2312" w:cs="仿宋_GB2312"/>
          <w:sz w:val="32"/>
          <w:szCs w:val="32"/>
        </w:rPr>
        <w:t>（三）一般公共预算当年拨款具体使用情况</w:t>
      </w:r>
    </w:p>
    <w:p>
      <w:pPr>
        <w:rPr>
          <w:rFonts w:ascii="黑体" w:hAnsi="黑体" w:eastAsia="黑体" w:cs="黑体"/>
          <w:sz w:val="32"/>
          <w:szCs w:val="32"/>
        </w:rPr>
      </w:pPr>
      <w:r>
        <w:rPr>
          <w:rFonts w:hint="eastAsia" w:ascii="黑体" w:hAnsi="黑体" w:eastAsia="黑体" w:cs="黑体"/>
          <w:sz w:val="32"/>
          <w:szCs w:val="32"/>
        </w:rPr>
        <w:t>六、一般公共预算基本支出情况说明</w:t>
      </w:r>
    </w:p>
    <w:p>
      <w:pPr>
        <w:rPr>
          <w:rFonts w:ascii="黑体" w:hAnsi="黑体" w:eastAsia="黑体" w:cs="黑体"/>
          <w:sz w:val="32"/>
          <w:szCs w:val="32"/>
        </w:rPr>
      </w:pPr>
      <w:r>
        <w:rPr>
          <w:rFonts w:hint="eastAsia" w:ascii="黑体" w:hAnsi="黑体" w:eastAsia="黑体" w:cs="黑体"/>
          <w:sz w:val="32"/>
          <w:szCs w:val="32"/>
        </w:rPr>
        <w:t>七、“三公”经费财政拨款预算安排情况说明</w:t>
      </w:r>
    </w:p>
    <w:p>
      <w:pPr>
        <w:rPr>
          <w:rFonts w:ascii="黑体" w:hAnsi="黑体" w:eastAsia="黑体" w:cs="黑体"/>
          <w:sz w:val="32"/>
          <w:szCs w:val="32"/>
        </w:rPr>
      </w:pPr>
      <w:r>
        <w:rPr>
          <w:rFonts w:hint="eastAsia" w:ascii="黑体" w:hAnsi="黑体" w:eastAsia="黑体" w:cs="黑体"/>
          <w:sz w:val="32"/>
          <w:szCs w:val="32"/>
        </w:rPr>
        <w:t>八、政府性基金预算支出情况说明</w:t>
      </w:r>
    </w:p>
    <w:p>
      <w:pPr>
        <w:rPr>
          <w:rFonts w:ascii="黑体" w:hAnsi="黑体" w:eastAsia="黑体" w:cs="黑体"/>
          <w:sz w:val="32"/>
          <w:szCs w:val="32"/>
        </w:rPr>
      </w:pPr>
      <w:r>
        <w:rPr>
          <w:rFonts w:hint="eastAsia" w:ascii="黑体" w:hAnsi="黑体" w:eastAsia="黑体" w:cs="黑体"/>
          <w:sz w:val="32"/>
          <w:szCs w:val="32"/>
        </w:rPr>
        <w:t>九、其他重要事项的情况说明</w:t>
      </w:r>
    </w:p>
    <w:p>
      <w:pPr>
        <w:rPr>
          <w:rFonts w:ascii="黑体" w:hAnsi="黑体" w:eastAsia="黑体" w:cs="Times New Roman"/>
          <w:sz w:val="32"/>
          <w:szCs w:val="32"/>
        </w:rPr>
      </w:pPr>
      <w:r>
        <w:rPr>
          <w:rFonts w:hint="eastAsia" w:ascii="黑体" w:hAnsi="黑体" w:eastAsia="黑体" w:cs="黑体"/>
          <w:sz w:val="32"/>
          <w:szCs w:val="32"/>
        </w:rPr>
        <w:t>十、名称解释</w:t>
      </w:r>
    </w:p>
    <w:p>
      <w:pPr>
        <w:rPr>
          <w:rFonts w:ascii="黑体" w:hAnsi="黑体" w:eastAsia="黑体" w:cs="Times New Roman"/>
          <w:sz w:val="32"/>
          <w:szCs w:val="32"/>
        </w:rPr>
      </w:pPr>
    </w:p>
    <w:p>
      <w:pPr>
        <w:widowControl/>
        <w:shd w:val="clear" w:color="auto" w:fill="FFFFFF"/>
        <w:spacing w:before="100" w:beforeAutospacing="1" w:after="100" w:afterAutospacing="1" w:line="290" w:lineRule="atLeast"/>
        <w:ind w:right="300"/>
        <w:jc w:val="left"/>
        <w:rPr>
          <w:rFonts w:ascii="??" w:hAnsi="??" w:cs="??"/>
          <w:kern w:val="0"/>
          <w:sz w:val="12"/>
          <w:szCs w:val="12"/>
        </w:rPr>
      </w:pPr>
    </w:p>
    <w:p>
      <w:pPr>
        <w:pStyle w:val="14"/>
        <w:spacing w:before="0" w:line="360" w:lineRule="auto"/>
        <w:ind w:firstLine="627" w:firstLineChars="196"/>
        <w:rPr>
          <w:rFonts w:ascii="楷体_GB2312" w:hAnsi="黑体" w:eastAsia="楷体_GB2312" w:cs="楷体_GB2312"/>
          <w:b/>
          <w:bCs/>
          <w:kern w:val="2"/>
          <w:sz w:val="32"/>
          <w:szCs w:val="32"/>
        </w:rPr>
      </w:pPr>
      <w:r>
        <w:rPr>
          <w:rFonts w:hint="eastAsia" w:ascii="黑体" w:hAnsi="黑体" w:eastAsia="黑体" w:cs="黑体"/>
          <w:kern w:val="2"/>
          <w:sz w:val="32"/>
          <w:szCs w:val="32"/>
        </w:rPr>
        <w:t>一、基本职能及主要工作</w:t>
      </w:r>
      <w:r>
        <w:rPr>
          <w:rFonts w:ascii="??" w:hAnsi="??" w:eastAsia="宋体" w:cs="Times New Roman"/>
          <w:sz w:val="16"/>
          <w:szCs w:val="16"/>
        </w:rPr>
        <w:br w:type="textWrapping"/>
      </w:r>
      <w:r>
        <w:rPr>
          <w:rFonts w:hint="eastAsia" w:ascii="??" w:hAnsi="??" w:eastAsia="宋体" w:cs="宋体"/>
          <w:sz w:val="16"/>
          <w:szCs w:val="16"/>
        </w:rPr>
        <w:t>　　</w:t>
      </w:r>
      <w:r>
        <w:rPr>
          <w:rFonts w:ascii="??" w:hAnsi="??" w:eastAsia="宋体" w:cs="??"/>
          <w:sz w:val="16"/>
          <w:szCs w:val="16"/>
        </w:rPr>
        <w:t xml:space="preserve">    </w:t>
      </w:r>
      <w:r>
        <w:rPr>
          <w:rFonts w:hint="eastAsia" w:ascii="楷体_GB2312" w:hAnsi="黑体" w:eastAsia="楷体_GB2312" w:cs="楷体_GB2312"/>
          <w:b/>
          <w:bCs/>
          <w:kern w:val="2"/>
          <w:sz w:val="32"/>
          <w:szCs w:val="32"/>
        </w:rPr>
        <w:t>（一）壤塘县藏洼寺寺庙管理委员会职能简介</w:t>
      </w:r>
    </w:p>
    <w:p>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共阿坝州委、阿坝州人民政府批准的关于设立各县寺庙管理委员会及乡镇寺管所的相关文件设立壤塘县藏洼寺寺庙管理委员会，为县人民政府工作部门。主要职责是：认真贯彻落实党的宗教工作方针政策和国家、省、州宗教事务法律法规条例,依法开展宗教事务管理工作,落实上级宗教工作决策部署,加强对所在乡、村(社区)宗教人士、宗教活动、宗教场所、信教群众的教育管理服务,充分发挥宗教人士的作用,做好信教群众工作,确保宗教活动依法依规规范有序,促进宗教与社会主义社会相适应。</w:t>
      </w:r>
    </w:p>
    <w:p>
      <w:pPr>
        <w:pStyle w:val="14"/>
        <w:spacing w:before="0" w:line="360" w:lineRule="auto"/>
        <w:ind w:firstLine="630" w:firstLineChars="196"/>
        <w:rPr>
          <w:rFonts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（二）壤塘县藏洼寺寺庙管理委员会</w:t>
      </w:r>
      <w:r>
        <w:rPr>
          <w:rFonts w:ascii="楷体_GB2312" w:hAnsi="黑体" w:eastAsia="楷体_GB2312" w:cs="楷体_GB2312"/>
          <w:b/>
          <w:bCs/>
          <w:kern w:val="2"/>
          <w:sz w:val="32"/>
          <w:szCs w:val="32"/>
        </w:rPr>
        <w:t>20</w:t>
      </w:r>
      <w:r>
        <w:rPr>
          <w:rFonts w:hint="eastAsia" w:ascii="楷体_GB2312" w:hAnsi="黑体" w:eastAsia="楷体_GB2312" w:cs="楷体_GB2312"/>
          <w:b/>
          <w:bCs/>
          <w:kern w:val="2"/>
          <w:sz w:val="32"/>
          <w:szCs w:val="32"/>
        </w:rPr>
        <w:t>2</w:t>
      </w:r>
      <w:r>
        <w:rPr>
          <w:rFonts w:hint="eastAsia" w:ascii="楷体_GB2312" w:hAnsi="黑体" w:eastAsia="楷体_GB2312" w:cs="楷体_GB2312"/>
          <w:b/>
          <w:bCs/>
          <w:kern w:val="2"/>
          <w:sz w:val="32"/>
          <w:szCs w:val="32"/>
          <w:lang w:val="en-US" w:eastAsia="zh-CN"/>
        </w:rPr>
        <w:t>2</w:t>
      </w:r>
      <w:r>
        <w:rPr>
          <w:rFonts w:ascii="楷体_GB2312" w:hAnsi="黑体" w:eastAsia="楷体_GB2312" w:cs="楷体_GB2312"/>
          <w:b/>
          <w:bCs/>
          <w:kern w:val="2"/>
          <w:sz w:val="32"/>
          <w:szCs w:val="32"/>
        </w:rPr>
        <w:t>年</w:t>
      </w:r>
      <w:r>
        <w:rPr>
          <w:rFonts w:hint="eastAsia" w:ascii="楷体_GB2312" w:hAnsi="黑体" w:eastAsia="楷体_GB2312" w:cs="楷体_GB2312"/>
          <w:b/>
          <w:bCs/>
          <w:kern w:val="2"/>
          <w:sz w:val="32"/>
          <w:szCs w:val="32"/>
        </w:rPr>
        <w:t>重点工作</w:t>
      </w:r>
    </w:p>
    <w:p>
      <w:pPr>
        <w:widowControl/>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狠抓落实、</w:t>
      </w:r>
      <w:r>
        <w:rPr>
          <w:rFonts w:hint="eastAsia" w:ascii="仿宋_GB2312" w:hAnsi="仿宋_GB2312" w:eastAsia="仿宋_GB2312" w:cs="仿宋_GB2312"/>
          <w:sz w:val="32"/>
          <w:szCs w:val="32"/>
          <w:lang w:eastAsia="zh-CN"/>
        </w:rPr>
        <w:t>夯实</w:t>
      </w:r>
      <w:r>
        <w:rPr>
          <w:rFonts w:hint="eastAsia" w:ascii="仿宋_GB2312" w:hAnsi="仿宋_GB2312" w:eastAsia="仿宋_GB2312" w:cs="仿宋_GB2312"/>
          <w:sz w:val="32"/>
          <w:szCs w:val="32"/>
        </w:rPr>
        <w:t>寺庙“</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项”管理责任。一是严格落实寺庙对僧人的管理责任。严格落实僧尼请销假制度、寺庙接收公民入寺为僧规定，加强外出及外来僧尼管理等各项管理制度</w:t>
      </w:r>
      <w:r>
        <w:rPr>
          <w:rFonts w:hint="eastAsia" w:ascii="仿宋_GB2312" w:hAnsi="仿宋_GB2312" w:eastAsia="仿宋_GB2312" w:cs="仿宋_GB2312"/>
          <w:sz w:val="32"/>
          <w:szCs w:val="32"/>
          <w:lang w:eastAsia="zh-CN"/>
        </w:rPr>
        <w:t>，完善寺庙僧尼基本信息台账</w:t>
      </w:r>
      <w:r>
        <w:rPr>
          <w:rFonts w:hint="eastAsia" w:ascii="仿宋_GB2312" w:hAnsi="仿宋_GB2312" w:eastAsia="仿宋_GB2312" w:cs="仿宋_GB2312"/>
          <w:sz w:val="32"/>
          <w:szCs w:val="32"/>
        </w:rPr>
        <w:t>，对外来、外出人员开展交心谈心和教育引导。二是严格落实寺庙对信教群众的正面教育引导责任。</w:t>
      </w:r>
      <w:r>
        <w:rPr>
          <w:rFonts w:hint="eastAsia" w:ascii="仿宋_GB2312" w:hAnsi="仿宋_GB2312" w:eastAsia="仿宋_GB2312" w:cs="仿宋_GB2312"/>
          <w:sz w:val="32"/>
          <w:szCs w:val="32"/>
          <w:lang w:eastAsia="zh-CN"/>
        </w:rPr>
        <w:t>与县委统战部、民宗局</w:t>
      </w:r>
      <w:r>
        <w:rPr>
          <w:rFonts w:hint="eastAsia" w:ascii="仿宋_GB2312" w:hAnsi="仿宋_GB2312" w:eastAsia="仿宋_GB2312" w:cs="仿宋_GB2312"/>
          <w:sz w:val="32"/>
          <w:szCs w:val="32"/>
        </w:rPr>
        <w:t>、佛协、以及县级相关部门组成寺庙</w:t>
      </w:r>
      <w:r>
        <w:rPr>
          <w:rFonts w:hint="eastAsia" w:ascii="仿宋_GB2312" w:hAnsi="仿宋_GB2312" w:eastAsia="仿宋_GB2312" w:cs="仿宋_GB2312"/>
          <w:sz w:val="32"/>
          <w:szCs w:val="32"/>
          <w:lang w:eastAsia="zh-CN"/>
        </w:rPr>
        <w:t>法制</w:t>
      </w:r>
      <w:r>
        <w:rPr>
          <w:rFonts w:hint="eastAsia" w:ascii="仿宋_GB2312" w:hAnsi="仿宋_GB2312" w:eastAsia="仿宋_GB2312" w:cs="仿宋_GB2312"/>
          <w:sz w:val="32"/>
          <w:szCs w:val="32"/>
        </w:rPr>
        <w:t>宣讲组，</w:t>
      </w:r>
      <w:r>
        <w:rPr>
          <w:rFonts w:hint="eastAsia" w:ascii="仿宋_GB2312" w:hAnsi="仿宋_GB2312" w:eastAsia="仿宋_GB2312" w:cs="仿宋_GB2312"/>
          <w:sz w:val="32"/>
          <w:szCs w:val="32"/>
          <w:lang w:eastAsia="zh-CN"/>
        </w:rPr>
        <w:t>积极开展法律进寺庙活动，</w:t>
      </w:r>
      <w:r>
        <w:rPr>
          <w:rFonts w:hint="eastAsia" w:ascii="仿宋_GB2312" w:hAnsi="仿宋_GB2312" w:eastAsia="仿宋_GB2312" w:cs="仿宋_GB2312"/>
          <w:sz w:val="32"/>
          <w:szCs w:val="32"/>
        </w:rPr>
        <w:t>宣讲《宪法》、《民族区域自治法》、《刑法》、《治安管理处罚法》等法律法规和规章制度，让信众知道什么是守法、什么是违法；什么能做，什么不能做。</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是落实寺庙</w:t>
      </w:r>
      <w:r>
        <w:rPr>
          <w:rFonts w:hint="eastAsia" w:ascii="仿宋_GB2312" w:hAnsi="仿宋_GB2312" w:eastAsia="仿宋_GB2312" w:cs="仿宋_GB2312"/>
          <w:sz w:val="32"/>
          <w:szCs w:val="32"/>
          <w:lang w:eastAsia="zh-CN"/>
        </w:rPr>
        <w:t>对安全的管理责任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坚持</w:t>
      </w:r>
      <w:r>
        <w:rPr>
          <w:rFonts w:hint="eastAsia" w:ascii="仿宋_GB2312" w:hAnsi="仿宋_GB2312" w:eastAsia="仿宋_GB2312" w:cs="仿宋_GB2312"/>
          <w:sz w:val="32"/>
          <w:szCs w:val="32"/>
        </w:rPr>
        <w:t>与寺庙签订维稳、消防、食品等安全责任书。落实“四防”工作责任（防自焚、防群体性事件、防举画像、防喊口号），落实维稳管控，收集相关信息，严厉打击一切分裂渗透破坏活动，确保寺庙政治安全，不出政治性事件</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是落实财产责任。签订财务管理责任书，</w:t>
      </w:r>
      <w:r>
        <w:rPr>
          <w:rFonts w:hint="eastAsia" w:ascii="仿宋_GB2312" w:hAnsi="仿宋_GB2312" w:eastAsia="仿宋_GB2312" w:cs="仿宋_GB2312"/>
          <w:sz w:val="32"/>
          <w:szCs w:val="32"/>
          <w:lang w:eastAsia="zh-CN"/>
        </w:rPr>
        <w:t>定期</w:t>
      </w:r>
      <w:r>
        <w:rPr>
          <w:rFonts w:hint="eastAsia" w:ascii="仿宋_GB2312" w:hAnsi="仿宋_GB2312" w:eastAsia="仿宋_GB2312" w:cs="仿宋_GB2312"/>
          <w:sz w:val="32"/>
          <w:szCs w:val="32"/>
          <w:lang w:val="en-US" w:eastAsia="zh-CN"/>
        </w:rPr>
        <w:t>深入辖区寺庙</w:t>
      </w:r>
      <w:r>
        <w:rPr>
          <w:rFonts w:ascii="仿宋_GB2312" w:hAnsi="仿宋_GB2312" w:eastAsia="仿宋_GB2312" w:cs="仿宋_GB2312"/>
          <w:sz w:val="32"/>
          <w:szCs w:val="32"/>
        </w:rPr>
        <w:t>全面清理寺庙财产，</w:t>
      </w:r>
      <w:r>
        <w:rPr>
          <w:rFonts w:hint="eastAsia" w:ascii="仿宋_GB2312" w:hAnsi="仿宋_GB2312" w:eastAsia="仿宋_GB2312" w:cs="仿宋_GB2312"/>
          <w:sz w:val="32"/>
          <w:szCs w:val="32"/>
        </w:rPr>
        <w:t>对辖区寺庙</w:t>
      </w:r>
      <w:r>
        <w:rPr>
          <w:rFonts w:hint="eastAsia" w:ascii="仿宋_GB2312" w:hAnsi="仿宋_GB2312" w:eastAsia="仿宋_GB2312" w:cs="仿宋_GB2312"/>
          <w:sz w:val="32"/>
          <w:szCs w:val="32"/>
          <w:lang w:eastAsia="zh-CN"/>
        </w:rPr>
        <w:t>未登记</w:t>
      </w:r>
      <w:r>
        <w:rPr>
          <w:rFonts w:hint="eastAsia" w:ascii="仿宋_GB2312" w:hAnsi="仿宋_GB2312" w:eastAsia="仿宋_GB2312" w:cs="仿宋_GB2312"/>
          <w:sz w:val="32"/>
          <w:szCs w:val="32"/>
        </w:rPr>
        <w:t>文物进行了登记核实，对各寺庙财务人员进行了财务管理知识培训，</w:t>
      </w:r>
      <w:r>
        <w:rPr>
          <w:rFonts w:hint="eastAsia" w:ascii="仿宋_GB2312" w:hAnsi="仿宋_GB2312" w:eastAsia="仿宋_GB2312" w:cs="仿宋_GB2312"/>
          <w:sz w:val="32"/>
          <w:szCs w:val="32"/>
          <w:lang w:eastAsia="zh-CN"/>
        </w:rPr>
        <w:t>严格落实寺庙财务规章制度，强化</w:t>
      </w:r>
      <w:r>
        <w:rPr>
          <w:rFonts w:ascii="仿宋_GB2312" w:hAnsi="仿宋_GB2312" w:eastAsia="仿宋_GB2312" w:cs="仿宋_GB2312"/>
          <w:sz w:val="32"/>
          <w:szCs w:val="32"/>
        </w:rPr>
        <w:t>寺庙民主理财</w:t>
      </w:r>
      <w:r>
        <w:rPr>
          <w:rFonts w:hint="eastAsia" w:ascii="仿宋_GB2312" w:hAnsi="仿宋_GB2312" w:eastAsia="仿宋_GB2312" w:cs="仿宋_GB2312"/>
          <w:sz w:val="32"/>
          <w:szCs w:val="32"/>
        </w:rPr>
        <w:t>。</w:t>
      </w:r>
    </w:p>
    <w:p>
      <w:pPr>
        <w:widowControl/>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（二）认真贯彻落实创建“五美寺庙”和“壤巴拉平安寺庙”工作部署。确保创建工作有序推进、扎实推进，</w:t>
      </w:r>
      <w:r>
        <w:rPr>
          <w:rFonts w:hint="eastAsia" w:ascii="仿宋_GB2312" w:hAnsi="仿宋_GB2312" w:eastAsia="仿宋_GB2312" w:cs="仿宋_GB2312"/>
          <w:sz w:val="32"/>
          <w:szCs w:val="32"/>
          <w:lang w:eastAsia="zh-CN"/>
        </w:rPr>
        <w:t>加强环境卫生整治</w:t>
      </w:r>
      <w:r>
        <w:rPr>
          <w:rFonts w:hint="eastAsia" w:ascii="仿宋_GB2312" w:hAnsi="仿宋_GB2312" w:eastAsia="仿宋_GB2312" w:cs="仿宋_GB2312"/>
          <w:sz w:val="32"/>
          <w:szCs w:val="32"/>
          <w:lang w:val="en-US" w:eastAsia="zh-CN"/>
        </w:rPr>
        <w:t>,实现环境持续美</w:t>
      </w:r>
      <w:r>
        <w:rPr>
          <w:rFonts w:hint="eastAsia" w:ascii="仿宋_GB2312" w:hAnsi="仿宋_GB2312" w:eastAsia="仿宋_GB2312" w:cs="仿宋_GB2312"/>
          <w:sz w:val="32"/>
          <w:szCs w:val="32"/>
          <w:lang w:eastAsia="zh-CN"/>
        </w:rPr>
        <w:t>。今后我委将继续组织、</w:t>
      </w:r>
      <w:r>
        <w:rPr>
          <w:rFonts w:ascii="仿宋_GB2312" w:hAnsi="仿宋_GB2312" w:eastAsia="仿宋_GB2312" w:cs="仿宋_GB2312"/>
          <w:sz w:val="32"/>
          <w:szCs w:val="32"/>
        </w:rPr>
        <w:t>寺庙</w:t>
      </w:r>
      <w:r>
        <w:rPr>
          <w:rFonts w:hint="eastAsia" w:ascii="仿宋_GB2312" w:hAnsi="仿宋_GB2312" w:eastAsia="仿宋_GB2312" w:cs="仿宋_GB2312"/>
          <w:sz w:val="32"/>
          <w:szCs w:val="32"/>
          <w:lang w:eastAsia="zh-CN"/>
        </w:rPr>
        <w:t>牵头</w:t>
      </w:r>
      <w:r>
        <w:rPr>
          <w:rFonts w:ascii="仿宋_GB2312" w:hAnsi="仿宋_GB2312" w:eastAsia="仿宋_GB2312" w:cs="仿宋_GB2312"/>
          <w:sz w:val="32"/>
          <w:szCs w:val="32"/>
        </w:rPr>
        <w:t>开展每月两次的环境卫生整治活动，</w:t>
      </w:r>
      <w:r>
        <w:rPr>
          <w:rFonts w:hint="default" w:ascii="仿宋_GB2312" w:hAnsi="仿宋_GB2312" w:eastAsia="仿宋_GB2312" w:cs="仿宋_GB2312"/>
          <w:sz w:val="32"/>
          <w:szCs w:val="32"/>
        </w:rPr>
        <w:t>使寺</w:t>
      </w:r>
      <w:r>
        <w:rPr>
          <w:rFonts w:hint="eastAsia" w:ascii="仿宋_GB2312" w:hAnsi="仿宋_GB2312" w:eastAsia="仿宋_GB2312" w:cs="仿宋_GB2312"/>
          <w:sz w:val="32"/>
          <w:szCs w:val="32"/>
          <w:lang w:eastAsia="zh-CN"/>
        </w:rPr>
        <w:t>庙周边环境得到改善，助推中壤塘</w:t>
      </w:r>
      <w:r>
        <w:rPr>
          <w:rFonts w:hint="eastAsia" w:ascii="仿宋_GB2312" w:hAnsi="仿宋_GB2312" w:eastAsia="仿宋_GB2312" w:cs="仿宋_GB2312"/>
          <w:sz w:val="32"/>
          <w:szCs w:val="32"/>
          <w:lang w:val="en-US" w:eastAsia="zh-CN"/>
        </w:rPr>
        <w:t>4A级</w:t>
      </w:r>
      <w:r>
        <w:rPr>
          <w:rFonts w:hint="eastAsia" w:ascii="仿宋_GB2312" w:hAnsi="仿宋_GB2312" w:eastAsia="仿宋_GB2312" w:cs="仿宋_GB2312"/>
          <w:sz w:val="32"/>
          <w:szCs w:val="32"/>
          <w:lang w:eastAsia="zh-CN"/>
        </w:rPr>
        <w:t>景区进一步提升。巩固辖区寺庙、修行点中华民族视觉形象工程。进一步增强僧尼中华民族意识、国家意识、法治意识和公民意识。促进寺庙长期和谐稳定。</w:t>
      </w:r>
      <w:r>
        <w:rPr>
          <w:rFonts w:hint="eastAsia" w:ascii="仿宋_GB2312" w:hAnsi="仿宋_GB2312" w:eastAsia="仿宋_GB2312" w:cs="仿宋_GB2312"/>
          <w:sz w:val="32"/>
          <w:szCs w:val="32"/>
          <w:lang w:val="en-US" w:eastAsia="zh-CN"/>
        </w:rPr>
        <w:t xml:space="preserve"> </w:t>
      </w:r>
    </w:p>
    <w:p>
      <w:pPr>
        <w:widowControl/>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（三）继续强力推进</w:t>
      </w:r>
      <w:r>
        <w:rPr>
          <w:rFonts w:hint="eastAsia" w:ascii="仿宋_GB2312" w:hAnsi="仿宋_GB2312" w:eastAsia="仿宋_GB2312" w:cs="仿宋_GB2312"/>
          <w:sz w:val="32"/>
          <w:szCs w:val="32"/>
          <w:lang w:val="en-US" w:eastAsia="zh-CN"/>
        </w:rPr>
        <w:t>“一寺一策”工作。</w:t>
      </w:r>
      <w:r>
        <w:rPr>
          <w:rFonts w:hint="eastAsia" w:ascii="仿宋_GB2312" w:hAnsi="仿宋_GB2312" w:eastAsia="仿宋_GB2312" w:cs="仿宋_GB2312"/>
          <w:sz w:val="32"/>
          <w:szCs w:val="32"/>
        </w:rPr>
        <w:t>以问题为导向，倒排工期</w:t>
      </w:r>
      <w:r>
        <w:rPr>
          <w:rFonts w:hint="eastAsia" w:ascii="仿宋_GB2312" w:hAnsi="仿宋_GB2312" w:eastAsia="仿宋_GB2312" w:cs="仿宋_GB2312"/>
          <w:sz w:val="32"/>
          <w:szCs w:val="32"/>
          <w:lang w:eastAsia="zh-CN"/>
        </w:rPr>
        <w:t>，扎实开展问题整改工作，并做好每月工作推进情况并总结上报，提炼好的经验做法，鞭策后进，营造争先创优的良好氛围。</w:t>
      </w:r>
      <w:r>
        <w:rPr>
          <w:rFonts w:hint="eastAsia" w:ascii="仿宋_GB2312" w:hAnsi="仿宋_GB2312" w:eastAsia="仿宋_GB2312" w:cs="仿宋_GB2312"/>
          <w:sz w:val="32"/>
          <w:szCs w:val="32"/>
        </w:rPr>
        <w:t>进一步增强工作的紧迫感、责任感，全力做好“一寺一策”</w:t>
      </w:r>
      <w:r>
        <w:rPr>
          <w:rFonts w:hint="eastAsia" w:ascii="仿宋_GB2312" w:hAnsi="仿宋_GB2312" w:eastAsia="仿宋_GB2312" w:cs="仿宋_GB2312"/>
          <w:sz w:val="32"/>
          <w:szCs w:val="32"/>
          <w:lang w:eastAsia="zh-CN"/>
        </w:rPr>
        <w:t>依法规范管理工作</w:t>
      </w:r>
      <w:r>
        <w:rPr>
          <w:rFonts w:hint="eastAsia" w:ascii="仿宋_GB2312" w:hAnsi="仿宋_GB2312" w:eastAsia="仿宋_GB2312" w:cs="仿宋_GB2312"/>
          <w:sz w:val="32"/>
          <w:szCs w:val="32"/>
        </w:rPr>
        <w:t>，紧扣所需整改的相关问题，明确“时间表”，明确“路线图”，明确“责任人”，迅速落实整改。巩固好</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成果，定期开展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回头看</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widowControl/>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（四）两个“后”时期的应对</w:t>
      </w:r>
      <w:r>
        <w:rPr>
          <w:rFonts w:hint="eastAsia" w:ascii="仿宋_GB2312" w:hAnsi="仿宋_GB2312" w:eastAsia="仿宋_GB2312" w:cs="仿宋_GB2312"/>
          <w:sz w:val="32"/>
          <w:szCs w:val="32"/>
          <w:lang w:eastAsia="zh-CN"/>
        </w:rPr>
        <w:t>。做到</w:t>
      </w:r>
      <w:r>
        <w:rPr>
          <w:rFonts w:hint="eastAsia" w:ascii="仿宋_GB2312" w:hAnsi="仿宋_GB2312" w:eastAsia="仿宋_GB2312" w:cs="仿宋_GB2312"/>
          <w:sz w:val="32"/>
          <w:szCs w:val="32"/>
        </w:rPr>
        <w:t>“四个坚决防止”（坚决防止发生有影响的政治事件、坚决防止发生暴力恐怖事件，坚决防止发生大规模群体性事件和规模性进京到省集访，坚决防止发生重大治安刑事案件和群死群伤重大安全事故）</w:t>
      </w:r>
      <w:r>
        <w:rPr>
          <w:rFonts w:hint="eastAsia" w:ascii="仿宋_GB2312" w:hAnsi="仿宋_GB2312" w:eastAsia="仿宋_GB2312" w:cs="仿宋_GB2312"/>
          <w:sz w:val="32"/>
          <w:szCs w:val="32"/>
          <w:lang w:eastAsia="zh-CN"/>
        </w:rPr>
        <w:t>“三个断”（断血、断线、断勾连），</w:t>
      </w:r>
      <w:r>
        <w:rPr>
          <w:rFonts w:hint="eastAsia" w:ascii="仿宋_GB2312" w:hAnsi="仿宋_GB2312" w:eastAsia="仿宋_GB2312" w:cs="仿宋_GB2312"/>
          <w:sz w:val="32"/>
          <w:szCs w:val="32"/>
        </w:rPr>
        <w:t>按照“依法治寺、以戒管僧”的总体工作要求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把维稳工作作为压倒一切、高于一切、重于一切的首要政治任务，同时，做好各项群众寺庙工作。</w:t>
      </w:r>
    </w:p>
    <w:p>
      <w:pPr>
        <w:widowControl/>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（五）持续“两联一进”和帮村工作。持续联寺联僧工作机制。进一步做好与寺庙高僧大德及联系僧尼的联系帮扶工作及帮扶村的帮扶工作。</w:t>
      </w:r>
    </w:p>
    <w:p>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（六）加强后备僧才的培养。</w:t>
      </w:r>
      <w:r>
        <w:rPr>
          <w:rFonts w:ascii="仿宋_GB2312" w:hAnsi="仿宋_GB2312" w:eastAsia="仿宋_GB2312" w:cs="仿宋_GB2312"/>
          <w:sz w:val="32"/>
          <w:szCs w:val="32"/>
        </w:rPr>
        <w:t>切实加强</w:t>
      </w:r>
      <w:r>
        <w:rPr>
          <w:rFonts w:hint="eastAsia" w:ascii="仿宋_GB2312" w:hAnsi="仿宋_GB2312" w:eastAsia="仿宋_GB2312" w:cs="仿宋_GB2312"/>
          <w:sz w:val="32"/>
          <w:szCs w:val="32"/>
          <w:lang w:eastAsia="zh-CN"/>
        </w:rPr>
        <w:t>寺庙民管会班子</w:t>
      </w:r>
      <w:r>
        <w:rPr>
          <w:rFonts w:ascii="仿宋_GB2312" w:hAnsi="仿宋_GB2312" w:eastAsia="仿宋_GB2312" w:cs="仿宋_GB2312"/>
          <w:sz w:val="32"/>
          <w:szCs w:val="32"/>
        </w:rPr>
        <w:t>队伍建设，增强</w:t>
      </w:r>
      <w:r>
        <w:rPr>
          <w:rFonts w:hint="eastAsia" w:ascii="仿宋_GB2312" w:hAnsi="仿宋_GB2312" w:eastAsia="仿宋_GB2312" w:cs="仿宋_GB2312"/>
          <w:sz w:val="32"/>
          <w:szCs w:val="32"/>
          <w:lang w:eastAsia="zh-CN"/>
        </w:rPr>
        <w:t>依法管理寺庙工作</w:t>
      </w:r>
      <w:r>
        <w:rPr>
          <w:rFonts w:ascii="仿宋_GB2312" w:hAnsi="仿宋_GB2312" w:eastAsia="仿宋_GB2312" w:cs="仿宋_GB2312"/>
          <w:sz w:val="32"/>
          <w:szCs w:val="32"/>
        </w:rPr>
        <w:t>的凝聚力和战斗力，进行好中选优，以跟班学习、</w:t>
      </w:r>
      <w:r>
        <w:rPr>
          <w:rFonts w:hint="eastAsia" w:ascii="仿宋_GB2312" w:hAnsi="仿宋_GB2312" w:eastAsia="仿宋_GB2312" w:cs="仿宋_GB2312"/>
          <w:sz w:val="32"/>
          <w:szCs w:val="32"/>
          <w:lang w:eastAsia="zh-CN"/>
        </w:rPr>
        <w:t>开展培训</w:t>
      </w:r>
      <w:r>
        <w:rPr>
          <w:rFonts w:ascii="仿宋_GB2312" w:hAnsi="仿宋_GB2312" w:eastAsia="仿宋_GB2312" w:cs="仿宋_GB2312"/>
          <w:sz w:val="32"/>
          <w:szCs w:val="32"/>
        </w:rPr>
        <w:t>等方式，提升后备干部培养实效。</w:t>
      </w:r>
    </w:p>
    <w:p>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（七）法治德治并行，发挥引领作用。坚持法治德治并行</w:t>
      </w:r>
      <w:r>
        <w:rPr>
          <w:rFonts w:ascii="仿宋_GB2312" w:hAnsi="仿宋_GB2312" w:eastAsia="仿宋_GB2312" w:cs="仿宋_GB2312"/>
          <w:sz w:val="32"/>
          <w:szCs w:val="32"/>
        </w:rPr>
        <w:t>不断引导辖区寺庙开展“佛前讲法”</w:t>
      </w:r>
      <w:r>
        <w:rPr>
          <w:rFonts w:hint="eastAsia" w:ascii="仿宋_GB2312" w:hAnsi="仿宋_GB2312" w:eastAsia="仿宋_GB2312" w:cs="仿宋_GB2312"/>
          <w:sz w:val="32"/>
          <w:szCs w:val="32"/>
          <w:lang w:eastAsia="zh-CN"/>
        </w:rPr>
        <w:t>“经前学法”</w:t>
      </w:r>
      <w:r>
        <w:rPr>
          <w:rFonts w:ascii="仿宋_GB2312" w:hAnsi="仿宋_GB2312" w:eastAsia="仿宋_GB2312" w:cs="仿宋_GB2312"/>
          <w:sz w:val="32"/>
          <w:szCs w:val="32"/>
        </w:rPr>
        <w:t>活动， 使法治观念深入僧心，广大僧众的学法、知法、懂法、守法、用法及感恩意识得到了实实在在的提高，</w:t>
      </w:r>
      <w:r>
        <w:rPr>
          <w:rFonts w:hint="eastAsia" w:ascii="仿宋_GB2312" w:hAnsi="仿宋_GB2312" w:eastAsia="仿宋_GB2312" w:cs="仿宋_GB2312"/>
          <w:sz w:val="32"/>
          <w:szCs w:val="32"/>
          <w:lang w:eastAsia="zh-CN"/>
        </w:rPr>
        <w:t>有效</w:t>
      </w:r>
      <w:r>
        <w:rPr>
          <w:rFonts w:ascii="仿宋_GB2312" w:hAnsi="仿宋_GB2312" w:eastAsia="仿宋_GB2312" w:cs="仿宋_GB2312"/>
          <w:sz w:val="32"/>
          <w:szCs w:val="32"/>
        </w:rPr>
        <w:t>推动辖区寺庙管理迈向规范化、法制化、民主化进程。</w:t>
      </w:r>
    </w:p>
    <w:p>
      <w:pPr>
        <w:widowControl/>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（八）铸牢中华民族共同体意识、加强意识形态推进。把维护国家统一的爱国主义精神,把和谐包容、理性崇德的中华优秀传统文化精神植入宗教思想中，铸牢中华民族共同体意识的思想基础。</w:t>
      </w:r>
    </w:p>
    <w:p>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default" w:ascii="仿宋_GB2312" w:hAnsi="仿宋_GB2312" w:eastAsia="仿宋_GB2312" w:cs="仿宋_GB2312"/>
          <w:sz w:val="32"/>
          <w:szCs w:val="32"/>
        </w:rPr>
        <w:t>保持定力</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乘势而上</w:t>
      </w:r>
      <w:r>
        <w:rPr>
          <w:rFonts w:hint="eastAsia" w:ascii="仿宋_GB2312" w:hAnsi="仿宋_GB2312" w:eastAsia="仿宋_GB2312" w:cs="仿宋_GB2312"/>
          <w:sz w:val="32"/>
          <w:szCs w:val="32"/>
          <w:lang w:eastAsia="zh-CN"/>
        </w:rPr>
        <w:t>，持续</w:t>
      </w:r>
      <w:r>
        <w:rPr>
          <w:rFonts w:hint="default" w:ascii="仿宋_GB2312" w:hAnsi="仿宋_GB2312" w:eastAsia="仿宋_GB2312" w:cs="仿宋_GB2312"/>
          <w:sz w:val="32"/>
          <w:szCs w:val="32"/>
        </w:rPr>
        <w:t>奋斗奋力“美丽壤巴拉家园”和川甘青结合部</w:t>
      </w:r>
      <w:r>
        <w:rPr>
          <w:rFonts w:hint="eastAsia" w:ascii="仿宋_GB2312" w:hAnsi="仿宋_GB2312" w:eastAsia="仿宋_GB2312" w:cs="仿宋_GB2312"/>
          <w:sz w:val="32"/>
          <w:szCs w:val="32"/>
          <w:lang w:eastAsia="zh-CN"/>
        </w:rPr>
        <w:t>区域</w:t>
      </w:r>
      <w:r>
        <w:rPr>
          <w:rFonts w:hint="default" w:ascii="仿宋_GB2312" w:hAnsi="仿宋_GB2312" w:eastAsia="仿宋_GB2312" w:cs="仿宋_GB2312"/>
          <w:sz w:val="32"/>
          <w:szCs w:val="32"/>
        </w:rPr>
        <w:t>强县</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增强责任感和使命感，紧紧围绕中央和省</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县委关于“十四五”规划和二</w:t>
      </w:r>
      <w:r>
        <w:rPr>
          <w:rFonts w:hint="eastAsia" w:ascii="仿宋_GB2312" w:hAnsi="仿宋_GB2312" w:eastAsia="仿宋_GB2312" w:cs="仿宋_GB2312"/>
          <w:sz w:val="32"/>
          <w:szCs w:val="32"/>
          <w:lang w:eastAsia="zh-CN"/>
        </w:rPr>
        <w:t>零</w:t>
      </w:r>
      <w:r>
        <w:rPr>
          <w:rFonts w:hint="eastAsia" w:ascii="仿宋_GB2312" w:hAnsi="仿宋_GB2312" w:eastAsia="仿宋_GB2312" w:cs="仿宋_GB2312"/>
          <w:sz w:val="32"/>
          <w:szCs w:val="32"/>
        </w:rPr>
        <w:t>三五年远景目标,</w:t>
      </w:r>
      <w:r>
        <w:rPr>
          <w:rFonts w:hint="eastAsia" w:ascii="仿宋_GB2312" w:hAnsi="仿宋_GB2312" w:eastAsia="仿宋_GB2312" w:cs="仿宋_GB2312"/>
          <w:sz w:val="32"/>
          <w:szCs w:val="32"/>
          <w:lang w:eastAsia="zh-CN"/>
        </w:rPr>
        <w:t>巩固现阶段成果，</w:t>
      </w:r>
      <w:r>
        <w:rPr>
          <w:rFonts w:hint="eastAsia" w:ascii="仿宋_GB2312" w:hAnsi="仿宋_GB2312" w:eastAsia="仿宋_GB2312" w:cs="仿宋_GB2312"/>
          <w:sz w:val="32"/>
          <w:szCs w:val="32"/>
        </w:rPr>
        <w:t>贯彻新发展理念</w:t>
      </w:r>
      <w:r>
        <w:rPr>
          <w:rFonts w:hint="eastAsia" w:ascii="仿宋_GB2312" w:hAnsi="仿宋_GB2312" w:eastAsia="仿宋_GB2312" w:cs="仿宋_GB2312"/>
          <w:sz w:val="32"/>
          <w:szCs w:val="32"/>
          <w:lang w:eastAsia="zh-CN"/>
        </w:rPr>
        <w:t>。推进依法治理寺庙，创建文明平安和谐寺庙。为</w:t>
      </w:r>
      <w:r>
        <w:rPr>
          <w:rFonts w:hint="default" w:ascii="仿宋_GB2312" w:hAnsi="仿宋_GB2312" w:eastAsia="仿宋_GB2312" w:cs="仿宋_GB2312"/>
          <w:sz w:val="32"/>
          <w:szCs w:val="32"/>
        </w:rPr>
        <w:t>“美丽壤巴拉家园”和川甘青结合部</w:t>
      </w:r>
      <w:r>
        <w:rPr>
          <w:rFonts w:hint="eastAsia" w:ascii="仿宋_GB2312" w:hAnsi="仿宋_GB2312" w:eastAsia="仿宋_GB2312" w:cs="仿宋_GB2312"/>
          <w:sz w:val="32"/>
          <w:szCs w:val="32"/>
          <w:lang w:eastAsia="zh-CN"/>
        </w:rPr>
        <w:t>区域</w:t>
      </w:r>
      <w:r>
        <w:rPr>
          <w:rFonts w:hint="default" w:ascii="仿宋_GB2312" w:hAnsi="仿宋_GB2312" w:eastAsia="仿宋_GB2312" w:cs="仿宋_GB2312"/>
          <w:sz w:val="32"/>
          <w:szCs w:val="32"/>
        </w:rPr>
        <w:t>强县</w:t>
      </w:r>
      <w:r>
        <w:rPr>
          <w:rFonts w:hint="eastAsia" w:ascii="仿宋_GB2312" w:hAnsi="仿宋_GB2312" w:eastAsia="仿宋_GB2312" w:cs="仿宋_GB2312"/>
          <w:sz w:val="32"/>
          <w:szCs w:val="32"/>
          <w:lang w:eastAsia="zh-CN"/>
        </w:rPr>
        <w:t>建设营造良好的社会环境，为壤塘的经济、文化、民生建设保驾护航</w:t>
      </w:r>
      <w:r>
        <w:rPr>
          <w:rFonts w:hint="eastAsia" w:ascii="仿宋_GB2312" w:hAnsi="仿宋_GB2312" w:eastAsia="仿宋_GB2312" w:cs="仿宋_GB2312"/>
          <w:sz w:val="32"/>
          <w:szCs w:val="32"/>
        </w:rPr>
        <w:t>。</w:t>
      </w:r>
    </w:p>
    <w:p>
      <w:pPr>
        <w:pStyle w:val="14"/>
        <w:spacing w:before="0" w:line="360" w:lineRule="auto"/>
        <w:ind w:firstLine="627" w:firstLineChars="196"/>
        <w:rPr>
          <w:rFonts w:hAnsi="黑体" w:cs="Times New Roman"/>
          <w:kern w:val="2"/>
          <w:sz w:val="32"/>
          <w:szCs w:val="32"/>
        </w:rPr>
      </w:pPr>
      <w:r>
        <w:rPr>
          <w:rFonts w:hint="eastAsia" w:ascii="黑体" w:hAnsi="黑体" w:eastAsia="黑体" w:cs="黑体"/>
          <w:kern w:val="2"/>
          <w:sz w:val="32"/>
          <w:szCs w:val="32"/>
        </w:rPr>
        <w:t>二、部门预算单位构成</w:t>
      </w:r>
      <w:r>
        <w:rPr>
          <w:rFonts w:ascii="??" w:hAnsi="??" w:eastAsia="宋体" w:cs="Times New Roman"/>
          <w:sz w:val="16"/>
          <w:szCs w:val="16"/>
        </w:rPr>
        <w:br w:type="textWrapping"/>
      </w:r>
      <w:r>
        <w:rPr>
          <w:rFonts w:ascii="??" w:hAnsi="??" w:eastAsia="宋体" w:cs="??"/>
          <w:sz w:val="16"/>
          <w:szCs w:val="16"/>
        </w:rPr>
        <w:t xml:space="preserve">    </w:t>
      </w:r>
      <w:r>
        <w:rPr>
          <w:rFonts w:hAnsi="黑体"/>
          <w:kern w:val="2"/>
          <w:sz w:val="32"/>
          <w:szCs w:val="32"/>
        </w:rPr>
        <w:t xml:space="preserve">  </w:t>
      </w:r>
      <w:r>
        <w:rPr>
          <w:rFonts w:hint="eastAsia" w:hAnsi="黑体"/>
          <w:kern w:val="2"/>
          <w:sz w:val="32"/>
          <w:szCs w:val="32"/>
        </w:rPr>
        <w:t>壤塘</w:t>
      </w:r>
      <w:r>
        <w:rPr>
          <w:rFonts w:hint="eastAsia"/>
          <w:color w:val="000000"/>
          <w:sz w:val="32"/>
          <w:szCs w:val="32"/>
        </w:rPr>
        <w:t>县藏洼寺寺庙管理委员会</w:t>
      </w:r>
      <w:r>
        <w:rPr>
          <w:rFonts w:hint="eastAsia"/>
          <w:kern w:val="2"/>
          <w:sz w:val="32"/>
          <w:szCs w:val="32"/>
        </w:rPr>
        <w:t>属一级预算单位（行政单位），无下属二级</w:t>
      </w:r>
      <w:r>
        <w:rPr>
          <w:rFonts w:hint="eastAsia" w:hAnsi="黑体"/>
          <w:kern w:val="2"/>
          <w:sz w:val="32"/>
          <w:szCs w:val="32"/>
        </w:rPr>
        <w:t>预算单位。</w:t>
      </w:r>
    </w:p>
    <w:p>
      <w:pPr>
        <w:pStyle w:val="14"/>
        <w:spacing w:before="0" w:line="360" w:lineRule="auto"/>
        <w:ind w:firstLine="627" w:firstLineChars="196"/>
        <w:rPr>
          <w:rFonts w:hAnsi="黑体"/>
          <w:kern w:val="2"/>
          <w:sz w:val="32"/>
          <w:szCs w:val="32"/>
        </w:rPr>
      </w:pPr>
      <w:r>
        <w:rPr>
          <w:rFonts w:hint="eastAsia" w:ascii="黑体" w:hAnsi="黑体" w:eastAsia="黑体" w:cs="黑体"/>
          <w:kern w:val="2"/>
          <w:sz w:val="32"/>
          <w:szCs w:val="32"/>
        </w:rPr>
        <w:t>三、收支预算情况说明</w:t>
      </w:r>
      <w:r>
        <w:rPr>
          <w:rFonts w:ascii="??" w:hAnsi="??" w:eastAsia="宋体" w:cs="Times New Roman"/>
          <w:sz w:val="16"/>
          <w:szCs w:val="16"/>
        </w:rPr>
        <w:br w:type="textWrapping"/>
      </w:r>
      <w:r>
        <w:rPr>
          <w:rFonts w:hint="eastAsia" w:ascii="??" w:hAnsi="??" w:eastAsia="宋体" w:cs="宋体"/>
          <w:sz w:val="16"/>
          <w:szCs w:val="16"/>
        </w:rPr>
        <w:t>　　</w:t>
      </w:r>
      <w:r>
        <w:rPr>
          <w:rFonts w:ascii="??" w:hAnsi="??" w:eastAsia="宋体" w:cs="??"/>
          <w:sz w:val="16"/>
          <w:szCs w:val="16"/>
        </w:rPr>
        <w:t xml:space="preserve">    </w:t>
      </w:r>
      <w:r>
        <w:rPr>
          <w:rFonts w:hint="eastAsia" w:hAnsi="黑体"/>
          <w:kern w:val="2"/>
          <w:sz w:val="32"/>
          <w:szCs w:val="32"/>
        </w:rPr>
        <w:t>按照综合预算的原则，壤塘</w:t>
      </w:r>
      <w:r>
        <w:rPr>
          <w:rFonts w:hint="eastAsia"/>
          <w:color w:val="000000"/>
          <w:sz w:val="32"/>
          <w:szCs w:val="32"/>
        </w:rPr>
        <w:t>县藏洼寺寺庙管理委员会</w:t>
      </w:r>
      <w:r>
        <w:rPr>
          <w:rFonts w:hint="eastAsia" w:hAnsi="黑体"/>
          <w:kern w:val="2"/>
          <w:sz w:val="32"/>
          <w:szCs w:val="32"/>
        </w:rPr>
        <w:t>所有收入和支出均纳入部门预算管理。收入包括：一般公共预算拨款收入</w:t>
      </w:r>
      <w:r>
        <w:rPr>
          <w:rFonts w:hint="eastAsia" w:hAnsi="黑体" w:cs="Times New Roman"/>
          <w:kern w:val="2"/>
          <w:sz w:val="32"/>
          <w:szCs w:val="32"/>
        </w:rPr>
        <w:t>284.99</w:t>
      </w:r>
      <w:r>
        <w:rPr>
          <w:rFonts w:hint="eastAsia" w:hAnsi="黑体"/>
          <w:kern w:val="2"/>
          <w:sz w:val="32"/>
          <w:szCs w:val="32"/>
        </w:rPr>
        <w:t>万元；支出包括：一般公共服务支出210.02万元，社会保障和就业支出</w:t>
      </w:r>
      <w:r>
        <w:rPr>
          <w:rFonts w:hint="eastAsia" w:hAnsi="黑体" w:cs="Times New Roman"/>
          <w:kern w:val="2"/>
          <w:sz w:val="32"/>
          <w:szCs w:val="32"/>
        </w:rPr>
        <w:t>35.06</w:t>
      </w:r>
      <w:r>
        <w:rPr>
          <w:rFonts w:hint="eastAsia" w:hAnsi="黑体"/>
          <w:kern w:val="2"/>
          <w:sz w:val="32"/>
          <w:szCs w:val="32"/>
        </w:rPr>
        <w:t>万元，卫生健康支出12.97万元，住房保障支出</w:t>
      </w:r>
      <w:r>
        <w:rPr>
          <w:rFonts w:hint="eastAsia" w:hAnsi="黑体" w:cs="Times New Roman"/>
          <w:kern w:val="2"/>
          <w:sz w:val="32"/>
          <w:szCs w:val="32"/>
        </w:rPr>
        <w:t>26.94</w:t>
      </w:r>
      <w:r>
        <w:rPr>
          <w:rFonts w:hint="eastAsia" w:hAnsi="黑体"/>
          <w:kern w:val="2"/>
          <w:sz w:val="32"/>
          <w:szCs w:val="32"/>
        </w:rPr>
        <w:t>万元。壤塘</w:t>
      </w:r>
      <w:r>
        <w:rPr>
          <w:rFonts w:hint="eastAsia"/>
          <w:color w:val="000000"/>
          <w:sz w:val="32"/>
          <w:szCs w:val="32"/>
        </w:rPr>
        <w:t>县藏洼寺寺庙管理委员会</w:t>
      </w:r>
      <w:r>
        <w:rPr>
          <w:rFonts w:hAnsi="黑体"/>
          <w:kern w:val="2"/>
          <w:sz w:val="32"/>
          <w:szCs w:val="32"/>
        </w:rPr>
        <w:t>202</w:t>
      </w:r>
      <w:r>
        <w:rPr>
          <w:rFonts w:hint="eastAsia" w:hAnsi="黑体"/>
          <w:kern w:val="2"/>
          <w:sz w:val="32"/>
          <w:szCs w:val="32"/>
          <w:lang w:val="en-US" w:eastAsia="zh-CN"/>
        </w:rPr>
        <w:t>2</w:t>
      </w:r>
      <w:r>
        <w:rPr>
          <w:rFonts w:hAnsi="黑体"/>
          <w:kern w:val="2"/>
          <w:sz w:val="32"/>
          <w:szCs w:val="32"/>
        </w:rPr>
        <w:t>年</w:t>
      </w:r>
      <w:r>
        <w:rPr>
          <w:rFonts w:hint="eastAsia" w:hAnsi="黑体"/>
          <w:kern w:val="2"/>
          <w:sz w:val="32"/>
          <w:szCs w:val="32"/>
        </w:rPr>
        <w:t>收支总预算</w:t>
      </w:r>
      <w:r>
        <w:rPr>
          <w:rFonts w:hint="eastAsia" w:hAnsi="黑体" w:cs="Times New Roman"/>
          <w:kern w:val="2"/>
          <w:sz w:val="32"/>
          <w:szCs w:val="32"/>
        </w:rPr>
        <w:t>284.99</w:t>
      </w:r>
      <w:r>
        <w:rPr>
          <w:rFonts w:hint="eastAsia" w:hAnsi="黑体"/>
          <w:kern w:val="2"/>
          <w:sz w:val="32"/>
          <w:szCs w:val="32"/>
        </w:rPr>
        <w:t>万元</w:t>
      </w:r>
      <w:r>
        <w:rPr>
          <w:rFonts w:hAnsi="黑体"/>
          <w:kern w:val="2"/>
          <w:sz w:val="32"/>
          <w:szCs w:val="32"/>
        </w:rPr>
        <w:t>,</w:t>
      </w:r>
      <w:r>
        <w:rPr>
          <w:rFonts w:hint="eastAsia" w:hAnsi="黑体"/>
          <w:kern w:val="2"/>
          <w:sz w:val="32"/>
          <w:szCs w:val="32"/>
        </w:rPr>
        <w:t>比</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1</w:t>
      </w:r>
      <w:r>
        <w:rPr>
          <w:rFonts w:hAnsi="黑体"/>
          <w:kern w:val="2"/>
          <w:sz w:val="32"/>
          <w:szCs w:val="32"/>
        </w:rPr>
        <w:t>年</w:t>
      </w:r>
      <w:r>
        <w:rPr>
          <w:rFonts w:hint="eastAsia" w:hAnsi="黑体"/>
          <w:kern w:val="2"/>
          <w:sz w:val="32"/>
          <w:szCs w:val="32"/>
        </w:rPr>
        <w:t>收支预算总数</w:t>
      </w:r>
      <w:r>
        <w:rPr>
          <w:rFonts w:hAnsi="黑体"/>
          <w:kern w:val="2"/>
          <w:sz w:val="32"/>
          <w:szCs w:val="32"/>
        </w:rPr>
        <w:t>279.67</w:t>
      </w:r>
      <w:r>
        <w:rPr>
          <w:rFonts w:hint="eastAsia" w:hAnsi="黑体"/>
          <w:kern w:val="2"/>
          <w:sz w:val="32"/>
          <w:szCs w:val="32"/>
        </w:rPr>
        <w:t>万元增加</w:t>
      </w:r>
      <w:r>
        <w:rPr>
          <w:rFonts w:hint="eastAsia" w:hAnsi="黑体" w:cs="Times New Roman"/>
          <w:kern w:val="2"/>
          <w:sz w:val="32"/>
          <w:szCs w:val="32"/>
        </w:rPr>
        <w:t>5.32</w:t>
      </w:r>
      <w:r>
        <w:rPr>
          <w:rFonts w:hint="eastAsia" w:hAnsi="黑体"/>
          <w:kern w:val="2"/>
          <w:sz w:val="32"/>
          <w:szCs w:val="32"/>
        </w:rPr>
        <w:t>万元，主要原因</w:t>
      </w:r>
      <w:r>
        <w:rPr>
          <w:rFonts w:hAnsi="黑体"/>
          <w:kern w:val="2"/>
          <w:sz w:val="32"/>
          <w:szCs w:val="32"/>
        </w:rPr>
        <w:t>:</w:t>
      </w:r>
      <w:r>
        <w:rPr>
          <w:rFonts w:hint="eastAsia" w:hAnsi="黑体"/>
          <w:kern w:val="2"/>
          <w:sz w:val="32"/>
          <w:szCs w:val="32"/>
        </w:rPr>
        <w:t xml:space="preserve"> 职能任务调整导致人员及办公经费增加。</w:t>
      </w:r>
    </w:p>
    <w:p>
      <w:pPr>
        <w:pStyle w:val="14"/>
        <w:spacing w:before="0" w:line="360" w:lineRule="auto"/>
        <w:ind w:firstLine="630" w:firstLineChars="196"/>
        <w:rPr>
          <w:rFonts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（一）收入预算情况</w:t>
      </w:r>
    </w:p>
    <w:p>
      <w:pPr>
        <w:pStyle w:val="14"/>
        <w:spacing w:before="0" w:line="360" w:lineRule="auto"/>
        <w:ind w:firstLine="627" w:firstLineChars="196"/>
        <w:rPr>
          <w:rFonts w:hAnsi="黑体"/>
          <w:kern w:val="2"/>
          <w:sz w:val="32"/>
          <w:szCs w:val="32"/>
        </w:rPr>
      </w:pPr>
      <w:r>
        <w:rPr>
          <w:rFonts w:hint="eastAsia" w:hAnsi="黑体"/>
          <w:kern w:val="2"/>
          <w:sz w:val="32"/>
          <w:szCs w:val="32"/>
        </w:rPr>
        <w:t>壤塘</w:t>
      </w:r>
      <w:r>
        <w:rPr>
          <w:rFonts w:hint="eastAsia"/>
          <w:color w:val="000000"/>
          <w:sz w:val="32"/>
          <w:szCs w:val="32"/>
        </w:rPr>
        <w:t>县藏洼寺寺庙管理委员会</w:t>
      </w:r>
      <w:r>
        <w:rPr>
          <w:rFonts w:hAnsi="黑体"/>
          <w:kern w:val="2"/>
          <w:sz w:val="32"/>
          <w:szCs w:val="32"/>
        </w:rPr>
        <w:t>202</w:t>
      </w:r>
      <w:r>
        <w:rPr>
          <w:rFonts w:hint="eastAsia" w:hAnsi="黑体"/>
          <w:kern w:val="2"/>
          <w:sz w:val="32"/>
          <w:szCs w:val="32"/>
          <w:lang w:val="en-US" w:eastAsia="zh-CN"/>
        </w:rPr>
        <w:t>2</w:t>
      </w:r>
      <w:r>
        <w:rPr>
          <w:rFonts w:hAnsi="黑体"/>
          <w:kern w:val="2"/>
          <w:sz w:val="32"/>
          <w:szCs w:val="32"/>
        </w:rPr>
        <w:t>年</w:t>
      </w:r>
      <w:r>
        <w:rPr>
          <w:rFonts w:hint="eastAsia" w:hAnsi="黑体"/>
          <w:kern w:val="2"/>
          <w:sz w:val="32"/>
          <w:szCs w:val="32"/>
        </w:rPr>
        <w:t>收入预算</w:t>
      </w:r>
      <w:r>
        <w:rPr>
          <w:rFonts w:hint="eastAsia" w:hAnsi="黑体" w:cs="Times New Roman"/>
          <w:kern w:val="2"/>
          <w:sz w:val="32"/>
          <w:szCs w:val="32"/>
        </w:rPr>
        <w:t>284.99</w:t>
      </w:r>
      <w:r>
        <w:rPr>
          <w:rFonts w:hint="eastAsia" w:hAnsi="黑体"/>
          <w:kern w:val="2"/>
          <w:sz w:val="32"/>
          <w:szCs w:val="32"/>
        </w:rPr>
        <w:t>万元，其中：一般公共预算拨款收入</w:t>
      </w:r>
      <w:r>
        <w:rPr>
          <w:rFonts w:hint="eastAsia" w:hAnsi="黑体" w:cs="Times New Roman"/>
          <w:kern w:val="2"/>
          <w:sz w:val="32"/>
          <w:szCs w:val="32"/>
        </w:rPr>
        <w:t>284.99</w:t>
      </w:r>
      <w:r>
        <w:rPr>
          <w:rFonts w:hint="eastAsia" w:hAnsi="黑体"/>
          <w:kern w:val="2"/>
          <w:sz w:val="32"/>
          <w:szCs w:val="32"/>
        </w:rPr>
        <w:t>万元，占</w:t>
      </w:r>
      <w:r>
        <w:rPr>
          <w:rFonts w:hAnsi="黑体" w:cs="Times New Roman"/>
          <w:kern w:val="2"/>
          <w:sz w:val="32"/>
          <w:szCs w:val="32"/>
        </w:rPr>
        <w:t>100</w:t>
      </w:r>
      <w:r>
        <w:rPr>
          <w:rFonts w:hAnsi="黑体"/>
          <w:kern w:val="2"/>
          <w:sz w:val="32"/>
          <w:szCs w:val="32"/>
        </w:rPr>
        <w:t>%</w:t>
      </w:r>
      <w:r>
        <w:rPr>
          <w:rFonts w:hint="eastAsia" w:hAnsi="黑体"/>
          <w:kern w:val="2"/>
          <w:sz w:val="32"/>
          <w:szCs w:val="32"/>
        </w:rPr>
        <w:t>。</w:t>
      </w:r>
    </w:p>
    <w:p>
      <w:pPr>
        <w:pStyle w:val="14"/>
        <w:spacing w:before="0" w:line="360" w:lineRule="auto"/>
        <w:ind w:firstLine="630" w:firstLineChars="196"/>
        <w:rPr>
          <w:rFonts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（二）支出预算情况</w:t>
      </w:r>
    </w:p>
    <w:p>
      <w:pPr>
        <w:pStyle w:val="14"/>
        <w:spacing w:before="0" w:line="360" w:lineRule="auto"/>
        <w:ind w:firstLine="627" w:firstLineChars="196"/>
        <w:rPr>
          <w:rFonts w:hAnsi="黑体" w:cs="Times New Roman"/>
          <w:kern w:val="2"/>
          <w:sz w:val="32"/>
          <w:szCs w:val="32"/>
        </w:rPr>
      </w:pPr>
      <w:r>
        <w:rPr>
          <w:rFonts w:hint="eastAsia" w:hAnsi="黑体"/>
          <w:kern w:val="2"/>
          <w:sz w:val="32"/>
          <w:szCs w:val="32"/>
        </w:rPr>
        <w:t>壤塘</w:t>
      </w:r>
      <w:r>
        <w:rPr>
          <w:rFonts w:hint="eastAsia"/>
          <w:color w:val="000000"/>
          <w:sz w:val="32"/>
          <w:szCs w:val="32"/>
        </w:rPr>
        <w:t>县藏洼寺寺庙管理委员会</w:t>
      </w:r>
      <w:r>
        <w:rPr>
          <w:rFonts w:hAnsi="黑体"/>
          <w:kern w:val="2"/>
          <w:sz w:val="32"/>
          <w:szCs w:val="32"/>
        </w:rPr>
        <w:t>202</w:t>
      </w:r>
      <w:r>
        <w:rPr>
          <w:rFonts w:hint="eastAsia" w:hAnsi="黑体"/>
          <w:kern w:val="2"/>
          <w:sz w:val="32"/>
          <w:szCs w:val="32"/>
          <w:lang w:val="en-US" w:eastAsia="zh-CN"/>
        </w:rPr>
        <w:t>2</w:t>
      </w:r>
      <w:r>
        <w:rPr>
          <w:rFonts w:hAnsi="黑体"/>
          <w:kern w:val="2"/>
          <w:sz w:val="32"/>
          <w:szCs w:val="32"/>
        </w:rPr>
        <w:t>年</w:t>
      </w:r>
      <w:r>
        <w:rPr>
          <w:rFonts w:hint="eastAsia" w:hAnsi="黑体"/>
          <w:kern w:val="2"/>
          <w:sz w:val="32"/>
          <w:szCs w:val="32"/>
        </w:rPr>
        <w:t>支出预算</w:t>
      </w:r>
      <w:r>
        <w:rPr>
          <w:rFonts w:hint="eastAsia" w:hAnsi="黑体" w:cs="Times New Roman"/>
          <w:kern w:val="2"/>
          <w:sz w:val="32"/>
          <w:szCs w:val="32"/>
        </w:rPr>
        <w:t>284.99</w:t>
      </w:r>
      <w:r>
        <w:rPr>
          <w:rFonts w:hint="eastAsia" w:hAnsi="黑体"/>
          <w:kern w:val="2"/>
          <w:sz w:val="32"/>
          <w:szCs w:val="32"/>
        </w:rPr>
        <w:t>万元，其中：基本支出</w:t>
      </w:r>
      <w:r>
        <w:rPr>
          <w:rFonts w:hint="eastAsia" w:hAnsi="黑体" w:cs="Times New Roman"/>
          <w:kern w:val="2"/>
          <w:sz w:val="32"/>
          <w:szCs w:val="32"/>
        </w:rPr>
        <w:t>284.99</w:t>
      </w:r>
      <w:r>
        <w:rPr>
          <w:rFonts w:hint="eastAsia" w:hAnsi="黑体"/>
          <w:kern w:val="2"/>
          <w:sz w:val="32"/>
          <w:szCs w:val="32"/>
        </w:rPr>
        <w:t>万元，占</w:t>
      </w:r>
      <w:r>
        <w:rPr>
          <w:rFonts w:hint="eastAsia" w:hAnsi="黑体" w:cs="Times New Roman"/>
          <w:kern w:val="2"/>
          <w:sz w:val="32"/>
          <w:szCs w:val="32"/>
          <w:lang w:val="en-US" w:eastAsia="zh-CN"/>
        </w:rPr>
        <w:t>100</w:t>
      </w:r>
      <w:r>
        <w:rPr>
          <w:rFonts w:hAnsi="黑体"/>
          <w:kern w:val="2"/>
          <w:sz w:val="32"/>
          <w:szCs w:val="32"/>
        </w:rPr>
        <w:t>%</w:t>
      </w:r>
      <w:r>
        <w:rPr>
          <w:rFonts w:hint="eastAsia" w:hAnsi="黑体"/>
          <w:kern w:val="2"/>
          <w:sz w:val="32"/>
          <w:szCs w:val="32"/>
        </w:rPr>
        <w:t>；项目支出</w:t>
      </w:r>
      <w:r>
        <w:rPr>
          <w:rFonts w:hint="eastAsia" w:hAnsi="黑体" w:cs="Times New Roman"/>
          <w:kern w:val="2"/>
          <w:sz w:val="32"/>
          <w:szCs w:val="32"/>
          <w:lang w:val="en-US" w:eastAsia="zh-CN"/>
        </w:rPr>
        <w:t>0</w:t>
      </w:r>
      <w:r>
        <w:rPr>
          <w:rFonts w:hint="eastAsia" w:hAnsi="黑体"/>
          <w:kern w:val="2"/>
          <w:sz w:val="32"/>
          <w:szCs w:val="32"/>
        </w:rPr>
        <w:t>万元，占</w:t>
      </w:r>
      <w:r>
        <w:rPr>
          <w:rFonts w:hint="eastAsia" w:hAnsi="黑体" w:cs="Times New Roman"/>
          <w:kern w:val="2"/>
          <w:sz w:val="32"/>
          <w:szCs w:val="32"/>
          <w:lang w:val="en-US" w:eastAsia="zh-CN"/>
        </w:rPr>
        <w:t>0</w:t>
      </w:r>
      <w:r>
        <w:rPr>
          <w:rFonts w:hAnsi="黑体"/>
          <w:kern w:val="2"/>
          <w:sz w:val="32"/>
          <w:szCs w:val="32"/>
        </w:rPr>
        <w:t>%</w:t>
      </w:r>
      <w:r>
        <w:rPr>
          <w:rFonts w:hint="eastAsia" w:hAnsi="黑体"/>
          <w:kern w:val="2"/>
          <w:sz w:val="32"/>
          <w:szCs w:val="32"/>
        </w:rPr>
        <w:t>。</w:t>
      </w:r>
    </w:p>
    <w:p>
      <w:pPr>
        <w:pStyle w:val="14"/>
        <w:spacing w:before="0" w:line="360" w:lineRule="auto"/>
        <w:ind w:firstLine="627" w:firstLineChars="196"/>
        <w:rPr>
          <w:rFonts w:ascii="黑体" w:hAnsi="黑体" w:eastAsia="黑体" w:cs="黑体"/>
          <w:kern w:val="2"/>
          <w:sz w:val="32"/>
          <w:szCs w:val="32"/>
        </w:rPr>
      </w:pPr>
      <w:r>
        <w:rPr>
          <w:rFonts w:hint="eastAsia" w:ascii="黑体" w:hAnsi="黑体" w:eastAsia="黑体" w:cs="黑体"/>
          <w:kern w:val="2"/>
          <w:sz w:val="32"/>
          <w:szCs w:val="32"/>
        </w:rPr>
        <w:t>四、财政拨款收支预算情况说明</w:t>
      </w:r>
    </w:p>
    <w:p>
      <w:pPr>
        <w:pStyle w:val="14"/>
        <w:spacing w:before="0" w:line="360" w:lineRule="auto"/>
        <w:ind w:firstLine="627" w:firstLineChars="196"/>
        <w:rPr>
          <w:rFonts w:hAnsi="黑体" w:cs="Times New Roman"/>
          <w:kern w:val="2"/>
          <w:sz w:val="32"/>
          <w:szCs w:val="32"/>
        </w:rPr>
      </w:pPr>
      <w:r>
        <w:rPr>
          <w:rFonts w:hint="eastAsia" w:hAnsi="黑体"/>
          <w:kern w:val="2"/>
          <w:sz w:val="32"/>
          <w:szCs w:val="32"/>
        </w:rPr>
        <w:t>壤塘</w:t>
      </w:r>
      <w:r>
        <w:rPr>
          <w:rFonts w:hint="eastAsia"/>
          <w:color w:val="000000"/>
          <w:sz w:val="32"/>
          <w:szCs w:val="32"/>
        </w:rPr>
        <w:t>县藏洼寺寺庙管理委员会</w:t>
      </w:r>
      <w:r>
        <w:rPr>
          <w:rFonts w:hAnsi="黑体"/>
          <w:kern w:val="2"/>
          <w:sz w:val="32"/>
          <w:szCs w:val="32"/>
        </w:rPr>
        <w:t>202</w:t>
      </w:r>
      <w:r>
        <w:rPr>
          <w:rFonts w:hint="eastAsia" w:hAnsi="黑体"/>
          <w:kern w:val="2"/>
          <w:sz w:val="32"/>
          <w:szCs w:val="32"/>
          <w:lang w:val="en-US" w:eastAsia="zh-CN"/>
        </w:rPr>
        <w:t>2</w:t>
      </w:r>
      <w:r>
        <w:rPr>
          <w:rFonts w:hAnsi="黑体"/>
          <w:kern w:val="2"/>
          <w:sz w:val="32"/>
          <w:szCs w:val="32"/>
        </w:rPr>
        <w:t>年</w:t>
      </w:r>
      <w:r>
        <w:rPr>
          <w:rFonts w:hint="eastAsia" w:hAnsi="黑体"/>
          <w:kern w:val="2"/>
          <w:sz w:val="32"/>
          <w:szCs w:val="32"/>
        </w:rPr>
        <w:t>财政拨款收支总预算</w:t>
      </w:r>
      <w:r>
        <w:rPr>
          <w:rFonts w:hint="eastAsia" w:hAnsi="黑体" w:cs="Times New Roman"/>
          <w:kern w:val="2"/>
          <w:sz w:val="32"/>
          <w:szCs w:val="32"/>
        </w:rPr>
        <w:t>284.99</w:t>
      </w:r>
      <w:r>
        <w:rPr>
          <w:rFonts w:hint="eastAsia" w:hAnsi="黑体"/>
          <w:kern w:val="2"/>
          <w:sz w:val="32"/>
          <w:szCs w:val="32"/>
        </w:rPr>
        <w:t>万元</w:t>
      </w:r>
      <w:r>
        <w:rPr>
          <w:rFonts w:hAnsi="黑体"/>
          <w:kern w:val="2"/>
          <w:sz w:val="32"/>
          <w:szCs w:val="32"/>
        </w:rPr>
        <w:t>,</w:t>
      </w:r>
      <w:r>
        <w:rPr>
          <w:rFonts w:hint="eastAsia" w:hAnsi="黑体"/>
          <w:kern w:val="2"/>
          <w:sz w:val="32"/>
          <w:szCs w:val="32"/>
        </w:rPr>
        <w:t>比</w:t>
      </w:r>
      <w:r>
        <w:rPr>
          <w:rFonts w:hAnsi="黑体"/>
          <w:kern w:val="2"/>
          <w:sz w:val="32"/>
          <w:szCs w:val="32"/>
        </w:rPr>
        <w:t>202</w:t>
      </w:r>
      <w:r>
        <w:rPr>
          <w:rFonts w:hint="eastAsia" w:hAnsi="黑体"/>
          <w:kern w:val="2"/>
          <w:sz w:val="32"/>
          <w:szCs w:val="32"/>
          <w:lang w:val="en-US" w:eastAsia="zh-CN"/>
        </w:rPr>
        <w:t>1</w:t>
      </w:r>
      <w:bookmarkStart w:id="0" w:name="_GoBack"/>
      <w:bookmarkEnd w:id="0"/>
      <w:r>
        <w:rPr>
          <w:rFonts w:hAnsi="黑体"/>
          <w:kern w:val="2"/>
          <w:sz w:val="32"/>
          <w:szCs w:val="32"/>
        </w:rPr>
        <w:t>年</w:t>
      </w:r>
      <w:r>
        <w:rPr>
          <w:rFonts w:hint="eastAsia" w:hAnsi="黑体"/>
          <w:kern w:val="2"/>
          <w:sz w:val="32"/>
          <w:szCs w:val="32"/>
        </w:rPr>
        <w:t>财政拨款收支总预算增加5.32万元，主要原因</w:t>
      </w:r>
      <w:r>
        <w:rPr>
          <w:rFonts w:hAnsi="黑体"/>
          <w:kern w:val="2"/>
          <w:sz w:val="32"/>
          <w:szCs w:val="32"/>
        </w:rPr>
        <w:t>:</w:t>
      </w:r>
      <w:r>
        <w:rPr>
          <w:rFonts w:hint="eastAsia" w:hAnsi="黑体"/>
          <w:kern w:val="2"/>
          <w:sz w:val="32"/>
          <w:szCs w:val="32"/>
        </w:rPr>
        <w:t>职能任务调整导致人员及办公经费增加。收入包括：本年一般公共预算拨款收入284.99万元；支出包括：一般公共服务支出210.02万元，社会保障和就业支出35.06万元，卫生健康支出12.97万元，住房保障支出26.94万元。</w:t>
      </w:r>
    </w:p>
    <w:p>
      <w:pPr>
        <w:pStyle w:val="14"/>
        <w:spacing w:before="0" w:line="360" w:lineRule="auto"/>
        <w:ind w:firstLine="627" w:firstLineChars="196"/>
        <w:rPr>
          <w:rFonts w:ascii="黑体" w:hAnsi="黑体" w:eastAsia="黑体" w:cs="黑体"/>
          <w:kern w:val="2"/>
          <w:sz w:val="32"/>
          <w:szCs w:val="32"/>
        </w:rPr>
      </w:pPr>
      <w:r>
        <w:rPr>
          <w:rFonts w:hint="eastAsia" w:ascii="黑体" w:hAnsi="黑体" w:eastAsia="黑体" w:cs="黑体"/>
          <w:kern w:val="2"/>
          <w:sz w:val="32"/>
          <w:szCs w:val="32"/>
        </w:rPr>
        <w:t>五、一般公共预算当年拨款情况说明</w:t>
      </w:r>
    </w:p>
    <w:p>
      <w:pPr>
        <w:pStyle w:val="14"/>
        <w:spacing w:before="0" w:line="360" w:lineRule="auto"/>
        <w:ind w:firstLine="630" w:firstLineChars="196"/>
        <w:rPr>
          <w:rFonts w:hAnsi="黑体" w:cs="Times New Roman"/>
          <w:kern w:val="2"/>
          <w:sz w:val="32"/>
          <w:szCs w:val="32"/>
        </w:rPr>
      </w:pPr>
      <w:r>
        <w:rPr>
          <w:rFonts w:hint="eastAsia" w:ascii="楷体_GB2312" w:hAnsi="黑体" w:eastAsia="楷体_GB2312" w:cs="楷体_GB2312"/>
          <w:b/>
          <w:bCs/>
          <w:kern w:val="2"/>
          <w:sz w:val="32"/>
          <w:szCs w:val="32"/>
        </w:rPr>
        <w:t>（一）一般公共预算当年拨款规模变化情况</w:t>
      </w:r>
    </w:p>
    <w:p>
      <w:pPr>
        <w:pStyle w:val="14"/>
        <w:spacing w:before="0" w:line="360" w:lineRule="auto"/>
        <w:ind w:firstLine="627" w:firstLineChars="196"/>
        <w:rPr>
          <w:rFonts w:hAnsi="黑体"/>
          <w:kern w:val="2"/>
          <w:sz w:val="32"/>
          <w:szCs w:val="32"/>
        </w:rPr>
      </w:pPr>
      <w:r>
        <w:rPr>
          <w:rFonts w:hint="eastAsia" w:hAnsi="黑体"/>
          <w:kern w:val="2"/>
          <w:sz w:val="32"/>
          <w:szCs w:val="32"/>
        </w:rPr>
        <w:t>壤塘</w:t>
      </w:r>
      <w:r>
        <w:rPr>
          <w:rFonts w:hint="eastAsia"/>
          <w:color w:val="000000"/>
          <w:sz w:val="32"/>
          <w:szCs w:val="32"/>
        </w:rPr>
        <w:t>县藏洼寺寺庙管理委员会</w:t>
      </w:r>
      <w:r>
        <w:rPr>
          <w:rFonts w:hAnsi="黑体"/>
          <w:kern w:val="2"/>
          <w:sz w:val="32"/>
          <w:szCs w:val="32"/>
        </w:rPr>
        <w:t>202</w:t>
      </w:r>
      <w:r>
        <w:rPr>
          <w:rFonts w:hint="eastAsia" w:hAnsi="黑体"/>
          <w:kern w:val="2"/>
          <w:sz w:val="32"/>
          <w:szCs w:val="32"/>
          <w:lang w:val="en-US" w:eastAsia="zh-CN"/>
        </w:rPr>
        <w:t>2</w:t>
      </w:r>
      <w:r>
        <w:rPr>
          <w:rFonts w:hAnsi="黑体"/>
          <w:kern w:val="2"/>
          <w:sz w:val="32"/>
          <w:szCs w:val="32"/>
        </w:rPr>
        <w:t>年</w:t>
      </w:r>
      <w:r>
        <w:rPr>
          <w:rFonts w:hint="eastAsia" w:hAnsi="黑体"/>
          <w:kern w:val="2"/>
          <w:sz w:val="32"/>
          <w:szCs w:val="32"/>
        </w:rPr>
        <w:t>一般公共预算当年拨款284.99万元，比</w:t>
      </w:r>
      <w:r>
        <w:rPr>
          <w:rFonts w:hAnsi="黑体"/>
          <w:kern w:val="2"/>
          <w:sz w:val="32"/>
          <w:szCs w:val="32"/>
        </w:rPr>
        <w:t>202</w:t>
      </w:r>
      <w:r>
        <w:rPr>
          <w:rFonts w:hint="eastAsia" w:hAnsi="黑体"/>
          <w:kern w:val="2"/>
          <w:sz w:val="32"/>
          <w:szCs w:val="32"/>
          <w:lang w:val="en-US" w:eastAsia="zh-CN"/>
        </w:rPr>
        <w:t>1</w:t>
      </w:r>
      <w:r>
        <w:rPr>
          <w:rFonts w:hAnsi="黑体"/>
          <w:kern w:val="2"/>
          <w:sz w:val="32"/>
          <w:szCs w:val="32"/>
        </w:rPr>
        <w:t>年</w:t>
      </w:r>
      <w:r>
        <w:rPr>
          <w:rFonts w:hint="eastAsia" w:hAnsi="黑体"/>
          <w:kern w:val="2"/>
          <w:sz w:val="32"/>
          <w:szCs w:val="32"/>
        </w:rPr>
        <w:t>预算数增加5.32万元，</w:t>
      </w:r>
      <w:r>
        <w:rPr>
          <w:rFonts w:hint="eastAsia" w:hAnsi="黑体"/>
          <w:color w:val="auto"/>
          <w:kern w:val="2"/>
          <w:sz w:val="32"/>
          <w:szCs w:val="32"/>
          <w:shd w:val="clear" w:color="auto" w:fill="auto"/>
        </w:rPr>
        <w:t>主要是基本支出增加8.32万元，项目支出</w:t>
      </w:r>
      <w:r>
        <w:rPr>
          <w:rFonts w:hint="eastAsia" w:hAnsi="黑体"/>
          <w:color w:val="auto"/>
          <w:kern w:val="2"/>
          <w:sz w:val="32"/>
          <w:szCs w:val="32"/>
          <w:shd w:val="clear" w:color="auto" w:fill="auto"/>
          <w:lang w:val="en-US" w:eastAsia="zh-CN"/>
        </w:rPr>
        <w:t>减少3</w:t>
      </w:r>
      <w:r>
        <w:rPr>
          <w:rFonts w:hint="eastAsia" w:hAnsi="黑体"/>
          <w:color w:val="auto"/>
          <w:kern w:val="2"/>
          <w:sz w:val="32"/>
          <w:szCs w:val="32"/>
          <w:shd w:val="clear" w:color="auto" w:fill="auto"/>
        </w:rPr>
        <w:t>万元。</w:t>
      </w:r>
      <w:r>
        <w:rPr>
          <w:rFonts w:hint="eastAsia" w:hAnsi="黑体"/>
          <w:kern w:val="2"/>
          <w:sz w:val="32"/>
          <w:szCs w:val="32"/>
        </w:rPr>
        <w:t>主要原因</w:t>
      </w:r>
      <w:r>
        <w:rPr>
          <w:rFonts w:hAnsi="黑体"/>
          <w:kern w:val="2"/>
          <w:sz w:val="32"/>
          <w:szCs w:val="32"/>
        </w:rPr>
        <w:t>:</w:t>
      </w:r>
      <w:r>
        <w:rPr>
          <w:rFonts w:hint="eastAsia" w:hAnsi="黑体"/>
          <w:kern w:val="2"/>
          <w:sz w:val="32"/>
          <w:szCs w:val="32"/>
        </w:rPr>
        <w:t xml:space="preserve"> 职能任务调整导致人员及办公经费增加</w:t>
      </w:r>
      <w:r>
        <w:rPr>
          <w:rFonts w:hint="eastAsia" w:hAnsi="黑体"/>
          <w:kern w:val="2"/>
          <w:sz w:val="32"/>
          <w:szCs w:val="32"/>
          <w:lang w:val="en-US" w:eastAsia="zh-CN"/>
        </w:rPr>
        <w:t>且2022年无项目支出预算</w:t>
      </w:r>
      <w:r>
        <w:rPr>
          <w:rFonts w:hint="eastAsia" w:hAnsi="黑体"/>
          <w:kern w:val="2"/>
          <w:sz w:val="32"/>
          <w:szCs w:val="32"/>
        </w:rPr>
        <w:t>。</w:t>
      </w:r>
    </w:p>
    <w:p>
      <w:pPr>
        <w:pStyle w:val="14"/>
        <w:spacing w:before="0" w:line="360" w:lineRule="auto"/>
        <w:ind w:firstLine="630" w:firstLineChars="196"/>
        <w:rPr>
          <w:rFonts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（二）一般公共预算当年拨款结构情况</w:t>
      </w:r>
    </w:p>
    <w:p>
      <w:pPr>
        <w:pStyle w:val="14"/>
        <w:spacing w:before="0" w:line="360" w:lineRule="auto"/>
        <w:ind w:firstLine="627" w:firstLineChars="196"/>
        <w:rPr>
          <w:rFonts w:hAnsi="黑体"/>
          <w:kern w:val="2"/>
          <w:sz w:val="32"/>
          <w:szCs w:val="32"/>
        </w:rPr>
      </w:pPr>
      <w:r>
        <w:rPr>
          <w:rFonts w:hint="eastAsia" w:hAnsi="黑体"/>
          <w:kern w:val="2"/>
          <w:sz w:val="32"/>
          <w:szCs w:val="32"/>
        </w:rPr>
        <w:t>一般公共服务支出210.02万元，占73.69%；社会保障和就业支出</w:t>
      </w:r>
      <w:r>
        <w:rPr>
          <w:rFonts w:hint="eastAsia" w:hAnsi="黑体" w:cs="Times New Roman"/>
          <w:kern w:val="2"/>
          <w:sz w:val="32"/>
          <w:szCs w:val="32"/>
        </w:rPr>
        <w:t>35.06</w:t>
      </w:r>
      <w:r>
        <w:rPr>
          <w:rFonts w:hint="eastAsia" w:hAnsi="黑体"/>
          <w:kern w:val="2"/>
          <w:sz w:val="32"/>
          <w:szCs w:val="32"/>
        </w:rPr>
        <w:t>万元，占12.30%；卫生健康支出12.97万元，占4.55%；住房保障支出</w:t>
      </w:r>
      <w:r>
        <w:rPr>
          <w:rFonts w:hint="eastAsia" w:hAnsi="黑体" w:cs="Times New Roman"/>
          <w:kern w:val="2"/>
          <w:sz w:val="32"/>
          <w:szCs w:val="32"/>
        </w:rPr>
        <w:t>26.94</w:t>
      </w:r>
      <w:r>
        <w:rPr>
          <w:rFonts w:hint="eastAsia" w:hAnsi="黑体"/>
          <w:kern w:val="2"/>
          <w:sz w:val="32"/>
          <w:szCs w:val="32"/>
        </w:rPr>
        <w:t>万元，占9.45%。</w:t>
      </w:r>
    </w:p>
    <w:p>
      <w:pPr>
        <w:pStyle w:val="14"/>
        <w:spacing w:before="0" w:line="360" w:lineRule="auto"/>
        <w:ind w:firstLine="630" w:firstLineChars="196"/>
        <w:rPr>
          <w:rFonts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（三）一般公共预算当年拨款具体使用情况</w:t>
      </w:r>
    </w:p>
    <w:p>
      <w:pPr>
        <w:pStyle w:val="14"/>
        <w:spacing w:before="0" w:line="360" w:lineRule="auto"/>
        <w:ind w:firstLine="627" w:firstLineChars="196"/>
        <w:rPr>
          <w:rFonts w:hAnsi="黑体"/>
          <w:kern w:val="2"/>
          <w:sz w:val="32"/>
          <w:szCs w:val="32"/>
        </w:rPr>
      </w:pPr>
      <w:r>
        <w:rPr>
          <w:rFonts w:hAnsi="黑体"/>
          <w:kern w:val="2"/>
          <w:sz w:val="32"/>
          <w:szCs w:val="32"/>
        </w:rPr>
        <w:t>1</w:t>
      </w:r>
      <w:r>
        <w:rPr>
          <w:rFonts w:hint="eastAsia" w:hAnsi="黑体"/>
          <w:kern w:val="2"/>
          <w:sz w:val="32"/>
          <w:szCs w:val="32"/>
        </w:rPr>
        <w:t>．一般公共服务支出（类）民族事务（款）行政运行（项目）202</w:t>
      </w:r>
      <w:r>
        <w:rPr>
          <w:rFonts w:hint="eastAsia" w:hAnsi="黑体"/>
          <w:kern w:val="2"/>
          <w:sz w:val="32"/>
          <w:szCs w:val="32"/>
          <w:lang w:val="en-US" w:eastAsia="zh-CN"/>
        </w:rPr>
        <w:t>2</w:t>
      </w:r>
      <w:r>
        <w:rPr>
          <w:rFonts w:hint="eastAsia" w:hAnsi="黑体"/>
          <w:kern w:val="2"/>
          <w:sz w:val="32"/>
          <w:szCs w:val="32"/>
        </w:rPr>
        <w:t>年预算数为210.02万元，主要用于单位运行支出。</w:t>
      </w:r>
    </w:p>
    <w:p>
      <w:pPr>
        <w:pStyle w:val="14"/>
        <w:spacing w:before="0" w:line="360" w:lineRule="auto"/>
        <w:ind w:firstLine="627" w:firstLineChars="196"/>
        <w:rPr>
          <w:rFonts w:hAnsi="黑体"/>
          <w:kern w:val="2"/>
          <w:sz w:val="32"/>
          <w:szCs w:val="32"/>
        </w:rPr>
      </w:pPr>
      <w:r>
        <w:rPr>
          <w:rFonts w:hAnsi="黑体"/>
          <w:kern w:val="2"/>
          <w:sz w:val="32"/>
          <w:szCs w:val="32"/>
        </w:rPr>
        <w:t>2</w:t>
      </w:r>
      <w:r>
        <w:rPr>
          <w:rFonts w:hint="eastAsia" w:hAnsi="黑体"/>
          <w:kern w:val="2"/>
          <w:sz w:val="32"/>
          <w:szCs w:val="32"/>
        </w:rPr>
        <w:t>．社会保障和就业支出（类）行政事业单位养老支出（款）机关事业单位基本养老保险缴费支出（项目）202</w:t>
      </w:r>
      <w:r>
        <w:rPr>
          <w:rFonts w:hint="eastAsia" w:hAnsi="黑体"/>
          <w:kern w:val="2"/>
          <w:sz w:val="32"/>
          <w:szCs w:val="32"/>
          <w:lang w:val="en-US" w:eastAsia="zh-CN"/>
        </w:rPr>
        <w:t>2</w:t>
      </w:r>
      <w:r>
        <w:rPr>
          <w:rFonts w:hint="eastAsia" w:hAnsi="黑体"/>
          <w:kern w:val="2"/>
          <w:sz w:val="32"/>
          <w:szCs w:val="32"/>
        </w:rPr>
        <w:t>年预算数为23.37万元，主要用于单位缴纳职工养老保险缴费支出。</w:t>
      </w:r>
    </w:p>
    <w:p>
      <w:pPr>
        <w:pStyle w:val="14"/>
        <w:spacing w:before="0" w:line="360" w:lineRule="auto"/>
        <w:ind w:firstLine="627" w:firstLineChars="196"/>
        <w:rPr>
          <w:rFonts w:hAnsi="黑体"/>
          <w:kern w:val="2"/>
          <w:sz w:val="32"/>
          <w:szCs w:val="32"/>
        </w:rPr>
      </w:pPr>
      <w:r>
        <w:rPr>
          <w:rFonts w:hint="eastAsia" w:hAnsi="黑体"/>
          <w:kern w:val="2"/>
          <w:sz w:val="32"/>
          <w:szCs w:val="32"/>
        </w:rPr>
        <w:t>3．社会保障和就业支出（类）行政事业单位养老支出（款）机关事业单位职业年金缴费支出（项目）202</w:t>
      </w:r>
      <w:r>
        <w:rPr>
          <w:rFonts w:hint="eastAsia" w:hAnsi="黑体"/>
          <w:kern w:val="2"/>
          <w:sz w:val="32"/>
          <w:szCs w:val="32"/>
          <w:lang w:val="en-US" w:eastAsia="zh-CN"/>
        </w:rPr>
        <w:t>2</w:t>
      </w:r>
      <w:r>
        <w:rPr>
          <w:rFonts w:hint="eastAsia" w:hAnsi="黑体"/>
          <w:kern w:val="2"/>
          <w:sz w:val="32"/>
          <w:szCs w:val="32"/>
        </w:rPr>
        <w:t>年预算数为11.69万元，主要用于单位缴纳职工职业年金缴费支出。</w:t>
      </w:r>
    </w:p>
    <w:p>
      <w:pPr>
        <w:pStyle w:val="14"/>
        <w:spacing w:before="0" w:line="360" w:lineRule="auto"/>
        <w:ind w:firstLine="627" w:firstLineChars="196"/>
        <w:rPr>
          <w:rFonts w:hAnsi="黑体"/>
          <w:kern w:val="2"/>
          <w:sz w:val="32"/>
          <w:szCs w:val="32"/>
        </w:rPr>
      </w:pPr>
      <w:r>
        <w:rPr>
          <w:rFonts w:hint="eastAsia" w:hAnsi="黑体"/>
          <w:kern w:val="2"/>
          <w:sz w:val="32"/>
          <w:szCs w:val="32"/>
        </w:rPr>
        <w:t>4．卫生健康支出（类）行政事业单位医疗（款）行政单位医疗（项目）202</w:t>
      </w:r>
      <w:r>
        <w:rPr>
          <w:rFonts w:hint="eastAsia" w:hAnsi="黑体"/>
          <w:kern w:val="2"/>
          <w:sz w:val="32"/>
          <w:szCs w:val="32"/>
          <w:lang w:val="en-US" w:eastAsia="zh-CN"/>
        </w:rPr>
        <w:t>2</w:t>
      </w:r>
      <w:r>
        <w:rPr>
          <w:rFonts w:hint="eastAsia" w:hAnsi="黑体"/>
          <w:kern w:val="2"/>
          <w:sz w:val="32"/>
          <w:szCs w:val="32"/>
        </w:rPr>
        <w:t>年预算数为10.23万元，主要用于单位缴纳职工基本医疗保险缴费支出。</w:t>
      </w:r>
    </w:p>
    <w:p>
      <w:pPr>
        <w:pStyle w:val="14"/>
        <w:spacing w:before="0" w:line="360" w:lineRule="auto"/>
        <w:ind w:firstLine="627" w:firstLineChars="196"/>
        <w:rPr>
          <w:rFonts w:hAnsi="黑体"/>
          <w:kern w:val="2"/>
          <w:sz w:val="32"/>
          <w:szCs w:val="32"/>
        </w:rPr>
      </w:pPr>
      <w:r>
        <w:rPr>
          <w:rFonts w:hint="eastAsia" w:hAnsi="黑体"/>
          <w:kern w:val="2"/>
          <w:sz w:val="32"/>
          <w:szCs w:val="32"/>
        </w:rPr>
        <w:t>5.卫生健康支出（类）行政事业单位医疗（款）公务员医疗补助（项目）202</w:t>
      </w:r>
      <w:r>
        <w:rPr>
          <w:rFonts w:hint="eastAsia" w:hAnsi="黑体"/>
          <w:kern w:val="2"/>
          <w:sz w:val="32"/>
          <w:szCs w:val="32"/>
          <w:lang w:val="en-US" w:eastAsia="zh-CN"/>
        </w:rPr>
        <w:t>2</w:t>
      </w:r>
      <w:r>
        <w:rPr>
          <w:rFonts w:hint="eastAsia" w:hAnsi="黑体"/>
          <w:kern w:val="2"/>
          <w:sz w:val="32"/>
          <w:szCs w:val="32"/>
        </w:rPr>
        <w:t>年预算数为2.74万元，主要用于单位缴纳职工公务员医疗补助缴费支出。</w:t>
      </w:r>
    </w:p>
    <w:p>
      <w:pPr>
        <w:pStyle w:val="14"/>
        <w:spacing w:before="0" w:line="360" w:lineRule="auto"/>
        <w:ind w:firstLine="627" w:firstLineChars="196"/>
        <w:rPr>
          <w:rFonts w:hAnsi="黑体"/>
          <w:kern w:val="2"/>
          <w:sz w:val="32"/>
          <w:szCs w:val="32"/>
        </w:rPr>
      </w:pPr>
      <w:r>
        <w:rPr>
          <w:rFonts w:hint="eastAsia" w:hAnsi="黑体"/>
          <w:kern w:val="2"/>
          <w:sz w:val="32"/>
          <w:szCs w:val="32"/>
        </w:rPr>
        <w:t>6.住房保障支出（类）住房改革支出（款）住房公积金（项目）202</w:t>
      </w:r>
      <w:r>
        <w:rPr>
          <w:rFonts w:hint="eastAsia" w:hAnsi="黑体"/>
          <w:kern w:val="2"/>
          <w:sz w:val="32"/>
          <w:szCs w:val="32"/>
          <w:lang w:val="en-US" w:eastAsia="zh-CN"/>
        </w:rPr>
        <w:t>2</w:t>
      </w:r>
      <w:r>
        <w:rPr>
          <w:rFonts w:hint="eastAsia" w:hAnsi="黑体"/>
          <w:kern w:val="2"/>
          <w:sz w:val="32"/>
          <w:szCs w:val="32"/>
        </w:rPr>
        <w:t>年预算数为26.94万元，主要用于单位缴纳职工住房公积金。</w:t>
      </w:r>
    </w:p>
    <w:p>
      <w:pPr>
        <w:pStyle w:val="14"/>
        <w:tabs>
          <w:tab w:val="left" w:pos="720"/>
        </w:tabs>
        <w:spacing w:before="0" w:line="360" w:lineRule="auto"/>
        <w:rPr>
          <w:rFonts w:ascii="黑体" w:hAnsi="黑体" w:eastAsia="黑体" w:cs="黑体"/>
          <w:kern w:val="2"/>
          <w:sz w:val="32"/>
          <w:szCs w:val="32"/>
        </w:rPr>
      </w:pPr>
      <w:r>
        <w:rPr>
          <w:rFonts w:hint="eastAsia" w:ascii="??" w:hAnsi="??" w:eastAsia="宋体" w:cs="宋体"/>
          <w:sz w:val="16"/>
          <w:szCs w:val="16"/>
        </w:rPr>
        <w:t>　</w:t>
      </w:r>
      <w:r>
        <w:rPr>
          <w:rFonts w:hint="eastAsia" w:ascii="??" w:hAnsi="??" w:eastAsia="宋体" w:cs="宋体"/>
          <w:b/>
          <w:bCs/>
          <w:sz w:val="16"/>
          <w:szCs w:val="16"/>
        </w:rPr>
        <w:t>　</w:t>
      </w:r>
      <w:r>
        <w:rPr>
          <w:rFonts w:ascii="??" w:hAnsi="??" w:eastAsia="宋体" w:cs="??"/>
          <w:b/>
          <w:bCs/>
          <w:sz w:val="16"/>
          <w:szCs w:val="16"/>
        </w:rPr>
        <w:t xml:space="preserve">    </w:t>
      </w:r>
      <w:r>
        <w:rPr>
          <w:rFonts w:hint="eastAsia" w:ascii="黑体" w:hAnsi="黑体" w:eastAsia="黑体" w:cs="黑体"/>
          <w:kern w:val="2"/>
          <w:sz w:val="32"/>
          <w:szCs w:val="32"/>
        </w:rPr>
        <w:t>六、一般公共预算基本支出情况说明</w:t>
      </w:r>
    </w:p>
    <w:p>
      <w:pPr>
        <w:pStyle w:val="14"/>
        <w:tabs>
          <w:tab w:val="left" w:pos="720"/>
        </w:tabs>
        <w:spacing w:before="0" w:line="360" w:lineRule="auto"/>
        <w:ind w:firstLine="640" w:firstLineChars="200"/>
        <w:rPr>
          <w:rFonts w:hAnsi="黑体" w:cs="Times New Roman"/>
          <w:kern w:val="2"/>
          <w:sz w:val="32"/>
          <w:szCs w:val="32"/>
        </w:rPr>
      </w:pPr>
      <w:r>
        <w:rPr>
          <w:rFonts w:hint="eastAsia" w:hAnsi="黑体"/>
          <w:kern w:val="2"/>
          <w:sz w:val="32"/>
          <w:szCs w:val="32"/>
        </w:rPr>
        <w:t>壤塘县</w:t>
      </w:r>
      <w:r>
        <w:rPr>
          <w:rFonts w:hint="eastAsia"/>
          <w:color w:val="000000"/>
          <w:sz w:val="32"/>
          <w:szCs w:val="32"/>
        </w:rPr>
        <w:t>藏洼寺寺庙管理委员会</w:t>
      </w:r>
      <w:r>
        <w:rPr>
          <w:rFonts w:hAnsi="黑体"/>
          <w:kern w:val="2"/>
          <w:sz w:val="32"/>
          <w:szCs w:val="32"/>
        </w:rPr>
        <w:t>202</w:t>
      </w:r>
      <w:r>
        <w:rPr>
          <w:rFonts w:hint="eastAsia" w:hAnsi="黑体"/>
          <w:kern w:val="2"/>
          <w:sz w:val="32"/>
          <w:szCs w:val="32"/>
          <w:lang w:val="en-US" w:eastAsia="zh-CN"/>
        </w:rPr>
        <w:t>2</w:t>
      </w:r>
      <w:r>
        <w:rPr>
          <w:rFonts w:hAnsi="黑体"/>
          <w:kern w:val="2"/>
          <w:sz w:val="32"/>
          <w:szCs w:val="32"/>
        </w:rPr>
        <w:t>年</w:t>
      </w:r>
      <w:r>
        <w:rPr>
          <w:rFonts w:hint="eastAsia" w:hAnsi="黑体"/>
          <w:kern w:val="2"/>
          <w:sz w:val="32"/>
          <w:szCs w:val="32"/>
        </w:rPr>
        <w:t>一般公共预算基本支出284.99万元，其中：人员经费245.75万元，主要包括：基本工资52.96万元、津贴补贴110.72万元、奖金4.41万元、机关事业单位基本养老保险缴费23.37万元、职业年金缴费11.69万元、城镇职工医疗保险10.23万元、公务员医疗补助2.74万元、其他社会保障缴费2.68万元、住房公积金26.94万元</w:t>
      </w:r>
      <w:r>
        <w:rPr>
          <w:rFonts w:hint="eastAsia" w:hAnsi="黑体"/>
          <w:kern w:val="2"/>
          <w:sz w:val="32"/>
          <w:szCs w:val="32"/>
          <w:lang w:eastAsia="zh-CN"/>
        </w:rPr>
        <w:t>、奖励金0.01</w:t>
      </w:r>
      <w:r>
        <w:rPr>
          <w:rFonts w:hint="eastAsia" w:hAnsi="黑体"/>
          <w:kern w:val="2"/>
          <w:sz w:val="32"/>
          <w:szCs w:val="32"/>
          <w:lang w:val="en-US" w:eastAsia="zh-CN"/>
        </w:rPr>
        <w:t>万元</w:t>
      </w:r>
      <w:r>
        <w:rPr>
          <w:rFonts w:hint="eastAsia" w:hAnsi="黑体"/>
          <w:kern w:val="2"/>
          <w:sz w:val="32"/>
          <w:szCs w:val="32"/>
        </w:rPr>
        <w:t>。公用经费39.24万元，主要包括：办公费12.58万元、印刷费4.00万元、电费2.00万元、</w:t>
      </w:r>
      <w:r>
        <w:rPr>
          <w:rFonts w:hint="eastAsia" w:hAnsi="黑体"/>
          <w:kern w:val="2"/>
          <w:sz w:val="32"/>
          <w:szCs w:val="32"/>
          <w:lang w:val="en-US" w:eastAsia="zh-CN"/>
        </w:rPr>
        <w:t>取暖费1万元、</w:t>
      </w:r>
      <w:r>
        <w:rPr>
          <w:rFonts w:hint="eastAsia" w:hAnsi="黑体"/>
          <w:kern w:val="2"/>
          <w:sz w:val="32"/>
          <w:szCs w:val="32"/>
        </w:rPr>
        <w:t>邮电费0.80万元、差旅费</w:t>
      </w:r>
      <w:r>
        <w:rPr>
          <w:rFonts w:hint="eastAsia" w:hAnsi="黑体"/>
          <w:kern w:val="2"/>
          <w:sz w:val="32"/>
          <w:szCs w:val="32"/>
          <w:lang w:val="en-US" w:eastAsia="zh-CN"/>
        </w:rPr>
        <w:t>2</w:t>
      </w:r>
      <w:r>
        <w:rPr>
          <w:rFonts w:hint="eastAsia" w:hAnsi="黑体"/>
          <w:kern w:val="2"/>
          <w:sz w:val="32"/>
          <w:szCs w:val="32"/>
        </w:rPr>
        <w:t>.00万元、培训费1万元、劳务费</w:t>
      </w:r>
      <w:r>
        <w:rPr>
          <w:rFonts w:hint="eastAsia" w:hAnsi="黑体"/>
          <w:kern w:val="2"/>
          <w:sz w:val="32"/>
          <w:szCs w:val="32"/>
          <w:lang w:val="en-US" w:eastAsia="zh-CN"/>
        </w:rPr>
        <w:t>4</w:t>
      </w:r>
      <w:r>
        <w:rPr>
          <w:rFonts w:hint="eastAsia" w:hAnsi="黑体"/>
          <w:kern w:val="2"/>
          <w:sz w:val="32"/>
          <w:szCs w:val="32"/>
        </w:rPr>
        <w:t>万元、工会经费3.36万元、公务用车运行维护费7.00万元</w:t>
      </w:r>
      <w:r>
        <w:rPr>
          <w:rFonts w:hint="eastAsia" w:hAnsi="黑体"/>
          <w:kern w:val="2"/>
          <w:sz w:val="32"/>
          <w:szCs w:val="32"/>
          <w:lang w:eastAsia="zh-CN"/>
        </w:rPr>
        <w:t>、其他商品和服务支出</w:t>
      </w:r>
      <w:r>
        <w:rPr>
          <w:rFonts w:hint="eastAsia" w:hAnsi="黑体"/>
          <w:kern w:val="2"/>
          <w:sz w:val="32"/>
          <w:szCs w:val="32"/>
        </w:rPr>
        <w:t>1.50</w:t>
      </w:r>
      <w:r>
        <w:rPr>
          <w:rFonts w:hint="eastAsia" w:hAnsi="黑体"/>
          <w:kern w:val="2"/>
          <w:sz w:val="32"/>
          <w:szCs w:val="32"/>
          <w:lang w:val="en-US" w:eastAsia="zh-CN"/>
        </w:rPr>
        <w:t>万元</w:t>
      </w:r>
      <w:r>
        <w:rPr>
          <w:rFonts w:hint="eastAsia" w:hAnsi="黑体"/>
          <w:kern w:val="2"/>
          <w:sz w:val="32"/>
          <w:szCs w:val="32"/>
        </w:rPr>
        <w:t>。</w:t>
      </w:r>
    </w:p>
    <w:p>
      <w:pPr>
        <w:pStyle w:val="14"/>
        <w:spacing w:before="0" w:line="360" w:lineRule="auto"/>
        <w:ind w:firstLine="640" w:firstLineChars="200"/>
        <w:rPr>
          <w:rFonts w:ascii="??" w:hAnsi="??" w:eastAsia="宋体" w:cs="Times New Roman"/>
          <w:sz w:val="16"/>
          <w:szCs w:val="16"/>
        </w:rPr>
      </w:pPr>
      <w:r>
        <w:rPr>
          <w:rFonts w:hint="eastAsia" w:ascii="黑体" w:hAnsi="黑体" w:eastAsia="黑体" w:cs="黑体"/>
          <w:kern w:val="2"/>
          <w:sz w:val="32"/>
          <w:szCs w:val="32"/>
        </w:rPr>
        <w:t>七、</w:t>
      </w:r>
      <w:r>
        <w:rPr>
          <w:rFonts w:ascii="黑体" w:hAnsi="黑体" w:eastAsia="黑体" w:cs="Times New Roman"/>
          <w:kern w:val="2"/>
          <w:sz w:val="32"/>
          <w:szCs w:val="32"/>
        </w:rPr>
        <w:t>“</w:t>
      </w:r>
      <w:r>
        <w:rPr>
          <w:rFonts w:hint="eastAsia" w:ascii="黑体" w:hAnsi="黑体" w:eastAsia="黑体" w:cs="黑体"/>
          <w:kern w:val="2"/>
          <w:sz w:val="32"/>
          <w:szCs w:val="32"/>
        </w:rPr>
        <w:t>三公</w:t>
      </w:r>
      <w:r>
        <w:rPr>
          <w:rFonts w:ascii="黑体" w:hAnsi="黑体" w:eastAsia="黑体" w:cs="Times New Roman"/>
          <w:kern w:val="2"/>
          <w:sz w:val="32"/>
          <w:szCs w:val="32"/>
        </w:rPr>
        <w:t>”</w:t>
      </w:r>
      <w:r>
        <w:rPr>
          <w:rFonts w:hint="eastAsia" w:ascii="黑体" w:hAnsi="黑体" w:eastAsia="黑体" w:cs="黑体"/>
          <w:kern w:val="2"/>
          <w:sz w:val="32"/>
          <w:szCs w:val="32"/>
        </w:rPr>
        <w:t>经费财政拨款预算安排情况说明</w:t>
      </w:r>
    </w:p>
    <w:p>
      <w:pPr>
        <w:pStyle w:val="14"/>
        <w:spacing w:before="0" w:line="360" w:lineRule="auto"/>
        <w:ind w:firstLine="640" w:firstLineChars="200"/>
        <w:rPr>
          <w:rFonts w:hAnsi="黑体" w:cs="Times New Roman"/>
          <w:kern w:val="2"/>
          <w:sz w:val="32"/>
          <w:szCs w:val="32"/>
        </w:rPr>
      </w:pPr>
      <w:r>
        <w:rPr>
          <w:rFonts w:hint="eastAsia" w:hAnsi="黑体"/>
          <w:kern w:val="2"/>
          <w:sz w:val="32"/>
          <w:szCs w:val="32"/>
        </w:rPr>
        <w:t>壤塘县</w:t>
      </w:r>
      <w:r>
        <w:rPr>
          <w:rFonts w:hint="eastAsia"/>
          <w:color w:val="000000"/>
          <w:sz w:val="32"/>
          <w:szCs w:val="32"/>
        </w:rPr>
        <w:t>藏洼寺寺庙管理委员会</w:t>
      </w:r>
      <w:r>
        <w:rPr>
          <w:rFonts w:hAnsi="黑体"/>
          <w:kern w:val="2"/>
          <w:sz w:val="32"/>
          <w:szCs w:val="32"/>
        </w:rPr>
        <w:t>202</w:t>
      </w:r>
      <w:r>
        <w:rPr>
          <w:rFonts w:hint="eastAsia" w:hAnsi="黑体"/>
          <w:kern w:val="2"/>
          <w:sz w:val="32"/>
          <w:szCs w:val="32"/>
          <w:lang w:val="en-US" w:eastAsia="zh-CN"/>
        </w:rPr>
        <w:t>2</w:t>
      </w:r>
      <w:r>
        <w:rPr>
          <w:rFonts w:hAnsi="黑体"/>
          <w:kern w:val="2"/>
          <w:sz w:val="32"/>
          <w:szCs w:val="32"/>
        </w:rPr>
        <w:t>年</w:t>
      </w:r>
      <w:r>
        <w:rPr>
          <w:rFonts w:hAnsi="黑体" w:cs="Times New Roman"/>
          <w:kern w:val="2"/>
          <w:sz w:val="32"/>
          <w:szCs w:val="32"/>
        </w:rPr>
        <w:t>“</w:t>
      </w:r>
      <w:r>
        <w:rPr>
          <w:rFonts w:hint="eastAsia" w:hAnsi="黑体"/>
          <w:kern w:val="2"/>
          <w:sz w:val="32"/>
          <w:szCs w:val="32"/>
        </w:rPr>
        <w:t>三公</w:t>
      </w:r>
      <w:r>
        <w:rPr>
          <w:rFonts w:hAnsi="黑体" w:cs="Times New Roman"/>
          <w:kern w:val="2"/>
          <w:sz w:val="32"/>
          <w:szCs w:val="32"/>
        </w:rPr>
        <w:t>”</w:t>
      </w:r>
      <w:r>
        <w:rPr>
          <w:rFonts w:hint="eastAsia" w:hAnsi="黑体"/>
          <w:kern w:val="2"/>
          <w:sz w:val="32"/>
          <w:szCs w:val="32"/>
        </w:rPr>
        <w:t>经费财政拨款预算数</w:t>
      </w:r>
      <w:r>
        <w:rPr>
          <w:rFonts w:hint="eastAsia" w:hAnsi="黑体"/>
          <w:kern w:val="2"/>
          <w:sz w:val="32"/>
          <w:szCs w:val="32"/>
          <w:lang w:val="en-US" w:eastAsia="zh-CN"/>
        </w:rPr>
        <w:t>7</w:t>
      </w:r>
      <w:r>
        <w:rPr>
          <w:rFonts w:hint="eastAsia" w:hAnsi="黑体"/>
          <w:kern w:val="2"/>
          <w:sz w:val="32"/>
          <w:szCs w:val="32"/>
        </w:rPr>
        <w:t>万元，其中：因公出国（境）费用</w:t>
      </w:r>
      <w:r>
        <w:rPr>
          <w:rFonts w:hint="eastAsia" w:hAnsi="黑体"/>
          <w:kern w:val="2"/>
          <w:sz w:val="32"/>
          <w:szCs w:val="32"/>
          <w:lang w:val="en-US" w:eastAsia="zh-CN"/>
        </w:rPr>
        <w:t>0万元，</w:t>
      </w:r>
      <w:r>
        <w:rPr>
          <w:rFonts w:hint="eastAsia" w:hAnsi="黑体"/>
          <w:kern w:val="2"/>
          <w:sz w:val="32"/>
          <w:szCs w:val="32"/>
        </w:rPr>
        <w:t>公务接待费0万元，公务用车运行维护费</w:t>
      </w:r>
      <w:r>
        <w:rPr>
          <w:rFonts w:hint="eastAsia" w:hAnsi="黑体"/>
          <w:kern w:val="2"/>
          <w:sz w:val="32"/>
          <w:szCs w:val="32"/>
          <w:lang w:val="en-US" w:eastAsia="zh-CN"/>
        </w:rPr>
        <w:t>7</w:t>
      </w:r>
      <w:r>
        <w:rPr>
          <w:rFonts w:hint="eastAsia" w:hAnsi="黑体"/>
          <w:kern w:val="2"/>
          <w:sz w:val="32"/>
          <w:szCs w:val="32"/>
        </w:rPr>
        <w:t>万元。</w:t>
      </w:r>
    </w:p>
    <w:p>
      <w:pPr>
        <w:pStyle w:val="14"/>
        <w:spacing w:before="0" w:line="360" w:lineRule="auto"/>
        <w:ind w:firstLine="640" w:firstLineChars="200"/>
        <w:rPr>
          <w:rFonts w:hAnsi="黑体"/>
          <w:kern w:val="2"/>
          <w:sz w:val="32"/>
          <w:szCs w:val="32"/>
        </w:rPr>
      </w:pPr>
      <w:r>
        <w:rPr>
          <w:rFonts w:hint="eastAsia" w:hAnsi="黑体"/>
          <w:kern w:val="2"/>
          <w:sz w:val="32"/>
          <w:szCs w:val="32"/>
        </w:rPr>
        <w:t>（一）</w:t>
      </w:r>
      <w:r>
        <w:rPr>
          <w:rFonts w:hAnsi="黑体"/>
          <w:kern w:val="2"/>
          <w:sz w:val="32"/>
          <w:szCs w:val="32"/>
        </w:rPr>
        <w:t>202</w:t>
      </w:r>
      <w:r>
        <w:rPr>
          <w:rFonts w:hint="eastAsia" w:hAnsi="黑体"/>
          <w:kern w:val="2"/>
          <w:sz w:val="32"/>
          <w:szCs w:val="32"/>
          <w:lang w:val="en-US" w:eastAsia="zh-CN"/>
        </w:rPr>
        <w:t>2</w:t>
      </w:r>
      <w:r>
        <w:rPr>
          <w:rFonts w:hAnsi="黑体"/>
          <w:kern w:val="2"/>
          <w:sz w:val="32"/>
          <w:szCs w:val="32"/>
        </w:rPr>
        <w:t>年</w:t>
      </w:r>
      <w:r>
        <w:rPr>
          <w:rFonts w:hint="eastAsia" w:hAnsi="黑体"/>
          <w:kern w:val="2"/>
          <w:sz w:val="32"/>
          <w:szCs w:val="32"/>
        </w:rPr>
        <w:t>公务用车运行维护费</w:t>
      </w:r>
      <w:r>
        <w:rPr>
          <w:rFonts w:hint="eastAsia" w:hAnsi="黑体"/>
          <w:kern w:val="2"/>
          <w:sz w:val="32"/>
          <w:szCs w:val="32"/>
          <w:lang w:val="en-US" w:eastAsia="zh-CN"/>
        </w:rPr>
        <w:t>7</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rPr>
        <w:t>较202</w:t>
      </w:r>
      <w:r>
        <w:rPr>
          <w:rFonts w:hint="eastAsia" w:hAnsi="黑体"/>
          <w:kern w:val="2"/>
          <w:sz w:val="32"/>
          <w:szCs w:val="32"/>
          <w:lang w:val="en-US" w:eastAsia="zh-CN"/>
        </w:rPr>
        <w:t>1</w:t>
      </w:r>
      <w:r>
        <w:rPr>
          <w:rFonts w:hint="eastAsia" w:hAnsi="黑体"/>
          <w:kern w:val="2"/>
          <w:sz w:val="32"/>
          <w:szCs w:val="32"/>
        </w:rPr>
        <w:t>年预算经费增长</w:t>
      </w:r>
      <w:r>
        <w:rPr>
          <w:rFonts w:hint="eastAsia" w:hAnsi="黑体"/>
          <w:kern w:val="2"/>
          <w:sz w:val="32"/>
          <w:szCs w:val="32"/>
          <w:lang w:val="en-US" w:eastAsia="zh-CN"/>
        </w:rPr>
        <w:t>2</w:t>
      </w:r>
      <w:r>
        <w:rPr>
          <w:rFonts w:hint="eastAsia" w:hAnsi="黑体"/>
          <w:kern w:val="2"/>
          <w:sz w:val="32"/>
          <w:szCs w:val="32"/>
        </w:rPr>
        <w:t>万元，主要原因是：客观需要。</w:t>
      </w:r>
    </w:p>
    <w:p>
      <w:pPr>
        <w:pStyle w:val="14"/>
        <w:spacing w:before="0" w:line="360" w:lineRule="auto"/>
        <w:ind w:firstLine="640" w:firstLineChars="200"/>
        <w:rPr>
          <w:rFonts w:ascii="黑体" w:hAnsi="黑体" w:eastAsia="黑体" w:cs="黑体"/>
          <w:kern w:val="2"/>
          <w:sz w:val="32"/>
          <w:szCs w:val="32"/>
        </w:rPr>
      </w:pPr>
      <w:r>
        <w:rPr>
          <w:rFonts w:hint="eastAsia" w:ascii="黑体" w:hAnsi="黑体" w:eastAsia="黑体" w:cs="黑体"/>
          <w:kern w:val="2"/>
          <w:sz w:val="32"/>
          <w:szCs w:val="32"/>
        </w:rPr>
        <w:t>八、政府性基金预算支出情况说明</w:t>
      </w:r>
    </w:p>
    <w:p>
      <w:pPr>
        <w:pStyle w:val="14"/>
        <w:spacing w:before="0" w:line="360" w:lineRule="auto"/>
        <w:ind w:firstLine="640" w:firstLineChars="200"/>
        <w:rPr>
          <w:rFonts w:hAnsi="黑体"/>
          <w:kern w:val="2"/>
          <w:sz w:val="32"/>
          <w:szCs w:val="32"/>
        </w:rPr>
      </w:pPr>
      <w:r>
        <w:rPr>
          <w:rFonts w:hint="eastAsia" w:hAnsi="黑体"/>
          <w:kern w:val="2"/>
          <w:sz w:val="32"/>
          <w:szCs w:val="32"/>
        </w:rPr>
        <w:t>壤塘县</w:t>
      </w:r>
      <w:r>
        <w:rPr>
          <w:rFonts w:hint="eastAsia"/>
          <w:color w:val="000000"/>
          <w:sz w:val="32"/>
          <w:szCs w:val="32"/>
        </w:rPr>
        <w:t>藏洼寺寺庙管理委员会</w:t>
      </w:r>
      <w:r>
        <w:rPr>
          <w:rFonts w:hAnsi="黑体"/>
          <w:kern w:val="2"/>
          <w:sz w:val="32"/>
          <w:szCs w:val="32"/>
        </w:rPr>
        <w:t>202</w:t>
      </w:r>
      <w:r>
        <w:rPr>
          <w:rFonts w:hint="eastAsia" w:hAnsi="黑体"/>
          <w:kern w:val="2"/>
          <w:sz w:val="32"/>
          <w:szCs w:val="32"/>
          <w:lang w:val="en-US" w:eastAsia="zh-CN"/>
        </w:rPr>
        <w:t>2</w:t>
      </w:r>
      <w:r>
        <w:rPr>
          <w:rFonts w:hAnsi="黑体"/>
          <w:kern w:val="2"/>
          <w:sz w:val="32"/>
          <w:szCs w:val="32"/>
        </w:rPr>
        <w:t>年</w:t>
      </w:r>
      <w:r>
        <w:rPr>
          <w:rFonts w:hint="eastAsia" w:hAnsi="黑体"/>
          <w:kern w:val="2"/>
          <w:sz w:val="32"/>
          <w:szCs w:val="32"/>
        </w:rPr>
        <w:t>无政府性基金预算拨款安排。</w:t>
      </w:r>
    </w:p>
    <w:p>
      <w:pPr>
        <w:pStyle w:val="14"/>
        <w:spacing w:before="0" w:line="360" w:lineRule="auto"/>
        <w:ind w:firstLine="640" w:firstLineChars="200"/>
        <w:rPr>
          <w:rFonts w:ascii="黑体" w:hAnsi="黑体" w:eastAsia="黑体" w:cs="黑体"/>
          <w:kern w:val="2"/>
          <w:sz w:val="32"/>
          <w:szCs w:val="32"/>
        </w:rPr>
      </w:pPr>
      <w:r>
        <w:rPr>
          <w:rFonts w:hint="eastAsia" w:ascii="黑体" w:hAnsi="黑体" w:eastAsia="黑体" w:cs="黑体"/>
          <w:kern w:val="2"/>
          <w:sz w:val="32"/>
          <w:szCs w:val="32"/>
        </w:rPr>
        <w:t>九、其他重要事项的情况说明</w:t>
      </w:r>
    </w:p>
    <w:p>
      <w:pPr>
        <w:pStyle w:val="14"/>
        <w:spacing w:before="0" w:line="360" w:lineRule="auto"/>
        <w:ind w:firstLine="643" w:firstLineChars="200"/>
        <w:rPr>
          <w:rFonts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（一）机关运行经费</w:t>
      </w:r>
    </w:p>
    <w:p>
      <w:pPr>
        <w:pStyle w:val="14"/>
        <w:spacing w:before="0" w:line="360" w:lineRule="auto"/>
        <w:ind w:firstLine="640" w:firstLineChars="200"/>
        <w:rPr>
          <w:rFonts w:hAnsi="黑体"/>
          <w:kern w:val="2"/>
          <w:sz w:val="32"/>
          <w:szCs w:val="32"/>
        </w:rPr>
      </w:pPr>
      <w:r>
        <w:rPr>
          <w:rFonts w:hint="eastAsia" w:hAnsi="黑体"/>
          <w:kern w:val="2"/>
          <w:sz w:val="32"/>
          <w:szCs w:val="32"/>
        </w:rPr>
        <w:t>壤塘县</w:t>
      </w:r>
      <w:r>
        <w:rPr>
          <w:rFonts w:hint="eastAsia"/>
          <w:color w:val="000000"/>
          <w:sz w:val="32"/>
          <w:szCs w:val="32"/>
        </w:rPr>
        <w:t>藏洼寺寺庙管理委员会</w:t>
      </w:r>
      <w:r>
        <w:rPr>
          <w:rFonts w:hAnsi="黑体"/>
          <w:kern w:val="2"/>
          <w:sz w:val="32"/>
          <w:szCs w:val="32"/>
        </w:rPr>
        <w:t>202</w:t>
      </w:r>
      <w:r>
        <w:rPr>
          <w:rFonts w:hint="eastAsia" w:hAnsi="黑体"/>
          <w:kern w:val="2"/>
          <w:sz w:val="32"/>
          <w:szCs w:val="32"/>
          <w:lang w:val="en-US" w:eastAsia="zh-CN"/>
        </w:rPr>
        <w:t>2</w:t>
      </w:r>
      <w:r>
        <w:rPr>
          <w:rFonts w:hAnsi="黑体"/>
          <w:kern w:val="2"/>
          <w:sz w:val="32"/>
          <w:szCs w:val="32"/>
        </w:rPr>
        <w:t>年</w:t>
      </w:r>
      <w:r>
        <w:rPr>
          <w:rFonts w:hint="eastAsia" w:hAnsi="黑体"/>
          <w:color w:val="auto"/>
          <w:kern w:val="2"/>
          <w:sz w:val="32"/>
          <w:szCs w:val="32"/>
        </w:rPr>
        <w:t>机关运行经费</w:t>
      </w:r>
      <w:r>
        <w:rPr>
          <w:rFonts w:hint="eastAsia" w:hAnsi="黑体"/>
          <w:kern w:val="2"/>
          <w:sz w:val="32"/>
          <w:szCs w:val="32"/>
        </w:rPr>
        <w:t>财政拨款预算为39.24万元，比</w:t>
      </w:r>
      <w:r>
        <w:rPr>
          <w:rFonts w:hAnsi="黑体"/>
          <w:kern w:val="2"/>
          <w:sz w:val="32"/>
          <w:szCs w:val="32"/>
        </w:rPr>
        <w:t>202</w:t>
      </w:r>
      <w:r>
        <w:rPr>
          <w:rFonts w:hint="eastAsia" w:hAnsi="黑体"/>
          <w:kern w:val="2"/>
          <w:sz w:val="32"/>
          <w:szCs w:val="32"/>
          <w:lang w:val="en-US" w:eastAsia="zh-CN"/>
        </w:rPr>
        <w:t>1</w:t>
      </w:r>
      <w:r>
        <w:rPr>
          <w:rFonts w:hAnsi="黑体"/>
          <w:kern w:val="2"/>
          <w:sz w:val="32"/>
          <w:szCs w:val="32"/>
        </w:rPr>
        <w:t>年</w:t>
      </w:r>
      <w:r>
        <w:rPr>
          <w:rFonts w:hint="eastAsia" w:hAnsi="黑体"/>
          <w:kern w:val="2"/>
          <w:sz w:val="32"/>
          <w:szCs w:val="32"/>
        </w:rPr>
        <w:t>预算增加4.8万元，增长13.94</w:t>
      </w:r>
      <w:r>
        <w:rPr>
          <w:rFonts w:hAnsi="黑体"/>
          <w:kern w:val="2"/>
          <w:sz w:val="32"/>
          <w:szCs w:val="32"/>
        </w:rPr>
        <w:t>%</w:t>
      </w:r>
      <w:r>
        <w:rPr>
          <w:rFonts w:hint="eastAsia" w:hAnsi="黑体"/>
          <w:kern w:val="2"/>
          <w:sz w:val="32"/>
          <w:szCs w:val="32"/>
        </w:rPr>
        <w:t>。</w:t>
      </w:r>
    </w:p>
    <w:p>
      <w:pPr>
        <w:pStyle w:val="14"/>
        <w:spacing w:before="0" w:line="360" w:lineRule="auto"/>
        <w:ind w:firstLine="643" w:firstLineChars="200"/>
        <w:rPr>
          <w:rFonts w:ascii="楷体_GB2312" w:hAnsi="黑体" w:eastAsia="楷体_GB2312" w:cs="Times New Roman"/>
          <w:b/>
          <w:bCs/>
          <w:kern w:val="2"/>
          <w:sz w:val="32"/>
          <w:szCs w:val="32"/>
        </w:rPr>
      </w:pPr>
      <w:r>
        <w:rPr>
          <w:rFonts w:hint="eastAsia" w:ascii="楷体_GB2312" w:hAnsi="黑体" w:eastAsia="楷体_GB2312" w:cs="楷体_GB2312"/>
          <w:b/>
          <w:bCs/>
          <w:kern w:val="2"/>
          <w:sz w:val="32"/>
          <w:szCs w:val="32"/>
        </w:rPr>
        <w:t>（二）政府采购情况</w:t>
      </w:r>
    </w:p>
    <w:p>
      <w:pPr>
        <w:pStyle w:val="14"/>
        <w:spacing w:before="0" w:line="360" w:lineRule="auto"/>
        <w:ind w:firstLine="640" w:firstLineChars="200"/>
        <w:rPr>
          <w:rFonts w:hAnsi="黑体"/>
          <w:kern w:val="2"/>
          <w:sz w:val="32"/>
          <w:szCs w:val="32"/>
        </w:rPr>
      </w:pPr>
      <w:r>
        <w:rPr>
          <w:rFonts w:hint="eastAsia" w:hAnsi="黑体"/>
          <w:kern w:val="2"/>
          <w:sz w:val="32"/>
          <w:szCs w:val="32"/>
        </w:rPr>
        <w:t>壤塘县</w:t>
      </w:r>
      <w:r>
        <w:rPr>
          <w:rFonts w:hint="eastAsia"/>
          <w:color w:val="000000"/>
          <w:sz w:val="32"/>
          <w:szCs w:val="32"/>
        </w:rPr>
        <w:t>藏洼寺寺庙管理委员会</w:t>
      </w:r>
      <w:r>
        <w:rPr>
          <w:rFonts w:hAnsi="黑体"/>
          <w:kern w:val="2"/>
          <w:sz w:val="32"/>
          <w:szCs w:val="32"/>
        </w:rPr>
        <w:t>202</w:t>
      </w:r>
      <w:r>
        <w:rPr>
          <w:rFonts w:hint="eastAsia" w:hAnsi="黑体"/>
          <w:kern w:val="2"/>
          <w:sz w:val="32"/>
          <w:szCs w:val="32"/>
          <w:lang w:val="en-US" w:eastAsia="zh-CN"/>
        </w:rPr>
        <w:t>2</w:t>
      </w:r>
      <w:r>
        <w:rPr>
          <w:rFonts w:hAnsi="黑体"/>
          <w:kern w:val="2"/>
          <w:sz w:val="32"/>
          <w:szCs w:val="32"/>
        </w:rPr>
        <w:t>年</w:t>
      </w:r>
      <w:r>
        <w:rPr>
          <w:rFonts w:hint="eastAsia" w:hAnsi="黑体"/>
          <w:kern w:val="2"/>
          <w:sz w:val="32"/>
          <w:szCs w:val="32"/>
        </w:rPr>
        <w:t>未安排政府采购预算。</w:t>
      </w:r>
    </w:p>
    <w:p>
      <w:pPr>
        <w:pStyle w:val="14"/>
        <w:numPr>
          <w:ilvl w:val="0"/>
          <w:numId w:val="2"/>
        </w:numPr>
        <w:spacing w:before="0" w:line="360" w:lineRule="auto"/>
        <w:ind w:firstLine="643" w:firstLineChars="200"/>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国有资产占有使用情况</w:t>
      </w:r>
    </w:p>
    <w:p>
      <w:pPr>
        <w:pStyle w:val="14"/>
        <w:numPr>
          <w:ilvl w:val="0"/>
          <w:numId w:val="0"/>
        </w:numPr>
        <w:spacing w:before="0" w:line="360" w:lineRule="auto"/>
        <w:rPr>
          <w:rFonts w:hint="eastAsia" w:ascii="楷体_GB2312" w:hAnsi="黑体" w:eastAsia="楷体_GB2312" w:cs="楷体_GB2312"/>
          <w:b/>
          <w:bCs/>
          <w:kern w:val="2"/>
          <w:sz w:val="32"/>
          <w:szCs w:val="32"/>
          <w:lang w:val="en-US" w:eastAsia="zh-CN"/>
        </w:rPr>
      </w:pPr>
      <w:r>
        <w:rPr>
          <w:rFonts w:hint="eastAsia" w:ascii="楷体_GB2312" w:hAnsi="黑体" w:eastAsia="楷体_GB2312" w:cs="楷体_GB2312"/>
          <w:b/>
          <w:bCs/>
          <w:kern w:val="2"/>
          <w:sz w:val="32"/>
          <w:szCs w:val="32"/>
          <w:lang w:val="en-US" w:eastAsia="zh-CN"/>
        </w:rPr>
        <w:t xml:space="preserve">   </w:t>
      </w:r>
      <w:r>
        <w:rPr>
          <w:rFonts w:hint="eastAsia" w:ascii="楷体_GB2312" w:hAnsi="黑体" w:eastAsia="楷体_GB2312" w:cs="楷体_GB2312"/>
          <w:b w:val="0"/>
          <w:bCs w:val="0"/>
          <w:kern w:val="2"/>
          <w:sz w:val="32"/>
          <w:szCs w:val="32"/>
          <w:lang w:val="en-US" w:eastAsia="zh-CN"/>
        </w:rPr>
        <w:t xml:space="preserve">   无</w:t>
      </w:r>
    </w:p>
    <w:p>
      <w:pPr>
        <w:pStyle w:val="14"/>
        <w:spacing w:before="0" w:line="360" w:lineRule="auto"/>
        <w:ind w:firstLine="643" w:firstLineChars="200"/>
        <w:rPr>
          <w:rFonts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（四）绩效目标设置情况</w:t>
      </w:r>
    </w:p>
    <w:p>
      <w:pPr>
        <w:pStyle w:val="14"/>
        <w:spacing w:before="0" w:line="360" w:lineRule="auto"/>
        <w:ind w:firstLine="640" w:firstLineChars="200"/>
        <w:rPr>
          <w:rFonts w:hAnsi="黑体"/>
          <w:kern w:val="2"/>
          <w:sz w:val="32"/>
          <w:szCs w:val="32"/>
        </w:rPr>
      </w:pPr>
      <w:r>
        <w:rPr>
          <w:rFonts w:hAnsi="黑体"/>
          <w:kern w:val="2"/>
          <w:sz w:val="32"/>
          <w:szCs w:val="32"/>
        </w:rPr>
        <w:t>202</w:t>
      </w:r>
      <w:r>
        <w:rPr>
          <w:rFonts w:hint="eastAsia" w:hAnsi="黑体"/>
          <w:kern w:val="2"/>
          <w:sz w:val="32"/>
          <w:szCs w:val="32"/>
          <w:lang w:val="en-US" w:eastAsia="zh-CN"/>
        </w:rPr>
        <w:t>2</w:t>
      </w:r>
      <w:r>
        <w:rPr>
          <w:rFonts w:hAnsi="黑体"/>
          <w:kern w:val="2"/>
          <w:sz w:val="32"/>
          <w:szCs w:val="32"/>
        </w:rPr>
        <w:t>年</w:t>
      </w:r>
      <w:r>
        <w:rPr>
          <w:rFonts w:hint="eastAsia" w:hAnsi="黑体"/>
          <w:kern w:val="2"/>
          <w:sz w:val="32"/>
          <w:szCs w:val="32"/>
        </w:rPr>
        <w:t>壤塘县藏洼寺寺庙管理委员会通用项目和专用项目均按要求实行绩效目标管理，涉及一般公共预算当年拨款284.99万元。</w:t>
      </w:r>
    </w:p>
    <w:p>
      <w:pPr>
        <w:pStyle w:val="14"/>
        <w:spacing w:before="0" w:line="360" w:lineRule="auto"/>
        <w:ind w:firstLine="640" w:firstLineChars="200"/>
        <w:rPr>
          <w:rFonts w:ascii="??" w:hAnsi="??" w:eastAsia="宋体" w:cs="Times New Roman"/>
          <w:sz w:val="16"/>
          <w:szCs w:val="16"/>
        </w:rPr>
      </w:pPr>
      <w:r>
        <w:rPr>
          <w:rFonts w:hint="eastAsia" w:ascii="黑体" w:hAnsi="黑体" w:eastAsia="黑体" w:cs="黑体"/>
          <w:kern w:val="2"/>
          <w:sz w:val="32"/>
          <w:szCs w:val="32"/>
        </w:rPr>
        <w:t>十、名词解释</w:t>
      </w:r>
    </w:p>
    <w:p>
      <w:pPr>
        <w:pStyle w:val="14"/>
        <w:spacing w:before="0" w:line="360" w:lineRule="auto"/>
        <w:ind w:firstLine="640" w:firstLineChars="200"/>
        <w:rPr>
          <w:rFonts w:hAnsi="黑体"/>
          <w:kern w:val="2"/>
          <w:sz w:val="32"/>
          <w:szCs w:val="32"/>
        </w:rPr>
      </w:pPr>
      <w:r>
        <w:rPr>
          <w:rFonts w:hint="eastAsia" w:hAnsi="黑体"/>
          <w:kern w:val="2"/>
          <w:sz w:val="32"/>
          <w:szCs w:val="32"/>
        </w:rPr>
        <w:t>（一）财政拨款收入：指由财政拨款形成的部门收入。按现行管理制度，部门预算中反映的财政拨款仅包括一般公共预算拨款和政府性基金预算拨款。</w:t>
      </w:r>
    </w:p>
    <w:p>
      <w:pPr>
        <w:pStyle w:val="14"/>
        <w:spacing w:before="0" w:line="360" w:lineRule="auto"/>
        <w:ind w:firstLine="640" w:firstLineChars="200"/>
        <w:rPr>
          <w:rFonts w:hAnsi="黑体"/>
          <w:kern w:val="2"/>
          <w:sz w:val="32"/>
          <w:szCs w:val="32"/>
        </w:rPr>
      </w:pPr>
      <w:r>
        <w:rPr>
          <w:rFonts w:hint="eastAsia" w:hAnsi="黑体"/>
          <w:kern w:val="2"/>
          <w:sz w:val="32"/>
          <w:szCs w:val="32"/>
        </w:rPr>
        <w:t>（二）事业收入：指所属事业单位开展专业业务活动及辅助活动所取得的收入。</w:t>
      </w:r>
    </w:p>
    <w:p>
      <w:pPr>
        <w:pStyle w:val="14"/>
        <w:spacing w:before="0" w:line="360" w:lineRule="auto"/>
        <w:ind w:firstLine="640" w:firstLineChars="200"/>
        <w:rPr>
          <w:rFonts w:hAnsi="黑体"/>
          <w:kern w:val="2"/>
          <w:sz w:val="32"/>
          <w:szCs w:val="32"/>
        </w:rPr>
      </w:pPr>
      <w:r>
        <w:rPr>
          <w:rFonts w:hint="eastAsia" w:hAnsi="黑体"/>
          <w:kern w:val="2"/>
          <w:sz w:val="32"/>
          <w:szCs w:val="32"/>
        </w:rPr>
        <w:t>（三）事业单位经营收入：指所属事业单位在专业业务活动及其辅助活动之外开展非独立核算经营活动取得的收入。</w:t>
      </w:r>
    </w:p>
    <w:p>
      <w:pPr>
        <w:pStyle w:val="14"/>
        <w:spacing w:before="0" w:line="360" w:lineRule="auto"/>
        <w:ind w:firstLine="640" w:firstLineChars="200"/>
        <w:rPr>
          <w:rFonts w:hAnsi="黑体"/>
          <w:kern w:val="2"/>
          <w:sz w:val="32"/>
          <w:szCs w:val="32"/>
        </w:rPr>
      </w:pPr>
      <w:r>
        <w:rPr>
          <w:rFonts w:hint="eastAsia" w:hAnsi="黑体"/>
          <w:kern w:val="2"/>
          <w:sz w:val="32"/>
          <w:szCs w:val="32"/>
        </w:rPr>
        <w:t>（四）其他收入：指除上述</w:t>
      </w:r>
      <w:r>
        <w:rPr>
          <w:rFonts w:hAnsi="黑体" w:cs="Times New Roman"/>
          <w:kern w:val="2"/>
          <w:sz w:val="32"/>
          <w:szCs w:val="32"/>
        </w:rPr>
        <w:t>“</w:t>
      </w:r>
      <w:r>
        <w:rPr>
          <w:rFonts w:hint="eastAsia" w:hAnsi="黑体"/>
          <w:kern w:val="2"/>
          <w:sz w:val="32"/>
          <w:szCs w:val="32"/>
        </w:rPr>
        <w:t>财政拨款收入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事业单位经营收入</w:t>
      </w:r>
      <w:r>
        <w:rPr>
          <w:rFonts w:hAnsi="黑体" w:cs="Times New Roman"/>
          <w:kern w:val="2"/>
          <w:sz w:val="32"/>
          <w:szCs w:val="32"/>
        </w:rPr>
        <w:t>”</w:t>
      </w:r>
      <w:r>
        <w:rPr>
          <w:rFonts w:hint="eastAsia" w:hAnsi="黑体"/>
          <w:kern w:val="2"/>
          <w:sz w:val="32"/>
          <w:szCs w:val="32"/>
        </w:rPr>
        <w:t>等以外的收入，主要是所属行政事业单位按规定动用的售房收入、存款利息收入等。</w:t>
      </w:r>
    </w:p>
    <w:p>
      <w:pPr>
        <w:pStyle w:val="14"/>
        <w:spacing w:before="0" w:line="360" w:lineRule="auto"/>
        <w:ind w:firstLine="640" w:firstLineChars="200"/>
        <w:rPr>
          <w:rFonts w:hAnsi="黑体"/>
          <w:kern w:val="2"/>
          <w:sz w:val="32"/>
          <w:szCs w:val="32"/>
        </w:rPr>
      </w:pPr>
      <w:r>
        <w:rPr>
          <w:rFonts w:hint="eastAsia" w:hAnsi="黑体"/>
          <w:kern w:val="2"/>
          <w:sz w:val="32"/>
          <w:szCs w:val="32"/>
        </w:rPr>
        <w:t>（五）用事业基金弥补收支差额：指所属事业单位在预计用当年的</w:t>
      </w:r>
      <w:r>
        <w:rPr>
          <w:rFonts w:hAnsi="黑体" w:cs="Times New Roman"/>
          <w:kern w:val="2"/>
          <w:sz w:val="32"/>
          <w:szCs w:val="32"/>
        </w:rPr>
        <w:t>“</w:t>
      </w:r>
      <w:r>
        <w:rPr>
          <w:rFonts w:hint="eastAsia" w:hAnsi="黑体"/>
          <w:kern w:val="2"/>
          <w:sz w:val="32"/>
          <w:szCs w:val="32"/>
        </w:rPr>
        <w:t>财政拨款收入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事业单位经营收入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其他收入</w:t>
      </w:r>
      <w:r>
        <w:rPr>
          <w:rFonts w:hAnsi="黑体" w:cs="Times New Roman"/>
          <w:kern w:val="2"/>
          <w:sz w:val="32"/>
          <w:szCs w:val="32"/>
        </w:rPr>
        <w:t>”</w:t>
      </w:r>
      <w:r>
        <w:rPr>
          <w:rFonts w:hint="eastAsia" w:hAnsi="黑体"/>
          <w:kern w:val="2"/>
          <w:sz w:val="32"/>
          <w:szCs w:val="32"/>
        </w:rPr>
        <w:t>不足以安排当年支出的情况下，使用以前年度积累的事业基金弥补本年度收支缺口的资金。</w:t>
      </w:r>
    </w:p>
    <w:p>
      <w:pPr>
        <w:pStyle w:val="14"/>
        <w:spacing w:before="0" w:line="360" w:lineRule="auto"/>
        <w:ind w:firstLine="640" w:firstLineChars="200"/>
        <w:rPr>
          <w:rFonts w:hAnsi="黑体" w:cs="Times New Roman"/>
          <w:kern w:val="2"/>
          <w:sz w:val="32"/>
          <w:szCs w:val="32"/>
        </w:rPr>
      </w:pPr>
      <w:r>
        <w:rPr>
          <w:rFonts w:hint="eastAsia" w:hAnsi="黑体"/>
          <w:kern w:val="2"/>
          <w:sz w:val="32"/>
          <w:szCs w:val="32"/>
        </w:rPr>
        <w:t>（六）上年结转：指所属行政事业单位以前年度尚未完成、结转至本年按原规定用途继续使用的资金和以前年度已完成项目剩余资金经批准用于新用途使用的资金。</w:t>
      </w:r>
    </w:p>
    <w:p>
      <w:pPr>
        <w:rPr>
          <w:rFonts w:ascii="仿宋_GB2312" w:hAnsi="黑体"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27FE7"/>
    <w:multiLevelType w:val="multilevel"/>
    <w:tmpl w:val="28F27FE7"/>
    <w:lvl w:ilvl="0" w:tentative="0">
      <w:start w:val="1"/>
      <w:numFmt w:val="japaneseCounting"/>
      <w:lvlText w:val="%1、"/>
      <w:lvlJc w:val="left"/>
      <w:pPr>
        <w:ind w:left="880" w:hanging="8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4144BA5"/>
    <w:multiLevelType w:val="singleLevel"/>
    <w:tmpl w:val="44144BA5"/>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854"/>
    <w:rsid w:val="00013F89"/>
    <w:rsid w:val="00085137"/>
    <w:rsid w:val="00097A74"/>
    <w:rsid w:val="000B531A"/>
    <w:rsid w:val="0010091B"/>
    <w:rsid w:val="00114D56"/>
    <w:rsid w:val="00255D9A"/>
    <w:rsid w:val="00260082"/>
    <w:rsid w:val="002D5F48"/>
    <w:rsid w:val="00317D47"/>
    <w:rsid w:val="00352854"/>
    <w:rsid w:val="0036094C"/>
    <w:rsid w:val="003655F9"/>
    <w:rsid w:val="003762A5"/>
    <w:rsid w:val="0038118F"/>
    <w:rsid w:val="003C7843"/>
    <w:rsid w:val="003D7B56"/>
    <w:rsid w:val="003D7B5B"/>
    <w:rsid w:val="00405039"/>
    <w:rsid w:val="004142C9"/>
    <w:rsid w:val="004465FF"/>
    <w:rsid w:val="00471829"/>
    <w:rsid w:val="0047755A"/>
    <w:rsid w:val="00484AEB"/>
    <w:rsid w:val="004A17D7"/>
    <w:rsid w:val="004F177A"/>
    <w:rsid w:val="004F55B1"/>
    <w:rsid w:val="0050530E"/>
    <w:rsid w:val="00523AD8"/>
    <w:rsid w:val="00527A2C"/>
    <w:rsid w:val="005357A1"/>
    <w:rsid w:val="00541CE8"/>
    <w:rsid w:val="00556281"/>
    <w:rsid w:val="005E5C01"/>
    <w:rsid w:val="00621612"/>
    <w:rsid w:val="00643A51"/>
    <w:rsid w:val="00681CB7"/>
    <w:rsid w:val="00691B8A"/>
    <w:rsid w:val="006B5A90"/>
    <w:rsid w:val="00700A68"/>
    <w:rsid w:val="00746EF0"/>
    <w:rsid w:val="007B3677"/>
    <w:rsid w:val="007C7CD1"/>
    <w:rsid w:val="00804603"/>
    <w:rsid w:val="00825013"/>
    <w:rsid w:val="008570FD"/>
    <w:rsid w:val="008A5FB8"/>
    <w:rsid w:val="008D1B93"/>
    <w:rsid w:val="008F63EB"/>
    <w:rsid w:val="00911620"/>
    <w:rsid w:val="00915755"/>
    <w:rsid w:val="0093727E"/>
    <w:rsid w:val="0095666B"/>
    <w:rsid w:val="00981A87"/>
    <w:rsid w:val="00987B5A"/>
    <w:rsid w:val="009A09E2"/>
    <w:rsid w:val="009A7871"/>
    <w:rsid w:val="009B2055"/>
    <w:rsid w:val="009B41C7"/>
    <w:rsid w:val="009C5F76"/>
    <w:rsid w:val="009F17B5"/>
    <w:rsid w:val="00A0210B"/>
    <w:rsid w:val="00A55379"/>
    <w:rsid w:val="00AC53FF"/>
    <w:rsid w:val="00AC6CD8"/>
    <w:rsid w:val="00B052FB"/>
    <w:rsid w:val="00B55712"/>
    <w:rsid w:val="00B713B0"/>
    <w:rsid w:val="00B739DE"/>
    <w:rsid w:val="00BB1BBF"/>
    <w:rsid w:val="00BB3C85"/>
    <w:rsid w:val="00C0348B"/>
    <w:rsid w:val="00C37478"/>
    <w:rsid w:val="00C451EA"/>
    <w:rsid w:val="00C8183B"/>
    <w:rsid w:val="00D44AFA"/>
    <w:rsid w:val="00D7216F"/>
    <w:rsid w:val="00DC327F"/>
    <w:rsid w:val="00E528DD"/>
    <w:rsid w:val="00E91AC9"/>
    <w:rsid w:val="00EA3851"/>
    <w:rsid w:val="00EA7BD5"/>
    <w:rsid w:val="00EB283B"/>
    <w:rsid w:val="00EB6F15"/>
    <w:rsid w:val="00EF71D0"/>
    <w:rsid w:val="00F07A99"/>
    <w:rsid w:val="00F25756"/>
    <w:rsid w:val="00F33798"/>
    <w:rsid w:val="00F743F0"/>
    <w:rsid w:val="00F806C0"/>
    <w:rsid w:val="00F80C32"/>
    <w:rsid w:val="00FE5BF1"/>
    <w:rsid w:val="00FF11B9"/>
    <w:rsid w:val="00FF4B91"/>
    <w:rsid w:val="04BF5681"/>
    <w:rsid w:val="06542833"/>
    <w:rsid w:val="260705BB"/>
    <w:rsid w:val="3E6D7E48"/>
    <w:rsid w:val="4E467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2"/>
    <w:basedOn w:val="1"/>
    <w:next w:val="1"/>
    <w:unhideWhenUsed/>
    <w:qFormat/>
    <w:locked/>
    <w:uiPriority w:val="9"/>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9"/>
    <w:qFormat/>
    <w:uiPriority w:val="0"/>
    <w:pPr>
      <w:tabs>
        <w:tab w:val="left" w:pos="960"/>
      </w:tabs>
      <w:spacing w:after="0" w:line="540" w:lineRule="exact"/>
      <w:ind w:left="0" w:leftChars="0" w:firstLine="420" w:firstLineChars="200"/>
    </w:pPr>
    <w:rPr>
      <w:rFonts w:ascii="Times New Roman" w:hAnsi="Times New Roman" w:cs="Times New Roman"/>
      <w:sz w:val="32"/>
      <w:szCs w:val="32"/>
    </w:rPr>
  </w:style>
  <w:style w:type="paragraph" w:styleId="3">
    <w:name w:val="Body Text Indent"/>
    <w:basedOn w:val="1"/>
    <w:next w:val="2"/>
    <w:link w:val="18"/>
    <w:semiHidden/>
    <w:unhideWhenUsed/>
    <w:uiPriority w:val="99"/>
    <w:pPr>
      <w:spacing w:after="120"/>
      <w:ind w:left="420" w:leftChars="200"/>
    </w:pPr>
  </w:style>
  <w:style w:type="paragraph" w:styleId="5">
    <w:name w:val="Plain Text"/>
    <w:basedOn w:val="1"/>
    <w:qFormat/>
    <w:uiPriority w:val="99"/>
    <w:rPr>
      <w:rFonts w:ascii="宋体" w:hAnsi="Courier New" w:eastAsia="仿宋" w:cs="Arial Unicode MS"/>
      <w:kern w:val="0"/>
      <w:sz w:val="32"/>
      <w:szCs w:val="21"/>
      <w:lang w:bidi="bo-CN"/>
    </w:rPr>
  </w:style>
  <w:style w:type="paragraph" w:styleId="6">
    <w:name w:val="footer"/>
    <w:basedOn w:val="1"/>
    <w:link w:val="13"/>
    <w:semiHidden/>
    <w:qFormat/>
    <w:uiPriority w:val="99"/>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cs="Times New Roman" w:asciiTheme="minorHAnsi" w:hAnsiTheme="minorHAnsi" w:eastAsiaTheme="minorEastAsia"/>
      <w:kern w:val="0"/>
      <w:sz w:val="24"/>
      <w:szCs w:val="24"/>
    </w:rPr>
  </w:style>
  <w:style w:type="character" w:styleId="11">
    <w:name w:val="Emphasis"/>
    <w:basedOn w:val="10"/>
    <w:qFormat/>
    <w:uiPriority w:val="99"/>
  </w:style>
  <w:style w:type="character" w:customStyle="1" w:styleId="12">
    <w:name w:val="页眉 字符"/>
    <w:basedOn w:val="10"/>
    <w:link w:val="7"/>
    <w:qFormat/>
    <w:locked/>
    <w:uiPriority w:val="0"/>
    <w:rPr>
      <w:sz w:val="18"/>
      <w:szCs w:val="18"/>
    </w:rPr>
  </w:style>
  <w:style w:type="character" w:customStyle="1" w:styleId="13">
    <w:name w:val="页脚 字符"/>
    <w:basedOn w:val="10"/>
    <w:link w:val="6"/>
    <w:semiHidden/>
    <w:qFormat/>
    <w:locked/>
    <w:uiPriority w:val="99"/>
    <w:rPr>
      <w:sz w:val="18"/>
      <w:szCs w:val="18"/>
    </w:rPr>
  </w:style>
  <w:style w:type="paragraph" w:customStyle="1" w:styleId="14">
    <w:name w:val="正文文本1"/>
    <w:basedOn w:val="1"/>
    <w:qFormat/>
    <w:uiPriority w:val="99"/>
    <w:pPr>
      <w:spacing w:before="93"/>
    </w:pPr>
    <w:rPr>
      <w:rFonts w:ascii="仿宋_GB2312" w:hAnsi="仿宋_GB2312" w:eastAsia="仿宋_GB2312" w:cs="仿宋_GB2312"/>
      <w:kern w:val="0"/>
      <w:sz w:val="30"/>
      <w:szCs w:val="30"/>
    </w:rPr>
  </w:style>
  <w:style w:type="character" w:customStyle="1" w:styleId="15">
    <w:name w:val="默认段落字体1"/>
    <w:qFormat/>
    <w:uiPriority w:val="99"/>
    <w:rPr>
      <w:sz w:val="22"/>
      <w:szCs w:val="22"/>
    </w:rPr>
  </w:style>
  <w:style w:type="paragraph" w:customStyle="1" w:styleId="16">
    <w:name w:val="列出段落1"/>
    <w:basedOn w:val="1"/>
    <w:qFormat/>
    <w:uiPriority w:val="99"/>
    <w:pPr>
      <w:ind w:firstLine="420" w:firstLineChars="200"/>
    </w:pPr>
  </w:style>
  <w:style w:type="paragraph" w:styleId="17">
    <w:name w:val="List Paragraph"/>
    <w:basedOn w:val="1"/>
    <w:qFormat/>
    <w:uiPriority w:val="34"/>
    <w:pPr>
      <w:ind w:firstLine="420" w:firstLineChars="200"/>
    </w:pPr>
  </w:style>
  <w:style w:type="character" w:customStyle="1" w:styleId="18">
    <w:name w:val="正文文本缩进 字符"/>
    <w:basedOn w:val="10"/>
    <w:link w:val="3"/>
    <w:semiHidden/>
    <w:qFormat/>
    <w:uiPriority w:val="99"/>
    <w:rPr>
      <w:rFonts w:cs="Calibri"/>
      <w:kern w:val="2"/>
      <w:sz w:val="21"/>
      <w:szCs w:val="21"/>
    </w:rPr>
  </w:style>
  <w:style w:type="character" w:customStyle="1" w:styleId="19">
    <w:name w:val="正文首行缩进 2 字符"/>
    <w:basedOn w:val="18"/>
    <w:link w:val="2"/>
    <w:qFormat/>
    <w:uiPriority w:val="0"/>
    <w:rPr>
      <w:rFonts w:ascii="Times New Roman" w:hAnsi="Times New Roman" w:cs="Calibri"/>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9</Pages>
  <Words>542</Words>
  <Characters>3093</Characters>
  <Lines>25</Lines>
  <Paragraphs>7</Paragraphs>
  <TotalTime>10</TotalTime>
  <ScaleCrop>false</ScaleCrop>
  <LinksUpToDate>false</LinksUpToDate>
  <CharactersWithSpaces>3628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2021-04-15T14:08:00Z</dcterms:created>
  <dc:creator>薛永萍</dc:creator>
  <cp:lastModifiedBy>九八年生于南方</cp:lastModifiedBy>
  <cp:lastPrinted>2021-04-20T03:00:00Z</cp:lastPrinted>
  <dcterms:modified xsi:type="dcterms:W3CDTF">2022-01-16T06:43:25Z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02F9A72B61E7462281D2C2A4282C297E</vt:lpwstr>
  </property>
</Properties>
</file>