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壤塘县城乡文明综合服务中心</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cente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rPr>
          <w:rFonts w:hint="eastAsia" w:ascii="Times New Roman" w:hAnsi="Times New Roman" w:eastAsia="黑体"/>
          <w:color w:val="auto"/>
          <w:sz w:val="48"/>
          <w:szCs w:val="48"/>
          <w:highlight w:val="none"/>
        </w:rPr>
      </w:pPr>
    </w:p>
    <w:p>
      <w:pPr>
        <w:pStyle w:val="2"/>
        <w:rPr>
          <w:rFonts w:hint="eastAsia" w:ascii="Times New Roman" w:hAnsi="Times New Roman" w:eastAsia="黑体"/>
          <w:color w:val="auto"/>
          <w:sz w:val="48"/>
          <w:szCs w:val="48"/>
          <w:highlight w:val="none"/>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default" w:ascii="Times New Roman" w:hAnsi="Times New Roman" w:eastAsia="仿宋_GB2312" w:cs="仿宋_GB2312"/>
          <w:color w:val="auto"/>
          <w:sz w:val="32"/>
          <w:szCs w:val="32"/>
          <w:highlight w:val="none"/>
          <w:lang w:val="en-US"/>
        </w:rPr>
        <w:t>10</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US"/>
        </w:rPr>
        <w:t>2</w:t>
      </w: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tabs>
          <w:tab w:val="right" w:leader="dot" w:pos="8306"/>
          <w:tab w:val="clear" w:pos="8296"/>
        </w:tabs>
      </w:pPr>
      <w:bookmarkStart w:id="0" w:name="_Toc15377196"/>
      <w:bookmarkStart w:id="1" w:name="_Toc15396599"/>
      <w:r>
        <w:rPr>
          <w:rFonts w:hint="eastAsia" w:ascii="Times New Roman" w:hAnsi="Times New Roman" w:eastAsia="方正小标宋简体" w:cs="方正小标宋简体"/>
          <w:b w:val="0"/>
          <w:color w:val="auto"/>
          <w:highlight w:val="none"/>
        </w:rPr>
        <w:fldChar w:fldCharType="begin"/>
      </w:r>
      <w:r>
        <w:rPr>
          <w:rFonts w:hint="eastAsia" w:ascii="Times New Roman" w:hAnsi="Times New Roman" w:eastAsia="方正小标宋简体" w:cs="方正小标宋简体"/>
          <w:b w:val="0"/>
          <w:color w:val="auto"/>
          <w:highlight w:val="none"/>
        </w:rPr>
        <w:instrText xml:space="preserve">TOC \o "1-2" \h \u </w:instrText>
      </w:r>
      <w:r>
        <w:rPr>
          <w:rFonts w:hint="eastAsia" w:ascii="Times New Roman" w:hAnsi="Times New Roman" w:eastAsia="方正小标宋简体" w:cs="方正小标宋简体"/>
          <w:b w:val="0"/>
          <w:color w:val="auto"/>
          <w:highlight w:val="none"/>
        </w:rPr>
        <w:fldChar w:fldCharType="separate"/>
      </w: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_Toc1842536269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_Toc1842536269 \h </w:instrText>
      </w:r>
      <w:r>
        <w:fldChar w:fldCharType="separate"/>
      </w:r>
      <w:r>
        <w:t>1</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_Toc532579114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_Toc532579114 \h </w:instrText>
      </w:r>
      <w:r>
        <w:fldChar w:fldCharType="separate"/>
      </w:r>
      <w:r>
        <w:t>1</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_Toc2109245040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_Toc2109245040 \h </w:instrText>
      </w:r>
      <w:r>
        <w:fldChar w:fldCharType="separate"/>
      </w:r>
      <w:r>
        <w:t>1</w:t>
      </w:r>
      <w:r>
        <w:fldChar w:fldCharType="end"/>
      </w:r>
      <w:r>
        <w:rPr>
          <w:rFonts w:hint="eastAsia" w:ascii="Times New Roman" w:hAnsi="Times New Roman" w:eastAsia="方正小标宋简体" w:cs="方正小标宋简体"/>
          <w:color w:val="auto"/>
          <w:highlight w:val="none"/>
        </w:rPr>
        <w:fldChar w:fldCharType="end"/>
      </w:r>
    </w:p>
    <w:p>
      <w:pPr>
        <w:pStyle w:val="13"/>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_Toc54992230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第二部分</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_Toc54992230 \h </w:instrText>
      </w:r>
      <w:r>
        <w:fldChar w:fldCharType="separate"/>
      </w:r>
      <w:r>
        <w:t>2</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_Toc189228317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_Toc189228317 \h </w:instrText>
      </w:r>
      <w:r>
        <w:fldChar w:fldCharType="separate"/>
      </w:r>
      <w:r>
        <w:t>2</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_Toc10148476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_Toc10148476 \h </w:instrText>
      </w:r>
      <w:r>
        <w:fldChar w:fldCharType="separate"/>
      </w:r>
      <w:r>
        <w:t>2</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_Toc1132345281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_Toc1132345281 \h </w:instrText>
      </w:r>
      <w:r>
        <w:fldChar w:fldCharType="separate"/>
      </w:r>
      <w:r>
        <w:t>3</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_Toc400235394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_Toc400235394 \h </w:instrText>
      </w:r>
      <w:r>
        <w:fldChar w:fldCharType="separate"/>
      </w:r>
      <w:r>
        <w:t>3</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_Toc65775986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_Toc65775986 \h </w:instrText>
      </w:r>
      <w:r>
        <w:fldChar w:fldCharType="separate"/>
      </w:r>
      <w:r>
        <w:t>4</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_Toc1782734440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_Toc1782734440 \h </w:instrText>
      </w:r>
      <w:r>
        <w:fldChar w:fldCharType="separate"/>
      </w:r>
      <w:r>
        <w:t>7</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_Toc1102687701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_Toc1102687701 \h </w:instrText>
      </w:r>
      <w:r>
        <w:fldChar w:fldCharType="separate"/>
      </w:r>
      <w:r>
        <w:t>7</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_Toc1547124830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_Toc1547124830 \h </w:instrText>
      </w:r>
      <w:r>
        <w:fldChar w:fldCharType="separate"/>
      </w:r>
      <w:r>
        <w:t>9</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_Toc25112114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_Toc25112114 \h </w:instrText>
      </w:r>
      <w:r>
        <w:fldChar w:fldCharType="separate"/>
      </w:r>
      <w:r>
        <w:t>9</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_Toc1136052954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_Toc1136052954 \h </w:instrText>
      </w:r>
      <w:r>
        <w:fldChar w:fldCharType="separate"/>
      </w:r>
      <w:r>
        <w:t>9</w:t>
      </w:r>
      <w:r>
        <w:fldChar w:fldCharType="end"/>
      </w:r>
      <w:r>
        <w:rPr>
          <w:rFonts w:hint="eastAsia" w:ascii="Times New Roman" w:hAnsi="Times New Roman" w:eastAsia="方正小标宋简体" w:cs="方正小标宋简体"/>
          <w:color w:val="auto"/>
          <w:highlight w:val="none"/>
        </w:rPr>
        <w:fldChar w:fldCharType="end"/>
      </w:r>
    </w:p>
    <w:p>
      <w:pPr>
        <w:pStyle w:val="13"/>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_Toc1957696752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部分名词解释</w:t>
      </w:r>
      <w:r>
        <w:tab/>
      </w:r>
      <w:r>
        <w:fldChar w:fldCharType="begin"/>
      </w:r>
      <w:r>
        <w:instrText xml:space="preserve"> PAGEREF _Toc1957696752 \h </w:instrText>
      </w:r>
      <w:r>
        <w:fldChar w:fldCharType="separate"/>
      </w:r>
      <w:r>
        <w:t>12</w:t>
      </w:r>
      <w:r>
        <w:fldChar w:fldCharType="end"/>
      </w:r>
      <w:r>
        <w:rPr>
          <w:rFonts w:hint="eastAsia" w:ascii="Times New Roman" w:hAnsi="Times New Roman" w:eastAsia="方正小标宋简体" w:cs="方正小标宋简体"/>
          <w:color w:val="auto"/>
          <w:highlight w:val="none"/>
        </w:rPr>
        <w:fldChar w:fldCharType="end"/>
      </w:r>
    </w:p>
    <w:p>
      <w:pPr>
        <w:pStyle w:val="13"/>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_Toc66190038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44"/>
          <w:highlight w:val="none"/>
        </w:rPr>
        <w:t>第四部分附件</w:t>
      </w:r>
      <w:r>
        <w:tab/>
      </w:r>
      <w:r>
        <w:fldChar w:fldCharType="begin"/>
      </w:r>
      <w:r>
        <w:instrText xml:space="preserve"> PAGEREF _Toc66190038 \h </w:instrText>
      </w:r>
      <w:r>
        <w:fldChar w:fldCharType="separate"/>
      </w:r>
      <w:r>
        <w:t>16</w:t>
      </w:r>
      <w:r>
        <w:fldChar w:fldCharType="end"/>
      </w:r>
      <w:r>
        <w:rPr>
          <w:rFonts w:hint="eastAsia" w:ascii="Times New Roman" w:hAnsi="Times New Roman" w:eastAsia="方正小标宋简体" w:cs="方正小标宋简体"/>
          <w:color w:val="auto"/>
          <w:highlight w:val="none"/>
        </w:rPr>
        <w:fldChar w:fldCharType="end"/>
      </w:r>
    </w:p>
    <w:p>
      <w:pPr>
        <w:pStyle w:val="13"/>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_Toc852749861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第五部分附表</w:t>
      </w:r>
      <w:r>
        <w:tab/>
      </w:r>
      <w:r>
        <w:fldChar w:fldCharType="begin"/>
      </w:r>
      <w:r>
        <w:instrText xml:space="preserve"> PAGEREF _Toc852749861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_Toc1933036304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一、收入支出决算总表</w:t>
      </w:r>
      <w:r>
        <w:tab/>
      </w:r>
      <w:r>
        <w:fldChar w:fldCharType="begin"/>
      </w:r>
      <w:r>
        <w:instrText xml:space="preserve"> PAGEREF _Toc1933036304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_Toc1511812209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二、收入决算表</w:t>
      </w:r>
      <w:r>
        <w:tab/>
      </w:r>
      <w:r>
        <w:fldChar w:fldCharType="begin"/>
      </w:r>
      <w:r>
        <w:instrText xml:space="preserve"> PAGEREF _Toc1511812209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_Toc1937976789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三、支出决算表</w:t>
      </w:r>
      <w:r>
        <w:tab/>
      </w:r>
      <w:r>
        <w:fldChar w:fldCharType="begin"/>
      </w:r>
      <w:r>
        <w:instrText xml:space="preserve"> PAGEREF _Toc1937976789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_Toc2031869614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四、财政拨款收入支出决算总表</w:t>
      </w:r>
      <w:r>
        <w:tab/>
      </w:r>
      <w:r>
        <w:fldChar w:fldCharType="begin"/>
      </w:r>
      <w:r>
        <w:instrText xml:space="preserve"> PAGEREF _Toc2031869614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_Toc1501764229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五、财政拨款支出决算明细表</w:t>
      </w:r>
      <w:r>
        <w:tab/>
      </w:r>
      <w:r>
        <w:fldChar w:fldCharType="begin"/>
      </w:r>
      <w:r>
        <w:instrText xml:space="preserve"> PAGEREF _Toc1501764229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_Toc367287986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六、一般公共预算财政拨款支出决算表</w:t>
      </w:r>
      <w:r>
        <w:tab/>
      </w:r>
      <w:r>
        <w:fldChar w:fldCharType="begin"/>
      </w:r>
      <w:r>
        <w:instrText xml:space="preserve"> PAGEREF _Toc367287986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_Toc965262894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七、一般公共预算财政拨款支出决算明细表</w:t>
      </w:r>
      <w:r>
        <w:tab/>
      </w:r>
      <w:r>
        <w:fldChar w:fldCharType="begin"/>
      </w:r>
      <w:r>
        <w:instrText xml:space="preserve"> PAGEREF _Toc965262894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_Toc864363489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八、一般公共预算财政拨款基本支出决算表</w:t>
      </w:r>
      <w:r>
        <w:tab/>
      </w:r>
      <w:r>
        <w:fldChar w:fldCharType="begin"/>
      </w:r>
      <w:r>
        <w:instrText xml:space="preserve"> PAGEREF _Toc864363489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_Toc62340607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九、一般公共预算财政拨款项目支出决算表</w:t>
      </w:r>
      <w:r>
        <w:tab/>
      </w:r>
      <w:r>
        <w:fldChar w:fldCharType="begin"/>
      </w:r>
      <w:r>
        <w:instrText xml:space="preserve"> PAGEREF _Toc62340607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_Toc1497842008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十、政府性基金预算财政拨款收入支出决算表</w:t>
      </w:r>
      <w:r>
        <w:tab/>
      </w:r>
      <w:r>
        <w:fldChar w:fldCharType="begin"/>
      </w:r>
      <w:r>
        <w:instrText xml:space="preserve"> PAGEREF _Toc1497842008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_Toc826124881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十一、国有资本经营预算</w:t>
      </w:r>
      <w:r>
        <w:rPr>
          <w:rFonts w:hint="eastAsia" w:ascii="Times New Roman" w:hAnsi="Times New Roman" w:eastAsia="黑体"/>
          <w:szCs w:val="32"/>
          <w:highlight w:val="none"/>
          <w:lang w:eastAsia="zh-CN"/>
        </w:rPr>
        <w:t>财政拨款收入</w:t>
      </w:r>
      <w:r>
        <w:rPr>
          <w:rFonts w:hint="eastAsia" w:ascii="Times New Roman" w:hAnsi="Times New Roman" w:eastAsia="黑体"/>
          <w:szCs w:val="32"/>
          <w:highlight w:val="none"/>
        </w:rPr>
        <w:t>支出决算表</w:t>
      </w:r>
      <w:r>
        <w:tab/>
      </w:r>
      <w:r>
        <w:fldChar w:fldCharType="begin"/>
      </w:r>
      <w:r>
        <w:instrText xml:space="preserve"> PAGEREF _Toc826124881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_Toc117332838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十二、</w:t>
      </w:r>
      <w:r>
        <w:rPr>
          <w:rFonts w:hint="eastAsia" w:ascii="Times New Roman" w:hAnsi="Times New Roman" w:eastAsia="黑体"/>
          <w:szCs w:val="32"/>
          <w:highlight w:val="none"/>
          <w:lang w:eastAsia="zh-CN"/>
        </w:rPr>
        <w:t>国有资本经营预算财政拨款支出决算表</w:t>
      </w:r>
      <w:r>
        <w:tab/>
      </w:r>
      <w:r>
        <w:fldChar w:fldCharType="begin"/>
      </w:r>
      <w:r>
        <w:instrText xml:space="preserve"> PAGEREF _Toc117332838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15"/>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_Toc1687070326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十三、</w:t>
      </w:r>
      <w:r>
        <w:rPr>
          <w:rFonts w:hint="eastAsia" w:ascii="Times New Roman" w:hAnsi="Times New Roman" w:eastAsia="黑体"/>
          <w:szCs w:val="32"/>
          <w:highlight w:val="none"/>
          <w:lang w:eastAsia="zh-CN"/>
        </w:rPr>
        <w:t>财政拨款“三公”经费支出决算表</w:t>
      </w:r>
      <w:r>
        <w:tab/>
      </w:r>
      <w:r>
        <w:fldChar w:fldCharType="begin"/>
      </w:r>
      <w:r>
        <w:instrText xml:space="preserve"> PAGEREF _Toc1687070326 \h </w:instrText>
      </w:r>
      <w:r>
        <w:fldChar w:fldCharType="separate"/>
      </w:r>
      <w:r>
        <w:t>25</w:t>
      </w:r>
      <w:r>
        <w:fldChar w:fldCharType="end"/>
      </w:r>
      <w:r>
        <w:rPr>
          <w:rFonts w:hint="eastAsia" w:ascii="Times New Roman" w:hAnsi="Times New Roman" w:eastAsia="方正小标宋简体" w:cs="方正小标宋简体"/>
          <w:color w:val="auto"/>
          <w:highlight w:val="none"/>
        </w:rPr>
        <w:fldChar w:fldCharType="end"/>
      </w:r>
    </w:p>
    <w:p>
      <w:pPr>
        <w:pStyle w:val="3"/>
        <w:jc w:val="center"/>
        <w:rPr>
          <w:rFonts w:hint="eastAsia" w:ascii="Times New Roman" w:hAnsi="Times New Roman" w:eastAsia="方正小标宋简体" w:cs="方正小标宋简体"/>
          <w:b w:val="0"/>
          <w:color w:val="auto"/>
          <w:highlight w:val="none"/>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方正小标宋简体" w:cs="方正小标宋简体"/>
          <w:color w:val="auto"/>
          <w:highlight w:val="none"/>
        </w:rPr>
        <w:fldChar w:fldCharType="end"/>
      </w:r>
    </w:p>
    <w:p>
      <w:pPr>
        <w:pStyle w:val="3"/>
        <w:jc w:val="center"/>
        <w:rPr>
          <w:rFonts w:ascii="Times New Roman" w:hAnsi="Times New Roman" w:eastAsia="黑体"/>
          <w:color w:val="auto"/>
          <w:sz w:val="32"/>
          <w:szCs w:val="32"/>
          <w:highlight w:val="none"/>
        </w:rPr>
      </w:pPr>
      <w:bookmarkStart w:id="2" w:name="_Toc1842536269"/>
      <w:r>
        <w:rPr>
          <w:rFonts w:hint="eastAsia" w:ascii="Times New Roman" w:hAnsi="Times New Roman" w:eastAsia="方正小标宋简体" w:cs="方正小标宋简体"/>
          <w:b w:val="0"/>
          <w:color w:val="auto"/>
          <w:highlight w:val="none"/>
        </w:rPr>
        <w:t>第一部分</w:t>
      </w:r>
      <w:r>
        <w:rPr>
          <w:rStyle w:val="29"/>
          <w:rFonts w:hint="eastAsia" w:ascii="Times New Roman" w:hAnsi="Times New Roman" w:eastAsia="方正小标宋简体" w:cs="方正小标宋简体"/>
          <w:b w:val="0"/>
          <w:bCs w:val="0"/>
          <w:color w:val="auto"/>
          <w:highlight w:val="none"/>
        </w:rPr>
        <w:t>部门概况</w:t>
      </w:r>
      <w:bookmarkEnd w:id="0"/>
      <w:bookmarkEnd w:id="1"/>
      <w:bookmarkEnd w:id="2"/>
    </w:p>
    <w:p>
      <w:pPr>
        <w:pStyle w:val="4"/>
        <w:rPr>
          <w:rFonts w:hint="eastAsia" w:ascii="Times New Roman" w:hAnsi="Times New Roman" w:eastAsia="黑体"/>
          <w:b w:val="0"/>
          <w:color w:val="auto"/>
          <w:highlight w:val="none"/>
          <w:lang w:eastAsia="zh-CN"/>
        </w:rPr>
      </w:pPr>
      <w:bookmarkStart w:id="3" w:name="_Toc15377197"/>
      <w:bookmarkStart w:id="4" w:name="_Toc15396600"/>
      <w:bookmarkStart w:id="5" w:name="_Toc532579114"/>
      <w:r>
        <w:rPr>
          <w:rFonts w:hint="eastAsia" w:ascii="Times New Roman" w:hAnsi="Times New Roman" w:eastAsia="黑体"/>
          <w:b w:val="0"/>
          <w:color w:val="auto"/>
          <w:highlight w:val="none"/>
        </w:rPr>
        <w:t>一、</w:t>
      </w:r>
      <w:bookmarkEnd w:id="3"/>
      <w:bookmarkEnd w:id="4"/>
      <w:r>
        <w:rPr>
          <w:rFonts w:hint="eastAsia" w:ascii="Times New Roman" w:hAnsi="Times New Roman" w:eastAsia="黑体"/>
          <w:b w:val="0"/>
          <w:color w:val="auto"/>
          <w:highlight w:val="none"/>
          <w:lang w:eastAsia="zh-CN"/>
        </w:rPr>
        <w:t>部门职责</w:t>
      </w:r>
      <w:bookmarkEnd w:id="5"/>
    </w:p>
    <w:p>
      <w:pPr>
        <w:pStyle w:val="4"/>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6" w:name="_Toc2109245040"/>
      <w:bookmarkStart w:id="7" w:name="_Toc15396601"/>
      <w:bookmarkStart w:id="8" w:name="_Toc15377200"/>
      <w:r>
        <w:rPr>
          <w:rFonts w:hint="eastAsia" w:ascii="Times New Roman" w:hAnsi="Times New Roman" w:eastAsia="仿宋_GB2312" w:cs="仿宋_GB2312"/>
          <w:b w:val="0"/>
          <w:bCs w:val="0"/>
          <w:color w:val="auto"/>
          <w:kern w:val="2"/>
          <w:sz w:val="32"/>
          <w:szCs w:val="32"/>
          <w:highlight w:val="none"/>
          <w:lang w:val="en-US" w:eastAsia="zh-CN" w:bidi="ar-SA"/>
        </w:rPr>
        <w:t>贯彻落实国家、省、州城市管理相关政策措施，编制城市管理相关计划与规划，推动城市综合环境整治相关政策、法律、法规落地执行；负责城市园林绿化规划及管理，市政设施规划、管理以及市政工程管理与实施，开展城市市容环境卫生管理，对无物业管理商业区、小区实施物业监督管理，推进城乡环境综合治理工作；组织实施《四川省城乡环境综合治理条例》及州县相关工作部署，编制相关规划、标准和年度计划，统筹开展综合治理各项工作，指导乡镇市政公共服务中心业务工作，承办县委、县政府交办的其他任务。</w:t>
      </w:r>
    </w:p>
    <w:p>
      <w:pPr>
        <w:pStyle w:val="4"/>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6"/>
      <w:bookmarkEnd w:id="7"/>
      <w:bookmarkEnd w:id="8"/>
    </w:p>
    <w:p>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壤塘县城乡文明综合服务中心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Times New Roman" w:hAnsi="Times New Roman" w:eastAsia="仿宋_GB2312" w:cs="仿宋_GB2312"/>
          <w:color w:val="auto"/>
          <w:sz w:val="32"/>
          <w:szCs w:val="32"/>
          <w:highlight w:val="none"/>
          <w:lang w:eastAsia="zh-CN"/>
        </w:rPr>
        <w:t>壤塘县城乡文明综合服务中心</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pPr>
        <w:pStyle w:val="6"/>
        <w:numPr>
          <w:ilvl w:val="0"/>
          <w:numId w:val="1"/>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壤塘县城乡文明综合服务中心</w:t>
      </w:r>
    </w:p>
    <w:p>
      <w:pPr>
        <w:pStyle w:val="6"/>
        <w:numPr>
          <w:ilvl w:val="0"/>
          <w:numId w:val="1"/>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壤塘县城市管理综合行政执法大队</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ascii="Times New Roman" w:hAnsi="Times New Roman"/>
          <w:color w:val="auto"/>
          <w:highlight w:val="none"/>
        </w:rPr>
      </w:pPr>
      <w:bookmarkStart w:id="9" w:name="_Toc54992230"/>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9"/>
      <w:bookmarkEnd w:id="10"/>
      <w:bookmarkEnd w:id="1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89228317"/>
      <w:bookmarkStart w:id="13" w:name="_Toc15377205"/>
      <w:bookmarkStart w:id="1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bookmarkEnd w:id="14"/>
    </w:p>
    <w:p>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1397.74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311.45</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18.22</w:t>
      </w:r>
      <w:r>
        <w:rPr>
          <w:rFonts w:hint="eastAsia" w:ascii="Times New Roman" w:hAnsi="Times New Roman" w:eastAsia="仿宋_GB2312" w:cs="仿宋_GB2312"/>
          <w:color w:val="auto"/>
          <w:sz w:val="32"/>
          <w:szCs w:val="32"/>
          <w:highlight w:val="none"/>
        </w:rPr>
        <w:t>%。主要变动原因是</w:t>
      </w:r>
      <w:r>
        <w:rPr>
          <w:rFonts w:hint="default" w:ascii="Times New Roman" w:hAnsi="Times New Roman" w:eastAsia="仿宋_GB2312" w:cs="Times New Roman"/>
          <w:sz w:val="32"/>
          <w:szCs w:val="32"/>
          <w:lang w:val="en-US" w:eastAsia="zh-CN"/>
        </w:rPr>
        <w:t>当年</w:t>
      </w:r>
      <w:r>
        <w:rPr>
          <w:rFonts w:hint="eastAsia" w:ascii="Times New Roman" w:hAnsi="Times New Roman" w:eastAsia="仿宋_GB2312" w:cs="Times New Roman"/>
          <w:sz w:val="32"/>
          <w:szCs w:val="32"/>
          <w:lang w:val="en-US" w:eastAsia="zh-CN"/>
        </w:rPr>
        <w:t>项目减少，支出减少</w:t>
      </w:r>
      <w:r>
        <w:rPr>
          <w:rFonts w:hint="default" w:ascii="Times New Roman" w:hAnsi="Times New Roman" w:eastAsia="仿宋_GB2312" w:cs="Times New Roman"/>
          <w:sz w:val="32"/>
          <w:szCs w:val="32"/>
          <w:lang w:val="en-US" w:eastAsia="zh-CN"/>
        </w:rPr>
        <w:t>。</w:t>
      </w:r>
    </w:p>
    <w:p>
      <w:pPr>
        <w:pStyle w:val="14"/>
        <w:rPr>
          <w:rFonts w:hint="default"/>
          <w:lang w:val="en-US"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203200</wp:posOffset>
            </wp:positionH>
            <wp:positionV relativeFrom="paragraph">
              <wp:posOffset>86360</wp:posOffset>
            </wp:positionV>
            <wp:extent cx="4860925" cy="2583180"/>
            <wp:effectExtent l="4445" t="4445" r="11430" b="2222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96604"/>
      <w:bookmarkStart w:id="16" w:name="_Toc15377206"/>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0148476"/>
      <w:r>
        <w:rPr>
          <w:rFonts w:hint="eastAsia" w:ascii="Times New Roman" w:hAnsi="Times New Roman" w:eastAsia="黑体"/>
          <w:color w:val="auto"/>
          <w:sz w:val="32"/>
          <w:szCs w:val="32"/>
          <w:highlight w:val="none"/>
          <w:lang w:eastAsia="zh-CN"/>
        </w:rPr>
        <w:t>二、收入决算情况说明</w:t>
      </w:r>
      <w:bookmarkEnd w:id="15"/>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18" w:name="_Toc635573561"/>
      <w:r>
        <w:rPr>
          <w:rFonts w:hint="eastAsia" w:ascii="Times New Roman" w:hAnsi="Times New Roman" w:eastAsia="仿宋_GB2312" w:cs="仿宋_GB2312"/>
          <w:color w:val="auto"/>
          <w:kern w:val="2"/>
          <w:sz w:val="32"/>
          <w:szCs w:val="32"/>
          <w:highlight w:val="none"/>
          <w:lang w:val="en-US" w:eastAsia="zh-CN" w:bidi="ar-SA"/>
        </w:rPr>
        <w:t>2025年度本年收入合计1397.74万元，其中：一般公共预算财政拨款收入1397.74万元，占100%。</w:t>
      </w:r>
      <w:bookmarkEnd w:id="1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19" w:name="_Toc1698818652"/>
      <w:r>
        <w:rPr>
          <w:rFonts w:hint="eastAsia" w:ascii="Times New Roman" w:hAnsi="Times New Roman" w:eastAsia="仿宋_GB2312" w:cs="仿宋_GB2312"/>
          <w:color w:val="auto"/>
          <w:kern w:val="2"/>
          <w:sz w:val="32"/>
          <w:szCs w:val="32"/>
          <w:highlight w:val="none"/>
          <w:lang w:val="en-US" w:eastAsia="zh-CN" w:bidi="ar-SA"/>
        </w:rPr>
        <w:t>（图2：收入决算结构图）（饼状图）</w:t>
      </w:r>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182880</wp:posOffset>
            </wp:positionH>
            <wp:positionV relativeFrom="paragraph">
              <wp:posOffset>4445</wp:posOffset>
            </wp:positionV>
            <wp:extent cx="5013960" cy="2199640"/>
            <wp:effectExtent l="4445" t="4445" r="10795" b="571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5"/>
      <w:bookmarkStart w:id="21" w:name="_Toc1537720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132345281"/>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0"/>
      <w:bookmarkEnd w:id="21"/>
      <w:bookmarkEnd w:id="22"/>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23" w:name="_Toc1283941700"/>
      <w:r>
        <w:rPr>
          <w:rFonts w:hint="eastAsia" w:ascii="Times New Roman" w:hAnsi="Times New Roman" w:eastAsia="仿宋_GB2312" w:cs="仿宋_GB2312"/>
          <w:color w:val="auto"/>
          <w:kern w:val="2"/>
          <w:sz w:val="32"/>
          <w:szCs w:val="32"/>
          <w:highlight w:val="none"/>
          <w:lang w:val="en-US" w:eastAsia="zh-CN" w:bidi="ar-SA"/>
        </w:rPr>
        <w:t>2025年度本年支出合计1397.74万元，其中：基本支出549.84万元，占39.34%；项目支出847.90万元，占60.66%。</w:t>
      </w:r>
      <w:bookmarkEnd w:id="2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24" w:name="_Toc154408683"/>
      <w:r>
        <w:rPr>
          <w:rFonts w:hint="eastAsia" w:ascii="Times New Roman" w:hAnsi="Times New Roman" w:eastAsia="仿宋_GB2312" w:cs="仿宋_GB2312"/>
          <w:color w:val="auto"/>
          <w:kern w:val="2"/>
          <w:sz w:val="32"/>
          <w:szCs w:val="32"/>
          <w:highlight w:val="none"/>
          <w:lang w:val="en-US" w:eastAsia="zh-CN" w:bidi="ar-SA"/>
        </w:rPr>
        <w:t>（图3：支出决算结构图）（饼状图）</w:t>
      </w:r>
      <w:bookmarkEnd w:id="24"/>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32375" cy="2687955"/>
            <wp:effectExtent l="4445" t="4445" r="11430" b="1270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25" w:name="_Toc400235394"/>
      <w:bookmarkStart w:id="26" w:name="_Toc15377208"/>
      <w:bookmarkStart w:id="27"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5"/>
      <w:bookmarkEnd w:id="26"/>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1397.74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311.45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18.22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Times New Roman"/>
          <w:sz w:val="32"/>
          <w:szCs w:val="32"/>
          <w:lang w:val="en-US" w:eastAsia="zh-CN"/>
        </w:rPr>
        <w:t>当年</w:t>
      </w:r>
      <w:r>
        <w:rPr>
          <w:rFonts w:hint="eastAsia" w:ascii="Times New Roman" w:hAnsi="Times New Roman" w:eastAsia="仿宋_GB2312" w:cs="Times New Roman"/>
          <w:sz w:val="32"/>
          <w:szCs w:val="32"/>
          <w:lang w:val="en-US" w:eastAsia="zh-CN"/>
        </w:rPr>
        <w:t>项目减少，支出减少</w:t>
      </w:r>
      <w:r>
        <w:rPr>
          <w:rFonts w:hint="default" w:ascii="Times New Roman" w:hAnsi="Times New Roman" w:eastAsia="仿宋_GB2312" w:cs="Times New Roman"/>
          <w:sz w:val="32"/>
          <w:szCs w:val="32"/>
          <w:lang w:val="en-US" w:eastAsia="zh-CN"/>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367030</wp:posOffset>
            </wp:positionH>
            <wp:positionV relativeFrom="paragraph">
              <wp:posOffset>64770</wp:posOffset>
            </wp:positionV>
            <wp:extent cx="4907280" cy="2535555"/>
            <wp:effectExtent l="4445" t="4445" r="22225" b="12700"/>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14"/>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14"/>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outlineLvl w:val="1"/>
        <w:rPr>
          <w:rFonts w:hint="eastAsia" w:ascii="Times New Roman" w:hAnsi="Times New Roman" w:eastAsia="黑体"/>
          <w:color w:val="auto"/>
          <w:sz w:val="32"/>
          <w:szCs w:val="32"/>
          <w:highlight w:val="none"/>
        </w:rPr>
      </w:pPr>
      <w:bookmarkStart w:id="28" w:name="_Toc15377209"/>
      <w:bookmarkStart w:id="29" w:name="_Toc15396607"/>
    </w:p>
    <w:p>
      <w:pPr>
        <w:spacing w:line="600" w:lineRule="exact"/>
        <w:ind w:firstLine="640" w:firstLineChars="200"/>
        <w:outlineLvl w:val="1"/>
        <w:rPr>
          <w:rStyle w:val="30"/>
          <w:rFonts w:ascii="Times New Roman" w:hAnsi="Times New Roman" w:eastAsia="黑体"/>
          <w:b w:val="0"/>
          <w:color w:val="auto"/>
          <w:highlight w:val="none"/>
        </w:rPr>
      </w:pPr>
      <w:bookmarkStart w:id="30" w:name="_Toc65775986"/>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8"/>
      <w:bookmarkEnd w:id="29"/>
      <w:bookmarkEnd w:id="30"/>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1397.74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311.45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18.22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ascii="Times New Roman" w:hAnsi="Times New Roman" w:eastAsia="仿宋_GB2312" w:cs="Times New Roman"/>
          <w:sz w:val="32"/>
          <w:szCs w:val="32"/>
          <w:lang w:val="en-US" w:eastAsia="zh-CN"/>
        </w:rPr>
        <w:t>当年</w:t>
      </w:r>
      <w:r>
        <w:rPr>
          <w:rFonts w:hint="eastAsia" w:ascii="Times New Roman" w:hAnsi="Times New Roman" w:eastAsia="仿宋_GB2312" w:cs="Times New Roman"/>
          <w:sz w:val="32"/>
          <w:szCs w:val="32"/>
          <w:lang w:val="en-US" w:eastAsia="zh-CN"/>
        </w:rPr>
        <w:t>项目减少，支出减少</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14"/>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908550" cy="2591435"/>
            <wp:effectExtent l="4445" t="4445" r="20955" b="1397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14"/>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1397.74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1285.13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91.94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60.37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22.81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29.43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Style w:val="8"/>
        <w:spacing w:after="0"/>
        <w:ind w:left="0" w:leftChars="0" w:firstLine="0" w:firstLineChars="0"/>
        <w:jc w:val="center"/>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937125" cy="2610485"/>
            <wp:effectExtent l="4445" t="4445" r="11430" b="1397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3"/>
      <w:bookmarkStart w:id="35" w:name="_Toc15377444"/>
      <w:bookmarkStart w:id="36"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1397.74万元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pPr>
        <w:numPr>
          <w:ilvl w:val="0"/>
          <w:numId w:val="0"/>
        </w:numPr>
        <w:spacing w:line="600" w:lineRule="exact"/>
        <w:ind w:firstLine="640" w:firstLineChars="20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default"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default"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val="en-US" w:eastAsia="zh-CN" w:bidi="ar-SA"/>
        </w:rPr>
        <w:t>40.26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600" w:lineRule="exact"/>
        <w:ind w:firstLine="640" w:firstLineChars="200"/>
        <w:rPr>
          <w:rFonts w:hint="eastAsia"/>
          <w:lang w:val="en-US" w:eastAsia="zh-CN"/>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default"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default"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val="en-US" w:eastAsia="zh-CN" w:bidi="ar-SA"/>
        </w:rPr>
        <w:t>20.11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default" w:ascii="Times New Roman" w:hAnsi="Times New Roman"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（项）：支出决算为</w:t>
      </w:r>
      <w:r>
        <w:rPr>
          <w:rFonts w:hint="default"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240" w:lineRule="auto"/>
        <w:ind w:left="0" w:leftChars="0" w:firstLine="640" w:firstLineChars="20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default"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default"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val="en-US" w:eastAsia="zh-CN" w:bidi="ar-SA"/>
        </w:rPr>
        <w:t>7.71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default"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default"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val="en-US" w:eastAsia="zh-CN" w:bidi="ar-SA"/>
        </w:rPr>
        <w:t>9.93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240" w:lineRule="auto"/>
        <w:ind w:firstLine="640" w:firstLineChars="200"/>
        <w:rPr>
          <w:rFonts w:hint="eastAsia" w:eastAsia="仿宋_GB2312" w:cs="Times New Roman"/>
          <w:b w:val="0"/>
          <w:bCs w:val="0"/>
          <w:kern w:val="0"/>
          <w:sz w:val="32"/>
          <w:szCs w:val="32"/>
          <w:shd w:val="clear" w:color="auto" w:fill="FFFFFF"/>
          <w:lang w:val="en-US" w:eastAsia="zh-CN"/>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default"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default"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val="en-US" w:eastAsia="zh-CN" w:bidi="ar-SA"/>
        </w:rPr>
        <w:t>1.40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240" w:lineRule="auto"/>
        <w:ind w:firstLine="640" w:firstLineChars="20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Times New Roman"/>
          <w:b w:val="0"/>
          <w:bCs w:val="0"/>
          <w:kern w:val="0"/>
          <w:sz w:val="32"/>
          <w:szCs w:val="32"/>
          <w:shd w:val="clear" w:color="auto" w:fill="FFFFFF"/>
          <w:lang w:val="en-US" w:eastAsia="zh-CN"/>
        </w:rPr>
        <w:t>7.</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default"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default"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val="en-US" w:eastAsia="zh-CN" w:bidi="ar-SA"/>
        </w:rPr>
        <w:t>1.77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numPr>
          <w:ilvl w:val="0"/>
          <w:numId w:val="0"/>
        </w:numPr>
        <w:spacing w:line="600" w:lineRule="exact"/>
        <w:ind w:firstLine="640" w:firstLineChars="20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277.28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17.20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161.95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44.12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ascii="Times New Roman" w:hAnsi="Times New Roman" w:eastAsia="仿宋_GB2312" w:cs="Times New Roman"/>
          <w:b w:val="0"/>
          <w:bCs w:val="0"/>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770.84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14..城乡社区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ascii="Times New Roman" w:hAnsi="Times New Roman" w:eastAsia="仿宋_GB2312" w:cs="Times New Roman"/>
          <w:b w:val="0"/>
          <w:bCs w:val="0"/>
          <w:kern w:val="0"/>
          <w:sz w:val="32"/>
          <w:szCs w:val="32"/>
          <w:shd w:val="clear" w:color="auto" w:fill="FFFFFF"/>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outlineLvl w:val="1"/>
        <w:rPr>
          <w:rStyle w:val="30"/>
          <w:rFonts w:ascii="Times New Roman" w:hAnsi="Times New Roman"/>
          <w:color w:val="auto"/>
          <w:highlight w:val="none"/>
        </w:rPr>
      </w:pPr>
      <w:bookmarkStart w:id="37" w:name="_Toc15377214"/>
      <w:bookmarkStart w:id="38" w:name="_Toc1782734440"/>
      <w:bookmarkStart w:id="3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7"/>
      <w:bookmarkEnd w:id="38"/>
      <w:bookmarkEnd w:id="39"/>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549.84</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378.55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、医疗费补助、奖励金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171.29</w:t>
      </w:r>
      <w:r>
        <w:rPr>
          <w:rFonts w:hint="eastAsia" w:ascii="Times New Roman" w:hAnsi="Times New Roman" w:eastAsia="仿宋_GB2312" w:cs="仿宋_GB2312"/>
          <w:color w:val="auto"/>
          <w:kern w:val="2"/>
          <w:sz w:val="32"/>
          <w:szCs w:val="32"/>
          <w:highlight w:val="none"/>
          <w:lang w:val="en-US" w:eastAsia="zh-CN" w:bidi="ar-SA"/>
        </w:rPr>
        <w:t>万元，主要包括：办公费、电费、邮电费、取暖费、物业管理费、差旅费、劳务费、公务用车运行维护费、其他商品和服务支出等。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outlineLvl w:val="1"/>
        <w:rPr>
          <w:rStyle w:val="30"/>
          <w:rFonts w:ascii="Times New Roman" w:hAnsi="Times New Roman" w:eastAsia="黑体"/>
          <w:b w:val="0"/>
          <w:color w:val="auto"/>
          <w:highlight w:val="none"/>
        </w:rPr>
      </w:pPr>
      <w:bookmarkStart w:id="40" w:name="_Toc15377215"/>
      <w:bookmarkStart w:id="41" w:name="_Toc1102687701"/>
      <w:bookmarkStart w:id="42"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财政拨款“三公”经费支出决算情况说明</w:t>
      </w:r>
      <w:bookmarkEnd w:id="40"/>
      <w:bookmarkEnd w:id="41"/>
      <w:bookmarkEnd w:id="4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13.74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%，较上年度减少29.01万元，下降67.86%。决算数与预算数持平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13.74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0288" behindDoc="1" locked="0" layoutInCell="1" allowOverlap="1">
            <wp:simplePos x="0" y="0"/>
            <wp:positionH relativeFrom="column">
              <wp:posOffset>525145</wp:posOffset>
            </wp:positionH>
            <wp:positionV relativeFrom="paragraph">
              <wp:posOffset>42545</wp:posOffset>
            </wp:positionV>
            <wp:extent cx="4537710" cy="2619375"/>
            <wp:effectExtent l="4445" t="4445" r="10795" b="508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13.74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29.01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67.86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2024年购买公务用与2025年购买市政皮卡车有差价。</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购置市政用车1辆</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3.75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下乡、出差</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无公务接待费</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5" w:name="_Toc15377218"/>
      <w:bookmarkStart w:id="46" w:name="_Toc15396610"/>
    </w:p>
    <w:p>
      <w:pPr>
        <w:spacing w:line="600" w:lineRule="exact"/>
        <w:ind w:firstLine="640"/>
        <w:outlineLvl w:val="1"/>
        <w:rPr>
          <w:rStyle w:val="30"/>
          <w:rFonts w:ascii="Times New Roman" w:hAnsi="Times New Roman" w:eastAsia="黑体"/>
          <w:color w:val="auto"/>
          <w:highlight w:val="none"/>
        </w:rPr>
      </w:pPr>
      <w:bookmarkStart w:id="47" w:name="_Toc154712483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5"/>
      <w:bookmarkEnd w:id="46"/>
      <w:bookmarkEnd w:id="4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8" w:name="_Toc15377219"/>
      <w:bookmarkStart w:id="49" w:name="_Toc15396611"/>
      <w:bookmarkStart w:id="50" w:name="_Toc25112114"/>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8"/>
      <w:bookmarkEnd w:id="49"/>
      <w:bookmarkEnd w:id="50"/>
    </w:p>
    <w:p>
      <w:pPr>
        <w:spacing w:line="600" w:lineRule="exact"/>
        <w:ind w:firstLine="640"/>
        <w:rPr>
          <w:rStyle w:val="30"/>
          <w:rFonts w:hint="eastAsia" w:ascii="Times New Roman" w:hAnsi="Times New Roman" w:eastAsia="黑体"/>
          <w:b w:val="0"/>
          <w:color w:val="auto"/>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51" w:name="_Toc15377221"/>
      <w:bookmarkStart w:id="52" w:name="_Toc15396612"/>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3" w:name="_Toc1136052954"/>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1"/>
      <w:bookmarkEnd w:id="52"/>
      <w:bookmarkEnd w:id="5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壤塘县城乡文明综合服务中心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159.6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5.28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从严压减非刚性支出，节约机关日常运行开支。</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壤塘县城乡文明综合服务中心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463.44</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140.14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323.3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项目支出</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463.44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463.44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壤塘县城乡文明综合服务中心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s="Times New Roman"/>
          <w:color w:val="auto"/>
          <w:sz w:val="32"/>
          <w:szCs w:val="32"/>
          <w:highlight w:val="none"/>
          <w:lang w:eastAsia="zh-CN"/>
        </w:rPr>
        <w:t>日常工作</w:t>
      </w:r>
      <w:r>
        <w:rPr>
          <w:rFonts w:hint="default" w:ascii="仿宋_GB2312" w:eastAsia="仿宋_GB2312" w:cs="Times New Roman"/>
          <w:color w:val="auto"/>
          <w:sz w:val="32"/>
          <w:szCs w:val="32"/>
          <w:highlight w:val="none"/>
        </w:rPr>
        <w:t>开展需要</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壤塘县城乡文明综合服务中心</w:t>
      </w:r>
      <w:r>
        <w:rPr>
          <w:rFonts w:hint="eastAsia" w:ascii="Times New Roman" w:hAnsi="Times New Roman" w:eastAsia="仿宋_GB2312" w:cs="仿宋_GB2312"/>
          <w:color w:val="auto"/>
          <w:kern w:val="2"/>
          <w:sz w:val="32"/>
          <w:szCs w:val="32"/>
          <w:highlight w:val="none"/>
          <w:lang w:val="en-US" w:eastAsia="zh-CN" w:bidi="ar-SA"/>
        </w:rPr>
        <w:t>在2025年度，组织对2025-2026年度生活垃圾资源化综合处置场运营服务采购项目等</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847.9</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壤塘县城乡文明综合服务中心</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部门预算（含部门预算项目）绩效自评报告等专项预算项目绩效自评报告，其中，</w:t>
      </w:r>
      <w:r>
        <w:rPr>
          <w:rFonts w:hint="eastAsia" w:eastAsia="仿宋_GB2312" w:cs="仿宋_GB2312"/>
          <w:color w:val="auto"/>
          <w:kern w:val="2"/>
          <w:sz w:val="32"/>
          <w:szCs w:val="32"/>
          <w:highlight w:val="none"/>
          <w:lang w:val="en-US" w:eastAsia="zh-CN" w:bidi="ar-SA"/>
        </w:rPr>
        <w:t>壤塘县城乡文明综合服务中心</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87.5</w:t>
      </w:r>
      <w:r>
        <w:rPr>
          <w:rFonts w:hint="eastAsia" w:ascii="Times New Roman" w:hAnsi="Times New Roman" w:eastAsia="仿宋_GB2312" w:cs="仿宋_GB2312"/>
          <w:color w:val="auto"/>
          <w:kern w:val="2"/>
          <w:sz w:val="32"/>
          <w:szCs w:val="32"/>
          <w:highlight w:val="none"/>
          <w:lang w:val="en-US" w:eastAsia="zh-CN" w:bidi="ar-SA"/>
        </w:rPr>
        <w:t>分，绩效自评综述项目绩效目标制定基本符合量化细化、预算匹配的要求</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但存在部分项目数量指标和成本指标指标值不合理、效益指标为定量指标等不合理情况</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57" w:name="_Toc15377225"/>
      <w:bookmarkStart w:id="58"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1957696752"/>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pStyle w:val="2"/>
        <w:rPr>
          <w:rFonts w:hint="eastAsi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部分名词解释</w:t>
      </w:r>
      <w:bookmarkEnd w:id="57"/>
      <w:bookmarkEnd w:id="58"/>
      <w:bookmarkEnd w:id="59"/>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5.使用非财政拨款结余（含专用结余）：指事业单位使用以前年度积累的非财政拨款结余弥补当年收支差额的金额。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6.年初结转和结余：指以前年度尚未完成、结转到本年按有关规定继续使用的资金。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ind w:firstLine="640" w:firstLineChars="200"/>
        <w:rPr>
          <w:rFonts w:ascii="仿宋_GB2312" w:eastAsia="仿宋_GB2312"/>
          <w:color w:val="000000"/>
          <w:sz w:val="32"/>
          <w:szCs w:val="32"/>
        </w:rPr>
      </w:pPr>
      <w:r>
        <w:rPr>
          <w:rFonts w:hint="default" w:ascii="仿宋_GB2312" w:eastAsia="仿宋_GB2312"/>
          <w:color w:val="auto"/>
          <w:sz w:val="32"/>
          <w:szCs w:val="32"/>
          <w:highlight w:val="none"/>
          <w:lang w:val="en-US"/>
        </w:rPr>
        <w:t>9</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（款）机关事业单位基本养老保险缴费支出（项）：指由单位缴纳的基本养老保险费支出。</w:t>
      </w:r>
    </w:p>
    <w:p>
      <w:pPr>
        <w:ind w:firstLine="640" w:firstLineChars="200"/>
        <w:rPr>
          <w:rFonts w:ascii="仿宋_GB2312" w:eastAsia="仿宋_GB2312"/>
          <w:color w:val="000000"/>
          <w:sz w:val="32"/>
          <w:szCs w:val="32"/>
        </w:rPr>
      </w:pPr>
      <w:r>
        <w:rPr>
          <w:rFonts w:ascii="仿宋_GB2312" w:eastAsia="仿宋_GB2312"/>
          <w:color w:val="auto"/>
          <w:sz w:val="32"/>
          <w:szCs w:val="32"/>
          <w:highlight w:val="none"/>
        </w:rPr>
        <w:t>1</w:t>
      </w:r>
      <w:r>
        <w:rPr>
          <w:rFonts w:hint="default" w:ascii="仿宋_GB2312" w:eastAsia="仿宋_GB2312"/>
          <w:color w:val="auto"/>
          <w:sz w:val="32"/>
          <w:szCs w:val="32"/>
          <w:highlight w:val="none"/>
          <w:lang w:val="en-US"/>
        </w:rPr>
        <w:t>0</w:t>
      </w:r>
      <w:r>
        <w:rPr>
          <w:rFonts w:ascii="仿宋_GB2312" w:eastAsia="仿宋_GB2312"/>
          <w:color w:val="auto"/>
          <w:sz w:val="32"/>
          <w:szCs w:val="32"/>
          <w:highlight w:val="none"/>
        </w:rPr>
        <w:t>.</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（款）机关事业单位职业年金缴费支出（项）：指机关事业单位实施养老保险制度由单位实际缴纳的职业年金。</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ascii="仿宋_GB2312" w:eastAsia="仿宋_GB2312"/>
          <w:color w:val="auto"/>
          <w:sz w:val="32"/>
          <w:szCs w:val="32"/>
          <w:highlight w:val="none"/>
        </w:rPr>
      </w:pP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卫生健康</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公共卫生</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重大公共卫生服务</w:t>
      </w:r>
      <w:r>
        <w:rPr>
          <w:rFonts w:hint="default" w:ascii="Times New Roman" w:hAnsi="Times New Roman" w:eastAsia="仿宋_GB2312" w:cs="Times New Roman"/>
          <w:color w:val="auto"/>
          <w:sz w:val="32"/>
          <w:szCs w:val="32"/>
        </w:rPr>
        <w:t>（项）：指</w:t>
      </w:r>
      <w:r>
        <w:rPr>
          <w:rFonts w:hint="default" w:ascii="Times New Roman" w:hAnsi="Times New Roman" w:eastAsia="仿宋_GB2312" w:cs="Times New Roman"/>
          <w:color w:val="auto"/>
          <w:sz w:val="32"/>
          <w:szCs w:val="32"/>
          <w:lang w:val="en-US" w:eastAsia="zh-CN"/>
        </w:rPr>
        <w:t>反映重大疾病、重大传染病预防控制等重大公共卫生服务项目支出</w:t>
      </w:r>
      <w:r>
        <w:rPr>
          <w:rFonts w:hint="default" w:ascii="Times New Roman" w:hAnsi="Times New Roman" w:eastAsia="仿宋_GB2312" w:cs="Times New Roman"/>
          <w:color w:val="auto"/>
          <w:sz w:val="32"/>
          <w:szCs w:val="32"/>
        </w:rPr>
        <w:t>。</w:t>
      </w:r>
    </w:p>
    <w:p>
      <w:pPr>
        <w:ind w:firstLine="640" w:firstLineChars="200"/>
        <w:rPr>
          <w:rFonts w:hint="eastAsia" w:ascii="仿宋_GB2312" w:eastAsia="仿宋_GB2312"/>
          <w:sz w:val="32"/>
          <w:szCs w:val="32"/>
        </w:rPr>
      </w:pPr>
      <w:r>
        <w:rPr>
          <w:rFonts w:ascii="仿宋_GB2312" w:eastAsia="仿宋_GB2312"/>
          <w:color w:val="auto"/>
          <w:sz w:val="32"/>
          <w:szCs w:val="32"/>
          <w:highlight w:val="none"/>
        </w:rPr>
        <w:t>1</w:t>
      </w:r>
      <w:r>
        <w:rPr>
          <w:rFonts w:hint="default" w:ascii="仿宋_GB2312" w:eastAsia="仿宋_GB2312"/>
          <w:color w:val="auto"/>
          <w:sz w:val="32"/>
          <w:szCs w:val="32"/>
          <w:highlight w:val="none"/>
          <w:lang w:val="en-US"/>
        </w:rPr>
        <w:t>2</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卫生健康（类）行政事业单位医疗（款）行政单位医疗（项）：</w:t>
      </w:r>
      <w:r>
        <w:rPr>
          <w:rFonts w:hint="eastAsia" w:ascii="仿宋_GB2312" w:eastAsia="仿宋_GB2312"/>
          <w:sz w:val="32"/>
          <w:szCs w:val="32"/>
          <w:lang w:eastAsia="zh-CN"/>
        </w:rPr>
        <w:t>反映单位为职工缴纳的基本医疗保险（含生育保险）费</w:t>
      </w:r>
      <w:r>
        <w:rPr>
          <w:rFonts w:hint="eastAsia" w:ascii="仿宋_GB2312" w:eastAsia="仿宋_GB2312"/>
          <w:sz w:val="32"/>
          <w:szCs w:val="32"/>
        </w:rPr>
        <w:t>。</w:t>
      </w:r>
    </w:p>
    <w:p>
      <w:pPr>
        <w:ind w:firstLine="640" w:firstLineChars="200"/>
        <w:rPr>
          <w:rFonts w:ascii="仿宋_GB2312" w:eastAsia="仿宋_GB2312"/>
          <w:sz w:val="32"/>
          <w:szCs w:val="32"/>
        </w:rPr>
      </w:pPr>
      <w:r>
        <w:rPr>
          <w:rFonts w:hint="eastAsia" w:ascii="仿宋_GB2312" w:eastAsia="仿宋_GB2312"/>
          <w:sz w:val="32"/>
          <w:szCs w:val="32"/>
          <w:lang w:val="en-US" w:eastAsia="zh-CN"/>
        </w:rPr>
        <w:t>1</w:t>
      </w:r>
      <w:r>
        <w:rPr>
          <w:rFonts w:hint="default" w:ascii="仿宋_GB2312" w:eastAsia="仿宋_GB2312"/>
          <w:sz w:val="32"/>
          <w:szCs w:val="32"/>
          <w:lang w:val="en-US" w:eastAsia="zh-CN"/>
        </w:rPr>
        <w:t>3</w:t>
      </w:r>
      <w:r>
        <w:rPr>
          <w:rFonts w:hint="eastAsia" w:ascii="仿宋_GB2312" w:eastAsia="仿宋_GB2312"/>
          <w:sz w:val="32"/>
          <w:szCs w:val="32"/>
          <w:lang w:val="en-US" w:eastAsia="zh-CN"/>
        </w:rPr>
        <w:t>.</w:t>
      </w:r>
      <w:r>
        <w:rPr>
          <w:rFonts w:hint="eastAsia" w:ascii="仿宋_GB2312" w:eastAsia="仿宋_GB2312"/>
          <w:sz w:val="32"/>
          <w:szCs w:val="32"/>
        </w:rPr>
        <w:t>卫生健康（类）行政事业单位医疗（款）</w:t>
      </w:r>
      <w:r>
        <w:rPr>
          <w:rFonts w:hint="eastAsia" w:ascii="仿宋_GB2312" w:eastAsia="仿宋_GB2312"/>
          <w:sz w:val="32"/>
          <w:szCs w:val="32"/>
          <w:lang w:eastAsia="zh-CN"/>
        </w:rPr>
        <w:t>事业</w:t>
      </w:r>
      <w:r>
        <w:rPr>
          <w:rFonts w:hint="eastAsia" w:ascii="仿宋_GB2312" w:eastAsia="仿宋_GB2312"/>
          <w:sz w:val="32"/>
          <w:szCs w:val="32"/>
        </w:rPr>
        <w:t>单位医疗（项）：</w:t>
      </w:r>
      <w:r>
        <w:rPr>
          <w:rFonts w:hint="eastAsia" w:ascii="仿宋_GB2312" w:eastAsia="仿宋_GB2312"/>
          <w:sz w:val="32"/>
          <w:szCs w:val="32"/>
          <w:lang w:eastAsia="zh-CN"/>
        </w:rPr>
        <w:t>反映单位为职工缴纳的基本医疗保险（含生育保险）费</w:t>
      </w:r>
      <w:r>
        <w:rPr>
          <w:rFonts w:hint="eastAsia" w:ascii="仿宋_GB2312" w:eastAsia="仿宋_GB2312"/>
          <w:sz w:val="32"/>
          <w:szCs w:val="32"/>
        </w:rPr>
        <w:t>。</w:t>
      </w:r>
    </w:p>
    <w:p>
      <w:pPr>
        <w:ind w:firstLine="640" w:firstLineChars="200"/>
        <w:rPr>
          <w:rFonts w:hint="eastAsia" w:ascii="仿宋_GB2312" w:eastAsia="仿宋_GB2312"/>
          <w:sz w:val="32"/>
          <w:szCs w:val="32"/>
        </w:rPr>
      </w:pPr>
      <w:r>
        <w:rPr>
          <w:rFonts w:ascii="仿宋_GB2312" w:eastAsia="仿宋_GB2312"/>
          <w:color w:val="auto"/>
          <w:sz w:val="32"/>
          <w:szCs w:val="32"/>
          <w:highlight w:val="none"/>
        </w:rPr>
        <w:t>1</w:t>
      </w:r>
      <w:r>
        <w:rPr>
          <w:rFonts w:hint="default" w:ascii="仿宋_GB2312" w:eastAsia="仿宋_GB2312"/>
          <w:color w:val="auto"/>
          <w:sz w:val="32"/>
          <w:szCs w:val="32"/>
          <w:highlight w:val="none"/>
          <w:lang w:val="en-US"/>
        </w:rPr>
        <w:t>4</w:t>
      </w:r>
      <w:r>
        <w:rPr>
          <w:rFonts w:ascii="仿宋_GB2312" w:eastAsia="仿宋_GB2312"/>
          <w:color w:val="auto"/>
          <w:sz w:val="32"/>
          <w:szCs w:val="32"/>
          <w:highlight w:val="none"/>
        </w:rPr>
        <w:t>.</w:t>
      </w:r>
      <w:r>
        <w:rPr>
          <w:rFonts w:hint="eastAsia" w:ascii="仿宋_GB2312" w:eastAsia="仿宋_GB2312"/>
          <w:sz w:val="32"/>
          <w:szCs w:val="32"/>
        </w:rPr>
        <w:t>卫生健康（类）行政事业单位医疗（款）公务员医疗补助（项）：指反映财政部门安排的公务员医疗补助经费。</w:t>
      </w:r>
    </w:p>
    <w:p>
      <w:pPr>
        <w:rPr>
          <w:rFonts w:ascii="仿宋_GB2312" w:eastAsia="仿宋_GB2312"/>
          <w:sz w:val="32"/>
          <w:szCs w:val="32"/>
        </w:rPr>
      </w:pPr>
      <w:r>
        <w:rPr>
          <w:rFonts w:hint="eastAsia" w:ascii="仿宋_GB2312" w:eastAsia="仿宋_GB2312"/>
          <w:sz w:val="32"/>
          <w:szCs w:val="32"/>
          <w:lang w:val="en-US" w:eastAsia="zh-CN"/>
        </w:rPr>
        <w:t>1</w:t>
      </w:r>
      <w:r>
        <w:rPr>
          <w:rFonts w:hint="default" w:ascii="仿宋_GB2312" w:eastAsia="仿宋_GB2312"/>
          <w:sz w:val="32"/>
          <w:szCs w:val="32"/>
          <w:lang w:val="en-US" w:eastAsia="zh-CN"/>
        </w:rPr>
        <w:t>5</w:t>
      </w:r>
      <w:r>
        <w:rPr>
          <w:rFonts w:hint="eastAsia" w:ascii="仿宋_GB2312" w:eastAsia="仿宋_GB2312"/>
          <w:sz w:val="32"/>
          <w:szCs w:val="32"/>
          <w:lang w:val="en-US" w:eastAsia="zh-CN"/>
        </w:rPr>
        <w:t>.</w:t>
      </w:r>
      <w:r>
        <w:rPr>
          <w:rFonts w:hint="eastAsia" w:ascii="仿宋_GB2312" w:eastAsia="仿宋_GB2312"/>
          <w:sz w:val="32"/>
          <w:szCs w:val="32"/>
        </w:rPr>
        <w:t>卫生健康（类）行政事业单位医疗（款）</w:t>
      </w:r>
      <w:r>
        <w:rPr>
          <w:rFonts w:hint="eastAsia" w:ascii="仿宋_GB2312" w:eastAsia="仿宋_GB2312"/>
          <w:sz w:val="32"/>
          <w:szCs w:val="32"/>
          <w:lang w:eastAsia="zh-CN"/>
        </w:rPr>
        <w:t>其他行政事业单位医疗支出</w:t>
      </w:r>
      <w:r>
        <w:rPr>
          <w:rFonts w:hint="eastAsia" w:ascii="仿宋_GB2312" w:eastAsia="仿宋_GB2312"/>
          <w:sz w:val="32"/>
          <w:szCs w:val="32"/>
        </w:rPr>
        <w:t>（项）：指反映财政部门安排的公务员医疗补助经费。</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rPr>
        <w:t>.城乡社区（类）城乡社区管理事务（款）</w:t>
      </w:r>
      <w:r>
        <w:rPr>
          <w:rFonts w:hint="default" w:ascii="Times New Roman" w:hAnsi="Times New Roman" w:eastAsia="仿宋_GB2312" w:cs="Times New Roman"/>
          <w:color w:val="auto"/>
          <w:sz w:val="32"/>
          <w:szCs w:val="32"/>
          <w:lang w:val="en-US" w:eastAsia="zh-CN"/>
        </w:rPr>
        <w:t>行政运行</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指</w:t>
      </w:r>
      <w:r>
        <w:rPr>
          <w:rFonts w:hint="default" w:ascii="Times New Roman" w:hAnsi="Times New Roman" w:eastAsia="仿宋_GB2312" w:cs="Times New Roman"/>
          <w:color w:val="auto"/>
          <w:sz w:val="32"/>
          <w:szCs w:val="32"/>
        </w:rPr>
        <w:t>反映</w:t>
      </w:r>
      <w:r>
        <w:rPr>
          <w:rFonts w:hint="default" w:ascii="Times New Roman" w:hAnsi="Times New Roman" w:eastAsia="仿宋_GB2312" w:cs="Times New Roman"/>
          <w:color w:val="auto"/>
          <w:sz w:val="32"/>
          <w:szCs w:val="32"/>
          <w:lang w:val="en-US" w:eastAsia="zh-CN"/>
        </w:rPr>
        <w:t>行政单位（包括实行公务员管理的事业单位）的基本支出</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.城乡社区（类）城乡社区管理事务（款）</w:t>
      </w:r>
      <w:r>
        <w:rPr>
          <w:rFonts w:hint="default" w:ascii="Times New Roman" w:hAnsi="Times New Roman" w:eastAsia="仿宋_GB2312" w:cs="Times New Roman"/>
          <w:color w:val="auto"/>
          <w:sz w:val="32"/>
          <w:szCs w:val="32"/>
          <w:lang w:val="en-US" w:eastAsia="zh-CN"/>
        </w:rPr>
        <w:t>城管执法</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指</w:t>
      </w:r>
      <w:r>
        <w:rPr>
          <w:rFonts w:hint="default" w:ascii="Times New Roman" w:hAnsi="Times New Roman" w:eastAsia="仿宋_GB2312" w:cs="Times New Roman"/>
          <w:color w:val="auto"/>
          <w:sz w:val="32"/>
          <w:szCs w:val="32"/>
        </w:rPr>
        <w:t>反映</w:t>
      </w:r>
      <w:r>
        <w:rPr>
          <w:rFonts w:hint="default" w:ascii="Times New Roman" w:hAnsi="Times New Roman" w:eastAsia="仿宋_GB2312" w:cs="Times New Roman"/>
          <w:color w:val="auto"/>
          <w:sz w:val="32"/>
          <w:szCs w:val="32"/>
          <w:lang w:val="en-US" w:eastAsia="zh-CN"/>
        </w:rPr>
        <w:t>城市管理综合行政执法、加强城市市容和环境卫生管理方面等支出</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.城乡社区（类）城乡社区公共设施（款）小城镇基础设施建设（项）：反映用于小城镇路、气、水等</w:t>
      </w:r>
      <w:r>
        <w:rPr>
          <w:rFonts w:hint="eastAsia" w:ascii="Times New Roman" w:hAnsi="Times New Roman" w:eastAsia="仿宋_GB2312" w:cs="Times New Roman"/>
          <w:color w:val="auto"/>
          <w:sz w:val="32"/>
          <w:szCs w:val="32"/>
          <w:lang w:eastAsia="zh-CN"/>
        </w:rPr>
        <w:t>基础设施建设</w:t>
      </w:r>
      <w:r>
        <w:rPr>
          <w:rFonts w:hint="default" w:ascii="Times New Roman" w:hAnsi="Times New Roman" w:eastAsia="仿宋_GB2312" w:cs="Times New Roman"/>
          <w:color w:val="auto"/>
          <w:sz w:val="32"/>
          <w:szCs w:val="32"/>
        </w:rPr>
        <w:t>方面的支出。</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.城乡社区（类）城乡社区</w:t>
      </w:r>
      <w:r>
        <w:rPr>
          <w:rFonts w:hint="default" w:ascii="Times New Roman" w:hAnsi="Times New Roman" w:eastAsia="仿宋_GB2312" w:cs="Times New Roman"/>
          <w:color w:val="auto"/>
          <w:sz w:val="32"/>
          <w:szCs w:val="32"/>
          <w:lang w:val="en-US" w:eastAsia="zh-CN"/>
        </w:rPr>
        <w:t>公共设施</w:t>
      </w:r>
      <w:r>
        <w:rPr>
          <w:rFonts w:hint="default" w:ascii="Times New Roman" w:hAnsi="Times New Roman" w:eastAsia="仿宋_GB2312" w:cs="Times New Roman"/>
          <w:color w:val="auto"/>
          <w:sz w:val="32"/>
          <w:szCs w:val="32"/>
        </w:rPr>
        <w:t>支出（款）其他城乡社区支出（项）：反映除上述项目以外其他用于城乡社区方面的支出。</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pP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.城乡社区（类）城乡社区环境卫生（款）城乡社区环境卫生（项）：反映城乡社区道路清扫、垃圾清运与处理、公厕建设与维护、园林绿化等方面的支出。</w:t>
      </w:r>
    </w:p>
    <w:p>
      <w:pPr>
        <w:ind w:firstLine="640" w:firstLineChars="200"/>
        <w:rPr>
          <w:rFonts w:ascii="仿宋_GB2312" w:eastAsia="仿宋_GB2312"/>
          <w:color w:val="000000"/>
          <w:sz w:val="32"/>
          <w:szCs w:val="32"/>
        </w:rPr>
      </w:pPr>
      <w:r>
        <w:rPr>
          <w:rFonts w:hint="default" w:ascii="仿宋_GB2312" w:eastAsia="仿宋_GB2312"/>
          <w:color w:val="auto"/>
          <w:sz w:val="32"/>
          <w:szCs w:val="32"/>
          <w:highlight w:val="none"/>
          <w:lang w:val="en-US"/>
        </w:rPr>
        <w:t>21</w:t>
      </w:r>
      <w:r>
        <w:rPr>
          <w:rFonts w:ascii="仿宋_GB2312" w:eastAsia="仿宋_GB2312"/>
          <w:color w:val="auto"/>
          <w:sz w:val="32"/>
          <w:szCs w:val="32"/>
          <w:highlight w:val="none"/>
        </w:rPr>
        <w:t>.</w:t>
      </w:r>
      <w:r>
        <w:rPr>
          <w:rFonts w:hint="eastAsia" w:ascii="仿宋_GB2312" w:eastAsia="仿宋_GB2312"/>
          <w:color w:val="000000"/>
          <w:sz w:val="32"/>
          <w:szCs w:val="32"/>
        </w:rPr>
        <w:t>住房保障支出（类）住房改革支出（款）住房公积金（项）：指行政事业单位</w:t>
      </w:r>
      <w:r>
        <w:rPr>
          <w:rFonts w:hint="eastAsia" w:ascii="仿宋_GB2312" w:eastAsia="仿宋_GB2312"/>
          <w:color w:val="000000"/>
          <w:sz w:val="32"/>
          <w:szCs w:val="32"/>
          <w:lang w:eastAsia="zh-CN"/>
        </w:rPr>
        <w:t>按照</w:t>
      </w:r>
      <w:r>
        <w:rPr>
          <w:rFonts w:hint="eastAsia" w:ascii="仿宋_GB2312" w:eastAsia="仿宋_GB2312"/>
          <w:color w:val="000000"/>
          <w:sz w:val="32"/>
          <w:szCs w:val="32"/>
        </w:rPr>
        <w:t>工资比例为职工缴纳的住房公积金。</w:t>
      </w:r>
    </w:p>
    <w:p>
      <w:pPr>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hint="eastAsia"/>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其他支出</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其他支出</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其他支出</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指</w:t>
      </w:r>
      <w:r>
        <w:rPr>
          <w:rFonts w:hint="default" w:ascii="Times New Roman" w:hAnsi="Times New Roman" w:eastAsia="仿宋_GB2312" w:cs="Times New Roman"/>
          <w:color w:val="auto"/>
          <w:sz w:val="32"/>
          <w:szCs w:val="32"/>
        </w:rPr>
        <w:t>反映</w:t>
      </w:r>
      <w:r>
        <w:rPr>
          <w:rFonts w:hint="default" w:ascii="Times New Roman" w:hAnsi="Times New Roman" w:eastAsia="仿宋_GB2312" w:cs="Times New Roman"/>
          <w:color w:val="auto"/>
          <w:sz w:val="32"/>
          <w:szCs w:val="32"/>
          <w:lang w:val="en-US" w:eastAsia="zh-CN"/>
        </w:rPr>
        <w:t>除上述项目以外其他不能划分到具体功能科目中的支出项目。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.项目支出：指在基本支出之外为完成特定行政任务和事业发展目标所发生的支出。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0" w:name="_Toc15396614"/>
      <w:bookmarkStart w:id="61" w:name="_Toc15377226"/>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2" w:name="_Toc66190038"/>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rPr>
      </w:pPr>
    </w:p>
    <w:p>
      <w:pPr>
        <w:numPr>
          <w:ilvl w:val="0"/>
          <w:numId w:val="0"/>
        </w:numPr>
        <w:spacing w:line="600" w:lineRule="exact"/>
        <w:jc w:val="center"/>
        <w:outlineLvl w:val="0"/>
        <w:rPr>
          <w:rFonts w:hint="eastAsia" w:ascii="Times New Roman" w:hAnsi="Times New Roman" w:eastAsia="黑体"/>
          <w:color w:val="auto"/>
          <w:sz w:val="44"/>
          <w:szCs w:val="44"/>
          <w:highlight w:val="none"/>
          <w:lang w:eastAsia="zh-CN"/>
        </w:rPr>
      </w:pPr>
      <w:r>
        <w:rPr>
          <w:rFonts w:hint="eastAsia" w:ascii="Times New Roman" w:hAnsi="Times New Roman" w:eastAsia="黑体"/>
          <w:color w:val="auto"/>
          <w:sz w:val="44"/>
          <w:szCs w:val="44"/>
          <w:highlight w:val="none"/>
        </w:rPr>
        <w:t>第四部分附件</w:t>
      </w:r>
      <w:bookmarkEnd w:id="60"/>
      <w:bookmarkEnd w:id="6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spacing w:line="360" w:lineRule="auto"/>
        <w:ind w:firstLine="640" w:firstLineChars="200"/>
        <w:rPr>
          <w:rFonts w:hint="default" w:ascii="Times New Roman" w:hAnsi="Times New Roman" w:eastAsia="方正小标宋简体" w:cs="Times New Roman"/>
          <w:b w:val="0"/>
          <w:bCs/>
          <w:sz w:val="44"/>
          <w:szCs w:val="44"/>
          <w:highlight w:val="none"/>
          <w:shd w:val="clear" w:color="auto" w:fill="FFFFFF"/>
        </w:rPr>
      </w:pPr>
      <w:r>
        <w:rPr>
          <w:rFonts w:hint="eastAsia" w:ascii="仿宋_GB2312" w:hAnsi="仿宋_GB2312" w:eastAsia="仿宋_GB2312" w:cs="仿宋_GB2312"/>
          <w:color w:val="000000"/>
          <w:sz w:val="32"/>
          <w:szCs w:val="32"/>
          <w:lang w:val="en-US" w:eastAsia="zh-CN"/>
        </w:rPr>
        <w:t>附件1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spacing w:line="360" w:lineRule="auto"/>
        <w:ind w:firstLine="642" w:firstLineChars="200"/>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spacing w:line="360" w:lineRule="auto"/>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壤塘县城乡文明综合服务中心为县级预算主管部门，共有5个股室，办公室、执法队、环卫股、市政股、园林绿化股。</w:t>
      </w:r>
    </w:p>
    <w:p>
      <w:pPr>
        <w:numPr>
          <w:ilvl w:val="0"/>
          <w:numId w:val="2"/>
        </w:numPr>
        <w:spacing w:line="360" w:lineRule="auto"/>
        <w:ind w:firstLine="642" w:firstLineChars="200"/>
        <w:jc w:val="both"/>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spacing w:line="360" w:lineRule="auto"/>
        <w:ind w:firstLine="640" w:firstLineChars="200"/>
        <w:rPr>
          <w:rFonts w:hint="default"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根据壤塘县人民政府办公室《关于印发壤塘县文化体育广播影视新闻出版局等三部门主要职责、内设机构和人员编制规定的通知》（壤府办发〔2012〕76号）、中共壤塘县委机构编制委员会《关于设立县城乡文明创建和城乡管理综合服务中心的通知》（壤编发〔2022〕3号）以及中共壤塘县委机构编制委员会《关于县城乡文明创建和城乡管理综合服务中心更名的通知》（壤编发〔2024〕103号）规定，主要职责为：一是负责全县城乡文明整治和创建工作。负责组织、协调、解决城乡文明整治和创建工作中出现的困难和问题，检查、督查、考核创建工作各责任单位完成目标任务的进度和质量，组织自测自评，向省文明办、州文明委提出验收申请等工作。完成领导小组交办的其他工作。二是负责全县城乡环境综合治理工作。负责贯彻落实《四川省城乡环境综合治理条例》，落实州、县城乡环境综合治理的安排意见;制定全县城乡环境综合治理工作总体规划、相关标准和年度工作计划;负责组织协调全县城乡环境综合治理工作。三是负责贯彻执行国家、省、州有关城市和城乡管理方面的法律、法规和政策，承担原县城市管理局所有职能职责。四是负责指导乡镇市政公共服务中心相关工作。五是完成县委和县政府交办的其他工作任务。城乡文明综合服务中心事业编制10名。县城市管理综合行政执法大队执法类事业编制13名。</w:t>
      </w:r>
    </w:p>
    <w:p>
      <w:pPr>
        <w:numPr>
          <w:ilvl w:val="0"/>
          <w:numId w:val="2"/>
        </w:numPr>
        <w:spacing w:line="360" w:lineRule="auto"/>
        <w:ind w:left="0" w:leftChars="0" w:firstLine="642"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spacing w:line="360" w:lineRule="auto"/>
        <w:ind w:firstLine="640" w:firstLineChars="200"/>
        <w:rPr>
          <w:rFonts w:hint="default" w:ascii="Times New Roman" w:hAnsi="Times New Roman" w:cs="Times New Roman"/>
          <w:szCs w:val="32"/>
        </w:rPr>
      </w:pPr>
      <w:r>
        <w:rPr>
          <w:rFonts w:hint="eastAsia" w:ascii="仿宋_GB2312" w:hAnsi="仿宋_GB2312" w:eastAsia="仿宋_GB2312" w:cs="仿宋_GB2312"/>
          <w:color w:val="000000"/>
          <w:sz w:val="32"/>
          <w:szCs w:val="32"/>
          <w:lang w:val="en-US" w:eastAsia="zh-CN"/>
        </w:rPr>
        <w:t>截至2025年末，城乡文明综合服务</w:t>
      </w:r>
      <w:bookmarkStart w:id="92" w:name="_GoBack"/>
      <w:bookmarkEnd w:id="92"/>
      <w:r>
        <w:rPr>
          <w:rFonts w:hint="eastAsia" w:ascii="仿宋_GB2312" w:hAnsi="仿宋_GB2312" w:eastAsia="仿宋_GB2312" w:cs="仿宋_GB2312"/>
          <w:color w:val="000000"/>
          <w:sz w:val="32"/>
          <w:szCs w:val="32"/>
          <w:lang w:val="en-US" w:eastAsia="zh-CN"/>
        </w:rPr>
        <w:t>中心核定事业编制10名，县城市管理综合行政执法大队执法类事业编制13名。年末实有人数19人，其中：参行政运行人员10名，城管执法9名。</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widowControl/>
        <w:adjustRightInd w:val="0"/>
        <w:snapToGrid w:val="0"/>
        <w:spacing w:line="578"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1</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pPr>
        <w:widowControl/>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年初预算反映，2025年预算收入合计12,626,569.73元，其中：本年收入合计12,626,569.73元，均为财政拨款收入。</w:t>
      </w:r>
    </w:p>
    <w:p>
      <w:pPr>
        <w:widowControl/>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决算报表反映，2025年决算收入合计13,977,440.91元，其中本年收入13,977,440.91元，年初结转和结余0元。本年收入中：财政拨款收入13,977,440.91元，其他收入0元。</w:t>
      </w:r>
    </w:p>
    <w:p>
      <w:pPr>
        <w:widowControl/>
        <w:adjustRightInd w:val="0"/>
        <w:snapToGrid w:val="0"/>
        <w:spacing w:line="578" w:lineRule="exact"/>
        <w:ind w:firstLine="642"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（2）支出情况</w:t>
      </w:r>
    </w:p>
    <w:p>
      <w:pPr>
        <w:widowControl/>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年初预算反映，2025年预算支出合计12,62</w:t>
      </w:r>
      <w:r>
        <w:rPr>
          <w:rFonts w:hint="eastAsia" w:eastAsia="仿宋_GB2312" w:cs="仿宋_GB2312"/>
          <w:sz w:val="32"/>
          <w:szCs w:val="32"/>
          <w:lang w:val="en-US" w:eastAsia="zh-CN"/>
        </w:rPr>
        <w:t>.66万</w:t>
      </w:r>
      <w:r>
        <w:rPr>
          <w:rFonts w:hint="eastAsia" w:ascii="Times New Roman" w:hAnsi="Times New Roman" w:eastAsia="仿宋_GB2312" w:cs="仿宋_GB2312"/>
          <w:sz w:val="32"/>
          <w:szCs w:val="32"/>
        </w:rPr>
        <w:t>元（财政拨款支出12,62</w:t>
      </w:r>
      <w:r>
        <w:rPr>
          <w:rFonts w:hint="eastAsia" w:eastAsia="仿宋_GB2312" w:cs="仿宋_GB2312"/>
          <w:sz w:val="32"/>
          <w:szCs w:val="32"/>
          <w:lang w:val="en-US" w:eastAsia="zh-CN"/>
        </w:rPr>
        <w:t>.66万</w:t>
      </w:r>
      <w:r>
        <w:rPr>
          <w:rFonts w:hint="eastAsia" w:ascii="Times New Roman" w:hAnsi="Times New Roman" w:eastAsia="仿宋_GB2312" w:cs="仿宋_GB2312"/>
          <w:sz w:val="32"/>
          <w:szCs w:val="32"/>
        </w:rPr>
        <w:t>元），其中：基本支出5,07</w:t>
      </w:r>
      <w:r>
        <w:rPr>
          <w:rFonts w:hint="eastAsia" w:eastAsia="仿宋_GB2312" w:cs="仿宋_GB2312"/>
          <w:sz w:val="32"/>
          <w:szCs w:val="32"/>
          <w:lang w:val="en-US" w:eastAsia="zh-CN"/>
        </w:rPr>
        <w:t>.60万</w:t>
      </w:r>
      <w:r>
        <w:rPr>
          <w:rFonts w:hint="eastAsia" w:ascii="Times New Roman" w:hAnsi="Times New Roman" w:eastAsia="仿宋_GB2312" w:cs="仿宋_GB2312"/>
          <w:sz w:val="32"/>
          <w:szCs w:val="32"/>
        </w:rPr>
        <w:t>元，项目支出7,55</w:t>
      </w:r>
      <w:r>
        <w:rPr>
          <w:rFonts w:hint="eastAsia" w:eastAsia="仿宋_GB2312" w:cs="仿宋_GB2312"/>
          <w:sz w:val="32"/>
          <w:szCs w:val="32"/>
          <w:lang w:val="en-US" w:eastAsia="zh-CN"/>
        </w:rPr>
        <w:t>.06万</w:t>
      </w:r>
      <w:r>
        <w:rPr>
          <w:rFonts w:hint="eastAsia" w:ascii="Times New Roman" w:hAnsi="Times New Roman" w:eastAsia="仿宋_GB2312" w:cs="仿宋_GB2312"/>
          <w:sz w:val="32"/>
          <w:szCs w:val="32"/>
        </w:rPr>
        <w:t>元。</w:t>
      </w:r>
    </w:p>
    <w:p>
      <w:pPr>
        <w:widowControl/>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决算报表反映，2025年决算支出合计13,97</w:t>
      </w:r>
      <w:r>
        <w:rPr>
          <w:rFonts w:hint="eastAsia" w:eastAsia="仿宋_GB2312" w:cs="仿宋_GB2312"/>
          <w:sz w:val="32"/>
          <w:szCs w:val="32"/>
          <w:lang w:val="en-US" w:eastAsia="zh-CN"/>
        </w:rPr>
        <w:t>.74万</w:t>
      </w:r>
      <w:r>
        <w:rPr>
          <w:rFonts w:hint="eastAsia" w:ascii="Times New Roman" w:hAnsi="Times New Roman" w:eastAsia="仿宋_GB2312" w:cs="仿宋_GB2312"/>
          <w:sz w:val="32"/>
          <w:szCs w:val="32"/>
        </w:rPr>
        <w:t>元（财政拨款支出13,97</w:t>
      </w:r>
      <w:r>
        <w:rPr>
          <w:rFonts w:hint="eastAsia" w:eastAsia="仿宋_GB2312" w:cs="仿宋_GB2312"/>
          <w:sz w:val="32"/>
          <w:szCs w:val="32"/>
          <w:lang w:val="en-US" w:eastAsia="zh-CN"/>
        </w:rPr>
        <w:t>.74万</w:t>
      </w:r>
      <w:r>
        <w:rPr>
          <w:rFonts w:hint="eastAsia" w:ascii="Times New Roman" w:hAnsi="Times New Roman" w:eastAsia="仿宋_GB2312" w:cs="仿宋_GB2312"/>
          <w:sz w:val="32"/>
          <w:szCs w:val="32"/>
        </w:rPr>
        <w:t>元），其中：基本支出5,49</w:t>
      </w:r>
      <w:r>
        <w:rPr>
          <w:rFonts w:hint="eastAsia" w:eastAsia="仿宋_GB2312" w:cs="仿宋_GB2312"/>
          <w:sz w:val="32"/>
          <w:szCs w:val="32"/>
          <w:lang w:val="en-US" w:eastAsia="zh-CN"/>
        </w:rPr>
        <w:t>.84万</w:t>
      </w:r>
      <w:r>
        <w:rPr>
          <w:rFonts w:hint="eastAsia" w:ascii="Times New Roman" w:hAnsi="Times New Roman" w:eastAsia="仿宋_GB2312" w:cs="仿宋_GB2312"/>
          <w:sz w:val="32"/>
          <w:szCs w:val="32"/>
        </w:rPr>
        <w:t>元，项目支出8,47</w:t>
      </w:r>
      <w:r>
        <w:rPr>
          <w:rFonts w:hint="eastAsia" w:eastAsia="仿宋_GB2312" w:cs="仿宋_GB2312"/>
          <w:sz w:val="32"/>
          <w:szCs w:val="32"/>
          <w:lang w:val="en-US" w:eastAsia="zh-CN"/>
        </w:rPr>
        <w:t>.90万</w:t>
      </w:r>
      <w:r>
        <w:rPr>
          <w:rFonts w:hint="eastAsia" w:ascii="Times New Roman" w:hAnsi="Times New Roman" w:eastAsia="仿宋_GB2312" w:cs="仿宋_GB2312"/>
          <w:sz w:val="32"/>
          <w:szCs w:val="32"/>
        </w:rPr>
        <w:t>元。</w:t>
      </w:r>
    </w:p>
    <w:p>
      <w:pPr>
        <w:widowControl/>
        <w:adjustRightInd w:val="0"/>
        <w:snapToGrid w:val="0"/>
        <w:spacing w:line="578" w:lineRule="exact"/>
        <w:ind w:firstLine="642" w:firstLineChars="200"/>
        <w:contextualSpacing/>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sz w:val="32"/>
          <w:szCs w:val="32"/>
        </w:rPr>
        <w:t>2025年决算报表结转结余</w:t>
      </w:r>
      <w:r>
        <w:rPr>
          <w:rFonts w:hint="eastAsia" w:ascii="Times New Roman" w:hAnsi="Times New Roman" w:eastAsia="仿宋_GB2312" w:cs="仿宋_GB2312"/>
          <w:sz w:val="32"/>
          <w:szCs w:val="32"/>
          <w:lang w:eastAsia="zh-CN"/>
        </w:rPr>
        <w:t>为“</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lang w:eastAsia="zh-CN"/>
        </w:rPr>
        <w:t>”，无结转结余</w:t>
      </w:r>
      <w:r>
        <w:rPr>
          <w:rFonts w:hint="eastAsia" w:ascii="Times New Roman" w:hAnsi="Times New Roman" w:eastAsia="仿宋_GB2312" w:cs="仿宋_GB2312"/>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pStyle w:val="36"/>
        <w:spacing w:line="360" w:lineRule="auto"/>
        <w:ind w:firstLine="642" w:firstLineChars="200"/>
        <w:jc w:val="both"/>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pStyle w:val="36"/>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zh-CN" w:eastAsia="zh-CN" w:bidi="ar-SA"/>
        </w:rPr>
        <w:t>履职效能。</w:t>
      </w:r>
    </w:p>
    <w:p>
      <w:pPr>
        <w:spacing w:line="576" w:lineRule="exact"/>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2025年度工作开展情况。一是全年</w:t>
      </w:r>
      <w:r>
        <w:rPr>
          <w:rFonts w:hint="default" w:ascii="仿宋_GB2312" w:hAnsi="仿宋_GB2312" w:eastAsia="仿宋_GB2312" w:cs="仿宋_GB2312"/>
          <w:kern w:val="2"/>
          <w:sz w:val="32"/>
          <w:szCs w:val="32"/>
          <w:lang w:val="en-US" w:eastAsia="zh-CN" w:bidi="ar-SA"/>
        </w:rPr>
        <w:t>共取缔流动摊点</w:t>
      </w:r>
      <w:r>
        <w:rPr>
          <w:rFonts w:hint="eastAsia" w:ascii="仿宋_GB2312" w:hAnsi="仿宋_GB2312" w:eastAsia="仿宋_GB2312" w:cs="仿宋_GB2312"/>
          <w:kern w:val="2"/>
          <w:sz w:val="32"/>
          <w:szCs w:val="32"/>
          <w:lang w:val="en-US" w:eastAsia="zh-CN" w:bidi="ar-SA"/>
        </w:rPr>
        <w:t>300</w:t>
      </w:r>
      <w:r>
        <w:rPr>
          <w:rFonts w:hint="default" w:ascii="仿宋_GB2312" w:hAnsi="仿宋_GB2312" w:eastAsia="仿宋_GB2312" w:cs="仿宋_GB2312"/>
          <w:kern w:val="2"/>
          <w:sz w:val="32"/>
          <w:szCs w:val="32"/>
          <w:lang w:val="en-US" w:eastAsia="zh-CN" w:bidi="ar-SA"/>
        </w:rPr>
        <w:t>余起、清理占道经营</w:t>
      </w:r>
      <w:r>
        <w:rPr>
          <w:rFonts w:hint="eastAsia" w:ascii="仿宋_GB2312" w:hAnsi="仿宋_GB2312" w:eastAsia="仿宋_GB2312" w:cs="仿宋_GB2312"/>
          <w:kern w:val="2"/>
          <w:sz w:val="32"/>
          <w:szCs w:val="32"/>
          <w:lang w:val="en-US" w:eastAsia="zh-CN" w:bidi="ar-SA"/>
        </w:rPr>
        <w:t>2000</w:t>
      </w:r>
      <w:r>
        <w:rPr>
          <w:rFonts w:hint="default" w:ascii="仿宋_GB2312" w:hAnsi="仿宋_GB2312" w:eastAsia="仿宋_GB2312" w:cs="仿宋_GB2312"/>
          <w:kern w:val="2"/>
          <w:sz w:val="32"/>
          <w:szCs w:val="32"/>
          <w:lang w:val="en-US" w:eastAsia="zh-CN" w:bidi="ar-SA"/>
        </w:rPr>
        <w:t>余起、乱堆乱放</w:t>
      </w:r>
      <w:r>
        <w:rPr>
          <w:rFonts w:hint="eastAsia" w:ascii="仿宋_GB2312" w:hAnsi="仿宋_GB2312" w:eastAsia="仿宋_GB2312" w:cs="仿宋_GB2312"/>
          <w:kern w:val="2"/>
          <w:sz w:val="32"/>
          <w:szCs w:val="32"/>
          <w:lang w:val="en-US" w:eastAsia="zh-CN" w:bidi="ar-SA"/>
        </w:rPr>
        <w:t>250</w:t>
      </w:r>
      <w:r>
        <w:rPr>
          <w:rFonts w:hint="default" w:ascii="仿宋_GB2312" w:hAnsi="仿宋_GB2312" w:eastAsia="仿宋_GB2312" w:cs="仿宋_GB2312"/>
          <w:kern w:val="2"/>
          <w:sz w:val="32"/>
          <w:szCs w:val="32"/>
          <w:lang w:val="en-US" w:eastAsia="zh-CN" w:bidi="ar-SA"/>
        </w:rPr>
        <w:t>余处、规范机动车停放</w:t>
      </w:r>
      <w:r>
        <w:rPr>
          <w:rFonts w:hint="eastAsia" w:ascii="仿宋_GB2312" w:hAnsi="仿宋_GB2312" w:eastAsia="仿宋_GB2312" w:cs="仿宋_GB2312"/>
          <w:kern w:val="2"/>
          <w:sz w:val="32"/>
          <w:szCs w:val="32"/>
          <w:lang w:val="en-US" w:eastAsia="zh-CN" w:bidi="ar-SA"/>
        </w:rPr>
        <w:t>1290余</w:t>
      </w:r>
      <w:r>
        <w:rPr>
          <w:rFonts w:hint="default" w:ascii="仿宋_GB2312" w:hAnsi="仿宋_GB2312" w:eastAsia="仿宋_GB2312" w:cs="仿宋_GB2312"/>
          <w:kern w:val="2"/>
          <w:sz w:val="32"/>
          <w:szCs w:val="32"/>
          <w:lang w:val="en-US" w:eastAsia="zh-CN" w:bidi="ar-SA"/>
        </w:rPr>
        <w:t>辆/次、拆除违规横幅</w:t>
      </w:r>
      <w:r>
        <w:rPr>
          <w:rFonts w:hint="eastAsia" w:ascii="仿宋_GB2312" w:hAnsi="仿宋_GB2312" w:eastAsia="仿宋_GB2312" w:cs="仿宋_GB2312"/>
          <w:kern w:val="2"/>
          <w:sz w:val="32"/>
          <w:szCs w:val="32"/>
          <w:lang w:val="en-US" w:eastAsia="zh-CN" w:bidi="ar-SA"/>
        </w:rPr>
        <w:t>60</w:t>
      </w:r>
      <w:r>
        <w:rPr>
          <w:rFonts w:hint="default" w:ascii="仿宋_GB2312" w:hAnsi="仿宋_GB2312" w:eastAsia="仿宋_GB2312" w:cs="仿宋_GB2312"/>
          <w:kern w:val="2"/>
          <w:sz w:val="32"/>
          <w:szCs w:val="32"/>
          <w:lang w:val="en-US" w:eastAsia="zh-CN" w:bidi="ar-SA"/>
        </w:rPr>
        <w:t>余条、清理小广告</w:t>
      </w:r>
      <w:r>
        <w:rPr>
          <w:rFonts w:hint="eastAsia" w:ascii="仿宋_GB2312" w:hAnsi="仿宋_GB2312" w:eastAsia="仿宋_GB2312" w:cs="仿宋_GB2312"/>
          <w:kern w:val="2"/>
          <w:sz w:val="32"/>
          <w:szCs w:val="32"/>
          <w:lang w:val="en-US" w:eastAsia="zh-CN" w:bidi="ar-SA"/>
        </w:rPr>
        <w:t>157</w:t>
      </w:r>
      <w:r>
        <w:rPr>
          <w:rFonts w:hint="default" w:ascii="仿宋_GB2312" w:hAnsi="仿宋_GB2312" w:eastAsia="仿宋_GB2312" w:cs="仿宋_GB2312"/>
          <w:kern w:val="2"/>
          <w:sz w:val="32"/>
          <w:szCs w:val="32"/>
          <w:lang w:val="en-US" w:eastAsia="zh-CN" w:bidi="ar-SA"/>
        </w:rPr>
        <w:t>余张、规范户外广告店招店牌</w:t>
      </w:r>
      <w:r>
        <w:rPr>
          <w:rFonts w:hint="eastAsia" w:ascii="仿宋_GB2312" w:hAnsi="仿宋_GB2312" w:eastAsia="仿宋_GB2312" w:cs="仿宋_GB2312"/>
          <w:kern w:val="2"/>
          <w:sz w:val="32"/>
          <w:szCs w:val="32"/>
          <w:lang w:val="en-US" w:eastAsia="zh-CN" w:bidi="ar-SA"/>
        </w:rPr>
        <w:t>38</w:t>
      </w:r>
      <w:r>
        <w:rPr>
          <w:rFonts w:hint="default" w:ascii="仿宋_GB2312" w:hAnsi="仿宋_GB2312" w:eastAsia="仿宋_GB2312" w:cs="仿宋_GB2312"/>
          <w:kern w:val="2"/>
          <w:sz w:val="32"/>
          <w:szCs w:val="32"/>
          <w:lang w:val="en-US" w:eastAsia="zh-CN" w:bidi="ar-SA"/>
        </w:rPr>
        <w:t>起、整改违章撒漏</w:t>
      </w:r>
      <w:r>
        <w:rPr>
          <w:rFonts w:hint="eastAsia" w:ascii="仿宋_GB2312" w:hAnsi="仿宋_GB2312" w:eastAsia="仿宋_GB2312" w:cs="仿宋_GB2312"/>
          <w:kern w:val="2"/>
          <w:sz w:val="32"/>
          <w:szCs w:val="32"/>
          <w:lang w:val="en-US" w:eastAsia="zh-CN" w:bidi="ar-SA"/>
        </w:rPr>
        <w:t>20余</w:t>
      </w:r>
      <w:r>
        <w:rPr>
          <w:rFonts w:hint="default" w:ascii="仿宋_GB2312" w:hAnsi="仿宋_GB2312" w:eastAsia="仿宋_GB2312" w:cs="仿宋_GB2312"/>
          <w:kern w:val="2"/>
          <w:sz w:val="32"/>
          <w:szCs w:val="32"/>
          <w:lang w:val="en-US" w:eastAsia="zh-CN" w:bidi="ar-SA"/>
        </w:rPr>
        <w:t>起、行政处罚机动车违规停放</w:t>
      </w:r>
      <w:r>
        <w:rPr>
          <w:rFonts w:hint="eastAsia" w:ascii="仿宋_GB2312" w:hAnsi="仿宋_GB2312" w:eastAsia="仿宋_GB2312" w:cs="仿宋_GB2312"/>
          <w:kern w:val="2"/>
          <w:sz w:val="32"/>
          <w:szCs w:val="32"/>
          <w:lang w:val="en-US" w:eastAsia="zh-CN" w:bidi="ar-SA"/>
        </w:rPr>
        <w:t>22</w:t>
      </w:r>
      <w:r>
        <w:rPr>
          <w:rFonts w:hint="default" w:ascii="仿宋_GB2312" w:hAnsi="仿宋_GB2312" w:eastAsia="仿宋_GB2312" w:cs="仿宋_GB2312"/>
          <w:kern w:val="2"/>
          <w:sz w:val="32"/>
          <w:szCs w:val="32"/>
          <w:lang w:val="en-US" w:eastAsia="zh-CN" w:bidi="ar-SA"/>
        </w:rPr>
        <w:t>起，排查工地</w:t>
      </w:r>
      <w:r>
        <w:rPr>
          <w:rFonts w:hint="eastAsia" w:ascii="仿宋_GB2312" w:hAnsi="仿宋_GB2312" w:eastAsia="仿宋_GB2312" w:cs="仿宋_GB2312"/>
          <w:kern w:val="2"/>
          <w:sz w:val="32"/>
          <w:szCs w:val="32"/>
          <w:lang w:val="en-US" w:eastAsia="zh-CN" w:bidi="ar-SA"/>
        </w:rPr>
        <w:t>12</w:t>
      </w:r>
      <w:r>
        <w:rPr>
          <w:rFonts w:hint="default" w:ascii="仿宋_GB2312" w:hAnsi="仿宋_GB2312" w:eastAsia="仿宋_GB2312" w:cs="仿宋_GB2312"/>
          <w:kern w:val="2"/>
          <w:sz w:val="32"/>
          <w:szCs w:val="32"/>
          <w:lang w:val="en-US" w:eastAsia="zh-CN" w:bidi="ar-SA"/>
        </w:rPr>
        <w:t>处，</w:t>
      </w:r>
      <w:r>
        <w:rPr>
          <w:rFonts w:hint="eastAsia" w:ascii="仿宋_GB2312" w:hAnsi="仿宋_GB2312" w:eastAsia="仿宋_GB2312" w:cs="仿宋_GB2312"/>
          <w:kern w:val="2"/>
          <w:sz w:val="32"/>
          <w:szCs w:val="32"/>
          <w:lang w:val="en-US" w:eastAsia="zh-CN" w:bidi="ar-SA"/>
        </w:rPr>
        <w:t>处理建筑垃圾乱堆乱放</w:t>
      </w:r>
      <w:r>
        <w:rPr>
          <w:rFonts w:hint="default" w:ascii="仿宋_GB2312" w:hAnsi="仿宋_GB2312" w:eastAsia="仿宋_GB2312" w:cs="仿宋_GB2312"/>
          <w:kern w:val="2"/>
          <w:sz w:val="32"/>
          <w:szCs w:val="32"/>
          <w:lang w:val="en-US" w:eastAsia="zh-CN" w:bidi="ar-SA"/>
        </w:rPr>
        <w:t>问题</w:t>
      </w:r>
      <w:r>
        <w:rPr>
          <w:rFonts w:hint="eastAsia" w:ascii="仿宋_GB2312" w:hAnsi="仿宋_GB2312" w:eastAsia="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处并完成整改，协调县城建筑垃圾处置场所</w:t>
      </w:r>
      <w:r>
        <w:rPr>
          <w:rFonts w:hint="eastAsia" w:ascii="仿宋_GB2312" w:hAnsi="仿宋_GB2312" w:eastAsia="仿宋_GB2312" w:cs="仿宋_GB2312"/>
          <w:kern w:val="2"/>
          <w:sz w:val="32"/>
          <w:szCs w:val="32"/>
          <w:lang w:val="en-US" w:eastAsia="zh-CN" w:bidi="ar-SA"/>
        </w:rPr>
        <w:t>1</w:t>
      </w:r>
      <w:r>
        <w:rPr>
          <w:rFonts w:hint="default" w:ascii="仿宋_GB2312" w:hAnsi="仿宋_GB2312" w:eastAsia="仿宋_GB2312" w:cs="仿宋_GB2312"/>
          <w:kern w:val="2"/>
          <w:sz w:val="32"/>
          <w:szCs w:val="32"/>
          <w:lang w:val="en-US" w:eastAsia="zh-CN" w:bidi="ar-SA"/>
        </w:rPr>
        <w:t>处，</w:t>
      </w:r>
      <w:r>
        <w:rPr>
          <w:rFonts w:hint="eastAsia" w:ascii="仿宋_GB2312" w:hAnsi="仿宋_GB2312" w:eastAsia="仿宋_GB2312" w:cs="仿宋_GB2312"/>
          <w:kern w:val="2"/>
          <w:sz w:val="32"/>
          <w:szCs w:val="32"/>
          <w:lang w:val="en-US" w:eastAsia="zh-CN" w:bidi="ar-SA"/>
        </w:rPr>
        <w:t>教育</w:t>
      </w:r>
      <w:r>
        <w:rPr>
          <w:rFonts w:hint="default" w:ascii="仿宋_GB2312" w:hAnsi="仿宋_GB2312" w:eastAsia="仿宋_GB2312" w:cs="仿宋_GB2312"/>
          <w:kern w:val="2"/>
          <w:sz w:val="32"/>
          <w:szCs w:val="32"/>
          <w:lang w:val="en-US" w:eastAsia="zh-CN" w:bidi="ar-SA"/>
        </w:rPr>
        <w:t>引导城区装修建筑工地规范处置建筑垃圾。</w:t>
      </w:r>
      <w:r>
        <w:rPr>
          <w:rFonts w:hint="eastAsia" w:ascii="仿宋_GB2312" w:hAnsi="仿宋_GB2312" w:eastAsia="仿宋_GB2312" w:cs="仿宋_GB2312"/>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完成前街、中街、滨河路等主要路段路灯日常检修工作，共检查路灯</w:t>
      </w:r>
      <w:r>
        <w:rPr>
          <w:rFonts w:hint="eastAsia" w:ascii="仿宋_GB2312" w:hAnsi="仿宋_GB2312" w:eastAsia="仿宋_GB2312" w:cs="仿宋_GB2312"/>
          <w:kern w:val="2"/>
          <w:sz w:val="32"/>
          <w:szCs w:val="32"/>
          <w:lang w:val="en-US" w:eastAsia="zh-CN" w:bidi="ar-SA"/>
        </w:rPr>
        <w:t>600</w:t>
      </w:r>
      <w:r>
        <w:rPr>
          <w:rFonts w:hint="default" w:ascii="仿宋_GB2312" w:hAnsi="仿宋_GB2312" w:eastAsia="仿宋_GB2312" w:cs="仿宋_GB2312"/>
          <w:kern w:val="2"/>
          <w:sz w:val="32"/>
          <w:szCs w:val="32"/>
          <w:lang w:val="en-US" w:eastAsia="zh-CN" w:bidi="ar-SA"/>
        </w:rPr>
        <w:t>余盏次，更换路灯灯泡</w:t>
      </w:r>
      <w:r>
        <w:rPr>
          <w:rFonts w:hint="eastAsia" w:ascii="仿宋_GB2312" w:hAnsi="仿宋_GB2312" w:eastAsia="仿宋_GB2312" w:cs="仿宋_GB2312"/>
          <w:kern w:val="2"/>
          <w:sz w:val="32"/>
          <w:szCs w:val="32"/>
          <w:lang w:val="en-US" w:eastAsia="zh-CN" w:bidi="ar-SA"/>
        </w:rPr>
        <w:t>1000余</w:t>
      </w:r>
      <w:r>
        <w:rPr>
          <w:rFonts w:hint="default" w:ascii="仿宋_GB2312" w:hAnsi="仿宋_GB2312" w:eastAsia="仿宋_GB2312" w:cs="仿宋_GB2312"/>
          <w:kern w:val="2"/>
          <w:sz w:val="32"/>
          <w:szCs w:val="32"/>
          <w:lang w:val="en-US" w:eastAsia="zh-CN" w:bidi="ar-SA"/>
        </w:rPr>
        <w:t>个，更换电缆400余米</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开展夜间亮化排查</w:t>
      </w:r>
      <w:r>
        <w:rPr>
          <w:rFonts w:hint="eastAsia" w:ascii="仿宋_GB2312" w:hAnsi="仿宋_GB2312" w:eastAsia="仿宋_GB2312" w:cs="仿宋_GB2312"/>
          <w:kern w:val="2"/>
          <w:sz w:val="32"/>
          <w:szCs w:val="32"/>
          <w:lang w:val="en-US" w:eastAsia="zh-CN" w:bidi="ar-SA"/>
        </w:rPr>
        <w:t>200</w:t>
      </w:r>
      <w:r>
        <w:rPr>
          <w:rFonts w:hint="default" w:ascii="仿宋_GB2312" w:hAnsi="仿宋_GB2312" w:eastAsia="仿宋_GB2312" w:cs="仿宋_GB2312"/>
          <w:kern w:val="2"/>
          <w:sz w:val="32"/>
          <w:szCs w:val="32"/>
          <w:lang w:val="en-US" w:eastAsia="zh-CN" w:bidi="ar-SA"/>
        </w:rPr>
        <w:t>余次，损坏灯具维修</w:t>
      </w:r>
      <w:r>
        <w:rPr>
          <w:rFonts w:hint="eastAsia" w:ascii="仿宋_GB2312" w:hAnsi="仿宋_GB2312" w:eastAsia="仿宋_GB2312" w:cs="仿宋_GB2312"/>
          <w:kern w:val="2"/>
          <w:sz w:val="32"/>
          <w:szCs w:val="32"/>
          <w:lang w:val="en-US" w:eastAsia="zh-CN" w:bidi="ar-SA"/>
        </w:rPr>
        <w:t>400</w:t>
      </w:r>
      <w:r>
        <w:rPr>
          <w:rFonts w:hint="default" w:ascii="仿宋_GB2312" w:hAnsi="仿宋_GB2312" w:eastAsia="仿宋_GB2312" w:cs="仿宋_GB2312"/>
          <w:kern w:val="2"/>
          <w:sz w:val="32"/>
          <w:szCs w:val="32"/>
          <w:lang w:val="en-US" w:eastAsia="zh-CN" w:bidi="ar-SA"/>
        </w:rPr>
        <w:t>余个，维修损坏亮化控制箱设施15个;累计完成各类窨井盖排查150余处、更换破损井盖17个、加装防坠网150余张，清理排水沟渠和管网450余米，疏通淤堵点</w:t>
      </w:r>
      <w:r>
        <w:rPr>
          <w:rFonts w:hint="eastAsia" w:ascii="仿宋_GB2312" w:hAnsi="仿宋_GB2312" w:eastAsia="仿宋_GB2312" w:cs="仿宋_GB2312"/>
          <w:kern w:val="2"/>
          <w:sz w:val="32"/>
          <w:szCs w:val="32"/>
          <w:lang w:val="en-US" w:eastAsia="zh-CN" w:bidi="ar-SA"/>
        </w:rPr>
        <w:t>9</w:t>
      </w:r>
      <w:r>
        <w:rPr>
          <w:rFonts w:hint="default" w:ascii="仿宋_GB2312" w:hAnsi="仿宋_GB2312" w:eastAsia="仿宋_GB2312" w:cs="仿宋_GB2312"/>
          <w:kern w:val="2"/>
          <w:sz w:val="32"/>
          <w:szCs w:val="32"/>
          <w:lang w:val="en-US" w:eastAsia="zh-CN" w:bidi="ar-SA"/>
        </w:rPr>
        <w:t>处;播撒花卉35000余平方米，完成气站步道绿化带柳树补种6棵，开展樱花树新植试种，在气站步道、红叶山庄上方、牦牛广场绿化带区域试种植80棵。</w:t>
      </w:r>
      <w:r>
        <w:rPr>
          <w:rFonts w:hint="eastAsia" w:ascii="仿宋_GB2312" w:hAnsi="仿宋_GB2312" w:eastAsia="仿宋_GB2312" w:cs="仿宋_GB2312"/>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对城区内大街小巷进行全天候保洁，使城区街道环境卫生保持高质量，确保路面干净，整洁，做到路见底色;对小区、栈道、河道边坡</w:t>
      </w:r>
      <w:r>
        <w:rPr>
          <w:rFonts w:hint="eastAsia" w:ascii="仿宋_GB2312" w:hAnsi="仿宋_GB2312" w:eastAsia="仿宋_GB2312" w:cs="仿宋_GB2312"/>
          <w:kern w:val="2"/>
          <w:sz w:val="32"/>
          <w:szCs w:val="32"/>
          <w:lang w:val="en-US" w:eastAsia="zh-CN" w:bidi="ar-SA"/>
        </w:rPr>
        <w:t>、背街小巷</w:t>
      </w:r>
      <w:r>
        <w:rPr>
          <w:rFonts w:hint="default" w:ascii="仿宋_GB2312" w:hAnsi="仿宋_GB2312" w:eastAsia="仿宋_GB2312" w:cs="仿宋_GB2312"/>
          <w:kern w:val="2"/>
          <w:sz w:val="32"/>
          <w:szCs w:val="32"/>
          <w:lang w:val="en-US" w:eastAsia="zh-CN" w:bidi="ar-SA"/>
        </w:rPr>
        <w:t>垃圾进行清理共计清理</w:t>
      </w:r>
      <w:r>
        <w:rPr>
          <w:rFonts w:hint="eastAsia" w:ascii="仿宋_GB2312" w:hAnsi="仿宋_GB2312" w:eastAsia="仿宋_GB2312" w:cs="仿宋_GB2312"/>
          <w:kern w:val="2"/>
          <w:sz w:val="32"/>
          <w:szCs w:val="32"/>
          <w:lang w:val="en-US" w:eastAsia="zh-CN" w:bidi="ar-SA"/>
        </w:rPr>
        <w:t>400</w:t>
      </w:r>
      <w:r>
        <w:rPr>
          <w:rFonts w:hint="default" w:ascii="仿宋_GB2312" w:hAnsi="仿宋_GB2312" w:eastAsia="仿宋_GB2312" w:cs="仿宋_GB2312"/>
          <w:kern w:val="2"/>
          <w:sz w:val="32"/>
          <w:szCs w:val="32"/>
          <w:lang w:val="en-US" w:eastAsia="zh-CN" w:bidi="ar-SA"/>
        </w:rPr>
        <w:t>余处，垃圾</w:t>
      </w:r>
      <w:r>
        <w:rPr>
          <w:rFonts w:hint="eastAsia" w:ascii="仿宋_GB2312" w:hAnsi="仿宋_GB2312" w:eastAsia="仿宋_GB2312" w:cs="仿宋_GB2312"/>
          <w:kern w:val="2"/>
          <w:sz w:val="32"/>
          <w:szCs w:val="32"/>
          <w:lang w:val="en-US" w:eastAsia="zh-CN" w:bidi="ar-SA"/>
        </w:rPr>
        <w:t>500</w:t>
      </w:r>
      <w:r>
        <w:rPr>
          <w:rFonts w:hint="default" w:ascii="仿宋_GB2312" w:hAnsi="仿宋_GB2312" w:eastAsia="仿宋_GB2312" w:cs="仿宋_GB2312"/>
          <w:kern w:val="2"/>
          <w:sz w:val="32"/>
          <w:szCs w:val="32"/>
          <w:lang w:val="en-US" w:eastAsia="zh-CN" w:bidi="ar-SA"/>
        </w:rPr>
        <w:t>余吨;对已损坏的77个垃圾箱体进行维修、翻新，每周五对城区150个果皮箱体进行清理。</w:t>
      </w:r>
      <w:r>
        <w:rPr>
          <w:rFonts w:hint="eastAsia" w:ascii="仿宋_GB2312" w:hAnsi="仿宋_GB2312" w:eastAsia="仿宋_GB2312" w:cs="仿宋_GB2312"/>
          <w:kern w:val="2"/>
          <w:sz w:val="32"/>
          <w:szCs w:val="32"/>
          <w:lang w:val="en-US" w:eastAsia="zh-CN" w:bidi="ar-SA"/>
        </w:rPr>
        <w:t>全年</w:t>
      </w:r>
      <w:r>
        <w:rPr>
          <w:rFonts w:hint="default" w:ascii="仿宋_GB2312" w:hAnsi="仿宋_GB2312" w:eastAsia="仿宋_GB2312" w:cs="仿宋_GB2312"/>
          <w:kern w:val="2"/>
          <w:sz w:val="32"/>
          <w:szCs w:val="32"/>
          <w:lang w:val="en-US" w:eastAsia="zh-CN" w:bidi="ar-SA"/>
        </w:rPr>
        <w:t>共清运</w:t>
      </w:r>
      <w:r>
        <w:rPr>
          <w:rFonts w:hint="eastAsia" w:ascii="仿宋_GB2312" w:hAnsi="仿宋_GB2312" w:eastAsia="仿宋_GB2312" w:cs="仿宋_GB2312"/>
          <w:kern w:val="2"/>
          <w:sz w:val="32"/>
          <w:szCs w:val="32"/>
          <w:lang w:val="en-US" w:eastAsia="zh-CN" w:bidi="ar-SA"/>
        </w:rPr>
        <w:t>城区垃圾2000</w:t>
      </w:r>
      <w:r>
        <w:rPr>
          <w:rFonts w:hint="default" w:ascii="仿宋_GB2312" w:hAnsi="仿宋_GB2312" w:eastAsia="仿宋_GB2312" w:cs="仿宋_GB2312"/>
          <w:kern w:val="2"/>
          <w:sz w:val="32"/>
          <w:szCs w:val="32"/>
          <w:lang w:val="en-US" w:eastAsia="zh-CN" w:bidi="ar-SA"/>
        </w:rPr>
        <w:t>余吨，结合安全生产月等重点时段召开安全生产大会6次，加强</w:t>
      </w:r>
      <w:r>
        <w:rPr>
          <w:rFonts w:hint="eastAsia" w:ascii="仿宋_GB2312" w:hAnsi="仿宋_GB2312" w:eastAsia="仿宋_GB2312" w:cs="仿宋_GB2312"/>
          <w:kern w:val="2"/>
          <w:sz w:val="32"/>
          <w:szCs w:val="32"/>
          <w:lang w:val="en-US" w:eastAsia="zh-CN" w:bidi="ar-SA"/>
        </w:rPr>
        <w:t>环卫工、清运工</w:t>
      </w:r>
      <w:r>
        <w:rPr>
          <w:rFonts w:hint="default" w:ascii="仿宋_GB2312" w:hAnsi="仿宋_GB2312" w:eastAsia="仿宋_GB2312" w:cs="仿宋_GB2312"/>
          <w:kern w:val="2"/>
          <w:sz w:val="32"/>
          <w:szCs w:val="32"/>
          <w:lang w:val="en-US" w:eastAsia="zh-CN" w:bidi="ar-SA"/>
        </w:rPr>
        <w:t>安全教育和安全</w:t>
      </w:r>
      <w:r>
        <w:rPr>
          <w:rFonts w:hint="eastAsia" w:ascii="仿宋_GB2312" w:hAnsi="仿宋_GB2312" w:eastAsia="仿宋_GB2312" w:cs="仿宋_GB2312"/>
          <w:kern w:val="2"/>
          <w:sz w:val="32"/>
          <w:szCs w:val="32"/>
          <w:lang w:val="en-US" w:eastAsia="zh-CN" w:bidi="ar-SA"/>
        </w:rPr>
        <w:t>知识宣传</w:t>
      </w:r>
      <w:r>
        <w:rPr>
          <w:rFonts w:hint="default" w:ascii="仿宋_GB2312" w:hAnsi="仿宋_GB2312" w:eastAsia="仿宋_GB2312" w:cs="仿宋_GB2312"/>
          <w:kern w:val="2"/>
          <w:sz w:val="32"/>
          <w:szCs w:val="32"/>
          <w:lang w:val="en-US" w:eastAsia="zh-CN" w:bidi="ar-SA"/>
        </w:rPr>
        <w:t>。</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zh-CN" w:eastAsia="zh-CN" w:bidi="ar-SA"/>
        </w:rPr>
        <w:t>预算管理。</w:t>
      </w:r>
      <w:r>
        <w:rPr>
          <w:rFonts w:hint="eastAsia" w:ascii="仿宋_GB2312" w:hAnsi="仿宋_GB2312" w:eastAsia="仿宋_GB2312" w:cs="仿宋_GB2312"/>
          <w:kern w:val="2"/>
          <w:sz w:val="32"/>
          <w:szCs w:val="32"/>
          <w:lang w:val="en-US" w:eastAsia="zh-CN" w:bidi="ar-SA"/>
        </w:rPr>
        <w:t>2025年财政下达壤塘县城乡文明综合服务中心年初预算收1262.66万元，执行期中追加收入135.08万元，预算编制准确率较高。根据内设部门的职责和分工，对财政批复的预算在单位内部进行指标分解、审批下达，规范内部预算追加调整程序，发挥预算对经济活动的管控作用。</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zh-CN" w:eastAsia="zh-CN" w:bidi="ar-SA"/>
        </w:rPr>
        <w:t>财务管理。</w:t>
      </w:r>
      <w:r>
        <w:rPr>
          <w:rFonts w:hint="eastAsia" w:ascii="仿宋_GB2312" w:hAnsi="仿宋_GB2312" w:eastAsia="仿宋_GB2312" w:cs="仿宋_GB2312"/>
          <w:kern w:val="2"/>
          <w:sz w:val="32"/>
          <w:szCs w:val="32"/>
          <w:lang w:val="en-US" w:eastAsia="zh-CN" w:bidi="ar-SA"/>
        </w:rPr>
        <w:t>壤塘县城乡文明综合服务中心本年度资金使用过程中严格按照单位财务管理制度要求执行，资金使用的合规性体现在：</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（1）所有经费开支坚持财务审批制度，重大资金支出（日常公用经费在1万元及以上）由党支部行政领导班子研究决定。</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（2）在报销经费时，经办人使用统一规范的审批单，在审批单上写明用途、经办人员、股室负责人、财务负责人、单位领导、金额、报销日期等内容。</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（3）费用报销审批程序</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经办人填写报销单→由业务科室负责人确认签字→财务科人员核签字→财务分管领导确认签字→单位负责人批准后，到财务室出纳处办理支付手续。</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各个审批环节的具体职责：</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业务科室负责人及其分管领导对其发生的支出用途及金额的真实性、准确性负责，并对其科室填写的支出审批单内容、大小写金额、票据张数进行审核。经济业务发生后，原则上在30天之内报账完毕。不得将几个经济事项的票据合并填报。</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财务室对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科有权拒绝受理。</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各审批领导审查财务收支的真实性、合法性、必要性，并在报销凭证上明确签署报销意见。</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所有费用报销实行单位负责人“一支笔”签批制度。</w:t>
      </w:r>
    </w:p>
    <w:p>
      <w:pPr>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务管理规定的票据有权拒绝接受并应立即报告。</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zh-CN" w:eastAsia="zh-CN" w:bidi="ar-SA"/>
        </w:rPr>
        <w:t>资产管理。人均资产变化率</w:t>
      </w:r>
      <w:r>
        <w:rPr>
          <w:rFonts w:hint="eastAsia" w:ascii="仿宋_GB2312" w:hAnsi="仿宋_GB2312" w:eastAsia="仿宋_GB2312" w:cs="仿宋_GB2312"/>
          <w:kern w:val="2"/>
          <w:sz w:val="32"/>
          <w:szCs w:val="32"/>
          <w:lang w:val="en-US" w:eastAsia="zh-CN" w:bidi="ar-SA"/>
        </w:rPr>
        <w:t>-23.36%</w:t>
      </w:r>
      <w:r>
        <w:rPr>
          <w:rFonts w:hint="eastAsia" w:ascii="仿宋_GB2312" w:hAnsi="仿宋_GB2312" w:eastAsia="仿宋_GB2312" w:cs="仿宋_GB2312"/>
          <w:kern w:val="2"/>
          <w:sz w:val="32"/>
          <w:szCs w:val="32"/>
          <w:lang w:val="zh-CN" w:eastAsia="zh-CN" w:bidi="ar-SA"/>
        </w:rPr>
        <w:t>、资产利用率</w:t>
      </w:r>
      <w:r>
        <w:rPr>
          <w:rFonts w:hint="eastAsia" w:ascii="仿宋_GB2312" w:hAnsi="仿宋_GB2312" w:eastAsia="仿宋_GB2312" w:cs="仿宋_GB2312"/>
          <w:kern w:val="2"/>
          <w:sz w:val="32"/>
          <w:szCs w:val="32"/>
          <w:lang w:val="en-US" w:eastAsia="zh-CN" w:bidi="ar-SA"/>
        </w:rPr>
        <w:t>100%</w:t>
      </w:r>
      <w:r>
        <w:rPr>
          <w:rFonts w:hint="eastAsia" w:ascii="仿宋_GB2312" w:hAnsi="仿宋_GB2312" w:eastAsia="仿宋_GB2312" w:cs="仿宋_GB2312"/>
          <w:kern w:val="2"/>
          <w:sz w:val="32"/>
          <w:szCs w:val="32"/>
          <w:lang w:val="zh-CN" w:eastAsia="zh-CN" w:bidi="ar-SA"/>
        </w:rPr>
        <w:t>、资产盘活率为“</w:t>
      </w:r>
      <w:r>
        <w:rPr>
          <w:rFonts w:hint="eastAsia" w:ascii="仿宋_GB2312" w:hAnsi="仿宋_GB2312" w:eastAsia="仿宋_GB2312" w:cs="仿宋_GB2312"/>
          <w:kern w:val="2"/>
          <w:sz w:val="32"/>
          <w:szCs w:val="32"/>
          <w:lang w:val="en-US" w:eastAsia="zh-CN" w:bidi="ar-SA"/>
        </w:rPr>
        <w:t>0</w:t>
      </w:r>
      <w:r>
        <w:rPr>
          <w:rFonts w:hint="eastAsia" w:ascii="仿宋_GB2312" w:hAnsi="仿宋_GB2312" w:eastAsia="仿宋_GB2312" w:cs="仿宋_GB2312"/>
          <w:kern w:val="2"/>
          <w:sz w:val="32"/>
          <w:szCs w:val="32"/>
          <w:lang w:val="zh-CN" w:eastAsia="zh-CN" w:bidi="ar-SA"/>
        </w:rPr>
        <w:t>”。</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default"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zh-CN" w:eastAsia="zh-CN" w:bidi="ar-SA"/>
        </w:rPr>
        <w:t>人均资产变化率-23.36%</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上期期末总资产为5215.09万元，年末人数为15人，上期人均资产为347.67万元/人；本期期末总资产为5062.73万元，年末人数为19人，本期人均资产为266.46万元/人；故人均资产变化率为-23.36%。</w:t>
      </w:r>
      <w:r>
        <w:rPr>
          <w:rFonts w:hint="eastAsia" w:ascii="仿宋_GB2312" w:hAnsi="仿宋_GB2312" w:eastAsia="仿宋_GB2312" w:cs="仿宋_GB2312"/>
          <w:kern w:val="2"/>
          <w:sz w:val="32"/>
          <w:szCs w:val="32"/>
          <w:lang w:val="zh-CN" w:eastAsia="zh-CN" w:bidi="ar-SA"/>
        </w:rPr>
        <w:t>人均资产较上期大幅下降23.36%，主要原因是本年度人员数量增加，资产总额重新核算，较上年有所减少。</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default"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zh-CN" w:eastAsia="zh-CN" w:bidi="ar-SA"/>
        </w:rPr>
        <w:t>资产利用率100%</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资产利用率达到满值100%，我中心现有全部在用资产均已投入日常履职和业务运行，无闲置在用资产、无低效使用资产，资产日常使用管控到位，现有存量资产发挥了全部使用价值。</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default"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zh-CN" w:eastAsia="zh-CN" w:bidi="ar-SA"/>
        </w:rPr>
        <w:t>资产盘活率0%</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资产盘活率为0，因我中心无闲置资产、低效资产、沉淀资产完成盘活处置。</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zh-CN" w:eastAsia="zh-CN" w:bidi="ar-SA"/>
        </w:rPr>
        <w:t>采购管理。</w:t>
      </w:r>
    </w:p>
    <w:p>
      <w:pPr>
        <w:adjustRightInd w:val="0"/>
        <w:snapToGrid w:val="0"/>
        <w:spacing w:line="578" w:lineRule="exact"/>
        <w:ind w:firstLine="640" w:firstLineChars="200"/>
        <w:contextualSpacing/>
        <w:jc w:val="left"/>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无。</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常年项目绩效分析。该类项目共50个，涉及预算总金额573.12万元，1—12月预算执行总体进度为95.94%，其中：预算结余率大于10%的项目共计2个。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阶段（含一次性）项目绩效分析。该类项目共22个，涉及预算总金额1421.33万元，1—12月预算执行总体进度为59.66%，其中：预算结余率大于10%的项目共计6个。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项目决策。严格规范项目决策流程，依规履行各项审批程序，确保决策合规严谨。精准锚定项目建设目标，贴合实际需求科学设定指标，导向清晰明确。严把项目入库审核关口，完善资料核查与资质核验，提升入库项目质量。整体决策运转有序，统筹谋划成效良好，有效夯实项目实施前期基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2.项目执行。紧盯资金拨付与支出进度，抓实</w:t>
      </w:r>
      <w:r>
        <w:rPr>
          <w:rFonts w:hint="eastAsia" w:eastAsia="仿宋_GB2312" w:cs="仿宋_GB2312"/>
          <w:color w:val="auto"/>
          <w:kern w:val="2"/>
          <w:sz w:val="32"/>
          <w:szCs w:val="32"/>
          <w:highlight w:val="none"/>
          <w:lang w:val="zh-CN" w:eastAsia="zh-CN" w:bidi="ar-SA"/>
        </w:rPr>
        <w:t>专</w:t>
      </w:r>
      <w:r>
        <w:rPr>
          <w:rFonts w:hint="eastAsia" w:ascii="Times New Roman" w:hAnsi="Times New Roman" w:eastAsia="仿宋_GB2312" w:cs="仿宋_GB2312"/>
          <w:color w:val="auto"/>
          <w:kern w:val="2"/>
          <w:sz w:val="32"/>
          <w:szCs w:val="32"/>
          <w:highlight w:val="none"/>
          <w:lang w:val="zh-CN" w:eastAsia="zh-CN" w:bidi="ar-SA"/>
        </w:rPr>
        <w:t>项资金统筹落实，保障资金高效直达。依</w:t>
      </w:r>
      <w:r>
        <w:rPr>
          <w:rFonts w:hint="eastAsia" w:eastAsia="仿宋_GB2312" w:cs="仿宋_GB2312"/>
          <w:color w:val="auto"/>
          <w:kern w:val="2"/>
          <w:sz w:val="32"/>
          <w:szCs w:val="32"/>
          <w:highlight w:val="none"/>
          <w:lang w:val="zh-CN" w:eastAsia="zh-CN" w:bidi="ar-SA"/>
        </w:rPr>
        <w:t>法</w:t>
      </w:r>
      <w:r>
        <w:rPr>
          <w:rFonts w:hint="eastAsia" w:ascii="Times New Roman" w:hAnsi="Times New Roman" w:eastAsia="仿宋_GB2312" w:cs="仿宋_GB2312"/>
          <w:color w:val="auto"/>
          <w:kern w:val="2"/>
          <w:sz w:val="32"/>
          <w:szCs w:val="32"/>
          <w:highlight w:val="none"/>
          <w:lang w:val="zh-CN" w:eastAsia="zh-CN" w:bidi="ar-SA"/>
        </w:rPr>
        <w:t>依规开展项目调整，严格履行变更审批流程，严控调整合规性。紧盯项目落地推进，据实梳理执行成效与完成情况，及时纠偏补短，稳步达成既定实施成效。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目标实现。逐项核查项目既定目标完成情况，如实统计各项任务落实进度。细致排查目标存在的偏差问题，深入剖析偏离根源并及时纠偏。综合研判项目落地带来的实际成效与社会效益，切实发挥项目作用，全面提升整体实施质效。</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sz w:val="32"/>
          <w:szCs w:val="32"/>
          <w:lang w:val="en-US" w:eastAsia="zh-CN"/>
        </w:rPr>
        <w:t>严格按照要求对本单位202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年度部门整体运行情况进行了自评，自评得分</w:t>
      </w:r>
      <w:r>
        <w:rPr>
          <w:rFonts w:hint="eastAsia" w:ascii="Times New Roman" w:hAnsi="Times New Roman" w:eastAsia="仿宋_GB2312" w:cs="Times New Roman"/>
          <w:sz w:val="32"/>
          <w:szCs w:val="32"/>
          <w:lang w:val="en-US" w:eastAsia="zh-CN"/>
        </w:rPr>
        <w:t>87.5</w:t>
      </w:r>
      <w:r>
        <w:rPr>
          <w:rFonts w:hint="default" w:ascii="Times New Roman" w:hAnsi="Times New Roman" w:eastAsia="仿宋_GB2312" w:cs="Times New Roman"/>
          <w:sz w:val="32"/>
          <w:szCs w:val="32"/>
          <w:lang w:val="en-US" w:eastAsia="zh-CN"/>
        </w:rPr>
        <w:t>分。202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年我单位</w:t>
      </w:r>
      <w:r>
        <w:rPr>
          <w:rFonts w:hint="default" w:ascii="Times New Roman" w:hAnsi="Times New Roman" w:eastAsia="仿宋_GB2312" w:cs="Times New Roman"/>
          <w:sz w:val="32"/>
          <w:szCs w:val="32"/>
          <w:lang w:val="zh-CN" w:eastAsia="zh-CN"/>
        </w:rPr>
        <w:t>评价结果完成满意度</w:t>
      </w:r>
      <w:r>
        <w:rPr>
          <w:rFonts w:hint="eastAsia" w:ascii="Times New Roman" w:hAnsi="Times New Roman" w:eastAsia="仿宋_GB2312" w:cs="Times New Roman"/>
          <w:sz w:val="32"/>
          <w:szCs w:val="32"/>
          <w:lang w:val="zh-CN" w:eastAsia="zh-CN"/>
        </w:rPr>
        <w:t>良好</w:t>
      </w:r>
      <w:r>
        <w:rPr>
          <w:rFonts w:hint="default" w:ascii="Times New Roman" w:hAnsi="Times New Roman" w:eastAsia="仿宋_GB2312" w:cs="Times New Roman"/>
          <w:sz w:val="32"/>
          <w:szCs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本次部门预算绩效自评满分为87.5分（含扣分项10分），整体评价围绕总体绩效和项目绩效两大维度开展，具体自评情况如下：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总体绩效权重65分，实际自评得分58分。其中，履职效能指标15分，自评12分，核心职能目标完成效果良好，基本达成预设要求:市容环境秩序持续优化3分，占道经营、乱贴乱画、违规停放等问题得到有效整治，城区面貌整洁有序；城市精细化管理水平提升3分，常态化开展市容巡查、环卫保洁、扬尘管控，人居环境质量稳步改善；违建治理成效显著2分，违法建设排查、劝阻、拆除规范推进，有效遏制新增违建，存量违建逐步清零；民生服务保障有力2分，高效处置群众城市管理类投诉举报，快速回应市容、环卫、市政等民生诉求，群众满意度提升；执法规范化建设加强2分，文明执法、依法履职落地见效，城市管理执法行为规范，城市治理效能持续增强。预算管理指标25分，自评24分，预算编制科学准确，收入统筹到位，支出执行规范，年终结余合理，且严格控制一般性支出，仅预算编制质量扣1分；财务管理指标10分，自评满分，财务管理制度健全，岗位设置合规，资金使用规范；资产管理指标9分，自评8分，资产利用率、盘活率达标，仅人均资产变化率扣1分；采购管理指标6分，自评5分，严格落实中小企业发展支持政策，采购执行率有待提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项目绩效权重35分，实际自评得分28.5分。项目决策指标12分，自评11分，决策程序规范、项目入库及时，仅目标设置科学性扣1分；项目执行指标12分，自评10分，项目执行方向与绩效目标一致，调整措施和执行结果基本达标，各扣1分；目标实现指标11分，自评7.5分，目标完成情况、偏离程度及实施效果均未完全达到预期，存在一定提升空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扣分项共10分，本次自评未因被评价部门配合度问题产生扣分。整体来看，部门预算绩效运行整体良好，核心工作任务有序推进，预算管理和财务管理较为规范，但在部分指标细化落实上仍有不足，后续将针对性整改提升。</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（二）存在问题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一是预算编制有待更严格执行，预算编制与实际支出项目有的存在差异。</w:t>
      </w:r>
    </w:p>
    <w:p>
      <w:pPr>
        <w:keepNext w:val="0"/>
        <w:keepLines w:val="0"/>
        <w:widowControl/>
        <w:suppressLineNumbers w:val="0"/>
        <w:jc w:val="left"/>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二是制度执行力度有待加强，</w:t>
      </w:r>
      <w:r>
        <w:rPr>
          <w:rFonts w:hint="default" w:ascii="Times New Roman" w:hAnsi="Times New Roman" w:eastAsia="仿宋_GB2312" w:cs="仿宋_GB2312"/>
          <w:color w:val="auto"/>
          <w:kern w:val="2"/>
          <w:sz w:val="32"/>
          <w:szCs w:val="32"/>
          <w:highlight w:val="none"/>
          <w:lang w:val="en-US" w:eastAsia="zh-CN" w:bidi="ar-SA"/>
        </w:rPr>
        <w:t>我单位基础设施项目数量多、时间紧、任务重</w:t>
      </w:r>
      <w:r>
        <w:rPr>
          <w:rFonts w:hint="default" w:ascii="Times New Roman" w:hAnsi="Times New Roman" w:eastAsia="仿宋_GB2312" w:cs="仿宋_GB2312"/>
          <w:color w:val="auto"/>
          <w:kern w:val="2"/>
          <w:sz w:val="32"/>
          <w:szCs w:val="32"/>
          <w:highlight w:val="none"/>
          <w:lang w:val="zh-CN" w:eastAsia="zh-CN" w:bidi="ar-SA"/>
        </w:rPr>
        <w:t>，资金拨付率较慢。</w:t>
      </w:r>
    </w:p>
    <w:p>
      <w:pPr>
        <w:numPr>
          <w:ilvl w:val="0"/>
          <w:numId w:val="3"/>
        </w:numPr>
        <w:spacing w:line="576" w:lineRule="exact"/>
        <w:ind w:firstLine="642" w:firstLineChars="200"/>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63" w:name="_Hlk110546638"/>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仿宋_GB2312"/>
          <w:color w:val="auto"/>
          <w:kern w:val="2"/>
          <w:sz w:val="32"/>
          <w:szCs w:val="32"/>
          <w:highlight w:val="none"/>
          <w:lang w:val="zh-CN" w:eastAsia="zh-CN" w:bidi="ar-SA"/>
        </w:rPr>
        <w:t>一是</w:t>
      </w:r>
      <w:r>
        <w:rPr>
          <w:rFonts w:hint="eastAsia" w:ascii="Times New Roman" w:hAnsi="Times New Roman" w:eastAsia="仿宋_GB2312" w:cs="仿宋_GB2312"/>
          <w:color w:val="auto"/>
          <w:kern w:val="2"/>
          <w:sz w:val="32"/>
          <w:szCs w:val="32"/>
          <w:highlight w:val="none"/>
          <w:lang w:val="en-US" w:eastAsia="zh-CN" w:bidi="ar-SA"/>
        </w:rPr>
        <w:t>强化业财融合，提升预算编制能力及水平；</w:t>
      </w:r>
      <w:r>
        <w:rPr>
          <w:rFonts w:hint="eastAsia" w:ascii="Times New Roman" w:hAnsi="Times New Roman" w:eastAsia="仿宋_GB2312" w:cs="仿宋_GB2312"/>
          <w:color w:val="auto"/>
          <w:kern w:val="2"/>
          <w:sz w:val="32"/>
          <w:szCs w:val="32"/>
          <w:highlight w:val="none"/>
          <w:lang w:val="zh-CN" w:eastAsia="zh-CN" w:bidi="ar-SA"/>
        </w:rPr>
        <w:t>二是</w:t>
      </w:r>
      <w:r>
        <w:rPr>
          <w:rFonts w:hint="eastAsia" w:ascii="Times New Roman" w:hAnsi="Times New Roman" w:eastAsia="仿宋_GB2312" w:cs="仿宋_GB2312"/>
          <w:color w:val="auto"/>
          <w:kern w:val="2"/>
          <w:sz w:val="32"/>
          <w:szCs w:val="32"/>
          <w:highlight w:val="none"/>
          <w:lang w:val="en-US" w:eastAsia="zh-CN" w:bidi="ar-SA"/>
        </w:rPr>
        <w:t>加快</w:t>
      </w:r>
      <w:r>
        <w:rPr>
          <w:rFonts w:hint="eastAsia" w:ascii="Times New Roman" w:hAnsi="Times New Roman" w:eastAsia="仿宋_GB2312" w:cs="仿宋_GB2312"/>
          <w:color w:val="auto"/>
          <w:kern w:val="2"/>
          <w:sz w:val="32"/>
          <w:szCs w:val="32"/>
          <w:highlight w:val="none"/>
          <w:lang w:val="zh-CN" w:eastAsia="zh-CN" w:bidi="ar-SA"/>
        </w:rPr>
        <w:t>各项</w:t>
      </w:r>
      <w:r>
        <w:rPr>
          <w:rFonts w:hint="eastAsia" w:ascii="Times New Roman" w:hAnsi="Times New Roman" w:eastAsia="仿宋_GB2312" w:cs="仿宋_GB2312"/>
          <w:color w:val="auto"/>
          <w:kern w:val="2"/>
          <w:sz w:val="32"/>
          <w:szCs w:val="32"/>
          <w:highlight w:val="none"/>
          <w:lang w:val="en-US" w:eastAsia="zh-CN" w:bidi="ar-SA"/>
        </w:rPr>
        <w:t>目进</w:t>
      </w:r>
      <w:r>
        <w:rPr>
          <w:rFonts w:hint="eastAsia" w:ascii="Times New Roman" w:hAnsi="Times New Roman" w:eastAsia="仿宋_GB2312" w:cs="仿宋_GB2312"/>
          <w:color w:val="auto"/>
          <w:kern w:val="2"/>
          <w:sz w:val="32"/>
          <w:szCs w:val="32"/>
          <w:highlight w:val="none"/>
          <w:lang w:val="zh-CN" w:eastAsia="zh-CN" w:bidi="ar-SA"/>
        </w:rPr>
        <w:t>度，提升执行力。</w:t>
      </w:r>
      <w:bookmarkEnd w:id="63"/>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4" w:name="_Toc852749861"/>
      <w:bookmarkStart w:id="65" w:name="_Toc15396618"/>
      <w:r>
        <w:rPr>
          <w:rFonts w:hint="eastAsia" w:ascii="Times New Roman" w:hAnsi="Times New Roman" w:eastAsia="黑体"/>
          <w:color w:val="auto"/>
          <w:sz w:val="44"/>
          <w:szCs w:val="44"/>
          <w:highlight w:val="none"/>
        </w:rPr>
        <w:t>第五部分附表</w:t>
      </w:r>
      <w:bookmarkEnd w:id="61"/>
      <w:bookmarkEnd w:id="64"/>
      <w:bookmarkEnd w:id="65"/>
      <w:bookmarkStart w:id="66"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spacing w:line="600" w:lineRule="exact"/>
        <w:ind w:firstLine="640"/>
        <w:outlineLvl w:val="1"/>
        <w:rPr>
          <w:rFonts w:hint="eastAsia" w:ascii="Times New Roman" w:hAnsi="Times New Roman" w:eastAsia="黑体"/>
          <w:b w:val="0"/>
          <w:bCs w:val="0"/>
          <w:color w:val="auto"/>
          <w:sz w:val="32"/>
          <w:szCs w:val="32"/>
          <w:highlight w:val="none"/>
        </w:rPr>
      </w:pPr>
      <w:bookmarkStart w:id="67" w:name="_Toc1933036304"/>
      <w:r>
        <w:rPr>
          <w:rFonts w:hint="eastAsia" w:ascii="Times New Roman" w:hAnsi="Times New Roman" w:eastAsia="黑体"/>
          <w:b w:val="0"/>
          <w:bCs w:val="0"/>
          <w:color w:val="auto"/>
          <w:sz w:val="32"/>
          <w:szCs w:val="32"/>
          <w:highlight w:val="none"/>
        </w:rPr>
        <w:t>一、收入支出决算总表</w:t>
      </w:r>
      <w:bookmarkEnd w:id="66"/>
      <w:bookmarkEnd w:id="67"/>
    </w:p>
    <w:p>
      <w:pPr>
        <w:spacing w:line="600" w:lineRule="exact"/>
        <w:ind w:firstLine="640"/>
        <w:outlineLvl w:val="1"/>
        <w:rPr>
          <w:rFonts w:hint="eastAsia" w:ascii="Times New Roman" w:hAnsi="Times New Roman" w:eastAsia="黑体"/>
          <w:b w:val="0"/>
          <w:bCs w:val="0"/>
          <w:color w:val="auto"/>
          <w:sz w:val="32"/>
          <w:szCs w:val="32"/>
          <w:highlight w:val="none"/>
        </w:rPr>
      </w:pPr>
      <w:bookmarkStart w:id="68" w:name="_Toc15396620"/>
      <w:bookmarkStart w:id="69" w:name="_Toc1511812209"/>
      <w:r>
        <w:rPr>
          <w:rFonts w:hint="eastAsia" w:ascii="Times New Roman" w:hAnsi="Times New Roman" w:eastAsia="黑体"/>
          <w:b w:val="0"/>
          <w:bCs w:val="0"/>
          <w:color w:val="auto"/>
          <w:sz w:val="32"/>
          <w:szCs w:val="32"/>
          <w:highlight w:val="none"/>
        </w:rPr>
        <w:t>二、收入决算表</w:t>
      </w:r>
      <w:bookmarkEnd w:id="68"/>
      <w:bookmarkEnd w:id="69"/>
    </w:p>
    <w:p>
      <w:pPr>
        <w:spacing w:line="600" w:lineRule="exact"/>
        <w:ind w:firstLine="640"/>
        <w:outlineLvl w:val="1"/>
        <w:rPr>
          <w:rFonts w:hint="eastAsia" w:ascii="Times New Roman" w:hAnsi="Times New Roman" w:eastAsia="黑体"/>
          <w:b w:val="0"/>
          <w:bCs w:val="0"/>
          <w:color w:val="auto"/>
          <w:sz w:val="32"/>
          <w:szCs w:val="32"/>
          <w:highlight w:val="none"/>
        </w:rPr>
      </w:pPr>
      <w:bookmarkStart w:id="70" w:name="_Toc1937976789"/>
      <w:bookmarkStart w:id="71" w:name="_Toc15396621"/>
      <w:r>
        <w:rPr>
          <w:rFonts w:hint="eastAsia" w:ascii="Times New Roman" w:hAnsi="Times New Roman" w:eastAsia="黑体"/>
          <w:b w:val="0"/>
          <w:bCs w:val="0"/>
          <w:color w:val="auto"/>
          <w:sz w:val="32"/>
          <w:szCs w:val="32"/>
          <w:highlight w:val="none"/>
        </w:rPr>
        <w:t>三、支出决算表</w:t>
      </w:r>
      <w:bookmarkEnd w:id="70"/>
      <w:bookmarkEnd w:id="71"/>
    </w:p>
    <w:p>
      <w:pPr>
        <w:spacing w:line="600" w:lineRule="exact"/>
        <w:ind w:firstLine="640"/>
        <w:outlineLvl w:val="1"/>
        <w:rPr>
          <w:rFonts w:hint="eastAsia" w:ascii="Times New Roman" w:hAnsi="Times New Roman" w:eastAsia="黑体"/>
          <w:b w:val="0"/>
          <w:bCs w:val="0"/>
          <w:color w:val="auto"/>
          <w:sz w:val="32"/>
          <w:szCs w:val="32"/>
          <w:highlight w:val="none"/>
        </w:rPr>
      </w:pPr>
      <w:bookmarkStart w:id="72" w:name="_Toc15396622"/>
      <w:bookmarkStart w:id="73" w:name="_Toc2031869614"/>
      <w:r>
        <w:rPr>
          <w:rFonts w:hint="eastAsia" w:ascii="Times New Roman" w:hAnsi="Times New Roman" w:eastAsia="黑体"/>
          <w:b w:val="0"/>
          <w:bCs w:val="0"/>
          <w:color w:val="auto"/>
          <w:sz w:val="32"/>
          <w:szCs w:val="32"/>
          <w:highlight w:val="none"/>
        </w:rPr>
        <w:t>四、财政拨款收入支出决算总表</w:t>
      </w:r>
      <w:bookmarkEnd w:id="72"/>
      <w:bookmarkEnd w:id="73"/>
    </w:p>
    <w:p>
      <w:pPr>
        <w:spacing w:line="600" w:lineRule="exact"/>
        <w:ind w:firstLine="640"/>
        <w:outlineLvl w:val="1"/>
        <w:rPr>
          <w:rFonts w:hint="eastAsia" w:ascii="Times New Roman" w:hAnsi="Times New Roman" w:eastAsia="黑体"/>
          <w:b w:val="0"/>
          <w:bCs w:val="0"/>
          <w:color w:val="auto"/>
          <w:sz w:val="32"/>
          <w:szCs w:val="32"/>
          <w:highlight w:val="none"/>
        </w:rPr>
      </w:pPr>
      <w:bookmarkStart w:id="74" w:name="_Toc1501764229"/>
      <w:bookmarkStart w:id="75" w:name="_Toc15396623"/>
      <w:r>
        <w:rPr>
          <w:rFonts w:hint="eastAsia" w:ascii="Times New Roman" w:hAnsi="Times New Roman" w:eastAsia="黑体"/>
          <w:b w:val="0"/>
          <w:bCs w:val="0"/>
          <w:color w:val="auto"/>
          <w:sz w:val="32"/>
          <w:szCs w:val="32"/>
          <w:highlight w:val="none"/>
        </w:rPr>
        <w:t>五、财政拨款支出决算明细表</w:t>
      </w:r>
      <w:bookmarkEnd w:id="74"/>
      <w:bookmarkEnd w:id="75"/>
      <w:bookmarkStart w:id="76" w:name="_Toc15396624"/>
    </w:p>
    <w:p>
      <w:pPr>
        <w:spacing w:line="600" w:lineRule="exact"/>
        <w:ind w:firstLine="640"/>
        <w:outlineLvl w:val="1"/>
        <w:rPr>
          <w:rFonts w:hint="eastAsia" w:ascii="Times New Roman" w:hAnsi="Times New Roman" w:eastAsia="黑体"/>
          <w:b w:val="0"/>
          <w:bCs w:val="0"/>
          <w:color w:val="auto"/>
          <w:sz w:val="32"/>
          <w:szCs w:val="32"/>
          <w:highlight w:val="none"/>
        </w:rPr>
      </w:pPr>
      <w:bookmarkStart w:id="77" w:name="_Toc367287986"/>
      <w:r>
        <w:rPr>
          <w:rFonts w:hint="eastAsia" w:ascii="Times New Roman" w:hAnsi="Times New Roman" w:eastAsia="黑体"/>
          <w:b w:val="0"/>
          <w:bCs w:val="0"/>
          <w:color w:val="auto"/>
          <w:sz w:val="32"/>
          <w:szCs w:val="32"/>
          <w:highlight w:val="none"/>
        </w:rPr>
        <w:t>六、一般公共预算财政拨款支出决算表</w:t>
      </w:r>
      <w:bookmarkEnd w:id="76"/>
      <w:bookmarkEnd w:id="77"/>
    </w:p>
    <w:p>
      <w:pPr>
        <w:spacing w:line="600" w:lineRule="exact"/>
        <w:ind w:firstLine="640"/>
        <w:outlineLvl w:val="1"/>
        <w:rPr>
          <w:rFonts w:hint="eastAsia" w:ascii="Times New Roman" w:hAnsi="Times New Roman" w:eastAsia="黑体"/>
          <w:b w:val="0"/>
          <w:bCs w:val="0"/>
          <w:color w:val="auto"/>
          <w:sz w:val="32"/>
          <w:szCs w:val="32"/>
          <w:highlight w:val="none"/>
        </w:rPr>
      </w:pPr>
      <w:bookmarkStart w:id="78" w:name="_Toc15396625"/>
      <w:bookmarkStart w:id="79" w:name="_Toc965262894"/>
      <w:r>
        <w:rPr>
          <w:rFonts w:hint="eastAsia" w:ascii="Times New Roman" w:hAnsi="Times New Roman" w:eastAsia="黑体"/>
          <w:b w:val="0"/>
          <w:bCs w:val="0"/>
          <w:color w:val="auto"/>
          <w:sz w:val="32"/>
          <w:szCs w:val="32"/>
          <w:highlight w:val="none"/>
        </w:rPr>
        <w:t>七、一般公共预算财政拨款支出决算明细表</w:t>
      </w:r>
      <w:bookmarkEnd w:id="78"/>
      <w:bookmarkEnd w:id="79"/>
    </w:p>
    <w:p>
      <w:pPr>
        <w:spacing w:line="600" w:lineRule="exact"/>
        <w:ind w:firstLine="640"/>
        <w:outlineLvl w:val="1"/>
        <w:rPr>
          <w:rFonts w:hint="eastAsia" w:ascii="Times New Roman" w:hAnsi="Times New Roman" w:eastAsia="黑体"/>
          <w:b w:val="0"/>
          <w:bCs w:val="0"/>
          <w:color w:val="auto"/>
          <w:sz w:val="32"/>
          <w:szCs w:val="32"/>
          <w:highlight w:val="none"/>
        </w:rPr>
      </w:pPr>
      <w:bookmarkStart w:id="80" w:name="_Toc864363489"/>
      <w:bookmarkStart w:id="81" w:name="_Toc15396626"/>
      <w:r>
        <w:rPr>
          <w:rFonts w:hint="eastAsia" w:ascii="Times New Roman" w:hAnsi="Times New Roman" w:eastAsia="黑体"/>
          <w:b w:val="0"/>
          <w:bCs w:val="0"/>
          <w:color w:val="auto"/>
          <w:sz w:val="32"/>
          <w:szCs w:val="32"/>
          <w:highlight w:val="none"/>
        </w:rPr>
        <w:t>八、一般公共预算财政拨款基本支出决算表</w:t>
      </w:r>
      <w:bookmarkEnd w:id="80"/>
      <w:bookmarkEnd w:id="81"/>
    </w:p>
    <w:p>
      <w:pPr>
        <w:spacing w:line="600" w:lineRule="exact"/>
        <w:ind w:firstLine="640"/>
        <w:outlineLvl w:val="1"/>
        <w:rPr>
          <w:rFonts w:hint="eastAsia" w:ascii="Times New Roman" w:hAnsi="Times New Roman" w:eastAsia="黑体"/>
          <w:b w:val="0"/>
          <w:bCs w:val="0"/>
          <w:color w:val="auto"/>
          <w:sz w:val="32"/>
          <w:szCs w:val="32"/>
          <w:highlight w:val="none"/>
        </w:rPr>
      </w:pPr>
      <w:bookmarkStart w:id="82" w:name="_Toc62340607"/>
      <w:bookmarkStart w:id="83" w:name="_Toc15396627"/>
      <w:r>
        <w:rPr>
          <w:rFonts w:hint="eastAsia" w:ascii="Times New Roman" w:hAnsi="Times New Roman" w:eastAsia="黑体"/>
          <w:b w:val="0"/>
          <w:bCs w:val="0"/>
          <w:color w:val="auto"/>
          <w:sz w:val="32"/>
          <w:szCs w:val="32"/>
          <w:highlight w:val="none"/>
        </w:rPr>
        <w:t>九、一般公共预算财政拨款项目支出决算表</w:t>
      </w:r>
      <w:bookmarkEnd w:id="82"/>
      <w:bookmarkEnd w:id="83"/>
    </w:p>
    <w:p>
      <w:pPr>
        <w:spacing w:line="600" w:lineRule="exact"/>
        <w:ind w:firstLine="640"/>
        <w:outlineLvl w:val="1"/>
        <w:rPr>
          <w:rFonts w:hint="eastAsia" w:ascii="Times New Roman" w:hAnsi="Times New Roman" w:eastAsia="黑体"/>
          <w:b w:val="0"/>
          <w:bCs w:val="0"/>
          <w:color w:val="auto"/>
          <w:sz w:val="32"/>
          <w:szCs w:val="32"/>
          <w:highlight w:val="none"/>
        </w:rPr>
      </w:pPr>
      <w:bookmarkStart w:id="84" w:name="_Toc15396628"/>
      <w:bookmarkStart w:id="85" w:name="_Toc1497842008"/>
      <w:r>
        <w:rPr>
          <w:rFonts w:hint="eastAsia" w:ascii="Times New Roman" w:hAnsi="Times New Roman" w:eastAsia="黑体"/>
          <w:b w:val="0"/>
          <w:bCs w:val="0"/>
          <w:color w:val="auto"/>
          <w:sz w:val="32"/>
          <w:szCs w:val="32"/>
          <w:highlight w:val="none"/>
        </w:rPr>
        <w:t>十、</w:t>
      </w:r>
      <w:bookmarkEnd w:id="84"/>
      <w:r>
        <w:rPr>
          <w:rFonts w:hint="eastAsia" w:ascii="Times New Roman" w:hAnsi="Times New Roman" w:eastAsia="黑体"/>
          <w:b w:val="0"/>
          <w:bCs w:val="0"/>
          <w:color w:val="auto"/>
          <w:sz w:val="32"/>
          <w:szCs w:val="32"/>
          <w:highlight w:val="none"/>
        </w:rPr>
        <w:t>政府性基金预算财政拨款收入支出决算表</w:t>
      </w:r>
      <w:bookmarkEnd w:id="85"/>
    </w:p>
    <w:p>
      <w:pPr>
        <w:spacing w:line="600" w:lineRule="exact"/>
        <w:ind w:firstLine="640"/>
        <w:outlineLvl w:val="1"/>
        <w:rPr>
          <w:rFonts w:hint="eastAsia" w:ascii="Times New Roman" w:hAnsi="Times New Roman" w:eastAsia="黑体"/>
          <w:b w:val="0"/>
          <w:bCs w:val="0"/>
          <w:color w:val="auto"/>
          <w:sz w:val="32"/>
          <w:szCs w:val="32"/>
          <w:highlight w:val="none"/>
        </w:rPr>
      </w:pPr>
      <w:bookmarkStart w:id="86" w:name="_Toc15396629"/>
      <w:bookmarkStart w:id="87" w:name="_Toc826124881"/>
      <w:r>
        <w:rPr>
          <w:rFonts w:hint="eastAsia" w:ascii="Times New Roman" w:hAnsi="Times New Roman" w:eastAsia="黑体"/>
          <w:b w:val="0"/>
          <w:bCs w:val="0"/>
          <w:color w:val="auto"/>
          <w:sz w:val="32"/>
          <w:szCs w:val="32"/>
          <w:highlight w:val="none"/>
        </w:rPr>
        <w:t>十一、</w:t>
      </w:r>
      <w:bookmarkEnd w:id="86"/>
      <w:r>
        <w:rPr>
          <w:rFonts w:hint="eastAsia" w:ascii="Times New Roman" w:hAnsi="Times New Roman" w:eastAsia="黑体"/>
          <w:b w:val="0"/>
          <w:bCs w:val="0"/>
          <w:color w:val="auto"/>
          <w:sz w:val="32"/>
          <w:szCs w:val="32"/>
          <w:highlight w:val="none"/>
        </w:rPr>
        <w:t>国有资本经营预算</w:t>
      </w:r>
      <w:r>
        <w:rPr>
          <w:rFonts w:hint="eastAsia" w:ascii="Times New Roman" w:hAnsi="Times New Roman" w:eastAsia="黑体"/>
          <w:b w:val="0"/>
          <w:bCs w:val="0"/>
          <w:color w:val="auto"/>
          <w:sz w:val="32"/>
          <w:szCs w:val="32"/>
          <w:highlight w:val="none"/>
          <w:lang w:eastAsia="zh-CN"/>
        </w:rPr>
        <w:t>财政拨款收入</w:t>
      </w:r>
      <w:r>
        <w:rPr>
          <w:rFonts w:hint="eastAsia" w:ascii="Times New Roman" w:hAnsi="Times New Roman" w:eastAsia="黑体"/>
          <w:b w:val="0"/>
          <w:bCs w:val="0"/>
          <w:color w:val="auto"/>
          <w:sz w:val="32"/>
          <w:szCs w:val="32"/>
          <w:highlight w:val="none"/>
        </w:rPr>
        <w:t>支出决算表</w:t>
      </w:r>
      <w:bookmarkEnd w:id="87"/>
    </w:p>
    <w:p>
      <w:pPr>
        <w:spacing w:line="600" w:lineRule="exact"/>
        <w:ind w:firstLine="640"/>
        <w:outlineLvl w:val="1"/>
        <w:rPr>
          <w:rFonts w:hint="eastAsia" w:ascii="Times New Roman" w:hAnsi="Times New Roman" w:eastAsia="黑体"/>
          <w:b w:val="0"/>
          <w:bCs w:val="0"/>
          <w:color w:val="auto"/>
          <w:sz w:val="32"/>
          <w:szCs w:val="32"/>
          <w:highlight w:val="none"/>
        </w:rPr>
      </w:pPr>
      <w:bookmarkStart w:id="88" w:name="_Toc15396630"/>
      <w:bookmarkStart w:id="89" w:name="_Toc117332838"/>
      <w:r>
        <w:rPr>
          <w:rFonts w:hint="eastAsia" w:ascii="Times New Roman" w:hAnsi="Times New Roman" w:eastAsia="黑体"/>
          <w:b w:val="0"/>
          <w:bCs w:val="0"/>
          <w:color w:val="auto"/>
          <w:sz w:val="32"/>
          <w:szCs w:val="32"/>
          <w:highlight w:val="none"/>
        </w:rPr>
        <w:t>十二、</w:t>
      </w:r>
      <w:bookmarkEnd w:id="88"/>
      <w:r>
        <w:rPr>
          <w:rFonts w:hint="eastAsia" w:ascii="Times New Roman" w:hAnsi="Times New Roman" w:eastAsia="黑体"/>
          <w:b w:val="0"/>
          <w:bCs w:val="0"/>
          <w:color w:val="auto"/>
          <w:sz w:val="32"/>
          <w:szCs w:val="32"/>
          <w:highlight w:val="none"/>
          <w:lang w:eastAsia="zh-CN"/>
        </w:rPr>
        <w:t>国有资本经营预算财政拨款支出决算表</w:t>
      </w:r>
      <w:bookmarkEnd w:id="89"/>
    </w:p>
    <w:p>
      <w:pPr>
        <w:spacing w:line="600" w:lineRule="exact"/>
        <w:ind w:firstLine="640"/>
        <w:outlineLvl w:val="1"/>
        <w:rPr>
          <w:rFonts w:hint="eastAsia" w:ascii="Times New Roman" w:hAnsi="Times New Roman" w:eastAsia="黑体"/>
          <w:b w:val="0"/>
          <w:bCs w:val="0"/>
          <w:color w:val="auto"/>
          <w:sz w:val="32"/>
          <w:szCs w:val="32"/>
          <w:highlight w:val="none"/>
          <w:lang w:eastAsia="zh-CN"/>
        </w:rPr>
      </w:pPr>
      <w:bookmarkStart w:id="90" w:name="_Toc15396631"/>
      <w:bookmarkStart w:id="91" w:name="_Toc1687070326"/>
      <w:r>
        <w:rPr>
          <w:rFonts w:hint="eastAsia" w:ascii="Times New Roman" w:hAnsi="Times New Roman" w:eastAsia="黑体"/>
          <w:b w:val="0"/>
          <w:bCs w:val="0"/>
          <w:color w:val="auto"/>
          <w:sz w:val="32"/>
          <w:szCs w:val="32"/>
          <w:highlight w:val="none"/>
        </w:rPr>
        <w:t>十三、</w:t>
      </w:r>
      <w:bookmarkEnd w:id="90"/>
      <w:r>
        <w:rPr>
          <w:rFonts w:hint="eastAsia" w:ascii="Times New Roman" w:hAnsi="Times New Roman" w:eastAsia="黑体"/>
          <w:b w:val="0"/>
          <w:bCs w:val="0"/>
          <w:color w:val="auto"/>
          <w:sz w:val="32"/>
          <w:szCs w:val="32"/>
          <w:highlight w:val="none"/>
          <w:lang w:eastAsia="zh-CN"/>
        </w:rPr>
        <w:t>财政拨款“三公”经费支出决算表</w:t>
      </w:r>
      <w:bookmarkEnd w:id="91"/>
    </w:p>
    <w:p>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8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971AEE"/>
    <w:multiLevelType w:val="singleLevel"/>
    <w:tmpl w:val="DE971AEE"/>
    <w:lvl w:ilvl="0" w:tentative="0">
      <w:start w:val="2"/>
      <w:numFmt w:val="chineseCounting"/>
      <w:suff w:val="nothing"/>
      <w:lvlText w:val="（%1）"/>
      <w:lvlJc w:val="left"/>
      <w:rPr>
        <w:rFonts w:hint="eastAsia"/>
      </w:rPr>
    </w:lvl>
  </w:abstractNum>
  <w:abstractNum w:abstractNumId="1">
    <w:nsid w:val="F7FF99C3"/>
    <w:multiLevelType w:val="singleLevel"/>
    <w:tmpl w:val="F7FF99C3"/>
    <w:lvl w:ilvl="0" w:tentative="0">
      <w:start w:val="3"/>
      <w:numFmt w:val="chineseCounting"/>
      <w:suff w:val="nothing"/>
      <w:lvlText w:val="（%1）"/>
      <w:lvlJc w:val="left"/>
      <w:rPr>
        <w:rFonts w:hint="eastAsia"/>
      </w:r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AEB729E"/>
    <w:rsid w:val="0C6C4794"/>
    <w:rsid w:val="0CA8290A"/>
    <w:rsid w:val="0D35B1ED"/>
    <w:rsid w:val="0DE07E2B"/>
    <w:rsid w:val="0F98263C"/>
    <w:rsid w:val="101860EC"/>
    <w:rsid w:val="10C055FF"/>
    <w:rsid w:val="11772AA4"/>
    <w:rsid w:val="117F63AF"/>
    <w:rsid w:val="118107EC"/>
    <w:rsid w:val="12070D49"/>
    <w:rsid w:val="13925804"/>
    <w:rsid w:val="13D50BC4"/>
    <w:rsid w:val="14022904"/>
    <w:rsid w:val="152F2A07"/>
    <w:rsid w:val="15EFEF01"/>
    <w:rsid w:val="15F77962"/>
    <w:rsid w:val="165E0673"/>
    <w:rsid w:val="16BB723D"/>
    <w:rsid w:val="17570078"/>
    <w:rsid w:val="17EF2BAB"/>
    <w:rsid w:val="186504BB"/>
    <w:rsid w:val="1938089F"/>
    <w:rsid w:val="19A445FC"/>
    <w:rsid w:val="1B7D550C"/>
    <w:rsid w:val="1BE8440E"/>
    <w:rsid w:val="1BF79A6C"/>
    <w:rsid w:val="1BFFCBF2"/>
    <w:rsid w:val="1CCFE583"/>
    <w:rsid w:val="1CFE1817"/>
    <w:rsid w:val="1D155CEE"/>
    <w:rsid w:val="1E740ACF"/>
    <w:rsid w:val="1FF35744"/>
    <w:rsid w:val="1FF6BC77"/>
    <w:rsid w:val="21962A9E"/>
    <w:rsid w:val="21AE7C77"/>
    <w:rsid w:val="22BC3C41"/>
    <w:rsid w:val="237B74A1"/>
    <w:rsid w:val="23860B96"/>
    <w:rsid w:val="240371BF"/>
    <w:rsid w:val="25FD4CE6"/>
    <w:rsid w:val="260F557C"/>
    <w:rsid w:val="26B17019"/>
    <w:rsid w:val="281408E2"/>
    <w:rsid w:val="29FD04D3"/>
    <w:rsid w:val="2BFF7BC6"/>
    <w:rsid w:val="2C8A61B5"/>
    <w:rsid w:val="2D2E01CF"/>
    <w:rsid w:val="2DDDA92E"/>
    <w:rsid w:val="2DF04E50"/>
    <w:rsid w:val="2DF6DBFB"/>
    <w:rsid w:val="2DFE4344"/>
    <w:rsid w:val="2E9545B0"/>
    <w:rsid w:val="2EBD18A3"/>
    <w:rsid w:val="2F040D46"/>
    <w:rsid w:val="2FAE5751"/>
    <w:rsid w:val="2FB1A395"/>
    <w:rsid w:val="2FD9A7D8"/>
    <w:rsid w:val="2FDF2351"/>
    <w:rsid w:val="319F7F4E"/>
    <w:rsid w:val="321B2544"/>
    <w:rsid w:val="3304709D"/>
    <w:rsid w:val="34281836"/>
    <w:rsid w:val="349D6851"/>
    <w:rsid w:val="35BA6CAF"/>
    <w:rsid w:val="364D14C1"/>
    <w:rsid w:val="36AA5135"/>
    <w:rsid w:val="36BE0DA7"/>
    <w:rsid w:val="36BFAE65"/>
    <w:rsid w:val="36FE6876"/>
    <w:rsid w:val="376B6AA6"/>
    <w:rsid w:val="376D39B2"/>
    <w:rsid w:val="37E16F03"/>
    <w:rsid w:val="37F53A3B"/>
    <w:rsid w:val="37F726FF"/>
    <w:rsid w:val="389B6C89"/>
    <w:rsid w:val="38D469F0"/>
    <w:rsid w:val="39627CCD"/>
    <w:rsid w:val="397BAF1F"/>
    <w:rsid w:val="3AB79AF3"/>
    <w:rsid w:val="3B7EF35A"/>
    <w:rsid w:val="3B9F2C26"/>
    <w:rsid w:val="3B9FDB6C"/>
    <w:rsid w:val="3BF59060"/>
    <w:rsid w:val="3BF5BC2F"/>
    <w:rsid w:val="3BF9CB15"/>
    <w:rsid w:val="3BFFEB75"/>
    <w:rsid w:val="3CEBA265"/>
    <w:rsid w:val="3CFF44A6"/>
    <w:rsid w:val="3D98207C"/>
    <w:rsid w:val="3D9B0D99"/>
    <w:rsid w:val="3DDC1607"/>
    <w:rsid w:val="3DEE7CF3"/>
    <w:rsid w:val="3DF02244"/>
    <w:rsid w:val="3DF97B88"/>
    <w:rsid w:val="3E78745D"/>
    <w:rsid w:val="3EDAF084"/>
    <w:rsid w:val="3F6F432F"/>
    <w:rsid w:val="3F7B1C44"/>
    <w:rsid w:val="3FBD74AD"/>
    <w:rsid w:val="3FBF37EB"/>
    <w:rsid w:val="3FD74B12"/>
    <w:rsid w:val="3FE6C9F5"/>
    <w:rsid w:val="3FF4CAE0"/>
    <w:rsid w:val="3FF7B227"/>
    <w:rsid w:val="3FFD3A36"/>
    <w:rsid w:val="3FFE6ECF"/>
    <w:rsid w:val="3FFF0E1B"/>
    <w:rsid w:val="40E54C45"/>
    <w:rsid w:val="43A407DF"/>
    <w:rsid w:val="43FE2806"/>
    <w:rsid w:val="44515BEA"/>
    <w:rsid w:val="44E268DA"/>
    <w:rsid w:val="453F7E5B"/>
    <w:rsid w:val="45F77917"/>
    <w:rsid w:val="47FB783C"/>
    <w:rsid w:val="486A6C7A"/>
    <w:rsid w:val="49176D9B"/>
    <w:rsid w:val="49F37DD5"/>
    <w:rsid w:val="4A627F82"/>
    <w:rsid w:val="4B0E749A"/>
    <w:rsid w:val="4B4F25DA"/>
    <w:rsid w:val="4BDA0CFB"/>
    <w:rsid w:val="4BE068DB"/>
    <w:rsid w:val="4D3C0CCC"/>
    <w:rsid w:val="4D577224"/>
    <w:rsid w:val="4DBF1CEB"/>
    <w:rsid w:val="4E027201"/>
    <w:rsid w:val="4EAB630A"/>
    <w:rsid w:val="4ECE2238"/>
    <w:rsid w:val="4EEFB6B1"/>
    <w:rsid w:val="4F833267"/>
    <w:rsid w:val="4FE9BD67"/>
    <w:rsid w:val="4FFB052F"/>
    <w:rsid w:val="4FFFBF49"/>
    <w:rsid w:val="51DBF565"/>
    <w:rsid w:val="53083A92"/>
    <w:rsid w:val="531FE832"/>
    <w:rsid w:val="536FE22D"/>
    <w:rsid w:val="537E6D0A"/>
    <w:rsid w:val="53AF27A2"/>
    <w:rsid w:val="53F3ACC1"/>
    <w:rsid w:val="53F74C96"/>
    <w:rsid w:val="56E47B74"/>
    <w:rsid w:val="578F9219"/>
    <w:rsid w:val="57BD3DD4"/>
    <w:rsid w:val="5ADF187A"/>
    <w:rsid w:val="5AF92295"/>
    <w:rsid w:val="5B6B6DC2"/>
    <w:rsid w:val="5B7581DE"/>
    <w:rsid w:val="5BDD79E6"/>
    <w:rsid w:val="5BE7DDBF"/>
    <w:rsid w:val="5BF561CA"/>
    <w:rsid w:val="5BFEC8B5"/>
    <w:rsid w:val="5BFF5DFC"/>
    <w:rsid w:val="5CD71FC4"/>
    <w:rsid w:val="5D1F11B5"/>
    <w:rsid w:val="5D2BD3C2"/>
    <w:rsid w:val="5D9B6177"/>
    <w:rsid w:val="5DAE1B18"/>
    <w:rsid w:val="5DDA1610"/>
    <w:rsid w:val="5DE7D9E5"/>
    <w:rsid w:val="5E5D3B37"/>
    <w:rsid w:val="5E6DBF83"/>
    <w:rsid w:val="5EB7EF8F"/>
    <w:rsid w:val="5ECEC941"/>
    <w:rsid w:val="5EEF5A44"/>
    <w:rsid w:val="5F0DAA10"/>
    <w:rsid w:val="5F1F69D2"/>
    <w:rsid w:val="5F493CB7"/>
    <w:rsid w:val="5F6B932C"/>
    <w:rsid w:val="5F7618DD"/>
    <w:rsid w:val="5F9F582C"/>
    <w:rsid w:val="5FBF9FF3"/>
    <w:rsid w:val="5FCD4E2C"/>
    <w:rsid w:val="5FD15F49"/>
    <w:rsid w:val="5FD97586"/>
    <w:rsid w:val="5FEF394A"/>
    <w:rsid w:val="5FF67715"/>
    <w:rsid w:val="5FFF1BF7"/>
    <w:rsid w:val="61FF9532"/>
    <w:rsid w:val="62BF3928"/>
    <w:rsid w:val="647F5392"/>
    <w:rsid w:val="65A11873"/>
    <w:rsid w:val="65F41A03"/>
    <w:rsid w:val="664B1D71"/>
    <w:rsid w:val="66E79339"/>
    <w:rsid w:val="674EACB5"/>
    <w:rsid w:val="6776C79F"/>
    <w:rsid w:val="67AA3209"/>
    <w:rsid w:val="681C4F0D"/>
    <w:rsid w:val="69046D0F"/>
    <w:rsid w:val="698D0931"/>
    <w:rsid w:val="69FE6551"/>
    <w:rsid w:val="6A993CED"/>
    <w:rsid w:val="6B053271"/>
    <w:rsid w:val="6B289275"/>
    <w:rsid w:val="6B7D7672"/>
    <w:rsid w:val="6BAB1A6A"/>
    <w:rsid w:val="6BCE6674"/>
    <w:rsid w:val="6C4A05C8"/>
    <w:rsid w:val="6C8742B8"/>
    <w:rsid w:val="6C8A170F"/>
    <w:rsid w:val="6CB54609"/>
    <w:rsid w:val="6CFE69E0"/>
    <w:rsid w:val="6D3C50DF"/>
    <w:rsid w:val="6DBB9814"/>
    <w:rsid w:val="6DBF5E93"/>
    <w:rsid w:val="6DFED6A1"/>
    <w:rsid w:val="6DFF077E"/>
    <w:rsid w:val="6E7E3605"/>
    <w:rsid w:val="6E7FD758"/>
    <w:rsid w:val="6E7FDCC7"/>
    <w:rsid w:val="6ED6A62E"/>
    <w:rsid w:val="6EE00B15"/>
    <w:rsid w:val="6F544B20"/>
    <w:rsid w:val="6F6FB3EB"/>
    <w:rsid w:val="6F77DF9C"/>
    <w:rsid w:val="6F784160"/>
    <w:rsid w:val="6F8731EA"/>
    <w:rsid w:val="6F8FB020"/>
    <w:rsid w:val="6FBDACA5"/>
    <w:rsid w:val="6FCE6052"/>
    <w:rsid w:val="6FD57C00"/>
    <w:rsid w:val="6FEFFFD8"/>
    <w:rsid w:val="6FF5CC65"/>
    <w:rsid w:val="6FF790B8"/>
    <w:rsid w:val="6FFB47EC"/>
    <w:rsid w:val="6FFF034A"/>
    <w:rsid w:val="6FFF7B57"/>
    <w:rsid w:val="70496804"/>
    <w:rsid w:val="712A28F1"/>
    <w:rsid w:val="715C0E4B"/>
    <w:rsid w:val="71FFCFB8"/>
    <w:rsid w:val="72233669"/>
    <w:rsid w:val="72734D90"/>
    <w:rsid w:val="7332FE48"/>
    <w:rsid w:val="73AB61DA"/>
    <w:rsid w:val="73AD73D5"/>
    <w:rsid w:val="73B6EB34"/>
    <w:rsid w:val="73FA497D"/>
    <w:rsid w:val="744731E5"/>
    <w:rsid w:val="74527205"/>
    <w:rsid w:val="74BBD01D"/>
    <w:rsid w:val="74ED5379"/>
    <w:rsid w:val="74FC2395"/>
    <w:rsid w:val="75C9EFF5"/>
    <w:rsid w:val="75DEEEC2"/>
    <w:rsid w:val="76E3355F"/>
    <w:rsid w:val="76F33DE7"/>
    <w:rsid w:val="76FB6537"/>
    <w:rsid w:val="76FF5125"/>
    <w:rsid w:val="776F6FFA"/>
    <w:rsid w:val="777B0C3C"/>
    <w:rsid w:val="778769C8"/>
    <w:rsid w:val="77BE4480"/>
    <w:rsid w:val="77DC22F5"/>
    <w:rsid w:val="77F93199"/>
    <w:rsid w:val="78ED78BD"/>
    <w:rsid w:val="79086DAD"/>
    <w:rsid w:val="79974F09"/>
    <w:rsid w:val="79D7FD79"/>
    <w:rsid w:val="79EE5BA4"/>
    <w:rsid w:val="7A894339"/>
    <w:rsid w:val="7A8FA68A"/>
    <w:rsid w:val="7ABF8375"/>
    <w:rsid w:val="7ADB3F2B"/>
    <w:rsid w:val="7AFF7572"/>
    <w:rsid w:val="7B6C7DFB"/>
    <w:rsid w:val="7B6F4AF9"/>
    <w:rsid w:val="7B878EA2"/>
    <w:rsid w:val="7BBE3570"/>
    <w:rsid w:val="7BBFBED0"/>
    <w:rsid w:val="7BC3E394"/>
    <w:rsid w:val="7BCDC6FF"/>
    <w:rsid w:val="7BDDE8F1"/>
    <w:rsid w:val="7BFDA86C"/>
    <w:rsid w:val="7C1F3737"/>
    <w:rsid w:val="7CBFC87B"/>
    <w:rsid w:val="7CDFBB0B"/>
    <w:rsid w:val="7CF73F65"/>
    <w:rsid w:val="7CFE0F48"/>
    <w:rsid w:val="7D1F88B2"/>
    <w:rsid w:val="7D563420"/>
    <w:rsid w:val="7D7AE1EE"/>
    <w:rsid w:val="7D7EC23E"/>
    <w:rsid w:val="7D916348"/>
    <w:rsid w:val="7D953586"/>
    <w:rsid w:val="7DE5F410"/>
    <w:rsid w:val="7DFB41E6"/>
    <w:rsid w:val="7DFC85F8"/>
    <w:rsid w:val="7DFE2AF6"/>
    <w:rsid w:val="7DFE5158"/>
    <w:rsid w:val="7DFE92B7"/>
    <w:rsid w:val="7E8ADEBF"/>
    <w:rsid w:val="7EBF9378"/>
    <w:rsid w:val="7EBFF3BA"/>
    <w:rsid w:val="7EEF11D3"/>
    <w:rsid w:val="7EF4B10C"/>
    <w:rsid w:val="7EF4CD24"/>
    <w:rsid w:val="7EF7D042"/>
    <w:rsid w:val="7F0971A6"/>
    <w:rsid w:val="7F168E66"/>
    <w:rsid w:val="7F3F679B"/>
    <w:rsid w:val="7F4FC4EF"/>
    <w:rsid w:val="7F57F18C"/>
    <w:rsid w:val="7F5B9326"/>
    <w:rsid w:val="7F5DFE6E"/>
    <w:rsid w:val="7F5E4D54"/>
    <w:rsid w:val="7F5F4157"/>
    <w:rsid w:val="7F5F5307"/>
    <w:rsid w:val="7F6E0135"/>
    <w:rsid w:val="7F73DEC3"/>
    <w:rsid w:val="7F776252"/>
    <w:rsid w:val="7F7D92F4"/>
    <w:rsid w:val="7F7E8C6B"/>
    <w:rsid w:val="7F94C3E1"/>
    <w:rsid w:val="7FA30C79"/>
    <w:rsid w:val="7FAF8ABF"/>
    <w:rsid w:val="7FB4A35A"/>
    <w:rsid w:val="7FB5A320"/>
    <w:rsid w:val="7FB7269E"/>
    <w:rsid w:val="7FC7BB61"/>
    <w:rsid w:val="7FC96657"/>
    <w:rsid w:val="7FD72D81"/>
    <w:rsid w:val="7FDA9588"/>
    <w:rsid w:val="7FDDFFA3"/>
    <w:rsid w:val="7FDE9ED3"/>
    <w:rsid w:val="7FDF220F"/>
    <w:rsid w:val="7FDF3C31"/>
    <w:rsid w:val="7FEDC5F7"/>
    <w:rsid w:val="7FEDD9DE"/>
    <w:rsid w:val="7FEF7DF5"/>
    <w:rsid w:val="7FF5890D"/>
    <w:rsid w:val="7FF788BD"/>
    <w:rsid w:val="7FF7FBD3"/>
    <w:rsid w:val="7FF7FD58"/>
    <w:rsid w:val="7FF93490"/>
    <w:rsid w:val="7FFBF186"/>
    <w:rsid w:val="7FFE3002"/>
    <w:rsid w:val="7FFE37C6"/>
    <w:rsid w:val="8FAF966A"/>
    <w:rsid w:val="95AA9F40"/>
    <w:rsid w:val="963FFE08"/>
    <w:rsid w:val="99FF2014"/>
    <w:rsid w:val="9F672EDD"/>
    <w:rsid w:val="9FEB9B54"/>
    <w:rsid w:val="A6DD0D7F"/>
    <w:rsid w:val="A7EFA08F"/>
    <w:rsid w:val="ABFF1E33"/>
    <w:rsid w:val="ADC6F725"/>
    <w:rsid w:val="AF7F1399"/>
    <w:rsid w:val="B07EB3DF"/>
    <w:rsid w:val="B55AF5D1"/>
    <w:rsid w:val="B7CF06AB"/>
    <w:rsid w:val="B7CFA926"/>
    <w:rsid w:val="B7F8786B"/>
    <w:rsid w:val="B7FF4BC4"/>
    <w:rsid w:val="BABB6AA1"/>
    <w:rsid w:val="BAFF8BE0"/>
    <w:rsid w:val="BB1EC7A5"/>
    <w:rsid w:val="BB2F4199"/>
    <w:rsid w:val="BB7FD9E2"/>
    <w:rsid w:val="BD079C78"/>
    <w:rsid w:val="BD3F7B27"/>
    <w:rsid w:val="BD733540"/>
    <w:rsid w:val="BDCF92B2"/>
    <w:rsid w:val="BDFD2AA1"/>
    <w:rsid w:val="BEF7DFC9"/>
    <w:rsid w:val="BF3735D5"/>
    <w:rsid w:val="BF7F09AC"/>
    <w:rsid w:val="BFAF720A"/>
    <w:rsid w:val="BFD475C3"/>
    <w:rsid w:val="BFDD01A9"/>
    <w:rsid w:val="BFDE5EA6"/>
    <w:rsid w:val="BFFD5E8F"/>
    <w:rsid w:val="CF6FC6F3"/>
    <w:rsid w:val="CFD3D3D7"/>
    <w:rsid w:val="CFDF1009"/>
    <w:rsid w:val="CFF78DAB"/>
    <w:rsid w:val="D73D943F"/>
    <w:rsid w:val="D7D7B16A"/>
    <w:rsid w:val="D8D6DB89"/>
    <w:rsid w:val="D987E2C4"/>
    <w:rsid w:val="DB6F4CAB"/>
    <w:rsid w:val="DB777682"/>
    <w:rsid w:val="DB9E4143"/>
    <w:rsid w:val="DBB741C9"/>
    <w:rsid w:val="DBD2C361"/>
    <w:rsid w:val="DBFB156B"/>
    <w:rsid w:val="DBFDECA8"/>
    <w:rsid w:val="DD1FB521"/>
    <w:rsid w:val="DE9929D5"/>
    <w:rsid w:val="DEF57B70"/>
    <w:rsid w:val="DEFBFEAE"/>
    <w:rsid w:val="DF1F3B80"/>
    <w:rsid w:val="DF3F5442"/>
    <w:rsid w:val="DF6F9789"/>
    <w:rsid w:val="DF7F4A2A"/>
    <w:rsid w:val="DFEFF49D"/>
    <w:rsid w:val="DFFEC3B5"/>
    <w:rsid w:val="DFFED8D7"/>
    <w:rsid w:val="DFFFA9E8"/>
    <w:rsid w:val="E5F4E9DC"/>
    <w:rsid w:val="E70FE695"/>
    <w:rsid w:val="E7E7F377"/>
    <w:rsid w:val="E7F4793D"/>
    <w:rsid w:val="EA7CD322"/>
    <w:rsid w:val="EBBE801E"/>
    <w:rsid w:val="EBEF43B3"/>
    <w:rsid w:val="ECFED1BC"/>
    <w:rsid w:val="ED1D69BB"/>
    <w:rsid w:val="ED7FD312"/>
    <w:rsid w:val="EE7D6F8A"/>
    <w:rsid w:val="EE835144"/>
    <w:rsid w:val="EEFF0365"/>
    <w:rsid w:val="EEFF0D3B"/>
    <w:rsid w:val="EF4F38D3"/>
    <w:rsid w:val="EF53993F"/>
    <w:rsid w:val="EF6FD633"/>
    <w:rsid w:val="EFBF4FAD"/>
    <w:rsid w:val="EFBFB2F4"/>
    <w:rsid w:val="EFBFFA21"/>
    <w:rsid w:val="EFF71A62"/>
    <w:rsid w:val="EFFA384E"/>
    <w:rsid w:val="EFFEC3AB"/>
    <w:rsid w:val="EFFFE73C"/>
    <w:rsid w:val="F0FFB1DE"/>
    <w:rsid w:val="F2BEBCB8"/>
    <w:rsid w:val="F2FEE431"/>
    <w:rsid w:val="F36FB518"/>
    <w:rsid w:val="F3DE1A04"/>
    <w:rsid w:val="F3F722E5"/>
    <w:rsid w:val="F3FDFD3C"/>
    <w:rsid w:val="F3FF7169"/>
    <w:rsid w:val="F46F88D4"/>
    <w:rsid w:val="F4DD225F"/>
    <w:rsid w:val="F4DD310B"/>
    <w:rsid w:val="F5DF6639"/>
    <w:rsid w:val="F5E74516"/>
    <w:rsid w:val="F5EF48F0"/>
    <w:rsid w:val="F6E33994"/>
    <w:rsid w:val="F79F88E4"/>
    <w:rsid w:val="F7E7BC75"/>
    <w:rsid w:val="F7FFAB09"/>
    <w:rsid w:val="F83F6509"/>
    <w:rsid w:val="F85C0F97"/>
    <w:rsid w:val="FA5F1E70"/>
    <w:rsid w:val="FA5FDB97"/>
    <w:rsid w:val="FACBADA6"/>
    <w:rsid w:val="FADDB7E2"/>
    <w:rsid w:val="FAEB0025"/>
    <w:rsid w:val="FB2918E7"/>
    <w:rsid w:val="FB7D4023"/>
    <w:rsid w:val="FB7F486A"/>
    <w:rsid w:val="FB9FD966"/>
    <w:rsid w:val="FBDF0FAA"/>
    <w:rsid w:val="FBFD5A05"/>
    <w:rsid w:val="FBFF5B2E"/>
    <w:rsid w:val="FC6CC7F0"/>
    <w:rsid w:val="FCF7669F"/>
    <w:rsid w:val="FD7FFE2B"/>
    <w:rsid w:val="FDB9B210"/>
    <w:rsid w:val="FDCDECDF"/>
    <w:rsid w:val="FDEE196B"/>
    <w:rsid w:val="FDEF9D83"/>
    <w:rsid w:val="FDF60D78"/>
    <w:rsid w:val="FDF71DA9"/>
    <w:rsid w:val="FDFE6575"/>
    <w:rsid w:val="FE5D355D"/>
    <w:rsid w:val="FEBF792F"/>
    <w:rsid w:val="FED3FFF0"/>
    <w:rsid w:val="FEDFDDC2"/>
    <w:rsid w:val="FEED32F6"/>
    <w:rsid w:val="FEEE3701"/>
    <w:rsid w:val="FEF781DD"/>
    <w:rsid w:val="FF1F7B08"/>
    <w:rsid w:val="FF3904DF"/>
    <w:rsid w:val="FF3F7E3F"/>
    <w:rsid w:val="FF4BD1C7"/>
    <w:rsid w:val="FF6FD731"/>
    <w:rsid w:val="FF797586"/>
    <w:rsid w:val="FF7C3A94"/>
    <w:rsid w:val="FF7F9102"/>
    <w:rsid w:val="FF91FB5C"/>
    <w:rsid w:val="FFB330B3"/>
    <w:rsid w:val="FFBA12D7"/>
    <w:rsid w:val="FFBBC7CF"/>
    <w:rsid w:val="FFCCA35E"/>
    <w:rsid w:val="FFCF7CB4"/>
    <w:rsid w:val="FFD7269B"/>
    <w:rsid w:val="FFDFFAEE"/>
    <w:rsid w:val="FFE130DC"/>
    <w:rsid w:val="FFEB6499"/>
    <w:rsid w:val="FFEFFD83"/>
    <w:rsid w:val="FFF9B57B"/>
    <w:rsid w:val="FFFBB05C"/>
    <w:rsid w:val="FFFD61D9"/>
    <w:rsid w:val="FFFD8F59"/>
    <w:rsid w:val="FFFDA17C"/>
    <w:rsid w:val="FFFDD53C"/>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semiHidden/>
    <w:qFormat/>
    <w:uiPriority w:val="0"/>
    <w:pPr>
      <w:ind w:left="168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qFormat/>
    <w:uiPriority w:val="34"/>
    <w:pPr>
      <w:widowControl w:val="0"/>
      <w:ind w:firstLine="420" w:firstLineChars="200"/>
      <w:jc w:val="both"/>
    </w:pPr>
    <w:rPr>
      <w:rFonts w:ascii="Calibri" w:hAnsi="Calibri" w:eastAsia="宋体"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收入、支出决算总计变动情况表</a:t>
            </a:r>
          </a:p>
        </c:rich>
      </c:tx>
      <c:layout/>
      <c:overlay val="0"/>
      <c:spPr>
        <a:noFill/>
        <a:ln>
          <a:noFill/>
        </a:ln>
        <a:effectLst/>
      </c:spPr>
    </c:title>
    <c:autoTitleDeleted val="0"/>
    <c:plotArea>
      <c:layout>
        <c:manualLayout>
          <c:layoutTarget val="inner"/>
          <c:xMode val="edge"/>
          <c:yMode val="edge"/>
          <c:x val="0.0735444867919569"/>
          <c:y val="0.153167931105188"/>
          <c:w val="0.924221316861611"/>
          <c:h val="0.651302029936436"/>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1709.19</c:v>
                </c:pt>
                <c:pt idx="1">
                  <c:v>1709.19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1397.74</c:v>
                </c:pt>
                <c:pt idx="1">
                  <c:v>1397.74</c:v>
                </c:pt>
              </c:numCache>
            </c:numRef>
          </c:val>
        </c:ser>
        <c:dLbls>
          <c:showLegendKey val="0"/>
          <c:showVal val="0"/>
          <c:showCatName val="0"/>
          <c:showSerName val="0"/>
          <c:showPercent val="0"/>
          <c:showBubbleSize val="0"/>
        </c:dLbls>
        <c:gapWidth val="219"/>
        <c:overlap val="-27"/>
        <c:axId val="59055450"/>
        <c:axId val="11351521"/>
      </c:barChart>
      <c:catAx>
        <c:axId val="5905545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51521"/>
        <c:crosses val="autoZero"/>
        <c:auto val="1"/>
        <c:lblAlgn val="ctr"/>
        <c:lblOffset val="100"/>
        <c:noMultiLvlLbl val="0"/>
      </c:catAx>
      <c:valAx>
        <c:axId val="113515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554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
                </c:pt>
              </c:strCache>
            </c:strRef>
          </c:tx>
          <c:spPr>
            <a:ln w="19050">
              <a:solidFill>
                <a:schemeClr val="accent1"/>
              </a:solidFill>
            </a:ln>
          </c:spPr>
          <c:explosion val="0"/>
          <c:dPt>
            <c:idx val="0"/>
            <c:bubble3D val="0"/>
            <c:explosion val="1"/>
            <c:spPr>
              <a:solidFill>
                <a:schemeClr val="accent1"/>
              </a:solidFill>
              <a:ln w="19050">
                <a:solidFill>
                  <a:schemeClr val="accen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1397.74</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549.84</c:v>
                </c:pt>
                <c:pt idx="1">
                  <c:v>847.9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财政拨款收、支决算总计变动情况表</a:t>
            </a:r>
          </a:p>
        </c:rich>
      </c:tx>
      <c:layout/>
      <c:overlay val="0"/>
      <c:spPr>
        <a:noFill/>
        <a:ln>
          <a:noFill/>
        </a:ln>
        <a:effectLst/>
      </c:spPr>
    </c:title>
    <c:autoTitleDeleted val="0"/>
    <c:plotArea>
      <c:layout>
        <c:manualLayout>
          <c:layoutTarget val="inner"/>
          <c:xMode val="edge"/>
          <c:yMode val="edge"/>
          <c:x val="0.0735444867919569"/>
          <c:y val="0.153167931105188"/>
          <c:w val="0.924221316861611"/>
          <c:h val="0.651302029936436"/>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1709.19</c:v>
                </c:pt>
                <c:pt idx="1">
                  <c:v>1709.19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1397.74</c:v>
                </c:pt>
                <c:pt idx="1">
                  <c:v>1397.74</c:v>
                </c:pt>
              </c:numCache>
            </c:numRef>
          </c:val>
        </c:ser>
        <c:dLbls>
          <c:showLegendKey val="0"/>
          <c:showVal val="0"/>
          <c:showCatName val="0"/>
          <c:showSerName val="0"/>
          <c:showPercent val="0"/>
          <c:showBubbleSize val="0"/>
        </c:dLbls>
        <c:gapWidth val="219"/>
        <c:overlap val="-27"/>
        <c:axId val="59055450"/>
        <c:axId val="11351521"/>
      </c:barChart>
      <c:catAx>
        <c:axId val="5905545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51521"/>
        <c:crosses val="autoZero"/>
        <c:auto val="1"/>
        <c:lblAlgn val="ctr"/>
        <c:lblOffset val="100"/>
        <c:noMultiLvlLbl val="0"/>
      </c:catAx>
      <c:valAx>
        <c:axId val="113515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554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1709.19</c:v>
                </c:pt>
                <c:pt idx="1">
                  <c:v>1397.74</c:v>
                </c:pt>
              </c:numCache>
            </c:numRef>
          </c:val>
        </c:ser>
        <c:dLbls>
          <c:showLegendKey val="0"/>
          <c:showVal val="0"/>
          <c:showCatName val="0"/>
          <c:showSerName val="0"/>
          <c:showPercent val="0"/>
          <c:showBubbleSize val="0"/>
        </c:dLbls>
        <c:gapWidth val="219"/>
        <c:overlap val="-27"/>
        <c:axId val="845006751"/>
        <c:axId val="318684642"/>
      </c:barChart>
      <c:catAx>
        <c:axId val="8450067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684642"/>
        <c:crosses val="autoZero"/>
        <c:auto val="1"/>
        <c:lblAlgn val="ctr"/>
        <c:lblOffset val="100"/>
        <c:noMultiLvlLbl val="0"/>
      </c:catAx>
      <c:valAx>
        <c:axId val="31868464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50067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城乡社区支出</c:v>
                </c:pt>
                <c:pt idx="1">
                  <c:v>社会保障和就业支出</c:v>
                </c:pt>
                <c:pt idx="2">
                  <c:v>卫生健康支出</c:v>
                </c:pt>
                <c:pt idx="3">
                  <c:v>住房保障支出</c:v>
                </c:pt>
              </c:strCache>
            </c:strRef>
          </c:cat>
          <c:val>
            <c:numRef>
              <c:f>Sheet1!$B$2:$B$5</c:f>
              <c:numCache>
                <c:formatCode>General</c:formatCode>
                <c:ptCount val="4"/>
                <c:pt idx="0">
                  <c:v>1285.13</c:v>
                </c:pt>
                <c:pt idx="1">
                  <c:v>60.37</c:v>
                </c:pt>
                <c:pt idx="2">
                  <c:v>22.81</c:v>
                </c:pt>
                <c:pt idx="3">
                  <c:v>29.43</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c:v>
                </c:pt>
                <c:pt idx="1">
                  <c:v>公务用车购置及运行维护费</c:v>
                </c:pt>
                <c:pt idx="2">
                  <c:v>公务接待费</c:v>
                </c:pt>
              </c:strCache>
            </c:strRef>
          </c:cat>
          <c:val>
            <c:numRef>
              <c:f>Sheet1!$B$2:$B$5</c:f>
              <c:numCache>
                <c:formatCode>General</c:formatCode>
                <c:ptCount val="4"/>
                <c:pt idx="0">
                  <c:v>0</c:v>
                </c:pt>
                <c:pt idx="1">
                  <c:v>13.74</c:v>
                </c:pt>
                <c:pt idx="2">
                  <c:v>0</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7872</Words>
  <Characters>8367</Characters>
  <Lines>61</Lines>
  <Paragraphs>17</Paragraphs>
  <TotalTime>17</TotalTime>
  <ScaleCrop>false</ScaleCrop>
  <LinksUpToDate>false</LinksUpToDate>
  <CharactersWithSpaces>8394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2020-08-12T17:49:00Z</dcterms:created>
  <dc:creator>曹颖</dc:creator>
  <cp:lastModifiedBy>user</cp:lastModifiedBy>
  <cp:lastPrinted>2026-10-27T10:35:00Z</cp:lastPrinted>
  <dcterms:modified xsi:type="dcterms:W3CDTF">2026-10-26T17:29:23Z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2617D3AD237C4A71890C1483B54BF839_13</vt:lpwstr>
  </property>
</Properties>
</file>