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 w:hAnsi="仿宋" w:eastAsia="仿宋" w:cs="仿宋"/>
          <w:b/>
          <w:bCs/>
          <w:i w:val="0"/>
          <w:iCs w:val="0"/>
          <w:sz w:val="72"/>
          <w:szCs w:val="72"/>
        </w:rPr>
      </w:pPr>
      <w:bookmarkStart w:id="0" w:name="_Toc15377425"/>
      <w:bookmarkStart w:id="1" w:name="_Toc15377193"/>
      <w:bookmarkStart w:id="2" w:name="_Toc15378441"/>
      <w:bookmarkStart w:id="3" w:name="_Toc15396475"/>
      <w:bookmarkStart w:id="4" w:name="_Toc15396597"/>
      <w:bookmarkStart w:id="5" w:name="_Toc15306267"/>
    </w:p>
    <w:p>
      <w:pPr>
        <w:bidi w:val="0"/>
        <w:jc w:val="center"/>
        <w:rPr>
          <w:rFonts w:hint="eastAsia" w:ascii="仿宋" w:hAnsi="仿宋" w:eastAsia="仿宋" w:cs="仿宋"/>
          <w:b/>
          <w:bCs/>
          <w:i w:val="0"/>
          <w:iCs w:val="0"/>
          <w:sz w:val="72"/>
          <w:szCs w:val="72"/>
        </w:rPr>
      </w:pPr>
    </w:p>
    <w:p>
      <w:pPr>
        <w:bidi w:val="0"/>
        <w:jc w:val="center"/>
        <w:rPr>
          <w:rFonts w:hint="eastAsia" w:ascii="仿宋" w:hAnsi="仿宋" w:eastAsia="仿宋" w:cs="仿宋"/>
          <w:b/>
          <w:bCs/>
          <w:i w:val="0"/>
          <w:iCs w:val="0"/>
          <w:sz w:val="72"/>
          <w:szCs w:val="72"/>
        </w:rPr>
      </w:pPr>
      <w:r>
        <w:rPr>
          <w:rFonts w:hint="eastAsia" w:ascii="仿宋" w:hAnsi="仿宋" w:eastAsia="仿宋" w:cs="仿宋"/>
          <w:b/>
          <w:bCs/>
          <w:i w:val="0"/>
          <w:iCs w:val="0"/>
          <w:sz w:val="72"/>
          <w:szCs w:val="72"/>
        </w:rPr>
        <w:t>20</w:t>
      </w:r>
      <w:r>
        <w:rPr>
          <w:rFonts w:hint="eastAsia" w:ascii="仿宋" w:hAnsi="仿宋" w:eastAsia="仿宋" w:cs="仿宋"/>
          <w:b/>
          <w:bCs/>
          <w:i w:val="0"/>
          <w:iCs w:val="0"/>
          <w:sz w:val="72"/>
          <w:szCs w:val="72"/>
          <w:lang w:val="en-US" w:eastAsia="zh-CN"/>
        </w:rPr>
        <w:t>22</w:t>
      </w:r>
      <w:r>
        <w:rPr>
          <w:rFonts w:hint="eastAsia" w:ascii="仿宋" w:hAnsi="仿宋" w:eastAsia="仿宋" w:cs="仿宋"/>
          <w:b/>
          <w:bCs/>
          <w:i w:val="0"/>
          <w:iCs w:val="0"/>
          <w:sz w:val="72"/>
          <w:szCs w:val="72"/>
        </w:rPr>
        <w:t>年度</w:t>
      </w:r>
      <w:bookmarkEnd w:id="0"/>
      <w:bookmarkEnd w:id="1"/>
      <w:bookmarkEnd w:id="2"/>
      <w:bookmarkEnd w:id="3"/>
      <w:bookmarkEnd w:id="4"/>
    </w:p>
    <w:p>
      <w:pPr>
        <w:bidi w:val="0"/>
        <w:jc w:val="center"/>
        <w:rPr>
          <w:rFonts w:hint="eastAsia" w:ascii="仿宋" w:hAnsi="仿宋" w:eastAsia="仿宋" w:cs="仿宋"/>
          <w:b/>
          <w:bCs/>
          <w:i w:val="0"/>
          <w:iCs w:val="0"/>
          <w:color w:val="auto"/>
          <w:sz w:val="72"/>
          <w:szCs w:val="72"/>
          <w:highlight w:val="none"/>
        </w:rPr>
      </w:pPr>
      <w:bookmarkStart w:id="6" w:name="_Toc15396598"/>
      <w:bookmarkStart w:id="7" w:name="_Toc15378442"/>
      <w:bookmarkStart w:id="8" w:name="_Toc15377426"/>
      <w:bookmarkStart w:id="9" w:name="_Toc15396476"/>
      <w:bookmarkStart w:id="10" w:name="_Toc15377194"/>
      <w:r>
        <w:rPr>
          <w:rFonts w:hint="eastAsia" w:ascii="仿宋" w:hAnsi="仿宋" w:eastAsia="仿宋" w:cs="仿宋"/>
          <w:b/>
          <w:bCs/>
          <w:i w:val="0"/>
          <w:iCs w:val="0"/>
          <w:sz w:val="72"/>
          <w:szCs w:val="72"/>
        </w:rPr>
        <w:t>四川省</w:t>
      </w:r>
      <w:bookmarkEnd w:id="5"/>
      <w:bookmarkStart w:id="11" w:name="_Toc15306268"/>
      <w:r>
        <w:rPr>
          <w:rFonts w:hint="eastAsia" w:ascii="仿宋" w:hAnsi="仿宋" w:eastAsia="仿宋" w:cs="仿宋"/>
          <w:b/>
          <w:bCs/>
          <w:i w:val="0"/>
          <w:iCs w:val="0"/>
          <w:sz w:val="72"/>
          <w:szCs w:val="72"/>
        </w:rPr>
        <w:t>阿坝州壤塘县</w:t>
      </w:r>
      <w:r>
        <w:rPr>
          <w:rFonts w:hint="eastAsia" w:ascii="仿宋" w:hAnsi="仿宋" w:eastAsia="仿宋" w:cs="仿宋"/>
          <w:b/>
          <w:bCs/>
          <w:i w:val="0"/>
          <w:iCs w:val="0"/>
          <w:sz w:val="72"/>
          <w:szCs w:val="72"/>
          <w:lang w:val="en-US" w:eastAsia="zh-CN"/>
        </w:rPr>
        <w:t>城乡文明创建和城乡管理综合服务中心</w:t>
      </w:r>
      <w:r>
        <w:rPr>
          <w:rFonts w:hint="eastAsia" w:ascii="仿宋" w:hAnsi="仿宋" w:eastAsia="仿宋" w:cs="仿宋"/>
          <w:b/>
          <w:bCs/>
          <w:i w:val="0"/>
          <w:iCs w:val="0"/>
          <w:sz w:val="72"/>
          <w:szCs w:val="72"/>
        </w:rPr>
        <w:t>部门决算</w:t>
      </w:r>
      <w:bookmarkEnd w:id="6"/>
      <w:bookmarkEnd w:id="7"/>
      <w:bookmarkEnd w:id="8"/>
      <w:bookmarkEnd w:id="9"/>
      <w:bookmarkEnd w:id="10"/>
      <w:bookmarkEnd w:id="11"/>
    </w:p>
    <w:p>
      <w:pPr>
        <w:widowControl/>
        <w:jc w:val="center"/>
        <w:rPr>
          <w:rFonts w:hint="eastAsia" w:ascii="仿宋" w:hAnsi="仿宋" w:eastAsia="仿宋" w:cs="仿宋"/>
          <w:b/>
          <w:bCs/>
          <w:i w:val="0"/>
          <w:iCs w:val="0"/>
          <w:color w:val="auto"/>
          <w:sz w:val="72"/>
          <w:szCs w:val="72"/>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sdt>
      <w:sdtPr>
        <w:rPr>
          <w:rFonts w:ascii="宋体" w:hAnsi="宋体" w:eastAsia="宋体" w:cs="Times New Roman"/>
          <w:kern w:val="2"/>
          <w:sz w:val="21"/>
          <w:szCs w:val="24"/>
          <w:lang w:val="en-US" w:eastAsia="zh-CN" w:bidi="ar-SA"/>
        </w:rPr>
        <w:id w:val="147469575"/>
        <w15:color w:val="DBDBDB"/>
        <w:docPartObj>
          <w:docPartGallery w:val="Table of Contents"/>
          <w:docPartUnique/>
        </w:docPartObj>
      </w:sdtPr>
      <w:sdtEndPr>
        <w:rPr>
          <w:rFonts w:hint="default" w:ascii="Times New Roman" w:hAnsi="Times New Roman" w:eastAsia="楷体_GB2312" w:cs="Times New Roman"/>
          <w:b/>
          <w:color w:val="auto"/>
          <w:kern w:val="2"/>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3"/>
            <w:tabs>
              <w:tab w:val="right" w:leader="dot" w:pos="8845"/>
              <w:tab w:val="clear" w:pos="8296"/>
            </w:tabs>
          </w:pPr>
          <w:r>
            <w:rPr>
              <w:rFonts w:hint="default" w:ascii="Times New Roman" w:hAnsi="Times New Roman" w:eastAsia="楷体_GB2312" w:cs="Times New Roman"/>
              <w:color w:val="auto"/>
              <w:sz w:val="32"/>
              <w:szCs w:val="32"/>
              <w:highlight w:val="none"/>
              <w:lang w:val="en-US" w:eastAsia="zh-CN"/>
            </w:rPr>
            <w:fldChar w:fldCharType="begin"/>
          </w:r>
          <w:r>
            <w:rPr>
              <w:rFonts w:hint="default" w:ascii="Times New Roman" w:hAnsi="Times New Roman" w:eastAsia="楷体_GB2312" w:cs="Times New Roman"/>
              <w:color w:val="auto"/>
              <w:sz w:val="32"/>
              <w:szCs w:val="32"/>
              <w:highlight w:val="none"/>
              <w:lang w:val="en-US" w:eastAsia="zh-CN"/>
            </w:rPr>
            <w:instrText xml:space="preserve">TOC \o "1-2" \h \u </w:instrText>
          </w:r>
          <w:r>
            <w:rPr>
              <w:rFonts w:hint="default" w:ascii="Times New Roman" w:hAnsi="Times New Roman" w:eastAsia="楷体_GB2312" w:cs="Times New Roman"/>
              <w:color w:val="auto"/>
              <w:sz w:val="32"/>
              <w:szCs w:val="32"/>
              <w:highlight w:val="none"/>
              <w:lang w:val="en-US" w:eastAsia="zh-CN"/>
            </w:rPr>
            <w:fldChar w:fldCharType="separate"/>
          </w: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_Toc18654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方正小标宋_GBK" w:cs="Times New Roman"/>
              <w:highlight w:val="none"/>
            </w:rPr>
            <w:t xml:space="preserve">第一部分 </w:t>
          </w:r>
          <w:r>
            <w:rPr>
              <w:rFonts w:hint="default" w:ascii="Times New Roman" w:hAnsi="Times New Roman" w:eastAsia="方正小标宋_GBK" w:cs="Times New Roman"/>
              <w:bCs w:val="0"/>
              <w:highlight w:val="none"/>
            </w:rPr>
            <w:t>部门概况</w:t>
          </w:r>
          <w:r>
            <w:tab/>
          </w:r>
          <w:r>
            <w:fldChar w:fldCharType="begin"/>
          </w:r>
          <w:r>
            <w:instrText xml:space="preserve"> PAGEREF _Toc18654 \h </w:instrText>
          </w:r>
          <w:r>
            <w:fldChar w:fldCharType="separate"/>
          </w:r>
          <w:r>
            <w:t>3</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_Toc2321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szCs w:val="32"/>
              <w:lang w:eastAsia="zh-CN"/>
            </w:rPr>
            <w:t>一、部门职责</w:t>
          </w:r>
          <w:r>
            <w:tab/>
          </w:r>
          <w:r>
            <w:fldChar w:fldCharType="begin"/>
          </w:r>
          <w:r>
            <w:instrText xml:space="preserve"> PAGEREF _Toc2321 \h </w:instrText>
          </w:r>
          <w:r>
            <w:fldChar w:fldCharType="separate"/>
          </w:r>
          <w:r>
            <w:t>3</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_Toc28872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szCs w:val="32"/>
            </w:rPr>
            <w:t>二、机构设置</w:t>
          </w:r>
          <w:r>
            <w:tab/>
          </w:r>
          <w:r>
            <w:fldChar w:fldCharType="begin"/>
          </w:r>
          <w:r>
            <w:instrText xml:space="preserve"> PAGEREF _Toc28872 \h </w:instrText>
          </w:r>
          <w:r>
            <w:fldChar w:fldCharType="separate"/>
          </w:r>
          <w:r>
            <w:t>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3"/>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_Toc2850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方正小标宋_GBK" w:cs="Times New Roman"/>
              <w:highlight w:val="none"/>
            </w:rPr>
            <w:t xml:space="preserve">第二部分 </w:t>
          </w:r>
          <w:r>
            <w:rPr>
              <w:rFonts w:hint="default" w:ascii="Times New Roman" w:hAnsi="Times New Roman" w:eastAsia="方正小标宋_GBK" w:cs="Times New Roman"/>
              <w:highlight w:val="none"/>
              <w:lang w:val="en-US" w:eastAsia="zh-CN"/>
            </w:rPr>
            <w:t>2022年度</w:t>
          </w:r>
          <w:r>
            <w:rPr>
              <w:rFonts w:hint="default" w:ascii="Times New Roman" w:hAnsi="Times New Roman" w:eastAsia="方正小标宋_GBK" w:cs="Times New Roman"/>
              <w:highlight w:val="none"/>
            </w:rPr>
            <w:t>部门决算情况说明</w:t>
          </w:r>
          <w:r>
            <w:tab/>
          </w:r>
          <w:r>
            <w:fldChar w:fldCharType="begin"/>
          </w:r>
          <w:r>
            <w:instrText xml:space="preserve"> PAGEREF _Toc2850 \h </w:instrText>
          </w:r>
          <w:r>
            <w:fldChar w:fldCharType="separate"/>
          </w:r>
          <w:r>
            <w:t>7</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_Toc10308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szCs w:val="32"/>
              <w:highlight w:val="none"/>
              <w:lang w:eastAsia="zh-CN"/>
            </w:rPr>
            <w:t>一、</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入支出决算总体情况说明</w:t>
          </w:r>
          <w:r>
            <w:tab/>
          </w:r>
          <w:r>
            <w:fldChar w:fldCharType="begin"/>
          </w:r>
          <w:r>
            <w:instrText xml:space="preserve"> PAGEREF _Toc10308 \h </w:instrText>
          </w:r>
          <w:r>
            <w:fldChar w:fldCharType="separate"/>
          </w:r>
          <w:r>
            <w:t>7</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_Toc10816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szCs w:val="32"/>
              <w:highlight w:val="none"/>
              <w:lang w:eastAsia="zh-CN"/>
            </w:rPr>
            <w:t>二、</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入决算情况说明</w:t>
          </w:r>
          <w:r>
            <w:tab/>
          </w:r>
          <w:r>
            <w:fldChar w:fldCharType="begin"/>
          </w:r>
          <w:r>
            <w:instrText xml:space="preserve"> PAGEREF _Toc10816 \h </w:instrText>
          </w:r>
          <w:r>
            <w:fldChar w:fldCharType="separate"/>
          </w:r>
          <w:r>
            <w:t>7</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_Toc32336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szCs w:val="32"/>
              <w:highlight w:val="none"/>
              <w:lang w:eastAsia="zh-CN"/>
            </w:rPr>
            <w:t>三、</w:t>
          </w:r>
          <w:r>
            <w:rPr>
              <w:rFonts w:hint="default" w:ascii="Times New Roman" w:hAnsi="Times New Roman" w:eastAsia="黑体" w:cs="Times New Roman"/>
              <w:szCs w:val="32"/>
              <w:highlight w:val="none"/>
            </w:rPr>
            <w:t>支</w:t>
          </w:r>
          <w:r>
            <w:rPr>
              <w:rFonts w:hint="default" w:ascii="Times New Roman" w:hAnsi="Times New Roman" w:eastAsia="黑体" w:cs="Times New Roman"/>
              <w:highlight w:val="none"/>
            </w:rPr>
            <w:t>出决算情况说明</w:t>
          </w:r>
          <w:r>
            <w:tab/>
          </w:r>
          <w:r>
            <w:fldChar w:fldCharType="begin"/>
          </w:r>
          <w:r>
            <w:instrText xml:space="preserve"> PAGEREF _Toc32336 \h </w:instrText>
          </w:r>
          <w:r>
            <w:fldChar w:fldCharType="separate"/>
          </w:r>
          <w:r>
            <w:t>8</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_Toc386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szCs w:val="32"/>
              <w:highlight w:val="none"/>
            </w:rPr>
            <w:t>四、财</w:t>
          </w:r>
          <w:r>
            <w:rPr>
              <w:rFonts w:hint="default" w:ascii="Times New Roman" w:hAnsi="Times New Roman" w:eastAsia="黑体" w:cs="Times New Roman"/>
              <w:highlight w:val="none"/>
            </w:rPr>
            <w:t>政拨款收入支出决算总体情况说明</w:t>
          </w:r>
          <w:r>
            <w:tab/>
          </w:r>
          <w:r>
            <w:fldChar w:fldCharType="begin"/>
          </w:r>
          <w:r>
            <w:instrText xml:space="preserve"> PAGEREF _Toc386 \h </w:instrText>
          </w:r>
          <w:r>
            <w:fldChar w:fldCharType="separate"/>
          </w:r>
          <w:r>
            <w:t>8</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_Toc4471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szCs w:val="32"/>
              <w:highlight w:val="none"/>
            </w:rPr>
            <w:t>五、一</w:t>
          </w:r>
          <w:r>
            <w:rPr>
              <w:rFonts w:hint="default" w:ascii="Times New Roman" w:hAnsi="Times New Roman" w:eastAsia="黑体" w:cs="Times New Roman"/>
              <w:highlight w:val="none"/>
            </w:rPr>
            <w:t>般公共预算财政拨款支出决算情况说明</w:t>
          </w:r>
          <w:r>
            <w:tab/>
          </w:r>
          <w:r>
            <w:fldChar w:fldCharType="begin"/>
          </w:r>
          <w:r>
            <w:instrText xml:space="preserve"> PAGEREF _Toc4471 \h </w:instrText>
          </w:r>
          <w:r>
            <w:fldChar w:fldCharType="separate"/>
          </w:r>
          <w:r>
            <w:t>9</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_Toc3563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szCs w:val="32"/>
              <w:highlight w:val="none"/>
            </w:rPr>
            <w:t>六、一</w:t>
          </w:r>
          <w:r>
            <w:rPr>
              <w:rFonts w:hint="default" w:ascii="Times New Roman" w:hAnsi="Times New Roman" w:eastAsia="黑体" w:cs="Times New Roman"/>
              <w:highlight w:val="none"/>
            </w:rPr>
            <w:t>般公共预算财政拨款基本支出决算情况说明</w:t>
          </w:r>
          <w:r>
            <w:tab/>
          </w:r>
          <w:r>
            <w:fldChar w:fldCharType="begin"/>
          </w:r>
          <w:r>
            <w:instrText xml:space="preserve"> PAGEREF _Toc3563 \h </w:instrText>
          </w:r>
          <w:r>
            <w:fldChar w:fldCharType="separate"/>
          </w:r>
          <w:r>
            <w:t>13</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_Toc26819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szCs w:val="32"/>
              <w:highlight w:val="none"/>
            </w:rPr>
            <w:t>七、</w:t>
          </w:r>
          <w:r>
            <w:rPr>
              <w:rFonts w:hint="default" w:ascii="Times New Roman" w:hAnsi="Times New Roman" w:eastAsia="黑体" w:cs="Times New Roman"/>
              <w:highlight w:val="none"/>
            </w:rPr>
            <w:t>财政拨款“三公”经费支出决算情况说明</w:t>
          </w:r>
          <w:r>
            <w:tab/>
          </w:r>
          <w:r>
            <w:fldChar w:fldCharType="begin"/>
          </w:r>
          <w:r>
            <w:instrText xml:space="preserve"> PAGEREF _Toc26819 \h </w:instrText>
          </w:r>
          <w:r>
            <w:fldChar w:fldCharType="separate"/>
          </w:r>
          <w:r>
            <w:t>14</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_Toc10251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szCs w:val="32"/>
              <w:highlight w:val="none"/>
            </w:rPr>
            <w:t>八、</w:t>
          </w:r>
          <w:r>
            <w:rPr>
              <w:rFonts w:hint="default" w:ascii="Times New Roman" w:hAnsi="Times New Roman" w:eastAsia="黑体" w:cs="Times New Roman"/>
              <w:highlight w:val="none"/>
            </w:rPr>
            <w:t>政府性基金预算支出决算情况说明</w:t>
          </w:r>
          <w:r>
            <w:tab/>
          </w:r>
          <w:r>
            <w:fldChar w:fldCharType="begin"/>
          </w:r>
          <w:r>
            <w:instrText xml:space="preserve"> PAGEREF _Toc10251 \h </w:instrText>
          </w:r>
          <w:r>
            <w:fldChar w:fldCharType="separate"/>
          </w:r>
          <w:r>
            <w:t>15</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_Toc31092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lang w:eastAsia="zh-CN"/>
            </w:rPr>
            <w:t>九、</w:t>
          </w:r>
          <w:r>
            <w:rPr>
              <w:rFonts w:hint="default" w:ascii="Times New Roman" w:hAnsi="Times New Roman" w:eastAsia="黑体" w:cs="Times New Roman"/>
              <w:highlight w:val="none"/>
            </w:rPr>
            <w:t>国有资本经营预算支出决算情况说明</w:t>
          </w:r>
          <w:r>
            <w:tab/>
          </w:r>
          <w:r>
            <w:fldChar w:fldCharType="begin"/>
          </w:r>
          <w:r>
            <w:instrText xml:space="preserve"> PAGEREF _Toc31092 \h </w:instrText>
          </w:r>
          <w:r>
            <w:fldChar w:fldCharType="separate"/>
          </w:r>
          <w:r>
            <w:t>15</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_Toc7018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lang w:eastAsia="zh-CN"/>
            </w:rPr>
            <w:t>十、</w:t>
          </w:r>
          <w:r>
            <w:rPr>
              <w:rFonts w:hint="default" w:ascii="Times New Roman" w:hAnsi="Times New Roman" w:eastAsia="黑体" w:cs="Times New Roman"/>
              <w:highlight w:val="none"/>
            </w:rPr>
            <w:t>其他重要事项的情况说明</w:t>
          </w:r>
          <w:r>
            <w:tab/>
          </w:r>
          <w:r>
            <w:fldChar w:fldCharType="begin"/>
          </w:r>
          <w:r>
            <w:instrText xml:space="preserve"> PAGEREF _Toc7018 \h </w:instrText>
          </w:r>
          <w:r>
            <w:fldChar w:fldCharType="separate"/>
          </w:r>
          <w:r>
            <w:t>16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3"/>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_Toc26409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方正小标宋_GBK" w:cs="Times New Roman"/>
              <w:szCs w:val="44"/>
              <w:highlight w:val="none"/>
              <w:lang w:eastAsia="zh-CN"/>
            </w:rPr>
            <w:t>第三部分</w:t>
          </w:r>
          <w:r>
            <w:rPr>
              <w:rFonts w:hint="default" w:ascii="Times New Roman" w:hAnsi="Times New Roman" w:eastAsia="方正小标宋_GBK" w:cs="Times New Roman"/>
              <w:szCs w:val="44"/>
              <w:highlight w:val="none"/>
              <w:lang w:val="en-US" w:eastAsia="zh-CN"/>
            </w:rPr>
            <w:t xml:space="preserve"> </w:t>
          </w:r>
          <w:r>
            <w:rPr>
              <w:rFonts w:hint="default" w:ascii="Times New Roman" w:hAnsi="Times New Roman" w:eastAsia="方正小标宋_GBK" w:cs="Times New Roman"/>
              <w:szCs w:val="44"/>
              <w:highlight w:val="none"/>
            </w:rPr>
            <w:t>名</w:t>
          </w:r>
          <w:r>
            <w:rPr>
              <w:rFonts w:hint="default" w:ascii="Times New Roman" w:hAnsi="Times New Roman" w:eastAsia="方正小标宋_GBK" w:cs="Times New Roman"/>
              <w:highlight w:val="none"/>
            </w:rPr>
            <w:t>词解释</w:t>
          </w:r>
          <w:r>
            <w:tab/>
          </w:r>
          <w:r>
            <w:fldChar w:fldCharType="begin"/>
          </w:r>
          <w:r>
            <w:instrText xml:space="preserve"> PAGEREF _Toc26409 \h </w:instrText>
          </w:r>
          <w:r>
            <w:fldChar w:fldCharType="separate"/>
          </w:r>
          <w:r>
            <w:t>18</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3"/>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_Toc21110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方正小标宋_GBK" w:cs="Times New Roman"/>
              <w:szCs w:val="44"/>
              <w:highlight w:val="none"/>
            </w:rPr>
            <w:t>第</w:t>
          </w:r>
          <w:r>
            <w:rPr>
              <w:rFonts w:hint="default" w:ascii="Times New Roman" w:hAnsi="Times New Roman" w:eastAsia="方正小标宋_GBK" w:cs="Times New Roman"/>
              <w:highlight w:val="none"/>
            </w:rPr>
            <w:t>四部分 附件</w:t>
          </w:r>
          <w:r>
            <w:tab/>
          </w:r>
          <w:r>
            <w:fldChar w:fldCharType="begin"/>
          </w:r>
          <w:r>
            <w:instrText xml:space="preserve"> PAGEREF _Toc21110 \h </w:instrText>
          </w:r>
          <w:r>
            <w:fldChar w:fldCharType="separate"/>
          </w:r>
          <w:r>
            <w:t>21</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_Toc15010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szCs w:val="32"/>
              <w:lang w:val="en-US" w:eastAsia="zh-CN"/>
            </w:rPr>
            <w:t>附件1</w:t>
          </w:r>
          <w:r>
            <w:tab/>
          </w:r>
          <w:r>
            <w:fldChar w:fldCharType="begin"/>
          </w:r>
          <w:r>
            <w:instrText xml:space="preserve"> PAGEREF _Toc15010 \h </w:instrText>
          </w:r>
          <w:r>
            <w:fldChar w:fldCharType="separate"/>
          </w:r>
          <w:r>
            <w:t>21</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_Toc726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bCs w:val="0"/>
              <w:kern w:val="0"/>
              <w:szCs w:val="32"/>
              <w:lang w:val="en-US" w:eastAsia="zh-CN"/>
            </w:rPr>
            <w:t>一、</w:t>
          </w:r>
          <w:r>
            <w:rPr>
              <w:rFonts w:hint="default" w:ascii="Times New Roman" w:hAnsi="Times New Roman" w:eastAsia="黑体" w:cs="Times New Roman"/>
              <w:bCs w:val="0"/>
              <w:kern w:val="0"/>
              <w:szCs w:val="32"/>
            </w:rPr>
            <w:t>部门（单位）概况</w:t>
          </w:r>
          <w:r>
            <w:tab/>
          </w:r>
          <w:r>
            <w:fldChar w:fldCharType="begin"/>
          </w:r>
          <w:r>
            <w:instrText xml:space="preserve"> PAGEREF _Toc726 \h </w:instrText>
          </w:r>
          <w:r>
            <w:fldChar w:fldCharType="separate"/>
          </w:r>
          <w:r>
            <w:t>21</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_Toc27461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bCs w:val="0"/>
              <w:kern w:val="0"/>
              <w:szCs w:val="32"/>
              <w:lang w:val="en-US" w:eastAsia="zh-CN"/>
            </w:rPr>
            <w:t>二、预算管理情况</w:t>
          </w:r>
          <w:r>
            <w:tab/>
          </w:r>
          <w:r>
            <w:fldChar w:fldCharType="begin"/>
          </w:r>
          <w:r>
            <w:instrText xml:space="preserve"> PAGEREF _Toc27461 \h </w:instrText>
          </w:r>
          <w:r>
            <w:fldChar w:fldCharType="separate"/>
          </w:r>
          <w:r>
            <w:t>23</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_Toc25925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bCs w:val="0"/>
              <w:kern w:val="0"/>
              <w:szCs w:val="32"/>
              <w:lang w:val="en-US" w:eastAsia="zh-CN"/>
            </w:rPr>
            <w:t>三、部门管理情况</w:t>
          </w:r>
          <w:r>
            <w:tab/>
          </w:r>
          <w:r>
            <w:fldChar w:fldCharType="begin"/>
          </w:r>
          <w:r>
            <w:instrText xml:space="preserve"> PAGEREF _Toc25925 \h </w:instrText>
          </w:r>
          <w:r>
            <w:fldChar w:fldCharType="separate"/>
          </w:r>
          <w:r>
            <w:t>23</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_Toc14855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bCs w:val="0"/>
              <w:kern w:val="0"/>
              <w:szCs w:val="32"/>
              <w:lang w:val="en-US" w:eastAsia="zh-CN"/>
            </w:rPr>
            <w:t>四、部门履职效能</w:t>
          </w:r>
          <w:r>
            <w:tab/>
          </w:r>
          <w:r>
            <w:fldChar w:fldCharType="begin"/>
          </w:r>
          <w:r>
            <w:instrText xml:space="preserve"> PAGEREF _Toc14855 \h </w:instrText>
          </w:r>
          <w:r>
            <w:fldChar w:fldCharType="separate"/>
          </w:r>
          <w:r>
            <w:t>26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_Toc7532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bCs w:val="0"/>
              <w:kern w:val="0"/>
              <w:szCs w:val="32"/>
              <w:lang w:val="en-US" w:eastAsia="zh-CN"/>
            </w:rPr>
            <w:t>五、评价结论及措施</w:t>
          </w:r>
          <w:r>
            <w:tab/>
          </w:r>
          <w:r>
            <w:fldChar w:fldCharType="begin"/>
          </w:r>
          <w:r>
            <w:instrText xml:space="preserve"> PAGEREF _Toc7532 \h </w:instrText>
          </w:r>
          <w:r>
            <w:fldChar w:fldCharType="separate"/>
          </w:r>
          <w:r>
            <w:t>30</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_Toc4205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kern w:val="0"/>
              <w:szCs w:val="32"/>
              <w:highlight w:val="none"/>
              <w:shd w:val="clear" w:color="auto" w:fill="FFFFFF"/>
              <w:lang w:val="zh-CN"/>
            </w:rPr>
            <w:t>附件</w:t>
          </w:r>
          <w:r>
            <w:rPr>
              <w:rFonts w:hint="default" w:ascii="Times New Roman" w:hAnsi="Times New Roman" w:eastAsia="黑体" w:cs="Times New Roman"/>
              <w:kern w:val="0"/>
              <w:szCs w:val="32"/>
              <w:highlight w:val="none"/>
              <w:shd w:val="clear" w:color="auto" w:fill="FFFFFF"/>
              <w:lang w:val="en-US" w:eastAsia="zh-CN"/>
            </w:rPr>
            <w:t>2</w:t>
          </w:r>
          <w:r>
            <w:tab/>
          </w:r>
          <w:r>
            <w:fldChar w:fldCharType="begin"/>
          </w:r>
          <w:r>
            <w:instrText xml:space="preserve"> PAGEREF _Toc4205 \h </w:instrText>
          </w:r>
          <w:r>
            <w:fldChar w:fldCharType="separate"/>
          </w:r>
          <w:r>
            <w:t>33</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_Toc22860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bCs w:val="0"/>
              <w:kern w:val="0"/>
              <w:szCs w:val="32"/>
              <w:lang w:val="en-US" w:eastAsia="zh-CN"/>
            </w:rPr>
            <w:t>一、项目概况</w:t>
          </w:r>
          <w:r>
            <w:tab/>
          </w:r>
          <w:r>
            <w:fldChar w:fldCharType="begin"/>
          </w:r>
          <w:r>
            <w:instrText xml:space="preserve"> PAGEREF _Toc22860 \h </w:instrText>
          </w:r>
          <w:r>
            <w:fldChar w:fldCharType="separate"/>
          </w:r>
          <w:r>
            <w:t>33</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_Toc27836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bCs w:val="0"/>
              <w:kern w:val="0"/>
              <w:szCs w:val="32"/>
              <w:lang w:val="en-US" w:eastAsia="zh-CN"/>
            </w:rPr>
            <w:t>二、项目实施及管理情况</w:t>
          </w:r>
          <w:r>
            <w:tab/>
          </w:r>
          <w:r>
            <w:fldChar w:fldCharType="begin"/>
          </w:r>
          <w:r>
            <w:instrText xml:space="preserve"> PAGEREF _Toc27836 \h </w:instrText>
          </w:r>
          <w:r>
            <w:fldChar w:fldCharType="separate"/>
          </w:r>
          <w:r>
            <w:t>34</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_Toc11574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bCs w:val="0"/>
              <w:kern w:val="0"/>
              <w:szCs w:val="32"/>
              <w:lang w:val="en-US" w:eastAsia="zh-CN"/>
            </w:rPr>
            <w:t>三、目标完成情况</w:t>
          </w:r>
          <w:r>
            <w:tab/>
          </w:r>
          <w:r>
            <w:fldChar w:fldCharType="begin"/>
          </w:r>
          <w:r>
            <w:instrText xml:space="preserve"> PAGEREF _Toc11574 \h </w:instrText>
          </w:r>
          <w:r>
            <w:fldChar w:fldCharType="separate"/>
          </w:r>
          <w:r>
            <w:t>36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_Toc27801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bCs w:val="0"/>
              <w:kern w:val="0"/>
              <w:szCs w:val="32"/>
              <w:lang w:val="en-US" w:eastAsia="zh-CN"/>
            </w:rPr>
            <w:t>四、项目效益情况</w:t>
          </w:r>
          <w:r>
            <w:tab/>
          </w:r>
          <w:r>
            <w:fldChar w:fldCharType="begin"/>
          </w:r>
          <w:r>
            <w:instrText xml:space="preserve"> PAGEREF _Toc27801 \h </w:instrText>
          </w:r>
          <w:r>
            <w:fldChar w:fldCharType="separate"/>
          </w:r>
          <w:r>
            <w:t>37</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_Toc6255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bCs w:val="0"/>
              <w:kern w:val="0"/>
              <w:szCs w:val="32"/>
              <w:lang w:val="en-US" w:eastAsia="zh-CN"/>
            </w:rPr>
            <w:t>五、评价结论及措施</w:t>
          </w:r>
          <w:r>
            <w:tab/>
          </w:r>
          <w:r>
            <w:fldChar w:fldCharType="begin"/>
          </w:r>
          <w:r>
            <w:instrText xml:space="preserve"> PAGEREF _Toc6255 \h </w:instrText>
          </w:r>
          <w:r>
            <w:fldChar w:fldCharType="separate"/>
          </w:r>
          <w:r>
            <w:t>37</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_Toc20894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kern w:val="0"/>
              <w:szCs w:val="32"/>
              <w:highlight w:val="none"/>
              <w:shd w:val="clear" w:color="auto" w:fill="FFFFFF"/>
              <w:lang w:val="en-US" w:eastAsia="zh-CN"/>
            </w:rPr>
            <w:t>一、项目概况</w:t>
          </w:r>
          <w:r>
            <w:tab/>
          </w:r>
          <w:r>
            <w:fldChar w:fldCharType="begin"/>
          </w:r>
          <w:r>
            <w:instrText xml:space="preserve"> PAGEREF _Toc20894 \h </w:instrText>
          </w:r>
          <w:r>
            <w:fldChar w:fldCharType="separate"/>
          </w:r>
          <w:r>
            <w:t>39</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_Toc16360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kern w:val="0"/>
              <w:szCs w:val="32"/>
              <w:highlight w:val="none"/>
              <w:shd w:val="clear" w:color="auto" w:fill="FFFFFF"/>
              <w:lang w:val="en-US" w:eastAsia="zh-CN"/>
            </w:rPr>
            <w:t>二、项目实施及管理情况</w:t>
          </w:r>
          <w:r>
            <w:tab/>
          </w:r>
          <w:r>
            <w:fldChar w:fldCharType="begin"/>
          </w:r>
          <w:r>
            <w:instrText xml:space="preserve"> PAGEREF _Toc16360 \h </w:instrText>
          </w:r>
          <w:r>
            <w:fldChar w:fldCharType="separate"/>
          </w:r>
          <w:r>
            <w:t>40</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_Toc30649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kern w:val="0"/>
              <w:szCs w:val="32"/>
              <w:highlight w:val="none"/>
              <w:shd w:val="clear" w:color="auto" w:fill="FFFFFF"/>
              <w:lang w:val="en-US" w:eastAsia="zh-CN"/>
            </w:rPr>
            <w:t>三、目标完成情况</w:t>
          </w:r>
          <w:r>
            <w:tab/>
          </w:r>
          <w:r>
            <w:fldChar w:fldCharType="begin"/>
          </w:r>
          <w:r>
            <w:instrText xml:space="preserve"> PAGEREF _Toc30649 \h </w:instrText>
          </w:r>
          <w:r>
            <w:fldChar w:fldCharType="separate"/>
          </w:r>
          <w:r>
            <w:t>43</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_Toc6061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kern w:val="0"/>
              <w:szCs w:val="32"/>
              <w:highlight w:val="none"/>
              <w:shd w:val="clear" w:color="auto" w:fill="FFFFFF"/>
              <w:lang w:val="en-US" w:eastAsia="zh-CN"/>
            </w:rPr>
            <w:t>四、项目效益情况</w:t>
          </w:r>
          <w:r>
            <w:tab/>
          </w:r>
          <w:r>
            <w:fldChar w:fldCharType="begin"/>
          </w:r>
          <w:r>
            <w:instrText xml:space="preserve"> PAGEREF _Toc6061 \h </w:instrText>
          </w:r>
          <w:r>
            <w:fldChar w:fldCharType="separate"/>
          </w:r>
          <w:r>
            <w:t>43</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_Toc13127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kern w:val="0"/>
              <w:szCs w:val="32"/>
              <w:highlight w:val="none"/>
              <w:shd w:val="clear" w:color="auto" w:fill="FFFFFF"/>
              <w:lang w:val="en-US" w:eastAsia="zh-CN"/>
            </w:rPr>
            <w:t>五、评价结论及措施</w:t>
          </w:r>
          <w:r>
            <w:tab/>
          </w:r>
          <w:r>
            <w:fldChar w:fldCharType="begin"/>
          </w:r>
          <w:r>
            <w:instrText xml:space="preserve"> PAGEREF _Toc13127 \h </w:instrText>
          </w:r>
          <w:r>
            <w:fldChar w:fldCharType="separate"/>
          </w:r>
          <w:r>
            <w:t>43</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3"/>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_Toc14600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szCs w:val="44"/>
              <w:highlight w:val="none"/>
            </w:rPr>
            <w:t>第</w:t>
          </w:r>
          <w:r>
            <w:rPr>
              <w:rFonts w:hint="default" w:ascii="Times New Roman" w:hAnsi="Times New Roman" w:eastAsia="黑体" w:cs="Times New Roman"/>
              <w:highlight w:val="none"/>
            </w:rPr>
            <w:t>五部分 附表</w:t>
          </w:r>
          <w:r>
            <w:tab/>
          </w:r>
          <w:r>
            <w:fldChar w:fldCharType="begin"/>
          </w:r>
          <w:r>
            <w:instrText xml:space="preserve"> PAGEREF _Toc14600 \h </w:instrText>
          </w:r>
          <w:r>
            <w:fldChar w:fldCharType="separate"/>
          </w:r>
          <w:r>
            <w:t>46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_Toc32076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rPr>
            <w:t>一、收</w:t>
          </w:r>
          <w:r>
            <w:rPr>
              <w:rFonts w:hint="default" w:ascii="Times New Roman" w:hAnsi="Times New Roman" w:eastAsia="黑体" w:cs="Times New Roman"/>
              <w:bCs w:val="0"/>
              <w:highlight w:val="none"/>
            </w:rPr>
            <w:t>入支出决算总表</w:t>
          </w:r>
          <w:r>
            <w:tab/>
          </w:r>
          <w:r>
            <w:fldChar w:fldCharType="begin"/>
          </w:r>
          <w:r>
            <w:instrText xml:space="preserve"> PAGEREF _Toc32076 \h </w:instrText>
          </w:r>
          <w:r>
            <w:fldChar w:fldCharType="separate"/>
          </w:r>
          <w:r>
            <w:t>46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_Toc21086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rPr>
            <w:t>二、收入决算表</w:t>
          </w:r>
          <w:r>
            <w:tab/>
          </w:r>
          <w:r>
            <w:fldChar w:fldCharType="begin"/>
          </w:r>
          <w:r>
            <w:instrText xml:space="preserve"> PAGEREF _Toc21086 \h </w:instrText>
          </w:r>
          <w:r>
            <w:fldChar w:fldCharType="separate"/>
          </w:r>
          <w:r>
            <w:t>46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_Toc17981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rPr>
            <w:t>三、支出决算表</w:t>
          </w:r>
          <w:r>
            <w:tab/>
          </w:r>
          <w:r>
            <w:fldChar w:fldCharType="begin"/>
          </w:r>
          <w:r>
            <w:instrText xml:space="preserve"> PAGEREF _Toc17981 \h </w:instrText>
          </w:r>
          <w:r>
            <w:fldChar w:fldCharType="separate"/>
          </w:r>
          <w:r>
            <w:t>46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_Toc18257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rPr>
            <w:t>四、财政拨款收入支出决算总表</w:t>
          </w:r>
          <w:r>
            <w:tab/>
          </w:r>
          <w:r>
            <w:fldChar w:fldCharType="begin"/>
          </w:r>
          <w:r>
            <w:instrText xml:space="preserve"> PAGEREF _Toc18257 \h </w:instrText>
          </w:r>
          <w:r>
            <w:fldChar w:fldCharType="separate"/>
          </w:r>
          <w:r>
            <w:t>46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_Toc19502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rPr>
            <w:t>五、财政拨款支出决算明细表</w:t>
          </w:r>
          <w:r>
            <w:tab/>
          </w:r>
          <w:r>
            <w:fldChar w:fldCharType="begin"/>
          </w:r>
          <w:r>
            <w:instrText xml:space="preserve"> PAGEREF _Toc19502 \h </w:instrText>
          </w:r>
          <w:r>
            <w:fldChar w:fldCharType="separate"/>
          </w:r>
          <w:r>
            <w:t>46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_Toc2744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rPr>
            <w:t>六、一般公共预算财政拨款支出决算表</w:t>
          </w:r>
          <w:r>
            <w:tab/>
          </w:r>
          <w:r>
            <w:fldChar w:fldCharType="begin"/>
          </w:r>
          <w:r>
            <w:instrText xml:space="preserve"> PAGEREF _Toc2744 \h </w:instrText>
          </w:r>
          <w:r>
            <w:fldChar w:fldCharType="separate"/>
          </w:r>
          <w:r>
            <w:t>46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_Toc30568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rPr>
            <w:t>七、一般公共预算财政拨款支出决算明细表</w:t>
          </w:r>
          <w:r>
            <w:tab/>
          </w:r>
          <w:r>
            <w:fldChar w:fldCharType="begin"/>
          </w:r>
          <w:r>
            <w:instrText xml:space="preserve"> PAGEREF _Toc30568 \h </w:instrText>
          </w:r>
          <w:r>
            <w:fldChar w:fldCharType="separate"/>
          </w:r>
          <w:r>
            <w:t>46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_Toc18778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rPr>
            <w:t>八、一般公共预算财政拨款基本支出决算表</w:t>
          </w:r>
          <w:r>
            <w:tab/>
          </w:r>
          <w:r>
            <w:fldChar w:fldCharType="begin"/>
          </w:r>
          <w:r>
            <w:instrText xml:space="preserve"> PAGEREF _Toc18778 \h </w:instrText>
          </w:r>
          <w:r>
            <w:fldChar w:fldCharType="separate"/>
          </w:r>
          <w:r>
            <w:t>46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_Toc6321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rPr>
            <w:t>九、一般公共预算财政拨款项目支出决算表</w:t>
          </w:r>
          <w:r>
            <w:tab/>
          </w:r>
          <w:r>
            <w:fldChar w:fldCharType="begin"/>
          </w:r>
          <w:r>
            <w:instrText xml:space="preserve"> PAGEREF _Toc6321 \h </w:instrText>
          </w:r>
          <w:r>
            <w:fldChar w:fldCharType="separate"/>
          </w:r>
          <w:r>
            <w:t>46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_Toc29592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rPr>
            <w:t>十、政府性基金预算财政拨款收入支出决算表</w:t>
          </w:r>
          <w:r>
            <w:tab/>
          </w:r>
          <w:r>
            <w:fldChar w:fldCharType="begin"/>
          </w:r>
          <w:r>
            <w:instrText xml:space="preserve"> PAGEREF _Toc29592 \h </w:instrText>
          </w:r>
          <w:r>
            <w:fldChar w:fldCharType="separate"/>
          </w:r>
          <w:r>
            <w:t>46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_Toc32458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rPr>
            <w:t>十一、国有资本经营预算</w:t>
          </w:r>
          <w:r>
            <w:rPr>
              <w:rFonts w:hint="default" w:ascii="Times New Roman" w:hAnsi="Times New Roman" w:eastAsia="黑体" w:cs="Times New Roman"/>
              <w:highlight w:val="none"/>
              <w:lang w:eastAsia="zh-CN"/>
            </w:rPr>
            <w:t>财政拨款收入</w:t>
          </w:r>
          <w:r>
            <w:rPr>
              <w:rFonts w:hint="default" w:ascii="Times New Roman" w:hAnsi="Times New Roman" w:eastAsia="黑体" w:cs="Times New Roman"/>
              <w:highlight w:val="none"/>
            </w:rPr>
            <w:t>支出决算表</w:t>
          </w:r>
          <w:r>
            <w:tab/>
          </w:r>
          <w:r>
            <w:fldChar w:fldCharType="begin"/>
          </w:r>
          <w:r>
            <w:instrText xml:space="preserve"> PAGEREF _Toc32458 \h </w:instrText>
          </w:r>
          <w:r>
            <w:fldChar w:fldCharType="separate"/>
          </w:r>
          <w:r>
            <w:t>46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_Toc25971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rPr>
            <w:t>十二、</w:t>
          </w:r>
          <w:r>
            <w:rPr>
              <w:rFonts w:hint="default" w:ascii="Times New Roman" w:hAnsi="Times New Roman" w:eastAsia="黑体" w:cs="Times New Roman"/>
              <w:highlight w:val="none"/>
              <w:lang w:eastAsia="zh-CN"/>
            </w:rPr>
            <w:t>国有资本经营预算财政拨款支出决算表</w:t>
          </w:r>
          <w:r>
            <w:tab/>
          </w:r>
          <w:r>
            <w:fldChar w:fldCharType="begin"/>
          </w:r>
          <w:r>
            <w:instrText xml:space="preserve"> PAGEREF _Toc25971 \h </w:instrText>
          </w:r>
          <w:r>
            <w:fldChar w:fldCharType="separate"/>
          </w:r>
          <w:r>
            <w:t>46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tabs>
              <w:tab w:val="right" w:leader="dot" w:pos="8845"/>
              <w:tab w:val="clear" w:pos="8296"/>
            </w:tabs>
          </w:pPr>
          <w:r>
            <w:rPr>
              <w:rFonts w:hint="default" w:ascii="Times New Roman" w:hAnsi="Times New Roman" w:eastAsia="楷体_GB2312" w:cs="Times New Roman"/>
              <w:color w:val="auto"/>
              <w:szCs w:val="32"/>
              <w:highlight w:val="none"/>
              <w:lang w:val="en-US" w:eastAsia="zh-CN"/>
            </w:rPr>
            <w:fldChar w:fldCharType="begin"/>
          </w:r>
          <w:r>
            <w:rPr>
              <w:rFonts w:hint="default" w:ascii="Times New Roman" w:hAnsi="Times New Roman" w:eastAsia="楷体_GB2312" w:cs="Times New Roman"/>
              <w:szCs w:val="32"/>
              <w:highlight w:val="none"/>
              <w:lang w:val="en-US" w:eastAsia="zh-CN"/>
            </w:rPr>
            <w:instrText xml:space="preserve"> HYPERLINK \l _Toc17648 </w:instrText>
          </w:r>
          <w:r>
            <w:rPr>
              <w:rFonts w:hint="default" w:ascii="Times New Roman" w:hAnsi="Times New Roman" w:eastAsia="楷体_GB2312" w:cs="Times New Roman"/>
              <w:szCs w:val="32"/>
              <w:highlight w:val="none"/>
              <w:lang w:val="en-US" w:eastAsia="zh-CN"/>
            </w:rPr>
            <w:fldChar w:fldCharType="separate"/>
          </w:r>
          <w:r>
            <w:rPr>
              <w:rFonts w:hint="default" w:ascii="Times New Roman" w:hAnsi="Times New Roman" w:eastAsia="黑体" w:cs="Times New Roman"/>
              <w:highlight w:val="none"/>
            </w:rPr>
            <w:t>十三、</w:t>
          </w:r>
          <w:r>
            <w:rPr>
              <w:rFonts w:hint="default" w:ascii="Times New Roman" w:hAnsi="Times New Roman" w:eastAsia="黑体" w:cs="Times New Roman"/>
              <w:highlight w:val="none"/>
              <w:lang w:eastAsia="zh-CN"/>
            </w:rPr>
            <w:t>财政拨款“三公”经费支出决算表</w:t>
          </w:r>
          <w:r>
            <w:tab/>
          </w:r>
          <w:r>
            <w:fldChar w:fldCharType="begin"/>
          </w:r>
          <w:r>
            <w:instrText xml:space="preserve"> PAGEREF _Toc17648 \h </w:instrText>
          </w:r>
          <w:r>
            <w:fldChar w:fldCharType="separate"/>
          </w:r>
          <w:r>
            <w:t>46</w:t>
          </w:r>
          <w:r>
            <w:fldChar w:fldCharType="end"/>
          </w:r>
          <w:r>
            <w:rPr>
              <w:rFonts w:hint="default" w:ascii="Times New Roman" w:hAnsi="Times New Roman" w:eastAsia="楷体_GB2312" w:cs="Times New Roman"/>
              <w:color w:val="auto"/>
              <w:szCs w:val="32"/>
              <w:highlight w:val="none"/>
              <w:lang w:val="en-US"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lef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Cs w:val="32"/>
              <w:highlight w:val="none"/>
              <w:lang w:val="en-US" w:eastAsia="zh-CN"/>
            </w:rPr>
            <w:fldChar w:fldCharType="end"/>
          </w:r>
        </w:p>
      </w:sdtContent>
    </w:sdt>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Times New Roman" w:hAnsi="Times New Roman" w:cs="Times New Roman"/>
          <w:color w:val="auto"/>
          <w:sz w:val="32"/>
          <w:szCs w:val="32"/>
          <w:highlight w:val="none"/>
        </w:rPr>
      </w:pPr>
      <w:bookmarkStart w:id="12" w:name="_Toc15377196"/>
      <w:bookmarkStart w:id="13" w:name="_Toc15396599"/>
      <w:r>
        <w:rPr>
          <w:rFonts w:hint="default" w:ascii="Times New Roman" w:hAnsi="Times New Roman" w:cs="Times New Roman"/>
          <w:color w:val="auto"/>
          <w:sz w:val="32"/>
          <w:szCs w:val="32"/>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ind w:firstLine="2200" w:firstLineChars="500"/>
        <w:jc w:val="both"/>
        <w:textAlignment w:val="auto"/>
        <w:rPr>
          <w:rStyle w:val="30"/>
          <w:rFonts w:hint="default" w:ascii="Times New Roman" w:hAnsi="Times New Roman" w:eastAsia="方正小标宋_GBK" w:cs="Times New Roman"/>
          <w:b/>
          <w:bCs w:val="0"/>
          <w:color w:val="auto"/>
          <w:highlight w:val="none"/>
        </w:rPr>
      </w:pPr>
      <w:bookmarkStart w:id="14" w:name="_Toc18654"/>
      <w:r>
        <w:rPr>
          <w:rFonts w:hint="default" w:ascii="Times New Roman" w:hAnsi="Times New Roman" w:eastAsia="方正小标宋_GBK" w:cs="Times New Roman"/>
          <w:b w:val="0"/>
          <w:color w:val="auto"/>
          <w:highlight w:val="none"/>
        </w:rPr>
        <w:t xml:space="preserve">第一部分 </w:t>
      </w:r>
      <w:r>
        <w:rPr>
          <w:rStyle w:val="30"/>
          <w:rFonts w:hint="default" w:ascii="Times New Roman" w:hAnsi="Times New Roman" w:eastAsia="方正小标宋_GBK" w:cs="Times New Roman"/>
          <w:b w:val="0"/>
          <w:bCs w:val="0"/>
          <w:color w:val="auto"/>
          <w:highlight w:val="none"/>
        </w:rPr>
        <w:t>部门概况</w:t>
      </w:r>
      <w:bookmarkEnd w:id="12"/>
      <w:bookmarkEnd w:id="13"/>
      <w:bookmarkEnd w:id="14"/>
    </w:p>
    <w:p>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黑体" w:cs="Times New Roman"/>
          <w:sz w:val="32"/>
          <w:szCs w:val="32"/>
          <w:lang w:eastAsia="zh-CN"/>
        </w:rPr>
      </w:pPr>
      <w:bookmarkStart w:id="15" w:name="_Toc2321"/>
      <w:r>
        <w:rPr>
          <w:rFonts w:hint="default" w:ascii="Times New Roman" w:hAnsi="Times New Roman" w:eastAsia="黑体" w:cs="Times New Roman"/>
          <w:sz w:val="32"/>
          <w:szCs w:val="32"/>
          <w:lang w:eastAsia="zh-CN"/>
        </w:rPr>
        <w:t>一、部门职责</w:t>
      </w:r>
      <w:bookmarkEnd w:id="15"/>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1.贯彻执行国家、省、州有关城市管理及城市管理行政执法的法律、法规和政策；组织草拟全县环境卫生、市容环境管理的地方规章草案，制定有关政策措施。</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编制城市管理及城市管理行政执法工作的中长期规划和年度计划；编制城市管理工作的中长期计划和年度计划；会同有关部门对市容环境、市政设施的行政事业性收费进行监督管理；负责数字化城市管理模式的组织、试点和实施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城市综合环境整治的政策、法律、法规和标准的贯彻执行。负责管理城市市容环境卫生工作，依法对城市环境卫生实施监督检查；参与市容环卫设施建设项目的方案审查和实施的监督管理，参与新建、改扩建项目中的市容环卫配套设施方案的审核和监督管理，负责管理城市道路的冲洗和生活垃圾、建筑垃圾的收集、清运、处置，负责机动车清洗、环境卫生的行业管理；负责建筑垃圾处置场地的规划、定点和监督管理。负责县城卫生清扫、保洁、排污管理、环卫设施的管理和维护等市容市貌的日常管理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4.负责对临时占用城乡城市道路的行政监督管理；负责对利用城市道路设置建筑物的监督管理。</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5.负责停车场、菜市场建设中长期规划布点并组织实施</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负责会同有关部门对临时占道机动车、非机动车停车场的规划定点工作；负责政府投资建设的机动车停车场的日常管理；负责清理取缔占道农贸市场、夜市、大棚市场、摊区的组织工作。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城市户外广告总体规划实施的协调，定点设置的审查和监督管理；负责对户外广告和招牌的设置管理。对利用园林绿化设施、市政附属设施、建筑物、构筑物等占用城市空间而影响市容市貌的行为进行监督管理；负责城区路灯和城市夜景灯饰的设置及监督管理；组织、协调、检查城市照明工程建设。</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负责城市道路、桥梁等市政基础设施管理和养护维修管理；负责对城市道路挖掘、依附城市桥梁埋设或架设各种管线、杆线等设施以及超重车过路(桥面)的行政监督管理；参与城市道、路、桥梁设施重点工程建设、竣工移交。</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8.会同相关部门拟订城乡城市管理工作目标，受理居民有关城乡城市管理、城乡城市管理行政执法方面的来信来访和群众投诉。</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9.负责组织城乡市容环卫的招商引资工作；负责城乡市容环境管理的科学研究和社会宣传教育工作。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集中行使市容环境卫生管理、城市绿化管理、市政管理方面法律、法规、规章规定的行政处罚权。集中行使城市规划管理方面法律、法规、规章规定的对未经批准擅自修建建筑物、构筑物以及临街房屋破墙开店行为的行政处罚权；依法强制拆除不符合城乡城市容貌标准、环境卫生标准的建筑物。集中行使城乡环境保护管理方面法律、法规、规章规定的对社会生活噪声污染的行政处罚权，对饮食服务业油烟污染的行政处罚权，对向大气排放粉尘。恶臭气体或者其他含有有毒物质气体的行政处罚权，对违法排放城市生活污水的行政处罚权，对违法堆放、倾倒固体废物行为的行政处罚权。集中行使对无</w:t>
      </w:r>
      <w:r>
        <w:rPr>
          <w:rFonts w:hint="eastAsia" w:eastAsia="仿宋_GB2312" w:cs="Times New Roman"/>
          <w:sz w:val="32"/>
          <w:szCs w:val="32"/>
          <w:lang w:eastAsia="zh-CN"/>
        </w:rPr>
        <w:t>营业执</w:t>
      </w:r>
      <w:r>
        <w:rPr>
          <w:rFonts w:hint="default" w:ascii="Times New Roman" w:hAnsi="Times New Roman" w:eastAsia="仿宋_GB2312" w:cs="Times New Roman"/>
          <w:sz w:val="32"/>
          <w:szCs w:val="32"/>
        </w:rPr>
        <w:t>照商贩的行政处罚权。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11.负责城市管理综合执法的组织、指挥、协调、监督、检查工作； 对城市管理行政执法人员处罚不当和应受理而不受理的行为，作出更正或直接查处。</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负责对全县城乡城市管理综合行政执法工作的业务指导；负责对城区城市管理行政执法人员及义务协管员进行业务培训；统一制定城市管理综合城市管理行政执法队伍的装各标准和执法标志；组织专项、重大执法活动。</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13.依据《中华人民共和国城乡规划法》等有关法规和规章，对监察范围内违反城市规划的建设用地和建设方面的违法行为进行监察。</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14.对擅自占用、挖掘、损坏城市道路；损坏、危害路灯、防洪堤坝、排水及污水处理设施方面的违法行为进行监察。</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15.对损坏、危害城市供水、公共设施、场地、破坏城市市容方面的违法行为进行监察。</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16.对擅自占用、损坏、拆除公共设施、场地、破坏城市市容方面的违法行为进行监察，负责对街道及亮化设施的管理与维护。</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17.对损毁城市绿地和花草树木园林绿化设施方面的违法行为进行监察。</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18.对乱堆乱放建筑材料和施工扰民方面的违法行为进行监察。</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19.对</w:t>
      </w:r>
      <w:r>
        <w:rPr>
          <w:rFonts w:hint="default"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涉及城市建设方面的违法行为进行监察并按规定程序进行查处。</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20.对物业公司和保洁公司进行规范化管理。</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21.承办县政府交办的其他事项。</w:t>
      </w:r>
    </w:p>
    <w:p>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黑体" w:cs="Times New Roman"/>
          <w:sz w:val="32"/>
          <w:szCs w:val="32"/>
        </w:rPr>
      </w:pPr>
      <w:bookmarkStart w:id="16" w:name="_Toc28872"/>
      <w:bookmarkStart w:id="17" w:name="_Toc15377200"/>
      <w:bookmarkStart w:id="18" w:name="_Toc15396601"/>
      <w:r>
        <w:rPr>
          <w:rFonts w:hint="default" w:ascii="Times New Roman" w:hAnsi="Times New Roman" w:eastAsia="黑体" w:cs="Times New Roman"/>
          <w:sz w:val="32"/>
          <w:szCs w:val="32"/>
        </w:rPr>
        <w:t>二、机构设置</w:t>
      </w:r>
      <w:bookmarkEnd w:id="16"/>
      <w:bookmarkEnd w:id="17"/>
      <w:bookmarkEnd w:id="18"/>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壤塘县城乡文明创建和城乡管理综合服务中心无</w:t>
      </w:r>
      <w:r>
        <w:rPr>
          <w:rFonts w:hint="default" w:ascii="Times New Roman" w:hAnsi="Times New Roman" w:eastAsia="仿宋_GB2312" w:cs="Times New Roman"/>
          <w:sz w:val="32"/>
          <w:szCs w:val="32"/>
        </w:rPr>
        <w:t>下属单位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本单位属于财政补助事业单位。</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bookmarkStart w:id="19" w:name="_Toc15377204"/>
      <w:bookmarkStart w:id="20" w:name="_Toc15396602"/>
      <w:r>
        <w:rPr>
          <w:rFonts w:hint="default" w:ascii="Times New Roman" w:hAnsi="Times New Roman" w:eastAsia="仿宋_GB2312" w:cs="Times New Roman"/>
          <w:sz w:val="32"/>
          <w:szCs w:val="32"/>
        </w:rPr>
        <w:br w:type="page"/>
      </w:r>
    </w:p>
    <w:p>
      <w:pPr>
        <w:pStyle w:val="3"/>
        <w:keepNext/>
        <w:keepLines/>
        <w:pageBreakBefore w:val="0"/>
        <w:widowControl w:val="0"/>
        <w:kinsoku/>
        <w:wordWrap/>
        <w:overflowPunct/>
        <w:topLinePunct w:val="0"/>
        <w:autoSpaceDE/>
        <w:autoSpaceDN/>
        <w:bidi w:val="0"/>
        <w:adjustRightInd/>
        <w:snapToGrid/>
        <w:spacing w:before="0" w:after="0" w:line="660" w:lineRule="exact"/>
        <w:ind w:firstLine="880" w:firstLineChars="200"/>
        <w:jc w:val="center"/>
        <w:textAlignment w:val="auto"/>
        <w:rPr>
          <w:rFonts w:hint="default" w:ascii="Times New Roman" w:hAnsi="Times New Roman" w:eastAsia="方正小标宋_GBK" w:cs="Times New Roman"/>
          <w:b w:val="0"/>
          <w:color w:val="auto"/>
          <w:highlight w:val="none"/>
        </w:rPr>
      </w:pPr>
      <w:bookmarkStart w:id="21" w:name="_Toc2850"/>
      <w:r>
        <w:rPr>
          <w:rFonts w:hint="default" w:ascii="Times New Roman" w:hAnsi="Times New Roman" w:eastAsia="方正小标宋_GBK" w:cs="Times New Roman"/>
          <w:b w:val="0"/>
          <w:color w:val="auto"/>
          <w:highlight w:val="none"/>
        </w:rPr>
        <w:t xml:space="preserve">第二部分 </w:t>
      </w:r>
      <w:r>
        <w:rPr>
          <w:rFonts w:hint="default" w:ascii="Times New Roman" w:hAnsi="Times New Roman" w:eastAsia="方正小标宋_GBK" w:cs="Times New Roman"/>
          <w:b w:val="0"/>
          <w:color w:val="auto"/>
          <w:highlight w:val="none"/>
          <w:lang w:val="en-US" w:eastAsia="zh-CN"/>
        </w:rPr>
        <w:t>2022年度</w:t>
      </w:r>
      <w:r>
        <w:rPr>
          <w:rFonts w:hint="default" w:ascii="Times New Roman" w:hAnsi="Times New Roman" w:eastAsia="方正小标宋_GBK" w:cs="Times New Roman"/>
          <w:b w:val="0"/>
          <w:color w:val="auto"/>
          <w:highlight w:val="none"/>
        </w:rPr>
        <w:t>部门决算情况说明</w:t>
      </w:r>
      <w:bookmarkEnd w:id="19"/>
      <w:bookmarkEnd w:id="20"/>
      <w:bookmarkEnd w:id="21"/>
    </w:p>
    <w:p>
      <w:pPr>
        <w:pStyle w:val="29"/>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22" w:name="_Toc15396603"/>
      <w:bookmarkStart w:id="23" w:name="_Toc15377205"/>
      <w:bookmarkStart w:id="24" w:name="_Toc10308"/>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highlight w:val="none"/>
        </w:rPr>
        <w:t>入支出决算总体情况说明</w:t>
      </w:r>
      <w:bookmarkEnd w:id="22"/>
      <w:bookmarkEnd w:id="23"/>
      <w:bookmarkEnd w:id="24"/>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年度收入总计</w:t>
      </w:r>
      <w:r>
        <w:rPr>
          <w:rFonts w:hint="default" w:ascii="Times New Roman" w:hAnsi="Times New Roman" w:eastAsia="仿宋_GB2312" w:cs="Times New Roman"/>
          <w:sz w:val="32"/>
          <w:szCs w:val="32"/>
          <w:lang w:val="en-US" w:eastAsia="zh-CN"/>
        </w:rPr>
        <w:t>1142.21</w:t>
      </w:r>
      <w:r>
        <w:rPr>
          <w:rFonts w:hint="default" w:ascii="Times New Roman" w:hAnsi="Times New Roman" w:eastAsia="仿宋_GB2312" w:cs="Times New Roman"/>
          <w:sz w:val="32"/>
          <w:szCs w:val="32"/>
        </w:rPr>
        <w:t>万元，与20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年相比，增加</w:t>
      </w:r>
      <w:r>
        <w:rPr>
          <w:rFonts w:hint="default" w:ascii="Times New Roman" w:hAnsi="Times New Roman" w:eastAsia="仿宋_GB2312" w:cs="Times New Roman"/>
          <w:sz w:val="32"/>
          <w:szCs w:val="32"/>
          <w:lang w:val="en-US" w:eastAsia="zh-CN"/>
        </w:rPr>
        <w:t>40.04</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3.63</w:t>
      </w:r>
      <w:r>
        <w:rPr>
          <w:rFonts w:hint="default" w:ascii="Times New Roman" w:hAnsi="Times New Roman" w:eastAsia="仿宋_GB2312" w:cs="Times New Roman"/>
          <w:sz w:val="32"/>
          <w:szCs w:val="32"/>
        </w:rPr>
        <w:t>%。主要变动原因</w:t>
      </w:r>
      <w:r>
        <w:rPr>
          <w:rFonts w:hint="default" w:ascii="Times New Roman" w:hAnsi="Times New Roman" w:eastAsia="仿宋_GB2312" w:cs="Times New Roman"/>
          <w:sz w:val="32"/>
          <w:szCs w:val="32"/>
          <w:lang w:val="en-US" w:eastAsia="zh-CN"/>
        </w:rPr>
        <w:t>是当年行政事业数据分开报送，收入支出增加。</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w:t>
      </w:r>
      <w:r>
        <w:rPr>
          <w:rFonts w:hint="default" w:ascii="Times New Roman" w:hAnsi="Times New Roman" w:eastAsia="仿宋_GB2312" w:cs="Times New Roman"/>
          <w:sz w:val="32"/>
          <w:szCs w:val="32"/>
        </w:rPr>
        <w:t>支出总计</w:t>
      </w:r>
      <w:r>
        <w:rPr>
          <w:rFonts w:hint="default" w:ascii="Times New Roman" w:hAnsi="Times New Roman" w:eastAsia="仿宋_GB2312" w:cs="Times New Roman"/>
          <w:sz w:val="32"/>
          <w:szCs w:val="32"/>
          <w:lang w:val="en-US" w:eastAsia="zh-CN"/>
        </w:rPr>
        <w:t>2267.08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年相比，增加</w:t>
      </w:r>
      <w:r>
        <w:rPr>
          <w:rFonts w:hint="default" w:ascii="Times New Roman" w:hAnsi="Times New Roman" w:eastAsia="仿宋_GB2312" w:cs="Times New Roman"/>
          <w:sz w:val="32"/>
          <w:szCs w:val="32"/>
          <w:lang w:val="en-US" w:eastAsia="zh-CN"/>
        </w:rPr>
        <w:t>554.12</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32.35</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当年项目支出增加。</w:t>
      </w:r>
    </w:p>
    <w:p>
      <w:pPr>
        <w:pStyle w:val="20"/>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1304290</wp:posOffset>
                </wp:positionH>
                <wp:positionV relativeFrom="paragraph">
                  <wp:posOffset>3139440</wp:posOffset>
                </wp:positionV>
                <wp:extent cx="3263265" cy="292735"/>
                <wp:effectExtent l="0" t="0" r="13335" b="12065"/>
                <wp:wrapNone/>
                <wp:docPr id="10" name="文本框 10"/>
                <wp:cNvGraphicFramePr/>
                <a:graphic xmlns:a="http://schemas.openxmlformats.org/drawingml/2006/main">
                  <a:graphicData uri="http://schemas.microsoft.com/office/word/2010/wordprocessingShape">
                    <wps:wsp>
                      <wps:cNvSpPr txBox="true"/>
                      <wps:spPr>
                        <a:xfrm>
                          <a:off x="2529205" y="7143115"/>
                          <a:ext cx="3263265" cy="292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 xml:space="preserve">   收入                               支出</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02.7pt;margin-top:247.2pt;height:23.05pt;width:256.95pt;z-index:251660288;mso-width-relative:page;mso-height-relative:page;" fillcolor="#FFFFFF [3201]" filled="t" stroked="f" coordsize="21600,21600" o:gfxdata="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NCm0&#10;htYAAAALAQAADwAAAAAAAAABACAAAAA4AAAAZHJzL2Rvd25yZXYueG1sUEsBAhQAFAAAAAgAh07i&#10;QATeefNHAgAAYQQAAA4AAAAAAAAAAQAgAAAAOwEAAGRycy9lMm9Eb2MueG1sUEsFBgAAAAAGAAYA&#10;WQEAAPQFAAAAAA==&#10;">
                <v:fill on="t" focussize="0,0"/>
                <v:stroke on="f" weight="0.5pt"/>
                <v:imagedata o:title=""/>
                <o:lock v:ext="edit" aspectratio="f"/>
                <v:textbox>
                  <w:txbxContent>
                    <w:p>
                      <w:pPr>
                        <w:rPr>
                          <w:rFonts w:hint="default" w:eastAsia="宋体"/>
                          <w:lang w:val="en-US" w:eastAsia="zh-CN"/>
                        </w:rPr>
                      </w:pPr>
                      <w:r>
                        <w:rPr>
                          <w:rFonts w:hint="eastAsia"/>
                          <w:lang w:val="en-US" w:eastAsia="zh-CN"/>
                        </w:rPr>
                        <w:t xml:space="preserve">   收入                               支出</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1297305</wp:posOffset>
                </wp:positionH>
                <wp:positionV relativeFrom="paragraph">
                  <wp:posOffset>2502535</wp:posOffset>
                </wp:positionV>
                <wp:extent cx="266700" cy="468630"/>
                <wp:effectExtent l="0" t="0" r="0" b="0"/>
                <wp:wrapNone/>
                <wp:docPr id="9" name="文本框 9"/>
                <wp:cNvGraphicFramePr/>
                <a:graphic xmlns:a="http://schemas.openxmlformats.org/drawingml/2006/main">
                  <a:graphicData uri="http://schemas.microsoft.com/office/word/2010/wordprocessingShape">
                    <wps:wsp>
                      <wps:cNvSpPr txBox="true"/>
                      <wps:spPr>
                        <a:xfrm>
                          <a:off x="2440305" y="7005955"/>
                          <a:ext cx="266700" cy="468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eastAsia="宋体"/>
                                <w:lang w:val="en-US" w:eastAsia="zh-CN"/>
                              </w:rPr>
                            </w:pPr>
                          </w:p>
                        </w:txbxContent>
                      </wps:txbx>
                      <wps:bodyPr rot="0" spcFirstLastPara="0" vertOverflow="overflow" horzOverflow="overflow" vert="eaVert" wrap="square" lIns="46800" tIns="46800" rIns="46800" bIns="46800" numCol="1" spcCol="0" rtlCol="0" fromWordArt="false" anchor="ctr" anchorCtr="false" forceAA="false" compatLnSpc="true">
                        <a:noAutofit/>
                      </wps:bodyPr>
                    </wps:wsp>
                  </a:graphicData>
                </a:graphic>
              </wp:anchor>
            </w:drawing>
          </mc:Choice>
          <mc:Fallback>
            <w:pict>
              <v:shape id="_x0000_s1026" o:spid="_x0000_s1026" o:spt="202" type="#_x0000_t202" style="position:absolute;left:0pt;margin-left:102.15pt;margin-top:197.05pt;height:36.9pt;width:21pt;z-index:251659264;v-text-anchor:middle;mso-width-relative:page;mso-height-relative:page;" filled="f" stroked="f" coordsize="21600,21600" o:gfxdata="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EhAP3/YAAAACwEAAA8AAAAAAAAAAQAgAAAA&#10;OAAAAGRycy9kb3ducmV2LnhtbFBLAQIUABQAAAAIAIdO4kCiKdExLgIAADkEAAAOAAAAAAAAAAEA&#10;IAAAAD0BAABkcnMvZTJvRG9jLnhtbFBLBQYAAAAABgAGAFkBAADdBQAAAAA=&#10;">
                <v:fill on="f" focussize="0,0"/>
                <v:stroke on="f" weight="0.5pt"/>
                <v:imagedata o:title=""/>
                <o:lock v:ext="edit" aspectratio="f"/>
                <v:textbox inset="1.3mm,1.3mm,1.3mm,1.3mm" style="layout-flow:vertical-ideographic;">
                  <w:txbxContent>
                    <w:p>
                      <w:pPr>
                        <w:jc w:val="left"/>
                        <w:rPr>
                          <w:rFonts w:hint="eastAsia" w:eastAsia="宋体"/>
                          <w:lang w:val="en-US" w:eastAsia="zh-CN"/>
                        </w:rPr>
                      </w:pPr>
                    </w:p>
                  </w:txbxContent>
                </v:textbox>
              </v:shape>
            </w:pict>
          </mc:Fallback>
        </mc:AlternateContent>
      </w:r>
      <w:r>
        <w:rPr>
          <w:rFonts w:hint="default" w:ascii="Times New Roman" w:hAnsi="Times New Roman" w:eastAsia="仿宋" w:cs="Times New Roman"/>
          <w:color w:val="auto"/>
          <w:sz w:val="32"/>
          <w:szCs w:val="32"/>
          <w:highlight w:val="none"/>
          <w:lang w:eastAsia="zh-CN"/>
        </w:rPr>
        <w:drawing>
          <wp:inline distT="0" distB="0" distL="114300" distR="114300">
            <wp:extent cx="5256530" cy="3876040"/>
            <wp:effectExtent l="4445" t="4445" r="12065" b="571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（图1：收、支决算总计变动情况图）（柱状图）</w:t>
      </w:r>
    </w:p>
    <w:p>
      <w:pPr>
        <w:pStyle w:val="29"/>
        <w:numPr>
          <w:ilvl w:val="0"/>
          <w:numId w:val="0"/>
        </w:numPr>
        <w:spacing w:line="600" w:lineRule="exact"/>
        <w:ind w:firstLine="640" w:firstLineChars="200"/>
        <w:outlineLvl w:val="1"/>
        <w:rPr>
          <w:rStyle w:val="31"/>
          <w:rFonts w:hint="default" w:ascii="Times New Roman" w:hAnsi="Times New Roman" w:eastAsia="黑体" w:cs="Times New Roman"/>
          <w:b w:val="0"/>
          <w:color w:val="auto"/>
          <w:highlight w:val="none"/>
        </w:rPr>
      </w:pPr>
      <w:bookmarkStart w:id="25" w:name="_Toc15377206"/>
      <w:bookmarkStart w:id="26" w:name="_Toc10816"/>
      <w:bookmarkStart w:id="27" w:name="_Toc15396604"/>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highlight w:val="none"/>
        </w:rPr>
        <w:t>入决算情况说明</w:t>
      </w:r>
      <w:bookmarkEnd w:id="25"/>
      <w:bookmarkEnd w:id="26"/>
      <w:bookmarkEnd w:id="27"/>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年本年收入合计</w:t>
      </w:r>
      <w:r>
        <w:rPr>
          <w:rFonts w:hint="default" w:ascii="Times New Roman" w:hAnsi="Times New Roman" w:eastAsia="仿宋_GB2312" w:cs="Times New Roman"/>
          <w:sz w:val="32"/>
          <w:szCs w:val="32"/>
          <w:lang w:val="en-US" w:eastAsia="zh-CN"/>
        </w:rPr>
        <w:t>1142.21</w:t>
      </w:r>
      <w:r>
        <w:rPr>
          <w:rFonts w:hint="default" w:ascii="Times New Roman" w:hAnsi="Times New Roman" w:eastAsia="仿宋_GB2312" w:cs="Times New Roman"/>
          <w:sz w:val="32"/>
          <w:szCs w:val="32"/>
          <w:lang w:eastAsia="zh-CN"/>
        </w:rPr>
        <w:t>万元，其中：一般公共预算财政拨款收入</w:t>
      </w:r>
      <w:r>
        <w:rPr>
          <w:rFonts w:hint="default" w:ascii="Times New Roman" w:hAnsi="Times New Roman" w:eastAsia="仿宋_GB2312" w:cs="Times New Roman"/>
          <w:sz w:val="32"/>
          <w:szCs w:val="32"/>
          <w:lang w:val="en-US" w:eastAsia="zh-CN"/>
        </w:rPr>
        <w:t>1142.21</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100%。</w:t>
      </w:r>
    </w:p>
    <w:p>
      <w:pPr>
        <w:pStyle w:val="20"/>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drawing>
          <wp:inline distT="0" distB="0" distL="114300" distR="114300">
            <wp:extent cx="5256530" cy="2988310"/>
            <wp:effectExtent l="5080" t="4445" r="11430" b="952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（图2：收入决算结构图）（饼状图）</w:t>
      </w:r>
    </w:p>
    <w:p>
      <w:pPr>
        <w:pStyle w:val="29"/>
        <w:numPr>
          <w:ilvl w:val="0"/>
          <w:numId w:val="0"/>
        </w:numPr>
        <w:spacing w:line="600" w:lineRule="exact"/>
        <w:ind w:firstLine="640" w:firstLineChars="200"/>
        <w:outlineLvl w:val="1"/>
        <w:rPr>
          <w:rStyle w:val="31"/>
          <w:rFonts w:hint="default" w:ascii="Times New Roman" w:hAnsi="Times New Roman" w:eastAsia="黑体" w:cs="Times New Roman"/>
          <w:b w:val="0"/>
          <w:color w:val="auto"/>
          <w:highlight w:val="none"/>
        </w:rPr>
      </w:pPr>
      <w:bookmarkStart w:id="28" w:name="_Toc32336"/>
      <w:bookmarkStart w:id="29" w:name="_Toc15377207"/>
      <w:bookmarkStart w:id="30" w:name="_Toc15396605"/>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31"/>
          <w:rFonts w:hint="default" w:ascii="Times New Roman" w:hAnsi="Times New Roman" w:eastAsia="黑体" w:cs="Times New Roman"/>
          <w:b w:val="0"/>
          <w:color w:val="auto"/>
          <w:highlight w:val="none"/>
        </w:rPr>
        <w:t>出决算情况说明</w:t>
      </w:r>
      <w:bookmarkEnd w:id="28"/>
      <w:bookmarkEnd w:id="29"/>
      <w:bookmarkEnd w:id="30"/>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年本年支出合计</w:t>
      </w:r>
      <w:r>
        <w:rPr>
          <w:rFonts w:hint="default" w:ascii="Times New Roman" w:hAnsi="Times New Roman" w:eastAsia="仿宋_GB2312" w:cs="Times New Roman"/>
          <w:sz w:val="32"/>
          <w:szCs w:val="32"/>
          <w:lang w:val="en-US" w:eastAsia="zh-CN"/>
        </w:rPr>
        <w:t>2267.08</w:t>
      </w:r>
      <w:r>
        <w:rPr>
          <w:rFonts w:hint="default" w:ascii="Times New Roman" w:hAnsi="Times New Roman" w:eastAsia="仿宋_GB2312" w:cs="Times New Roman"/>
          <w:sz w:val="32"/>
          <w:szCs w:val="32"/>
          <w:lang w:eastAsia="zh-CN"/>
        </w:rPr>
        <w:t>万元，其中：基本支出</w:t>
      </w:r>
      <w:r>
        <w:rPr>
          <w:rFonts w:hint="default" w:ascii="Times New Roman" w:hAnsi="Times New Roman" w:eastAsia="仿宋_GB2312" w:cs="Times New Roman"/>
          <w:sz w:val="32"/>
          <w:szCs w:val="32"/>
          <w:lang w:val="en-US" w:eastAsia="zh-CN"/>
        </w:rPr>
        <w:t>444.9</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19.62</w:t>
      </w:r>
      <w:r>
        <w:rPr>
          <w:rFonts w:hint="default" w:ascii="Times New Roman" w:hAnsi="Times New Roman" w:eastAsia="仿宋_GB2312" w:cs="Times New Roman"/>
          <w:sz w:val="32"/>
          <w:szCs w:val="32"/>
          <w:lang w:eastAsia="zh-CN"/>
        </w:rPr>
        <w:t>%；项目支出</w:t>
      </w:r>
      <w:r>
        <w:rPr>
          <w:rFonts w:hint="default" w:ascii="Times New Roman" w:hAnsi="Times New Roman" w:eastAsia="仿宋_GB2312" w:cs="Times New Roman"/>
          <w:sz w:val="32"/>
          <w:szCs w:val="32"/>
          <w:lang w:val="en-US" w:eastAsia="zh-CN"/>
        </w:rPr>
        <w:t>1822.18</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80.38%</w:t>
      </w:r>
    </w:p>
    <w:p>
      <w:pPr>
        <w:pStyle w:val="20"/>
        <w:ind w:firstLine="420" w:firstLineChars="200"/>
        <w:rPr>
          <w:rFonts w:hint="default" w:ascii="Times New Roman" w:hAnsi="Times New Roman" w:eastAsia="宋体" w:cs="Times New Roman"/>
          <w:lang w:eastAsia="zh-CN"/>
        </w:rPr>
      </w:pPr>
      <w:r>
        <w:rPr>
          <w:rFonts w:hint="default" w:ascii="Times New Roman" w:hAnsi="Times New Roman" w:eastAsia="宋体" w:cs="Times New Roman"/>
          <w:lang w:eastAsia="zh-CN"/>
        </w:rPr>
        <w:drawing>
          <wp:inline distT="0" distB="0" distL="114300" distR="114300">
            <wp:extent cx="3952240" cy="1635125"/>
            <wp:effectExtent l="4445" t="4445" r="5715" b="635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（图3：支出决算结构图）（饼状图）</w:t>
      </w:r>
    </w:p>
    <w:p>
      <w:pPr>
        <w:spacing w:line="600" w:lineRule="exact"/>
        <w:ind w:firstLine="640" w:firstLineChars="200"/>
        <w:outlineLvl w:val="1"/>
        <w:rPr>
          <w:rStyle w:val="31"/>
          <w:rFonts w:hint="default" w:ascii="Times New Roman" w:hAnsi="Times New Roman" w:eastAsia="黑体" w:cs="Times New Roman"/>
          <w:b w:val="0"/>
          <w:color w:val="auto"/>
          <w:highlight w:val="none"/>
        </w:rPr>
      </w:pPr>
      <w:bookmarkStart w:id="31" w:name="_Toc15377208"/>
      <w:bookmarkStart w:id="32" w:name="_Toc386"/>
      <w:bookmarkStart w:id="33" w:name="_Toc15396606"/>
      <w:r>
        <w:rPr>
          <w:rFonts w:hint="default" w:ascii="Times New Roman" w:hAnsi="Times New Roman" w:eastAsia="黑体" w:cs="Times New Roman"/>
          <w:color w:val="auto"/>
          <w:sz w:val="32"/>
          <w:szCs w:val="32"/>
          <w:highlight w:val="none"/>
        </w:rPr>
        <w:t>四、财</w:t>
      </w:r>
      <w:r>
        <w:rPr>
          <w:rStyle w:val="31"/>
          <w:rFonts w:hint="default" w:ascii="Times New Roman" w:hAnsi="Times New Roman" w:eastAsia="黑体" w:cs="Times New Roman"/>
          <w:b w:val="0"/>
          <w:color w:val="auto"/>
          <w:highlight w:val="none"/>
        </w:rPr>
        <w:t>政拨款收入支出决算总体情况说明</w:t>
      </w:r>
      <w:bookmarkEnd w:id="31"/>
      <w:bookmarkEnd w:id="32"/>
      <w:bookmarkEnd w:id="33"/>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lang w:val="en-US" w:eastAsia="zh-CN"/>
        </w:rPr>
        <w:t>财政拨款</w:t>
      </w:r>
      <w:r>
        <w:rPr>
          <w:rFonts w:hint="default" w:ascii="Times New Roman" w:hAnsi="Times New Roman" w:eastAsia="仿宋_GB2312" w:cs="Times New Roman"/>
          <w:sz w:val="32"/>
          <w:szCs w:val="32"/>
          <w:lang w:eastAsia="zh-CN"/>
        </w:rPr>
        <w:t>收入总计</w:t>
      </w:r>
      <w:r>
        <w:rPr>
          <w:rFonts w:hint="default" w:ascii="Times New Roman" w:hAnsi="Times New Roman" w:eastAsia="仿宋_GB2312" w:cs="Times New Roman"/>
          <w:sz w:val="32"/>
          <w:szCs w:val="32"/>
          <w:lang w:val="en-US" w:eastAsia="zh-CN"/>
        </w:rPr>
        <w:t>1142.21</w:t>
      </w:r>
      <w:r>
        <w:rPr>
          <w:rFonts w:hint="default" w:ascii="Times New Roman" w:hAnsi="Times New Roman" w:eastAsia="仿宋_GB2312" w:cs="Times New Roman"/>
          <w:sz w:val="32"/>
          <w:szCs w:val="32"/>
          <w:lang w:eastAsia="zh-CN"/>
        </w:rPr>
        <w:t>万元，与20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eastAsia="zh-CN"/>
        </w:rPr>
        <w:t>年相比，增加</w:t>
      </w:r>
      <w:r>
        <w:rPr>
          <w:rFonts w:hint="default" w:ascii="Times New Roman" w:hAnsi="Times New Roman" w:eastAsia="仿宋_GB2312" w:cs="Times New Roman"/>
          <w:sz w:val="32"/>
          <w:szCs w:val="32"/>
          <w:lang w:val="en-US" w:eastAsia="zh-CN"/>
        </w:rPr>
        <w:t>40.04</w:t>
      </w:r>
      <w:r>
        <w:rPr>
          <w:rFonts w:hint="default" w:ascii="Times New Roman" w:hAnsi="Times New Roman" w:eastAsia="仿宋_GB2312" w:cs="Times New Roman"/>
          <w:sz w:val="32"/>
          <w:szCs w:val="32"/>
          <w:lang w:eastAsia="zh-CN"/>
        </w:rPr>
        <w:t>万元，增长</w:t>
      </w:r>
      <w:r>
        <w:rPr>
          <w:rFonts w:hint="default" w:ascii="Times New Roman" w:hAnsi="Times New Roman" w:eastAsia="仿宋_GB2312" w:cs="Times New Roman"/>
          <w:sz w:val="32"/>
          <w:szCs w:val="32"/>
          <w:lang w:val="en-US" w:eastAsia="zh-CN"/>
        </w:rPr>
        <w:t>3.63</w:t>
      </w:r>
      <w:r>
        <w:rPr>
          <w:rFonts w:hint="default" w:ascii="Times New Roman" w:hAnsi="Times New Roman" w:eastAsia="仿宋_GB2312" w:cs="Times New Roman"/>
          <w:sz w:val="32"/>
          <w:szCs w:val="32"/>
          <w:lang w:eastAsia="zh-CN"/>
        </w:rPr>
        <w:t>%。主要变动原因</w:t>
      </w:r>
      <w:r>
        <w:rPr>
          <w:rFonts w:hint="default" w:ascii="Times New Roman" w:hAnsi="Times New Roman" w:eastAsia="仿宋_GB2312" w:cs="Times New Roman"/>
          <w:sz w:val="32"/>
          <w:szCs w:val="32"/>
          <w:lang w:val="en-US" w:eastAsia="zh-CN"/>
        </w:rPr>
        <w:t>是当年行政事业数据分开报送，收入支出增加。</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2022年度财政拨款</w:t>
      </w:r>
      <w:r>
        <w:rPr>
          <w:rFonts w:hint="default" w:ascii="Times New Roman" w:hAnsi="Times New Roman" w:eastAsia="仿宋_GB2312" w:cs="Times New Roman"/>
          <w:sz w:val="32"/>
          <w:szCs w:val="32"/>
          <w:lang w:eastAsia="zh-CN"/>
        </w:rPr>
        <w:t>支出总计</w:t>
      </w:r>
      <w:r>
        <w:rPr>
          <w:rFonts w:hint="default" w:ascii="Times New Roman" w:hAnsi="Times New Roman" w:eastAsia="仿宋_GB2312" w:cs="Times New Roman"/>
          <w:sz w:val="32"/>
          <w:szCs w:val="32"/>
          <w:lang w:val="en-US" w:eastAsia="zh-CN"/>
        </w:rPr>
        <w:t>2267.08</w:t>
      </w:r>
      <w:r>
        <w:rPr>
          <w:rFonts w:hint="default" w:ascii="Times New Roman" w:hAnsi="Times New Roman" w:eastAsia="仿宋_GB2312" w:cs="Times New Roman"/>
          <w:sz w:val="32"/>
          <w:szCs w:val="32"/>
          <w:lang w:eastAsia="zh-CN"/>
        </w:rPr>
        <w:t>万元，与20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eastAsia="zh-CN"/>
        </w:rPr>
        <w:t>年相比，增加</w:t>
      </w:r>
      <w:r>
        <w:rPr>
          <w:rFonts w:hint="default" w:ascii="Times New Roman" w:hAnsi="Times New Roman" w:eastAsia="仿宋_GB2312" w:cs="Times New Roman"/>
          <w:sz w:val="32"/>
          <w:szCs w:val="32"/>
          <w:lang w:val="en-US" w:eastAsia="zh-CN"/>
        </w:rPr>
        <w:t>554.12</w:t>
      </w:r>
      <w:r>
        <w:rPr>
          <w:rFonts w:hint="default" w:ascii="Times New Roman" w:hAnsi="Times New Roman" w:eastAsia="仿宋_GB2312" w:cs="Times New Roman"/>
          <w:sz w:val="32"/>
          <w:szCs w:val="32"/>
          <w:lang w:eastAsia="zh-CN"/>
        </w:rPr>
        <w:t>万元，增长</w:t>
      </w:r>
      <w:r>
        <w:rPr>
          <w:rFonts w:hint="default" w:ascii="Times New Roman" w:hAnsi="Times New Roman" w:eastAsia="仿宋_GB2312" w:cs="Times New Roman"/>
          <w:sz w:val="32"/>
          <w:szCs w:val="32"/>
          <w:lang w:val="en-US" w:eastAsia="zh-CN"/>
        </w:rPr>
        <w:t>32.35</w:t>
      </w:r>
      <w:r>
        <w:rPr>
          <w:rFonts w:hint="default" w:ascii="Times New Roman" w:hAnsi="Times New Roman" w:eastAsia="仿宋_GB2312" w:cs="Times New Roman"/>
          <w:sz w:val="32"/>
          <w:szCs w:val="32"/>
          <w:lang w:eastAsia="zh-CN"/>
        </w:rPr>
        <w:t>%。主要变动原因是</w:t>
      </w:r>
      <w:r>
        <w:rPr>
          <w:rFonts w:hint="default" w:ascii="Times New Roman" w:hAnsi="Times New Roman" w:eastAsia="仿宋_GB2312" w:cs="Times New Roman"/>
          <w:sz w:val="32"/>
          <w:szCs w:val="32"/>
          <w:lang w:val="en-US" w:eastAsia="zh-CN"/>
        </w:rPr>
        <w:t>当年项目支出增加。</w:t>
      </w:r>
    </w:p>
    <w:p>
      <w:pPr>
        <w:pStyle w:val="20"/>
        <w:ind w:left="0" w:leftChars="0" w:firstLine="640" w:firstLineChars="200"/>
        <w:rPr>
          <w:rFonts w:hint="default" w:ascii="Times New Roman" w:hAnsi="Times New Roman" w:eastAsia="仿宋" w:cs="Times New Roman"/>
          <w:lang w:eastAsia="zh-CN"/>
        </w:rPr>
      </w:pPr>
      <w:r>
        <w:rPr>
          <w:rFonts w:hint="default" w:ascii="Times New Roman" w:hAnsi="Times New Roman" w:eastAsia="仿宋" w:cs="Times New Roman"/>
          <w:color w:val="auto"/>
          <w:sz w:val="32"/>
          <w:szCs w:val="32"/>
          <w:highlight w:val="none"/>
          <w:lang w:eastAsia="zh-CN"/>
        </w:rPr>
        <w:drawing>
          <wp:inline distT="0" distB="0" distL="114300" distR="114300">
            <wp:extent cx="5256530" cy="3876040"/>
            <wp:effectExtent l="4445" t="4445" r="12065" b="5715"/>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935355</wp:posOffset>
                </wp:positionH>
                <wp:positionV relativeFrom="paragraph">
                  <wp:posOffset>3164840</wp:posOffset>
                </wp:positionV>
                <wp:extent cx="3263900" cy="285750"/>
                <wp:effectExtent l="0" t="0" r="12700" b="3810"/>
                <wp:wrapNone/>
                <wp:docPr id="20" name="文本框 20"/>
                <wp:cNvGraphicFramePr/>
                <a:graphic xmlns:a="http://schemas.openxmlformats.org/drawingml/2006/main">
                  <a:graphicData uri="http://schemas.microsoft.com/office/word/2010/wordprocessingShape">
                    <wps:wsp>
                      <wps:cNvSpPr txBox="true"/>
                      <wps:spPr>
                        <a:xfrm>
                          <a:off x="2326005" y="4079240"/>
                          <a:ext cx="326390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 xml:space="preserve">   收入                             支出</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3.65pt;margin-top:249.2pt;height:22.5pt;width:257pt;z-index:251661312;mso-width-relative:page;mso-height-relative:page;" fillcolor="#FFFFFF [3201]" filled="t" stroked="f" coordsize="21600,21600" o:gfxdata="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BGcZbN&#10;1QAAAAsBAAAPAAAAAAAAAAEAIAAAADgAAABkcnMvZG93bnJldi54bWxQSwECFAAUAAAACACHTuJA&#10;Vz5jiEcCAABhBAAADgAAAAAAAAABACAAAAA6AQAAZHJzL2Uyb0RvYy54bWxQSwUGAAAAAAYABgBZ&#10;AQAA8wUAAAAA&#10;">
                <v:fill on="t" focussize="0,0"/>
                <v:stroke on="f" weight="0.5pt"/>
                <v:imagedata o:title=""/>
                <o:lock v:ext="edit" aspectratio="f"/>
                <v:textbox>
                  <w:txbxContent>
                    <w:p>
                      <w:pPr>
                        <w:rPr>
                          <w:rFonts w:hint="default" w:eastAsia="宋体"/>
                          <w:lang w:val="en-US" w:eastAsia="zh-CN"/>
                        </w:rPr>
                      </w:pPr>
                      <w:r>
                        <w:rPr>
                          <w:rFonts w:hint="eastAsia"/>
                          <w:lang w:val="en-US" w:eastAsia="zh-CN"/>
                        </w:rPr>
                        <w:t xml:space="preserve">   收入                             支出</w:t>
                      </w:r>
                    </w:p>
                  </w:txbxContent>
                </v:textbox>
              </v:shape>
            </w:pict>
          </mc:Fallback>
        </mc:AlternateContent>
      </w: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（图4：财政拨款收、支决算总计变动情况）（柱状图）</w:t>
      </w:r>
    </w:p>
    <w:p>
      <w:pPr>
        <w:spacing w:line="600" w:lineRule="exact"/>
        <w:ind w:firstLine="640" w:firstLineChars="200"/>
        <w:outlineLvl w:val="1"/>
        <w:rPr>
          <w:rStyle w:val="31"/>
          <w:rFonts w:hint="default" w:ascii="Times New Roman" w:hAnsi="Times New Roman" w:eastAsia="黑体" w:cs="Times New Roman"/>
          <w:b w:val="0"/>
          <w:color w:val="auto"/>
          <w:highlight w:val="none"/>
        </w:rPr>
      </w:pPr>
      <w:bookmarkStart w:id="34" w:name="_Toc15377209"/>
      <w:bookmarkStart w:id="35" w:name="_Toc15396607"/>
      <w:bookmarkStart w:id="36" w:name="_Toc4471"/>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般公共预算财政拨款支出决算情况说明</w:t>
      </w:r>
      <w:bookmarkEnd w:id="34"/>
      <w:bookmarkEnd w:id="35"/>
      <w:bookmarkEnd w:id="36"/>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37"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37"/>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2022年一般公共预算财政拨款支出2267.08万元，占本年支出合计的100%。与2021年相比，一般公共预算财政拨款支出增加554.11万元，增长32.35%。主要变动原因是当年项目支出增加。</w:t>
      </w:r>
    </w:p>
    <w:p>
      <w:pPr>
        <w:pStyle w:val="20"/>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256530" cy="2988310"/>
            <wp:effectExtent l="5080" t="4445" r="11430" b="9525"/>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default" w:ascii="Times New Roman" w:hAnsi="Times New Roman" w:eastAsia="楷体_GB2312" w:cs="Times New Roman"/>
          <w:b/>
          <w:color w:val="auto"/>
          <w:sz w:val="32"/>
          <w:szCs w:val="32"/>
          <w:highlight w:val="none"/>
        </w:rPr>
      </w:pPr>
      <w:bookmarkStart w:id="38"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3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年一般公共预算财政拨款支出</w:t>
      </w:r>
      <w:r>
        <w:rPr>
          <w:rFonts w:hint="default" w:ascii="Times New Roman" w:hAnsi="Times New Roman" w:eastAsia="仿宋_GB2312" w:cs="Times New Roman"/>
          <w:color w:val="auto"/>
          <w:sz w:val="32"/>
          <w:szCs w:val="32"/>
          <w:lang w:val="en-US" w:eastAsia="zh-CN"/>
        </w:rPr>
        <w:t>2267.08</w:t>
      </w:r>
      <w:r>
        <w:rPr>
          <w:rFonts w:hint="default" w:ascii="Times New Roman" w:hAnsi="Times New Roman" w:eastAsia="仿宋_GB2312" w:cs="Times New Roman"/>
          <w:color w:val="auto"/>
          <w:sz w:val="32"/>
          <w:szCs w:val="32"/>
        </w:rPr>
        <w:t>万元，主要用于以下方面:社会保障和就业支出</w:t>
      </w:r>
      <w:r>
        <w:rPr>
          <w:rFonts w:hint="default" w:ascii="Times New Roman" w:hAnsi="Times New Roman" w:eastAsia="仿宋_GB2312" w:cs="Times New Roman"/>
          <w:color w:val="auto"/>
          <w:sz w:val="32"/>
          <w:szCs w:val="32"/>
          <w:lang w:val="en-US" w:eastAsia="zh-CN"/>
        </w:rPr>
        <w:t>33.58</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1.48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卫生健康</w:t>
      </w:r>
      <w:r>
        <w:rPr>
          <w:rFonts w:hint="default" w:ascii="Times New Roman" w:hAnsi="Times New Roman" w:eastAsia="仿宋_GB2312" w:cs="Times New Roman"/>
          <w:color w:val="auto"/>
          <w:sz w:val="32"/>
          <w:szCs w:val="32"/>
        </w:rPr>
        <w:t>支出</w:t>
      </w:r>
      <w:r>
        <w:rPr>
          <w:rFonts w:hint="default" w:ascii="Times New Roman" w:hAnsi="Times New Roman" w:eastAsia="仿宋_GB2312" w:cs="Times New Roman"/>
          <w:color w:val="auto"/>
          <w:sz w:val="32"/>
          <w:szCs w:val="32"/>
          <w:lang w:val="en-US" w:eastAsia="zh-CN"/>
        </w:rPr>
        <w:t>25.37</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1.12</w:t>
      </w:r>
      <w:r>
        <w:rPr>
          <w:rFonts w:hint="default" w:ascii="Times New Roman" w:hAnsi="Times New Roman" w:eastAsia="仿宋_GB2312" w:cs="Times New Roman"/>
          <w:color w:val="auto"/>
          <w:sz w:val="32"/>
          <w:szCs w:val="32"/>
        </w:rPr>
        <w:t>%；节能环保支出</w:t>
      </w:r>
      <w:r>
        <w:rPr>
          <w:rFonts w:hint="default" w:ascii="Times New Roman" w:hAnsi="Times New Roman" w:eastAsia="仿宋_GB2312" w:cs="Times New Roman"/>
          <w:color w:val="auto"/>
          <w:sz w:val="32"/>
          <w:szCs w:val="32"/>
          <w:lang w:val="en-US" w:eastAsia="zh-CN"/>
        </w:rPr>
        <w:t>506.68万元，占22.35%；</w:t>
      </w:r>
      <w:r>
        <w:rPr>
          <w:rFonts w:hint="default" w:ascii="Times New Roman" w:hAnsi="Times New Roman" w:eastAsia="仿宋_GB2312" w:cs="Times New Roman"/>
          <w:color w:val="auto"/>
          <w:sz w:val="32"/>
          <w:szCs w:val="32"/>
        </w:rPr>
        <w:t>城乡社区支出</w:t>
      </w:r>
      <w:r>
        <w:rPr>
          <w:rFonts w:hint="default" w:ascii="Times New Roman" w:hAnsi="Times New Roman" w:eastAsia="仿宋_GB2312" w:cs="Times New Roman"/>
          <w:color w:val="auto"/>
          <w:sz w:val="32"/>
          <w:szCs w:val="32"/>
          <w:lang w:val="en-US" w:eastAsia="zh-CN"/>
        </w:rPr>
        <w:t>1585.72</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69.95</w:t>
      </w:r>
      <w:r>
        <w:rPr>
          <w:rFonts w:hint="default" w:ascii="Times New Roman" w:hAnsi="Times New Roman" w:eastAsia="仿宋_GB2312" w:cs="Times New Roman"/>
          <w:color w:val="auto"/>
          <w:sz w:val="32"/>
          <w:szCs w:val="32"/>
        </w:rPr>
        <w:t>%；住房保障支出</w:t>
      </w:r>
      <w:r>
        <w:rPr>
          <w:rFonts w:hint="default" w:ascii="Times New Roman" w:hAnsi="Times New Roman" w:eastAsia="仿宋_GB2312" w:cs="Times New Roman"/>
          <w:color w:val="auto"/>
          <w:sz w:val="32"/>
          <w:szCs w:val="32"/>
          <w:lang w:val="en-US" w:eastAsia="zh-CN"/>
        </w:rPr>
        <w:t>18.89</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0.83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其他支出</w:t>
      </w:r>
      <w:r>
        <w:rPr>
          <w:rFonts w:hint="default" w:ascii="Times New Roman" w:hAnsi="Times New Roman" w:eastAsia="仿宋_GB2312" w:cs="Times New Roman"/>
          <w:color w:val="auto"/>
          <w:sz w:val="32"/>
          <w:szCs w:val="32"/>
          <w:lang w:val="en-US" w:eastAsia="zh-CN"/>
        </w:rPr>
        <w:t>96.84</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4.27</w:t>
      </w:r>
      <w:r>
        <w:rPr>
          <w:rFonts w:hint="default" w:ascii="Times New Roman" w:hAnsi="Times New Roman" w:eastAsia="仿宋_GB2312" w:cs="Times New Roman"/>
          <w:color w:val="auto"/>
          <w:sz w:val="32"/>
          <w:szCs w:val="32"/>
        </w:rPr>
        <w:t>%。</w:t>
      </w:r>
    </w:p>
    <w:p>
      <w:pPr>
        <w:pStyle w:val="20"/>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drawing>
          <wp:inline distT="0" distB="0" distL="114300" distR="114300">
            <wp:extent cx="5256530" cy="2988310"/>
            <wp:effectExtent l="5080" t="4445" r="11430" b="9525"/>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default" w:ascii="Times New Roman" w:hAnsi="Times New Roman" w:eastAsia="楷体_GB2312" w:cs="Times New Roman"/>
          <w:b/>
          <w:color w:val="auto"/>
          <w:sz w:val="32"/>
          <w:szCs w:val="32"/>
          <w:highlight w:val="none"/>
        </w:rPr>
      </w:pPr>
      <w:bookmarkStart w:id="39"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39"/>
    </w:p>
    <w:p>
      <w:pPr>
        <w:bidi w:val="0"/>
        <w:rPr>
          <w:rFonts w:hint="default" w:ascii="Times New Roman" w:hAnsi="Times New Roman" w:eastAsia="仿宋_GB2312" w:cs="Times New Roman"/>
          <w:color w:val="auto"/>
          <w:szCs w:val="32"/>
          <w:highlight w:val="none"/>
        </w:rPr>
      </w:pPr>
      <w:bookmarkStart w:id="40" w:name="_Toc15378460"/>
      <w:bookmarkStart w:id="41" w:name="_Toc15377213"/>
      <w:bookmarkStart w:id="42" w:name="_Toc15377444"/>
      <w:r>
        <w:rPr>
          <w:rStyle w:val="18"/>
          <w:rFonts w:hint="default" w:ascii="Times New Roman" w:hAnsi="Times New Roman" w:eastAsia="仿宋_GB2312" w:cs="Times New Roman"/>
          <w:bCs/>
          <w:color w:val="auto"/>
          <w:sz w:val="32"/>
          <w:szCs w:val="32"/>
          <w:lang w:val="en-US" w:eastAsia="zh-CN"/>
        </w:rPr>
        <w:t>2022年一般公共预算支出决算数为2267.08，完成预算100%。其中</w:t>
      </w:r>
      <w:r>
        <w:rPr>
          <w:rFonts w:hint="default"/>
        </w:rPr>
        <w:t>：</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color w:val="auto"/>
          <w:sz w:val="32"/>
          <w:szCs w:val="32"/>
        </w:rPr>
      </w:pPr>
      <w:r>
        <w:rPr>
          <w:rStyle w:val="18"/>
          <w:rFonts w:hint="default" w:ascii="Times New Roman" w:hAnsi="Times New Roman" w:eastAsia="仿宋_GB2312" w:cs="Times New Roman"/>
          <w:bCs/>
          <w:color w:val="auto"/>
          <w:sz w:val="32"/>
          <w:szCs w:val="32"/>
          <w:lang w:val="en-US" w:eastAsia="zh-CN"/>
        </w:rPr>
        <w:t>1</w:t>
      </w:r>
      <w:r>
        <w:rPr>
          <w:rStyle w:val="18"/>
          <w:rFonts w:hint="default" w:ascii="Times New Roman" w:hAnsi="Times New Roman" w:eastAsia="仿宋_GB2312" w:cs="Times New Roman"/>
          <w:bCs/>
          <w:color w:val="auto"/>
          <w:sz w:val="32"/>
          <w:szCs w:val="32"/>
        </w:rPr>
        <w:t>.社会保障和就业（类）行政事业单位养老支出（款）机关事业单位基本养老保险缴费支出（项）:</w:t>
      </w:r>
      <w:r>
        <w:rPr>
          <w:rStyle w:val="18"/>
          <w:rFonts w:hint="default" w:ascii="Times New Roman" w:hAnsi="Times New Roman" w:eastAsia="仿宋_GB2312" w:cs="Times New Roman"/>
          <w:b w:val="0"/>
          <w:bCs/>
          <w:color w:val="auto"/>
          <w:sz w:val="32"/>
          <w:szCs w:val="32"/>
        </w:rPr>
        <w:t>支出决算为</w:t>
      </w:r>
      <w:r>
        <w:rPr>
          <w:rStyle w:val="18"/>
          <w:rFonts w:hint="default" w:ascii="Times New Roman" w:hAnsi="Times New Roman" w:eastAsia="仿宋_GB2312" w:cs="Times New Roman"/>
          <w:b w:val="0"/>
          <w:bCs/>
          <w:color w:val="auto"/>
          <w:sz w:val="32"/>
          <w:szCs w:val="32"/>
          <w:lang w:val="en-US" w:eastAsia="zh-CN"/>
        </w:rPr>
        <w:t>22.39</w:t>
      </w:r>
      <w:r>
        <w:rPr>
          <w:rStyle w:val="18"/>
          <w:rFonts w:hint="default" w:ascii="Times New Roman" w:hAnsi="Times New Roman" w:eastAsia="仿宋_GB2312" w:cs="Times New Roman"/>
          <w:b w:val="0"/>
          <w:bCs/>
          <w:color w:val="auto"/>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Cs/>
          <w:color w:val="auto"/>
          <w:sz w:val="32"/>
          <w:szCs w:val="32"/>
          <w:lang w:val="en-US" w:eastAsia="zh-CN"/>
        </w:rPr>
        <w:t>2</w:t>
      </w:r>
      <w:r>
        <w:rPr>
          <w:rStyle w:val="18"/>
          <w:rFonts w:hint="default" w:ascii="Times New Roman" w:hAnsi="Times New Roman" w:eastAsia="仿宋_GB2312" w:cs="Times New Roman"/>
          <w:bCs/>
          <w:color w:val="auto"/>
          <w:sz w:val="32"/>
          <w:szCs w:val="32"/>
        </w:rPr>
        <w:t>.社会保障和就业（类）行政事业单位养老支出（款）机关事业单位</w:t>
      </w:r>
      <w:r>
        <w:rPr>
          <w:rStyle w:val="18"/>
          <w:rFonts w:hint="default" w:ascii="Times New Roman" w:hAnsi="Times New Roman" w:eastAsia="仿宋_GB2312" w:cs="Times New Roman"/>
          <w:bCs/>
          <w:color w:val="auto"/>
          <w:sz w:val="32"/>
          <w:szCs w:val="32"/>
          <w:lang w:val="en-US" w:eastAsia="zh-CN"/>
        </w:rPr>
        <w:t>职业年金</w:t>
      </w:r>
      <w:r>
        <w:rPr>
          <w:rStyle w:val="18"/>
          <w:rFonts w:hint="default" w:ascii="Times New Roman" w:hAnsi="Times New Roman" w:eastAsia="仿宋_GB2312" w:cs="Times New Roman"/>
          <w:bCs/>
          <w:color w:val="auto"/>
          <w:sz w:val="32"/>
          <w:szCs w:val="32"/>
        </w:rPr>
        <w:t>缴费支出（项）:</w:t>
      </w:r>
      <w:r>
        <w:rPr>
          <w:rStyle w:val="18"/>
          <w:rFonts w:hint="default" w:ascii="Times New Roman" w:hAnsi="Times New Roman" w:eastAsia="仿宋_GB2312" w:cs="Times New Roman"/>
          <w:b w:val="0"/>
          <w:bCs/>
          <w:color w:val="auto"/>
          <w:sz w:val="32"/>
          <w:szCs w:val="32"/>
        </w:rPr>
        <w:t>支出决算为</w:t>
      </w:r>
      <w:r>
        <w:rPr>
          <w:rStyle w:val="18"/>
          <w:rFonts w:hint="default" w:ascii="Times New Roman" w:hAnsi="Times New Roman" w:eastAsia="仿宋_GB2312" w:cs="Times New Roman"/>
          <w:b w:val="0"/>
          <w:bCs/>
          <w:color w:val="auto"/>
          <w:sz w:val="32"/>
          <w:szCs w:val="32"/>
          <w:lang w:val="en-US" w:eastAsia="zh-CN"/>
        </w:rPr>
        <w:t>11.19</w:t>
      </w:r>
      <w:r>
        <w:rPr>
          <w:rStyle w:val="18"/>
          <w:rFonts w:hint="default" w:ascii="Times New Roman" w:hAnsi="Times New Roman" w:eastAsia="仿宋_GB2312" w:cs="Times New Roman"/>
          <w:b w:val="0"/>
          <w:bCs/>
          <w:color w:val="auto"/>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Cs/>
          <w:color w:val="auto"/>
          <w:sz w:val="32"/>
          <w:szCs w:val="32"/>
          <w:lang w:val="en-US" w:eastAsia="zh-CN"/>
        </w:rPr>
        <w:t>3</w:t>
      </w:r>
      <w:r>
        <w:rPr>
          <w:rStyle w:val="18"/>
          <w:rFonts w:hint="default" w:ascii="Times New Roman" w:hAnsi="Times New Roman" w:eastAsia="仿宋_GB2312" w:cs="Times New Roman"/>
          <w:bCs/>
          <w:color w:val="auto"/>
          <w:sz w:val="32"/>
          <w:szCs w:val="32"/>
        </w:rPr>
        <w:t>.卫生</w:t>
      </w:r>
      <w:r>
        <w:rPr>
          <w:rStyle w:val="18"/>
          <w:rFonts w:hint="default" w:ascii="Times New Roman" w:hAnsi="Times New Roman" w:eastAsia="仿宋_GB2312" w:cs="Times New Roman"/>
          <w:bCs/>
          <w:color w:val="auto"/>
          <w:sz w:val="32"/>
          <w:szCs w:val="32"/>
          <w:lang w:val="en-US" w:eastAsia="zh-CN"/>
        </w:rPr>
        <w:t>健康支出</w:t>
      </w:r>
      <w:r>
        <w:rPr>
          <w:rStyle w:val="18"/>
          <w:rFonts w:hint="default" w:ascii="Times New Roman" w:hAnsi="Times New Roman" w:eastAsia="仿宋_GB2312" w:cs="Times New Roman"/>
          <w:bCs/>
          <w:color w:val="auto"/>
          <w:sz w:val="32"/>
          <w:szCs w:val="32"/>
        </w:rPr>
        <w:t>（类）</w:t>
      </w:r>
      <w:r>
        <w:rPr>
          <w:rStyle w:val="18"/>
          <w:rFonts w:hint="default" w:ascii="Times New Roman" w:hAnsi="Times New Roman" w:eastAsia="仿宋_GB2312" w:cs="Times New Roman"/>
          <w:bCs/>
          <w:color w:val="auto"/>
          <w:sz w:val="32"/>
          <w:szCs w:val="32"/>
          <w:lang w:val="en-US" w:eastAsia="zh-CN"/>
        </w:rPr>
        <w:t>公共卫生</w:t>
      </w:r>
      <w:r>
        <w:rPr>
          <w:rStyle w:val="18"/>
          <w:rFonts w:hint="default" w:ascii="Times New Roman" w:hAnsi="Times New Roman" w:eastAsia="仿宋_GB2312" w:cs="Times New Roman"/>
          <w:bCs/>
          <w:color w:val="auto"/>
          <w:sz w:val="32"/>
          <w:szCs w:val="32"/>
        </w:rPr>
        <w:t>（款）</w:t>
      </w:r>
      <w:r>
        <w:rPr>
          <w:rStyle w:val="18"/>
          <w:rFonts w:hint="default" w:ascii="Times New Roman" w:hAnsi="Times New Roman" w:eastAsia="仿宋_GB2312" w:cs="Times New Roman"/>
          <w:bCs/>
          <w:color w:val="auto"/>
          <w:sz w:val="32"/>
          <w:szCs w:val="32"/>
          <w:lang w:val="en-US" w:eastAsia="zh-CN"/>
        </w:rPr>
        <w:t>重大公共卫生服务</w:t>
      </w:r>
      <w:r>
        <w:rPr>
          <w:rStyle w:val="18"/>
          <w:rFonts w:hint="default" w:ascii="Times New Roman" w:hAnsi="Times New Roman" w:eastAsia="仿宋_GB2312" w:cs="Times New Roman"/>
          <w:bCs/>
          <w:color w:val="auto"/>
          <w:sz w:val="32"/>
          <w:szCs w:val="32"/>
        </w:rPr>
        <w:t>（项）:</w:t>
      </w:r>
      <w:r>
        <w:rPr>
          <w:rStyle w:val="18"/>
          <w:rFonts w:hint="default" w:ascii="Times New Roman" w:hAnsi="Times New Roman" w:eastAsia="仿宋_GB2312" w:cs="Times New Roman"/>
          <w:b w:val="0"/>
          <w:bCs/>
          <w:color w:val="auto"/>
          <w:sz w:val="32"/>
          <w:szCs w:val="32"/>
        </w:rPr>
        <w:t>支出决算为</w:t>
      </w:r>
      <w:r>
        <w:rPr>
          <w:rStyle w:val="18"/>
          <w:rFonts w:hint="default" w:ascii="Times New Roman" w:hAnsi="Times New Roman" w:eastAsia="仿宋_GB2312" w:cs="Times New Roman"/>
          <w:b w:val="0"/>
          <w:bCs/>
          <w:color w:val="auto"/>
          <w:sz w:val="32"/>
          <w:szCs w:val="32"/>
          <w:lang w:val="en-US" w:eastAsia="zh-CN"/>
        </w:rPr>
        <w:t>12.51</w:t>
      </w:r>
      <w:r>
        <w:rPr>
          <w:rStyle w:val="18"/>
          <w:rFonts w:hint="default" w:ascii="Times New Roman" w:hAnsi="Times New Roman" w:eastAsia="仿宋_GB2312" w:cs="Times New Roman"/>
          <w:b w:val="0"/>
          <w:bCs/>
          <w:color w:val="auto"/>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Cs/>
          <w:color w:val="auto"/>
          <w:sz w:val="32"/>
          <w:szCs w:val="32"/>
          <w:lang w:val="en-US" w:eastAsia="zh-CN"/>
        </w:rPr>
        <w:t>4</w:t>
      </w:r>
      <w:r>
        <w:rPr>
          <w:rStyle w:val="18"/>
          <w:rFonts w:hint="default" w:ascii="Times New Roman" w:hAnsi="Times New Roman" w:eastAsia="仿宋_GB2312" w:cs="Times New Roman"/>
          <w:bCs/>
          <w:color w:val="auto"/>
          <w:sz w:val="32"/>
          <w:szCs w:val="32"/>
        </w:rPr>
        <w:t>.卫生</w:t>
      </w:r>
      <w:r>
        <w:rPr>
          <w:rStyle w:val="18"/>
          <w:rFonts w:hint="default" w:ascii="Times New Roman" w:hAnsi="Times New Roman" w:eastAsia="仿宋_GB2312" w:cs="Times New Roman"/>
          <w:bCs/>
          <w:color w:val="auto"/>
          <w:sz w:val="32"/>
          <w:szCs w:val="32"/>
          <w:lang w:val="en-US" w:eastAsia="zh-CN"/>
        </w:rPr>
        <w:t>健康支出</w:t>
      </w:r>
      <w:r>
        <w:rPr>
          <w:rStyle w:val="18"/>
          <w:rFonts w:hint="default" w:ascii="Times New Roman" w:hAnsi="Times New Roman" w:eastAsia="仿宋_GB2312" w:cs="Times New Roman"/>
          <w:bCs/>
          <w:color w:val="auto"/>
          <w:sz w:val="32"/>
          <w:szCs w:val="32"/>
        </w:rPr>
        <w:t>（类）行政事业单位医疗（款）</w:t>
      </w:r>
      <w:r>
        <w:rPr>
          <w:rStyle w:val="18"/>
          <w:rFonts w:hint="default" w:ascii="Times New Roman" w:hAnsi="Times New Roman" w:eastAsia="仿宋_GB2312" w:cs="Times New Roman"/>
          <w:bCs/>
          <w:color w:val="auto"/>
          <w:sz w:val="32"/>
          <w:szCs w:val="32"/>
          <w:lang w:val="en-US" w:eastAsia="zh-CN"/>
        </w:rPr>
        <w:t>行政</w:t>
      </w:r>
      <w:r>
        <w:rPr>
          <w:rStyle w:val="18"/>
          <w:rFonts w:hint="default" w:ascii="Times New Roman" w:hAnsi="Times New Roman" w:eastAsia="仿宋_GB2312" w:cs="Times New Roman"/>
          <w:bCs/>
          <w:color w:val="auto"/>
          <w:sz w:val="32"/>
          <w:szCs w:val="32"/>
        </w:rPr>
        <w:t>单位医疗（项）:</w:t>
      </w:r>
      <w:r>
        <w:rPr>
          <w:rStyle w:val="18"/>
          <w:rFonts w:hint="default" w:ascii="Times New Roman" w:hAnsi="Times New Roman" w:eastAsia="仿宋_GB2312" w:cs="Times New Roman"/>
          <w:b w:val="0"/>
          <w:bCs/>
          <w:color w:val="auto"/>
          <w:sz w:val="32"/>
          <w:szCs w:val="32"/>
        </w:rPr>
        <w:t>支出决算为</w:t>
      </w:r>
      <w:r>
        <w:rPr>
          <w:rStyle w:val="18"/>
          <w:rFonts w:hint="default" w:ascii="Times New Roman" w:hAnsi="Times New Roman" w:eastAsia="仿宋_GB2312" w:cs="Times New Roman"/>
          <w:b w:val="0"/>
          <w:bCs/>
          <w:color w:val="auto"/>
          <w:sz w:val="32"/>
          <w:szCs w:val="32"/>
          <w:lang w:val="en-US" w:eastAsia="zh-CN"/>
        </w:rPr>
        <w:t>3.94</w:t>
      </w:r>
      <w:r>
        <w:rPr>
          <w:rStyle w:val="18"/>
          <w:rFonts w:hint="default" w:ascii="Times New Roman" w:hAnsi="Times New Roman" w:eastAsia="仿宋_GB2312" w:cs="Times New Roman"/>
          <w:b w:val="0"/>
          <w:bCs/>
          <w:color w:val="auto"/>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Cs/>
          <w:color w:val="auto"/>
          <w:sz w:val="32"/>
          <w:szCs w:val="32"/>
          <w:lang w:val="en-US" w:eastAsia="zh-CN"/>
        </w:rPr>
        <w:t>5</w:t>
      </w:r>
      <w:r>
        <w:rPr>
          <w:rStyle w:val="18"/>
          <w:rFonts w:hint="default" w:ascii="Times New Roman" w:hAnsi="Times New Roman" w:eastAsia="仿宋_GB2312" w:cs="Times New Roman"/>
          <w:bCs/>
          <w:color w:val="auto"/>
          <w:sz w:val="32"/>
          <w:szCs w:val="32"/>
        </w:rPr>
        <w:t>.卫生</w:t>
      </w:r>
      <w:r>
        <w:rPr>
          <w:rStyle w:val="18"/>
          <w:rFonts w:hint="default" w:ascii="Times New Roman" w:hAnsi="Times New Roman" w:eastAsia="仿宋_GB2312" w:cs="Times New Roman"/>
          <w:bCs/>
          <w:color w:val="auto"/>
          <w:sz w:val="32"/>
          <w:szCs w:val="32"/>
          <w:lang w:val="en-US" w:eastAsia="zh-CN"/>
        </w:rPr>
        <w:t>健康支出</w:t>
      </w:r>
      <w:r>
        <w:rPr>
          <w:rStyle w:val="18"/>
          <w:rFonts w:hint="default" w:ascii="Times New Roman" w:hAnsi="Times New Roman" w:eastAsia="仿宋_GB2312" w:cs="Times New Roman"/>
          <w:bCs/>
          <w:color w:val="auto"/>
          <w:sz w:val="32"/>
          <w:szCs w:val="32"/>
        </w:rPr>
        <w:t>（类）行政事业单位医疗（款）事业单位医疗</w:t>
      </w:r>
      <w:r>
        <w:rPr>
          <w:rStyle w:val="18"/>
          <w:rFonts w:hint="default" w:ascii="Times New Roman" w:hAnsi="Times New Roman" w:eastAsia="仿宋_GB2312" w:cs="Times New Roman"/>
          <w:bCs/>
          <w:color w:val="auto"/>
          <w:sz w:val="32"/>
          <w:szCs w:val="32"/>
          <w:lang w:val="en-US" w:eastAsia="zh-CN"/>
        </w:rPr>
        <w:t>支出</w:t>
      </w:r>
      <w:r>
        <w:rPr>
          <w:rStyle w:val="18"/>
          <w:rFonts w:hint="default" w:ascii="Times New Roman" w:hAnsi="Times New Roman" w:eastAsia="仿宋_GB2312" w:cs="Times New Roman"/>
          <w:bCs/>
          <w:color w:val="auto"/>
          <w:sz w:val="32"/>
          <w:szCs w:val="32"/>
        </w:rPr>
        <w:t>（项）:</w:t>
      </w:r>
      <w:r>
        <w:rPr>
          <w:rStyle w:val="18"/>
          <w:rFonts w:hint="default" w:ascii="Times New Roman" w:hAnsi="Times New Roman" w:eastAsia="仿宋_GB2312" w:cs="Times New Roman"/>
          <w:b w:val="0"/>
          <w:bCs/>
          <w:color w:val="auto"/>
          <w:sz w:val="32"/>
          <w:szCs w:val="32"/>
        </w:rPr>
        <w:t>支出决算为</w:t>
      </w:r>
      <w:r>
        <w:rPr>
          <w:rStyle w:val="18"/>
          <w:rFonts w:hint="default" w:ascii="Times New Roman" w:hAnsi="Times New Roman" w:eastAsia="仿宋_GB2312" w:cs="Times New Roman"/>
          <w:b w:val="0"/>
          <w:bCs/>
          <w:color w:val="auto"/>
          <w:sz w:val="32"/>
          <w:szCs w:val="32"/>
          <w:lang w:val="en-US" w:eastAsia="zh-CN"/>
        </w:rPr>
        <w:t>6.42</w:t>
      </w:r>
      <w:r>
        <w:rPr>
          <w:rStyle w:val="18"/>
          <w:rFonts w:hint="default" w:ascii="Times New Roman" w:hAnsi="Times New Roman" w:eastAsia="仿宋_GB2312" w:cs="Times New Roman"/>
          <w:b w:val="0"/>
          <w:bCs/>
          <w:color w:val="auto"/>
          <w:sz w:val="32"/>
          <w:szCs w:val="32"/>
        </w:rPr>
        <w:t>万元，完成预算100%，决算数等于预算数。</w:t>
      </w:r>
    </w:p>
    <w:p>
      <w:pPr>
        <w:pStyle w:val="20"/>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Cs/>
          <w:color w:val="auto"/>
          <w:sz w:val="32"/>
          <w:szCs w:val="32"/>
          <w:lang w:val="en-US" w:eastAsia="zh-CN"/>
        </w:rPr>
        <w:t>6</w:t>
      </w:r>
      <w:r>
        <w:rPr>
          <w:rStyle w:val="18"/>
          <w:rFonts w:hint="default" w:ascii="Times New Roman" w:hAnsi="Times New Roman" w:eastAsia="仿宋_GB2312" w:cs="Times New Roman"/>
          <w:bCs/>
          <w:color w:val="auto"/>
          <w:sz w:val="32"/>
          <w:szCs w:val="32"/>
        </w:rPr>
        <w:t>.卫生</w:t>
      </w:r>
      <w:r>
        <w:rPr>
          <w:rStyle w:val="18"/>
          <w:rFonts w:hint="default" w:ascii="Times New Roman" w:hAnsi="Times New Roman" w:eastAsia="仿宋_GB2312" w:cs="Times New Roman"/>
          <w:bCs/>
          <w:color w:val="auto"/>
          <w:sz w:val="32"/>
          <w:szCs w:val="32"/>
          <w:lang w:val="en-US" w:eastAsia="zh-CN"/>
        </w:rPr>
        <w:t>健康支出</w:t>
      </w:r>
      <w:r>
        <w:rPr>
          <w:rStyle w:val="18"/>
          <w:rFonts w:hint="default" w:ascii="Times New Roman" w:hAnsi="Times New Roman" w:eastAsia="仿宋_GB2312" w:cs="Times New Roman"/>
          <w:bCs/>
          <w:color w:val="auto"/>
          <w:sz w:val="32"/>
          <w:szCs w:val="32"/>
        </w:rPr>
        <w:t>（类）行政事业单位医疗（款）</w:t>
      </w:r>
      <w:r>
        <w:rPr>
          <w:rStyle w:val="18"/>
          <w:rFonts w:hint="default" w:ascii="Times New Roman" w:hAnsi="Times New Roman" w:eastAsia="仿宋_GB2312" w:cs="Times New Roman"/>
          <w:bCs/>
          <w:color w:val="auto"/>
          <w:sz w:val="32"/>
          <w:szCs w:val="32"/>
          <w:lang w:val="en-US" w:eastAsia="zh-CN"/>
        </w:rPr>
        <w:t>公务员医疗补助支出</w:t>
      </w:r>
      <w:r>
        <w:rPr>
          <w:rStyle w:val="18"/>
          <w:rFonts w:hint="default" w:ascii="Times New Roman" w:hAnsi="Times New Roman" w:eastAsia="仿宋_GB2312" w:cs="Times New Roman"/>
          <w:bCs/>
          <w:color w:val="auto"/>
          <w:sz w:val="32"/>
          <w:szCs w:val="32"/>
        </w:rPr>
        <w:t>（项）:</w:t>
      </w:r>
      <w:r>
        <w:rPr>
          <w:rStyle w:val="18"/>
          <w:rFonts w:hint="default" w:ascii="Times New Roman" w:hAnsi="Times New Roman" w:eastAsia="仿宋_GB2312" w:cs="Times New Roman"/>
          <w:b w:val="0"/>
          <w:bCs/>
          <w:color w:val="auto"/>
          <w:sz w:val="32"/>
          <w:szCs w:val="32"/>
        </w:rPr>
        <w:t>支出决算为</w:t>
      </w:r>
      <w:r>
        <w:rPr>
          <w:rStyle w:val="18"/>
          <w:rFonts w:hint="default" w:ascii="Times New Roman" w:hAnsi="Times New Roman" w:eastAsia="仿宋_GB2312" w:cs="Times New Roman"/>
          <w:b w:val="0"/>
          <w:bCs/>
          <w:color w:val="auto"/>
          <w:sz w:val="32"/>
          <w:szCs w:val="32"/>
          <w:lang w:val="en-US" w:eastAsia="zh-CN"/>
        </w:rPr>
        <w:t>0.99</w:t>
      </w:r>
      <w:r>
        <w:rPr>
          <w:rStyle w:val="18"/>
          <w:rFonts w:hint="default" w:ascii="Times New Roman" w:hAnsi="Times New Roman" w:eastAsia="仿宋_GB2312" w:cs="Times New Roman"/>
          <w:b w:val="0"/>
          <w:bCs/>
          <w:color w:val="auto"/>
          <w:sz w:val="32"/>
          <w:szCs w:val="32"/>
        </w:rPr>
        <w:t>万元，完成预算100%，决算数等于预算数。</w:t>
      </w:r>
    </w:p>
    <w:p>
      <w:pPr>
        <w:pStyle w:val="20"/>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Cs/>
          <w:color w:val="auto"/>
          <w:sz w:val="32"/>
          <w:szCs w:val="32"/>
          <w:lang w:val="en-US" w:eastAsia="zh-CN"/>
        </w:rPr>
        <w:t>7</w:t>
      </w:r>
      <w:r>
        <w:rPr>
          <w:rStyle w:val="18"/>
          <w:rFonts w:hint="default" w:ascii="Times New Roman" w:hAnsi="Times New Roman" w:eastAsia="仿宋_GB2312" w:cs="Times New Roman"/>
          <w:bCs/>
          <w:color w:val="auto"/>
          <w:sz w:val="32"/>
          <w:szCs w:val="32"/>
        </w:rPr>
        <w:t>.卫生</w:t>
      </w:r>
      <w:r>
        <w:rPr>
          <w:rStyle w:val="18"/>
          <w:rFonts w:hint="default" w:ascii="Times New Roman" w:hAnsi="Times New Roman" w:eastAsia="仿宋_GB2312" w:cs="Times New Roman"/>
          <w:bCs/>
          <w:color w:val="auto"/>
          <w:sz w:val="32"/>
          <w:szCs w:val="32"/>
          <w:lang w:val="en-US" w:eastAsia="zh-CN"/>
        </w:rPr>
        <w:t>健康支出</w:t>
      </w:r>
      <w:r>
        <w:rPr>
          <w:rStyle w:val="18"/>
          <w:rFonts w:hint="default" w:ascii="Times New Roman" w:hAnsi="Times New Roman" w:eastAsia="仿宋_GB2312" w:cs="Times New Roman"/>
          <w:bCs/>
          <w:color w:val="auto"/>
          <w:sz w:val="32"/>
          <w:szCs w:val="32"/>
        </w:rPr>
        <w:t>（类）行政事业单位医疗（款）</w:t>
      </w:r>
      <w:r>
        <w:rPr>
          <w:rStyle w:val="18"/>
          <w:rFonts w:hint="default" w:ascii="Times New Roman" w:hAnsi="Times New Roman" w:eastAsia="仿宋_GB2312" w:cs="Times New Roman"/>
          <w:bCs/>
          <w:color w:val="auto"/>
          <w:sz w:val="32"/>
          <w:szCs w:val="32"/>
          <w:lang w:val="en-US" w:eastAsia="zh-CN"/>
        </w:rPr>
        <w:t>其他行政</w:t>
      </w:r>
      <w:r>
        <w:rPr>
          <w:rStyle w:val="18"/>
          <w:rFonts w:hint="default" w:ascii="Times New Roman" w:hAnsi="Times New Roman" w:eastAsia="仿宋_GB2312" w:cs="Times New Roman"/>
          <w:bCs/>
          <w:color w:val="auto"/>
          <w:sz w:val="32"/>
          <w:szCs w:val="32"/>
        </w:rPr>
        <w:t>事业单位医疗</w:t>
      </w:r>
      <w:r>
        <w:rPr>
          <w:rStyle w:val="18"/>
          <w:rFonts w:hint="default" w:ascii="Times New Roman" w:hAnsi="Times New Roman" w:eastAsia="仿宋_GB2312" w:cs="Times New Roman"/>
          <w:bCs/>
          <w:color w:val="auto"/>
          <w:sz w:val="32"/>
          <w:szCs w:val="32"/>
          <w:lang w:val="en-US" w:eastAsia="zh-CN"/>
        </w:rPr>
        <w:t>支出</w:t>
      </w:r>
      <w:r>
        <w:rPr>
          <w:rStyle w:val="18"/>
          <w:rFonts w:hint="default" w:ascii="Times New Roman" w:hAnsi="Times New Roman" w:eastAsia="仿宋_GB2312" w:cs="Times New Roman"/>
          <w:bCs/>
          <w:color w:val="auto"/>
          <w:sz w:val="32"/>
          <w:szCs w:val="32"/>
        </w:rPr>
        <w:t>（项）:</w:t>
      </w:r>
      <w:r>
        <w:rPr>
          <w:rStyle w:val="18"/>
          <w:rFonts w:hint="default" w:ascii="Times New Roman" w:hAnsi="Times New Roman" w:eastAsia="仿宋_GB2312" w:cs="Times New Roman"/>
          <w:b w:val="0"/>
          <w:bCs/>
          <w:color w:val="auto"/>
          <w:sz w:val="32"/>
          <w:szCs w:val="32"/>
        </w:rPr>
        <w:t>支出决算为</w:t>
      </w:r>
      <w:r>
        <w:rPr>
          <w:rStyle w:val="18"/>
          <w:rFonts w:hint="default" w:ascii="Times New Roman" w:hAnsi="Times New Roman" w:eastAsia="仿宋_GB2312" w:cs="Times New Roman"/>
          <w:b w:val="0"/>
          <w:bCs/>
          <w:color w:val="auto"/>
          <w:sz w:val="32"/>
          <w:szCs w:val="32"/>
          <w:lang w:val="en-US" w:eastAsia="zh-CN"/>
        </w:rPr>
        <w:t>1.5</w:t>
      </w:r>
      <w:r>
        <w:rPr>
          <w:rStyle w:val="18"/>
          <w:rFonts w:hint="default" w:ascii="Times New Roman" w:hAnsi="Times New Roman" w:eastAsia="仿宋_GB2312" w:cs="Times New Roman"/>
          <w:b w:val="0"/>
          <w:bCs/>
          <w:color w:val="auto"/>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8"/>
          <w:rFonts w:hint="default" w:ascii="Times New Roman" w:hAnsi="Times New Roman" w:eastAsia="仿宋_GB2312" w:cs="Times New Roman"/>
          <w:bCs/>
          <w:color w:val="auto"/>
          <w:sz w:val="32"/>
          <w:szCs w:val="32"/>
        </w:rPr>
      </w:pPr>
      <w:r>
        <w:rPr>
          <w:rStyle w:val="18"/>
          <w:rFonts w:hint="default" w:ascii="Times New Roman" w:hAnsi="Times New Roman" w:eastAsia="仿宋_GB2312" w:cs="Times New Roman"/>
          <w:bCs/>
          <w:color w:val="auto"/>
          <w:sz w:val="32"/>
          <w:szCs w:val="32"/>
          <w:lang w:val="en-US" w:eastAsia="zh-CN"/>
        </w:rPr>
        <w:t>8</w:t>
      </w:r>
      <w:r>
        <w:rPr>
          <w:rStyle w:val="18"/>
          <w:rFonts w:hint="default" w:ascii="Times New Roman" w:hAnsi="Times New Roman" w:eastAsia="仿宋_GB2312" w:cs="Times New Roman"/>
          <w:bCs/>
          <w:color w:val="auto"/>
          <w:sz w:val="32"/>
          <w:szCs w:val="32"/>
        </w:rPr>
        <w:t>.</w:t>
      </w:r>
      <w:r>
        <w:rPr>
          <w:rStyle w:val="18"/>
          <w:rFonts w:hint="default" w:ascii="Times New Roman" w:hAnsi="Times New Roman" w:eastAsia="仿宋_GB2312" w:cs="Times New Roman"/>
          <w:bCs/>
          <w:color w:val="auto"/>
          <w:sz w:val="32"/>
          <w:szCs w:val="32"/>
          <w:lang w:val="en-US" w:eastAsia="zh-CN"/>
        </w:rPr>
        <w:t>节能环保支出</w:t>
      </w:r>
      <w:r>
        <w:rPr>
          <w:rStyle w:val="18"/>
          <w:rFonts w:hint="default" w:ascii="Times New Roman" w:hAnsi="Times New Roman" w:eastAsia="仿宋_GB2312" w:cs="Times New Roman"/>
          <w:bCs/>
          <w:color w:val="auto"/>
          <w:sz w:val="32"/>
          <w:szCs w:val="32"/>
        </w:rPr>
        <w:t>（类）</w:t>
      </w:r>
      <w:r>
        <w:rPr>
          <w:rStyle w:val="18"/>
          <w:rFonts w:hint="default" w:ascii="Times New Roman" w:hAnsi="Times New Roman" w:eastAsia="仿宋_GB2312" w:cs="Times New Roman"/>
          <w:bCs/>
          <w:color w:val="auto"/>
          <w:sz w:val="32"/>
          <w:szCs w:val="32"/>
          <w:lang w:val="en-US" w:eastAsia="zh-CN"/>
        </w:rPr>
        <w:t>自然生态保护</w:t>
      </w:r>
      <w:r>
        <w:rPr>
          <w:rStyle w:val="18"/>
          <w:rFonts w:hint="default" w:ascii="Times New Roman" w:hAnsi="Times New Roman" w:eastAsia="仿宋_GB2312" w:cs="Times New Roman"/>
          <w:bCs/>
          <w:color w:val="auto"/>
          <w:sz w:val="32"/>
          <w:szCs w:val="32"/>
        </w:rPr>
        <w:t>（款）</w:t>
      </w:r>
      <w:r>
        <w:rPr>
          <w:rStyle w:val="18"/>
          <w:rFonts w:hint="default" w:ascii="Times New Roman" w:hAnsi="Times New Roman" w:eastAsia="仿宋_GB2312" w:cs="Times New Roman"/>
          <w:bCs/>
          <w:color w:val="auto"/>
          <w:sz w:val="32"/>
          <w:szCs w:val="32"/>
          <w:lang w:val="en-US" w:eastAsia="zh-CN"/>
        </w:rPr>
        <w:t>生态保护</w:t>
      </w:r>
      <w:r>
        <w:rPr>
          <w:rStyle w:val="18"/>
          <w:rFonts w:hint="default" w:ascii="Times New Roman" w:hAnsi="Times New Roman" w:eastAsia="仿宋_GB2312" w:cs="Times New Roman"/>
          <w:bCs/>
          <w:color w:val="auto"/>
          <w:sz w:val="32"/>
          <w:szCs w:val="32"/>
        </w:rPr>
        <w:t>（项）:</w:t>
      </w:r>
      <w:r>
        <w:rPr>
          <w:rStyle w:val="18"/>
          <w:rFonts w:hint="default" w:ascii="Times New Roman" w:hAnsi="Times New Roman" w:eastAsia="仿宋_GB2312" w:cs="Times New Roman"/>
          <w:b w:val="0"/>
          <w:bCs/>
          <w:color w:val="auto"/>
          <w:sz w:val="32"/>
          <w:szCs w:val="32"/>
        </w:rPr>
        <w:t xml:space="preserve"> 支出决算为</w:t>
      </w:r>
      <w:r>
        <w:rPr>
          <w:rStyle w:val="18"/>
          <w:rFonts w:hint="default" w:ascii="Times New Roman" w:hAnsi="Times New Roman" w:eastAsia="仿宋_GB2312" w:cs="Times New Roman"/>
          <w:b w:val="0"/>
          <w:bCs/>
          <w:color w:val="auto"/>
          <w:sz w:val="32"/>
          <w:szCs w:val="32"/>
          <w:lang w:val="en-US" w:eastAsia="zh-CN"/>
        </w:rPr>
        <w:t>506.68</w:t>
      </w:r>
      <w:r>
        <w:rPr>
          <w:rStyle w:val="18"/>
          <w:rFonts w:hint="default" w:ascii="Times New Roman" w:hAnsi="Times New Roman" w:eastAsia="仿宋_GB2312" w:cs="Times New Roman"/>
          <w:b w:val="0"/>
          <w:bCs/>
          <w:color w:val="auto"/>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Cs/>
          <w:color w:val="auto"/>
          <w:sz w:val="32"/>
          <w:szCs w:val="32"/>
          <w:lang w:val="en-US" w:eastAsia="zh-CN"/>
        </w:rPr>
        <w:t>9</w:t>
      </w:r>
      <w:r>
        <w:rPr>
          <w:rStyle w:val="18"/>
          <w:rFonts w:hint="default" w:ascii="Times New Roman" w:hAnsi="Times New Roman" w:eastAsia="仿宋_GB2312" w:cs="Times New Roman"/>
          <w:bCs/>
          <w:color w:val="auto"/>
          <w:sz w:val="32"/>
          <w:szCs w:val="32"/>
        </w:rPr>
        <w:t>.城乡社区支出（类）城乡社区</w:t>
      </w:r>
      <w:r>
        <w:rPr>
          <w:rStyle w:val="18"/>
          <w:rFonts w:hint="default" w:ascii="Times New Roman" w:hAnsi="Times New Roman" w:eastAsia="仿宋_GB2312" w:cs="Times New Roman"/>
          <w:bCs/>
          <w:color w:val="auto"/>
          <w:sz w:val="32"/>
          <w:szCs w:val="32"/>
          <w:lang w:val="en-US" w:eastAsia="zh-CN"/>
        </w:rPr>
        <w:t>管理事务</w:t>
      </w:r>
      <w:r>
        <w:rPr>
          <w:rStyle w:val="18"/>
          <w:rFonts w:hint="default" w:ascii="Times New Roman" w:hAnsi="Times New Roman" w:eastAsia="仿宋_GB2312" w:cs="Times New Roman"/>
          <w:bCs/>
          <w:color w:val="auto"/>
          <w:sz w:val="32"/>
          <w:szCs w:val="32"/>
        </w:rPr>
        <w:t>（款）</w:t>
      </w:r>
      <w:r>
        <w:rPr>
          <w:rStyle w:val="18"/>
          <w:rFonts w:hint="default" w:ascii="Times New Roman" w:hAnsi="Times New Roman" w:eastAsia="仿宋_GB2312" w:cs="Times New Roman"/>
          <w:bCs/>
          <w:color w:val="auto"/>
          <w:sz w:val="32"/>
          <w:szCs w:val="32"/>
          <w:lang w:val="en-US" w:eastAsia="zh-CN"/>
        </w:rPr>
        <w:t>行政运行</w:t>
      </w:r>
      <w:r>
        <w:rPr>
          <w:rStyle w:val="18"/>
          <w:rFonts w:hint="default" w:ascii="Times New Roman" w:hAnsi="Times New Roman" w:eastAsia="仿宋_GB2312" w:cs="Times New Roman"/>
          <w:bCs/>
          <w:color w:val="auto"/>
          <w:sz w:val="32"/>
          <w:szCs w:val="32"/>
        </w:rPr>
        <w:t>（项）:</w:t>
      </w:r>
      <w:r>
        <w:rPr>
          <w:rStyle w:val="18"/>
          <w:rFonts w:hint="default" w:ascii="Times New Roman" w:hAnsi="Times New Roman" w:eastAsia="仿宋_GB2312" w:cs="Times New Roman"/>
          <w:b w:val="0"/>
          <w:bCs/>
          <w:color w:val="auto"/>
          <w:sz w:val="32"/>
          <w:szCs w:val="32"/>
        </w:rPr>
        <w:t>支出决算为</w:t>
      </w:r>
      <w:r>
        <w:rPr>
          <w:rStyle w:val="18"/>
          <w:rFonts w:hint="default" w:ascii="Times New Roman" w:hAnsi="Times New Roman" w:eastAsia="仿宋_GB2312" w:cs="Times New Roman"/>
          <w:b w:val="0"/>
          <w:bCs/>
          <w:color w:val="auto"/>
          <w:sz w:val="32"/>
          <w:szCs w:val="32"/>
          <w:lang w:val="en-US" w:eastAsia="zh-CN"/>
        </w:rPr>
        <w:t>267.63</w:t>
      </w:r>
      <w:r>
        <w:rPr>
          <w:rStyle w:val="18"/>
          <w:rFonts w:hint="default" w:ascii="Times New Roman" w:hAnsi="Times New Roman" w:eastAsia="仿宋_GB2312" w:cs="Times New Roman"/>
          <w:b w:val="0"/>
          <w:bCs/>
          <w:color w:val="auto"/>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color w:val="auto"/>
          <w:sz w:val="32"/>
          <w:szCs w:val="32"/>
        </w:rPr>
      </w:pPr>
      <w:r>
        <w:rPr>
          <w:rStyle w:val="18"/>
          <w:rFonts w:hint="default" w:ascii="Times New Roman" w:hAnsi="Times New Roman" w:eastAsia="仿宋_GB2312" w:cs="Times New Roman"/>
          <w:bCs/>
          <w:color w:val="auto"/>
          <w:sz w:val="32"/>
          <w:szCs w:val="32"/>
          <w:lang w:val="en-US" w:eastAsia="zh-CN"/>
        </w:rPr>
        <w:t>10</w:t>
      </w:r>
      <w:r>
        <w:rPr>
          <w:rStyle w:val="18"/>
          <w:rFonts w:hint="default" w:ascii="Times New Roman" w:hAnsi="Times New Roman" w:eastAsia="仿宋_GB2312" w:cs="Times New Roman"/>
          <w:bCs/>
          <w:color w:val="auto"/>
          <w:sz w:val="32"/>
          <w:szCs w:val="32"/>
        </w:rPr>
        <w:t>.城乡社区支出（类）城乡社区</w:t>
      </w:r>
      <w:r>
        <w:rPr>
          <w:rStyle w:val="18"/>
          <w:rFonts w:hint="default" w:ascii="Times New Roman" w:hAnsi="Times New Roman" w:eastAsia="仿宋_GB2312" w:cs="Times New Roman"/>
          <w:bCs/>
          <w:color w:val="auto"/>
          <w:sz w:val="32"/>
          <w:szCs w:val="32"/>
          <w:lang w:val="en-US" w:eastAsia="zh-CN"/>
        </w:rPr>
        <w:t>管理事务</w:t>
      </w:r>
      <w:r>
        <w:rPr>
          <w:rStyle w:val="18"/>
          <w:rFonts w:hint="default" w:ascii="Times New Roman" w:hAnsi="Times New Roman" w:eastAsia="仿宋_GB2312" w:cs="Times New Roman"/>
          <w:bCs/>
          <w:color w:val="auto"/>
          <w:sz w:val="32"/>
          <w:szCs w:val="32"/>
        </w:rPr>
        <w:t>（款）</w:t>
      </w:r>
      <w:r>
        <w:rPr>
          <w:rStyle w:val="18"/>
          <w:rFonts w:hint="default" w:ascii="Times New Roman" w:hAnsi="Times New Roman" w:eastAsia="仿宋_GB2312" w:cs="Times New Roman"/>
          <w:bCs/>
          <w:color w:val="auto"/>
          <w:sz w:val="32"/>
          <w:szCs w:val="32"/>
          <w:lang w:val="en-US" w:eastAsia="zh-CN"/>
        </w:rPr>
        <w:t>城管执法</w:t>
      </w:r>
      <w:r>
        <w:rPr>
          <w:rStyle w:val="18"/>
          <w:rFonts w:hint="default" w:ascii="Times New Roman" w:hAnsi="Times New Roman" w:eastAsia="仿宋_GB2312" w:cs="Times New Roman"/>
          <w:bCs/>
          <w:color w:val="auto"/>
          <w:sz w:val="32"/>
          <w:szCs w:val="32"/>
        </w:rPr>
        <w:t>（项）:</w:t>
      </w:r>
      <w:r>
        <w:rPr>
          <w:rStyle w:val="18"/>
          <w:rFonts w:hint="default" w:ascii="Times New Roman" w:hAnsi="Times New Roman" w:eastAsia="仿宋_GB2312" w:cs="Times New Roman"/>
          <w:b w:val="0"/>
          <w:bCs/>
          <w:color w:val="auto"/>
          <w:sz w:val="32"/>
          <w:szCs w:val="32"/>
        </w:rPr>
        <w:t>支出决算为</w:t>
      </w:r>
      <w:r>
        <w:rPr>
          <w:rStyle w:val="18"/>
          <w:rFonts w:hint="default" w:ascii="Times New Roman" w:hAnsi="Times New Roman" w:eastAsia="仿宋_GB2312" w:cs="Times New Roman"/>
          <w:b w:val="0"/>
          <w:bCs/>
          <w:color w:val="auto"/>
          <w:sz w:val="32"/>
          <w:szCs w:val="32"/>
          <w:lang w:val="en-US" w:eastAsia="zh-CN"/>
        </w:rPr>
        <w:t>111.94</w:t>
      </w:r>
      <w:r>
        <w:rPr>
          <w:rStyle w:val="18"/>
          <w:rFonts w:hint="default" w:ascii="Times New Roman" w:hAnsi="Times New Roman" w:eastAsia="仿宋_GB2312" w:cs="Times New Roman"/>
          <w:b w:val="0"/>
          <w:bCs/>
          <w:color w:val="auto"/>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color w:val="auto"/>
          <w:sz w:val="32"/>
          <w:szCs w:val="32"/>
        </w:rPr>
      </w:pPr>
      <w:r>
        <w:rPr>
          <w:rStyle w:val="18"/>
          <w:rFonts w:hint="default" w:ascii="Times New Roman" w:hAnsi="Times New Roman" w:eastAsia="仿宋_GB2312" w:cs="Times New Roman"/>
          <w:bCs/>
          <w:color w:val="auto"/>
          <w:sz w:val="32"/>
          <w:szCs w:val="32"/>
          <w:lang w:val="en-US" w:eastAsia="zh-CN"/>
        </w:rPr>
        <w:t>11</w:t>
      </w:r>
      <w:r>
        <w:rPr>
          <w:rStyle w:val="18"/>
          <w:rFonts w:hint="default" w:ascii="Times New Roman" w:hAnsi="Times New Roman" w:eastAsia="仿宋_GB2312" w:cs="Times New Roman"/>
          <w:bCs/>
          <w:color w:val="auto"/>
          <w:sz w:val="32"/>
          <w:szCs w:val="32"/>
        </w:rPr>
        <w:t>.城乡社区支出（类）城乡社区</w:t>
      </w:r>
      <w:r>
        <w:rPr>
          <w:rStyle w:val="18"/>
          <w:rFonts w:hint="default" w:ascii="Times New Roman" w:hAnsi="Times New Roman" w:eastAsia="仿宋_GB2312" w:cs="Times New Roman"/>
          <w:bCs/>
          <w:color w:val="auto"/>
          <w:sz w:val="32"/>
          <w:szCs w:val="32"/>
          <w:lang w:val="en-US" w:eastAsia="zh-CN"/>
        </w:rPr>
        <w:t>公共设施</w:t>
      </w:r>
      <w:r>
        <w:rPr>
          <w:rStyle w:val="18"/>
          <w:rFonts w:hint="default" w:ascii="Times New Roman" w:hAnsi="Times New Roman" w:eastAsia="仿宋_GB2312" w:cs="Times New Roman"/>
          <w:bCs/>
          <w:color w:val="auto"/>
          <w:sz w:val="32"/>
          <w:szCs w:val="32"/>
        </w:rPr>
        <w:t>（款）</w:t>
      </w:r>
      <w:r>
        <w:rPr>
          <w:rStyle w:val="18"/>
          <w:rFonts w:hint="default" w:ascii="Times New Roman" w:hAnsi="Times New Roman" w:eastAsia="仿宋_GB2312" w:cs="Times New Roman"/>
          <w:bCs/>
          <w:color w:val="auto"/>
          <w:sz w:val="32"/>
          <w:szCs w:val="32"/>
          <w:lang w:val="en-US" w:eastAsia="zh-CN"/>
        </w:rPr>
        <w:t>小城镇基础设施建设</w:t>
      </w:r>
      <w:r>
        <w:rPr>
          <w:rStyle w:val="18"/>
          <w:rFonts w:hint="default" w:ascii="Times New Roman" w:hAnsi="Times New Roman" w:eastAsia="仿宋_GB2312" w:cs="Times New Roman"/>
          <w:bCs/>
          <w:color w:val="auto"/>
          <w:sz w:val="32"/>
          <w:szCs w:val="32"/>
        </w:rPr>
        <w:t>（项）:</w:t>
      </w:r>
      <w:r>
        <w:rPr>
          <w:rStyle w:val="18"/>
          <w:rFonts w:hint="default" w:ascii="Times New Roman" w:hAnsi="Times New Roman" w:eastAsia="仿宋_GB2312" w:cs="Times New Roman"/>
          <w:b w:val="0"/>
          <w:bCs/>
          <w:color w:val="auto"/>
          <w:sz w:val="32"/>
          <w:szCs w:val="32"/>
        </w:rPr>
        <w:t>支出决算为</w:t>
      </w:r>
      <w:r>
        <w:rPr>
          <w:rStyle w:val="18"/>
          <w:rFonts w:hint="default" w:ascii="Times New Roman" w:hAnsi="Times New Roman" w:eastAsia="仿宋_GB2312" w:cs="Times New Roman"/>
          <w:b w:val="0"/>
          <w:bCs/>
          <w:color w:val="auto"/>
          <w:sz w:val="32"/>
          <w:szCs w:val="32"/>
          <w:lang w:val="en-US" w:eastAsia="zh-CN"/>
        </w:rPr>
        <w:t>577.28</w:t>
      </w:r>
      <w:r>
        <w:rPr>
          <w:rStyle w:val="18"/>
          <w:rFonts w:hint="default" w:ascii="Times New Roman" w:hAnsi="Times New Roman" w:eastAsia="仿宋_GB2312" w:cs="Times New Roman"/>
          <w:b w:val="0"/>
          <w:bCs/>
          <w:color w:val="auto"/>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Cs/>
          <w:color w:val="auto"/>
          <w:sz w:val="32"/>
          <w:szCs w:val="32"/>
          <w:lang w:val="en-US" w:eastAsia="zh-CN"/>
        </w:rPr>
        <w:t>12</w:t>
      </w:r>
      <w:r>
        <w:rPr>
          <w:rStyle w:val="18"/>
          <w:rFonts w:hint="default" w:ascii="Times New Roman" w:hAnsi="Times New Roman" w:eastAsia="仿宋_GB2312" w:cs="Times New Roman"/>
          <w:bCs/>
          <w:color w:val="auto"/>
          <w:sz w:val="32"/>
          <w:szCs w:val="32"/>
        </w:rPr>
        <w:t>.城乡社区支出（类）城乡社区</w:t>
      </w:r>
      <w:r>
        <w:rPr>
          <w:rStyle w:val="18"/>
          <w:rFonts w:hint="default" w:ascii="Times New Roman" w:hAnsi="Times New Roman" w:eastAsia="仿宋_GB2312" w:cs="Times New Roman"/>
          <w:bCs/>
          <w:color w:val="auto"/>
          <w:sz w:val="32"/>
          <w:szCs w:val="32"/>
          <w:lang w:val="en-US" w:eastAsia="zh-CN"/>
        </w:rPr>
        <w:t>公共设施</w:t>
      </w:r>
      <w:r>
        <w:rPr>
          <w:rStyle w:val="18"/>
          <w:rFonts w:hint="default" w:ascii="Times New Roman" w:hAnsi="Times New Roman" w:eastAsia="仿宋_GB2312" w:cs="Times New Roman"/>
          <w:bCs/>
          <w:color w:val="auto"/>
          <w:sz w:val="32"/>
          <w:szCs w:val="32"/>
        </w:rPr>
        <w:t>（款）</w:t>
      </w:r>
      <w:r>
        <w:rPr>
          <w:rStyle w:val="18"/>
          <w:rFonts w:hint="default" w:ascii="Times New Roman" w:hAnsi="Times New Roman" w:eastAsia="仿宋_GB2312" w:cs="Times New Roman"/>
          <w:bCs/>
          <w:color w:val="auto"/>
          <w:sz w:val="32"/>
          <w:szCs w:val="32"/>
          <w:lang w:val="en-US" w:eastAsia="zh-CN"/>
        </w:rPr>
        <w:t>其他城乡社区公共设施卫生</w:t>
      </w:r>
      <w:r>
        <w:rPr>
          <w:rStyle w:val="18"/>
          <w:rFonts w:hint="default" w:ascii="Times New Roman" w:hAnsi="Times New Roman" w:eastAsia="仿宋_GB2312" w:cs="Times New Roman"/>
          <w:bCs/>
          <w:color w:val="auto"/>
          <w:sz w:val="32"/>
          <w:szCs w:val="32"/>
        </w:rPr>
        <w:t>（项）:</w:t>
      </w:r>
      <w:r>
        <w:rPr>
          <w:rStyle w:val="18"/>
          <w:rFonts w:hint="default" w:ascii="Times New Roman" w:hAnsi="Times New Roman" w:eastAsia="仿宋_GB2312" w:cs="Times New Roman"/>
          <w:b w:val="0"/>
          <w:bCs/>
          <w:color w:val="auto"/>
          <w:sz w:val="32"/>
          <w:szCs w:val="32"/>
        </w:rPr>
        <w:t>支出决算为</w:t>
      </w:r>
      <w:r>
        <w:rPr>
          <w:rStyle w:val="18"/>
          <w:rFonts w:hint="default" w:ascii="Times New Roman" w:hAnsi="Times New Roman" w:eastAsia="仿宋_GB2312" w:cs="Times New Roman"/>
          <w:b w:val="0"/>
          <w:bCs/>
          <w:color w:val="auto"/>
          <w:sz w:val="32"/>
          <w:szCs w:val="32"/>
          <w:lang w:val="en-US" w:eastAsia="zh-CN"/>
        </w:rPr>
        <w:t>49.25</w:t>
      </w:r>
      <w:r>
        <w:rPr>
          <w:rStyle w:val="18"/>
          <w:rFonts w:hint="default" w:ascii="Times New Roman" w:hAnsi="Times New Roman" w:eastAsia="仿宋_GB2312" w:cs="Times New Roman"/>
          <w:b w:val="0"/>
          <w:bCs/>
          <w:color w:val="auto"/>
          <w:sz w:val="32"/>
          <w:szCs w:val="32"/>
        </w:rPr>
        <w:t>万元，完成预算100%，决算数等于预算数。</w:t>
      </w:r>
    </w:p>
    <w:p>
      <w:pPr>
        <w:pStyle w:val="20"/>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rPr>
      </w:pPr>
      <w:r>
        <w:rPr>
          <w:rStyle w:val="18"/>
          <w:rFonts w:hint="default" w:ascii="Times New Roman" w:hAnsi="Times New Roman" w:eastAsia="仿宋_GB2312" w:cs="Times New Roman"/>
          <w:bCs/>
          <w:color w:val="auto"/>
          <w:sz w:val="32"/>
          <w:szCs w:val="32"/>
          <w:lang w:val="en-US" w:eastAsia="zh-CN"/>
        </w:rPr>
        <w:t>13</w:t>
      </w:r>
      <w:r>
        <w:rPr>
          <w:rStyle w:val="18"/>
          <w:rFonts w:hint="default" w:ascii="Times New Roman" w:hAnsi="Times New Roman" w:eastAsia="仿宋_GB2312" w:cs="Times New Roman"/>
          <w:bCs/>
          <w:color w:val="auto"/>
          <w:sz w:val="32"/>
          <w:szCs w:val="32"/>
        </w:rPr>
        <w:t>.城乡社区支出（类）城乡社区</w:t>
      </w:r>
      <w:r>
        <w:rPr>
          <w:rStyle w:val="18"/>
          <w:rFonts w:hint="default" w:ascii="Times New Roman" w:hAnsi="Times New Roman" w:eastAsia="仿宋_GB2312" w:cs="Times New Roman"/>
          <w:bCs/>
          <w:color w:val="auto"/>
          <w:sz w:val="32"/>
          <w:szCs w:val="32"/>
          <w:lang w:val="en-US" w:eastAsia="zh-CN"/>
        </w:rPr>
        <w:t>环境卫生</w:t>
      </w:r>
      <w:r>
        <w:rPr>
          <w:rStyle w:val="18"/>
          <w:rFonts w:hint="default" w:ascii="Times New Roman" w:hAnsi="Times New Roman" w:eastAsia="仿宋_GB2312" w:cs="Times New Roman"/>
          <w:bCs/>
          <w:color w:val="auto"/>
          <w:sz w:val="32"/>
          <w:szCs w:val="32"/>
        </w:rPr>
        <w:t>（款）</w:t>
      </w:r>
      <w:r>
        <w:rPr>
          <w:rStyle w:val="18"/>
          <w:rFonts w:hint="default" w:ascii="Times New Roman" w:hAnsi="Times New Roman" w:eastAsia="仿宋_GB2312" w:cs="Times New Roman"/>
          <w:bCs/>
          <w:color w:val="auto"/>
          <w:sz w:val="32"/>
          <w:szCs w:val="32"/>
          <w:lang w:val="en-US" w:eastAsia="zh-CN"/>
        </w:rPr>
        <w:t>城乡社区环境卫生</w:t>
      </w:r>
      <w:r>
        <w:rPr>
          <w:rStyle w:val="18"/>
          <w:rFonts w:hint="default" w:ascii="Times New Roman" w:hAnsi="Times New Roman" w:eastAsia="仿宋_GB2312" w:cs="Times New Roman"/>
          <w:bCs/>
          <w:color w:val="auto"/>
          <w:sz w:val="32"/>
          <w:szCs w:val="32"/>
        </w:rPr>
        <w:t>（项）:</w:t>
      </w:r>
      <w:r>
        <w:rPr>
          <w:rStyle w:val="18"/>
          <w:rFonts w:hint="default" w:ascii="Times New Roman" w:hAnsi="Times New Roman" w:eastAsia="仿宋_GB2312" w:cs="Times New Roman"/>
          <w:b w:val="0"/>
          <w:bCs/>
          <w:color w:val="auto"/>
          <w:sz w:val="32"/>
          <w:szCs w:val="32"/>
        </w:rPr>
        <w:t>支出决算为</w:t>
      </w:r>
      <w:r>
        <w:rPr>
          <w:rStyle w:val="18"/>
          <w:rFonts w:hint="default" w:ascii="Times New Roman" w:hAnsi="Times New Roman" w:eastAsia="仿宋_GB2312" w:cs="Times New Roman"/>
          <w:b w:val="0"/>
          <w:bCs/>
          <w:color w:val="auto"/>
          <w:sz w:val="32"/>
          <w:szCs w:val="32"/>
          <w:lang w:val="en-US" w:eastAsia="zh-CN"/>
        </w:rPr>
        <w:t>579.62</w:t>
      </w:r>
      <w:r>
        <w:rPr>
          <w:rStyle w:val="18"/>
          <w:rFonts w:hint="default" w:ascii="Times New Roman" w:hAnsi="Times New Roman" w:eastAsia="仿宋_GB2312" w:cs="Times New Roman"/>
          <w:b w:val="0"/>
          <w:bCs/>
          <w:color w:val="auto"/>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Cs/>
          <w:color w:val="auto"/>
          <w:sz w:val="32"/>
          <w:szCs w:val="32"/>
          <w:lang w:val="en-US" w:eastAsia="zh-CN"/>
        </w:rPr>
        <w:t>14</w:t>
      </w:r>
      <w:r>
        <w:rPr>
          <w:rStyle w:val="18"/>
          <w:rFonts w:hint="default" w:ascii="Times New Roman" w:hAnsi="Times New Roman" w:eastAsia="仿宋_GB2312" w:cs="Times New Roman"/>
          <w:bCs/>
          <w:color w:val="auto"/>
          <w:sz w:val="32"/>
          <w:szCs w:val="32"/>
        </w:rPr>
        <w:t>.住房保障支出（类）住房改革支出（款）住房公积金（项）:</w:t>
      </w:r>
      <w:r>
        <w:rPr>
          <w:rStyle w:val="18"/>
          <w:rFonts w:hint="default" w:ascii="Times New Roman" w:hAnsi="Times New Roman" w:eastAsia="仿宋_GB2312" w:cs="Times New Roman"/>
          <w:b w:val="0"/>
          <w:bCs/>
          <w:color w:val="auto"/>
          <w:sz w:val="32"/>
          <w:szCs w:val="32"/>
        </w:rPr>
        <w:t>支出决算为</w:t>
      </w:r>
      <w:r>
        <w:rPr>
          <w:rStyle w:val="18"/>
          <w:rFonts w:hint="default" w:ascii="Times New Roman" w:hAnsi="Times New Roman" w:eastAsia="仿宋_GB2312" w:cs="Times New Roman"/>
          <w:b w:val="0"/>
          <w:bCs/>
          <w:color w:val="auto"/>
          <w:sz w:val="32"/>
          <w:szCs w:val="32"/>
          <w:lang w:val="en-US" w:eastAsia="zh-CN"/>
        </w:rPr>
        <w:t>18.89</w:t>
      </w:r>
      <w:r>
        <w:rPr>
          <w:rStyle w:val="18"/>
          <w:rFonts w:hint="default" w:ascii="Times New Roman" w:hAnsi="Times New Roman" w:eastAsia="仿宋_GB2312" w:cs="Times New Roman"/>
          <w:b w:val="0"/>
          <w:bCs/>
          <w:color w:val="auto"/>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Cs/>
          <w:color w:val="auto"/>
          <w:sz w:val="32"/>
          <w:szCs w:val="32"/>
          <w:lang w:val="en-US" w:eastAsia="zh-CN"/>
        </w:rPr>
        <w:t>15</w:t>
      </w:r>
      <w:r>
        <w:rPr>
          <w:rStyle w:val="18"/>
          <w:rFonts w:hint="default" w:ascii="Times New Roman" w:hAnsi="Times New Roman" w:eastAsia="仿宋_GB2312" w:cs="Times New Roman"/>
          <w:bCs/>
          <w:color w:val="auto"/>
          <w:sz w:val="32"/>
          <w:szCs w:val="32"/>
        </w:rPr>
        <w:t>.</w:t>
      </w:r>
      <w:r>
        <w:rPr>
          <w:rStyle w:val="18"/>
          <w:rFonts w:hint="default" w:ascii="Times New Roman" w:hAnsi="Times New Roman" w:eastAsia="仿宋_GB2312" w:cs="Times New Roman"/>
          <w:bCs/>
          <w:color w:val="auto"/>
          <w:sz w:val="32"/>
          <w:szCs w:val="32"/>
          <w:lang w:val="en-US" w:eastAsia="zh-CN"/>
        </w:rPr>
        <w:t>其他支出</w:t>
      </w:r>
      <w:r>
        <w:rPr>
          <w:rStyle w:val="18"/>
          <w:rFonts w:hint="default" w:ascii="Times New Roman" w:hAnsi="Times New Roman" w:eastAsia="仿宋_GB2312" w:cs="Times New Roman"/>
          <w:bCs/>
          <w:color w:val="auto"/>
          <w:sz w:val="32"/>
          <w:szCs w:val="32"/>
        </w:rPr>
        <w:t>（类）</w:t>
      </w:r>
      <w:r>
        <w:rPr>
          <w:rStyle w:val="18"/>
          <w:rFonts w:hint="default" w:ascii="Times New Roman" w:hAnsi="Times New Roman" w:eastAsia="仿宋_GB2312" w:cs="Times New Roman"/>
          <w:bCs/>
          <w:color w:val="auto"/>
          <w:sz w:val="32"/>
          <w:szCs w:val="32"/>
          <w:lang w:val="en-US" w:eastAsia="zh-CN"/>
        </w:rPr>
        <w:t>其他</w:t>
      </w:r>
      <w:r>
        <w:rPr>
          <w:rStyle w:val="18"/>
          <w:rFonts w:hint="default" w:ascii="Times New Roman" w:hAnsi="Times New Roman" w:eastAsia="仿宋_GB2312" w:cs="Times New Roman"/>
          <w:bCs/>
          <w:color w:val="auto"/>
          <w:sz w:val="32"/>
          <w:szCs w:val="32"/>
        </w:rPr>
        <w:t>支出（款）</w:t>
      </w:r>
      <w:r>
        <w:rPr>
          <w:rStyle w:val="18"/>
          <w:rFonts w:hint="default" w:ascii="Times New Roman" w:hAnsi="Times New Roman" w:eastAsia="仿宋_GB2312" w:cs="Times New Roman"/>
          <w:bCs/>
          <w:color w:val="auto"/>
          <w:sz w:val="32"/>
          <w:szCs w:val="32"/>
          <w:lang w:val="en-US" w:eastAsia="zh-CN"/>
        </w:rPr>
        <w:t>其他支出</w:t>
      </w:r>
      <w:r>
        <w:rPr>
          <w:rStyle w:val="18"/>
          <w:rFonts w:hint="default" w:ascii="Times New Roman" w:hAnsi="Times New Roman" w:eastAsia="仿宋_GB2312" w:cs="Times New Roman"/>
          <w:bCs/>
          <w:color w:val="auto"/>
          <w:sz w:val="32"/>
          <w:szCs w:val="32"/>
        </w:rPr>
        <w:t>（项）:</w:t>
      </w:r>
      <w:r>
        <w:rPr>
          <w:rStyle w:val="18"/>
          <w:rFonts w:hint="default" w:ascii="Times New Roman" w:hAnsi="Times New Roman" w:eastAsia="仿宋_GB2312" w:cs="Times New Roman"/>
          <w:b w:val="0"/>
          <w:bCs/>
          <w:color w:val="auto"/>
          <w:sz w:val="32"/>
          <w:szCs w:val="32"/>
        </w:rPr>
        <w:t>支出决算为</w:t>
      </w:r>
      <w:r>
        <w:rPr>
          <w:rStyle w:val="18"/>
          <w:rFonts w:hint="default" w:ascii="Times New Roman" w:hAnsi="Times New Roman" w:eastAsia="仿宋_GB2312" w:cs="Times New Roman"/>
          <w:b w:val="0"/>
          <w:bCs/>
          <w:color w:val="auto"/>
          <w:sz w:val="32"/>
          <w:szCs w:val="32"/>
          <w:lang w:val="en-US" w:eastAsia="zh-CN"/>
        </w:rPr>
        <w:t>96.84</w:t>
      </w:r>
      <w:r>
        <w:rPr>
          <w:rStyle w:val="18"/>
          <w:rFonts w:hint="default" w:ascii="Times New Roman" w:hAnsi="Times New Roman" w:eastAsia="仿宋_GB2312" w:cs="Times New Roman"/>
          <w:b w:val="0"/>
          <w:bCs/>
          <w:color w:val="auto"/>
          <w:sz w:val="32"/>
          <w:szCs w:val="32"/>
        </w:rPr>
        <w:t>万元，完成预算100%，决算数等于预算数。</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firstLineChars="200"/>
        <w:textAlignment w:val="auto"/>
        <w:outlineLvl w:val="1"/>
        <w:rPr>
          <w:rStyle w:val="31"/>
          <w:rFonts w:hint="default" w:ascii="Times New Roman" w:hAnsi="Times New Roman" w:eastAsia="仿宋_GB2312" w:cs="Times New Roman"/>
          <w:color w:val="auto"/>
          <w:highlight w:val="none"/>
        </w:rPr>
      </w:pPr>
      <w:bookmarkStart w:id="43" w:name="_Toc15377214"/>
      <w:bookmarkStart w:id="44" w:name="_Toc15396608"/>
      <w:bookmarkStart w:id="45" w:name="_Toc3563"/>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般公共预算财政拨款基本支出决算情况说明</w:t>
      </w:r>
      <w:bookmarkEnd w:id="43"/>
      <w:bookmarkEnd w:id="44"/>
      <w:bookmarkEnd w:id="45"/>
      <w:r>
        <w:rPr>
          <w:rStyle w:val="31"/>
          <w:rFonts w:hint="default" w:ascii="Times New Roman" w:hAnsi="Times New Roman" w:eastAsia="仿宋_GB2312" w:cs="Times New Roman"/>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年一般公共预算财政拨款基本支出</w:t>
      </w:r>
      <w:r>
        <w:rPr>
          <w:rFonts w:hint="default" w:ascii="Times New Roman" w:hAnsi="Times New Roman" w:eastAsia="仿宋_GB2312" w:cs="Times New Roman"/>
          <w:color w:val="auto"/>
          <w:sz w:val="32"/>
          <w:szCs w:val="32"/>
          <w:highlight w:val="none"/>
          <w:lang w:val="en-US" w:eastAsia="zh-CN"/>
        </w:rPr>
        <w:t>444.9</w:t>
      </w:r>
      <w:r>
        <w:rPr>
          <w:rFonts w:hint="default" w:ascii="Times New Roman" w:hAnsi="Times New Roman" w:eastAsia="仿宋_GB2312" w:cs="Times New Roman"/>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人员经费</w:t>
      </w:r>
      <w:r>
        <w:rPr>
          <w:rFonts w:hint="default" w:ascii="Times New Roman" w:hAnsi="Times New Roman" w:eastAsia="仿宋_GB2312" w:cs="Times New Roman"/>
          <w:color w:val="auto"/>
          <w:sz w:val="32"/>
          <w:szCs w:val="32"/>
          <w:highlight w:val="none"/>
          <w:lang w:val="en-US" w:eastAsia="zh-CN"/>
        </w:rPr>
        <w:t>428.08</w:t>
      </w:r>
      <w:r>
        <w:rPr>
          <w:rFonts w:hint="default" w:ascii="Times New Roman" w:hAnsi="Times New Roman" w:eastAsia="仿宋_GB2312" w:cs="Times New Roman"/>
          <w:color w:val="auto"/>
          <w:sz w:val="32"/>
          <w:szCs w:val="32"/>
          <w:highlight w:val="none"/>
        </w:rPr>
        <w:t>万元，主要包括：基本工资、津贴补贴、奖金、绩效工资、机关事业单位基本养老保险缴费、职业年金缴费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职工基本医疗保险缴费</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公务员医疗补助经费、</w:t>
      </w:r>
      <w:r>
        <w:rPr>
          <w:rFonts w:hint="default" w:ascii="Times New Roman" w:hAnsi="Times New Roman" w:eastAsia="仿宋_GB2312" w:cs="Times New Roman"/>
          <w:color w:val="auto"/>
          <w:sz w:val="32"/>
          <w:szCs w:val="32"/>
          <w:highlight w:val="none"/>
        </w:rPr>
        <w:t>其他社会保障缴费、住房公积金、</w:t>
      </w:r>
      <w:r>
        <w:rPr>
          <w:rFonts w:hint="default" w:ascii="Times New Roman" w:hAnsi="Times New Roman" w:eastAsia="仿宋_GB2312" w:cs="Times New Roman"/>
          <w:color w:val="auto"/>
          <w:sz w:val="32"/>
          <w:szCs w:val="32"/>
          <w:highlight w:val="none"/>
          <w:lang w:val="en-US" w:eastAsia="zh-CN"/>
        </w:rPr>
        <w:t>医疗费、医疗费补助、</w:t>
      </w:r>
      <w:r>
        <w:rPr>
          <w:rFonts w:hint="eastAsia" w:eastAsia="仿宋_GB2312" w:cs="Times New Roman"/>
          <w:color w:val="auto"/>
          <w:sz w:val="32"/>
          <w:szCs w:val="32"/>
          <w:highlight w:val="none"/>
          <w:lang w:val="en-US" w:eastAsia="zh-CN"/>
        </w:rPr>
        <w:t>奖励</w:t>
      </w:r>
      <w:r>
        <w:rPr>
          <w:rFonts w:hint="default" w:ascii="Times New Roman" w:hAnsi="Times New Roman" w:eastAsia="仿宋_GB2312" w:cs="Times New Roman"/>
          <w:color w:val="auto"/>
          <w:sz w:val="32"/>
          <w:szCs w:val="32"/>
          <w:highlight w:val="none"/>
          <w:lang w:val="en-US" w:eastAsia="zh-CN"/>
        </w:rPr>
        <w:t>金</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公用经费</w:t>
      </w:r>
      <w:r>
        <w:rPr>
          <w:rFonts w:hint="default" w:ascii="Times New Roman" w:hAnsi="Times New Roman" w:eastAsia="仿宋_GB2312" w:cs="Times New Roman"/>
          <w:color w:val="auto"/>
          <w:sz w:val="32"/>
          <w:szCs w:val="32"/>
          <w:highlight w:val="none"/>
          <w:lang w:val="en-US" w:eastAsia="zh-CN"/>
        </w:rPr>
        <w:t>16.82</w:t>
      </w:r>
      <w:r>
        <w:rPr>
          <w:rFonts w:hint="default" w:ascii="Times New Roman" w:hAnsi="Times New Roman" w:eastAsia="仿宋_GB2312" w:cs="Times New Roman"/>
          <w:color w:val="auto"/>
          <w:sz w:val="32"/>
          <w:szCs w:val="32"/>
          <w:highlight w:val="none"/>
        </w:rPr>
        <w:t>万元，主要包括：办公费、水费、电费、邮电费、取暖费、物业管理费、差旅费、培训费、公务用车运行维护费。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46" w:name="_Toc15396609"/>
      <w:bookmarkStart w:id="47" w:name="_Toc26819"/>
      <w:bookmarkStart w:id="48" w:name="_Toc15377215"/>
      <w:r>
        <w:rPr>
          <w:rFonts w:hint="default" w:ascii="Times New Roman" w:hAnsi="Times New Roman" w:eastAsia="黑体" w:cs="Times New Roman"/>
          <w:color w:val="auto"/>
          <w:sz w:val="32"/>
          <w:szCs w:val="32"/>
          <w:highlight w:val="none"/>
        </w:rPr>
        <w:t>七、</w:t>
      </w:r>
      <w:r>
        <w:rPr>
          <w:rStyle w:val="31"/>
          <w:rFonts w:hint="default" w:ascii="Times New Roman" w:hAnsi="Times New Roman" w:eastAsia="黑体" w:cs="Times New Roman"/>
          <w:b w:val="0"/>
          <w:color w:val="auto"/>
          <w:highlight w:val="none"/>
        </w:rPr>
        <w:t>财政拨款</w:t>
      </w:r>
      <w:r>
        <w:rPr>
          <w:rStyle w:val="31"/>
          <w:rFonts w:hint="default" w:ascii="Times New Roman" w:hAnsi="Times New Roman" w:eastAsia="黑体" w:cs="Times New Roman"/>
          <w:color w:val="auto"/>
          <w:highlight w:val="none"/>
        </w:rPr>
        <w:t>“</w:t>
      </w:r>
      <w:r>
        <w:rPr>
          <w:rStyle w:val="31"/>
          <w:rFonts w:hint="default" w:ascii="Times New Roman" w:hAnsi="Times New Roman" w:eastAsia="黑体" w:cs="Times New Roman"/>
          <w:b w:val="0"/>
          <w:color w:val="auto"/>
          <w:highlight w:val="none"/>
        </w:rPr>
        <w:t>三公”经费支出决算情况说明</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default" w:ascii="Times New Roman" w:hAnsi="Times New Roman" w:eastAsia="仿宋_GB2312" w:cs="Times New Roman"/>
          <w:b/>
          <w:color w:val="auto"/>
          <w:sz w:val="32"/>
          <w:szCs w:val="32"/>
          <w:highlight w:val="none"/>
        </w:rPr>
      </w:pPr>
      <w:bookmarkStart w:id="49" w:name="_Toc15377216"/>
      <w:r>
        <w:rPr>
          <w:rFonts w:hint="default" w:ascii="Times New Roman" w:hAnsi="Times New Roman" w:eastAsia="仿宋_GB2312" w:cs="Times New Roman"/>
          <w:b/>
          <w:color w:val="auto"/>
          <w:sz w:val="32"/>
          <w:szCs w:val="32"/>
          <w:highlight w:val="none"/>
        </w:rPr>
        <w:t>（一）“三公”经费财政拨款支出决算总体情况说明</w:t>
      </w:r>
      <w:bookmarkEnd w:id="4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年“三公”经费财政拨款支出决算为</w:t>
      </w:r>
      <w:r>
        <w:rPr>
          <w:rFonts w:hint="default" w:ascii="Times New Roman" w:hAnsi="Times New Roman" w:eastAsia="仿宋_GB2312" w:cs="Times New Roman"/>
          <w:color w:val="auto"/>
          <w:sz w:val="32"/>
          <w:szCs w:val="32"/>
          <w:lang w:val="en-US" w:eastAsia="zh-CN"/>
        </w:rPr>
        <w:t>2.91</w:t>
      </w:r>
      <w:r>
        <w:rPr>
          <w:rFonts w:hint="default" w:ascii="Times New Roman" w:hAnsi="Times New Roman" w:eastAsia="仿宋_GB2312" w:cs="Times New Roman"/>
          <w:color w:val="auto"/>
          <w:sz w:val="32"/>
          <w:szCs w:val="32"/>
        </w:rPr>
        <w:t>万元，完成预算100%</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default" w:ascii="Times New Roman" w:hAnsi="Times New Roman" w:eastAsia="仿宋" w:cs="Times New Roman"/>
          <w:b/>
          <w:color w:val="auto"/>
          <w:sz w:val="32"/>
          <w:szCs w:val="32"/>
          <w:highlight w:val="none"/>
        </w:rPr>
      </w:pPr>
      <w:bookmarkStart w:id="50" w:name="_Toc15377217"/>
      <w:r>
        <w:rPr>
          <w:rFonts w:hint="default" w:ascii="Times New Roman" w:hAnsi="Times New Roman" w:eastAsia="仿宋" w:cs="Times New Roman"/>
          <w:b/>
          <w:color w:val="auto"/>
          <w:sz w:val="32"/>
          <w:szCs w:val="32"/>
          <w:highlight w:val="none"/>
        </w:rPr>
        <w:t>（二）“三公”经费财政拨款支出决算具体情况说明</w:t>
      </w:r>
      <w:bookmarkEnd w:id="5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年“三公”经费财政拨款支出决算中，因公出国（境）费支出决算0万元；公务用车购置及运行维护费支出决算</w:t>
      </w:r>
      <w:r>
        <w:rPr>
          <w:rFonts w:hint="default" w:ascii="Times New Roman" w:hAnsi="Times New Roman" w:eastAsia="仿宋_GB2312" w:cs="Times New Roman"/>
          <w:color w:val="auto"/>
          <w:sz w:val="32"/>
          <w:szCs w:val="32"/>
          <w:lang w:val="en-US" w:eastAsia="zh-CN"/>
        </w:rPr>
        <w:t>2.91</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其中公务用车购置为0万元，公务用车运行维护费为2.91万元</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，占100%；公务接待费支出决算0万元。具体情况如下：</w:t>
      </w:r>
    </w:p>
    <w:p>
      <w:pPr>
        <w:pStyle w:val="20"/>
        <w:ind w:firstLine="420" w:firstLineChars="20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drawing>
          <wp:inline distT="0" distB="0" distL="114300" distR="114300">
            <wp:extent cx="5256530" cy="2988310"/>
            <wp:effectExtent l="5080" t="4445" r="11430" b="9525"/>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（图7：“三公”经费财政拨款支出结构）（饼状图）</w:t>
      </w:r>
    </w:p>
    <w:p>
      <w:pPr>
        <w:keepNext w:val="0"/>
        <w:keepLines w:val="0"/>
        <w:pageBreakBefore w:val="0"/>
        <w:kinsoku/>
        <w:wordWrap/>
        <w:overflowPunct/>
        <w:topLinePunct w:val="0"/>
        <w:bidi w:val="0"/>
        <w:snapToGrid/>
        <w:spacing w:line="576" w:lineRule="exact"/>
        <w:ind w:firstLine="64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8"/>
          <w:rFonts w:hint="default" w:ascii="Times New Roman" w:hAnsi="Times New Roman" w:eastAsia="仿宋" w:cs="Times New Roman"/>
          <w:b w:val="0"/>
          <w:bCs/>
          <w:color w:val="auto"/>
          <w:sz w:val="32"/>
          <w:szCs w:val="32"/>
          <w:highlight w:val="none"/>
        </w:rPr>
        <w:t>完成预算</w:t>
      </w:r>
      <w:r>
        <w:rPr>
          <w:rStyle w:val="18"/>
          <w:rFonts w:hint="default" w:ascii="Times New Roman" w:hAnsi="Times New Roman" w:eastAsia="仿宋" w:cs="Times New Roman"/>
          <w:b w:val="0"/>
          <w:bCs/>
          <w:color w:val="auto"/>
          <w:sz w:val="32"/>
          <w:szCs w:val="32"/>
          <w:highlight w:val="none"/>
          <w:lang w:val="en-US" w:eastAsia="zh-CN"/>
        </w:rPr>
        <w:t>0</w:t>
      </w:r>
      <w:r>
        <w:rPr>
          <w:rStyle w:val="18"/>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p>
    <w:p>
      <w:pPr>
        <w:keepNext w:val="0"/>
        <w:keepLines w:val="0"/>
        <w:pageBreakBefore w:val="0"/>
        <w:kinsoku/>
        <w:wordWrap/>
        <w:overflowPunct/>
        <w:topLinePunct w:val="0"/>
        <w:bidi w:val="0"/>
        <w:snapToGrid/>
        <w:spacing w:line="576" w:lineRule="exact"/>
        <w:ind w:firstLine="642" w:firstLineChars="200"/>
        <w:textAlignment w:val="auto"/>
        <w:rPr>
          <w:rFonts w:hint="eastAsia"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2.91</w:t>
      </w:r>
      <w:r>
        <w:rPr>
          <w:rFonts w:hint="default" w:ascii="Times New Roman" w:hAnsi="Times New Roman" w:eastAsia="仿宋_GB2312" w:cs="Times New Roman"/>
          <w:color w:val="auto"/>
          <w:sz w:val="32"/>
          <w:szCs w:val="32"/>
          <w:highlight w:val="none"/>
        </w:rPr>
        <w:t>万元,</w:t>
      </w:r>
      <w:r>
        <w:rPr>
          <w:rStyle w:val="18"/>
          <w:rFonts w:hint="default" w:ascii="Times New Roman" w:hAnsi="Times New Roman" w:eastAsia="仿宋" w:cs="Times New Roman"/>
          <w:b w:val="0"/>
          <w:bCs/>
          <w:color w:val="auto"/>
          <w:sz w:val="32"/>
          <w:szCs w:val="32"/>
          <w:highlight w:val="none"/>
        </w:rPr>
        <w:t>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年减少</w:t>
      </w:r>
      <w:r>
        <w:rPr>
          <w:rFonts w:hint="default" w:ascii="Times New Roman" w:hAnsi="Times New Roman" w:eastAsia="仿宋_GB2312" w:cs="Times New Roman"/>
          <w:color w:val="auto"/>
          <w:sz w:val="32"/>
          <w:szCs w:val="32"/>
          <w:highlight w:val="none"/>
          <w:lang w:val="en-US" w:eastAsia="zh-CN"/>
        </w:rPr>
        <w:t>3.57</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55.05</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当年公务用车使用量减少</w:t>
      </w:r>
      <w:r>
        <w:rPr>
          <w:rFonts w:hint="eastAsia" w:eastAsia="仿宋_GB2312" w:cs="Times New Roman"/>
          <w:color w:val="auto"/>
          <w:sz w:val="32"/>
          <w:szCs w:val="32"/>
          <w:highlight w:val="none"/>
          <w:lang w:val="en-US" w:eastAsia="zh-CN"/>
        </w:rPr>
        <w:t>。</w:t>
      </w:r>
    </w:p>
    <w:p>
      <w:pPr>
        <w:keepNext w:val="0"/>
        <w:keepLines w:val="0"/>
        <w:pageBreakBefore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万元。截至20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w:t>
      </w:r>
      <w:r>
        <w:rPr>
          <w:rFonts w:hint="eastAsia" w:eastAsia="仿宋_GB2312" w:cs="Times New Roman"/>
          <w:color w:val="auto"/>
          <w:sz w:val="32"/>
          <w:szCs w:val="32"/>
          <w:highlight w:val="none"/>
          <w:lang w:val="en-US" w:eastAsia="zh-CN"/>
        </w:rPr>
        <w:t>31日</w:t>
      </w:r>
      <w:r>
        <w:rPr>
          <w:rFonts w:hint="default" w:ascii="Times New Roman" w:hAnsi="Times New Roman" w:eastAsia="仿宋_GB2312" w:cs="Times New Roman"/>
          <w:color w:val="auto"/>
          <w:sz w:val="32"/>
          <w:szCs w:val="32"/>
          <w:highlight w:val="none"/>
        </w:rPr>
        <w:t>，单位共有公务用车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辆，其中：轿车</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辆、越野车</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p>
    <w:p>
      <w:pPr>
        <w:keepNext w:val="0"/>
        <w:keepLines w:val="0"/>
        <w:pageBreakBefore w:val="0"/>
        <w:kinsoku/>
        <w:wordWrap/>
        <w:overflowPunct/>
        <w:topLinePunct w:val="0"/>
        <w:bidi w:val="0"/>
        <w:snapToGrid/>
        <w:spacing w:line="576" w:lineRule="exact"/>
        <w:ind w:firstLine="64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2.91</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auto"/>
          <w:sz w:val="32"/>
          <w:szCs w:val="32"/>
        </w:rPr>
        <w:t>公务出差、外出培训</w:t>
      </w:r>
      <w:r>
        <w:rPr>
          <w:rFonts w:hint="default" w:ascii="Times New Roman" w:hAnsi="Times New Roman" w:eastAsia="仿宋_GB2312" w:cs="Times New Roman"/>
          <w:color w:val="auto"/>
          <w:sz w:val="32"/>
          <w:szCs w:val="32"/>
          <w:highlight w:val="none"/>
        </w:rPr>
        <w:t>等所需的公务用车燃料费、维修费、过路过桥费、保险费等支出。</w:t>
      </w:r>
    </w:p>
    <w:p>
      <w:pPr>
        <w:keepNext w:val="0"/>
        <w:keepLines w:val="0"/>
        <w:pageBreakBefore w:val="0"/>
        <w:numPr>
          <w:ilvl w:val="0"/>
          <w:numId w:val="0"/>
        </w:numPr>
        <w:kinsoku/>
        <w:wordWrap/>
        <w:overflowPunct/>
        <w:topLinePunct w:val="0"/>
        <w:bidi w:val="0"/>
        <w:snapToGrid/>
        <w:spacing w:line="576" w:lineRule="exact"/>
        <w:ind w:firstLine="64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3.</w:t>
      </w:r>
      <w:r>
        <w:rPr>
          <w:rFonts w:hint="default" w:ascii="Times New Roman" w:hAnsi="Times New Roman" w:eastAsia="仿宋_GB2312" w:cs="Times New Roman"/>
          <w:b/>
          <w:color w:val="auto"/>
          <w:sz w:val="32"/>
          <w:szCs w:val="32"/>
          <w:highlight w:val="none"/>
        </w:rPr>
        <w:t>公务接待费支出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bookmarkStart w:id="51" w:name="_Toc15377218"/>
      <w:bookmarkStart w:id="52" w:name="_Toc15396610"/>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其中：</w:t>
      </w:r>
    </w:p>
    <w:p>
      <w:pPr>
        <w:keepNext w:val="0"/>
        <w:keepLines w:val="0"/>
        <w:pageBreakBefore w:val="0"/>
        <w:numPr>
          <w:ilvl w:val="0"/>
          <w:numId w:val="0"/>
        </w:numPr>
        <w:kinsoku/>
        <w:wordWrap/>
        <w:overflowPunct/>
        <w:topLinePunct w:val="0"/>
        <w:bidi w:val="0"/>
        <w:snapToGrid/>
        <w:spacing w:line="576"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b/>
          <w:color w:val="auto"/>
          <w:sz w:val="32"/>
          <w:szCs w:val="32"/>
        </w:rPr>
        <w:t>国内公务接待支出</w:t>
      </w:r>
      <w:r>
        <w:rPr>
          <w:rFonts w:hint="default" w:ascii="Times New Roman" w:hAnsi="Times New Roman" w:eastAsia="仿宋" w:cs="Times New Roman"/>
          <w:color w:val="auto"/>
          <w:sz w:val="32"/>
          <w:szCs w:val="32"/>
        </w:rPr>
        <w:t>0</w:t>
      </w:r>
      <w:r>
        <w:rPr>
          <w:rFonts w:hint="default" w:ascii="Times New Roman" w:hAnsi="Times New Roman" w:eastAsia="仿宋_GB2312" w:cs="Times New Roman"/>
          <w:color w:val="auto"/>
          <w:sz w:val="32"/>
          <w:szCs w:val="32"/>
        </w:rPr>
        <w:t>万元。国内公务接待0批次，0人次（不包括陪同人员），共计支出0万元。</w:t>
      </w:r>
    </w:p>
    <w:p>
      <w:pPr>
        <w:keepNext w:val="0"/>
        <w:keepLines w:val="0"/>
        <w:pageBreakBefore w:val="0"/>
        <w:kinsoku/>
        <w:wordWrap/>
        <w:overflowPunct/>
        <w:topLinePunct w:val="0"/>
        <w:bidi w:val="0"/>
        <w:snapToGrid/>
        <w:spacing w:line="576"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b/>
          <w:color w:val="auto"/>
          <w:sz w:val="32"/>
          <w:szCs w:val="32"/>
        </w:rPr>
        <w:t>外事接待支出</w:t>
      </w:r>
      <w:r>
        <w:rPr>
          <w:rFonts w:hint="default" w:ascii="Times New Roman" w:hAnsi="Times New Roman" w:eastAsia="仿宋" w:cs="Times New Roman"/>
          <w:color w:val="auto"/>
          <w:sz w:val="32"/>
          <w:szCs w:val="32"/>
        </w:rPr>
        <w:t>0</w:t>
      </w:r>
      <w:r>
        <w:rPr>
          <w:rFonts w:hint="default" w:ascii="Times New Roman" w:hAnsi="Times New Roman" w:eastAsia="仿宋_GB2312" w:cs="Times New Roman"/>
          <w:color w:val="auto"/>
          <w:sz w:val="32"/>
          <w:szCs w:val="32"/>
        </w:rPr>
        <w:t>万元，外事接待0批次，0人，共计支出0万元。</w:t>
      </w:r>
    </w:p>
    <w:p>
      <w:pPr>
        <w:keepNext w:val="0"/>
        <w:keepLines w:val="0"/>
        <w:pageBreakBefore w:val="0"/>
        <w:kinsoku/>
        <w:wordWrap/>
        <w:overflowPunct/>
        <w:topLinePunct w:val="0"/>
        <w:bidi w:val="0"/>
        <w:snapToGrid/>
        <w:spacing w:line="576" w:lineRule="exact"/>
        <w:ind w:firstLine="640" w:firstLineChars="200"/>
        <w:textAlignment w:val="auto"/>
        <w:outlineLvl w:val="1"/>
        <w:rPr>
          <w:rStyle w:val="31"/>
          <w:rFonts w:hint="default" w:ascii="Times New Roman" w:hAnsi="Times New Roman" w:eastAsia="黑体" w:cs="Times New Roman"/>
          <w:color w:val="auto"/>
          <w:highlight w:val="none"/>
        </w:rPr>
      </w:pPr>
      <w:bookmarkStart w:id="53" w:name="_Toc10251"/>
      <w:r>
        <w:rPr>
          <w:rFonts w:hint="default" w:ascii="Times New Roman" w:hAnsi="Times New Roman" w:eastAsia="黑体" w:cs="Times New Roman"/>
          <w:color w:val="auto"/>
          <w:sz w:val="32"/>
          <w:szCs w:val="32"/>
          <w:highlight w:val="none"/>
        </w:rPr>
        <w:t>八、</w:t>
      </w:r>
      <w:r>
        <w:rPr>
          <w:rStyle w:val="31"/>
          <w:rFonts w:hint="default" w:ascii="Times New Roman" w:hAnsi="Times New Roman" w:eastAsia="黑体" w:cs="Times New Roman"/>
          <w:b w:val="0"/>
          <w:color w:val="auto"/>
          <w:highlight w:val="none"/>
        </w:rPr>
        <w:t>政府性基金预算支出决算情况说明</w:t>
      </w:r>
      <w:bookmarkEnd w:id="51"/>
      <w:bookmarkEnd w:id="52"/>
      <w:bookmarkEnd w:id="53"/>
    </w:p>
    <w:p>
      <w:pPr>
        <w:keepNext w:val="0"/>
        <w:keepLines w:val="0"/>
        <w:pageBreakBefore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54" w:name="_Toc15396611"/>
      <w:bookmarkStart w:id="55" w:name="_Toc15377219"/>
      <w:bookmarkStart w:id="56" w:name="_Toc31092"/>
      <w:r>
        <w:rPr>
          <w:rStyle w:val="31"/>
          <w:rFonts w:hint="default" w:ascii="Times New Roman" w:hAnsi="Times New Roman" w:eastAsia="黑体" w:cs="Times New Roman"/>
          <w:b w:val="0"/>
          <w:color w:val="auto"/>
          <w:highlight w:val="none"/>
          <w:lang w:eastAsia="zh-CN"/>
        </w:rPr>
        <w:t>九、</w:t>
      </w:r>
      <w:r>
        <w:rPr>
          <w:rStyle w:val="31"/>
          <w:rFonts w:hint="default" w:ascii="Times New Roman" w:hAnsi="Times New Roman" w:eastAsia="黑体" w:cs="Times New Roman"/>
          <w:b w:val="0"/>
          <w:color w:val="auto"/>
          <w:highlight w:val="none"/>
        </w:rPr>
        <w:t>国有资本经营预算支出决算情况说明</w:t>
      </w:r>
      <w:bookmarkEnd w:id="54"/>
      <w:bookmarkEnd w:id="55"/>
      <w:bookmarkEnd w:id="56"/>
    </w:p>
    <w:p>
      <w:pPr>
        <w:keepNext w:val="0"/>
        <w:keepLines w:val="0"/>
        <w:pageBreakBefore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57" w:name="_Toc15377221"/>
      <w:bookmarkStart w:id="58" w:name="_Toc7018"/>
      <w:bookmarkStart w:id="59" w:name="_Toc15396612"/>
      <w:r>
        <w:rPr>
          <w:rStyle w:val="31"/>
          <w:rFonts w:hint="default" w:ascii="Times New Roman" w:hAnsi="Times New Roman" w:eastAsia="黑体" w:cs="Times New Roman"/>
          <w:b w:val="0"/>
          <w:color w:val="auto"/>
          <w:highlight w:val="none"/>
          <w:lang w:eastAsia="zh-CN"/>
        </w:rPr>
        <w:t>十、</w:t>
      </w:r>
      <w:r>
        <w:rPr>
          <w:rStyle w:val="31"/>
          <w:rFonts w:hint="default" w:ascii="Times New Roman" w:hAnsi="Times New Roman" w:eastAsia="黑体" w:cs="Times New Roman"/>
          <w:b w:val="0"/>
          <w:color w:val="auto"/>
          <w:highlight w:val="none"/>
        </w:rPr>
        <w:t>其他重要事项的情况说明</w:t>
      </w:r>
      <w:bookmarkEnd w:id="57"/>
      <w:bookmarkEnd w:id="58"/>
      <w:bookmarkEnd w:id="59"/>
    </w:p>
    <w:p>
      <w:pPr>
        <w:keepNext w:val="0"/>
        <w:keepLines w:val="0"/>
        <w:pageBreakBefore w:val="0"/>
        <w:kinsoku/>
        <w:wordWrap/>
        <w:overflowPunct/>
        <w:topLinePunct w:val="0"/>
        <w:bidi w:val="0"/>
        <w:snapToGrid/>
        <w:spacing w:line="576" w:lineRule="exact"/>
        <w:ind w:firstLine="642" w:firstLineChars="200"/>
        <w:textAlignment w:val="auto"/>
        <w:outlineLvl w:val="2"/>
        <w:rPr>
          <w:rFonts w:hint="default" w:ascii="Times New Roman" w:hAnsi="Times New Roman" w:eastAsia="楷体_GB2312" w:cs="Times New Roman"/>
          <w:color w:val="auto"/>
          <w:sz w:val="32"/>
          <w:szCs w:val="32"/>
          <w:highlight w:val="none"/>
        </w:rPr>
      </w:pPr>
      <w:bookmarkStart w:id="60" w:name="_Toc15377222"/>
      <w:r>
        <w:rPr>
          <w:rFonts w:hint="default" w:ascii="Times New Roman" w:hAnsi="Times New Roman" w:eastAsia="楷体_GB2312" w:cs="Times New Roman"/>
          <w:b/>
          <w:color w:val="auto"/>
          <w:sz w:val="32"/>
          <w:szCs w:val="32"/>
          <w:highlight w:val="none"/>
        </w:rPr>
        <w:t>（一）机关运行经费支出情况</w:t>
      </w:r>
      <w:bookmarkEnd w:id="60"/>
    </w:p>
    <w:p>
      <w:pPr>
        <w:keepNext w:val="0"/>
        <w:keepLines w:val="0"/>
        <w:pageBreakBefore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壤塘县城乡文明创建和城乡管理综合服务中心</w:t>
      </w:r>
      <w:r>
        <w:rPr>
          <w:rFonts w:hint="eastAsia" w:eastAsia="仿宋_GB2312" w:cs="Times New Roman"/>
          <w:color w:val="auto"/>
          <w:sz w:val="32"/>
          <w:szCs w:val="32"/>
          <w:highlight w:val="none"/>
          <w:lang w:val="en-US" w:eastAsia="zh-CN"/>
        </w:rPr>
        <w:t>机关</w:t>
      </w:r>
      <w:r>
        <w:rPr>
          <w:rFonts w:hint="default" w:ascii="Times New Roman" w:hAnsi="Times New Roman" w:eastAsia="仿宋_GB2312" w:cs="Times New Roman"/>
          <w:color w:val="auto"/>
          <w:sz w:val="32"/>
          <w:szCs w:val="32"/>
          <w:highlight w:val="none"/>
        </w:rPr>
        <w:t>运行经费支出</w:t>
      </w:r>
      <w:r>
        <w:rPr>
          <w:rFonts w:hint="default" w:ascii="Times New Roman" w:hAnsi="Times New Roman" w:eastAsia="仿宋_GB2312" w:cs="Times New Roman"/>
          <w:color w:val="auto"/>
          <w:sz w:val="32"/>
          <w:szCs w:val="32"/>
          <w:highlight w:val="none"/>
          <w:lang w:val="en-US" w:eastAsia="zh-CN"/>
        </w:rPr>
        <w:t>8.89</w:t>
      </w:r>
      <w:r>
        <w:rPr>
          <w:rFonts w:hint="default" w:ascii="Times New Roman" w:hAnsi="Times New Roman" w:eastAsia="仿宋_GB2312" w:cs="Times New Roman"/>
          <w:color w:val="auto"/>
          <w:sz w:val="32"/>
          <w:szCs w:val="32"/>
          <w:highlight w:val="none"/>
        </w:rPr>
        <w:t>万元，比20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减少</w:t>
      </w:r>
      <w:r>
        <w:rPr>
          <w:rFonts w:hint="default" w:ascii="Times New Roman" w:hAnsi="Times New Roman" w:eastAsia="仿宋_GB2312" w:cs="Times New Roman"/>
          <w:color w:val="auto"/>
          <w:sz w:val="32"/>
          <w:szCs w:val="32"/>
          <w:highlight w:val="none"/>
          <w:lang w:val="en-US" w:eastAsia="zh-CN"/>
        </w:rPr>
        <w:t>18.75</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67.84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lang w:val="en-US" w:eastAsia="zh-CN"/>
        </w:rPr>
        <w:t>控制预算支出，节约开支</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bidi w:val="0"/>
        <w:snapToGrid/>
        <w:spacing w:line="576" w:lineRule="exact"/>
        <w:ind w:firstLine="642" w:firstLineChars="200"/>
        <w:textAlignment w:val="auto"/>
        <w:outlineLvl w:val="2"/>
        <w:rPr>
          <w:rFonts w:hint="default" w:ascii="Times New Roman" w:hAnsi="Times New Roman" w:eastAsia="楷体_GB2312" w:cs="Times New Roman"/>
          <w:b/>
          <w:color w:val="auto"/>
          <w:sz w:val="32"/>
          <w:szCs w:val="32"/>
          <w:highlight w:val="none"/>
        </w:rPr>
      </w:pPr>
      <w:bookmarkStart w:id="61" w:name="_Toc15377223"/>
      <w:r>
        <w:rPr>
          <w:rFonts w:hint="default" w:ascii="Times New Roman" w:hAnsi="Times New Roman" w:eastAsia="楷体_GB2312" w:cs="Times New Roman"/>
          <w:b/>
          <w:color w:val="auto"/>
          <w:sz w:val="32"/>
          <w:szCs w:val="32"/>
          <w:highlight w:val="none"/>
        </w:rPr>
        <w:t>（二）政府采购支出情况</w:t>
      </w:r>
      <w:bookmarkEnd w:id="61"/>
    </w:p>
    <w:p>
      <w:pPr>
        <w:keepNext w:val="0"/>
        <w:keepLines w:val="0"/>
        <w:pageBreakBefore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壤塘县城乡文明创建和城乡管理综合服务中心</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641.25</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185.25</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120.94</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335.04</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641.25</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bidi w:val="0"/>
        <w:snapToGrid/>
        <w:spacing w:line="576" w:lineRule="exact"/>
        <w:ind w:firstLine="642" w:firstLineChars="200"/>
        <w:textAlignment w:val="auto"/>
        <w:outlineLvl w:val="2"/>
        <w:rPr>
          <w:rFonts w:hint="default" w:ascii="Times New Roman" w:hAnsi="Times New Roman" w:eastAsia="楷体_GB2312" w:cs="Times New Roman"/>
          <w:b/>
          <w:color w:val="auto"/>
          <w:sz w:val="32"/>
          <w:szCs w:val="32"/>
          <w:highlight w:val="none"/>
        </w:rPr>
      </w:pPr>
      <w:bookmarkStart w:id="62" w:name="_Toc15377224"/>
      <w:r>
        <w:rPr>
          <w:rFonts w:hint="default" w:ascii="Times New Roman" w:hAnsi="Times New Roman" w:eastAsia="楷体_GB2312" w:cs="Times New Roman"/>
          <w:b/>
          <w:color w:val="auto"/>
          <w:sz w:val="32"/>
          <w:szCs w:val="32"/>
          <w:highlight w:val="none"/>
        </w:rPr>
        <w:t>（三）国有资产占有使用情况</w:t>
      </w:r>
      <w:bookmarkEnd w:id="62"/>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val="en-US" w:eastAsia="zh-CN"/>
        </w:rPr>
        <w:t>壤塘县城乡文明创建和城乡管理综合服务中心</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一般公务用车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执法执勤用车1辆</w:t>
      </w:r>
      <w:r>
        <w:rPr>
          <w:rFonts w:hint="default" w:ascii="Times New Roman" w:hAnsi="Times New Roman" w:eastAsia="仿宋_GB2312" w:cs="Times New Roman"/>
          <w:color w:val="auto"/>
          <w:sz w:val="32"/>
          <w:szCs w:val="32"/>
          <w:highlight w:val="none"/>
        </w:rPr>
        <w:t>、其他用车</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其他用车主要是用于</w:t>
      </w:r>
      <w:r>
        <w:rPr>
          <w:rFonts w:hint="default" w:ascii="Times New Roman" w:hAnsi="Times New Roman" w:eastAsia="仿宋_GB2312" w:cs="Times New Roman"/>
          <w:color w:val="auto"/>
          <w:sz w:val="32"/>
          <w:szCs w:val="32"/>
        </w:rPr>
        <w:t>日常工作的开展需要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w:t>
      </w:r>
    </w:p>
    <w:p>
      <w:pPr>
        <w:keepNext w:val="0"/>
        <w:keepLines w:val="0"/>
        <w:pageBreakBefore w:val="0"/>
        <w:kinsoku/>
        <w:wordWrap/>
        <w:overflowPunct/>
        <w:topLinePunct w:val="0"/>
        <w:autoSpaceDE w:val="0"/>
        <w:autoSpaceDN w:val="0"/>
        <w:bidi w:val="0"/>
        <w:adjustRightInd w:val="0"/>
        <w:snapToGrid/>
        <w:spacing w:line="576" w:lineRule="exact"/>
        <w:ind w:firstLine="642" w:firstLineChars="200"/>
        <w:jc w:val="left"/>
        <w:textAlignment w:val="auto"/>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pPr>
        <w:keepNext w:val="0"/>
        <w:keepLines w:val="0"/>
        <w:pageBreakBefore w:val="0"/>
        <w:widowControl/>
        <w:kinsoku/>
        <w:wordWrap/>
        <w:overflowPunct/>
        <w:topLinePunct w:val="0"/>
        <w:bidi w:val="0"/>
        <w:snapToGrid/>
        <w:spacing w:line="576"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根据预算绩效管理要求，本部门在202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年度预算编制阶段，组织对</w:t>
      </w:r>
      <w:r>
        <w:rPr>
          <w:rFonts w:hint="default" w:ascii="Times New Roman" w:hAnsi="Times New Roman" w:eastAsia="仿宋_GB2312" w:cs="Times New Roman"/>
          <w:color w:val="auto"/>
          <w:sz w:val="32"/>
          <w:szCs w:val="32"/>
          <w:highlight w:val="none"/>
          <w:lang w:val="en-US" w:eastAsia="zh-CN"/>
        </w:rPr>
        <w:t>污水处理厂</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生活垃圾焚烧系统运行维护费</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个项目开展了绩效评估，对</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个项目编制了绩效目标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附件2</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组织对2022年度一般公共预算、政府性基金预算、国有资本经营预算、社会保险基金预算以及资本资产、债券资金等全面开展绩效自评，形成</w:t>
      </w:r>
      <w:r>
        <w:rPr>
          <w:rFonts w:hint="default" w:ascii="Times New Roman" w:hAnsi="Times New Roman" w:eastAsia="仿宋" w:cs="Times New Roman"/>
          <w:sz w:val="32"/>
          <w:szCs w:val="32"/>
          <w:lang w:eastAsia="zh-CN"/>
        </w:rPr>
        <w:t>壤塘县城乡文明创建和城乡管理综合服务中心部门整体支出绩效评价</w:t>
      </w:r>
      <w:r>
        <w:rPr>
          <w:rFonts w:hint="default" w:ascii="Times New Roman" w:hAnsi="Times New Roman" w:eastAsia="仿宋_GB2312" w:cs="Times New Roman"/>
          <w:color w:val="auto"/>
          <w:sz w:val="32"/>
          <w:szCs w:val="32"/>
          <w:highlight w:val="none"/>
        </w:rPr>
        <w:t>自评报告，其中，</w:t>
      </w:r>
      <w:r>
        <w:rPr>
          <w:rFonts w:hint="default" w:ascii="Times New Roman" w:hAnsi="Times New Roman" w:eastAsia="仿宋" w:cs="Times New Roman"/>
          <w:sz w:val="32"/>
          <w:szCs w:val="32"/>
          <w:lang w:eastAsia="zh-CN"/>
        </w:rPr>
        <w:t>壤塘县城乡文明创建和城乡管理综合服务中心部门整体支出绩效评价</w:t>
      </w:r>
      <w:r>
        <w:rPr>
          <w:rFonts w:hint="default" w:ascii="Times New Roman" w:hAnsi="Times New Roman" w:eastAsia="仿宋_GB2312" w:cs="Times New Roman"/>
          <w:color w:val="auto"/>
          <w:sz w:val="32"/>
          <w:szCs w:val="32"/>
          <w:highlight w:val="none"/>
        </w:rPr>
        <w:t>部门整体绩效自评得分为</w:t>
      </w:r>
      <w:r>
        <w:rPr>
          <w:rFonts w:hint="default" w:ascii="Times New Roman" w:hAnsi="Times New Roman" w:eastAsia="仿宋_GB2312" w:cs="Times New Roman"/>
          <w:color w:val="auto"/>
          <w:sz w:val="32"/>
          <w:szCs w:val="32"/>
          <w:highlight w:val="none"/>
          <w:lang w:val="en-US" w:eastAsia="zh-CN"/>
        </w:rPr>
        <w:t>99</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color w:val="auto"/>
          <w:sz w:val="32"/>
          <w:szCs w:val="32"/>
          <w:highlight w:val="none"/>
        </w:rPr>
        <w:br w:type="page"/>
      </w:r>
    </w:p>
    <w:p>
      <w:pPr>
        <w:numPr>
          <w:ilvl w:val="0"/>
          <w:numId w:val="0"/>
        </w:numPr>
        <w:spacing w:line="600" w:lineRule="exact"/>
        <w:ind w:firstLine="880" w:firstLineChars="200"/>
        <w:jc w:val="center"/>
        <w:outlineLvl w:val="0"/>
        <w:rPr>
          <w:rStyle w:val="30"/>
          <w:rFonts w:hint="default" w:ascii="Times New Roman" w:hAnsi="Times New Roman" w:eastAsia="方正小标宋_GBK" w:cs="Times New Roman"/>
          <w:b w:val="0"/>
          <w:color w:val="auto"/>
          <w:highlight w:val="none"/>
        </w:rPr>
      </w:pPr>
      <w:bookmarkStart w:id="63" w:name="_Toc15396613"/>
      <w:bookmarkStart w:id="64" w:name="_Toc26409"/>
      <w:bookmarkStart w:id="65" w:name="_Toc15377225"/>
      <w:r>
        <w:rPr>
          <w:rFonts w:hint="default" w:ascii="Times New Roman" w:hAnsi="Times New Roman" w:eastAsia="方正小标宋_GBK" w:cs="Times New Roman"/>
          <w:color w:val="auto"/>
          <w:sz w:val="44"/>
          <w:szCs w:val="44"/>
          <w:highlight w:val="none"/>
          <w:lang w:eastAsia="zh-CN"/>
        </w:rPr>
        <w:t>第三部分</w:t>
      </w:r>
      <w:r>
        <w:rPr>
          <w:rFonts w:hint="default" w:ascii="Times New Roman" w:hAnsi="Times New Roman" w:eastAsia="方正小标宋_GBK" w:cs="Times New Roman"/>
          <w:color w:val="auto"/>
          <w:sz w:val="44"/>
          <w:szCs w:val="44"/>
          <w:highlight w:val="none"/>
          <w:lang w:val="en-US" w:eastAsia="zh-CN"/>
        </w:rPr>
        <w:t xml:space="preserve"> </w:t>
      </w:r>
      <w:r>
        <w:rPr>
          <w:rFonts w:hint="default" w:ascii="Times New Roman" w:hAnsi="Times New Roman" w:eastAsia="方正小标宋_GBK" w:cs="Times New Roman"/>
          <w:color w:val="auto"/>
          <w:sz w:val="44"/>
          <w:szCs w:val="44"/>
          <w:highlight w:val="none"/>
        </w:rPr>
        <w:t>名</w:t>
      </w:r>
      <w:r>
        <w:rPr>
          <w:rStyle w:val="30"/>
          <w:rFonts w:hint="default" w:ascii="Times New Roman" w:hAnsi="Times New Roman" w:eastAsia="方正小标宋_GBK" w:cs="Times New Roman"/>
          <w:b w:val="0"/>
          <w:color w:val="auto"/>
          <w:highlight w:val="none"/>
        </w:rPr>
        <w:t>词解释</w:t>
      </w:r>
      <w:bookmarkEnd w:id="63"/>
      <w:bookmarkEnd w:id="64"/>
      <w:bookmarkEnd w:id="65"/>
    </w:p>
    <w:p>
      <w:pPr>
        <w:bidi w:val="0"/>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1.财政拨款收入：指单位从同级财政部门取得的财政预算资金。</w:t>
      </w:r>
    </w:p>
    <w:p>
      <w:pPr>
        <w:pStyle w:val="28"/>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使用非财政拨款结余</w:t>
      </w:r>
      <w:r>
        <w:rPr>
          <w:rFonts w:hint="default" w:ascii="Times New Roman" w:hAnsi="Times New Roman" w:eastAsia="仿宋_GB2312" w:cs="Times New Roman"/>
          <w:color w:val="auto"/>
          <w:sz w:val="32"/>
          <w:szCs w:val="32"/>
          <w:highlight w:val="none"/>
        </w:rPr>
        <w:t>：指事业单位</w:t>
      </w:r>
      <w:r>
        <w:rPr>
          <w:rFonts w:hint="default" w:ascii="Times New Roman" w:hAnsi="Times New Roman" w:eastAsia="仿宋_GB2312" w:cs="Times New Roman"/>
          <w:color w:val="auto"/>
          <w:sz w:val="32"/>
          <w:szCs w:val="32"/>
          <w:highlight w:val="none"/>
          <w:lang w:eastAsia="zh-CN"/>
        </w:rPr>
        <w:t>使用以前年度积累的非财政拨款结余弥补当年收支差额的金额。</w:t>
      </w:r>
      <w:r>
        <w:rPr>
          <w:rFonts w:hint="default" w:ascii="Times New Roman" w:hAnsi="Times New Roman" w:eastAsia="仿宋_GB2312" w:cs="Times New Roman"/>
          <w:color w:val="auto"/>
          <w:sz w:val="32"/>
          <w:szCs w:val="32"/>
          <w:highlight w:val="none"/>
        </w:rPr>
        <w:t xml:space="preserve"> </w:t>
      </w:r>
    </w:p>
    <w:p>
      <w:pPr>
        <w:pStyle w:val="28"/>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 xml:space="preserve">.年初结转和结余：指以前年度尚未完成、结转到本年按有关规定继续使用的资金。 </w:t>
      </w:r>
    </w:p>
    <w:p>
      <w:pPr>
        <w:pStyle w:val="28"/>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.结余分配：指事业单位按照会计制度规定</w:t>
      </w:r>
      <w:r>
        <w:rPr>
          <w:rFonts w:hint="default" w:ascii="Times New Roman" w:hAnsi="Times New Roman" w:eastAsia="仿宋_GB2312" w:cs="Times New Roman"/>
          <w:color w:val="auto"/>
          <w:sz w:val="32"/>
          <w:szCs w:val="32"/>
          <w:highlight w:val="none"/>
          <w:lang w:eastAsia="zh-CN"/>
        </w:rPr>
        <w:t>缴纳的所得税、提取的专用结余以及转入非财政拨款结余的金额</w:t>
      </w:r>
      <w:r>
        <w:rPr>
          <w:rFonts w:hint="default" w:ascii="Times New Roman" w:hAnsi="Times New Roman" w:eastAsia="仿宋_GB2312" w:cs="Times New Roman"/>
          <w:color w:val="auto"/>
          <w:sz w:val="32"/>
          <w:szCs w:val="32"/>
          <w:highlight w:val="none"/>
        </w:rPr>
        <w:t>等。</w:t>
      </w:r>
    </w:p>
    <w:p>
      <w:pPr>
        <w:pStyle w:val="28"/>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Cs/>
          <w:color w:val="auto"/>
          <w:sz w:val="32"/>
          <w:szCs w:val="32"/>
        </w:rPr>
      </w:pPr>
      <w:r>
        <w:rPr>
          <w:rStyle w:val="18"/>
          <w:rFonts w:hint="default" w:ascii="Times New Roman" w:hAnsi="Times New Roman" w:eastAsia="仿宋_GB2312" w:cs="Times New Roman"/>
          <w:b w:val="0"/>
          <w:bCs/>
          <w:color w:val="auto"/>
          <w:sz w:val="32"/>
          <w:szCs w:val="32"/>
          <w:lang w:val="en-US" w:eastAsia="zh-CN"/>
        </w:rPr>
        <w:t>6</w:t>
      </w:r>
      <w:r>
        <w:rPr>
          <w:rStyle w:val="18"/>
          <w:rFonts w:hint="default" w:ascii="Times New Roman" w:hAnsi="Times New Roman" w:eastAsia="仿宋_GB2312" w:cs="Times New Roman"/>
          <w:b w:val="0"/>
          <w:bCs/>
          <w:color w:val="auto"/>
          <w:sz w:val="32"/>
          <w:szCs w:val="32"/>
        </w:rPr>
        <w:t>.一般公共服务（类）人力资源事务（款）引进人才费用（项）: 反映用于引进外国专家补助、引智成果推广等方面的支出</w:t>
      </w:r>
    </w:p>
    <w:p>
      <w:pPr>
        <w:pStyle w:val="28"/>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.社会保障和就业（类）行政事业单位养老（款）机关事业单位基本养老保险缴费（项）：指单位实施养老保险制度由单位缴纳的基本养老保险支出。</w:t>
      </w:r>
    </w:p>
    <w:p>
      <w:pPr>
        <w:pStyle w:val="28"/>
        <w:keepNext w:val="0"/>
        <w:keepLines w:val="0"/>
        <w:pageBreakBefore w:val="0"/>
        <w:widowControl w:val="0"/>
        <w:kinsoku/>
        <w:wordWrap/>
        <w:overflowPunct/>
        <w:topLinePunct w:val="0"/>
        <w:bidi w:val="0"/>
        <w:snapToGrid/>
        <w:spacing w:line="576" w:lineRule="exact"/>
        <w:ind w:firstLine="640" w:firstLineChars="200"/>
        <w:textAlignment w:val="auto"/>
        <w:rPr>
          <w:rStyle w:val="18"/>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.社会保障和就业（类）行政事业单位养老（款）  机关事业单位职业年金缴费（项）：指单位实施养老保险制度由单位实际缴纳的职业年金支出。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卫生健康</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公共卫生</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重大公共卫生服务</w:t>
      </w:r>
      <w:r>
        <w:rPr>
          <w:rFonts w:hint="default" w:ascii="Times New Roman" w:hAnsi="Times New Roman" w:eastAsia="仿宋_GB2312" w:cs="Times New Roman"/>
          <w:color w:val="auto"/>
          <w:sz w:val="32"/>
          <w:szCs w:val="32"/>
        </w:rPr>
        <w:t>（项）：指</w:t>
      </w:r>
      <w:r>
        <w:rPr>
          <w:rFonts w:hint="default" w:ascii="Times New Roman" w:hAnsi="Times New Roman" w:eastAsia="仿宋_GB2312" w:cs="Times New Roman"/>
          <w:color w:val="auto"/>
          <w:sz w:val="32"/>
          <w:szCs w:val="32"/>
          <w:lang w:val="en-US" w:eastAsia="zh-CN"/>
        </w:rPr>
        <w:t>反映重大疾病、重大传染病预防控制等重大公共卫生服务项目支出</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卫生健康</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行政单位医疗</w:t>
      </w:r>
      <w:r>
        <w:rPr>
          <w:rFonts w:hint="default" w:ascii="Times New Roman" w:hAnsi="Times New Roman" w:eastAsia="仿宋_GB2312" w:cs="Times New Roman"/>
          <w:color w:val="auto"/>
          <w:sz w:val="32"/>
          <w:szCs w:val="32"/>
        </w:rPr>
        <w:t>（项）：指</w:t>
      </w:r>
      <w:r>
        <w:rPr>
          <w:rFonts w:hint="default" w:ascii="Times New Roman" w:hAnsi="Times New Roman" w:eastAsia="仿宋_GB2312" w:cs="Times New Roman"/>
          <w:color w:val="auto"/>
          <w:sz w:val="32"/>
          <w:szCs w:val="32"/>
          <w:lang w:val="en-US" w:eastAsia="zh-CN"/>
        </w:rPr>
        <w:t>反映财政部门安排的行政单位（包括实行公务员管理的事业单位，下同）基本医疗保险缴费经费，未参加医疗保险的行政单位的公费医疗经费，按国家规定享受离休人员，红军老战士待遇的医疗经费</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卫生健康</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事业单位医疗</w:t>
      </w:r>
      <w:r>
        <w:rPr>
          <w:rFonts w:hint="default" w:ascii="Times New Roman" w:hAnsi="Times New Roman" w:eastAsia="仿宋_GB2312" w:cs="Times New Roman"/>
          <w:color w:val="auto"/>
          <w:sz w:val="32"/>
          <w:szCs w:val="32"/>
        </w:rPr>
        <w:t>（项）：指</w:t>
      </w:r>
      <w:r>
        <w:rPr>
          <w:rFonts w:hint="default" w:ascii="Times New Roman" w:hAnsi="Times New Roman" w:eastAsia="仿宋_GB2312" w:cs="Times New Roman"/>
          <w:color w:val="auto"/>
          <w:sz w:val="32"/>
          <w:szCs w:val="32"/>
          <w:lang w:val="en-US" w:eastAsia="zh-CN"/>
        </w:rPr>
        <w:t>反映财政部门安排的事业单位基本医疗保险缴费经费，未参加医疗保险的事业单位的公费 医疗经费，按国家规定享受离休人员待遇的医疗经费</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卫生健康</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公务员医疗补助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项）：指</w:t>
      </w:r>
      <w:r>
        <w:rPr>
          <w:rFonts w:hint="default" w:ascii="Times New Roman" w:hAnsi="Times New Roman" w:eastAsia="仿宋_GB2312" w:cs="Times New Roman"/>
          <w:color w:val="auto"/>
          <w:sz w:val="32"/>
          <w:szCs w:val="32"/>
          <w:lang w:val="en-US" w:eastAsia="zh-CN"/>
        </w:rPr>
        <w:t>反映财政部门安排的公务员医疗补助经费</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卫生健康</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其他行政事业单位医疗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项）：指</w:t>
      </w:r>
      <w:r>
        <w:rPr>
          <w:rFonts w:hint="default" w:ascii="Times New Roman" w:hAnsi="Times New Roman" w:eastAsia="仿宋_GB2312" w:cs="Times New Roman"/>
          <w:color w:val="auto"/>
          <w:sz w:val="32"/>
          <w:szCs w:val="32"/>
          <w:lang w:val="en-US" w:eastAsia="zh-CN"/>
        </w:rPr>
        <w:t>反映除上述项目以外的其他用于行政事业单位医疗方面的支出。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节能环保</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自然生态保护</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生态保护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项）：指</w:t>
      </w:r>
      <w:r>
        <w:rPr>
          <w:rFonts w:hint="default" w:ascii="Times New Roman" w:hAnsi="Times New Roman" w:eastAsia="仿宋_GB2312" w:cs="Times New Roman"/>
          <w:color w:val="auto"/>
          <w:sz w:val="32"/>
          <w:szCs w:val="32"/>
          <w:lang w:val="en-US" w:eastAsia="zh-CN"/>
        </w:rPr>
        <w:t>反映用于生态功能区、生态示范区、生态省（市、县）管理及能力建设、日常管护、宣教、试点示范等支出、生态修复支出、资源开发生态监管支出、生态护林员的劳务报酬等支出。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.城乡社区（类）城乡社区管理事务（款）</w:t>
      </w:r>
      <w:r>
        <w:rPr>
          <w:rFonts w:hint="default" w:ascii="Times New Roman" w:hAnsi="Times New Roman" w:eastAsia="仿宋_GB2312" w:cs="Times New Roman"/>
          <w:color w:val="auto"/>
          <w:sz w:val="32"/>
          <w:szCs w:val="32"/>
          <w:lang w:val="en-US" w:eastAsia="zh-CN"/>
        </w:rPr>
        <w:t>行政运行</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指</w:t>
      </w:r>
      <w:r>
        <w:rPr>
          <w:rFonts w:hint="default" w:ascii="Times New Roman" w:hAnsi="Times New Roman" w:eastAsia="仿宋_GB2312" w:cs="Times New Roman"/>
          <w:color w:val="auto"/>
          <w:sz w:val="32"/>
          <w:szCs w:val="32"/>
        </w:rPr>
        <w:t>反映</w:t>
      </w:r>
      <w:r>
        <w:rPr>
          <w:rFonts w:hint="default" w:ascii="Times New Roman" w:hAnsi="Times New Roman" w:eastAsia="仿宋_GB2312" w:cs="Times New Roman"/>
          <w:color w:val="auto"/>
          <w:sz w:val="32"/>
          <w:szCs w:val="32"/>
          <w:lang w:val="en-US" w:eastAsia="zh-CN"/>
        </w:rPr>
        <w:t>行政单位（包括实行公务员管理的事业单位）的基本支出</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.城乡社区（类）城乡社区管理事务（款）</w:t>
      </w:r>
      <w:r>
        <w:rPr>
          <w:rFonts w:hint="default" w:ascii="Times New Roman" w:hAnsi="Times New Roman" w:eastAsia="仿宋_GB2312" w:cs="Times New Roman"/>
          <w:color w:val="auto"/>
          <w:sz w:val="32"/>
          <w:szCs w:val="32"/>
          <w:lang w:val="en-US" w:eastAsia="zh-CN"/>
        </w:rPr>
        <w:t>城管执法</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指</w:t>
      </w:r>
      <w:r>
        <w:rPr>
          <w:rFonts w:hint="default" w:ascii="Times New Roman" w:hAnsi="Times New Roman" w:eastAsia="仿宋_GB2312" w:cs="Times New Roman"/>
          <w:color w:val="auto"/>
          <w:sz w:val="32"/>
          <w:szCs w:val="32"/>
        </w:rPr>
        <w:t>反映</w:t>
      </w:r>
      <w:r>
        <w:rPr>
          <w:rFonts w:hint="default" w:ascii="Times New Roman" w:hAnsi="Times New Roman" w:eastAsia="仿宋_GB2312" w:cs="Times New Roman"/>
          <w:color w:val="auto"/>
          <w:sz w:val="32"/>
          <w:szCs w:val="32"/>
          <w:lang w:val="en-US" w:eastAsia="zh-CN"/>
        </w:rPr>
        <w:t>城市管理综合行政执法、加强城市市容和环境卫生管理方面等支出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.城乡社区（类）城乡社区公共设施（款）小城镇基础设施建设（项）：反映用于小城镇路、气、水等基础建设方面的支出。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.城乡社区（类）城乡社区</w:t>
      </w:r>
      <w:r>
        <w:rPr>
          <w:rFonts w:hint="default" w:ascii="Times New Roman" w:hAnsi="Times New Roman" w:eastAsia="仿宋_GB2312" w:cs="Times New Roman"/>
          <w:color w:val="auto"/>
          <w:sz w:val="32"/>
          <w:szCs w:val="32"/>
          <w:lang w:val="en-US" w:eastAsia="zh-CN"/>
        </w:rPr>
        <w:t>公共设施</w:t>
      </w:r>
      <w:r>
        <w:rPr>
          <w:rFonts w:hint="default" w:ascii="Times New Roman" w:hAnsi="Times New Roman" w:eastAsia="仿宋_GB2312" w:cs="Times New Roman"/>
          <w:color w:val="auto"/>
          <w:sz w:val="32"/>
          <w:szCs w:val="32"/>
        </w:rPr>
        <w:t>支出（款）其他城乡社区支出（项）：反映除上述项目以外其他用于城乡社区方面的支出。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.城乡社区（类）城乡社区环境卫生（款）城乡社区环境卫生（项）：反映城乡社区道路清扫、垃圾清运与处理、公厕建设与维护、园林绿化等方面的支出。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.住房保障支出（类）住房改革支出（款）住房公积金（项）:指单位按人力资源和社会保障部、财政部规定的基本工资和津贴补贴以及规定比例为职工缴纳的住房公积金。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其他支出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其他支出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其他支出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指</w:t>
      </w:r>
      <w:r>
        <w:rPr>
          <w:rFonts w:hint="default" w:ascii="Times New Roman" w:hAnsi="Times New Roman" w:eastAsia="仿宋_GB2312" w:cs="Times New Roman"/>
          <w:color w:val="auto"/>
          <w:sz w:val="32"/>
          <w:szCs w:val="32"/>
        </w:rPr>
        <w:t>反映</w:t>
      </w:r>
      <w:r>
        <w:rPr>
          <w:rFonts w:hint="default" w:ascii="Times New Roman" w:hAnsi="Times New Roman" w:eastAsia="仿宋_GB2312" w:cs="Times New Roman"/>
          <w:color w:val="auto"/>
          <w:sz w:val="32"/>
          <w:szCs w:val="32"/>
          <w:lang w:val="en-US" w:eastAsia="zh-CN"/>
        </w:rPr>
        <w:t>除上述项目以外其他不能划分到具体功能科目中的支出项目。</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.经营支出：指事业单位在专业业务活动及其辅助活动之外开展非独立核算经营活动发生的支出。</w:t>
      </w:r>
    </w:p>
    <w:p>
      <w:pPr>
        <w:pStyle w:val="28"/>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60" w:lineRule="exact"/>
        <w:ind w:firstLine="880" w:firstLineChars="200"/>
        <w:jc w:val="center"/>
        <w:textAlignment w:val="auto"/>
        <w:outlineLvl w:val="0"/>
        <w:rPr>
          <w:rFonts w:hint="default" w:ascii="Times New Roman" w:hAnsi="Times New Roman" w:eastAsia="方正小标宋_GBK" w:cs="Times New Roman"/>
          <w:color w:val="auto"/>
          <w:sz w:val="44"/>
          <w:szCs w:val="44"/>
          <w:highlight w:val="none"/>
        </w:rPr>
      </w:pPr>
      <w:bookmarkStart w:id="66" w:name="_Toc15396614"/>
      <w:bookmarkStart w:id="67" w:name="_Toc21110"/>
      <w:bookmarkStart w:id="68" w:name="_Toc15377226"/>
    </w:p>
    <w:p>
      <w:pPr>
        <w:keepNext w:val="0"/>
        <w:keepLines w:val="0"/>
        <w:pageBreakBefore w:val="0"/>
        <w:widowControl w:val="0"/>
        <w:kinsoku/>
        <w:wordWrap/>
        <w:overflowPunct/>
        <w:topLinePunct w:val="0"/>
        <w:autoSpaceDE/>
        <w:autoSpaceDN/>
        <w:bidi w:val="0"/>
        <w:adjustRightInd/>
        <w:snapToGrid/>
        <w:spacing w:line="660" w:lineRule="exact"/>
        <w:ind w:firstLine="880" w:firstLineChars="200"/>
        <w:jc w:val="center"/>
        <w:textAlignment w:val="auto"/>
        <w:outlineLvl w:val="0"/>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880" w:firstLineChars="200"/>
        <w:jc w:val="center"/>
        <w:textAlignment w:val="auto"/>
        <w:outlineLvl w:val="0"/>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880" w:firstLineChars="200"/>
        <w:jc w:val="center"/>
        <w:textAlignment w:val="auto"/>
        <w:outlineLvl w:val="0"/>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880" w:firstLineChars="200"/>
        <w:jc w:val="center"/>
        <w:textAlignment w:val="auto"/>
        <w:outlineLvl w:val="0"/>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880" w:firstLineChars="200"/>
        <w:jc w:val="center"/>
        <w:textAlignment w:val="auto"/>
        <w:outlineLvl w:val="0"/>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880" w:firstLineChars="200"/>
        <w:jc w:val="center"/>
        <w:textAlignment w:val="auto"/>
        <w:outlineLvl w:val="0"/>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880" w:firstLineChars="200"/>
        <w:jc w:val="center"/>
        <w:textAlignment w:val="auto"/>
        <w:outlineLvl w:val="0"/>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880" w:firstLineChars="200"/>
        <w:jc w:val="center"/>
        <w:textAlignment w:val="auto"/>
        <w:outlineLvl w:val="0"/>
        <w:rPr>
          <w:rStyle w:val="30"/>
          <w:rFonts w:hint="default" w:ascii="Times New Roman" w:hAnsi="Times New Roman" w:eastAsia="方正小标宋_GBK" w:cs="Times New Roman"/>
          <w:b w:val="0"/>
          <w:color w:val="auto"/>
          <w:highlight w:val="none"/>
          <w:lang w:eastAsia="zh-CN"/>
        </w:rPr>
      </w:pPr>
      <w:r>
        <w:rPr>
          <w:rFonts w:hint="default" w:ascii="Times New Roman" w:hAnsi="Times New Roman" w:eastAsia="方正小标宋_GBK" w:cs="Times New Roman"/>
          <w:color w:val="auto"/>
          <w:sz w:val="44"/>
          <w:szCs w:val="44"/>
          <w:highlight w:val="none"/>
        </w:rPr>
        <w:t>第</w:t>
      </w:r>
      <w:r>
        <w:rPr>
          <w:rStyle w:val="30"/>
          <w:rFonts w:hint="default" w:ascii="Times New Roman" w:hAnsi="Times New Roman" w:eastAsia="方正小标宋_GBK" w:cs="Times New Roman"/>
          <w:b w:val="0"/>
          <w:color w:val="auto"/>
          <w:highlight w:val="none"/>
        </w:rPr>
        <w:t>四部分 附件</w:t>
      </w:r>
      <w:bookmarkEnd w:id="66"/>
      <w:bookmarkEnd w:id="67"/>
    </w:p>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1"/>
        <w:rPr>
          <w:rFonts w:hint="default" w:ascii="Times New Roman" w:hAnsi="Times New Roman" w:eastAsia="黑体" w:cs="Times New Roman"/>
          <w:sz w:val="32"/>
          <w:szCs w:val="32"/>
          <w:lang w:val="en-US" w:eastAsia="zh-CN"/>
        </w:rPr>
      </w:pPr>
      <w:bookmarkStart w:id="69" w:name="_Toc15010"/>
      <w:r>
        <w:rPr>
          <w:rFonts w:hint="default" w:ascii="Times New Roman" w:hAnsi="Times New Roman" w:eastAsia="黑体" w:cs="Times New Roman"/>
          <w:sz w:val="32"/>
          <w:szCs w:val="32"/>
          <w:lang w:val="en-US" w:eastAsia="zh-CN"/>
        </w:rPr>
        <w:t>附件1</w:t>
      </w:r>
      <w:bookmarkEnd w:id="69"/>
    </w:p>
    <w:p>
      <w:pPr>
        <w:keepNext w:val="0"/>
        <w:keepLines w:val="0"/>
        <w:pageBreakBefore w:val="0"/>
        <w:widowControl w:val="0"/>
        <w:kinsoku/>
        <w:wordWrap/>
        <w:overflowPunct/>
        <w:topLinePunct w:val="0"/>
        <w:autoSpaceDE/>
        <w:autoSpaceDN/>
        <w:bidi w:val="0"/>
        <w:adjustRightInd/>
        <w:snapToGrid/>
        <w:spacing w:line="660" w:lineRule="exact"/>
        <w:ind w:left="1320" w:hanging="1320" w:hangingChars="300"/>
        <w:jc w:val="both"/>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2022</w:t>
      </w:r>
      <w:r>
        <w:rPr>
          <w:rFonts w:hint="default" w:ascii="Times New Roman" w:hAnsi="Times New Roman" w:eastAsia="方正小标宋_GBK" w:cs="Times New Roman"/>
          <w:sz w:val="44"/>
          <w:szCs w:val="44"/>
          <w:lang w:eastAsia="zh-CN"/>
        </w:rPr>
        <w:t>年度壤塘县城乡文明创建和城乡管理综合服务中心部门整体支出绩效评价</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both"/>
        <w:textAlignment w:val="auto"/>
        <w:outlineLvl w:val="1"/>
        <w:rPr>
          <w:rFonts w:hint="default" w:ascii="Times New Roman" w:hAnsi="Times New Roman" w:eastAsia="黑体" w:cs="Times New Roman"/>
          <w:b w:val="0"/>
          <w:bCs w:val="0"/>
          <w:sz w:val="32"/>
          <w:szCs w:val="32"/>
        </w:rPr>
      </w:pPr>
      <w:bookmarkStart w:id="70" w:name="_Toc726"/>
      <w:r>
        <w:rPr>
          <w:rFonts w:hint="default" w:ascii="Times New Roman" w:hAnsi="Times New Roman" w:eastAsia="黑体" w:cs="Times New Roman"/>
          <w:b w:val="0"/>
          <w:bCs w:val="0"/>
          <w:kern w:val="0"/>
          <w:sz w:val="32"/>
          <w:szCs w:val="32"/>
          <w:lang w:val="en-US" w:eastAsia="zh-CN"/>
        </w:rPr>
        <w:t>一、</w:t>
      </w:r>
      <w:r>
        <w:rPr>
          <w:rFonts w:hint="default" w:ascii="Times New Roman" w:hAnsi="Times New Roman" w:eastAsia="黑体" w:cs="Times New Roman"/>
          <w:b w:val="0"/>
          <w:bCs w:val="0"/>
          <w:kern w:val="0"/>
          <w:sz w:val="32"/>
          <w:szCs w:val="32"/>
        </w:rPr>
        <w:t>部门（单位）概况</w:t>
      </w:r>
      <w:bookmarkEnd w:id="70"/>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eastAsia="zh-CN"/>
        </w:rPr>
        <w:t>壤塘县城乡文明创建和城乡管理综合服务中心</w:t>
      </w:r>
      <w:r>
        <w:rPr>
          <w:rFonts w:hint="default" w:ascii="Times New Roman" w:hAnsi="Times New Roman" w:eastAsia="仿宋_GB2312" w:cs="Times New Roman"/>
          <w:sz w:val="32"/>
          <w:szCs w:val="32"/>
        </w:rPr>
        <w:t>机构性质：</w:t>
      </w:r>
      <w:r>
        <w:rPr>
          <w:rFonts w:hint="default" w:ascii="Times New Roman" w:hAnsi="Times New Roman" w:eastAsia="仿宋_GB2312" w:cs="Times New Roman"/>
          <w:sz w:val="32"/>
          <w:szCs w:val="32"/>
          <w:lang w:eastAsia="zh-CN"/>
        </w:rPr>
        <w:t>事业单位</w:t>
      </w:r>
      <w:r>
        <w:rPr>
          <w:rFonts w:hint="default" w:ascii="Times New Roman" w:hAnsi="Times New Roman" w:eastAsia="仿宋_GB2312" w:cs="Times New Roman"/>
          <w:sz w:val="32"/>
          <w:szCs w:val="32"/>
        </w:rPr>
        <w:t>，机构地址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四川省壤塘县九千办公大楼二楼，单位</w:t>
      </w:r>
      <w:r>
        <w:rPr>
          <w:rFonts w:hint="default" w:ascii="Times New Roman" w:hAnsi="Times New Roman" w:eastAsia="仿宋_GB2312" w:cs="Times New Roman"/>
          <w:color w:val="000000"/>
          <w:sz w:val="32"/>
          <w:szCs w:val="32"/>
        </w:rPr>
        <w:t>负责人：</w:t>
      </w:r>
      <w:r>
        <w:rPr>
          <w:rFonts w:hint="default" w:ascii="Times New Roman" w:hAnsi="Times New Roman" w:eastAsia="仿宋_GB2312" w:cs="Times New Roman"/>
          <w:color w:val="000000"/>
          <w:sz w:val="32"/>
          <w:szCs w:val="32"/>
          <w:lang w:val="en-US" w:eastAsia="zh-CN"/>
        </w:rPr>
        <w:t>韩格洛</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rPr>
      </w:pPr>
      <w:r>
        <w:rPr>
          <w:rFonts w:hint="default" w:ascii="Times New Roman" w:hAnsi="Times New Roman" w:eastAsia="楷体_GB2312" w:cs="Times New Roman"/>
          <w:b/>
          <w:bCs/>
          <w:color w:val="000000"/>
          <w:kern w:val="0"/>
          <w:sz w:val="32"/>
          <w:szCs w:val="32"/>
        </w:rPr>
        <w:t>（一）机构组成</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壤塘县城乡文明创建和城乡管理综合服务中心</w:t>
      </w:r>
      <w:r>
        <w:rPr>
          <w:rFonts w:hint="default" w:ascii="Times New Roman" w:hAnsi="Times New Roman" w:eastAsia="仿宋_GB2312" w:cs="Times New Roman"/>
          <w:color w:val="000000"/>
          <w:sz w:val="32"/>
          <w:szCs w:val="32"/>
          <w:lang w:val="en-US" w:eastAsia="zh-CN"/>
        </w:rPr>
        <w:t>共</w:t>
      </w:r>
      <w:r>
        <w:rPr>
          <w:rFonts w:hint="default" w:ascii="Times New Roman" w:hAnsi="Times New Roman" w:eastAsia="仿宋_GB2312" w:cs="Times New Roman"/>
          <w:color w:val="000000"/>
          <w:sz w:val="32"/>
          <w:szCs w:val="32"/>
        </w:rPr>
        <w:t>有</w:t>
      </w:r>
      <w:r>
        <w:rPr>
          <w:rFonts w:hint="default" w:ascii="Times New Roman" w:hAnsi="Times New Roman" w:eastAsia="仿宋_GB2312" w:cs="Times New Roman"/>
          <w:color w:val="000000"/>
          <w:sz w:val="32"/>
          <w:szCs w:val="32"/>
          <w:lang w:val="en-US" w:eastAsia="zh-CN"/>
        </w:rPr>
        <w:t>4个股室，办公室、执法队、环卫股、市政股。</w:t>
      </w:r>
    </w:p>
    <w:p>
      <w:pPr>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rPr>
      </w:pPr>
      <w:r>
        <w:rPr>
          <w:rFonts w:hint="default" w:ascii="Times New Roman" w:hAnsi="Times New Roman" w:eastAsia="楷体_GB2312" w:cs="Times New Roman"/>
          <w:b/>
          <w:bCs/>
          <w:color w:val="000000"/>
          <w:kern w:val="0"/>
          <w:sz w:val="32"/>
          <w:szCs w:val="32"/>
          <w:lang w:eastAsia="zh-CN"/>
        </w:rPr>
        <w:t>（二）</w:t>
      </w:r>
      <w:r>
        <w:rPr>
          <w:rFonts w:hint="default" w:ascii="Times New Roman" w:hAnsi="Times New Roman" w:eastAsia="楷体_GB2312" w:cs="Times New Roman"/>
          <w:b/>
          <w:bCs/>
          <w:color w:val="000000"/>
          <w:kern w:val="0"/>
          <w:sz w:val="32"/>
          <w:szCs w:val="32"/>
        </w:rPr>
        <w:t>机构职能</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贯彻执行国家、省、州有关城市管理行政执法的法律、法规和政策；</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组织草拟全县环境卫生、市容环境管理的地方规章草案，制定有关政策措施。</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集中行使市容环境卫生管理、城市绿化管理、市政管理方法法律、法规、规章制定的行政处罚权。</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集中行使城市规划管理方面法律、法规、规章规定的对未经批准擅自修建建筑物、构筑物以及临街房屋破墙开店行为的行政处罚权；依法强制拆除不符合城乡城市容貌标准、环境卫生标准的建筑物或者设施。</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集中行使城乡环境保护管理方面法律、法规、规章规定的对社会生活噪声污染的行政处罚权，对饮食服务业油烟污染的行政处罚权，对向大气排放粉尘、恶臭气体或者其他含有有毒烟尘的行政处罚权，对违法排放城市生活污水的行政处罚权，对违法堆放、倾倒固体废物行为的行政处罚权。</w:t>
      </w:r>
    </w:p>
    <w:p>
      <w:pPr>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rPr>
      </w:pPr>
      <w:r>
        <w:rPr>
          <w:rFonts w:hint="default" w:ascii="Times New Roman" w:hAnsi="Times New Roman" w:eastAsia="楷体_GB2312" w:cs="Times New Roman"/>
          <w:b/>
          <w:bCs/>
          <w:color w:val="000000"/>
          <w:kern w:val="0"/>
          <w:sz w:val="32"/>
          <w:szCs w:val="32"/>
          <w:lang w:eastAsia="zh-CN"/>
        </w:rPr>
        <w:t>（三）</w:t>
      </w:r>
      <w:r>
        <w:rPr>
          <w:rFonts w:hint="default" w:ascii="Times New Roman" w:hAnsi="Times New Roman" w:eastAsia="楷体_GB2312" w:cs="Times New Roman"/>
          <w:b/>
          <w:bCs/>
          <w:color w:val="000000"/>
          <w:kern w:val="0"/>
          <w:sz w:val="32"/>
          <w:szCs w:val="32"/>
        </w:rPr>
        <w:t>人员概况</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人员情况：总编制</w:t>
      </w:r>
      <w:r>
        <w:rPr>
          <w:rFonts w:hint="default" w:ascii="Times New Roman" w:hAnsi="Times New Roman"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lang w:eastAsia="zh-CN"/>
        </w:rPr>
        <w:t>名,其中:其中，</w:t>
      </w:r>
      <w:r>
        <w:rPr>
          <w:rFonts w:hint="default" w:ascii="Times New Roman" w:hAnsi="Times New Roman" w:eastAsia="仿宋_GB2312" w:cs="Times New Roman"/>
          <w:color w:val="000000"/>
          <w:sz w:val="32"/>
          <w:szCs w:val="32"/>
          <w:lang w:val="en-US" w:eastAsia="zh-CN"/>
        </w:rPr>
        <w:t>主任</w:t>
      </w:r>
      <w:r>
        <w:rPr>
          <w:rFonts w:hint="default" w:ascii="Times New Roman" w:hAnsi="Times New Roman" w:eastAsia="仿宋_GB2312" w:cs="Times New Roman"/>
          <w:color w:val="000000"/>
          <w:sz w:val="32"/>
          <w:szCs w:val="32"/>
          <w:lang w:eastAsia="zh-CN"/>
        </w:rPr>
        <w:t>1名，副</w:t>
      </w:r>
      <w:r>
        <w:rPr>
          <w:rFonts w:hint="default" w:ascii="Times New Roman" w:hAnsi="Times New Roman" w:eastAsia="仿宋_GB2312" w:cs="Times New Roman"/>
          <w:color w:val="000000"/>
          <w:sz w:val="32"/>
          <w:szCs w:val="32"/>
          <w:lang w:val="en-US" w:eastAsia="zh-CN"/>
        </w:rPr>
        <w:t>主任</w:t>
      </w:r>
      <w:r>
        <w:rPr>
          <w:rFonts w:hint="default" w:ascii="Times New Roman" w:hAnsi="Times New Roman" w:eastAsia="仿宋_GB2312" w:cs="Times New Roman"/>
          <w:color w:val="000000"/>
          <w:sz w:val="32"/>
          <w:szCs w:val="32"/>
          <w:lang w:eastAsia="zh-CN"/>
        </w:rPr>
        <w:t>2名;股级领导职数</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名。</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both"/>
        <w:textAlignment w:val="auto"/>
        <w:outlineLvl w:val="1"/>
        <w:rPr>
          <w:rFonts w:hint="default" w:ascii="Times New Roman" w:hAnsi="Times New Roman" w:eastAsia="黑体" w:cs="Times New Roman"/>
          <w:b w:val="0"/>
          <w:bCs w:val="0"/>
          <w:kern w:val="0"/>
          <w:sz w:val="32"/>
          <w:szCs w:val="32"/>
          <w:lang w:val="en-US" w:eastAsia="zh-CN"/>
        </w:rPr>
      </w:pPr>
      <w:bookmarkStart w:id="71" w:name="_Toc27461"/>
      <w:r>
        <w:rPr>
          <w:rFonts w:hint="default" w:ascii="Times New Roman" w:hAnsi="Times New Roman" w:eastAsia="黑体" w:cs="Times New Roman"/>
          <w:b w:val="0"/>
          <w:bCs w:val="0"/>
          <w:kern w:val="0"/>
          <w:sz w:val="32"/>
          <w:szCs w:val="32"/>
          <w:lang w:val="en-US" w:eastAsia="zh-CN"/>
        </w:rPr>
        <w:t>二、预算管理情况</w:t>
      </w:r>
      <w:bookmarkEnd w:id="71"/>
    </w:p>
    <w:p>
      <w:pPr>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eastAsia="zh-CN"/>
        </w:rPr>
      </w:pPr>
      <w:r>
        <w:rPr>
          <w:rFonts w:hint="default" w:ascii="Times New Roman" w:hAnsi="Times New Roman" w:eastAsia="楷体_GB2312" w:cs="Times New Roman"/>
          <w:b/>
          <w:bCs/>
          <w:color w:val="000000"/>
          <w:kern w:val="0"/>
          <w:sz w:val="32"/>
          <w:szCs w:val="32"/>
          <w:lang w:eastAsia="zh-CN"/>
        </w:rPr>
        <w:t>（一）预算编制情况</w:t>
      </w:r>
    </w:p>
    <w:p>
      <w:pPr>
        <w:pStyle w:val="20"/>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2022年财政下达壤塘县城乡文明创建和城乡管理综合服务中心</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eastAsia="zh-CN"/>
        </w:rPr>
        <w:t>初预算收入</w:t>
      </w:r>
      <w:r>
        <w:rPr>
          <w:rFonts w:hint="default" w:ascii="Times New Roman" w:hAnsi="Times New Roman" w:eastAsia="仿宋_GB2312" w:cs="Times New Roman"/>
          <w:sz w:val="32"/>
          <w:szCs w:val="32"/>
          <w:lang w:val="en-US" w:eastAsia="zh-CN"/>
        </w:rPr>
        <w:t>368.95</w:t>
      </w:r>
      <w:r>
        <w:rPr>
          <w:rFonts w:hint="default" w:ascii="Times New Roman" w:hAnsi="Times New Roman" w:eastAsia="仿宋_GB2312" w:cs="Times New Roman"/>
          <w:sz w:val="32"/>
          <w:szCs w:val="32"/>
          <w:lang w:eastAsia="zh-CN"/>
        </w:rPr>
        <w:t>万元，执行期中追加收入</w:t>
      </w:r>
      <w:r>
        <w:rPr>
          <w:rFonts w:hint="default" w:ascii="Times New Roman" w:hAnsi="Times New Roman" w:eastAsia="仿宋_GB2312" w:cs="Times New Roman"/>
          <w:sz w:val="32"/>
          <w:szCs w:val="32"/>
          <w:lang w:val="en-US" w:eastAsia="zh-CN"/>
        </w:rPr>
        <w:t>773.26</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全年收入总计2267.08万元，其中使用上年结转结余资金1124.88万元</w:t>
      </w:r>
      <w:r>
        <w:rPr>
          <w:rFonts w:hint="default" w:ascii="Times New Roman" w:hAnsi="Times New Roman" w:eastAsia="仿宋_GB2312" w:cs="Times New Roman"/>
          <w:sz w:val="32"/>
          <w:szCs w:val="32"/>
          <w:lang w:eastAsia="zh-CN"/>
        </w:rPr>
        <w:t xml:space="preserve">。   </w:t>
      </w:r>
    </w:p>
    <w:p>
      <w:pPr>
        <w:pStyle w:val="20"/>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2022年壤塘县城乡文明创建和城乡管理综合服务中心共计预算支出</w:t>
      </w:r>
      <w:r>
        <w:rPr>
          <w:rFonts w:hint="default" w:ascii="Times New Roman" w:hAnsi="Times New Roman" w:eastAsia="仿宋_GB2312" w:cs="Times New Roman"/>
          <w:sz w:val="32"/>
          <w:szCs w:val="32"/>
          <w:lang w:val="en-US" w:eastAsia="zh-CN"/>
        </w:rPr>
        <w:t>2267.08</w:t>
      </w:r>
      <w:r>
        <w:rPr>
          <w:rFonts w:hint="default" w:ascii="Times New Roman" w:hAnsi="Times New Roman" w:eastAsia="仿宋_GB2312" w:cs="Times New Roman"/>
          <w:sz w:val="32"/>
          <w:szCs w:val="32"/>
          <w:lang w:eastAsia="zh-CN"/>
        </w:rPr>
        <w:t>万元，基本支出</w:t>
      </w:r>
      <w:r>
        <w:rPr>
          <w:rFonts w:hint="default" w:ascii="Times New Roman" w:hAnsi="Times New Roman" w:eastAsia="仿宋_GB2312" w:cs="Times New Roman"/>
          <w:sz w:val="32"/>
          <w:szCs w:val="32"/>
          <w:lang w:val="en-US" w:eastAsia="zh-CN"/>
        </w:rPr>
        <w:t>444.9</w:t>
      </w:r>
      <w:r>
        <w:rPr>
          <w:rFonts w:hint="default" w:ascii="Times New Roman" w:hAnsi="Times New Roman" w:eastAsia="仿宋_GB2312" w:cs="Times New Roman"/>
          <w:sz w:val="32"/>
          <w:szCs w:val="32"/>
          <w:lang w:eastAsia="zh-CN"/>
        </w:rPr>
        <w:t>万元，项目支出</w:t>
      </w:r>
      <w:r>
        <w:rPr>
          <w:rFonts w:hint="default" w:ascii="Times New Roman" w:hAnsi="Times New Roman" w:eastAsia="仿宋_GB2312" w:cs="Times New Roman"/>
          <w:sz w:val="32"/>
          <w:szCs w:val="32"/>
          <w:lang w:val="en-US" w:eastAsia="zh-CN"/>
        </w:rPr>
        <w:t>1822.18</w:t>
      </w:r>
      <w:r>
        <w:rPr>
          <w:rFonts w:hint="default" w:ascii="Times New Roman" w:hAnsi="Times New Roman" w:eastAsia="仿宋_GB2312" w:cs="Times New Roman"/>
          <w:sz w:val="32"/>
          <w:szCs w:val="32"/>
          <w:lang w:eastAsia="zh-CN"/>
        </w:rPr>
        <w:t>万元。</w:t>
      </w:r>
    </w:p>
    <w:p>
      <w:pPr>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eastAsia="zh-CN"/>
        </w:rPr>
      </w:pPr>
      <w:r>
        <w:rPr>
          <w:rFonts w:hint="default" w:ascii="Times New Roman" w:hAnsi="Times New Roman" w:eastAsia="楷体_GB2312" w:cs="Times New Roman"/>
          <w:b/>
          <w:bCs/>
          <w:color w:val="000000"/>
          <w:kern w:val="0"/>
          <w:sz w:val="32"/>
          <w:szCs w:val="32"/>
          <w:lang w:eastAsia="zh-CN"/>
        </w:rPr>
        <w:t>（二）预算执行情况</w:t>
      </w:r>
    </w:p>
    <w:p>
      <w:pPr>
        <w:pStyle w:val="20"/>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壤塘县城乡文明创建和城乡管理综合服务中心2022年财政拨款收入：共计</w:t>
      </w:r>
      <w:r>
        <w:rPr>
          <w:rFonts w:hint="default" w:ascii="Times New Roman" w:hAnsi="Times New Roman" w:eastAsia="仿宋_GB2312" w:cs="Times New Roman"/>
          <w:sz w:val="32"/>
          <w:szCs w:val="32"/>
          <w:lang w:val="en-US" w:eastAsia="zh-CN"/>
        </w:rPr>
        <w:t>2267.08万元，2021年财政拨款1712.97</w:t>
      </w:r>
      <w:r>
        <w:rPr>
          <w:rFonts w:hint="default" w:ascii="Times New Roman" w:hAnsi="Times New Roman" w:eastAsia="仿宋_GB2312" w:cs="Times New Roman"/>
          <w:color w:val="auto"/>
          <w:sz w:val="32"/>
          <w:szCs w:val="32"/>
          <w:lang w:val="en-US" w:eastAsia="zh-CN"/>
        </w:rPr>
        <w:t>万元，比上年增加551.44万元，增加32.34%，主要变动原因是项目增加。</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both"/>
        <w:textAlignment w:val="auto"/>
        <w:outlineLvl w:val="1"/>
        <w:rPr>
          <w:rFonts w:hint="default" w:ascii="Times New Roman" w:hAnsi="Times New Roman" w:eastAsia="黑体" w:cs="Times New Roman"/>
          <w:b w:val="0"/>
          <w:bCs w:val="0"/>
          <w:kern w:val="0"/>
          <w:sz w:val="32"/>
          <w:szCs w:val="32"/>
          <w:lang w:val="en-US" w:eastAsia="zh-CN"/>
        </w:rPr>
      </w:pPr>
      <w:bookmarkStart w:id="72" w:name="_Toc25925"/>
      <w:r>
        <w:rPr>
          <w:rFonts w:hint="default" w:ascii="Times New Roman" w:hAnsi="Times New Roman" w:eastAsia="黑体" w:cs="Times New Roman"/>
          <w:b w:val="0"/>
          <w:bCs w:val="0"/>
          <w:kern w:val="0"/>
          <w:sz w:val="32"/>
          <w:szCs w:val="32"/>
          <w:lang w:val="en-US" w:eastAsia="zh-CN"/>
        </w:rPr>
        <w:t>三、部门管理情况</w:t>
      </w:r>
      <w:bookmarkEnd w:id="72"/>
    </w:p>
    <w:p>
      <w:pPr>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eastAsia="zh-CN"/>
        </w:rPr>
      </w:pPr>
      <w:r>
        <w:rPr>
          <w:rFonts w:hint="default" w:ascii="Times New Roman" w:hAnsi="Times New Roman" w:eastAsia="楷体_GB2312" w:cs="Times New Roman"/>
          <w:b/>
          <w:bCs/>
          <w:color w:val="000000"/>
          <w:kern w:val="0"/>
          <w:sz w:val="32"/>
          <w:szCs w:val="32"/>
          <w:lang w:eastAsia="zh-CN"/>
        </w:rPr>
        <w:t>（一）基础管理</w:t>
      </w:r>
    </w:p>
    <w:p>
      <w:pPr>
        <w:pStyle w:val="20"/>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1、管理制度健全性</w:t>
      </w:r>
    </w:p>
    <w:p>
      <w:pPr>
        <w:pStyle w:val="20"/>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壤塘县城乡文明创建和城乡管理综合服务中心</w:t>
      </w:r>
      <w:r>
        <w:rPr>
          <w:rFonts w:hint="default" w:ascii="Times New Roman" w:hAnsi="Times New Roman" w:eastAsia="仿宋_GB2312" w:cs="Times New Roman"/>
          <w:sz w:val="32"/>
          <w:szCs w:val="32"/>
        </w:rPr>
        <w:t>根据财政部颁布《行政单位内部控制规范》《关于全部推进行政单位内部控制建设的指导意见》文件要求等法律法规及规章制度规定，结合单位实际情况，在对单位主要经济活动及业务流程梳理分析的基础上，初步建立覆盖本单位经济活动的内部控制体系，形成一系列的内部管理制度。主要包括有值班管理制度、档案管理制度、印章管理制度、会计核算管理制度、</w:t>
      </w:r>
      <w:r>
        <w:rPr>
          <w:rFonts w:hint="eastAsia" w:ascii="Times New Roman" w:hAnsi="Times New Roman" w:eastAsia="仿宋_GB2312" w:cs="Times New Roman"/>
          <w:sz w:val="32"/>
          <w:szCs w:val="32"/>
          <w:lang w:eastAsia="zh-CN"/>
        </w:rPr>
        <w:t>厉</w:t>
      </w:r>
      <w:r>
        <w:rPr>
          <w:rFonts w:hint="default" w:ascii="Times New Roman" w:hAnsi="Times New Roman" w:eastAsia="仿宋_GB2312" w:cs="Times New Roman"/>
          <w:sz w:val="32"/>
          <w:szCs w:val="32"/>
        </w:rPr>
        <w:t>行节约管理措施、内部财务管理制度、预算资金管理办法等内部管理制度,另还有公文管理制度、督查管理制度在建；以上相关管理制度合法、合规、完整，均得到了有效执行。</w:t>
      </w:r>
    </w:p>
    <w:p>
      <w:pPr>
        <w:pStyle w:val="20"/>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2、财务管理以及资金使用合规性</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壤塘县城乡文明创建和城乡管理综合服务中心</w:t>
      </w:r>
      <w:r>
        <w:rPr>
          <w:rFonts w:hint="default" w:ascii="Times New Roman" w:hAnsi="Times New Roman" w:eastAsia="仿宋_GB2312" w:cs="Times New Roman"/>
          <w:sz w:val="32"/>
          <w:szCs w:val="32"/>
        </w:rPr>
        <w:t>本年度资金使用过程中严格按照单位财务管理制度要求执行，资金使用的合规性体现在：</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所有经费开支坚持财务审批制度，重大资金支出（日常公用经费在1万元及以上）由</w:t>
      </w:r>
      <w:r>
        <w:rPr>
          <w:rFonts w:hint="default" w:ascii="Times New Roman" w:hAnsi="Times New Roman" w:eastAsia="仿宋_GB2312" w:cs="Times New Roman"/>
          <w:color w:val="000000"/>
          <w:sz w:val="32"/>
          <w:szCs w:val="32"/>
          <w:lang w:eastAsia="zh-CN"/>
        </w:rPr>
        <w:t>党支部行政领导班子</w:t>
      </w:r>
      <w:r>
        <w:rPr>
          <w:rFonts w:hint="default" w:ascii="Times New Roman" w:hAnsi="Times New Roman" w:eastAsia="仿宋_GB2312" w:cs="Times New Roman"/>
          <w:color w:val="000000"/>
          <w:sz w:val="32"/>
          <w:szCs w:val="32"/>
        </w:rPr>
        <w:t>研究决定。</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在报销经费时，经办人使用统一规范的审批单，在审批单上写明用途、经办人员、股室负责人、财务负责人、单位领导、金额、报销日期等内容。</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费用报销审批程序  </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经办人填写</w:t>
      </w:r>
      <w:r>
        <w:rPr>
          <w:rFonts w:hint="default" w:ascii="Times New Roman" w:hAnsi="Times New Roman" w:eastAsia="仿宋_GB2312" w:cs="Times New Roman"/>
          <w:sz w:val="32"/>
          <w:szCs w:val="32"/>
          <w:lang w:eastAsia="zh-CN"/>
        </w:rPr>
        <w:t>报销单</w:t>
      </w:r>
      <w:r>
        <w:rPr>
          <w:rFonts w:hint="default" w:ascii="Times New Roman" w:hAnsi="Times New Roman" w:eastAsia="仿宋_GB2312" w:cs="Times New Roman"/>
          <w:sz w:val="32"/>
          <w:szCs w:val="32"/>
        </w:rPr>
        <w:t>→由业务科室负责人确认签字→财务科</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核签字→</w:t>
      </w:r>
      <w:r>
        <w:rPr>
          <w:rFonts w:hint="default" w:ascii="Times New Roman" w:hAnsi="Times New Roman" w:eastAsia="仿宋_GB2312" w:cs="Times New Roman"/>
          <w:sz w:val="32"/>
          <w:szCs w:val="32"/>
          <w:lang w:eastAsia="zh-CN"/>
        </w:rPr>
        <w:t>财务</w:t>
      </w:r>
      <w:r>
        <w:rPr>
          <w:rFonts w:hint="default" w:ascii="Times New Roman" w:hAnsi="Times New Roman" w:eastAsia="仿宋_GB2312" w:cs="Times New Roman"/>
          <w:sz w:val="32"/>
          <w:szCs w:val="32"/>
        </w:rPr>
        <w:t>分管领导确认签字→</w:t>
      </w:r>
      <w:r>
        <w:rPr>
          <w:rFonts w:hint="default" w:ascii="Times New Roman" w:hAnsi="Times New Roman" w:eastAsia="仿宋_GB2312" w:cs="Times New Roman"/>
          <w:sz w:val="32"/>
          <w:szCs w:val="32"/>
          <w:lang w:val="en-US" w:eastAsia="zh-CN"/>
        </w:rPr>
        <w:t>单位负责人</w:t>
      </w:r>
      <w:r>
        <w:rPr>
          <w:rFonts w:hint="default" w:ascii="Times New Roman" w:hAnsi="Times New Roman" w:eastAsia="仿宋_GB2312" w:cs="Times New Roman"/>
          <w:sz w:val="32"/>
          <w:szCs w:val="32"/>
        </w:rPr>
        <w:t>批准后，到</w:t>
      </w:r>
      <w:r>
        <w:rPr>
          <w:rFonts w:hint="default" w:ascii="Times New Roman" w:hAnsi="Times New Roman" w:eastAsia="仿宋_GB2312" w:cs="Times New Roman"/>
          <w:color w:val="000000"/>
          <w:sz w:val="32"/>
          <w:szCs w:val="32"/>
        </w:rPr>
        <w:t>财务</w:t>
      </w:r>
      <w:r>
        <w:rPr>
          <w:rFonts w:hint="default" w:ascii="Times New Roman" w:hAnsi="Times New Roman" w:eastAsia="仿宋_GB2312" w:cs="Times New Roman"/>
          <w:color w:val="000000"/>
          <w:sz w:val="32"/>
          <w:szCs w:val="32"/>
          <w:lang w:eastAsia="zh-CN"/>
        </w:rPr>
        <w:t>室</w:t>
      </w:r>
      <w:r>
        <w:rPr>
          <w:rFonts w:hint="default" w:ascii="Times New Roman" w:hAnsi="Times New Roman" w:eastAsia="仿宋_GB2312" w:cs="Times New Roman"/>
          <w:sz w:val="32"/>
          <w:szCs w:val="32"/>
        </w:rPr>
        <w:t>出纳处办理支付手续。</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各个审批环节的具体职责：</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业务科室负责人及其分管领导对其发生的支出用途及金额的真实性、准确性负责，并对其科室填写的支出审批单内容、大小写金额、票据张数进行审核。经济业务发生后，原则上在</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天之内报账完毕。不得将几个经济事项的票据合并填报。</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财务室</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财务科有权拒绝受理。</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各审批领导审查财务收支的真实性、合法性、必要性，并在报销凭证上明确签署报销意见。</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所有费用报销实行</w:t>
      </w:r>
      <w:r>
        <w:rPr>
          <w:rFonts w:hint="default" w:ascii="Times New Roman" w:hAnsi="Times New Roman" w:eastAsia="仿宋_GB2312" w:cs="Times New Roman"/>
          <w:sz w:val="32"/>
          <w:szCs w:val="32"/>
          <w:lang w:eastAsia="zh-CN"/>
        </w:rPr>
        <w:t>单位负责人</w:t>
      </w:r>
      <w:r>
        <w:rPr>
          <w:rFonts w:hint="default" w:ascii="Times New Roman" w:hAnsi="Times New Roman" w:eastAsia="仿宋_GB2312" w:cs="Times New Roman"/>
          <w:sz w:val="32"/>
          <w:szCs w:val="32"/>
        </w:rPr>
        <w:t>“一支笔”签批制度。</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纳人员对已经审批后的支出票据必须进行复核（复核票据张数、金额、审批程序），对不符合规定的票据有权拒绝支付并立即向机关领导报告。严格控制现金支付，原则上采用公务卡和转账结算。会计人员进行会计核算时，对不符合财经管理规定的票据有权拒绝接受并应立即报告。</w:t>
      </w:r>
    </w:p>
    <w:p>
      <w:pPr>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eastAsia="zh-CN"/>
        </w:rPr>
      </w:pPr>
      <w:r>
        <w:rPr>
          <w:rFonts w:hint="default" w:ascii="Times New Roman" w:hAnsi="Times New Roman" w:eastAsia="楷体_GB2312" w:cs="Times New Roman"/>
          <w:b/>
          <w:bCs/>
          <w:color w:val="000000"/>
          <w:kern w:val="0"/>
          <w:sz w:val="32"/>
          <w:szCs w:val="32"/>
          <w:lang w:eastAsia="zh-CN"/>
        </w:rPr>
        <w:t>（二）行政成本</w:t>
      </w:r>
    </w:p>
    <w:p>
      <w:pPr>
        <w:pStyle w:val="20"/>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“三公”经费控制：壤塘县城乡文明创建和城乡管理综合服务中心2022年“三公”经费预算</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万元，决算支出</w:t>
      </w:r>
      <w:r>
        <w:rPr>
          <w:rFonts w:hint="default" w:ascii="Times New Roman" w:hAnsi="Times New Roman" w:eastAsia="仿宋_GB2312" w:cs="Times New Roman"/>
          <w:sz w:val="32"/>
          <w:szCs w:val="32"/>
          <w:lang w:val="en-US" w:eastAsia="zh-CN"/>
        </w:rPr>
        <w:t>2.91</w:t>
      </w:r>
      <w:r>
        <w:rPr>
          <w:rFonts w:hint="default" w:ascii="Times New Roman" w:hAnsi="Times New Roman" w:eastAsia="仿宋_GB2312" w:cs="Times New Roman"/>
          <w:sz w:val="32"/>
          <w:szCs w:val="32"/>
          <w:lang w:eastAsia="zh-CN"/>
        </w:rPr>
        <w:t>万元。其中公务用车购置及运行维护费预算</w:t>
      </w:r>
      <w:r>
        <w:rPr>
          <w:rFonts w:hint="default" w:ascii="Times New Roman" w:hAnsi="Times New Roman" w:eastAsia="仿宋_GB2312" w:cs="Times New Roman"/>
          <w:sz w:val="32"/>
          <w:szCs w:val="32"/>
          <w:lang w:val="en-US" w:eastAsia="zh-CN"/>
        </w:rPr>
        <w:t>2.91</w:t>
      </w:r>
      <w:r>
        <w:rPr>
          <w:rFonts w:hint="default" w:ascii="Times New Roman" w:hAnsi="Times New Roman" w:eastAsia="仿宋_GB2312" w:cs="Times New Roman"/>
          <w:sz w:val="32"/>
          <w:szCs w:val="32"/>
          <w:lang w:eastAsia="zh-CN"/>
        </w:rPr>
        <w:t>万元，决算支出</w:t>
      </w:r>
      <w:r>
        <w:rPr>
          <w:rFonts w:hint="default" w:ascii="Times New Roman" w:hAnsi="Times New Roman" w:eastAsia="仿宋_GB2312" w:cs="Times New Roman"/>
          <w:sz w:val="32"/>
          <w:szCs w:val="32"/>
          <w:lang w:val="en-US" w:eastAsia="zh-CN"/>
        </w:rPr>
        <w:t>2.91</w:t>
      </w:r>
      <w:r>
        <w:rPr>
          <w:rFonts w:hint="default" w:ascii="Times New Roman" w:hAnsi="Times New Roman" w:eastAsia="仿宋_GB2312" w:cs="Times New Roman"/>
          <w:sz w:val="32"/>
          <w:szCs w:val="32"/>
          <w:lang w:eastAsia="zh-CN"/>
        </w:rPr>
        <w:t>万元（均为公务用车运行维护费）</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未发生因公出国（境）费，2022年“三公”经费决算均未超过预算。</w:t>
      </w:r>
    </w:p>
    <w:p>
      <w:pPr>
        <w:pStyle w:val="20"/>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2、</w:t>
      </w:r>
      <w:r>
        <w:rPr>
          <w:rFonts w:hint="default" w:ascii="Times New Roman" w:hAnsi="Times New Roman" w:eastAsia="仿宋_GB2312" w:cs="Times New Roman"/>
          <w:b/>
          <w:bCs/>
          <w:kern w:val="0"/>
          <w:sz w:val="32"/>
          <w:szCs w:val="32"/>
        </w:rPr>
        <w:t>政府采购</w:t>
      </w:r>
    </w:p>
    <w:p>
      <w:pPr>
        <w:pStyle w:val="20"/>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采购规范性。壤塘县城乡文明创建和城乡管理综合服务中心2022年度政府采购支出</w:t>
      </w:r>
      <w:r>
        <w:rPr>
          <w:rFonts w:hint="default" w:ascii="Times New Roman" w:hAnsi="Times New Roman" w:eastAsia="仿宋_GB2312" w:cs="Times New Roman"/>
          <w:sz w:val="32"/>
          <w:szCs w:val="32"/>
          <w:lang w:val="en-US" w:eastAsia="zh-CN"/>
        </w:rPr>
        <w:t>641.25</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其中政府采购货物支出185.25万元，</w:t>
      </w:r>
      <w:r>
        <w:rPr>
          <w:rFonts w:hint="default" w:ascii="Times New Roman" w:hAnsi="Times New Roman" w:eastAsia="仿宋_GB2312" w:cs="Times New Roman"/>
          <w:sz w:val="32"/>
          <w:szCs w:val="32"/>
          <w:lang w:eastAsia="zh-CN"/>
        </w:rPr>
        <w:t>政府采购工程支出</w:t>
      </w:r>
      <w:r>
        <w:rPr>
          <w:rFonts w:hint="default" w:ascii="Times New Roman" w:hAnsi="Times New Roman" w:eastAsia="仿宋_GB2312" w:cs="Times New Roman"/>
          <w:sz w:val="32"/>
          <w:szCs w:val="32"/>
          <w:lang w:val="en-US" w:eastAsia="zh-CN"/>
        </w:rPr>
        <w:t>120.94</w:t>
      </w:r>
      <w:r>
        <w:rPr>
          <w:rFonts w:hint="default" w:ascii="Times New Roman" w:hAnsi="Times New Roman" w:eastAsia="仿宋_GB2312" w:cs="Times New Roman"/>
          <w:sz w:val="32"/>
          <w:szCs w:val="32"/>
          <w:lang w:eastAsia="zh-CN"/>
        </w:rPr>
        <w:t>万元，政府采购服务支出</w:t>
      </w:r>
      <w:r>
        <w:rPr>
          <w:rFonts w:hint="default" w:ascii="Times New Roman" w:hAnsi="Times New Roman" w:eastAsia="仿宋_GB2312" w:cs="Times New Roman"/>
          <w:sz w:val="32"/>
          <w:szCs w:val="32"/>
          <w:lang w:val="en-US" w:eastAsia="zh-CN"/>
        </w:rPr>
        <w:t>335.06</w:t>
      </w:r>
      <w:r>
        <w:rPr>
          <w:rFonts w:hint="default" w:ascii="Times New Roman" w:hAnsi="Times New Roman" w:eastAsia="仿宋_GB2312" w:cs="Times New Roman"/>
          <w:sz w:val="32"/>
          <w:szCs w:val="32"/>
          <w:lang w:eastAsia="zh-CN"/>
        </w:rPr>
        <w:t>万元。</w:t>
      </w:r>
    </w:p>
    <w:p>
      <w:pPr>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eastAsia="zh-CN"/>
        </w:rPr>
      </w:pPr>
      <w:r>
        <w:rPr>
          <w:rFonts w:hint="default" w:ascii="Times New Roman" w:hAnsi="Times New Roman" w:eastAsia="楷体_GB2312" w:cs="Times New Roman"/>
          <w:b/>
          <w:bCs/>
          <w:color w:val="000000"/>
          <w:kern w:val="0"/>
          <w:sz w:val="32"/>
          <w:szCs w:val="32"/>
          <w:lang w:eastAsia="zh-CN"/>
        </w:rPr>
        <w:t xml:space="preserve">（三）资产管理  </w:t>
      </w:r>
    </w:p>
    <w:p>
      <w:pPr>
        <w:pStyle w:val="20"/>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固定资产在用率。2022年12月31日，壤塘县城乡文明创建和城乡管理综合服务中心《行政单位资产管理系统》固定资产</w:t>
      </w:r>
      <w:r>
        <w:rPr>
          <w:rFonts w:hint="default" w:ascii="Times New Roman" w:hAnsi="Times New Roman" w:eastAsia="仿宋_GB2312" w:cs="Times New Roman"/>
          <w:sz w:val="32"/>
          <w:szCs w:val="32"/>
          <w:lang w:val="en-US" w:eastAsia="zh-CN"/>
        </w:rPr>
        <w:t>原值</w:t>
      </w:r>
      <w:r>
        <w:rPr>
          <w:rFonts w:hint="default" w:ascii="Times New Roman" w:hAnsi="Times New Roman" w:eastAsia="仿宋_GB2312" w:cs="Times New Roman"/>
          <w:sz w:val="32"/>
          <w:szCs w:val="32"/>
          <w:lang w:eastAsia="zh-CN"/>
        </w:rPr>
        <w:t>总计</w:t>
      </w:r>
      <w:r>
        <w:rPr>
          <w:rFonts w:hint="default" w:ascii="Times New Roman" w:hAnsi="Times New Roman" w:eastAsia="仿宋_GB2312" w:cs="Times New Roman"/>
          <w:sz w:val="32"/>
          <w:szCs w:val="32"/>
          <w:lang w:val="en-US" w:eastAsia="zh-CN"/>
        </w:rPr>
        <w:t>187.12</w:t>
      </w:r>
      <w:r>
        <w:rPr>
          <w:rFonts w:hint="default" w:ascii="Times New Roman" w:hAnsi="Times New Roman" w:eastAsia="仿宋_GB2312" w:cs="Times New Roman"/>
          <w:sz w:val="32"/>
          <w:szCs w:val="32"/>
          <w:lang w:eastAsia="zh-CN"/>
        </w:rPr>
        <w:t>万元，在用的固定资产总计</w:t>
      </w:r>
      <w:r>
        <w:rPr>
          <w:rFonts w:hint="default" w:ascii="Times New Roman" w:hAnsi="Times New Roman" w:eastAsia="仿宋_GB2312" w:cs="Times New Roman"/>
          <w:sz w:val="32"/>
          <w:szCs w:val="32"/>
          <w:lang w:val="en-US" w:eastAsia="zh-CN"/>
        </w:rPr>
        <w:t>187.12</w:t>
      </w:r>
      <w:r>
        <w:rPr>
          <w:rFonts w:hint="default" w:ascii="Times New Roman" w:hAnsi="Times New Roman" w:eastAsia="仿宋_GB2312" w:cs="Times New Roman"/>
          <w:sz w:val="32"/>
          <w:szCs w:val="32"/>
          <w:lang w:eastAsia="zh-CN"/>
        </w:rPr>
        <w:t>万元，固定资产在用率达</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eastAsia="zh-CN"/>
        </w:rPr>
      </w:pPr>
      <w:r>
        <w:rPr>
          <w:rFonts w:hint="default" w:ascii="Times New Roman" w:hAnsi="Times New Roman" w:eastAsia="楷体_GB2312" w:cs="Times New Roman"/>
          <w:b/>
          <w:bCs/>
          <w:color w:val="000000"/>
          <w:kern w:val="0"/>
          <w:sz w:val="32"/>
          <w:szCs w:val="32"/>
          <w:lang w:eastAsia="zh-CN"/>
        </w:rPr>
        <w:t>（</w:t>
      </w:r>
      <w:r>
        <w:rPr>
          <w:rFonts w:hint="default" w:ascii="Times New Roman" w:hAnsi="Times New Roman" w:eastAsia="楷体_GB2312" w:cs="Times New Roman"/>
          <w:b/>
          <w:bCs/>
          <w:color w:val="000000"/>
          <w:kern w:val="0"/>
          <w:sz w:val="32"/>
          <w:szCs w:val="32"/>
          <w:lang w:val="en-US" w:eastAsia="zh-CN"/>
        </w:rPr>
        <w:t>四</w:t>
      </w:r>
      <w:r>
        <w:rPr>
          <w:rFonts w:hint="default" w:ascii="Times New Roman" w:hAnsi="Times New Roman" w:eastAsia="楷体_GB2312" w:cs="Times New Roman"/>
          <w:b/>
          <w:bCs/>
          <w:color w:val="000000"/>
          <w:kern w:val="0"/>
          <w:sz w:val="32"/>
          <w:szCs w:val="32"/>
          <w:lang w:eastAsia="zh-CN"/>
        </w:rPr>
        <w:t>）信息公开</w:t>
      </w:r>
    </w:p>
    <w:p>
      <w:pPr>
        <w:pStyle w:val="20"/>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信息公开。</w:t>
      </w:r>
      <w:r>
        <w:rPr>
          <w:rFonts w:hint="default" w:ascii="Times New Roman" w:hAnsi="Times New Roman" w:eastAsia="仿宋_GB2312" w:cs="Times New Roman"/>
          <w:sz w:val="32"/>
          <w:szCs w:val="32"/>
          <w:lang w:eastAsia="zh-CN"/>
        </w:rPr>
        <w:t>壤塘县城乡文明创建和城乡管理综合服务中心</w:t>
      </w:r>
      <w:r>
        <w:rPr>
          <w:rFonts w:hint="default" w:ascii="Times New Roman" w:hAnsi="Times New Roman" w:eastAsia="仿宋_GB2312" w:cs="Times New Roman"/>
          <w:sz w:val="32"/>
          <w:szCs w:val="32"/>
        </w:rPr>
        <w:t>已经按财政要求及时完成预算、决算、绩效等信息公开工作，信息公开在</w:t>
      </w:r>
      <w:r>
        <w:rPr>
          <w:rFonts w:hint="default" w:ascii="Times New Roman" w:hAnsi="Times New Roman" w:eastAsia="仿宋_GB2312" w:cs="Times New Roman"/>
          <w:sz w:val="32"/>
          <w:szCs w:val="32"/>
          <w:lang w:val="en-US" w:eastAsia="zh-CN"/>
        </w:rPr>
        <w:t>壤塘县</w:t>
      </w:r>
      <w:r>
        <w:rPr>
          <w:rFonts w:hint="default" w:ascii="Times New Roman" w:hAnsi="Times New Roman" w:eastAsia="仿宋_GB2312" w:cs="Times New Roman"/>
          <w:sz w:val="32"/>
          <w:szCs w:val="32"/>
        </w:rPr>
        <w:t>门户网站中。</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both"/>
        <w:textAlignment w:val="auto"/>
        <w:outlineLvl w:val="1"/>
        <w:rPr>
          <w:rFonts w:hint="default" w:ascii="Times New Roman" w:hAnsi="Times New Roman" w:eastAsia="黑体" w:cs="Times New Roman"/>
          <w:b w:val="0"/>
          <w:bCs w:val="0"/>
          <w:kern w:val="0"/>
          <w:sz w:val="32"/>
          <w:szCs w:val="32"/>
          <w:lang w:val="en-US" w:eastAsia="zh-CN"/>
        </w:rPr>
      </w:pPr>
      <w:bookmarkStart w:id="73" w:name="_Toc14855"/>
      <w:r>
        <w:rPr>
          <w:rFonts w:hint="default" w:ascii="Times New Roman" w:hAnsi="Times New Roman" w:eastAsia="黑体" w:cs="Times New Roman"/>
          <w:b w:val="0"/>
          <w:bCs w:val="0"/>
          <w:kern w:val="0"/>
          <w:sz w:val="32"/>
          <w:szCs w:val="32"/>
          <w:lang w:val="en-US" w:eastAsia="zh-CN"/>
        </w:rPr>
        <w:t>四、部门履职效能</w:t>
      </w:r>
      <w:bookmarkEnd w:id="73"/>
    </w:p>
    <w:p>
      <w:pPr>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eastAsia="zh-CN"/>
        </w:rPr>
      </w:pPr>
      <w:r>
        <w:rPr>
          <w:rFonts w:hint="default" w:ascii="Times New Roman" w:hAnsi="Times New Roman" w:eastAsia="楷体_GB2312" w:cs="Times New Roman"/>
          <w:b/>
          <w:bCs/>
          <w:color w:val="000000"/>
          <w:kern w:val="0"/>
          <w:sz w:val="32"/>
          <w:szCs w:val="32"/>
          <w:lang w:eastAsia="zh-CN"/>
        </w:rPr>
        <w:t>（一）部门履职的年度总体目标</w:t>
      </w:r>
    </w:p>
    <w:p>
      <w:pPr>
        <w:bidi w:val="0"/>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2022</w:t>
      </w:r>
      <w:r>
        <w:rPr>
          <w:rFonts w:hint="default" w:ascii="Times New Roman" w:hAnsi="Times New Roman" w:eastAsia="仿宋_GB2312" w:cs="Times New Roman"/>
          <w:kern w:val="2"/>
          <w:sz w:val="32"/>
          <w:szCs w:val="32"/>
          <w:lang w:val="en-US" w:eastAsia="zh-CN" w:bidi="ar-SA"/>
        </w:rPr>
        <w:t>年，在县委县政府的坚强领导下，我中心班子紧紧围绕城市美化、绿化、亮化、净化、管理精细化“五化”工作目标，坚持以规范管理、作风建设为主线，着力推进队伍建设、业务建设和行风建设，抓住影响市容环境的热点和难点问题，找准工作的突破口，以问题为导向，攻坚破难，开拓创新，锐意进取。</w:t>
      </w:r>
    </w:p>
    <w:p>
      <w:pPr>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（二）2022年度工作开展情况</w:t>
      </w:r>
    </w:p>
    <w:p>
      <w:pPr>
        <w:keepNext w:val="0"/>
        <w:keepLines w:val="0"/>
        <w:pageBreakBefore w:val="0"/>
        <w:numPr>
          <w:ilvl w:val="0"/>
          <w:numId w:val="0"/>
        </w:numPr>
        <w:kinsoku/>
        <w:wordWrap/>
        <w:overflowPunct/>
        <w:topLinePunct w:val="0"/>
        <w:autoSpaceDE/>
        <w:autoSpaceDN/>
        <w:bidi w:val="0"/>
        <w:snapToGrid/>
        <w:spacing w:line="576"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val="en-US" w:eastAsia="zh-CN" w:bidi="ar-SA"/>
        </w:rPr>
        <w:t>1、城乡建设巡查维护。</w:t>
      </w:r>
      <w:r>
        <w:rPr>
          <w:rFonts w:hint="default" w:ascii="Times New Roman" w:hAnsi="Times New Roman" w:eastAsia="仿宋_GB2312" w:cs="Times New Roman"/>
          <w:sz w:val="32"/>
          <w:szCs w:val="32"/>
        </w:rPr>
        <w:t>有效整合力量，切实强化对街面的巡逻巡查力度，发现问题及时处理，全面加强城市管理。</w:t>
      </w:r>
      <w:r>
        <w:rPr>
          <w:rFonts w:hint="default" w:ascii="Times New Roman" w:hAnsi="Times New Roman" w:eastAsia="仿宋_GB2312" w:cs="Times New Roman"/>
          <w:sz w:val="32"/>
          <w:szCs w:val="32"/>
          <w:lang w:eastAsia="zh-CN"/>
        </w:rPr>
        <w:t>半年来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我中心</w:t>
      </w:r>
      <w:r>
        <w:rPr>
          <w:rFonts w:hint="default" w:ascii="Times New Roman" w:hAnsi="Times New Roman" w:eastAsia="仿宋_GB2312" w:cs="Times New Roman"/>
          <w:sz w:val="32"/>
          <w:szCs w:val="32"/>
        </w:rPr>
        <w:t>共取缔流动摊点</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rPr>
        <w:t>余起、清理占道经营</w:t>
      </w:r>
      <w:r>
        <w:rPr>
          <w:rFonts w:hint="default" w:ascii="Times New Roman" w:hAnsi="Times New Roman" w:eastAsia="仿宋_GB2312" w:cs="Times New Roman"/>
          <w:sz w:val="32"/>
          <w:szCs w:val="32"/>
          <w:lang w:val="en-US" w:eastAsia="zh-CN"/>
        </w:rPr>
        <w:t>260</w:t>
      </w:r>
      <w:r>
        <w:rPr>
          <w:rFonts w:hint="default" w:ascii="Times New Roman" w:hAnsi="Times New Roman" w:eastAsia="仿宋_GB2312" w:cs="Times New Roman"/>
          <w:sz w:val="32"/>
          <w:szCs w:val="32"/>
        </w:rPr>
        <w:t>余起、乱堆乱放</w:t>
      </w:r>
      <w:r>
        <w:rPr>
          <w:rFonts w:hint="default" w:ascii="Times New Roman" w:hAnsi="Times New Roman" w:eastAsia="仿宋_GB2312" w:cs="Times New Roman"/>
          <w:sz w:val="32"/>
          <w:szCs w:val="32"/>
          <w:lang w:val="en-US" w:eastAsia="zh-CN"/>
        </w:rPr>
        <w:t>110</w:t>
      </w:r>
      <w:r>
        <w:rPr>
          <w:rFonts w:hint="default" w:ascii="Times New Roman" w:hAnsi="Times New Roman" w:eastAsia="仿宋_GB2312" w:cs="Times New Roman"/>
          <w:sz w:val="32"/>
          <w:szCs w:val="32"/>
        </w:rPr>
        <w:t>余起、规范机动车停放</w:t>
      </w:r>
      <w:r>
        <w:rPr>
          <w:rFonts w:hint="default" w:ascii="Times New Roman" w:hAnsi="Times New Roman" w:eastAsia="仿宋_GB2312" w:cs="Times New Roman"/>
          <w:sz w:val="32"/>
          <w:szCs w:val="32"/>
          <w:lang w:val="en-US" w:eastAsia="zh-CN"/>
        </w:rPr>
        <w:t>15 0余</w:t>
      </w:r>
      <w:r>
        <w:rPr>
          <w:rFonts w:hint="default" w:ascii="Times New Roman" w:hAnsi="Times New Roman" w:eastAsia="仿宋_GB2312" w:cs="Times New Roman"/>
          <w:sz w:val="32"/>
          <w:szCs w:val="32"/>
        </w:rPr>
        <w:t>辆/次、拆除违规横幅</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余条、清理小广告</w:t>
      </w:r>
      <w:r>
        <w:rPr>
          <w:rFonts w:hint="default" w:ascii="Times New Roman" w:hAnsi="Times New Roman" w:eastAsia="仿宋_GB2312" w:cs="Times New Roman"/>
          <w:sz w:val="32"/>
          <w:szCs w:val="32"/>
          <w:lang w:val="en-US" w:eastAsia="zh-CN"/>
        </w:rPr>
        <w:t>70</w:t>
      </w:r>
      <w:r>
        <w:rPr>
          <w:rFonts w:hint="default" w:ascii="Times New Roman" w:hAnsi="Times New Roman" w:eastAsia="仿宋_GB2312" w:cs="Times New Roman"/>
          <w:sz w:val="32"/>
          <w:szCs w:val="32"/>
        </w:rPr>
        <w:t>余张、责令整改违规工地</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起；整治卫生死角</w:t>
      </w:r>
      <w:r>
        <w:rPr>
          <w:rFonts w:hint="default" w:ascii="Times New Roman" w:hAnsi="Times New Roman" w:eastAsia="仿宋_GB2312" w:cs="Times New Roman"/>
          <w:sz w:val="32"/>
          <w:szCs w:val="32"/>
          <w:lang w:val="en-US" w:eastAsia="zh-CN"/>
        </w:rPr>
        <w:t>40余</w:t>
      </w:r>
      <w:r>
        <w:rPr>
          <w:rFonts w:hint="default" w:ascii="Times New Roman" w:hAnsi="Times New Roman" w:eastAsia="仿宋_GB2312" w:cs="Times New Roman"/>
          <w:sz w:val="32"/>
          <w:szCs w:val="32"/>
        </w:rPr>
        <w:t>处，清运城区生活垃圾</w:t>
      </w:r>
      <w:r>
        <w:rPr>
          <w:rFonts w:hint="default" w:ascii="Times New Roman" w:hAnsi="Times New Roman" w:eastAsia="仿宋_GB2312" w:cs="Times New Roman"/>
          <w:sz w:val="32"/>
          <w:szCs w:val="32"/>
          <w:lang w:val="en-US" w:eastAsia="zh-CN"/>
        </w:rPr>
        <w:t>3200</w:t>
      </w:r>
      <w:r>
        <w:rPr>
          <w:rFonts w:hint="default" w:ascii="Times New Roman" w:hAnsi="Times New Roman" w:eastAsia="仿宋_GB2312" w:cs="Times New Roman"/>
          <w:sz w:val="32"/>
          <w:szCs w:val="32"/>
        </w:rPr>
        <w:t>吨，共检查路灯183盏，更换路灯灯泡120余个，检查路灯预埋线路8000米，更换路灯电缆270余米、实施绿化</w:t>
      </w:r>
      <w:r>
        <w:rPr>
          <w:rFonts w:hint="default" w:ascii="Times New Roman" w:hAnsi="Times New Roman" w:eastAsia="仿宋_GB2312" w:cs="Times New Roman"/>
          <w:sz w:val="32"/>
          <w:szCs w:val="32"/>
          <w:lang w:val="en-US" w:eastAsia="zh-CN"/>
        </w:rPr>
        <w:t>1000</w:t>
      </w:r>
      <w:r>
        <w:rPr>
          <w:rFonts w:hint="default" w:ascii="Times New Roman" w:hAnsi="Times New Roman" w:eastAsia="仿宋_GB2312" w:cs="Times New Roman"/>
          <w:sz w:val="32"/>
          <w:szCs w:val="32"/>
        </w:rPr>
        <w:t>平方米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维护青石栏杆共计</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米。</w:t>
      </w:r>
    </w:p>
    <w:p>
      <w:pPr>
        <w:keepNext w:val="0"/>
        <w:keepLines w:val="0"/>
        <w:pageBreakBefore w:val="0"/>
        <w:kinsoku/>
        <w:wordWrap/>
        <w:overflowPunct/>
        <w:topLinePunct w:val="0"/>
        <w:autoSpaceDE/>
        <w:autoSpaceDN/>
        <w:bidi w:val="0"/>
        <w:snapToGrid/>
        <w:spacing w:line="576"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城市监察工作。</w:t>
      </w:r>
      <w:r>
        <w:rPr>
          <w:rFonts w:hint="default" w:ascii="Times New Roman" w:hAnsi="Times New Roman" w:eastAsia="仿宋_GB2312" w:cs="Times New Roman"/>
          <w:sz w:val="32"/>
          <w:szCs w:val="32"/>
        </w:rPr>
        <w:t>坚持以问题为导向，不断创新工作思路，完善工作机制，强化工作措施。</w:t>
      </w:r>
      <w:r>
        <w:rPr>
          <w:rFonts w:hint="default" w:ascii="Times New Roman" w:hAnsi="Times New Roman" w:eastAsia="仿宋_GB2312" w:cs="Times New Roman"/>
          <w:sz w:val="32"/>
          <w:szCs w:val="32"/>
          <w:lang w:eastAsia="zh-CN"/>
        </w:rPr>
        <w:t>去</w:t>
      </w:r>
      <w:r>
        <w:rPr>
          <w:rFonts w:hint="default" w:ascii="Times New Roman" w:hAnsi="Times New Roman" w:eastAsia="仿宋_GB2312" w:cs="Times New Roman"/>
          <w:sz w:val="32"/>
          <w:szCs w:val="32"/>
        </w:rPr>
        <w:t>年，我县城区的市容市貌、市场秩序、交通秩序、环境卫生秩序</w:t>
      </w:r>
      <w:r>
        <w:rPr>
          <w:rFonts w:hint="default" w:ascii="Times New Roman" w:hAnsi="Times New Roman" w:eastAsia="仿宋_GB2312" w:cs="Times New Roman"/>
          <w:sz w:val="32"/>
          <w:szCs w:val="32"/>
          <w:lang w:eastAsia="zh-CN"/>
        </w:rPr>
        <w:t>得到</w:t>
      </w:r>
      <w:r>
        <w:rPr>
          <w:rFonts w:hint="default" w:ascii="Times New Roman" w:hAnsi="Times New Roman" w:eastAsia="仿宋_GB2312" w:cs="Times New Roman"/>
          <w:sz w:val="32"/>
          <w:szCs w:val="32"/>
        </w:rPr>
        <w:t>显著改观。</w:t>
      </w:r>
    </w:p>
    <w:p>
      <w:pPr>
        <w:keepNext w:val="0"/>
        <w:keepLines w:val="0"/>
        <w:pageBreakBefore w:val="0"/>
        <w:widowControl/>
        <w:kinsoku/>
        <w:wordWrap/>
        <w:overflowPunct/>
        <w:topLinePunct w:val="0"/>
        <w:autoSpaceDE/>
        <w:autoSpaceDN/>
        <w:bidi w:val="0"/>
        <w:adjustRightInd w:val="0"/>
        <w:snapToGrid/>
        <w:spacing w:line="576"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lang w:eastAsia="zh-CN"/>
        </w:rPr>
        <w:t>强力整治市容环境</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加强对出摊占道的整治工作，对各商铺门口摆放商品，流动摊贩在人行道乱摆乱放的情况进行治理，截</w:t>
      </w:r>
      <w:r>
        <w:rPr>
          <w:rFonts w:hint="eastAsia" w:eastAsia="仿宋_GB2312" w:cs="Times New Roman"/>
          <w:sz w:val="32"/>
          <w:szCs w:val="32"/>
          <w:lang w:eastAsia="zh-CN"/>
        </w:rPr>
        <w:t>至</w:t>
      </w:r>
      <w:r>
        <w:rPr>
          <w:rFonts w:hint="default" w:ascii="Times New Roman" w:hAnsi="Times New Roman" w:eastAsia="仿宋_GB2312" w:cs="Times New Roman"/>
          <w:sz w:val="32"/>
          <w:szCs w:val="32"/>
          <w:lang w:eastAsia="zh-CN"/>
        </w:rPr>
        <w:t>目前</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清理出摊占道和流动摊贩共计</w:t>
      </w:r>
      <w:r>
        <w:rPr>
          <w:rFonts w:hint="default" w:ascii="Times New Roman" w:hAnsi="Times New Roman" w:eastAsia="仿宋_GB2312" w:cs="Times New Roman"/>
          <w:sz w:val="32"/>
          <w:szCs w:val="32"/>
          <w:lang w:val="en-US" w:eastAsia="zh-CN"/>
        </w:rPr>
        <w:t>340余次；</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加强对人行道违规停车现象的整治，共计处罚人行道违停14起，规劝乱停乱放140余次。</w:t>
      </w:r>
    </w:p>
    <w:p>
      <w:pPr>
        <w:keepNext w:val="0"/>
        <w:keepLines w:val="0"/>
        <w:pageBreakBefore w:val="0"/>
        <w:widowControl/>
        <w:numPr>
          <w:ilvl w:val="0"/>
          <w:numId w:val="0"/>
        </w:numPr>
        <w:kinsoku/>
        <w:wordWrap/>
        <w:overflowPunct/>
        <w:topLinePunct w:val="0"/>
        <w:autoSpaceDE/>
        <w:autoSpaceDN/>
        <w:bidi w:val="0"/>
        <w:adjustRightInd w:val="0"/>
        <w:spacing w:line="576"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4、</w:t>
      </w:r>
      <w:r>
        <w:rPr>
          <w:rFonts w:hint="default" w:ascii="Times New Roman" w:hAnsi="Times New Roman" w:eastAsia="仿宋_GB2312" w:cs="Times New Roman"/>
          <w:b/>
          <w:sz w:val="32"/>
          <w:szCs w:val="32"/>
        </w:rPr>
        <w:t>强化工地乱象综合治理。</w:t>
      </w:r>
      <w:r>
        <w:rPr>
          <w:rFonts w:hint="default" w:ascii="Times New Roman" w:hAnsi="Times New Roman" w:eastAsia="仿宋_GB2312" w:cs="Times New Roman"/>
          <w:sz w:val="32"/>
          <w:szCs w:val="32"/>
          <w:lang w:val="en-US" w:eastAsia="zh-CN"/>
        </w:rPr>
        <w:t>2022年壤塘县城区市政项目工程全面开工，涉及城区道路占用、破路等情况的工程较多，包括住建局的供水管道改造、供暖改造、城区雨污分流三个项目。</w:t>
      </w:r>
      <w:r>
        <w:rPr>
          <w:rFonts w:hint="default" w:ascii="Times New Roman" w:hAnsi="Times New Roman" w:eastAsia="仿宋_GB2312" w:cs="Times New Roman"/>
          <w:sz w:val="32"/>
          <w:szCs w:val="32"/>
        </w:rPr>
        <w:t>针对</w:t>
      </w:r>
      <w:r>
        <w:rPr>
          <w:rFonts w:hint="default" w:ascii="Times New Roman" w:hAnsi="Times New Roman" w:eastAsia="仿宋_GB2312" w:cs="Times New Roman"/>
          <w:sz w:val="32"/>
          <w:szCs w:val="32"/>
          <w:lang w:eastAsia="zh-CN"/>
        </w:rPr>
        <w:t>此</w:t>
      </w:r>
      <w:r>
        <w:rPr>
          <w:rFonts w:hint="default" w:ascii="Times New Roman" w:hAnsi="Times New Roman" w:eastAsia="仿宋_GB2312" w:cs="Times New Roman"/>
          <w:sz w:val="32"/>
          <w:szCs w:val="32"/>
          <w:lang w:val="en-US" w:eastAsia="zh-CN"/>
        </w:rPr>
        <w:t>3个重点</w:t>
      </w:r>
      <w:r>
        <w:rPr>
          <w:rFonts w:hint="default" w:ascii="Times New Roman" w:hAnsi="Times New Roman" w:eastAsia="仿宋_GB2312" w:cs="Times New Roman"/>
          <w:sz w:val="32"/>
          <w:szCs w:val="32"/>
        </w:rPr>
        <w:t>工地</w:t>
      </w:r>
      <w:r>
        <w:rPr>
          <w:rFonts w:hint="default" w:ascii="Times New Roman" w:hAnsi="Times New Roman" w:eastAsia="仿宋_GB2312" w:cs="Times New Roman"/>
          <w:sz w:val="32"/>
          <w:szCs w:val="32"/>
          <w:lang w:eastAsia="zh-CN"/>
        </w:rPr>
        <w:t>现场进行严格的</w:t>
      </w:r>
      <w:r>
        <w:rPr>
          <w:rFonts w:hint="default" w:ascii="Times New Roman" w:hAnsi="Times New Roman" w:eastAsia="仿宋_GB2312" w:cs="Times New Roman"/>
          <w:sz w:val="32"/>
          <w:szCs w:val="32"/>
        </w:rPr>
        <w:t>督促和指导，严格要求工地封闭施工，规范打围。同时，整合有限的执法力量强化</w:t>
      </w:r>
      <w:r>
        <w:rPr>
          <w:rFonts w:hint="default" w:ascii="Times New Roman" w:hAnsi="Times New Roman" w:eastAsia="仿宋_GB2312" w:cs="Times New Roman"/>
          <w:sz w:val="32"/>
          <w:szCs w:val="32"/>
          <w:lang w:eastAsia="zh-CN"/>
        </w:rPr>
        <w:t>对城区各施工工地现场</w:t>
      </w:r>
      <w:r>
        <w:rPr>
          <w:rFonts w:hint="default" w:ascii="Times New Roman" w:hAnsi="Times New Roman" w:eastAsia="仿宋_GB2312" w:cs="Times New Roman"/>
          <w:sz w:val="32"/>
          <w:szCs w:val="32"/>
        </w:rPr>
        <w:t>巡逻巡查力度，发现问题及时处理。</w:t>
      </w:r>
    </w:p>
    <w:p>
      <w:pPr>
        <w:keepNext w:val="0"/>
        <w:keepLines w:val="0"/>
        <w:pageBreakBefore w:val="0"/>
        <w:widowControl/>
        <w:kinsoku/>
        <w:wordWrap/>
        <w:overflowPunct/>
        <w:topLinePunct w:val="0"/>
        <w:autoSpaceDE/>
        <w:autoSpaceDN/>
        <w:bidi w:val="0"/>
        <w:adjustRightInd w:val="0"/>
        <w:snapToGrid/>
        <w:spacing w:line="576"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5、</w:t>
      </w:r>
      <w:r>
        <w:rPr>
          <w:rFonts w:hint="default" w:ascii="Times New Roman" w:hAnsi="Times New Roman" w:eastAsia="仿宋_GB2312" w:cs="Times New Roman"/>
          <w:b/>
          <w:sz w:val="32"/>
          <w:szCs w:val="32"/>
        </w:rPr>
        <w:t>加快推进政务一体化建设工作。</w:t>
      </w:r>
      <w:r>
        <w:rPr>
          <w:rFonts w:hint="default" w:ascii="Times New Roman" w:hAnsi="Times New Roman" w:eastAsia="仿宋_GB2312" w:cs="Times New Roman"/>
          <w:sz w:val="32"/>
          <w:szCs w:val="32"/>
        </w:rPr>
        <w:t>在执法工作中，严格按照行政执法相关工作流程，认真梳理权力清单，做到严格、规范、文明执法，并落实专人负责行政权力平台的录入工作，每月保质保量完成工作任务。</w:t>
      </w:r>
    </w:p>
    <w:p>
      <w:pPr>
        <w:keepNext w:val="0"/>
        <w:keepLines w:val="0"/>
        <w:pageBreakBefore w:val="0"/>
        <w:widowControl/>
        <w:kinsoku/>
        <w:wordWrap/>
        <w:overflowPunct/>
        <w:topLinePunct w:val="0"/>
        <w:autoSpaceDE/>
        <w:autoSpaceDN/>
        <w:bidi w:val="0"/>
        <w:adjustRightInd w:val="0"/>
        <w:snapToGrid/>
        <w:spacing w:line="576" w:lineRule="exact"/>
        <w:ind w:firstLine="642" w:firstLineChars="200"/>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eastAsia="zh-CN"/>
        </w:rPr>
        <w:t>（</w:t>
      </w:r>
      <w:r>
        <w:rPr>
          <w:rFonts w:hint="default" w:ascii="Times New Roman" w:hAnsi="Times New Roman" w:eastAsia="楷体_GB2312" w:cs="Times New Roman"/>
          <w:b/>
          <w:bCs/>
          <w:color w:val="000000"/>
          <w:kern w:val="0"/>
          <w:sz w:val="32"/>
          <w:szCs w:val="32"/>
          <w:lang w:val="en-US" w:eastAsia="zh-CN"/>
        </w:rPr>
        <w:t>三）2022</w:t>
      </w:r>
      <w:r>
        <w:rPr>
          <w:rFonts w:hint="default" w:ascii="Times New Roman" w:hAnsi="Times New Roman" w:eastAsia="楷体_GB2312" w:cs="Times New Roman"/>
          <w:b/>
          <w:bCs/>
          <w:color w:val="000000"/>
          <w:kern w:val="0"/>
          <w:sz w:val="32"/>
          <w:szCs w:val="32"/>
          <w:lang w:eastAsia="zh-CN"/>
        </w:rPr>
        <w:t>年度</w:t>
      </w:r>
      <w:r>
        <w:rPr>
          <w:rFonts w:hint="default" w:ascii="Times New Roman" w:hAnsi="Times New Roman" w:eastAsia="楷体_GB2312" w:cs="Times New Roman"/>
          <w:b/>
          <w:bCs/>
          <w:color w:val="000000"/>
          <w:kern w:val="0"/>
          <w:sz w:val="32"/>
          <w:szCs w:val="32"/>
          <w:lang w:val="en-US" w:eastAsia="zh-CN"/>
        </w:rPr>
        <w:t>重点</w:t>
      </w:r>
      <w:r>
        <w:rPr>
          <w:rFonts w:hint="default" w:ascii="Times New Roman" w:hAnsi="Times New Roman" w:eastAsia="楷体_GB2312" w:cs="Times New Roman"/>
          <w:b/>
          <w:bCs/>
          <w:color w:val="000000"/>
          <w:kern w:val="0"/>
          <w:sz w:val="32"/>
          <w:szCs w:val="32"/>
          <w:lang w:eastAsia="zh-CN"/>
        </w:rPr>
        <w:t>工作</w:t>
      </w:r>
      <w:r>
        <w:rPr>
          <w:rFonts w:hint="default" w:ascii="Times New Roman" w:hAnsi="Times New Roman" w:eastAsia="楷体_GB2312" w:cs="Times New Roman"/>
          <w:b/>
          <w:bCs/>
          <w:color w:val="000000"/>
          <w:kern w:val="0"/>
          <w:sz w:val="32"/>
          <w:szCs w:val="32"/>
          <w:lang w:val="en-US" w:eastAsia="zh-CN"/>
        </w:rPr>
        <w:t>完成情况</w:t>
      </w:r>
    </w:p>
    <w:p>
      <w:pPr>
        <w:keepNext w:val="0"/>
        <w:keepLines w:val="0"/>
        <w:pageBreakBefore w:val="0"/>
        <w:widowControl/>
        <w:numPr>
          <w:ilvl w:val="0"/>
          <w:numId w:val="0"/>
        </w:numPr>
        <w:kinsoku/>
        <w:wordWrap/>
        <w:overflowPunct/>
        <w:topLinePunct w:val="0"/>
        <w:autoSpaceDE/>
        <w:autoSpaceDN/>
        <w:bidi w:val="0"/>
        <w:adjustRightInd w:val="0"/>
        <w:spacing w:line="576"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w:t>
      </w:r>
      <w:r>
        <w:rPr>
          <w:rFonts w:hint="default" w:ascii="Times New Roman" w:hAnsi="Times New Roman" w:eastAsia="仿宋_GB2312" w:cs="Times New Roman"/>
          <w:b/>
          <w:sz w:val="32"/>
          <w:szCs w:val="32"/>
          <w:lang w:eastAsia="zh-CN"/>
        </w:rPr>
        <w:t>、加强垃圾场监管，推进无害化处置运营</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加强对垃圾场的监管工作，保证三方运营公司高质量完成垃圾处理场的运营工作，保证壤塘县生活垃圾处置的正常运行；</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加快推进壤塘县生活垃圾资源化综合处置项目运营采购服务项目进度，引入专业三方运营服务公司对壤塘县生活垃圾资源化综合处置进行运营和维护，正在进行招标工作</w:t>
      </w:r>
      <w:r>
        <w:rPr>
          <w:rFonts w:hint="default" w:ascii="Times New Roman" w:hAnsi="Times New Roman" w:eastAsia="仿宋_GB2312" w:cs="Times New Roman"/>
          <w:sz w:val="32"/>
          <w:szCs w:val="32"/>
        </w:rPr>
        <w:t>。</w:t>
      </w:r>
    </w:p>
    <w:p>
      <w:pPr>
        <w:pStyle w:val="2"/>
        <w:keepNext w:val="0"/>
        <w:keepLines w:val="0"/>
        <w:pageBreakBefore w:val="0"/>
        <w:kinsoku/>
        <w:wordWrap/>
        <w:overflowPunct/>
        <w:topLinePunct w:val="0"/>
        <w:autoSpaceDE/>
        <w:autoSpaceDN/>
        <w:bidi w:val="0"/>
        <w:spacing w:line="576"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lang w:eastAsia="zh-CN"/>
        </w:rPr>
        <w:t>、推进市政绿化</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结合“新型城镇化建设项目”相关绿化工程，抓住绿化时节，做好城市公共园林绿化工作，对滨河路人行道、尕日公园等区域种植土进行翻耕，播撒草种。</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提高花卉基地使用效率，对城区一部分广场展示的花卉提前在基地进行培育，并对城区种植花卉进行育苗，以便对城区绿化带死亡花卉进行补栽。</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sz w:val="32"/>
          <w:szCs w:val="32"/>
          <w:lang w:eastAsia="zh-CN"/>
        </w:rPr>
        <w:t>已将培育的新型多年生花卉品种种植于林海世家上方绿化带，如果成活率高、美化效果好、将大规模播种。</w:t>
      </w:r>
      <w:r>
        <w:rPr>
          <w:rFonts w:hint="default" w:ascii="Times New Roman" w:hAnsi="Times New Roman" w:eastAsia="仿宋_GB2312" w:cs="Times New Roman"/>
          <w:b/>
          <w:bCs/>
          <w:sz w:val="32"/>
          <w:szCs w:val="32"/>
          <w:lang w:eastAsia="zh-CN"/>
        </w:rPr>
        <w:t>四是</w:t>
      </w:r>
      <w:r>
        <w:rPr>
          <w:rFonts w:hint="default" w:ascii="Times New Roman" w:hAnsi="Times New Roman" w:eastAsia="仿宋_GB2312" w:cs="Times New Roman"/>
          <w:sz w:val="32"/>
          <w:szCs w:val="32"/>
          <w:lang w:eastAsia="zh-CN"/>
        </w:rPr>
        <w:t>在气站上方滨河路、妇幼保健院旁、法院后方三处绿化带增加挡土墙，采用铅丝笼的建筑方式共计修砌铅丝笼350余米，一方面防止了种植土溢出，另一方面增加了绿化效果。</w:t>
      </w:r>
    </w:p>
    <w:p>
      <w:pPr>
        <w:keepNext w:val="0"/>
        <w:keepLines w:val="0"/>
        <w:pageBreakBefore w:val="0"/>
        <w:widowControl/>
        <w:numPr>
          <w:ilvl w:val="0"/>
          <w:numId w:val="0"/>
        </w:numPr>
        <w:kinsoku/>
        <w:wordWrap/>
        <w:overflowPunct/>
        <w:topLinePunct w:val="0"/>
        <w:autoSpaceDE/>
        <w:autoSpaceDN/>
        <w:bidi w:val="0"/>
        <w:adjustRightInd w:val="0"/>
        <w:spacing w:line="576"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3</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完善停车场管理。</w:t>
      </w:r>
      <w:r>
        <w:rPr>
          <w:rFonts w:hint="default" w:ascii="Times New Roman" w:hAnsi="Times New Roman" w:eastAsia="仿宋_GB2312" w:cs="Times New Roman"/>
          <w:sz w:val="32"/>
          <w:szCs w:val="32"/>
          <w:lang w:eastAsia="zh-CN"/>
        </w:rPr>
        <w:t>针</w:t>
      </w:r>
      <w:r>
        <w:rPr>
          <w:rFonts w:hint="default" w:ascii="Times New Roman" w:hAnsi="Times New Roman" w:eastAsia="仿宋_GB2312" w:cs="Times New Roman"/>
          <w:sz w:val="32"/>
          <w:szCs w:val="32"/>
        </w:rPr>
        <w:t>对县城停车场环境卫生脏乱差、乱堆乱放、无秩序停放车辆等问题，执法</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队加强管理，</w:t>
      </w:r>
      <w:r>
        <w:rPr>
          <w:rFonts w:hint="default" w:ascii="Times New Roman" w:hAnsi="Times New Roman" w:eastAsia="仿宋_GB2312" w:cs="Times New Roman"/>
          <w:sz w:val="32"/>
          <w:szCs w:val="32"/>
          <w:lang w:eastAsia="zh-CN"/>
        </w:rPr>
        <w:t>结合疫情防控工作对停车场进一步提出要求，同壤塘县国资公司协调对接，于今年12月逐步将县城合同到期</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eastAsia="zh-CN"/>
        </w:rPr>
        <w:t>停车场移交至壤塘县国资公司进行统一规范管理。</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both"/>
        <w:textAlignment w:val="auto"/>
        <w:outlineLvl w:val="1"/>
        <w:rPr>
          <w:rFonts w:hint="default" w:ascii="Times New Roman" w:hAnsi="Times New Roman" w:eastAsia="黑体" w:cs="Times New Roman"/>
          <w:b w:val="0"/>
          <w:bCs w:val="0"/>
          <w:kern w:val="0"/>
          <w:sz w:val="32"/>
          <w:szCs w:val="32"/>
          <w:lang w:val="en-US" w:eastAsia="zh-CN"/>
        </w:rPr>
      </w:pPr>
      <w:bookmarkStart w:id="74" w:name="_Toc7532"/>
      <w:r>
        <w:rPr>
          <w:rFonts w:hint="default" w:ascii="Times New Roman" w:hAnsi="Times New Roman" w:eastAsia="黑体" w:cs="Times New Roman"/>
          <w:b w:val="0"/>
          <w:bCs w:val="0"/>
          <w:kern w:val="0"/>
          <w:sz w:val="32"/>
          <w:szCs w:val="32"/>
          <w:lang w:val="en-US" w:eastAsia="zh-CN"/>
        </w:rPr>
        <w:t>五、评价结论及措施</w:t>
      </w:r>
      <w:bookmarkEnd w:id="74"/>
    </w:p>
    <w:p>
      <w:pPr>
        <w:pStyle w:val="20"/>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（一）评价结论：见附表</w:t>
      </w:r>
    </w:p>
    <w:p>
      <w:pPr>
        <w:pStyle w:val="20"/>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（二）存在问题</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一是预算编制有待更严格执行，预算编制与实际支出项目有的存在差异。</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二是制度执行力度有待加强</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基础设施</w:t>
      </w:r>
      <w:r>
        <w:rPr>
          <w:rFonts w:hint="default" w:ascii="Times New Roman" w:hAnsi="Times New Roman" w:eastAsia="仿宋_GB2312" w:cs="Times New Roman"/>
          <w:sz w:val="32"/>
          <w:szCs w:val="32"/>
        </w:rPr>
        <w:t>项目较多</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资金拨付率较慢。</w:t>
      </w:r>
    </w:p>
    <w:p>
      <w:pPr>
        <w:pStyle w:val="20"/>
        <w:keepNext w:val="0"/>
        <w:keepLines w:val="0"/>
        <w:pageBreakBefore w:val="0"/>
        <w:kinsoku/>
        <w:wordWrap/>
        <w:overflowPunct/>
        <w:topLinePunct w:val="0"/>
        <w:autoSpaceDE/>
        <w:autoSpaceDN/>
        <w:bidi w:val="0"/>
        <w:spacing w:line="576" w:lineRule="exact"/>
        <w:ind w:firstLine="642"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（三）改进措施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一是</w:t>
      </w:r>
      <w:r>
        <w:rPr>
          <w:rFonts w:hint="default" w:ascii="Times New Roman" w:hAnsi="Times New Roman" w:eastAsia="仿宋_GB2312" w:cs="Times New Roman"/>
          <w:sz w:val="32"/>
          <w:szCs w:val="32"/>
          <w:lang w:val="en-US" w:eastAsia="zh-CN"/>
        </w:rPr>
        <w:t>强化业财融合，提升预算编制能力及水平；</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w:t>
      </w:r>
      <w:r>
        <w:rPr>
          <w:rFonts w:hint="default" w:ascii="Times New Roman" w:hAnsi="Times New Roman" w:eastAsia="仿宋_GB2312" w:cs="Times New Roman"/>
          <w:sz w:val="32"/>
          <w:szCs w:val="32"/>
          <w:lang w:val="en-US" w:eastAsia="zh-CN"/>
        </w:rPr>
        <w:t>加快</w:t>
      </w:r>
      <w:r>
        <w:rPr>
          <w:rFonts w:hint="default" w:ascii="Times New Roman" w:hAnsi="Times New Roman" w:eastAsia="仿宋_GB2312" w:cs="Times New Roman"/>
          <w:sz w:val="32"/>
          <w:szCs w:val="32"/>
        </w:rPr>
        <w:t>各项</w:t>
      </w:r>
      <w:r>
        <w:rPr>
          <w:rFonts w:hint="default" w:ascii="Times New Roman" w:hAnsi="Times New Roman" w:eastAsia="仿宋_GB2312" w:cs="Times New Roman"/>
          <w:sz w:val="32"/>
          <w:szCs w:val="32"/>
          <w:lang w:val="en-US" w:eastAsia="zh-CN"/>
        </w:rPr>
        <w:t>目进</w:t>
      </w:r>
      <w:r>
        <w:rPr>
          <w:rFonts w:hint="default" w:ascii="Times New Roman" w:hAnsi="Times New Roman" w:eastAsia="仿宋_GB2312" w:cs="Times New Roman"/>
          <w:sz w:val="32"/>
          <w:szCs w:val="32"/>
        </w:rPr>
        <w:t>度，提升执行力。</w:t>
      </w:r>
    </w:p>
    <w:p>
      <w:pPr>
        <w:pStyle w:val="6"/>
        <w:ind w:firstLine="640" w:firstLineChars="200"/>
        <w:rPr>
          <w:rFonts w:hint="default" w:ascii="Times New Roman" w:hAnsi="Times New Roman" w:cs="Times New Roman"/>
          <w:color w:val="auto"/>
          <w:kern w:val="0"/>
          <w:sz w:val="32"/>
          <w:szCs w:val="32"/>
          <w:highlight w:val="none"/>
          <w:shd w:val="clear" w:color="auto" w:fill="FFFFFF"/>
          <w:lang w:val="zh-CN"/>
        </w:rPr>
      </w:pPr>
      <w:r>
        <w:rPr>
          <w:rFonts w:hint="default" w:ascii="Times New Roman" w:hAnsi="Times New Roman" w:cs="Times New Roman"/>
          <w:color w:val="auto"/>
          <w:kern w:val="0"/>
          <w:sz w:val="32"/>
          <w:szCs w:val="32"/>
          <w:highlight w:val="none"/>
          <w:shd w:val="clear" w:color="auto" w:fill="FFFFFF"/>
          <w:lang w:val="zh-CN"/>
        </w:rPr>
        <w:object>
          <v:shape id="_x0000_i1025" o:spt="75" alt="" type="#_x0000_t75" style="height:605.65pt;width:414.25pt;" o:ole="t" filled="f" o:preferrelative="t" stroked="f" coordsize="21600,21600">
            <v:path/>
            <v:fill on="f" focussize="0,0"/>
            <v:stroke on="f"/>
            <v:imagedata r:id="rId16" o:title="oleetimg_1747042552484449_768016384"/>
            <o:lock v:ext="edit" aspectratio="f"/>
            <w10:wrap type="none"/>
            <w10:anchorlock/>
          </v:shape>
          <o:OLEObject Type="Embed" ProgID="Excel.Sheet.12" ShapeID="_x0000_i1025" DrawAspect="Content" ObjectID="_1468075725" r:id="rId15">
            <o:LockedField>false</o:LockedField>
          </o:OLEObject>
        </w:object>
      </w:r>
    </w:p>
    <w:p>
      <w:pPr>
        <w:pStyle w:val="6"/>
        <w:outlineLvl w:val="1"/>
        <w:rPr>
          <w:rFonts w:hint="default" w:ascii="Times New Roman" w:hAnsi="Times New Roman" w:eastAsia="黑体" w:cs="Times New Roman"/>
          <w:color w:val="auto"/>
          <w:sz w:val="32"/>
          <w:szCs w:val="32"/>
          <w:highlight w:val="none"/>
          <w:lang w:val="en-US" w:eastAsia="zh-CN"/>
        </w:rPr>
      </w:pPr>
      <w:bookmarkStart w:id="75" w:name="_Toc4205"/>
      <w:r>
        <w:rPr>
          <w:rFonts w:hint="default" w:ascii="Times New Roman" w:hAnsi="Times New Roman" w:eastAsia="黑体" w:cs="Times New Roman"/>
          <w:color w:val="auto"/>
          <w:kern w:val="0"/>
          <w:sz w:val="32"/>
          <w:szCs w:val="32"/>
          <w:highlight w:val="none"/>
          <w:shd w:val="clear" w:color="auto" w:fill="FFFFFF"/>
          <w:lang w:val="zh-CN"/>
        </w:rPr>
        <w:t>附件</w:t>
      </w:r>
      <w:r>
        <w:rPr>
          <w:rFonts w:hint="default" w:ascii="Times New Roman" w:hAnsi="Times New Roman" w:eastAsia="黑体" w:cs="Times New Roman"/>
          <w:color w:val="auto"/>
          <w:kern w:val="0"/>
          <w:sz w:val="32"/>
          <w:szCs w:val="32"/>
          <w:highlight w:val="none"/>
          <w:shd w:val="clear" w:color="auto" w:fill="FFFFFF"/>
          <w:lang w:val="en-US" w:eastAsia="zh-CN"/>
        </w:rPr>
        <w:t>2</w:t>
      </w:r>
      <w:bookmarkEnd w:id="75"/>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bCs/>
          <w:spacing w:val="-17"/>
          <w:kern w:val="0"/>
          <w:sz w:val="44"/>
          <w:szCs w:val="44"/>
          <w:lang w:val="en-US" w:eastAsia="zh-CN"/>
        </w:rPr>
      </w:pPr>
      <w:r>
        <w:rPr>
          <w:rFonts w:hint="default" w:ascii="Times New Roman" w:hAnsi="Times New Roman" w:eastAsia="方正小标宋_GBK" w:cs="Times New Roman"/>
          <w:b/>
          <w:bCs/>
          <w:spacing w:val="-17"/>
          <w:kern w:val="0"/>
          <w:sz w:val="44"/>
          <w:szCs w:val="44"/>
          <w:lang w:val="en-US" w:eastAsia="zh-CN"/>
        </w:rPr>
        <w:t>壤塘县城乡文明创建和城乡管理综合服务中心2022</w:t>
      </w:r>
      <w:r>
        <w:rPr>
          <w:rFonts w:hint="default" w:ascii="Times New Roman" w:hAnsi="Times New Roman" w:eastAsia="方正小标宋_GBK" w:cs="Times New Roman"/>
          <w:b/>
          <w:bCs/>
          <w:spacing w:val="-17"/>
          <w:kern w:val="0"/>
          <w:sz w:val="44"/>
          <w:szCs w:val="44"/>
        </w:rPr>
        <w:t>年</w:t>
      </w:r>
      <w:r>
        <w:rPr>
          <w:rFonts w:hint="default" w:ascii="Times New Roman" w:hAnsi="Times New Roman" w:eastAsia="方正小标宋_GBK" w:cs="Times New Roman"/>
          <w:b/>
          <w:bCs/>
          <w:spacing w:val="-17"/>
          <w:kern w:val="0"/>
          <w:sz w:val="44"/>
          <w:szCs w:val="44"/>
          <w:lang w:val="en-US" w:eastAsia="zh-CN"/>
        </w:rPr>
        <w:t>污水处理厂运行维护费项目绩效自评报告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b w:val="0"/>
          <w:bCs w:val="0"/>
          <w:sz w:val="32"/>
          <w:szCs w:val="32"/>
          <w:lang w:val="en-US" w:eastAsia="zh-CN"/>
        </w:rPr>
      </w:pPr>
      <w:bookmarkStart w:id="76" w:name="_Toc22860"/>
      <w:r>
        <w:rPr>
          <w:rFonts w:hint="default" w:ascii="Times New Roman" w:hAnsi="Times New Roman" w:eastAsia="黑体" w:cs="Times New Roman"/>
          <w:b w:val="0"/>
          <w:bCs w:val="0"/>
          <w:kern w:val="0"/>
          <w:sz w:val="32"/>
          <w:szCs w:val="32"/>
          <w:lang w:val="en-US" w:eastAsia="zh-CN"/>
        </w:rPr>
        <w:t>一、项目概况</w:t>
      </w:r>
      <w:bookmarkEnd w:id="76"/>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rPr>
        <w:t>（一</w:t>
      </w:r>
      <w:r>
        <w:rPr>
          <w:rFonts w:hint="default" w:ascii="Times New Roman" w:hAnsi="Times New Roman" w:eastAsia="楷体_GB2312" w:cs="Times New Roman"/>
          <w:b/>
          <w:bCs/>
          <w:color w:val="000000"/>
          <w:kern w:val="0"/>
          <w:sz w:val="32"/>
          <w:szCs w:val="32"/>
          <w:lang w:eastAsia="zh-CN"/>
        </w:rPr>
        <w:t>）</w:t>
      </w:r>
      <w:r>
        <w:rPr>
          <w:rFonts w:hint="default" w:ascii="Times New Roman" w:hAnsi="Times New Roman" w:eastAsia="楷体_GB2312" w:cs="Times New Roman"/>
          <w:b/>
          <w:bCs/>
          <w:color w:val="000000"/>
          <w:kern w:val="0"/>
          <w:sz w:val="32"/>
          <w:szCs w:val="32"/>
          <w:lang w:val="en-US" w:eastAsia="zh-CN"/>
        </w:rPr>
        <w:t>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2022年污水处理厂运行维护费主要用于将县内生活污水与生产污水进行收集并交由污水处理厂进行无害化处理；2022年年初预算收入156.3万元，年中根据项目执行情况追减0万元。根据阿州财预[2021年]55号资金管理办法，该项目资金用途，使用情况符合该资金管理办法规定。</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（二）项目绩效目标</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2022年污水处理厂主要用于将县内的生活污水与生产污水进行收集并交由污水处理厂进行无害化处理，根据项目申报情况，我中心制定一下目标：</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数量指标：全年污水无害化处理数量大于等于600000t；</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质量指标：污水处理厂系统保障全年运转；</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社会效益指标：保障县内污水得到无害化处理，减少生活污水对环境的影响。</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时效指标：该项目在2022年12月31</w:t>
      </w:r>
      <w:r>
        <w:rPr>
          <w:rFonts w:hint="eastAsia" w:eastAsia="仿宋_GB2312" w:cs="Times New Roman"/>
          <w:color w:val="000000"/>
          <w:sz w:val="32"/>
          <w:szCs w:val="32"/>
          <w:lang w:val="en-US" w:eastAsia="zh-CN"/>
        </w:rPr>
        <w:t>日</w:t>
      </w:r>
      <w:r>
        <w:rPr>
          <w:rFonts w:hint="default" w:ascii="Times New Roman" w:hAnsi="Times New Roman" w:eastAsia="仿宋_GB2312" w:cs="Times New Roman"/>
          <w:color w:val="000000"/>
          <w:sz w:val="32"/>
          <w:szCs w:val="32"/>
          <w:lang w:val="en-US" w:eastAsia="zh-CN"/>
        </w:rPr>
        <w:t>前完成</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满意度指标：居民满意度为100%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（三）项目资金申报相符性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贯彻执行国家、省、州有关城市管理行政执法的法律、法规和政策；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组织草拟全县环境卫生、市容环境管理的地方规章草案，制定有关政策措施。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集中行使市容环境卫生管理、城市绿化管理、市政管理方法法律、法规、规章制定的行政处罚权。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集中行使城市规划管理方面法律、法规、规章规定的对未经批准擅自修建建筑物、构筑物以及临街房屋破墙开店行为的行政处罚权；依法强制拆除不符合城乡城市容貌标准、环境卫生标准的建筑物或者设施。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集中行使城乡环境保护管理方面法律、法规、规章规定的对社会生活噪声污染的行政处罚权，对饮食服务业油烟污染的行政处罚权，对向大气排放粉尘、恶臭气体或者其他含有有毒烟尘的行政处罚权，对违法排放城市生活</w:t>
      </w:r>
      <w:r>
        <w:rPr>
          <w:rFonts w:hint="default" w:ascii="Times New Roman" w:hAnsi="Times New Roman" w:eastAsia="仿宋_GB2312" w:cs="Times New Roman"/>
          <w:color w:val="000000"/>
          <w:sz w:val="32"/>
          <w:szCs w:val="32"/>
          <w:lang w:val="en-US" w:eastAsia="zh-CN"/>
        </w:rPr>
        <w:t>垃圾</w:t>
      </w:r>
      <w:r>
        <w:rPr>
          <w:rFonts w:hint="default" w:ascii="Times New Roman" w:hAnsi="Times New Roman" w:eastAsia="仿宋_GB2312" w:cs="Times New Roman"/>
          <w:color w:val="000000"/>
          <w:sz w:val="32"/>
          <w:szCs w:val="32"/>
          <w:lang w:eastAsia="zh-CN"/>
        </w:rPr>
        <w:t>的行政处罚权，对违法堆放、倾倒固体废物行为的行政处罚权。</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2022年污水处理厂运转工作符合我中心职能职责。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b w:val="0"/>
          <w:bCs w:val="0"/>
          <w:kern w:val="0"/>
          <w:sz w:val="32"/>
          <w:szCs w:val="32"/>
          <w:lang w:val="en-US" w:eastAsia="zh-CN"/>
        </w:rPr>
      </w:pPr>
      <w:bookmarkStart w:id="77" w:name="_Toc27836"/>
      <w:r>
        <w:rPr>
          <w:rFonts w:hint="default" w:ascii="Times New Roman" w:hAnsi="Times New Roman" w:eastAsia="黑体" w:cs="Times New Roman"/>
          <w:b w:val="0"/>
          <w:bCs w:val="0"/>
          <w:kern w:val="0"/>
          <w:sz w:val="32"/>
          <w:szCs w:val="32"/>
          <w:lang w:val="en-US" w:eastAsia="zh-CN"/>
        </w:rPr>
        <w:t>二、项目实施及管理情况</w:t>
      </w:r>
      <w:bookmarkEnd w:id="77"/>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rPr>
        <w:t>（一）</w:t>
      </w:r>
      <w:r>
        <w:rPr>
          <w:rFonts w:hint="default" w:ascii="Times New Roman" w:hAnsi="Times New Roman" w:eastAsia="楷体_GB2312" w:cs="Times New Roman"/>
          <w:b/>
          <w:bCs/>
          <w:color w:val="000000"/>
          <w:kern w:val="0"/>
          <w:sz w:val="32"/>
          <w:szCs w:val="32"/>
          <w:lang w:val="en-US" w:eastAsia="zh-CN"/>
        </w:rPr>
        <w:t>资金计划、到位及使用情况</w:t>
      </w:r>
    </w:p>
    <w:p>
      <w:pPr>
        <w:pStyle w:val="20"/>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1、资金计划情况</w:t>
      </w:r>
    </w:p>
    <w:p>
      <w:pPr>
        <w:pStyle w:val="20"/>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2022年财政下达壤塘县城乡文明创建和城乡管理综合服务中心</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000000"/>
          <w:sz w:val="32"/>
          <w:szCs w:val="32"/>
          <w:lang w:val="en-US" w:eastAsia="zh-CN"/>
        </w:rPr>
        <w:t>022年污水处理厂运行维护费共计</w:t>
      </w:r>
      <w:r>
        <w:rPr>
          <w:rFonts w:hint="default" w:ascii="Times New Roman" w:hAnsi="Times New Roman" w:eastAsia="仿宋_GB2312" w:cs="Times New Roman"/>
          <w:sz w:val="32"/>
          <w:szCs w:val="32"/>
          <w:lang w:val="en-US" w:eastAsia="zh-CN"/>
        </w:rPr>
        <w:t>156.30万元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全年收入总计156.30万元</w:t>
      </w:r>
      <w:r>
        <w:rPr>
          <w:rFonts w:hint="default" w:ascii="Times New Roman" w:hAnsi="Times New Roman" w:eastAsia="仿宋_GB2312" w:cs="Times New Roman"/>
          <w:sz w:val="32"/>
          <w:szCs w:val="32"/>
          <w:lang w:eastAsia="zh-CN"/>
        </w:rPr>
        <w:t xml:space="preserve">。   </w:t>
      </w:r>
    </w:p>
    <w:p>
      <w:pPr>
        <w:pStyle w:val="20"/>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2、资金使用情况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2"/>
          <w:sz w:val="32"/>
          <w:szCs w:val="32"/>
          <w:lang w:val="en-US" w:eastAsia="zh-CN" w:bidi="ar-SA"/>
        </w:rPr>
        <w:t>2022年12月31日</w:t>
      </w:r>
      <w:r>
        <w:rPr>
          <w:rFonts w:hint="default" w:ascii="Times New Roman" w:hAnsi="Times New Roman" w:eastAsia="仿宋_GB2312" w:cs="Times New Roman"/>
          <w:b/>
          <w:bCs/>
          <w:kern w:val="0"/>
          <w:sz w:val="32"/>
          <w:szCs w:val="32"/>
          <w:lang w:val="en-US"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000000"/>
          <w:sz w:val="32"/>
          <w:szCs w:val="32"/>
          <w:lang w:val="en-US" w:eastAsia="zh-CN"/>
        </w:rPr>
        <w:t>022年污水处理厂运行维护费共支出156.30万元，资金支付率为100%，资金支付范围主要为污水处理厂运维电费以及第三方运转公司运行维护费。</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（二）项目财务管理情况</w:t>
      </w:r>
      <w:bookmarkStart w:id="114" w:name="_GoBack"/>
      <w:bookmarkEnd w:id="1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壤塘县城乡文明创建和城乡管理综合服务中心</w:t>
      </w:r>
      <w:r>
        <w:rPr>
          <w:rFonts w:hint="default" w:ascii="Times New Roman" w:hAnsi="Times New Roman" w:eastAsia="仿宋_GB2312" w:cs="Times New Roman"/>
          <w:sz w:val="32"/>
          <w:szCs w:val="32"/>
        </w:rPr>
        <w:t>本年度资金使用过程中严格按照单位财务管理制度要求执行，资金使用的合规性体现在：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所有经费开支坚持财务审批制度，重大资金支出（日常公用经费在1万元及以上）由</w:t>
      </w:r>
      <w:r>
        <w:rPr>
          <w:rFonts w:hint="default" w:ascii="Times New Roman" w:hAnsi="Times New Roman" w:eastAsia="仿宋_GB2312" w:cs="Times New Roman"/>
          <w:color w:val="000000"/>
          <w:sz w:val="32"/>
          <w:szCs w:val="32"/>
          <w:lang w:eastAsia="zh-CN"/>
        </w:rPr>
        <w:t>党支部行政领导班子</w:t>
      </w:r>
      <w:r>
        <w:rPr>
          <w:rFonts w:hint="default" w:ascii="Times New Roman" w:hAnsi="Times New Roman" w:eastAsia="仿宋_GB2312" w:cs="Times New Roman"/>
          <w:color w:val="000000"/>
          <w:sz w:val="32"/>
          <w:szCs w:val="32"/>
        </w:rPr>
        <w:t>研究决定。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在报销经费时，经办人使用统一规范的审批单，在审批单上写明用途、经办人员、股室负责人、财务负责人、单位领导、金额、报销日期等内容。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费用报销审批程序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经办人填写</w:t>
      </w:r>
      <w:r>
        <w:rPr>
          <w:rFonts w:hint="default" w:ascii="Times New Roman" w:hAnsi="Times New Roman" w:eastAsia="仿宋_GB2312" w:cs="Times New Roman"/>
          <w:sz w:val="32"/>
          <w:szCs w:val="32"/>
          <w:lang w:eastAsia="zh-CN"/>
        </w:rPr>
        <w:t>报销单</w:t>
      </w:r>
      <w:r>
        <w:rPr>
          <w:rFonts w:hint="default" w:ascii="Times New Roman" w:hAnsi="Times New Roman" w:eastAsia="仿宋_GB2312" w:cs="Times New Roman"/>
          <w:sz w:val="32"/>
          <w:szCs w:val="32"/>
        </w:rPr>
        <w:t>→由业务科室负责人确认签字→财务科</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核签字→</w:t>
      </w:r>
      <w:r>
        <w:rPr>
          <w:rFonts w:hint="default" w:ascii="Times New Roman" w:hAnsi="Times New Roman" w:eastAsia="仿宋_GB2312" w:cs="Times New Roman"/>
          <w:sz w:val="32"/>
          <w:szCs w:val="32"/>
          <w:lang w:eastAsia="zh-CN"/>
        </w:rPr>
        <w:t>财务</w:t>
      </w:r>
      <w:r>
        <w:rPr>
          <w:rFonts w:hint="default" w:ascii="Times New Roman" w:hAnsi="Times New Roman" w:eastAsia="仿宋_GB2312" w:cs="Times New Roman"/>
          <w:sz w:val="32"/>
          <w:szCs w:val="32"/>
        </w:rPr>
        <w:t>分管领导确认签字→</w:t>
      </w:r>
      <w:r>
        <w:rPr>
          <w:rFonts w:hint="default" w:ascii="Times New Roman" w:hAnsi="Times New Roman" w:eastAsia="仿宋_GB2312" w:cs="Times New Roman"/>
          <w:sz w:val="32"/>
          <w:szCs w:val="32"/>
          <w:lang w:val="en-US" w:eastAsia="zh-CN"/>
        </w:rPr>
        <w:t>单位负责人</w:t>
      </w:r>
      <w:r>
        <w:rPr>
          <w:rFonts w:hint="default" w:ascii="Times New Roman" w:hAnsi="Times New Roman" w:eastAsia="仿宋_GB2312" w:cs="Times New Roman"/>
          <w:sz w:val="32"/>
          <w:szCs w:val="32"/>
        </w:rPr>
        <w:t>批准后，到</w:t>
      </w:r>
      <w:r>
        <w:rPr>
          <w:rFonts w:hint="default" w:ascii="Times New Roman" w:hAnsi="Times New Roman" w:eastAsia="仿宋_GB2312" w:cs="Times New Roman"/>
          <w:color w:val="000000"/>
          <w:sz w:val="32"/>
          <w:szCs w:val="32"/>
        </w:rPr>
        <w:t>财务</w:t>
      </w:r>
      <w:r>
        <w:rPr>
          <w:rFonts w:hint="default" w:ascii="Times New Roman" w:hAnsi="Times New Roman" w:eastAsia="仿宋_GB2312" w:cs="Times New Roman"/>
          <w:color w:val="000000"/>
          <w:sz w:val="32"/>
          <w:szCs w:val="32"/>
          <w:lang w:eastAsia="zh-CN"/>
        </w:rPr>
        <w:t>室</w:t>
      </w:r>
      <w:r>
        <w:rPr>
          <w:rFonts w:hint="default" w:ascii="Times New Roman" w:hAnsi="Times New Roman" w:eastAsia="仿宋_GB2312" w:cs="Times New Roman"/>
          <w:sz w:val="32"/>
          <w:szCs w:val="32"/>
        </w:rPr>
        <w:t>出纳处办理支付手续。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各个审批环节的具体职责：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业务科室负责人及其分管领导对其发生的支出用途及金额的真实性、准确性负责，并对其科室填写的支出审批单内容、大小写金额、票据张数进行审核。经济业务发生后，原则上在</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天之内报账完毕。不得将几个经济事项的票据合并填报。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财务室</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财务科有权拒绝受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各审批领导审查财务收支的真实性、合法性、必要性，并在报销凭证上明确签署报销意见。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所有费用报销实行</w:t>
      </w:r>
      <w:r>
        <w:rPr>
          <w:rFonts w:hint="default" w:ascii="Times New Roman" w:hAnsi="Times New Roman" w:eastAsia="仿宋_GB2312" w:cs="Times New Roman"/>
          <w:sz w:val="32"/>
          <w:szCs w:val="32"/>
          <w:lang w:eastAsia="zh-CN"/>
        </w:rPr>
        <w:t>单位负责人</w:t>
      </w:r>
      <w:r>
        <w:rPr>
          <w:rFonts w:hint="default" w:ascii="Times New Roman" w:hAnsi="Times New Roman" w:eastAsia="仿宋_GB2312" w:cs="Times New Roman"/>
          <w:sz w:val="32"/>
          <w:szCs w:val="32"/>
        </w:rPr>
        <w:t>“一支笔”签批制度。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纳人员对已经审批后的支出票据必须进行复核（复核票据张数、金额、审批程序），对不符合规定的票据有权拒绝支付并立即向机关领导报告。严格控制现金支付，原则上采用公务卡和转账结算。会计人员进行会计核算时，对不符合财经管理规定的票据有权拒绝接受并应立即报告。</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（三）项目组织实施情况</w:t>
      </w:r>
    </w:p>
    <w:p>
      <w:pPr>
        <w:pStyle w:val="20"/>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bCs/>
          <w:kern w:val="0"/>
          <w:sz w:val="32"/>
          <w:szCs w:val="32"/>
          <w:lang w:val="en-US"/>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000000"/>
          <w:sz w:val="32"/>
          <w:szCs w:val="32"/>
          <w:lang w:val="en-US" w:eastAsia="zh-CN"/>
        </w:rPr>
        <w:t>022年污水处理厂运行维护通过招投标方式交由中标公司进行运行维护，我中心每年根据合同要求按年拨付污水处理运行维护经费。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b w:val="0"/>
          <w:bCs w:val="0"/>
          <w:kern w:val="0"/>
          <w:sz w:val="32"/>
          <w:szCs w:val="32"/>
          <w:lang w:val="en-US" w:eastAsia="zh-CN"/>
        </w:rPr>
      </w:pPr>
      <w:bookmarkStart w:id="78" w:name="_Toc11574"/>
      <w:r>
        <w:rPr>
          <w:rFonts w:hint="default" w:ascii="Times New Roman" w:hAnsi="Times New Roman" w:eastAsia="黑体" w:cs="Times New Roman"/>
          <w:b w:val="0"/>
          <w:bCs w:val="0"/>
          <w:kern w:val="0"/>
          <w:sz w:val="32"/>
          <w:szCs w:val="32"/>
          <w:lang w:val="en-US" w:eastAsia="zh-CN"/>
        </w:rPr>
        <w:t>三、目标完成情况</w:t>
      </w:r>
      <w:bookmarkEnd w:id="78"/>
    </w:p>
    <w:p>
      <w:pPr>
        <w:pStyle w:val="20"/>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bidi="ar-SA"/>
        </w:rPr>
      </w:pPr>
      <w:r>
        <w:rPr>
          <w:rFonts w:hint="default" w:ascii="Times New Roman" w:hAnsi="Times New Roman" w:eastAsia="楷体_GB2312" w:cs="Times New Roman"/>
          <w:b/>
          <w:bCs/>
          <w:color w:val="000000"/>
          <w:kern w:val="0"/>
          <w:sz w:val="32"/>
          <w:szCs w:val="32"/>
          <w:lang w:val="en-US" w:eastAsia="zh-CN" w:bidi="ar-SA"/>
        </w:rPr>
        <w:t>（一）目标任务量完成情况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2022年年初申报当年污水处理厂量大于600000t，2022年全年实际完成生活污水与生产污水处理量共计617506t，目标任务量达到100%</w:t>
      </w:r>
      <w:r>
        <w:rPr>
          <w:rFonts w:hint="eastAsia"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（二）目标质量完成情况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000000"/>
          <w:sz w:val="32"/>
          <w:szCs w:val="32"/>
          <w:lang w:val="en-US" w:eastAsia="zh-CN"/>
        </w:rPr>
        <w:t>022年污水处理厂运行维护费交由第三方公司运行维护；2022年全年保持运转，无其他异常情况，目标质量达到100%。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（三）目标进度完成情况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2022年污水处理厂运行维护费全年收入总额为156.30万元，当年实际支付总额为156.30万元，支付进度为100%，剩余资金为净结余。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b w:val="0"/>
          <w:bCs w:val="0"/>
          <w:kern w:val="0"/>
          <w:sz w:val="32"/>
          <w:szCs w:val="32"/>
          <w:lang w:val="en-US" w:eastAsia="zh-CN"/>
        </w:rPr>
      </w:pPr>
      <w:bookmarkStart w:id="79" w:name="_Toc27801"/>
      <w:r>
        <w:rPr>
          <w:rFonts w:hint="default" w:ascii="Times New Roman" w:hAnsi="Times New Roman" w:eastAsia="黑体" w:cs="Times New Roman"/>
          <w:b w:val="0"/>
          <w:bCs w:val="0"/>
          <w:kern w:val="0"/>
          <w:sz w:val="32"/>
          <w:szCs w:val="32"/>
          <w:lang w:val="en-US" w:eastAsia="zh-CN"/>
        </w:rPr>
        <w:t>四、项目效益情况</w:t>
      </w:r>
      <w:bookmarkEnd w:id="79"/>
    </w:p>
    <w:p>
      <w:pPr>
        <w:pStyle w:val="20"/>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000000"/>
          <w:sz w:val="32"/>
          <w:szCs w:val="32"/>
          <w:lang w:val="en-US" w:eastAsia="zh-CN"/>
        </w:rPr>
        <w:t>022年污水处理厂运行维护费保障了县内生活污水处理厂的运转，保障了县内生活污水和生产污水的正常处理，提升了城市水资源安全度，促进地区环境的保护。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b w:val="0"/>
          <w:bCs w:val="0"/>
          <w:kern w:val="0"/>
          <w:sz w:val="32"/>
          <w:szCs w:val="32"/>
          <w:lang w:val="en-US" w:eastAsia="zh-CN"/>
        </w:rPr>
      </w:pPr>
      <w:bookmarkStart w:id="80" w:name="_Toc6255"/>
      <w:r>
        <w:rPr>
          <w:rFonts w:hint="default" w:ascii="Times New Roman" w:hAnsi="Times New Roman" w:eastAsia="黑体" w:cs="Times New Roman"/>
          <w:b w:val="0"/>
          <w:bCs w:val="0"/>
          <w:kern w:val="0"/>
          <w:sz w:val="32"/>
          <w:szCs w:val="32"/>
          <w:lang w:val="en-US" w:eastAsia="zh-CN"/>
        </w:rPr>
        <w:t>五、评价结论及措施</w:t>
      </w:r>
      <w:bookmarkEnd w:id="80"/>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（一）存在问题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一是预算编制有待更严格执行，预算编制与实际支出项目有的存在差异。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二是制度执行力度有待加强</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基础设施</w:t>
      </w:r>
      <w:r>
        <w:rPr>
          <w:rFonts w:hint="default" w:ascii="Times New Roman" w:hAnsi="Times New Roman" w:eastAsia="仿宋_GB2312" w:cs="Times New Roman"/>
          <w:sz w:val="32"/>
          <w:szCs w:val="32"/>
        </w:rPr>
        <w:t>项目较多且急</w:t>
      </w:r>
      <w:r>
        <w:rPr>
          <w:rFonts w:hint="default" w:ascii="Times New Roman" w:hAnsi="Times New Roman" w:eastAsia="仿宋_GB2312" w:cs="Times New Roman"/>
          <w:sz w:val="32"/>
          <w:szCs w:val="32"/>
          <w:lang w:eastAsia="zh-CN"/>
        </w:rPr>
        <w:t>任务重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资金拨付率较慢。</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（二）改进措施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一是</w:t>
      </w:r>
      <w:r>
        <w:rPr>
          <w:rFonts w:hint="default" w:ascii="Times New Roman" w:hAnsi="Times New Roman" w:eastAsia="仿宋_GB2312" w:cs="Times New Roman"/>
          <w:sz w:val="32"/>
          <w:szCs w:val="32"/>
          <w:lang w:val="en-US" w:eastAsia="zh-CN"/>
        </w:rPr>
        <w:t>强化业财融合，提升预算编制能力及水平；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32"/>
          <w:szCs w:val="32"/>
        </w:rPr>
        <w:t>二是</w:t>
      </w:r>
      <w:r>
        <w:rPr>
          <w:rFonts w:hint="default" w:ascii="Times New Roman" w:hAnsi="Times New Roman" w:eastAsia="仿宋_GB2312" w:cs="Times New Roman"/>
          <w:sz w:val="32"/>
          <w:szCs w:val="32"/>
          <w:lang w:val="en-US" w:eastAsia="zh-CN"/>
        </w:rPr>
        <w:t>加快</w:t>
      </w:r>
      <w:r>
        <w:rPr>
          <w:rFonts w:hint="default" w:ascii="Times New Roman" w:hAnsi="Times New Roman" w:eastAsia="仿宋_GB2312" w:cs="Times New Roman"/>
          <w:sz w:val="32"/>
          <w:szCs w:val="32"/>
        </w:rPr>
        <w:t>各项</w:t>
      </w:r>
      <w:r>
        <w:rPr>
          <w:rFonts w:hint="default" w:ascii="Times New Roman" w:hAnsi="Times New Roman" w:eastAsia="仿宋_GB2312" w:cs="Times New Roman"/>
          <w:sz w:val="32"/>
          <w:szCs w:val="32"/>
          <w:lang w:val="en-US" w:eastAsia="zh-CN"/>
        </w:rPr>
        <w:t>目进</w:t>
      </w:r>
      <w:r>
        <w:rPr>
          <w:rFonts w:hint="default" w:ascii="Times New Roman" w:hAnsi="Times New Roman" w:eastAsia="仿宋_GB2312" w:cs="Times New Roman"/>
          <w:sz w:val="32"/>
          <w:szCs w:val="32"/>
        </w:rPr>
        <w:t>度，提升执行力。</w:t>
      </w:r>
    </w:p>
    <w:p>
      <w:pPr>
        <w:bidi w:val="0"/>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object>
          <v:shape id="_x0000_i1026" o:spt="75" type="#_x0000_t75" style="height:465.7pt;width:414.85pt;" o:ole="t" filled="f" o:preferrelative="t" stroked="f" coordsize="21600,21600">
            <v:path/>
            <v:fill on="f" focussize="0,0"/>
            <v:stroke on="f"/>
            <v:imagedata r:id="rId18" o:title=""/>
            <o:lock v:ext="edit" aspectratio="f"/>
            <w10:wrap type="none"/>
            <w10:anchorlock/>
          </v:shape>
          <o:OLEObject Type="Embed" ProgID="Excel.Sheet.12" ShapeID="_x0000_i1026" DrawAspect="Content" ObjectID="_1468075726" r:id="rId17">
            <o:LockedField>false</o:LockedField>
          </o:OLEObject>
        </w:object>
      </w:r>
    </w:p>
    <w:p>
      <w:pPr>
        <w:ind w:firstLine="640" w:firstLineChars="200"/>
        <w:rPr>
          <w:rFonts w:hint="default" w:ascii="Times New Roman" w:hAnsi="Times New Roman" w:cs="Times New Roman"/>
          <w:color w:val="auto"/>
          <w:kern w:val="0"/>
          <w:sz w:val="32"/>
          <w:szCs w:val="32"/>
          <w:highlight w:val="none"/>
          <w:shd w:val="clear" w:color="auto" w:fill="FFFFFF"/>
          <w:lang w:val="zh-CN"/>
        </w:rPr>
      </w:pPr>
      <w:r>
        <w:rPr>
          <w:rFonts w:hint="default" w:ascii="Times New Roman" w:hAnsi="Times New Roman" w:cs="Times New Roman"/>
          <w:color w:val="auto"/>
          <w:kern w:val="0"/>
          <w:sz w:val="32"/>
          <w:szCs w:val="32"/>
          <w:highlight w:val="none"/>
          <w:shd w:val="clear" w:color="auto" w:fill="FFFFFF"/>
          <w:lang w:val="zh-CN"/>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bCs/>
          <w:spacing w:val="-17"/>
          <w:kern w:val="0"/>
          <w:sz w:val="44"/>
          <w:szCs w:val="44"/>
          <w:lang w:val="en-US" w:eastAsia="zh-CN"/>
        </w:rPr>
      </w:pPr>
      <w:r>
        <w:rPr>
          <w:rFonts w:hint="default" w:ascii="Times New Roman" w:hAnsi="Times New Roman" w:eastAsia="方正小标宋_GBK" w:cs="Times New Roman"/>
          <w:b/>
          <w:bCs/>
          <w:spacing w:val="-17"/>
          <w:kern w:val="0"/>
          <w:sz w:val="44"/>
          <w:szCs w:val="44"/>
          <w:lang w:val="en-US" w:eastAsia="zh-CN"/>
        </w:rPr>
        <w:t>壤塘县城乡文明创建和城乡管理综合服务中心2022年生活垃圾焚烧系统运行维护费项目绩效自评报告</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黑体" w:cs="Times New Roman"/>
          <w:color w:val="auto"/>
          <w:kern w:val="0"/>
          <w:sz w:val="32"/>
          <w:szCs w:val="32"/>
          <w:highlight w:val="none"/>
          <w:shd w:val="clear" w:color="auto" w:fill="FFFFFF"/>
          <w:lang w:val="en-US" w:eastAsia="zh-CN"/>
        </w:rPr>
      </w:pPr>
      <w:bookmarkStart w:id="81" w:name="_Toc20894"/>
      <w:r>
        <w:rPr>
          <w:rFonts w:hint="default" w:ascii="Times New Roman" w:hAnsi="Times New Roman" w:eastAsia="黑体" w:cs="Times New Roman"/>
          <w:color w:val="auto"/>
          <w:kern w:val="0"/>
          <w:sz w:val="32"/>
          <w:szCs w:val="32"/>
          <w:highlight w:val="none"/>
          <w:shd w:val="clear" w:color="auto" w:fill="FFFFFF"/>
          <w:lang w:val="en-US" w:eastAsia="zh-CN"/>
        </w:rPr>
        <w:t>一、项目概况</w:t>
      </w:r>
      <w:bookmarkEnd w:id="81"/>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rPr>
        <w:t>（一</w:t>
      </w:r>
      <w:r>
        <w:rPr>
          <w:rFonts w:hint="default" w:ascii="Times New Roman" w:hAnsi="Times New Roman" w:eastAsia="楷体_GB2312" w:cs="Times New Roman"/>
          <w:b/>
          <w:bCs/>
          <w:color w:val="000000"/>
          <w:kern w:val="0"/>
          <w:sz w:val="32"/>
          <w:szCs w:val="32"/>
          <w:lang w:eastAsia="zh-CN"/>
        </w:rPr>
        <w:t>）</w:t>
      </w:r>
      <w:r>
        <w:rPr>
          <w:rFonts w:hint="default" w:ascii="Times New Roman" w:hAnsi="Times New Roman" w:eastAsia="楷体_GB2312" w:cs="Times New Roman"/>
          <w:b/>
          <w:bCs/>
          <w:color w:val="000000"/>
          <w:kern w:val="0"/>
          <w:sz w:val="32"/>
          <w:szCs w:val="32"/>
          <w:lang w:val="en-US" w:eastAsia="zh-CN"/>
        </w:rPr>
        <w:t>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2022年生活垃圾焚烧系统运行维护费主要用于将县内生活垃圾与生产垃圾进行收集并交由焚烧厂进行无害化处理；2022年年初预算收入270.08万元，年中根据项目执行情况追减48.62万元。根据阿州财预[2021年]55号资金管理办法，该项目资金用途，使用情况符合该资金管理办法规定。</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（二）项目绩效目标</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2022年生活垃圾焚烧系统主要用于将县内的生活垃圾和生产垃圾进行焚烧无害化处理，根据项目申报情况，我中心制定一下目标：</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数量指标：全年垃圾无害化处理数量大于5000吨；</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质量指标：垃圾焚烧系统保障全年运转；</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社会效益指标：保障县内垃圾得到无害化处理，减少生活垃圾对环境的影响。</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时效指标：该项目在2022年12月31号月底前完成</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满意度指标：居民满意度为100%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（三）项目资金申报相符性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根据壤塘县委机构编制委员会办公室下发的【2012】1号文件规定，主要职责是：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贯彻执行国家、省、州有关城市管理行政执法的法律、法规和政策；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组织草拟全县环境卫生、市容环境管理的地方规章草案，制定有关政策措施。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集中行使市容环境卫生管理、城市绿化管理、市政管理方法法律、法规、规章制定的行政处罚权。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集中行使城市规划管理方面法律、法规、规章规定的对未经批准擅自修建建筑物、构筑物以及临街房屋破墙开店行为的行政处罚权；依法强制拆除不符合城乡城市容貌标准、环境卫生标准的建筑物或者设施。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集中行使城乡环境保护管理方面法律、法规、规章规定的对社会生活噪声污染的行政处罚权，对饮食服务业油烟污染的行政处罚权，对向大气排放粉尘、恶臭气体或者其他含有有毒烟尘的行政处罚权，对违法排放城市生活污水的行政处罚权，对违法堆放、倾倒固体废物行为的行政处罚权。</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2022年生活垃圾焚烧系统运转工作符合我中心职能职责。</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黑体" w:cs="Times New Roman"/>
          <w:color w:val="auto"/>
          <w:kern w:val="0"/>
          <w:sz w:val="32"/>
          <w:szCs w:val="32"/>
          <w:highlight w:val="none"/>
          <w:shd w:val="clear" w:color="auto" w:fill="FFFFFF"/>
          <w:lang w:val="en-US" w:eastAsia="zh-CN"/>
        </w:rPr>
      </w:pPr>
      <w:bookmarkStart w:id="82" w:name="_Toc16360"/>
      <w:r>
        <w:rPr>
          <w:rFonts w:hint="default" w:ascii="Times New Roman" w:hAnsi="Times New Roman" w:eastAsia="黑体" w:cs="Times New Roman"/>
          <w:color w:val="auto"/>
          <w:kern w:val="0"/>
          <w:sz w:val="32"/>
          <w:szCs w:val="32"/>
          <w:highlight w:val="none"/>
          <w:shd w:val="clear" w:color="auto" w:fill="FFFFFF"/>
          <w:lang w:val="en-US" w:eastAsia="zh-CN"/>
        </w:rPr>
        <w:t>二、项目实施及管理情况</w:t>
      </w:r>
      <w:bookmarkEnd w:id="82"/>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rPr>
        <w:t>（一）</w:t>
      </w:r>
      <w:r>
        <w:rPr>
          <w:rFonts w:hint="default" w:ascii="Times New Roman" w:hAnsi="Times New Roman" w:eastAsia="楷体_GB2312" w:cs="Times New Roman"/>
          <w:b/>
          <w:bCs/>
          <w:color w:val="000000"/>
          <w:kern w:val="0"/>
          <w:sz w:val="32"/>
          <w:szCs w:val="32"/>
          <w:lang w:val="en-US" w:eastAsia="zh-CN"/>
        </w:rPr>
        <w:t>资金计划、到位及使用情况</w:t>
      </w:r>
    </w:p>
    <w:p>
      <w:pPr>
        <w:pStyle w:val="20"/>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1、资金计划情况</w:t>
      </w:r>
    </w:p>
    <w:p>
      <w:pPr>
        <w:pStyle w:val="20"/>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2022年财政下达壤塘县城乡文明创建和城乡管理综合服务中心</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000000"/>
          <w:sz w:val="32"/>
          <w:szCs w:val="32"/>
          <w:lang w:val="en-US" w:eastAsia="zh-CN"/>
        </w:rPr>
        <w:t>022年生活垃圾焚烧系统运行维护费共计</w:t>
      </w:r>
      <w:r>
        <w:rPr>
          <w:rFonts w:hint="default" w:ascii="Times New Roman" w:hAnsi="Times New Roman" w:eastAsia="仿宋_GB2312" w:cs="Times New Roman"/>
          <w:sz w:val="32"/>
          <w:szCs w:val="32"/>
          <w:lang w:val="en-US" w:eastAsia="zh-CN"/>
        </w:rPr>
        <w:t>270.08万元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全年收入总计270.08万元</w:t>
      </w:r>
      <w:r>
        <w:rPr>
          <w:rFonts w:hint="default" w:ascii="Times New Roman" w:hAnsi="Times New Roman" w:eastAsia="仿宋_GB2312" w:cs="Times New Roman"/>
          <w:sz w:val="32"/>
          <w:szCs w:val="32"/>
          <w:lang w:eastAsia="zh-CN"/>
        </w:rPr>
        <w:t xml:space="preserve">。   </w:t>
      </w:r>
    </w:p>
    <w:p>
      <w:pPr>
        <w:pStyle w:val="20"/>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2、资金使用情况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截止2022年12月31日，</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000000"/>
          <w:sz w:val="32"/>
          <w:szCs w:val="32"/>
          <w:lang w:val="en-US" w:eastAsia="zh-CN"/>
        </w:rPr>
        <w:t>022年生活垃圾焚烧系统运行维护费共支出238.21万元，资金支付率为88.2%，资金支付范围主要为生活垃圾焚烧厂运维电费以及第三方运转公司运行维护费。年底资金进行了追减，但已完成完成该项目目标。</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（二）项目财务管理情况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壤塘县城乡文明创建和城乡管理综合服务中心</w:t>
      </w:r>
      <w:r>
        <w:rPr>
          <w:rFonts w:hint="default" w:ascii="Times New Roman" w:hAnsi="Times New Roman" w:eastAsia="仿宋_GB2312" w:cs="Times New Roman"/>
          <w:sz w:val="32"/>
          <w:szCs w:val="32"/>
        </w:rPr>
        <w:t>本年度资金使用过程中严格按照单位财务管理制度要求执行，资金使用的合规性体现在：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所有经费开支坚持财务审批制度，重大资金支出（日常公用经费在1万元及以上）由</w:t>
      </w:r>
      <w:r>
        <w:rPr>
          <w:rFonts w:hint="default" w:ascii="Times New Roman" w:hAnsi="Times New Roman" w:eastAsia="仿宋_GB2312" w:cs="Times New Roman"/>
          <w:color w:val="000000"/>
          <w:sz w:val="32"/>
          <w:szCs w:val="32"/>
          <w:lang w:eastAsia="zh-CN"/>
        </w:rPr>
        <w:t>党支部行政领导班子</w:t>
      </w:r>
      <w:r>
        <w:rPr>
          <w:rFonts w:hint="default" w:ascii="Times New Roman" w:hAnsi="Times New Roman" w:eastAsia="仿宋_GB2312" w:cs="Times New Roman"/>
          <w:color w:val="000000"/>
          <w:sz w:val="32"/>
          <w:szCs w:val="32"/>
        </w:rPr>
        <w:t>研究决定。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在报销经费时，经办人使用统一规范的审批单，在审批单上写明用途、经办人员、股室负责人、财务负责人、单位领导、金额、报销日期等内容。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费用报销审批程序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经办人填写</w:t>
      </w:r>
      <w:r>
        <w:rPr>
          <w:rFonts w:hint="default" w:ascii="Times New Roman" w:hAnsi="Times New Roman" w:eastAsia="仿宋_GB2312" w:cs="Times New Roman"/>
          <w:sz w:val="32"/>
          <w:szCs w:val="32"/>
          <w:lang w:eastAsia="zh-CN"/>
        </w:rPr>
        <w:t>报销单</w:t>
      </w:r>
      <w:r>
        <w:rPr>
          <w:rFonts w:hint="default" w:ascii="Times New Roman" w:hAnsi="Times New Roman" w:eastAsia="仿宋_GB2312" w:cs="Times New Roman"/>
          <w:sz w:val="32"/>
          <w:szCs w:val="32"/>
        </w:rPr>
        <w:t>→由业务科室负责人确认签字→财务科</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核签字→</w:t>
      </w:r>
      <w:r>
        <w:rPr>
          <w:rFonts w:hint="default" w:ascii="Times New Roman" w:hAnsi="Times New Roman" w:eastAsia="仿宋_GB2312" w:cs="Times New Roman"/>
          <w:sz w:val="32"/>
          <w:szCs w:val="32"/>
          <w:lang w:eastAsia="zh-CN"/>
        </w:rPr>
        <w:t>财务</w:t>
      </w:r>
      <w:r>
        <w:rPr>
          <w:rFonts w:hint="default" w:ascii="Times New Roman" w:hAnsi="Times New Roman" w:eastAsia="仿宋_GB2312" w:cs="Times New Roman"/>
          <w:sz w:val="32"/>
          <w:szCs w:val="32"/>
        </w:rPr>
        <w:t>分管领导确认签字→</w:t>
      </w:r>
      <w:r>
        <w:rPr>
          <w:rFonts w:hint="default" w:ascii="Times New Roman" w:hAnsi="Times New Roman" w:eastAsia="仿宋_GB2312" w:cs="Times New Roman"/>
          <w:sz w:val="32"/>
          <w:szCs w:val="32"/>
          <w:lang w:val="en-US" w:eastAsia="zh-CN"/>
        </w:rPr>
        <w:t>单位负责人</w:t>
      </w:r>
      <w:r>
        <w:rPr>
          <w:rFonts w:hint="default" w:ascii="Times New Roman" w:hAnsi="Times New Roman" w:eastAsia="仿宋_GB2312" w:cs="Times New Roman"/>
          <w:sz w:val="32"/>
          <w:szCs w:val="32"/>
        </w:rPr>
        <w:t>批准后，到</w:t>
      </w:r>
      <w:r>
        <w:rPr>
          <w:rFonts w:hint="default" w:ascii="Times New Roman" w:hAnsi="Times New Roman" w:eastAsia="仿宋_GB2312" w:cs="Times New Roman"/>
          <w:color w:val="000000"/>
          <w:sz w:val="32"/>
          <w:szCs w:val="32"/>
        </w:rPr>
        <w:t>财务</w:t>
      </w:r>
      <w:r>
        <w:rPr>
          <w:rFonts w:hint="default" w:ascii="Times New Roman" w:hAnsi="Times New Roman" w:eastAsia="仿宋_GB2312" w:cs="Times New Roman"/>
          <w:color w:val="000000"/>
          <w:sz w:val="32"/>
          <w:szCs w:val="32"/>
          <w:lang w:eastAsia="zh-CN"/>
        </w:rPr>
        <w:t>室</w:t>
      </w:r>
      <w:r>
        <w:rPr>
          <w:rFonts w:hint="default" w:ascii="Times New Roman" w:hAnsi="Times New Roman" w:eastAsia="仿宋_GB2312" w:cs="Times New Roman"/>
          <w:sz w:val="32"/>
          <w:szCs w:val="32"/>
        </w:rPr>
        <w:t>出纳处办理支付手续。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各个审批环节的具体职责：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业务科室负责人及其分管领导对其发生的支出用途及金额的真实性、准确性负责，并对其科室填写的支出审批单内容、大小写金额、票据张数进行审核。经济业务发生后，原则上在</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天之内报账完毕。不得将几个经济事项的票据合并填报。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财务室</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财务科有权拒绝受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各审批领导审查财务收支的真实性、合法性、必要性，并在报销凭证上明确签署报销意见。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所有费用报销实行</w:t>
      </w:r>
      <w:r>
        <w:rPr>
          <w:rFonts w:hint="default" w:ascii="Times New Roman" w:hAnsi="Times New Roman" w:eastAsia="仿宋_GB2312" w:cs="Times New Roman"/>
          <w:sz w:val="32"/>
          <w:szCs w:val="32"/>
          <w:lang w:eastAsia="zh-CN"/>
        </w:rPr>
        <w:t>单位负责人</w:t>
      </w:r>
      <w:r>
        <w:rPr>
          <w:rFonts w:hint="default" w:ascii="Times New Roman" w:hAnsi="Times New Roman" w:eastAsia="仿宋_GB2312" w:cs="Times New Roman"/>
          <w:sz w:val="32"/>
          <w:szCs w:val="32"/>
        </w:rPr>
        <w:t>“一支笔”签批制度。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纳人员对已经审批后的支出票据必须进行复核（复核票据张数、金额、审批程序），对不符合规定的票据有权拒绝支付并立即向机关领导报告。严格控制现金支付，原则上采用公务卡和转账结算。会计人员进行会计核算时，对不符合财经管理规定的票据有权拒绝接受并应立即报告。</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（三）项目组织实施情况</w:t>
      </w:r>
    </w:p>
    <w:p>
      <w:pPr>
        <w:pStyle w:val="20"/>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bCs/>
          <w:kern w:val="0"/>
          <w:sz w:val="32"/>
          <w:szCs w:val="32"/>
          <w:lang w:val="en-US"/>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000000"/>
          <w:sz w:val="32"/>
          <w:szCs w:val="32"/>
          <w:lang w:val="en-US" w:eastAsia="zh-CN"/>
        </w:rPr>
        <w:t>022年生活垃圾焚烧系统运行维护通过招投标方式交由成都平安环卫服务有限责任公司进行运行维护，我中心每年根据合同要求按年拨付运行维护经费与垃圾焚烧厂电费。</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b/>
          <w:bCs/>
          <w:color w:val="000000"/>
          <w:kern w:val="0"/>
          <w:sz w:val="32"/>
          <w:szCs w:val="32"/>
          <w:lang w:val="en-US" w:eastAsia="zh-CN"/>
        </w:rPr>
      </w:pPr>
      <w:bookmarkStart w:id="83" w:name="_Toc30649"/>
      <w:r>
        <w:rPr>
          <w:rFonts w:hint="default" w:ascii="Times New Roman" w:hAnsi="Times New Roman" w:eastAsia="黑体" w:cs="Times New Roman"/>
          <w:color w:val="auto"/>
          <w:kern w:val="0"/>
          <w:sz w:val="32"/>
          <w:szCs w:val="32"/>
          <w:highlight w:val="none"/>
          <w:shd w:val="clear" w:color="auto" w:fill="FFFFFF"/>
          <w:lang w:val="en-US" w:eastAsia="zh-CN"/>
        </w:rPr>
        <w:t>三、目标完成情况</w:t>
      </w:r>
      <w:bookmarkEnd w:id="83"/>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（一）目标任务量完成情况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2022年年初申报当年垃圾焚烧量大于5000吨，2022年全年实际完成生活垃圾与生产垃圾焚烧共计5600吨，目标任务量达到100%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eastAsia" w:ascii="Times New Roman" w:hAnsi="Times New Roman" w:eastAsia="楷体_GB2312" w:cs="Times New Roman"/>
          <w:b/>
          <w:bCs/>
          <w:color w:val="000000"/>
          <w:kern w:val="0"/>
          <w:sz w:val="32"/>
          <w:szCs w:val="32"/>
          <w:lang w:val="en-US" w:eastAsia="zh-CN"/>
        </w:rPr>
        <w:t>（二）</w:t>
      </w:r>
      <w:r>
        <w:rPr>
          <w:rFonts w:hint="default" w:ascii="Times New Roman" w:hAnsi="Times New Roman" w:eastAsia="楷体_GB2312" w:cs="Times New Roman"/>
          <w:b/>
          <w:bCs/>
          <w:color w:val="000000"/>
          <w:kern w:val="0"/>
          <w:sz w:val="32"/>
          <w:szCs w:val="32"/>
          <w:lang w:val="en-US" w:eastAsia="zh-CN"/>
        </w:rPr>
        <w:t>目标质量完成情况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000000"/>
          <w:sz w:val="32"/>
          <w:szCs w:val="32"/>
          <w:lang w:val="en-US" w:eastAsia="zh-CN"/>
        </w:rPr>
        <w:t>022年生活垃圾焚烧系统运行维护费交由第三方公司运行维护；2022年全年保持运转，无其他异常情况，目标质量达到100%。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（三）目标进度完成情况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2022年生活垃圾焚烧系统运行维护费全年收入总额为270.08万元，当年实际支付总额为238.21万元，支付进度为88.2%，剩余资金为净结余。</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黑体" w:cs="Times New Roman"/>
          <w:color w:val="auto"/>
          <w:kern w:val="0"/>
          <w:sz w:val="32"/>
          <w:szCs w:val="32"/>
          <w:highlight w:val="none"/>
          <w:shd w:val="clear" w:color="auto" w:fill="FFFFFF"/>
          <w:lang w:val="en-US" w:eastAsia="zh-CN"/>
        </w:rPr>
      </w:pPr>
      <w:bookmarkStart w:id="84" w:name="_Toc6061"/>
      <w:r>
        <w:rPr>
          <w:rFonts w:hint="default" w:ascii="Times New Roman" w:hAnsi="Times New Roman" w:eastAsia="黑体" w:cs="Times New Roman"/>
          <w:color w:val="auto"/>
          <w:kern w:val="0"/>
          <w:sz w:val="32"/>
          <w:szCs w:val="32"/>
          <w:highlight w:val="none"/>
          <w:shd w:val="clear" w:color="auto" w:fill="FFFFFF"/>
          <w:lang w:val="en-US" w:eastAsia="zh-CN"/>
        </w:rPr>
        <w:t>四、项目效益情况</w:t>
      </w:r>
      <w:bookmarkEnd w:id="84"/>
    </w:p>
    <w:p>
      <w:pPr>
        <w:pStyle w:val="20"/>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000000"/>
          <w:sz w:val="32"/>
          <w:szCs w:val="32"/>
          <w:lang w:val="en-US" w:eastAsia="zh-CN"/>
        </w:rPr>
        <w:t>022年生活垃圾焚烧系统运行维护费保障了县内生活垃圾焚烧厂的运转，保障了县内生活垃圾和生产垃圾的正常处理，提升了城市环境的整洁度，促进地区环境的保护。</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黑体" w:cs="Times New Roman"/>
          <w:color w:val="auto"/>
          <w:kern w:val="0"/>
          <w:sz w:val="32"/>
          <w:szCs w:val="32"/>
          <w:highlight w:val="none"/>
          <w:shd w:val="clear" w:color="auto" w:fill="FFFFFF"/>
          <w:lang w:val="en-US" w:eastAsia="zh-CN"/>
        </w:rPr>
      </w:pPr>
      <w:bookmarkStart w:id="85" w:name="_Toc13127"/>
      <w:r>
        <w:rPr>
          <w:rFonts w:hint="default" w:ascii="Times New Roman" w:hAnsi="Times New Roman" w:eastAsia="黑体" w:cs="Times New Roman"/>
          <w:color w:val="auto"/>
          <w:kern w:val="0"/>
          <w:sz w:val="32"/>
          <w:szCs w:val="32"/>
          <w:highlight w:val="none"/>
          <w:shd w:val="clear" w:color="auto" w:fill="FFFFFF"/>
          <w:lang w:val="en-US" w:eastAsia="zh-CN"/>
        </w:rPr>
        <w:t>五、评价结论及措施</w:t>
      </w:r>
      <w:bookmarkEnd w:id="85"/>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（一）存在问题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一是预算编制有待更严格执行，预算编制与实际支出项目有的存在差异。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二是制度执行力度有待加强</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基础设施</w:t>
      </w:r>
      <w:r>
        <w:rPr>
          <w:rFonts w:hint="default" w:ascii="Times New Roman" w:hAnsi="Times New Roman" w:eastAsia="仿宋_GB2312" w:cs="Times New Roman"/>
          <w:sz w:val="32"/>
          <w:szCs w:val="32"/>
        </w:rPr>
        <w:t>项目较多且急</w:t>
      </w:r>
      <w:r>
        <w:rPr>
          <w:rFonts w:hint="default" w:ascii="Times New Roman" w:hAnsi="Times New Roman" w:eastAsia="仿宋_GB2312" w:cs="Times New Roman"/>
          <w:sz w:val="32"/>
          <w:szCs w:val="32"/>
          <w:lang w:eastAsia="zh-CN"/>
        </w:rPr>
        <w:t>任务重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资金拨付率较慢。</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（二）改进措施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一是</w:t>
      </w:r>
      <w:r>
        <w:rPr>
          <w:rFonts w:hint="default" w:ascii="Times New Roman" w:hAnsi="Times New Roman" w:eastAsia="仿宋_GB2312" w:cs="Times New Roman"/>
          <w:sz w:val="32"/>
          <w:szCs w:val="32"/>
          <w:lang w:val="en-US" w:eastAsia="zh-CN"/>
        </w:rPr>
        <w:t>强化业财融合，提升预算编制能力及水平；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w:t>
      </w:r>
      <w:r>
        <w:rPr>
          <w:rFonts w:hint="default" w:ascii="Times New Roman" w:hAnsi="Times New Roman" w:eastAsia="仿宋_GB2312" w:cs="Times New Roman"/>
          <w:sz w:val="32"/>
          <w:szCs w:val="32"/>
          <w:lang w:val="en-US" w:eastAsia="zh-CN"/>
        </w:rPr>
        <w:t>加快</w:t>
      </w:r>
      <w:r>
        <w:rPr>
          <w:rFonts w:hint="default" w:ascii="Times New Roman" w:hAnsi="Times New Roman" w:eastAsia="仿宋_GB2312" w:cs="Times New Roman"/>
          <w:sz w:val="32"/>
          <w:szCs w:val="32"/>
        </w:rPr>
        <w:t>各项</w:t>
      </w:r>
      <w:r>
        <w:rPr>
          <w:rFonts w:hint="default" w:ascii="Times New Roman" w:hAnsi="Times New Roman" w:eastAsia="仿宋_GB2312" w:cs="Times New Roman"/>
          <w:sz w:val="32"/>
          <w:szCs w:val="32"/>
          <w:lang w:val="en-US" w:eastAsia="zh-CN"/>
        </w:rPr>
        <w:t>目进</w:t>
      </w:r>
      <w:r>
        <w:rPr>
          <w:rFonts w:hint="default" w:ascii="Times New Roman" w:hAnsi="Times New Roman" w:eastAsia="仿宋_GB2312" w:cs="Times New Roman"/>
          <w:sz w:val="32"/>
          <w:szCs w:val="32"/>
        </w:rPr>
        <w:t>度，提升执行力。</w:t>
      </w:r>
      <w:bookmarkStart w:id="86" w:name="_Toc15396618"/>
    </w:p>
    <w:p>
      <w:pPr>
        <w:pStyle w:val="2"/>
        <w:ind w:firstLine="400" w:firstLineChars="200"/>
        <w:jc w:val="left"/>
        <w:rPr>
          <w:rFonts w:hint="default" w:ascii="Times New Roman" w:hAnsi="Times New Roman" w:cs="Times New Roman"/>
        </w:rPr>
      </w:pPr>
      <w:r>
        <w:rPr>
          <w:rFonts w:hint="default" w:ascii="Times New Roman" w:hAnsi="Times New Roman" w:cs="Times New Roman"/>
        </w:rPr>
        <w:object>
          <v:shape id="_x0000_i1027" o:spt="75" type="#_x0000_t75" style="height:571pt;width:403pt;" o:ole="t" filled="f" o:preferrelative="t" stroked="f" coordsize="21600,21600">
            <v:path/>
            <v:fill on="f" focussize="0,0"/>
            <v:stroke on="f"/>
            <v:imagedata r:id="rId20" o:title=""/>
            <o:lock v:ext="edit" aspectratio="f"/>
            <w10:wrap type="none"/>
            <w10:anchorlock/>
          </v:shape>
          <o:OLEObject Type="Embed" ProgID="Excel.Sheet.12" ShapeID="_x0000_i1027" DrawAspect="Content" ObjectID="_1468075727" r:id="rId19">
            <o:LockedField>false</o:LockedField>
          </o:OLEObject>
        </w:object>
      </w:r>
    </w:p>
    <w:p>
      <w:pPr>
        <w:ind w:firstLine="420" w:firstLineChars="200"/>
        <w:rPr>
          <w:rFonts w:hint="default" w:ascii="Times New Roman" w:hAnsi="Times New Roman" w:cs="Times New Roman"/>
        </w:rPr>
      </w:pPr>
      <w:r>
        <w:rPr>
          <w:rFonts w:hint="default" w:ascii="Times New Roman" w:hAnsi="Times New Roman" w:cs="Times New Roman"/>
        </w:rPr>
        <w:br w:type="page"/>
      </w:r>
    </w:p>
    <w:p>
      <w:pPr>
        <w:spacing w:line="600" w:lineRule="exact"/>
        <w:ind w:firstLine="880" w:firstLineChars="200"/>
        <w:jc w:val="center"/>
        <w:outlineLvl w:val="0"/>
        <w:rPr>
          <w:rFonts w:hint="default" w:ascii="Times New Roman" w:hAnsi="Times New Roman" w:eastAsia="仿宋" w:cs="Times New Roman"/>
          <w:b w:val="0"/>
          <w:color w:val="auto"/>
          <w:highlight w:val="none"/>
        </w:rPr>
      </w:pPr>
      <w:bookmarkStart w:id="87" w:name="_Toc14600"/>
      <w:r>
        <w:rPr>
          <w:rFonts w:hint="default" w:ascii="Times New Roman" w:hAnsi="Times New Roman" w:eastAsia="黑体" w:cs="Times New Roman"/>
          <w:color w:val="auto"/>
          <w:sz w:val="44"/>
          <w:szCs w:val="44"/>
          <w:highlight w:val="none"/>
        </w:rPr>
        <w:t>第</w:t>
      </w:r>
      <w:r>
        <w:rPr>
          <w:rStyle w:val="30"/>
          <w:rFonts w:hint="default" w:ascii="Times New Roman" w:hAnsi="Times New Roman" w:eastAsia="黑体" w:cs="Times New Roman"/>
          <w:b w:val="0"/>
          <w:color w:val="auto"/>
          <w:highlight w:val="none"/>
        </w:rPr>
        <w:t>五部分 附表</w:t>
      </w:r>
      <w:bookmarkEnd w:id="68"/>
      <w:bookmarkEnd w:id="86"/>
      <w:bookmarkEnd w:id="87"/>
      <w:bookmarkStart w:id="88" w:name="_Toc15396619"/>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color w:val="auto"/>
          <w:highlight w:val="none"/>
        </w:rPr>
      </w:pPr>
      <w:bookmarkStart w:id="89" w:name="_Toc32076"/>
      <w:r>
        <w:rPr>
          <w:rFonts w:hint="default" w:ascii="Times New Roman" w:hAnsi="Times New Roman" w:eastAsia="黑体" w:cs="Times New Roman"/>
          <w:b w:val="0"/>
          <w:color w:val="auto"/>
          <w:highlight w:val="none"/>
        </w:rPr>
        <w:t>一、收</w:t>
      </w:r>
      <w:r>
        <w:rPr>
          <w:rStyle w:val="31"/>
          <w:rFonts w:hint="default" w:ascii="Times New Roman" w:hAnsi="Times New Roman" w:eastAsia="黑体" w:cs="Times New Roman"/>
          <w:b w:val="0"/>
          <w:bCs w:val="0"/>
          <w:color w:val="auto"/>
          <w:highlight w:val="none"/>
        </w:rPr>
        <w:t>入支出决算总表</w:t>
      </w:r>
      <w:bookmarkEnd w:id="88"/>
      <w:bookmarkEnd w:id="89"/>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auto"/>
          <w:highlight w:val="none"/>
        </w:rPr>
      </w:pPr>
      <w:bookmarkStart w:id="90" w:name="_Toc15396620"/>
      <w:bookmarkStart w:id="91" w:name="_Toc21086"/>
      <w:r>
        <w:rPr>
          <w:rFonts w:hint="default" w:ascii="Times New Roman" w:hAnsi="Times New Roman" w:eastAsia="黑体" w:cs="Times New Roman"/>
          <w:b w:val="0"/>
          <w:color w:val="auto"/>
          <w:highlight w:val="none"/>
        </w:rPr>
        <w:t>二、收入决算表</w:t>
      </w:r>
      <w:bookmarkEnd w:id="90"/>
      <w:bookmarkEnd w:id="91"/>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auto"/>
          <w:highlight w:val="none"/>
        </w:rPr>
      </w:pPr>
      <w:bookmarkStart w:id="92" w:name="_Toc15396621"/>
      <w:bookmarkStart w:id="93" w:name="_Toc17981"/>
      <w:r>
        <w:rPr>
          <w:rFonts w:hint="default" w:ascii="Times New Roman" w:hAnsi="Times New Roman" w:eastAsia="黑体" w:cs="Times New Roman"/>
          <w:b w:val="0"/>
          <w:color w:val="auto"/>
          <w:highlight w:val="none"/>
        </w:rPr>
        <w:t>三、支出决算表</w:t>
      </w:r>
      <w:bookmarkEnd w:id="92"/>
      <w:bookmarkEnd w:id="93"/>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auto"/>
          <w:highlight w:val="none"/>
        </w:rPr>
      </w:pPr>
      <w:bookmarkStart w:id="94" w:name="_Toc15396622"/>
      <w:bookmarkStart w:id="95" w:name="_Toc18257"/>
      <w:r>
        <w:rPr>
          <w:rFonts w:hint="default" w:ascii="Times New Roman" w:hAnsi="Times New Roman" w:eastAsia="黑体" w:cs="Times New Roman"/>
          <w:b w:val="0"/>
          <w:color w:val="auto"/>
          <w:highlight w:val="none"/>
        </w:rPr>
        <w:t>四、财政拨款收入支出决算总表</w:t>
      </w:r>
      <w:bookmarkEnd w:id="94"/>
      <w:bookmarkEnd w:id="95"/>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auto"/>
          <w:highlight w:val="none"/>
        </w:rPr>
      </w:pPr>
      <w:bookmarkStart w:id="96" w:name="_Toc19502"/>
      <w:bookmarkStart w:id="97" w:name="_Toc15396623"/>
      <w:r>
        <w:rPr>
          <w:rFonts w:hint="default" w:ascii="Times New Roman" w:hAnsi="Times New Roman" w:eastAsia="黑体" w:cs="Times New Roman"/>
          <w:b w:val="0"/>
          <w:color w:val="auto"/>
          <w:highlight w:val="none"/>
        </w:rPr>
        <w:t>五、财政拨款支出决算明细表</w:t>
      </w:r>
      <w:bookmarkEnd w:id="96"/>
      <w:bookmarkEnd w:id="97"/>
      <w:bookmarkStart w:id="98" w:name="_Toc15396624"/>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auto"/>
          <w:highlight w:val="none"/>
        </w:rPr>
      </w:pPr>
      <w:bookmarkStart w:id="99" w:name="_Toc2744"/>
      <w:r>
        <w:rPr>
          <w:rFonts w:hint="default" w:ascii="Times New Roman" w:hAnsi="Times New Roman" w:eastAsia="黑体" w:cs="Times New Roman"/>
          <w:b w:val="0"/>
          <w:color w:val="auto"/>
          <w:highlight w:val="none"/>
        </w:rPr>
        <w:t>六、一般公共预算财政拨款支出决算表</w:t>
      </w:r>
      <w:bookmarkEnd w:id="98"/>
      <w:bookmarkEnd w:id="99"/>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auto"/>
          <w:highlight w:val="none"/>
        </w:rPr>
      </w:pPr>
      <w:bookmarkStart w:id="100" w:name="_Toc15396625"/>
      <w:bookmarkStart w:id="101" w:name="_Toc30568"/>
      <w:r>
        <w:rPr>
          <w:rFonts w:hint="default" w:ascii="Times New Roman" w:hAnsi="Times New Roman" w:eastAsia="黑体" w:cs="Times New Roman"/>
          <w:b w:val="0"/>
          <w:color w:val="auto"/>
          <w:highlight w:val="none"/>
        </w:rPr>
        <w:t>七、一般公共预算财政拨款支出决算明细表</w:t>
      </w:r>
      <w:bookmarkEnd w:id="100"/>
      <w:bookmarkEnd w:id="101"/>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auto"/>
          <w:highlight w:val="none"/>
        </w:rPr>
      </w:pPr>
      <w:bookmarkStart w:id="102" w:name="_Toc18778"/>
      <w:bookmarkStart w:id="103" w:name="_Toc15396626"/>
      <w:r>
        <w:rPr>
          <w:rFonts w:hint="default" w:ascii="Times New Roman" w:hAnsi="Times New Roman" w:eastAsia="黑体" w:cs="Times New Roman"/>
          <w:b w:val="0"/>
          <w:color w:val="auto"/>
          <w:highlight w:val="none"/>
        </w:rPr>
        <w:t>八、一般公共预算财政拨款基本支出决算表</w:t>
      </w:r>
      <w:bookmarkEnd w:id="102"/>
      <w:bookmarkEnd w:id="103"/>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auto"/>
          <w:highlight w:val="none"/>
        </w:rPr>
      </w:pPr>
      <w:bookmarkStart w:id="104" w:name="_Toc6321"/>
      <w:bookmarkStart w:id="105" w:name="_Toc15396627"/>
      <w:r>
        <w:rPr>
          <w:rFonts w:hint="default" w:ascii="Times New Roman" w:hAnsi="Times New Roman" w:eastAsia="黑体" w:cs="Times New Roman"/>
          <w:b w:val="0"/>
          <w:color w:val="auto"/>
          <w:highlight w:val="none"/>
        </w:rPr>
        <w:t>九、一般公共预算财政拨款项目支出决算表</w:t>
      </w:r>
      <w:bookmarkEnd w:id="104"/>
      <w:bookmarkEnd w:id="105"/>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auto"/>
          <w:highlight w:val="none"/>
        </w:rPr>
      </w:pPr>
      <w:bookmarkStart w:id="106" w:name="_Toc15396628"/>
      <w:bookmarkStart w:id="107" w:name="_Toc29592"/>
      <w:r>
        <w:rPr>
          <w:rFonts w:hint="default" w:ascii="Times New Roman" w:hAnsi="Times New Roman" w:eastAsia="黑体" w:cs="Times New Roman"/>
          <w:b w:val="0"/>
          <w:color w:val="auto"/>
          <w:highlight w:val="none"/>
        </w:rPr>
        <w:t>十、</w:t>
      </w:r>
      <w:bookmarkEnd w:id="106"/>
      <w:r>
        <w:rPr>
          <w:rFonts w:hint="default" w:ascii="Times New Roman" w:hAnsi="Times New Roman" w:eastAsia="黑体" w:cs="Times New Roman"/>
          <w:b w:val="0"/>
          <w:color w:val="auto"/>
          <w:highlight w:val="none"/>
        </w:rPr>
        <w:t>政府性基金预算财政拨款收入支出决算表</w:t>
      </w:r>
      <w:bookmarkEnd w:id="107"/>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auto"/>
          <w:highlight w:val="none"/>
        </w:rPr>
      </w:pPr>
      <w:bookmarkStart w:id="108" w:name="_Toc15396629"/>
      <w:bookmarkStart w:id="109" w:name="_Toc32458"/>
      <w:r>
        <w:rPr>
          <w:rFonts w:hint="default" w:ascii="Times New Roman" w:hAnsi="Times New Roman" w:eastAsia="黑体" w:cs="Times New Roman"/>
          <w:b w:val="0"/>
          <w:color w:val="auto"/>
          <w:highlight w:val="none"/>
        </w:rPr>
        <w:t>十一、</w:t>
      </w:r>
      <w:bookmarkEnd w:id="108"/>
      <w:r>
        <w:rPr>
          <w:rFonts w:hint="default" w:ascii="Times New Roman" w:hAnsi="Times New Roman" w:eastAsia="黑体" w:cs="Times New Roman"/>
          <w:b w:val="0"/>
          <w:color w:val="auto"/>
          <w:highlight w:val="none"/>
        </w:rPr>
        <w:t>国有资本经营预算</w:t>
      </w:r>
      <w:r>
        <w:rPr>
          <w:rFonts w:hint="default" w:ascii="Times New Roman" w:hAnsi="Times New Roman" w:eastAsia="黑体" w:cs="Times New Roman"/>
          <w:b w:val="0"/>
          <w:color w:val="auto"/>
          <w:highlight w:val="none"/>
          <w:lang w:eastAsia="zh-CN"/>
        </w:rPr>
        <w:t>财政拨款收入</w:t>
      </w:r>
      <w:r>
        <w:rPr>
          <w:rFonts w:hint="default" w:ascii="Times New Roman" w:hAnsi="Times New Roman" w:eastAsia="黑体" w:cs="Times New Roman"/>
          <w:b w:val="0"/>
          <w:color w:val="auto"/>
          <w:highlight w:val="none"/>
        </w:rPr>
        <w:t>支出决算表</w:t>
      </w:r>
      <w:bookmarkEnd w:id="109"/>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auto"/>
          <w:highlight w:val="none"/>
        </w:rPr>
      </w:pPr>
      <w:bookmarkStart w:id="110" w:name="_Toc15396630"/>
      <w:bookmarkStart w:id="111" w:name="_Toc25971"/>
      <w:r>
        <w:rPr>
          <w:rFonts w:hint="default" w:ascii="Times New Roman" w:hAnsi="Times New Roman" w:eastAsia="黑体" w:cs="Times New Roman"/>
          <w:b w:val="0"/>
          <w:color w:val="auto"/>
          <w:highlight w:val="none"/>
        </w:rPr>
        <w:t>十二、</w:t>
      </w:r>
      <w:bookmarkEnd w:id="110"/>
      <w:r>
        <w:rPr>
          <w:rFonts w:hint="default" w:ascii="Times New Roman" w:hAnsi="Times New Roman" w:eastAsia="黑体" w:cs="Times New Roman"/>
          <w:b w:val="0"/>
          <w:color w:val="auto"/>
          <w:highlight w:val="none"/>
          <w:lang w:eastAsia="zh-CN"/>
        </w:rPr>
        <w:t>国有资本经营预算财政拨款支出决算表</w:t>
      </w:r>
      <w:bookmarkEnd w:id="111"/>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auto"/>
          <w:highlight w:val="none"/>
          <w:lang w:eastAsia="zh-CN"/>
        </w:rPr>
      </w:pPr>
      <w:bookmarkStart w:id="112" w:name="_Toc15396631"/>
      <w:bookmarkStart w:id="113" w:name="_Toc17648"/>
      <w:r>
        <w:rPr>
          <w:rFonts w:hint="default" w:ascii="Times New Roman" w:hAnsi="Times New Roman" w:eastAsia="黑体" w:cs="Times New Roman"/>
          <w:b w:val="0"/>
          <w:color w:val="auto"/>
          <w:highlight w:val="none"/>
        </w:rPr>
        <w:t>十三、</w:t>
      </w:r>
      <w:bookmarkEnd w:id="112"/>
      <w:r>
        <w:rPr>
          <w:rFonts w:hint="default" w:ascii="Times New Roman" w:hAnsi="Times New Roman" w:eastAsia="黑体" w:cs="Times New Roman"/>
          <w:b w:val="0"/>
          <w:color w:val="auto"/>
          <w:highlight w:val="none"/>
          <w:lang w:eastAsia="zh-CN"/>
        </w:rPr>
        <w:t>财政拨款“三公”经费支出决算表</w:t>
      </w:r>
      <w:bookmarkEnd w:id="113"/>
    </w:p>
    <w:sectPr>
      <w:footerReference r:id="rId6" w:type="first"/>
      <w:footerReference r:id="rId5"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_GBK">
    <w:panose1 w:val="03000502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OTI0MGYwYmJiZmY1NGJkOGYzNDU4NWEyNjYxM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2A49B8"/>
    <w:rsid w:val="023215B6"/>
    <w:rsid w:val="041A1188"/>
    <w:rsid w:val="0623492B"/>
    <w:rsid w:val="063347FE"/>
    <w:rsid w:val="063B53E6"/>
    <w:rsid w:val="066E0107"/>
    <w:rsid w:val="075F4F99"/>
    <w:rsid w:val="07996F6E"/>
    <w:rsid w:val="08A96637"/>
    <w:rsid w:val="09AA4D5C"/>
    <w:rsid w:val="0A2032A3"/>
    <w:rsid w:val="0AC14245"/>
    <w:rsid w:val="0B0B42AD"/>
    <w:rsid w:val="0C4D7C21"/>
    <w:rsid w:val="0D656CF2"/>
    <w:rsid w:val="0E6179B4"/>
    <w:rsid w:val="0E6B25E0"/>
    <w:rsid w:val="0F98263C"/>
    <w:rsid w:val="0FE4264A"/>
    <w:rsid w:val="101860EC"/>
    <w:rsid w:val="10C055FF"/>
    <w:rsid w:val="118107EC"/>
    <w:rsid w:val="11F970A4"/>
    <w:rsid w:val="12E91AF3"/>
    <w:rsid w:val="130265BC"/>
    <w:rsid w:val="13D50BC4"/>
    <w:rsid w:val="142450F2"/>
    <w:rsid w:val="154A11A2"/>
    <w:rsid w:val="15DF1A5F"/>
    <w:rsid w:val="161D0664"/>
    <w:rsid w:val="16BB723D"/>
    <w:rsid w:val="16CD3E38"/>
    <w:rsid w:val="17E4768B"/>
    <w:rsid w:val="19891563"/>
    <w:rsid w:val="1B8B7676"/>
    <w:rsid w:val="1BE8440E"/>
    <w:rsid w:val="1C672639"/>
    <w:rsid w:val="1D145502"/>
    <w:rsid w:val="1D155CEE"/>
    <w:rsid w:val="1ED2479E"/>
    <w:rsid w:val="1EF95861"/>
    <w:rsid w:val="1F372797"/>
    <w:rsid w:val="1FF35744"/>
    <w:rsid w:val="20EE3329"/>
    <w:rsid w:val="211A411E"/>
    <w:rsid w:val="227B5090"/>
    <w:rsid w:val="23860B96"/>
    <w:rsid w:val="239857CE"/>
    <w:rsid w:val="23ED709F"/>
    <w:rsid w:val="24003A9F"/>
    <w:rsid w:val="240371BF"/>
    <w:rsid w:val="25C9278E"/>
    <w:rsid w:val="25EF3DCB"/>
    <w:rsid w:val="28142622"/>
    <w:rsid w:val="28E868B0"/>
    <w:rsid w:val="29FD04D3"/>
    <w:rsid w:val="2A000ABE"/>
    <w:rsid w:val="2A497822"/>
    <w:rsid w:val="2A927240"/>
    <w:rsid w:val="2AA84549"/>
    <w:rsid w:val="2C8A61B5"/>
    <w:rsid w:val="2D3E0444"/>
    <w:rsid w:val="2DAB03C1"/>
    <w:rsid w:val="2DF04E50"/>
    <w:rsid w:val="2E13198E"/>
    <w:rsid w:val="2F040D46"/>
    <w:rsid w:val="2F37233F"/>
    <w:rsid w:val="2F5405B0"/>
    <w:rsid w:val="2F6D0E97"/>
    <w:rsid w:val="2F947791"/>
    <w:rsid w:val="2FD22068"/>
    <w:rsid w:val="300E44B6"/>
    <w:rsid w:val="304765B2"/>
    <w:rsid w:val="31091AB9"/>
    <w:rsid w:val="319F7F4E"/>
    <w:rsid w:val="321010F0"/>
    <w:rsid w:val="325E7BE3"/>
    <w:rsid w:val="3304709D"/>
    <w:rsid w:val="36AA5135"/>
    <w:rsid w:val="376D39B2"/>
    <w:rsid w:val="379245B6"/>
    <w:rsid w:val="37977E1F"/>
    <w:rsid w:val="37E16F03"/>
    <w:rsid w:val="386D6DD1"/>
    <w:rsid w:val="38D469F0"/>
    <w:rsid w:val="391D11D2"/>
    <w:rsid w:val="392A6A70"/>
    <w:rsid w:val="399A73FF"/>
    <w:rsid w:val="39D47068"/>
    <w:rsid w:val="3A796A61"/>
    <w:rsid w:val="3AA13D61"/>
    <w:rsid w:val="3C5067EE"/>
    <w:rsid w:val="3D98207C"/>
    <w:rsid w:val="3D9A41C5"/>
    <w:rsid w:val="3D9F7A2D"/>
    <w:rsid w:val="3DFF04CC"/>
    <w:rsid w:val="3E6E73FF"/>
    <w:rsid w:val="3E78745D"/>
    <w:rsid w:val="3F6173B1"/>
    <w:rsid w:val="420E33D3"/>
    <w:rsid w:val="44E268DA"/>
    <w:rsid w:val="4513485D"/>
    <w:rsid w:val="455434EC"/>
    <w:rsid w:val="47B55C72"/>
    <w:rsid w:val="48335942"/>
    <w:rsid w:val="488C1142"/>
    <w:rsid w:val="48FF3FE1"/>
    <w:rsid w:val="490038C9"/>
    <w:rsid w:val="499E328F"/>
    <w:rsid w:val="4A627F82"/>
    <w:rsid w:val="4AAB11FB"/>
    <w:rsid w:val="4B0E749A"/>
    <w:rsid w:val="4B4F25DA"/>
    <w:rsid w:val="4B6D6DE3"/>
    <w:rsid w:val="4BE068DB"/>
    <w:rsid w:val="4C7217F7"/>
    <w:rsid w:val="4D577224"/>
    <w:rsid w:val="4D8F51AC"/>
    <w:rsid w:val="4E55618E"/>
    <w:rsid w:val="4E817269"/>
    <w:rsid w:val="4EAB630A"/>
    <w:rsid w:val="4ECE2238"/>
    <w:rsid w:val="4F50502B"/>
    <w:rsid w:val="4FB3346A"/>
    <w:rsid w:val="537E6D0A"/>
    <w:rsid w:val="53B4545D"/>
    <w:rsid w:val="54843081"/>
    <w:rsid w:val="54ED6E78"/>
    <w:rsid w:val="5583158B"/>
    <w:rsid w:val="55C71EA8"/>
    <w:rsid w:val="567C3D8E"/>
    <w:rsid w:val="569E103E"/>
    <w:rsid w:val="571B7CCD"/>
    <w:rsid w:val="576F4E59"/>
    <w:rsid w:val="58A65901"/>
    <w:rsid w:val="59164B3E"/>
    <w:rsid w:val="59A0270B"/>
    <w:rsid w:val="5A366BCB"/>
    <w:rsid w:val="5A751DEA"/>
    <w:rsid w:val="5A897643"/>
    <w:rsid w:val="5AF92295"/>
    <w:rsid w:val="5B8B2F47"/>
    <w:rsid w:val="5CD71FC4"/>
    <w:rsid w:val="5D720862"/>
    <w:rsid w:val="5DB20C5F"/>
    <w:rsid w:val="5F904FD0"/>
    <w:rsid w:val="64E2007C"/>
    <w:rsid w:val="663E2C76"/>
    <w:rsid w:val="6753700F"/>
    <w:rsid w:val="6C0952A7"/>
    <w:rsid w:val="6C4A05C8"/>
    <w:rsid w:val="6D911512"/>
    <w:rsid w:val="6E7D3EDE"/>
    <w:rsid w:val="6E7E3605"/>
    <w:rsid w:val="6F076767"/>
    <w:rsid w:val="6FEB7EFB"/>
    <w:rsid w:val="6FF5CC65"/>
    <w:rsid w:val="715C0E4B"/>
    <w:rsid w:val="72734D90"/>
    <w:rsid w:val="73397A01"/>
    <w:rsid w:val="736E4F36"/>
    <w:rsid w:val="73746686"/>
    <w:rsid w:val="73AD73D5"/>
    <w:rsid w:val="73B6EB34"/>
    <w:rsid w:val="744731E5"/>
    <w:rsid w:val="74622D20"/>
    <w:rsid w:val="75BD0D3D"/>
    <w:rsid w:val="75C06DB4"/>
    <w:rsid w:val="76E3355F"/>
    <w:rsid w:val="778769C8"/>
    <w:rsid w:val="78EC05F5"/>
    <w:rsid w:val="79EE5BA4"/>
    <w:rsid w:val="7A813A3B"/>
    <w:rsid w:val="7A8318BE"/>
    <w:rsid w:val="7A894339"/>
    <w:rsid w:val="7AEB241E"/>
    <w:rsid w:val="7AF1296F"/>
    <w:rsid w:val="7B937ECA"/>
    <w:rsid w:val="7D16490F"/>
    <w:rsid w:val="7D32101D"/>
    <w:rsid w:val="7EEF11D3"/>
    <w:rsid w:val="7F4734A5"/>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kern w:val="0"/>
      <w:sz w:val="20"/>
    </w:rPr>
  </w:style>
  <w:style w:type="paragraph" w:styleId="6">
    <w:name w:val="Body Text"/>
    <w:basedOn w:val="1"/>
    <w:next w:val="7"/>
    <w:link w:val="27"/>
    <w:qFormat/>
    <w:uiPriority w:val="99"/>
    <w:pPr>
      <w:spacing w:beforeLines="30"/>
    </w:pPr>
    <w:rPr>
      <w:rFonts w:ascii="仿宋_GB2312" w:eastAsia="仿宋_GB2312"/>
      <w:kern w:val="0"/>
      <w:sz w:val="30"/>
    </w:rPr>
  </w:style>
  <w:style w:type="paragraph" w:styleId="7">
    <w:name w:val="Body Text First Indent"/>
    <w:basedOn w:val="6"/>
    <w:qFormat/>
    <w:uiPriority w:val="0"/>
    <w:pPr>
      <w:ind w:firstLine="420" w:firstLineChars="100"/>
    </w:p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8"/>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列出段落1"/>
    <w:basedOn w:val="1"/>
    <w:qFormat/>
    <w:uiPriority w:val="34"/>
    <w:pPr>
      <w:ind w:firstLine="420" w:firstLineChars="200"/>
    </w:pPr>
    <w:rPr>
      <w:rFonts w:ascii="Calibri" w:hAnsi="Calibri" w:eastAsia="宋体" w:cs="Times New Roman"/>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3"/>
    <w:qFormat/>
    <w:uiPriority w:val="9"/>
    <w:rPr>
      <w:rFonts w:ascii="Times New Roman" w:hAnsi="Times New Roman"/>
      <w:b/>
      <w:bCs/>
      <w:kern w:val="44"/>
      <w:sz w:val="44"/>
      <w:szCs w:val="44"/>
    </w:rPr>
  </w:style>
  <w:style w:type="character" w:customStyle="1" w:styleId="31">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character" w:customStyle="1" w:styleId="34">
    <w:name w:val="标题 3 Char"/>
    <w:basedOn w:val="17"/>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font81"/>
    <w:basedOn w:val="17"/>
    <w:qFormat/>
    <w:uiPriority w:val="0"/>
    <w:rPr>
      <w:rFonts w:hint="eastAsia" w:ascii="宋体" w:hAnsi="宋体" w:eastAsia="宋体" w:cs="宋体"/>
      <w:color w:val="000000"/>
      <w:sz w:val="32"/>
      <w:szCs w:val="32"/>
      <w:u w:val="none"/>
    </w:rPr>
  </w:style>
  <w:style w:type="character" w:customStyle="1" w:styleId="38">
    <w:name w:val="font11"/>
    <w:basedOn w:val="17"/>
    <w:qFormat/>
    <w:uiPriority w:val="0"/>
    <w:rPr>
      <w:rFonts w:hint="eastAsia" w:ascii="宋体" w:hAnsi="宋体" w:eastAsia="宋体" w:cs="宋体"/>
      <w:color w:val="000000"/>
      <w:sz w:val="20"/>
      <w:szCs w:val="20"/>
      <w:u w:val="none"/>
    </w:rPr>
  </w:style>
  <w:style w:type="character" w:customStyle="1" w:styleId="39">
    <w:name w:val="font61"/>
    <w:basedOn w:val="17"/>
    <w:qFormat/>
    <w:uiPriority w:val="0"/>
    <w:rPr>
      <w:rFonts w:hint="eastAsia" w:ascii="宋体" w:hAnsi="宋体" w:eastAsia="宋体" w:cs="宋体"/>
      <w:color w:val="000000"/>
      <w:sz w:val="18"/>
      <w:szCs w:val="18"/>
      <w:u w:val="none"/>
    </w:rPr>
  </w:style>
  <w:style w:type="character" w:customStyle="1" w:styleId="40">
    <w:name w:val="font91"/>
    <w:basedOn w:val="17"/>
    <w:qFormat/>
    <w:uiPriority w:val="0"/>
    <w:rPr>
      <w:rFonts w:hint="eastAsia" w:ascii="宋体" w:hAnsi="宋体" w:eastAsia="宋体" w:cs="宋体"/>
      <w:color w:val="000000"/>
      <w:sz w:val="12"/>
      <w:szCs w:val="12"/>
      <w:u w:val="none"/>
    </w:rPr>
  </w:style>
  <w:style w:type="character" w:customStyle="1" w:styleId="41">
    <w:name w:val="font71"/>
    <w:basedOn w:val="17"/>
    <w:qFormat/>
    <w:uiPriority w:val="0"/>
    <w:rPr>
      <w:rFonts w:hint="eastAsia" w:ascii="宋体" w:hAnsi="宋体" w:eastAsia="宋体" w:cs="宋体"/>
      <w:b/>
      <w:bCs/>
      <w:color w:val="000000"/>
      <w:sz w:val="32"/>
      <w:szCs w:val="32"/>
      <w:u w:val="none"/>
    </w:rPr>
  </w:style>
  <w:style w:type="character" w:customStyle="1" w:styleId="42">
    <w:name w:val="font21"/>
    <w:basedOn w:val="17"/>
    <w:qFormat/>
    <w:uiPriority w:val="0"/>
    <w:rPr>
      <w:rFonts w:hint="eastAsia" w:ascii="宋体" w:hAnsi="宋体" w:eastAsia="宋体" w:cs="宋体"/>
      <w:color w:val="000000"/>
      <w:sz w:val="32"/>
      <w:szCs w:val="32"/>
      <w:u w:val="none"/>
    </w:rPr>
  </w:style>
  <w:style w:type="character" w:customStyle="1" w:styleId="43">
    <w:name w:val="font51"/>
    <w:basedOn w:val="17"/>
    <w:qFormat/>
    <w:uiPriority w:val="0"/>
    <w:rPr>
      <w:rFonts w:hint="eastAsia" w:ascii="宋体" w:hAnsi="宋体" w:eastAsia="宋体" w:cs="宋体"/>
      <w:color w:val="000000"/>
      <w:sz w:val="18"/>
      <w:szCs w:val="18"/>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emf"/><Relationship Id="rId17" Type="http://schemas.openxmlformats.org/officeDocument/2006/relationships/oleObject" Target="embeddings/oleObject2.bin"/><Relationship Id="rId16" Type="http://schemas.openxmlformats.org/officeDocument/2006/relationships/image" Target="media/image1.png"/><Relationship Id="rId15" Type="http://schemas.openxmlformats.org/officeDocument/2006/relationships/oleObject" Target="embeddings/oleObject1.bin"/><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收支决算结构图</a:t>
            </a:r>
          </a:p>
        </c:rich>
      </c:tx>
      <c:layout>
        <c:manualLayout>
          <c:xMode val="edge"/>
          <c:yMode val="edge"/>
          <c:x val="0.353829427397922"/>
          <c:y val="0.0491480996068152"/>
        </c:manualLayout>
      </c:layout>
      <c:overlay val="false"/>
      <c:spPr>
        <a:noFill/>
        <a:ln>
          <a:noFill/>
        </a:ln>
        <a:effectLst/>
      </c:spPr>
    </c:title>
    <c:autoTitleDeleted val="false"/>
    <c:plotArea>
      <c:layout>
        <c:manualLayout>
          <c:layoutTarget val="inner"/>
          <c:xMode val="edge"/>
          <c:yMode val="edge"/>
          <c:x val="0.085721188692921"/>
          <c:y val="0.0227719528178244"/>
          <c:w val="0.89736651365064"/>
          <c:h val="0.764580602883355"/>
        </c:manualLayout>
      </c:layout>
      <c:barChart>
        <c:barDir val="col"/>
        <c:grouping val="clustered"/>
        <c:varyColors val="false"/>
        <c:ser>
          <c:idx val="0"/>
          <c:order val="0"/>
          <c:tx>
            <c:strRef>
              <c:f>Sheet1!$B$1</c:f>
              <c:strCache>
                <c:ptCount val="1"/>
                <c:pt idx="0">
                  <c:v>2021</c:v>
                </c:pt>
              </c:strCache>
            </c:strRef>
          </c:tx>
          <c:spPr>
            <a:solidFill>
              <a:schemeClr val="accent1"/>
            </a:solidFill>
            <a:ln>
              <a:noFill/>
            </a:ln>
            <a:effectLst/>
          </c:spPr>
          <c:invertIfNegative val="false"/>
          <c:dLbls>
            <c:delete val="true"/>
          </c:dLbls>
          <c:cat>
            <c:strRef>
              <c:f>Sheet1!$A$2:$A$3</c:f>
              <c:strCache>
                <c:ptCount val="2"/>
                <c:pt idx="0">
                  <c:v>收入</c:v>
                </c:pt>
                <c:pt idx="1">
                  <c:v>支出</c:v>
                </c:pt>
              </c:strCache>
            </c:strRef>
          </c:cat>
          <c:val>
            <c:numRef>
              <c:f>Sheet1!$B$2:$B$3</c:f>
              <c:numCache>
                <c:formatCode>General</c:formatCode>
                <c:ptCount val="2"/>
                <c:pt idx="0">
                  <c:v>1102.17</c:v>
                </c:pt>
                <c:pt idx="1">
                  <c:v>1712.97</c:v>
                </c:pt>
              </c:numCache>
            </c:numRef>
          </c:val>
        </c:ser>
        <c:ser>
          <c:idx val="1"/>
          <c:order val="1"/>
          <c:tx>
            <c:strRef>
              <c:f>Sheet1!$C$1</c:f>
              <c:strCache>
                <c:ptCount val="1"/>
                <c:pt idx="0">
                  <c:v>2022</c:v>
                </c:pt>
              </c:strCache>
            </c:strRef>
          </c:tx>
          <c:spPr>
            <a:solidFill>
              <a:schemeClr val="accent2"/>
            </a:solidFill>
            <a:ln>
              <a:noFill/>
            </a:ln>
            <a:effectLst/>
          </c:spPr>
          <c:invertIfNegative val="false"/>
          <c:dLbls>
            <c:delete val="true"/>
          </c:dLbls>
          <c:cat>
            <c:strRef>
              <c:f>Sheet1!$A$2:$A$3</c:f>
              <c:strCache>
                <c:ptCount val="2"/>
                <c:pt idx="0">
                  <c:v>收入</c:v>
                </c:pt>
                <c:pt idx="1">
                  <c:v>支出</c:v>
                </c:pt>
              </c:strCache>
            </c:strRef>
          </c:cat>
          <c:val>
            <c:numRef>
              <c:f>Sheet1!$C$2:$C$3</c:f>
              <c:numCache>
                <c:formatCode>General</c:formatCode>
                <c:ptCount val="2"/>
                <c:pt idx="0">
                  <c:v>1142.21</c:v>
                </c:pt>
                <c:pt idx="1">
                  <c:v>2267.08</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46"/>
        <c:overlap val="-28"/>
        <c:axId val="611551492"/>
        <c:axId val="927081893"/>
      </c:barChart>
      <c:catAx>
        <c:axId val="611551492"/>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7081893"/>
        <c:crosses val="autoZero"/>
        <c:auto val="true"/>
        <c:lblAlgn val="ctr"/>
        <c:lblOffset val="100"/>
        <c:noMultiLvlLbl val="false"/>
      </c:catAx>
      <c:valAx>
        <c:axId val="927081893"/>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11551492"/>
        <c:crosses val="autoZero"/>
        <c:crossBetween val="between"/>
      </c:valAx>
      <c:spPr>
        <a:noFill/>
        <a:ln>
          <a:noFill/>
        </a:ln>
        <a:effectLst/>
      </c:spPr>
    </c:plotArea>
    <c:legend>
      <c:legendPos val="b"/>
      <c:legendEntry>
        <c:idx val="2"/>
        <c:delete val="true"/>
      </c:legendEntry>
      <c:layout>
        <c:manualLayout>
          <c:xMode val="edge"/>
          <c:yMode val="edge"/>
          <c:x val="0.425283884996376"/>
          <c:y val="0.91235255570118"/>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tx>
            <c:strRef>
              <c:f>Sheet1!$B$1</c:f>
              <c:strCache>
                <c:ptCount val="1"/>
                <c:pt idx="0">
                  <c:v>列1</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delete val="true"/>
          </c:dLbls>
          <c:cat>
            <c:strRef>
              <c:f>Sheet1!$A$2:$A$5</c:f>
              <c:strCache>
                <c:ptCount val="4"/>
                <c:pt idx="0">
                  <c:v>一般公共预算拨款收入</c:v>
                </c:pt>
              </c:strCache>
            </c:strRef>
          </c:cat>
          <c:val>
            <c:numRef>
              <c:f>Sheet1!$B$2:$B$5</c:f>
              <c:numCache>
                <c:formatCode>General</c:formatCode>
                <c:ptCount val="4"/>
                <c:pt idx="0">
                  <c:v>1142.21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egendEntry>
        <c:idx val="1"/>
        <c:delete val="true"/>
      </c:legendEntry>
      <c:legendEntry>
        <c:idx val="2"/>
        <c:delete val="true"/>
      </c:legendEntry>
      <c:legendEntry>
        <c:idx val="3"/>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6245469920271"/>
          <c:y val="0.00821242814125376"/>
        </c:manualLayout>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支出决算结构图</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delete val="true"/>
          </c:dLbls>
          <c:cat>
            <c:strRef>
              <c:f>Sheet1!$A$2:$A$3</c:f>
              <c:strCache>
                <c:ptCount val="2"/>
                <c:pt idx="0">
                  <c:v>基本支出</c:v>
                </c:pt>
                <c:pt idx="1">
                  <c:v>项目支出</c:v>
                </c:pt>
              </c:strCache>
            </c:strRef>
          </c:cat>
          <c:val>
            <c:numRef>
              <c:f>Sheet1!$B$2:$B$3</c:f>
              <c:numCache>
                <c:formatCode>General</c:formatCode>
                <c:ptCount val="2"/>
                <c:pt idx="0">
                  <c:v>444.9</c:v>
                </c:pt>
                <c:pt idx="1">
                  <c:v>1822.18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manualLayout>
          <c:xMode val="edge"/>
          <c:yMode val="edge"/>
          <c:x val="0.356924807197943"/>
          <c:y val="0.214368932038835"/>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财政拨款收支决算结构图</a:t>
            </a:r>
          </a:p>
        </c:rich>
      </c:tx>
      <c:layout>
        <c:manualLayout>
          <c:xMode val="edge"/>
          <c:yMode val="edge"/>
          <c:x val="0.236651365064025"/>
          <c:y val="0.0458715596330276"/>
        </c:manualLayout>
      </c:layout>
      <c:overlay val="false"/>
      <c:spPr>
        <a:noFill/>
        <a:ln>
          <a:noFill/>
        </a:ln>
        <a:effectLst/>
      </c:spPr>
    </c:title>
    <c:autoTitleDeleted val="false"/>
    <c:plotArea>
      <c:layout>
        <c:manualLayout>
          <c:layoutTarget val="inner"/>
          <c:xMode val="edge"/>
          <c:yMode val="edge"/>
          <c:x val="0.085721188692921"/>
          <c:y val="0.0227719528178244"/>
          <c:w val="0.89736651365064"/>
          <c:h val="0.764580602883355"/>
        </c:manualLayout>
      </c:layout>
      <c:barChart>
        <c:barDir val="col"/>
        <c:grouping val="clustered"/>
        <c:varyColors val="false"/>
        <c:ser>
          <c:idx val="0"/>
          <c:order val="0"/>
          <c:tx>
            <c:strRef>
              <c:f>Sheet1!$B$1</c:f>
              <c:strCache>
                <c:ptCount val="1"/>
                <c:pt idx="0">
                  <c:v>2021</c:v>
                </c:pt>
              </c:strCache>
            </c:strRef>
          </c:tx>
          <c:spPr>
            <a:solidFill>
              <a:schemeClr val="accent1"/>
            </a:solidFill>
            <a:ln>
              <a:noFill/>
            </a:ln>
            <a:effectLst/>
          </c:spPr>
          <c:invertIfNegative val="false"/>
          <c:dLbls>
            <c:delete val="true"/>
          </c:dLbls>
          <c:cat>
            <c:strRef>
              <c:f>Sheet1!$A$2:$A$3</c:f>
              <c:strCache>
                <c:ptCount val="2"/>
                <c:pt idx="0">
                  <c:v>收入</c:v>
                </c:pt>
                <c:pt idx="1">
                  <c:v>支出</c:v>
                </c:pt>
              </c:strCache>
            </c:strRef>
          </c:cat>
          <c:val>
            <c:numRef>
              <c:f>Sheet1!$B$2:$B$3</c:f>
              <c:numCache>
                <c:formatCode>General</c:formatCode>
                <c:ptCount val="2"/>
                <c:pt idx="0">
                  <c:v>1102.17</c:v>
                </c:pt>
                <c:pt idx="1">
                  <c:v>1712.97</c:v>
                </c:pt>
              </c:numCache>
            </c:numRef>
          </c:val>
        </c:ser>
        <c:ser>
          <c:idx val="1"/>
          <c:order val="1"/>
          <c:tx>
            <c:strRef>
              <c:f>Sheet1!$C$1</c:f>
              <c:strCache>
                <c:ptCount val="1"/>
                <c:pt idx="0">
                  <c:v>2022</c:v>
                </c:pt>
              </c:strCache>
            </c:strRef>
          </c:tx>
          <c:spPr>
            <a:solidFill>
              <a:schemeClr val="accent2"/>
            </a:solidFill>
            <a:ln>
              <a:noFill/>
            </a:ln>
            <a:effectLst/>
          </c:spPr>
          <c:invertIfNegative val="false"/>
          <c:dLbls>
            <c:delete val="true"/>
          </c:dLbls>
          <c:cat>
            <c:strRef>
              <c:f>Sheet1!$A$2:$A$3</c:f>
              <c:strCache>
                <c:ptCount val="2"/>
                <c:pt idx="0">
                  <c:v>收入</c:v>
                </c:pt>
                <c:pt idx="1">
                  <c:v>支出</c:v>
                </c:pt>
              </c:strCache>
            </c:strRef>
          </c:cat>
          <c:val>
            <c:numRef>
              <c:f>Sheet1!$C$2:$C$3</c:f>
              <c:numCache>
                <c:formatCode>General</c:formatCode>
                <c:ptCount val="2"/>
                <c:pt idx="0">
                  <c:v>1142.21</c:v>
                </c:pt>
                <c:pt idx="1">
                  <c:v>2267.08</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46"/>
        <c:overlap val="-28"/>
        <c:axId val="611551492"/>
        <c:axId val="927081893"/>
      </c:barChart>
      <c:catAx>
        <c:axId val="611551492"/>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7081893"/>
        <c:crosses val="autoZero"/>
        <c:auto val="true"/>
        <c:lblAlgn val="ctr"/>
        <c:lblOffset val="100"/>
        <c:noMultiLvlLbl val="false"/>
      </c:catAx>
      <c:valAx>
        <c:axId val="927081893"/>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11551492"/>
        <c:crosses val="autoZero"/>
        <c:crossBetween val="between"/>
      </c:valAx>
      <c:spPr>
        <a:noFill/>
        <a:ln>
          <a:noFill/>
        </a:ln>
        <a:effectLst/>
      </c:spPr>
    </c:plotArea>
    <c:legend>
      <c:legendPos val="b"/>
      <c:legendEntry>
        <c:idx val="2"/>
        <c:delete val="true"/>
      </c:legendEntry>
      <c:layout>
        <c:manualLayout>
          <c:xMode val="edge"/>
          <c:yMode val="edge"/>
          <c:x val="0.425283884996376"/>
          <c:y val="0.91235255570118"/>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2021</c:v>
                </c:pt>
              </c:strCache>
            </c:strRef>
          </c:tx>
          <c:spPr>
            <a:solidFill>
              <a:schemeClr val="accent1"/>
            </a:solidFill>
            <a:ln>
              <a:noFill/>
            </a:ln>
            <a:effectLst/>
          </c:spPr>
          <c:invertIfNegative val="false"/>
          <c:dLbls>
            <c:delete val="true"/>
          </c:dLbls>
          <c:cat>
            <c:strRef>
              <c:f>Sheet1!$A$2</c:f>
              <c:strCache>
                <c:ptCount val="1"/>
                <c:pt idx="0">
                  <c:v>支出</c:v>
                </c:pt>
              </c:strCache>
            </c:strRef>
          </c:cat>
          <c:val>
            <c:numRef>
              <c:f>Sheet1!$B$2</c:f>
              <c:numCache>
                <c:formatCode>General</c:formatCode>
                <c:ptCount val="1"/>
                <c:pt idx="0">
                  <c:v>1712.97</c:v>
                </c:pt>
              </c:numCache>
            </c:numRef>
          </c:val>
        </c:ser>
        <c:ser>
          <c:idx val="1"/>
          <c:order val="1"/>
          <c:tx>
            <c:strRef>
              <c:f>Sheet1!$C$1</c:f>
              <c:strCache>
                <c:ptCount val="1"/>
                <c:pt idx="0">
                  <c:v>2022</c:v>
                </c:pt>
              </c:strCache>
            </c:strRef>
          </c:tx>
          <c:spPr>
            <a:solidFill>
              <a:schemeClr val="accent2"/>
            </a:solidFill>
            <a:ln>
              <a:noFill/>
            </a:ln>
            <a:effectLst/>
          </c:spPr>
          <c:invertIfNegative val="false"/>
          <c:dLbls>
            <c:delete val="true"/>
          </c:dLbls>
          <c:cat>
            <c:strRef>
              <c:f>Sheet1!$A$2</c:f>
              <c:strCache>
                <c:ptCount val="1"/>
                <c:pt idx="0">
                  <c:v>支出</c:v>
                </c:pt>
              </c:strCache>
            </c:strRef>
          </c:cat>
          <c:val>
            <c:numRef>
              <c:f>Sheet1!$C$2</c:f>
              <c:numCache>
                <c:formatCode>General</c:formatCode>
                <c:ptCount val="1"/>
                <c:pt idx="0">
                  <c:v>2267.08</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c:f>
              <c:strCache>
                <c:ptCount val="1"/>
                <c:pt idx="0">
                  <c:v>支出</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46"/>
        <c:overlap val="-28"/>
        <c:axId val="693322683"/>
        <c:axId val="211006692"/>
      </c:barChart>
      <c:catAx>
        <c:axId val="693322683"/>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1006692"/>
        <c:crosses val="autoZero"/>
        <c:auto val="true"/>
        <c:lblAlgn val="ctr"/>
        <c:lblOffset val="100"/>
        <c:noMultiLvlLbl val="false"/>
      </c:catAx>
      <c:valAx>
        <c:axId val="211006692"/>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93322683"/>
        <c:crosses val="autoZero"/>
        <c:crossBetween val="between"/>
      </c:valAx>
      <c:spPr>
        <a:noFill/>
        <a:ln>
          <a:noFill/>
        </a:ln>
        <a:effectLst/>
      </c:spPr>
    </c:plotArea>
    <c:legend>
      <c:legendPos val="b"/>
      <c:legendEntry>
        <c:idx val="2"/>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manualLayout>
          <c:xMode val="edge"/>
          <c:yMode val="edge"/>
          <c:x val="0.19098816139164"/>
          <c:y val="0.0318742031449214"/>
        </c:manualLayout>
      </c:layout>
      <c:overlay val="false"/>
      <c:spPr>
        <a:noFill/>
        <a:ln>
          <a:noFill/>
        </a:ln>
        <a:effectLst/>
      </c:spPr>
    </c:title>
    <c:autoTitleDeleted val="false"/>
    <c:plotArea>
      <c:layout/>
      <c:pieChart>
        <c:varyColors val="true"/>
        <c:ser>
          <c:idx val="0"/>
          <c:order val="0"/>
          <c:tx>
            <c:strRef>
              <c:f>Sheet1!$B$1</c:f>
              <c:strCache>
                <c:ptCount val="1"/>
                <c:pt idx="0">
                  <c:v>列1</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Pt>
            <c:idx val="4"/>
            <c:bubble3D val="false"/>
            <c:spPr>
              <a:solidFill>
                <a:schemeClr val="accent5"/>
              </a:solidFill>
              <a:ln>
                <a:solidFill>
                  <a:schemeClr val="bg1"/>
                </a:solidFill>
              </a:ln>
              <a:effectLst/>
            </c:spPr>
          </c:dPt>
          <c:dLbls>
            <c:delete val="true"/>
          </c:dLbls>
          <c:cat>
            <c:strRef>
              <c:f>Sheet1!$A$2:$A$6</c:f>
              <c:strCache>
                <c:ptCount val="5"/>
                <c:pt idx="0">
                  <c:v>社会保障就业支出</c:v>
                </c:pt>
                <c:pt idx="1">
                  <c:v>卫生健康支出</c:v>
                </c:pt>
                <c:pt idx="2">
                  <c:v>节能环保支出</c:v>
                </c:pt>
                <c:pt idx="3">
                  <c:v>城乡社区支出</c:v>
                </c:pt>
                <c:pt idx="4">
                  <c:v>其他支出</c:v>
                </c:pt>
              </c:strCache>
            </c:strRef>
          </c:cat>
          <c:val>
            <c:numRef>
              <c:f>Sheet1!$B$2:$B$6</c:f>
              <c:numCache>
                <c:formatCode>General</c:formatCode>
                <c:ptCount val="5"/>
                <c:pt idx="0">
                  <c:v>33.58</c:v>
                </c:pt>
                <c:pt idx="1">
                  <c:v>25.37</c:v>
                </c:pt>
                <c:pt idx="2">
                  <c:v>506.68</c:v>
                </c:pt>
                <c:pt idx="3">
                  <c:v>1585.73</c:v>
                </c:pt>
                <c:pt idx="4">
                  <c:v>96.84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a:t>
            </a:r>
          </a:p>
        </c:rich>
      </c:tx>
      <c:layout/>
      <c:overlay val="false"/>
      <c:spPr>
        <a:noFill/>
        <a:ln>
          <a:noFill/>
        </a:ln>
        <a:effectLst/>
      </c:spPr>
    </c:title>
    <c:autoTitleDeleted val="false"/>
    <c:plotArea>
      <c:layout/>
      <c:pieChart>
        <c:varyColors val="true"/>
        <c:ser>
          <c:idx val="0"/>
          <c:order val="0"/>
          <c:tx>
            <c:strRef>
              <c:f>Sheet1!$B$1</c:f>
              <c:strCache>
                <c:ptCount val="1"/>
                <c:pt idx="0">
                  <c:v>三公经费财政</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delete val="true"/>
          </c:dLbls>
          <c:cat>
            <c:strRef>
              <c:f>Sheet1!$A$2:$A$4</c:f>
              <c:strCache>
                <c:ptCount val="3"/>
                <c:pt idx="0">
                  <c:v>公务用车运行维护费</c:v>
                </c:pt>
                <c:pt idx="1">
                  <c:v>公务接待费</c:v>
                </c:pt>
                <c:pt idx="2">
                  <c:v>因公出国（镜）费用</c:v>
                </c:pt>
              </c:strCache>
            </c:strRef>
          </c:cat>
          <c:val>
            <c:numRef>
              <c:f>Sheet1!$B$2:$B$4</c:f>
              <c:numCache>
                <c:formatCode>General</c:formatCode>
                <c:ptCount val="3"/>
                <c:pt idx="0">
                  <c:v>2.91</c:v>
                </c:pt>
                <c:pt idx="1">
                  <c:v>0</c:v>
                </c:pt>
                <c:pt idx="2">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manualLayout>
          <c:xMode val="edge"/>
          <c:yMode val="edge"/>
          <c:x val="0.110654747523556"/>
          <c:y val="0.134296642583935"/>
          <c:w val="0.885721188692921"/>
          <c:h val="0.0707607309817255"/>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47</Pages>
  <Words>15646</Words>
  <Characters>16675</Characters>
  <Lines>61</Lines>
  <Paragraphs>17</Paragraphs>
  <TotalTime>29</TotalTime>
  <ScaleCrop>false</ScaleCrop>
  <LinksUpToDate>false</LinksUpToDate>
  <CharactersWithSpaces>16853</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碧落  </cp:lastModifiedBy>
  <cp:lastPrinted>2023-07-31T10:35:00Z</cp:lastPrinted>
  <dcterms:modified xsi:type="dcterms:W3CDTF">2025-05-12T17:37:50Z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9B3AF750ADFA45F9A70678776E2DE31E_13</vt:lpwstr>
  </property>
  <property fmtid="{D5CDD505-2E9C-101B-9397-08002B2CF9AE}" pid="4" name="KSOTemplateDocerSaveRecord">
    <vt:lpwstr>eyJoZGlkIjoiNjBhNTAyODZmOTQ1NDYwOGM5ZDE1ZWY2ZDAzZmRlNGEiLCJ1c2VySWQiOiIxMjQzODgzNzkxIn0=</vt:lpwstr>
  </property>
</Properties>
</file>