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ascii="方正小标宋简体" w:hAnsi="宋体" w:eastAsia="方正小标宋简体"/>
          <w:color w:val="000000"/>
          <w:sz w:val="72"/>
          <w:szCs w:val="72"/>
        </w:rPr>
      </w:pPr>
      <w:bookmarkStart w:id="0" w:name="_Toc15306267"/>
    </w:p>
    <w:p>
      <w:pPr>
        <w:spacing w:line="600" w:lineRule="exact"/>
        <w:jc w:val="center"/>
        <w:outlineLvl w:val="0"/>
        <w:rPr>
          <w:rFonts w:ascii="方正小标宋简体" w:hAnsi="宋体" w:eastAsia="方正小标宋简体"/>
          <w:color w:val="000000"/>
          <w:sz w:val="72"/>
          <w:szCs w:val="72"/>
        </w:rPr>
      </w:pPr>
    </w:p>
    <w:p>
      <w:pPr>
        <w:spacing w:line="600" w:lineRule="exact"/>
        <w:jc w:val="center"/>
        <w:outlineLvl w:val="0"/>
        <w:rPr>
          <w:rFonts w:ascii="方正小标宋简体" w:hAnsi="宋体" w:eastAsia="方正小标宋简体"/>
          <w:color w:val="000000"/>
          <w:sz w:val="72"/>
          <w:szCs w:val="72"/>
        </w:rPr>
      </w:pPr>
    </w:p>
    <w:p>
      <w:pPr>
        <w:jc w:val="center"/>
        <w:rPr>
          <w:rFonts w:hint="eastAsia" w:ascii="方正小标宋_GBK" w:hAnsi="方正小标宋_GBK" w:eastAsia="方正小标宋_GBK" w:cs="方正小标宋_GBK"/>
          <w:sz w:val="72"/>
          <w:szCs w:val="72"/>
        </w:rPr>
      </w:pPr>
      <w:bookmarkStart w:id="1" w:name="_Toc15378441"/>
      <w:bookmarkStart w:id="2" w:name="_Toc15377193"/>
      <w:bookmarkStart w:id="3" w:name="_Toc15396597"/>
      <w:bookmarkStart w:id="4" w:name="_Toc15377425"/>
      <w:bookmarkStart w:id="5" w:name="_Toc15396475"/>
      <w:r>
        <w:rPr>
          <w:rFonts w:hint="eastAsia" w:ascii="方正小标宋_GBK" w:hAnsi="方正小标宋_GBK" w:eastAsia="方正小标宋_GBK" w:cs="方正小标宋_GBK"/>
          <w:sz w:val="72"/>
          <w:szCs w:val="72"/>
        </w:rPr>
        <w:t>202</w:t>
      </w:r>
      <w:r>
        <w:rPr>
          <w:rFonts w:hint="eastAsia" w:ascii="方正小标宋_GBK" w:hAnsi="方正小标宋_GBK" w:eastAsia="方正小标宋_GBK" w:cs="方正小标宋_GBK"/>
          <w:sz w:val="72"/>
          <w:szCs w:val="72"/>
          <w:lang w:val="en-US" w:eastAsia="zh-CN"/>
        </w:rPr>
        <w:t>5</w:t>
      </w:r>
      <w:r>
        <w:rPr>
          <w:rFonts w:hint="eastAsia" w:ascii="方正小标宋_GBK" w:hAnsi="方正小标宋_GBK" w:eastAsia="方正小标宋_GBK" w:cs="方正小标宋_GBK"/>
          <w:sz w:val="72"/>
          <w:szCs w:val="72"/>
        </w:rPr>
        <w:t>年度</w:t>
      </w:r>
      <w:bookmarkEnd w:id="1"/>
      <w:bookmarkEnd w:id="2"/>
      <w:bookmarkEnd w:id="3"/>
      <w:bookmarkEnd w:id="4"/>
      <w:bookmarkEnd w:id="5"/>
    </w:p>
    <w:p>
      <w:pPr>
        <w:jc w:val="center"/>
        <w:rPr>
          <w:rFonts w:ascii="方正小标宋简体" w:eastAsia="方正小标宋简体"/>
          <w:sz w:val="72"/>
          <w:szCs w:val="72"/>
        </w:rPr>
      </w:pPr>
      <w:bookmarkStart w:id="6" w:name="_Toc15377426"/>
      <w:bookmarkStart w:id="7" w:name="_Toc15396598"/>
      <w:bookmarkStart w:id="8" w:name="_Toc15396476"/>
      <w:bookmarkStart w:id="9" w:name="_Toc15377194"/>
      <w:bookmarkStart w:id="10" w:name="_Toc15378442"/>
      <w:r>
        <w:rPr>
          <w:rFonts w:hint="eastAsia" w:ascii="方正小标宋_GBK" w:hAnsi="方正小标宋_GBK" w:eastAsia="方正小标宋_GBK" w:cs="方正小标宋_GBK"/>
          <w:sz w:val="72"/>
          <w:szCs w:val="72"/>
        </w:rPr>
        <w:t>阿坝州壤塘县</w:t>
      </w:r>
      <w:bookmarkEnd w:id="0"/>
      <w:bookmarkStart w:id="11" w:name="_Toc15306268"/>
      <w:r>
        <w:rPr>
          <w:rFonts w:hint="eastAsia" w:ascii="方正小标宋_GBK" w:hAnsi="方正小标宋_GBK" w:eastAsia="方正小标宋_GBK" w:cs="方正小标宋_GBK"/>
          <w:sz w:val="72"/>
          <w:szCs w:val="72"/>
          <w:lang w:eastAsia="zh-CN"/>
        </w:rPr>
        <w:t>供销合作社联合社</w:t>
      </w:r>
      <w:r>
        <w:rPr>
          <w:rFonts w:hint="eastAsia" w:ascii="方正小标宋_GBK" w:hAnsi="方正小标宋_GBK" w:eastAsia="方正小标宋_GBK" w:cs="方正小标宋_GBK"/>
          <w:sz w:val="72"/>
          <w:szCs w:val="72"/>
        </w:rPr>
        <w:t>部门决算</w:t>
      </w:r>
      <w:bookmarkEnd w:id="6"/>
      <w:bookmarkEnd w:id="7"/>
      <w:bookmarkEnd w:id="8"/>
      <w:bookmarkEnd w:id="9"/>
      <w:bookmarkEnd w:id="10"/>
      <w:bookmarkEnd w:id="11"/>
    </w:p>
    <w:p>
      <w:pPr>
        <w:widowControl/>
        <w:jc w:val="center"/>
        <w:rPr>
          <w:rFonts w:ascii="方正小标宋简体" w:hAnsi="宋体" w:eastAsia="方正小标宋简体"/>
          <w:color w:val="000000"/>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保密审查情况：</w:t>
      </w:r>
    </w:p>
    <w:p>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部门主要负责人审签情况：</w:t>
      </w:r>
    </w:p>
    <w:p>
      <w:pPr>
        <w:widowControl/>
        <w:jc w:val="center"/>
        <w:rPr>
          <w:rFonts w:ascii="方正小标宋简体" w:hAnsi="宋体" w:eastAsia="方正小标宋简体"/>
          <w:color w:val="000000"/>
          <w:sz w:val="36"/>
          <w:szCs w:val="36"/>
        </w:rPr>
      </w:pPr>
    </w:p>
    <w:p>
      <w:pPr>
        <w:widowControl/>
        <w:jc w:val="center"/>
        <w:rPr>
          <w:rFonts w:ascii="黑体" w:hAnsi="黑体" w:eastAsia="黑体"/>
          <w:color w:val="000000"/>
          <w:sz w:val="48"/>
          <w:szCs w:val="48"/>
        </w:rPr>
      </w:pPr>
      <w:r>
        <w:rPr>
          <w:rFonts w:ascii="方正小标宋简体" w:hAnsi="宋体" w:eastAsia="方正小标宋简体"/>
          <w:sz w:val="36"/>
          <w:szCs w:val="36"/>
        </w:rPr>
        <w:br w:type="page"/>
      </w:r>
      <w:r>
        <w:rPr>
          <w:rFonts w:hint="eastAsia" w:ascii="黑体" w:hAnsi="黑体" w:eastAsia="黑体"/>
          <w:color w:val="000000"/>
          <w:sz w:val="48"/>
          <w:szCs w:val="48"/>
        </w:rPr>
        <w:t>目录</w:t>
      </w:r>
    </w:p>
    <w:p>
      <w:pPr>
        <w:pStyle w:val="15"/>
        <w:jc w:val="center"/>
        <w:rPr>
          <w:rFonts w:hAnsiTheme="minorHAnsi"/>
          <w:b w:val="0"/>
          <w:bCs w:val="0"/>
          <w:color w:val="0000FF"/>
          <w:sz w:val="24"/>
          <w:szCs w:val="24"/>
        </w:rPr>
      </w:pPr>
      <w:r>
        <w:rPr>
          <w:rFonts w:hint="eastAsia" w:hAnsiTheme="minorHAnsi"/>
          <w:b w:val="0"/>
          <w:bCs w:val="0"/>
          <w:sz w:val="24"/>
          <w:szCs w:val="24"/>
        </w:rPr>
        <w:t>公开时间：</w:t>
      </w:r>
      <w:r>
        <w:rPr>
          <w:rFonts w:hint="eastAsia" w:hAnsiTheme="minorHAnsi"/>
          <w:b w:val="0"/>
          <w:bCs w:val="0"/>
          <w:color w:val="auto"/>
          <w:sz w:val="24"/>
          <w:szCs w:val="24"/>
        </w:rPr>
        <w:t>202</w:t>
      </w:r>
      <w:r>
        <w:rPr>
          <w:rFonts w:hint="eastAsia" w:hAnsiTheme="minorHAnsi"/>
          <w:b w:val="0"/>
          <w:bCs w:val="0"/>
          <w:color w:val="auto"/>
          <w:sz w:val="24"/>
          <w:szCs w:val="24"/>
          <w:lang w:val="en-US" w:eastAsia="zh-CN"/>
        </w:rPr>
        <w:t>6</w:t>
      </w:r>
      <w:r>
        <w:rPr>
          <w:rFonts w:hint="eastAsia" w:hAnsiTheme="minorHAnsi"/>
          <w:b w:val="0"/>
          <w:bCs w:val="0"/>
          <w:color w:val="auto"/>
          <w:sz w:val="24"/>
          <w:szCs w:val="24"/>
        </w:rPr>
        <w:t xml:space="preserve">年 </w:t>
      </w:r>
      <w:r>
        <w:rPr>
          <w:rFonts w:hint="eastAsia" w:hAnsiTheme="minorHAnsi"/>
          <w:b w:val="0"/>
          <w:bCs w:val="0"/>
          <w:color w:val="auto"/>
          <w:sz w:val="24"/>
          <w:szCs w:val="24"/>
          <w:lang w:val="en-US" w:eastAsia="zh-CN"/>
        </w:rPr>
        <w:t>10</w:t>
      </w:r>
      <w:r>
        <w:rPr>
          <w:rFonts w:hint="eastAsia" w:hAnsiTheme="minorHAnsi"/>
          <w:b w:val="0"/>
          <w:bCs w:val="0"/>
          <w:color w:val="auto"/>
          <w:sz w:val="24"/>
          <w:szCs w:val="24"/>
        </w:rPr>
        <w:t xml:space="preserve">月 </w:t>
      </w:r>
      <w:r>
        <w:rPr>
          <w:rFonts w:hint="eastAsia" w:hAnsiTheme="minorHAnsi"/>
          <w:b w:val="0"/>
          <w:bCs w:val="0"/>
          <w:color w:val="auto"/>
          <w:sz w:val="24"/>
          <w:szCs w:val="24"/>
          <w:lang w:val="en-US" w:eastAsia="zh-CN"/>
        </w:rPr>
        <w:t>22</w:t>
      </w:r>
      <w:r>
        <w:rPr>
          <w:rFonts w:hint="eastAsia" w:hAnsiTheme="minorHAnsi"/>
          <w:b w:val="0"/>
          <w:bCs w:val="0"/>
          <w:color w:val="auto"/>
          <w:sz w:val="24"/>
          <w:szCs w:val="24"/>
        </w:rPr>
        <w:t>日</w:t>
      </w:r>
    </w:p>
    <w:p>
      <w:pPr>
        <w:pStyle w:val="15"/>
        <w:tabs>
          <w:tab w:val="right" w:leader="dot" w:pos="8296"/>
        </w:tabs>
        <w:rPr>
          <w:rFonts w:hint="eastAsia" w:hAnsiTheme="minorHAnsi" w:eastAsiaTheme="minorHAnsi" w:cstheme="minorBidi"/>
          <w:b w:val="0"/>
          <w:bCs w:val="0"/>
          <w:caps w:val="0"/>
          <w:sz w:val="21"/>
          <w:szCs w:val="22"/>
          <w:lang w:eastAsia="zh-CN"/>
        </w:rPr>
      </w:pPr>
      <w:r>
        <w:rPr>
          <w:b w:val="0"/>
          <w:bCs w:val="0"/>
          <w:caps w:val="0"/>
        </w:rPr>
        <w:fldChar w:fldCharType="begin"/>
      </w:r>
      <w:r>
        <w:rPr>
          <w:b w:val="0"/>
          <w:bCs w:val="0"/>
          <w:caps w:val="0"/>
        </w:rPr>
        <w:instrText xml:space="preserve"> TOC \o \u </w:instrText>
      </w:r>
      <w:r>
        <w:rPr>
          <w:b w:val="0"/>
          <w:bCs w:val="0"/>
          <w:caps w:val="0"/>
        </w:rPr>
        <w:fldChar w:fldCharType="separate"/>
      </w:r>
      <w:r>
        <w:rPr>
          <w:rFonts w:ascii="黑体" w:hAnsi="黑体" w:eastAsia="黑体"/>
          <w:b w:val="0"/>
        </w:rPr>
        <w:t xml:space="preserve">第一部分 </w:t>
      </w:r>
      <w:r>
        <w:rPr>
          <w:rFonts w:ascii="黑体" w:hAnsi="黑体" w:eastAsia="黑体"/>
          <w:b w:val="0"/>
          <w:bCs w:val="0"/>
        </w:rPr>
        <w:t>部门概况</w:t>
      </w:r>
      <w:r>
        <w:tab/>
      </w:r>
      <w:r>
        <w:rPr>
          <w:rFonts w:hint="eastAsia"/>
          <w:lang w:val="en-US" w:eastAsia="zh-CN"/>
        </w:rPr>
        <w:t>4</w:t>
      </w:r>
    </w:p>
    <w:p>
      <w:pPr>
        <w:pStyle w:val="18"/>
        <w:tabs>
          <w:tab w:val="right" w:leader="dot" w:pos="8296"/>
        </w:tabs>
        <w:rPr>
          <w:rFonts w:hint="eastAsia" w:hAnsiTheme="minorHAnsi" w:eastAsiaTheme="minorHAnsi" w:cstheme="minorBidi"/>
          <w:smallCaps w:val="0"/>
          <w:sz w:val="21"/>
          <w:szCs w:val="22"/>
          <w:lang w:eastAsia="zh-CN"/>
        </w:rPr>
      </w:pPr>
      <w:r>
        <w:rPr>
          <w:rFonts w:ascii="黑体" w:hAnsi="黑体" w:eastAsia="黑体"/>
          <w:color w:val="000000"/>
        </w:rPr>
        <w:t>一、基</w:t>
      </w:r>
      <w:r>
        <w:rPr>
          <w:rFonts w:ascii="黑体" w:hAnsi="黑体" w:eastAsia="黑体"/>
        </w:rPr>
        <w:t>本职能及主要工作</w:t>
      </w:r>
      <w:r>
        <w:tab/>
      </w:r>
      <w:r>
        <w:rPr>
          <w:rFonts w:hint="eastAsia"/>
          <w:lang w:val="en-US" w:eastAsia="zh-CN"/>
        </w:rPr>
        <w:t>4</w:t>
      </w:r>
    </w:p>
    <w:p>
      <w:pPr>
        <w:pStyle w:val="10"/>
        <w:tabs>
          <w:tab w:val="right" w:leader="dot" w:pos="8296"/>
        </w:tabs>
        <w:rPr>
          <w:rFonts w:hint="eastAsia"/>
          <w:lang w:val="en-US" w:eastAsia="zh-CN"/>
        </w:rPr>
      </w:pPr>
      <w:r>
        <w:rPr>
          <w:rFonts w:ascii="仿宋" w:hAnsi="仿宋" w:eastAsia="仿宋" w:cs="Times New Roman"/>
          <w:i w:val="0"/>
          <w:iCs w:val="0"/>
          <w:smallCaps/>
          <w:kern w:val="2"/>
          <w:sz w:val="20"/>
          <w:szCs w:val="20"/>
          <w:lang w:val="en-US" w:eastAsia="zh-CN" w:bidi="ar-SA"/>
        </w:rPr>
        <w:t>（一）主要职能。</w:t>
      </w:r>
      <w:r>
        <w:tab/>
      </w:r>
      <w:r>
        <w:rPr>
          <w:rFonts w:hint="eastAsia"/>
          <w:lang w:val="en-US" w:eastAsia="zh-CN"/>
        </w:rPr>
        <w:t>4</w:t>
      </w:r>
    </w:p>
    <w:p>
      <w:pPr>
        <w:pStyle w:val="10"/>
        <w:tabs>
          <w:tab w:val="right" w:leader="dot" w:pos="8296"/>
        </w:tabs>
        <w:rPr>
          <w:rFonts w:hint="eastAsia" w:hAnsiTheme="minorHAnsi" w:eastAsiaTheme="minorHAnsi" w:cstheme="minorBidi"/>
          <w:i w:val="0"/>
          <w:iCs w:val="0"/>
          <w:sz w:val="21"/>
          <w:szCs w:val="22"/>
          <w:lang w:eastAsia="zh-CN"/>
        </w:rPr>
      </w:pPr>
      <w:r>
        <w:rPr>
          <w:rFonts w:ascii="仿宋" w:hAnsi="仿宋" w:eastAsia="仿宋" w:cs="Times New Roman"/>
          <w:i w:val="0"/>
          <w:iCs w:val="0"/>
          <w:smallCaps/>
          <w:kern w:val="2"/>
          <w:sz w:val="20"/>
          <w:szCs w:val="20"/>
          <w:lang w:val="en-US" w:eastAsia="zh-CN" w:bidi="ar-SA"/>
        </w:rPr>
        <w:t>（二）202</w:t>
      </w:r>
      <w:r>
        <w:rPr>
          <w:rFonts w:hint="eastAsia" w:ascii="仿宋" w:hAnsi="仿宋" w:eastAsia="仿宋" w:cs="Times New Roman"/>
          <w:i w:val="0"/>
          <w:iCs w:val="0"/>
          <w:smallCaps/>
          <w:kern w:val="2"/>
          <w:sz w:val="20"/>
          <w:szCs w:val="20"/>
          <w:lang w:val="en-US" w:eastAsia="zh-CN" w:bidi="ar-SA"/>
        </w:rPr>
        <w:t>5</w:t>
      </w:r>
      <w:r>
        <w:rPr>
          <w:rFonts w:ascii="仿宋" w:hAnsi="仿宋" w:eastAsia="仿宋" w:cs="Times New Roman"/>
          <w:i w:val="0"/>
          <w:iCs w:val="0"/>
          <w:smallCaps/>
          <w:kern w:val="2"/>
          <w:sz w:val="20"/>
          <w:szCs w:val="20"/>
          <w:lang w:val="en-US" w:eastAsia="zh-CN" w:bidi="ar-SA"/>
        </w:rPr>
        <w:t>年重点工作完成情况。</w:t>
      </w:r>
      <w:r>
        <w:tab/>
      </w:r>
      <w:r>
        <w:rPr>
          <w:rFonts w:hint="eastAsia"/>
          <w:lang w:val="en-US" w:eastAsia="zh-CN"/>
        </w:rPr>
        <w:t>5</w:t>
      </w:r>
    </w:p>
    <w:p>
      <w:pPr>
        <w:pStyle w:val="18"/>
        <w:tabs>
          <w:tab w:val="right" w:leader="dot" w:pos="8296"/>
        </w:tabs>
        <w:rPr>
          <w:rFonts w:hAnsiTheme="minorHAnsi" w:eastAsiaTheme="minorEastAsia" w:cstheme="minorBidi"/>
          <w:i w:val="0"/>
          <w:iCs w:val="0"/>
          <w:sz w:val="21"/>
          <w:szCs w:val="22"/>
        </w:rPr>
      </w:pPr>
      <w:r>
        <w:rPr>
          <w:rFonts w:ascii="黑体" w:eastAsia="黑体"/>
          <w:color w:val="000000"/>
        </w:rPr>
        <w:t>二、</w:t>
      </w:r>
      <w:r>
        <w:rPr>
          <w:rFonts w:ascii="黑体" w:hAnsi="黑体" w:eastAsia="黑体"/>
          <w:color w:val="000000"/>
        </w:rPr>
        <w:t>机</w:t>
      </w:r>
      <w:r>
        <w:rPr>
          <w:rFonts w:ascii="黑体" w:hAnsi="黑体" w:eastAsia="黑体"/>
        </w:rPr>
        <w:t>构设置</w:t>
      </w:r>
      <w:r>
        <w:tab/>
      </w:r>
      <w:r>
        <w:rPr>
          <w:rFonts w:hint="eastAsia"/>
          <w:lang w:val="en-US" w:eastAsia="zh-CN"/>
        </w:rPr>
        <w:t>9</w:t>
      </w:r>
    </w:p>
    <w:p>
      <w:pPr>
        <w:pStyle w:val="15"/>
        <w:tabs>
          <w:tab w:val="right" w:leader="dot" w:pos="8296"/>
        </w:tabs>
        <w:rPr>
          <w:rFonts w:hint="default" w:hAnsiTheme="minorHAnsi" w:eastAsiaTheme="minorHAnsi" w:cstheme="minorBidi"/>
          <w:b w:val="0"/>
          <w:bCs w:val="0"/>
          <w:caps w:val="0"/>
          <w:sz w:val="21"/>
          <w:szCs w:val="22"/>
          <w:lang w:val="en-US" w:eastAsia="zh-CN"/>
        </w:rPr>
      </w:pPr>
      <w:r>
        <w:rPr>
          <w:rFonts w:ascii="黑体" w:hAnsi="黑体" w:eastAsia="黑体"/>
          <w:b w:val="0"/>
          <w:color w:val="000000"/>
        </w:rPr>
        <w:t>第二部分</w:t>
      </w:r>
      <w:r>
        <w:rPr>
          <w:rFonts w:ascii="黑体" w:hAnsi="黑体" w:eastAsia="黑体"/>
          <w:color w:val="000000"/>
        </w:rPr>
        <w:t xml:space="preserve"> </w:t>
      </w:r>
      <w:r>
        <w:rPr>
          <w:rFonts w:ascii="黑体" w:hAnsi="黑体" w:eastAsia="黑体"/>
          <w:b w:val="0"/>
          <w:bCs w:val="0"/>
        </w:rPr>
        <w:t>202</w:t>
      </w:r>
      <w:r>
        <w:rPr>
          <w:rFonts w:hint="eastAsia" w:ascii="黑体" w:hAnsi="黑体" w:eastAsia="黑体"/>
          <w:b w:val="0"/>
          <w:bCs w:val="0"/>
          <w:lang w:val="en-US" w:eastAsia="zh-CN"/>
        </w:rPr>
        <w:t>5</w:t>
      </w:r>
      <w:r>
        <w:rPr>
          <w:rFonts w:ascii="黑体" w:hAnsi="黑体" w:eastAsia="黑体"/>
          <w:b w:val="0"/>
          <w:bCs w:val="0"/>
        </w:rPr>
        <w:t>年度部门决算情况说明</w:t>
      </w:r>
      <w:r>
        <w:tab/>
      </w:r>
      <w:r>
        <w:rPr>
          <w:rFonts w:hint="eastAsia"/>
          <w:lang w:val="en-US" w:eastAsia="zh-CN"/>
        </w:rPr>
        <w:t>10</w:t>
      </w:r>
    </w:p>
    <w:p>
      <w:pPr>
        <w:pStyle w:val="18"/>
        <w:tabs>
          <w:tab w:val="left" w:pos="840"/>
          <w:tab w:val="right" w:leader="dot" w:pos="8296"/>
        </w:tabs>
        <w:rPr>
          <w:rFonts w:hint="default" w:hAnsiTheme="minorHAnsi" w:eastAsiaTheme="minorHAnsi" w:cstheme="minorBidi"/>
          <w:smallCaps w:val="0"/>
          <w:sz w:val="21"/>
          <w:szCs w:val="22"/>
          <w:lang w:val="en-US" w:eastAsia="zh-CN"/>
        </w:rPr>
      </w:pPr>
      <w:r>
        <w:rPr>
          <w:rFonts w:ascii="黑体" w:hAnsi="黑体" w:eastAsia="黑体"/>
          <w:bCs/>
        </w:rPr>
        <w:t>一、</w:t>
      </w:r>
      <w:r>
        <w:rPr>
          <w:rFonts w:hAnsiTheme="minorHAnsi" w:eastAsiaTheme="minorEastAsia" w:cstheme="minorBidi"/>
          <w:smallCaps w:val="0"/>
          <w:sz w:val="21"/>
          <w:szCs w:val="22"/>
        </w:rPr>
        <w:tab/>
      </w:r>
      <w:r>
        <w:rPr>
          <w:rFonts w:ascii="黑体" w:hAnsi="黑体" w:eastAsia="黑体"/>
          <w:color w:val="000000"/>
        </w:rPr>
        <w:t>收</w:t>
      </w:r>
      <w:r>
        <w:rPr>
          <w:rFonts w:ascii="黑体" w:hAnsi="黑体" w:eastAsia="黑体"/>
          <w:bCs/>
        </w:rPr>
        <w:t>入支出决算总体情况说明</w:t>
      </w:r>
      <w:r>
        <w:tab/>
      </w:r>
      <w:r>
        <w:rPr>
          <w:rFonts w:hint="eastAsia"/>
          <w:lang w:val="en-US" w:eastAsia="zh-CN"/>
        </w:rPr>
        <w:t>10</w:t>
      </w:r>
    </w:p>
    <w:p>
      <w:pPr>
        <w:pStyle w:val="18"/>
        <w:tabs>
          <w:tab w:val="left" w:pos="840"/>
          <w:tab w:val="right" w:leader="dot" w:pos="8296"/>
        </w:tabs>
        <w:rPr>
          <w:rFonts w:hint="default" w:hAnsiTheme="minorHAnsi" w:eastAsiaTheme="minorHAnsi" w:cstheme="minorBidi"/>
          <w:smallCaps w:val="0"/>
          <w:sz w:val="21"/>
          <w:szCs w:val="22"/>
          <w:lang w:val="en-US" w:eastAsia="zh-CN"/>
        </w:rPr>
      </w:pPr>
      <w:r>
        <w:rPr>
          <w:rFonts w:ascii="黑体" w:hAnsi="黑体" w:eastAsia="黑体"/>
          <w:bCs/>
        </w:rPr>
        <w:t>二、</w:t>
      </w:r>
      <w:r>
        <w:rPr>
          <w:rFonts w:hAnsiTheme="minorHAnsi" w:eastAsiaTheme="minorEastAsia" w:cstheme="minorBidi"/>
          <w:smallCaps w:val="0"/>
          <w:sz w:val="21"/>
          <w:szCs w:val="22"/>
        </w:rPr>
        <w:tab/>
      </w:r>
      <w:r>
        <w:rPr>
          <w:rFonts w:ascii="黑体" w:hAnsi="黑体" w:eastAsia="黑体"/>
          <w:color w:val="000000"/>
        </w:rPr>
        <w:t>收</w:t>
      </w:r>
      <w:r>
        <w:rPr>
          <w:rFonts w:ascii="黑体" w:hAnsi="黑体" w:eastAsia="黑体"/>
          <w:bCs/>
        </w:rPr>
        <w:t>入决算情况说明</w:t>
      </w:r>
      <w:r>
        <w:tab/>
      </w:r>
      <w:r>
        <w:rPr>
          <w:rFonts w:hint="eastAsia"/>
          <w:lang w:val="en-US" w:eastAsia="zh-CN"/>
        </w:rPr>
        <w:t>10</w:t>
      </w:r>
    </w:p>
    <w:p>
      <w:pPr>
        <w:pStyle w:val="18"/>
        <w:tabs>
          <w:tab w:val="left" w:pos="840"/>
          <w:tab w:val="right" w:leader="dot" w:pos="8296"/>
        </w:tabs>
        <w:rPr>
          <w:rFonts w:hint="default" w:hAnsiTheme="minorHAnsi" w:eastAsiaTheme="minorHAnsi" w:cstheme="minorBidi"/>
          <w:smallCaps w:val="0"/>
          <w:sz w:val="21"/>
          <w:szCs w:val="22"/>
          <w:lang w:val="en-US" w:eastAsia="zh-CN"/>
        </w:rPr>
      </w:pPr>
      <w:r>
        <w:rPr>
          <w:rFonts w:ascii="黑体" w:hAnsi="黑体" w:eastAsia="黑体"/>
          <w:bCs/>
        </w:rPr>
        <w:t>三、</w:t>
      </w:r>
      <w:r>
        <w:rPr>
          <w:rFonts w:hAnsiTheme="minorHAnsi" w:eastAsiaTheme="minorEastAsia" w:cstheme="minorBidi"/>
          <w:smallCaps w:val="0"/>
          <w:sz w:val="21"/>
          <w:szCs w:val="22"/>
        </w:rPr>
        <w:tab/>
      </w:r>
      <w:r>
        <w:rPr>
          <w:rFonts w:ascii="黑体" w:hAnsi="黑体" w:eastAsia="黑体"/>
          <w:color w:val="000000"/>
        </w:rPr>
        <w:t>支</w:t>
      </w:r>
      <w:r>
        <w:rPr>
          <w:rFonts w:ascii="黑体" w:hAnsi="黑体" w:eastAsia="黑体"/>
          <w:bCs/>
        </w:rPr>
        <w:t>出决算情况说明</w:t>
      </w:r>
      <w:r>
        <w:tab/>
      </w:r>
      <w:r>
        <w:rPr>
          <w:rFonts w:hint="eastAsia"/>
          <w:lang w:val="en-US" w:eastAsia="zh-CN"/>
        </w:rPr>
        <w:t>11</w:t>
      </w:r>
    </w:p>
    <w:p>
      <w:pPr>
        <w:pStyle w:val="18"/>
        <w:tabs>
          <w:tab w:val="right" w:leader="dot" w:pos="8296"/>
        </w:tabs>
        <w:rPr>
          <w:rFonts w:hint="default" w:hAnsiTheme="minorHAnsi" w:eastAsiaTheme="minorHAnsi" w:cstheme="minorBidi"/>
          <w:smallCaps w:val="0"/>
          <w:sz w:val="21"/>
          <w:szCs w:val="22"/>
          <w:lang w:val="en-US" w:eastAsia="zh-CN"/>
        </w:rPr>
      </w:pPr>
      <w:r>
        <w:rPr>
          <w:rFonts w:ascii="黑体" w:hAnsi="黑体" w:eastAsia="黑体"/>
          <w:color w:val="000000"/>
        </w:rPr>
        <w:t>四、财</w:t>
      </w:r>
      <w:r>
        <w:rPr>
          <w:rFonts w:ascii="黑体" w:hAnsi="黑体" w:eastAsia="黑体"/>
          <w:bCs/>
        </w:rPr>
        <w:t>政拨款收入支出决算总体情况说明</w:t>
      </w:r>
      <w:r>
        <w:tab/>
      </w:r>
      <w:r>
        <w:rPr>
          <w:rFonts w:hint="eastAsia"/>
          <w:lang w:val="en-US" w:eastAsia="zh-CN"/>
        </w:rPr>
        <w:t>11</w:t>
      </w:r>
    </w:p>
    <w:p>
      <w:pPr>
        <w:pStyle w:val="18"/>
        <w:tabs>
          <w:tab w:val="right" w:leader="dot" w:pos="8296"/>
        </w:tabs>
        <w:rPr>
          <w:rFonts w:hint="default" w:hAnsiTheme="minorHAnsi" w:eastAsiaTheme="minorHAnsi" w:cstheme="minorBidi"/>
          <w:smallCaps w:val="0"/>
          <w:sz w:val="21"/>
          <w:szCs w:val="22"/>
          <w:lang w:val="en-US" w:eastAsia="zh-CN"/>
        </w:rPr>
      </w:pPr>
      <w:r>
        <w:rPr>
          <w:rFonts w:ascii="黑体" w:hAnsi="黑体" w:eastAsia="黑体"/>
          <w:color w:val="000000"/>
        </w:rPr>
        <w:t>五、</w:t>
      </w:r>
      <w:r>
        <w:rPr>
          <w:rFonts w:ascii="黑体" w:hAnsi="黑体" w:eastAsia="黑体"/>
          <w:b/>
          <w:color w:val="000000"/>
        </w:rPr>
        <w:t>一</w:t>
      </w:r>
      <w:r>
        <w:rPr>
          <w:rFonts w:ascii="黑体" w:hAnsi="黑体" w:eastAsia="黑体"/>
          <w:bCs/>
        </w:rPr>
        <w:t>般公共预算财政拨款支出决算情况说明</w:t>
      </w:r>
      <w:r>
        <w:tab/>
      </w:r>
      <w:r>
        <w:rPr>
          <w:rFonts w:hint="eastAsia"/>
          <w:lang w:val="en-US" w:eastAsia="zh-CN"/>
        </w:rPr>
        <w:t>12</w:t>
      </w:r>
    </w:p>
    <w:p>
      <w:pPr>
        <w:pStyle w:val="10"/>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cs="Times New Roman"/>
          <w:i w:val="0"/>
          <w:iCs w:val="0"/>
          <w:smallCaps/>
          <w:kern w:val="2"/>
          <w:sz w:val="20"/>
          <w:szCs w:val="20"/>
          <w:lang w:val="en-US" w:eastAsia="zh-CN" w:bidi="ar-SA"/>
        </w:rPr>
        <w:t>（一）一般公共预算财政拨款支出决算总体情况</w:t>
      </w:r>
      <w:r>
        <w:tab/>
      </w:r>
      <w:r>
        <w:rPr>
          <w:rFonts w:hint="eastAsia"/>
          <w:lang w:val="en-US" w:eastAsia="zh-CN"/>
        </w:rPr>
        <w:t>12</w:t>
      </w:r>
    </w:p>
    <w:p>
      <w:pPr>
        <w:pStyle w:val="10"/>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cs="Times New Roman"/>
          <w:i w:val="0"/>
          <w:iCs w:val="0"/>
          <w:smallCaps/>
          <w:kern w:val="2"/>
          <w:sz w:val="20"/>
          <w:szCs w:val="20"/>
          <w:lang w:val="en-US" w:eastAsia="zh-CN" w:bidi="ar-SA"/>
        </w:rPr>
        <w:t>（二）一般公共预算财政拨款支出决算结构情况</w:t>
      </w:r>
      <w:r>
        <w:tab/>
      </w:r>
      <w:r>
        <w:rPr>
          <w:rFonts w:hint="eastAsia"/>
          <w:lang w:val="en-US" w:eastAsia="zh-CN"/>
        </w:rPr>
        <w:t>13</w:t>
      </w:r>
    </w:p>
    <w:p>
      <w:pPr>
        <w:pStyle w:val="10"/>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cs="Times New Roman"/>
          <w:i w:val="0"/>
          <w:iCs w:val="0"/>
          <w:smallCaps/>
          <w:kern w:val="2"/>
          <w:sz w:val="20"/>
          <w:szCs w:val="20"/>
          <w:lang w:val="en-US" w:eastAsia="zh-CN" w:bidi="ar-SA"/>
        </w:rPr>
        <w:t>（三）一般公共预算财政拨款支出决算具体情况</w:t>
      </w:r>
      <w:r>
        <w:tab/>
      </w:r>
      <w:r>
        <w:rPr>
          <w:rFonts w:hint="eastAsia"/>
          <w:lang w:val="en-US" w:eastAsia="zh-CN"/>
        </w:rPr>
        <w:t>13</w:t>
      </w:r>
    </w:p>
    <w:p>
      <w:pPr>
        <w:pStyle w:val="18"/>
        <w:tabs>
          <w:tab w:val="right" w:leader="dot" w:pos="8296"/>
        </w:tabs>
        <w:rPr>
          <w:rFonts w:hint="default" w:hAnsiTheme="minorHAnsi" w:eastAsiaTheme="minorHAnsi" w:cstheme="minorBidi"/>
          <w:smallCaps w:val="0"/>
          <w:sz w:val="21"/>
          <w:szCs w:val="22"/>
          <w:lang w:val="en-US" w:eastAsia="zh-CN"/>
        </w:rPr>
      </w:pPr>
      <w:r>
        <w:rPr>
          <w:rFonts w:ascii="黑体" w:eastAsia="黑体"/>
          <w:color w:val="000000"/>
        </w:rPr>
        <w:t>六</w:t>
      </w:r>
      <w:r>
        <w:rPr>
          <w:rFonts w:ascii="黑体" w:eastAsia="黑体"/>
          <w:b/>
          <w:color w:val="000000"/>
        </w:rPr>
        <w:t>、</w:t>
      </w:r>
      <w:r>
        <w:rPr>
          <w:rFonts w:ascii="黑体" w:hAnsi="黑体" w:eastAsia="黑体"/>
          <w:b/>
          <w:color w:val="000000"/>
        </w:rPr>
        <w:t>一</w:t>
      </w:r>
      <w:r>
        <w:rPr>
          <w:rFonts w:ascii="黑体" w:hAnsi="黑体" w:eastAsia="黑体"/>
          <w:bCs/>
        </w:rPr>
        <w:t>般公共预算财政拨款基本支出决算情况说明</w:t>
      </w:r>
      <w:r>
        <w:tab/>
      </w:r>
      <w:r>
        <w:rPr>
          <w:rFonts w:hint="eastAsia"/>
          <w:lang w:val="en-US" w:eastAsia="zh-CN"/>
        </w:rPr>
        <w:t>15</w:t>
      </w:r>
    </w:p>
    <w:p>
      <w:pPr>
        <w:pStyle w:val="18"/>
        <w:tabs>
          <w:tab w:val="right" w:leader="dot" w:pos="8296"/>
        </w:tabs>
        <w:rPr>
          <w:rFonts w:hint="default" w:hAnsiTheme="minorHAnsi" w:eastAsiaTheme="minorHAnsi" w:cstheme="minorBidi"/>
          <w:smallCaps w:val="0"/>
          <w:sz w:val="21"/>
          <w:szCs w:val="22"/>
          <w:lang w:val="en-US" w:eastAsia="zh-CN"/>
        </w:rPr>
      </w:pPr>
      <w:r>
        <w:rPr>
          <w:rFonts w:ascii="黑体" w:eastAsia="黑体"/>
          <w:color w:val="000000"/>
        </w:rPr>
        <w:t>七、</w:t>
      </w:r>
      <w:r>
        <w:rPr>
          <w:rFonts w:ascii="黑体" w:hAnsi="黑体" w:eastAsia="黑体"/>
          <w:b/>
          <w:bCs/>
        </w:rPr>
        <w:t>“</w:t>
      </w:r>
      <w:r>
        <w:rPr>
          <w:rFonts w:ascii="黑体" w:hAnsi="黑体" w:eastAsia="黑体"/>
          <w:bCs/>
        </w:rPr>
        <w:t>三公”经费财政拨款支出决算情况说明</w:t>
      </w:r>
      <w:r>
        <w:tab/>
      </w:r>
      <w:r>
        <w:rPr>
          <w:rFonts w:hint="eastAsia"/>
          <w:lang w:val="en-US" w:eastAsia="zh-CN"/>
        </w:rPr>
        <w:t>15</w:t>
      </w:r>
    </w:p>
    <w:p>
      <w:pPr>
        <w:pStyle w:val="10"/>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cs="Times New Roman"/>
          <w:i w:val="0"/>
          <w:iCs w:val="0"/>
          <w:smallCaps/>
          <w:kern w:val="2"/>
          <w:sz w:val="20"/>
          <w:szCs w:val="20"/>
          <w:lang w:val="en-US" w:eastAsia="zh-CN" w:bidi="ar-SA"/>
        </w:rPr>
        <w:t>（一）“三公”经费财政拨款支出决算总体情况说明</w:t>
      </w:r>
      <w:r>
        <w:tab/>
      </w:r>
      <w:r>
        <w:rPr>
          <w:rFonts w:hint="eastAsia"/>
          <w:lang w:val="en-US" w:eastAsia="zh-CN"/>
        </w:rPr>
        <w:t>15</w:t>
      </w:r>
    </w:p>
    <w:p>
      <w:pPr>
        <w:pStyle w:val="10"/>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cs="Times New Roman"/>
          <w:i w:val="0"/>
          <w:iCs w:val="0"/>
          <w:smallCaps/>
          <w:kern w:val="2"/>
          <w:sz w:val="20"/>
          <w:szCs w:val="20"/>
          <w:lang w:val="en-US" w:eastAsia="zh-CN" w:bidi="ar-SA"/>
        </w:rPr>
        <w:t>（二）“三公”经费财政拨款支出决算具体情况说明</w:t>
      </w:r>
      <w:r>
        <w:tab/>
      </w:r>
      <w:r>
        <w:rPr>
          <w:rFonts w:hint="eastAsia"/>
          <w:lang w:val="en-US" w:eastAsia="zh-CN"/>
        </w:rPr>
        <w:t>15</w:t>
      </w:r>
    </w:p>
    <w:p>
      <w:pPr>
        <w:pStyle w:val="18"/>
        <w:tabs>
          <w:tab w:val="right" w:leader="dot" w:pos="8296"/>
        </w:tabs>
        <w:rPr>
          <w:rFonts w:hAnsiTheme="minorHAnsi" w:eastAsiaTheme="minorEastAsia" w:cstheme="minorBidi"/>
          <w:smallCaps w:val="0"/>
          <w:sz w:val="21"/>
          <w:szCs w:val="22"/>
        </w:rPr>
      </w:pPr>
      <w:r>
        <w:rPr>
          <w:rFonts w:ascii="黑体" w:eastAsia="黑体"/>
          <w:color w:val="000000"/>
        </w:rPr>
        <w:t>八、</w:t>
      </w:r>
      <w:r>
        <w:rPr>
          <w:rFonts w:ascii="黑体" w:hAnsi="黑体" w:eastAsia="黑体"/>
          <w:bCs/>
        </w:rPr>
        <w:t>政府性基金预算支出决算情况说明</w:t>
      </w:r>
      <w:r>
        <w:tab/>
      </w:r>
      <w:r>
        <w:fldChar w:fldCharType="begin"/>
      </w:r>
      <w:r>
        <w:instrText xml:space="preserve"> PAGEREF _Toc79163872 \h </w:instrText>
      </w:r>
      <w:r>
        <w:fldChar w:fldCharType="separate"/>
      </w:r>
      <w:r>
        <w:t>16</w:t>
      </w:r>
      <w:r>
        <w:fldChar w:fldCharType="end"/>
      </w:r>
    </w:p>
    <w:p>
      <w:pPr>
        <w:pStyle w:val="18"/>
        <w:tabs>
          <w:tab w:val="right" w:leader="dot" w:pos="8296"/>
        </w:tabs>
        <w:rPr>
          <w:rFonts w:hAnsiTheme="minorHAnsi" w:eastAsiaTheme="minorEastAsia" w:cstheme="minorBidi"/>
          <w:smallCaps w:val="0"/>
          <w:sz w:val="21"/>
          <w:szCs w:val="22"/>
        </w:rPr>
      </w:pPr>
      <w:r>
        <w:rPr>
          <w:rFonts w:ascii="黑体" w:hAnsi="黑体" w:eastAsia="黑体"/>
          <w:bCs/>
        </w:rPr>
        <w:t>九、 国有资本经营预算支出决算情况说明</w:t>
      </w:r>
      <w:r>
        <w:tab/>
      </w:r>
      <w:r>
        <w:fldChar w:fldCharType="begin"/>
      </w:r>
      <w:r>
        <w:instrText xml:space="preserve"> PAGEREF _Toc79163873 \h </w:instrText>
      </w:r>
      <w:r>
        <w:fldChar w:fldCharType="separate"/>
      </w:r>
      <w:r>
        <w:t>17</w:t>
      </w:r>
      <w:r>
        <w:fldChar w:fldCharType="end"/>
      </w:r>
    </w:p>
    <w:p>
      <w:pPr>
        <w:pStyle w:val="18"/>
        <w:tabs>
          <w:tab w:val="right" w:leader="dot" w:pos="8296"/>
        </w:tabs>
        <w:rPr>
          <w:rFonts w:hAnsiTheme="minorHAnsi" w:eastAsiaTheme="minorEastAsia" w:cstheme="minorBidi"/>
          <w:smallCaps w:val="0"/>
          <w:sz w:val="21"/>
          <w:szCs w:val="22"/>
        </w:rPr>
      </w:pPr>
      <w:r>
        <w:rPr>
          <w:rFonts w:ascii="黑体" w:hAnsi="黑体" w:eastAsia="黑体"/>
          <w:color w:val="000000"/>
        </w:rPr>
        <w:t>十</w:t>
      </w:r>
      <w:r>
        <w:rPr>
          <w:rFonts w:ascii="黑体" w:hAnsi="黑体" w:eastAsia="黑体"/>
          <w:b/>
          <w:bCs/>
        </w:rPr>
        <w:t>、</w:t>
      </w:r>
      <w:r>
        <w:rPr>
          <w:rFonts w:ascii="黑体" w:hAnsi="黑体" w:eastAsia="黑体"/>
          <w:bCs/>
        </w:rPr>
        <w:t>其他重要事项的情况说明</w:t>
      </w:r>
      <w:r>
        <w:tab/>
      </w:r>
      <w:r>
        <w:fldChar w:fldCharType="begin"/>
      </w:r>
      <w:r>
        <w:instrText xml:space="preserve"> PAGEREF _Toc79163874 \h </w:instrText>
      </w:r>
      <w:r>
        <w:fldChar w:fldCharType="separate"/>
      </w:r>
      <w:r>
        <w:t>17</w:t>
      </w:r>
      <w:r>
        <w:fldChar w:fldCharType="end"/>
      </w:r>
    </w:p>
    <w:p>
      <w:pPr>
        <w:pStyle w:val="10"/>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cs="Times New Roman"/>
          <w:i w:val="0"/>
          <w:iCs w:val="0"/>
          <w:smallCaps/>
          <w:kern w:val="2"/>
          <w:sz w:val="20"/>
          <w:szCs w:val="20"/>
          <w:lang w:val="en-US" w:eastAsia="zh-CN" w:bidi="ar-SA"/>
        </w:rPr>
        <w:t>（一）机关运行经费支出情况</w:t>
      </w:r>
      <w:r>
        <w:tab/>
      </w:r>
      <w:r>
        <w:rPr>
          <w:rFonts w:hint="eastAsia"/>
          <w:lang w:val="en-US" w:eastAsia="zh-CN"/>
        </w:rPr>
        <w:t>17</w:t>
      </w:r>
    </w:p>
    <w:p>
      <w:pPr>
        <w:pStyle w:val="10"/>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cs="Times New Roman"/>
          <w:i w:val="0"/>
          <w:iCs w:val="0"/>
          <w:smallCaps/>
          <w:kern w:val="2"/>
          <w:sz w:val="20"/>
          <w:szCs w:val="20"/>
          <w:lang w:val="en-US" w:eastAsia="zh-CN" w:bidi="ar-SA"/>
        </w:rPr>
        <w:t>（二）政府采购支出情况</w:t>
      </w:r>
      <w:r>
        <w:tab/>
      </w:r>
      <w:r>
        <w:rPr>
          <w:rFonts w:hint="eastAsia"/>
          <w:lang w:val="en-US" w:eastAsia="zh-CN"/>
        </w:rPr>
        <w:t>17</w:t>
      </w:r>
    </w:p>
    <w:p>
      <w:pPr>
        <w:pStyle w:val="10"/>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cs="Times New Roman"/>
          <w:i w:val="0"/>
          <w:iCs w:val="0"/>
          <w:smallCaps/>
          <w:kern w:val="2"/>
          <w:sz w:val="20"/>
          <w:szCs w:val="20"/>
          <w:lang w:val="en-US" w:eastAsia="zh-CN" w:bidi="ar-SA"/>
        </w:rPr>
        <w:t>（三）国有资产占有使用情况</w:t>
      </w:r>
      <w:r>
        <w:tab/>
      </w:r>
      <w:r>
        <w:rPr>
          <w:rFonts w:hint="eastAsia"/>
          <w:lang w:val="en-US" w:eastAsia="zh-CN"/>
        </w:rPr>
        <w:t>17</w:t>
      </w:r>
    </w:p>
    <w:p>
      <w:pPr>
        <w:pStyle w:val="10"/>
        <w:tabs>
          <w:tab w:val="right" w:leader="dot" w:pos="8296"/>
        </w:tabs>
        <w:rPr>
          <w:rFonts w:hint="default" w:hAnsiTheme="minorHAnsi" w:eastAsiaTheme="minorHAnsi" w:cstheme="minorBidi"/>
          <w:i w:val="0"/>
          <w:iCs w:val="0"/>
          <w:sz w:val="21"/>
          <w:szCs w:val="22"/>
          <w:lang w:val="en-US" w:eastAsia="zh-CN"/>
        </w:rPr>
      </w:pPr>
      <w:r>
        <w:rPr>
          <w:rFonts w:ascii="仿宋" w:hAnsi="仿宋" w:eastAsia="仿宋" w:cs="Times New Roman"/>
          <w:i w:val="0"/>
          <w:iCs w:val="0"/>
          <w:smallCaps/>
          <w:kern w:val="2"/>
          <w:sz w:val="20"/>
          <w:szCs w:val="20"/>
          <w:lang w:val="en-US" w:eastAsia="zh-CN" w:bidi="ar-SA"/>
        </w:rPr>
        <w:t>（四）预算绩效管理情况。</w:t>
      </w:r>
      <w:r>
        <w:tab/>
      </w:r>
      <w:r>
        <w:rPr>
          <w:rFonts w:hint="eastAsia"/>
          <w:lang w:val="en-US" w:eastAsia="zh-CN"/>
        </w:rPr>
        <w:t>17</w:t>
      </w:r>
    </w:p>
    <w:p>
      <w:pPr>
        <w:pStyle w:val="15"/>
        <w:tabs>
          <w:tab w:val="right" w:leader="dot" w:pos="8296"/>
        </w:tabs>
        <w:rPr>
          <w:rFonts w:hAnsiTheme="minorHAnsi" w:eastAsiaTheme="minorEastAsia" w:cstheme="minorBidi"/>
          <w:b w:val="0"/>
          <w:bCs w:val="0"/>
          <w:caps w:val="0"/>
          <w:sz w:val="21"/>
          <w:szCs w:val="22"/>
        </w:rPr>
      </w:pPr>
      <w:r>
        <w:rPr>
          <w:rFonts w:ascii="黑体" w:hAnsi="黑体" w:eastAsia="黑体"/>
          <w:kern w:val="44"/>
        </w:rPr>
        <w:t>第三部分</w:t>
      </w:r>
      <w:r>
        <w:rPr>
          <w:rFonts w:ascii="黑体" w:hAnsi="黑体" w:eastAsia="黑体"/>
          <w:color w:val="000000"/>
        </w:rPr>
        <w:t xml:space="preserve"> 名</w:t>
      </w:r>
      <w:r>
        <w:rPr>
          <w:rFonts w:ascii="黑体" w:hAnsi="黑体" w:eastAsia="黑体"/>
          <w:kern w:val="44"/>
        </w:rPr>
        <w:t>词解释</w:t>
      </w:r>
      <w:r>
        <w:tab/>
      </w:r>
      <w:r>
        <w:fldChar w:fldCharType="begin"/>
      </w:r>
      <w:r>
        <w:instrText xml:space="preserve"> PAGEREF _Toc79163879 \h </w:instrText>
      </w:r>
      <w:r>
        <w:fldChar w:fldCharType="separate"/>
      </w:r>
      <w:r>
        <w:t>18</w:t>
      </w:r>
      <w:r>
        <w:fldChar w:fldCharType="end"/>
      </w:r>
    </w:p>
    <w:p>
      <w:pPr>
        <w:pStyle w:val="15"/>
        <w:tabs>
          <w:tab w:val="right" w:leader="dot" w:pos="8296"/>
        </w:tabs>
        <w:rPr>
          <w:rFonts w:hint="default" w:hAnsiTheme="minorHAnsi" w:eastAsiaTheme="minorHAnsi" w:cstheme="minorBidi"/>
          <w:b w:val="0"/>
          <w:bCs w:val="0"/>
          <w:caps w:val="0"/>
          <w:sz w:val="21"/>
          <w:szCs w:val="22"/>
          <w:lang w:val="en-US" w:eastAsia="zh-CN"/>
        </w:rPr>
      </w:pPr>
      <w:r>
        <w:rPr>
          <w:rFonts w:ascii="黑体" w:hAnsi="黑体" w:eastAsia="黑体"/>
          <w:color w:val="000000"/>
        </w:rPr>
        <w:t>第</w:t>
      </w:r>
      <w:r>
        <w:rPr>
          <w:rFonts w:ascii="黑体" w:hAnsi="黑体" w:eastAsia="黑体"/>
          <w:kern w:val="44"/>
        </w:rPr>
        <w:t>四部分 附件</w:t>
      </w:r>
      <w:r>
        <w:tab/>
      </w:r>
      <w:r>
        <w:rPr>
          <w:rFonts w:hint="eastAsia"/>
          <w:lang w:val="en-US" w:eastAsia="zh-CN"/>
        </w:rPr>
        <w:t>20</w:t>
      </w:r>
    </w:p>
    <w:p>
      <w:pPr>
        <w:pStyle w:val="15"/>
        <w:tabs>
          <w:tab w:val="right" w:leader="dot" w:pos="8296"/>
        </w:tabs>
        <w:rPr>
          <w:rFonts w:hAnsiTheme="minorHAnsi" w:eastAsiaTheme="minorEastAsia" w:cstheme="minorBidi"/>
          <w:b w:val="0"/>
          <w:bCs w:val="0"/>
          <w:caps w:val="0"/>
          <w:sz w:val="21"/>
          <w:szCs w:val="22"/>
        </w:rPr>
      </w:pPr>
      <w:r>
        <w:rPr>
          <w:rFonts w:hint="eastAsia" w:ascii="方正小标宋简体" w:hAnsi="黑体" w:eastAsia="方正小标宋简体" w:cs="黑体"/>
          <w:lang w:eastAsia="zh-CN"/>
        </w:rPr>
        <w:t>壤塘县供销合作社联合社</w:t>
      </w:r>
      <w:r>
        <w:rPr>
          <w:rFonts w:ascii="方正小标宋简体" w:hAnsi="黑体" w:eastAsia="方正小标宋简体" w:cs="黑体"/>
        </w:rPr>
        <w:t>202</w:t>
      </w:r>
      <w:r>
        <w:rPr>
          <w:rFonts w:hint="eastAsia" w:ascii="方正小标宋简体" w:hAnsi="黑体" w:eastAsia="方正小标宋简体" w:cs="黑体"/>
          <w:lang w:val="en-US" w:eastAsia="zh-CN"/>
        </w:rPr>
        <w:t>5</w:t>
      </w:r>
      <w:r>
        <w:rPr>
          <w:rFonts w:ascii="方正小标宋简体" w:hAnsi="黑体" w:eastAsia="方正小标宋简体" w:cs="黑体"/>
        </w:rPr>
        <w:t>年部门整体支出绩效评价报告</w:t>
      </w:r>
      <w:r>
        <w:tab/>
      </w:r>
      <w:r>
        <w:fldChar w:fldCharType="begin"/>
      </w:r>
      <w:r>
        <w:instrText xml:space="preserve"> PAGEREF _Toc79163881 \h </w:instrText>
      </w:r>
      <w:r>
        <w:fldChar w:fldCharType="separate"/>
      </w:r>
      <w:r>
        <w:t>21</w:t>
      </w:r>
      <w:r>
        <w:fldChar w:fldCharType="end"/>
      </w:r>
    </w:p>
    <w:p>
      <w:pPr>
        <w:pStyle w:val="15"/>
        <w:tabs>
          <w:tab w:val="right" w:leader="dot" w:pos="8296"/>
        </w:tabs>
        <w:rPr>
          <w:rFonts w:hAnsiTheme="minorHAnsi" w:eastAsiaTheme="minorEastAsia" w:cstheme="minorBidi"/>
          <w:b w:val="0"/>
          <w:bCs w:val="0"/>
          <w:caps w:val="0"/>
          <w:sz w:val="21"/>
          <w:szCs w:val="22"/>
        </w:rPr>
      </w:pPr>
      <w:r>
        <w:rPr>
          <w:rFonts w:ascii="黑体" w:hAnsi="黑体" w:eastAsia="黑体"/>
          <w:color w:val="000000"/>
        </w:rPr>
        <w:t>第</w:t>
      </w:r>
      <w:r>
        <w:rPr>
          <w:rFonts w:ascii="黑体" w:hAnsi="黑体" w:eastAsia="黑体"/>
          <w:kern w:val="44"/>
        </w:rPr>
        <w:t>五部分 附表</w:t>
      </w:r>
      <w:r>
        <w:tab/>
      </w:r>
      <w:r>
        <w:fldChar w:fldCharType="begin"/>
      </w:r>
      <w:r>
        <w:instrText xml:space="preserve"> PAGEREF _Toc79163885 \h </w:instrText>
      </w:r>
      <w:r>
        <w:fldChar w:fldCharType="separate"/>
      </w:r>
      <w:r>
        <w:t>25</w:t>
      </w:r>
      <w:r>
        <w:fldChar w:fldCharType="end"/>
      </w:r>
    </w:p>
    <w:p>
      <w:pPr>
        <w:pStyle w:val="18"/>
        <w:tabs>
          <w:tab w:val="right" w:leader="dot" w:pos="8296"/>
        </w:tabs>
        <w:rPr>
          <w:rFonts w:hAnsiTheme="minorHAnsi" w:eastAsiaTheme="minorEastAsia" w:cstheme="minorBidi"/>
          <w:smallCaps w:val="0"/>
          <w:sz w:val="21"/>
          <w:szCs w:val="22"/>
        </w:rPr>
      </w:pPr>
      <w:r>
        <w:rPr>
          <w:rFonts w:ascii="仿宋" w:hAnsi="仿宋" w:eastAsia="仿宋"/>
          <w:color w:val="000000"/>
        </w:rPr>
        <w:t>一、收</w:t>
      </w:r>
      <w:r>
        <w:rPr>
          <w:rFonts w:ascii="仿宋" w:hAnsi="仿宋" w:eastAsia="仿宋"/>
        </w:rPr>
        <w:t>入支出决算总表</w:t>
      </w:r>
      <w:r>
        <w:tab/>
      </w:r>
      <w:r>
        <w:fldChar w:fldCharType="begin"/>
      </w:r>
      <w:r>
        <w:instrText xml:space="preserve"> PAGEREF _Toc79163886 \h </w:instrText>
      </w:r>
      <w:r>
        <w:fldChar w:fldCharType="separate"/>
      </w:r>
      <w:r>
        <w:t>25</w:t>
      </w:r>
      <w:r>
        <w:fldChar w:fldCharType="end"/>
      </w:r>
    </w:p>
    <w:p>
      <w:pPr>
        <w:pStyle w:val="18"/>
        <w:tabs>
          <w:tab w:val="right" w:leader="dot" w:pos="8296"/>
        </w:tabs>
        <w:rPr>
          <w:rFonts w:hAnsiTheme="minorHAnsi" w:eastAsiaTheme="minorEastAsia" w:cstheme="minorBidi"/>
          <w:smallCaps w:val="0"/>
          <w:sz w:val="21"/>
          <w:szCs w:val="22"/>
        </w:rPr>
      </w:pPr>
      <w:r>
        <w:rPr>
          <w:rFonts w:ascii="仿宋" w:hAnsi="仿宋" w:eastAsia="仿宋"/>
          <w:color w:val="000000"/>
        </w:rPr>
        <w:t>二、收</w:t>
      </w:r>
      <w:r>
        <w:rPr>
          <w:rFonts w:ascii="仿宋" w:hAnsi="仿宋" w:eastAsia="仿宋"/>
        </w:rPr>
        <w:t>入决算表</w:t>
      </w:r>
      <w:r>
        <w:tab/>
      </w:r>
      <w:r>
        <w:fldChar w:fldCharType="begin"/>
      </w:r>
      <w:r>
        <w:instrText xml:space="preserve"> PAGEREF _Toc79163887 \h </w:instrText>
      </w:r>
      <w:r>
        <w:fldChar w:fldCharType="separate"/>
      </w:r>
      <w:r>
        <w:t>25</w:t>
      </w:r>
      <w:r>
        <w:fldChar w:fldCharType="end"/>
      </w:r>
    </w:p>
    <w:p>
      <w:pPr>
        <w:pStyle w:val="18"/>
        <w:tabs>
          <w:tab w:val="right" w:leader="dot" w:pos="8296"/>
        </w:tabs>
        <w:rPr>
          <w:rFonts w:hAnsiTheme="minorHAnsi" w:eastAsiaTheme="minorEastAsia" w:cstheme="minorBidi"/>
          <w:smallCaps w:val="0"/>
          <w:sz w:val="21"/>
          <w:szCs w:val="22"/>
        </w:rPr>
      </w:pPr>
      <w:r>
        <w:rPr>
          <w:rFonts w:ascii="仿宋" w:hAnsi="仿宋" w:eastAsia="仿宋"/>
        </w:rPr>
        <w:t>三、</w:t>
      </w:r>
      <w:r>
        <w:rPr>
          <w:rFonts w:ascii="仿宋" w:hAnsi="仿宋" w:eastAsia="仿宋"/>
          <w:color w:val="000000"/>
        </w:rPr>
        <w:t>支</w:t>
      </w:r>
      <w:r>
        <w:rPr>
          <w:rFonts w:ascii="仿宋" w:hAnsi="仿宋" w:eastAsia="仿宋"/>
        </w:rPr>
        <w:t>出决算表</w:t>
      </w:r>
      <w:r>
        <w:tab/>
      </w:r>
      <w:r>
        <w:fldChar w:fldCharType="begin"/>
      </w:r>
      <w:r>
        <w:instrText xml:space="preserve"> PAGEREF _Toc79163888 \h </w:instrText>
      </w:r>
      <w:r>
        <w:fldChar w:fldCharType="separate"/>
      </w:r>
      <w:r>
        <w:t>25</w:t>
      </w:r>
      <w:r>
        <w:fldChar w:fldCharType="end"/>
      </w:r>
    </w:p>
    <w:p>
      <w:pPr>
        <w:pStyle w:val="18"/>
        <w:tabs>
          <w:tab w:val="right" w:leader="dot" w:pos="8296"/>
        </w:tabs>
        <w:rPr>
          <w:rFonts w:hAnsiTheme="minorHAnsi" w:eastAsiaTheme="minorEastAsia" w:cstheme="minorBidi"/>
          <w:smallCaps w:val="0"/>
          <w:sz w:val="21"/>
          <w:szCs w:val="22"/>
        </w:rPr>
      </w:pPr>
      <w:r>
        <w:rPr>
          <w:rFonts w:ascii="仿宋" w:hAnsi="仿宋" w:eastAsia="仿宋"/>
        </w:rPr>
        <w:t>四、</w:t>
      </w:r>
      <w:r>
        <w:rPr>
          <w:rFonts w:ascii="仿宋" w:hAnsi="仿宋" w:eastAsia="仿宋"/>
          <w:color w:val="000000"/>
        </w:rPr>
        <w:t>财</w:t>
      </w:r>
      <w:r>
        <w:rPr>
          <w:rFonts w:ascii="仿宋" w:hAnsi="仿宋" w:eastAsia="仿宋"/>
        </w:rPr>
        <w:t>政拨款收入支出决算总表</w:t>
      </w:r>
      <w:r>
        <w:tab/>
      </w:r>
      <w:r>
        <w:fldChar w:fldCharType="begin"/>
      </w:r>
      <w:r>
        <w:instrText xml:space="preserve"> PAGEREF _Toc79163889 \h </w:instrText>
      </w:r>
      <w:r>
        <w:fldChar w:fldCharType="separate"/>
      </w:r>
      <w:r>
        <w:t>25</w:t>
      </w:r>
      <w:r>
        <w:fldChar w:fldCharType="end"/>
      </w:r>
    </w:p>
    <w:p>
      <w:pPr>
        <w:pStyle w:val="18"/>
        <w:tabs>
          <w:tab w:val="right" w:leader="dot" w:pos="8296"/>
        </w:tabs>
        <w:rPr>
          <w:rFonts w:hint="default" w:hAnsiTheme="minorHAnsi" w:eastAsiaTheme="minorHAnsi" w:cstheme="minorBidi"/>
          <w:smallCaps w:val="0"/>
          <w:sz w:val="21"/>
          <w:szCs w:val="22"/>
          <w:lang w:val="en-US" w:eastAsia="zh-CN"/>
        </w:rPr>
      </w:pPr>
      <w:r>
        <w:rPr>
          <w:rFonts w:ascii="仿宋" w:hAnsi="仿宋" w:eastAsia="仿宋"/>
        </w:rPr>
        <w:t>五、</w:t>
      </w:r>
      <w:r>
        <w:rPr>
          <w:rFonts w:ascii="仿宋" w:hAnsi="仿宋" w:eastAsia="仿宋"/>
          <w:color w:val="000000"/>
        </w:rPr>
        <w:t>财</w:t>
      </w:r>
      <w:r>
        <w:rPr>
          <w:rFonts w:ascii="仿宋" w:hAnsi="仿宋" w:eastAsia="仿宋"/>
        </w:rPr>
        <w:t>政拨款支出决算明细表</w:t>
      </w:r>
      <w:r>
        <w:tab/>
      </w:r>
      <w:r>
        <w:rPr>
          <w:rFonts w:hint="eastAsia"/>
          <w:lang w:val="en-US" w:eastAsia="zh-CN"/>
        </w:rPr>
        <w:t>24</w:t>
      </w:r>
    </w:p>
    <w:p>
      <w:pPr>
        <w:pStyle w:val="18"/>
        <w:tabs>
          <w:tab w:val="right" w:leader="dot" w:pos="8296"/>
        </w:tabs>
        <w:rPr>
          <w:rFonts w:hAnsiTheme="minorHAnsi" w:eastAsiaTheme="minorEastAsia" w:cstheme="minorBidi"/>
          <w:smallCaps w:val="0"/>
          <w:sz w:val="21"/>
          <w:szCs w:val="22"/>
        </w:rPr>
      </w:pPr>
      <w:r>
        <w:rPr>
          <w:rFonts w:ascii="仿宋" w:hAnsi="仿宋" w:eastAsia="仿宋"/>
        </w:rPr>
        <w:t>六、</w:t>
      </w:r>
      <w:r>
        <w:rPr>
          <w:rFonts w:ascii="仿宋" w:hAnsi="仿宋" w:eastAsia="仿宋"/>
          <w:color w:val="000000"/>
        </w:rPr>
        <w:t>一</w:t>
      </w:r>
      <w:r>
        <w:rPr>
          <w:rFonts w:ascii="仿宋" w:hAnsi="仿宋" w:eastAsia="仿宋"/>
        </w:rPr>
        <w:t>般公共预算财政拨款支出决算表</w:t>
      </w:r>
      <w:r>
        <w:tab/>
      </w:r>
      <w:r>
        <w:fldChar w:fldCharType="begin"/>
      </w:r>
      <w:r>
        <w:instrText xml:space="preserve"> PAGEREF _Toc79163891 \h </w:instrText>
      </w:r>
      <w:r>
        <w:fldChar w:fldCharType="separate"/>
      </w:r>
      <w:r>
        <w:t>25</w:t>
      </w:r>
      <w:r>
        <w:fldChar w:fldCharType="end"/>
      </w:r>
    </w:p>
    <w:p>
      <w:pPr>
        <w:pStyle w:val="18"/>
        <w:tabs>
          <w:tab w:val="right" w:leader="dot" w:pos="8296"/>
        </w:tabs>
        <w:rPr>
          <w:rFonts w:hAnsiTheme="minorHAnsi" w:eastAsiaTheme="minorEastAsia" w:cstheme="minorBidi"/>
          <w:smallCaps w:val="0"/>
          <w:sz w:val="21"/>
          <w:szCs w:val="22"/>
        </w:rPr>
      </w:pPr>
      <w:r>
        <w:rPr>
          <w:rFonts w:ascii="仿宋" w:hAnsi="仿宋" w:eastAsia="仿宋"/>
        </w:rPr>
        <w:t>七、</w:t>
      </w:r>
      <w:r>
        <w:rPr>
          <w:rFonts w:ascii="仿宋" w:hAnsi="仿宋" w:eastAsia="仿宋"/>
          <w:color w:val="000000"/>
        </w:rPr>
        <w:t>一</w:t>
      </w:r>
      <w:r>
        <w:rPr>
          <w:rFonts w:ascii="仿宋" w:hAnsi="仿宋" w:eastAsia="仿宋"/>
        </w:rPr>
        <w:t>般公共预算财政拨款支出决算明细表</w:t>
      </w:r>
      <w:r>
        <w:tab/>
      </w:r>
      <w:r>
        <w:fldChar w:fldCharType="begin"/>
      </w:r>
      <w:r>
        <w:instrText xml:space="preserve"> PAGEREF _Toc79163892 \h </w:instrText>
      </w:r>
      <w:r>
        <w:fldChar w:fldCharType="separate"/>
      </w:r>
      <w:r>
        <w:t>25</w:t>
      </w:r>
      <w:r>
        <w:fldChar w:fldCharType="end"/>
      </w:r>
    </w:p>
    <w:p>
      <w:pPr>
        <w:pStyle w:val="18"/>
        <w:tabs>
          <w:tab w:val="right" w:leader="dot" w:pos="8296"/>
        </w:tabs>
        <w:rPr>
          <w:rFonts w:hAnsiTheme="minorHAnsi" w:eastAsiaTheme="minorEastAsia" w:cstheme="minorBidi"/>
          <w:smallCaps w:val="0"/>
          <w:sz w:val="21"/>
          <w:szCs w:val="22"/>
        </w:rPr>
      </w:pPr>
      <w:r>
        <w:rPr>
          <w:rFonts w:ascii="仿宋" w:hAnsi="仿宋" w:eastAsia="仿宋"/>
        </w:rPr>
        <w:t>八、</w:t>
      </w:r>
      <w:r>
        <w:rPr>
          <w:rFonts w:ascii="仿宋" w:hAnsi="仿宋" w:eastAsia="仿宋"/>
          <w:color w:val="000000"/>
        </w:rPr>
        <w:t>一</w:t>
      </w:r>
      <w:r>
        <w:rPr>
          <w:rFonts w:ascii="仿宋" w:hAnsi="仿宋" w:eastAsia="仿宋"/>
        </w:rPr>
        <w:t>般公共预算财政拨款基本支出决算表</w:t>
      </w:r>
      <w:r>
        <w:tab/>
      </w:r>
      <w:r>
        <w:fldChar w:fldCharType="begin"/>
      </w:r>
      <w:r>
        <w:instrText xml:space="preserve"> PAGEREF _Toc79163893 \h </w:instrText>
      </w:r>
      <w:r>
        <w:fldChar w:fldCharType="separate"/>
      </w:r>
      <w:r>
        <w:t>25</w:t>
      </w:r>
      <w:r>
        <w:fldChar w:fldCharType="end"/>
      </w:r>
    </w:p>
    <w:p>
      <w:pPr>
        <w:pStyle w:val="18"/>
        <w:tabs>
          <w:tab w:val="right" w:leader="dot" w:pos="8296"/>
        </w:tabs>
        <w:rPr>
          <w:rFonts w:hAnsiTheme="minorHAnsi" w:eastAsiaTheme="minorEastAsia" w:cstheme="minorBidi"/>
          <w:smallCaps w:val="0"/>
          <w:sz w:val="21"/>
          <w:szCs w:val="22"/>
        </w:rPr>
      </w:pPr>
      <w:r>
        <w:rPr>
          <w:rFonts w:ascii="仿宋" w:hAnsi="仿宋" w:eastAsia="仿宋"/>
        </w:rPr>
        <w:t>九、</w:t>
      </w:r>
      <w:r>
        <w:rPr>
          <w:rFonts w:ascii="仿宋" w:hAnsi="仿宋" w:eastAsia="仿宋"/>
          <w:color w:val="000000"/>
        </w:rPr>
        <w:t>一</w:t>
      </w:r>
      <w:r>
        <w:rPr>
          <w:rFonts w:ascii="仿宋" w:hAnsi="仿宋" w:eastAsia="仿宋"/>
        </w:rPr>
        <w:t>般公共预算财政拨款项目支出决算表</w:t>
      </w:r>
      <w:r>
        <w:tab/>
      </w:r>
      <w:r>
        <w:fldChar w:fldCharType="begin"/>
      </w:r>
      <w:r>
        <w:instrText xml:space="preserve"> PAGEREF _Toc79163894 \h </w:instrText>
      </w:r>
      <w:r>
        <w:fldChar w:fldCharType="separate"/>
      </w:r>
      <w:r>
        <w:t>25</w:t>
      </w:r>
      <w:r>
        <w:fldChar w:fldCharType="end"/>
      </w:r>
    </w:p>
    <w:p>
      <w:pPr>
        <w:pStyle w:val="18"/>
        <w:tabs>
          <w:tab w:val="right" w:leader="dot" w:pos="8296"/>
        </w:tabs>
        <w:rPr>
          <w:rFonts w:hAnsiTheme="minorHAnsi" w:eastAsiaTheme="minorEastAsia" w:cstheme="minorBidi"/>
          <w:smallCaps w:val="0"/>
          <w:sz w:val="21"/>
          <w:szCs w:val="22"/>
        </w:rPr>
      </w:pPr>
      <w:r>
        <w:rPr>
          <w:rFonts w:ascii="仿宋" w:hAnsi="仿宋" w:eastAsia="仿宋"/>
        </w:rPr>
        <w:t>十、</w:t>
      </w:r>
      <w:r>
        <w:rPr>
          <w:rFonts w:ascii="仿宋" w:hAnsi="仿宋" w:eastAsia="仿宋"/>
          <w:color w:val="000000"/>
        </w:rPr>
        <w:t>一</w:t>
      </w:r>
      <w:r>
        <w:rPr>
          <w:rFonts w:ascii="仿宋" w:hAnsi="仿宋" w:eastAsia="仿宋"/>
        </w:rPr>
        <w:t>般公共预算财政拨款“三公”经费支出决算表</w:t>
      </w:r>
      <w:r>
        <w:tab/>
      </w:r>
      <w:r>
        <w:fldChar w:fldCharType="begin"/>
      </w:r>
      <w:r>
        <w:instrText xml:space="preserve"> PAGEREF _Toc79163895 \h </w:instrText>
      </w:r>
      <w:r>
        <w:fldChar w:fldCharType="separate"/>
      </w:r>
      <w:r>
        <w:t>25</w:t>
      </w:r>
      <w:r>
        <w:fldChar w:fldCharType="end"/>
      </w:r>
    </w:p>
    <w:p>
      <w:pPr>
        <w:pStyle w:val="18"/>
        <w:tabs>
          <w:tab w:val="right" w:leader="dot" w:pos="8296"/>
        </w:tabs>
        <w:rPr>
          <w:rFonts w:hAnsiTheme="minorHAnsi" w:eastAsiaTheme="minorEastAsia" w:cstheme="minorBidi"/>
          <w:smallCaps w:val="0"/>
          <w:sz w:val="21"/>
          <w:szCs w:val="22"/>
        </w:rPr>
      </w:pPr>
      <w:r>
        <w:rPr>
          <w:rFonts w:ascii="仿宋" w:hAnsi="仿宋" w:eastAsia="仿宋"/>
        </w:rPr>
        <w:t>十一、</w:t>
      </w:r>
      <w:r>
        <w:rPr>
          <w:rFonts w:ascii="仿宋" w:hAnsi="仿宋" w:eastAsia="仿宋"/>
          <w:color w:val="000000"/>
        </w:rPr>
        <w:t>政</w:t>
      </w:r>
      <w:r>
        <w:rPr>
          <w:rFonts w:ascii="仿宋" w:hAnsi="仿宋" w:eastAsia="仿宋"/>
        </w:rPr>
        <w:t>府性基金预算财政拨款收入支出决算表</w:t>
      </w:r>
      <w:r>
        <w:tab/>
      </w:r>
      <w:r>
        <w:fldChar w:fldCharType="begin"/>
      </w:r>
      <w:r>
        <w:instrText xml:space="preserve"> PAGEREF _Toc79163896 \h </w:instrText>
      </w:r>
      <w:r>
        <w:fldChar w:fldCharType="separate"/>
      </w:r>
      <w:r>
        <w:t>25</w:t>
      </w:r>
      <w:r>
        <w:fldChar w:fldCharType="end"/>
      </w:r>
    </w:p>
    <w:p>
      <w:pPr>
        <w:pStyle w:val="18"/>
        <w:tabs>
          <w:tab w:val="right" w:leader="dot" w:pos="8296"/>
        </w:tabs>
        <w:rPr>
          <w:rFonts w:hAnsiTheme="minorHAnsi" w:eastAsiaTheme="minorEastAsia" w:cstheme="minorBidi"/>
          <w:smallCaps w:val="0"/>
          <w:sz w:val="21"/>
          <w:szCs w:val="22"/>
        </w:rPr>
      </w:pPr>
      <w:r>
        <w:rPr>
          <w:rFonts w:ascii="仿宋" w:hAnsi="仿宋" w:eastAsia="仿宋"/>
        </w:rPr>
        <w:t>十二、</w:t>
      </w:r>
      <w:r>
        <w:rPr>
          <w:rFonts w:ascii="仿宋" w:hAnsi="仿宋" w:eastAsia="仿宋"/>
          <w:color w:val="000000"/>
        </w:rPr>
        <w:t>政</w:t>
      </w:r>
      <w:r>
        <w:rPr>
          <w:rFonts w:ascii="仿宋" w:hAnsi="仿宋" w:eastAsia="仿宋"/>
        </w:rPr>
        <w:t>府性基金预算财政拨款“三公”经费支出决算表</w:t>
      </w:r>
      <w:r>
        <w:tab/>
      </w:r>
      <w:r>
        <w:fldChar w:fldCharType="begin"/>
      </w:r>
      <w:r>
        <w:instrText xml:space="preserve"> PAGEREF _Toc79163897 \h </w:instrText>
      </w:r>
      <w:r>
        <w:fldChar w:fldCharType="separate"/>
      </w:r>
      <w:r>
        <w:t>25</w:t>
      </w:r>
      <w:r>
        <w:fldChar w:fldCharType="end"/>
      </w:r>
    </w:p>
    <w:p>
      <w:pPr>
        <w:pStyle w:val="18"/>
        <w:tabs>
          <w:tab w:val="right" w:leader="dot" w:pos="8296"/>
        </w:tabs>
        <w:rPr>
          <w:rFonts w:hAnsiTheme="minorHAnsi" w:eastAsiaTheme="minorEastAsia" w:cstheme="minorBidi"/>
          <w:smallCaps w:val="0"/>
          <w:sz w:val="21"/>
          <w:szCs w:val="22"/>
        </w:rPr>
      </w:pPr>
      <w:r>
        <w:rPr>
          <w:rFonts w:ascii="仿宋" w:hAnsi="仿宋" w:eastAsia="仿宋"/>
        </w:rPr>
        <w:t>十三、</w:t>
      </w:r>
      <w:r>
        <w:rPr>
          <w:rFonts w:ascii="仿宋" w:hAnsi="仿宋" w:eastAsia="仿宋"/>
          <w:color w:val="000000"/>
        </w:rPr>
        <w:t>国</w:t>
      </w:r>
      <w:r>
        <w:rPr>
          <w:rFonts w:ascii="仿宋" w:hAnsi="仿宋" w:eastAsia="仿宋"/>
        </w:rPr>
        <w:t>有资本经营预算财政拨款</w:t>
      </w:r>
      <w:r>
        <w:rPr>
          <w:rFonts w:hint="eastAsia" w:ascii="仿宋" w:hAnsi="仿宋" w:eastAsia="仿宋"/>
        </w:rPr>
        <w:t>收入</w:t>
      </w:r>
      <w:r>
        <w:rPr>
          <w:rFonts w:ascii="仿宋" w:hAnsi="仿宋" w:eastAsia="仿宋"/>
        </w:rPr>
        <w:t>支出决算表</w:t>
      </w:r>
      <w:r>
        <w:tab/>
      </w:r>
      <w:r>
        <w:fldChar w:fldCharType="begin"/>
      </w:r>
      <w:r>
        <w:instrText xml:space="preserve"> PAGEREF _Toc79163898 \h </w:instrText>
      </w:r>
      <w:r>
        <w:fldChar w:fldCharType="separate"/>
      </w:r>
      <w:r>
        <w:t>25</w:t>
      </w:r>
      <w:r>
        <w:fldChar w:fldCharType="end"/>
      </w:r>
    </w:p>
    <w:p>
      <w:pPr>
        <w:pStyle w:val="18"/>
        <w:tabs>
          <w:tab w:val="right" w:leader="dot" w:pos="8296"/>
        </w:tabs>
        <w:rPr>
          <w:rFonts w:hAnsiTheme="minorHAnsi" w:eastAsiaTheme="minorEastAsia" w:cstheme="minorBidi"/>
          <w:smallCaps w:val="0"/>
          <w:sz w:val="21"/>
          <w:szCs w:val="22"/>
        </w:rPr>
      </w:pPr>
      <w:r>
        <w:rPr>
          <w:rFonts w:ascii="仿宋" w:hAnsi="仿宋" w:eastAsia="仿宋"/>
        </w:rPr>
        <w:t>十四、国有资本经营预算财政拨款支出决算表</w:t>
      </w:r>
      <w:r>
        <w:tab/>
      </w:r>
      <w:r>
        <w:fldChar w:fldCharType="begin"/>
      </w:r>
      <w:r>
        <w:instrText xml:space="preserve"> PAGEREF _Toc79163899 \h </w:instrText>
      </w:r>
      <w:r>
        <w:fldChar w:fldCharType="separate"/>
      </w:r>
      <w:r>
        <w:t>25</w:t>
      </w:r>
      <w:r>
        <w:fldChar w:fldCharType="end"/>
      </w:r>
    </w:p>
    <w:p>
      <w:r>
        <w:rPr>
          <w:rFonts w:asciiTheme="minorHAnsi" w:eastAsiaTheme="minorHAnsi"/>
          <w:b/>
          <w:bCs/>
          <w:caps/>
          <w:sz w:val="20"/>
          <w:szCs w:val="20"/>
        </w:rPr>
        <w:fldChar w:fldCharType="end"/>
      </w:r>
    </w:p>
    <w:p>
      <w:pPr>
        <w:widowControl/>
        <w:spacing w:line="440" w:lineRule="exact"/>
        <w:jc w:val="left"/>
        <w:rPr>
          <w:rFonts w:ascii="仿宋" w:hAnsi="仿宋" w:eastAsia="仿宋"/>
          <w:bCs/>
          <w:kern w:val="44"/>
          <w:sz w:val="24"/>
        </w:rPr>
      </w:pPr>
      <w:bookmarkStart w:id="12" w:name="_Toc15396599"/>
      <w:bookmarkStart w:id="13" w:name="_Toc15377196"/>
      <w:r>
        <w:rPr>
          <w:rFonts w:ascii="仿宋" w:hAnsi="仿宋" w:eastAsia="仿宋"/>
          <w:b/>
          <w:sz w:val="24"/>
        </w:rPr>
        <w:br w:type="page"/>
      </w:r>
    </w:p>
    <w:p>
      <w:pPr>
        <w:pStyle w:val="2"/>
        <w:pageBreakBefore w:val="0"/>
        <w:kinsoku/>
        <w:wordWrap/>
        <w:overflowPunct/>
        <w:topLinePunct w:val="0"/>
        <w:bidi w:val="0"/>
        <w:spacing w:before="0" w:after="0" w:line="576" w:lineRule="exact"/>
        <w:ind w:firstLine="880" w:firstLineChars="200"/>
        <w:jc w:val="center"/>
        <w:textAlignment w:val="auto"/>
        <w:rPr>
          <w:rFonts w:ascii="黑体" w:eastAsia="黑体"/>
          <w:color w:val="000000"/>
          <w:sz w:val="32"/>
          <w:szCs w:val="32"/>
        </w:rPr>
      </w:pPr>
      <w:bookmarkStart w:id="14" w:name="_Toc79163601"/>
      <w:bookmarkStart w:id="15" w:name="_Toc79163851"/>
      <w:r>
        <w:rPr>
          <w:rFonts w:hint="eastAsia" w:ascii="黑体" w:hAnsi="黑体" w:eastAsia="黑体"/>
          <w:b w:val="0"/>
        </w:rPr>
        <w:t>第一部分</w:t>
      </w:r>
      <w:r>
        <w:rPr>
          <w:rFonts w:ascii="黑体" w:hAnsi="黑体" w:eastAsia="黑体"/>
          <w:b w:val="0"/>
        </w:rPr>
        <w:t xml:space="preserve"> </w:t>
      </w:r>
      <w:r>
        <w:rPr>
          <w:rStyle w:val="27"/>
          <w:rFonts w:hint="eastAsia" w:ascii="黑体" w:hAnsi="黑体" w:eastAsia="黑体"/>
          <w:b w:val="0"/>
          <w:bCs w:val="0"/>
        </w:rPr>
        <w:t>部门概况</w:t>
      </w:r>
      <w:bookmarkEnd w:id="12"/>
      <w:bookmarkEnd w:id="13"/>
      <w:bookmarkEnd w:id="14"/>
      <w:bookmarkEnd w:id="15"/>
    </w:p>
    <w:p>
      <w:pPr>
        <w:pStyle w:val="3"/>
        <w:pageBreakBefore w:val="0"/>
        <w:kinsoku/>
        <w:wordWrap/>
        <w:overflowPunct/>
        <w:topLinePunct w:val="0"/>
        <w:autoSpaceDE/>
        <w:autoSpaceDN/>
        <w:bidi w:val="0"/>
        <w:spacing w:before="0" w:after="0" w:line="576" w:lineRule="exact"/>
        <w:ind w:firstLine="640" w:firstLineChars="200"/>
        <w:textAlignment w:val="auto"/>
        <w:rPr>
          <w:rStyle w:val="28"/>
          <w:rFonts w:ascii="仿宋" w:hAnsi="仿宋" w:eastAsia="仿宋"/>
          <w:b w:val="0"/>
          <w:bCs w:val="0"/>
        </w:rPr>
      </w:pPr>
      <w:bookmarkStart w:id="16" w:name="_Toc79163602"/>
      <w:bookmarkStart w:id="17" w:name="_Toc79163852"/>
      <w:bookmarkStart w:id="18" w:name="_Toc15396600"/>
      <w:bookmarkStart w:id="19" w:name="_Toc15377197"/>
      <w:r>
        <w:rPr>
          <w:rFonts w:hint="eastAsia" w:ascii="黑体" w:hAnsi="黑体" w:eastAsia="黑体"/>
          <w:b w:val="0"/>
          <w:color w:val="000000"/>
        </w:rPr>
        <w:t>一、基</w:t>
      </w:r>
      <w:r>
        <w:rPr>
          <w:rStyle w:val="28"/>
          <w:rFonts w:hint="eastAsia" w:ascii="黑体" w:hAnsi="黑体" w:eastAsia="黑体"/>
          <w:b w:val="0"/>
          <w:bCs w:val="0"/>
        </w:rPr>
        <w:t>本职能及主要工作</w:t>
      </w:r>
      <w:bookmarkEnd w:id="16"/>
      <w:bookmarkEnd w:id="17"/>
      <w:bookmarkEnd w:id="18"/>
      <w:bookmarkEnd w:id="19"/>
    </w:p>
    <w:p>
      <w:pPr>
        <w:pageBreakBefore w:val="0"/>
        <w:kinsoku/>
        <w:wordWrap/>
        <w:overflowPunct/>
        <w:topLinePunct w:val="0"/>
        <w:bidi w:val="0"/>
        <w:snapToGrid w:val="0"/>
        <w:spacing w:line="576" w:lineRule="exact"/>
        <w:ind w:firstLine="642" w:firstLineChars="200"/>
        <w:textAlignment w:val="auto"/>
        <w:rPr>
          <w:rFonts w:hint="eastAsia" w:ascii="楷体_GB2312" w:hAnsi="仿宋" w:eastAsia="楷体_GB2312"/>
          <w:b/>
          <w:sz w:val="32"/>
          <w:szCs w:val="32"/>
        </w:rPr>
      </w:pPr>
      <w:bookmarkStart w:id="20" w:name="_Toc79163853"/>
      <w:bookmarkStart w:id="21" w:name="_Toc15377198"/>
      <w:bookmarkStart w:id="22" w:name="_Toc79163603"/>
      <w:bookmarkStart w:id="23" w:name="_Toc15378445"/>
      <w:r>
        <w:rPr>
          <w:rFonts w:hint="eastAsia" w:ascii="楷体_GB2312" w:hAnsi="仿宋" w:eastAsia="楷体_GB2312"/>
          <w:b/>
          <w:sz w:val="32"/>
          <w:szCs w:val="32"/>
        </w:rPr>
        <w:t>（一）主要职能。</w:t>
      </w:r>
      <w:bookmarkEnd w:id="20"/>
      <w:bookmarkEnd w:id="21"/>
      <w:bookmarkEnd w:id="22"/>
      <w:bookmarkEnd w:id="23"/>
      <w:bookmarkStart w:id="24" w:name="_Toc15377199"/>
      <w:bookmarkStart w:id="25" w:name="_Toc79163604"/>
      <w:bookmarkStart w:id="26" w:name="_Toc15378446"/>
      <w:bookmarkStart w:id="27" w:name="_Toc79163854"/>
    </w:p>
    <w:p>
      <w:pPr>
        <w:pageBreakBefore w:val="0"/>
        <w:widowControl/>
        <w:kinsoku/>
        <w:wordWrap/>
        <w:overflowPunct/>
        <w:topLinePunct w:val="0"/>
        <w:autoSpaceDE/>
        <w:autoSpaceDN/>
        <w:bidi w:val="0"/>
        <w:spacing w:line="576" w:lineRule="exact"/>
        <w:ind w:firstLine="640" w:firstLineChars="200"/>
        <w:jc w:val="left"/>
        <w:textAlignment w:val="auto"/>
        <w:rPr>
          <w:rFonts w:hint="eastAsia" w:eastAsia="仿宋_GB2312"/>
          <w:sz w:val="30"/>
          <w:szCs w:val="22"/>
          <w:lang w:eastAsia="zh-CN"/>
        </w:rPr>
      </w:pPr>
      <w:r>
        <w:rPr>
          <w:rFonts w:hint="eastAsia" w:eastAsia="仿宋_GB2312"/>
          <w:sz w:val="32"/>
          <w:szCs w:val="32"/>
        </w:rPr>
        <w:t>壤塘县供销合作社联合社是全县供销合作社的管理机关，是县人民政府的重要涉农部门，主要职责是：</w:t>
      </w:r>
      <w:r>
        <w:rPr>
          <w:rFonts w:hint="eastAsia" w:eastAsia="仿宋_GB2312"/>
          <w:sz w:val="30"/>
          <w:szCs w:val="22"/>
        </w:rPr>
        <w:t xml:space="preserve"> </w:t>
      </w:r>
    </w:p>
    <w:p>
      <w:pPr>
        <w:pageBreakBefore w:val="0"/>
        <w:widowControl/>
        <w:kinsoku/>
        <w:wordWrap/>
        <w:overflowPunct/>
        <w:topLinePunct w:val="0"/>
        <w:bidi w:val="0"/>
        <w:spacing w:line="576" w:lineRule="exact"/>
        <w:ind w:firstLine="600" w:firstLineChars="200"/>
        <w:jc w:val="left"/>
        <w:textAlignment w:val="auto"/>
        <w:rPr>
          <w:rFonts w:hint="eastAsia" w:eastAsia="仿宋_GB2312"/>
          <w:sz w:val="32"/>
          <w:szCs w:val="32"/>
          <w:lang w:eastAsia="zh-CN"/>
        </w:rPr>
      </w:pPr>
      <w:r>
        <w:rPr>
          <w:rFonts w:hint="eastAsia" w:eastAsia="仿宋_GB2312"/>
          <w:sz w:val="30"/>
          <w:szCs w:val="22"/>
          <w:lang w:val="en-US" w:eastAsia="zh-CN"/>
        </w:rPr>
        <w:t>1.</w:t>
      </w:r>
      <w:r>
        <w:rPr>
          <w:rFonts w:hint="eastAsia" w:eastAsia="仿宋_GB2312"/>
          <w:sz w:val="32"/>
          <w:szCs w:val="32"/>
        </w:rPr>
        <w:t>宣传、贯彻</w:t>
      </w:r>
      <w:r>
        <w:rPr>
          <w:rFonts w:hint="eastAsia" w:eastAsia="仿宋_GB2312"/>
          <w:sz w:val="32"/>
          <w:szCs w:val="32"/>
          <w:lang w:eastAsia="zh-CN"/>
        </w:rPr>
        <w:t>执行</w:t>
      </w:r>
      <w:r>
        <w:rPr>
          <w:rFonts w:hint="eastAsia" w:eastAsia="仿宋_GB2312"/>
          <w:sz w:val="32"/>
          <w:szCs w:val="32"/>
        </w:rPr>
        <w:t>中央、省、州、县委</w:t>
      </w:r>
      <w:r>
        <w:rPr>
          <w:rFonts w:hint="eastAsia" w:eastAsia="仿宋_GB2312"/>
          <w:sz w:val="32"/>
          <w:szCs w:val="32"/>
          <w:lang w:eastAsia="zh-CN"/>
        </w:rPr>
        <w:t>、县</w:t>
      </w:r>
      <w:r>
        <w:rPr>
          <w:rFonts w:hint="eastAsia" w:eastAsia="仿宋_GB2312"/>
          <w:sz w:val="32"/>
          <w:szCs w:val="32"/>
        </w:rPr>
        <w:t xml:space="preserve">政府关于农村经济工作和社会发展的方针、政策，研究制定全县供销社的发展战略和发展规划，参与有关政策的制定，对成员进行指导、协调、监督、服务。 </w:t>
      </w:r>
    </w:p>
    <w:p>
      <w:pPr>
        <w:pageBreakBefore w:val="0"/>
        <w:widowControl/>
        <w:kinsoku/>
        <w:wordWrap/>
        <w:overflowPunct/>
        <w:topLinePunct w:val="0"/>
        <w:bidi w:val="0"/>
        <w:spacing w:line="576" w:lineRule="exact"/>
        <w:ind w:firstLine="640" w:firstLineChars="200"/>
        <w:jc w:val="left"/>
        <w:textAlignment w:val="auto"/>
        <w:rPr>
          <w:rFonts w:hint="eastAsia" w:eastAsia="仿宋_GB2312"/>
          <w:sz w:val="32"/>
          <w:szCs w:val="32"/>
          <w:lang w:eastAsia="zh-CN"/>
        </w:rPr>
      </w:pPr>
      <w:r>
        <w:rPr>
          <w:rFonts w:hint="eastAsia" w:eastAsia="仿宋_GB2312"/>
          <w:sz w:val="32"/>
          <w:szCs w:val="32"/>
          <w:lang w:val="en-US" w:eastAsia="zh-CN"/>
        </w:rPr>
        <w:t>2.</w:t>
      </w:r>
      <w:r>
        <w:rPr>
          <w:rFonts w:hint="eastAsia" w:eastAsia="仿宋_GB2312"/>
          <w:sz w:val="32"/>
          <w:szCs w:val="32"/>
        </w:rPr>
        <w:t xml:space="preserve">对重要的农业生产生活资料，农副产品的经营进行组织、协调、管理，负责边销茶、烟花爆竹和废旧物资再生资源的监督管理。 </w:t>
      </w:r>
    </w:p>
    <w:p>
      <w:pPr>
        <w:pageBreakBefore w:val="0"/>
        <w:widowControl/>
        <w:kinsoku/>
        <w:wordWrap/>
        <w:overflowPunct/>
        <w:topLinePunct w:val="0"/>
        <w:bidi w:val="0"/>
        <w:spacing w:line="576" w:lineRule="exact"/>
        <w:ind w:firstLine="640" w:firstLineChars="200"/>
        <w:jc w:val="left"/>
        <w:textAlignment w:val="auto"/>
        <w:rPr>
          <w:rFonts w:hint="eastAsia" w:eastAsia="仿宋_GB2312"/>
          <w:sz w:val="32"/>
          <w:szCs w:val="32"/>
          <w:lang w:eastAsia="zh-CN"/>
        </w:rPr>
      </w:pPr>
      <w:r>
        <w:rPr>
          <w:rFonts w:hint="eastAsia" w:eastAsia="仿宋_GB2312"/>
          <w:sz w:val="32"/>
          <w:szCs w:val="32"/>
          <w:lang w:val="en-US" w:eastAsia="zh-CN"/>
        </w:rPr>
        <w:t>3.</w:t>
      </w:r>
      <w:r>
        <w:rPr>
          <w:rFonts w:hint="eastAsia" w:eastAsia="仿宋_GB2312"/>
          <w:sz w:val="32"/>
          <w:szCs w:val="32"/>
        </w:rPr>
        <w:t xml:space="preserve">建立和完善农业社会化服务体系，参与和推动农业产业化进程，做好农业、农村、农民服务的工作，促进农村经济发展。 </w:t>
      </w:r>
    </w:p>
    <w:p>
      <w:pPr>
        <w:pageBreakBefore w:val="0"/>
        <w:widowControl/>
        <w:kinsoku/>
        <w:wordWrap/>
        <w:overflowPunct/>
        <w:topLinePunct w:val="0"/>
        <w:bidi w:val="0"/>
        <w:spacing w:line="576" w:lineRule="exact"/>
        <w:ind w:firstLine="640" w:firstLineChars="200"/>
        <w:jc w:val="left"/>
        <w:textAlignment w:val="auto"/>
        <w:rPr>
          <w:rFonts w:hint="eastAsia" w:eastAsia="仿宋_GB2312"/>
          <w:sz w:val="32"/>
          <w:szCs w:val="32"/>
          <w:lang w:eastAsia="zh-CN"/>
        </w:rPr>
      </w:pPr>
      <w:r>
        <w:rPr>
          <w:rFonts w:hint="eastAsia" w:eastAsia="仿宋_GB2312"/>
          <w:sz w:val="32"/>
          <w:szCs w:val="32"/>
          <w:lang w:val="en-US" w:eastAsia="zh-CN"/>
        </w:rPr>
        <w:t>4.</w:t>
      </w:r>
      <w:r>
        <w:rPr>
          <w:rFonts w:hint="eastAsia" w:eastAsia="仿宋_GB2312"/>
          <w:sz w:val="32"/>
          <w:szCs w:val="32"/>
        </w:rPr>
        <w:t xml:space="preserve">参与和推动农业产业化经营。指导农村各类专业合作社、社区综合服务社的建设，强化为农服务功能，在组织、管理、经营上实行开门、开放办社，指导农村合作经济健康发展。 </w:t>
      </w:r>
    </w:p>
    <w:p>
      <w:pPr>
        <w:pageBreakBefore w:val="0"/>
        <w:widowControl/>
        <w:kinsoku/>
        <w:wordWrap/>
        <w:overflowPunct/>
        <w:topLinePunct w:val="0"/>
        <w:bidi w:val="0"/>
        <w:spacing w:line="576" w:lineRule="exact"/>
        <w:ind w:firstLine="640" w:firstLineChars="200"/>
        <w:jc w:val="left"/>
        <w:textAlignment w:val="auto"/>
        <w:rPr>
          <w:rFonts w:hint="eastAsia" w:eastAsia="仿宋_GB2312"/>
          <w:sz w:val="32"/>
          <w:szCs w:val="32"/>
          <w:lang w:eastAsia="zh-CN"/>
        </w:rPr>
      </w:pPr>
      <w:r>
        <w:rPr>
          <w:rFonts w:hint="eastAsia" w:eastAsia="仿宋_GB2312"/>
          <w:sz w:val="32"/>
          <w:szCs w:val="32"/>
          <w:lang w:val="en-US" w:eastAsia="zh-CN"/>
        </w:rPr>
        <w:t>5.</w:t>
      </w:r>
      <w:r>
        <w:rPr>
          <w:rFonts w:hint="eastAsia" w:eastAsia="仿宋_GB2312"/>
          <w:sz w:val="32"/>
          <w:szCs w:val="32"/>
        </w:rPr>
        <w:t>发挥供销社与农民联系的桥梁与纽带作用，协调农民社员及供销合作社与政府有关部门及其他社会组织的关系，维护各级供销合作社的权益。</w:t>
      </w:r>
    </w:p>
    <w:p>
      <w:pPr>
        <w:pageBreakBefore w:val="0"/>
        <w:widowControl/>
        <w:kinsoku/>
        <w:wordWrap/>
        <w:overflowPunct/>
        <w:topLinePunct w:val="0"/>
        <w:bidi w:val="0"/>
        <w:spacing w:line="576" w:lineRule="exact"/>
        <w:ind w:firstLine="640" w:firstLineChars="200"/>
        <w:jc w:val="left"/>
        <w:textAlignment w:val="auto"/>
        <w:rPr>
          <w:rFonts w:hint="eastAsia" w:eastAsia="仿宋_GB2312"/>
          <w:sz w:val="32"/>
          <w:szCs w:val="32"/>
          <w:lang w:eastAsia="zh-CN"/>
        </w:rPr>
      </w:pPr>
      <w:r>
        <w:rPr>
          <w:rFonts w:hint="eastAsia" w:eastAsia="仿宋_GB2312"/>
          <w:sz w:val="32"/>
          <w:szCs w:val="32"/>
          <w:lang w:val="en-US" w:eastAsia="zh-CN"/>
        </w:rPr>
        <w:t>6.</w:t>
      </w:r>
      <w:r>
        <w:rPr>
          <w:rFonts w:hint="eastAsia" w:eastAsia="仿宋_GB2312"/>
          <w:sz w:val="32"/>
          <w:szCs w:val="32"/>
        </w:rPr>
        <w:t xml:space="preserve">履行现有资产的所有权代表职责，强化社有资产的管理、监督，确保社有资产保值增值。 </w:t>
      </w:r>
    </w:p>
    <w:p>
      <w:pPr>
        <w:pageBreakBefore w:val="0"/>
        <w:widowControl/>
        <w:kinsoku/>
        <w:wordWrap/>
        <w:overflowPunct/>
        <w:topLinePunct w:val="0"/>
        <w:bidi w:val="0"/>
        <w:spacing w:line="576" w:lineRule="exact"/>
        <w:ind w:firstLine="640" w:firstLineChars="200"/>
        <w:jc w:val="left"/>
        <w:textAlignment w:val="auto"/>
        <w:rPr>
          <w:rFonts w:hint="eastAsia" w:ascii="仿宋_GB2312" w:hAnsi="仿宋" w:eastAsia="仿宋_GB2312"/>
          <w:sz w:val="32"/>
          <w:szCs w:val="32"/>
        </w:rPr>
      </w:pPr>
      <w:r>
        <w:rPr>
          <w:rFonts w:hint="eastAsia" w:eastAsia="仿宋_GB2312"/>
          <w:sz w:val="32"/>
          <w:szCs w:val="32"/>
          <w:lang w:val="en-US" w:eastAsia="zh-CN"/>
        </w:rPr>
        <w:t>7.</w:t>
      </w:r>
      <w:r>
        <w:rPr>
          <w:rFonts w:hint="eastAsia" w:eastAsia="仿宋_GB2312"/>
          <w:sz w:val="32"/>
          <w:szCs w:val="32"/>
        </w:rPr>
        <w:t>承办县委</w:t>
      </w:r>
      <w:r>
        <w:rPr>
          <w:rFonts w:hint="eastAsia" w:eastAsia="仿宋_GB2312"/>
          <w:sz w:val="32"/>
          <w:szCs w:val="32"/>
          <w:lang w:eastAsia="zh-CN"/>
        </w:rPr>
        <w:t>、县</w:t>
      </w:r>
      <w:r>
        <w:rPr>
          <w:rFonts w:hint="eastAsia" w:eastAsia="仿宋_GB2312"/>
          <w:sz w:val="32"/>
          <w:szCs w:val="32"/>
        </w:rPr>
        <w:t>政府交办的其他事项。</w:t>
      </w:r>
    </w:p>
    <w:bookmarkEnd w:id="24"/>
    <w:bookmarkEnd w:id="25"/>
    <w:bookmarkEnd w:id="26"/>
    <w:bookmarkEnd w:id="27"/>
    <w:p>
      <w:pPr>
        <w:keepNext w:val="0"/>
        <w:keepLines w:val="0"/>
        <w:pageBreakBefore w:val="0"/>
        <w:widowControl w:val="0"/>
        <w:kinsoku/>
        <w:wordWrap/>
        <w:overflowPunct w:val="0"/>
        <w:topLinePunct w:val="0"/>
        <w:autoSpaceDE/>
        <w:autoSpaceDN/>
        <w:bidi w:val="0"/>
        <w:adjustRightInd/>
        <w:snapToGrid/>
        <w:spacing w:line="560" w:lineRule="exact"/>
        <w:ind w:left="0" w:firstLine="640" w:firstLineChars="200"/>
        <w:jc w:val="both"/>
        <w:textAlignment w:val="auto"/>
        <w:rPr>
          <w:rStyle w:val="28"/>
          <w:rFonts w:hint="eastAsia" w:ascii="黑体" w:hAnsi="黑体" w:eastAsia="黑体" w:cs="Times New Roman"/>
          <w:b w:val="0"/>
          <w:bCs w:val="0"/>
          <w:lang w:val="en-US" w:eastAsia="zh-CN" w:bidi="ar-SA"/>
        </w:rPr>
      </w:pPr>
      <w:bookmarkStart w:id="28" w:name="_Toc15396601"/>
      <w:bookmarkStart w:id="29" w:name="_Toc79163605"/>
      <w:bookmarkStart w:id="30" w:name="_Toc79163855"/>
      <w:bookmarkStart w:id="31" w:name="_Toc15377200"/>
      <w:r>
        <w:rPr>
          <w:rStyle w:val="28"/>
          <w:rFonts w:hint="eastAsia" w:ascii="黑体" w:hAnsi="黑体" w:eastAsia="黑体" w:cs="Times New Roman"/>
          <w:b w:val="0"/>
          <w:bCs w:val="0"/>
          <w:lang w:val="en-US" w:eastAsia="zh-CN" w:bidi="ar-SA"/>
        </w:rPr>
        <w:t>二、2025年工作总结</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firstLine="642" w:firstLineChars="200"/>
        <w:textAlignment w:val="auto"/>
        <w:rPr>
          <w:rFonts w:hint="eastAsia" w:ascii="黑体" w:hAnsi="黑体" w:eastAsia="黑体" w:cs="黑体"/>
          <w:sz w:val="32"/>
          <w:szCs w:val="32"/>
        </w:rPr>
      </w:pPr>
      <w:r>
        <w:rPr>
          <w:rFonts w:hint="eastAsia" w:ascii="楷体_GB2312" w:hAnsi="楷体_GB2312" w:eastAsia="楷体_GB2312" w:cs="楷体_GB2312"/>
          <w:b/>
          <w:bCs/>
          <w:sz w:val="32"/>
          <w:szCs w:val="32"/>
        </w:rPr>
        <w:t>（一）</w:t>
      </w:r>
      <w:r>
        <w:rPr>
          <w:rFonts w:hint="eastAsia" w:ascii="黑体" w:hAnsi="黑体" w:eastAsia="黑体" w:cs="黑体"/>
          <w:sz w:val="32"/>
          <w:szCs w:val="32"/>
        </w:rPr>
        <w:t>党建引领强根基，治理效能全面提升</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firstLine="642"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1.</w:t>
      </w:r>
      <w:r>
        <w:rPr>
          <w:rFonts w:hint="default" w:ascii="Times New Roman" w:hAnsi="Times New Roman" w:eastAsia="方正仿宋_GB2312" w:cs="Times New Roman"/>
          <w:b/>
          <w:bCs/>
          <w:sz w:val="32"/>
          <w:szCs w:val="32"/>
        </w:rPr>
        <w:t>深化理论武装铸魂</w:t>
      </w:r>
      <w:r>
        <w:rPr>
          <w:rFonts w:hint="default" w:ascii="Times New Roman" w:hAnsi="Times New Roman" w:eastAsia="方正仿宋_GB2312" w:cs="Times New Roman"/>
          <w:b/>
          <w:bCs/>
          <w:sz w:val="32"/>
          <w:szCs w:val="32"/>
          <w:lang w:eastAsia="zh-CN"/>
        </w:rPr>
        <w:t>。</w:t>
      </w:r>
      <w:r>
        <w:rPr>
          <w:rFonts w:hint="default" w:ascii="Times New Roman" w:hAnsi="Times New Roman" w:eastAsia="方正仿宋_GB2312" w:cs="Times New Roman"/>
          <w:sz w:val="32"/>
          <w:szCs w:val="32"/>
          <w:lang w:val="en-US" w:eastAsia="zh-CN"/>
        </w:rPr>
        <w:t>一是深化理论学习，认真落实第一议题制度，带领班子成员和党员干部深入学习党中央、省州县全会精神及习近平总书记关于“三农”工作、供销合作社改革发展的重要论述20余次，推动习近平新时代中国特色社会主义思想入脑入心。二是通过社务会、“三会一课”、干部职工大会等形式，全年组织学习活动30余场次，深刻领悟“两个确立”的决定性意义，增强“四个意识”、坚定“四个自信”、做到“两个维护”。三是提升业务素养，系统学习供销合作社综合改革政策、农资供应管理等专业知识，结合本地农业工作实际优化思路，将学习成果转化为推动供销社高质量发展的具体举措。</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firstLine="642"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2.加强宣传引导固本。</w:t>
      </w:r>
      <w:r>
        <w:rPr>
          <w:rFonts w:hint="default" w:ascii="Times New Roman" w:hAnsi="Times New Roman" w:eastAsia="方正仿宋_GB2312" w:cs="Times New Roman"/>
          <w:sz w:val="32"/>
          <w:szCs w:val="32"/>
          <w:lang w:val="en-US" w:eastAsia="zh-CN"/>
        </w:rPr>
        <w:t>深入贯彻落实党中央关于意识形态工作的决策部署，将意识形态工作与主责主业深度融合，为供销事业高质量发展提供了坚强思想保证和精神支撑。一是成立由理事会主任任组长的意识形态工作领导小组，将意识形态工作纳入重要议事日程，与业务工作同部署、同落实、同检查、同考核，全年召开意识形态专题会4次。二是将意识形态责任落实情况纳入领导班子和干部年度考核、民主生活会述职重要内容，明确考核指标与奖惩标准，确保工作有章可循、有据可依。三是深入传承“扁担精神”“背篓精神”，结合“中国供销”品牌建设，挖掘宣传系统内先进典型事迹，通过专题宣讲等形式，激发干部职工集体荣誉感与干事热情。四是调整充实网络评论员1名，提升队伍舆论引导能力，加强对内部工作群、职工社交平台的引导管理，严禁传播不良言论。五是开展网络安全自查1次，完善舆情处置应急预案，提升突发舆情应对能力，全年未发生网络意识形态安全事件。</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firstLine="642"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3.全面从严治党夯基。</w:t>
      </w:r>
      <w:r>
        <w:rPr>
          <w:rFonts w:hint="default" w:ascii="Times New Roman" w:hAnsi="Times New Roman" w:eastAsia="方正仿宋_GB2312" w:cs="Times New Roman"/>
          <w:sz w:val="32"/>
          <w:szCs w:val="32"/>
          <w:lang w:val="en-US" w:eastAsia="zh-CN"/>
        </w:rPr>
        <w:t>一是始终坚持“严”的主基调，推动党风廉政建设落地见效。制定年度党风廉政建设工作计划，与班子成员、各股室签订廉政责任书，形成“一把手负总责、班子成员分工负责、股室具体落实”的责任链条。二是规范权力运行，强化监督制约。聚焦农资采购、项目招投标、大额资金使用等重点领域，建立廉政风险防控台账，推进政务公开，主动公开财务收支、项目进展等信息，接受干部职工和群众监督，确保权力在阳光下运行。定期开展廉政谈话，全年与班子成员、关键岗位人员谈话10余人次。三是狠抓作风建设，整治突出问题。坚持会前学纪学法，通过观看警示教育片、剖析典型案例等方式，开展廉政教育4场次，引导干部职工筑牢拒腐防变思想防线。四是常态化开展整治形式主义、为基层减负等工作，精简会议文件，组织“我为群众办实事”实践活动，解决群众反映的农产品销售难等困难问题10余个，切实转变工作作风。</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（二）聚焦主业优服务，为农成效持续凸显</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firstLine="64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1.深化综合改革，完善服务体系。</w:t>
      </w:r>
      <w:r>
        <w:rPr>
          <w:rFonts w:hint="default" w:ascii="Times New Roman" w:hAnsi="Times New Roman" w:eastAsia="方正仿宋_GB2312" w:cs="Times New Roman"/>
          <w:sz w:val="32"/>
          <w:szCs w:val="32"/>
          <w:lang w:val="en-US" w:eastAsia="zh-CN"/>
        </w:rPr>
        <w:t>一是健全“三会”制度。修改完善供销社机构编制方案，</w:t>
      </w:r>
      <w:r>
        <w:rPr>
          <w:rFonts w:hint="default" w:ascii="Times New Roman" w:hAnsi="Times New Roman" w:eastAsia="方正仿宋_GB2312" w:cs="Times New Roman"/>
          <w:sz w:val="32"/>
          <w:szCs w:val="32"/>
        </w:rPr>
        <w:t>优化</w:t>
      </w:r>
      <w:r>
        <w:rPr>
          <w:rFonts w:hint="default" w:ascii="Times New Roman" w:hAnsi="Times New Roman" w:eastAsia="方正仿宋_GB2312" w:cs="Times New Roman"/>
          <w:sz w:val="32"/>
          <w:szCs w:val="32"/>
          <w:lang w:val="en-US" w:eastAsia="zh-CN"/>
        </w:rPr>
        <w:t>供销社</w:t>
      </w:r>
      <w:r>
        <w:rPr>
          <w:rFonts w:hint="default" w:ascii="Times New Roman" w:hAnsi="Times New Roman" w:eastAsia="方正仿宋_GB2312" w:cs="Times New Roman"/>
          <w:sz w:val="32"/>
          <w:szCs w:val="32"/>
        </w:rPr>
        <w:t>机构设置和职能配置</w:t>
      </w:r>
      <w:r>
        <w:rPr>
          <w:rFonts w:hint="default" w:ascii="Times New Roman" w:hAnsi="Times New Roman" w:eastAsia="方正仿宋_GB2312" w:cs="Times New Roman"/>
          <w:sz w:val="32"/>
          <w:szCs w:val="32"/>
          <w:lang w:val="en-US" w:eastAsia="zh-CN"/>
        </w:rPr>
        <w:t>，</w:t>
      </w:r>
      <w:r>
        <w:rPr>
          <w:rFonts w:hint="default" w:ascii="Times New Roman" w:hAnsi="Times New Roman" w:eastAsia="方正仿宋_GB2312" w:cs="Times New Roman"/>
          <w:sz w:val="32"/>
          <w:szCs w:val="32"/>
        </w:rPr>
        <w:t>充实工作力量，</w:t>
      </w:r>
      <w:r>
        <w:rPr>
          <w:rFonts w:hint="default" w:ascii="Times New Roman" w:hAnsi="Times New Roman" w:eastAsia="方正仿宋_GB2312" w:cs="Times New Roman"/>
          <w:sz w:val="32"/>
          <w:szCs w:val="32"/>
          <w:lang w:val="en-US" w:eastAsia="zh-CN"/>
        </w:rPr>
        <w:t>进一步</w:t>
      </w:r>
      <w:r>
        <w:rPr>
          <w:rFonts w:hint="default" w:ascii="Times New Roman" w:hAnsi="Times New Roman" w:eastAsia="方正仿宋_GB2312" w:cs="Times New Roman"/>
          <w:sz w:val="32"/>
          <w:szCs w:val="32"/>
        </w:rPr>
        <w:t>落实工作职责</w:t>
      </w: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lang w:val="en-US" w:eastAsia="zh-CN"/>
        </w:rPr>
        <w:t>二是推动“1＋3＋N”为农服务体系建设，加强对10个基层社、5个代收代储点的指导，整合农资供应、农产品流通、农技服务等资源，加强与国投公司、粮油收储公司、新华集团等业务合作，初步构建“上联龙头企业、下联农户”的服务链条。</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firstLine="642"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2.拓展业务领域，增强发展动能。</w:t>
      </w:r>
      <w:r>
        <w:rPr>
          <w:rFonts w:hint="default" w:ascii="Times New Roman" w:hAnsi="Times New Roman" w:eastAsia="方正仿宋_GB2312" w:cs="Times New Roman"/>
          <w:sz w:val="32"/>
          <w:szCs w:val="32"/>
          <w:lang w:val="en-US" w:eastAsia="zh-CN"/>
        </w:rPr>
        <w:t>一是积极组织参加西博会、老博会、“39”帮扶市集、2025年“天府乡村”优质农产品浙江行等农产品展销活动10余次，提高壤塘农产品知名度。二是帮助村合作社、集体经济组织、农户销售青稞、牛肉、蜂蜜、野生菌、中药材等系列农产品200余万元，努力打通农产品进城“最后一公里”。三是拓宽业务范围，主动与各机关单位对接，对机关单位需采购低氟健康茶、融雪剂、扫把等物资开展“订单式”采购服务。</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firstLine="642"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3.加强产品研发，提高产品附加值。</w:t>
      </w:r>
      <w:r>
        <w:rPr>
          <w:rFonts w:hint="default" w:ascii="Times New Roman" w:hAnsi="Times New Roman" w:eastAsia="方正仿宋_GB2312" w:cs="Times New Roman"/>
          <w:sz w:val="32"/>
          <w:szCs w:val="32"/>
          <w:lang w:val="en-US" w:eastAsia="zh-CN"/>
        </w:rPr>
        <w:t>围绕野生菌、牦牛肉、蜂蜜等县域特色农产品，打造“中国供销+本地原生”农产品品牌，积极研发可直接食用的农特产品。供销社现有野生菌牦牛肉酱、青稞蕨麻八宝粥、壤巴拉蜂蜜、壤巴拉野生菌等系列产品20余种，提高农产品附加值，助力农牧民群众增收致富。</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firstLine="642"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4.深化企业改革，发展壮大社有企业。</w:t>
      </w:r>
      <w:r>
        <w:rPr>
          <w:rFonts w:hint="default" w:ascii="Times New Roman" w:hAnsi="Times New Roman" w:eastAsia="方正仿宋_GB2312" w:cs="Times New Roman"/>
          <w:sz w:val="32"/>
          <w:szCs w:val="32"/>
          <w:lang w:val="en-US" w:eastAsia="zh-CN"/>
        </w:rPr>
        <w:t>一是建立完善现代企业制度，推进社有企业提质增效，提升为农服务支撑能力;二是加强供销合作社资产运营管理，盘活克久基地、冷链车等闲置资产。三是将“中国供销合作社”组织品牌与“悬天净土壤巴拉”区域品牌有效融合，增强品牌效益。四是截止11月底，佳禾公司营业额已达500万元，社有企业经济实力和经营能力不断提升。</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firstLine="642"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5.联农带农，有序开展为农服务。</w:t>
      </w:r>
      <w:r>
        <w:rPr>
          <w:rFonts w:hint="default" w:ascii="Times New Roman" w:hAnsi="Times New Roman" w:eastAsia="方正仿宋_GB2312" w:cs="Times New Roman"/>
          <w:sz w:val="32"/>
          <w:szCs w:val="32"/>
          <w:lang w:val="en-US" w:eastAsia="zh-CN"/>
        </w:rPr>
        <w:t>一是发展农牧民庭院经济,拓宽农牧民增收渠道。指导5个代收代储点收购野生菌、中药材等农特产品，由佳禾公司保底收购。二是为村民教授野生菌收购技术，以“授渔”方式帮扶带动</w:t>
      </w:r>
      <w:r>
        <w:rPr>
          <w:rFonts w:hint="eastAsia" w:eastAsia="方正仿宋_GB2312" w:cs="Times New Roman"/>
          <w:sz w:val="32"/>
          <w:szCs w:val="32"/>
          <w:lang w:val="en-US" w:eastAsia="zh-CN"/>
        </w:rPr>
        <w:t>农</w:t>
      </w:r>
      <w:r>
        <w:rPr>
          <w:rFonts w:hint="default" w:ascii="Times New Roman" w:hAnsi="Times New Roman" w:eastAsia="方正仿宋_GB2312" w:cs="Times New Roman"/>
          <w:sz w:val="32"/>
          <w:szCs w:val="32"/>
          <w:lang w:val="en-US" w:eastAsia="zh-CN"/>
        </w:rPr>
        <w:t>村集体经济发展，带动茸木达村集体经济增收2万余元，打破该村长期以来无</w:t>
      </w:r>
      <w:r>
        <w:rPr>
          <w:rFonts w:hint="eastAsia" w:eastAsia="方正仿宋_GB2312" w:cs="Times New Roman"/>
          <w:sz w:val="32"/>
          <w:szCs w:val="32"/>
          <w:lang w:val="en-US" w:eastAsia="zh-CN"/>
        </w:rPr>
        <w:t>农</w:t>
      </w:r>
      <w:r>
        <w:rPr>
          <w:rFonts w:hint="default" w:ascii="Times New Roman" w:hAnsi="Times New Roman" w:eastAsia="方正仿宋_GB2312" w:cs="Times New Roman"/>
          <w:sz w:val="32"/>
          <w:szCs w:val="32"/>
          <w:lang w:val="en-US" w:eastAsia="zh-CN"/>
        </w:rPr>
        <w:t>村集体经济现状。三是充分发挥供销合作社植根农村的优势，发挥供销社农资保障供应作用，与科农局一起下村开展农资农技下乡服务活动2场次。</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黑体" w:cs="Times New Roman"/>
          <w:sz w:val="32"/>
          <w:szCs w:val="32"/>
          <w:lang w:val="en-US" w:eastAsia="zh-CN"/>
        </w:rPr>
      </w:pPr>
      <w:bookmarkStart w:id="32" w:name="OLE_LINK1"/>
      <w:r>
        <w:rPr>
          <w:rFonts w:hint="default" w:ascii="Times New Roman" w:hAnsi="Times New Roman" w:eastAsia="黑体" w:cs="Times New Roman"/>
          <w:sz w:val="32"/>
          <w:szCs w:val="32"/>
          <w:lang w:val="en-US" w:eastAsia="zh-CN"/>
        </w:rPr>
        <w:t>（三）严守底线促发展，发展后劲不断增强</w:t>
      </w:r>
    </w:p>
    <w:bookmarkEnd w:id="32"/>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firstLine="64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1.项目有序推进。</w:t>
      </w:r>
      <w:r>
        <w:rPr>
          <w:rFonts w:hint="default" w:ascii="Times New Roman" w:hAnsi="Times New Roman" w:eastAsia="方正仿宋_GB2312" w:cs="Times New Roman"/>
          <w:sz w:val="32"/>
          <w:szCs w:val="32"/>
          <w:lang w:val="en-US" w:eastAsia="zh-CN"/>
        </w:rPr>
        <w:t>一是积极争取上级政策和资金支持，争取上级资金补助11万元，对岗木达镇基层社进行提升改造，打造示范基层社，提升为农服务能力。做到专款专用、专账核算，规范资金支付流程。二是紧扣服务乡村振兴战略和综合改革重点任务，聚焦农资保供、基层社改造、农产品流通等核心领域，谋划“十五五”项目6个，计划投资5890万元。三是加强竣工项目的后续管护，建立项目后续管护机制，对2013年以来扶贫资产项目进行自查清理，确保扶贫资产管理规范，项目长期稳定发挥效益。</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firstLine="642"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2.筑牢安全底线。</w:t>
      </w:r>
      <w:r>
        <w:rPr>
          <w:rFonts w:hint="default" w:ascii="Times New Roman" w:hAnsi="Times New Roman" w:eastAsia="方正仿宋_GB2312" w:cs="Times New Roman"/>
          <w:sz w:val="32"/>
          <w:szCs w:val="32"/>
          <w:lang w:val="en-US" w:eastAsia="zh-CN"/>
        </w:rPr>
        <w:t>坚持“安全第一、预防为主</w:t>
      </w:r>
      <w:r>
        <w:rPr>
          <w:rFonts w:hint="eastAsia" w:eastAsia="方正仿宋_GB2312" w:cs="Times New Roman"/>
          <w:sz w:val="32"/>
          <w:szCs w:val="32"/>
          <w:lang w:val="en-US" w:eastAsia="zh-CN"/>
        </w:rPr>
        <w:t>、综合治理</w:t>
      </w:r>
      <w:r>
        <w:rPr>
          <w:rFonts w:hint="default" w:ascii="Times New Roman" w:hAnsi="Times New Roman" w:eastAsia="方正仿宋_GB2312" w:cs="Times New Roman"/>
          <w:sz w:val="32"/>
          <w:szCs w:val="32"/>
          <w:lang w:val="en-US" w:eastAsia="zh-CN"/>
        </w:rPr>
        <w:t>”方针，抓实安全生产工作。一是成立由主要负责人任组长的安全生产工作领导小组，将安全生产工作纳入年度重点工作目标，签订安全生产责任书，实现责任全覆盖。二是全年召开专题会议4次，分析研判安全形势，部署安全生产工作，完善工作机制，确保安全生产工作有章可循、有据可依。三是围绕农资仓储运输等开展安全生产检查10余次，累计检查各类经营网点、仓储设施30场次，排查整改安全隐患6项，整改率100%。四是结合“安全生产月”“等活动，通过悬挂横幅、发放宣传手册等形式，开展安全生产宣传5场次，普及消防安全、农资安全使用等知识，营造安全生产的浓厚氛围。</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firstLine="642"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 xml:space="preserve"> 3.抓实网格工作。</w:t>
      </w:r>
      <w:r>
        <w:rPr>
          <w:rFonts w:hint="default" w:ascii="Times New Roman" w:hAnsi="Times New Roman" w:eastAsia="方正仿宋_GB2312" w:cs="Times New Roman"/>
          <w:sz w:val="32"/>
          <w:szCs w:val="32"/>
          <w:lang w:val="en-US" w:eastAsia="zh-CN"/>
        </w:rPr>
        <w:t>一是紧扣基层治理重点任务，扎实推进政策宣传、隐患排查、便民服务等工作，有效打通服务群众“最后一公里”，认真开展重要时间节点巡逻、隐患排查等工作。二是认真开展2个网格工作，选拔政治素质高、责任心强、熟悉村情民意的2名党员干部担任网格员，累计开展网格巡查24次，排查化解矛盾纠纷2起，收集反馈群众诉求5条，办结率100%，实现网格内“小事不出格、大事不出村”。</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firstLine="642"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b/>
          <w:bCs/>
          <w:sz w:val="32"/>
          <w:szCs w:val="32"/>
          <w:lang w:val="en-US" w:eastAsia="zh-CN"/>
        </w:rPr>
        <w:t>4.当好“爱心爸妈”。</w:t>
      </w:r>
      <w:r>
        <w:rPr>
          <w:rFonts w:hint="default" w:ascii="Times New Roman" w:hAnsi="Times New Roman" w:eastAsia="方正仿宋_GB2312" w:cs="Times New Roman"/>
          <w:sz w:val="32"/>
          <w:szCs w:val="32"/>
          <w:lang w:val="en-US" w:eastAsia="zh-CN"/>
        </w:rPr>
        <w:t>供销社班子成员全年结对困境儿童12名，通过电话、视频、入户等开展走访慰问40余次，送去学习用品、生活用品等物资价值2000余元。通过入户动员，11名儿童按时入学，对1名智力残疾儿童开展送教上门。</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（四）立足职能抓帮扶，帮村工作不断深化。</w:t>
      </w:r>
    </w:p>
    <w:p>
      <w:pPr>
        <w:keepNext w:val="0"/>
        <w:keepLines w:val="0"/>
        <w:pageBreakBefore w:val="0"/>
        <w:widowControl w:val="0"/>
        <w:kinsoku w:val="0"/>
        <w:wordWrap/>
        <w:overflowPunct w:val="0"/>
        <w:topLinePunct w:val="0"/>
        <w:autoSpaceDE w:val="0"/>
        <w:autoSpaceDN w:val="0"/>
        <w:bidi w:val="0"/>
        <w:adjustRightInd w:val="0"/>
        <w:snapToGrid w:val="0"/>
        <w:spacing w:line="56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聚焦帮村发展需求与群众急难愁盼问题，立足供销系统为农服务职能，扎实推进各项帮扶工作落地见效。一是召开帮扶工作专题会议2次，深入分析帮扶村发展短板、群众需求及帮扶工作推进情况，研究解决工作中遇到的困难和问题，制定针对性帮扶措施3条，确保帮扶工作方向不偏、力度不减。二是扶持村集体经济发展，发挥供销系统流通优势，搭建“线上+线下”农产品销售平台。为各合作社销售蜂蜜近6000余斤，销售金额31.64万元，销售青稞类产品20余万元，销售牛肉系列产品30余万元，销售野生菌15万元。三是开展“我为群众办实事”实践活动，组织供销社党员干部与村内困难群众、老党员等结成帮扶对子32对，走访慰问200余人次，送去慰问物资价值1万余元。帮助协调解决子女入学、医疗就诊、就业创业等实际问题10余件，用实际行动拉近与群众的距离。</w:t>
      </w:r>
    </w:p>
    <w:p>
      <w:pPr>
        <w:pStyle w:val="3"/>
        <w:pageBreakBefore w:val="0"/>
        <w:kinsoku/>
        <w:wordWrap/>
        <w:overflowPunct/>
        <w:topLinePunct w:val="0"/>
        <w:bidi w:val="0"/>
        <w:spacing w:before="0" w:after="0" w:line="576" w:lineRule="exact"/>
        <w:ind w:firstLine="640" w:firstLineChars="200"/>
        <w:textAlignment w:val="auto"/>
        <w:rPr>
          <w:rStyle w:val="28"/>
          <w:b w:val="0"/>
          <w:bCs w:val="0"/>
        </w:rPr>
      </w:pPr>
      <w:r>
        <w:rPr>
          <w:rFonts w:hint="eastAsia" w:ascii="黑体" w:eastAsia="黑体"/>
          <w:b w:val="0"/>
          <w:color w:val="000000"/>
        </w:rPr>
        <w:t>二、</w:t>
      </w:r>
      <w:r>
        <w:rPr>
          <w:rFonts w:hint="eastAsia" w:ascii="黑体" w:hAnsi="黑体" w:eastAsia="黑体"/>
          <w:b w:val="0"/>
          <w:color w:val="000000"/>
        </w:rPr>
        <w:t>机</w:t>
      </w:r>
      <w:r>
        <w:rPr>
          <w:rStyle w:val="28"/>
          <w:rFonts w:hint="eastAsia" w:ascii="黑体" w:hAnsi="黑体" w:eastAsia="黑体"/>
          <w:b w:val="0"/>
          <w:bCs w:val="0"/>
        </w:rPr>
        <w:t>构设置</w:t>
      </w:r>
      <w:bookmarkEnd w:id="28"/>
      <w:bookmarkEnd w:id="29"/>
      <w:bookmarkEnd w:id="30"/>
      <w:bookmarkEnd w:id="31"/>
    </w:p>
    <w:p>
      <w:pPr>
        <w:pageBreakBefore w:val="0"/>
        <w:widowControl/>
        <w:kinsoku/>
        <w:wordWrap/>
        <w:overflowPunct/>
        <w:topLinePunct w:val="0"/>
        <w:bidi w:val="0"/>
        <w:spacing w:line="576" w:lineRule="exact"/>
        <w:ind w:firstLine="640" w:firstLineChars="200"/>
        <w:jc w:val="left"/>
        <w:textAlignment w:val="auto"/>
        <w:rPr>
          <w:rFonts w:ascii="仿宋" w:hAnsi="仿宋" w:eastAsia="仿宋"/>
          <w:color w:val="000000"/>
          <w:kern w:val="0"/>
          <w:sz w:val="32"/>
          <w:szCs w:val="32"/>
        </w:rPr>
      </w:pPr>
      <w:r>
        <w:rPr>
          <w:rFonts w:hint="eastAsia" w:ascii="仿宋_GB2312" w:hAnsi="仿宋_GB2312" w:eastAsia="仿宋_GB2312" w:cs="仿宋_GB2312"/>
          <w:kern w:val="0"/>
          <w:sz w:val="32"/>
          <w:szCs w:val="32"/>
          <w:lang w:val="en-US" w:eastAsia="zh-CN" w:bidi="ar-SA"/>
        </w:rPr>
        <w:t>壤塘县供销合作社联合社属一级预算单位，下属二级预算单位0个，其中：行政单位0个；参照公务员法管理的事业单位1个；其他事业单位0个。</w:t>
      </w:r>
      <w:r>
        <w:rPr>
          <w:rFonts w:ascii="仿宋" w:hAnsi="仿宋" w:eastAsia="仿宋"/>
          <w:color w:val="000000"/>
          <w:sz w:val="32"/>
          <w:szCs w:val="32"/>
        </w:rPr>
        <w:br w:type="page"/>
      </w:r>
    </w:p>
    <w:p>
      <w:pPr>
        <w:pStyle w:val="2"/>
        <w:pageBreakBefore w:val="0"/>
        <w:kinsoku/>
        <w:wordWrap/>
        <w:overflowPunct/>
        <w:topLinePunct w:val="0"/>
        <w:bidi w:val="0"/>
        <w:spacing w:before="0" w:after="0" w:line="576" w:lineRule="exact"/>
        <w:ind w:right="440"/>
        <w:jc w:val="center"/>
        <w:textAlignment w:val="auto"/>
        <w:rPr>
          <w:rStyle w:val="27"/>
          <w:rFonts w:ascii="黑体" w:hAnsi="黑体" w:eastAsia="黑体"/>
          <w:b w:val="0"/>
          <w:bCs w:val="0"/>
        </w:rPr>
      </w:pPr>
      <w:bookmarkStart w:id="33" w:name="_Toc15396602"/>
      <w:bookmarkStart w:id="34" w:name="_Toc79163609"/>
      <w:bookmarkStart w:id="35" w:name="_Toc79163859"/>
      <w:bookmarkStart w:id="36" w:name="_Toc15377204"/>
      <w:r>
        <w:rPr>
          <w:rFonts w:hint="eastAsia" w:ascii="黑体" w:hAnsi="黑体" w:eastAsia="黑体"/>
          <w:b w:val="0"/>
          <w:color w:val="000000"/>
        </w:rPr>
        <w:t>第二部分</w:t>
      </w:r>
      <w:r>
        <w:rPr>
          <w:rFonts w:ascii="黑体" w:hAnsi="黑体" w:eastAsia="黑体"/>
          <w:color w:val="000000"/>
        </w:rPr>
        <w:t xml:space="preserve"> </w:t>
      </w:r>
      <w:r>
        <w:rPr>
          <w:rStyle w:val="27"/>
          <w:rFonts w:ascii="黑体" w:hAnsi="黑体" w:eastAsia="黑体"/>
          <w:b w:val="0"/>
          <w:bCs w:val="0"/>
        </w:rPr>
        <w:t>202</w:t>
      </w:r>
      <w:r>
        <w:rPr>
          <w:rStyle w:val="27"/>
          <w:rFonts w:hint="eastAsia" w:ascii="黑体" w:hAnsi="黑体" w:eastAsia="黑体"/>
          <w:b w:val="0"/>
          <w:bCs w:val="0"/>
          <w:lang w:val="en-US" w:eastAsia="zh-CN"/>
        </w:rPr>
        <w:t>5</w:t>
      </w:r>
      <w:r>
        <w:rPr>
          <w:rStyle w:val="27"/>
          <w:rFonts w:hint="eastAsia" w:ascii="黑体" w:hAnsi="黑体" w:eastAsia="黑体"/>
          <w:b w:val="0"/>
          <w:bCs w:val="0"/>
        </w:rPr>
        <w:t>年度部门决算情况说明</w:t>
      </w:r>
      <w:bookmarkEnd w:id="33"/>
      <w:bookmarkEnd w:id="34"/>
      <w:bookmarkEnd w:id="35"/>
      <w:bookmarkEnd w:id="36"/>
    </w:p>
    <w:p>
      <w:pPr>
        <w:pStyle w:val="38"/>
        <w:pageBreakBefore w:val="0"/>
        <w:numPr>
          <w:ilvl w:val="0"/>
          <w:numId w:val="0"/>
        </w:numPr>
        <w:kinsoku/>
        <w:wordWrap/>
        <w:overflowPunct/>
        <w:topLinePunct w:val="0"/>
        <w:bidi w:val="0"/>
        <w:spacing w:line="576" w:lineRule="exact"/>
        <w:textAlignment w:val="auto"/>
        <w:outlineLvl w:val="1"/>
        <w:rPr>
          <w:rFonts w:hint="eastAsia" w:ascii="黑体" w:hAnsi="黑体" w:eastAsia="黑体"/>
          <w:color w:val="000000"/>
          <w:sz w:val="32"/>
          <w:szCs w:val="32"/>
          <w:lang w:val="en-US" w:eastAsia="zh-CN"/>
        </w:rPr>
      </w:pPr>
      <w:bookmarkStart w:id="37" w:name="_Toc15396603"/>
      <w:bookmarkStart w:id="38" w:name="_Toc79163860"/>
      <w:bookmarkStart w:id="39" w:name="_Toc79163610"/>
      <w:bookmarkStart w:id="40" w:name="_Toc15377205"/>
    </w:p>
    <w:p>
      <w:pPr>
        <w:pStyle w:val="38"/>
        <w:pageBreakBefore w:val="0"/>
        <w:numPr>
          <w:ilvl w:val="0"/>
          <w:numId w:val="0"/>
        </w:numPr>
        <w:kinsoku/>
        <w:wordWrap/>
        <w:overflowPunct/>
        <w:topLinePunct w:val="0"/>
        <w:bidi w:val="0"/>
        <w:spacing w:line="576" w:lineRule="exact"/>
        <w:ind w:firstLine="640" w:firstLineChars="200"/>
        <w:textAlignment w:val="auto"/>
        <w:outlineLvl w:val="1"/>
        <w:rPr>
          <w:rStyle w:val="28"/>
          <w:rFonts w:ascii="黑体" w:hAnsi="黑体" w:eastAsia="黑体"/>
          <w:b w:val="0"/>
        </w:rPr>
      </w:pPr>
      <w:r>
        <w:rPr>
          <w:rFonts w:hint="eastAsia" w:ascii="黑体" w:hAnsi="黑体" w:eastAsia="黑体"/>
          <w:color w:val="000000"/>
          <w:sz w:val="32"/>
          <w:szCs w:val="32"/>
          <w:lang w:val="en-US" w:eastAsia="zh-CN"/>
        </w:rPr>
        <w:t>一、</w:t>
      </w:r>
      <w:r>
        <w:rPr>
          <w:rFonts w:hint="eastAsia" w:ascii="黑体" w:hAnsi="黑体" w:eastAsia="黑体"/>
          <w:color w:val="000000"/>
          <w:sz w:val="32"/>
          <w:szCs w:val="32"/>
        </w:rPr>
        <w:t>收</w:t>
      </w:r>
      <w:r>
        <w:rPr>
          <w:rStyle w:val="28"/>
          <w:rFonts w:hint="eastAsia" w:ascii="黑体" w:hAnsi="黑体" w:eastAsia="黑体"/>
          <w:b w:val="0"/>
        </w:rPr>
        <w:t>入支出决算总体情况说明</w:t>
      </w:r>
      <w:bookmarkEnd w:id="37"/>
      <w:bookmarkEnd w:id="38"/>
      <w:bookmarkEnd w:id="39"/>
      <w:bookmarkEnd w:id="40"/>
    </w:p>
    <w:p>
      <w:pPr>
        <w:pageBreakBefore w:val="0"/>
        <w:kinsoku/>
        <w:wordWrap/>
        <w:overflowPunct/>
        <w:topLinePunct w:val="0"/>
        <w:bidi w:val="0"/>
        <w:spacing w:line="576" w:lineRule="exact"/>
        <w:ind w:firstLine="640" w:firstLineChars="200"/>
        <w:textAlignment w:val="auto"/>
        <w:rPr>
          <w:rFonts w:hint="eastAsia" w:ascii="仿宋_GB2312" w:hAnsi="仿宋" w:eastAsia="仿宋_GB2312"/>
          <w:sz w:val="32"/>
          <w:szCs w:val="32"/>
          <w:lang w:val="en-US" w:eastAsia="zh-CN"/>
        </w:rPr>
      </w:pPr>
      <w:r>
        <w:rPr>
          <w:rFonts w:hint="eastAsia" w:eastAsia="仿宋_GB2312" w:cs="仿宋_GB2312"/>
          <w:sz w:val="32"/>
          <w:szCs w:val="32"/>
        </w:rPr>
        <w:t>本年财政预算收入</w:t>
      </w:r>
      <w:r>
        <w:rPr>
          <w:rFonts w:hint="eastAsia" w:eastAsia="仿宋_GB2312" w:cs="仿宋_GB2312"/>
          <w:color w:val="auto"/>
          <w:sz w:val="32"/>
          <w:szCs w:val="32"/>
          <w:lang w:val="en-US" w:eastAsia="zh-CN"/>
        </w:rPr>
        <w:t>263.64</w:t>
      </w:r>
      <w:r>
        <w:rPr>
          <w:rFonts w:hint="eastAsia" w:eastAsia="仿宋_GB2312" w:cs="仿宋_GB2312"/>
          <w:sz w:val="32"/>
          <w:szCs w:val="32"/>
        </w:rPr>
        <w:t>万元，</w:t>
      </w:r>
      <w:r>
        <w:rPr>
          <w:rFonts w:eastAsia="仿宋_GB2312"/>
          <w:sz w:val="32"/>
          <w:szCs w:val="32"/>
        </w:rPr>
        <w:t>20</w:t>
      </w:r>
      <w:r>
        <w:rPr>
          <w:rFonts w:hint="eastAsia" w:eastAsia="仿宋_GB2312"/>
          <w:sz w:val="32"/>
          <w:szCs w:val="32"/>
          <w:lang w:val="en-US" w:eastAsia="zh-CN"/>
        </w:rPr>
        <w:t>24</w:t>
      </w:r>
      <w:r>
        <w:rPr>
          <w:rFonts w:hint="eastAsia" w:eastAsia="仿宋_GB2312" w:cs="仿宋_GB2312"/>
          <w:sz w:val="32"/>
          <w:szCs w:val="32"/>
        </w:rPr>
        <w:t>年财政预算收入</w:t>
      </w:r>
      <w:r>
        <w:rPr>
          <w:rFonts w:hint="eastAsia" w:eastAsia="仿宋_GB2312" w:cs="仿宋_GB2312"/>
          <w:sz w:val="32"/>
          <w:szCs w:val="32"/>
          <w:lang w:val="en-US" w:eastAsia="zh-CN"/>
        </w:rPr>
        <w:t>388.75</w:t>
      </w:r>
      <w:r>
        <w:rPr>
          <w:rFonts w:hint="eastAsia" w:eastAsia="仿宋_GB2312" w:cs="仿宋_GB2312"/>
          <w:sz w:val="32"/>
          <w:szCs w:val="32"/>
        </w:rPr>
        <w:t>万元，比去年</w:t>
      </w:r>
      <w:r>
        <w:rPr>
          <w:rFonts w:hint="eastAsia" w:eastAsia="仿宋_GB2312" w:cs="仿宋_GB2312"/>
          <w:sz w:val="32"/>
          <w:szCs w:val="32"/>
          <w:lang w:eastAsia="zh-CN"/>
        </w:rPr>
        <w:t>减少</w:t>
      </w:r>
      <w:r>
        <w:rPr>
          <w:rFonts w:hint="eastAsia" w:eastAsia="仿宋_GB2312" w:cs="仿宋_GB2312"/>
          <w:sz w:val="32"/>
          <w:szCs w:val="32"/>
          <w:lang w:val="en-US" w:eastAsia="zh-CN"/>
        </w:rPr>
        <w:t>125.11</w:t>
      </w:r>
      <w:r>
        <w:rPr>
          <w:rFonts w:hint="eastAsia" w:eastAsia="仿宋_GB2312" w:cs="仿宋_GB2312"/>
          <w:sz w:val="32"/>
          <w:szCs w:val="32"/>
        </w:rPr>
        <w:t>万元，</w:t>
      </w:r>
      <w:r>
        <w:rPr>
          <w:rFonts w:hint="eastAsia" w:eastAsia="仿宋_GB2312" w:cs="仿宋_GB2312"/>
          <w:sz w:val="32"/>
          <w:szCs w:val="32"/>
          <w:lang w:val="en-US" w:eastAsia="zh-CN"/>
        </w:rPr>
        <w:t>下降32.18</w:t>
      </w:r>
      <w:r>
        <w:rPr>
          <w:rFonts w:eastAsia="仿宋_GB2312"/>
          <w:sz w:val="32"/>
          <w:szCs w:val="32"/>
        </w:rPr>
        <w:t>%</w:t>
      </w:r>
      <w:r>
        <w:rPr>
          <w:rFonts w:hint="eastAsia" w:eastAsia="仿宋_GB2312" w:cs="仿宋_GB2312"/>
          <w:sz w:val="32"/>
          <w:szCs w:val="32"/>
        </w:rPr>
        <w:t>。本年支出预算数</w:t>
      </w:r>
      <w:r>
        <w:rPr>
          <w:rFonts w:hint="eastAsia" w:eastAsia="仿宋_GB2312" w:cs="仿宋_GB2312"/>
          <w:color w:val="auto"/>
          <w:sz w:val="32"/>
          <w:szCs w:val="32"/>
          <w:lang w:val="en-US" w:eastAsia="zh-CN"/>
        </w:rPr>
        <w:t>263.64</w:t>
      </w:r>
      <w:r>
        <w:rPr>
          <w:rFonts w:hint="eastAsia" w:eastAsia="仿宋_GB2312" w:cs="仿宋_GB2312"/>
          <w:sz w:val="32"/>
          <w:szCs w:val="32"/>
        </w:rPr>
        <w:t>万元，</w:t>
      </w:r>
      <w:r>
        <w:rPr>
          <w:rFonts w:eastAsia="仿宋_GB2312"/>
          <w:sz w:val="32"/>
          <w:szCs w:val="32"/>
        </w:rPr>
        <w:t>20</w:t>
      </w:r>
      <w:r>
        <w:rPr>
          <w:rFonts w:hint="eastAsia" w:eastAsia="仿宋_GB2312"/>
          <w:sz w:val="32"/>
          <w:szCs w:val="32"/>
          <w:lang w:val="en-US" w:eastAsia="zh-CN"/>
        </w:rPr>
        <w:t>24</w:t>
      </w:r>
      <w:r>
        <w:rPr>
          <w:rFonts w:hint="eastAsia" w:eastAsia="仿宋_GB2312" w:cs="仿宋_GB2312"/>
          <w:sz w:val="32"/>
          <w:szCs w:val="32"/>
        </w:rPr>
        <w:t>年支出预算数</w:t>
      </w:r>
      <w:r>
        <w:rPr>
          <w:rFonts w:hint="eastAsia" w:eastAsia="仿宋_GB2312" w:cs="仿宋_GB2312"/>
          <w:sz w:val="32"/>
          <w:szCs w:val="32"/>
          <w:lang w:val="en-US" w:eastAsia="zh-CN"/>
        </w:rPr>
        <w:t>388.75</w:t>
      </w:r>
      <w:r>
        <w:rPr>
          <w:rFonts w:hint="eastAsia" w:eastAsia="仿宋_GB2312" w:cs="仿宋_GB2312"/>
          <w:sz w:val="32"/>
          <w:szCs w:val="32"/>
        </w:rPr>
        <w:t>万元，比去年</w:t>
      </w:r>
      <w:r>
        <w:rPr>
          <w:rFonts w:hint="eastAsia" w:eastAsia="仿宋_GB2312" w:cs="仿宋_GB2312"/>
          <w:sz w:val="32"/>
          <w:szCs w:val="32"/>
          <w:lang w:eastAsia="zh-CN"/>
        </w:rPr>
        <w:t>减少</w:t>
      </w:r>
      <w:r>
        <w:rPr>
          <w:rFonts w:hint="eastAsia" w:eastAsia="仿宋_GB2312" w:cs="仿宋_GB2312"/>
          <w:sz w:val="32"/>
          <w:szCs w:val="32"/>
          <w:lang w:val="en-US" w:eastAsia="zh-CN"/>
        </w:rPr>
        <w:t>125.11</w:t>
      </w:r>
      <w:r>
        <w:rPr>
          <w:rFonts w:hint="eastAsia" w:eastAsia="仿宋_GB2312" w:cs="仿宋_GB2312"/>
          <w:sz w:val="32"/>
          <w:szCs w:val="32"/>
        </w:rPr>
        <w:t>万元，</w:t>
      </w:r>
      <w:r>
        <w:rPr>
          <w:rFonts w:hint="eastAsia" w:eastAsia="仿宋_GB2312" w:cs="仿宋_GB2312"/>
          <w:sz w:val="32"/>
          <w:szCs w:val="32"/>
          <w:lang w:val="en-US" w:eastAsia="zh-CN"/>
        </w:rPr>
        <w:t>下降32.18</w:t>
      </w:r>
      <w:r>
        <w:rPr>
          <w:rFonts w:eastAsia="仿宋_GB2312"/>
          <w:sz w:val="32"/>
          <w:szCs w:val="32"/>
        </w:rPr>
        <w:t>%</w:t>
      </w:r>
      <w:r>
        <w:rPr>
          <w:rFonts w:hint="eastAsia" w:eastAsia="仿宋_GB2312"/>
          <w:sz w:val="32"/>
          <w:szCs w:val="32"/>
          <w:lang w:eastAsia="zh-CN"/>
        </w:rPr>
        <w:t>，</w:t>
      </w:r>
      <w:r>
        <w:rPr>
          <w:rFonts w:hint="eastAsia" w:ascii="仿宋_GB2312" w:hAnsi="仿宋" w:eastAsia="仿宋_GB2312"/>
          <w:sz w:val="32"/>
          <w:szCs w:val="32"/>
        </w:rPr>
        <w:t>变动原因</w:t>
      </w:r>
      <w:r>
        <w:rPr>
          <w:rFonts w:hint="eastAsia" w:ascii="仿宋_GB2312" w:hAnsi="仿宋" w:eastAsia="仿宋_GB2312"/>
          <w:sz w:val="32"/>
          <w:szCs w:val="32"/>
          <w:lang w:val="en-US" w:eastAsia="zh-CN"/>
        </w:rPr>
        <w:t>：项目减少，项目经费减少。</w:t>
      </w:r>
    </w:p>
    <w:p>
      <w:pPr>
        <w:pageBreakBefore w:val="0"/>
        <w:kinsoku/>
        <w:wordWrap/>
        <w:overflowPunct/>
        <w:topLinePunct w:val="0"/>
        <w:bidi w:val="0"/>
        <w:spacing w:line="576" w:lineRule="exact"/>
        <w:ind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1</w:t>
      </w:r>
      <w:r>
        <w:rPr>
          <w:rFonts w:hint="eastAsia" w:ascii="仿宋" w:hAnsi="仿宋" w:eastAsia="仿宋"/>
          <w:color w:val="000000"/>
          <w:sz w:val="32"/>
          <w:szCs w:val="32"/>
        </w:rPr>
        <w:t>：收、支决算总计变动情况图（</w:t>
      </w:r>
      <w:r>
        <w:rPr>
          <w:rFonts w:hint="eastAsia" w:ascii="仿宋" w:hAnsi="仿宋" w:eastAsia="仿宋"/>
          <w:color w:val="000000"/>
          <w:sz w:val="32"/>
          <w:szCs w:val="32"/>
          <w:lang w:eastAsia="zh-CN"/>
        </w:rPr>
        <w:t>单位：万元</w:t>
      </w:r>
      <w:r>
        <w:rPr>
          <w:rFonts w:hint="eastAsia" w:ascii="仿宋" w:hAnsi="仿宋" w:eastAsia="仿宋"/>
          <w:color w:val="000000"/>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仿宋_GB2312" w:eastAsia="仿宋_GB2312"/>
          <w:color w:val="000000"/>
          <w:sz w:val="32"/>
          <w:szCs w:val="32"/>
          <w:lang w:eastAsia="zh-CN"/>
        </w:rPr>
      </w:pPr>
      <w:r>
        <w:drawing>
          <wp:inline distT="0" distB="0" distL="114300" distR="114300">
            <wp:extent cx="4826000" cy="2743200"/>
            <wp:effectExtent l="4445" t="4445" r="825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pStyle w:val="38"/>
        <w:pageBreakBefore w:val="0"/>
        <w:numPr>
          <w:ilvl w:val="0"/>
          <w:numId w:val="0"/>
        </w:numPr>
        <w:kinsoku/>
        <w:wordWrap/>
        <w:overflowPunct/>
        <w:topLinePunct w:val="0"/>
        <w:bidi w:val="0"/>
        <w:spacing w:line="576" w:lineRule="exact"/>
        <w:ind w:firstLine="640" w:firstLineChars="200"/>
        <w:textAlignment w:val="auto"/>
        <w:outlineLvl w:val="1"/>
        <w:rPr>
          <w:rStyle w:val="28"/>
          <w:rFonts w:ascii="黑体" w:hAnsi="黑体" w:eastAsia="黑体"/>
          <w:b w:val="0"/>
        </w:rPr>
      </w:pPr>
      <w:bookmarkStart w:id="41" w:name="_Toc79163611"/>
      <w:bookmarkStart w:id="42" w:name="_Toc15377206"/>
      <w:bookmarkStart w:id="43" w:name="_Toc79163861"/>
      <w:bookmarkStart w:id="44" w:name="_Toc15396604"/>
      <w:r>
        <w:rPr>
          <w:rFonts w:hint="eastAsia" w:ascii="黑体" w:hAnsi="黑体" w:eastAsia="黑体"/>
          <w:color w:val="000000"/>
          <w:sz w:val="32"/>
          <w:szCs w:val="32"/>
          <w:lang w:eastAsia="zh-CN"/>
        </w:rPr>
        <w:t>二、</w:t>
      </w:r>
      <w:r>
        <w:rPr>
          <w:rFonts w:hint="eastAsia" w:ascii="黑体" w:hAnsi="黑体" w:eastAsia="黑体"/>
          <w:color w:val="000000"/>
          <w:sz w:val="32"/>
          <w:szCs w:val="32"/>
        </w:rPr>
        <w:t>收</w:t>
      </w:r>
      <w:r>
        <w:rPr>
          <w:rStyle w:val="28"/>
          <w:rFonts w:hint="eastAsia" w:ascii="黑体" w:hAnsi="黑体" w:eastAsia="黑体"/>
          <w:b w:val="0"/>
        </w:rPr>
        <w:t>入决算情况说明</w:t>
      </w:r>
      <w:bookmarkEnd w:id="41"/>
      <w:bookmarkEnd w:id="42"/>
      <w:bookmarkEnd w:id="43"/>
      <w:bookmarkEnd w:id="44"/>
    </w:p>
    <w:p>
      <w:pPr>
        <w:pageBreakBefore w:val="0"/>
        <w:kinsoku/>
        <w:wordWrap/>
        <w:overflowPunct/>
        <w:topLinePunct w:val="0"/>
        <w:bidi w:val="0"/>
        <w:spacing w:line="576" w:lineRule="exact"/>
        <w:ind w:firstLine="640" w:firstLineChars="200"/>
        <w:textAlignment w:val="auto"/>
        <w:rPr>
          <w:rFonts w:ascii="仿宋_GB2312" w:eastAsia="仿宋_GB2312"/>
          <w:color w:val="FF0000"/>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年本年收入合计</w:t>
      </w:r>
      <w:r>
        <w:rPr>
          <w:rFonts w:hint="eastAsia" w:ascii="仿宋" w:hAnsi="仿宋" w:eastAsia="仿宋"/>
          <w:color w:val="000000"/>
          <w:sz w:val="32"/>
          <w:szCs w:val="32"/>
          <w:lang w:val="en-US" w:eastAsia="zh-CN"/>
        </w:rPr>
        <w:t>263.64</w:t>
      </w:r>
      <w:r>
        <w:rPr>
          <w:rFonts w:hint="eastAsia" w:ascii="仿宋" w:hAnsi="仿宋" w:eastAsia="仿宋"/>
          <w:color w:val="000000"/>
          <w:sz w:val="32"/>
          <w:szCs w:val="32"/>
        </w:rPr>
        <w:t>万元，其中：一般公共预算财政拨款收入</w:t>
      </w:r>
      <w:r>
        <w:rPr>
          <w:rFonts w:hint="eastAsia" w:ascii="仿宋" w:hAnsi="仿宋" w:eastAsia="仿宋"/>
          <w:color w:val="000000"/>
          <w:sz w:val="32"/>
          <w:szCs w:val="32"/>
          <w:lang w:val="en-US" w:eastAsia="zh-CN"/>
        </w:rPr>
        <w:t>263.64</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。政府性基金预算财政拨款收入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；上级补助收入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；事业收入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；经营收入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；附属单位上缴收入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；其他收入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w:t>
      </w:r>
    </w:p>
    <w:p>
      <w:pPr>
        <w:pageBreakBefore w:val="0"/>
        <w:kinsoku/>
        <w:wordWrap/>
        <w:overflowPunct/>
        <w:topLinePunct w:val="0"/>
        <w:bidi w:val="0"/>
        <w:spacing w:line="576" w:lineRule="exact"/>
        <w:ind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2</w:t>
      </w:r>
      <w:r>
        <w:rPr>
          <w:rFonts w:hint="eastAsia" w:ascii="仿宋" w:hAnsi="仿宋" w:eastAsia="仿宋"/>
          <w:color w:val="000000"/>
          <w:sz w:val="32"/>
          <w:szCs w:val="32"/>
        </w:rPr>
        <w:t>：收入决算结构图（</w:t>
      </w:r>
      <w:r>
        <w:rPr>
          <w:rFonts w:hint="eastAsia" w:ascii="仿宋" w:hAnsi="仿宋" w:eastAsia="仿宋"/>
          <w:color w:val="000000"/>
          <w:sz w:val="32"/>
          <w:szCs w:val="32"/>
          <w:lang w:eastAsia="zh-CN"/>
        </w:rPr>
        <w:t>单位：万元</w:t>
      </w:r>
      <w:r>
        <w:rPr>
          <w:rFonts w:hint="eastAsia" w:ascii="仿宋" w:hAnsi="仿宋" w:eastAsia="仿宋"/>
          <w:color w:val="000000"/>
          <w:sz w:val="32"/>
          <w:szCs w:val="32"/>
        </w:rPr>
        <w:t>）</w:t>
      </w:r>
    </w:p>
    <w:p>
      <w:pPr>
        <w:pStyle w:val="8"/>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olor w:val="000000"/>
          <w:sz w:val="32"/>
          <w:szCs w:val="32"/>
          <w:lang w:eastAsia="zh-CN"/>
        </w:rPr>
      </w:pPr>
      <w:bookmarkStart w:id="45" w:name="_Toc15396605"/>
      <w:bookmarkStart w:id="46" w:name="_Toc79163612"/>
      <w:bookmarkStart w:id="47" w:name="_Toc15377207"/>
      <w:bookmarkStart w:id="48" w:name="_Toc79163862"/>
      <w:r>
        <w:drawing>
          <wp:inline distT="0" distB="0" distL="114300" distR="114300">
            <wp:extent cx="4139565" cy="2437130"/>
            <wp:effectExtent l="5080" t="4445" r="8255" b="1587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38"/>
        <w:pageBreakBefore w:val="0"/>
        <w:numPr>
          <w:ilvl w:val="0"/>
          <w:numId w:val="0"/>
        </w:numPr>
        <w:kinsoku/>
        <w:wordWrap/>
        <w:overflowPunct/>
        <w:topLinePunct w:val="0"/>
        <w:bidi w:val="0"/>
        <w:spacing w:line="576" w:lineRule="exact"/>
        <w:ind w:firstLine="640" w:firstLineChars="200"/>
        <w:textAlignment w:val="auto"/>
        <w:outlineLvl w:val="1"/>
        <w:rPr>
          <w:rStyle w:val="28"/>
          <w:rFonts w:ascii="黑体" w:hAnsi="黑体" w:eastAsia="黑体"/>
          <w:b w:val="0"/>
        </w:rPr>
      </w:pPr>
      <w:r>
        <w:rPr>
          <w:rFonts w:hint="eastAsia" w:ascii="黑体" w:hAnsi="黑体" w:eastAsia="黑体"/>
          <w:color w:val="000000"/>
          <w:sz w:val="32"/>
          <w:szCs w:val="32"/>
          <w:lang w:eastAsia="zh-CN"/>
        </w:rPr>
        <w:t>三、</w:t>
      </w:r>
      <w:r>
        <w:rPr>
          <w:rFonts w:hint="eastAsia" w:ascii="黑体" w:hAnsi="黑体" w:eastAsia="黑体"/>
          <w:color w:val="000000"/>
          <w:sz w:val="32"/>
          <w:szCs w:val="32"/>
        </w:rPr>
        <w:t>支</w:t>
      </w:r>
      <w:r>
        <w:rPr>
          <w:rStyle w:val="28"/>
          <w:rFonts w:hint="eastAsia" w:ascii="黑体" w:hAnsi="黑体" w:eastAsia="黑体"/>
          <w:b w:val="0"/>
        </w:rPr>
        <w:t>出决算情况说明</w:t>
      </w:r>
      <w:bookmarkEnd w:id="45"/>
      <w:bookmarkEnd w:id="46"/>
      <w:bookmarkEnd w:id="47"/>
      <w:bookmarkEnd w:id="48"/>
    </w:p>
    <w:p>
      <w:pPr>
        <w:pageBreakBefore w:val="0"/>
        <w:kinsoku/>
        <w:wordWrap/>
        <w:overflowPunct/>
        <w:topLinePunct w:val="0"/>
        <w:bidi w:val="0"/>
        <w:spacing w:line="576" w:lineRule="exact"/>
        <w:ind w:firstLine="640" w:firstLineChars="200"/>
        <w:textAlignment w:val="auto"/>
        <w:rPr>
          <w:rFonts w:ascii="仿宋" w:hAnsi="仿宋" w:eastAsia="仿宋"/>
          <w:color w:val="000000"/>
          <w:sz w:val="32"/>
          <w:szCs w:val="32"/>
          <w:shd w:val="pct10" w:color="auto" w:fill="FFFFFF"/>
        </w:rPr>
      </w:pPr>
      <w:r>
        <w:rPr>
          <w:rFonts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年本年支出合计</w:t>
      </w:r>
      <w:r>
        <w:rPr>
          <w:rFonts w:hint="eastAsia" w:ascii="仿宋_GB2312" w:eastAsia="仿宋_GB2312"/>
          <w:sz w:val="32"/>
          <w:szCs w:val="32"/>
          <w:lang w:val="en-US" w:eastAsia="zh-CN"/>
        </w:rPr>
        <w:t>263.64</w:t>
      </w:r>
      <w:r>
        <w:rPr>
          <w:rFonts w:hint="eastAsia" w:ascii="仿宋_GB2312" w:eastAsia="仿宋_GB2312"/>
          <w:sz w:val="32"/>
          <w:szCs w:val="32"/>
        </w:rPr>
        <w:t>万元，其中：基本支出</w:t>
      </w:r>
      <w:r>
        <w:rPr>
          <w:rFonts w:hint="eastAsia" w:ascii="仿宋_GB2312" w:eastAsia="仿宋_GB2312"/>
          <w:sz w:val="32"/>
          <w:szCs w:val="32"/>
          <w:lang w:val="en-US" w:eastAsia="zh-CN"/>
        </w:rPr>
        <w:t>244.64</w:t>
      </w:r>
      <w:r>
        <w:rPr>
          <w:rFonts w:hint="eastAsia" w:ascii="仿宋_GB2312" w:eastAsia="仿宋_GB2312"/>
          <w:sz w:val="32"/>
          <w:szCs w:val="32"/>
        </w:rPr>
        <w:t>万元，占</w:t>
      </w:r>
      <w:r>
        <w:rPr>
          <w:rFonts w:hint="eastAsia" w:ascii="仿宋_GB2312" w:eastAsia="仿宋_GB2312"/>
          <w:sz w:val="32"/>
          <w:szCs w:val="32"/>
          <w:lang w:val="en-US" w:eastAsia="zh-CN"/>
        </w:rPr>
        <w:t>92.79</w:t>
      </w:r>
      <w:r>
        <w:rPr>
          <w:rFonts w:ascii="仿宋_GB2312" w:eastAsia="仿宋_GB2312"/>
          <w:sz w:val="32"/>
          <w:szCs w:val="32"/>
        </w:rPr>
        <w:t>%</w:t>
      </w:r>
      <w:r>
        <w:rPr>
          <w:rFonts w:hint="eastAsia" w:ascii="仿宋_GB2312" w:eastAsia="仿宋_GB2312"/>
          <w:sz w:val="32"/>
          <w:szCs w:val="32"/>
        </w:rPr>
        <w:t>；项目支出</w:t>
      </w:r>
      <w:r>
        <w:rPr>
          <w:rFonts w:hint="eastAsia" w:ascii="仿宋_GB2312" w:eastAsia="仿宋_GB2312"/>
          <w:sz w:val="32"/>
          <w:szCs w:val="32"/>
          <w:lang w:val="en-US" w:eastAsia="zh-CN"/>
        </w:rPr>
        <w:t>19</w:t>
      </w:r>
      <w:r>
        <w:rPr>
          <w:rFonts w:hint="eastAsia" w:ascii="仿宋_GB2312" w:eastAsia="仿宋_GB2312"/>
          <w:sz w:val="32"/>
          <w:szCs w:val="32"/>
        </w:rPr>
        <w:t>万元，占</w:t>
      </w:r>
      <w:r>
        <w:rPr>
          <w:rFonts w:hint="eastAsia" w:ascii="仿宋_GB2312" w:eastAsia="仿宋_GB2312"/>
          <w:sz w:val="32"/>
          <w:szCs w:val="32"/>
          <w:lang w:val="en-US" w:eastAsia="zh-CN"/>
        </w:rPr>
        <w:t>7.21</w:t>
      </w:r>
      <w:r>
        <w:rPr>
          <w:rFonts w:ascii="仿宋_GB2312" w:eastAsia="仿宋_GB2312"/>
          <w:sz w:val="32"/>
          <w:szCs w:val="32"/>
        </w:rPr>
        <w:t>%</w:t>
      </w:r>
      <w:r>
        <w:rPr>
          <w:rFonts w:hint="eastAsia" w:ascii="仿宋_GB2312" w:eastAsia="仿宋_GB2312"/>
          <w:sz w:val="32"/>
          <w:szCs w:val="32"/>
        </w:rPr>
        <w:t>；上缴上级支出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；经营支出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；对附属单位补助支出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w:t>
      </w:r>
    </w:p>
    <w:p>
      <w:pPr>
        <w:pageBreakBefore w:val="0"/>
        <w:kinsoku/>
        <w:wordWrap/>
        <w:overflowPunct/>
        <w:topLinePunct w:val="0"/>
        <w:bidi w:val="0"/>
        <w:spacing w:line="576" w:lineRule="exact"/>
        <w:ind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3</w:t>
      </w:r>
      <w:r>
        <w:rPr>
          <w:rFonts w:hint="eastAsia" w:ascii="仿宋" w:hAnsi="仿宋" w:eastAsia="仿宋"/>
          <w:color w:val="000000"/>
          <w:sz w:val="32"/>
          <w:szCs w:val="32"/>
        </w:rPr>
        <w:t>：支出决算结构图（</w:t>
      </w:r>
      <w:r>
        <w:rPr>
          <w:rFonts w:hint="eastAsia" w:ascii="仿宋" w:hAnsi="仿宋" w:eastAsia="仿宋"/>
          <w:color w:val="000000"/>
          <w:sz w:val="32"/>
          <w:szCs w:val="32"/>
          <w:lang w:eastAsia="zh-CN"/>
        </w:rPr>
        <w:t>单位：万元</w:t>
      </w:r>
      <w:r>
        <w:rPr>
          <w:rFonts w:hint="eastAsia" w:ascii="仿宋" w:hAnsi="仿宋" w:eastAsia="仿宋"/>
          <w:color w:val="000000"/>
          <w:sz w:val="32"/>
          <w:szCs w:val="32"/>
        </w:rPr>
        <w:t>）</w:t>
      </w:r>
    </w:p>
    <w:p>
      <w:pPr>
        <w:pStyle w:val="8"/>
        <w:keepNext w:val="0"/>
        <w:keepLines w:val="0"/>
        <w:pageBreakBefore w:val="0"/>
        <w:widowControl w:val="0"/>
        <w:kinsoku/>
        <w:wordWrap/>
        <w:overflowPunct/>
        <w:topLinePunct w:val="0"/>
        <w:autoSpaceDE/>
        <w:autoSpaceDN/>
        <w:bidi w:val="0"/>
        <w:adjustRightInd/>
        <w:snapToGrid/>
        <w:spacing w:line="240" w:lineRule="auto"/>
        <w:textAlignment w:val="auto"/>
        <w:rPr>
          <w:rFonts w:ascii="仿宋_GB2312" w:eastAsia="仿宋_GB2312"/>
          <w:color w:val="FF0000"/>
          <w:sz w:val="32"/>
          <w:szCs w:val="32"/>
        </w:rPr>
      </w:pPr>
      <w:r>
        <w:drawing>
          <wp:inline distT="0" distB="0" distL="114300" distR="114300">
            <wp:extent cx="3608705" cy="2396490"/>
            <wp:effectExtent l="4445" t="5080" r="6350" b="17780"/>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ageBreakBefore w:val="0"/>
        <w:kinsoku/>
        <w:wordWrap/>
        <w:overflowPunct/>
        <w:topLinePunct w:val="0"/>
        <w:bidi w:val="0"/>
        <w:spacing w:line="576" w:lineRule="exact"/>
        <w:ind w:firstLine="640" w:firstLineChars="200"/>
        <w:textAlignment w:val="auto"/>
        <w:outlineLvl w:val="1"/>
        <w:rPr>
          <w:rStyle w:val="28"/>
          <w:rFonts w:ascii="黑体" w:hAnsi="黑体" w:eastAsia="黑体"/>
          <w:b w:val="0"/>
        </w:rPr>
      </w:pPr>
      <w:bookmarkStart w:id="49" w:name="_Toc15377208"/>
      <w:bookmarkStart w:id="50" w:name="_Toc79163613"/>
      <w:bookmarkStart w:id="51" w:name="_Toc79163863"/>
      <w:bookmarkStart w:id="52" w:name="_Toc15396606"/>
      <w:r>
        <w:rPr>
          <w:rFonts w:hint="eastAsia" w:ascii="黑体" w:hAnsi="黑体" w:eastAsia="黑体"/>
          <w:color w:val="000000"/>
          <w:sz w:val="32"/>
          <w:szCs w:val="32"/>
        </w:rPr>
        <w:t>四、财</w:t>
      </w:r>
      <w:r>
        <w:rPr>
          <w:rStyle w:val="28"/>
          <w:rFonts w:hint="eastAsia" w:ascii="黑体" w:hAnsi="黑体" w:eastAsia="黑体"/>
          <w:b w:val="0"/>
        </w:rPr>
        <w:t>政拨款收入支出决算总体情况说明</w:t>
      </w:r>
      <w:bookmarkEnd w:id="49"/>
      <w:bookmarkEnd w:id="50"/>
      <w:bookmarkEnd w:id="51"/>
      <w:bookmarkEnd w:id="52"/>
    </w:p>
    <w:p>
      <w:pPr>
        <w:pageBreakBefore w:val="0"/>
        <w:kinsoku/>
        <w:wordWrap/>
        <w:overflowPunct/>
        <w:topLinePunct w:val="0"/>
        <w:bidi w:val="0"/>
        <w:spacing w:line="576" w:lineRule="exact"/>
        <w:ind w:firstLine="640" w:firstLineChars="200"/>
        <w:textAlignment w:val="auto"/>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年财政拨款收、支总计</w:t>
      </w:r>
      <w:r>
        <w:rPr>
          <w:rFonts w:hint="eastAsia" w:ascii="仿宋" w:hAnsi="仿宋" w:eastAsia="仿宋"/>
          <w:color w:val="000000"/>
          <w:sz w:val="32"/>
          <w:szCs w:val="32"/>
          <w:lang w:val="en-US" w:eastAsia="zh-CN"/>
        </w:rPr>
        <w:t>263.64</w:t>
      </w:r>
      <w:r>
        <w:rPr>
          <w:rFonts w:hint="eastAsia" w:ascii="仿宋" w:hAnsi="仿宋" w:eastAsia="仿宋"/>
          <w:color w:val="000000"/>
          <w:sz w:val="32"/>
          <w:szCs w:val="32"/>
        </w:rPr>
        <w:t>万元。与</w:t>
      </w:r>
      <w:r>
        <w:rPr>
          <w:rFonts w:ascii="仿宋" w:hAnsi="仿宋" w:eastAsia="仿宋"/>
          <w:color w:val="000000"/>
          <w:sz w:val="32"/>
          <w:szCs w:val="32"/>
        </w:rPr>
        <w:t>20</w:t>
      </w:r>
      <w:r>
        <w:rPr>
          <w:rFonts w:hint="eastAsia" w:ascii="仿宋" w:hAnsi="仿宋" w:eastAsia="仿宋"/>
          <w:color w:val="000000"/>
          <w:sz w:val="32"/>
          <w:szCs w:val="32"/>
        </w:rPr>
        <w:t>2</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年相比，财政拨款收、支总计</w:t>
      </w:r>
      <w:r>
        <w:rPr>
          <w:rFonts w:hint="eastAsia" w:ascii="仿宋" w:hAnsi="仿宋" w:eastAsia="仿宋"/>
          <w:color w:val="000000"/>
          <w:sz w:val="32"/>
          <w:szCs w:val="32"/>
          <w:lang w:eastAsia="zh-CN"/>
        </w:rPr>
        <w:t>减少</w:t>
      </w:r>
      <w:r>
        <w:rPr>
          <w:rFonts w:hint="eastAsia" w:ascii="仿宋" w:hAnsi="仿宋" w:eastAsia="仿宋"/>
          <w:color w:val="000000"/>
          <w:sz w:val="32"/>
          <w:szCs w:val="32"/>
          <w:lang w:val="en-US" w:eastAsia="zh-CN"/>
        </w:rPr>
        <w:t>125.11</w:t>
      </w:r>
      <w:r>
        <w:rPr>
          <w:rFonts w:hint="eastAsia" w:ascii="仿宋" w:hAnsi="仿宋" w:eastAsia="仿宋"/>
          <w:color w:val="000000"/>
          <w:sz w:val="32"/>
          <w:szCs w:val="32"/>
        </w:rPr>
        <w:t>万元，</w:t>
      </w:r>
      <w:r>
        <w:rPr>
          <w:rFonts w:hint="eastAsia" w:ascii="仿宋" w:hAnsi="仿宋" w:eastAsia="仿宋"/>
          <w:color w:val="000000"/>
          <w:sz w:val="32"/>
          <w:szCs w:val="32"/>
          <w:lang w:val="en-US" w:eastAsia="zh-CN"/>
        </w:rPr>
        <w:t>下降32.18</w:t>
      </w:r>
      <w:r>
        <w:rPr>
          <w:rFonts w:eastAsia="仿宋_GB2312"/>
          <w:sz w:val="32"/>
          <w:szCs w:val="32"/>
        </w:rPr>
        <w:t>%</w:t>
      </w:r>
      <w:r>
        <w:rPr>
          <w:rFonts w:hint="eastAsia" w:eastAsia="仿宋_GB2312"/>
          <w:sz w:val="32"/>
          <w:szCs w:val="32"/>
          <w:lang w:eastAsia="zh-CN"/>
        </w:rPr>
        <w:t>。</w:t>
      </w:r>
      <w:r>
        <w:rPr>
          <w:rFonts w:hint="eastAsia" w:ascii="仿宋" w:hAnsi="仿宋" w:eastAsia="仿宋"/>
          <w:color w:val="000000"/>
          <w:sz w:val="32"/>
          <w:szCs w:val="32"/>
        </w:rPr>
        <w:t>主要变动原因</w:t>
      </w:r>
      <w:r>
        <w:rPr>
          <w:rFonts w:hint="eastAsia" w:ascii="仿宋" w:hAnsi="仿宋" w:eastAsia="仿宋"/>
          <w:color w:val="000000"/>
          <w:sz w:val="32"/>
          <w:szCs w:val="32"/>
          <w:lang w:val="en-US" w:eastAsia="zh-CN"/>
        </w:rPr>
        <w:t>项目</w:t>
      </w:r>
      <w:r>
        <w:rPr>
          <w:rFonts w:hint="eastAsia" w:ascii="仿宋_GB2312" w:hAnsi="仿宋" w:eastAsia="仿宋_GB2312"/>
          <w:sz w:val="32"/>
          <w:szCs w:val="32"/>
          <w:lang w:val="en-US" w:eastAsia="zh-CN"/>
        </w:rPr>
        <w:t>经费减少。</w:t>
      </w:r>
    </w:p>
    <w:p>
      <w:pPr>
        <w:pageBreakBefore w:val="0"/>
        <w:kinsoku/>
        <w:wordWrap/>
        <w:overflowPunct/>
        <w:topLinePunct w:val="0"/>
        <w:bidi w:val="0"/>
        <w:spacing w:line="576" w:lineRule="exact"/>
        <w:ind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4</w:t>
      </w:r>
      <w:r>
        <w:rPr>
          <w:rFonts w:hint="eastAsia" w:ascii="仿宋" w:hAnsi="仿宋" w:eastAsia="仿宋"/>
          <w:color w:val="000000"/>
          <w:sz w:val="32"/>
          <w:szCs w:val="32"/>
        </w:rPr>
        <w:t>：财政拨款收、支决算总计变动情况（</w:t>
      </w:r>
      <w:r>
        <w:rPr>
          <w:rFonts w:hint="eastAsia" w:ascii="仿宋" w:hAnsi="仿宋" w:eastAsia="仿宋"/>
          <w:color w:val="000000"/>
          <w:sz w:val="32"/>
          <w:szCs w:val="32"/>
          <w:lang w:eastAsia="zh-CN"/>
        </w:rPr>
        <w:t>单位：万元</w:t>
      </w:r>
      <w:r>
        <w:rPr>
          <w:rFonts w:hint="eastAsia" w:ascii="仿宋" w:hAnsi="仿宋" w:eastAsia="仿宋"/>
          <w:color w:val="000000"/>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ascii="仿宋" w:hAnsi="仿宋" w:eastAsia="仿宋"/>
          <w:b/>
          <w:color w:val="00B050"/>
          <w:sz w:val="32"/>
          <w:szCs w:val="32"/>
        </w:rPr>
      </w:pPr>
      <w:r>
        <w:drawing>
          <wp:inline distT="0" distB="0" distL="114300" distR="114300">
            <wp:extent cx="4261485" cy="2362200"/>
            <wp:effectExtent l="4445" t="4445" r="20320" b="1460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ageBreakBefore w:val="0"/>
        <w:kinsoku/>
        <w:wordWrap/>
        <w:overflowPunct/>
        <w:topLinePunct w:val="0"/>
        <w:bidi w:val="0"/>
        <w:spacing w:line="576" w:lineRule="exact"/>
        <w:ind w:firstLine="640" w:firstLineChars="200"/>
        <w:textAlignment w:val="auto"/>
        <w:outlineLvl w:val="1"/>
        <w:rPr>
          <w:rStyle w:val="28"/>
          <w:rFonts w:ascii="黑体" w:hAnsi="黑体" w:eastAsia="黑体"/>
          <w:b w:val="0"/>
        </w:rPr>
      </w:pPr>
      <w:bookmarkStart w:id="53" w:name="_Toc79163864"/>
      <w:bookmarkStart w:id="54" w:name="_Toc79163614"/>
      <w:bookmarkStart w:id="55" w:name="_Toc15377209"/>
      <w:bookmarkStart w:id="56" w:name="_Toc15396607"/>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8"/>
          <w:rFonts w:hint="eastAsia" w:ascii="黑体" w:hAnsi="黑体" w:eastAsia="黑体"/>
          <w:b w:val="0"/>
        </w:rPr>
        <w:t>般公共预算财政拨款支出决算情况说明</w:t>
      </w:r>
      <w:bookmarkEnd w:id="53"/>
      <w:bookmarkEnd w:id="54"/>
      <w:bookmarkEnd w:id="55"/>
      <w:bookmarkEnd w:id="56"/>
    </w:p>
    <w:p>
      <w:pPr>
        <w:pageBreakBefore w:val="0"/>
        <w:kinsoku/>
        <w:wordWrap/>
        <w:overflowPunct/>
        <w:topLinePunct w:val="0"/>
        <w:bidi w:val="0"/>
        <w:snapToGrid w:val="0"/>
        <w:spacing w:line="576" w:lineRule="exact"/>
        <w:ind w:firstLine="642" w:firstLineChars="200"/>
        <w:textAlignment w:val="auto"/>
        <w:rPr>
          <w:rFonts w:hint="eastAsia" w:ascii="楷体_GB2312" w:hAnsi="仿宋" w:eastAsia="楷体_GB2312"/>
          <w:b/>
          <w:sz w:val="32"/>
          <w:szCs w:val="32"/>
        </w:rPr>
      </w:pPr>
      <w:bookmarkStart w:id="57" w:name="_Toc79163865"/>
      <w:bookmarkStart w:id="58" w:name="_Toc79163615"/>
      <w:bookmarkStart w:id="59" w:name="_Toc15377210"/>
      <w:r>
        <w:rPr>
          <w:rFonts w:hint="eastAsia" w:ascii="楷体_GB2312" w:hAnsi="仿宋" w:eastAsia="楷体_GB2312"/>
          <w:b/>
          <w:sz w:val="32"/>
          <w:szCs w:val="32"/>
        </w:rPr>
        <w:t>（一）一般公共预算财政拨款支出决算总体情况</w:t>
      </w:r>
      <w:bookmarkEnd w:id="57"/>
      <w:bookmarkEnd w:id="58"/>
      <w:bookmarkEnd w:id="59"/>
    </w:p>
    <w:p>
      <w:pPr>
        <w:pageBreakBefore w:val="0"/>
        <w:kinsoku/>
        <w:wordWrap/>
        <w:overflowPunct/>
        <w:topLinePunct w:val="0"/>
        <w:bidi w:val="0"/>
        <w:spacing w:line="576" w:lineRule="exact"/>
        <w:ind w:firstLine="640" w:firstLineChars="200"/>
        <w:textAlignment w:val="auto"/>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年一般公共预算财政拨款支</w:t>
      </w:r>
      <w:r>
        <w:rPr>
          <w:rFonts w:hint="eastAsia" w:ascii="仿宋" w:hAnsi="仿宋" w:eastAsia="仿宋"/>
          <w:color w:val="000000"/>
          <w:sz w:val="32"/>
          <w:szCs w:val="32"/>
          <w:lang w:val="en-US" w:eastAsia="zh-CN"/>
        </w:rPr>
        <w:t>出263.64</w:t>
      </w:r>
      <w:r>
        <w:rPr>
          <w:rFonts w:hint="eastAsia" w:ascii="仿宋" w:hAnsi="仿宋" w:eastAsia="仿宋"/>
          <w:color w:val="000000"/>
          <w:sz w:val="32"/>
          <w:szCs w:val="32"/>
        </w:rPr>
        <w:t>万元，占本年支出合计的</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。与</w:t>
      </w:r>
      <w:r>
        <w:rPr>
          <w:rFonts w:ascii="仿宋" w:hAnsi="仿宋" w:eastAsia="仿宋"/>
          <w:color w:val="000000"/>
          <w:sz w:val="32"/>
          <w:szCs w:val="32"/>
        </w:rPr>
        <w:t>20</w:t>
      </w:r>
      <w:r>
        <w:rPr>
          <w:rFonts w:hint="eastAsia" w:ascii="仿宋" w:hAnsi="仿宋" w:eastAsia="仿宋"/>
          <w:color w:val="000000"/>
          <w:sz w:val="32"/>
          <w:szCs w:val="32"/>
        </w:rPr>
        <w:t>2</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年相比，一般公共预算财政拨款</w:t>
      </w:r>
      <w:r>
        <w:rPr>
          <w:rFonts w:hint="eastAsia" w:ascii="仿宋" w:hAnsi="仿宋" w:eastAsia="仿宋"/>
          <w:color w:val="000000"/>
          <w:sz w:val="32"/>
          <w:szCs w:val="32"/>
          <w:lang w:eastAsia="zh-CN"/>
        </w:rPr>
        <w:t>减少</w:t>
      </w:r>
      <w:r>
        <w:rPr>
          <w:rFonts w:hint="eastAsia" w:ascii="仿宋" w:hAnsi="仿宋" w:eastAsia="仿宋"/>
          <w:color w:val="000000"/>
          <w:sz w:val="32"/>
          <w:szCs w:val="32"/>
          <w:lang w:val="en-US" w:eastAsia="zh-CN"/>
        </w:rPr>
        <w:t>121.11</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下降</w:t>
      </w:r>
      <w:r>
        <w:rPr>
          <w:rFonts w:hint="eastAsia" w:ascii="仿宋" w:hAnsi="仿宋" w:eastAsia="仿宋"/>
          <w:color w:val="000000"/>
          <w:sz w:val="32"/>
          <w:szCs w:val="32"/>
          <w:lang w:val="en-US" w:eastAsia="zh-CN"/>
        </w:rPr>
        <w:t>31.48</w:t>
      </w:r>
      <w:r>
        <w:rPr>
          <w:rFonts w:ascii="仿宋" w:hAnsi="仿宋" w:eastAsia="仿宋"/>
          <w:color w:val="000000"/>
          <w:sz w:val="32"/>
          <w:szCs w:val="32"/>
        </w:rPr>
        <w:t>%</w:t>
      </w:r>
      <w:r>
        <w:rPr>
          <w:rFonts w:hint="eastAsia" w:ascii="仿宋" w:hAnsi="仿宋" w:eastAsia="仿宋"/>
          <w:color w:val="000000"/>
          <w:sz w:val="32"/>
          <w:szCs w:val="32"/>
          <w:lang w:eastAsia="zh-CN"/>
        </w:rPr>
        <w:t>；政府性基金预算财政拨款减少</w:t>
      </w:r>
      <w:r>
        <w:rPr>
          <w:rFonts w:hint="eastAsia" w:ascii="仿宋" w:hAnsi="仿宋" w:eastAsia="仿宋"/>
          <w:color w:val="000000"/>
          <w:sz w:val="32"/>
          <w:szCs w:val="32"/>
          <w:lang w:val="en-US" w:eastAsia="zh-CN"/>
        </w:rPr>
        <w:t>4万元，下降100%，</w:t>
      </w:r>
      <w:r>
        <w:rPr>
          <w:rFonts w:hint="eastAsia" w:ascii="仿宋" w:hAnsi="仿宋" w:eastAsia="仿宋"/>
          <w:color w:val="000000"/>
          <w:sz w:val="32"/>
          <w:szCs w:val="32"/>
        </w:rPr>
        <w:t>主要变动原因是</w:t>
      </w:r>
      <w:r>
        <w:rPr>
          <w:rFonts w:hint="eastAsia" w:ascii="仿宋_GB2312" w:hAnsi="仿宋" w:eastAsia="仿宋_GB2312"/>
          <w:sz w:val="32"/>
          <w:szCs w:val="32"/>
          <w:lang w:val="en-US" w:eastAsia="zh-CN"/>
        </w:rPr>
        <w:t>项目减少，项目经费减少。</w:t>
      </w:r>
    </w:p>
    <w:p>
      <w:pPr>
        <w:pageBreakBefore w:val="0"/>
        <w:kinsoku/>
        <w:wordWrap/>
        <w:overflowPunct/>
        <w:topLinePunct w:val="0"/>
        <w:bidi w:val="0"/>
        <w:spacing w:line="576" w:lineRule="exact"/>
        <w:ind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5</w:t>
      </w:r>
      <w:r>
        <w:rPr>
          <w:rFonts w:hint="eastAsia" w:ascii="仿宋" w:hAnsi="仿宋" w:eastAsia="仿宋"/>
          <w:color w:val="000000"/>
          <w:sz w:val="32"/>
          <w:szCs w:val="32"/>
        </w:rPr>
        <w:t>：一般公共预算财政拨款支出决算变动情况（</w:t>
      </w:r>
      <w:r>
        <w:rPr>
          <w:rFonts w:hint="eastAsia" w:ascii="仿宋" w:hAnsi="仿宋" w:eastAsia="仿宋"/>
          <w:color w:val="000000"/>
          <w:sz w:val="32"/>
          <w:szCs w:val="32"/>
          <w:lang w:eastAsia="zh-CN"/>
        </w:rPr>
        <w:t>单位：万元</w:t>
      </w:r>
      <w:r>
        <w:rPr>
          <w:rFonts w:hint="eastAsia" w:ascii="仿宋" w:hAnsi="仿宋" w:eastAsia="仿宋"/>
          <w:color w:val="000000"/>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ascii="仿宋" w:hAnsi="仿宋" w:eastAsia="仿宋"/>
          <w:color w:val="000000"/>
          <w:sz w:val="32"/>
          <w:szCs w:val="32"/>
        </w:rPr>
      </w:pPr>
      <w:r>
        <w:drawing>
          <wp:inline distT="0" distB="0" distL="114300" distR="114300">
            <wp:extent cx="4513580" cy="1967230"/>
            <wp:effectExtent l="4445" t="4445" r="15875" b="9525"/>
            <wp:docPr id="6" name="图表 5" descr="7b0a202020202263686172745265734964223a202235303037333237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ageBreakBefore w:val="0"/>
        <w:kinsoku/>
        <w:wordWrap/>
        <w:overflowPunct/>
        <w:topLinePunct w:val="0"/>
        <w:bidi w:val="0"/>
        <w:spacing w:line="576" w:lineRule="exact"/>
        <w:ind w:firstLine="642" w:firstLineChars="200"/>
        <w:textAlignment w:val="auto"/>
        <w:outlineLvl w:val="2"/>
        <w:rPr>
          <w:rFonts w:ascii="仿宋" w:hAnsi="仿宋" w:eastAsia="仿宋"/>
          <w:b/>
          <w:color w:val="000000"/>
          <w:sz w:val="32"/>
          <w:szCs w:val="32"/>
        </w:rPr>
      </w:pPr>
      <w:bookmarkStart w:id="60" w:name="_Toc79163866"/>
      <w:bookmarkStart w:id="61" w:name="_Toc15377211"/>
      <w:bookmarkStart w:id="62" w:name="_Toc79163616"/>
      <w:r>
        <w:rPr>
          <w:rFonts w:hint="eastAsia" w:ascii="楷体_GB2312" w:hAnsi="仿宋" w:eastAsia="楷体_GB2312"/>
          <w:b/>
          <w:sz w:val="32"/>
          <w:szCs w:val="32"/>
        </w:rPr>
        <w:t>（二）一般公共预算财政拨款支出决算结构情况</w:t>
      </w:r>
      <w:bookmarkEnd w:id="60"/>
      <w:bookmarkEnd w:id="61"/>
      <w:bookmarkEnd w:id="62"/>
    </w:p>
    <w:p>
      <w:pPr>
        <w:pageBreakBefore w:val="0"/>
        <w:numPr>
          <w:ilvl w:val="0"/>
          <w:numId w:val="0"/>
        </w:numPr>
        <w:kinsoku/>
        <w:wordWrap/>
        <w:overflowPunct/>
        <w:topLinePunct w:val="0"/>
        <w:bidi w:val="0"/>
        <w:snapToGrid w:val="0"/>
        <w:spacing w:line="576" w:lineRule="exact"/>
        <w:ind w:firstLine="640" w:firstLineChars="200"/>
        <w:textAlignment w:val="auto"/>
        <w:rPr>
          <w:rFonts w:hint="eastAsia" w:eastAsia="仿宋_GB2312" w:cs="仿宋_GB2312"/>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年一般公共预算财政拨款支出</w:t>
      </w:r>
      <w:r>
        <w:rPr>
          <w:rFonts w:hint="eastAsia" w:ascii="仿宋" w:hAnsi="仿宋" w:eastAsia="仿宋"/>
          <w:color w:val="000000"/>
          <w:sz w:val="32"/>
          <w:szCs w:val="32"/>
          <w:lang w:val="en-US" w:eastAsia="zh-CN"/>
        </w:rPr>
        <w:t>263.64</w:t>
      </w:r>
      <w:r>
        <w:rPr>
          <w:rFonts w:hint="eastAsia" w:ascii="仿宋" w:hAnsi="仿宋" w:eastAsia="仿宋"/>
          <w:color w:val="000000"/>
          <w:sz w:val="32"/>
          <w:szCs w:val="32"/>
        </w:rPr>
        <w:t>万元，主要用于以下方面</w:t>
      </w:r>
      <w:r>
        <w:rPr>
          <w:rFonts w:hint="eastAsia" w:ascii="仿宋" w:hAnsi="仿宋" w:eastAsia="仿宋"/>
          <w:color w:val="000000"/>
          <w:sz w:val="32"/>
          <w:szCs w:val="32"/>
          <w:lang w:eastAsia="zh-CN"/>
        </w:rPr>
        <w:t>：</w:t>
      </w:r>
      <w:r>
        <w:rPr>
          <w:rFonts w:hint="eastAsia" w:ascii="仿宋" w:hAnsi="仿宋" w:eastAsia="仿宋"/>
          <w:b/>
          <w:color w:val="000000" w:themeColor="text1"/>
          <w:sz w:val="32"/>
          <w:szCs w:val="32"/>
          <w14:textFill>
            <w14:solidFill>
              <w14:schemeClr w14:val="tx1"/>
            </w14:solidFill>
          </w14:textFill>
        </w:rPr>
        <w:t>社会保障和就业</w:t>
      </w:r>
      <w:r>
        <w:rPr>
          <w:rFonts w:hint="eastAsia" w:ascii="仿宋" w:hAnsi="仿宋" w:eastAsia="仿宋"/>
          <w:b/>
          <w:color w:val="000000" w:themeColor="text1"/>
          <w:sz w:val="32"/>
          <w:szCs w:val="32"/>
          <w:lang w:val="en-US" w:eastAsia="zh-CN"/>
          <w14:textFill>
            <w14:solidFill>
              <w14:schemeClr w14:val="tx1"/>
            </w14:solidFill>
          </w14:textFill>
        </w:rPr>
        <w:t>支出</w:t>
      </w:r>
      <w:r>
        <w:rPr>
          <w:rFonts w:hint="eastAsia" w:ascii="仿宋" w:hAnsi="仿宋" w:eastAsia="仿宋"/>
          <w:b/>
          <w:color w:val="000000" w:themeColor="text1"/>
          <w:sz w:val="32"/>
          <w:szCs w:val="32"/>
          <w14:textFill>
            <w14:solidFill>
              <w14:schemeClr w14:val="tx1"/>
            </w14:solidFill>
          </w14:textFill>
        </w:rPr>
        <w:t>（</w:t>
      </w:r>
      <w:r>
        <w:rPr>
          <w:rFonts w:hint="eastAsia" w:ascii="仿宋" w:hAnsi="仿宋" w:eastAsia="仿宋"/>
          <w:b/>
          <w:color w:val="000000" w:themeColor="text1"/>
          <w:sz w:val="32"/>
          <w:szCs w:val="32"/>
          <w:lang w:val="en-US" w:eastAsia="zh-CN"/>
          <w14:textFill>
            <w14:solidFill>
              <w14:schemeClr w14:val="tx1"/>
            </w14:solidFill>
          </w14:textFill>
        </w:rPr>
        <w:t>208</w:t>
      </w:r>
      <w:r>
        <w:rPr>
          <w:rFonts w:hint="eastAsia" w:ascii="仿宋" w:hAnsi="仿宋" w:eastAsia="仿宋"/>
          <w:b/>
          <w:color w:val="000000" w:themeColor="text1"/>
          <w:sz w:val="32"/>
          <w:szCs w:val="32"/>
          <w14:textFill>
            <w14:solidFill>
              <w14:schemeClr w14:val="tx1"/>
            </w14:solidFill>
          </w14:textFill>
        </w:rPr>
        <w:t>）</w:t>
      </w:r>
      <w:r>
        <w:rPr>
          <w:rFonts w:hint="eastAsia" w:ascii="仿宋" w:hAnsi="仿宋" w:eastAsia="仿宋"/>
          <w:color w:val="000000"/>
          <w:sz w:val="32"/>
          <w:szCs w:val="32"/>
          <w:lang w:val="en-US" w:eastAsia="zh-CN"/>
        </w:rPr>
        <w:t>33.48</w:t>
      </w:r>
      <w:r>
        <w:rPr>
          <w:rFonts w:hint="eastAsia" w:eastAsia="仿宋_GB2312" w:cs="仿宋_GB2312"/>
          <w:sz w:val="32"/>
          <w:szCs w:val="32"/>
        </w:rPr>
        <w:t>万元</w:t>
      </w:r>
      <w:r>
        <w:rPr>
          <w:rFonts w:hint="eastAsia" w:eastAsia="仿宋_GB2312" w:cs="仿宋_GB2312"/>
          <w:sz w:val="32"/>
          <w:szCs w:val="32"/>
          <w:lang w:eastAsia="zh-CN"/>
        </w:rPr>
        <w:t>，</w:t>
      </w:r>
      <w:r>
        <w:rPr>
          <w:rFonts w:hint="eastAsia" w:ascii="仿宋" w:hAnsi="仿宋" w:eastAsia="仿宋"/>
          <w:color w:val="000000" w:themeColor="text1"/>
          <w:sz w:val="32"/>
          <w:szCs w:val="32"/>
          <w14:textFill>
            <w14:solidFill>
              <w14:schemeClr w14:val="tx1"/>
            </w14:solidFill>
          </w14:textFill>
        </w:rPr>
        <w:t>占</w:t>
      </w:r>
      <w:r>
        <w:rPr>
          <w:rFonts w:hint="eastAsia" w:ascii="仿宋" w:hAnsi="仿宋" w:eastAsia="仿宋"/>
          <w:color w:val="000000" w:themeColor="text1"/>
          <w:sz w:val="32"/>
          <w:szCs w:val="32"/>
          <w:lang w:val="en-US" w:eastAsia="zh-CN"/>
          <w14:textFill>
            <w14:solidFill>
              <w14:schemeClr w14:val="tx1"/>
            </w14:solidFill>
          </w14:textFill>
        </w:rPr>
        <w:t>12.70</w:t>
      </w:r>
      <w:r>
        <w:rPr>
          <w:rFonts w:ascii="仿宋" w:hAnsi="仿宋" w:eastAsia="仿宋"/>
          <w:color w:val="000000" w:themeColor="text1"/>
          <w:sz w:val="32"/>
          <w:szCs w:val="32"/>
          <w14:textFill>
            <w14:solidFill>
              <w14:schemeClr w14:val="tx1"/>
            </w14:solidFill>
          </w14:textFill>
        </w:rPr>
        <w:t>%</w:t>
      </w:r>
      <w:r>
        <w:rPr>
          <w:rFonts w:hint="eastAsia" w:eastAsia="仿宋_GB2312" w:cs="仿宋_GB2312"/>
          <w:sz w:val="32"/>
          <w:szCs w:val="32"/>
          <w:lang w:val="en-US" w:eastAsia="zh-CN"/>
        </w:rPr>
        <w:t>；</w:t>
      </w:r>
      <w:r>
        <w:rPr>
          <w:rFonts w:hint="eastAsia" w:ascii="仿宋" w:hAnsi="仿宋" w:eastAsia="仿宋"/>
          <w:b/>
          <w:color w:val="000000" w:themeColor="text1"/>
          <w:sz w:val="32"/>
          <w:szCs w:val="32"/>
          <w:lang w:eastAsia="zh-CN"/>
          <w14:textFill>
            <w14:solidFill>
              <w14:schemeClr w14:val="tx1"/>
            </w14:solidFill>
          </w14:textFill>
        </w:rPr>
        <w:t>卫生健康</w:t>
      </w:r>
      <w:r>
        <w:rPr>
          <w:rFonts w:hint="eastAsia" w:ascii="仿宋" w:hAnsi="仿宋" w:eastAsia="仿宋"/>
          <w:b/>
          <w:color w:val="000000" w:themeColor="text1"/>
          <w:sz w:val="32"/>
          <w:szCs w:val="32"/>
          <w14:textFill>
            <w14:solidFill>
              <w14:schemeClr w14:val="tx1"/>
            </w14:solidFill>
          </w14:textFill>
        </w:rPr>
        <w:t>支出（</w:t>
      </w:r>
      <w:r>
        <w:rPr>
          <w:rFonts w:hint="eastAsia" w:ascii="仿宋" w:hAnsi="仿宋" w:eastAsia="仿宋"/>
          <w:b/>
          <w:color w:val="000000" w:themeColor="text1"/>
          <w:sz w:val="32"/>
          <w:szCs w:val="32"/>
          <w:lang w:val="en-US" w:eastAsia="zh-CN"/>
          <w14:textFill>
            <w14:solidFill>
              <w14:schemeClr w14:val="tx1"/>
            </w14:solidFill>
          </w14:textFill>
        </w:rPr>
        <w:t>210</w:t>
      </w:r>
      <w:r>
        <w:rPr>
          <w:rFonts w:hint="eastAsia" w:ascii="仿宋" w:hAnsi="仿宋" w:eastAsia="仿宋"/>
          <w:b/>
          <w:color w:val="000000" w:themeColor="text1"/>
          <w:sz w:val="32"/>
          <w:szCs w:val="32"/>
          <w14:textFill>
            <w14:solidFill>
              <w14:schemeClr w14:val="tx1"/>
            </w14:solidFill>
          </w14:textFill>
        </w:rPr>
        <w:t>）</w:t>
      </w:r>
      <w:r>
        <w:rPr>
          <w:rFonts w:hint="eastAsia" w:ascii="仿宋" w:hAnsi="仿宋" w:eastAsia="仿宋"/>
          <w:color w:val="000000"/>
          <w:sz w:val="32"/>
          <w:szCs w:val="32"/>
          <w:lang w:val="en-US" w:eastAsia="zh-CN"/>
        </w:rPr>
        <w:t>13.12万元</w:t>
      </w:r>
      <w:r>
        <w:rPr>
          <w:rFonts w:hint="eastAsia" w:eastAsia="仿宋_GB2312" w:cs="仿宋_GB2312"/>
          <w:sz w:val="32"/>
          <w:szCs w:val="32"/>
          <w:lang w:eastAsia="zh-CN"/>
        </w:rPr>
        <w:t>，</w:t>
      </w:r>
      <w:r>
        <w:rPr>
          <w:rFonts w:hint="eastAsia" w:ascii="仿宋" w:hAnsi="仿宋" w:eastAsia="仿宋"/>
          <w:color w:val="000000" w:themeColor="text1"/>
          <w:sz w:val="32"/>
          <w:szCs w:val="32"/>
          <w14:textFill>
            <w14:solidFill>
              <w14:schemeClr w14:val="tx1"/>
            </w14:solidFill>
          </w14:textFill>
        </w:rPr>
        <w:t>占</w:t>
      </w:r>
      <w:r>
        <w:rPr>
          <w:rFonts w:hint="eastAsia" w:ascii="仿宋" w:hAnsi="仿宋" w:eastAsia="仿宋"/>
          <w:color w:val="000000" w:themeColor="text1"/>
          <w:sz w:val="32"/>
          <w:szCs w:val="32"/>
          <w:lang w:val="en-US" w:eastAsia="zh-CN"/>
          <w14:textFill>
            <w14:solidFill>
              <w14:schemeClr w14:val="tx1"/>
            </w14:solidFill>
          </w14:textFill>
        </w:rPr>
        <w:t>4.98</w:t>
      </w:r>
      <w:r>
        <w:rPr>
          <w:rFonts w:ascii="仿宋" w:hAnsi="仿宋" w:eastAsia="仿宋"/>
          <w:color w:val="000000" w:themeColor="text1"/>
          <w:sz w:val="32"/>
          <w:szCs w:val="32"/>
          <w14:textFill>
            <w14:solidFill>
              <w14:schemeClr w14:val="tx1"/>
            </w14:solidFill>
          </w14:textFill>
        </w:rPr>
        <w:t>%</w:t>
      </w:r>
      <w:r>
        <w:rPr>
          <w:rFonts w:hint="eastAsia" w:eastAsia="仿宋_GB2312" w:cs="仿宋_GB2312"/>
          <w:sz w:val="32"/>
          <w:szCs w:val="32"/>
        </w:rPr>
        <w:t>；</w:t>
      </w:r>
      <w:r>
        <w:rPr>
          <w:rFonts w:hint="eastAsia" w:ascii="仿宋" w:hAnsi="仿宋" w:eastAsia="仿宋"/>
          <w:b/>
          <w:color w:val="000000"/>
          <w:sz w:val="32"/>
          <w:szCs w:val="32"/>
          <w:lang w:val="en-US" w:eastAsia="zh-CN"/>
        </w:rPr>
        <w:t>商业服务业等支出</w:t>
      </w:r>
      <w:r>
        <w:rPr>
          <w:rFonts w:hint="eastAsia" w:ascii="仿宋" w:hAnsi="仿宋" w:eastAsia="仿宋"/>
          <w:b/>
          <w:color w:val="000000"/>
          <w:sz w:val="32"/>
          <w:szCs w:val="32"/>
        </w:rPr>
        <w:t>（</w:t>
      </w:r>
      <w:r>
        <w:rPr>
          <w:rFonts w:hint="eastAsia" w:ascii="仿宋" w:hAnsi="仿宋" w:eastAsia="仿宋"/>
          <w:b/>
          <w:color w:val="000000"/>
          <w:sz w:val="32"/>
          <w:szCs w:val="32"/>
          <w:lang w:val="en-US" w:eastAsia="zh-CN"/>
        </w:rPr>
        <w:t>216</w:t>
      </w:r>
      <w:r>
        <w:rPr>
          <w:rFonts w:hint="eastAsia" w:ascii="仿宋" w:hAnsi="仿宋" w:eastAsia="仿宋"/>
          <w:b/>
          <w:color w:val="000000"/>
          <w:sz w:val="32"/>
          <w:szCs w:val="32"/>
        </w:rPr>
        <w:t>）</w:t>
      </w:r>
      <w:r>
        <w:rPr>
          <w:rFonts w:hint="eastAsia" w:ascii="仿宋" w:hAnsi="仿宋" w:eastAsia="仿宋"/>
          <w:color w:val="000000" w:themeColor="text1"/>
          <w:sz w:val="32"/>
          <w:szCs w:val="32"/>
          <w:lang w:val="en-US" w:eastAsia="zh-CN"/>
          <w14:textFill>
            <w14:solidFill>
              <w14:schemeClr w14:val="tx1"/>
            </w14:solidFill>
          </w14:textFill>
        </w:rPr>
        <w:t>200.72万</w:t>
      </w:r>
      <w:r>
        <w:rPr>
          <w:rFonts w:hint="eastAsia" w:eastAsia="仿宋_GB2312" w:cs="仿宋_GB2312"/>
          <w:sz w:val="32"/>
          <w:szCs w:val="32"/>
          <w:lang w:val="en-US" w:eastAsia="zh-CN"/>
        </w:rPr>
        <w:t>元</w:t>
      </w:r>
      <w:r>
        <w:rPr>
          <w:rFonts w:hint="eastAsia" w:eastAsia="仿宋_GB2312" w:cs="仿宋_GB2312"/>
          <w:sz w:val="32"/>
          <w:szCs w:val="32"/>
          <w:lang w:eastAsia="zh-CN"/>
        </w:rPr>
        <w:t>，</w:t>
      </w:r>
      <w:r>
        <w:rPr>
          <w:rFonts w:hint="eastAsia" w:ascii="仿宋" w:hAnsi="仿宋" w:eastAsia="仿宋"/>
          <w:color w:val="000000" w:themeColor="text1"/>
          <w:sz w:val="32"/>
          <w:szCs w:val="32"/>
          <w14:textFill>
            <w14:solidFill>
              <w14:schemeClr w14:val="tx1"/>
            </w14:solidFill>
          </w14:textFill>
        </w:rPr>
        <w:t>占</w:t>
      </w:r>
      <w:r>
        <w:rPr>
          <w:rFonts w:hint="eastAsia" w:ascii="仿宋" w:hAnsi="仿宋" w:eastAsia="仿宋"/>
          <w:color w:val="000000" w:themeColor="text1"/>
          <w:sz w:val="32"/>
          <w:szCs w:val="32"/>
          <w:lang w:val="en-US" w:eastAsia="zh-CN"/>
          <w14:textFill>
            <w14:solidFill>
              <w14:schemeClr w14:val="tx1"/>
            </w14:solidFill>
          </w14:textFill>
        </w:rPr>
        <w:t>76.13</w:t>
      </w:r>
      <w:r>
        <w:rPr>
          <w:rFonts w:ascii="仿宋" w:hAnsi="仿宋" w:eastAsia="仿宋"/>
          <w:color w:val="000000" w:themeColor="text1"/>
          <w:sz w:val="32"/>
          <w:szCs w:val="32"/>
          <w14:textFill>
            <w14:solidFill>
              <w14:schemeClr w14:val="tx1"/>
            </w14:solidFill>
          </w14:textFill>
        </w:rPr>
        <w:t>%</w:t>
      </w:r>
      <w:r>
        <w:rPr>
          <w:rFonts w:hint="eastAsia" w:eastAsia="仿宋_GB2312" w:cs="仿宋_GB2312"/>
          <w:sz w:val="32"/>
          <w:szCs w:val="32"/>
        </w:rPr>
        <w:t>；</w:t>
      </w:r>
      <w:r>
        <w:rPr>
          <w:rFonts w:hint="eastAsia" w:ascii="仿宋" w:hAnsi="仿宋" w:eastAsia="仿宋"/>
          <w:b/>
          <w:color w:val="000000"/>
          <w:sz w:val="32"/>
          <w:szCs w:val="32"/>
          <w:lang w:val="en-US" w:eastAsia="zh-CN"/>
        </w:rPr>
        <w:t>住房保障支出</w:t>
      </w:r>
      <w:r>
        <w:rPr>
          <w:rFonts w:hint="eastAsia" w:ascii="仿宋" w:hAnsi="仿宋" w:eastAsia="仿宋"/>
          <w:b/>
          <w:color w:val="000000"/>
          <w:sz w:val="32"/>
          <w:szCs w:val="32"/>
        </w:rPr>
        <w:t>（</w:t>
      </w:r>
      <w:r>
        <w:rPr>
          <w:rFonts w:hint="eastAsia" w:ascii="仿宋" w:hAnsi="仿宋" w:eastAsia="仿宋"/>
          <w:b/>
          <w:color w:val="000000"/>
          <w:sz w:val="32"/>
          <w:szCs w:val="32"/>
          <w:lang w:val="en-US" w:eastAsia="zh-CN"/>
        </w:rPr>
        <w:t>221</w:t>
      </w:r>
      <w:r>
        <w:rPr>
          <w:rFonts w:hint="eastAsia" w:ascii="仿宋" w:hAnsi="仿宋" w:eastAsia="仿宋"/>
          <w:b/>
          <w:color w:val="000000"/>
          <w:sz w:val="32"/>
          <w:szCs w:val="32"/>
        </w:rPr>
        <w:t>）</w:t>
      </w:r>
      <w:r>
        <w:rPr>
          <w:rFonts w:hint="eastAsia" w:ascii="仿宋" w:hAnsi="仿宋" w:eastAsia="仿宋"/>
          <w:color w:val="000000" w:themeColor="text1"/>
          <w:sz w:val="32"/>
          <w:szCs w:val="32"/>
          <w:lang w:val="en-US" w:eastAsia="zh-CN"/>
          <w14:textFill>
            <w14:solidFill>
              <w14:schemeClr w14:val="tx1"/>
            </w14:solidFill>
          </w14:textFill>
        </w:rPr>
        <w:t>16.32</w:t>
      </w:r>
      <w:r>
        <w:rPr>
          <w:rFonts w:hint="eastAsia" w:ascii="仿宋" w:hAnsi="仿宋" w:eastAsia="仿宋"/>
          <w:color w:val="000000" w:themeColor="text1"/>
          <w:sz w:val="32"/>
          <w:szCs w:val="32"/>
          <w14:textFill>
            <w14:solidFill>
              <w14:schemeClr w14:val="tx1"/>
            </w14:solidFill>
          </w14:textFill>
        </w:rPr>
        <w:t>万元</w:t>
      </w:r>
      <w:r>
        <w:rPr>
          <w:rFonts w:hint="eastAsia" w:eastAsia="仿宋_GB2312" w:cs="仿宋_GB2312"/>
          <w:sz w:val="32"/>
          <w:szCs w:val="32"/>
          <w:lang w:eastAsia="zh-CN"/>
        </w:rPr>
        <w:t>，</w:t>
      </w:r>
      <w:r>
        <w:rPr>
          <w:rFonts w:hint="eastAsia" w:ascii="仿宋" w:hAnsi="仿宋" w:eastAsia="仿宋"/>
          <w:color w:val="000000" w:themeColor="text1"/>
          <w:sz w:val="32"/>
          <w:szCs w:val="32"/>
          <w14:textFill>
            <w14:solidFill>
              <w14:schemeClr w14:val="tx1"/>
            </w14:solidFill>
          </w14:textFill>
        </w:rPr>
        <w:t>占</w:t>
      </w:r>
      <w:r>
        <w:rPr>
          <w:rFonts w:hint="eastAsia" w:ascii="仿宋" w:hAnsi="仿宋" w:eastAsia="仿宋"/>
          <w:color w:val="000000" w:themeColor="text1"/>
          <w:sz w:val="32"/>
          <w:szCs w:val="32"/>
          <w:lang w:val="en-US" w:eastAsia="zh-CN"/>
          <w14:textFill>
            <w14:solidFill>
              <w14:schemeClr w14:val="tx1"/>
            </w14:solidFill>
          </w14:textFill>
        </w:rPr>
        <w:t>6.19</w:t>
      </w:r>
      <w:r>
        <w:rPr>
          <w:rFonts w:ascii="仿宋" w:hAnsi="仿宋" w:eastAsia="仿宋"/>
          <w:color w:val="000000" w:themeColor="text1"/>
          <w:sz w:val="32"/>
          <w:szCs w:val="32"/>
          <w14:textFill>
            <w14:solidFill>
              <w14:schemeClr w14:val="tx1"/>
            </w14:solidFill>
          </w14:textFill>
        </w:rPr>
        <w:t>%</w:t>
      </w:r>
      <w:r>
        <w:rPr>
          <w:rFonts w:hint="eastAsia" w:eastAsia="仿宋_GB2312" w:cs="仿宋_GB2312"/>
          <w:sz w:val="32"/>
          <w:szCs w:val="32"/>
        </w:rPr>
        <w:t>。</w:t>
      </w:r>
    </w:p>
    <w:p>
      <w:pPr>
        <w:pageBreakBefore w:val="0"/>
        <w:kinsoku/>
        <w:wordWrap/>
        <w:overflowPunct/>
        <w:topLinePunct w:val="0"/>
        <w:bidi w:val="0"/>
        <w:spacing w:line="576" w:lineRule="exact"/>
        <w:ind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6</w:t>
      </w:r>
      <w:r>
        <w:rPr>
          <w:rFonts w:hint="eastAsia" w:ascii="仿宋" w:hAnsi="仿宋" w:eastAsia="仿宋"/>
          <w:color w:val="000000"/>
          <w:sz w:val="32"/>
          <w:szCs w:val="32"/>
        </w:rPr>
        <w:t>：一般公共预算财政拨款支出决算结构（</w:t>
      </w:r>
      <w:r>
        <w:rPr>
          <w:rFonts w:hint="eastAsia" w:ascii="仿宋" w:hAnsi="仿宋" w:eastAsia="仿宋"/>
          <w:color w:val="000000"/>
          <w:sz w:val="32"/>
          <w:szCs w:val="32"/>
          <w:lang w:eastAsia="zh-CN"/>
        </w:rPr>
        <w:t>单位：万元</w:t>
      </w:r>
      <w:r>
        <w:rPr>
          <w:rFonts w:hint="eastAsia" w:ascii="仿宋" w:hAnsi="仿宋" w:eastAsia="仿宋"/>
          <w:color w:val="000000"/>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ascii="仿宋" w:hAnsi="仿宋" w:eastAsia="仿宋"/>
          <w:color w:val="000000"/>
          <w:sz w:val="32"/>
          <w:szCs w:val="32"/>
        </w:rPr>
      </w:pPr>
      <w:r>
        <w:drawing>
          <wp:inline distT="0" distB="0" distL="114300" distR="114300">
            <wp:extent cx="4289425" cy="2762885"/>
            <wp:effectExtent l="4445" t="4445" r="11430" b="13970"/>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ageBreakBefore w:val="0"/>
        <w:kinsoku/>
        <w:wordWrap/>
        <w:overflowPunct/>
        <w:topLinePunct w:val="0"/>
        <w:bidi w:val="0"/>
        <w:spacing w:line="576" w:lineRule="exact"/>
        <w:ind w:firstLine="642" w:firstLineChars="200"/>
        <w:textAlignment w:val="auto"/>
        <w:outlineLvl w:val="2"/>
        <w:rPr>
          <w:rFonts w:ascii="仿宋" w:hAnsi="仿宋" w:eastAsia="仿宋"/>
          <w:b/>
          <w:color w:val="000000"/>
          <w:sz w:val="32"/>
          <w:szCs w:val="32"/>
        </w:rPr>
      </w:pPr>
      <w:bookmarkStart w:id="63" w:name="_Toc15377212"/>
      <w:bookmarkStart w:id="64" w:name="_Toc79163867"/>
      <w:bookmarkStart w:id="65" w:name="_Toc79163617"/>
      <w:r>
        <w:rPr>
          <w:rFonts w:hint="eastAsia" w:ascii="楷体_GB2312" w:hAnsi="仿宋" w:eastAsia="楷体_GB2312"/>
          <w:b/>
          <w:sz w:val="32"/>
          <w:szCs w:val="32"/>
        </w:rPr>
        <w:t>（三）一般公共预算财政拨款支出决算具体情况</w:t>
      </w:r>
      <w:bookmarkEnd w:id="63"/>
      <w:bookmarkEnd w:id="64"/>
      <w:bookmarkEnd w:id="65"/>
    </w:p>
    <w:p>
      <w:pPr>
        <w:pageBreakBefore w:val="0"/>
        <w:kinsoku/>
        <w:wordWrap/>
        <w:overflowPunct/>
        <w:topLinePunct w:val="0"/>
        <w:bidi w:val="0"/>
        <w:spacing w:line="576" w:lineRule="exact"/>
        <w:ind w:firstLine="642" w:firstLineChars="200"/>
        <w:textAlignment w:val="auto"/>
        <w:rPr>
          <w:rFonts w:ascii="仿宋_GB2312" w:eastAsia="仿宋_GB2312"/>
          <w:b/>
          <w:bCs/>
          <w:color w:val="auto"/>
          <w:sz w:val="32"/>
          <w:szCs w:val="32"/>
        </w:rPr>
      </w:pPr>
      <w:bookmarkStart w:id="66" w:name="_Toc15377213"/>
      <w:bookmarkStart w:id="67" w:name="_Toc15378460"/>
      <w:bookmarkStart w:id="68" w:name="_Toc15377444"/>
      <w:r>
        <w:rPr>
          <w:rFonts w:ascii="仿宋_GB2312" w:eastAsia="仿宋_GB2312"/>
          <w:b/>
          <w:bCs/>
          <w:color w:val="auto"/>
          <w:sz w:val="32"/>
          <w:szCs w:val="32"/>
        </w:rPr>
        <w:t>202</w:t>
      </w:r>
      <w:r>
        <w:rPr>
          <w:rFonts w:hint="eastAsia" w:ascii="仿宋_GB2312" w:eastAsia="仿宋_GB2312"/>
          <w:b/>
          <w:bCs/>
          <w:color w:val="auto"/>
          <w:sz w:val="32"/>
          <w:szCs w:val="32"/>
          <w:lang w:val="en-US" w:eastAsia="zh-CN"/>
        </w:rPr>
        <w:t>5</w:t>
      </w:r>
      <w:r>
        <w:rPr>
          <w:rFonts w:hint="eastAsia" w:ascii="仿宋_GB2312" w:eastAsia="仿宋_GB2312"/>
          <w:b/>
          <w:bCs/>
          <w:color w:val="auto"/>
          <w:sz w:val="32"/>
          <w:szCs w:val="32"/>
        </w:rPr>
        <w:t>年一般公共预算支出决算数为</w:t>
      </w:r>
      <w:r>
        <w:rPr>
          <w:rFonts w:hint="eastAsia" w:ascii="仿宋_GB2312" w:eastAsia="仿宋_GB2312"/>
          <w:b/>
          <w:bCs/>
          <w:color w:val="auto"/>
          <w:sz w:val="32"/>
          <w:szCs w:val="32"/>
          <w:lang w:val="en-US" w:eastAsia="zh-CN"/>
        </w:rPr>
        <w:t>263.64万元</w:t>
      </w:r>
      <w:r>
        <w:rPr>
          <w:rFonts w:hint="eastAsia" w:ascii="仿宋_GB2312" w:eastAsia="仿宋_GB2312"/>
          <w:b/>
          <w:bCs/>
          <w:color w:val="auto"/>
          <w:sz w:val="32"/>
          <w:szCs w:val="32"/>
        </w:rPr>
        <w:t>，完成预算</w:t>
      </w:r>
      <w:r>
        <w:rPr>
          <w:rFonts w:hint="eastAsia" w:ascii="仿宋_GB2312" w:eastAsia="仿宋_GB2312"/>
          <w:b/>
          <w:bCs/>
          <w:color w:val="auto"/>
          <w:sz w:val="32"/>
          <w:szCs w:val="32"/>
          <w:lang w:val="en-US" w:eastAsia="zh-CN"/>
        </w:rPr>
        <w:t>100</w:t>
      </w:r>
      <w:r>
        <w:rPr>
          <w:rFonts w:ascii="仿宋_GB2312" w:eastAsia="仿宋_GB2312"/>
          <w:b/>
          <w:bCs/>
          <w:color w:val="auto"/>
          <w:sz w:val="32"/>
          <w:szCs w:val="32"/>
        </w:rPr>
        <w:t>%</w:t>
      </w:r>
      <w:r>
        <w:rPr>
          <w:rFonts w:hint="eastAsia" w:ascii="仿宋_GB2312" w:eastAsia="仿宋_GB2312"/>
          <w:b/>
          <w:bCs/>
          <w:color w:val="auto"/>
          <w:sz w:val="32"/>
          <w:szCs w:val="32"/>
        </w:rPr>
        <w:t>。其中：</w:t>
      </w:r>
      <w:bookmarkEnd w:id="66"/>
      <w:bookmarkEnd w:id="67"/>
      <w:bookmarkEnd w:id="68"/>
    </w:p>
    <w:p>
      <w:pPr>
        <w:pageBreakBefore w:val="0"/>
        <w:kinsoku/>
        <w:wordWrap/>
        <w:overflowPunct/>
        <w:topLinePunct w:val="0"/>
        <w:bidi w:val="0"/>
        <w:spacing w:line="576" w:lineRule="exact"/>
        <w:ind w:firstLine="642" w:firstLineChars="200"/>
        <w:textAlignment w:val="auto"/>
        <w:rPr>
          <w:rFonts w:ascii="仿宋" w:hAnsi="仿宋" w:eastAsia="仿宋"/>
          <w:b/>
          <w:color w:val="auto"/>
          <w:sz w:val="32"/>
          <w:szCs w:val="32"/>
        </w:rPr>
      </w:pPr>
      <w:r>
        <w:rPr>
          <w:rStyle w:val="23"/>
          <w:rFonts w:ascii="仿宋" w:hAnsi="仿宋" w:eastAsia="仿宋"/>
          <w:bCs/>
          <w:color w:val="auto"/>
          <w:sz w:val="32"/>
          <w:szCs w:val="32"/>
        </w:rPr>
        <w:t>1.</w:t>
      </w:r>
      <w:r>
        <w:rPr>
          <w:rStyle w:val="23"/>
          <w:rFonts w:hint="eastAsia" w:ascii="仿宋" w:hAnsi="仿宋" w:eastAsia="仿宋"/>
          <w:bCs/>
          <w:color w:val="auto"/>
          <w:sz w:val="32"/>
          <w:szCs w:val="32"/>
        </w:rPr>
        <w:t>社会保障和就业（</w:t>
      </w:r>
      <w:r>
        <w:rPr>
          <w:rStyle w:val="23"/>
          <w:rFonts w:hint="eastAsia" w:ascii="仿宋" w:hAnsi="仿宋" w:eastAsia="仿宋"/>
          <w:bCs/>
          <w:color w:val="auto"/>
          <w:sz w:val="32"/>
          <w:szCs w:val="32"/>
          <w:lang w:val="en-US" w:eastAsia="zh-CN"/>
        </w:rPr>
        <w:t>208</w:t>
      </w:r>
      <w:r>
        <w:rPr>
          <w:rStyle w:val="23"/>
          <w:rFonts w:hint="eastAsia" w:ascii="仿宋" w:hAnsi="仿宋" w:eastAsia="仿宋"/>
          <w:bCs/>
          <w:color w:val="auto"/>
          <w:sz w:val="32"/>
          <w:szCs w:val="32"/>
        </w:rPr>
        <w:t>）</w:t>
      </w:r>
      <w:r>
        <w:rPr>
          <w:rStyle w:val="23"/>
          <w:rFonts w:ascii="仿宋" w:hAnsi="仿宋" w:eastAsia="仿宋"/>
          <w:bCs/>
          <w:color w:val="auto"/>
          <w:sz w:val="32"/>
          <w:szCs w:val="32"/>
        </w:rPr>
        <w:t>:</w:t>
      </w:r>
      <w:r>
        <w:rPr>
          <w:rStyle w:val="23"/>
          <w:rFonts w:ascii="仿宋" w:hAnsi="仿宋" w:eastAsia="仿宋"/>
          <w:b w:val="0"/>
          <w:bCs/>
          <w:color w:val="auto"/>
          <w:sz w:val="32"/>
          <w:szCs w:val="32"/>
        </w:rPr>
        <w:t xml:space="preserve"> </w:t>
      </w:r>
      <w:r>
        <w:rPr>
          <w:rStyle w:val="23"/>
          <w:rFonts w:hint="eastAsia" w:ascii="仿宋" w:hAnsi="仿宋" w:eastAsia="仿宋"/>
          <w:b w:val="0"/>
          <w:bCs/>
          <w:color w:val="auto"/>
          <w:sz w:val="32"/>
          <w:szCs w:val="32"/>
        </w:rPr>
        <w:t>支出决算为</w:t>
      </w:r>
      <w:r>
        <w:rPr>
          <w:rStyle w:val="23"/>
          <w:rFonts w:hint="eastAsia" w:ascii="仿宋" w:hAnsi="仿宋" w:eastAsia="仿宋"/>
          <w:b w:val="0"/>
          <w:bCs/>
          <w:color w:val="auto"/>
          <w:sz w:val="32"/>
          <w:szCs w:val="32"/>
          <w:lang w:val="en-US" w:eastAsia="zh-CN"/>
        </w:rPr>
        <w:t>33.48</w:t>
      </w:r>
      <w:r>
        <w:rPr>
          <w:rStyle w:val="23"/>
          <w:rFonts w:hint="eastAsia" w:ascii="仿宋" w:hAnsi="仿宋" w:eastAsia="仿宋"/>
          <w:b w:val="0"/>
          <w:bCs/>
          <w:color w:val="auto"/>
          <w:sz w:val="32"/>
          <w:szCs w:val="32"/>
        </w:rPr>
        <w:t>万元，完成预算</w:t>
      </w:r>
      <w:r>
        <w:rPr>
          <w:rStyle w:val="23"/>
          <w:rFonts w:hint="eastAsia" w:ascii="仿宋" w:hAnsi="仿宋" w:eastAsia="仿宋"/>
          <w:b w:val="0"/>
          <w:bCs/>
          <w:color w:val="auto"/>
          <w:sz w:val="32"/>
          <w:szCs w:val="32"/>
          <w:lang w:val="en-US" w:eastAsia="zh-CN"/>
        </w:rPr>
        <w:t>100</w:t>
      </w:r>
      <w:r>
        <w:rPr>
          <w:rStyle w:val="23"/>
          <w:rFonts w:ascii="仿宋" w:hAnsi="仿宋" w:eastAsia="仿宋"/>
          <w:b w:val="0"/>
          <w:bCs/>
          <w:color w:val="auto"/>
          <w:sz w:val="32"/>
          <w:szCs w:val="32"/>
        </w:rPr>
        <w:t>%</w:t>
      </w:r>
      <w:r>
        <w:rPr>
          <w:rStyle w:val="23"/>
          <w:rFonts w:hint="eastAsia" w:ascii="仿宋" w:hAnsi="仿宋" w:eastAsia="仿宋"/>
          <w:b w:val="0"/>
          <w:bCs/>
          <w:color w:val="auto"/>
          <w:sz w:val="32"/>
          <w:szCs w:val="32"/>
          <w:lang w:eastAsia="zh-CN"/>
        </w:rPr>
        <w:t>，</w:t>
      </w:r>
      <w:r>
        <w:rPr>
          <w:rStyle w:val="23"/>
          <w:rFonts w:hint="eastAsia" w:ascii="方正仿宋_GB2312" w:hAnsi="方正仿宋_GB2312" w:eastAsia="方正仿宋_GB2312" w:cs="方正仿宋_GB2312"/>
          <w:b w:val="0"/>
          <w:bCs/>
          <w:color w:val="auto"/>
          <w:sz w:val="32"/>
          <w:szCs w:val="32"/>
          <w:lang w:eastAsia="zh-CN"/>
        </w:rPr>
        <w:t>预算数与决算数持平。</w:t>
      </w:r>
      <w:r>
        <w:rPr>
          <w:rStyle w:val="23"/>
          <w:rFonts w:hint="eastAsia" w:ascii="方正仿宋_GB2312" w:hAnsi="方正仿宋_GB2312" w:eastAsia="方正仿宋_GB2312" w:cs="方正仿宋_GB2312"/>
          <w:b w:val="0"/>
          <w:bCs/>
          <w:color w:val="auto"/>
          <w:sz w:val="32"/>
          <w:szCs w:val="32"/>
          <w:lang w:val="en-US" w:eastAsia="zh-CN"/>
        </w:rPr>
        <w:t>其中</w:t>
      </w:r>
      <w:r>
        <w:rPr>
          <w:rStyle w:val="23"/>
          <w:rFonts w:hint="eastAsia" w:ascii="仿宋" w:hAnsi="仿宋" w:eastAsia="仿宋"/>
          <w:bCs/>
          <w:color w:val="auto"/>
          <w:sz w:val="32"/>
          <w:szCs w:val="32"/>
          <w:lang w:eastAsia="zh-CN"/>
        </w:rPr>
        <w:t>（</w:t>
      </w:r>
      <w:r>
        <w:rPr>
          <w:rStyle w:val="23"/>
          <w:rFonts w:hint="eastAsia" w:ascii="仿宋" w:hAnsi="仿宋" w:eastAsia="仿宋"/>
          <w:bCs/>
          <w:color w:val="auto"/>
          <w:sz w:val="32"/>
          <w:szCs w:val="32"/>
          <w:lang w:val="en-US" w:eastAsia="zh-CN"/>
        </w:rPr>
        <w:t>2080505</w:t>
      </w:r>
      <w:r>
        <w:rPr>
          <w:rStyle w:val="23"/>
          <w:rFonts w:hint="eastAsia" w:ascii="仿宋" w:hAnsi="仿宋" w:eastAsia="仿宋"/>
          <w:bCs/>
          <w:color w:val="auto"/>
          <w:sz w:val="32"/>
          <w:szCs w:val="32"/>
          <w:lang w:eastAsia="zh-CN"/>
        </w:rPr>
        <w:t>）</w:t>
      </w:r>
      <w:r>
        <w:rPr>
          <w:rStyle w:val="23"/>
          <w:rFonts w:hint="eastAsia" w:ascii="方正仿宋_GB2312" w:hAnsi="方正仿宋_GB2312" w:eastAsia="方正仿宋_GB2312" w:cs="方正仿宋_GB2312"/>
          <w:b w:val="0"/>
          <w:bCs/>
          <w:color w:val="auto"/>
          <w:sz w:val="32"/>
          <w:szCs w:val="32"/>
          <w:lang w:eastAsia="zh-CN"/>
        </w:rPr>
        <w:t>机关事业单位基本养老保险缴费：支</w:t>
      </w:r>
      <w:r>
        <w:rPr>
          <w:rStyle w:val="23"/>
          <w:rFonts w:hint="eastAsia" w:ascii="方正仿宋_GB2312" w:hAnsi="方正仿宋_GB2312" w:eastAsia="方正仿宋_GB2312" w:cs="方正仿宋_GB2312"/>
          <w:b w:val="0"/>
          <w:bCs/>
          <w:color w:val="auto"/>
          <w:sz w:val="32"/>
          <w:szCs w:val="32"/>
          <w:lang w:val="en-US" w:eastAsia="zh-CN"/>
        </w:rPr>
        <w:t>出决算数</w:t>
      </w:r>
      <w:r>
        <w:rPr>
          <w:rStyle w:val="23"/>
          <w:rFonts w:hint="eastAsia" w:ascii="仿宋" w:hAnsi="仿宋" w:eastAsia="仿宋"/>
          <w:b w:val="0"/>
          <w:bCs/>
          <w:color w:val="auto"/>
          <w:sz w:val="32"/>
          <w:szCs w:val="32"/>
          <w:lang w:val="en-US" w:eastAsia="zh-CN"/>
        </w:rPr>
        <w:t>为22.32万元，完成预算100%，预算数与决算数持平，</w:t>
      </w:r>
      <w:r>
        <w:rPr>
          <w:rStyle w:val="23"/>
          <w:rFonts w:hint="eastAsia" w:ascii="仿宋" w:hAnsi="仿宋" w:eastAsia="仿宋"/>
          <w:b/>
          <w:bCs w:val="0"/>
          <w:color w:val="auto"/>
          <w:sz w:val="32"/>
          <w:szCs w:val="32"/>
          <w:lang w:val="en-US" w:eastAsia="zh-CN"/>
        </w:rPr>
        <w:t>（2080506）</w:t>
      </w:r>
      <w:r>
        <w:rPr>
          <w:rStyle w:val="23"/>
          <w:rFonts w:hint="eastAsia" w:ascii="仿宋" w:hAnsi="仿宋" w:eastAsia="仿宋"/>
          <w:b w:val="0"/>
          <w:bCs/>
          <w:color w:val="auto"/>
          <w:sz w:val="32"/>
          <w:szCs w:val="32"/>
          <w:lang w:val="en-US" w:eastAsia="zh-CN"/>
        </w:rPr>
        <w:t>机关事业单位职业年金缴费：支出决算数为11.16万元，完成预算100%，预算数与决算数持平</w:t>
      </w:r>
      <w:r>
        <w:rPr>
          <w:rStyle w:val="23"/>
          <w:rFonts w:hint="eastAsia" w:ascii="仿宋" w:hAnsi="仿宋" w:eastAsia="仿宋"/>
          <w:b w:val="0"/>
          <w:bCs/>
          <w:color w:val="auto"/>
          <w:sz w:val="32"/>
          <w:szCs w:val="32"/>
        </w:rPr>
        <w:t>。</w:t>
      </w:r>
    </w:p>
    <w:p>
      <w:pPr>
        <w:pageBreakBefore w:val="0"/>
        <w:kinsoku/>
        <w:wordWrap/>
        <w:overflowPunct/>
        <w:topLinePunct w:val="0"/>
        <w:bidi w:val="0"/>
        <w:spacing w:line="576" w:lineRule="exact"/>
        <w:ind w:firstLine="642" w:firstLineChars="200"/>
        <w:textAlignment w:val="auto"/>
        <w:rPr>
          <w:rFonts w:ascii="仿宋" w:hAnsi="仿宋" w:eastAsia="仿宋"/>
          <w:b/>
          <w:color w:val="auto"/>
          <w:sz w:val="32"/>
          <w:szCs w:val="32"/>
        </w:rPr>
      </w:pPr>
      <w:r>
        <w:rPr>
          <w:rStyle w:val="23"/>
          <w:rFonts w:ascii="仿宋" w:hAnsi="仿宋" w:eastAsia="仿宋"/>
          <w:bCs/>
          <w:color w:val="auto"/>
          <w:sz w:val="32"/>
          <w:szCs w:val="32"/>
        </w:rPr>
        <w:t>2.</w:t>
      </w:r>
      <w:r>
        <w:rPr>
          <w:rStyle w:val="23"/>
          <w:rFonts w:hint="eastAsia" w:ascii="仿宋" w:hAnsi="仿宋" w:eastAsia="仿宋"/>
          <w:bCs/>
          <w:color w:val="auto"/>
          <w:sz w:val="32"/>
          <w:szCs w:val="32"/>
          <w:lang w:eastAsia="zh-CN"/>
        </w:rPr>
        <w:t>卫生健康支出</w:t>
      </w:r>
      <w:r>
        <w:rPr>
          <w:rStyle w:val="23"/>
          <w:rFonts w:hint="eastAsia" w:ascii="仿宋" w:hAnsi="仿宋" w:eastAsia="仿宋"/>
          <w:bCs/>
          <w:color w:val="auto"/>
          <w:sz w:val="32"/>
          <w:szCs w:val="32"/>
        </w:rPr>
        <w:t>（</w:t>
      </w:r>
      <w:r>
        <w:rPr>
          <w:rStyle w:val="23"/>
          <w:rFonts w:hint="eastAsia" w:ascii="仿宋" w:hAnsi="仿宋" w:eastAsia="仿宋"/>
          <w:bCs/>
          <w:color w:val="auto"/>
          <w:sz w:val="32"/>
          <w:szCs w:val="32"/>
          <w:lang w:val="en-US" w:eastAsia="zh-CN"/>
        </w:rPr>
        <w:t>210</w:t>
      </w:r>
      <w:r>
        <w:rPr>
          <w:rStyle w:val="23"/>
          <w:rFonts w:hint="eastAsia" w:ascii="仿宋" w:hAnsi="仿宋" w:eastAsia="仿宋"/>
          <w:bCs/>
          <w:color w:val="auto"/>
          <w:sz w:val="32"/>
          <w:szCs w:val="32"/>
        </w:rPr>
        <w:t>）</w:t>
      </w:r>
      <w:r>
        <w:rPr>
          <w:rStyle w:val="23"/>
          <w:rFonts w:ascii="仿宋" w:hAnsi="仿宋" w:eastAsia="仿宋"/>
          <w:bCs/>
          <w:color w:val="auto"/>
          <w:sz w:val="32"/>
          <w:szCs w:val="32"/>
        </w:rPr>
        <w:t>:</w:t>
      </w:r>
      <w:r>
        <w:rPr>
          <w:rStyle w:val="23"/>
          <w:rFonts w:hint="eastAsia" w:ascii="仿宋" w:hAnsi="仿宋" w:eastAsia="仿宋"/>
          <w:b w:val="0"/>
          <w:bCs/>
          <w:color w:val="auto"/>
          <w:sz w:val="32"/>
          <w:szCs w:val="32"/>
        </w:rPr>
        <w:t>支出决算为</w:t>
      </w:r>
      <w:r>
        <w:rPr>
          <w:rStyle w:val="23"/>
          <w:rFonts w:hint="eastAsia" w:ascii="仿宋" w:hAnsi="仿宋" w:eastAsia="仿宋"/>
          <w:b w:val="0"/>
          <w:bCs/>
          <w:color w:val="auto"/>
          <w:sz w:val="32"/>
          <w:szCs w:val="32"/>
          <w:lang w:val="en-US" w:eastAsia="zh-CN"/>
        </w:rPr>
        <w:t>13.12</w:t>
      </w:r>
      <w:r>
        <w:rPr>
          <w:rStyle w:val="23"/>
          <w:rFonts w:hint="eastAsia" w:ascii="仿宋" w:hAnsi="仿宋" w:eastAsia="仿宋"/>
          <w:b w:val="0"/>
          <w:bCs/>
          <w:color w:val="auto"/>
          <w:sz w:val="32"/>
          <w:szCs w:val="32"/>
        </w:rPr>
        <w:t>万元，完成预算</w:t>
      </w:r>
      <w:r>
        <w:rPr>
          <w:rStyle w:val="23"/>
          <w:rFonts w:hint="eastAsia" w:ascii="仿宋" w:hAnsi="仿宋" w:eastAsia="仿宋"/>
          <w:b w:val="0"/>
          <w:bCs/>
          <w:color w:val="auto"/>
          <w:sz w:val="32"/>
          <w:szCs w:val="32"/>
          <w:lang w:val="en-US" w:eastAsia="zh-CN"/>
        </w:rPr>
        <w:t>100</w:t>
      </w:r>
      <w:r>
        <w:rPr>
          <w:rStyle w:val="23"/>
          <w:rFonts w:ascii="仿宋" w:hAnsi="仿宋" w:eastAsia="仿宋"/>
          <w:b w:val="0"/>
          <w:bCs/>
          <w:color w:val="auto"/>
          <w:sz w:val="32"/>
          <w:szCs w:val="32"/>
        </w:rPr>
        <w:t>%</w:t>
      </w:r>
      <w:r>
        <w:rPr>
          <w:rStyle w:val="23"/>
          <w:rFonts w:hint="eastAsia" w:ascii="仿宋" w:hAnsi="仿宋" w:eastAsia="仿宋"/>
          <w:b w:val="0"/>
          <w:bCs/>
          <w:color w:val="auto"/>
          <w:sz w:val="32"/>
          <w:szCs w:val="32"/>
          <w:lang w:eastAsia="zh-CN"/>
        </w:rPr>
        <w:t>，</w:t>
      </w:r>
      <w:r>
        <w:rPr>
          <w:rStyle w:val="23"/>
          <w:rFonts w:hint="eastAsia" w:ascii="方正仿宋_GB2312" w:hAnsi="方正仿宋_GB2312" w:eastAsia="方正仿宋_GB2312" w:cs="方正仿宋_GB2312"/>
          <w:b w:val="0"/>
          <w:bCs/>
          <w:color w:val="auto"/>
          <w:sz w:val="32"/>
          <w:szCs w:val="32"/>
          <w:lang w:eastAsia="zh-CN"/>
        </w:rPr>
        <w:t>预算数与决算数持平，</w:t>
      </w:r>
      <w:r>
        <w:rPr>
          <w:rStyle w:val="23"/>
          <w:rFonts w:hint="eastAsia" w:ascii="方正仿宋_GB2312" w:hAnsi="方正仿宋_GB2312" w:eastAsia="方正仿宋_GB2312" w:cs="方正仿宋_GB2312"/>
          <w:b w:val="0"/>
          <w:bCs/>
          <w:color w:val="auto"/>
          <w:sz w:val="32"/>
          <w:szCs w:val="32"/>
          <w:lang w:val="en-US" w:eastAsia="zh-CN"/>
        </w:rPr>
        <w:t>其中</w:t>
      </w:r>
      <w:r>
        <w:rPr>
          <w:rStyle w:val="23"/>
          <w:rFonts w:hint="eastAsia" w:ascii="仿宋" w:hAnsi="仿宋" w:eastAsia="仿宋"/>
          <w:bCs/>
          <w:color w:val="auto"/>
          <w:sz w:val="32"/>
          <w:szCs w:val="32"/>
          <w:lang w:eastAsia="zh-CN"/>
        </w:rPr>
        <w:t>（</w:t>
      </w:r>
      <w:r>
        <w:rPr>
          <w:rStyle w:val="23"/>
          <w:rFonts w:hint="eastAsia" w:ascii="仿宋" w:hAnsi="仿宋" w:eastAsia="仿宋"/>
          <w:bCs/>
          <w:color w:val="auto"/>
          <w:sz w:val="32"/>
          <w:szCs w:val="32"/>
          <w:lang w:val="en-US" w:eastAsia="zh-CN"/>
        </w:rPr>
        <w:t>2101101</w:t>
      </w:r>
      <w:r>
        <w:rPr>
          <w:rStyle w:val="23"/>
          <w:rFonts w:hint="eastAsia" w:ascii="仿宋" w:hAnsi="仿宋" w:eastAsia="仿宋"/>
          <w:bCs/>
          <w:color w:val="auto"/>
          <w:sz w:val="32"/>
          <w:szCs w:val="32"/>
          <w:lang w:eastAsia="zh-CN"/>
        </w:rPr>
        <w:t>）</w:t>
      </w:r>
      <w:r>
        <w:rPr>
          <w:rStyle w:val="23"/>
          <w:rFonts w:hint="eastAsia" w:ascii="方正仿宋_GB2312" w:hAnsi="方正仿宋_GB2312" w:eastAsia="方正仿宋_GB2312" w:cs="方正仿宋_GB2312"/>
          <w:b w:val="0"/>
          <w:bCs/>
          <w:color w:val="auto"/>
          <w:sz w:val="32"/>
          <w:szCs w:val="32"/>
          <w:lang w:eastAsia="zh-CN"/>
        </w:rPr>
        <w:t>行政单位医疗：支</w:t>
      </w:r>
      <w:r>
        <w:rPr>
          <w:rStyle w:val="23"/>
          <w:rFonts w:hint="eastAsia" w:ascii="方正仿宋_GB2312" w:hAnsi="方正仿宋_GB2312" w:eastAsia="方正仿宋_GB2312" w:cs="方正仿宋_GB2312"/>
          <w:b w:val="0"/>
          <w:bCs/>
          <w:color w:val="auto"/>
          <w:sz w:val="32"/>
          <w:szCs w:val="32"/>
          <w:lang w:val="en-US" w:eastAsia="zh-CN"/>
        </w:rPr>
        <w:t>出决算数为</w:t>
      </w:r>
      <w:r>
        <w:rPr>
          <w:rStyle w:val="23"/>
          <w:rFonts w:hint="eastAsia" w:ascii="仿宋" w:hAnsi="仿宋" w:eastAsia="仿宋"/>
          <w:b w:val="0"/>
          <w:bCs/>
          <w:color w:val="auto"/>
          <w:sz w:val="32"/>
          <w:szCs w:val="32"/>
          <w:lang w:val="en-US" w:eastAsia="zh-CN"/>
        </w:rPr>
        <w:t>9.21</w:t>
      </w:r>
      <w:r>
        <w:rPr>
          <w:rStyle w:val="23"/>
          <w:rFonts w:hint="eastAsia" w:ascii="方正仿宋_GB2312" w:hAnsi="方正仿宋_GB2312" w:eastAsia="方正仿宋_GB2312" w:cs="方正仿宋_GB2312"/>
          <w:b w:val="0"/>
          <w:bCs/>
          <w:color w:val="auto"/>
          <w:sz w:val="32"/>
          <w:szCs w:val="32"/>
          <w:lang w:val="en-US" w:eastAsia="zh-CN"/>
        </w:rPr>
        <w:t>万元</w:t>
      </w:r>
      <w:r>
        <w:rPr>
          <w:rStyle w:val="23"/>
          <w:rFonts w:hint="eastAsia" w:ascii="仿宋" w:hAnsi="仿宋" w:eastAsia="仿宋"/>
          <w:b w:val="0"/>
          <w:bCs/>
          <w:color w:val="auto"/>
          <w:sz w:val="32"/>
          <w:szCs w:val="32"/>
        </w:rPr>
        <w:t>，完成预算</w:t>
      </w:r>
      <w:r>
        <w:rPr>
          <w:rStyle w:val="23"/>
          <w:rFonts w:hint="eastAsia" w:ascii="仿宋" w:hAnsi="仿宋" w:eastAsia="仿宋"/>
          <w:b w:val="0"/>
          <w:bCs/>
          <w:color w:val="auto"/>
          <w:sz w:val="32"/>
          <w:szCs w:val="32"/>
          <w:lang w:val="en-US" w:eastAsia="zh-CN"/>
        </w:rPr>
        <w:t>100</w:t>
      </w:r>
      <w:r>
        <w:rPr>
          <w:rStyle w:val="23"/>
          <w:rFonts w:ascii="仿宋" w:hAnsi="仿宋" w:eastAsia="仿宋"/>
          <w:b w:val="0"/>
          <w:bCs/>
          <w:color w:val="auto"/>
          <w:sz w:val="32"/>
          <w:szCs w:val="32"/>
        </w:rPr>
        <w:t>%</w:t>
      </w:r>
      <w:r>
        <w:rPr>
          <w:rStyle w:val="23"/>
          <w:rFonts w:hint="eastAsia" w:ascii="仿宋" w:hAnsi="仿宋" w:eastAsia="仿宋"/>
          <w:b w:val="0"/>
          <w:bCs/>
          <w:color w:val="auto"/>
          <w:sz w:val="32"/>
          <w:szCs w:val="32"/>
          <w:lang w:eastAsia="zh-CN"/>
        </w:rPr>
        <w:t>，</w:t>
      </w:r>
      <w:r>
        <w:rPr>
          <w:rStyle w:val="23"/>
          <w:rFonts w:hint="eastAsia" w:ascii="方正仿宋_GB2312" w:hAnsi="方正仿宋_GB2312" w:eastAsia="方正仿宋_GB2312" w:cs="方正仿宋_GB2312"/>
          <w:b w:val="0"/>
          <w:bCs/>
          <w:color w:val="auto"/>
          <w:sz w:val="32"/>
          <w:szCs w:val="32"/>
          <w:lang w:eastAsia="zh-CN"/>
        </w:rPr>
        <w:t>预算数与决算数持平，</w:t>
      </w:r>
      <w:r>
        <w:rPr>
          <w:rStyle w:val="23"/>
          <w:rFonts w:hint="eastAsia" w:ascii="仿宋" w:hAnsi="仿宋" w:eastAsia="仿宋"/>
          <w:bCs/>
          <w:color w:val="auto"/>
          <w:sz w:val="32"/>
          <w:szCs w:val="32"/>
          <w:lang w:eastAsia="zh-CN"/>
        </w:rPr>
        <w:t>（</w:t>
      </w:r>
      <w:r>
        <w:rPr>
          <w:rStyle w:val="23"/>
          <w:rFonts w:hint="eastAsia" w:ascii="仿宋" w:hAnsi="仿宋" w:eastAsia="仿宋"/>
          <w:bCs/>
          <w:color w:val="auto"/>
          <w:sz w:val="32"/>
          <w:szCs w:val="32"/>
          <w:lang w:val="en-US" w:eastAsia="zh-CN"/>
        </w:rPr>
        <w:t>2101103</w:t>
      </w:r>
      <w:r>
        <w:rPr>
          <w:rStyle w:val="23"/>
          <w:rFonts w:hint="eastAsia" w:ascii="仿宋" w:hAnsi="仿宋" w:eastAsia="仿宋"/>
          <w:bCs/>
          <w:color w:val="auto"/>
          <w:sz w:val="32"/>
          <w:szCs w:val="32"/>
          <w:lang w:eastAsia="zh-CN"/>
        </w:rPr>
        <w:t>）</w:t>
      </w:r>
      <w:r>
        <w:rPr>
          <w:rStyle w:val="23"/>
          <w:rFonts w:hint="eastAsia" w:ascii="方正仿宋_GB2312" w:hAnsi="方正仿宋_GB2312" w:eastAsia="方正仿宋_GB2312" w:cs="方正仿宋_GB2312"/>
          <w:b w:val="0"/>
          <w:bCs/>
          <w:color w:val="auto"/>
          <w:sz w:val="32"/>
          <w:szCs w:val="32"/>
          <w:lang w:val="en-US" w:eastAsia="zh-CN"/>
        </w:rPr>
        <w:t>公务员医疗补助</w:t>
      </w:r>
      <w:r>
        <w:rPr>
          <w:rStyle w:val="23"/>
          <w:rFonts w:hint="eastAsia" w:ascii="方正仿宋_GB2312" w:hAnsi="方正仿宋_GB2312" w:eastAsia="方正仿宋_GB2312" w:cs="方正仿宋_GB2312"/>
          <w:b w:val="0"/>
          <w:bCs/>
          <w:color w:val="auto"/>
          <w:sz w:val="32"/>
          <w:szCs w:val="32"/>
          <w:lang w:eastAsia="zh-CN"/>
        </w:rPr>
        <w:t>：支</w:t>
      </w:r>
      <w:r>
        <w:rPr>
          <w:rStyle w:val="23"/>
          <w:rFonts w:hint="eastAsia" w:ascii="方正仿宋_GB2312" w:hAnsi="方正仿宋_GB2312" w:eastAsia="方正仿宋_GB2312" w:cs="方正仿宋_GB2312"/>
          <w:b w:val="0"/>
          <w:bCs/>
          <w:color w:val="auto"/>
          <w:sz w:val="32"/>
          <w:szCs w:val="32"/>
          <w:lang w:val="en-US" w:eastAsia="zh-CN"/>
        </w:rPr>
        <w:t>出决算</w:t>
      </w:r>
      <w:r>
        <w:rPr>
          <w:rStyle w:val="23"/>
          <w:rFonts w:hint="eastAsia" w:ascii="仿宋" w:hAnsi="仿宋" w:eastAsia="仿宋"/>
          <w:b w:val="0"/>
          <w:bCs/>
          <w:color w:val="auto"/>
          <w:sz w:val="32"/>
          <w:szCs w:val="32"/>
          <w:lang w:val="en-US" w:eastAsia="zh-CN"/>
        </w:rPr>
        <w:t>数为3.91</w:t>
      </w:r>
      <w:r>
        <w:rPr>
          <w:rStyle w:val="23"/>
          <w:rFonts w:hint="eastAsia" w:ascii="方正仿宋_GB2312" w:hAnsi="方正仿宋_GB2312" w:eastAsia="方正仿宋_GB2312" w:cs="方正仿宋_GB2312"/>
          <w:b w:val="0"/>
          <w:bCs/>
          <w:color w:val="auto"/>
          <w:sz w:val="32"/>
          <w:szCs w:val="32"/>
          <w:lang w:val="en-US" w:eastAsia="zh-CN"/>
        </w:rPr>
        <w:t>万元</w:t>
      </w:r>
      <w:r>
        <w:rPr>
          <w:rStyle w:val="23"/>
          <w:rFonts w:hint="eastAsia" w:ascii="仿宋" w:hAnsi="仿宋" w:eastAsia="仿宋"/>
          <w:b w:val="0"/>
          <w:bCs/>
          <w:color w:val="auto"/>
          <w:sz w:val="32"/>
          <w:szCs w:val="32"/>
        </w:rPr>
        <w:t>，完成预算</w:t>
      </w:r>
      <w:r>
        <w:rPr>
          <w:rStyle w:val="23"/>
          <w:rFonts w:hint="eastAsia" w:ascii="仿宋" w:hAnsi="仿宋" w:eastAsia="仿宋"/>
          <w:b w:val="0"/>
          <w:bCs/>
          <w:color w:val="auto"/>
          <w:sz w:val="32"/>
          <w:szCs w:val="32"/>
          <w:lang w:val="en-US" w:eastAsia="zh-CN"/>
        </w:rPr>
        <w:t>100</w:t>
      </w:r>
      <w:r>
        <w:rPr>
          <w:rStyle w:val="23"/>
          <w:rFonts w:ascii="仿宋" w:hAnsi="仿宋" w:eastAsia="仿宋"/>
          <w:b w:val="0"/>
          <w:bCs/>
          <w:color w:val="auto"/>
          <w:sz w:val="32"/>
          <w:szCs w:val="32"/>
        </w:rPr>
        <w:t>%</w:t>
      </w:r>
      <w:r>
        <w:rPr>
          <w:rStyle w:val="23"/>
          <w:rFonts w:hint="eastAsia" w:ascii="仿宋" w:hAnsi="仿宋" w:eastAsia="仿宋"/>
          <w:b w:val="0"/>
          <w:bCs/>
          <w:color w:val="auto"/>
          <w:sz w:val="32"/>
          <w:szCs w:val="32"/>
          <w:lang w:eastAsia="zh-CN"/>
        </w:rPr>
        <w:t>，</w:t>
      </w:r>
      <w:r>
        <w:rPr>
          <w:rStyle w:val="23"/>
          <w:rFonts w:hint="eastAsia" w:ascii="方正仿宋_GB2312" w:hAnsi="方正仿宋_GB2312" w:eastAsia="方正仿宋_GB2312" w:cs="方正仿宋_GB2312"/>
          <w:b w:val="0"/>
          <w:bCs/>
          <w:color w:val="auto"/>
          <w:sz w:val="32"/>
          <w:szCs w:val="32"/>
          <w:lang w:eastAsia="zh-CN"/>
        </w:rPr>
        <w:t>预算数与决算数持平</w:t>
      </w:r>
      <w:r>
        <w:rPr>
          <w:rStyle w:val="23"/>
          <w:rFonts w:hint="eastAsia" w:ascii="仿宋" w:hAnsi="仿宋" w:eastAsia="仿宋"/>
          <w:b w:val="0"/>
          <w:bCs/>
          <w:color w:val="auto"/>
          <w:sz w:val="32"/>
          <w:szCs w:val="32"/>
        </w:rPr>
        <w:t>。</w:t>
      </w:r>
    </w:p>
    <w:p>
      <w:pPr>
        <w:pageBreakBefore w:val="0"/>
        <w:kinsoku/>
        <w:wordWrap/>
        <w:overflowPunct/>
        <w:topLinePunct w:val="0"/>
        <w:bidi w:val="0"/>
        <w:spacing w:line="576" w:lineRule="exact"/>
        <w:ind w:firstLine="642" w:firstLineChars="200"/>
        <w:textAlignment w:val="auto"/>
        <w:rPr>
          <w:rStyle w:val="23"/>
          <w:rFonts w:hint="eastAsia" w:ascii="仿宋" w:hAnsi="仿宋" w:eastAsia="仿宋"/>
          <w:b w:val="0"/>
          <w:bCs/>
          <w:color w:val="auto"/>
          <w:sz w:val="32"/>
          <w:szCs w:val="32"/>
        </w:rPr>
      </w:pPr>
      <w:r>
        <w:rPr>
          <w:rStyle w:val="23"/>
          <w:rFonts w:hint="eastAsia" w:ascii="仿宋" w:hAnsi="仿宋" w:eastAsia="仿宋"/>
          <w:bCs/>
          <w:color w:val="auto"/>
          <w:sz w:val="32"/>
          <w:szCs w:val="32"/>
          <w:lang w:val="en-US" w:eastAsia="zh-CN"/>
        </w:rPr>
        <w:t>5.商业服务业等支出</w:t>
      </w:r>
      <w:r>
        <w:rPr>
          <w:rStyle w:val="23"/>
          <w:rFonts w:hint="eastAsia" w:ascii="仿宋" w:hAnsi="仿宋" w:eastAsia="仿宋"/>
          <w:bCs/>
          <w:color w:val="auto"/>
          <w:sz w:val="32"/>
          <w:szCs w:val="32"/>
        </w:rPr>
        <w:t>（</w:t>
      </w:r>
      <w:r>
        <w:rPr>
          <w:rStyle w:val="23"/>
          <w:rFonts w:hint="eastAsia" w:ascii="仿宋" w:hAnsi="仿宋" w:eastAsia="仿宋"/>
          <w:bCs/>
          <w:color w:val="auto"/>
          <w:sz w:val="32"/>
          <w:szCs w:val="32"/>
          <w:lang w:val="en-US" w:eastAsia="zh-CN"/>
        </w:rPr>
        <w:t>216</w:t>
      </w:r>
      <w:r>
        <w:rPr>
          <w:rStyle w:val="23"/>
          <w:rFonts w:hint="eastAsia" w:ascii="仿宋" w:hAnsi="仿宋" w:eastAsia="仿宋"/>
          <w:bCs/>
          <w:color w:val="auto"/>
          <w:sz w:val="32"/>
          <w:szCs w:val="32"/>
        </w:rPr>
        <w:t>）</w:t>
      </w:r>
      <w:r>
        <w:rPr>
          <w:rStyle w:val="23"/>
          <w:rFonts w:ascii="仿宋" w:hAnsi="仿宋" w:eastAsia="仿宋"/>
          <w:bCs/>
          <w:color w:val="auto"/>
          <w:sz w:val="32"/>
          <w:szCs w:val="32"/>
        </w:rPr>
        <w:t>:</w:t>
      </w:r>
      <w:r>
        <w:rPr>
          <w:rStyle w:val="23"/>
          <w:rFonts w:hint="eastAsia" w:ascii="仿宋" w:hAnsi="仿宋" w:eastAsia="仿宋"/>
          <w:b w:val="0"/>
          <w:bCs/>
          <w:color w:val="auto"/>
          <w:sz w:val="32"/>
          <w:szCs w:val="32"/>
        </w:rPr>
        <w:t>支</w:t>
      </w:r>
      <w:r>
        <w:rPr>
          <w:rStyle w:val="23"/>
          <w:rFonts w:hint="eastAsia" w:ascii="仿宋" w:hAnsi="仿宋" w:eastAsia="仿宋"/>
          <w:b w:val="0"/>
          <w:bCs/>
          <w:color w:val="auto"/>
          <w:sz w:val="32"/>
          <w:szCs w:val="32"/>
          <w:lang w:val="en-US" w:eastAsia="zh-CN"/>
        </w:rPr>
        <w:t>出</w:t>
      </w:r>
      <w:r>
        <w:rPr>
          <w:rStyle w:val="23"/>
          <w:rFonts w:hint="eastAsia" w:ascii="仿宋" w:hAnsi="仿宋" w:eastAsia="仿宋"/>
          <w:b w:val="0"/>
          <w:bCs/>
          <w:color w:val="auto"/>
          <w:sz w:val="32"/>
          <w:szCs w:val="32"/>
        </w:rPr>
        <w:t>决算为</w:t>
      </w:r>
      <w:r>
        <w:rPr>
          <w:rStyle w:val="23"/>
          <w:rFonts w:hint="eastAsia" w:ascii="仿宋" w:hAnsi="仿宋" w:eastAsia="仿宋"/>
          <w:b w:val="0"/>
          <w:bCs/>
          <w:color w:val="auto"/>
          <w:sz w:val="32"/>
          <w:szCs w:val="32"/>
          <w:lang w:val="en-US" w:eastAsia="zh-CN"/>
        </w:rPr>
        <w:t>200.72</w:t>
      </w:r>
      <w:r>
        <w:rPr>
          <w:rStyle w:val="23"/>
          <w:rFonts w:hint="eastAsia" w:ascii="仿宋" w:hAnsi="仿宋" w:eastAsia="仿宋"/>
          <w:b w:val="0"/>
          <w:bCs/>
          <w:color w:val="auto"/>
          <w:sz w:val="32"/>
          <w:szCs w:val="32"/>
        </w:rPr>
        <w:t>万元，完成预算</w:t>
      </w:r>
      <w:r>
        <w:rPr>
          <w:rStyle w:val="23"/>
          <w:rFonts w:hint="eastAsia" w:ascii="仿宋" w:hAnsi="仿宋" w:eastAsia="仿宋"/>
          <w:b w:val="0"/>
          <w:bCs/>
          <w:color w:val="auto"/>
          <w:sz w:val="32"/>
          <w:szCs w:val="32"/>
          <w:lang w:val="en-US" w:eastAsia="zh-CN"/>
        </w:rPr>
        <w:t>100</w:t>
      </w:r>
      <w:r>
        <w:rPr>
          <w:rStyle w:val="23"/>
          <w:rFonts w:ascii="仿宋" w:hAnsi="仿宋" w:eastAsia="仿宋"/>
          <w:b w:val="0"/>
          <w:bCs/>
          <w:color w:val="auto"/>
          <w:sz w:val="32"/>
          <w:szCs w:val="32"/>
        </w:rPr>
        <w:t>%</w:t>
      </w:r>
      <w:r>
        <w:rPr>
          <w:rStyle w:val="23"/>
          <w:rFonts w:hint="eastAsia" w:ascii="仿宋" w:hAnsi="仿宋" w:eastAsia="仿宋"/>
          <w:b w:val="0"/>
          <w:bCs/>
          <w:color w:val="auto"/>
          <w:sz w:val="32"/>
          <w:szCs w:val="32"/>
        </w:rPr>
        <w:t>，</w:t>
      </w:r>
      <w:r>
        <w:rPr>
          <w:rStyle w:val="23"/>
          <w:rFonts w:hint="eastAsia" w:ascii="方正仿宋_GB2312" w:hAnsi="方正仿宋_GB2312" w:eastAsia="方正仿宋_GB2312" w:cs="方正仿宋_GB2312"/>
          <w:b w:val="0"/>
          <w:bCs/>
          <w:color w:val="auto"/>
          <w:sz w:val="32"/>
          <w:szCs w:val="32"/>
          <w:lang w:eastAsia="zh-CN"/>
        </w:rPr>
        <w:t>预算数与决算数持平</w:t>
      </w:r>
      <w:r>
        <w:rPr>
          <w:rStyle w:val="23"/>
          <w:rFonts w:hint="eastAsia" w:ascii="仿宋" w:hAnsi="仿宋" w:eastAsia="仿宋"/>
          <w:b w:val="0"/>
          <w:bCs/>
          <w:color w:val="auto"/>
          <w:sz w:val="32"/>
          <w:szCs w:val="32"/>
          <w:lang w:eastAsia="zh-CN"/>
        </w:rPr>
        <w:t>，</w:t>
      </w:r>
      <w:r>
        <w:rPr>
          <w:rStyle w:val="23"/>
          <w:rFonts w:hint="eastAsia" w:ascii="方正仿宋_GB2312" w:hAnsi="方正仿宋_GB2312" w:eastAsia="方正仿宋_GB2312" w:cs="方正仿宋_GB2312"/>
          <w:b w:val="0"/>
          <w:bCs/>
          <w:color w:val="auto"/>
          <w:sz w:val="32"/>
          <w:szCs w:val="32"/>
          <w:lang w:val="en-US" w:eastAsia="zh-CN"/>
        </w:rPr>
        <w:t>其中</w:t>
      </w:r>
      <w:r>
        <w:rPr>
          <w:rStyle w:val="23"/>
          <w:rFonts w:hint="eastAsia" w:ascii="仿宋" w:hAnsi="仿宋" w:eastAsia="仿宋"/>
          <w:bCs/>
          <w:color w:val="auto"/>
          <w:sz w:val="32"/>
          <w:szCs w:val="32"/>
          <w:lang w:eastAsia="zh-CN"/>
        </w:rPr>
        <w:t>（</w:t>
      </w:r>
      <w:r>
        <w:rPr>
          <w:rStyle w:val="23"/>
          <w:rFonts w:hint="eastAsia" w:ascii="仿宋" w:hAnsi="仿宋" w:eastAsia="仿宋"/>
          <w:bCs/>
          <w:color w:val="auto"/>
          <w:sz w:val="32"/>
          <w:szCs w:val="32"/>
          <w:lang w:val="en-US" w:eastAsia="zh-CN"/>
        </w:rPr>
        <w:t>2160201</w:t>
      </w:r>
      <w:r>
        <w:rPr>
          <w:rStyle w:val="23"/>
          <w:rFonts w:hint="eastAsia" w:ascii="仿宋" w:hAnsi="仿宋" w:eastAsia="仿宋"/>
          <w:bCs/>
          <w:color w:val="auto"/>
          <w:sz w:val="32"/>
          <w:szCs w:val="32"/>
          <w:lang w:eastAsia="zh-CN"/>
        </w:rPr>
        <w:t>）</w:t>
      </w:r>
      <w:r>
        <w:rPr>
          <w:rStyle w:val="23"/>
          <w:rFonts w:hint="eastAsia" w:ascii="方正仿宋_GB2312" w:hAnsi="方正仿宋_GB2312" w:eastAsia="方正仿宋_GB2312" w:cs="方正仿宋_GB2312"/>
          <w:b w:val="0"/>
          <w:bCs/>
          <w:color w:val="auto"/>
          <w:sz w:val="32"/>
          <w:szCs w:val="32"/>
          <w:lang w:eastAsia="zh-CN"/>
        </w:rPr>
        <w:t>行政运行：支</w:t>
      </w:r>
      <w:r>
        <w:rPr>
          <w:rStyle w:val="23"/>
          <w:rFonts w:hint="eastAsia" w:ascii="方正仿宋_GB2312" w:hAnsi="方正仿宋_GB2312" w:eastAsia="方正仿宋_GB2312" w:cs="方正仿宋_GB2312"/>
          <w:b w:val="0"/>
          <w:bCs/>
          <w:color w:val="auto"/>
          <w:sz w:val="32"/>
          <w:szCs w:val="32"/>
          <w:lang w:val="en-US" w:eastAsia="zh-CN"/>
        </w:rPr>
        <w:t>出决算数为</w:t>
      </w:r>
      <w:r>
        <w:rPr>
          <w:rStyle w:val="23"/>
          <w:rFonts w:hint="eastAsia" w:ascii="仿宋" w:hAnsi="仿宋" w:eastAsia="仿宋"/>
          <w:b w:val="0"/>
          <w:bCs/>
          <w:color w:val="auto"/>
          <w:sz w:val="32"/>
          <w:szCs w:val="32"/>
          <w:lang w:val="en-US" w:eastAsia="zh-CN"/>
        </w:rPr>
        <w:t>181.72</w:t>
      </w:r>
      <w:r>
        <w:rPr>
          <w:rStyle w:val="23"/>
          <w:rFonts w:hint="eastAsia" w:ascii="方正仿宋_GB2312" w:hAnsi="方正仿宋_GB2312" w:eastAsia="方正仿宋_GB2312" w:cs="方正仿宋_GB2312"/>
          <w:b w:val="0"/>
          <w:bCs/>
          <w:color w:val="auto"/>
          <w:sz w:val="32"/>
          <w:szCs w:val="32"/>
          <w:lang w:val="en-US" w:eastAsia="zh-CN"/>
        </w:rPr>
        <w:t>万元</w:t>
      </w:r>
      <w:r>
        <w:rPr>
          <w:rStyle w:val="23"/>
          <w:rFonts w:hint="eastAsia" w:ascii="仿宋" w:hAnsi="仿宋" w:eastAsia="仿宋"/>
          <w:b w:val="0"/>
          <w:bCs/>
          <w:color w:val="auto"/>
          <w:sz w:val="32"/>
          <w:szCs w:val="32"/>
        </w:rPr>
        <w:t>，完成预算</w:t>
      </w:r>
      <w:r>
        <w:rPr>
          <w:rStyle w:val="23"/>
          <w:rFonts w:hint="eastAsia" w:ascii="仿宋" w:hAnsi="仿宋" w:eastAsia="仿宋"/>
          <w:b w:val="0"/>
          <w:bCs/>
          <w:color w:val="auto"/>
          <w:sz w:val="32"/>
          <w:szCs w:val="32"/>
          <w:lang w:val="en-US" w:eastAsia="zh-CN"/>
        </w:rPr>
        <w:t>100</w:t>
      </w:r>
      <w:r>
        <w:rPr>
          <w:rStyle w:val="23"/>
          <w:rFonts w:ascii="仿宋" w:hAnsi="仿宋" w:eastAsia="仿宋"/>
          <w:b w:val="0"/>
          <w:bCs/>
          <w:color w:val="auto"/>
          <w:sz w:val="32"/>
          <w:szCs w:val="32"/>
        </w:rPr>
        <w:t>%</w:t>
      </w:r>
      <w:r>
        <w:rPr>
          <w:rStyle w:val="23"/>
          <w:rFonts w:hint="eastAsia" w:ascii="仿宋" w:hAnsi="仿宋" w:eastAsia="仿宋"/>
          <w:b w:val="0"/>
          <w:bCs/>
          <w:color w:val="auto"/>
          <w:sz w:val="32"/>
          <w:szCs w:val="32"/>
          <w:lang w:eastAsia="zh-CN"/>
        </w:rPr>
        <w:t>，</w:t>
      </w:r>
      <w:r>
        <w:rPr>
          <w:rStyle w:val="23"/>
          <w:rFonts w:hint="eastAsia" w:ascii="方正仿宋_GB2312" w:hAnsi="方正仿宋_GB2312" w:eastAsia="方正仿宋_GB2312" w:cs="方正仿宋_GB2312"/>
          <w:b w:val="0"/>
          <w:bCs/>
          <w:color w:val="auto"/>
          <w:sz w:val="32"/>
          <w:szCs w:val="32"/>
          <w:lang w:eastAsia="zh-CN"/>
        </w:rPr>
        <w:t>预算数与决算数持平，</w:t>
      </w:r>
      <w:r>
        <w:rPr>
          <w:rStyle w:val="23"/>
          <w:rFonts w:hint="eastAsia" w:ascii="仿宋" w:hAnsi="仿宋" w:eastAsia="仿宋"/>
          <w:bCs/>
          <w:color w:val="auto"/>
          <w:sz w:val="32"/>
          <w:szCs w:val="32"/>
          <w:lang w:eastAsia="zh-CN"/>
        </w:rPr>
        <w:t>（</w:t>
      </w:r>
      <w:r>
        <w:rPr>
          <w:rStyle w:val="23"/>
          <w:rFonts w:hint="eastAsia" w:ascii="仿宋" w:hAnsi="仿宋" w:eastAsia="仿宋"/>
          <w:bCs/>
          <w:color w:val="auto"/>
          <w:sz w:val="32"/>
          <w:szCs w:val="32"/>
          <w:lang w:val="en-US" w:eastAsia="zh-CN"/>
        </w:rPr>
        <w:t>2160299</w:t>
      </w:r>
      <w:r>
        <w:rPr>
          <w:rStyle w:val="23"/>
          <w:rFonts w:hint="eastAsia" w:ascii="仿宋" w:hAnsi="仿宋" w:eastAsia="仿宋"/>
          <w:bCs/>
          <w:color w:val="auto"/>
          <w:sz w:val="32"/>
          <w:szCs w:val="32"/>
          <w:lang w:eastAsia="zh-CN"/>
        </w:rPr>
        <w:t>）</w:t>
      </w:r>
      <w:r>
        <w:rPr>
          <w:rStyle w:val="23"/>
          <w:rFonts w:hint="eastAsia" w:ascii="方正仿宋_GB2312" w:hAnsi="方正仿宋_GB2312" w:eastAsia="方正仿宋_GB2312" w:cs="方正仿宋_GB2312"/>
          <w:b w:val="0"/>
          <w:bCs/>
          <w:color w:val="auto"/>
          <w:sz w:val="32"/>
          <w:szCs w:val="32"/>
          <w:lang w:eastAsia="zh-CN"/>
        </w:rPr>
        <w:t>其他</w:t>
      </w:r>
      <w:r>
        <w:rPr>
          <w:rStyle w:val="23"/>
          <w:rFonts w:hint="eastAsia" w:ascii="方正仿宋_GB2312" w:hAnsi="方正仿宋_GB2312" w:eastAsia="方正仿宋_GB2312" w:cs="方正仿宋_GB2312"/>
          <w:b w:val="0"/>
          <w:bCs/>
          <w:color w:val="auto"/>
          <w:sz w:val="32"/>
          <w:szCs w:val="32"/>
          <w:lang w:val="en-US" w:eastAsia="zh-CN"/>
        </w:rPr>
        <w:t>商业流通事务</w:t>
      </w:r>
      <w:r>
        <w:rPr>
          <w:rStyle w:val="23"/>
          <w:rFonts w:hint="eastAsia" w:ascii="方正仿宋_GB2312" w:hAnsi="方正仿宋_GB2312" w:eastAsia="方正仿宋_GB2312" w:cs="方正仿宋_GB2312"/>
          <w:b w:val="0"/>
          <w:bCs/>
          <w:color w:val="auto"/>
          <w:sz w:val="32"/>
          <w:szCs w:val="32"/>
          <w:lang w:eastAsia="zh-CN"/>
        </w:rPr>
        <w:t>支出：支</w:t>
      </w:r>
      <w:r>
        <w:rPr>
          <w:rStyle w:val="23"/>
          <w:rFonts w:hint="eastAsia" w:ascii="方正仿宋_GB2312" w:hAnsi="方正仿宋_GB2312" w:eastAsia="方正仿宋_GB2312" w:cs="方正仿宋_GB2312"/>
          <w:b w:val="0"/>
          <w:bCs/>
          <w:color w:val="auto"/>
          <w:sz w:val="32"/>
          <w:szCs w:val="32"/>
          <w:lang w:val="en-US" w:eastAsia="zh-CN"/>
        </w:rPr>
        <w:t>出决算数为</w:t>
      </w:r>
      <w:r>
        <w:rPr>
          <w:rStyle w:val="23"/>
          <w:rFonts w:hint="eastAsia" w:ascii="仿宋" w:hAnsi="仿宋" w:eastAsia="仿宋"/>
          <w:b w:val="0"/>
          <w:bCs/>
          <w:color w:val="auto"/>
          <w:sz w:val="32"/>
          <w:szCs w:val="32"/>
          <w:lang w:val="en-US" w:eastAsia="zh-CN"/>
        </w:rPr>
        <w:t>19</w:t>
      </w:r>
      <w:r>
        <w:rPr>
          <w:rStyle w:val="23"/>
          <w:rFonts w:hint="eastAsia" w:ascii="方正仿宋_GB2312" w:hAnsi="方正仿宋_GB2312" w:eastAsia="方正仿宋_GB2312" w:cs="方正仿宋_GB2312"/>
          <w:b w:val="0"/>
          <w:bCs/>
          <w:color w:val="auto"/>
          <w:sz w:val="32"/>
          <w:szCs w:val="32"/>
          <w:lang w:val="en-US" w:eastAsia="zh-CN"/>
        </w:rPr>
        <w:t>万元</w:t>
      </w:r>
      <w:r>
        <w:rPr>
          <w:rStyle w:val="23"/>
          <w:rFonts w:hint="eastAsia" w:ascii="仿宋" w:hAnsi="仿宋" w:eastAsia="仿宋"/>
          <w:b w:val="0"/>
          <w:bCs/>
          <w:color w:val="auto"/>
          <w:sz w:val="32"/>
          <w:szCs w:val="32"/>
        </w:rPr>
        <w:t>，完成预算</w:t>
      </w:r>
      <w:r>
        <w:rPr>
          <w:rStyle w:val="23"/>
          <w:rFonts w:hint="eastAsia" w:ascii="仿宋" w:hAnsi="仿宋" w:eastAsia="仿宋"/>
          <w:b w:val="0"/>
          <w:bCs/>
          <w:color w:val="auto"/>
          <w:sz w:val="32"/>
          <w:szCs w:val="32"/>
          <w:lang w:val="en-US" w:eastAsia="zh-CN"/>
        </w:rPr>
        <w:t>100</w:t>
      </w:r>
      <w:r>
        <w:rPr>
          <w:rStyle w:val="23"/>
          <w:rFonts w:ascii="仿宋" w:hAnsi="仿宋" w:eastAsia="仿宋"/>
          <w:b w:val="0"/>
          <w:bCs/>
          <w:color w:val="auto"/>
          <w:sz w:val="32"/>
          <w:szCs w:val="32"/>
        </w:rPr>
        <w:t>%</w:t>
      </w:r>
      <w:r>
        <w:rPr>
          <w:rStyle w:val="23"/>
          <w:rFonts w:hint="eastAsia" w:ascii="仿宋" w:hAnsi="仿宋" w:eastAsia="仿宋"/>
          <w:b w:val="0"/>
          <w:bCs/>
          <w:color w:val="auto"/>
          <w:sz w:val="32"/>
          <w:szCs w:val="32"/>
          <w:lang w:eastAsia="zh-CN"/>
        </w:rPr>
        <w:t>，</w:t>
      </w:r>
      <w:r>
        <w:rPr>
          <w:rStyle w:val="23"/>
          <w:rFonts w:hint="eastAsia" w:ascii="方正仿宋_GB2312" w:hAnsi="方正仿宋_GB2312" w:eastAsia="方正仿宋_GB2312" w:cs="方正仿宋_GB2312"/>
          <w:b w:val="0"/>
          <w:bCs/>
          <w:color w:val="auto"/>
          <w:sz w:val="32"/>
          <w:szCs w:val="32"/>
          <w:lang w:eastAsia="zh-CN"/>
        </w:rPr>
        <w:t>预算数与决算数持平</w:t>
      </w:r>
      <w:r>
        <w:rPr>
          <w:rStyle w:val="23"/>
          <w:rFonts w:hint="eastAsia" w:ascii="仿宋" w:hAnsi="仿宋" w:eastAsia="仿宋"/>
          <w:b w:val="0"/>
          <w:bCs/>
          <w:color w:val="auto"/>
          <w:sz w:val="32"/>
          <w:szCs w:val="32"/>
        </w:rPr>
        <w:t>。</w:t>
      </w:r>
    </w:p>
    <w:p>
      <w:pPr>
        <w:pageBreakBefore w:val="0"/>
        <w:kinsoku/>
        <w:wordWrap/>
        <w:overflowPunct/>
        <w:topLinePunct w:val="0"/>
        <w:bidi w:val="0"/>
        <w:spacing w:line="576" w:lineRule="exact"/>
        <w:ind w:firstLine="642" w:firstLineChars="200"/>
        <w:textAlignment w:val="auto"/>
        <w:rPr>
          <w:rFonts w:ascii="仿宋" w:hAnsi="仿宋" w:eastAsia="仿宋"/>
          <w:b/>
          <w:color w:val="000000"/>
          <w:sz w:val="32"/>
          <w:szCs w:val="32"/>
        </w:rPr>
      </w:pPr>
      <w:r>
        <w:rPr>
          <w:rStyle w:val="23"/>
          <w:rFonts w:hint="eastAsia" w:ascii="仿宋" w:hAnsi="仿宋" w:eastAsia="仿宋"/>
          <w:bCs/>
          <w:color w:val="auto"/>
          <w:sz w:val="32"/>
          <w:szCs w:val="32"/>
          <w:lang w:val="en-US" w:eastAsia="zh-CN"/>
        </w:rPr>
        <w:t>6</w:t>
      </w:r>
      <w:r>
        <w:rPr>
          <w:rStyle w:val="23"/>
          <w:rFonts w:ascii="仿宋" w:hAnsi="仿宋" w:eastAsia="仿宋"/>
          <w:bCs/>
          <w:color w:val="auto"/>
          <w:sz w:val="32"/>
          <w:szCs w:val="32"/>
        </w:rPr>
        <w:t>.</w:t>
      </w:r>
      <w:r>
        <w:rPr>
          <w:rStyle w:val="23"/>
          <w:rFonts w:hint="eastAsia" w:ascii="仿宋" w:hAnsi="仿宋" w:eastAsia="仿宋"/>
          <w:bCs/>
          <w:color w:val="auto"/>
          <w:sz w:val="32"/>
          <w:szCs w:val="32"/>
          <w:lang w:val="en-US" w:eastAsia="zh-CN"/>
        </w:rPr>
        <w:t>住房保障支出</w:t>
      </w:r>
      <w:r>
        <w:rPr>
          <w:rStyle w:val="23"/>
          <w:rFonts w:hint="eastAsia" w:ascii="仿宋" w:hAnsi="仿宋" w:eastAsia="仿宋"/>
          <w:bCs/>
          <w:color w:val="auto"/>
          <w:sz w:val="32"/>
          <w:szCs w:val="32"/>
        </w:rPr>
        <w:t>（</w:t>
      </w:r>
      <w:r>
        <w:rPr>
          <w:rStyle w:val="23"/>
          <w:rFonts w:hint="eastAsia" w:ascii="仿宋" w:hAnsi="仿宋" w:eastAsia="仿宋"/>
          <w:bCs/>
          <w:color w:val="auto"/>
          <w:sz w:val="32"/>
          <w:szCs w:val="32"/>
          <w:lang w:val="en-US" w:eastAsia="zh-CN"/>
        </w:rPr>
        <w:t>221</w:t>
      </w:r>
      <w:r>
        <w:rPr>
          <w:rStyle w:val="23"/>
          <w:rFonts w:hint="eastAsia" w:ascii="仿宋" w:hAnsi="仿宋" w:eastAsia="仿宋"/>
          <w:bCs/>
          <w:color w:val="auto"/>
          <w:sz w:val="32"/>
          <w:szCs w:val="32"/>
        </w:rPr>
        <w:t>）</w:t>
      </w:r>
      <w:r>
        <w:rPr>
          <w:rStyle w:val="23"/>
          <w:rFonts w:ascii="仿宋" w:hAnsi="仿宋" w:eastAsia="仿宋"/>
          <w:bCs/>
          <w:color w:val="auto"/>
          <w:sz w:val="32"/>
          <w:szCs w:val="32"/>
        </w:rPr>
        <w:t>:</w:t>
      </w:r>
      <w:r>
        <w:rPr>
          <w:rStyle w:val="23"/>
          <w:rFonts w:hint="eastAsia" w:ascii="仿宋" w:hAnsi="仿宋" w:eastAsia="仿宋"/>
          <w:b w:val="0"/>
          <w:bCs/>
          <w:color w:val="auto"/>
          <w:sz w:val="32"/>
          <w:szCs w:val="32"/>
        </w:rPr>
        <w:t>支出决算为</w:t>
      </w:r>
      <w:r>
        <w:rPr>
          <w:rStyle w:val="23"/>
          <w:rFonts w:hint="eastAsia" w:ascii="仿宋" w:hAnsi="仿宋" w:eastAsia="仿宋"/>
          <w:b w:val="0"/>
          <w:bCs/>
          <w:color w:val="auto"/>
          <w:sz w:val="32"/>
          <w:szCs w:val="32"/>
          <w:lang w:val="en-US" w:eastAsia="zh-CN"/>
        </w:rPr>
        <w:t>,16.32</w:t>
      </w:r>
      <w:r>
        <w:rPr>
          <w:rStyle w:val="23"/>
          <w:rFonts w:hint="eastAsia" w:ascii="仿宋" w:hAnsi="仿宋" w:eastAsia="仿宋"/>
          <w:b w:val="0"/>
          <w:bCs/>
          <w:color w:val="auto"/>
          <w:sz w:val="32"/>
          <w:szCs w:val="32"/>
        </w:rPr>
        <w:t>万元，完成预算</w:t>
      </w:r>
      <w:r>
        <w:rPr>
          <w:rStyle w:val="23"/>
          <w:rFonts w:hint="eastAsia" w:ascii="仿宋" w:hAnsi="仿宋" w:eastAsia="仿宋"/>
          <w:b w:val="0"/>
          <w:bCs/>
          <w:color w:val="auto"/>
          <w:sz w:val="32"/>
          <w:szCs w:val="32"/>
          <w:lang w:val="en-US" w:eastAsia="zh-CN"/>
        </w:rPr>
        <w:t>100</w:t>
      </w:r>
      <w:r>
        <w:rPr>
          <w:rStyle w:val="23"/>
          <w:rFonts w:ascii="仿宋" w:hAnsi="仿宋" w:eastAsia="仿宋"/>
          <w:b w:val="0"/>
          <w:bCs/>
          <w:color w:val="auto"/>
          <w:sz w:val="32"/>
          <w:szCs w:val="32"/>
        </w:rPr>
        <w:t>%</w:t>
      </w:r>
      <w:r>
        <w:rPr>
          <w:rStyle w:val="23"/>
          <w:rFonts w:hint="eastAsia" w:ascii="仿宋" w:hAnsi="仿宋" w:eastAsia="仿宋"/>
          <w:b w:val="0"/>
          <w:bCs/>
          <w:color w:val="auto"/>
          <w:sz w:val="32"/>
          <w:szCs w:val="32"/>
        </w:rPr>
        <w:t>，</w:t>
      </w:r>
      <w:r>
        <w:rPr>
          <w:rStyle w:val="23"/>
          <w:rFonts w:hint="eastAsia" w:ascii="方正仿宋_GB2312" w:hAnsi="方正仿宋_GB2312" w:eastAsia="方正仿宋_GB2312" w:cs="方正仿宋_GB2312"/>
          <w:b w:val="0"/>
          <w:bCs/>
          <w:color w:val="auto"/>
          <w:sz w:val="32"/>
          <w:szCs w:val="32"/>
          <w:lang w:eastAsia="zh-CN"/>
        </w:rPr>
        <w:t>预算数与决算数持平，</w:t>
      </w:r>
      <w:r>
        <w:rPr>
          <w:rStyle w:val="23"/>
          <w:rFonts w:hint="eastAsia" w:ascii="方正仿宋_GB2312" w:hAnsi="方正仿宋_GB2312" w:eastAsia="方正仿宋_GB2312" w:cs="方正仿宋_GB2312"/>
          <w:b w:val="0"/>
          <w:bCs/>
          <w:color w:val="auto"/>
          <w:sz w:val="32"/>
          <w:szCs w:val="32"/>
          <w:lang w:val="en-US" w:eastAsia="zh-CN"/>
        </w:rPr>
        <w:t>其中</w:t>
      </w:r>
      <w:r>
        <w:rPr>
          <w:rStyle w:val="23"/>
          <w:rFonts w:hint="eastAsia" w:ascii="仿宋" w:hAnsi="仿宋" w:eastAsia="仿宋"/>
          <w:bCs/>
          <w:color w:val="auto"/>
          <w:sz w:val="32"/>
          <w:szCs w:val="32"/>
          <w:lang w:eastAsia="zh-CN"/>
        </w:rPr>
        <w:t>（</w:t>
      </w:r>
      <w:r>
        <w:rPr>
          <w:rStyle w:val="23"/>
          <w:rFonts w:hint="eastAsia" w:ascii="仿宋" w:hAnsi="仿宋" w:eastAsia="仿宋"/>
          <w:bCs/>
          <w:color w:val="auto"/>
          <w:sz w:val="32"/>
          <w:szCs w:val="32"/>
          <w:lang w:val="en-US" w:eastAsia="zh-CN"/>
        </w:rPr>
        <w:t>2210201</w:t>
      </w:r>
      <w:r>
        <w:rPr>
          <w:rStyle w:val="23"/>
          <w:rFonts w:hint="eastAsia" w:ascii="仿宋" w:hAnsi="仿宋" w:eastAsia="仿宋"/>
          <w:bCs/>
          <w:color w:val="auto"/>
          <w:sz w:val="32"/>
          <w:szCs w:val="32"/>
          <w:lang w:eastAsia="zh-CN"/>
        </w:rPr>
        <w:t>）</w:t>
      </w:r>
      <w:r>
        <w:rPr>
          <w:rStyle w:val="23"/>
          <w:rFonts w:hint="eastAsia" w:ascii="方正仿宋_GB2312" w:hAnsi="方正仿宋_GB2312" w:eastAsia="方正仿宋_GB2312" w:cs="方正仿宋_GB2312"/>
          <w:b w:val="0"/>
          <w:bCs/>
          <w:color w:val="auto"/>
          <w:sz w:val="32"/>
          <w:szCs w:val="32"/>
          <w:lang w:eastAsia="zh-CN"/>
        </w:rPr>
        <w:t>住房公积金：支</w:t>
      </w:r>
      <w:r>
        <w:rPr>
          <w:rStyle w:val="23"/>
          <w:rFonts w:hint="eastAsia" w:ascii="方正仿宋_GB2312" w:hAnsi="方正仿宋_GB2312" w:eastAsia="方正仿宋_GB2312" w:cs="方正仿宋_GB2312"/>
          <w:b w:val="0"/>
          <w:bCs/>
          <w:color w:val="auto"/>
          <w:sz w:val="32"/>
          <w:szCs w:val="32"/>
          <w:lang w:val="en-US" w:eastAsia="zh-CN"/>
        </w:rPr>
        <w:t>出决算数为</w:t>
      </w:r>
      <w:r>
        <w:rPr>
          <w:rStyle w:val="23"/>
          <w:rFonts w:hint="eastAsia" w:ascii="仿宋" w:hAnsi="仿宋" w:eastAsia="仿宋"/>
          <w:b w:val="0"/>
          <w:bCs/>
          <w:color w:val="auto"/>
          <w:sz w:val="32"/>
          <w:szCs w:val="32"/>
          <w:lang w:val="en-US" w:eastAsia="zh-CN"/>
        </w:rPr>
        <w:t>16.32</w:t>
      </w:r>
      <w:r>
        <w:rPr>
          <w:rStyle w:val="23"/>
          <w:rFonts w:hint="eastAsia" w:ascii="方正仿宋_GB2312" w:hAnsi="方正仿宋_GB2312" w:eastAsia="方正仿宋_GB2312" w:cs="方正仿宋_GB2312"/>
          <w:b w:val="0"/>
          <w:bCs/>
          <w:color w:val="auto"/>
          <w:sz w:val="32"/>
          <w:szCs w:val="32"/>
          <w:lang w:val="en-US" w:eastAsia="zh-CN"/>
        </w:rPr>
        <w:t>万元</w:t>
      </w:r>
      <w:r>
        <w:rPr>
          <w:rStyle w:val="23"/>
          <w:rFonts w:hint="eastAsia" w:ascii="仿宋" w:hAnsi="仿宋" w:eastAsia="仿宋"/>
          <w:b w:val="0"/>
          <w:bCs/>
          <w:color w:val="auto"/>
          <w:sz w:val="32"/>
          <w:szCs w:val="32"/>
        </w:rPr>
        <w:t>，完成预算</w:t>
      </w:r>
      <w:r>
        <w:rPr>
          <w:rStyle w:val="23"/>
          <w:rFonts w:hint="eastAsia" w:ascii="仿宋" w:hAnsi="仿宋" w:eastAsia="仿宋"/>
          <w:b w:val="0"/>
          <w:bCs/>
          <w:color w:val="auto"/>
          <w:sz w:val="32"/>
          <w:szCs w:val="32"/>
          <w:lang w:val="en-US" w:eastAsia="zh-CN"/>
        </w:rPr>
        <w:t>100</w:t>
      </w:r>
      <w:r>
        <w:rPr>
          <w:rStyle w:val="23"/>
          <w:rFonts w:ascii="仿宋" w:hAnsi="仿宋" w:eastAsia="仿宋"/>
          <w:b w:val="0"/>
          <w:bCs/>
          <w:color w:val="auto"/>
          <w:sz w:val="32"/>
          <w:szCs w:val="32"/>
        </w:rPr>
        <w:t>%</w:t>
      </w:r>
      <w:r>
        <w:rPr>
          <w:rStyle w:val="23"/>
          <w:rFonts w:hint="eastAsia" w:ascii="仿宋" w:hAnsi="仿宋" w:eastAsia="仿宋"/>
          <w:b w:val="0"/>
          <w:bCs/>
          <w:color w:val="auto"/>
          <w:sz w:val="32"/>
          <w:szCs w:val="32"/>
          <w:lang w:eastAsia="zh-CN"/>
        </w:rPr>
        <w:t>，</w:t>
      </w:r>
      <w:r>
        <w:rPr>
          <w:rStyle w:val="23"/>
          <w:rFonts w:hint="eastAsia" w:ascii="方正仿宋_GB2312" w:hAnsi="方正仿宋_GB2312" w:eastAsia="方正仿宋_GB2312" w:cs="方正仿宋_GB2312"/>
          <w:b w:val="0"/>
          <w:bCs/>
          <w:color w:val="auto"/>
          <w:sz w:val="32"/>
          <w:szCs w:val="32"/>
          <w:lang w:eastAsia="zh-CN"/>
        </w:rPr>
        <w:t>预算数与决算数持平。</w:t>
      </w:r>
    </w:p>
    <w:p>
      <w:pPr>
        <w:pageBreakBefore w:val="0"/>
        <w:tabs>
          <w:tab w:val="right" w:pos="8306"/>
        </w:tabs>
        <w:kinsoku/>
        <w:wordWrap/>
        <w:overflowPunct/>
        <w:topLinePunct w:val="0"/>
        <w:bidi w:val="0"/>
        <w:spacing w:line="576" w:lineRule="exact"/>
        <w:ind w:firstLine="640" w:firstLineChars="200"/>
        <w:textAlignment w:val="auto"/>
        <w:outlineLvl w:val="1"/>
        <w:rPr>
          <w:rStyle w:val="28"/>
        </w:rPr>
      </w:pPr>
      <w:bookmarkStart w:id="69" w:name="_Toc15377214"/>
      <w:bookmarkStart w:id="70" w:name="_Toc15396608"/>
      <w:bookmarkStart w:id="71" w:name="_Toc79163618"/>
      <w:bookmarkStart w:id="72" w:name="_Toc79163868"/>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8"/>
          <w:rFonts w:hint="eastAsia" w:ascii="黑体" w:hAnsi="黑体" w:eastAsia="黑体"/>
          <w:b w:val="0"/>
        </w:rPr>
        <w:t>般公共预算财政拨款基本支出决算情况说明</w:t>
      </w:r>
      <w:bookmarkEnd w:id="69"/>
      <w:bookmarkEnd w:id="70"/>
      <w:bookmarkEnd w:id="71"/>
      <w:bookmarkEnd w:id="72"/>
      <w:r>
        <w:rPr>
          <w:rStyle w:val="28"/>
          <w:rFonts w:ascii="黑体" w:hAnsi="黑体" w:eastAsia="黑体"/>
          <w:b w:val="0"/>
        </w:rPr>
        <w:tab/>
      </w:r>
    </w:p>
    <w:p>
      <w:pPr>
        <w:pageBreakBefore w:val="0"/>
        <w:kinsoku/>
        <w:wordWrap/>
        <w:overflowPunct/>
        <w:topLinePunct w:val="0"/>
        <w:bidi w:val="0"/>
        <w:spacing w:line="576" w:lineRule="exact"/>
        <w:ind w:firstLine="640" w:firstLineChars="200"/>
        <w:textAlignment w:val="auto"/>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年一般公共预算财政拨款基本支出</w:t>
      </w:r>
      <w:r>
        <w:rPr>
          <w:rFonts w:hint="eastAsia" w:ascii="仿宋" w:hAnsi="仿宋" w:eastAsia="仿宋"/>
          <w:color w:val="000000"/>
          <w:sz w:val="32"/>
          <w:szCs w:val="32"/>
          <w:lang w:val="en-US" w:eastAsia="zh-CN"/>
        </w:rPr>
        <w:t>263.64</w:t>
      </w:r>
      <w:r>
        <w:rPr>
          <w:rFonts w:hint="eastAsia" w:ascii="仿宋" w:hAnsi="仿宋" w:eastAsia="仿宋"/>
          <w:color w:val="000000"/>
          <w:sz w:val="32"/>
          <w:szCs w:val="32"/>
        </w:rPr>
        <w:t>万元，其中：</w:t>
      </w:r>
    </w:p>
    <w:p>
      <w:pPr>
        <w:pageBreakBefore w:val="0"/>
        <w:kinsoku/>
        <w:wordWrap/>
        <w:overflowPunct/>
        <w:topLinePunct w:val="0"/>
        <w:bidi w:val="0"/>
        <w:spacing w:line="576" w:lineRule="exact"/>
        <w:ind w:firstLine="640" w:firstLineChars="200"/>
        <w:textAlignment w:val="auto"/>
        <w:rPr>
          <w:rFonts w:hint="eastAsia" w:ascii="仿宋" w:hAnsi="仿宋" w:eastAsia="仿宋"/>
          <w:color w:val="auto"/>
          <w:sz w:val="32"/>
          <w:szCs w:val="32"/>
          <w:lang w:val="en-US" w:eastAsia="zh-CN"/>
        </w:rPr>
      </w:pPr>
      <w:r>
        <w:rPr>
          <w:rFonts w:hint="eastAsia" w:ascii="仿宋" w:hAnsi="仿宋" w:eastAsia="仿宋"/>
          <w:color w:val="auto"/>
          <w:sz w:val="32"/>
          <w:szCs w:val="32"/>
        </w:rPr>
        <w:t>人员经费</w:t>
      </w:r>
      <w:r>
        <w:rPr>
          <w:rFonts w:hint="eastAsia" w:ascii="仿宋" w:hAnsi="仿宋" w:eastAsia="仿宋"/>
          <w:color w:val="auto"/>
          <w:sz w:val="32"/>
          <w:szCs w:val="32"/>
          <w:lang w:val="en-US" w:eastAsia="zh-CN"/>
        </w:rPr>
        <w:t>230.03</w:t>
      </w:r>
      <w:r>
        <w:rPr>
          <w:rFonts w:hint="eastAsia" w:ascii="仿宋" w:hAnsi="仿宋" w:eastAsia="仿宋"/>
          <w:color w:val="auto"/>
          <w:sz w:val="32"/>
          <w:szCs w:val="32"/>
        </w:rPr>
        <w:t>万元，主要包括：基本工资</w:t>
      </w:r>
      <w:r>
        <w:rPr>
          <w:rFonts w:hint="eastAsia" w:ascii="仿宋" w:hAnsi="仿宋" w:eastAsia="仿宋"/>
          <w:color w:val="auto"/>
          <w:sz w:val="32"/>
          <w:szCs w:val="32"/>
          <w:lang w:val="en-US" w:eastAsia="zh-CN"/>
        </w:rPr>
        <w:t>39.38万元</w:t>
      </w:r>
      <w:r>
        <w:rPr>
          <w:rFonts w:hint="eastAsia" w:ascii="仿宋" w:hAnsi="仿宋" w:eastAsia="仿宋"/>
          <w:color w:val="auto"/>
          <w:sz w:val="32"/>
          <w:szCs w:val="32"/>
        </w:rPr>
        <w:t>、津贴补贴</w:t>
      </w:r>
      <w:r>
        <w:rPr>
          <w:rFonts w:hint="eastAsia" w:ascii="仿宋" w:hAnsi="仿宋" w:eastAsia="仿宋"/>
          <w:color w:val="auto"/>
          <w:sz w:val="32"/>
          <w:szCs w:val="32"/>
          <w:lang w:val="en-US" w:eastAsia="zh-CN"/>
        </w:rPr>
        <w:t>57.86万元</w:t>
      </w:r>
      <w:r>
        <w:rPr>
          <w:rFonts w:hint="eastAsia" w:ascii="仿宋" w:hAnsi="仿宋" w:eastAsia="仿宋"/>
          <w:color w:val="auto"/>
          <w:sz w:val="32"/>
          <w:szCs w:val="32"/>
        </w:rPr>
        <w:t>、</w:t>
      </w:r>
      <w:r>
        <w:rPr>
          <w:rFonts w:hint="eastAsia" w:ascii="仿宋" w:hAnsi="仿宋" w:eastAsia="仿宋"/>
          <w:color w:val="auto"/>
          <w:sz w:val="32"/>
          <w:szCs w:val="32"/>
          <w:lang w:eastAsia="zh-CN"/>
        </w:rPr>
        <w:t>奖金</w:t>
      </w:r>
      <w:r>
        <w:rPr>
          <w:rFonts w:hint="eastAsia" w:ascii="仿宋" w:hAnsi="仿宋" w:eastAsia="仿宋"/>
          <w:color w:val="auto"/>
          <w:sz w:val="32"/>
          <w:szCs w:val="32"/>
          <w:lang w:val="en-US" w:eastAsia="zh-CN"/>
        </w:rPr>
        <w:t>43.63万元、</w:t>
      </w:r>
      <w:r>
        <w:rPr>
          <w:rFonts w:hint="eastAsia" w:ascii="仿宋" w:hAnsi="仿宋" w:eastAsia="仿宋"/>
          <w:color w:val="auto"/>
          <w:sz w:val="32"/>
          <w:szCs w:val="32"/>
        </w:rPr>
        <w:t>机关事业单位基本养老保险缴费</w:t>
      </w:r>
      <w:r>
        <w:rPr>
          <w:rFonts w:hint="eastAsia" w:ascii="仿宋" w:hAnsi="仿宋" w:eastAsia="仿宋"/>
          <w:color w:val="auto"/>
          <w:sz w:val="32"/>
          <w:szCs w:val="32"/>
          <w:lang w:val="en-US" w:eastAsia="zh-CN"/>
        </w:rPr>
        <w:t>22.32万元</w:t>
      </w:r>
      <w:r>
        <w:rPr>
          <w:rFonts w:hint="eastAsia" w:ascii="仿宋" w:hAnsi="仿宋" w:eastAsia="仿宋"/>
          <w:color w:val="auto"/>
          <w:sz w:val="32"/>
          <w:szCs w:val="32"/>
        </w:rPr>
        <w:t>、职业年金缴费</w:t>
      </w:r>
      <w:r>
        <w:rPr>
          <w:rFonts w:hint="eastAsia" w:ascii="仿宋" w:hAnsi="仿宋" w:eastAsia="仿宋"/>
          <w:color w:val="auto"/>
          <w:sz w:val="32"/>
          <w:szCs w:val="32"/>
          <w:lang w:val="en-US" w:eastAsia="zh-CN"/>
        </w:rPr>
        <w:t>11.16万元</w:t>
      </w:r>
      <w:r>
        <w:rPr>
          <w:rFonts w:hint="eastAsia" w:ascii="仿宋" w:hAnsi="仿宋" w:eastAsia="仿宋"/>
          <w:color w:val="auto"/>
          <w:sz w:val="32"/>
          <w:szCs w:val="32"/>
        </w:rPr>
        <w:t>、</w:t>
      </w:r>
      <w:r>
        <w:rPr>
          <w:rFonts w:hint="eastAsia" w:ascii="仿宋" w:hAnsi="仿宋" w:eastAsia="仿宋"/>
          <w:color w:val="auto"/>
          <w:sz w:val="32"/>
          <w:szCs w:val="32"/>
          <w:lang w:val="en-US" w:eastAsia="zh-CN"/>
        </w:rPr>
        <w:t>职工基本医疗保险缴费9.21</w:t>
      </w:r>
      <w:r>
        <w:rPr>
          <w:rFonts w:hint="eastAsia" w:ascii="仿宋" w:hAnsi="仿宋" w:eastAsia="仿宋"/>
          <w:color w:val="auto"/>
          <w:sz w:val="32"/>
          <w:szCs w:val="32"/>
        </w:rPr>
        <w:t>万元、</w:t>
      </w:r>
      <w:r>
        <w:rPr>
          <w:rFonts w:hint="eastAsia" w:ascii="仿宋" w:hAnsi="仿宋" w:eastAsia="仿宋"/>
          <w:color w:val="auto"/>
          <w:sz w:val="32"/>
          <w:szCs w:val="32"/>
          <w:lang w:val="en-US" w:eastAsia="zh-CN"/>
        </w:rPr>
        <w:t>公务员医疗补助缴费3.91万元、</w:t>
      </w:r>
      <w:r>
        <w:rPr>
          <w:rFonts w:hint="eastAsia" w:ascii="仿宋" w:hAnsi="仿宋" w:eastAsia="仿宋"/>
          <w:color w:val="auto"/>
          <w:sz w:val="32"/>
          <w:szCs w:val="32"/>
        </w:rPr>
        <w:t>其他社会保障缴费</w:t>
      </w:r>
      <w:r>
        <w:rPr>
          <w:rFonts w:hint="eastAsia" w:ascii="仿宋" w:hAnsi="仿宋" w:eastAsia="仿宋"/>
          <w:color w:val="auto"/>
          <w:sz w:val="32"/>
          <w:szCs w:val="32"/>
          <w:lang w:val="en-US" w:eastAsia="zh-CN"/>
        </w:rPr>
        <w:t>0.27万元</w:t>
      </w:r>
      <w:r>
        <w:rPr>
          <w:rFonts w:hint="eastAsia" w:ascii="仿宋" w:hAnsi="仿宋" w:eastAsia="仿宋"/>
          <w:color w:val="auto"/>
          <w:sz w:val="32"/>
          <w:szCs w:val="32"/>
        </w:rPr>
        <w:t>、住房公积金</w:t>
      </w:r>
      <w:r>
        <w:rPr>
          <w:rFonts w:hint="eastAsia" w:ascii="仿宋" w:hAnsi="仿宋" w:eastAsia="仿宋"/>
          <w:color w:val="auto"/>
          <w:sz w:val="32"/>
          <w:szCs w:val="32"/>
          <w:lang w:val="en-US" w:eastAsia="zh-CN"/>
        </w:rPr>
        <w:t>16.32万元</w:t>
      </w:r>
      <w:r>
        <w:rPr>
          <w:rFonts w:hint="eastAsia" w:ascii="仿宋" w:hAnsi="仿宋" w:eastAsia="仿宋"/>
          <w:color w:val="auto"/>
          <w:sz w:val="32"/>
          <w:szCs w:val="32"/>
        </w:rPr>
        <w:t>、</w:t>
      </w:r>
      <w:r>
        <w:rPr>
          <w:rFonts w:hint="eastAsia" w:ascii="仿宋" w:hAnsi="仿宋" w:eastAsia="仿宋"/>
          <w:color w:val="auto"/>
          <w:sz w:val="32"/>
          <w:szCs w:val="32"/>
          <w:lang w:val="en-US" w:eastAsia="zh-CN"/>
        </w:rPr>
        <w:t>其</w:t>
      </w:r>
      <w:r>
        <w:rPr>
          <w:rFonts w:hint="eastAsia" w:ascii="仿宋" w:hAnsi="仿宋" w:eastAsia="仿宋"/>
          <w:color w:val="auto"/>
          <w:sz w:val="32"/>
          <w:szCs w:val="32"/>
        </w:rPr>
        <w:t>他对个人和家庭的补助支出</w:t>
      </w:r>
      <w:r>
        <w:rPr>
          <w:rFonts w:hint="eastAsia" w:ascii="仿宋" w:hAnsi="仿宋" w:eastAsia="仿宋"/>
          <w:color w:val="auto"/>
          <w:sz w:val="32"/>
          <w:szCs w:val="32"/>
          <w:lang w:val="en-US" w:eastAsia="zh-CN"/>
        </w:rPr>
        <w:t>25.98</w:t>
      </w:r>
      <w:r>
        <w:rPr>
          <w:rFonts w:hint="eastAsia" w:ascii="仿宋" w:hAnsi="仿宋" w:eastAsia="仿宋"/>
          <w:color w:val="auto"/>
          <w:sz w:val="32"/>
          <w:szCs w:val="32"/>
        </w:rPr>
        <w:t>万元</w:t>
      </w:r>
      <w:r>
        <w:rPr>
          <w:rFonts w:hint="eastAsia" w:ascii="仿宋" w:hAnsi="仿宋" w:eastAsia="仿宋"/>
          <w:color w:val="auto"/>
          <w:sz w:val="32"/>
          <w:szCs w:val="32"/>
          <w:lang w:val="en-US" w:eastAsia="zh-CN"/>
        </w:rPr>
        <w:t>（其中：生活补助24.05</w:t>
      </w:r>
      <w:r>
        <w:rPr>
          <w:rFonts w:hint="eastAsia" w:ascii="仿宋" w:hAnsi="仿宋" w:eastAsia="仿宋"/>
          <w:color w:val="auto"/>
          <w:sz w:val="32"/>
          <w:szCs w:val="32"/>
        </w:rPr>
        <w:t>万元、医疗费补助</w:t>
      </w:r>
      <w:r>
        <w:rPr>
          <w:rFonts w:hint="eastAsia" w:ascii="仿宋" w:hAnsi="仿宋" w:eastAsia="仿宋"/>
          <w:color w:val="auto"/>
          <w:sz w:val="32"/>
          <w:szCs w:val="32"/>
          <w:lang w:val="en-US" w:eastAsia="zh-CN"/>
        </w:rPr>
        <w:t>1.92</w:t>
      </w:r>
      <w:r>
        <w:rPr>
          <w:rFonts w:hint="eastAsia" w:ascii="仿宋" w:hAnsi="仿宋" w:eastAsia="仿宋"/>
          <w:color w:val="auto"/>
          <w:sz w:val="32"/>
          <w:szCs w:val="32"/>
        </w:rPr>
        <w:t>万</w:t>
      </w:r>
      <w:r>
        <w:rPr>
          <w:rFonts w:hint="eastAsia" w:ascii="仿宋" w:hAnsi="仿宋" w:eastAsia="仿宋"/>
          <w:color w:val="auto"/>
          <w:sz w:val="32"/>
          <w:szCs w:val="32"/>
          <w:lang w:val="en-US" w:eastAsia="zh-CN"/>
        </w:rPr>
        <w:t>元）</w:t>
      </w:r>
      <w:r>
        <w:rPr>
          <w:rFonts w:hint="eastAsia" w:ascii="仿宋" w:hAnsi="仿宋" w:eastAsia="仿宋"/>
          <w:color w:val="auto"/>
          <w:sz w:val="32"/>
          <w:szCs w:val="32"/>
          <w:lang w:eastAsia="zh-CN"/>
        </w:rPr>
        <w:t>。</w:t>
      </w:r>
      <w:r>
        <w:rPr>
          <w:rFonts w:hint="eastAsia" w:ascii="仿宋" w:hAnsi="仿宋" w:eastAsia="仿宋"/>
          <w:color w:val="auto"/>
          <w:sz w:val="32"/>
          <w:szCs w:val="32"/>
        </w:rPr>
        <w:t>　</w:t>
      </w:r>
      <w:r>
        <w:rPr>
          <w:rFonts w:hint="eastAsia" w:ascii="仿宋" w:hAnsi="仿宋" w:eastAsia="仿宋"/>
          <w:color w:val="auto"/>
          <w:sz w:val="32"/>
          <w:szCs w:val="32"/>
          <w:lang w:val="en-US" w:eastAsia="zh-CN"/>
        </w:rPr>
        <w:t xml:space="preserve">         </w:t>
      </w:r>
    </w:p>
    <w:p>
      <w:pPr>
        <w:pageBreakBefore w:val="0"/>
        <w:kinsoku/>
        <w:wordWrap/>
        <w:overflowPunct/>
        <w:topLinePunct w:val="0"/>
        <w:bidi w:val="0"/>
        <w:spacing w:line="576" w:lineRule="exact"/>
        <w:ind w:firstLine="640" w:firstLineChars="200"/>
        <w:textAlignment w:val="auto"/>
        <w:outlineLvl w:val="1"/>
        <w:rPr>
          <w:rFonts w:hint="eastAsia" w:ascii="仿宋" w:hAnsi="仿宋" w:eastAsia="仿宋"/>
          <w:color w:val="0000FF"/>
          <w:sz w:val="32"/>
          <w:szCs w:val="32"/>
          <w:lang w:val="en-US" w:eastAsia="zh-CN"/>
        </w:rPr>
      </w:pPr>
      <w:r>
        <w:rPr>
          <w:rFonts w:hint="eastAsia" w:ascii="仿宋" w:hAnsi="仿宋" w:eastAsia="仿宋"/>
          <w:color w:val="auto"/>
          <w:sz w:val="32"/>
          <w:szCs w:val="32"/>
        </w:rPr>
        <w:t>日常公用经费</w:t>
      </w:r>
      <w:r>
        <w:rPr>
          <w:rFonts w:hint="eastAsia" w:ascii="仿宋" w:hAnsi="仿宋" w:eastAsia="仿宋"/>
          <w:color w:val="auto"/>
          <w:sz w:val="32"/>
          <w:szCs w:val="32"/>
          <w:lang w:val="en-US" w:eastAsia="zh-CN"/>
        </w:rPr>
        <w:t>14.61</w:t>
      </w:r>
      <w:r>
        <w:rPr>
          <w:rFonts w:hint="eastAsia" w:ascii="仿宋" w:hAnsi="仿宋" w:eastAsia="仿宋"/>
          <w:color w:val="auto"/>
          <w:sz w:val="32"/>
          <w:szCs w:val="32"/>
        </w:rPr>
        <w:t>万元，主要包括：办公费</w:t>
      </w:r>
      <w:r>
        <w:rPr>
          <w:rFonts w:hint="eastAsia" w:ascii="仿宋" w:hAnsi="仿宋" w:eastAsia="仿宋"/>
          <w:color w:val="auto"/>
          <w:sz w:val="32"/>
          <w:szCs w:val="32"/>
          <w:lang w:val="en-US" w:eastAsia="zh-CN"/>
        </w:rPr>
        <w:t>4.07万元</w:t>
      </w:r>
      <w:r>
        <w:rPr>
          <w:rFonts w:hint="eastAsia" w:ascii="仿宋" w:hAnsi="仿宋" w:eastAsia="仿宋"/>
          <w:color w:val="auto"/>
          <w:sz w:val="32"/>
          <w:szCs w:val="32"/>
        </w:rPr>
        <w:t>、印刷费</w:t>
      </w:r>
      <w:r>
        <w:rPr>
          <w:rFonts w:hint="eastAsia" w:ascii="仿宋" w:hAnsi="仿宋" w:eastAsia="仿宋"/>
          <w:color w:val="auto"/>
          <w:sz w:val="32"/>
          <w:szCs w:val="32"/>
          <w:lang w:val="en-US" w:eastAsia="zh-CN"/>
        </w:rPr>
        <w:t>0.54万元</w:t>
      </w:r>
      <w:r>
        <w:rPr>
          <w:rFonts w:hint="eastAsia" w:ascii="仿宋" w:hAnsi="仿宋" w:eastAsia="仿宋"/>
          <w:color w:val="auto"/>
          <w:sz w:val="32"/>
          <w:szCs w:val="32"/>
        </w:rPr>
        <w:t>、水费</w:t>
      </w:r>
      <w:r>
        <w:rPr>
          <w:rFonts w:hint="eastAsia" w:ascii="仿宋" w:hAnsi="仿宋" w:eastAsia="仿宋"/>
          <w:color w:val="auto"/>
          <w:sz w:val="32"/>
          <w:szCs w:val="32"/>
          <w:lang w:val="en-US" w:eastAsia="zh-CN"/>
        </w:rPr>
        <w:t>0万元</w:t>
      </w:r>
      <w:r>
        <w:rPr>
          <w:rFonts w:hint="eastAsia" w:ascii="仿宋" w:hAnsi="仿宋" w:eastAsia="仿宋"/>
          <w:color w:val="auto"/>
          <w:sz w:val="32"/>
          <w:szCs w:val="32"/>
        </w:rPr>
        <w:t>、电费</w:t>
      </w:r>
      <w:r>
        <w:rPr>
          <w:rFonts w:hint="eastAsia" w:ascii="仿宋" w:hAnsi="仿宋" w:eastAsia="仿宋"/>
          <w:color w:val="auto"/>
          <w:sz w:val="32"/>
          <w:szCs w:val="32"/>
          <w:lang w:val="en-US" w:eastAsia="zh-CN"/>
        </w:rPr>
        <w:t>0.18万元</w:t>
      </w:r>
      <w:r>
        <w:rPr>
          <w:rFonts w:hint="eastAsia" w:ascii="仿宋" w:hAnsi="仿宋" w:eastAsia="仿宋"/>
          <w:color w:val="auto"/>
          <w:sz w:val="32"/>
          <w:szCs w:val="32"/>
        </w:rPr>
        <w:t>、邮电费</w:t>
      </w:r>
      <w:r>
        <w:rPr>
          <w:rFonts w:hint="eastAsia" w:ascii="仿宋" w:hAnsi="仿宋" w:eastAsia="仿宋"/>
          <w:color w:val="auto"/>
          <w:sz w:val="32"/>
          <w:szCs w:val="32"/>
          <w:lang w:val="en-US" w:eastAsia="zh-CN"/>
        </w:rPr>
        <w:t>0.99万元</w:t>
      </w:r>
      <w:r>
        <w:rPr>
          <w:rFonts w:hint="eastAsia" w:ascii="仿宋" w:hAnsi="仿宋" w:eastAsia="仿宋"/>
          <w:color w:val="auto"/>
          <w:sz w:val="32"/>
          <w:szCs w:val="32"/>
        </w:rPr>
        <w:t>、</w:t>
      </w:r>
      <w:r>
        <w:rPr>
          <w:rFonts w:hint="eastAsia" w:ascii="仿宋" w:hAnsi="仿宋" w:eastAsia="仿宋"/>
          <w:color w:val="auto"/>
          <w:sz w:val="32"/>
          <w:szCs w:val="32"/>
          <w:lang w:eastAsia="zh-CN"/>
        </w:rPr>
        <w:t>取暖费</w:t>
      </w:r>
      <w:r>
        <w:rPr>
          <w:rFonts w:hint="eastAsia" w:ascii="仿宋" w:hAnsi="仿宋" w:eastAsia="仿宋"/>
          <w:color w:val="auto"/>
          <w:sz w:val="32"/>
          <w:szCs w:val="32"/>
          <w:lang w:val="en-US" w:eastAsia="zh-CN"/>
        </w:rPr>
        <w:t>0.31万元、</w:t>
      </w:r>
      <w:r>
        <w:rPr>
          <w:rFonts w:hint="eastAsia" w:ascii="仿宋" w:hAnsi="仿宋" w:eastAsia="仿宋"/>
          <w:color w:val="auto"/>
          <w:sz w:val="32"/>
          <w:szCs w:val="32"/>
        </w:rPr>
        <w:t>差旅费</w:t>
      </w:r>
      <w:r>
        <w:rPr>
          <w:rFonts w:hint="eastAsia" w:ascii="仿宋" w:hAnsi="仿宋" w:eastAsia="仿宋"/>
          <w:color w:val="auto"/>
          <w:sz w:val="32"/>
          <w:szCs w:val="32"/>
          <w:lang w:val="en-US" w:eastAsia="zh-CN"/>
        </w:rPr>
        <w:t>2.53万元</w:t>
      </w:r>
      <w:r>
        <w:rPr>
          <w:rFonts w:hint="eastAsia" w:ascii="仿宋" w:hAnsi="仿宋" w:eastAsia="仿宋"/>
          <w:color w:val="auto"/>
          <w:sz w:val="32"/>
          <w:szCs w:val="32"/>
        </w:rPr>
        <w:t>、公务用车运行维护费</w:t>
      </w:r>
      <w:r>
        <w:rPr>
          <w:rFonts w:hint="eastAsia" w:ascii="仿宋" w:hAnsi="仿宋" w:eastAsia="仿宋"/>
          <w:color w:val="auto"/>
          <w:sz w:val="32"/>
          <w:szCs w:val="32"/>
          <w:lang w:val="en-US" w:eastAsia="zh-CN"/>
        </w:rPr>
        <w:t>4万元、其他商品和服务支出1.99。</w:t>
      </w:r>
    </w:p>
    <w:p>
      <w:pPr>
        <w:pageBreakBefore w:val="0"/>
        <w:kinsoku/>
        <w:wordWrap/>
        <w:overflowPunct/>
        <w:topLinePunct w:val="0"/>
        <w:bidi w:val="0"/>
        <w:spacing w:line="576" w:lineRule="exact"/>
        <w:ind w:firstLine="640" w:firstLineChars="200"/>
        <w:textAlignment w:val="auto"/>
        <w:outlineLvl w:val="1"/>
        <w:rPr>
          <w:rStyle w:val="28"/>
          <w:rFonts w:ascii="黑体" w:hAnsi="黑体" w:eastAsia="黑体"/>
          <w:b w:val="0"/>
        </w:rPr>
      </w:pPr>
      <w:bookmarkStart w:id="73" w:name="_Toc79163869"/>
      <w:bookmarkStart w:id="74" w:name="_Toc15396609"/>
      <w:bookmarkStart w:id="75" w:name="_Toc79163619"/>
      <w:bookmarkStart w:id="76" w:name="_Toc15377215"/>
      <w:r>
        <w:rPr>
          <w:rFonts w:hint="eastAsia" w:ascii="黑体" w:eastAsia="黑体"/>
          <w:color w:val="000000"/>
          <w:sz w:val="32"/>
          <w:szCs w:val="32"/>
        </w:rPr>
        <w:t>七、</w:t>
      </w:r>
      <w:r>
        <w:rPr>
          <w:rStyle w:val="28"/>
          <w:rFonts w:hint="eastAsia" w:ascii="黑体" w:hAnsi="黑体" w:eastAsia="黑体"/>
        </w:rPr>
        <w:t>“</w:t>
      </w:r>
      <w:r>
        <w:rPr>
          <w:rStyle w:val="28"/>
          <w:rFonts w:hint="eastAsia" w:ascii="黑体" w:hAnsi="黑体" w:eastAsia="黑体"/>
          <w:b w:val="0"/>
        </w:rPr>
        <w:t>三公”经费财政拨款支出决算情况说明</w:t>
      </w:r>
      <w:bookmarkEnd w:id="73"/>
      <w:bookmarkEnd w:id="74"/>
      <w:bookmarkEnd w:id="75"/>
      <w:bookmarkEnd w:id="76"/>
    </w:p>
    <w:p>
      <w:pPr>
        <w:pageBreakBefore w:val="0"/>
        <w:kinsoku/>
        <w:wordWrap/>
        <w:overflowPunct/>
        <w:topLinePunct w:val="0"/>
        <w:bidi w:val="0"/>
        <w:spacing w:line="576" w:lineRule="exact"/>
        <w:ind w:firstLine="642" w:firstLineChars="200"/>
        <w:textAlignment w:val="auto"/>
        <w:outlineLvl w:val="2"/>
        <w:rPr>
          <w:rFonts w:ascii="仿宋" w:hAnsi="仿宋" w:eastAsia="仿宋"/>
          <w:b/>
          <w:color w:val="000000"/>
          <w:sz w:val="32"/>
          <w:szCs w:val="32"/>
        </w:rPr>
      </w:pPr>
      <w:bookmarkStart w:id="77" w:name="_Toc79163870"/>
      <w:bookmarkStart w:id="78" w:name="_Toc79163620"/>
      <w:bookmarkStart w:id="79" w:name="_Toc15377216"/>
      <w:r>
        <w:rPr>
          <w:rFonts w:hint="eastAsia" w:ascii="楷体_GB2312" w:hAnsi="仿宋" w:eastAsia="楷体_GB2312"/>
          <w:b/>
          <w:sz w:val="32"/>
          <w:szCs w:val="32"/>
        </w:rPr>
        <w:t>（一）“三公”经费财政拨款支出决算总体情况说明</w:t>
      </w:r>
      <w:bookmarkEnd w:id="77"/>
      <w:bookmarkEnd w:id="78"/>
      <w:bookmarkEnd w:id="79"/>
    </w:p>
    <w:p>
      <w:pPr>
        <w:pageBreakBefore w:val="0"/>
        <w:kinsoku/>
        <w:wordWrap/>
        <w:overflowPunct/>
        <w:topLinePunct w:val="0"/>
        <w:bidi w:val="0"/>
        <w:spacing w:line="576" w:lineRule="exact"/>
        <w:ind w:firstLine="640" w:firstLineChars="200"/>
        <w:textAlignment w:val="auto"/>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年“三公”经费财政拨款支出决算为</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万元，完成预算</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，决算数与预算数持平。</w:t>
      </w:r>
    </w:p>
    <w:p>
      <w:pPr>
        <w:pageBreakBefore w:val="0"/>
        <w:kinsoku/>
        <w:wordWrap/>
        <w:overflowPunct/>
        <w:topLinePunct w:val="0"/>
        <w:bidi w:val="0"/>
        <w:spacing w:line="576" w:lineRule="exact"/>
        <w:ind w:firstLine="642" w:firstLineChars="200"/>
        <w:textAlignment w:val="auto"/>
        <w:outlineLvl w:val="2"/>
        <w:rPr>
          <w:rFonts w:hint="eastAsia" w:ascii="楷体_GB2312" w:hAnsi="仿宋" w:eastAsia="楷体_GB2312"/>
          <w:b/>
          <w:sz w:val="32"/>
          <w:szCs w:val="32"/>
        </w:rPr>
      </w:pPr>
      <w:bookmarkStart w:id="80" w:name="_Toc79163621"/>
      <w:bookmarkStart w:id="81" w:name="_Toc15377217"/>
      <w:bookmarkStart w:id="82" w:name="_Toc79163871"/>
      <w:r>
        <w:rPr>
          <w:rFonts w:hint="eastAsia" w:ascii="楷体_GB2312" w:hAnsi="仿宋" w:eastAsia="楷体_GB2312"/>
          <w:b/>
          <w:sz w:val="32"/>
          <w:szCs w:val="32"/>
        </w:rPr>
        <w:t>（二）“三公”经费财政拨款支出决算具体情况说明</w:t>
      </w:r>
      <w:bookmarkEnd w:id="80"/>
      <w:bookmarkEnd w:id="81"/>
      <w:bookmarkEnd w:id="82"/>
    </w:p>
    <w:p>
      <w:pPr>
        <w:pageBreakBefore w:val="0"/>
        <w:kinsoku/>
        <w:wordWrap/>
        <w:overflowPunct/>
        <w:topLinePunct w:val="0"/>
        <w:bidi w:val="0"/>
        <w:spacing w:line="576" w:lineRule="exact"/>
        <w:ind w:firstLine="640" w:firstLineChars="200"/>
        <w:textAlignment w:val="auto"/>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年“三公”经费财政拨款支出决算中，因公出国（境）费支出决算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；公务接待费支出决算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。具体情况如下：</w:t>
      </w:r>
    </w:p>
    <w:p>
      <w:pPr>
        <w:pageBreakBefore w:val="0"/>
        <w:kinsoku/>
        <w:wordWrap/>
        <w:overflowPunct/>
        <w:topLinePunct w:val="0"/>
        <w:bidi w:val="0"/>
        <w:spacing w:line="576" w:lineRule="exact"/>
        <w:ind w:firstLine="640" w:firstLineChars="200"/>
        <w:textAlignment w:val="auto"/>
        <w:rPr>
          <w:rFonts w:hint="eastAsia"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7</w:t>
      </w:r>
      <w:r>
        <w:rPr>
          <w:rFonts w:hint="eastAsia" w:ascii="仿宋" w:hAnsi="仿宋" w:eastAsia="仿宋"/>
          <w:color w:val="000000"/>
          <w:sz w:val="32"/>
          <w:szCs w:val="32"/>
        </w:rPr>
        <w:t>：“三公”经费财政拨款支出结构）（饼状图）</w:t>
      </w:r>
    </w:p>
    <w:p>
      <w:pPr>
        <w:pStyle w:val="8"/>
        <w:keepNext w:val="0"/>
        <w:keepLines w:val="0"/>
        <w:pageBreakBefore w:val="0"/>
        <w:widowControl w:val="0"/>
        <w:kinsoku/>
        <w:wordWrap/>
        <w:overflowPunct/>
        <w:topLinePunct w:val="0"/>
        <w:autoSpaceDE/>
        <w:autoSpaceDN/>
        <w:bidi w:val="0"/>
        <w:adjustRightInd/>
        <w:snapToGrid/>
        <w:spacing w:line="240" w:lineRule="auto"/>
        <w:textAlignment w:val="auto"/>
        <w:rPr>
          <w:rFonts w:ascii="仿宋_GB2312" w:eastAsia="仿宋_GB2312"/>
          <w:b/>
          <w:color w:val="000000"/>
          <w:sz w:val="32"/>
          <w:szCs w:val="32"/>
        </w:rPr>
      </w:pPr>
      <w:bookmarkStart w:id="83" w:name="_Toc15377218"/>
      <w:bookmarkStart w:id="84" w:name="_Toc79163622"/>
      <w:bookmarkStart w:id="85" w:name="_Toc79163872"/>
      <w:bookmarkStart w:id="86" w:name="_Toc15396610"/>
      <w:r>
        <w:drawing>
          <wp:inline distT="0" distB="0" distL="114300" distR="114300">
            <wp:extent cx="4309110" cy="2573655"/>
            <wp:effectExtent l="4445" t="4445" r="10795" b="12700"/>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ageBreakBefore w:val="0"/>
        <w:kinsoku/>
        <w:wordWrap/>
        <w:overflowPunct/>
        <w:topLinePunct w:val="0"/>
        <w:bidi w:val="0"/>
        <w:spacing w:line="576" w:lineRule="exact"/>
        <w:ind w:firstLine="642" w:firstLineChars="200"/>
        <w:textAlignment w:val="auto"/>
        <w:rPr>
          <w:rFonts w:ascii="仿宋_GB2312" w:eastAsia="仿宋_GB2312"/>
          <w:color w:val="000000"/>
          <w:sz w:val="32"/>
          <w:szCs w:val="32"/>
        </w:rPr>
      </w:pPr>
      <w:r>
        <w:rPr>
          <w:rFonts w:ascii="仿宋_GB2312" w:eastAsia="仿宋_GB2312"/>
          <w:b/>
          <w:color w:val="000000"/>
          <w:sz w:val="32"/>
          <w:szCs w:val="32"/>
        </w:rPr>
        <w:t>1.</w:t>
      </w:r>
      <w:r>
        <w:rPr>
          <w:rFonts w:hint="eastAsia" w:ascii="仿宋_GB2312" w:eastAsia="仿宋_GB2312"/>
          <w:b/>
          <w:color w:val="000000"/>
          <w:sz w:val="32"/>
          <w:szCs w:val="32"/>
          <w:lang w:val="en-US" w:eastAsia="zh-CN"/>
        </w:rPr>
        <w:t>无</w:t>
      </w:r>
      <w:r>
        <w:rPr>
          <w:rFonts w:hint="eastAsia" w:ascii="仿宋_GB2312" w:eastAsia="仿宋_GB2312"/>
          <w:b/>
          <w:color w:val="000000"/>
          <w:sz w:val="32"/>
          <w:szCs w:val="32"/>
        </w:rPr>
        <w:t>因公出国（境）经费支出</w:t>
      </w:r>
      <w:r>
        <w:rPr>
          <w:rFonts w:hint="eastAsia" w:ascii="仿宋_GB2312" w:eastAsia="仿宋_GB2312"/>
          <w:color w:val="000000"/>
          <w:sz w:val="32"/>
          <w:szCs w:val="32"/>
        </w:rPr>
        <w:t>。</w:t>
      </w:r>
    </w:p>
    <w:p>
      <w:pPr>
        <w:pageBreakBefore w:val="0"/>
        <w:kinsoku/>
        <w:wordWrap/>
        <w:overflowPunct/>
        <w:topLinePunct w:val="0"/>
        <w:bidi w:val="0"/>
        <w:spacing w:line="576" w:lineRule="exact"/>
        <w:ind w:firstLine="642" w:firstLineChars="200"/>
        <w:textAlignment w:val="auto"/>
        <w:rPr>
          <w:rFonts w:ascii="仿宋_GB2312" w:eastAsia="仿宋_GB2312"/>
          <w:b/>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万元</w:t>
      </w:r>
      <w:r>
        <w:rPr>
          <w:rFonts w:ascii="仿宋_GB2312" w:eastAsia="仿宋_GB2312"/>
          <w:color w:val="000000"/>
          <w:sz w:val="32"/>
          <w:szCs w:val="32"/>
        </w:rPr>
        <w:t>,</w:t>
      </w:r>
      <w:r>
        <w:rPr>
          <w:rStyle w:val="23"/>
          <w:rFonts w:hint="eastAsia" w:ascii="仿宋" w:hAnsi="仿宋" w:eastAsia="仿宋"/>
          <w:b w:val="0"/>
          <w:bCs/>
          <w:color w:val="000000"/>
          <w:sz w:val="32"/>
          <w:szCs w:val="32"/>
        </w:rPr>
        <w:t>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w:t>
      </w:r>
      <w:r>
        <w:rPr>
          <w:rFonts w:hint="eastAsia" w:ascii="仿宋_GB2312" w:eastAsia="仿宋_GB2312"/>
          <w:color w:val="000000"/>
          <w:sz w:val="32"/>
          <w:szCs w:val="32"/>
        </w:rPr>
        <w:t>公务用车购置及运行维护费支出决算比</w:t>
      </w:r>
      <w:r>
        <w:rPr>
          <w:rFonts w:ascii="仿宋_GB2312" w:eastAsia="仿宋_GB2312"/>
          <w:color w:val="000000"/>
          <w:sz w:val="32"/>
          <w:szCs w:val="32"/>
        </w:rPr>
        <w:t>20</w:t>
      </w:r>
      <w:r>
        <w:rPr>
          <w:rFonts w:hint="eastAsia" w:ascii="仿宋_GB2312" w:eastAsia="仿宋_GB2312"/>
          <w:color w:val="000000"/>
          <w:sz w:val="32"/>
          <w:szCs w:val="32"/>
          <w:lang w:val="en-US" w:eastAsia="zh-CN"/>
        </w:rPr>
        <w:t>24</w:t>
      </w:r>
      <w:r>
        <w:rPr>
          <w:rFonts w:hint="eastAsia" w:ascii="仿宋_GB2312" w:eastAsia="仿宋_GB2312"/>
          <w:color w:val="000000"/>
          <w:sz w:val="32"/>
          <w:szCs w:val="32"/>
        </w:rPr>
        <w:t>年</w:t>
      </w:r>
      <w:r>
        <w:rPr>
          <w:rFonts w:hint="eastAsia" w:ascii="仿宋_GB2312" w:eastAsia="仿宋_GB2312"/>
          <w:color w:val="000000"/>
          <w:sz w:val="32"/>
          <w:szCs w:val="32"/>
          <w:lang w:eastAsia="zh-CN"/>
        </w:rPr>
        <w:t>增加</w:t>
      </w:r>
      <w:r>
        <w:rPr>
          <w:rFonts w:hint="eastAsia" w:ascii="仿宋_GB2312" w:eastAsia="仿宋_GB2312"/>
          <w:color w:val="000000"/>
          <w:sz w:val="32"/>
          <w:szCs w:val="32"/>
          <w:lang w:val="en-US" w:eastAsia="zh-CN"/>
        </w:rPr>
        <w:t>0.13</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上升</w:t>
      </w:r>
      <w:r>
        <w:rPr>
          <w:rFonts w:hint="eastAsia" w:ascii="仿宋_GB2312" w:eastAsia="仿宋_GB2312"/>
          <w:color w:val="000000"/>
          <w:sz w:val="32"/>
          <w:szCs w:val="32"/>
          <w:lang w:val="en-US" w:eastAsia="zh-CN"/>
        </w:rPr>
        <w:t>3.39</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_GB2312" w:eastAsia="仿宋_GB2312"/>
          <w:color w:val="000000"/>
          <w:sz w:val="32"/>
          <w:szCs w:val="32"/>
          <w:lang w:val="en-US" w:eastAsia="zh-CN"/>
        </w:rPr>
        <w:t>2025年出差增多，</w:t>
      </w:r>
      <w:r>
        <w:rPr>
          <w:rFonts w:hint="eastAsia" w:ascii="仿宋_GB2312" w:eastAsia="仿宋_GB2312"/>
          <w:color w:val="000000"/>
          <w:sz w:val="32"/>
          <w:szCs w:val="32"/>
        </w:rPr>
        <w:t>公务用车运行维护费支出</w:t>
      </w:r>
      <w:r>
        <w:rPr>
          <w:rFonts w:hint="eastAsia" w:ascii="仿宋_GB2312" w:eastAsia="仿宋_GB2312"/>
          <w:color w:val="000000"/>
          <w:sz w:val="32"/>
          <w:szCs w:val="32"/>
          <w:lang w:val="en-US" w:eastAsia="zh-CN"/>
        </w:rPr>
        <w:t>增加。</w:t>
      </w:r>
    </w:p>
    <w:p>
      <w:pPr>
        <w:pageBreakBefore w:val="0"/>
        <w:kinsoku/>
        <w:wordWrap/>
        <w:overflowPunct/>
        <w:topLinePunct w:val="0"/>
        <w:bidi w:val="0"/>
        <w:spacing w:line="576" w:lineRule="exact"/>
        <w:ind w:firstLine="640" w:firstLineChars="200"/>
        <w:textAlignment w:val="auto"/>
        <w:rPr>
          <w:rFonts w:ascii="仿宋_GB2312" w:eastAsia="仿宋_GB2312"/>
          <w:b/>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pageBreakBefore w:val="0"/>
        <w:kinsoku/>
        <w:wordWrap/>
        <w:overflowPunct/>
        <w:topLinePunct w:val="0"/>
        <w:bidi w:val="0"/>
        <w:spacing w:line="576" w:lineRule="exact"/>
        <w:ind w:firstLine="642" w:firstLineChars="200"/>
        <w:textAlignment w:val="auto"/>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万元。主要用于</w:t>
      </w:r>
      <w:r>
        <w:rPr>
          <w:rFonts w:hint="eastAsia" w:ascii="仿宋_GB2312" w:eastAsia="仿宋_GB2312"/>
          <w:color w:val="000000"/>
          <w:sz w:val="32"/>
          <w:szCs w:val="32"/>
          <w:lang w:val="en-US" w:eastAsia="zh-CN"/>
        </w:rPr>
        <w:t>单位职工下乡、培训出差、汇报工作</w:t>
      </w:r>
      <w:r>
        <w:rPr>
          <w:rFonts w:hint="eastAsia" w:ascii="仿宋_GB2312" w:eastAsia="仿宋_GB2312"/>
          <w:color w:val="000000"/>
          <w:sz w:val="32"/>
          <w:szCs w:val="32"/>
        </w:rPr>
        <w:t>等所需的公务用车燃料费、维修费、过路过桥费、保险费等支出。</w:t>
      </w:r>
    </w:p>
    <w:p>
      <w:pPr>
        <w:pageBreakBefore w:val="0"/>
        <w:kinsoku/>
        <w:wordWrap/>
        <w:overflowPunct/>
        <w:topLinePunct w:val="0"/>
        <w:bidi w:val="0"/>
        <w:spacing w:line="576" w:lineRule="exact"/>
        <w:ind w:firstLine="642" w:firstLineChars="200"/>
        <w:textAlignment w:val="auto"/>
        <w:rPr>
          <w:rFonts w:ascii="仿宋_GB2312" w:eastAsia="仿宋_GB2312"/>
          <w:color w:val="000000"/>
          <w:sz w:val="32"/>
          <w:szCs w:val="32"/>
        </w:rPr>
      </w:pPr>
      <w:r>
        <w:rPr>
          <w:rFonts w:hint="eastAsia" w:ascii="仿宋_GB2312" w:eastAsia="仿宋_GB2312"/>
          <w:b/>
          <w:color w:val="000000"/>
          <w:sz w:val="32"/>
          <w:szCs w:val="32"/>
          <w:lang w:val="en-US" w:eastAsia="zh-CN"/>
        </w:rPr>
        <w:t>3.无</w:t>
      </w:r>
      <w:r>
        <w:rPr>
          <w:rFonts w:hint="eastAsia" w:ascii="仿宋_GB2312" w:eastAsia="仿宋_GB2312"/>
          <w:b/>
          <w:color w:val="000000"/>
          <w:sz w:val="32"/>
          <w:szCs w:val="32"/>
        </w:rPr>
        <w:t>公务接待费支出</w:t>
      </w:r>
      <w:r>
        <w:rPr>
          <w:rFonts w:hint="eastAsia" w:ascii="仿宋_GB2312" w:eastAsia="仿宋_GB2312"/>
          <w:b/>
          <w:color w:val="000000"/>
          <w:sz w:val="32"/>
          <w:szCs w:val="32"/>
          <w:lang w:eastAsia="zh-CN"/>
        </w:rPr>
        <w:t>。</w:t>
      </w:r>
    </w:p>
    <w:p>
      <w:pPr>
        <w:pageBreakBefore w:val="0"/>
        <w:kinsoku/>
        <w:wordWrap/>
        <w:overflowPunct/>
        <w:topLinePunct w:val="0"/>
        <w:bidi w:val="0"/>
        <w:spacing w:line="576" w:lineRule="exact"/>
        <w:ind w:firstLine="640" w:firstLineChars="200"/>
        <w:textAlignment w:val="auto"/>
        <w:outlineLvl w:val="1"/>
        <w:rPr>
          <w:rStyle w:val="28"/>
          <w:rFonts w:ascii="黑体" w:hAnsi="黑体" w:eastAsia="黑体"/>
        </w:rPr>
      </w:pPr>
      <w:r>
        <w:rPr>
          <w:rFonts w:hint="eastAsia" w:ascii="黑体" w:eastAsia="黑体"/>
          <w:color w:val="000000"/>
          <w:sz w:val="32"/>
          <w:szCs w:val="32"/>
        </w:rPr>
        <w:t>八、</w:t>
      </w:r>
      <w:r>
        <w:rPr>
          <w:rStyle w:val="28"/>
          <w:rFonts w:hint="eastAsia" w:ascii="黑体" w:hAnsi="黑体" w:eastAsia="黑体"/>
          <w:b w:val="0"/>
        </w:rPr>
        <w:t>政府性基金预算支出决算情况说明</w:t>
      </w:r>
      <w:bookmarkEnd w:id="83"/>
      <w:bookmarkEnd w:id="84"/>
      <w:bookmarkEnd w:id="85"/>
      <w:bookmarkEnd w:id="86"/>
    </w:p>
    <w:p>
      <w:pPr>
        <w:pageBreakBefore w:val="0"/>
        <w:kinsoku/>
        <w:wordWrap/>
        <w:overflowPunct/>
        <w:topLinePunct w:val="0"/>
        <w:bidi w:val="0"/>
        <w:spacing w:line="576" w:lineRule="exact"/>
        <w:ind w:firstLine="640" w:firstLineChars="200"/>
        <w:textAlignment w:val="auto"/>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无</w:t>
      </w:r>
      <w:r>
        <w:rPr>
          <w:rFonts w:hint="eastAsia" w:ascii="仿宋_GB2312" w:eastAsia="仿宋_GB2312"/>
          <w:color w:val="000000"/>
          <w:sz w:val="32"/>
          <w:szCs w:val="32"/>
        </w:rPr>
        <w:t>政府性基金预算拨款支出。</w:t>
      </w:r>
    </w:p>
    <w:p>
      <w:pPr>
        <w:pageBreakBefore w:val="0"/>
        <w:numPr>
          <w:ilvl w:val="0"/>
          <w:numId w:val="2"/>
        </w:numPr>
        <w:kinsoku/>
        <w:wordWrap/>
        <w:overflowPunct/>
        <w:topLinePunct w:val="0"/>
        <w:bidi w:val="0"/>
        <w:spacing w:line="576" w:lineRule="exact"/>
        <w:ind w:firstLine="640" w:firstLineChars="200"/>
        <w:textAlignment w:val="auto"/>
        <w:outlineLvl w:val="1"/>
        <w:rPr>
          <w:rStyle w:val="28"/>
          <w:rFonts w:ascii="黑体" w:hAnsi="黑体" w:eastAsia="黑体"/>
          <w:b w:val="0"/>
        </w:rPr>
      </w:pPr>
      <w:bookmarkStart w:id="87" w:name="_Toc15396611"/>
      <w:bookmarkStart w:id="88" w:name="_Toc79163873"/>
      <w:bookmarkStart w:id="89" w:name="_Toc15377219"/>
      <w:bookmarkStart w:id="90" w:name="_Toc79163623"/>
      <w:r>
        <w:rPr>
          <w:rStyle w:val="28"/>
          <w:rFonts w:hint="eastAsia" w:ascii="黑体" w:hAnsi="黑体" w:eastAsia="黑体"/>
          <w:b w:val="0"/>
        </w:rPr>
        <w:t>国有资本经营预算支出决算情况说明</w:t>
      </w:r>
      <w:bookmarkEnd w:id="87"/>
      <w:bookmarkEnd w:id="88"/>
      <w:bookmarkEnd w:id="89"/>
      <w:bookmarkEnd w:id="90"/>
    </w:p>
    <w:p>
      <w:pPr>
        <w:pageBreakBefore w:val="0"/>
        <w:kinsoku/>
        <w:wordWrap/>
        <w:overflowPunct/>
        <w:topLinePunct w:val="0"/>
        <w:bidi w:val="0"/>
        <w:spacing w:line="576" w:lineRule="exact"/>
        <w:ind w:firstLine="640" w:firstLineChars="200"/>
        <w:textAlignment w:val="auto"/>
        <w:rPr>
          <w:rFonts w:ascii="方正小标宋简体" w:hAnsi="方正小标宋简体" w:eastAsia="方正小标宋简体" w:cs="方正小标宋简体"/>
          <w:sz w:val="44"/>
          <w:szCs w:val="44"/>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无</w:t>
      </w:r>
      <w:r>
        <w:rPr>
          <w:rFonts w:hint="eastAsia" w:ascii="仿宋_GB2312" w:eastAsia="仿宋_GB2312"/>
          <w:color w:val="000000"/>
          <w:sz w:val="32"/>
          <w:szCs w:val="32"/>
        </w:rPr>
        <w:t>国有资本经营预算拨款支出。</w:t>
      </w:r>
    </w:p>
    <w:p>
      <w:pPr>
        <w:pageBreakBefore w:val="0"/>
        <w:kinsoku/>
        <w:wordWrap/>
        <w:overflowPunct/>
        <w:topLinePunct w:val="0"/>
        <w:bidi w:val="0"/>
        <w:spacing w:line="576" w:lineRule="exact"/>
        <w:ind w:firstLine="640" w:firstLineChars="200"/>
        <w:textAlignment w:val="auto"/>
        <w:outlineLvl w:val="1"/>
        <w:rPr>
          <w:rStyle w:val="28"/>
          <w:rFonts w:ascii="黑体" w:hAnsi="黑体" w:eastAsia="黑体"/>
        </w:rPr>
      </w:pPr>
      <w:bookmarkStart w:id="91" w:name="_Toc79163624"/>
      <w:bookmarkStart w:id="92" w:name="_Toc15377221"/>
      <w:bookmarkStart w:id="93" w:name="_Toc15396612"/>
      <w:bookmarkStart w:id="94" w:name="_Toc79163874"/>
      <w:r>
        <w:rPr>
          <w:rFonts w:hint="eastAsia" w:ascii="黑体" w:hAnsi="黑体" w:eastAsia="黑体"/>
          <w:color w:val="000000"/>
          <w:sz w:val="32"/>
          <w:szCs w:val="32"/>
        </w:rPr>
        <w:t>十</w:t>
      </w:r>
      <w:r>
        <w:rPr>
          <w:rStyle w:val="28"/>
          <w:rFonts w:hint="eastAsia" w:ascii="黑体" w:hAnsi="黑体" w:eastAsia="黑体"/>
        </w:rPr>
        <w:t>、</w:t>
      </w:r>
      <w:r>
        <w:rPr>
          <w:rStyle w:val="28"/>
          <w:rFonts w:hint="eastAsia" w:ascii="黑体" w:hAnsi="黑体" w:eastAsia="黑体"/>
          <w:b w:val="0"/>
        </w:rPr>
        <w:t>其他重要事项的情况说明</w:t>
      </w:r>
      <w:bookmarkEnd w:id="91"/>
      <w:bookmarkEnd w:id="92"/>
      <w:bookmarkEnd w:id="93"/>
      <w:bookmarkEnd w:id="94"/>
    </w:p>
    <w:p>
      <w:pPr>
        <w:pageBreakBefore w:val="0"/>
        <w:kinsoku/>
        <w:wordWrap/>
        <w:overflowPunct/>
        <w:topLinePunct w:val="0"/>
        <w:bidi w:val="0"/>
        <w:spacing w:line="576" w:lineRule="exact"/>
        <w:ind w:firstLine="642" w:firstLineChars="200"/>
        <w:textAlignment w:val="auto"/>
        <w:rPr>
          <w:rFonts w:hint="eastAsia" w:ascii="方正楷体_GBK" w:hAnsi="方正楷体_GBK" w:eastAsia="方正楷体_GBK" w:cs="方正楷体_GBK"/>
          <w:b/>
          <w:bCs/>
          <w:color w:val="000000"/>
          <w:sz w:val="32"/>
          <w:szCs w:val="32"/>
        </w:rPr>
      </w:pPr>
      <w:bookmarkStart w:id="95" w:name="_Toc79163625"/>
      <w:bookmarkStart w:id="96" w:name="_Toc15377222"/>
      <w:bookmarkStart w:id="97" w:name="_Toc79163875"/>
      <w:r>
        <w:rPr>
          <w:rFonts w:hint="eastAsia" w:ascii="方正楷体_GBK" w:hAnsi="方正楷体_GBK" w:eastAsia="方正楷体_GBK" w:cs="方正楷体_GBK"/>
          <w:b/>
          <w:bCs/>
          <w:color w:val="000000"/>
          <w:sz w:val="32"/>
          <w:szCs w:val="32"/>
        </w:rPr>
        <w:t>（一）机关运行经费支出情况</w:t>
      </w:r>
      <w:bookmarkEnd w:id="95"/>
      <w:bookmarkEnd w:id="96"/>
      <w:bookmarkEnd w:id="97"/>
    </w:p>
    <w:p>
      <w:pPr>
        <w:pageBreakBefore w:val="0"/>
        <w:kinsoku/>
        <w:wordWrap/>
        <w:overflowPunct/>
        <w:topLinePunct w:val="0"/>
        <w:bidi w:val="0"/>
        <w:spacing w:line="576" w:lineRule="exact"/>
        <w:ind w:firstLine="640" w:firstLineChars="200"/>
        <w:textAlignment w:val="auto"/>
        <w:rPr>
          <w:rFonts w:ascii="仿宋" w:hAnsi="仿宋" w:eastAsia="仿宋"/>
          <w:b/>
          <w:color w:val="0000FF"/>
          <w:sz w:val="32"/>
          <w:szCs w:val="32"/>
        </w:rPr>
      </w:pPr>
      <w:r>
        <w:rPr>
          <w:rFonts w:hint="eastAsia"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壤塘县供销合作社联合社</w:t>
      </w:r>
      <w:r>
        <w:rPr>
          <w:rFonts w:hint="eastAsia" w:ascii="仿宋_GB2312" w:eastAsia="仿宋_GB2312"/>
          <w:color w:val="000000"/>
          <w:sz w:val="32"/>
          <w:szCs w:val="32"/>
        </w:rPr>
        <w:t>机关运行经费支出</w:t>
      </w:r>
      <w:r>
        <w:rPr>
          <w:rFonts w:hint="eastAsia" w:ascii="仿宋_GB2312" w:eastAsia="仿宋_GB2312"/>
          <w:color w:val="000000"/>
          <w:sz w:val="32"/>
          <w:szCs w:val="32"/>
          <w:lang w:val="en-US" w:eastAsia="zh-CN"/>
        </w:rPr>
        <w:t>14.61</w:t>
      </w:r>
      <w:r>
        <w:rPr>
          <w:rFonts w:hint="eastAsia" w:ascii="仿宋_GB2312" w:eastAsia="仿宋_GB2312"/>
          <w:color w:val="000000"/>
          <w:sz w:val="32"/>
          <w:szCs w:val="32"/>
        </w:rPr>
        <w:t>万元，比</w:t>
      </w:r>
      <w:r>
        <w:rPr>
          <w:rFonts w:hint="eastAsia" w:ascii="仿宋_GB2312" w:eastAsia="仿宋_GB2312"/>
          <w:color w:val="000000"/>
          <w:sz w:val="32"/>
          <w:szCs w:val="32"/>
          <w:lang w:val="en-US" w:eastAsia="zh-CN"/>
        </w:rPr>
        <w:t>2024</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增加2.12</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上升16.94</w:t>
      </w:r>
      <w:r>
        <w:rPr>
          <w:rFonts w:hint="eastAsia" w:ascii="仿宋_GB2312" w:eastAsia="仿宋_GB2312"/>
          <w:color w:val="000000"/>
          <w:sz w:val="32"/>
          <w:szCs w:val="32"/>
        </w:rPr>
        <w:t>%。主要原因是</w:t>
      </w:r>
      <w:r>
        <w:rPr>
          <w:rFonts w:hint="eastAsia" w:ascii="仿宋_GB2312" w:eastAsia="仿宋_GB2312"/>
          <w:color w:val="000000"/>
          <w:sz w:val="32"/>
          <w:szCs w:val="32"/>
          <w:lang w:val="en-US" w:eastAsia="zh-CN"/>
        </w:rPr>
        <w:t>出差和下乡增加</w:t>
      </w:r>
      <w:r>
        <w:rPr>
          <w:rFonts w:hint="eastAsia" w:ascii="仿宋_GB2312" w:eastAsia="仿宋_GB2312"/>
          <w:color w:val="auto"/>
          <w:sz w:val="32"/>
          <w:szCs w:val="32"/>
        </w:rPr>
        <w:t>。</w:t>
      </w:r>
    </w:p>
    <w:p>
      <w:pPr>
        <w:pageBreakBefore w:val="0"/>
        <w:kinsoku/>
        <w:wordWrap/>
        <w:overflowPunct/>
        <w:topLinePunct w:val="0"/>
        <w:bidi w:val="0"/>
        <w:spacing w:line="576" w:lineRule="exact"/>
        <w:ind w:firstLine="642" w:firstLineChars="200"/>
        <w:textAlignment w:val="auto"/>
        <w:rPr>
          <w:rFonts w:hint="eastAsia" w:ascii="方正楷体_GBK" w:hAnsi="方正楷体_GBK" w:eastAsia="方正楷体_GBK" w:cs="方正楷体_GBK"/>
          <w:b/>
          <w:bCs/>
          <w:color w:val="000000"/>
          <w:sz w:val="32"/>
          <w:szCs w:val="32"/>
        </w:rPr>
      </w:pPr>
      <w:bookmarkStart w:id="98" w:name="_Toc15377223"/>
      <w:bookmarkStart w:id="99" w:name="_Toc79163876"/>
      <w:bookmarkStart w:id="100" w:name="_Toc79163626"/>
      <w:r>
        <w:rPr>
          <w:rFonts w:hint="eastAsia" w:ascii="方正楷体_GBK" w:hAnsi="方正楷体_GBK" w:eastAsia="方正楷体_GBK" w:cs="方正楷体_GBK"/>
          <w:b/>
          <w:bCs/>
          <w:color w:val="000000"/>
          <w:sz w:val="32"/>
          <w:szCs w:val="32"/>
          <w:lang w:eastAsia="zh-CN"/>
        </w:rPr>
        <w:t>（二）</w:t>
      </w:r>
      <w:r>
        <w:rPr>
          <w:rFonts w:hint="eastAsia" w:ascii="方正楷体_GBK" w:hAnsi="方正楷体_GBK" w:eastAsia="方正楷体_GBK" w:cs="方正楷体_GBK"/>
          <w:b/>
          <w:bCs/>
          <w:color w:val="000000"/>
          <w:sz w:val="32"/>
          <w:szCs w:val="32"/>
        </w:rPr>
        <w:t>政府采购支出情况</w:t>
      </w:r>
      <w:bookmarkEnd w:id="98"/>
      <w:bookmarkEnd w:id="99"/>
      <w:bookmarkEnd w:id="100"/>
    </w:p>
    <w:p>
      <w:pPr>
        <w:pageBreakBefore w:val="0"/>
        <w:kinsoku/>
        <w:wordWrap/>
        <w:overflowPunct/>
        <w:topLinePunct w:val="0"/>
        <w:bidi w:val="0"/>
        <w:spacing w:line="576" w:lineRule="exact"/>
        <w:ind w:firstLine="640" w:firstLineChars="200"/>
        <w:textAlignment w:val="auto"/>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2025年，壤塘县供销合作社联合社政府采购支出总额 万元，其中：政府采购货物支出0万元。</w:t>
      </w:r>
      <w:bookmarkStart w:id="162" w:name="_GoBack"/>
      <w:bookmarkEnd w:id="162"/>
    </w:p>
    <w:p>
      <w:pPr>
        <w:pageBreakBefore w:val="0"/>
        <w:kinsoku/>
        <w:wordWrap/>
        <w:overflowPunct/>
        <w:topLinePunct w:val="0"/>
        <w:bidi w:val="0"/>
        <w:spacing w:line="576" w:lineRule="exact"/>
        <w:ind w:firstLine="642" w:firstLineChars="200"/>
        <w:textAlignment w:val="auto"/>
        <w:rPr>
          <w:rFonts w:hint="eastAsia" w:ascii="方正楷体_GBK" w:hAnsi="方正楷体_GBK" w:eastAsia="方正楷体_GBK" w:cs="方正楷体_GBK"/>
          <w:b/>
          <w:bCs/>
          <w:color w:val="000000"/>
          <w:sz w:val="32"/>
          <w:szCs w:val="32"/>
          <w:lang w:eastAsia="zh-CN"/>
        </w:rPr>
      </w:pPr>
      <w:bookmarkStart w:id="101" w:name="_Toc15377224"/>
      <w:bookmarkStart w:id="102" w:name="_Toc79163877"/>
      <w:bookmarkStart w:id="103" w:name="_Toc79163627"/>
      <w:r>
        <w:rPr>
          <w:rFonts w:hint="eastAsia" w:ascii="方正楷体_GBK" w:hAnsi="方正楷体_GBK" w:eastAsia="方正楷体_GBK" w:cs="方正楷体_GBK"/>
          <w:b/>
          <w:bCs/>
          <w:color w:val="000000"/>
          <w:sz w:val="32"/>
          <w:szCs w:val="32"/>
          <w:lang w:eastAsia="zh-CN"/>
        </w:rPr>
        <w:t>（三）国有资产占有使用情况</w:t>
      </w:r>
      <w:bookmarkEnd w:id="101"/>
      <w:bookmarkEnd w:id="102"/>
      <w:bookmarkEnd w:id="103"/>
    </w:p>
    <w:p>
      <w:pPr>
        <w:pageBreakBefore w:val="0"/>
        <w:kinsoku/>
        <w:wordWrap/>
        <w:overflowPunct/>
        <w:topLinePunct w:val="0"/>
        <w:bidi w:val="0"/>
        <w:spacing w:line="576"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rPr>
        <w:t>截至202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年12月31日，</w:t>
      </w:r>
      <w:r>
        <w:rPr>
          <w:rFonts w:hint="eastAsia" w:ascii="仿宋_GB2312" w:eastAsia="仿宋_GB2312"/>
          <w:color w:val="000000"/>
          <w:sz w:val="32"/>
          <w:szCs w:val="32"/>
          <w:lang w:eastAsia="zh-CN"/>
        </w:rPr>
        <w:t>壤塘</w:t>
      </w:r>
      <w:r>
        <w:rPr>
          <w:rFonts w:hint="eastAsia" w:ascii="仿宋_GB2312" w:eastAsia="仿宋_GB2312"/>
          <w:color w:val="000000"/>
          <w:sz w:val="32"/>
          <w:szCs w:val="32"/>
          <w:lang w:val="en-US" w:eastAsia="zh-CN"/>
        </w:rPr>
        <w:t>县供销合作社联合社</w:t>
      </w:r>
      <w:r>
        <w:rPr>
          <w:rFonts w:hint="eastAsia" w:ascii="仿宋_GB2312" w:eastAsia="仿宋_GB2312"/>
          <w:color w:val="000000"/>
          <w:sz w:val="32"/>
          <w:szCs w:val="32"/>
        </w:rPr>
        <w:t>共有车辆</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辆，其中：其他用车</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辆</w:t>
      </w:r>
      <w:r>
        <w:rPr>
          <w:rFonts w:hint="eastAsia" w:ascii="仿宋_GB2312" w:eastAsia="仿宋_GB2312"/>
          <w:color w:val="000000"/>
          <w:sz w:val="32"/>
          <w:szCs w:val="32"/>
          <w:lang w:eastAsia="zh-CN"/>
        </w:rPr>
        <w:t>，</w:t>
      </w:r>
      <w:r>
        <w:rPr>
          <w:rFonts w:hint="eastAsia" w:ascii="仿宋_GB2312" w:eastAsia="仿宋_GB2312"/>
          <w:color w:val="000000"/>
          <w:sz w:val="32"/>
          <w:szCs w:val="32"/>
        </w:rPr>
        <w:t>其他用车主要是用于</w:t>
      </w:r>
      <w:r>
        <w:rPr>
          <w:rFonts w:hint="eastAsia" w:ascii="仿宋_GB2312" w:eastAsia="仿宋_GB2312"/>
          <w:color w:val="000000"/>
          <w:sz w:val="32"/>
          <w:szCs w:val="32"/>
          <w:lang w:val="en-US" w:eastAsia="zh-CN"/>
        </w:rPr>
        <w:t>单位用车。</w:t>
      </w:r>
    </w:p>
    <w:p>
      <w:pPr>
        <w:pageBreakBefore w:val="0"/>
        <w:kinsoku/>
        <w:wordWrap/>
        <w:overflowPunct/>
        <w:topLinePunct w:val="0"/>
        <w:bidi w:val="0"/>
        <w:spacing w:line="576" w:lineRule="exact"/>
        <w:ind w:firstLine="642" w:firstLineChars="200"/>
        <w:textAlignment w:val="auto"/>
        <w:rPr>
          <w:rFonts w:hint="eastAsia" w:ascii="仿宋_GB2312" w:eastAsia="仿宋_GB2312"/>
          <w:color w:val="000000"/>
          <w:sz w:val="32"/>
          <w:szCs w:val="32"/>
        </w:rPr>
      </w:pPr>
      <w:bookmarkStart w:id="104" w:name="_Toc79163628"/>
      <w:bookmarkStart w:id="105" w:name="_Toc79163878"/>
      <w:r>
        <w:rPr>
          <w:rFonts w:hint="eastAsia" w:ascii="方正楷体_GBK" w:hAnsi="方正楷体_GBK" w:eastAsia="方正楷体_GBK" w:cs="方正楷体_GBK"/>
          <w:b/>
          <w:bCs/>
          <w:color w:val="000000"/>
          <w:sz w:val="32"/>
          <w:szCs w:val="32"/>
          <w:lang w:eastAsia="zh-CN"/>
        </w:rPr>
        <w:t>（四）预算绩效管理情况</w:t>
      </w:r>
      <w:r>
        <w:rPr>
          <w:rFonts w:hint="eastAsia" w:ascii="仿宋_GB2312" w:eastAsia="仿宋_GB2312"/>
          <w:color w:val="000000"/>
          <w:sz w:val="32"/>
          <w:szCs w:val="32"/>
        </w:rPr>
        <w:t>。</w:t>
      </w:r>
      <w:bookmarkEnd w:id="104"/>
      <w:bookmarkEnd w:id="105"/>
      <w:bookmarkStart w:id="106" w:name="_Toc15396613"/>
      <w:bookmarkStart w:id="107" w:name="_Toc79163879"/>
      <w:bookmarkStart w:id="108" w:name="_Toc15377225"/>
      <w:bookmarkStart w:id="109" w:name="_Toc79163629"/>
    </w:p>
    <w:p>
      <w:pPr>
        <w:pageBreakBefore w:val="0"/>
        <w:kinsoku/>
        <w:wordWrap/>
        <w:overflowPunct/>
        <w:topLinePunct w:val="0"/>
        <w:bidi w:val="0"/>
        <w:spacing w:line="576" w:lineRule="exact"/>
        <w:ind w:firstLine="640" w:firstLineChars="200"/>
        <w:textAlignment w:val="auto"/>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2025年本单位无项目。</w:t>
      </w:r>
    </w:p>
    <w:p>
      <w:pPr>
        <w:pageBreakBefore w:val="0"/>
        <w:widowControl w:val="0"/>
        <w:numPr>
          <w:ilvl w:val="0"/>
          <w:numId w:val="0"/>
        </w:numPr>
        <w:kinsoku/>
        <w:wordWrap/>
        <w:overflowPunct/>
        <w:topLinePunct w:val="0"/>
        <w:autoSpaceDE w:val="0"/>
        <w:autoSpaceDN w:val="0"/>
        <w:bidi w:val="0"/>
        <w:adjustRightInd w:val="0"/>
        <w:spacing w:line="576" w:lineRule="exact"/>
        <w:ind w:firstLine="640" w:firstLineChars="200"/>
        <w:jc w:val="left"/>
        <w:textAlignment w:val="auto"/>
        <w:outlineLvl w:val="2"/>
        <w:rPr>
          <w:rFonts w:hint="eastAsia" w:ascii="仿宋_GB2312" w:hAnsi="仿宋_GB2312" w:eastAsia="仿宋_GB2312" w:cs="仿宋_GB2312"/>
          <w:sz w:val="32"/>
          <w:szCs w:val="32"/>
          <w:lang w:val="en-US" w:eastAsia="zh-CN"/>
        </w:rPr>
      </w:pPr>
    </w:p>
    <w:p>
      <w:pPr>
        <w:pStyle w:val="8"/>
        <w:ind w:left="0" w:leftChars="0" w:firstLine="0" w:firstLineChars="0"/>
        <w:rPr>
          <w:rFonts w:hint="eastAsia" w:ascii="黑体" w:hAnsi="黑体" w:eastAsia="黑体"/>
          <w:color w:val="000000"/>
          <w:sz w:val="44"/>
          <w:szCs w:val="44"/>
          <w:lang w:eastAsia="zh-CN"/>
        </w:rPr>
      </w:pPr>
    </w:p>
    <w:p>
      <w:pPr>
        <w:pStyle w:val="8"/>
        <w:rPr>
          <w:rFonts w:hint="eastAsia" w:ascii="黑体" w:hAnsi="黑体" w:eastAsia="黑体"/>
          <w:color w:val="000000"/>
          <w:sz w:val="44"/>
          <w:szCs w:val="44"/>
          <w:lang w:eastAsia="zh-CN"/>
        </w:rPr>
      </w:pPr>
    </w:p>
    <w:p>
      <w:pPr>
        <w:rPr>
          <w:rFonts w:hint="eastAsia" w:ascii="黑体" w:hAnsi="黑体" w:eastAsia="黑体"/>
          <w:color w:val="000000"/>
          <w:sz w:val="44"/>
          <w:szCs w:val="44"/>
          <w:lang w:eastAsia="zh-CN"/>
        </w:rPr>
      </w:pPr>
    </w:p>
    <w:p>
      <w:pPr>
        <w:pStyle w:val="8"/>
        <w:rPr>
          <w:rFonts w:hint="eastAsia" w:ascii="黑体" w:hAnsi="黑体" w:eastAsia="黑体"/>
          <w:color w:val="000000"/>
          <w:sz w:val="44"/>
          <w:szCs w:val="44"/>
          <w:lang w:eastAsia="zh-CN"/>
        </w:rPr>
      </w:pPr>
    </w:p>
    <w:p>
      <w:pPr>
        <w:rPr>
          <w:rFonts w:hint="eastAsia" w:ascii="黑体" w:hAnsi="黑体" w:eastAsia="黑体"/>
          <w:color w:val="000000"/>
          <w:sz w:val="44"/>
          <w:szCs w:val="44"/>
          <w:lang w:eastAsia="zh-CN"/>
        </w:rPr>
      </w:pPr>
    </w:p>
    <w:p>
      <w:pPr>
        <w:pStyle w:val="8"/>
        <w:rPr>
          <w:rFonts w:hint="eastAsia" w:ascii="黑体" w:hAnsi="黑体" w:eastAsia="黑体"/>
          <w:color w:val="000000"/>
          <w:sz w:val="44"/>
          <w:szCs w:val="44"/>
          <w:lang w:eastAsia="zh-CN"/>
        </w:rPr>
      </w:pPr>
    </w:p>
    <w:p>
      <w:pPr>
        <w:rPr>
          <w:rFonts w:hint="eastAsia" w:ascii="黑体" w:hAnsi="黑体" w:eastAsia="黑体"/>
          <w:color w:val="000000"/>
          <w:sz w:val="44"/>
          <w:szCs w:val="44"/>
          <w:lang w:eastAsia="zh-CN"/>
        </w:rPr>
      </w:pPr>
    </w:p>
    <w:p>
      <w:pPr>
        <w:pStyle w:val="8"/>
        <w:rPr>
          <w:rFonts w:hint="eastAsia" w:ascii="黑体" w:hAnsi="黑体" w:eastAsia="黑体"/>
          <w:color w:val="000000"/>
          <w:sz w:val="44"/>
          <w:szCs w:val="44"/>
          <w:lang w:eastAsia="zh-CN"/>
        </w:rPr>
      </w:pPr>
    </w:p>
    <w:p>
      <w:pPr>
        <w:rPr>
          <w:rFonts w:hint="eastAsia" w:ascii="黑体" w:hAnsi="黑体" w:eastAsia="黑体"/>
          <w:color w:val="000000"/>
          <w:sz w:val="44"/>
          <w:szCs w:val="44"/>
          <w:lang w:eastAsia="zh-CN"/>
        </w:rPr>
      </w:pPr>
    </w:p>
    <w:p>
      <w:pPr>
        <w:pStyle w:val="8"/>
        <w:rPr>
          <w:rFonts w:hint="eastAsia" w:ascii="黑体" w:hAnsi="黑体" w:eastAsia="黑体"/>
          <w:color w:val="000000"/>
          <w:sz w:val="44"/>
          <w:szCs w:val="44"/>
          <w:lang w:eastAsia="zh-CN"/>
        </w:rPr>
      </w:pPr>
    </w:p>
    <w:p>
      <w:pPr>
        <w:rPr>
          <w:rFonts w:hint="eastAsia" w:ascii="黑体" w:hAnsi="黑体" w:eastAsia="黑体"/>
          <w:color w:val="000000"/>
          <w:sz w:val="44"/>
          <w:szCs w:val="44"/>
          <w:lang w:eastAsia="zh-CN"/>
        </w:rPr>
      </w:pPr>
    </w:p>
    <w:p>
      <w:pPr>
        <w:pStyle w:val="8"/>
        <w:rPr>
          <w:rFonts w:hint="eastAsia" w:ascii="黑体" w:hAnsi="黑体" w:eastAsia="黑体"/>
          <w:color w:val="000000"/>
          <w:sz w:val="44"/>
          <w:szCs w:val="44"/>
          <w:lang w:eastAsia="zh-CN"/>
        </w:rPr>
      </w:pPr>
    </w:p>
    <w:p>
      <w:pPr>
        <w:rPr>
          <w:rFonts w:hint="eastAsia" w:ascii="黑体" w:hAnsi="黑体" w:eastAsia="黑体"/>
          <w:color w:val="000000"/>
          <w:sz w:val="44"/>
          <w:szCs w:val="44"/>
          <w:lang w:eastAsia="zh-CN"/>
        </w:rPr>
      </w:pPr>
    </w:p>
    <w:p>
      <w:pPr>
        <w:pStyle w:val="8"/>
        <w:rPr>
          <w:rFonts w:hint="eastAsia" w:ascii="黑体" w:hAnsi="黑体" w:eastAsia="黑体"/>
          <w:color w:val="000000"/>
          <w:sz w:val="44"/>
          <w:szCs w:val="44"/>
          <w:lang w:eastAsia="zh-CN"/>
        </w:rPr>
      </w:pPr>
    </w:p>
    <w:p>
      <w:pPr>
        <w:rPr>
          <w:rFonts w:hint="eastAsia" w:ascii="黑体" w:hAnsi="黑体" w:eastAsia="黑体"/>
          <w:color w:val="000000"/>
          <w:sz w:val="44"/>
          <w:szCs w:val="44"/>
          <w:lang w:eastAsia="zh-CN"/>
        </w:rPr>
      </w:pPr>
    </w:p>
    <w:p>
      <w:pPr>
        <w:pStyle w:val="8"/>
        <w:rPr>
          <w:rFonts w:hint="eastAsia" w:ascii="黑体" w:hAnsi="黑体" w:eastAsia="黑体"/>
          <w:color w:val="000000"/>
          <w:sz w:val="44"/>
          <w:szCs w:val="44"/>
          <w:lang w:eastAsia="zh-CN"/>
        </w:rPr>
      </w:pPr>
    </w:p>
    <w:p>
      <w:pPr>
        <w:rPr>
          <w:rFonts w:hint="eastAsia" w:ascii="黑体" w:hAnsi="黑体" w:eastAsia="黑体"/>
          <w:color w:val="000000"/>
          <w:sz w:val="44"/>
          <w:szCs w:val="44"/>
          <w:lang w:eastAsia="zh-CN"/>
        </w:rPr>
      </w:pPr>
    </w:p>
    <w:p>
      <w:pPr>
        <w:pStyle w:val="8"/>
        <w:rPr>
          <w:rFonts w:hint="eastAsia" w:ascii="黑体" w:hAnsi="黑体" w:eastAsia="黑体"/>
          <w:color w:val="000000"/>
          <w:sz w:val="44"/>
          <w:szCs w:val="44"/>
          <w:lang w:eastAsia="zh-CN"/>
        </w:rPr>
      </w:pPr>
    </w:p>
    <w:p>
      <w:pPr>
        <w:rPr>
          <w:rFonts w:hint="eastAsia" w:ascii="黑体" w:hAnsi="黑体" w:eastAsia="黑体"/>
          <w:color w:val="000000"/>
          <w:sz w:val="44"/>
          <w:szCs w:val="44"/>
          <w:lang w:eastAsia="zh-CN"/>
        </w:rPr>
      </w:pPr>
    </w:p>
    <w:p>
      <w:pPr>
        <w:pStyle w:val="8"/>
        <w:rPr>
          <w:rFonts w:hint="eastAsia"/>
          <w:lang w:eastAsia="zh-CN"/>
        </w:rPr>
      </w:pPr>
    </w:p>
    <w:p>
      <w:pPr>
        <w:pageBreakBefore w:val="0"/>
        <w:numPr>
          <w:ilvl w:val="0"/>
          <w:numId w:val="0"/>
        </w:numPr>
        <w:tabs>
          <w:tab w:val="left" w:pos="2669"/>
          <w:tab w:val="center" w:pos="5643"/>
        </w:tabs>
        <w:kinsoku/>
        <w:wordWrap/>
        <w:overflowPunct/>
        <w:topLinePunct w:val="0"/>
        <w:bidi w:val="0"/>
        <w:spacing w:line="576" w:lineRule="exact"/>
        <w:jc w:val="center"/>
        <w:textAlignment w:val="auto"/>
        <w:outlineLvl w:val="0"/>
        <w:rPr>
          <w:rStyle w:val="27"/>
          <w:rFonts w:ascii="黑体" w:hAnsi="黑体" w:eastAsia="黑体"/>
          <w:b w:val="0"/>
        </w:rPr>
      </w:pPr>
      <w:r>
        <w:rPr>
          <w:rFonts w:hint="eastAsia" w:ascii="黑体" w:hAnsi="黑体" w:eastAsia="黑体"/>
          <w:color w:val="000000"/>
          <w:sz w:val="44"/>
          <w:szCs w:val="44"/>
          <w:lang w:eastAsia="zh-CN"/>
        </w:rPr>
        <w:t>第三部分</w:t>
      </w:r>
      <w:r>
        <w:rPr>
          <w:rFonts w:hint="eastAsia" w:ascii="黑体" w:hAnsi="黑体" w:eastAsia="黑体"/>
          <w:color w:val="000000"/>
          <w:sz w:val="44"/>
          <w:szCs w:val="44"/>
          <w:lang w:val="en-US" w:eastAsia="zh-CN"/>
        </w:rPr>
        <w:t xml:space="preserve"> </w:t>
      </w:r>
      <w:r>
        <w:rPr>
          <w:rFonts w:hint="eastAsia" w:ascii="黑体" w:hAnsi="黑体" w:eastAsia="黑体"/>
          <w:color w:val="000000"/>
          <w:sz w:val="44"/>
          <w:szCs w:val="44"/>
        </w:rPr>
        <w:t>名</w:t>
      </w:r>
      <w:r>
        <w:rPr>
          <w:rStyle w:val="27"/>
          <w:rFonts w:hint="eastAsia" w:ascii="黑体" w:hAnsi="黑体" w:eastAsia="黑体"/>
          <w:b w:val="0"/>
        </w:rPr>
        <w:t>词解释</w:t>
      </w:r>
      <w:bookmarkEnd w:id="106"/>
      <w:bookmarkEnd w:id="107"/>
      <w:bookmarkEnd w:id="108"/>
      <w:bookmarkEnd w:id="109"/>
    </w:p>
    <w:p>
      <w:pPr>
        <w:pageBreakBefore w:val="0"/>
        <w:kinsoku/>
        <w:wordWrap/>
        <w:overflowPunct/>
        <w:topLinePunct w:val="0"/>
        <w:bidi w:val="0"/>
        <w:spacing w:line="576" w:lineRule="exact"/>
        <w:ind w:firstLine="883" w:firstLineChars="200"/>
        <w:jc w:val="left"/>
        <w:textAlignment w:val="auto"/>
        <w:rPr>
          <w:rFonts w:ascii="宋体"/>
          <w:b/>
          <w:color w:val="000000"/>
          <w:sz w:val="44"/>
          <w:szCs w:val="44"/>
        </w:rPr>
      </w:pPr>
    </w:p>
    <w:p>
      <w:pPr>
        <w:pStyle w:val="37"/>
        <w:pageBreakBefore w:val="0"/>
        <w:kinsoku/>
        <w:wordWrap/>
        <w:overflowPunct/>
        <w:topLinePunct w:val="0"/>
        <w:bidi w:val="0"/>
        <w:spacing w:line="576" w:lineRule="exact"/>
        <w:ind w:firstLine="640" w:firstLineChars="200"/>
        <w:textAlignment w:val="auto"/>
        <w:rPr>
          <w:rFonts w:ascii="仿宋_GB2312" w:hAnsi="Times New Roman" w:eastAsia="仿宋_GB2312" w:cs="Times New Roman"/>
          <w:color w:val="000000"/>
          <w:kern w:val="2"/>
          <w:sz w:val="32"/>
          <w:szCs w:val="32"/>
          <w:lang w:val="en-US" w:eastAsia="zh-CN" w:bidi="ar-SA"/>
        </w:rPr>
      </w:pPr>
      <w:bookmarkStart w:id="110" w:name="_Toc79163880"/>
      <w:bookmarkStart w:id="111" w:name="_Toc79163630"/>
      <w:bookmarkStart w:id="112" w:name="_Toc15396614"/>
      <w:bookmarkStart w:id="113" w:name="_Toc15377226"/>
      <w:r>
        <w:rPr>
          <w:rFonts w:ascii="仿宋_GB2312" w:hAnsi="Times New Roman" w:eastAsia="仿宋_GB2312" w:cs="Times New Roman"/>
          <w:color w:val="000000"/>
          <w:kern w:val="2"/>
          <w:sz w:val="32"/>
          <w:szCs w:val="32"/>
          <w:lang w:val="en-US" w:eastAsia="zh-CN" w:bidi="ar-SA"/>
        </w:rPr>
        <w:t>1.</w:t>
      </w:r>
      <w:r>
        <w:rPr>
          <w:rFonts w:hint="eastAsia" w:ascii="仿宋_GB2312" w:hAnsi="Times New Roman" w:eastAsia="仿宋_GB2312" w:cs="Times New Roman"/>
          <w:color w:val="000000"/>
          <w:kern w:val="2"/>
          <w:sz w:val="32"/>
          <w:szCs w:val="32"/>
          <w:lang w:val="en-US" w:eastAsia="zh-CN" w:bidi="ar-SA"/>
        </w:rPr>
        <w:t>财政拨款收入：指单位从同级财政部门取得的财政预算资金。</w:t>
      </w:r>
    </w:p>
    <w:p>
      <w:pPr>
        <w:pStyle w:val="37"/>
        <w:pageBreakBefore w:val="0"/>
        <w:kinsoku/>
        <w:wordWrap/>
        <w:overflowPunct/>
        <w:topLinePunct w:val="0"/>
        <w:bidi w:val="0"/>
        <w:spacing w:line="576" w:lineRule="exact"/>
        <w:ind w:firstLine="640" w:firstLineChars="200"/>
        <w:textAlignment w:val="auto"/>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年初结转和结余：指以前年度尚未完成、结转到本年按有关规定继续使用的资金。</w:t>
      </w:r>
    </w:p>
    <w:p>
      <w:pPr>
        <w:pStyle w:val="37"/>
        <w:pageBreakBefore w:val="0"/>
        <w:kinsoku/>
        <w:wordWrap/>
        <w:overflowPunct/>
        <w:topLinePunct w:val="0"/>
        <w:bidi w:val="0"/>
        <w:spacing w:line="576" w:lineRule="exact"/>
        <w:ind w:firstLine="640" w:firstLineChars="200"/>
        <w:textAlignment w:val="auto"/>
        <w:rPr>
          <w:rFonts w:hint="eastAsia" w:ascii="仿宋_GB2312" w:eastAsia="仿宋_GB2312"/>
          <w:sz w:val="32"/>
          <w:szCs w:val="32"/>
          <w:lang w:val="en-US" w:eastAsia="zh-CN"/>
        </w:rPr>
      </w:pPr>
      <w:r>
        <w:rPr>
          <w:rFonts w:ascii="仿宋_GB2312" w:eastAsia="仿宋_GB2312"/>
          <w:sz w:val="32"/>
          <w:szCs w:val="32"/>
        </w:rPr>
        <w:t>3</w:t>
      </w:r>
      <w:r>
        <w:rPr>
          <w:rFonts w:hint="eastAsia" w:ascii="仿宋_GB2312" w:eastAsia="仿宋_GB2312"/>
          <w:sz w:val="32"/>
          <w:szCs w:val="32"/>
          <w:lang w:val="en-US" w:eastAsia="zh-CN"/>
        </w:rPr>
        <w:t>.</w:t>
      </w:r>
      <w:r>
        <w:rPr>
          <w:rFonts w:hint="eastAsia" w:ascii="仿宋_GB2312" w:eastAsia="仿宋_GB2312"/>
          <w:sz w:val="32"/>
          <w:szCs w:val="32"/>
        </w:rPr>
        <w:t>结余分配：指事业单位按照事业单位会计制度的规定从非财政补助结余中分配的事业基金和职工福利基金等。</w:t>
      </w:r>
    </w:p>
    <w:p>
      <w:pPr>
        <w:pStyle w:val="37"/>
        <w:pageBreakBefore w:val="0"/>
        <w:kinsoku/>
        <w:wordWrap/>
        <w:overflowPunct/>
        <w:topLinePunct w:val="0"/>
        <w:bidi w:val="0"/>
        <w:spacing w:line="576" w:lineRule="exact"/>
        <w:ind w:firstLine="640" w:firstLineChars="200"/>
        <w:textAlignment w:val="auto"/>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lang w:eastAsia="zh-CN"/>
        </w:rPr>
        <w:t>.</w:t>
      </w:r>
      <w:r>
        <w:rPr>
          <w:rFonts w:hint="eastAsia" w:ascii="仿宋_GB2312" w:eastAsia="仿宋_GB2312"/>
          <w:sz w:val="32"/>
          <w:szCs w:val="32"/>
        </w:rPr>
        <w:t>年末结转和结余：指单位按有关规定结转到下年或以后年度继续使用的资金。</w:t>
      </w:r>
    </w:p>
    <w:p>
      <w:pPr>
        <w:pageBreakBefore w:val="0"/>
        <w:kinsoku/>
        <w:wordWrap/>
        <w:overflowPunct/>
        <w:topLinePunct w:val="0"/>
        <w:bidi w:val="0"/>
        <w:spacing w:line="576" w:lineRule="exact"/>
        <w:ind w:firstLine="640" w:firstLineChars="200"/>
        <w:textAlignment w:val="auto"/>
        <w:rPr>
          <w:rFonts w:hint="eastAsia" w:ascii="仿宋_GB2312" w:hAnsi="Calibri" w:eastAsia="仿宋_GB2312" w:cs="仿宋"/>
          <w:color w:val="000000"/>
          <w:kern w:val="0"/>
          <w:sz w:val="32"/>
          <w:szCs w:val="32"/>
          <w:lang w:val="en-US" w:eastAsia="zh-CN" w:bidi="ar-SA"/>
        </w:rPr>
      </w:pPr>
      <w:r>
        <w:rPr>
          <w:rFonts w:ascii="仿宋_GB2312" w:eastAsia="仿宋_GB2312"/>
          <w:sz w:val="32"/>
          <w:szCs w:val="32"/>
        </w:rPr>
        <w:t>5.</w:t>
      </w:r>
      <w:r>
        <w:rPr>
          <w:rFonts w:hint="eastAsia" w:ascii="仿宋_GB2312" w:hAnsi="Calibri" w:eastAsia="仿宋_GB2312" w:cs="仿宋"/>
          <w:color w:val="000000"/>
          <w:kern w:val="0"/>
          <w:sz w:val="32"/>
          <w:szCs w:val="32"/>
          <w:lang w:val="en-US" w:eastAsia="zh-CN" w:bidi="ar-SA"/>
        </w:rPr>
        <w:t>社会保障和就业</w:t>
      </w:r>
    </w:p>
    <w:p>
      <w:pPr>
        <w:pageBreakBefore w:val="0"/>
        <w:kinsoku/>
        <w:wordWrap/>
        <w:overflowPunct/>
        <w:topLinePunct w:val="0"/>
        <w:bidi w:val="0"/>
        <w:spacing w:line="576" w:lineRule="exact"/>
        <w:ind w:firstLine="960" w:firstLineChars="300"/>
        <w:textAlignment w:val="auto"/>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2080505：机关事业单位基本养老保险缴费支出</w:t>
      </w:r>
    </w:p>
    <w:p>
      <w:pPr>
        <w:pStyle w:val="37"/>
        <w:pageBreakBefore w:val="0"/>
        <w:kinsoku/>
        <w:wordWrap/>
        <w:overflowPunct/>
        <w:topLinePunct w:val="0"/>
        <w:bidi w:val="0"/>
        <w:spacing w:line="576" w:lineRule="exact"/>
        <w:ind w:firstLine="960" w:firstLineChars="300"/>
        <w:textAlignment w:val="auto"/>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2080506：机关事业单位职业年金缴费支出</w:t>
      </w:r>
    </w:p>
    <w:p>
      <w:pPr>
        <w:pageBreakBefore w:val="0"/>
        <w:numPr>
          <w:ilvl w:val="0"/>
          <w:numId w:val="0"/>
        </w:numPr>
        <w:kinsoku/>
        <w:wordWrap/>
        <w:overflowPunct/>
        <w:topLinePunct w:val="0"/>
        <w:bidi w:val="0"/>
        <w:spacing w:line="576" w:lineRule="exact"/>
        <w:ind w:firstLine="640" w:firstLineChars="200"/>
        <w:textAlignment w:val="auto"/>
        <w:rPr>
          <w:rFonts w:hint="eastAsia" w:ascii="仿宋_GB2312" w:hAnsi="Calibri" w:eastAsia="仿宋_GB2312" w:cs="仿宋"/>
          <w:color w:val="000000"/>
          <w:kern w:val="0"/>
          <w:sz w:val="32"/>
          <w:szCs w:val="32"/>
          <w:lang w:val="en-US" w:eastAsia="zh-CN" w:bidi="ar-SA"/>
        </w:rPr>
      </w:pPr>
      <w:r>
        <w:rPr>
          <w:rFonts w:ascii="仿宋_GB2312" w:eastAsia="仿宋_GB2312"/>
          <w:sz w:val="32"/>
          <w:szCs w:val="32"/>
        </w:rPr>
        <w:t>6.</w:t>
      </w:r>
      <w:r>
        <w:rPr>
          <w:rFonts w:hint="eastAsia" w:ascii="仿宋_GB2312" w:hAnsi="Calibri" w:eastAsia="仿宋_GB2312" w:cs="仿宋"/>
          <w:color w:val="000000"/>
          <w:kern w:val="0"/>
          <w:sz w:val="32"/>
          <w:szCs w:val="32"/>
          <w:lang w:val="en-US" w:eastAsia="zh-CN" w:bidi="ar-SA"/>
        </w:rPr>
        <w:t>医疗卫生与计划生育</w:t>
      </w:r>
    </w:p>
    <w:p>
      <w:pPr>
        <w:pStyle w:val="37"/>
        <w:pageBreakBefore w:val="0"/>
        <w:kinsoku/>
        <w:wordWrap/>
        <w:overflowPunct/>
        <w:topLinePunct w:val="0"/>
        <w:bidi w:val="0"/>
        <w:spacing w:line="576" w:lineRule="exact"/>
        <w:ind w:firstLine="960" w:firstLineChars="300"/>
        <w:textAlignment w:val="auto"/>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210110</w:t>
      </w:r>
      <w:r>
        <w:rPr>
          <w:rFonts w:hint="eastAsia" w:ascii="仿宋_GB2312" w:eastAsia="仿宋_GB2312" w:cs="仿宋"/>
          <w:color w:val="000000"/>
          <w:kern w:val="0"/>
          <w:sz w:val="32"/>
          <w:szCs w:val="32"/>
          <w:lang w:val="en-US" w:eastAsia="zh-CN" w:bidi="ar-SA"/>
        </w:rPr>
        <w:t>1</w:t>
      </w:r>
      <w:r>
        <w:rPr>
          <w:rFonts w:hint="eastAsia" w:ascii="仿宋_GB2312" w:hAnsi="Calibri" w:eastAsia="仿宋_GB2312" w:cs="仿宋"/>
          <w:color w:val="000000"/>
          <w:kern w:val="0"/>
          <w:sz w:val="32"/>
          <w:szCs w:val="32"/>
          <w:lang w:val="en-US" w:eastAsia="zh-CN" w:bidi="ar-SA"/>
        </w:rPr>
        <w:t>：</w:t>
      </w:r>
      <w:r>
        <w:rPr>
          <w:rFonts w:hint="eastAsia" w:ascii="仿宋_GB2312" w:eastAsia="仿宋_GB2312" w:cs="仿宋"/>
          <w:color w:val="000000"/>
          <w:kern w:val="0"/>
          <w:sz w:val="32"/>
          <w:szCs w:val="32"/>
          <w:lang w:val="en-US" w:eastAsia="zh-CN" w:bidi="ar-SA"/>
        </w:rPr>
        <w:t>行政</w:t>
      </w:r>
      <w:r>
        <w:rPr>
          <w:rFonts w:hint="eastAsia" w:ascii="仿宋_GB2312" w:hAnsi="Calibri" w:eastAsia="仿宋_GB2312" w:cs="仿宋"/>
          <w:color w:val="000000"/>
          <w:kern w:val="0"/>
          <w:sz w:val="32"/>
          <w:szCs w:val="32"/>
          <w:lang w:val="en-US" w:eastAsia="zh-CN" w:bidi="ar-SA"/>
        </w:rPr>
        <w:t>单位医疗</w:t>
      </w:r>
    </w:p>
    <w:p>
      <w:pPr>
        <w:pStyle w:val="37"/>
        <w:pageBreakBefore w:val="0"/>
        <w:kinsoku/>
        <w:wordWrap/>
        <w:overflowPunct/>
        <w:topLinePunct w:val="0"/>
        <w:bidi w:val="0"/>
        <w:spacing w:line="576" w:lineRule="exact"/>
        <w:ind w:firstLine="640" w:firstLineChars="200"/>
        <w:textAlignment w:val="auto"/>
        <w:rPr>
          <w:rFonts w:hint="default"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 xml:space="preserve"> </w:t>
      </w:r>
      <w:r>
        <w:rPr>
          <w:rFonts w:hint="eastAsia" w:ascii="仿宋_GB2312" w:eastAsia="仿宋_GB2312" w:cs="仿宋"/>
          <w:color w:val="000000"/>
          <w:kern w:val="0"/>
          <w:sz w:val="32"/>
          <w:szCs w:val="32"/>
          <w:lang w:val="en-US" w:eastAsia="zh-CN" w:bidi="ar-SA"/>
        </w:rPr>
        <w:t xml:space="preserve"> </w:t>
      </w:r>
      <w:r>
        <w:rPr>
          <w:rFonts w:hint="eastAsia" w:ascii="仿宋_GB2312" w:hAnsi="Calibri" w:eastAsia="仿宋_GB2312" w:cs="仿宋"/>
          <w:color w:val="000000"/>
          <w:kern w:val="0"/>
          <w:sz w:val="32"/>
          <w:szCs w:val="32"/>
          <w:lang w:val="en-US" w:eastAsia="zh-CN" w:bidi="ar-SA"/>
        </w:rPr>
        <w:t>210110</w:t>
      </w:r>
      <w:r>
        <w:rPr>
          <w:rFonts w:hint="eastAsia" w:ascii="仿宋_GB2312" w:eastAsia="仿宋_GB2312" w:cs="仿宋"/>
          <w:color w:val="000000"/>
          <w:kern w:val="0"/>
          <w:sz w:val="32"/>
          <w:szCs w:val="32"/>
          <w:lang w:val="en-US" w:eastAsia="zh-CN" w:bidi="ar-SA"/>
        </w:rPr>
        <w:t>3</w:t>
      </w:r>
      <w:r>
        <w:rPr>
          <w:rFonts w:hint="eastAsia" w:ascii="仿宋_GB2312" w:hAnsi="Calibri" w:eastAsia="仿宋_GB2312" w:cs="仿宋"/>
          <w:color w:val="000000"/>
          <w:kern w:val="0"/>
          <w:sz w:val="32"/>
          <w:szCs w:val="32"/>
          <w:lang w:val="en-US" w:eastAsia="zh-CN" w:bidi="ar-SA"/>
        </w:rPr>
        <w:t>：</w:t>
      </w:r>
      <w:r>
        <w:rPr>
          <w:rFonts w:hint="eastAsia" w:ascii="仿宋_GB2312" w:eastAsia="仿宋_GB2312" w:cs="仿宋"/>
          <w:color w:val="000000"/>
          <w:kern w:val="0"/>
          <w:sz w:val="32"/>
          <w:szCs w:val="32"/>
          <w:lang w:val="en-US" w:eastAsia="zh-CN" w:bidi="ar-SA"/>
        </w:rPr>
        <w:t>公务员医疗补助</w:t>
      </w:r>
    </w:p>
    <w:p>
      <w:pPr>
        <w:pageBreakBefore w:val="0"/>
        <w:numPr>
          <w:ilvl w:val="0"/>
          <w:numId w:val="0"/>
        </w:numPr>
        <w:kinsoku/>
        <w:wordWrap/>
        <w:overflowPunct/>
        <w:topLinePunct w:val="0"/>
        <w:bidi w:val="0"/>
        <w:spacing w:line="576"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7.城乡社区支出：</w:t>
      </w:r>
    </w:p>
    <w:p>
      <w:pPr>
        <w:pageBreakBefore w:val="0"/>
        <w:numPr>
          <w:ilvl w:val="0"/>
          <w:numId w:val="0"/>
        </w:numPr>
        <w:kinsoku/>
        <w:wordWrap/>
        <w:overflowPunct/>
        <w:topLinePunct w:val="0"/>
        <w:bidi w:val="0"/>
        <w:spacing w:line="576" w:lineRule="exact"/>
        <w:ind w:firstLine="960" w:firstLineChars="3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2120814：农业生产发展支出</w:t>
      </w:r>
    </w:p>
    <w:p>
      <w:pPr>
        <w:pageBreakBefore w:val="0"/>
        <w:numPr>
          <w:ilvl w:val="0"/>
          <w:numId w:val="0"/>
        </w:numPr>
        <w:kinsoku/>
        <w:wordWrap/>
        <w:overflowPunct/>
        <w:topLinePunct w:val="0"/>
        <w:bidi w:val="0"/>
        <w:spacing w:line="576" w:lineRule="exact"/>
        <w:ind w:firstLine="640" w:firstLineChars="200"/>
        <w:textAlignment w:val="auto"/>
        <w:rPr>
          <w:rFonts w:hint="eastAsia" w:ascii="仿宋_GB2312" w:hAnsi="Calibri" w:eastAsia="仿宋_GB2312" w:cs="仿宋"/>
          <w:color w:val="000000"/>
          <w:kern w:val="0"/>
          <w:sz w:val="32"/>
          <w:szCs w:val="32"/>
          <w:lang w:val="en-US" w:eastAsia="zh-CN" w:bidi="ar-SA"/>
        </w:rPr>
      </w:pPr>
      <w:r>
        <w:rPr>
          <w:rFonts w:hint="eastAsia" w:ascii="仿宋_GB2312" w:eastAsia="仿宋_GB2312"/>
          <w:sz w:val="32"/>
          <w:szCs w:val="32"/>
          <w:lang w:val="en-US" w:eastAsia="zh-CN"/>
        </w:rPr>
        <w:t>8</w:t>
      </w:r>
      <w:r>
        <w:rPr>
          <w:rFonts w:ascii="仿宋_GB2312" w:eastAsia="仿宋_GB2312"/>
          <w:sz w:val="32"/>
          <w:szCs w:val="32"/>
        </w:rPr>
        <w:t>.</w:t>
      </w:r>
      <w:r>
        <w:rPr>
          <w:rFonts w:hint="eastAsia" w:ascii="仿宋_GB2312" w:hAnsi="Calibri" w:eastAsia="仿宋_GB2312" w:cs="仿宋"/>
          <w:color w:val="000000"/>
          <w:kern w:val="0"/>
          <w:sz w:val="32"/>
          <w:szCs w:val="32"/>
          <w:lang w:val="en-US" w:eastAsia="zh-CN" w:bidi="ar-SA"/>
        </w:rPr>
        <w:t>农林水支出</w:t>
      </w:r>
    </w:p>
    <w:p>
      <w:pPr>
        <w:pageBreakBefore w:val="0"/>
        <w:numPr>
          <w:ilvl w:val="0"/>
          <w:numId w:val="0"/>
        </w:numPr>
        <w:kinsoku/>
        <w:wordWrap/>
        <w:overflowPunct/>
        <w:topLinePunct w:val="0"/>
        <w:bidi w:val="0"/>
        <w:spacing w:line="576" w:lineRule="exact"/>
        <w:ind w:firstLine="960" w:firstLineChars="300"/>
        <w:textAlignment w:val="auto"/>
        <w:rPr>
          <w:rStyle w:val="23"/>
          <w:rFonts w:hint="default" w:ascii="方正仿宋_GB2312" w:hAnsi="方正仿宋_GB2312" w:eastAsia="方正仿宋_GB2312" w:cs="方正仿宋_GB2312"/>
          <w:b w:val="0"/>
          <w:bCs/>
          <w:color w:val="000000"/>
          <w:sz w:val="32"/>
          <w:szCs w:val="32"/>
          <w:lang w:val="en-US" w:eastAsia="zh-CN"/>
        </w:rPr>
      </w:pPr>
      <w:r>
        <w:rPr>
          <w:rFonts w:hint="eastAsia" w:ascii="仿宋_GB2312" w:hAnsi="Calibri" w:eastAsia="仿宋_GB2312" w:cs="仿宋"/>
          <w:color w:val="000000"/>
          <w:kern w:val="0"/>
          <w:sz w:val="32"/>
          <w:szCs w:val="32"/>
          <w:lang w:val="en-US" w:eastAsia="zh-CN" w:bidi="ar-SA"/>
        </w:rPr>
        <w:t>2130505：</w:t>
      </w:r>
      <w:r>
        <w:rPr>
          <w:rStyle w:val="23"/>
          <w:rFonts w:hint="eastAsia" w:ascii="方正仿宋_GB2312" w:hAnsi="方正仿宋_GB2312" w:eastAsia="方正仿宋_GB2312" w:cs="方正仿宋_GB2312"/>
          <w:b w:val="0"/>
          <w:bCs/>
          <w:color w:val="000000"/>
          <w:sz w:val="32"/>
          <w:szCs w:val="32"/>
          <w:lang w:val="en-US" w:eastAsia="zh-CN"/>
        </w:rPr>
        <w:t>生产发展</w:t>
      </w:r>
    </w:p>
    <w:p>
      <w:pPr>
        <w:pageBreakBefore w:val="0"/>
        <w:numPr>
          <w:ilvl w:val="0"/>
          <w:numId w:val="0"/>
        </w:numPr>
        <w:kinsoku/>
        <w:wordWrap/>
        <w:overflowPunct/>
        <w:topLinePunct w:val="0"/>
        <w:bidi w:val="0"/>
        <w:spacing w:line="576" w:lineRule="exact"/>
        <w:ind w:firstLine="640" w:firstLineChars="200"/>
        <w:textAlignment w:val="auto"/>
        <w:rPr>
          <w:rFonts w:hint="eastAsia" w:ascii="仿宋_GB2312" w:hAnsi="Calibri" w:eastAsia="仿宋_GB2312" w:cs="仿宋"/>
          <w:color w:val="000000"/>
          <w:kern w:val="0"/>
          <w:sz w:val="32"/>
          <w:szCs w:val="32"/>
          <w:lang w:val="en-US" w:eastAsia="zh-CN" w:bidi="ar-SA"/>
        </w:rPr>
      </w:pPr>
      <w:r>
        <w:rPr>
          <w:rFonts w:hint="eastAsia" w:ascii="仿宋_GB2312" w:eastAsia="仿宋_GB2312"/>
          <w:sz w:val="32"/>
          <w:szCs w:val="32"/>
          <w:lang w:val="en-US" w:eastAsia="zh-CN"/>
        </w:rPr>
        <w:t>9.</w:t>
      </w:r>
      <w:r>
        <w:rPr>
          <w:rFonts w:hint="eastAsia" w:ascii="仿宋_GB2312" w:hAnsi="Calibri" w:eastAsia="仿宋_GB2312" w:cs="仿宋"/>
          <w:color w:val="000000"/>
          <w:kern w:val="0"/>
          <w:sz w:val="32"/>
          <w:szCs w:val="32"/>
          <w:lang w:val="en-US" w:eastAsia="zh-CN" w:bidi="ar-SA"/>
        </w:rPr>
        <w:t>商业服务业等支出</w:t>
      </w:r>
    </w:p>
    <w:p>
      <w:pPr>
        <w:pageBreakBefore w:val="0"/>
        <w:numPr>
          <w:ilvl w:val="0"/>
          <w:numId w:val="0"/>
        </w:numPr>
        <w:kinsoku/>
        <w:wordWrap/>
        <w:overflowPunct/>
        <w:topLinePunct w:val="0"/>
        <w:bidi w:val="0"/>
        <w:spacing w:line="576" w:lineRule="exact"/>
        <w:ind w:firstLine="960" w:firstLineChars="300"/>
        <w:textAlignment w:val="auto"/>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2160201:行政运行</w:t>
      </w:r>
    </w:p>
    <w:p>
      <w:pPr>
        <w:pageBreakBefore w:val="0"/>
        <w:numPr>
          <w:ilvl w:val="0"/>
          <w:numId w:val="0"/>
        </w:numPr>
        <w:kinsoku/>
        <w:wordWrap/>
        <w:overflowPunct/>
        <w:topLinePunct w:val="0"/>
        <w:bidi w:val="0"/>
        <w:spacing w:line="576" w:lineRule="exact"/>
        <w:ind w:firstLine="960" w:firstLineChars="300"/>
        <w:textAlignment w:val="auto"/>
        <w:rPr>
          <w:rFonts w:hint="default"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2160202：一般行政管理事务</w:t>
      </w:r>
    </w:p>
    <w:p>
      <w:pPr>
        <w:pageBreakBefore w:val="0"/>
        <w:numPr>
          <w:ilvl w:val="0"/>
          <w:numId w:val="0"/>
        </w:numPr>
        <w:kinsoku/>
        <w:wordWrap/>
        <w:overflowPunct/>
        <w:topLinePunct w:val="0"/>
        <w:bidi w:val="0"/>
        <w:spacing w:line="576" w:lineRule="exact"/>
        <w:ind w:firstLine="960" w:firstLineChars="300"/>
        <w:textAlignment w:val="auto"/>
        <w:rPr>
          <w:rFonts w:ascii="仿宋_GB2312" w:eastAsia="仿宋_GB2312"/>
          <w:sz w:val="32"/>
          <w:szCs w:val="32"/>
        </w:rPr>
      </w:pPr>
      <w:r>
        <w:rPr>
          <w:rFonts w:hint="eastAsia" w:ascii="仿宋_GB2312" w:hAnsi="Calibri" w:eastAsia="仿宋_GB2312" w:cs="仿宋"/>
          <w:color w:val="000000"/>
          <w:kern w:val="0"/>
          <w:sz w:val="32"/>
          <w:szCs w:val="32"/>
          <w:lang w:val="en-US" w:eastAsia="zh-CN" w:bidi="ar-SA"/>
        </w:rPr>
        <w:t>2160299:其他商业流通事务支出</w:t>
      </w:r>
    </w:p>
    <w:p>
      <w:pPr>
        <w:pageBreakBefore w:val="0"/>
        <w:kinsoku/>
        <w:wordWrap/>
        <w:overflowPunct/>
        <w:topLinePunct w:val="0"/>
        <w:bidi w:val="0"/>
        <w:spacing w:line="576" w:lineRule="exact"/>
        <w:ind w:firstLine="640" w:firstLineChars="200"/>
        <w:textAlignment w:val="auto"/>
        <w:rPr>
          <w:rFonts w:hint="eastAsia" w:ascii="仿宋_GB2312" w:hAnsi="Calibri" w:eastAsia="仿宋_GB2312" w:cs="仿宋"/>
          <w:color w:val="000000"/>
          <w:kern w:val="0"/>
          <w:sz w:val="32"/>
          <w:szCs w:val="32"/>
          <w:lang w:val="en-US" w:eastAsia="zh-CN" w:bidi="ar-SA"/>
        </w:rPr>
      </w:pPr>
      <w:r>
        <w:rPr>
          <w:rFonts w:hint="eastAsia" w:ascii="仿宋_GB2312" w:eastAsia="仿宋_GB2312"/>
          <w:color w:val="000000"/>
          <w:sz w:val="32"/>
          <w:szCs w:val="32"/>
          <w:lang w:val="en-US" w:eastAsia="zh-CN"/>
        </w:rPr>
        <w:t>10</w:t>
      </w:r>
      <w:r>
        <w:rPr>
          <w:rFonts w:ascii="仿宋_GB2312" w:eastAsia="仿宋_GB2312"/>
          <w:color w:val="000000"/>
          <w:sz w:val="32"/>
          <w:szCs w:val="32"/>
        </w:rPr>
        <w:t>.</w:t>
      </w:r>
      <w:r>
        <w:rPr>
          <w:rFonts w:hint="eastAsia" w:ascii="仿宋_GB2312" w:hAnsi="Calibri" w:eastAsia="仿宋_GB2312" w:cs="仿宋"/>
          <w:color w:val="000000"/>
          <w:kern w:val="0"/>
          <w:sz w:val="32"/>
          <w:szCs w:val="32"/>
          <w:lang w:val="en-US" w:eastAsia="zh-CN" w:bidi="ar-SA"/>
        </w:rPr>
        <w:t>住房保障支出</w:t>
      </w:r>
    </w:p>
    <w:p>
      <w:pPr>
        <w:pageBreakBefore w:val="0"/>
        <w:kinsoku/>
        <w:wordWrap/>
        <w:overflowPunct/>
        <w:topLinePunct w:val="0"/>
        <w:bidi w:val="0"/>
        <w:spacing w:line="576" w:lineRule="exact"/>
        <w:ind w:firstLine="960" w:firstLineChars="300"/>
        <w:textAlignment w:val="auto"/>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2210201：住房公积金</w:t>
      </w:r>
    </w:p>
    <w:p>
      <w:pPr>
        <w:pageBreakBefore w:val="0"/>
        <w:kinsoku/>
        <w:wordWrap/>
        <w:overflowPunct/>
        <w:topLinePunct w:val="0"/>
        <w:bidi w:val="0"/>
        <w:spacing w:line="576" w:lineRule="exact"/>
        <w:ind w:firstLine="640" w:firstLineChars="200"/>
        <w:textAlignment w:val="auto"/>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lang w:val="en-US" w:eastAsia="zh-CN"/>
        </w:rPr>
        <w:t>1</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pPr>
        <w:pageBreakBefore w:val="0"/>
        <w:kinsoku/>
        <w:wordWrap/>
        <w:overflowPunct/>
        <w:topLinePunct w:val="0"/>
        <w:bidi w:val="0"/>
        <w:spacing w:line="576" w:lineRule="exact"/>
        <w:ind w:firstLine="640" w:firstLineChars="200"/>
        <w:textAlignment w:val="auto"/>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lang w:val="en-US" w:eastAsia="zh-CN"/>
        </w:rPr>
        <w:t>2</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pPr>
        <w:pageBreakBefore w:val="0"/>
        <w:kinsoku/>
        <w:wordWrap/>
        <w:overflowPunct/>
        <w:topLinePunct w:val="0"/>
        <w:bidi w:val="0"/>
        <w:spacing w:line="576" w:lineRule="exact"/>
        <w:ind w:firstLine="640" w:firstLineChars="200"/>
        <w:textAlignment w:val="auto"/>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lang w:val="en-US" w:eastAsia="zh-CN"/>
        </w:rPr>
        <w:t>3</w:t>
      </w:r>
      <w:r>
        <w:rPr>
          <w:rFonts w:ascii="仿宋_GB2312" w:eastAsia="仿宋_GB2312"/>
          <w:color w:val="000000"/>
          <w:sz w:val="32"/>
          <w:szCs w:val="32"/>
        </w:rPr>
        <w:t>.</w:t>
      </w:r>
      <w:r>
        <w:rPr>
          <w:rFonts w:hint="eastAsia" w:ascii="仿宋_GB2312" w:eastAsia="仿宋_GB2312"/>
          <w:color w:val="000000"/>
          <w:sz w:val="32"/>
          <w:szCs w:val="32"/>
        </w:rPr>
        <w:t>经营支出：指事业单位在专业业务活动及其辅助活动之外开展非独立核算经营活动发生的支出。</w:t>
      </w:r>
    </w:p>
    <w:p>
      <w:pPr>
        <w:pStyle w:val="37"/>
        <w:pageBreakBefore w:val="0"/>
        <w:kinsoku/>
        <w:wordWrap/>
        <w:overflowPunct/>
        <w:topLinePunct w:val="0"/>
        <w:bidi w:val="0"/>
        <w:spacing w:line="576" w:lineRule="exact"/>
        <w:ind w:firstLine="640" w:firstLineChars="200"/>
        <w:textAlignment w:val="auto"/>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lang w:val="en-US" w:eastAsia="zh-CN"/>
        </w:rPr>
        <w:t>4</w:t>
      </w:r>
      <w:r>
        <w:rPr>
          <w:rFonts w:ascii="仿宋_GB2312" w:eastAsia="仿宋_GB2312"/>
          <w:color w:val="000000"/>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7"/>
        <w:pageBreakBefore w:val="0"/>
        <w:kinsoku/>
        <w:wordWrap/>
        <w:overflowPunct/>
        <w:topLinePunct w:val="0"/>
        <w:bidi w:val="0"/>
        <w:spacing w:line="576" w:lineRule="exact"/>
        <w:ind w:firstLine="640" w:firstLineChars="200"/>
        <w:textAlignment w:val="auto"/>
        <w:rPr>
          <w:rFonts w:ascii="仿宋_GB2312" w:eastAsia="仿宋_GB2312"/>
          <w:sz w:val="32"/>
          <w:szCs w:val="32"/>
        </w:rPr>
      </w:pPr>
      <w:r>
        <w:rPr>
          <w:rFonts w:ascii="仿宋_GB2312" w:eastAsia="仿宋_GB2312"/>
          <w:color w:val="000000"/>
          <w:sz w:val="32"/>
          <w:szCs w:val="32"/>
        </w:rPr>
        <w:t>1</w:t>
      </w:r>
      <w:r>
        <w:rPr>
          <w:rFonts w:hint="eastAsia" w:ascii="仿宋_GB2312" w:eastAsia="仿宋_GB2312"/>
          <w:color w:val="000000"/>
          <w:sz w:val="32"/>
          <w:szCs w:val="32"/>
          <w:lang w:val="en-US" w:eastAsia="zh-CN"/>
        </w:rPr>
        <w:t>5</w:t>
      </w:r>
      <w:r>
        <w:rPr>
          <w:rFonts w:ascii="仿宋_GB2312" w:eastAsia="仿宋_GB2312"/>
          <w:color w:val="000000"/>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ageBreakBefore w:val="0"/>
        <w:kinsoku/>
        <w:wordWrap/>
        <w:overflowPunct/>
        <w:topLinePunct w:val="0"/>
        <w:bidi w:val="0"/>
        <w:spacing w:line="576" w:lineRule="exact"/>
        <w:textAlignment w:val="auto"/>
        <w:rPr>
          <w:rFonts w:ascii="仿宋_GB2312" w:eastAsia="仿宋_GB2312"/>
          <w:color w:val="000000"/>
          <w:sz w:val="32"/>
          <w:szCs w:val="32"/>
        </w:rPr>
      </w:pPr>
    </w:p>
    <w:p>
      <w:pPr>
        <w:pageBreakBefore w:val="0"/>
        <w:kinsoku/>
        <w:wordWrap/>
        <w:overflowPunct/>
        <w:topLinePunct w:val="0"/>
        <w:bidi w:val="0"/>
        <w:spacing w:line="576" w:lineRule="exact"/>
        <w:jc w:val="center"/>
        <w:textAlignment w:val="auto"/>
        <w:outlineLvl w:val="0"/>
        <w:rPr>
          <w:rStyle w:val="27"/>
          <w:rFonts w:ascii="黑体" w:hAnsi="黑体" w:eastAsia="黑体"/>
          <w:b w:val="0"/>
        </w:rPr>
      </w:pPr>
      <w:r>
        <w:rPr>
          <w:rFonts w:hint="eastAsia" w:ascii="黑体" w:hAnsi="黑体" w:eastAsia="黑体"/>
          <w:color w:val="000000"/>
          <w:sz w:val="44"/>
          <w:szCs w:val="44"/>
        </w:rPr>
        <w:t>第</w:t>
      </w:r>
      <w:r>
        <w:rPr>
          <w:rStyle w:val="27"/>
          <w:rFonts w:hint="eastAsia" w:ascii="黑体" w:hAnsi="黑体" w:eastAsia="黑体"/>
          <w:b w:val="0"/>
        </w:rPr>
        <w:t>四部分</w:t>
      </w:r>
      <w:r>
        <w:rPr>
          <w:rStyle w:val="27"/>
          <w:rFonts w:ascii="黑体" w:hAnsi="黑体" w:eastAsia="黑体"/>
          <w:b w:val="0"/>
        </w:rPr>
        <w:t xml:space="preserve"> </w:t>
      </w:r>
      <w:r>
        <w:rPr>
          <w:rStyle w:val="27"/>
          <w:rFonts w:hint="eastAsia" w:ascii="黑体" w:hAnsi="黑体" w:eastAsia="黑体"/>
          <w:b w:val="0"/>
        </w:rPr>
        <w:t>附件</w:t>
      </w:r>
      <w:bookmarkEnd w:id="110"/>
      <w:bookmarkEnd w:id="111"/>
      <w:bookmarkEnd w:id="112"/>
    </w:p>
    <w:p>
      <w:pPr>
        <w:pageBreakBefore w:val="0"/>
        <w:kinsoku/>
        <w:wordWrap/>
        <w:overflowPunct/>
        <w:topLinePunct w:val="0"/>
        <w:bidi w:val="0"/>
        <w:spacing w:line="576" w:lineRule="exact"/>
        <w:jc w:val="left"/>
        <w:textAlignment w:val="auto"/>
        <w:outlineLvl w:val="0"/>
        <w:rPr>
          <w:rFonts w:ascii="方正小标宋简体" w:hAnsi="方正小标宋简体" w:eastAsia="方正小标宋简体" w:cs="方正小标宋简体"/>
          <w:sz w:val="44"/>
          <w:szCs w:val="44"/>
        </w:rPr>
      </w:pPr>
      <w:bookmarkStart w:id="114" w:name="_Toc79163631"/>
      <w:bookmarkStart w:id="115" w:name="_Toc79163881"/>
      <w:r>
        <w:rPr>
          <w:rFonts w:hint="eastAsia" w:ascii="黑体" w:hAnsi="黑体" w:eastAsia="黑体" w:cs="黑体"/>
          <w:sz w:val="32"/>
          <w:szCs w:val="32"/>
        </w:rPr>
        <w:t>附件</w:t>
      </w:r>
      <w:r>
        <w:rPr>
          <w:rFonts w:ascii="黑体" w:hAnsi="黑体" w:eastAsia="黑体" w:cs="黑体"/>
          <w:sz w:val="32"/>
          <w:szCs w:val="32"/>
        </w:rPr>
        <w:t>1</w:t>
      </w:r>
      <w:bookmarkEnd w:id="114"/>
      <w:bookmarkEnd w:id="115"/>
    </w:p>
    <w:p>
      <w:pPr>
        <w:pageBreakBefore w:val="0"/>
        <w:kinsoku/>
        <w:wordWrap/>
        <w:overflowPunct/>
        <w:topLinePunct w:val="0"/>
        <w:bidi w:val="0"/>
        <w:spacing w:line="576" w:lineRule="exact"/>
        <w:jc w:val="center"/>
        <w:textAlignment w:val="auto"/>
        <w:outlineLvl w:val="0"/>
        <w:rPr>
          <w:rFonts w:hint="eastAsia" w:ascii="方正小标宋简体" w:hAnsi="黑体" w:eastAsia="方正小标宋简体" w:cs="黑体"/>
          <w:sz w:val="44"/>
          <w:szCs w:val="44"/>
        </w:rPr>
      </w:pPr>
      <w:bookmarkStart w:id="116" w:name="_Toc79163882"/>
      <w:bookmarkStart w:id="117" w:name="_Toc79163632"/>
      <w:r>
        <w:rPr>
          <w:rFonts w:hint="eastAsia" w:ascii="方正小标宋简体" w:hAnsi="黑体" w:eastAsia="方正小标宋简体" w:cs="黑体"/>
          <w:sz w:val="44"/>
          <w:szCs w:val="44"/>
          <w:lang w:val="en-US" w:eastAsia="zh-CN"/>
        </w:rPr>
        <w:t>壤塘县供销合作社联合社</w:t>
      </w:r>
      <w:r>
        <w:rPr>
          <w:rFonts w:ascii="方正小标宋简体" w:hAnsi="黑体" w:eastAsia="方正小标宋简体" w:cs="黑体"/>
          <w:sz w:val="44"/>
          <w:szCs w:val="44"/>
        </w:rPr>
        <w:t>202</w:t>
      </w:r>
      <w:r>
        <w:rPr>
          <w:rFonts w:hint="eastAsia" w:ascii="方正小标宋简体" w:hAnsi="黑体" w:eastAsia="方正小标宋简体" w:cs="黑体"/>
          <w:sz w:val="44"/>
          <w:szCs w:val="44"/>
          <w:lang w:val="en-US" w:eastAsia="zh-CN"/>
        </w:rPr>
        <w:t>5</w:t>
      </w:r>
      <w:r>
        <w:rPr>
          <w:rFonts w:hint="eastAsia" w:ascii="方正小标宋简体" w:hAnsi="黑体" w:eastAsia="方正小标宋简体" w:cs="黑体"/>
          <w:sz w:val="44"/>
          <w:szCs w:val="44"/>
        </w:rPr>
        <w:t>年部门</w:t>
      </w:r>
    </w:p>
    <w:p>
      <w:pPr>
        <w:pageBreakBefore w:val="0"/>
        <w:kinsoku/>
        <w:wordWrap/>
        <w:overflowPunct/>
        <w:topLinePunct w:val="0"/>
        <w:bidi w:val="0"/>
        <w:spacing w:line="576" w:lineRule="exact"/>
        <w:jc w:val="center"/>
        <w:textAlignment w:val="auto"/>
        <w:outlineLvl w:val="0"/>
        <w:rPr>
          <w:rFonts w:ascii="方正小标宋简体" w:hAnsi="黑体" w:eastAsia="方正小标宋简体" w:cs="黑体"/>
          <w:sz w:val="44"/>
          <w:szCs w:val="44"/>
        </w:rPr>
      </w:pPr>
      <w:r>
        <w:rPr>
          <w:rFonts w:hint="eastAsia" w:ascii="方正小标宋简体" w:hAnsi="黑体" w:eastAsia="方正小标宋简体" w:cs="黑体"/>
          <w:sz w:val="44"/>
          <w:szCs w:val="44"/>
        </w:rPr>
        <w:t>整体支出绩效评价报告</w:t>
      </w:r>
      <w:bookmarkEnd w:id="116"/>
      <w:bookmarkEnd w:id="117"/>
    </w:p>
    <w:p>
      <w:pPr>
        <w:pageBreakBefore w:val="0"/>
        <w:widowControl/>
        <w:kinsoku/>
        <w:wordWrap/>
        <w:overflowPunct/>
        <w:topLinePunct w:val="0"/>
        <w:bidi w:val="0"/>
        <w:spacing w:line="576" w:lineRule="exact"/>
        <w:contextualSpacing/>
        <w:jc w:val="center"/>
        <w:textAlignment w:val="auto"/>
        <w:rPr>
          <w:rFonts w:ascii="仿宋_GB2312" w:hAnsi="宋体" w:eastAsia="仿宋_GB2312"/>
          <w:sz w:val="32"/>
          <w:szCs w:val="32"/>
          <w:shd w:val="clear" w:color="auto" w:fill="FFFFFF"/>
        </w:rPr>
      </w:pPr>
      <w:r>
        <w:rPr>
          <w:rFonts w:hint="eastAsia" w:ascii="仿宋_GB2312" w:hAnsi="宋体" w:eastAsia="仿宋_GB2312"/>
          <w:sz w:val="32"/>
          <w:szCs w:val="32"/>
          <w:shd w:val="clear" w:color="auto" w:fill="FFFFFF"/>
        </w:rPr>
        <w:t>（报告范围包括机关和下属单位）</w:t>
      </w:r>
    </w:p>
    <w:p>
      <w:pPr>
        <w:pageBreakBefore w:val="0"/>
        <w:widowControl/>
        <w:kinsoku/>
        <w:wordWrap/>
        <w:overflowPunct/>
        <w:topLinePunct w:val="0"/>
        <w:bidi w:val="0"/>
        <w:adjustRightInd w:val="0"/>
        <w:snapToGrid w:val="0"/>
        <w:spacing w:line="576" w:lineRule="exact"/>
        <w:ind w:firstLine="480" w:firstLineChars="200"/>
        <w:contextualSpacing/>
        <w:jc w:val="left"/>
        <w:textAlignment w:val="auto"/>
        <w:rPr>
          <w:rFonts w:ascii="黑体" w:hAnsi="宋体" w:eastAsia="黑体" w:cs="宋体"/>
          <w:color w:val="000000"/>
          <w:kern w:val="0"/>
          <w:sz w:val="24"/>
          <w:szCs w:val="32"/>
          <w:shd w:val="clear" w:color="auto" w:fill="FFFFFF"/>
        </w:rPr>
      </w:pPr>
    </w:p>
    <w:p>
      <w:pPr>
        <w:pageBreakBefore w:val="0"/>
        <w:widowControl/>
        <w:kinsoku/>
        <w:wordWrap/>
        <w:overflowPunct/>
        <w:topLinePunct w:val="0"/>
        <w:bidi w:val="0"/>
        <w:adjustRightInd w:val="0"/>
        <w:snapToGrid w:val="0"/>
        <w:spacing w:line="576" w:lineRule="exact"/>
        <w:ind w:firstLine="640" w:firstLineChars="200"/>
        <w:contextualSpacing/>
        <w:jc w:val="left"/>
        <w:textAlignment w:val="auto"/>
        <w:rPr>
          <w:rFonts w:ascii="黑体" w:hAnsi="宋体" w:eastAsia="黑体" w:cs="宋体"/>
          <w:color w:val="000000"/>
          <w:kern w:val="0"/>
          <w:sz w:val="32"/>
          <w:szCs w:val="32"/>
          <w:shd w:val="clear" w:color="auto" w:fill="FFFFFF"/>
          <w:lang w:val="zh-CN"/>
        </w:rPr>
      </w:pPr>
      <w:r>
        <w:rPr>
          <w:rFonts w:hint="eastAsia" w:ascii="黑体" w:hAnsi="宋体" w:eastAsia="黑体" w:cs="宋体"/>
          <w:color w:val="000000"/>
          <w:kern w:val="0"/>
          <w:sz w:val="32"/>
          <w:szCs w:val="32"/>
          <w:shd w:val="clear" w:color="auto" w:fill="FFFFFF"/>
        </w:rPr>
        <w:t>一、</w:t>
      </w:r>
      <w:r>
        <w:rPr>
          <w:rFonts w:hint="eastAsia" w:ascii="黑体" w:hAnsi="宋体" w:eastAsia="黑体" w:cs="宋体"/>
          <w:color w:val="000000"/>
          <w:kern w:val="0"/>
          <w:sz w:val="32"/>
          <w:szCs w:val="32"/>
          <w:shd w:val="clear" w:color="auto" w:fill="FFFFFF"/>
          <w:lang w:val="zh-CN"/>
        </w:rPr>
        <w:t>部门（单位）概况</w:t>
      </w:r>
    </w:p>
    <w:p>
      <w:pPr>
        <w:pageBreakBefore w:val="0"/>
        <w:widowControl/>
        <w:kinsoku/>
        <w:wordWrap/>
        <w:overflowPunct/>
        <w:topLinePunct w:val="0"/>
        <w:bidi w:val="0"/>
        <w:adjustRightInd w:val="0"/>
        <w:snapToGrid w:val="0"/>
        <w:spacing w:line="576" w:lineRule="exact"/>
        <w:ind w:firstLine="642" w:firstLineChars="200"/>
        <w:contextualSpacing/>
        <w:jc w:val="left"/>
        <w:textAlignment w:val="auto"/>
        <w:rPr>
          <w:rFonts w:hint="eastAsia" w:ascii="仿宋_GB2312" w:hAnsi="宋体" w:eastAsia="仿宋_GB2312" w:cs="宋体"/>
          <w:color w:val="000000"/>
          <w:kern w:val="0"/>
          <w:sz w:val="32"/>
          <w:szCs w:val="32"/>
          <w:shd w:val="clear" w:color="auto" w:fill="FFFFFF"/>
          <w:lang w:val="zh-CN"/>
        </w:rPr>
      </w:pPr>
      <w:r>
        <w:rPr>
          <w:rFonts w:hint="eastAsia" w:ascii="楷体_GB2312" w:hAnsi="仿宋" w:eastAsia="楷体_GB2312"/>
          <w:b/>
          <w:sz w:val="32"/>
          <w:szCs w:val="32"/>
          <w:lang w:val="zh-CN"/>
        </w:rPr>
        <w:t>（一）机构组成。</w:t>
      </w:r>
    </w:p>
    <w:p>
      <w:pPr>
        <w:pStyle w:val="6"/>
        <w:pageBreakBefore w:val="0"/>
        <w:kinsoku/>
        <w:wordWrap/>
        <w:overflowPunct/>
        <w:topLinePunct w:val="0"/>
        <w:bidi w:val="0"/>
        <w:adjustRightInd w:val="0"/>
        <w:snapToGrid w:val="0"/>
        <w:spacing w:beforeLines="0" w:line="576" w:lineRule="exact"/>
        <w:ind w:firstLine="640" w:firstLineChars="200"/>
        <w:textAlignment w:val="auto"/>
        <w:rPr>
          <w:lang w:val="zh-CN"/>
        </w:rPr>
      </w:pPr>
      <w:r>
        <w:rPr>
          <w:rFonts w:hint="eastAsia" w:hAnsi="黑体"/>
          <w:kern w:val="2"/>
          <w:sz w:val="32"/>
          <w:szCs w:val="32"/>
          <w:lang w:val="en-US" w:eastAsia="zh-CN"/>
        </w:rPr>
        <w:t>壤塘县供销合作社联合社</w:t>
      </w:r>
      <w:r>
        <w:rPr>
          <w:rFonts w:hint="eastAsia" w:hAnsi="黑体"/>
          <w:kern w:val="2"/>
          <w:sz w:val="32"/>
          <w:szCs w:val="32"/>
        </w:rPr>
        <w:t>属一级预算单位，下属二级预算单位</w:t>
      </w:r>
      <w:r>
        <w:rPr>
          <w:rFonts w:hint="eastAsia" w:hAnsi="黑体" w:cs="Times New Roman"/>
          <w:kern w:val="2"/>
          <w:sz w:val="32"/>
          <w:szCs w:val="32"/>
        </w:rPr>
        <w:t>0</w:t>
      </w:r>
      <w:r>
        <w:rPr>
          <w:rFonts w:hint="eastAsia" w:hAnsi="黑体"/>
          <w:kern w:val="2"/>
          <w:sz w:val="32"/>
          <w:szCs w:val="32"/>
        </w:rPr>
        <w:t>个，其中：行政单位</w:t>
      </w:r>
      <w:r>
        <w:rPr>
          <w:rFonts w:hint="eastAsia" w:hAnsi="黑体" w:cs="Times New Roman"/>
          <w:kern w:val="2"/>
          <w:sz w:val="32"/>
          <w:szCs w:val="32"/>
          <w:lang w:val="en-US" w:eastAsia="zh-CN"/>
        </w:rPr>
        <w:t>0</w:t>
      </w:r>
      <w:r>
        <w:rPr>
          <w:rFonts w:hint="eastAsia" w:hAnsi="黑体"/>
          <w:kern w:val="2"/>
          <w:sz w:val="32"/>
          <w:szCs w:val="32"/>
        </w:rPr>
        <w:t>个；参照公务员法管理的事业单位</w:t>
      </w:r>
      <w:r>
        <w:rPr>
          <w:rFonts w:hint="eastAsia" w:hAnsi="黑体" w:cs="Times New Roman"/>
          <w:kern w:val="2"/>
          <w:sz w:val="32"/>
          <w:szCs w:val="32"/>
          <w:lang w:val="en-US" w:eastAsia="zh-CN"/>
        </w:rPr>
        <w:t>1</w:t>
      </w:r>
      <w:r>
        <w:rPr>
          <w:rFonts w:hint="eastAsia" w:hAnsi="黑体"/>
          <w:kern w:val="2"/>
          <w:sz w:val="32"/>
          <w:szCs w:val="32"/>
        </w:rPr>
        <w:t>个；其他事业单位</w:t>
      </w:r>
      <w:r>
        <w:rPr>
          <w:rFonts w:hint="eastAsia" w:hAnsi="黑体" w:cs="Times New Roman"/>
          <w:kern w:val="2"/>
          <w:sz w:val="32"/>
          <w:szCs w:val="32"/>
        </w:rPr>
        <w:t>0</w:t>
      </w:r>
      <w:r>
        <w:rPr>
          <w:rFonts w:hint="eastAsia" w:hAnsi="黑体"/>
          <w:kern w:val="2"/>
          <w:sz w:val="32"/>
          <w:szCs w:val="32"/>
        </w:rPr>
        <w:t>个。</w:t>
      </w:r>
    </w:p>
    <w:p>
      <w:pPr>
        <w:pageBreakBefore w:val="0"/>
        <w:widowControl/>
        <w:kinsoku/>
        <w:wordWrap/>
        <w:overflowPunct/>
        <w:topLinePunct w:val="0"/>
        <w:bidi w:val="0"/>
        <w:adjustRightInd w:val="0"/>
        <w:snapToGrid w:val="0"/>
        <w:spacing w:line="576" w:lineRule="exact"/>
        <w:ind w:firstLine="642" w:firstLineChars="200"/>
        <w:contextualSpacing/>
        <w:jc w:val="left"/>
        <w:textAlignment w:val="auto"/>
        <w:rPr>
          <w:rFonts w:hint="eastAsia" w:ascii="楷体_GB2312" w:hAnsi="仿宋" w:eastAsia="楷体_GB2312"/>
          <w:b/>
          <w:sz w:val="32"/>
          <w:szCs w:val="32"/>
          <w:lang w:val="zh-CN"/>
        </w:rPr>
      </w:pPr>
      <w:r>
        <w:rPr>
          <w:rFonts w:hint="eastAsia" w:ascii="楷体_GB2312" w:hAnsi="仿宋" w:eastAsia="楷体_GB2312"/>
          <w:b/>
          <w:sz w:val="32"/>
          <w:szCs w:val="32"/>
          <w:lang w:val="zh-CN"/>
        </w:rPr>
        <w:t>（二）机构职能。</w:t>
      </w:r>
    </w:p>
    <w:p>
      <w:pPr>
        <w:pageBreakBefore w:val="0"/>
        <w:widowControl/>
        <w:kinsoku/>
        <w:wordWrap/>
        <w:overflowPunct/>
        <w:topLinePunct w:val="0"/>
        <w:bidi w:val="0"/>
        <w:spacing w:line="576" w:lineRule="exact"/>
        <w:ind w:firstLine="640" w:firstLineChars="200"/>
        <w:jc w:val="left"/>
        <w:textAlignment w:val="auto"/>
        <w:rPr>
          <w:rFonts w:hint="eastAsia" w:eastAsia="仿宋_GB2312"/>
          <w:sz w:val="30"/>
          <w:szCs w:val="22"/>
          <w:lang w:eastAsia="zh-CN"/>
        </w:rPr>
      </w:pPr>
      <w:r>
        <w:rPr>
          <w:rFonts w:hint="eastAsia" w:eastAsia="仿宋_GB2312"/>
          <w:sz w:val="32"/>
          <w:szCs w:val="32"/>
        </w:rPr>
        <w:t>壤塘县供销合作社联合社是全县供销合作社的管理机关，是县人民政府的重要涉农部门，主要职责是：</w:t>
      </w:r>
      <w:r>
        <w:rPr>
          <w:rFonts w:hint="eastAsia" w:eastAsia="仿宋_GB2312"/>
          <w:sz w:val="30"/>
          <w:szCs w:val="22"/>
        </w:rPr>
        <w:t xml:space="preserve"> </w:t>
      </w:r>
    </w:p>
    <w:p>
      <w:pPr>
        <w:pageBreakBefore w:val="0"/>
        <w:widowControl/>
        <w:kinsoku/>
        <w:wordWrap/>
        <w:overflowPunct/>
        <w:topLinePunct w:val="0"/>
        <w:bidi w:val="0"/>
        <w:spacing w:line="576" w:lineRule="exact"/>
        <w:ind w:firstLine="600" w:firstLineChars="200"/>
        <w:jc w:val="left"/>
        <w:textAlignment w:val="auto"/>
        <w:rPr>
          <w:rFonts w:hint="eastAsia" w:eastAsia="仿宋_GB2312"/>
          <w:sz w:val="32"/>
          <w:szCs w:val="32"/>
          <w:lang w:eastAsia="zh-CN"/>
        </w:rPr>
      </w:pPr>
      <w:r>
        <w:rPr>
          <w:rFonts w:hint="eastAsia" w:eastAsia="仿宋_GB2312"/>
          <w:sz w:val="30"/>
          <w:szCs w:val="22"/>
          <w:lang w:val="en-US" w:eastAsia="zh-CN"/>
        </w:rPr>
        <w:t>1.</w:t>
      </w:r>
      <w:r>
        <w:rPr>
          <w:rFonts w:hint="eastAsia" w:eastAsia="仿宋_GB2312"/>
          <w:sz w:val="32"/>
          <w:szCs w:val="32"/>
        </w:rPr>
        <w:t>宣传、贯彻执中央、省、州、县委、</w:t>
      </w:r>
      <w:r>
        <w:rPr>
          <w:rFonts w:hint="eastAsia" w:eastAsia="仿宋_GB2312"/>
          <w:sz w:val="32"/>
          <w:szCs w:val="32"/>
          <w:lang w:eastAsia="zh-CN"/>
        </w:rPr>
        <w:t>县</w:t>
      </w:r>
      <w:r>
        <w:rPr>
          <w:rFonts w:hint="eastAsia" w:eastAsia="仿宋_GB2312"/>
          <w:sz w:val="32"/>
          <w:szCs w:val="32"/>
        </w:rPr>
        <w:t xml:space="preserve">政府关于农村经济工作和社会发展的方针、政策，研究制定全县供销社的发展战略和发展规划，参与有关政策的制定，对成员进行指导、协调、监督、服务。 </w:t>
      </w:r>
    </w:p>
    <w:p>
      <w:pPr>
        <w:pageBreakBefore w:val="0"/>
        <w:widowControl/>
        <w:kinsoku/>
        <w:wordWrap/>
        <w:overflowPunct/>
        <w:topLinePunct w:val="0"/>
        <w:bidi w:val="0"/>
        <w:spacing w:line="576" w:lineRule="exact"/>
        <w:ind w:firstLine="640" w:firstLineChars="200"/>
        <w:jc w:val="left"/>
        <w:textAlignment w:val="auto"/>
        <w:rPr>
          <w:rFonts w:hint="eastAsia" w:eastAsia="仿宋_GB2312"/>
          <w:sz w:val="32"/>
          <w:szCs w:val="32"/>
          <w:lang w:eastAsia="zh-CN"/>
        </w:rPr>
      </w:pPr>
      <w:r>
        <w:rPr>
          <w:rFonts w:hint="eastAsia" w:eastAsia="仿宋_GB2312"/>
          <w:sz w:val="32"/>
          <w:szCs w:val="32"/>
          <w:lang w:val="en-US" w:eastAsia="zh-CN"/>
        </w:rPr>
        <w:t>2.</w:t>
      </w:r>
      <w:r>
        <w:rPr>
          <w:rFonts w:hint="eastAsia" w:eastAsia="仿宋_GB2312"/>
          <w:sz w:val="32"/>
          <w:szCs w:val="32"/>
        </w:rPr>
        <w:t xml:space="preserve">对重要的农业生产生活资料，农副产品的经营进行组织、协调、管理，负责边销茶、烟花爆竹和废旧物资再生资源的监督管理。 </w:t>
      </w:r>
    </w:p>
    <w:p>
      <w:pPr>
        <w:pageBreakBefore w:val="0"/>
        <w:widowControl/>
        <w:kinsoku/>
        <w:wordWrap/>
        <w:overflowPunct/>
        <w:topLinePunct w:val="0"/>
        <w:bidi w:val="0"/>
        <w:spacing w:line="576" w:lineRule="exact"/>
        <w:ind w:firstLine="640" w:firstLineChars="200"/>
        <w:jc w:val="left"/>
        <w:textAlignment w:val="auto"/>
        <w:rPr>
          <w:rFonts w:hint="eastAsia" w:eastAsia="仿宋_GB2312"/>
          <w:sz w:val="32"/>
          <w:szCs w:val="32"/>
          <w:lang w:eastAsia="zh-CN"/>
        </w:rPr>
      </w:pPr>
      <w:r>
        <w:rPr>
          <w:rFonts w:hint="eastAsia" w:eastAsia="仿宋_GB2312"/>
          <w:sz w:val="32"/>
          <w:szCs w:val="32"/>
          <w:lang w:val="en-US" w:eastAsia="zh-CN"/>
        </w:rPr>
        <w:t>3.</w:t>
      </w:r>
      <w:r>
        <w:rPr>
          <w:rFonts w:hint="eastAsia" w:eastAsia="仿宋_GB2312"/>
          <w:sz w:val="32"/>
          <w:szCs w:val="32"/>
        </w:rPr>
        <w:t xml:space="preserve">建立和完善农业社会化服务体系，参与和推动农业产业化进程，做好农业、农村、农民服务的工作，促进农村经济发展。 </w:t>
      </w:r>
    </w:p>
    <w:p>
      <w:pPr>
        <w:pageBreakBefore w:val="0"/>
        <w:widowControl/>
        <w:kinsoku/>
        <w:wordWrap/>
        <w:overflowPunct/>
        <w:topLinePunct w:val="0"/>
        <w:bidi w:val="0"/>
        <w:spacing w:line="576" w:lineRule="exact"/>
        <w:ind w:firstLine="640" w:firstLineChars="200"/>
        <w:jc w:val="left"/>
        <w:textAlignment w:val="auto"/>
        <w:rPr>
          <w:rFonts w:hint="eastAsia" w:eastAsia="仿宋_GB2312"/>
          <w:sz w:val="32"/>
          <w:szCs w:val="32"/>
          <w:lang w:eastAsia="zh-CN"/>
        </w:rPr>
      </w:pPr>
      <w:r>
        <w:rPr>
          <w:rFonts w:hint="eastAsia" w:eastAsia="仿宋_GB2312"/>
          <w:sz w:val="32"/>
          <w:szCs w:val="32"/>
          <w:lang w:val="en-US" w:eastAsia="zh-CN"/>
        </w:rPr>
        <w:t>4.</w:t>
      </w:r>
      <w:r>
        <w:rPr>
          <w:rFonts w:hint="eastAsia" w:eastAsia="仿宋_GB2312"/>
          <w:sz w:val="32"/>
          <w:szCs w:val="32"/>
        </w:rPr>
        <w:t xml:space="preserve">参与和推动农业产业化经营。指导农村各类专业合作社、社区综合服务社的建设，强化为农服务功能，在组织、管理、经营上实行开门、开放办社，指导农村合作经济健康发展。 </w:t>
      </w:r>
    </w:p>
    <w:p>
      <w:pPr>
        <w:pageBreakBefore w:val="0"/>
        <w:widowControl/>
        <w:kinsoku/>
        <w:wordWrap/>
        <w:overflowPunct/>
        <w:topLinePunct w:val="0"/>
        <w:bidi w:val="0"/>
        <w:spacing w:line="576" w:lineRule="exact"/>
        <w:ind w:firstLine="640" w:firstLineChars="200"/>
        <w:jc w:val="left"/>
        <w:textAlignment w:val="auto"/>
        <w:rPr>
          <w:rFonts w:hint="eastAsia" w:eastAsia="仿宋_GB2312"/>
          <w:sz w:val="32"/>
          <w:szCs w:val="32"/>
          <w:lang w:eastAsia="zh-CN"/>
        </w:rPr>
      </w:pPr>
      <w:r>
        <w:rPr>
          <w:rFonts w:hint="eastAsia" w:eastAsia="仿宋_GB2312"/>
          <w:sz w:val="32"/>
          <w:szCs w:val="32"/>
          <w:lang w:val="en-US" w:eastAsia="zh-CN"/>
        </w:rPr>
        <w:t>5.</w:t>
      </w:r>
      <w:r>
        <w:rPr>
          <w:rFonts w:hint="eastAsia" w:eastAsia="仿宋_GB2312"/>
          <w:sz w:val="32"/>
          <w:szCs w:val="32"/>
        </w:rPr>
        <w:t>发挥供销社与农民联系的桥梁与纽带作用，协调农民社员及供销合作社与政府有关部门及其他社会组织的关系，维护各级供销合作社的权益。</w:t>
      </w:r>
    </w:p>
    <w:p>
      <w:pPr>
        <w:pageBreakBefore w:val="0"/>
        <w:widowControl/>
        <w:kinsoku/>
        <w:wordWrap/>
        <w:overflowPunct/>
        <w:topLinePunct w:val="0"/>
        <w:bidi w:val="0"/>
        <w:spacing w:line="576" w:lineRule="exact"/>
        <w:ind w:firstLine="640" w:firstLineChars="200"/>
        <w:jc w:val="left"/>
        <w:textAlignment w:val="auto"/>
        <w:rPr>
          <w:rFonts w:hint="eastAsia" w:eastAsia="仿宋_GB2312"/>
          <w:sz w:val="32"/>
          <w:szCs w:val="32"/>
          <w:lang w:eastAsia="zh-CN"/>
        </w:rPr>
      </w:pPr>
      <w:r>
        <w:rPr>
          <w:rFonts w:hint="eastAsia" w:eastAsia="仿宋_GB2312"/>
          <w:sz w:val="32"/>
          <w:szCs w:val="32"/>
          <w:lang w:val="en-US" w:eastAsia="zh-CN"/>
        </w:rPr>
        <w:t>6.</w:t>
      </w:r>
      <w:r>
        <w:rPr>
          <w:rFonts w:hint="eastAsia" w:eastAsia="仿宋_GB2312"/>
          <w:sz w:val="32"/>
          <w:szCs w:val="32"/>
        </w:rPr>
        <w:t xml:space="preserve">履行现有资产的所有权代表职责，强化社有资产的管理、监督，确保社有资产保值增值。 </w:t>
      </w:r>
    </w:p>
    <w:p>
      <w:pPr>
        <w:pStyle w:val="8"/>
        <w:pageBreakBefore w:val="0"/>
        <w:numPr>
          <w:ilvl w:val="0"/>
          <w:numId w:val="0"/>
        </w:numPr>
        <w:kinsoku/>
        <w:wordWrap/>
        <w:overflowPunct/>
        <w:topLinePunct w:val="0"/>
        <w:bidi w:val="0"/>
        <w:spacing w:line="576" w:lineRule="exact"/>
        <w:ind w:firstLine="640" w:firstLineChars="200"/>
        <w:textAlignment w:val="auto"/>
        <w:rPr>
          <w:rFonts w:hint="eastAsia" w:eastAsia="仿宋_GB2312"/>
          <w:sz w:val="32"/>
          <w:szCs w:val="32"/>
        </w:rPr>
      </w:pPr>
      <w:r>
        <w:rPr>
          <w:rFonts w:hint="eastAsia" w:eastAsia="仿宋_GB2312"/>
          <w:sz w:val="32"/>
          <w:szCs w:val="32"/>
          <w:lang w:val="en-US" w:eastAsia="zh-CN"/>
        </w:rPr>
        <w:t>7.</w:t>
      </w:r>
      <w:r>
        <w:rPr>
          <w:rFonts w:hint="eastAsia" w:eastAsia="仿宋_GB2312"/>
          <w:sz w:val="32"/>
          <w:szCs w:val="32"/>
        </w:rPr>
        <w:t>承办县委</w:t>
      </w:r>
      <w:r>
        <w:rPr>
          <w:rFonts w:hint="eastAsia" w:eastAsia="仿宋_GB2312"/>
          <w:sz w:val="32"/>
          <w:szCs w:val="32"/>
          <w:lang w:eastAsia="zh-CN"/>
        </w:rPr>
        <w:t>、县</w:t>
      </w:r>
      <w:r>
        <w:rPr>
          <w:rFonts w:hint="eastAsia" w:eastAsia="仿宋_GB2312"/>
          <w:sz w:val="32"/>
          <w:szCs w:val="32"/>
        </w:rPr>
        <w:t>政府交办的其他事项</w:t>
      </w:r>
    </w:p>
    <w:p>
      <w:pPr>
        <w:pStyle w:val="8"/>
        <w:pageBreakBefore w:val="0"/>
        <w:numPr>
          <w:ilvl w:val="0"/>
          <w:numId w:val="0"/>
        </w:numPr>
        <w:kinsoku/>
        <w:wordWrap/>
        <w:overflowPunct/>
        <w:topLinePunct w:val="0"/>
        <w:bidi w:val="0"/>
        <w:spacing w:line="576" w:lineRule="exact"/>
        <w:ind w:firstLine="642" w:firstLineChars="200"/>
        <w:textAlignment w:val="auto"/>
        <w:rPr>
          <w:rFonts w:hint="eastAsia" w:ascii="楷体_GB2312" w:hAnsi="仿宋" w:eastAsia="楷体_GB2312"/>
          <w:b/>
          <w:sz w:val="32"/>
          <w:szCs w:val="32"/>
          <w:lang w:val="zh-CN"/>
        </w:rPr>
      </w:pPr>
      <w:r>
        <w:rPr>
          <w:rFonts w:hint="eastAsia" w:ascii="楷体_GB2312" w:hAnsi="仿宋" w:eastAsia="楷体_GB2312"/>
          <w:b/>
          <w:sz w:val="32"/>
          <w:szCs w:val="32"/>
          <w:lang w:val="zh-CN"/>
        </w:rPr>
        <w:t>（三）人员概况。</w:t>
      </w:r>
    </w:p>
    <w:p>
      <w:pPr>
        <w:pStyle w:val="8"/>
        <w:pageBreakBefore w:val="0"/>
        <w:kinsoku/>
        <w:wordWrap/>
        <w:overflowPunct/>
        <w:topLinePunct w:val="0"/>
        <w:bidi w:val="0"/>
        <w:spacing w:line="576" w:lineRule="exact"/>
        <w:ind w:left="0" w:leftChars="0" w:firstLine="640" w:firstLineChars="200"/>
        <w:textAlignment w:val="auto"/>
        <w:rPr>
          <w:lang w:val="zh-CN"/>
        </w:rPr>
      </w:pPr>
      <w:r>
        <w:rPr>
          <w:rFonts w:hint="eastAsia" w:ascii="仿宋" w:hAnsi="仿宋" w:eastAsia="仿宋" w:cs="仿宋_GB2312"/>
          <w:sz w:val="32"/>
          <w:szCs w:val="32"/>
          <w:lang w:val="en-US" w:eastAsia="zh-CN"/>
        </w:rPr>
        <w:t>2025年壤塘县供销合作社联合社共有编制8个，在职人员共9人，其中参公人员9人，超编1人。</w:t>
      </w:r>
    </w:p>
    <w:p>
      <w:pPr>
        <w:pageBreakBefore w:val="0"/>
        <w:widowControl/>
        <w:numPr>
          <w:ilvl w:val="0"/>
          <w:numId w:val="0"/>
        </w:numPr>
        <w:kinsoku/>
        <w:wordWrap/>
        <w:overflowPunct/>
        <w:topLinePunct w:val="0"/>
        <w:bidi w:val="0"/>
        <w:adjustRightInd w:val="0"/>
        <w:snapToGrid w:val="0"/>
        <w:spacing w:line="576" w:lineRule="exact"/>
        <w:ind w:firstLine="640" w:firstLineChars="200"/>
        <w:contextualSpacing/>
        <w:jc w:val="left"/>
        <w:textAlignment w:val="auto"/>
        <w:rPr>
          <w:rFonts w:hint="eastAsia"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lang w:eastAsia="zh-CN"/>
        </w:rPr>
        <w:t>二、</w:t>
      </w:r>
      <w:r>
        <w:rPr>
          <w:rFonts w:hint="eastAsia" w:ascii="黑体" w:hAnsi="宋体" w:eastAsia="黑体" w:cs="宋体"/>
          <w:color w:val="000000"/>
          <w:kern w:val="0"/>
          <w:sz w:val="32"/>
          <w:szCs w:val="32"/>
          <w:shd w:val="clear" w:color="auto" w:fill="FFFFFF"/>
        </w:rPr>
        <w:t>部门财政资金收支情况</w:t>
      </w:r>
    </w:p>
    <w:p>
      <w:pPr>
        <w:pageBreakBefore w:val="0"/>
        <w:widowControl/>
        <w:kinsoku/>
        <w:wordWrap/>
        <w:overflowPunct/>
        <w:topLinePunct w:val="0"/>
        <w:bidi w:val="0"/>
        <w:adjustRightInd w:val="0"/>
        <w:snapToGrid w:val="0"/>
        <w:spacing w:line="576" w:lineRule="exact"/>
        <w:ind w:firstLine="642" w:firstLineChars="200"/>
        <w:contextualSpacing/>
        <w:jc w:val="left"/>
        <w:textAlignment w:val="auto"/>
        <w:rPr>
          <w:rFonts w:hint="eastAsia" w:ascii="楷体_GB2312" w:hAnsi="仿宋" w:eastAsia="楷体_GB2312"/>
          <w:b/>
          <w:sz w:val="32"/>
          <w:szCs w:val="32"/>
          <w:lang w:val="zh-CN"/>
        </w:rPr>
      </w:pPr>
      <w:r>
        <w:rPr>
          <w:rFonts w:hint="eastAsia" w:ascii="楷体_GB2312" w:hAnsi="仿宋" w:eastAsia="楷体_GB2312"/>
          <w:b/>
          <w:sz w:val="32"/>
          <w:szCs w:val="32"/>
          <w:lang w:val="zh-CN"/>
        </w:rPr>
        <w:t>（一）部门财政资金收入情况。</w:t>
      </w:r>
    </w:p>
    <w:p>
      <w:pPr>
        <w:pageBreakBefore w:val="0"/>
        <w:widowControl/>
        <w:kinsoku/>
        <w:wordWrap/>
        <w:overflowPunct/>
        <w:topLinePunct w:val="0"/>
        <w:bidi w:val="0"/>
        <w:adjustRightInd w:val="0"/>
        <w:snapToGrid w:val="0"/>
        <w:spacing w:line="576" w:lineRule="exact"/>
        <w:ind w:firstLine="640" w:firstLineChars="200"/>
        <w:contextualSpacing/>
        <w:jc w:val="left"/>
        <w:textAlignment w:val="auto"/>
        <w:rPr>
          <w:rFonts w:hint="eastAsia" w:ascii="仿宋_GB2312" w:hAnsi="宋体" w:eastAsia="仿宋_GB2312" w:cs="宋体"/>
          <w:color w:val="000000"/>
          <w:kern w:val="0"/>
          <w:sz w:val="32"/>
          <w:szCs w:val="32"/>
          <w:shd w:val="clear" w:color="auto" w:fill="FFFFFF"/>
          <w:lang w:val="zh-CN"/>
        </w:rPr>
      </w:pP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年本年收入合计</w:t>
      </w:r>
      <w:r>
        <w:rPr>
          <w:rFonts w:hint="eastAsia" w:eastAsia="仿宋_GB2312" w:cs="仿宋_GB2312"/>
          <w:sz w:val="32"/>
          <w:szCs w:val="32"/>
          <w:lang w:val="en-US" w:eastAsia="zh-CN"/>
        </w:rPr>
        <w:t>263.64</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w:t>
      </w:r>
      <w:r>
        <w:rPr>
          <w:rFonts w:hint="eastAsia" w:ascii="仿宋" w:hAnsi="仿宋" w:eastAsia="仿宋"/>
          <w:color w:val="000000"/>
          <w:sz w:val="32"/>
          <w:szCs w:val="32"/>
        </w:rPr>
        <w:t>与</w:t>
      </w:r>
      <w:r>
        <w:rPr>
          <w:rFonts w:ascii="仿宋" w:hAnsi="仿宋" w:eastAsia="仿宋"/>
          <w:color w:val="000000"/>
          <w:sz w:val="32"/>
          <w:szCs w:val="32"/>
        </w:rPr>
        <w:t>2</w:t>
      </w:r>
      <w:r>
        <w:rPr>
          <w:rFonts w:hint="eastAsia" w:ascii="仿宋" w:hAnsi="仿宋" w:eastAsia="仿宋"/>
          <w:color w:val="000000"/>
          <w:sz w:val="32"/>
          <w:szCs w:val="32"/>
          <w:lang w:val="en-US" w:eastAsia="zh-CN"/>
        </w:rPr>
        <w:t>024</w:t>
      </w:r>
      <w:r>
        <w:rPr>
          <w:rFonts w:hint="eastAsia" w:ascii="仿宋" w:hAnsi="仿宋" w:eastAsia="仿宋"/>
          <w:color w:val="000000"/>
          <w:sz w:val="32"/>
          <w:szCs w:val="32"/>
        </w:rPr>
        <w:t>年相比，收入总计</w:t>
      </w:r>
      <w:r>
        <w:rPr>
          <w:rFonts w:hint="eastAsia" w:ascii="仿宋" w:hAnsi="仿宋" w:eastAsia="仿宋"/>
          <w:color w:val="000000"/>
          <w:sz w:val="32"/>
          <w:szCs w:val="32"/>
          <w:lang w:eastAsia="zh-CN"/>
        </w:rPr>
        <w:t>减少</w:t>
      </w:r>
      <w:r>
        <w:rPr>
          <w:rFonts w:hint="eastAsia" w:ascii="仿宋" w:hAnsi="仿宋" w:eastAsia="仿宋"/>
          <w:color w:val="000000"/>
          <w:sz w:val="32"/>
          <w:szCs w:val="32"/>
          <w:lang w:val="en-US" w:eastAsia="zh-CN"/>
        </w:rPr>
        <w:t>125.11</w:t>
      </w:r>
      <w:r>
        <w:rPr>
          <w:rFonts w:hint="eastAsia" w:ascii="仿宋" w:hAnsi="仿宋" w:eastAsia="仿宋"/>
          <w:color w:val="000000"/>
          <w:sz w:val="32"/>
          <w:szCs w:val="32"/>
        </w:rPr>
        <w:t>万元，</w:t>
      </w:r>
      <w:r>
        <w:rPr>
          <w:rFonts w:hint="eastAsia" w:ascii="仿宋" w:hAnsi="仿宋" w:eastAsia="仿宋"/>
          <w:color w:val="000000"/>
          <w:sz w:val="32"/>
          <w:szCs w:val="32"/>
          <w:lang w:val="en-US" w:eastAsia="zh-CN"/>
        </w:rPr>
        <w:t>下降32.18</w:t>
      </w:r>
      <w:r>
        <w:rPr>
          <w:rFonts w:ascii="仿宋" w:hAnsi="仿宋" w:eastAsia="仿宋"/>
          <w:color w:val="000000"/>
          <w:sz w:val="32"/>
          <w:szCs w:val="32"/>
        </w:rPr>
        <w:t>%</w:t>
      </w:r>
      <w:r>
        <w:rPr>
          <w:rFonts w:hint="eastAsia" w:ascii="仿宋" w:hAnsi="仿宋" w:eastAsia="仿宋"/>
          <w:color w:val="000000"/>
          <w:sz w:val="32"/>
          <w:szCs w:val="32"/>
          <w:lang w:eastAsia="zh-CN"/>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eastAsia="zh-CN"/>
        </w:rPr>
        <w:t>我单位</w:t>
      </w:r>
      <w:r>
        <w:rPr>
          <w:rFonts w:hint="eastAsia" w:ascii="仿宋" w:hAnsi="仿宋" w:eastAsia="仿宋"/>
          <w:color w:val="000000"/>
          <w:sz w:val="32"/>
          <w:szCs w:val="32"/>
          <w:lang w:val="en-US" w:eastAsia="zh-CN"/>
        </w:rPr>
        <w:t>2025年项目减少，项目经费减少。</w:t>
      </w:r>
    </w:p>
    <w:p>
      <w:pPr>
        <w:pageBreakBefore w:val="0"/>
        <w:widowControl/>
        <w:kinsoku/>
        <w:wordWrap/>
        <w:overflowPunct/>
        <w:topLinePunct w:val="0"/>
        <w:bidi w:val="0"/>
        <w:adjustRightInd w:val="0"/>
        <w:snapToGrid w:val="0"/>
        <w:spacing w:line="576" w:lineRule="exact"/>
        <w:ind w:firstLine="642" w:firstLineChars="200"/>
        <w:contextualSpacing/>
        <w:jc w:val="left"/>
        <w:textAlignment w:val="auto"/>
        <w:rPr>
          <w:rFonts w:hint="eastAsia" w:ascii="楷体_GB2312" w:hAnsi="仿宋" w:eastAsia="楷体_GB2312"/>
          <w:b/>
          <w:sz w:val="32"/>
          <w:szCs w:val="32"/>
          <w:lang w:val="zh-CN"/>
        </w:rPr>
      </w:pPr>
      <w:r>
        <w:rPr>
          <w:rFonts w:hint="eastAsia" w:ascii="楷体_GB2312" w:hAnsi="仿宋" w:eastAsia="楷体_GB2312"/>
          <w:b/>
          <w:sz w:val="32"/>
          <w:szCs w:val="32"/>
          <w:lang w:val="zh-CN"/>
        </w:rPr>
        <w:t>（二）部门财政资金支出情况。</w:t>
      </w:r>
    </w:p>
    <w:p>
      <w:pPr>
        <w:pageBreakBefore w:val="0"/>
        <w:widowControl/>
        <w:kinsoku/>
        <w:wordWrap/>
        <w:overflowPunct/>
        <w:topLinePunct w:val="0"/>
        <w:bidi w:val="0"/>
        <w:adjustRightInd w:val="0"/>
        <w:snapToGrid w:val="0"/>
        <w:spacing w:line="576" w:lineRule="exact"/>
        <w:ind w:firstLine="640" w:firstLineChars="200"/>
        <w:contextualSpacing/>
        <w:jc w:val="left"/>
        <w:textAlignment w:val="auto"/>
        <w:rPr>
          <w:rFonts w:ascii="仿宋_GB2312" w:hAnsi="宋体" w:eastAsia="仿宋_GB2312" w:cs="宋体"/>
          <w:color w:val="000000"/>
          <w:kern w:val="0"/>
          <w:sz w:val="32"/>
          <w:szCs w:val="32"/>
          <w:shd w:val="clear" w:color="auto" w:fill="FFFFFF"/>
          <w:lang w:val="zh-CN"/>
        </w:rPr>
      </w:pPr>
      <w:r>
        <w:rPr>
          <w:rFonts w:ascii="仿宋" w:hAnsi="仿宋" w:eastAsia="仿宋"/>
          <w:color w:val="000000"/>
          <w:sz w:val="32"/>
          <w:szCs w:val="32"/>
        </w:rPr>
        <w:t>20</w:t>
      </w:r>
      <w:r>
        <w:rPr>
          <w:rFonts w:hint="eastAsia" w:ascii="仿宋" w:hAnsi="仿宋" w:eastAsia="仿宋"/>
          <w:color w:val="000000"/>
          <w:sz w:val="32"/>
          <w:szCs w:val="32"/>
          <w:lang w:val="en-US" w:eastAsia="zh-CN"/>
        </w:rPr>
        <w:t>25</w:t>
      </w:r>
      <w:r>
        <w:rPr>
          <w:rFonts w:hint="eastAsia" w:ascii="仿宋" w:hAnsi="仿宋" w:eastAsia="仿宋"/>
          <w:color w:val="000000"/>
          <w:sz w:val="32"/>
          <w:szCs w:val="32"/>
        </w:rPr>
        <w:t>年度总支出为</w:t>
      </w:r>
      <w:r>
        <w:rPr>
          <w:rFonts w:hint="eastAsia" w:ascii="仿宋_GB2312" w:eastAsia="仿宋_GB2312"/>
          <w:sz w:val="32"/>
          <w:szCs w:val="32"/>
          <w:lang w:val="en-US" w:eastAsia="zh-CN"/>
        </w:rPr>
        <w:t>263.64</w:t>
      </w:r>
      <w:r>
        <w:rPr>
          <w:rFonts w:hint="eastAsia" w:ascii="仿宋_GB2312" w:eastAsia="仿宋_GB2312"/>
          <w:sz w:val="32"/>
          <w:szCs w:val="32"/>
        </w:rPr>
        <w:t>万元</w:t>
      </w:r>
      <w:r>
        <w:rPr>
          <w:rFonts w:hint="eastAsia" w:ascii="仿宋" w:hAnsi="仿宋" w:eastAsia="仿宋"/>
          <w:color w:val="000000"/>
          <w:sz w:val="32"/>
          <w:szCs w:val="32"/>
          <w:lang w:eastAsia="zh-CN"/>
        </w:rPr>
        <w:t>，</w:t>
      </w:r>
      <w:r>
        <w:rPr>
          <w:rFonts w:hint="eastAsia" w:ascii="仿宋" w:hAnsi="仿宋" w:eastAsia="仿宋"/>
          <w:color w:val="000000"/>
          <w:sz w:val="32"/>
          <w:szCs w:val="32"/>
        </w:rPr>
        <w:t>与</w:t>
      </w:r>
      <w:r>
        <w:rPr>
          <w:rFonts w:ascii="仿宋" w:hAnsi="仿宋" w:eastAsia="仿宋"/>
          <w:color w:val="000000"/>
          <w:sz w:val="32"/>
          <w:szCs w:val="32"/>
        </w:rPr>
        <w:t>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年相比</w:t>
      </w:r>
      <w:r>
        <w:rPr>
          <w:rFonts w:hint="eastAsia" w:ascii="仿宋" w:hAnsi="仿宋" w:eastAsia="仿宋"/>
          <w:color w:val="000000"/>
          <w:sz w:val="32"/>
          <w:szCs w:val="32"/>
          <w:lang w:eastAsia="zh-CN"/>
        </w:rPr>
        <w:t>，</w:t>
      </w:r>
      <w:r>
        <w:rPr>
          <w:rFonts w:hint="eastAsia" w:ascii="仿宋" w:hAnsi="仿宋" w:eastAsia="仿宋"/>
          <w:color w:val="000000"/>
          <w:sz w:val="32"/>
          <w:szCs w:val="32"/>
        </w:rPr>
        <w:t>支出</w:t>
      </w:r>
      <w:r>
        <w:rPr>
          <w:rFonts w:hint="eastAsia" w:ascii="仿宋" w:hAnsi="仿宋" w:eastAsia="仿宋"/>
          <w:color w:val="000000"/>
          <w:sz w:val="32"/>
          <w:szCs w:val="32"/>
          <w:lang w:eastAsia="zh-CN"/>
        </w:rPr>
        <w:t>减少</w:t>
      </w:r>
      <w:r>
        <w:rPr>
          <w:rFonts w:hint="eastAsia" w:ascii="仿宋" w:hAnsi="仿宋" w:eastAsia="仿宋"/>
          <w:color w:val="000000"/>
          <w:sz w:val="32"/>
          <w:szCs w:val="32"/>
          <w:lang w:val="en-US" w:eastAsia="zh-CN"/>
        </w:rPr>
        <w:t>125.11</w:t>
      </w:r>
      <w:r>
        <w:rPr>
          <w:rFonts w:hint="eastAsia" w:ascii="仿宋" w:hAnsi="仿宋" w:eastAsia="仿宋"/>
          <w:color w:val="000000"/>
          <w:sz w:val="32"/>
          <w:szCs w:val="32"/>
        </w:rPr>
        <w:t>万元，</w:t>
      </w:r>
      <w:r>
        <w:rPr>
          <w:rFonts w:hint="eastAsia" w:ascii="仿宋" w:hAnsi="仿宋" w:eastAsia="仿宋"/>
          <w:color w:val="000000"/>
          <w:sz w:val="32"/>
          <w:szCs w:val="32"/>
          <w:lang w:val="en-US" w:eastAsia="zh-CN"/>
        </w:rPr>
        <w:t>下降32.18</w:t>
      </w:r>
      <w:r>
        <w:rPr>
          <w:rFonts w:eastAsia="仿宋_GB2312"/>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eastAsia="zh-CN"/>
        </w:rPr>
        <w:t>我单位</w:t>
      </w:r>
      <w:r>
        <w:rPr>
          <w:rFonts w:hint="eastAsia" w:ascii="仿宋" w:hAnsi="仿宋" w:eastAsia="仿宋"/>
          <w:color w:val="000000"/>
          <w:sz w:val="32"/>
          <w:szCs w:val="32"/>
          <w:lang w:val="en-US" w:eastAsia="zh-CN"/>
        </w:rPr>
        <w:t>2025年项目减少、项目经费减少。</w:t>
      </w:r>
    </w:p>
    <w:p>
      <w:pPr>
        <w:pageBreakBefore w:val="0"/>
        <w:widowControl/>
        <w:kinsoku/>
        <w:wordWrap/>
        <w:overflowPunct/>
        <w:topLinePunct w:val="0"/>
        <w:bidi w:val="0"/>
        <w:adjustRightInd w:val="0"/>
        <w:snapToGrid w:val="0"/>
        <w:spacing w:line="576" w:lineRule="exact"/>
        <w:ind w:firstLine="640" w:firstLineChars="200"/>
        <w:contextualSpacing/>
        <w:jc w:val="left"/>
        <w:textAlignment w:val="auto"/>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三、部门整体预算绩效管理情况</w:t>
      </w:r>
    </w:p>
    <w:p>
      <w:pPr>
        <w:pageBreakBefore w:val="0"/>
        <w:widowControl/>
        <w:kinsoku/>
        <w:wordWrap/>
        <w:overflowPunct/>
        <w:topLinePunct w:val="0"/>
        <w:bidi w:val="0"/>
        <w:adjustRightInd w:val="0"/>
        <w:snapToGrid w:val="0"/>
        <w:spacing w:line="576" w:lineRule="exact"/>
        <w:ind w:firstLine="642" w:firstLineChars="200"/>
        <w:contextualSpacing/>
        <w:jc w:val="left"/>
        <w:textAlignment w:val="auto"/>
        <w:rPr>
          <w:rFonts w:hint="eastAsia" w:ascii="楷体_GB2312" w:hAnsi="仿宋" w:eastAsia="楷体_GB2312"/>
          <w:b/>
          <w:sz w:val="32"/>
          <w:szCs w:val="32"/>
          <w:lang w:val="zh-CN"/>
        </w:rPr>
      </w:pPr>
      <w:r>
        <w:rPr>
          <w:rFonts w:hint="eastAsia" w:ascii="楷体_GB2312" w:hAnsi="仿宋" w:eastAsia="楷体_GB2312"/>
          <w:b/>
          <w:sz w:val="32"/>
          <w:szCs w:val="32"/>
          <w:lang w:val="zh-CN"/>
        </w:rPr>
        <w:t>（一）部门预算管理。</w:t>
      </w:r>
    </w:p>
    <w:p>
      <w:pPr>
        <w:pageBreakBefore w:val="0"/>
        <w:kinsoku/>
        <w:wordWrap/>
        <w:overflowPunct/>
        <w:topLinePunct w:val="0"/>
        <w:bidi w:val="0"/>
        <w:spacing w:line="576" w:lineRule="exact"/>
        <w:ind w:firstLine="640" w:firstLineChars="200"/>
        <w:textAlignment w:val="auto"/>
        <w:rPr>
          <w:rFonts w:hint="eastAsia" w:ascii="仿宋" w:hAnsi="仿宋" w:eastAsia="仿宋" w:cs="仿宋_GB2312"/>
          <w:color w:val="auto"/>
          <w:sz w:val="32"/>
          <w:szCs w:val="32"/>
        </w:rPr>
      </w:pPr>
      <w:r>
        <w:rPr>
          <w:rFonts w:hint="eastAsia" w:ascii="仿宋" w:hAnsi="仿宋" w:eastAsia="仿宋" w:cs="仿宋_GB2312"/>
          <w:color w:val="auto"/>
          <w:sz w:val="32"/>
          <w:szCs w:val="32"/>
          <w:lang w:val="en-US" w:eastAsia="zh-CN"/>
        </w:rPr>
        <w:t>1.</w:t>
      </w:r>
      <w:r>
        <w:rPr>
          <w:rFonts w:hint="eastAsia" w:ascii="仿宋" w:hAnsi="仿宋" w:eastAsia="仿宋" w:cs="仿宋_GB2312"/>
          <w:color w:val="auto"/>
          <w:sz w:val="32"/>
          <w:szCs w:val="32"/>
        </w:rPr>
        <w:t>严格预算支出管理</w:t>
      </w:r>
      <w:r>
        <w:rPr>
          <w:rFonts w:hint="eastAsia" w:ascii="仿宋" w:hAnsi="仿宋" w:eastAsia="仿宋" w:cs="仿宋_GB2312"/>
          <w:color w:val="auto"/>
          <w:sz w:val="32"/>
          <w:szCs w:val="32"/>
          <w:lang w:eastAsia="zh-CN"/>
        </w:rPr>
        <w:t>，</w:t>
      </w:r>
      <w:r>
        <w:rPr>
          <w:rFonts w:hint="eastAsia" w:ascii="仿宋" w:hAnsi="仿宋" w:eastAsia="仿宋" w:cs="仿宋_GB2312"/>
          <w:color w:val="auto"/>
          <w:sz w:val="32"/>
          <w:szCs w:val="32"/>
        </w:rPr>
        <w:t>在支出预算编制上，人员经费按照配置定额，逐人核定编制，公用经费分类分档，按定额编制；根据“总量控制、计划管理”的要求从严控制行政经费，压缩公务费开支，严格控制“三公”经费，资产的配置严格政府采购，按照预算科目和项目资金的规定使用财政资金，保障部门整体支出的规范化、制度化。</w:t>
      </w:r>
    </w:p>
    <w:p>
      <w:pPr>
        <w:pageBreakBefore w:val="0"/>
        <w:kinsoku/>
        <w:wordWrap/>
        <w:overflowPunct/>
        <w:topLinePunct w:val="0"/>
        <w:bidi w:val="0"/>
        <w:spacing w:line="576" w:lineRule="exact"/>
        <w:ind w:firstLine="640" w:firstLineChars="200"/>
        <w:textAlignment w:val="auto"/>
        <w:rPr>
          <w:rFonts w:hint="eastAsia"/>
          <w:lang w:val="zh-CN" w:eastAsia="zh-CN"/>
        </w:rPr>
      </w:pPr>
      <w:r>
        <w:rPr>
          <w:rFonts w:hint="eastAsia" w:eastAsia="仿宋_GB2312"/>
          <w:sz w:val="32"/>
          <w:szCs w:val="32"/>
          <w:lang w:val="en-US" w:eastAsia="zh-CN"/>
        </w:rPr>
        <w:t>2.</w:t>
      </w:r>
      <w:r>
        <w:rPr>
          <w:rFonts w:hint="eastAsia" w:ascii="仿宋" w:hAnsi="仿宋" w:eastAsia="仿宋" w:cs="仿宋_GB2312"/>
          <w:color w:val="auto"/>
          <w:sz w:val="32"/>
          <w:szCs w:val="32"/>
        </w:rPr>
        <w:t>财务管理上，按照国家相关法律法规，制定了机关财务、公物购置使用、接待、会务、差旅等管理制度，并严格按照制度管理和执行，防范风险，保证财政资金的安全和高效运行。</w:t>
      </w:r>
    </w:p>
    <w:p>
      <w:pPr>
        <w:pageBreakBefore w:val="0"/>
        <w:widowControl/>
        <w:kinsoku/>
        <w:wordWrap/>
        <w:overflowPunct/>
        <w:topLinePunct w:val="0"/>
        <w:bidi w:val="0"/>
        <w:adjustRightInd w:val="0"/>
        <w:snapToGrid w:val="0"/>
        <w:spacing w:line="576" w:lineRule="exact"/>
        <w:ind w:firstLine="640" w:firstLineChars="200"/>
        <w:contextualSpacing/>
        <w:jc w:val="left"/>
        <w:textAlignment w:val="auto"/>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包括部门绩效目标制定、目标实现、预算编制准确、支出控制、预算动态调整、执行进度、预算完成情况和违规记录等情况。</w:t>
      </w:r>
    </w:p>
    <w:p>
      <w:pPr>
        <w:pageBreakBefore w:val="0"/>
        <w:widowControl/>
        <w:kinsoku/>
        <w:wordWrap/>
        <w:overflowPunct/>
        <w:topLinePunct w:val="0"/>
        <w:bidi w:val="0"/>
        <w:adjustRightInd w:val="0"/>
        <w:snapToGrid w:val="0"/>
        <w:spacing w:line="576" w:lineRule="exact"/>
        <w:ind w:firstLine="642" w:firstLineChars="200"/>
        <w:contextualSpacing/>
        <w:jc w:val="left"/>
        <w:textAlignment w:val="auto"/>
        <w:rPr>
          <w:rFonts w:hint="eastAsia" w:ascii="楷体_GB2312" w:hAnsi="仿宋" w:eastAsia="楷体_GB2312"/>
          <w:b/>
          <w:sz w:val="32"/>
          <w:szCs w:val="32"/>
          <w:lang w:val="zh-CN"/>
        </w:rPr>
      </w:pPr>
      <w:r>
        <w:rPr>
          <w:rFonts w:hint="eastAsia" w:ascii="楷体_GB2312" w:hAnsi="仿宋" w:eastAsia="楷体_GB2312"/>
          <w:b/>
          <w:sz w:val="32"/>
          <w:szCs w:val="32"/>
          <w:lang w:val="zh-CN"/>
        </w:rPr>
        <w:t>（二）结果应用情况。</w:t>
      </w:r>
    </w:p>
    <w:p>
      <w:pPr>
        <w:pageBreakBefore w:val="0"/>
        <w:kinsoku/>
        <w:wordWrap/>
        <w:overflowPunct/>
        <w:topLinePunct w:val="0"/>
        <w:bidi w:val="0"/>
        <w:spacing w:line="576" w:lineRule="exact"/>
        <w:ind w:firstLine="640" w:firstLineChars="200"/>
        <w:textAlignment w:val="auto"/>
        <w:rPr>
          <w:rFonts w:hint="eastAsia" w:ascii="仿宋" w:hAnsi="仿宋" w:eastAsia="仿宋" w:cs="仿宋_GB2312"/>
          <w:color w:val="auto"/>
          <w:sz w:val="32"/>
          <w:szCs w:val="32"/>
        </w:rPr>
      </w:pPr>
      <w:r>
        <w:rPr>
          <w:rFonts w:hint="eastAsia" w:eastAsia="仿宋_GB2312"/>
          <w:sz w:val="32"/>
          <w:szCs w:val="32"/>
          <w:lang w:val="en-US" w:eastAsia="zh-CN"/>
        </w:rPr>
        <w:t>1.</w:t>
      </w:r>
      <w:r>
        <w:rPr>
          <w:rFonts w:hint="eastAsia" w:ascii="仿宋" w:hAnsi="仿宋" w:eastAsia="仿宋" w:cs="仿宋_GB2312"/>
          <w:color w:val="auto"/>
          <w:sz w:val="32"/>
          <w:szCs w:val="32"/>
        </w:rPr>
        <w:t>本年预算配置控制较好，财政供养人员控制在预算编制以内，实际在职人员数与编制数相同</w:t>
      </w:r>
      <w:r>
        <w:rPr>
          <w:rFonts w:hint="eastAsia" w:ascii="仿宋" w:hAnsi="仿宋" w:eastAsia="仿宋" w:cs="仿宋_GB2312"/>
          <w:color w:val="auto"/>
          <w:sz w:val="32"/>
          <w:szCs w:val="32"/>
          <w:lang w:eastAsia="zh-CN"/>
        </w:rPr>
        <w:t>，</w:t>
      </w:r>
      <w:r>
        <w:rPr>
          <w:rFonts w:hint="eastAsia" w:ascii="仿宋" w:hAnsi="仿宋" w:eastAsia="仿宋" w:cs="仿宋_GB2312"/>
          <w:color w:val="auto"/>
          <w:sz w:val="32"/>
          <w:szCs w:val="32"/>
        </w:rPr>
        <w:t>“三公”经费支出总额较上年</w:t>
      </w:r>
      <w:r>
        <w:rPr>
          <w:rFonts w:hint="eastAsia" w:ascii="仿宋" w:hAnsi="仿宋" w:eastAsia="仿宋" w:cs="仿宋_GB2312"/>
          <w:color w:val="auto"/>
          <w:sz w:val="32"/>
          <w:szCs w:val="32"/>
          <w:lang w:val="en-US" w:eastAsia="zh-CN"/>
        </w:rPr>
        <w:t>增加</w:t>
      </w:r>
      <w:r>
        <w:rPr>
          <w:rFonts w:hint="eastAsia" w:ascii="仿宋" w:hAnsi="仿宋" w:eastAsia="仿宋" w:cs="仿宋_GB2312"/>
          <w:color w:val="auto"/>
          <w:sz w:val="32"/>
          <w:szCs w:val="32"/>
        </w:rPr>
        <w:t>。</w:t>
      </w:r>
    </w:p>
    <w:p>
      <w:pPr>
        <w:pageBreakBefore w:val="0"/>
        <w:numPr>
          <w:ilvl w:val="0"/>
          <w:numId w:val="0"/>
        </w:numPr>
        <w:kinsoku/>
        <w:wordWrap/>
        <w:overflowPunct/>
        <w:topLinePunct w:val="0"/>
        <w:bidi w:val="0"/>
        <w:spacing w:line="576" w:lineRule="exact"/>
        <w:ind w:firstLine="640" w:firstLineChars="200"/>
        <w:textAlignment w:val="auto"/>
        <w:rPr>
          <w:rFonts w:hint="eastAsia" w:ascii="仿宋" w:hAnsi="仿宋" w:eastAsia="仿宋" w:cs="仿宋_GB2312"/>
          <w:color w:val="auto"/>
          <w:sz w:val="32"/>
          <w:szCs w:val="32"/>
        </w:rPr>
      </w:pPr>
      <w:r>
        <w:rPr>
          <w:rFonts w:hint="eastAsia" w:eastAsia="仿宋_GB2312"/>
          <w:sz w:val="32"/>
          <w:szCs w:val="32"/>
          <w:lang w:val="en-US" w:eastAsia="zh-CN"/>
        </w:rPr>
        <w:t>2.</w:t>
      </w:r>
      <w:r>
        <w:rPr>
          <w:rFonts w:hint="eastAsia" w:ascii="仿宋" w:hAnsi="仿宋" w:eastAsia="仿宋" w:cs="仿宋_GB2312"/>
          <w:color w:val="auto"/>
          <w:sz w:val="32"/>
          <w:szCs w:val="32"/>
        </w:rPr>
        <w:t>预算执行方面，支出总额控制在预算总额以内，基本支出中财政政策性工资有所追加，本年部门预算未进行预算相关事项的调整；预算资金按规定管理使用</w:t>
      </w:r>
      <w:r>
        <w:rPr>
          <w:rFonts w:hint="eastAsia" w:ascii="仿宋" w:hAnsi="仿宋" w:eastAsia="仿宋" w:cs="仿宋_GB2312"/>
          <w:color w:val="auto"/>
          <w:sz w:val="32"/>
          <w:szCs w:val="32"/>
          <w:lang w:eastAsia="zh-CN"/>
        </w:rPr>
        <w:t>。</w:t>
      </w:r>
    </w:p>
    <w:p>
      <w:pPr>
        <w:pageBreakBefore w:val="0"/>
        <w:widowControl/>
        <w:kinsoku/>
        <w:wordWrap/>
        <w:overflowPunct/>
        <w:topLinePunct w:val="0"/>
        <w:bidi w:val="0"/>
        <w:adjustRightInd w:val="0"/>
        <w:snapToGrid w:val="0"/>
        <w:spacing w:line="576" w:lineRule="exact"/>
        <w:ind w:firstLine="640" w:firstLineChars="200"/>
        <w:contextualSpacing/>
        <w:jc w:val="left"/>
        <w:textAlignment w:val="auto"/>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四、评价结论及建议</w:t>
      </w:r>
    </w:p>
    <w:p>
      <w:pPr>
        <w:pageBreakBefore w:val="0"/>
        <w:widowControl/>
        <w:kinsoku/>
        <w:wordWrap/>
        <w:overflowPunct/>
        <w:topLinePunct w:val="0"/>
        <w:bidi w:val="0"/>
        <w:adjustRightInd w:val="0"/>
        <w:snapToGrid w:val="0"/>
        <w:spacing w:line="576" w:lineRule="exact"/>
        <w:ind w:firstLine="642" w:firstLineChars="200"/>
        <w:contextualSpacing/>
        <w:jc w:val="left"/>
        <w:textAlignment w:val="auto"/>
        <w:rPr>
          <w:rFonts w:hint="eastAsia" w:ascii="楷体_GB2312" w:hAnsi="仿宋" w:eastAsia="楷体_GB2312"/>
          <w:b/>
          <w:sz w:val="32"/>
          <w:szCs w:val="32"/>
          <w:lang w:val="zh-CN"/>
        </w:rPr>
      </w:pPr>
      <w:r>
        <w:rPr>
          <w:rFonts w:hint="eastAsia" w:ascii="楷体_GB2312" w:hAnsi="仿宋" w:eastAsia="楷体_GB2312"/>
          <w:b/>
          <w:sz w:val="32"/>
          <w:szCs w:val="32"/>
          <w:lang w:val="zh-CN"/>
        </w:rPr>
        <w:t>（一）评价结论。</w:t>
      </w:r>
    </w:p>
    <w:p>
      <w:pPr>
        <w:pageBreakBefore w:val="0"/>
        <w:widowControl/>
        <w:kinsoku/>
        <w:wordWrap/>
        <w:overflowPunct/>
        <w:topLinePunct w:val="0"/>
        <w:bidi w:val="0"/>
        <w:adjustRightInd w:val="0"/>
        <w:snapToGrid w:val="0"/>
        <w:spacing w:line="576" w:lineRule="exact"/>
        <w:ind w:firstLine="640" w:firstLineChars="200"/>
        <w:contextualSpacing/>
        <w:jc w:val="left"/>
        <w:textAlignment w:val="auto"/>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en-US" w:eastAsia="zh-CN"/>
        </w:rPr>
        <w:t>根据考核评分细则，我单位严格按照国家的相关财务管理制度规定，财务制度健全、会计核算规范，依照计划管理使用。按照部门整体支出绩效评价指标体系对照打分得出结果等级为良好。</w:t>
      </w:r>
    </w:p>
    <w:p>
      <w:pPr>
        <w:pageBreakBefore w:val="0"/>
        <w:widowControl/>
        <w:kinsoku/>
        <w:wordWrap/>
        <w:overflowPunct/>
        <w:topLinePunct w:val="0"/>
        <w:bidi w:val="0"/>
        <w:adjustRightInd w:val="0"/>
        <w:snapToGrid w:val="0"/>
        <w:spacing w:line="576" w:lineRule="exact"/>
        <w:ind w:firstLine="642" w:firstLineChars="200"/>
        <w:contextualSpacing/>
        <w:jc w:val="left"/>
        <w:textAlignment w:val="auto"/>
        <w:rPr>
          <w:rFonts w:hint="eastAsia" w:ascii="楷体_GB2312" w:hAnsi="仿宋" w:eastAsia="楷体_GB2312"/>
          <w:b/>
          <w:sz w:val="32"/>
          <w:szCs w:val="32"/>
          <w:lang w:val="zh-CN"/>
        </w:rPr>
      </w:pPr>
      <w:r>
        <w:rPr>
          <w:rFonts w:hint="eastAsia" w:ascii="楷体_GB2312" w:hAnsi="仿宋" w:eastAsia="楷体_GB2312"/>
          <w:b/>
          <w:sz w:val="32"/>
          <w:szCs w:val="32"/>
          <w:lang w:val="zh-CN"/>
        </w:rPr>
        <w:t>（二）存在问题。</w:t>
      </w:r>
    </w:p>
    <w:p>
      <w:pPr>
        <w:pageBreakBefore w:val="0"/>
        <w:widowControl/>
        <w:kinsoku/>
        <w:wordWrap/>
        <w:overflowPunct/>
        <w:topLinePunct w:val="0"/>
        <w:bidi w:val="0"/>
        <w:adjustRightInd w:val="0"/>
        <w:snapToGrid w:val="0"/>
        <w:spacing w:line="576" w:lineRule="exact"/>
        <w:ind w:firstLine="642" w:firstLineChars="200"/>
        <w:contextualSpacing/>
        <w:jc w:val="left"/>
        <w:textAlignment w:val="auto"/>
        <w:rPr>
          <w:rFonts w:hint="eastAsia" w:ascii="仿宋_GB2312" w:hAnsi="宋体" w:eastAsia="仿宋_GB2312" w:cs="宋体"/>
          <w:color w:val="000000"/>
          <w:kern w:val="0"/>
          <w:sz w:val="32"/>
          <w:szCs w:val="32"/>
          <w:shd w:val="clear" w:color="auto" w:fill="FFFFFF"/>
          <w:lang w:val="en-US" w:eastAsia="zh-CN"/>
        </w:rPr>
      </w:pPr>
      <w:r>
        <w:rPr>
          <w:rFonts w:hint="eastAsia" w:eastAsia="仿宋_GB2312"/>
          <w:b/>
          <w:bCs/>
          <w:sz w:val="32"/>
          <w:szCs w:val="32"/>
          <w:lang w:val="en-US" w:eastAsia="zh-CN"/>
        </w:rPr>
        <w:t>一</w:t>
      </w:r>
      <w:r>
        <w:rPr>
          <w:rFonts w:hint="eastAsia" w:ascii="仿宋_GB2312" w:hAnsi="宋体" w:eastAsia="仿宋_GB2312" w:cs="宋体"/>
          <w:b/>
          <w:bCs/>
          <w:color w:val="000000"/>
          <w:kern w:val="0"/>
          <w:sz w:val="32"/>
          <w:szCs w:val="32"/>
          <w:shd w:val="clear" w:color="auto" w:fill="FFFFFF"/>
          <w:lang w:val="en-US" w:eastAsia="zh-CN"/>
        </w:rPr>
        <w:t>是</w:t>
      </w:r>
      <w:r>
        <w:rPr>
          <w:rFonts w:hint="eastAsia" w:ascii="仿宋_GB2312" w:hAnsi="宋体" w:eastAsia="仿宋_GB2312" w:cs="宋体"/>
          <w:color w:val="000000"/>
          <w:kern w:val="0"/>
          <w:sz w:val="32"/>
          <w:szCs w:val="32"/>
          <w:shd w:val="clear" w:color="auto" w:fill="FFFFFF"/>
          <w:lang w:val="en-US" w:eastAsia="zh-CN"/>
        </w:rPr>
        <w:t>预算编制有待更严格执行，预算编制与实际支出项目有的存在差异。</w:t>
      </w:r>
    </w:p>
    <w:p>
      <w:pPr>
        <w:pageBreakBefore w:val="0"/>
        <w:widowControl/>
        <w:kinsoku/>
        <w:wordWrap/>
        <w:overflowPunct/>
        <w:topLinePunct w:val="0"/>
        <w:bidi w:val="0"/>
        <w:adjustRightInd w:val="0"/>
        <w:snapToGrid w:val="0"/>
        <w:spacing w:line="576" w:lineRule="exact"/>
        <w:ind w:firstLine="642" w:firstLineChars="200"/>
        <w:contextualSpacing/>
        <w:jc w:val="left"/>
        <w:textAlignment w:val="auto"/>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b/>
          <w:bCs/>
          <w:color w:val="000000"/>
          <w:kern w:val="0"/>
          <w:sz w:val="32"/>
          <w:szCs w:val="32"/>
          <w:shd w:val="clear" w:color="auto" w:fill="FFFFFF"/>
          <w:lang w:val="en-US" w:eastAsia="zh-CN"/>
        </w:rPr>
        <w:t>二是</w:t>
      </w:r>
      <w:r>
        <w:rPr>
          <w:rFonts w:hint="eastAsia" w:ascii="仿宋_GB2312" w:hAnsi="宋体" w:eastAsia="仿宋_GB2312" w:cs="宋体"/>
          <w:color w:val="000000"/>
          <w:kern w:val="0"/>
          <w:sz w:val="32"/>
          <w:szCs w:val="32"/>
          <w:shd w:val="clear" w:color="auto" w:fill="FFFFFF"/>
          <w:lang w:val="en-US" w:eastAsia="zh-CN"/>
        </w:rPr>
        <w:t>制度执行力度有待加强。</w:t>
      </w:r>
    </w:p>
    <w:p>
      <w:pPr>
        <w:pageBreakBefore w:val="0"/>
        <w:widowControl/>
        <w:kinsoku/>
        <w:wordWrap/>
        <w:overflowPunct/>
        <w:topLinePunct w:val="0"/>
        <w:bidi w:val="0"/>
        <w:adjustRightInd w:val="0"/>
        <w:snapToGrid w:val="0"/>
        <w:spacing w:line="576" w:lineRule="exact"/>
        <w:ind w:firstLine="642" w:firstLineChars="200"/>
        <w:contextualSpacing/>
        <w:jc w:val="left"/>
        <w:textAlignment w:val="auto"/>
        <w:rPr>
          <w:rFonts w:hint="eastAsia" w:ascii="楷体_GB2312" w:hAnsi="仿宋" w:eastAsia="楷体_GB2312"/>
          <w:b/>
          <w:sz w:val="32"/>
          <w:szCs w:val="32"/>
          <w:lang w:val="zh-CN"/>
        </w:rPr>
      </w:pPr>
      <w:r>
        <w:rPr>
          <w:rFonts w:hint="eastAsia" w:ascii="楷体_GB2312" w:hAnsi="仿宋" w:eastAsia="楷体_GB2312"/>
          <w:b/>
          <w:sz w:val="32"/>
          <w:szCs w:val="32"/>
          <w:lang w:val="zh-CN"/>
        </w:rPr>
        <w:t>（三）改进建议。</w:t>
      </w:r>
    </w:p>
    <w:p>
      <w:pPr>
        <w:pageBreakBefore w:val="0"/>
        <w:widowControl/>
        <w:kinsoku/>
        <w:wordWrap/>
        <w:overflowPunct/>
        <w:topLinePunct w:val="0"/>
        <w:bidi w:val="0"/>
        <w:adjustRightInd w:val="0"/>
        <w:snapToGrid w:val="0"/>
        <w:spacing w:line="576" w:lineRule="exact"/>
        <w:ind w:firstLine="642" w:firstLineChars="200"/>
        <w:contextualSpacing/>
        <w:jc w:val="left"/>
        <w:textAlignment w:val="auto"/>
        <w:rPr>
          <w:rFonts w:hint="eastAsia" w:ascii="仿宋_GB2312" w:hAnsi="宋体" w:eastAsia="仿宋_GB2312" w:cs="宋体"/>
          <w:color w:val="000000"/>
          <w:kern w:val="0"/>
          <w:sz w:val="32"/>
          <w:szCs w:val="32"/>
          <w:shd w:val="clear" w:color="auto" w:fill="FFFFFF"/>
          <w:lang w:val="en-US" w:eastAsia="zh-CN"/>
        </w:rPr>
      </w:pPr>
      <w:r>
        <w:rPr>
          <w:rFonts w:hint="eastAsia" w:ascii="仿宋_GB2312" w:hAnsi="宋体" w:eastAsia="仿宋_GB2312" w:cs="宋体"/>
          <w:b/>
          <w:bCs/>
          <w:color w:val="000000"/>
          <w:kern w:val="0"/>
          <w:sz w:val="32"/>
          <w:szCs w:val="32"/>
          <w:shd w:val="clear" w:color="auto" w:fill="FFFFFF"/>
          <w:lang w:val="en-US" w:eastAsia="zh-CN"/>
        </w:rPr>
        <w:t>一是</w:t>
      </w:r>
      <w:r>
        <w:rPr>
          <w:rFonts w:hint="eastAsia" w:ascii="仿宋_GB2312" w:hAnsi="宋体" w:eastAsia="仿宋_GB2312" w:cs="宋体"/>
          <w:color w:val="000000"/>
          <w:kern w:val="0"/>
          <w:sz w:val="32"/>
          <w:szCs w:val="32"/>
          <w:shd w:val="clear" w:color="auto" w:fill="FFFFFF"/>
          <w:lang w:val="en-US" w:eastAsia="zh-CN"/>
        </w:rPr>
        <w:t>按照预算规定的项目和用途严格财务审核，经费支出严格按预算规定项目的财政支出内容进行财务核算，在预算金额内严格控制费用的支出。</w:t>
      </w:r>
    </w:p>
    <w:p>
      <w:pPr>
        <w:pageBreakBefore w:val="0"/>
        <w:widowControl/>
        <w:kinsoku/>
        <w:wordWrap/>
        <w:overflowPunct/>
        <w:topLinePunct w:val="0"/>
        <w:bidi w:val="0"/>
        <w:adjustRightInd w:val="0"/>
        <w:snapToGrid w:val="0"/>
        <w:spacing w:line="576" w:lineRule="exact"/>
        <w:ind w:firstLine="642" w:firstLineChars="200"/>
        <w:contextualSpacing/>
        <w:jc w:val="left"/>
        <w:textAlignment w:val="auto"/>
        <w:rPr>
          <w:rFonts w:hint="default" w:ascii="仿宋_GB2312" w:hAnsi="宋体" w:eastAsia="仿宋_GB2312" w:cs="宋体"/>
          <w:color w:val="000000"/>
          <w:kern w:val="0"/>
          <w:sz w:val="32"/>
          <w:szCs w:val="32"/>
          <w:shd w:val="clear" w:color="auto" w:fill="FFFFFF"/>
          <w:lang w:val="en-US" w:eastAsia="zh-CN"/>
        </w:rPr>
      </w:pPr>
      <w:r>
        <w:rPr>
          <w:rFonts w:hint="eastAsia" w:eastAsia="仿宋_GB2312"/>
          <w:b/>
          <w:bCs/>
          <w:sz w:val="32"/>
          <w:szCs w:val="32"/>
          <w:lang w:val="en-US" w:eastAsia="zh-CN"/>
        </w:rPr>
        <w:t>二</w:t>
      </w:r>
      <w:r>
        <w:rPr>
          <w:rFonts w:hint="eastAsia" w:ascii="仿宋_GB2312" w:hAnsi="宋体" w:eastAsia="仿宋_GB2312" w:cs="宋体"/>
          <w:b/>
          <w:bCs/>
          <w:color w:val="000000"/>
          <w:kern w:val="0"/>
          <w:sz w:val="32"/>
          <w:szCs w:val="32"/>
          <w:shd w:val="clear" w:color="auto" w:fill="FFFFFF"/>
          <w:lang w:val="en-US" w:eastAsia="zh-CN"/>
        </w:rPr>
        <w:t>是</w:t>
      </w:r>
      <w:r>
        <w:rPr>
          <w:rFonts w:hint="eastAsia" w:ascii="仿宋_GB2312" w:hAnsi="宋体" w:eastAsia="仿宋_GB2312" w:cs="宋体"/>
          <w:color w:val="000000"/>
          <w:kern w:val="0"/>
          <w:sz w:val="32"/>
          <w:szCs w:val="32"/>
          <w:shd w:val="clear" w:color="auto" w:fill="FFFFFF"/>
          <w:lang w:val="en-US" w:eastAsia="zh-CN"/>
        </w:rPr>
        <w:t>预算财务分析常态化，定期做好预算支出财务分析，做好部门整体支出预算评价工作，完善各项制度提升执行力。</w:t>
      </w:r>
    </w:p>
    <w:p>
      <w:pPr>
        <w:pageBreakBefore w:val="0"/>
        <w:kinsoku/>
        <w:wordWrap/>
        <w:overflowPunct/>
        <w:topLinePunct w:val="0"/>
        <w:bidi w:val="0"/>
        <w:spacing w:line="576" w:lineRule="exact"/>
        <w:ind w:firstLine="640" w:firstLineChars="200"/>
        <w:textAlignment w:val="auto"/>
        <w:rPr>
          <w:rFonts w:ascii="仿宋_GB2312" w:hAnsi="仿宋_GB2312" w:eastAsia="仿宋_GB2312" w:cs="仿宋_GB2312"/>
          <w:sz w:val="32"/>
          <w:szCs w:val="32"/>
        </w:rPr>
      </w:pPr>
    </w:p>
    <w:p>
      <w:pPr>
        <w:pageBreakBefore w:val="0"/>
        <w:kinsoku/>
        <w:wordWrap/>
        <w:overflowPunct/>
        <w:topLinePunct w:val="0"/>
        <w:bidi w:val="0"/>
        <w:spacing w:line="576" w:lineRule="exact"/>
        <w:ind w:firstLine="640" w:firstLineChars="200"/>
        <w:textAlignment w:val="auto"/>
        <w:rPr>
          <w:rFonts w:ascii="仿宋_GB2312" w:hAnsi="仿宋_GB2312" w:eastAsia="仿宋_GB2312" w:cs="仿宋_GB2312"/>
          <w:sz w:val="32"/>
          <w:szCs w:val="32"/>
        </w:rPr>
      </w:pPr>
    </w:p>
    <w:p>
      <w:pPr>
        <w:pStyle w:val="8"/>
        <w:pageBreakBefore w:val="0"/>
        <w:kinsoku/>
        <w:wordWrap/>
        <w:overflowPunct/>
        <w:topLinePunct w:val="0"/>
        <w:bidi w:val="0"/>
        <w:spacing w:line="576" w:lineRule="exact"/>
        <w:ind w:firstLine="640" w:firstLineChars="200"/>
        <w:textAlignment w:val="auto"/>
        <w:rPr>
          <w:rFonts w:ascii="仿宋_GB2312" w:hAnsi="仿宋_GB2312" w:eastAsia="仿宋_GB2312" w:cs="仿宋_GB2312"/>
          <w:sz w:val="32"/>
          <w:szCs w:val="32"/>
        </w:rPr>
      </w:pPr>
    </w:p>
    <w:p>
      <w:pPr>
        <w:pStyle w:val="8"/>
        <w:pageBreakBefore w:val="0"/>
        <w:kinsoku/>
        <w:wordWrap/>
        <w:overflowPunct/>
        <w:topLinePunct w:val="0"/>
        <w:bidi w:val="0"/>
        <w:spacing w:line="576" w:lineRule="exact"/>
        <w:ind w:firstLine="640" w:firstLineChars="200"/>
        <w:textAlignment w:val="auto"/>
        <w:rPr>
          <w:rFonts w:ascii="仿宋_GB2312" w:hAnsi="仿宋_GB2312" w:eastAsia="仿宋_GB2312" w:cs="仿宋_GB2312"/>
          <w:sz w:val="32"/>
          <w:szCs w:val="32"/>
        </w:rPr>
      </w:pPr>
    </w:p>
    <w:p>
      <w:pPr>
        <w:pStyle w:val="8"/>
        <w:pageBreakBefore w:val="0"/>
        <w:kinsoku/>
        <w:wordWrap/>
        <w:overflowPunct/>
        <w:topLinePunct w:val="0"/>
        <w:bidi w:val="0"/>
        <w:spacing w:line="576" w:lineRule="exact"/>
        <w:ind w:firstLine="640" w:firstLineChars="200"/>
        <w:textAlignment w:val="auto"/>
        <w:rPr>
          <w:rFonts w:ascii="仿宋_GB2312" w:hAnsi="仿宋_GB2312" w:eastAsia="仿宋_GB2312" w:cs="仿宋_GB2312"/>
          <w:sz w:val="32"/>
          <w:szCs w:val="32"/>
        </w:rPr>
      </w:pPr>
    </w:p>
    <w:p>
      <w:pPr>
        <w:pStyle w:val="8"/>
        <w:pageBreakBefore w:val="0"/>
        <w:kinsoku/>
        <w:wordWrap/>
        <w:overflowPunct/>
        <w:topLinePunct w:val="0"/>
        <w:bidi w:val="0"/>
        <w:spacing w:line="576" w:lineRule="exact"/>
        <w:ind w:firstLine="640" w:firstLineChars="200"/>
        <w:textAlignment w:val="auto"/>
        <w:rPr>
          <w:rFonts w:ascii="仿宋_GB2312" w:hAnsi="仿宋_GB2312" w:eastAsia="仿宋_GB2312" w:cs="仿宋_GB2312"/>
          <w:sz w:val="32"/>
          <w:szCs w:val="32"/>
        </w:rPr>
      </w:pPr>
    </w:p>
    <w:p>
      <w:pPr>
        <w:pageBreakBefore w:val="0"/>
        <w:widowControl/>
        <w:kinsoku/>
        <w:wordWrap/>
        <w:overflowPunct/>
        <w:topLinePunct w:val="0"/>
        <w:bidi w:val="0"/>
        <w:spacing w:line="576" w:lineRule="exact"/>
        <w:ind w:firstLine="880" w:firstLineChars="200"/>
        <w:jc w:val="left"/>
        <w:textAlignment w:val="auto"/>
        <w:rPr>
          <w:rStyle w:val="27"/>
          <w:rFonts w:ascii="黑体" w:hAnsi="黑体" w:eastAsia="黑体"/>
          <w:b w:val="0"/>
        </w:rPr>
      </w:pPr>
      <w:r>
        <w:rPr>
          <w:rStyle w:val="27"/>
          <w:rFonts w:ascii="黑体" w:hAnsi="黑体" w:eastAsia="黑体"/>
          <w:b w:val="0"/>
        </w:rPr>
        <w:br w:type="page"/>
      </w:r>
    </w:p>
    <w:p>
      <w:pPr>
        <w:pageBreakBefore w:val="0"/>
        <w:kinsoku/>
        <w:wordWrap/>
        <w:overflowPunct/>
        <w:topLinePunct w:val="0"/>
        <w:bidi w:val="0"/>
        <w:spacing w:line="576" w:lineRule="exact"/>
        <w:ind w:firstLine="880" w:firstLineChars="200"/>
        <w:jc w:val="center"/>
        <w:textAlignment w:val="auto"/>
        <w:outlineLvl w:val="0"/>
        <w:rPr>
          <w:rStyle w:val="27"/>
          <w:rFonts w:ascii="黑体" w:hAnsi="黑体" w:eastAsia="黑体"/>
          <w:b w:val="0"/>
        </w:rPr>
      </w:pPr>
      <w:bookmarkStart w:id="118" w:name="_Toc79163635"/>
      <w:bookmarkStart w:id="119" w:name="_Toc15396618"/>
      <w:bookmarkStart w:id="120" w:name="_Toc79163885"/>
      <w:r>
        <w:rPr>
          <w:rFonts w:hint="eastAsia" w:ascii="黑体" w:hAnsi="黑体" w:eastAsia="黑体"/>
          <w:color w:val="000000"/>
          <w:sz w:val="44"/>
          <w:szCs w:val="44"/>
        </w:rPr>
        <w:t>第</w:t>
      </w:r>
      <w:r>
        <w:rPr>
          <w:rStyle w:val="27"/>
          <w:rFonts w:hint="eastAsia" w:ascii="黑体" w:hAnsi="黑体" w:eastAsia="黑体"/>
          <w:b w:val="0"/>
        </w:rPr>
        <w:t>五部分</w:t>
      </w:r>
      <w:r>
        <w:rPr>
          <w:rStyle w:val="27"/>
          <w:rFonts w:ascii="黑体" w:hAnsi="黑体" w:eastAsia="黑体"/>
          <w:b w:val="0"/>
        </w:rPr>
        <w:t xml:space="preserve"> </w:t>
      </w:r>
      <w:r>
        <w:rPr>
          <w:rStyle w:val="27"/>
          <w:rFonts w:hint="eastAsia" w:ascii="黑体" w:hAnsi="黑体" w:eastAsia="黑体"/>
          <w:b w:val="0"/>
        </w:rPr>
        <w:t>附表</w:t>
      </w:r>
      <w:bookmarkEnd w:id="113"/>
      <w:bookmarkEnd w:id="118"/>
      <w:bookmarkEnd w:id="119"/>
      <w:bookmarkEnd w:id="120"/>
    </w:p>
    <w:p>
      <w:pPr>
        <w:pStyle w:val="3"/>
        <w:pageBreakBefore w:val="0"/>
        <w:kinsoku/>
        <w:wordWrap/>
        <w:overflowPunct/>
        <w:topLinePunct w:val="0"/>
        <w:bidi w:val="0"/>
        <w:spacing w:before="0" w:after="0" w:line="576" w:lineRule="exact"/>
        <w:ind w:firstLine="640" w:firstLineChars="200"/>
        <w:textAlignment w:val="auto"/>
        <w:rPr>
          <w:rFonts w:ascii="仿宋" w:hAnsi="仿宋" w:eastAsia="仿宋"/>
          <w:color w:val="000000"/>
        </w:rPr>
      </w:pPr>
      <w:bookmarkStart w:id="121" w:name="_Toc79163886"/>
      <w:bookmarkStart w:id="122" w:name="_Toc79163636"/>
      <w:bookmarkStart w:id="123" w:name="_Toc15396619"/>
      <w:r>
        <w:rPr>
          <w:rFonts w:hint="eastAsia" w:ascii="仿宋" w:hAnsi="仿宋" w:eastAsia="仿宋"/>
          <w:b w:val="0"/>
          <w:color w:val="000000"/>
        </w:rPr>
        <w:t>一、收</w:t>
      </w:r>
      <w:r>
        <w:rPr>
          <w:rStyle w:val="28"/>
          <w:rFonts w:hint="eastAsia" w:ascii="仿宋" w:hAnsi="仿宋" w:eastAsia="仿宋"/>
          <w:b w:val="0"/>
          <w:bCs w:val="0"/>
        </w:rPr>
        <w:t>入支出决算总表</w:t>
      </w:r>
      <w:bookmarkEnd w:id="121"/>
      <w:bookmarkEnd w:id="122"/>
      <w:bookmarkEnd w:id="123"/>
    </w:p>
    <w:p>
      <w:pPr>
        <w:pStyle w:val="3"/>
        <w:pageBreakBefore w:val="0"/>
        <w:kinsoku/>
        <w:wordWrap/>
        <w:overflowPunct/>
        <w:topLinePunct w:val="0"/>
        <w:bidi w:val="0"/>
        <w:spacing w:before="0" w:after="0" w:line="576" w:lineRule="exact"/>
        <w:ind w:firstLine="640" w:firstLineChars="200"/>
        <w:textAlignment w:val="auto"/>
        <w:rPr>
          <w:rFonts w:ascii="仿宋" w:hAnsi="仿宋" w:eastAsia="仿宋"/>
          <w:color w:val="000000"/>
        </w:rPr>
      </w:pPr>
      <w:bookmarkStart w:id="124" w:name="_Toc79163637"/>
      <w:bookmarkStart w:id="125" w:name="_Toc15396620"/>
      <w:bookmarkStart w:id="126" w:name="_Toc79163887"/>
      <w:r>
        <w:rPr>
          <w:rFonts w:hint="eastAsia" w:ascii="仿宋" w:hAnsi="仿宋" w:eastAsia="仿宋"/>
          <w:b w:val="0"/>
          <w:color w:val="000000"/>
        </w:rPr>
        <w:t>二、收</w:t>
      </w:r>
      <w:r>
        <w:rPr>
          <w:rStyle w:val="28"/>
          <w:rFonts w:hint="eastAsia" w:ascii="仿宋" w:hAnsi="仿宋" w:eastAsia="仿宋"/>
          <w:b w:val="0"/>
          <w:bCs w:val="0"/>
        </w:rPr>
        <w:t>入决算表</w:t>
      </w:r>
      <w:bookmarkEnd w:id="124"/>
      <w:bookmarkEnd w:id="125"/>
      <w:bookmarkEnd w:id="126"/>
    </w:p>
    <w:p>
      <w:pPr>
        <w:pStyle w:val="3"/>
        <w:pageBreakBefore w:val="0"/>
        <w:kinsoku/>
        <w:wordWrap/>
        <w:overflowPunct/>
        <w:topLinePunct w:val="0"/>
        <w:bidi w:val="0"/>
        <w:spacing w:before="0" w:after="0" w:line="576" w:lineRule="exact"/>
        <w:ind w:firstLine="640" w:firstLineChars="200"/>
        <w:textAlignment w:val="auto"/>
        <w:rPr>
          <w:rFonts w:ascii="仿宋" w:hAnsi="仿宋" w:eastAsia="仿宋"/>
          <w:color w:val="000000"/>
        </w:rPr>
      </w:pPr>
      <w:bookmarkStart w:id="127" w:name="_Toc79163638"/>
      <w:bookmarkStart w:id="128" w:name="_Toc15396621"/>
      <w:bookmarkStart w:id="129" w:name="_Toc79163888"/>
      <w:r>
        <w:rPr>
          <w:rStyle w:val="28"/>
          <w:rFonts w:hint="eastAsia" w:ascii="仿宋" w:hAnsi="仿宋" w:eastAsia="仿宋"/>
          <w:b w:val="0"/>
          <w:bCs w:val="0"/>
        </w:rPr>
        <w:t>三、</w:t>
      </w:r>
      <w:r>
        <w:rPr>
          <w:rFonts w:hint="eastAsia" w:ascii="仿宋" w:hAnsi="仿宋" w:eastAsia="仿宋"/>
          <w:b w:val="0"/>
          <w:color w:val="000000"/>
        </w:rPr>
        <w:t>支</w:t>
      </w:r>
      <w:r>
        <w:rPr>
          <w:rStyle w:val="28"/>
          <w:rFonts w:hint="eastAsia" w:ascii="仿宋" w:hAnsi="仿宋" w:eastAsia="仿宋"/>
          <w:b w:val="0"/>
          <w:bCs w:val="0"/>
        </w:rPr>
        <w:t>出决算表</w:t>
      </w:r>
      <w:bookmarkEnd w:id="127"/>
      <w:bookmarkEnd w:id="128"/>
      <w:bookmarkEnd w:id="129"/>
    </w:p>
    <w:p>
      <w:pPr>
        <w:pStyle w:val="3"/>
        <w:pageBreakBefore w:val="0"/>
        <w:kinsoku/>
        <w:wordWrap/>
        <w:overflowPunct/>
        <w:topLinePunct w:val="0"/>
        <w:bidi w:val="0"/>
        <w:spacing w:before="0" w:after="0" w:line="576" w:lineRule="exact"/>
        <w:ind w:firstLine="640" w:firstLineChars="200"/>
        <w:textAlignment w:val="auto"/>
        <w:rPr>
          <w:rFonts w:ascii="仿宋" w:hAnsi="仿宋" w:eastAsia="仿宋"/>
          <w:b w:val="0"/>
          <w:color w:val="000000"/>
        </w:rPr>
      </w:pPr>
      <w:bookmarkStart w:id="130" w:name="_Toc79163889"/>
      <w:bookmarkStart w:id="131" w:name="_Toc79163639"/>
      <w:bookmarkStart w:id="132" w:name="_Toc15396622"/>
      <w:r>
        <w:rPr>
          <w:rStyle w:val="28"/>
          <w:rFonts w:hint="eastAsia" w:ascii="仿宋" w:hAnsi="仿宋" w:eastAsia="仿宋"/>
          <w:b w:val="0"/>
          <w:bCs w:val="0"/>
        </w:rPr>
        <w:t>四、</w:t>
      </w:r>
      <w:r>
        <w:rPr>
          <w:rFonts w:hint="eastAsia" w:ascii="仿宋" w:hAnsi="仿宋" w:eastAsia="仿宋"/>
          <w:b w:val="0"/>
          <w:color w:val="000000"/>
        </w:rPr>
        <w:t>财</w:t>
      </w:r>
      <w:r>
        <w:rPr>
          <w:rStyle w:val="28"/>
          <w:rFonts w:hint="eastAsia" w:ascii="仿宋" w:hAnsi="仿宋" w:eastAsia="仿宋"/>
          <w:b w:val="0"/>
          <w:bCs w:val="0"/>
        </w:rPr>
        <w:t>政拨款收入支出决算总表</w:t>
      </w:r>
      <w:bookmarkEnd w:id="130"/>
      <w:bookmarkEnd w:id="131"/>
      <w:bookmarkEnd w:id="132"/>
    </w:p>
    <w:p>
      <w:pPr>
        <w:pStyle w:val="3"/>
        <w:pageBreakBefore w:val="0"/>
        <w:kinsoku/>
        <w:wordWrap/>
        <w:overflowPunct/>
        <w:topLinePunct w:val="0"/>
        <w:bidi w:val="0"/>
        <w:spacing w:before="0" w:after="0" w:line="576" w:lineRule="exact"/>
        <w:ind w:firstLine="640" w:firstLineChars="200"/>
        <w:textAlignment w:val="auto"/>
        <w:rPr>
          <w:rStyle w:val="28"/>
          <w:rFonts w:ascii="仿宋" w:hAnsi="仿宋" w:eastAsia="仿宋"/>
          <w:b w:val="0"/>
          <w:bCs w:val="0"/>
        </w:rPr>
      </w:pPr>
      <w:bookmarkStart w:id="133" w:name="_Toc79163640"/>
      <w:bookmarkStart w:id="134" w:name="_Toc79163890"/>
      <w:bookmarkStart w:id="135" w:name="_Toc15396623"/>
      <w:r>
        <w:rPr>
          <w:rStyle w:val="28"/>
          <w:rFonts w:hint="eastAsia" w:ascii="仿宋" w:hAnsi="仿宋" w:eastAsia="仿宋"/>
          <w:b w:val="0"/>
          <w:bCs w:val="0"/>
        </w:rPr>
        <w:t>五、</w:t>
      </w:r>
      <w:r>
        <w:rPr>
          <w:rFonts w:hint="eastAsia" w:ascii="仿宋" w:hAnsi="仿宋" w:eastAsia="仿宋"/>
          <w:b w:val="0"/>
          <w:color w:val="000000"/>
        </w:rPr>
        <w:t>财</w:t>
      </w:r>
      <w:r>
        <w:rPr>
          <w:rStyle w:val="28"/>
          <w:rFonts w:hint="eastAsia" w:ascii="仿宋" w:hAnsi="仿宋" w:eastAsia="仿宋"/>
          <w:b w:val="0"/>
          <w:bCs w:val="0"/>
        </w:rPr>
        <w:t>政拨款支出决算明细表</w:t>
      </w:r>
      <w:bookmarkEnd w:id="133"/>
      <w:bookmarkEnd w:id="134"/>
      <w:bookmarkEnd w:id="135"/>
      <w:bookmarkStart w:id="136" w:name="_Toc15396624"/>
    </w:p>
    <w:p>
      <w:pPr>
        <w:pStyle w:val="3"/>
        <w:pageBreakBefore w:val="0"/>
        <w:kinsoku/>
        <w:wordWrap/>
        <w:overflowPunct/>
        <w:topLinePunct w:val="0"/>
        <w:bidi w:val="0"/>
        <w:spacing w:before="0" w:after="0" w:line="576" w:lineRule="exact"/>
        <w:ind w:firstLine="640" w:firstLineChars="200"/>
        <w:textAlignment w:val="auto"/>
        <w:rPr>
          <w:rFonts w:ascii="仿宋" w:hAnsi="仿宋" w:eastAsia="仿宋"/>
          <w:color w:val="000000"/>
        </w:rPr>
      </w:pPr>
      <w:bookmarkStart w:id="137" w:name="_Toc79163641"/>
      <w:bookmarkStart w:id="138" w:name="_Toc79163891"/>
      <w:r>
        <w:rPr>
          <w:rStyle w:val="28"/>
          <w:rFonts w:hint="eastAsia" w:ascii="仿宋" w:hAnsi="仿宋" w:eastAsia="仿宋"/>
          <w:b w:val="0"/>
          <w:bCs w:val="0"/>
        </w:rPr>
        <w:t>六、</w:t>
      </w:r>
      <w:r>
        <w:rPr>
          <w:rFonts w:hint="eastAsia" w:ascii="仿宋" w:hAnsi="仿宋" w:eastAsia="仿宋"/>
          <w:b w:val="0"/>
          <w:color w:val="000000"/>
        </w:rPr>
        <w:t>一</w:t>
      </w:r>
      <w:r>
        <w:rPr>
          <w:rStyle w:val="28"/>
          <w:rFonts w:hint="eastAsia" w:ascii="仿宋" w:hAnsi="仿宋" w:eastAsia="仿宋"/>
          <w:b w:val="0"/>
          <w:bCs w:val="0"/>
        </w:rPr>
        <w:t>般公共预算财政拨款支出决算表</w:t>
      </w:r>
      <w:bookmarkEnd w:id="136"/>
      <w:bookmarkEnd w:id="137"/>
      <w:bookmarkEnd w:id="138"/>
    </w:p>
    <w:p>
      <w:pPr>
        <w:pStyle w:val="3"/>
        <w:pageBreakBefore w:val="0"/>
        <w:kinsoku/>
        <w:wordWrap/>
        <w:overflowPunct/>
        <w:topLinePunct w:val="0"/>
        <w:bidi w:val="0"/>
        <w:spacing w:before="0" w:after="0" w:line="576" w:lineRule="exact"/>
        <w:ind w:firstLine="640" w:firstLineChars="200"/>
        <w:textAlignment w:val="auto"/>
        <w:rPr>
          <w:rFonts w:ascii="仿宋" w:hAnsi="仿宋" w:eastAsia="仿宋"/>
          <w:color w:val="000000"/>
        </w:rPr>
      </w:pPr>
      <w:bookmarkStart w:id="139" w:name="_Toc79163642"/>
      <w:bookmarkStart w:id="140" w:name="_Toc15396625"/>
      <w:bookmarkStart w:id="141" w:name="_Toc79163892"/>
      <w:r>
        <w:rPr>
          <w:rStyle w:val="28"/>
          <w:rFonts w:hint="eastAsia" w:ascii="仿宋" w:hAnsi="仿宋" w:eastAsia="仿宋"/>
          <w:b w:val="0"/>
          <w:bCs w:val="0"/>
        </w:rPr>
        <w:t>七、</w:t>
      </w:r>
      <w:r>
        <w:rPr>
          <w:rFonts w:hint="eastAsia" w:ascii="仿宋" w:hAnsi="仿宋" w:eastAsia="仿宋"/>
          <w:b w:val="0"/>
          <w:color w:val="000000"/>
        </w:rPr>
        <w:t>一</w:t>
      </w:r>
      <w:r>
        <w:rPr>
          <w:rStyle w:val="28"/>
          <w:rFonts w:hint="eastAsia" w:ascii="仿宋" w:hAnsi="仿宋" w:eastAsia="仿宋"/>
          <w:b w:val="0"/>
          <w:bCs w:val="0"/>
        </w:rPr>
        <w:t>般公共预算财政拨款支出决算明细表</w:t>
      </w:r>
      <w:bookmarkEnd w:id="139"/>
      <w:bookmarkEnd w:id="140"/>
      <w:bookmarkEnd w:id="141"/>
    </w:p>
    <w:p>
      <w:pPr>
        <w:pStyle w:val="3"/>
        <w:pageBreakBefore w:val="0"/>
        <w:kinsoku/>
        <w:wordWrap/>
        <w:overflowPunct/>
        <w:topLinePunct w:val="0"/>
        <w:bidi w:val="0"/>
        <w:spacing w:before="0" w:after="0" w:line="576" w:lineRule="exact"/>
        <w:ind w:firstLine="640" w:firstLineChars="200"/>
        <w:textAlignment w:val="auto"/>
        <w:rPr>
          <w:rFonts w:ascii="仿宋" w:hAnsi="仿宋" w:eastAsia="仿宋"/>
          <w:color w:val="000000"/>
        </w:rPr>
      </w:pPr>
      <w:bookmarkStart w:id="142" w:name="_Toc79163893"/>
      <w:bookmarkStart w:id="143" w:name="_Toc15396626"/>
      <w:bookmarkStart w:id="144" w:name="_Toc79163643"/>
      <w:r>
        <w:rPr>
          <w:rStyle w:val="28"/>
          <w:rFonts w:hint="eastAsia" w:ascii="仿宋" w:hAnsi="仿宋" w:eastAsia="仿宋"/>
          <w:b w:val="0"/>
          <w:bCs w:val="0"/>
        </w:rPr>
        <w:t>八、</w:t>
      </w:r>
      <w:r>
        <w:rPr>
          <w:rFonts w:hint="eastAsia" w:ascii="仿宋" w:hAnsi="仿宋" w:eastAsia="仿宋"/>
          <w:b w:val="0"/>
          <w:color w:val="000000"/>
        </w:rPr>
        <w:t>一</w:t>
      </w:r>
      <w:r>
        <w:rPr>
          <w:rStyle w:val="28"/>
          <w:rFonts w:hint="eastAsia" w:ascii="仿宋" w:hAnsi="仿宋" w:eastAsia="仿宋"/>
          <w:b w:val="0"/>
          <w:bCs w:val="0"/>
        </w:rPr>
        <w:t>般公共预算财政拨款基本支出决算表</w:t>
      </w:r>
      <w:bookmarkEnd w:id="142"/>
      <w:bookmarkEnd w:id="143"/>
      <w:bookmarkEnd w:id="144"/>
    </w:p>
    <w:p>
      <w:pPr>
        <w:pStyle w:val="3"/>
        <w:pageBreakBefore w:val="0"/>
        <w:kinsoku/>
        <w:wordWrap/>
        <w:overflowPunct/>
        <w:topLinePunct w:val="0"/>
        <w:bidi w:val="0"/>
        <w:spacing w:before="0" w:after="0" w:line="576" w:lineRule="exact"/>
        <w:ind w:firstLine="640" w:firstLineChars="200"/>
        <w:textAlignment w:val="auto"/>
        <w:rPr>
          <w:rFonts w:ascii="仿宋" w:hAnsi="仿宋" w:eastAsia="仿宋"/>
          <w:color w:val="000000"/>
        </w:rPr>
      </w:pPr>
      <w:bookmarkStart w:id="145" w:name="_Toc79163894"/>
      <w:bookmarkStart w:id="146" w:name="_Toc79163644"/>
      <w:bookmarkStart w:id="147" w:name="_Toc15396627"/>
      <w:r>
        <w:rPr>
          <w:rStyle w:val="28"/>
          <w:rFonts w:hint="eastAsia" w:ascii="仿宋" w:hAnsi="仿宋" w:eastAsia="仿宋"/>
          <w:b w:val="0"/>
          <w:bCs w:val="0"/>
        </w:rPr>
        <w:t>九、</w:t>
      </w:r>
      <w:r>
        <w:rPr>
          <w:rFonts w:hint="eastAsia" w:ascii="仿宋" w:hAnsi="仿宋" w:eastAsia="仿宋"/>
          <w:b w:val="0"/>
          <w:color w:val="000000"/>
        </w:rPr>
        <w:t>一</w:t>
      </w:r>
      <w:r>
        <w:rPr>
          <w:rStyle w:val="28"/>
          <w:rFonts w:hint="eastAsia" w:ascii="仿宋" w:hAnsi="仿宋" w:eastAsia="仿宋"/>
          <w:b w:val="0"/>
          <w:bCs w:val="0"/>
        </w:rPr>
        <w:t>般公共预算财政拨款项目支出决算表</w:t>
      </w:r>
      <w:bookmarkEnd w:id="145"/>
      <w:bookmarkEnd w:id="146"/>
      <w:bookmarkEnd w:id="147"/>
    </w:p>
    <w:p>
      <w:pPr>
        <w:pStyle w:val="3"/>
        <w:pageBreakBefore w:val="0"/>
        <w:kinsoku/>
        <w:wordWrap/>
        <w:overflowPunct/>
        <w:topLinePunct w:val="0"/>
        <w:bidi w:val="0"/>
        <w:spacing w:before="0" w:after="0" w:line="576" w:lineRule="exact"/>
        <w:ind w:firstLine="640" w:firstLineChars="200"/>
        <w:textAlignment w:val="auto"/>
        <w:rPr>
          <w:rFonts w:ascii="仿宋" w:hAnsi="仿宋" w:eastAsia="仿宋"/>
          <w:color w:val="000000"/>
        </w:rPr>
      </w:pPr>
      <w:bookmarkStart w:id="148" w:name="_Toc79163895"/>
      <w:bookmarkStart w:id="149" w:name="_Toc79163645"/>
      <w:bookmarkStart w:id="150" w:name="_Toc15396628"/>
      <w:r>
        <w:rPr>
          <w:rStyle w:val="28"/>
          <w:rFonts w:hint="eastAsia" w:ascii="仿宋" w:hAnsi="仿宋" w:eastAsia="仿宋"/>
          <w:b w:val="0"/>
          <w:bCs w:val="0"/>
        </w:rPr>
        <w:t>十、</w:t>
      </w:r>
      <w:r>
        <w:rPr>
          <w:rFonts w:hint="eastAsia" w:ascii="仿宋" w:hAnsi="仿宋" w:eastAsia="仿宋"/>
          <w:b w:val="0"/>
          <w:color w:val="000000"/>
        </w:rPr>
        <w:t>一</w:t>
      </w:r>
      <w:r>
        <w:rPr>
          <w:rStyle w:val="28"/>
          <w:rFonts w:hint="eastAsia" w:ascii="仿宋" w:hAnsi="仿宋" w:eastAsia="仿宋"/>
          <w:b w:val="0"/>
          <w:bCs w:val="0"/>
        </w:rPr>
        <w:t>般公共预算财政拨款“三公”经费支出决算表</w:t>
      </w:r>
      <w:bookmarkEnd w:id="148"/>
      <w:bookmarkEnd w:id="149"/>
      <w:bookmarkEnd w:id="150"/>
    </w:p>
    <w:p>
      <w:pPr>
        <w:pStyle w:val="3"/>
        <w:pageBreakBefore w:val="0"/>
        <w:kinsoku/>
        <w:wordWrap/>
        <w:overflowPunct/>
        <w:topLinePunct w:val="0"/>
        <w:bidi w:val="0"/>
        <w:spacing w:before="0" w:after="0" w:line="576" w:lineRule="exact"/>
        <w:ind w:firstLine="640" w:firstLineChars="200"/>
        <w:textAlignment w:val="auto"/>
        <w:rPr>
          <w:rFonts w:ascii="仿宋" w:hAnsi="仿宋" w:eastAsia="仿宋"/>
          <w:color w:val="000000"/>
        </w:rPr>
      </w:pPr>
      <w:bookmarkStart w:id="151" w:name="_Toc79163896"/>
      <w:bookmarkStart w:id="152" w:name="_Toc15396629"/>
      <w:bookmarkStart w:id="153" w:name="_Toc79163646"/>
      <w:r>
        <w:rPr>
          <w:rStyle w:val="28"/>
          <w:rFonts w:hint="eastAsia" w:ascii="仿宋" w:hAnsi="仿宋" w:eastAsia="仿宋"/>
          <w:b w:val="0"/>
          <w:bCs w:val="0"/>
        </w:rPr>
        <w:t>十一、</w:t>
      </w:r>
      <w:r>
        <w:rPr>
          <w:rFonts w:hint="eastAsia" w:ascii="仿宋" w:hAnsi="仿宋" w:eastAsia="仿宋"/>
          <w:b w:val="0"/>
          <w:color w:val="000000"/>
        </w:rPr>
        <w:t>政</w:t>
      </w:r>
      <w:r>
        <w:rPr>
          <w:rStyle w:val="28"/>
          <w:rFonts w:hint="eastAsia" w:ascii="仿宋" w:hAnsi="仿宋" w:eastAsia="仿宋"/>
          <w:b w:val="0"/>
          <w:bCs w:val="0"/>
        </w:rPr>
        <w:t>府性基金预算财政拨款收入支出决算表</w:t>
      </w:r>
      <w:bookmarkEnd w:id="151"/>
      <w:bookmarkEnd w:id="152"/>
      <w:bookmarkEnd w:id="153"/>
    </w:p>
    <w:p>
      <w:pPr>
        <w:pStyle w:val="3"/>
        <w:pageBreakBefore w:val="0"/>
        <w:kinsoku/>
        <w:wordWrap/>
        <w:overflowPunct/>
        <w:topLinePunct w:val="0"/>
        <w:bidi w:val="0"/>
        <w:spacing w:before="0" w:after="0" w:line="576" w:lineRule="exact"/>
        <w:ind w:firstLine="640" w:firstLineChars="200"/>
        <w:textAlignment w:val="auto"/>
        <w:rPr>
          <w:rFonts w:ascii="仿宋" w:hAnsi="仿宋" w:eastAsia="仿宋"/>
          <w:color w:val="000000"/>
          <w:spacing w:val="-6"/>
          <w:sz w:val="32"/>
        </w:rPr>
      </w:pPr>
      <w:bookmarkStart w:id="154" w:name="_Toc79163897"/>
      <w:bookmarkStart w:id="155" w:name="_Toc79163647"/>
      <w:bookmarkStart w:id="156" w:name="_Toc15396630"/>
      <w:r>
        <w:rPr>
          <w:rStyle w:val="28"/>
          <w:rFonts w:hint="eastAsia" w:ascii="仿宋" w:hAnsi="仿宋" w:eastAsia="仿宋"/>
          <w:b w:val="0"/>
          <w:bCs w:val="0"/>
        </w:rPr>
        <w:t>十二、</w:t>
      </w:r>
      <w:r>
        <w:rPr>
          <w:rFonts w:hint="eastAsia" w:ascii="仿宋" w:hAnsi="仿宋" w:eastAsia="仿宋"/>
          <w:b w:val="0"/>
          <w:color w:val="000000"/>
          <w:spacing w:val="-6"/>
          <w:sz w:val="32"/>
        </w:rPr>
        <w:t>政</w:t>
      </w:r>
      <w:r>
        <w:rPr>
          <w:rStyle w:val="28"/>
          <w:rFonts w:hint="eastAsia" w:ascii="仿宋" w:hAnsi="仿宋" w:eastAsia="仿宋"/>
          <w:b w:val="0"/>
          <w:bCs w:val="0"/>
          <w:spacing w:val="-6"/>
          <w:sz w:val="32"/>
        </w:rPr>
        <w:t>府性基金预算财政拨款“三公”经费支出决算表</w:t>
      </w:r>
      <w:bookmarkEnd w:id="154"/>
      <w:bookmarkEnd w:id="155"/>
      <w:bookmarkEnd w:id="156"/>
    </w:p>
    <w:p>
      <w:pPr>
        <w:pStyle w:val="3"/>
        <w:pageBreakBefore w:val="0"/>
        <w:kinsoku/>
        <w:wordWrap/>
        <w:overflowPunct/>
        <w:topLinePunct w:val="0"/>
        <w:bidi w:val="0"/>
        <w:spacing w:before="0" w:after="0" w:line="576" w:lineRule="exact"/>
        <w:ind w:firstLine="640" w:firstLineChars="200"/>
        <w:textAlignment w:val="auto"/>
        <w:rPr>
          <w:rStyle w:val="28"/>
          <w:rFonts w:ascii="仿宋" w:hAnsi="仿宋" w:eastAsia="仿宋"/>
          <w:b w:val="0"/>
          <w:bCs w:val="0"/>
        </w:rPr>
      </w:pPr>
      <w:bookmarkStart w:id="157" w:name="_Toc15396631"/>
      <w:bookmarkStart w:id="158" w:name="_Toc79163898"/>
      <w:bookmarkStart w:id="159" w:name="_Toc79163648"/>
      <w:r>
        <w:rPr>
          <w:rStyle w:val="28"/>
          <w:rFonts w:hint="eastAsia" w:ascii="仿宋" w:hAnsi="仿宋" w:eastAsia="仿宋"/>
          <w:b w:val="0"/>
          <w:bCs w:val="0"/>
        </w:rPr>
        <w:t>十三、</w:t>
      </w:r>
      <w:r>
        <w:rPr>
          <w:rFonts w:hint="eastAsia" w:ascii="仿宋" w:hAnsi="仿宋" w:eastAsia="仿宋"/>
          <w:b w:val="0"/>
          <w:color w:val="000000"/>
        </w:rPr>
        <w:t>国</w:t>
      </w:r>
      <w:r>
        <w:rPr>
          <w:rStyle w:val="28"/>
          <w:rFonts w:hint="eastAsia" w:ascii="仿宋" w:hAnsi="仿宋" w:eastAsia="仿宋"/>
          <w:b w:val="0"/>
          <w:bCs w:val="0"/>
        </w:rPr>
        <w:t>有资本经营预算财政拨款支出决算表</w:t>
      </w:r>
      <w:bookmarkEnd w:id="157"/>
      <w:bookmarkEnd w:id="158"/>
      <w:bookmarkEnd w:id="159"/>
    </w:p>
    <w:p>
      <w:pPr>
        <w:pStyle w:val="3"/>
        <w:pageBreakBefore w:val="0"/>
        <w:kinsoku/>
        <w:wordWrap/>
        <w:overflowPunct/>
        <w:topLinePunct w:val="0"/>
        <w:bidi w:val="0"/>
        <w:spacing w:before="0" w:after="0" w:line="576" w:lineRule="exact"/>
        <w:ind w:firstLine="640" w:firstLineChars="200"/>
        <w:textAlignment w:val="auto"/>
        <w:rPr>
          <w:rStyle w:val="28"/>
          <w:rFonts w:ascii="仿宋" w:hAnsi="仿宋" w:eastAsia="仿宋"/>
          <w:b w:val="0"/>
          <w:bCs w:val="0"/>
        </w:rPr>
      </w:pPr>
      <w:bookmarkStart w:id="160" w:name="_Toc79163649"/>
      <w:bookmarkStart w:id="161" w:name="_Toc79163899"/>
      <w:r>
        <w:rPr>
          <w:rStyle w:val="28"/>
          <w:rFonts w:hint="eastAsia" w:ascii="仿宋" w:hAnsi="仿宋" w:eastAsia="仿宋"/>
          <w:b w:val="0"/>
          <w:bCs w:val="0"/>
        </w:rPr>
        <w:t>十四、国有资本经营预算财政拨款支出决算表</w:t>
      </w:r>
      <w:bookmarkEnd w:id="160"/>
      <w:bookmarkEnd w:id="161"/>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等线">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3000502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00" w:usb3="00000000" w:csb0="00000000" w:csb1="00000000"/>
  </w:font>
  <w:font w:name="微软雅黑">
    <w:altName w:val="黑体"/>
    <w:panose1 w:val="020B0503020204020204"/>
    <w:charset w:val="86"/>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等线">
    <w:altName w:val="仿宋"/>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fldChar w:fldCharType="begin"/>
    </w:r>
    <w:r>
      <w:instrText xml:space="preserve">PAGE   \* MERGEFORMAT</w:instrText>
    </w:r>
    <w:r>
      <w:fldChar w:fldCharType="separate"/>
    </w:r>
    <w:r>
      <w:t>25</w:t>
    </w:r>
    <w:r>
      <w:fldChar w:fldCharType="end"/>
    </w:r>
  </w:p>
  <w:p>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1">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egacy w:legacy="1" w:legacySpace="0" w:legacyIndent="794"/>
      <w:lvlJc w:val="left"/>
      <w:pPr>
        <w:ind w:left="794" w:hanging="794"/>
      </w:pPr>
    </w:lvl>
    <w:lvl w:ilvl="2" w:tentative="0">
      <w:start w:val="0"/>
      <w:numFmt w:val="none"/>
      <w:lvlText w:val=""/>
      <w:lvlJc w:val="left"/>
      <w:pPr>
        <w:ind w:left="0" w:firstLine="0"/>
      </w:pPr>
      <w:rPr>
        <w:rFonts w:cs="Times New Roman"/>
      </w:rPr>
    </w:lvl>
    <w:lvl w:ilvl="3" w:tentative="0">
      <w:start w:val="0"/>
      <w:numFmt w:val="none"/>
      <w:lvlText w:val=""/>
      <w:lvlJc w:val="left"/>
      <w:pPr>
        <w:ind w:left="0" w:firstLine="0"/>
      </w:pPr>
      <w:rPr>
        <w:rFonts w:cs="Times New Roman"/>
      </w:rPr>
    </w:lvl>
    <w:lvl w:ilvl="4" w:tentative="0">
      <w:start w:val="0"/>
      <w:numFmt w:val="decimal"/>
      <w:pStyle w:val="25"/>
      <w:lvlText w:val=""/>
      <w:lvlJc w:val="left"/>
      <w:pPr>
        <w:ind w:left="0" w:firstLine="0"/>
      </w:pPr>
      <w:rPr>
        <w:rFonts w:cs="Times New Roman"/>
      </w:rPr>
    </w:lvl>
    <w:lvl w:ilvl="5" w:tentative="0">
      <w:start w:val="0"/>
      <w:numFmt w:val="decimal"/>
      <w:lvlText w:val=""/>
      <w:lvlJc w:val="left"/>
      <w:pPr>
        <w:ind w:left="0" w:firstLine="0"/>
      </w:pPr>
      <w:rPr>
        <w:rFonts w:cs="Times New Roman"/>
      </w:rPr>
    </w:lvl>
    <w:lvl w:ilvl="6" w:tentative="0">
      <w:start w:val="0"/>
      <w:numFmt w:val="decimal"/>
      <w:lvlText w:val=""/>
      <w:lvlJc w:val="left"/>
      <w:pPr>
        <w:ind w:left="0" w:firstLine="0"/>
      </w:pPr>
      <w:rPr>
        <w:rFonts w:cs="Times New Roman"/>
      </w:rPr>
    </w:lvl>
    <w:lvl w:ilvl="7" w:tentative="0">
      <w:start w:val="0"/>
      <w:numFmt w:val="decimal"/>
      <w:lvlText w:val=""/>
      <w:lvlJc w:val="left"/>
      <w:pPr>
        <w:ind w:left="0" w:firstLine="0"/>
      </w:pPr>
      <w:rPr>
        <w:rFonts w:cs="Times New Roman"/>
      </w:rPr>
    </w:lvl>
    <w:lvl w:ilvl="8" w:tentative="0">
      <w:start w:val="0"/>
      <w:numFmt w:val="decimal"/>
      <w:lvlText w:val=""/>
      <w:lvlJc w:val="left"/>
      <w:pPr>
        <w:ind w:left="0" w:firstLine="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zZTkzYWJhZGE0MTc0YTQzNDhkN2RiMGMzMGI1MDE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15301"/>
    <w:rsid w:val="001319E1"/>
    <w:rsid w:val="00142216"/>
    <w:rsid w:val="00144D6A"/>
    <w:rsid w:val="0014729F"/>
    <w:rsid w:val="00157BAB"/>
    <w:rsid w:val="001654D1"/>
    <w:rsid w:val="00174518"/>
    <w:rsid w:val="0018099E"/>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26640"/>
    <w:rsid w:val="00235629"/>
    <w:rsid w:val="00256262"/>
    <w:rsid w:val="00260C38"/>
    <w:rsid w:val="002616C0"/>
    <w:rsid w:val="00264FA2"/>
    <w:rsid w:val="00265372"/>
    <w:rsid w:val="002662AA"/>
    <w:rsid w:val="0027224D"/>
    <w:rsid w:val="00280496"/>
    <w:rsid w:val="00294DC9"/>
    <w:rsid w:val="00295495"/>
    <w:rsid w:val="002A31DE"/>
    <w:rsid w:val="002B2613"/>
    <w:rsid w:val="002D6D05"/>
    <w:rsid w:val="002F1818"/>
    <w:rsid w:val="002F567B"/>
    <w:rsid w:val="003216A9"/>
    <w:rsid w:val="00335A74"/>
    <w:rsid w:val="0036561B"/>
    <w:rsid w:val="0037013F"/>
    <w:rsid w:val="00380C92"/>
    <w:rsid w:val="00394E7F"/>
    <w:rsid w:val="003A484F"/>
    <w:rsid w:val="003A4883"/>
    <w:rsid w:val="003B0BE0"/>
    <w:rsid w:val="003B0C1B"/>
    <w:rsid w:val="003B688C"/>
    <w:rsid w:val="003C0291"/>
    <w:rsid w:val="003C39AE"/>
    <w:rsid w:val="003C7B60"/>
    <w:rsid w:val="003D0C0F"/>
    <w:rsid w:val="003D1FB2"/>
    <w:rsid w:val="003D53FE"/>
    <w:rsid w:val="003D66DA"/>
    <w:rsid w:val="003E1310"/>
    <w:rsid w:val="003E6F55"/>
    <w:rsid w:val="003E6FE4"/>
    <w:rsid w:val="00406254"/>
    <w:rsid w:val="004223DE"/>
    <w:rsid w:val="00434489"/>
    <w:rsid w:val="00437085"/>
    <w:rsid w:val="00443880"/>
    <w:rsid w:val="00445607"/>
    <w:rsid w:val="004464F4"/>
    <w:rsid w:val="00471401"/>
    <w:rsid w:val="00472EC3"/>
    <w:rsid w:val="00473F31"/>
    <w:rsid w:val="00476DF9"/>
    <w:rsid w:val="0048263A"/>
    <w:rsid w:val="00487E5D"/>
    <w:rsid w:val="004A711F"/>
    <w:rsid w:val="004B199D"/>
    <w:rsid w:val="004B4690"/>
    <w:rsid w:val="004D5479"/>
    <w:rsid w:val="004E0A2D"/>
    <w:rsid w:val="004E206B"/>
    <w:rsid w:val="004E6DF7"/>
    <w:rsid w:val="004F0FBD"/>
    <w:rsid w:val="00505A47"/>
    <w:rsid w:val="00512FDA"/>
    <w:rsid w:val="00520DA0"/>
    <w:rsid w:val="005221E7"/>
    <w:rsid w:val="005269A7"/>
    <w:rsid w:val="005269D7"/>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5F81"/>
    <w:rsid w:val="0065271A"/>
    <w:rsid w:val="0066343B"/>
    <w:rsid w:val="00664777"/>
    <w:rsid w:val="006748A4"/>
    <w:rsid w:val="00681A31"/>
    <w:rsid w:val="00683E73"/>
    <w:rsid w:val="006A3141"/>
    <w:rsid w:val="006A5E34"/>
    <w:rsid w:val="006B2422"/>
    <w:rsid w:val="006B2B9A"/>
    <w:rsid w:val="006C1937"/>
    <w:rsid w:val="006E2684"/>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D4A41"/>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632E0"/>
    <w:rsid w:val="00871F71"/>
    <w:rsid w:val="00872FD8"/>
    <w:rsid w:val="00885AF4"/>
    <w:rsid w:val="00892977"/>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D8"/>
    <w:rsid w:val="00935C98"/>
    <w:rsid w:val="00946945"/>
    <w:rsid w:val="00950D48"/>
    <w:rsid w:val="00951248"/>
    <w:rsid w:val="0095152F"/>
    <w:rsid w:val="00954C49"/>
    <w:rsid w:val="00955E37"/>
    <w:rsid w:val="00962656"/>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11E4"/>
    <w:rsid w:val="00B03C9D"/>
    <w:rsid w:val="00B060AE"/>
    <w:rsid w:val="00B10517"/>
    <w:rsid w:val="00B14E76"/>
    <w:rsid w:val="00B161B8"/>
    <w:rsid w:val="00B2048C"/>
    <w:rsid w:val="00B20FF3"/>
    <w:rsid w:val="00B310B9"/>
    <w:rsid w:val="00B35F3F"/>
    <w:rsid w:val="00B36CBB"/>
    <w:rsid w:val="00B425E0"/>
    <w:rsid w:val="00B440AA"/>
    <w:rsid w:val="00B44B70"/>
    <w:rsid w:val="00B53C56"/>
    <w:rsid w:val="00B54DB4"/>
    <w:rsid w:val="00B57DAF"/>
    <w:rsid w:val="00B77EA6"/>
    <w:rsid w:val="00B81598"/>
    <w:rsid w:val="00B841F1"/>
    <w:rsid w:val="00B90E4E"/>
    <w:rsid w:val="00B944D6"/>
    <w:rsid w:val="00B965DC"/>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6735A"/>
    <w:rsid w:val="00D7035F"/>
    <w:rsid w:val="00DA634F"/>
    <w:rsid w:val="00DA65AC"/>
    <w:rsid w:val="00DB1913"/>
    <w:rsid w:val="00DC410D"/>
    <w:rsid w:val="00DC5A81"/>
    <w:rsid w:val="00DC68CA"/>
    <w:rsid w:val="00DC74B0"/>
    <w:rsid w:val="00DC7CBA"/>
    <w:rsid w:val="00DD73B7"/>
    <w:rsid w:val="00DF1C39"/>
    <w:rsid w:val="00DF28BC"/>
    <w:rsid w:val="00DF34B9"/>
    <w:rsid w:val="00E01053"/>
    <w:rsid w:val="00E07ACF"/>
    <w:rsid w:val="00E32CAD"/>
    <w:rsid w:val="00E331A1"/>
    <w:rsid w:val="00E33202"/>
    <w:rsid w:val="00E336A9"/>
    <w:rsid w:val="00E472B1"/>
    <w:rsid w:val="00E50624"/>
    <w:rsid w:val="00E568DF"/>
    <w:rsid w:val="00E64269"/>
    <w:rsid w:val="00E70975"/>
    <w:rsid w:val="00E82267"/>
    <w:rsid w:val="00E853CE"/>
    <w:rsid w:val="00E867B6"/>
    <w:rsid w:val="00EA010F"/>
    <w:rsid w:val="00ED1B63"/>
    <w:rsid w:val="00ED3C1F"/>
    <w:rsid w:val="00ED4085"/>
    <w:rsid w:val="00ED420E"/>
    <w:rsid w:val="00ED6FBE"/>
    <w:rsid w:val="00EE2F57"/>
    <w:rsid w:val="00EF4C34"/>
    <w:rsid w:val="00EF60EF"/>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952C9"/>
    <w:rsid w:val="00FA23E8"/>
    <w:rsid w:val="00FD3CC1"/>
    <w:rsid w:val="00FF1E02"/>
    <w:rsid w:val="00FF30B4"/>
    <w:rsid w:val="01FD3414"/>
    <w:rsid w:val="04F23B5A"/>
    <w:rsid w:val="08136B22"/>
    <w:rsid w:val="0858227F"/>
    <w:rsid w:val="099C1A54"/>
    <w:rsid w:val="0A2032A3"/>
    <w:rsid w:val="0AF13BEA"/>
    <w:rsid w:val="0D4F3D6D"/>
    <w:rsid w:val="0F13152B"/>
    <w:rsid w:val="10283467"/>
    <w:rsid w:val="10C055FF"/>
    <w:rsid w:val="118107EC"/>
    <w:rsid w:val="11FE11FD"/>
    <w:rsid w:val="134A0A16"/>
    <w:rsid w:val="1525511C"/>
    <w:rsid w:val="156F0C3D"/>
    <w:rsid w:val="16002E0D"/>
    <w:rsid w:val="16BB723D"/>
    <w:rsid w:val="16C2680D"/>
    <w:rsid w:val="193F4010"/>
    <w:rsid w:val="1ADC0AEE"/>
    <w:rsid w:val="1BBB0703"/>
    <w:rsid w:val="1BEA41E8"/>
    <w:rsid w:val="1C330BE1"/>
    <w:rsid w:val="1D132287"/>
    <w:rsid w:val="1D155CEE"/>
    <w:rsid w:val="1FEC49A4"/>
    <w:rsid w:val="21B56C89"/>
    <w:rsid w:val="21E66358"/>
    <w:rsid w:val="231E1A1E"/>
    <w:rsid w:val="23711EFE"/>
    <w:rsid w:val="23E92A2C"/>
    <w:rsid w:val="240371BF"/>
    <w:rsid w:val="244514B2"/>
    <w:rsid w:val="249C38E9"/>
    <w:rsid w:val="24A71B59"/>
    <w:rsid w:val="26516713"/>
    <w:rsid w:val="27411E9D"/>
    <w:rsid w:val="299C7CD0"/>
    <w:rsid w:val="29FD04D3"/>
    <w:rsid w:val="2BCE0FE8"/>
    <w:rsid w:val="2C060A3E"/>
    <w:rsid w:val="2EE15CBF"/>
    <w:rsid w:val="2FB84DE5"/>
    <w:rsid w:val="2FEE74A7"/>
    <w:rsid w:val="319F7F4E"/>
    <w:rsid w:val="31C84915"/>
    <w:rsid w:val="326B7F22"/>
    <w:rsid w:val="33C50CE2"/>
    <w:rsid w:val="367E106C"/>
    <w:rsid w:val="369A64FE"/>
    <w:rsid w:val="38AB11E3"/>
    <w:rsid w:val="3BC96A6C"/>
    <w:rsid w:val="3D695DB9"/>
    <w:rsid w:val="3D8A539D"/>
    <w:rsid w:val="3E1D2F5C"/>
    <w:rsid w:val="3E594080"/>
    <w:rsid w:val="3EF375CD"/>
    <w:rsid w:val="40813D5A"/>
    <w:rsid w:val="42BF022A"/>
    <w:rsid w:val="432B24DF"/>
    <w:rsid w:val="44F570EB"/>
    <w:rsid w:val="48AE4D68"/>
    <w:rsid w:val="4A34774F"/>
    <w:rsid w:val="4A7260CF"/>
    <w:rsid w:val="4B6C4CC7"/>
    <w:rsid w:val="4BC07F40"/>
    <w:rsid w:val="4C7B5A63"/>
    <w:rsid w:val="4E8B1F38"/>
    <w:rsid w:val="4ECE2238"/>
    <w:rsid w:val="4F000A4C"/>
    <w:rsid w:val="524B1ADA"/>
    <w:rsid w:val="5590585B"/>
    <w:rsid w:val="56296997"/>
    <w:rsid w:val="57EF1042"/>
    <w:rsid w:val="583628E4"/>
    <w:rsid w:val="59215342"/>
    <w:rsid w:val="59FC1937"/>
    <w:rsid w:val="5AB63E20"/>
    <w:rsid w:val="5D513758"/>
    <w:rsid w:val="5DA1631A"/>
    <w:rsid w:val="5E66119C"/>
    <w:rsid w:val="5E6A65B7"/>
    <w:rsid w:val="5F6D00DB"/>
    <w:rsid w:val="61565DA5"/>
    <w:rsid w:val="632D1CB6"/>
    <w:rsid w:val="63B868A3"/>
    <w:rsid w:val="65BD2897"/>
    <w:rsid w:val="68175EF4"/>
    <w:rsid w:val="687E455F"/>
    <w:rsid w:val="6A8B6AC0"/>
    <w:rsid w:val="6AA43EF9"/>
    <w:rsid w:val="6B06285A"/>
    <w:rsid w:val="6B340F05"/>
    <w:rsid w:val="6C015E83"/>
    <w:rsid w:val="6C4A05C8"/>
    <w:rsid w:val="6CAB169B"/>
    <w:rsid w:val="6CB82FA4"/>
    <w:rsid w:val="6E0F006D"/>
    <w:rsid w:val="6FC76307"/>
    <w:rsid w:val="71877BA0"/>
    <w:rsid w:val="72734D90"/>
    <w:rsid w:val="73E05633"/>
    <w:rsid w:val="76FE2CBD"/>
    <w:rsid w:val="771D13E7"/>
    <w:rsid w:val="79002A57"/>
    <w:rsid w:val="7911602C"/>
    <w:rsid w:val="799C16EC"/>
    <w:rsid w:val="7A1121F7"/>
    <w:rsid w:val="7AD44EA4"/>
    <w:rsid w:val="7D2D6AA0"/>
    <w:rsid w:val="7E1E11FD"/>
    <w:rsid w:val="7E3A2444"/>
    <w:rsid w:val="7E7F0292"/>
    <w:rsid w:val="9D7FECB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8"/>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29"/>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unhideWhenUsed/>
    <w:qFormat/>
    <w:uiPriority w:val="39"/>
    <w:pPr>
      <w:ind w:left="1260"/>
      <w:jc w:val="left"/>
    </w:pPr>
    <w:rPr>
      <w:rFonts w:asciiTheme="minorHAnsi" w:eastAsiaTheme="minorHAnsi"/>
      <w:sz w:val="18"/>
      <w:szCs w:val="18"/>
    </w:rPr>
  </w:style>
  <w:style w:type="paragraph" w:styleId="6">
    <w:name w:val="Body Text"/>
    <w:basedOn w:val="1"/>
    <w:link w:val="36"/>
    <w:qFormat/>
    <w:uiPriority w:val="99"/>
    <w:pPr>
      <w:spacing w:beforeLines="30"/>
    </w:pPr>
    <w:rPr>
      <w:rFonts w:ascii="仿宋_GB2312" w:eastAsia="仿宋_GB2312"/>
      <w:kern w:val="0"/>
      <w:sz w:val="24"/>
      <w:szCs w:val="20"/>
      <w:lang w:val="zh-CN"/>
    </w:rPr>
  </w:style>
  <w:style w:type="paragraph" w:styleId="7">
    <w:name w:val="Body Text Indent"/>
    <w:basedOn w:val="1"/>
    <w:next w:val="8"/>
    <w:qFormat/>
    <w:uiPriority w:val="0"/>
    <w:pPr>
      <w:spacing w:line="560" w:lineRule="atLeast"/>
      <w:ind w:firstLine="640" w:firstLineChars="200"/>
    </w:pPr>
    <w:rPr>
      <w:rFonts w:ascii="仿宋_GB2312" w:eastAsia="仿宋_GB2312"/>
      <w:sz w:val="32"/>
    </w:rPr>
  </w:style>
  <w:style w:type="paragraph" w:styleId="8">
    <w:name w:val="Body Text First Indent 2"/>
    <w:basedOn w:val="7"/>
    <w:next w:val="1"/>
    <w:qFormat/>
    <w:uiPriority w:val="0"/>
    <w:pPr>
      <w:ind w:firstLine="420"/>
    </w:pPr>
    <w:rPr>
      <w:rFonts w:ascii="Times New Roman" w:eastAsia="宋体"/>
    </w:rPr>
  </w:style>
  <w:style w:type="paragraph" w:styleId="9">
    <w:name w:val="toc 5"/>
    <w:basedOn w:val="1"/>
    <w:next w:val="1"/>
    <w:unhideWhenUsed/>
    <w:qFormat/>
    <w:uiPriority w:val="39"/>
    <w:pPr>
      <w:ind w:left="840"/>
      <w:jc w:val="left"/>
    </w:pPr>
    <w:rPr>
      <w:rFonts w:asciiTheme="minorHAnsi" w:eastAsiaTheme="minorHAnsi"/>
      <w:sz w:val="18"/>
      <w:szCs w:val="18"/>
    </w:rPr>
  </w:style>
  <w:style w:type="paragraph" w:styleId="10">
    <w:name w:val="toc 3"/>
    <w:basedOn w:val="1"/>
    <w:next w:val="1"/>
    <w:unhideWhenUsed/>
    <w:qFormat/>
    <w:uiPriority w:val="39"/>
    <w:pPr>
      <w:ind w:left="420"/>
      <w:jc w:val="left"/>
    </w:pPr>
    <w:rPr>
      <w:rFonts w:asciiTheme="minorHAnsi" w:eastAsiaTheme="minorHAnsi"/>
      <w:i/>
      <w:iCs/>
      <w:sz w:val="20"/>
      <w:szCs w:val="20"/>
    </w:rPr>
  </w:style>
  <w:style w:type="paragraph" w:styleId="11">
    <w:name w:val="toc 8"/>
    <w:basedOn w:val="1"/>
    <w:next w:val="1"/>
    <w:unhideWhenUsed/>
    <w:qFormat/>
    <w:uiPriority w:val="39"/>
    <w:pPr>
      <w:ind w:left="1470"/>
      <w:jc w:val="left"/>
    </w:pPr>
    <w:rPr>
      <w:rFonts w:asciiTheme="minorHAnsi" w:eastAsiaTheme="minorHAnsi"/>
      <w:sz w:val="18"/>
      <w:szCs w:val="18"/>
    </w:rPr>
  </w:style>
  <w:style w:type="paragraph" w:styleId="12">
    <w:name w:val="Balloon Text"/>
    <w:basedOn w:val="1"/>
    <w:link w:val="31"/>
    <w:semiHidden/>
    <w:unhideWhenUsed/>
    <w:qFormat/>
    <w:uiPriority w:val="99"/>
    <w:rPr>
      <w:sz w:val="18"/>
      <w:szCs w:val="18"/>
    </w:rPr>
  </w:style>
  <w:style w:type="paragraph" w:styleId="13">
    <w:name w:val="footer"/>
    <w:basedOn w:val="1"/>
    <w:link w:val="35"/>
    <w:qFormat/>
    <w:uiPriority w:val="99"/>
    <w:pPr>
      <w:tabs>
        <w:tab w:val="center" w:pos="4153"/>
        <w:tab w:val="right" w:pos="8306"/>
      </w:tabs>
      <w:snapToGrid w:val="0"/>
      <w:jc w:val="left"/>
    </w:pPr>
    <w:rPr>
      <w:rFonts w:ascii="Calibri" w:hAnsi="Calibri"/>
      <w:kern w:val="0"/>
      <w:sz w:val="18"/>
      <w:szCs w:val="20"/>
      <w:lang w:val="zh-CN"/>
    </w:rPr>
  </w:style>
  <w:style w:type="paragraph" w:styleId="14">
    <w:name w:val="header"/>
    <w:basedOn w:val="1"/>
    <w:link w:val="34"/>
    <w:semiHidden/>
    <w:qFormat/>
    <w:uiPriority w:val="99"/>
    <w:pPr>
      <w:pBdr>
        <w:bottom w:val="single" w:color="auto" w:sz="6" w:space="1"/>
      </w:pBdr>
      <w:tabs>
        <w:tab w:val="center" w:pos="4153"/>
        <w:tab w:val="right" w:pos="8306"/>
      </w:tabs>
      <w:snapToGrid w:val="0"/>
      <w:jc w:val="center"/>
    </w:pPr>
    <w:rPr>
      <w:rFonts w:ascii="Calibri" w:hAnsi="Calibri"/>
      <w:kern w:val="0"/>
      <w:sz w:val="18"/>
      <w:szCs w:val="20"/>
      <w:lang w:val="zh-CN"/>
    </w:rPr>
  </w:style>
  <w:style w:type="paragraph" w:styleId="15">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6">
    <w:name w:val="toc 4"/>
    <w:basedOn w:val="1"/>
    <w:next w:val="1"/>
    <w:unhideWhenUsed/>
    <w:qFormat/>
    <w:uiPriority w:val="39"/>
    <w:pPr>
      <w:ind w:left="630"/>
      <w:jc w:val="left"/>
    </w:pPr>
    <w:rPr>
      <w:rFonts w:asciiTheme="minorHAnsi" w:eastAsiaTheme="minorHAnsi"/>
      <w:sz w:val="18"/>
      <w:szCs w:val="18"/>
    </w:rPr>
  </w:style>
  <w:style w:type="paragraph" w:styleId="17">
    <w:name w:val="toc 6"/>
    <w:basedOn w:val="1"/>
    <w:next w:val="1"/>
    <w:unhideWhenUsed/>
    <w:qFormat/>
    <w:uiPriority w:val="39"/>
    <w:pPr>
      <w:ind w:left="1050"/>
      <w:jc w:val="left"/>
    </w:pPr>
    <w:rPr>
      <w:rFonts w:asciiTheme="minorHAnsi" w:eastAsiaTheme="minorHAnsi"/>
      <w:sz w:val="18"/>
      <w:szCs w:val="18"/>
    </w:rPr>
  </w:style>
  <w:style w:type="paragraph" w:styleId="18">
    <w:name w:val="toc 2"/>
    <w:basedOn w:val="1"/>
    <w:next w:val="1"/>
    <w:unhideWhenUsed/>
    <w:qFormat/>
    <w:uiPriority w:val="39"/>
    <w:pPr>
      <w:ind w:left="210"/>
      <w:jc w:val="left"/>
    </w:pPr>
    <w:rPr>
      <w:rFonts w:asciiTheme="minorHAnsi" w:eastAsiaTheme="minorHAnsi"/>
      <w:smallCaps/>
      <w:sz w:val="20"/>
      <w:szCs w:val="20"/>
    </w:rPr>
  </w:style>
  <w:style w:type="paragraph" w:styleId="19">
    <w:name w:val="toc 9"/>
    <w:basedOn w:val="1"/>
    <w:next w:val="1"/>
    <w:unhideWhenUsed/>
    <w:qFormat/>
    <w:uiPriority w:val="39"/>
    <w:pPr>
      <w:ind w:left="1680"/>
      <w:jc w:val="left"/>
    </w:pPr>
    <w:rPr>
      <w:rFonts w:asciiTheme="minorHAnsi" w:eastAsiaTheme="minorHAnsi"/>
      <w:sz w:val="18"/>
      <w:szCs w:val="18"/>
    </w:rPr>
  </w:style>
  <w:style w:type="paragraph" w:styleId="20">
    <w:name w:val="Normal (Web)"/>
    <w:basedOn w:val="1"/>
    <w:qFormat/>
    <w:uiPriority w:val="0"/>
    <w:pPr>
      <w:spacing w:before="0" w:beforeAutospacing="1" w:after="0" w:afterAutospacing="1"/>
      <w:ind w:left="0" w:right="0"/>
      <w:jc w:val="left"/>
    </w:pPr>
    <w:rPr>
      <w:kern w:val="0"/>
      <w:sz w:val="24"/>
      <w:lang w:val="en-US" w:eastAsia="zh-CN"/>
    </w:rPr>
  </w:style>
  <w:style w:type="character" w:styleId="23">
    <w:name w:val="Strong"/>
    <w:basedOn w:val="22"/>
    <w:qFormat/>
    <w:uiPriority w:val="99"/>
    <w:rPr>
      <w:rFonts w:cs="Times New Roman"/>
      <w:b/>
    </w:rPr>
  </w:style>
  <w:style w:type="character" w:styleId="24">
    <w:name w:val="Hyperlink"/>
    <w:basedOn w:val="22"/>
    <w:unhideWhenUsed/>
    <w:qFormat/>
    <w:uiPriority w:val="99"/>
    <w:rPr>
      <w:rFonts w:cs="Times New Roman"/>
      <w:color w:val="0000FF"/>
      <w:u w:val="single"/>
    </w:rPr>
  </w:style>
  <w:style w:type="paragraph" w:customStyle="1" w:styleId="25">
    <w:name w:val="标题 5（有编号）（绿盟科技）"/>
    <w:basedOn w:val="1"/>
    <w:next w:val="26"/>
    <w:qFormat/>
    <w:uiPriority w:val="0"/>
    <w:pPr>
      <w:keepNext/>
      <w:keepLines/>
      <w:widowControl w:val="0"/>
      <w:numPr>
        <w:ilvl w:val="4"/>
        <w:numId w:val="1"/>
      </w:numPr>
      <w:spacing w:before="280" w:after="156" w:line="377" w:lineRule="auto"/>
      <w:outlineLvl w:val="4"/>
    </w:pPr>
    <w:rPr>
      <w:rFonts w:ascii="Arial" w:hAnsi="Arial" w:eastAsia="黑体" w:cs="黑体"/>
      <w:b/>
      <w:sz w:val="24"/>
      <w:szCs w:val="28"/>
    </w:rPr>
  </w:style>
  <w:style w:type="paragraph" w:customStyle="1" w:styleId="26">
    <w:name w:val="正文（绿盟科技）"/>
    <w:qFormat/>
    <w:uiPriority w:val="0"/>
    <w:pPr>
      <w:spacing w:line="300" w:lineRule="auto"/>
    </w:pPr>
    <w:rPr>
      <w:rFonts w:ascii="Arial" w:hAnsi="Arial" w:eastAsia="宋体" w:cs="黑体"/>
      <w:sz w:val="21"/>
      <w:szCs w:val="21"/>
      <w:lang w:val="en-US" w:eastAsia="zh-CN" w:bidi="ar-SA"/>
    </w:rPr>
  </w:style>
  <w:style w:type="character" w:customStyle="1" w:styleId="27">
    <w:name w:val="标题 1 Char"/>
    <w:basedOn w:val="22"/>
    <w:link w:val="2"/>
    <w:qFormat/>
    <w:locked/>
    <w:uiPriority w:val="9"/>
    <w:rPr>
      <w:rFonts w:ascii="Times New Roman" w:hAnsi="Times New Roman" w:cs="Times New Roman"/>
      <w:b/>
      <w:bCs/>
      <w:kern w:val="44"/>
      <w:sz w:val="44"/>
      <w:szCs w:val="44"/>
    </w:rPr>
  </w:style>
  <w:style w:type="character" w:customStyle="1" w:styleId="28">
    <w:name w:val="标题 2 Char"/>
    <w:basedOn w:val="22"/>
    <w:link w:val="3"/>
    <w:qFormat/>
    <w:locked/>
    <w:uiPriority w:val="9"/>
    <w:rPr>
      <w:rFonts w:ascii="Cambria" w:hAnsi="Cambria" w:eastAsia="宋体" w:cs="Times New Roman"/>
      <w:b/>
      <w:bCs/>
      <w:kern w:val="2"/>
      <w:sz w:val="32"/>
      <w:szCs w:val="32"/>
    </w:rPr>
  </w:style>
  <w:style w:type="character" w:customStyle="1" w:styleId="29">
    <w:name w:val="标题 3 Char"/>
    <w:basedOn w:val="22"/>
    <w:link w:val="4"/>
    <w:qFormat/>
    <w:locked/>
    <w:uiPriority w:val="9"/>
    <w:rPr>
      <w:rFonts w:ascii="Times New Roman" w:hAnsi="Times New Roman" w:cs="Times New Roman"/>
      <w:b/>
      <w:bCs/>
      <w:kern w:val="2"/>
      <w:sz w:val="32"/>
      <w:szCs w:val="32"/>
    </w:rPr>
  </w:style>
  <w:style w:type="character" w:customStyle="1" w:styleId="30">
    <w:name w:val="Body Text Char"/>
    <w:basedOn w:val="22"/>
    <w:semiHidden/>
    <w:qFormat/>
    <w:uiPriority w:val="99"/>
    <w:rPr>
      <w:rFonts w:ascii="Times New Roman" w:hAnsi="Times New Roman" w:cs="Times New Roman"/>
      <w:sz w:val="24"/>
      <w:szCs w:val="24"/>
    </w:rPr>
  </w:style>
  <w:style w:type="character" w:customStyle="1" w:styleId="31">
    <w:name w:val="批注框文本 Char"/>
    <w:basedOn w:val="22"/>
    <w:link w:val="12"/>
    <w:semiHidden/>
    <w:qFormat/>
    <w:locked/>
    <w:uiPriority w:val="99"/>
    <w:rPr>
      <w:rFonts w:ascii="Times New Roman" w:hAnsi="Times New Roman" w:cs="Times New Roman"/>
      <w:kern w:val="2"/>
      <w:sz w:val="18"/>
      <w:szCs w:val="18"/>
    </w:rPr>
  </w:style>
  <w:style w:type="character" w:customStyle="1" w:styleId="32">
    <w:name w:val="Footer Char"/>
    <w:basedOn w:val="22"/>
    <w:semiHidden/>
    <w:qFormat/>
    <w:uiPriority w:val="99"/>
    <w:rPr>
      <w:rFonts w:ascii="Times New Roman" w:hAnsi="Times New Roman" w:cs="Times New Roman"/>
      <w:sz w:val="18"/>
      <w:szCs w:val="18"/>
    </w:rPr>
  </w:style>
  <w:style w:type="character" w:customStyle="1" w:styleId="33">
    <w:name w:val="Header Char"/>
    <w:basedOn w:val="22"/>
    <w:semiHidden/>
    <w:qFormat/>
    <w:uiPriority w:val="99"/>
    <w:rPr>
      <w:rFonts w:ascii="Times New Roman" w:hAnsi="Times New Roman" w:cs="Times New Roman"/>
      <w:sz w:val="18"/>
      <w:szCs w:val="18"/>
    </w:rPr>
  </w:style>
  <w:style w:type="character" w:customStyle="1" w:styleId="34">
    <w:name w:val="页眉 Char"/>
    <w:link w:val="14"/>
    <w:semiHidden/>
    <w:qFormat/>
    <w:locked/>
    <w:uiPriority w:val="99"/>
    <w:rPr>
      <w:sz w:val="18"/>
    </w:rPr>
  </w:style>
  <w:style w:type="character" w:customStyle="1" w:styleId="35">
    <w:name w:val="页脚 Char"/>
    <w:link w:val="13"/>
    <w:qFormat/>
    <w:locked/>
    <w:uiPriority w:val="99"/>
    <w:rPr>
      <w:sz w:val="18"/>
    </w:rPr>
  </w:style>
  <w:style w:type="character" w:customStyle="1" w:styleId="36">
    <w:name w:val="正文文本 Char"/>
    <w:link w:val="6"/>
    <w:qFormat/>
    <w:locked/>
    <w:uiPriority w:val="99"/>
    <w:rPr>
      <w:rFonts w:ascii="仿宋_GB2312" w:hAnsi="Times New Roman" w:eastAsia="仿宋_GB2312"/>
      <w:sz w:val="24"/>
    </w:rPr>
  </w:style>
  <w:style w:type="paragraph" w:customStyle="1" w:styleId="3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8">
    <w:name w:val="列表段落1"/>
    <w:basedOn w:val="1"/>
    <w:qFormat/>
    <w:uiPriority w:val="34"/>
    <w:pPr>
      <w:ind w:firstLine="420" w:firstLineChars="200"/>
    </w:pPr>
  </w:style>
  <w:style w:type="paragraph" w:customStyle="1" w:styleId="39">
    <w:name w:val="TOC 标题1"/>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0">
    <w:name w:val="TOC Heading1"/>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1">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42">
    <w:name w:val="font141"/>
    <w:basedOn w:val="22"/>
    <w:qFormat/>
    <w:uiPriority w:val="0"/>
    <w:rPr>
      <w:sz w:val="24"/>
      <w:szCs w:val="24"/>
    </w:rPr>
  </w:style>
  <w:style w:type="character" w:customStyle="1" w:styleId="43">
    <w:name w:val="NormalCharacter"/>
    <w:semiHidden/>
    <w:qFormat/>
    <w:uiPriority w:val="0"/>
  </w:style>
  <w:style w:type="paragraph" w:styleId="44">
    <w:name w:val="No Spacing"/>
    <w:qFormat/>
    <w:uiPriority w:val="1"/>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025&#24180;&#20915;&#31639;&#20844;&#24320;\&#26032;&#24314;%20XLSX%20&#24037;&#20316;&#349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025&#24180;&#20915;&#31639;&#20844;&#24320;\&#26032;&#24314;%20XLSX%20&#24037;&#20316;&#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025&#24180;&#20915;&#31639;&#20844;&#24320;\&#26032;&#24314;%20XLSX%20&#24037;&#20316;&#349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025&#24180;&#20915;&#31639;&#20844;&#24320;\&#26032;&#24314;%20XLSX%20&#24037;&#20316;&#34920;.xlsx" TargetMode="External"/></Relationships>
</file>

<file path=word/charts/_rels/chart5.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1.xml"/><Relationship Id="rId1" Type="http://schemas.openxmlformats.org/officeDocument/2006/relationships/oleObject" Target="file:///C:\Users\Administrator\Desktop\2025&#24180;&#20915;&#31639;&#20844;&#24320;\&#26032;&#24314;%20XLSX%20&#24037;&#20316;&#3492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esktop\2025&#24180;&#20915;&#31639;&#20844;&#24320;\&#26032;&#24314;%20XLSX%20&#24037;&#20316;&#3492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025&#24180;&#20915;&#31639;&#20844;&#24320;\&#26032;&#24314;%20XLSX%20&#24037;&#20316;&#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收、支决算总计变动情况图</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工作表.xlsx]Sheet1'!$B$8:$B$11</c:f>
              <c:strCache>
                <c:ptCount val="4"/>
                <c:pt idx="0">
                  <c:v>2024年收入</c:v>
                </c:pt>
                <c:pt idx="1">
                  <c:v>2025年收入</c:v>
                </c:pt>
                <c:pt idx="2">
                  <c:v>2024年支出</c:v>
                </c:pt>
                <c:pt idx="3">
                  <c:v>2025年支出</c:v>
                </c:pt>
              </c:strCache>
            </c:strRef>
          </c:cat>
          <c:val>
            <c:numRef>
              <c:f>'[新建 XLSX 工作表.xlsx]Sheet1'!$C$8:$C$11</c:f>
              <c:numCache>
                <c:formatCode>General</c:formatCode>
                <c:ptCount val="4"/>
                <c:pt idx="0">
                  <c:v>388.75</c:v>
                </c:pt>
                <c:pt idx="1">
                  <c:v>263.64</c:v>
                </c:pt>
                <c:pt idx="2">
                  <c:v>388.75</c:v>
                </c:pt>
                <c:pt idx="3">
                  <c:v>263.64</c:v>
                </c:pt>
              </c:numCache>
            </c:numRef>
          </c:val>
        </c:ser>
        <c:dLbls>
          <c:showLegendKey val="0"/>
          <c:showVal val="1"/>
          <c:showCatName val="0"/>
          <c:showSerName val="0"/>
          <c:showPercent val="0"/>
          <c:showBubbleSize val="0"/>
        </c:dLbls>
        <c:gapWidth val="246"/>
        <c:overlap val="-28"/>
        <c:axId val="20212272"/>
        <c:axId val="567457639"/>
      </c:barChart>
      <c:catAx>
        <c:axId val="2021227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7457639"/>
        <c:crosses val="autoZero"/>
        <c:auto val="1"/>
        <c:lblAlgn val="ctr"/>
        <c:lblOffset val="100"/>
        <c:noMultiLvlLbl val="0"/>
      </c:catAx>
      <c:valAx>
        <c:axId val="56745763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2122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工作表.xlsx]Sheet1'!$B$32:$B$38</c:f>
              <c:strCache>
                <c:ptCount val="7"/>
                <c:pt idx="0">
                  <c:v>一般公共预算财政拨款收入</c:v>
                </c:pt>
                <c:pt idx="1">
                  <c:v>政府性基金预算财政拨款收入</c:v>
                </c:pt>
                <c:pt idx="2">
                  <c:v>上级补助收入</c:v>
                </c:pt>
                <c:pt idx="3">
                  <c:v>事业收入</c:v>
                </c:pt>
                <c:pt idx="4">
                  <c:v>经营收入</c:v>
                </c:pt>
                <c:pt idx="5">
                  <c:v>附属单位上缴收入</c:v>
                </c:pt>
                <c:pt idx="6">
                  <c:v>其他收入</c:v>
                </c:pt>
              </c:strCache>
            </c:strRef>
          </c:cat>
          <c:val>
            <c:numRef>
              <c:f>'[新建 XLSX 工作表.xlsx]Sheet1'!$C$32:$C$38</c:f>
              <c:numCache>
                <c:formatCode>General</c:formatCode>
                <c:ptCount val="7"/>
                <c:pt idx="0">
                  <c:v>263.64</c:v>
                </c:pt>
                <c:pt idx="1">
                  <c:v>0</c:v>
                </c:pt>
                <c:pt idx="2">
                  <c:v>0</c:v>
                </c:pt>
                <c:pt idx="3">
                  <c:v>0</c:v>
                </c:pt>
                <c:pt idx="4">
                  <c:v>0</c:v>
                </c:pt>
                <c:pt idx="5">
                  <c:v>0</c:v>
                </c:pt>
                <c:pt idx="6">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工作表.xlsx]Sheet1'!$B$46:$B$47</c:f>
              <c:strCache>
                <c:ptCount val="2"/>
                <c:pt idx="0">
                  <c:v>基本支出</c:v>
                </c:pt>
                <c:pt idx="1">
                  <c:v>项目支出</c:v>
                </c:pt>
              </c:strCache>
            </c:strRef>
          </c:cat>
          <c:val>
            <c:numRef>
              <c:f>'[新建 XLSX 工作表.xlsx]Sheet1'!$C$46:$C$47</c:f>
              <c:numCache>
                <c:formatCode>General</c:formatCode>
                <c:ptCount val="2"/>
                <c:pt idx="0">
                  <c:v>244.64</c:v>
                </c:pt>
                <c:pt idx="1">
                  <c:v>19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工作表.xlsx]Sheet1'!$B$64:$B$65</c:f>
              <c:strCache>
                <c:ptCount val="2"/>
                <c:pt idx="0">
                  <c:v>2024年财政拨款收、支总计</c:v>
                </c:pt>
                <c:pt idx="1">
                  <c:v>2025年财政拨款收、支总计</c:v>
                </c:pt>
              </c:strCache>
            </c:strRef>
          </c:cat>
          <c:val>
            <c:numRef>
              <c:f>'[新建 XLSX 工作表.xlsx]Sheet1'!$C$64:$C$65</c:f>
              <c:numCache>
                <c:formatCode>General</c:formatCode>
                <c:ptCount val="2"/>
                <c:pt idx="0">
                  <c:v>388.75</c:v>
                </c:pt>
                <c:pt idx="1">
                  <c:v>263.64</c:v>
                </c:pt>
              </c:numCache>
            </c:numRef>
          </c:val>
        </c:ser>
        <c:dLbls>
          <c:showLegendKey val="0"/>
          <c:showVal val="1"/>
          <c:showCatName val="0"/>
          <c:showSerName val="0"/>
          <c:showPercent val="0"/>
          <c:showBubbleSize val="0"/>
        </c:dLbls>
        <c:gapWidth val="246"/>
        <c:overlap val="-28"/>
        <c:axId val="280703170"/>
        <c:axId val="477075441"/>
      </c:barChart>
      <c:catAx>
        <c:axId val="28070317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7075441"/>
        <c:crosses val="autoZero"/>
        <c:auto val="1"/>
        <c:lblAlgn val="ctr"/>
        <c:lblOffset val="100"/>
        <c:noMultiLvlLbl val="0"/>
      </c:catAx>
      <c:valAx>
        <c:axId val="47707544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070317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w="31750" cap="rnd">
              <a:noFill/>
              <a:round/>
            </a:ln>
            <a:effectLst/>
            <a:sp3d contourW="31750"/>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工作表.xlsx]Sheet1'!$B$80:$B$83</c:f>
              <c:strCache>
                <c:ptCount val="4"/>
                <c:pt idx="0">
                  <c:v>2024年一般公共预算财政拨款</c:v>
                </c:pt>
                <c:pt idx="1">
                  <c:v>2025年一般公共预算财政拨款</c:v>
                </c:pt>
                <c:pt idx="2">
                  <c:v>2024年政府性基金预算财政拨款</c:v>
                </c:pt>
                <c:pt idx="3">
                  <c:v>2025年政府性基金预算财政拨款</c:v>
                </c:pt>
              </c:strCache>
            </c:strRef>
          </c:cat>
          <c:val>
            <c:numRef>
              <c:f>'[新建 XLSX 工作表.xlsx]Sheet1'!$C$80:$C$83</c:f>
              <c:numCache>
                <c:formatCode>General</c:formatCode>
                <c:ptCount val="4"/>
                <c:pt idx="0">
                  <c:v>384.75</c:v>
                </c:pt>
                <c:pt idx="1">
                  <c:v>263.64</c:v>
                </c:pt>
                <c:pt idx="2">
                  <c:v>4</c:v>
                </c:pt>
                <c:pt idx="3">
                  <c:v>0</c:v>
                </c:pt>
              </c:numCache>
            </c:numRef>
          </c:val>
        </c:ser>
        <c:dLbls>
          <c:showLegendKey val="0"/>
          <c:showVal val="1"/>
          <c:showCatName val="0"/>
          <c:showSerName val="0"/>
          <c:showPercent val="0"/>
          <c:showBubbleSize val="0"/>
        </c:dLbls>
        <c:gapWidth val="183"/>
        <c:overlap val="-26"/>
        <c:axId val="111221846"/>
        <c:axId val="925428331"/>
      </c:barChart>
      <c:catAx>
        <c:axId val="111221846"/>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925428331"/>
        <c:crosses val="autoZero"/>
        <c:auto val="1"/>
        <c:lblAlgn val="ctr"/>
        <c:lblOffset val="100"/>
        <c:noMultiLvlLbl val="0"/>
      </c:catAx>
      <c:valAx>
        <c:axId val="925428331"/>
        <c:scaling>
          <c:orientation val="minMax"/>
        </c:scaling>
        <c:delete val="0"/>
        <c:axPos val="l"/>
        <c:numFmt formatCode="General" sourceLinked="1"/>
        <c:majorTickMark val="out"/>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11122184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Table>
      <c:spPr>
        <a:noFill/>
        <a:ln>
          <a:noFill/>
        </a:ln>
        <a:effectLst/>
      </c:spPr>
    </c:plotArea>
    <c:plotVisOnly val="1"/>
    <c:dispBlanksAs val="gap"/>
    <c:showDLblsOverMax val="0"/>
  </c:chart>
  <c:spPr>
    <a:solidFill>
      <a:schemeClr val="bg1"/>
    </a:solidFill>
    <a:ln w="6350"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工作表.xlsx]Sheet1'!$B$101:$B$104</c:f>
              <c:strCache>
                <c:ptCount val="4"/>
                <c:pt idx="0">
                  <c:v>社会保障和就业支出</c:v>
                </c:pt>
                <c:pt idx="1">
                  <c:v>卫生健康支出</c:v>
                </c:pt>
                <c:pt idx="2">
                  <c:v>商业服务业等支出</c:v>
                </c:pt>
                <c:pt idx="3">
                  <c:v>住房保障支出</c:v>
                </c:pt>
              </c:strCache>
            </c:strRef>
          </c:cat>
          <c:val>
            <c:numRef>
              <c:f>'[新建 XLSX 工作表.xlsx]Sheet1'!$C$101:$C$104</c:f>
              <c:numCache>
                <c:formatCode>General</c:formatCode>
                <c:ptCount val="4"/>
                <c:pt idx="0">
                  <c:v>33.48</c:v>
                </c:pt>
                <c:pt idx="1">
                  <c:v>13.12</c:v>
                </c:pt>
                <c:pt idx="2">
                  <c:v>200.72</c:v>
                </c:pt>
                <c:pt idx="3">
                  <c:v>16.32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a:t>
            </a:r>
            <a:r>
              <a:rPr altLang="en-US"/>
              <a:t>三公</a:t>
            </a:r>
            <a:r>
              <a:rPr lang="en-US" altLang="zh-CN"/>
              <a:t>”</a:t>
            </a:r>
            <a:r>
              <a:rPr altLang="en-US"/>
              <a:t>经费财政拨款支出结构</a:t>
            </a:r>
            <a:endParaRPr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工作表.xlsx]Sheet1'!$B$120:$B$122</c:f>
              <c:strCache>
                <c:ptCount val="3"/>
                <c:pt idx="0">
                  <c:v>因公出国（境）费支出</c:v>
                </c:pt>
                <c:pt idx="1">
                  <c:v>公务用车购置及运行维护费支出</c:v>
                </c:pt>
                <c:pt idx="2">
                  <c:v>公务接待费支出</c:v>
                </c:pt>
              </c:strCache>
            </c:strRef>
          </c:cat>
          <c:val>
            <c:numRef>
              <c:f>'[新建 XLSX 工作表.xlsx]Sheet1'!$C$120:$C$122</c:f>
              <c:numCache>
                <c:formatCode>General</c:formatCode>
                <c:ptCount val="3"/>
                <c:pt idx="0">
                  <c:v>0</c:v>
                </c:pt>
                <c:pt idx="1">
                  <c:v>4</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宝石蓝">
    <a:dk1>
      <a:srgbClr val="000000"/>
    </a:dk1>
    <a:lt1>
      <a:srgbClr val="FFFFFF"/>
    </a:lt1>
    <a:dk2>
      <a:srgbClr val="000000"/>
    </a:dk2>
    <a:lt2>
      <a:srgbClr val="F8F8F8"/>
    </a:lt2>
    <a:accent1>
      <a:srgbClr val="4367FD"/>
    </a:accent1>
    <a:accent2>
      <a:srgbClr val="748BF9"/>
    </a:accent2>
    <a:accent3>
      <a:srgbClr val="AEC7FF"/>
    </a:accent3>
    <a:accent4>
      <a:srgbClr val="578EF9"/>
    </a:accent4>
    <a:accent5>
      <a:srgbClr val="92BEFD"/>
    </a:accent5>
    <a:accent6>
      <a:srgbClr val="CDE4F9"/>
    </a:accent6>
    <a:hlink>
      <a:srgbClr val="5F5F5F"/>
    </a:hlink>
    <a:folHlink>
      <a:srgbClr val="919191"/>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D610A26A-4F96-4E33-A4F8-80E1B883F3E0}">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25</Pages>
  <Words>4357</Words>
  <Characters>4492</Characters>
  <Lines>74</Lines>
  <Paragraphs>21</Paragraphs>
  <TotalTime>10</TotalTime>
  <ScaleCrop>false</ScaleCrop>
  <LinksUpToDate>false</LinksUpToDate>
  <CharactersWithSpaces>4554</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2021-08-06T17:38:00Z</dcterms:created>
  <dc:creator>曹颖</dc:creator>
  <cp:lastModifiedBy>user</cp:lastModifiedBy>
  <cp:lastPrinted>2026-10-22T09:41:00Z</cp:lastPrinted>
  <dcterms:modified xsi:type="dcterms:W3CDTF">2026-10-23T10:27:39Z</dcterms:modified>
  <dc:title>阿坝州部门决算说明</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58F55D11F9784D1F902423A3056CCCF0_13</vt:lpwstr>
  </property>
  <property fmtid="{D5CDD505-2E9C-101B-9397-08002B2CF9AE}" pid="4" name="KSOTemplateDocerSaveRecord">
    <vt:lpwstr>eyJoZGlkIjoiNTY2OWUxMTE0OTFjNjBkMzc4ZDZhNzA3MjM0NjEwMDEiLCJ1c2VySWQiOiI2MDg0NDExMjEifQ==</vt:lpwstr>
  </property>
</Properties>
</file>