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5F8AF">
      <w:pPr>
        <w:pStyle w:val="5"/>
        <w:pageBreakBefore w:val="0"/>
        <w:kinsoku/>
        <w:wordWrap/>
        <w:overflowPunct/>
        <w:topLinePunct w:val="0"/>
        <w:bidi w:val="0"/>
        <w:spacing w:line="576"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bookmarkStart w:id="80" w:name="_GoBack"/>
      <w:bookmarkEnd w:id="80"/>
    </w:p>
    <w:p w14:paraId="219AAF1D">
      <w:pPr>
        <w:pStyle w:val="5"/>
        <w:pageBreakBefore w:val="0"/>
        <w:kinsoku/>
        <w:wordWrap/>
        <w:overflowPunct/>
        <w:topLinePunct w:val="0"/>
        <w:bidi w:val="0"/>
        <w:spacing w:line="576"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p>
    <w:p w14:paraId="5A295DF4">
      <w:pPr>
        <w:pStyle w:val="5"/>
        <w:pageBreakBefore w:val="0"/>
        <w:kinsoku/>
        <w:wordWrap/>
        <w:overflowPunct/>
        <w:topLinePunct w:val="0"/>
        <w:bidi w:val="0"/>
        <w:spacing w:line="576" w:lineRule="exact"/>
        <w:jc w:val="center"/>
        <w:outlineLvl w:val="0"/>
        <w:rPr>
          <w:rFonts w:hint="default" w:ascii="Times New Roman" w:hAnsi="Times New Roman" w:eastAsia="方正小标宋简体" w:cs="Times New Roman"/>
          <w:color w:val="000000" w:themeColor="text1"/>
          <w:sz w:val="44"/>
          <w:szCs w:val="44"/>
          <w14:textFill>
            <w14:solidFill>
              <w14:schemeClr w14:val="tx1"/>
            </w14:solidFill>
          </w14:textFill>
        </w:rPr>
      </w:pPr>
      <w:bookmarkStart w:id="0" w:name="_Toc15377194"/>
      <w:bookmarkStart w:id="1" w:name="_Toc15306268"/>
      <w:bookmarkStart w:id="2" w:name="_Toc15377426"/>
      <w:bookmarkStart w:id="3" w:name="_Toc15396598"/>
      <w:bookmarkStart w:id="4" w:name="_Toc15396476"/>
      <w:bookmarkStart w:id="5" w:name="_Toc15378442"/>
      <w:r>
        <w:rPr>
          <w:rFonts w:hint="default" w:ascii="Times New Roman" w:hAnsi="Times New Roman" w:eastAsia="方正小标宋简体" w:cs="Times New Roman"/>
          <w:color w:val="000000" w:themeColor="text1"/>
          <w:sz w:val="44"/>
          <w:szCs w:val="44"/>
          <w14:textFill>
            <w14:solidFill>
              <w14:schemeClr w14:val="tx1"/>
            </w14:solidFill>
          </w14:textFill>
        </w:rPr>
        <w:t>阿坝州壤塘县</w:t>
      </w:r>
    </w:p>
    <w:p w14:paraId="5ED77742">
      <w:pPr>
        <w:pStyle w:val="5"/>
        <w:pageBreakBefore w:val="0"/>
        <w:kinsoku/>
        <w:wordWrap/>
        <w:overflowPunct/>
        <w:topLinePunct w:val="0"/>
        <w:bidi w:val="0"/>
        <w:spacing w:line="576" w:lineRule="exact"/>
        <w:jc w:val="center"/>
        <w:outlineLvl w:val="0"/>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202</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44"/>
          <w:szCs w:val="44"/>
          <w14:textFill>
            <w14:solidFill>
              <w14:schemeClr w14:val="tx1"/>
            </w14:solidFill>
          </w14:textFill>
        </w:rPr>
        <w:t>年度壤塘县档案馆部门决算</w:t>
      </w:r>
      <w:bookmarkEnd w:id="0"/>
      <w:bookmarkEnd w:id="1"/>
      <w:bookmarkEnd w:id="2"/>
      <w:bookmarkEnd w:id="3"/>
      <w:bookmarkEnd w:id="4"/>
      <w:bookmarkEnd w:id="5"/>
      <w:r>
        <w:rPr>
          <w:rFonts w:hint="default" w:ascii="Times New Roman" w:hAnsi="Times New Roman" w:eastAsia="方正小标宋简体" w:cs="Times New Roman"/>
          <w:color w:val="000000" w:themeColor="text1"/>
          <w:sz w:val="44"/>
          <w:szCs w:val="44"/>
          <w14:textFill>
            <w14:solidFill>
              <w14:schemeClr w14:val="tx1"/>
            </w14:solidFill>
          </w14:textFill>
        </w:rPr>
        <w:t>公开</w:t>
      </w:r>
    </w:p>
    <w:p w14:paraId="611B6B8A">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themeColor="text1"/>
          <w:sz w:val="48"/>
          <w:szCs w:val="48"/>
          <w14:textFill>
            <w14:solidFill>
              <w14:schemeClr w14:val="tx1"/>
            </w14:solidFill>
          </w14:textFill>
        </w:rPr>
      </w:pPr>
    </w:p>
    <w:p w14:paraId="7D34DD33">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09942134">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66822FEF">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7E29F8EB">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5D0DF983">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335EB79B">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687A4D0E">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49FEC825">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189E137A">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74FEC351">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0AE764DA">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1746BBCE">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41B9751A">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08F5BD28">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320B3FF3">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2F8B079D">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16075E9D">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22E2A86E">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2C9A497A">
      <w:pPr>
        <w:pageBreakBefore w:val="0"/>
        <w:tabs>
          <w:tab w:val="center" w:pos="4153"/>
        </w:tabs>
        <w:kinsoku/>
        <w:wordWrap/>
        <w:overflowPunct/>
        <w:topLinePunct w:val="0"/>
        <w:bidi w:val="0"/>
        <w:spacing w:line="576" w:lineRule="exact"/>
        <w:jc w:val="left"/>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720" w:footer="720" w:gutter="0"/>
          <w:pgBorders>
            <w:top w:val="none" w:sz="0" w:space="0"/>
            <w:left w:val="none" w:sz="0" w:space="0"/>
            <w:bottom w:val="none" w:sz="0" w:space="0"/>
            <w:right w:val="none" w:sz="0" w:space="0"/>
          </w:pgBorders>
          <w:cols w:space="720" w:num="1"/>
          <w:docGrid w:type="lines" w:linePitch="312" w:charSpace="0"/>
        </w:sectPr>
      </w:pPr>
    </w:p>
    <w:p w14:paraId="052E8E04">
      <w:pPr>
        <w:pageBreakBefore w:val="0"/>
        <w:kinsoku/>
        <w:wordWrap/>
        <w:overflowPunct/>
        <w:topLinePunct w:val="0"/>
        <w:bidi w:val="0"/>
        <w:spacing w:line="576" w:lineRule="exact"/>
        <w:jc w:val="center"/>
        <w:outlineLvl w:val="1"/>
        <w:rPr>
          <w:rFonts w:hint="default" w:ascii="Times New Roman" w:hAnsi="Times New Roman" w:eastAsia="黑体" w:cs="Times New Roman"/>
          <w:color w:val="000000" w:themeColor="text1"/>
          <w:sz w:val="48"/>
          <w:szCs w:val="48"/>
          <w14:textFill>
            <w14:solidFill>
              <w14:schemeClr w14:val="tx1"/>
            </w14:solidFill>
          </w14:textFill>
        </w:rPr>
      </w:pPr>
      <w:r>
        <w:rPr>
          <w:rFonts w:hint="default" w:ascii="Times New Roman" w:hAnsi="Times New Roman" w:eastAsia="黑体" w:cs="Times New Roman"/>
          <w:color w:val="000000" w:themeColor="text1"/>
          <w:sz w:val="48"/>
          <w:szCs w:val="48"/>
          <w14:textFill>
            <w14:solidFill>
              <w14:schemeClr w14:val="tx1"/>
            </w14:solidFill>
          </w14:textFill>
        </w:rPr>
        <w:t>目录</w:t>
      </w:r>
    </w:p>
    <w:p w14:paraId="3B3529E7">
      <w:pPr>
        <w:pageBreakBefore w:val="0"/>
        <w:kinsoku/>
        <w:wordWrap/>
        <w:overflowPunct/>
        <w:topLinePunct w:val="0"/>
        <w:bidi w:val="0"/>
        <w:spacing w:line="576" w:lineRule="exact"/>
        <w:jc w:val="center"/>
        <w:outlineLvl w:val="2"/>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公开时间：202</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年10月</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26</w:t>
      </w:r>
      <w:r>
        <w:rPr>
          <w:rFonts w:hint="default" w:ascii="Times New Roman" w:hAnsi="Times New Roman" w:eastAsia="仿宋_GB2312" w:cs="Times New Roman"/>
          <w:color w:val="000000" w:themeColor="text1"/>
          <w:sz w:val="28"/>
          <w:szCs w:val="28"/>
          <w14:textFill>
            <w14:solidFill>
              <w14:schemeClr w14:val="tx1"/>
            </w14:solidFill>
          </w14:textFill>
        </w:rPr>
        <w:t>日</w:t>
      </w:r>
    </w:p>
    <w:p w14:paraId="682C439D">
      <w:pPr>
        <w:pageBreakBefore w:val="0"/>
        <w:tabs>
          <w:tab w:val="left" w:pos="6441"/>
        </w:tabs>
        <w:kinsoku/>
        <w:wordWrap/>
        <w:overflowPunct/>
        <w:topLinePunct w:val="0"/>
        <w:bidi w:val="0"/>
        <w:spacing w:line="576" w:lineRule="exact"/>
        <w:jc w:val="left"/>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ab/>
      </w:r>
    </w:p>
    <w:p w14:paraId="34B4ABB8">
      <w:pPr>
        <w:pStyle w:val="11"/>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TOC \o "1-3" \h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_Toc31589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第一部分 部门概况</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fldChar w:fldCharType="end"/>
      </w:r>
    </w:p>
    <w:p w14:paraId="3BE8DCF6">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_Toc22841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 xml:space="preserve">一、 </w:t>
      </w:r>
      <w:r>
        <w:rPr>
          <w:rFonts w:hint="default" w:ascii="Times New Roman" w:hAnsi="Times New Roman" w:eastAsia="黑体" w:cs="Times New Roman"/>
          <w:color w:val="000000" w:themeColor="text1"/>
          <w14:textFill>
            <w14:solidFill>
              <w14:schemeClr w14:val="tx1"/>
            </w14:solidFill>
          </w14:textFill>
        </w:rPr>
        <w:t>部门职责</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fldChar w:fldCharType="end"/>
      </w:r>
    </w:p>
    <w:p w14:paraId="1797B46B">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_Toc19319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二、机构设置</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p>
    <w:p w14:paraId="2EE90134">
      <w:pPr>
        <w:pStyle w:val="11"/>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_Toc4730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bCs/>
          <w:color w:val="000000" w:themeColor="text1"/>
          <w14:textFill>
            <w14:solidFill>
              <w14:schemeClr w14:val="tx1"/>
            </w14:solidFill>
          </w14:textFill>
        </w:rPr>
        <w:t>第二部分 202</w:t>
      </w:r>
      <w:r>
        <w:rPr>
          <w:rFonts w:hint="default" w:ascii="Times New Roman" w:hAnsi="Times New Roman" w:eastAsia="黑体" w:cs="Times New Roman"/>
          <w:bCs/>
          <w:color w:val="000000" w:themeColor="text1"/>
          <w:lang w:val="en-US" w:eastAsia="zh-CN"/>
          <w14:textFill>
            <w14:solidFill>
              <w14:schemeClr w14:val="tx1"/>
            </w14:solidFill>
          </w14:textFill>
        </w:rPr>
        <w:t>5</w:t>
      </w:r>
      <w:r>
        <w:rPr>
          <w:rFonts w:hint="default" w:ascii="Times New Roman" w:hAnsi="Times New Roman" w:eastAsia="黑体" w:cs="Times New Roman"/>
          <w:bCs/>
          <w:color w:val="000000" w:themeColor="text1"/>
          <w14:textFill>
            <w14:solidFill>
              <w14:schemeClr w14:val="tx1"/>
            </w14:solidFill>
          </w14:textFill>
        </w:rPr>
        <w:t>年度部门决算情况说明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fldChar w:fldCharType="end"/>
      </w:r>
    </w:p>
    <w:p w14:paraId="48498250">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_Toc24938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 xml:space="preserve">一、 </w:t>
      </w:r>
      <w:r>
        <w:rPr>
          <w:rFonts w:hint="default" w:ascii="Times New Roman" w:hAnsi="Times New Roman" w:eastAsia="黑体" w:cs="Times New Roman"/>
          <w:color w:val="000000" w:themeColor="text1"/>
          <w:szCs w:val="32"/>
          <w14:textFill>
            <w14:solidFill>
              <w14:schemeClr w14:val="tx1"/>
            </w14:solidFill>
          </w14:textFill>
        </w:rPr>
        <w:t>收</w:t>
      </w:r>
      <w:r>
        <w:rPr>
          <w:rFonts w:hint="default" w:ascii="Times New Roman" w:hAnsi="Times New Roman" w:eastAsia="黑体" w:cs="Times New Roman"/>
          <w:color w:val="000000" w:themeColor="text1"/>
          <w14:textFill>
            <w14:solidFill>
              <w14:schemeClr w14:val="tx1"/>
            </w14:solidFill>
          </w14:textFill>
        </w:rPr>
        <w:t>入支出决算总体情况说明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fldChar w:fldCharType="end"/>
      </w:r>
    </w:p>
    <w:p w14:paraId="376A279E">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_Toc20772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 xml:space="preserve">二、 </w:t>
      </w:r>
      <w:r>
        <w:rPr>
          <w:rFonts w:hint="default" w:ascii="Times New Roman" w:hAnsi="Times New Roman" w:eastAsia="黑体" w:cs="Times New Roman"/>
          <w:color w:val="000000" w:themeColor="text1"/>
          <w:szCs w:val="32"/>
          <w14:textFill>
            <w14:solidFill>
              <w14:schemeClr w14:val="tx1"/>
            </w14:solidFill>
          </w14:textFill>
        </w:rPr>
        <w:t>收</w:t>
      </w:r>
      <w:r>
        <w:rPr>
          <w:rFonts w:hint="default" w:ascii="Times New Roman" w:hAnsi="Times New Roman" w:eastAsia="黑体" w:cs="Times New Roman"/>
          <w:color w:val="000000" w:themeColor="text1"/>
          <w14:textFill>
            <w14:solidFill>
              <w14:schemeClr w14:val="tx1"/>
            </w14:solidFill>
          </w14:textFill>
        </w:rPr>
        <w:t>入决算情况说明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fldChar w:fldCharType="end"/>
      </w:r>
    </w:p>
    <w:p w14:paraId="05A33E0F">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_Toc26135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 xml:space="preserve">三、 </w:t>
      </w:r>
      <w:r>
        <w:rPr>
          <w:rFonts w:hint="default" w:ascii="Times New Roman" w:hAnsi="Times New Roman" w:eastAsia="黑体" w:cs="Times New Roman"/>
          <w:color w:val="000000" w:themeColor="text1"/>
          <w:szCs w:val="32"/>
          <w14:textFill>
            <w14:solidFill>
              <w14:schemeClr w14:val="tx1"/>
            </w14:solidFill>
          </w14:textFill>
        </w:rPr>
        <w:t>支</w:t>
      </w:r>
      <w:r>
        <w:rPr>
          <w:rFonts w:hint="default" w:ascii="Times New Roman" w:hAnsi="Times New Roman" w:eastAsia="黑体" w:cs="Times New Roman"/>
          <w:color w:val="000000" w:themeColor="text1"/>
          <w14:textFill>
            <w14:solidFill>
              <w14:schemeClr w14:val="tx1"/>
            </w14:solidFill>
          </w14:textFill>
        </w:rPr>
        <w:t>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fldChar w:fldCharType="end"/>
      </w:r>
    </w:p>
    <w:p w14:paraId="295A1F0D">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_Toc10701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32"/>
          <w14:textFill>
            <w14:solidFill>
              <w14:schemeClr w14:val="tx1"/>
            </w14:solidFill>
          </w14:textFill>
        </w:rPr>
        <w:t>四、财</w:t>
      </w:r>
      <w:r>
        <w:rPr>
          <w:rFonts w:hint="default" w:ascii="Times New Roman" w:hAnsi="Times New Roman" w:eastAsia="黑体" w:cs="Times New Roman"/>
          <w:color w:val="000000" w:themeColor="text1"/>
          <w14:textFill>
            <w14:solidFill>
              <w14:schemeClr w14:val="tx1"/>
            </w14:solidFill>
          </w14:textFill>
        </w:rPr>
        <w:t>政拨款收入支出决算总体情况说明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fldChar w:fldCharType="end"/>
      </w:r>
    </w:p>
    <w:p w14:paraId="52562382">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_Toc18100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32"/>
          <w14:textFill>
            <w14:solidFill>
              <w14:schemeClr w14:val="tx1"/>
            </w14:solidFill>
          </w14:textFill>
        </w:rPr>
        <w:t>五、一</w:t>
      </w:r>
      <w:r>
        <w:rPr>
          <w:rFonts w:hint="default" w:ascii="Times New Roman" w:hAnsi="Times New Roman" w:eastAsia="黑体" w:cs="Times New Roman"/>
          <w:color w:val="000000" w:themeColor="text1"/>
          <w14:textFill>
            <w14:solidFill>
              <w14:schemeClr w14:val="tx1"/>
            </w14:solidFill>
          </w14:textFill>
        </w:rPr>
        <w:t>般公共预算财政拨款支出决算情况说明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fldChar w:fldCharType="end"/>
      </w:r>
    </w:p>
    <w:p w14:paraId="00871547">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_Toc24159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（一）一般公共预算财政拨款支出决算总体情况</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fldChar w:fldCharType="end"/>
      </w:r>
    </w:p>
    <w:p w14:paraId="23B427F3">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_Toc14186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（二）一般公共预算财政拨款支出决算结构情况</w:t>
      </w:r>
      <w:bookmarkStart w:id="6" w:name="_Hlt211858037"/>
      <w:r>
        <w:rPr>
          <w:rFonts w:hint="default" w:ascii="Times New Roman" w:hAnsi="Times New Roman" w:cs="Times New Roman"/>
          <w:color w:val="000000" w:themeColor="text1"/>
          <w14:textFill>
            <w14:solidFill>
              <w14:schemeClr w14:val="tx1"/>
            </w14:solidFill>
          </w14:textFill>
        </w:rPr>
        <w:tab/>
      </w:r>
      <w:bookmarkEnd w:id="6"/>
      <w:r>
        <w:rPr>
          <w:rFonts w:hint="eastAsia"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fldChar w:fldCharType="end"/>
      </w:r>
    </w:p>
    <w:p w14:paraId="16EA7484">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_Toc19092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（三）一般公共预算财政拨款支出决算具体情况</w:t>
      </w:r>
      <w:bookmarkStart w:id="7" w:name="_Hlt211858098"/>
      <w:r>
        <w:rPr>
          <w:rFonts w:hint="default" w:ascii="Times New Roman" w:hAnsi="Times New Roman" w:cs="Times New Roman"/>
          <w:color w:val="000000" w:themeColor="text1"/>
          <w14:textFill>
            <w14:solidFill>
              <w14:schemeClr w14:val="tx1"/>
            </w14:solidFill>
          </w14:textFill>
        </w:rPr>
        <w:tab/>
      </w:r>
      <w:bookmarkEnd w:id="7"/>
      <w:r>
        <w:rPr>
          <w:rFonts w:hint="eastAsia"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fldChar w:fldCharType="end"/>
      </w:r>
    </w:p>
    <w:p w14:paraId="05CCB452">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_Toc7777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32"/>
          <w14:textFill>
            <w14:solidFill>
              <w14:schemeClr w14:val="tx1"/>
            </w14:solidFill>
          </w14:textFill>
        </w:rPr>
        <w:t>六、一</w:t>
      </w:r>
      <w:r>
        <w:rPr>
          <w:rFonts w:hint="default" w:ascii="Times New Roman" w:hAnsi="Times New Roman" w:eastAsia="黑体" w:cs="Times New Roman"/>
          <w:color w:val="000000" w:themeColor="text1"/>
          <w14:textFill>
            <w14:solidFill>
              <w14:schemeClr w14:val="tx1"/>
            </w14:solidFill>
          </w14:textFill>
        </w:rPr>
        <w:t>般公共预算财政拨款基本支出决算情况说明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fldChar w:fldCharType="end"/>
      </w:r>
    </w:p>
    <w:p w14:paraId="0176590A">
      <w:pPr>
        <w:pStyle w:val="12"/>
        <w:pageBreakBefore w:val="0"/>
        <w:tabs>
          <w:tab w:val="right" w:leader="dot" w:pos="8306"/>
          <w:tab w:val="clear" w:pos="829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_Toc201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32"/>
          <w14:textFill>
            <w14:solidFill>
              <w14:schemeClr w14:val="tx1"/>
            </w14:solidFill>
          </w14:textFill>
        </w:rPr>
        <w:t>七、</w:t>
      </w:r>
      <w:r>
        <w:rPr>
          <w:rFonts w:hint="default" w:ascii="Times New Roman" w:hAnsi="Times New Roman" w:eastAsia="黑体" w:cs="Times New Roman"/>
          <w:color w:val="000000" w:themeColor="text1"/>
          <w14:textFill>
            <w14:solidFill>
              <w14:schemeClr w14:val="tx1"/>
            </w14:solidFill>
          </w14:textFill>
        </w:rPr>
        <w:t>财政拨款“三公”经费支出决算情况说明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0</w:t>
      </w:r>
    </w:p>
    <w:p w14:paraId="1F1D7D8C">
      <w:pPr>
        <w:pStyle w:val="8"/>
        <w:pageBreakBefore w:val="0"/>
        <w:tabs>
          <w:tab w:val="right" w:leader="dot" w:pos="830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_Toc29835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（一）“三公”经费财政拨款支出决算总体情况说明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0</w:t>
      </w:r>
    </w:p>
    <w:p w14:paraId="10D715C5">
      <w:pPr>
        <w:pStyle w:val="8"/>
        <w:pageBreakBefore w:val="0"/>
        <w:tabs>
          <w:tab w:val="right" w:leader="dot" w:pos="830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_Toc1027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（二）“三公”经费财政拨款支出决算具体情况说明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0</w:t>
      </w:r>
    </w:p>
    <w:p w14:paraId="6B7A1546">
      <w:pPr>
        <w:pStyle w:val="12"/>
        <w:pageBreakBefore w:val="0"/>
        <w:tabs>
          <w:tab w:val="right" w:leader="dot" w:pos="8306"/>
          <w:tab w:val="clear" w:pos="829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_Toc8784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32"/>
          <w14:textFill>
            <w14:solidFill>
              <w14:schemeClr w14:val="tx1"/>
            </w14:solidFill>
          </w14:textFill>
        </w:rPr>
        <w:t>八、</w:t>
      </w:r>
      <w:r>
        <w:rPr>
          <w:rFonts w:hint="default" w:ascii="Times New Roman" w:hAnsi="Times New Roman" w:eastAsia="黑体" w:cs="Times New Roman"/>
          <w:color w:val="000000" w:themeColor="text1"/>
          <w14:textFill>
            <w14:solidFill>
              <w14:schemeClr w14:val="tx1"/>
            </w14:solidFill>
          </w14:textFill>
        </w:rPr>
        <w:t>政府性基金预算支出决算情况说明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0</w:t>
      </w:r>
    </w:p>
    <w:p w14:paraId="036A9C25">
      <w:pPr>
        <w:pStyle w:val="12"/>
        <w:pageBreakBefore w:val="0"/>
        <w:tabs>
          <w:tab w:val="right" w:leader="dot" w:pos="8306"/>
          <w:tab w:val="clear" w:pos="829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_Toc31354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九、 国有资本经营预算支出决算情况说明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1</w:t>
      </w:r>
    </w:p>
    <w:p w14:paraId="5BF38026">
      <w:pPr>
        <w:pStyle w:val="12"/>
        <w:pageBreakBefore w:val="0"/>
        <w:tabs>
          <w:tab w:val="right" w:leader="dot" w:pos="8306"/>
          <w:tab w:val="clear" w:pos="8296"/>
        </w:tabs>
        <w:kinsoku/>
        <w:wordWrap/>
        <w:overflowPunct/>
        <w:topLinePunct w:val="0"/>
        <w:bidi w:val="0"/>
        <w:spacing w:line="576" w:lineRule="exact"/>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_Toc19766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十、 其他重要事项的情况说明</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1</w:t>
      </w:r>
    </w:p>
    <w:p w14:paraId="336CA8EB">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_Toc9736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（一）机关运行经费支出情况</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_Toc9736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27AF151">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_Toc16498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（二）政府采购支出情</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_Toc16498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902174D">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_Toc31428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（三）国有资产占有使用情况</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_Toc31428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9ABE4A8">
      <w:pPr>
        <w:pStyle w:val="8"/>
        <w:pageBreakBefore w:val="0"/>
        <w:tabs>
          <w:tab w:val="right" w:leader="dot" w:pos="830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_Toc1679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仿宋" w:cs="Times New Roman"/>
          <w:color w:val="000000" w:themeColor="text1"/>
          <w:szCs w:val="32"/>
          <w14:textFill>
            <w14:solidFill>
              <w14:schemeClr w14:val="tx1"/>
            </w14:solidFill>
          </w14:textFill>
        </w:rPr>
        <w:t>（四）预算绩效管理情况</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_Toc1679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7304DC3">
      <w:pPr>
        <w:pStyle w:val="11"/>
        <w:pageBreakBefore w:val="0"/>
        <w:tabs>
          <w:tab w:val="right" w:leader="dot" w:pos="8306"/>
          <w:tab w:val="clear" w:pos="8296"/>
        </w:tabs>
        <w:kinsoku/>
        <w:wordWrap/>
        <w:overflowPunct/>
        <w:topLinePunct w:val="0"/>
        <w:bidi w:val="0"/>
        <w:spacing w:line="576" w:lineRule="exact"/>
        <w:rPr>
          <w:rFonts w:hint="eastAsia"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_Toc27798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14:textFill>
            <w14:solidFill>
              <w14:schemeClr w14:val="tx1"/>
            </w14:solidFill>
          </w14:textFill>
        </w:rPr>
        <w:t xml:space="preserve">第三部分 </w:t>
      </w:r>
      <w:r>
        <w:rPr>
          <w:rFonts w:hint="default" w:ascii="Times New Roman" w:hAnsi="Times New Roman" w:eastAsia="黑体" w:cs="Times New Roman"/>
          <w:color w:val="000000" w:themeColor="text1"/>
          <w:szCs w:val="44"/>
          <w14:textFill>
            <w14:solidFill>
              <w14:schemeClr w14:val="tx1"/>
            </w14:solidFill>
          </w14:textFill>
        </w:rPr>
        <w:t>名</w:t>
      </w:r>
      <w:r>
        <w:rPr>
          <w:rFonts w:hint="default" w:ascii="Times New Roman" w:hAnsi="Times New Roman" w:eastAsia="黑体" w:cs="Times New Roman"/>
          <w:color w:val="000000" w:themeColor="text1"/>
          <w14:textFill>
            <w14:solidFill>
              <w14:schemeClr w14:val="tx1"/>
            </w14:solidFill>
          </w14:textFill>
        </w:rPr>
        <w:t>词解释</w:t>
      </w:r>
      <w:r>
        <w:rPr>
          <w:rFonts w:hint="default" w:ascii="Times New Roman" w:hAnsi="Times New Roman" w:cs="Times New Roman"/>
          <w:color w:val="000000" w:themeColor="text1"/>
          <w14:textFill>
            <w14:solidFill>
              <w14:schemeClr w14:val="tx1"/>
            </w14:solidFill>
          </w14:textFill>
        </w:rPr>
        <w:tab/>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3</w:t>
      </w:r>
    </w:p>
    <w:p w14:paraId="26BEAB2B">
      <w:pPr>
        <w:pStyle w:val="11"/>
        <w:pageBreakBefore w:val="0"/>
        <w:tabs>
          <w:tab w:val="right" w:leader="dot" w:pos="8306"/>
          <w:tab w:val="clear" w:pos="8296"/>
        </w:tabs>
        <w:kinsoku/>
        <w:wordWrap/>
        <w:overflowPunct/>
        <w:topLinePunct w:val="0"/>
        <w:bidi w:val="0"/>
        <w:spacing w:line="576" w:lineRule="exact"/>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_Toc12600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eastAsia="黑体" w:cs="Times New Roman"/>
          <w:color w:val="000000" w:themeColor="text1"/>
          <w:szCs w:val="44"/>
          <w14:textFill>
            <w14:solidFill>
              <w14:schemeClr w14:val="tx1"/>
            </w14:solidFill>
          </w14:textFill>
        </w:rPr>
        <w:t>第</w:t>
      </w:r>
      <w:r>
        <w:rPr>
          <w:rFonts w:hint="default" w:ascii="Times New Roman" w:hAnsi="Times New Roman" w:eastAsia="黑体" w:cs="Times New Roman"/>
          <w:color w:val="000000" w:themeColor="text1"/>
          <w14:textFill>
            <w14:solidFill>
              <w14:schemeClr w14:val="tx1"/>
            </w14:solidFill>
          </w14:textFill>
        </w:rPr>
        <w:t>四部分 附件</w:t>
      </w:r>
      <w:bookmarkStart w:id="8" w:name="_Hlt211858209"/>
      <w:bookmarkStart w:id="9" w:name="_Hlt211858181"/>
      <w:r>
        <w:rPr>
          <w:rFonts w:hint="default" w:ascii="Times New Roman" w:hAnsi="Times New Roman" w:cs="Times New Roman"/>
          <w:color w:val="000000" w:themeColor="text1"/>
          <w14:textFill>
            <w14:solidFill>
              <w14:schemeClr w14:val="tx1"/>
            </w14:solidFill>
          </w14:textFill>
        </w:rPr>
        <w:tab/>
      </w:r>
      <w:bookmarkEnd w:id="8"/>
      <w:bookmarkEnd w:id="9"/>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eastAsia" w:ascii="Times New Roman" w:hAnsi="Times New Roman" w:cs="Times New Roman"/>
          <w:color w:val="000000" w:themeColor="text1"/>
          <w:lang w:val="en-US" w:eastAsia="zh-CN"/>
          <w14:textFill>
            <w14:solidFill>
              <w14:schemeClr w14:val="tx1"/>
            </w14:solidFill>
          </w14:textFill>
        </w:rPr>
        <w:t>6</w:t>
      </w:r>
    </w:p>
    <w:p w14:paraId="1EB69835">
      <w:pPr>
        <w:pageBreakBefore w:val="0"/>
        <w:widowControl/>
        <w:kinsoku/>
        <w:wordWrap/>
        <w:overflowPunct/>
        <w:topLinePunct w:val="0"/>
        <w:bidi w:val="0"/>
        <w:spacing w:line="576" w:lineRule="exact"/>
        <w:jc w:val="left"/>
        <w:rPr>
          <w:rFonts w:hint="default" w:ascii="Times New Roman" w:hAnsi="Times New Roman" w:eastAsia="黑体" w:cs="Times New Roman"/>
          <w:color w:val="000000" w:themeColor="text1"/>
          <w:sz w:val="28"/>
          <w:szCs w:val="28"/>
          <w:lang w:val="en-US" w:eastAsia="zh-CN"/>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第五部分 附表......................................................................................</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w:t>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24</w:t>
      </w:r>
    </w:p>
    <w:p w14:paraId="497C4691">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6A586428">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0E30F29E">
      <w:pPr>
        <w:pStyle w:val="12"/>
        <w:pageBreakBefore w:val="0"/>
        <w:tabs>
          <w:tab w:val="right" w:leader="dot" w:pos="8306"/>
          <w:tab w:val="clear" w:pos="8296"/>
        </w:tabs>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5ADC6A83">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end"/>
      </w:r>
    </w:p>
    <w:p w14:paraId="1794F48A">
      <w:pPr>
        <w:pStyle w:val="12"/>
        <w:pageBreakBefore w:val="0"/>
        <w:kinsoku/>
        <w:wordWrap/>
        <w:overflowPunct/>
        <w:topLinePunct w:val="0"/>
        <w:bidi w:val="0"/>
        <w:adjustRightInd w:val="0"/>
        <w:snapToGrid w:val="0"/>
        <w:spacing w:line="576" w:lineRule="exact"/>
        <w:jc w:val="left"/>
        <w:rPr>
          <w:rFonts w:hint="default" w:ascii="Times New Roman" w:hAnsi="Times New Roman" w:cs="Times New Roman"/>
          <w:color w:val="000000" w:themeColor="text1"/>
          <w:sz w:val="24"/>
          <w14:textFill>
            <w14:solidFill>
              <w14:schemeClr w14:val="tx1"/>
            </w14:solidFill>
          </w14:textFill>
        </w:rPr>
      </w:pPr>
    </w:p>
    <w:p w14:paraId="687F6E4F">
      <w:pPr>
        <w:pageBreakBefore w:val="0"/>
        <w:widowControl/>
        <w:kinsoku/>
        <w:wordWrap/>
        <w:overflowPunct/>
        <w:topLinePunct w:val="0"/>
        <w:bidi w:val="0"/>
        <w:spacing w:line="576" w:lineRule="exact"/>
        <w:jc w:val="center"/>
        <w:outlineLvl w:val="0"/>
        <w:rPr>
          <w:rStyle w:val="18"/>
          <w:rFonts w:hint="default" w:ascii="Times New Roman" w:hAnsi="Times New Roman" w:eastAsia="黑体" w:cs="Times New Roman"/>
          <w:b w:val="0"/>
          <w:bCs w:val="0"/>
          <w:color w:val="000000" w:themeColor="text1"/>
          <w14:textFill>
            <w14:solidFill>
              <w14:schemeClr w14:val="tx1"/>
            </w14:solidFill>
          </w14:textFill>
        </w:rPr>
      </w:pPr>
      <w:bookmarkStart w:id="10" w:name="_Toc15396599"/>
      <w:bookmarkStart w:id="11" w:name="_Toc15377196"/>
      <w:r>
        <w:rPr>
          <w:rFonts w:hint="default" w:ascii="Times New Roman" w:hAnsi="Times New Roman" w:eastAsia="仿宋" w:cs="Times New Roman"/>
          <w:b/>
          <w:color w:val="000000" w:themeColor="text1"/>
          <w:sz w:val="24"/>
          <w14:textFill>
            <w14:solidFill>
              <w14:schemeClr w14:val="tx1"/>
            </w14:solidFill>
          </w14:textFill>
        </w:rPr>
        <w:br w:type="page"/>
      </w:r>
      <w:bookmarkStart w:id="12" w:name="_Toc31589"/>
      <w:r>
        <w:rPr>
          <w:rStyle w:val="18"/>
          <w:rFonts w:hint="default" w:ascii="Times New Roman" w:hAnsi="Times New Roman" w:eastAsia="黑体" w:cs="Times New Roman"/>
          <w:b w:val="0"/>
          <w:bCs w:val="0"/>
          <w:color w:val="000000" w:themeColor="text1"/>
          <w14:textFill>
            <w14:solidFill>
              <w14:schemeClr w14:val="tx1"/>
            </w14:solidFill>
          </w14:textFill>
        </w:rPr>
        <w:t>第一部分 部门概况</w:t>
      </w:r>
      <w:bookmarkEnd w:id="10"/>
      <w:bookmarkEnd w:id="11"/>
    </w:p>
    <w:bookmarkEnd w:id="12"/>
    <w:p w14:paraId="232D3C46">
      <w:pPr>
        <w:pageBreakBefore w:val="0"/>
        <w:widowControl/>
        <w:kinsoku/>
        <w:wordWrap/>
        <w:overflowPunct/>
        <w:topLinePunct w:val="0"/>
        <w:bidi w:val="0"/>
        <w:spacing w:line="576" w:lineRule="exact"/>
        <w:jc w:val="left"/>
        <w:rPr>
          <w:rFonts w:hint="default" w:ascii="Times New Roman" w:hAnsi="Times New Roman" w:eastAsia="黑体" w:cs="Times New Roman"/>
          <w:color w:val="000000" w:themeColor="text1"/>
          <w:sz w:val="32"/>
          <w:szCs w:val="32"/>
          <w14:textFill>
            <w14:solidFill>
              <w14:schemeClr w14:val="tx1"/>
            </w14:solidFill>
          </w14:textFill>
        </w:rPr>
      </w:pPr>
    </w:p>
    <w:p w14:paraId="5B21BD1A">
      <w:pPr>
        <w:pStyle w:val="3"/>
        <w:pageBreakBefore w:val="0"/>
        <w:numPr>
          <w:ilvl w:val="0"/>
          <w:numId w:val="1"/>
        </w:numPr>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bookmarkStart w:id="13" w:name="_Toc22841"/>
      <w:r>
        <w:rPr>
          <w:rFonts w:hint="default" w:ascii="Times New Roman" w:hAnsi="Times New Roman" w:eastAsia="黑体" w:cs="Times New Roman"/>
          <w:b w:val="0"/>
          <w:color w:val="000000" w:themeColor="text1"/>
          <w14:textFill>
            <w14:solidFill>
              <w14:schemeClr w14:val="tx1"/>
            </w14:solidFill>
          </w14:textFill>
        </w:rPr>
        <w:t>部门职责</w:t>
      </w:r>
      <w:bookmarkEnd w:id="13"/>
    </w:p>
    <w:p w14:paraId="5ACE9C6D">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1.贯彻执</w:t>
      </w:r>
      <w:r>
        <w:rPr>
          <w:rFonts w:hint="default" w:ascii="Times New Roman" w:hAnsi="Times New Roman" w:eastAsia="仿宋_GB2312" w:cs="Times New Roman"/>
          <w:color w:val="000000" w:themeColor="text1"/>
          <w:sz w:val="32"/>
          <w:szCs w:val="32"/>
          <w14:textFill>
            <w14:solidFill>
              <w14:schemeClr w14:val="tx1"/>
            </w14:solidFill>
          </w14:textFill>
        </w:rPr>
        <w:t>行</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中华人民共和国档案法</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中华人民共和国档案法</w:t>
      </w:r>
      <w:r>
        <w:rPr>
          <w:rFonts w:hint="default" w:ascii="Times New Roman" w:hAnsi="Times New Roman" w:eastAsia="仿宋_GB2312" w:cs="Times New Roman"/>
          <w:color w:val="000000" w:themeColor="text1"/>
          <w:sz w:val="32"/>
          <w:szCs w:val="32"/>
          <w14:textFill>
            <w14:solidFill>
              <w14:schemeClr w14:val="tx1"/>
            </w14:solidFill>
          </w14:textFill>
        </w:rPr>
        <w:t>实施条例》以及党和国家有关档案工作的方针、政策，</w:t>
      </w:r>
      <w:r>
        <w:rPr>
          <w:rFonts w:hint="default" w:ascii="Times New Roman" w:hAnsi="Times New Roman" w:eastAsia="仿宋_GB2312" w:cs="Times New Roman"/>
          <w:color w:val="000000" w:themeColor="text1"/>
          <w:sz w:val="32"/>
          <w:szCs w:val="32"/>
          <w14:textFill>
            <w14:solidFill>
              <w14:schemeClr w14:val="tx1"/>
            </w14:solidFill>
          </w14:textFill>
        </w:rPr>
        <w:t>严格执行档案业务规范标准，做到依法、依规开展档案管理工作。</w:t>
      </w:r>
    </w:p>
    <w:p w14:paraId="4D7E5449">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2.对全县各部门（除特殊部门外）的档案材料进行收集：建立、健全立卷归档制度，确立归档范围、归档时间、保管期限；对遗缺不全的档案，采取不同措施，积极收集齐全。</w:t>
      </w:r>
    </w:p>
    <w:p w14:paraId="5AF0B3F8">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3.对全县各部门（除特殊部门外）的档案进行归档、立卷与管理：依据档案来源、时间、题目、内容、字母顺序分成若干层次和类别。</w:t>
      </w:r>
    </w:p>
    <w:p w14:paraId="5314F6FF">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4.对档案进行安全保管。</w:t>
      </w:r>
    </w:p>
    <w:p w14:paraId="111655E5">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对档案进行鉴定：从档案的内容、来源、时间、可靠程度、名称等方面鉴别档案的价值；确定各类档案的保管期限表，其中财务档案见财务档案保存期限表，档案保管期限分永久、30年、10年三种；介于两种保管期限的，保管期限从长。</w:t>
      </w:r>
    </w:p>
    <w:p w14:paraId="036F1188">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6.对档案进行销毁：对已失效的档案，认真鉴定，编制销毁清册，办理销毁手续，经批准，方能销毁;销毁时要有二人以上监销，关在清册上签字，该清册永久保存。</w:t>
      </w:r>
    </w:p>
    <w:p w14:paraId="397DEC89">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7.对全县各立档单位专兼职档案工作人员进行业务监督、指导和培训，加强档案干部队伍建设。                                                                                                                                                                                                                                                     </w:t>
      </w:r>
    </w:p>
    <w:p w14:paraId="3E963127">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8.制定和组织实施档案工作的各项规章制度并对各基层档案工作进行检查、评比。</w:t>
      </w:r>
    </w:p>
    <w:p w14:paraId="603233A8">
      <w:pPr>
        <w:pStyle w:val="13"/>
        <w:pageBreakBefore w:val="0"/>
        <w:kinsoku/>
        <w:wordWrap/>
        <w:overflowPunct/>
        <w:topLinePunct w:val="0"/>
        <w:bidi w:val="0"/>
        <w:spacing w:before="0" w:beforeAutospacing="0" w:after="0" w:afterAutospacing="0"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9.及时了解处行文、办文情况及工程开展进度指导业务部门立卷、归档工作。</w:t>
      </w:r>
    </w:p>
    <w:p w14:paraId="4CE7FC37">
      <w:pPr>
        <w:pageBreakBefore w:val="0"/>
        <w:kinsoku/>
        <w:wordWrap/>
        <w:overflowPunct/>
        <w:topLinePunct w:val="0"/>
        <w:bidi w:val="0"/>
        <w:spacing w:line="576" w:lineRule="exact"/>
        <w:ind w:firstLine="64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10.负责档案信息资源的开发与利用工作。</w:t>
      </w:r>
    </w:p>
    <w:p w14:paraId="15AEB07C">
      <w:pPr>
        <w:pStyle w:val="3"/>
        <w:pageBreakBefore w:val="0"/>
        <w:kinsoku/>
        <w:wordWrap/>
        <w:overflowPunct/>
        <w:topLinePunct w:val="0"/>
        <w:bidi w:val="0"/>
        <w:spacing w:line="576" w:lineRule="exact"/>
        <w:rPr>
          <w:rStyle w:val="19"/>
          <w:rFonts w:hint="default" w:ascii="Times New Roman" w:hAnsi="Times New Roman" w:cs="Times New Roman"/>
          <w:b w:val="0"/>
          <w:bCs w:val="0"/>
          <w:color w:val="000000" w:themeColor="text1"/>
          <w14:textFill>
            <w14:solidFill>
              <w14:schemeClr w14:val="tx1"/>
            </w14:solidFill>
          </w14:textFill>
        </w:rPr>
      </w:pPr>
      <w:bookmarkStart w:id="14" w:name="_Toc15377200"/>
      <w:bookmarkStart w:id="15" w:name="_Toc15396601"/>
      <w:bookmarkStart w:id="16" w:name="_Toc19319"/>
      <w:r>
        <w:rPr>
          <w:rFonts w:hint="default" w:ascii="Times New Roman" w:hAnsi="Times New Roman" w:eastAsia="黑体" w:cs="Times New Roman"/>
          <w:b w:val="0"/>
          <w:color w:val="000000" w:themeColor="text1"/>
          <w14:textFill>
            <w14:solidFill>
              <w14:schemeClr w14:val="tx1"/>
            </w14:solidFill>
          </w14:textFill>
        </w:rPr>
        <w:t>二、机</w:t>
      </w:r>
      <w:r>
        <w:rPr>
          <w:rStyle w:val="19"/>
          <w:rFonts w:hint="default" w:ascii="Times New Roman" w:hAnsi="Times New Roman" w:eastAsia="黑体" w:cs="Times New Roman"/>
          <w:b w:val="0"/>
          <w:bCs w:val="0"/>
          <w:color w:val="000000" w:themeColor="text1"/>
          <w14:textFill>
            <w14:solidFill>
              <w14:schemeClr w14:val="tx1"/>
            </w14:solidFill>
          </w14:textFill>
        </w:rPr>
        <w:t>构设置</w:t>
      </w:r>
      <w:bookmarkEnd w:id="14"/>
      <w:bookmarkEnd w:id="15"/>
      <w:bookmarkEnd w:id="16"/>
    </w:p>
    <w:p w14:paraId="019AE352">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中共阿坝州壤塘县档案馆无下属二级单位，本单位为中共壤塘县委办公室归口管理的全额财政拨款正科级事业机构，保留参公管理。</w:t>
      </w:r>
    </w:p>
    <w:p w14:paraId="3999D72B">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1C7D8981">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71BACEE7">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36065809">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52006342">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591EFE19">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22807B29">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10768B4D">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5784D47C">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34DDE833">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4DE32583">
      <w:pPr>
        <w:pageBreakBefore w:val="0"/>
        <w:kinsoku/>
        <w:wordWrap/>
        <w:overflowPunct/>
        <w:topLinePunct w:val="0"/>
        <w:bidi w:val="0"/>
        <w:spacing w:line="576" w:lineRule="exact"/>
        <w:ind w:firstLine="800" w:firstLineChars="250"/>
        <w:rPr>
          <w:rFonts w:hint="default" w:ascii="Times New Roman" w:hAnsi="Times New Roman" w:eastAsia="仿宋_GB2312" w:cs="Times New Roman"/>
          <w:color w:val="000000" w:themeColor="text1"/>
          <w:sz w:val="32"/>
          <w:szCs w:val="32"/>
          <w14:textFill>
            <w14:solidFill>
              <w14:schemeClr w14:val="tx1"/>
            </w14:solidFill>
          </w14:textFill>
        </w:rPr>
      </w:pPr>
    </w:p>
    <w:p w14:paraId="39899301">
      <w:pPr>
        <w:pStyle w:val="2"/>
        <w:pageBreakBefore w:val="0"/>
        <w:kinsoku/>
        <w:wordWrap/>
        <w:overflowPunct/>
        <w:topLinePunct w:val="0"/>
        <w:bidi w:val="0"/>
        <w:spacing w:line="576" w:lineRule="exact"/>
        <w:ind w:right="440"/>
        <w:jc w:val="center"/>
        <w:rPr>
          <w:rStyle w:val="18"/>
          <w:rFonts w:hint="default" w:ascii="Times New Roman" w:hAnsi="Times New Roman" w:eastAsia="黑体" w:cs="Times New Roman"/>
          <w:b w:val="0"/>
          <w:bCs/>
          <w:color w:val="000000" w:themeColor="text1"/>
          <w14:textFill>
            <w14:solidFill>
              <w14:schemeClr w14:val="tx1"/>
            </w14:solidFill>
          </w14:textFill>
        </w:rPr>
      </w:pPr>
      <w:bookmarkStart w:id="17" w:name="_Toc15396602"/>
      <w:bookmarkStart w:id="18" w:name="_Toc4730"/>
      <w:bookmarkStart w:id="19" w:name="_Toc15377204"/>
      <w:r>
        <w:rPr>
          <w:rFonts w:hint="default" w:ascii="Times New Roman" w:hAnsi="Times New Roman" w:eastAsia="黑体" w:cs="Times New Roman"/>
          <w:b w:val="0"/>
          <w:color w:val="000000" w:themeColor="text1"/>
          <w14:textFill>
            <w14:solidFill>
              <w14:schemeClr w14:val="tx1"/>
            </w14:solidFill>
          </w14:textFill>
        </w:rPr>
        <w:t>第二部分 202</w:t>
      </w:r>
      <w:r>
        <w:rPr>
          <w:rFonts w:hint="default" w:ascii="Times New Roman" w:hAnsi="Times New Roman" w:eastAsia="黑体" w:cs="Times New Roman"/>
          <w:b w:val="0"/>
          <w:color w:val="000000" w:themeColor="text1"/>
          <w:lang w:val="en-US" w:eastAsia="zh-CN"/>
          <w14:textFill>
            <w14:solidFill>
              <w14:schemeClr w14:val="tx1"/>
            </w14:solidFill>
          </w14:textFill>
        </w:rPr>
        <w:t>5</w:t>
      </w:r>
      <w:r>
        <w:rPr>
          <w:rFonts w:hint="default" w:ascii="Times New Roman" w:hAnsi="Times New Roman" w:eastAsia="黑体" w:cs="Times New Roman"/>
          <w:b w:val="0"/>
          <w:color w:val="000000" w:themeColor="text1"/>
          <w14:textFill>
            <w14:solidFill>
              <w14:schemeClr w14:val="tx1"/>
            </w14:solidFill>
          </w14:textFill>
        </w:rPr>
        <w:t>年度</w:t>
      </w:r>
      <w:r>
        <w:rPr>
          <w:rStyle w:val="18"/>
          <w:rFonts w:hint="default" w:ascii="Times New Roman" w:hAnsi="Times New Roman" w:eastAsia="黑体" w:cs="Times New Roman"/>
          <w:b w:val="0"/>
          <w:bCs/>
          <w:color w:val="000000" w:themeColor="text1"/>
          <w14:textFill>
            <w14:solidFill>
              <w14:schemeClr w14:val="tx1"/>
            </w14:solidFill>
          </w14:textFill>
        </w:rPr>
        <w:t>部门决算情况说明</w:t>
      </w:r>
      <w:bookmarkEnd w:id="17"/>
      <w:bookmarkEnd w:id="18"/>
      <w:bookmarkEnd w:id="19"/>
    </w:p>
    <w:p w14:paraId="679CF64A">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3428C976">
      <w:pPr>
        <w:pStyle w:val="20"/>
        <w:pageBreakBefore w:val="0"/>
        <w:numPr>
          <w:ilvl w:val="0"/>
          <w:numId w:val="2"/>
        </w:numPr>
        <w:kinsoku/>
        <w:wordWrap/>
        <w:overflowPunct/>
        <w:topLinePunct w:val="0"/>
        <w:bidi w:val="0"/>
        <w:spacing w:line="576" w:lineRule="exact"/>
        <w:ind w:firstLineChars="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20" w:name="_Toc24938"/>
      <w:bookmarkStart w:id="21" w:name="_Toc15377205"/>
      <w:bookmarkStart w:id="22" w:name="_Toc15396603"/>
      <w:r>
        <w:rPr>
          <w:rFonts w:hint="default" w:ascii="Times New Roman" w:hAnsi="Times New Roman" w:eastAsia="黑体" w:cs="Times New Roman"/>
          <w:color w:val="000000" w:themeColor="text1"/>
          <w:sz w:val="32"/>
          <w:szCs w:val="32"/>
          <w14:textFill>
            <w14:solidFill>
              <w14:schemeClr w14:val="tx1"/>
            </w14:solidFill>
          </w14:textFill>
        </w:rPr>
        <w:t>收</w:t>
      </w:r>
      <w:r>
        <w:rPr>
          <w:rStyle w:val="19"/>
          <w:rFonts w:hint="default" w:ascii="Times New Roman" w:hAnsi="Times New Roman" w:eastAsia="黑体" w:cs="Times New Roman"/>
          <w:b w:val="0"/>
          <w:color w:val="000000" w:themeColor="text1"/>
          <w14:textFill>
            <w14:solidFill>
              <w14:schemeClr w14:val="tx1"/>
            </w14:solidFill>
          </w14:textFill>
        </w:rPr>
        <w:t>入支出决算总体情况说明</w:t>
      </w:r>
      <w:bookmarkEnd w:id="20"/>
      <w:bookmarkEnd w:id="21"/>
      <w:bookmarkEnd w:id="22"/>
    </w:p>
    <w:p w14:paraId="18151CCF">
      <w:pPr>
        <w:pageBreakBefore w:val="0"/>
        <w:kinsoku/>
        <w:wordWrap/>
        <w:overflowPunct/>
        <w:topLinePunct w:val="0"/>
        <w:bidi w:val="0"/>
        <w:snapToGrid w:val="0"/>
        <w:spacing w:line="576" w:lineRule="exact"/>
        <w:ind w:firstLine="640" w:firstLineChars="200"/>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2025年财政预算收入合计：22</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5.97</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万元，2024年财政预算收入总计：229.44万元，比去年减少</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3.47</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万元，减少</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1.51</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%。主要原因：当年项目减少，收入减少。</w:t>
      </w:r>
    </w:p>
    <w:p w14:paraId="4DBBAB10">
      <w:pPr>
        <w:pageBreakBefore w:val="0"/>
        <w:kinsoku/>
        <w:wordWrap/>
        <w:overflowPunct/>
        <w:topLinePunct w:val="0"/>
        <w:bidi w:val="0"/>
        <w:snapToGrid w:val="0"/>
        <w:spacing w:line="576" w:lineRule="exact"/>
        <w:ind w:firstLine="640" w:firstLineChars="200"/>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2025年财政预算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支出合计：22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5.97</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2024</w:t>
      </w:r>
      <w:r>
        <w:rPr>
          <w:rFonts w:hint="default" w:ascii="Times New Roman" w:hAnsi="Times New Roman" w:eastAsia="仿宋_GB2312" w:cs="Times New Roman"/>
          <w:color w:val="000000" w:themeColor="text1"/>
          <w:sz w:val="32"/>
          <w:szCs w:val="32"/>
          <w14:textFill>
            <w14:solidFill>
              <w14:schemeClr w14:val="tx1"/>
            </w14:solidFill>
          </w14:textFill>
        </w:rPr>
        <w:t>年财政预算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支出总计：</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229.44</w:t>
      </w:r>
      <w:r>
        <w:rPr>
          <w:rFonts w:hint="default" w:ascii="Times New Roman" w:hAnsi="Times New Roman" w:eastAsia="仿宋_GB2312" w:cs="Times New Roman"/>
          <w:color w:val="000000" w:themeColor="text1"/>
          <w:sz w:val="32"/>
          <w:szCs w:val="32"/>
          <w14:textFill>
            <w14:solidFill>
              <w14:schemeClr w14:val="tx1"/>
            </w14:solidFill>
          </w14:textFill>
        </w:rPr>
        <w:t>万元，比去年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3.47</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，减少</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1.51</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主要原因:</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当年项目减少，支出减少</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p>
    <w:p w14:paraId="386294F1">
      <w:pPr>
        <w:pageBreakBefore w:val="0"/>
        <w:kinsoku/>
        <w:wordWrap/>
        <w:overflowPunct/>
        <w:topLinePunct w:val="0"/>
        <w:bidi w:val="0"/>
        <w:spacing w:line="576" w:lineRule="exact"/>
        <w:ind w:left="1598" w:leftChars="456" w:hanging="640" w:hanging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271780</wp:posOffset>
            </wp:positionH>
            <wp:positionV relativeFrom="paragraph">
              <wp:posOffset>157480</wp:posOffset>
            </wp:positionV>
            <wp:extent cx="4657725" cy="2828925"/>
            <wp:effectExtent l="0" t="0" r="9525" b="9525"/>
            <wp:wrapSquare wrapText="bothSides"/>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5"/>
                    <a:stretch>
                      <a:fillRect/>
                    </a:stretch>
                  </pic:blipFill>
                  <pic:spPr>
                    <a:xfrm>
                      <a:off x="0" y="0"/>
                      <a:ext cx="4657725" cy="2828925"/>
                    </a:xfrm>
                    <a:prstGeom prst="rect">
                      <a:avLst/>
                    </a:prstGeom>
                  </pic:spPr>
                </pic:pic>
              </a:graphicData>
            </a:graphic>
          </wp:anchor>
        </w:drawing>
      </w:r>
      <w:r>
        <w:rPr>
          <w:rFonts w:hint="default" w:ascii="Times New Roman" w:hAnsi="Times New Roman" w:eastAsia="仿宋" w:cs="Times New Roman"/>
          <w:color w:val="000000" w:themeColor="text1"/>
          <w:sz w:val="32"/>
          <w:szCs w:val="32"/>
          <w14:textFill>
            <w14:solidFill>
              <w14:schemeClr w14:val="tx1"/>
            </w14:solidFill>
          </w14:textFill>
        </w:rPr>
        <w:t>（图1：收、支决算总计变动情况图）</w:t>
      </w:r>
    </w:p>
    <w:p w14:paraId="23669C9B">
      <w:pPr>
        <w:pStyle w:val="20"/>
        <w:pageBreakBefore w:val="0"/>
        <w:numPr>
          <w:ilvl w:val="0"/>
          <w:numId w:val="2"/>
        </w:numPr>
        <w:kinsoku/>
        <w:wordWrap/>
        <w:overflowPunct/>
        <w:topLinePunct w:val="0"/>
        <w:bidi w:val="0"/>
        <w:spacing w:line="576" w:lineRule="exact"/>
        <w:ind w:firstLineChars="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23" w:name="_Toc15377206"/>
      <w:bookmarkStart w:id="24" w:name="_Toc15396604"/>
      <w:bookmarkStart w:id="25" w:name="_Toc20772"/>
      <w:r>
        <w:rPr>
          <w:rFonts w:hint="default" w:ascii="Times New Roman" w:hAnsi="Times New Roman" w:eastAsia="黑体" w:cs="Times New Roman"/>
          <w:color w:val="000000" w:themeColor="text1"/>
          <w:sz w:val="32"/>
          <w:szCs w:val="32"/>
          <w14:textFill>
            <w14:solidFill>
              <w14:schemeClr w14:val="tx1"/>
            </w14:solidFill>
          </w14:textFill>
        </w:rPr>
        <w:t>收</w:t>
      </w:r>
      <w:r>
        <w:rPr>
          <w:rStyle w:val="19"/>
          <w:rFonts w:hint="default" w:ascii="Times New Roman" w:hAnsi="Times New Roman" w:eastAsia="黑体" w:cs="Times New Roman"/>
          <w:b w:val="0"/>
          <w:color w:val="000000" w:themeColor="text1"/>
          <w14:textFill>
            <w14:solidFill>
              <w14:schemeClr w14:val="tx1"/>
            </w14:solidFill>
          </w14:textFill>
        </w:rPr>
        <w:t>入决算情况说明</w:t>
      </w:r>
      <w:bookmarkEnd w:id="23"/>
      <w:bookmarkEnd w:id="24"/>
      <w:bookmarkEnd w:id="25"/>
    </w:p>
    <w:p w14:paraId="588498C1">
      <w:pPr>
        <w:pageBreakBefore w:val="0"/>
        <w:kinsoku/>
        <w:wordWrap/>
        <w:overflowPunct/>
        <w:topLinePunct w:val="0"/>
        <w:bidi w:val="0"/>
        <w:snapToGrid w:val="0"/>
        <w:spacing w:line="576" w:lineRule="exact"/>
        <w:ind w:firstLine="640" w:firstLineChars="200"/>
        <w:rPr>
          <w:rFonts w:hint="default" w:ascii="Times New Roman" w:hAnsi="Times New Roman" w:eastAsia="仿宋" w:cs="Times New Roman"/>
          <w:color w:val="000000" w:themeColor="text1"/>
          <w:sz w:val="32"/>
          <w:szCs w:val="32"/>
          <w:lang w:eastAsia="zh-CN"/>
          <w14:textFill>
            <w14:solidFill>
              <w14:schemeClr w14:val="tx1"/>
            </w14:solidFill>
          </w14:textFill>
        </w:rPr>
      </w:pPr>
      <w:bookmarkStart w:id="26" w:name="_Toc21255"/>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default" w:ascii="Times New Roman" w:hAnsi="Times New Roman" w:eastAsia="仿宋_GB2312" w:cs="Times New Roman"/>
          <w:color w:val="000000" w:themeColor="text1"/>
          <w:sz w:val="32"/>
          <w:szCs w:val="32"/>
          <w14:textFill>
            <w14:solidFill>
              <w14:schemeClr w14:val="tx1"/>
            </w14:solidFill>
          </w14:textFill>
        </w:rPr>
        <w:t>总收入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合计</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223.98万元</w:t>
      </w:r>
      <w:r>
        <w:rPr>
          <w:rFonts w:hint="default" w:ascii="Times New Roman" w:hAnsi="Times New Roman" w:eastAsia="仿宋_GB2312" w:cs="Times New Roman"/>
          <w:color w:val="000000" w:themeColor="text1"/>
          <w:sz w:val="32"/>
          <w:szCs w:val="32"/>
          <w14:textFill>
            <w14:solidFill>
              <w14:schemeClr w14:val="tx1"/>
            </w14:solidFill>
          </w14:textFill>
        </w:rPr>
        <w:t>。其中：一般公共预算财政拨款收入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223.98</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占</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100</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国有资本经营预算财政拨款收入0万元</w:t>
      </w:r>
      <w:bookmarkEnd w:id="26"/>
      <w:r>
        <w:rPr>
          <w:rFonts w:hint="default" w:ascii="Times New Roman" w:hAnsi="Times New Roman" w:eastAsia="仿宋" w:cs="Times New Roman"/>
          <w:color w:val="000000" w:themeColor="text1"/>
          <w:sz w:val="32"/>
          <w:szCs w:val="32"/>
          <w:lang w:eastAsia="zh-CN"/>
          <w14:textFill>
            <w14:solidFill>
              <w14:schemeClr w14:val="tx1"/>
            </w14:solidFill>
          </w14:textFill>
        </w:rPr>
        <w:t>，占</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p>
    <w:p w14:paraId="04494471">
      <w:pPr>
        <w:pageBreakBefore w:val="0"/>
        <w:kinsoku/>
        <w:wordWrap/>
        <w:overflowPunct/>
        <w:topLinePunct w:val="0"/>
        <w:bidi w:val="0"/>
        <w:spacing w:line="576" w:lineRule="exact"/>
        <w:rPr>
          <w:rFonts w:hint="default" w:ascii="Times New Roman" w:hAnsi="Times New Roman" w:eastAsia="仿宋" w:cs="Times New Roman"/>
          <w:color w:val="000000" w:themeColor="text1"/>
          <w:sz w:val="32"/>
          <w:szCs w:val="32"/>
          <w14:textFill>
            <w14:solidFill>
              <w14:schemeClr w14:val="tx1"/>
            </w14:solidFill>
          </w14:textFill>
        </w:rPr>
      </w:pPr>
    </w:p>
    <w:p w14:paraId="6A60822E">
      <w:pPr>
        <w:pStyle w:val="5"/>
        <w:pageBreakBefore w:val="0"/>
        <w:kinsoku/>
        <w:wordWrap/>
        <w:overflowPunct/>
        <w:topLinePunct w:val="0"/>
        <w:bidi w:val="0"/>
        <w:spacing w:line="576" w:lineRule="exact"/>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1724025</wp:posOffset>
                </wp:positionH>
                <wp:positionV relativeFrom="paragraph">
                  <wp:posOffset>405765</wp:posOffset>
                </wp:positionV>
                <wp:extent cx="1998345" cy="2094230"/>
                <wp:effectExtent l="6350" t="6350" r="14605" b="13970"/>
                <wp:wrapNone/>
                <wp:docPr id="9" name="椭圆 9"/>
                <wp:cNvGraphicFramePr/>
                <a:graphic xmlns:a="http://schemas.openxmlformats.org/drawingml/2006/main">
                  <a:graphicData uri="http://schemas.microsoft.com/office/word/2010/wordprocessingShape">
                    <wps:wsp>
                      <wps:cNvSpPr/>
                      <wps:spPr>
                        <a:xfrm>
                          <a:off x="3903980" y="1207135"/>
                          <a:ext cx="1998345" cy="2094230"/>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75pt;margin-top:31.95pt;height:164.9pt;width:157.35pt;z-index:251661312;v-text-anchor:middle;mso-width-relative:page;mso-height-relative:page;" fillcolor="#4874CB [3204]" filled="t" stroked="t" coordsize="21600,21600" o:gfxdata="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NbKcItsAAAAKAQAADwAAAAAAAAABACAAAAAiAAAAZHJzL2Rvd25yZXYueG1sUEsBAhQAFAAA&#10;AAgAh07iQD0xTEWXAgAAJgUAAA4AAAAAAAAAAQAgAAAAKgEAAGRycy9lMm9Eb2MueG1sUEsFBgAA&#10;AAAGAAYAWQEAADMGAAAAAA==&#10;">
                <v:fill on="t" focussize="0,0"/>
                <v:stroke weight="1pt" color="#2E54A1 [2404]" miterlimit="8" joinstyle="miter"/>
                <v:imagedata o:title=""/>
                <o:lock v:ext="edit" aspectratio="f"/>
              </v:shape>
            </w:pict>
          </mc:Fallback>
        </mc:AlternateContent>
      </w:r>
    </w:p>
    <w:p w14:paraId="47129A76">
      <w:pPr>
        <w:pStyle w:val="4"/>
        <w:pageBreakBefore w:val="0"/>
        <w:kinsoku/>
        <w:wordWrap/>
        <w:overflowPunct/>
        <w:topLinePunct w:val="0"/>
        <w:bidi w:val="0"/>
        <w:spacing w:line="576" w:lineRule="exact"/>
        <w:ind w:left="2940"/>
        <w:rPr>
          <w:rFonts w:hint="default" w:ascii="Times New Roman" w:hAnsi="Times New Roman" w:cs="Times New Roman"/>
          <w:color w:val="000000" w:themeColor="text1"/>
          <w14:textFill>
            <w14:solidFill>
              <w14:schemeClr w14:val="tx1"/>
            </w14:solidFill>
          </w14:textFill>
        </w:rPr>
      </w:pPr>
    </w:p>
    <w:p w14:paraId="28B24BC3">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7603DC09">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683771F2">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0EED298D">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75157CD0">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0482E8B8">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pict>
          <v:shape id="Object 19" o:spid="_x0000_s1028" o:spt="75" type="#_x0000_t75" style="position:absolute;left:0pt;margin-left:32pt;margin-top:-218.4pt;height:242.4pt;width:367.2pt;z-index:-251656192;mso-width-relative:page;mso-height-relative:page;" o:ole="t" filled="f" o:preferrelative="t" stroked="f" coordsize="21600,21600">
            <v:path/>
            <v:fill on="f" focussize="0,0"/>
            <v:stroke on="f"/>
            <v:imagedata r:id="rId7" o:title=""/>
            <o:lock v:ext="edit" aspectratio="t"/>
          </v:shape>
          <o:OLEObject Type="Embed" ProgID="Excel.Chart.8" ShapeID="Object 19" DrawAspect="Content" ObjectID="_1468075725" r:id="rId6">
            <o:LockedField>false</o:LockedField>
          </o:OLEObject>
        </w:pict>
      </w:r>
    </w:p>
    <w:p w14:paraId="6A9394B6">
      <w:pPr>
        <w:pageBreakBefore w:val="0"/>
        <w:kinsoku/>
        <w:wordWrap/>
        <w:overflowPunct/>
        <w:topLinePunct w:val="0"/>
        <w:bidi w:val="0"/>
        <w:spacing w:line="576" w:lineRule="exact"/>
        <w:jc w:val="center"/>
        <w:outlineLvl w:val="2"/>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（图2：收入决算结构图）</w:t>
      </w:r>
    </w:p>
    <w:p w14:paraId="2B1C948E">
      <w:pPr>
        <w:pStyle w:val="20"/>
        <w:pageBreakBefore w:val="0"/>
        <w:numPr>
          <w:ilvl w:val="0"/>
          <w:numId w:val="2"/>
        </w:numPr>
        <w:kinsoku/>
        <w:wordWrap/>
        <w:overflowPunct/>
        <w:topLinePunct w:val="0"/>
        <w:bidi w:val="0"/>
        <w:spacing w:line="576" w:lineRule="exact"/>
        <w:ind w:firstLineChars="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27" w:name="_Toc15396605"/>
      <w:bookmarkStart w:id="28" w:name="_Toc26135"/>
      <w:bookmarkStart w:id="29" w:name="_Toc15377207"/>
      <w:r>
        <w:rPr>
          <w:rFonts w:hint="default" w:ascii="Times New Roman" w:hAnsi="Times New Roman" w:eastAsia="黑体" w:cs="Times New Roman"/>
          <w:color w:val="000000" w:themeColor="text1"/>
          <w:sz w:val="32"/>
          <w:szCs w:val="32"/>
          <w14:textFill>
            <w14:solidFill>
              <w14:schemeClr w14:val="tx1"/>
            </w14:solidFill>
          </w14:textFill>
        </w:rPr>
        <w:t>支</w:t>
      </w:r>
      <w:r>
        <w:rPr>
          <w:rStyle w:val="19"/>
          <w:rFonts w:hint="default" w:ascii="Times New Roman" w:hAnsi="Times New Roman" w:eastAsia="黑体" w:cs="Times New Roman"/>
          <w:b w:val="0"/>
          <w:color w:val="000000" w:themeColor="text1"/>
          <w14:textFill>
            <w14:solidFill>
              <w14:schemeClr w14:val="tx1"/>
            </w14:solidFill>
          </w14:textFill>
        </w:rPr>
        <w:t>出决算情况说明</w:t>
      </w:r>
      <w:bookmarkEnd w:id="27"/>
      <w:bookmarkEnd w:id="28"/>
      <w:bookmarkEnd w:id="29"/>
    </w:p>
    <w:p w14:paraId="14E75282">
      <w:pPr>
        <w:pageBreakBefore w:val="0"/>
        <w:numPr>
          <w:ilvl w:val="0"/>
          <w:numId w:val="0"/>
        </w:numPr>
        <w:kinsoku/>
        <w:wordWrap/>
        <w:overflowPunct/>
        <w:topLinePunct w:val="0"/>
        <w:bidi w:val="0"/>
        <w:snapToGrid w:val="0"/>
        <w:spacing w:line="576" w:lineRule="exact"/>
        <w:ind w:firstLine="640" w:firstLineChars="200"/>
        <w:rPr>
          <w:rFonts w:hint="eastAsia" w:ascii="Times New Roman" w:hAnsi="Times New Roman" w:eastAsia="仿宋" w:cs="Times New Roman"/>
          <w:color w:val="000000" w:themeColor="text1"/>
          <w:sz w:val="32"/>
          <w:szCs w:val="32"/>
          <w:shd w:val="pct10" w:color="auto" w:fill="FFFFFF"/>
          <w:lang w:eastAsia="zh-CN"/>
          <w14:textFill>
            <w14:solidFill>
              <w14:schemeClr w14:val="tx1"/>
            </w14:solidFill>
          </w14:textFill>
        </w:rPr>
      </w:pPr>
      <w:bookmarkStart w:id="30" w:name="_Toc32493"/>
      <w:r>
        <w:rPr>
          <w:rFonts w:ascii="Times New Roman" w:hAnsi="Times New Roman" w:eastAsia="仿宋"/>
          <w:color w:val="000000" w:themeColor="text1"/>
          <w:sz w:val="32"/>
          <w:szCs w:val="32"/>
          <w:shd w:val="pct10" w:color="auto" w:fill="FFFFFF"/>
          <w14:textFill>
            <w14:solidFill>
              <w14:schemeClr w14:val="tx1"/>
            </w14:solidFill>
          </w14:textFill>
        </w:rPr>
        <w:pict>
          <v:shape id="Object 9" o:spid="_x0000_s1029" o:spt="75" type="#_x0000_t75" style="position:absolute;left:0pt;margin-left:20.75pt;margin-top:62.85pt;height:222.75pt;width:378.7pt;mso-wrap-distance-bottom:0pt;mso-wrap-distance-left:9pt;mso-wrap-distance-right:9pt;mso-wrap-distance-top:0pt;z-index:251665408;mso-width-relative:page;mso-height-relative:page;" o:ole="t" filled="f" o:preferrelative="t" stroked="f" coordsize="21600,21600">
            <v:path/>
            <v:fill on="f" focussize="0,0"/>
            <v:stroke on="f"/>
            <v:imagedata r:id="rId9" o:title=""/>
            <o:lock v:ext="edit" aspectratio="t"/>
            <w10:wrap type="square"/>
          </v:shape>
          <o:OLEObject Type="Embed" ProgID="Excel.Chart.8" ShapeID="Object 9" DrawAspect="Content" ObjectID="_1468075726" r:id="rId8">
            <o:LockedField>false</o:LockedField>
          </o:OLEObject>
        </w:pic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2025年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总支出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合计</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5.97</w:t>
      </w:r>
      <w:r>
        <w:rPr>
          <w:rFonts w:hint="default" w:ascii="Times New Roman" w:hAnsi="Times New Roman" w:eastAsia="仿宋_GB2312" w:cs="Times New Roman"/>
          <w:color w:val="000000" w:themeColor="text1"/>
          <w:sz w:val="32"/>
          <w:szCs w:val="32"/>
          <w14:textFill>
            <w14:solidFill>
              <w14:schemeClr w14:val="tx1"/>
            </w14:solidFill>
          </w14:textFill>
        </w:rPr>
        <w:t>万元。其中：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基本支出212.54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万元，占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94</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项目支出13.14</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sz w:val="32"/>
          <w:szCs w:val="32"/>
          <w14:textFill>
            <w14:solidFill>
              <w14:schemeClr w14:val="tx1"/>
            </w14:solidFill>
          </w14:textFill>
        </w:rPr>
        <w:t>%</w:t>
      </w:r>
      <w:bookmarkEnd w:id="30"/>
      <w:r>
        <w:rPr>
          <w:rFonts w:hint="eastAsia" w:ascii="Times New Roman" w:hAnsi="Times New Roman" w:eastAsia="仿宋" w:cs="Times New Roman"/>
          <w:color w:val="000000" w:themeColor="text1"/>
          <w:sz w:val="32"/>
          <w:szCs w:val="32"/>
          <w:lang w:eastAsia="zh-CN"/>
          <w14:textFill>
            <w14:solidFill>
              <w14:schemeClr w14:val="tx1"/>
            </w14:solidFill>
          </w14:textFill>
        </w:rPr>
        <w:t>。</w:t>
      </w:r>
    </w:p>
    <w:p w14:paraId="1E38742C">
      <w:pPr>
        <w:pageBreakBefore w:val="0"/>
        <w:kinsoku/>
        <w:wordWrap/>
        <w:overflowPunct/>
        <w:topLinePunct w:val="0"/>
        <w:bidi w:val="0"/>
        <w:spacing w:line="576" w:lineRule="exact"/>
        <w:ind w:left="2554" w:leftChars="1216" w:firstLine="0" w:firstLineChars="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（图3：支出决算结构图）</w:t>
      </w:r>
    </w:p>
    <w:p w14:paraId="400CD01C">
      <w:pPr>
        <w:pageBreakBefore w:val="0"/>
        <w:kinsoku/>
        <w:wordWrap/>
        <w:overflowPunct/>
        <w:topLinePunct w:val="0"/>
        <w:bidi w:val="0"/>
        <w:spacing w:line="576" w:lineRule="exact"/>
        <w:ind w:firstLine="640" w:firstLineChars="20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31" w:name="_Toc15377208"/>
      <w:bookmarkStart w:id="32" w:name="_Toc15396606"/>
      <w:bookmarkStart w:id="33" w:name="_Toc10701"/>
      <w:r>
        <w:rPr>
          <w:rFonts w:hint="default" w:ascii="Times New Roman" w:hAnsi="Times New Roman" w:eastAsia="黑体" w:cs="Times New Roman"/>
          <w:color w:val="000000" w:themeColor="text1"/>
          <w:sz w:val="32"/>
          <w:szCs w:val="32"/>
          <w14:textFill>
            <w14:solidFill>
              <w14:schemeClr w14:val="tx1"/>
            </w14:solidFill>
          </w14:textFill>
        </w:rPr>
        <w:t>四、财</w:t>
      </w:r>
      <w:r>
        <w:rPr>
          <w:rStyle w:val="19"/>
          <w:rFonts w:hint="default" w:ascii="Times New Roman" w:hAnsi="Times New Roman" w:eastAsia="黑体" w:cs="Times New Roman"/>
          <w:b w:val="0"/>
          <w:color w:val="000000" w:themeColor="text1"/>
          <w14:textFill>
            <w14:solidFill>
              <w14:schemeClr w14:val="tx1"/>
            </w14:solidFill>
          </w14:textFill>
        </w:rPr>
        <w:t>政拨款收入支出决算总体情况说明</w:t>
      </w:r>
      <w:bookmarkEnd w:id="31"/>
      <w:bookmarkEnd w:id="32"/>
      <w:bookmarkEnd w:id="33"/>
    </w:p>
    <w:p w14:paraId="426BFE09">
      <w:pPr>
        <w:pageBreakBefore w:val="0"/>
        <w:kinsoku/>
        <w:wordWrap/>
        <w:overflowPunct/>
        <w:topLinePunct w:val="0"/>
        <w:bidi w:val="0"/>
        <w:snapToGrid w:val="0"/>
        <w:spacing w:line="576"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2025年财政预算收入合计：223.98万元，2024年财政预算收入总计：229.44万元，比去年减少5.46万元，减少2.38%。主要原因：当年项目减少，收入减少。</w:t>
      </w:r>
    </w:p>
    <w:p w14:paraId="0FE74ECD">
      <w:pPr>
        <w:pageBreakBefore w:val="0"/>
        <w:kinsoku/>
        <w:wordWrap/>
        <w:overflowPunct/>
        <w:topLinePunct w:val="0"/>
        <w:bidi w:val="0"/>
        <w:snapToGrid w:val="0"/>
        <w:spacing w:line="576" w:lineRule="exact"/>
        <w:ind w:firstLine="64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2025年财政预算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支出合计：223.98</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2024</w:t>
      </w:r>
      <w:r>
        <w:rPr>
          <w:rFonts w:hint="default" w:ascii="Times New Roman" w:hAnsi="Times New Roman" w:eastAsia="仿宋_GB2312" w:cs="Times New Roman"/>
          <w:color w:val="000000" w:themeColor="text1"/>
          <w:sz w:val="32"/>
          <w:szCs w:val="32"/>
          <w14:textFill>
            <w14:solidFill>
              <w14:schemeClr w14:val="tx1"/>
            </w14:solidFill>
          </w14:textFill>
        </w:rPr>
        <w:t>年财政预算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支出总计：</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229.44</w:t>
      </w:r>
      <w:r>
        <w:rPr>
          <w:rFonts w:hint="default" w:ascii="Times New Roman" w:hAnsi="Times New Roman" w:eastAsia="仿宋_GB2312" w:cs="Times New Roman"/>
          <w:color w:val="000000" w:themeColor="text1"/>
          <w:sz w:val="32"/>
          <w:szCs w:val="32"/>
          <w14:textFill>
            <w14:solidFill>
              <w14:schemeClr w14:val="tx1"/>
            </w14:solidFill>
          </w14:textFill>
        </w:rPr>
        <w:t>万元，比去年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减少5.46</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，减少2.38%</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主要原因:</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当年项目减少，支出减少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24E79C1B">
      <w:pPr>
        <w:pageBreakBefore w:val="0"/>
        <w:kinsoku/>
        <w:wordWrap/>
        <w:overflowPunct/>
        <w:topLinePunct w:val="0"/>
        <w:bidi w:val="0"/>
        <w:spacing w:line="576" w:lineRule="exact"/>
        <w:rPr>
          <w:rFonts w:hint="default" w:ascii="Times New Roman" w:hAnsi="Times New Roman" w:eastAsia="仿宋" w:cs="Times New Roman"/>
          <w:b/>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295275</wp:posOffset>
            </wp:positionH>
            <wp:positionV relativeFrom="paragraph">
              <wp:posOffset>197485</wp:posOffset>
            </wp:positionV>
            <wp:extent cx="4657725" cy="2828925"/>
            <wp:effectExtent l="0" t="0" r="9525" b="9525"/>
            <wp:wrapSquare wrapText="bothSides"/>
            <wp:docPr id="10" name="图片 10" descr="图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41"/>
                    <pic:cNvPicPr>
                      <a:picLocks noChangeAspect="1"/>
                    </pic:cNvPicPr>
                  </pic:nvPicPr>
                  <pic:blipFill>
                    <a:blip r:embed="rId5"/>
                    <a:stretch>
                      <a:fillRect/>
                    </a:stretch>
                  </pic:blipFill>
                  <pic:spPr>
                    <a:xfrm>
                      <a:off x="0" y="0"/>
                      <a:ext cx="4657725" cy="2828925"/>
                    </a:xfrm>
                    <a:prstGeom prst="rect">
                      <a:avLst/>
                    </a:prstGeom>
                  </pic:spPr>
                </pic:pic>
              </a:graphicData>
            </a:graphic>
          </wp:anchor>
        </w:drawing>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2"/>
          <w:szCs w:val="32"/>
          <w14:textFill>
            <w14:solidFill>
              <w14:schemeClr w14:val="tx1"/>
            </w14:solidFill>
          </w14:textFill>
        </w:rPr>
        <w:t>（图4：财政拨款收、支决算总计变动情况）</w:t>
      </w:r>
    </w:p>
    <w:p w14:paraId="0E07DF65">
      <w:pPr>
        <w:pageBreakBefore w:val="0"/>
        <w:kinsoku/>
        <w:wordWrap/>
        <w:overflowPunct/>
        <w:topLinePunct w:val="0"/>
        <w:bidi w:val="0"/>
        <w:spacing w:line="576" w:lineRule="exact"/>
        <w:ind w:firstLine="640" w:firstLineChars="20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34" w:name="_Toc18100"/>
      <w:bookmarkStart w:id="35" w:name="_Toc15396607"/>
      <w:bookmarkStart w:id="36" w:name="_Toc15377209"/>
      <w:r>
        <w:rPr>
          <w:rFonts w:hint="default" w:ascii="Times New Roman" w:hAnsi="Times New Roman" w:eastAsia="黑体" w:cs="Times New Roman"/>
          <w:color w:val="000000" w:themeColor="text1"/>
          <w:sz w:val="32"/>
          <w:szCs w:val="32"/>
          <w14:textFill>
            <w14:solidFill>
              <w14:schemeClr w14:val="tx1"/>
            </w14:solidFill>
          </w14:textFill>
        </w:rPr>
        <w:t>五、</w:t>
      </w:r>
      <w:r>
        <w:rPr>
          <w:rFonts w:hint="default" w:ascii="Times New Roman" w:hAnsi="Times New Roman" w:eastAsia="黑体" w:cs="Times New Roman"/>
          <w:b/>
          <w:color w:val="000000" w:themeColor="text1"/>
          <w:sz w:val="32"/>
          <w:szCs w:val="32"/>
          <w14:textFill>
            <w14:solidFill>
              <w14:schemeClr w14:val="tx1"/>
            </w14:solidFill>
          </w14:textFill>
        </w:rPr>
        <w:t>一</w:t>
      </w:r>
      <w:r>
        <w:rPr>
          <w:rStyle w:val="19"/>
          <w:rFonts w:hint="default" w:ascii="Times New Roman" w:hAnsi="Times New Roman" w:eastAsia="黑体" w:cs="Times New Roman"/>
          <w:b w:val="0"/>
          <w:color w:val="000000" w:themeColor="text1"/>
          <w14:textFill>
            <w14:solidFill>
              <w14:schemeClr w14:val="tx1"/>
            </w14:solidFill>
          </w14:textFill>
        </w:rPr>
        <w:t>般公共预算财政拨款支出决算情况说明</w:t>
      </w:r>
      <w:bookmarkEnd w:id="34"/>
      <w:bookmarkEnd w:id="35"/>
      <w:bookmarkEnd w:id="36"/>
    </w:p>
    <w:p w14:paraId="5CE40233">
      <w:pPr>
        <w:pageBreakBefore w:val="0"/>
        <w:kinsoku/>
        <w:wordWrap/>
        <w:overflowPunct/>
        <w:topLinePunct w:val="0"/>
        <w:bidi w:val="0"/>
        <w:spacing w:line="576" w:lineRule="exact"/>
        <w:ind w:firstLine="643" w:firstLineChars="200"/>
        <w:outlineLvl w:val="2"/>
        <w:rPr>
          <w:rFonts w:hint="eastAsia" w:ascii="楷体" w:hAnsi="楷体" w:eastAsia="楷体" w:cs="楷体"/>
          <w:b/>
          <w:color w:val="000000" w:themeColor="text1"/>
          <w:sz w:val="32"/>
          <w:szCs w:val="32"/>
          <w14:textFill>
            <w14:solidFill>
              <w14:schemeClr w14:val="tx1"/>
            </w14:solidFill>
          </w14:textFill>
        </w:rPr>
      </w:pPr>
      <w:bookmarkStart w:id="37" w:name="_Toc15377210"/>
      <w:bookmarkStart w:id="38" w:name="_Toc24159"/>
      <w:r>
        <w:rPr>
          <w:rFonts w:hint="eastAsia" w:ascii="楷体" w:hAnsi="楷体" w:eastAsia="楷体" w:cs="楷体"/>
          <w:b/>
          <w:color w:val="000000" w:themeColor="text1"/>
          <w:sz w:val="32"/>
          <w:szCs w:val="32"/>
          <w14:textFill>
            <w14:solidFill>
              <w14:schemeClr w14:val="tx1"/>
            </w14:solidFill>
          </w14:textFill>
        </w:rPr>
        <w:t>（一）一般公共预算财政拨款支出决算总体情况</w:t>
      </w:r>
      <w:bookmarkEnd w:id="37"/>
      <w:bookmarkEnd w:id="38"/>
    </w:p>
    <w:p w14:paraId="6A2CF150">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年度一般公共预算财政拨款支出22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.9</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14:textFill>
            <w14:solidFill>
              <w14:schemeClr w14:val="tx1"/>
            </w14:solidFill>
          </w14:textFill>
        </w:rPr>
        <w:t>万元，占本年支出合计的99.</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14:textFill>
            <w14:solidFill>
              <w14:schemeClr w14:val="tx1"/>
            </w14:solidFill>
          </w14:textFill>
        </w:rPr>
        <w:t>%。与202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年度相比，一般公共预算财政拨款支出减少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4.98</w:t>
      </w:r>
      <w:r>
        <w:rPr>
          <w:rFonts w:hint="default" w:ascii="Times New Roman" w:hAnsi="Times New Roman" w:eastAsia="仿宋_GB2312" w:cs="Times New Roman"/>
          <w:color w:val="000000" w:themeColor="text1"/>
          <w:sz w:val="32"/>
          <w:szCs w:val="32"/>
          <w14:textFill>
            <w14:solidFill>
              <w14:schemeClr w14:val="tx1"/>
            </w14:solidFill>
          </w14:textFill>
        </w:rPr>
        <w:t>万元，下降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2.18</w:t>
      </w:r>
      <w:r>
        <w:rPr>
          <w:rFonts w:hint="default" w:ascii="Times New Roman" w:hAnsi="Times New Roman" w:eastAsia="仿宋_GB2312" w:cs="Times New Roman"/>
          <w:color w:val="000000" w:themeColor="text1"/>
          <w:sz w:val="32"/>
          <w:szCs w:val="32"/>
          <w14:textFill>
            <w14:solidFill>
              <w14:schemeClr w14:val="tx1"/>
            </w14:solidFill>
          </w14:textFill>
        </w:rPr>
        <w:t>%。主要变动原因是本年项目减少，支出减少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FE6D112">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2FE2E522">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p>
    <w:p w14:paraId="59345734">
      <w:pPr>
        <w:pageBreakBefore w:val="0"/>
        <w:kinsoku/>
        <w:wordWrap/>
        <w:overflowPunct/>
        <w:topLinePunct w:val="0"/>
        <w:bidi w:val="0"/>
        <w:spacing w:line="576" w:lineRule="exact"/>
        <w:ind w:left="1278" w:leftChars="304" w:hanging="640" w:hanging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205105</wp:posOffset>
            </wp:positionH>
            <wp:positionV relativeFrom="paragraph">
              <wp:posOffset>-561975</wp:posOffset>
            </wp:positionV>
            <wp:extent cx="5267325" cy="3000375"/>
            <wp:effectExtent l="0" t="0" r="9525" b="9525"/>
            <wp:wrapSquare wrapText="bothSides"/>
            <wp:docPr id="6" name="图片 6" descr="图片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33."/>
                    <pic:cNvPicPr>
                      <a:picLocks noChangeAspect="1"/>
                    </pic:cNvPicPr>
                  </pic:nvPicPr>
                  <pic:blipFill>
                    <a:blip r:embed="rId10"/>
                    <a:stretch>
                      <a:fillRect/>
                    </a:stretch>
                  </pic:blipFill>
                  <pic:spPr>
                    <a:xfrm>
                      <a:off x="0" y="0"/>
                      <a:ext cx="5267325" cy="3000375"/>
                    </a:xfrm>
                    <a:prstGeom prst="rect">
                      <a:avLst/>
                    </a:prstGeom>
                  </pic:spPr>
                </pic:pic>
              </a:graphicData>
            </a:graphic>
          </wp:anchor>
        </w:drawing>
      </w:r>
      <w:r>
        <w:rPr>
          <w:rFonts w:hint="default" w:ascii="Times New Roman" w:hAnsi="Times New Roman" w:eastAsia="仿宋" w:cs="Times New Roman"/>
          <w:color w:val="000000" w:themeColor="text1"/>
          <w:sz w:val="32"/>
          <w:szCs w:val="32"/>
          <w14:textFill>
            <w14:solidFill>
              <w14:schemeClr w14:val="tx1"/>
            </w14:solidFill>
          </w14:textFill>
        </w:rPr>
        <w:t>（图5：一般公共预算财政拨款支出决算变动情况）</w:t>
      </w:r>
    </w:p>
    <w:p w14:paraId="031F0330">
      <w:pPr>
        <w:pageBreakBefore w:val="0"/>
        <w:kinsoku/>
        <w:wordWrap/>
        <w:overflowPunct/>
        <w:topLinePunct w:val="0"/>
        <w:bidi w:val="0"/>
        <w:spacing w:line="576" w:lineRule="exact"/>
        <w:ind w:firstLine="643" w:firstLineChars="200"/>
        <w:outlineLvl w:val="2"/>
        <w:rPr>
          <w:rFonts w:hint="eastAsia" w:ascii="楷体" w:hAnsi="楷体" w:eastAsia="楷体" w:cs="楷体"/>
          <w:b/>
          <w:color w:val="000000" w:themeColor="text1"/>
          <w:sz w:val="32"/>
          <w:szCs w:val="32"/>
          <w14:textFill>
            <w14:solidFill>
              <w14:schemeClr w14:val="tx1"/>
            </w14:solidFill>
          </w14:textFill>
        </w:rPr>
      </w:pPr>
      <w:bookmarkStart w:id="39" w:name="_Toc15377211"/>
      <w:bookmarkStart w:id="40" w:name="_Toc14186"/>
      <w:r>
        <w:rPr>
          <w:rFonts w:hint="eastAsia" w:ascii="楷体" w:hAnsi="楷体" w:eastAsia="楷体" w:cs="楷体"/>
          <w:b/>
          <w:color w:val="000000" w:themeColor="text1"/>
          <w:sz w:val="32"/>
          <w:szCs w:val="32"/>
          <w14:textFill>
            <w14:solidFill>
              <w14:schemeClr w14:val="tx1"/>
            </w14:solidFill>
          </w14:textFill>
        </w:rPr>
        <w:t>（二）一般公共预算财政拨款支出决算结构情况</w:t>
      </w:r>
      <w:bookmarkEnd w:id="39"/>
      <w:bookmarkEnd w:id="40"/>
    </w:p>
    <w:p w14:paraId="609C5B0B">
      <w:pPr>
        <w:pageBreakBefore w:val="0"/>
        <w:numPr>
          <w:ilvl w:val="0"/>
          <w:numId w:val="0"/>
        </w:numPr>
        <w:kinsoku/>
        <w:wordWrap/>
        <w:overflowPunct/>
        <w:topLinePunct w:val="0"/>
        <w:bidi w:val="0"/>
        <w:snapToGrid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2025年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总支出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合计</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223.98</w:t>
      </w:r>
      <w:r>
        <w:rPr>
          <w:rFonts w:hint="default" w:ascii="Times New Roman" w:hAnsi="Times New Roman" w:eastAsia="仿宋_GB2312" w:cs="Times New Roman"/>
          <w:color w:val="000000" w:themeColor="text1"/>
          <w:sz w:val="32"/>
          <w:szCs w:val="32"/>
          <w14:textFill>
            <w14:solidFill>
              <w14:schemeClr w14:val="tx1"/>
            </w14:solidFill>
          </w14:textFill>
        </w:rPr>
        <w:t>万元。其中：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一般公共服务支出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165.62万元，占73.94</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社会保障和就业支出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31.5万元，占13.94</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卫生健康支出11.03万元，占4.88</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住房保障支出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15.83万元，占7.01</w:t>
      </w:r>
      <w:r>
        <w:rPr>
          <w:rFonts w:hint="default" w:ascii="Times New Roman" w:hAnsi="Times New Roman" w:eastAsia="仿宋" w:cs="Times New Roman"/>
          <w:color w:val="000000" w:themeColor="text1"/>
          <w:sz w:val="32"/>
          <w:szCs w:val="32"/>
          <w14:textFill>
            <w14:solidFill>
              <w14:schemeClr w14:val="tx1"/>
            </w14:solidFill>
          </w14:textFill>
        </w:rPr>
        <w:t>%</w:t>
      </w:r>
    </w:p>
    <w:p w14:paraId="04CC33FF">
      <w:pPr>
        <w:pageBreakBefore w:val="0"/>
        <w:kinsoku/>
        <w:wordWrap/>
        <w:overflowPunct/>
        <w:topLinePunct w:val="0"/>
        <w:bidi w:val="0"/>
        <w:spacing w:line="576"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ascii="Times New Roman" w:hAnsi="Times New Roman" w:eastAsia="仿宋"/>
          <w:color w:val="000000" w:themeColor="text1"/>
          <w:sz w:val="32"/>
          <w:szCs w:val="32"/>
          <w:shd w:val="pct10" w:color="auto" w:fill="FFFFFF"/>
          <w14:textFill>
            <w14:solidFill>
              <w14:schemeClr w14:val="tx1"/>
            </w14:solidFill>
          </w14:textFill>
        </w:rPr>
        <w:pict>
          <v:shape id="_x0000_s1032" o:spid="_x0000_s1032" o:spt="75" type="#_x0000_t75" style="position:absolute;left:0pt;margin-left:24.5pt;margin-top:23.75pt;height:222.75pt;width:366.75pt;mso-wrap-distance-bottom:0pt;mso-wrap-distance-left:9pt;mso-wrap-distance-right:9pt;mso-wrap-distance-top:0pt;z-index:251666432;mso-width-relative:page;mso-height-relative:page;" o:ole="t" filled="f" o:preferrelative="t" stroked="f" coordsize="21600,21600">
            <v:path/>
            <v:fill on="f" focussize="0,0"/>
            <v:stroke on="f"/>
            <v:imagedata r:id="rId12" o:title=""/>
            <o:lock v:ext="edit" aspectratio="t"/>
            <w10:wrap type="square"/>
          </v:shape>
          <o:OLEObject Type="Embed" ProgID="Excel.Chart.8" ShapeID="_x0000_s1032" DrawAspect="Content" ObjectID="_1468075727" r:id="rId11">
            <o:LockedField>false</o:LockedField>
          </o:OLEObject>
        </w:pict>
      </w:r>
      <w:r>
        <w:rPr>
          <w:rFonts w:hint="default" w:ascii="Times New Roman" w:hAnsi="Times New Roman" w:eastAsia="仿宋" w:cs="Times New Roman"/>
          <w:color w:val="000000" w:themeColor="text1"/>
          <w:sz w:val="32"/>
          <w:szCs w:val="32"/>
          <w14:textFill>
            <w14:solidFill>
              <w14:schemeClr w14:val="tx1"/>
            </w14:solidFill>
          </w14:textFill>
        </w:rPr>
        <w:t>（图6：一般公共预算财政拨款支出决算结构）</w:t>
      </w:r>
    </w:p>
    <w:p w14:paraId="0086CA79">
      <w:pPr>
        <w:pageBreakBefore w:val="0"/>
        <w:kinsoku/>
        <w:wordWrap/>
        <w:overflowPunct/>
        <w:topLinePunct w:val="0"/>
        <w:bidi w:val="0"/>
        <w:spacing w:line="576" w:lineRule="exact"/>
        <w:ind w:firstLine="643" w:firstLineChars="200"/>
        <w:outlineLvl w:val="2"/>
        <w:rPr>
          <w:rFonts w:hint="eastAsia" w:ascii="楷体" w:hAnsi="楷体" w:eastAsia="楷体" w:cs="楷体"/>
          <w:b/>
          <w:color w:val="000000" w:themeColor="text1"/>
          <w:sz w:val="32"/>
          <w:szCs w:val="32"/>
          <w14:textFill>
            <w14:solidFill>
              <w14:schemeClr w14:val="tx1"/>
            </w14:solidFill>
          </w14:textFill>
        </w:rPr>
      </w:pPr>
      <w:bookmarkStart w:id="41" w:name="_Toc19092"/>
      <w:bookmarkStart w:id="42" w:name="_Toc15377212"/>
      <w:r>
        <w:rPr>
          <w:rFonts w:hint="eastAsia" w:ascii="楷体" w:hAnsi="楷体" w:eastAsia="楷体" w:cs="楷体"/>
          <w:b/>
          <w:color w:val="000000" w:themeColor="text1"/>
          <w:sz w:val="32"/>
          <w:szCs w:val="32"/>
          <w14:textFill>
            <w14:solidFill>
              <w14:schemeClr w14:val="tx1"/>
            </w14:solidFill>
          </w14:textFill>
        </w:rPr>
        <w:t>（三）一般公共预算财政拨款支出决算具体情况</w:t>
      </w:r>
      <w:bookmarkEnd w:id="41"/>
      <w:bookmarkEnd w:id="42"/>
    </w:p>
    <w:p w14:paraId="24262585">
      <w:pPr>
        <w:pageBreakBefore w:val="0"/>
        <w:kinsoku/>
        <w:wordWrap/>
        <w:overflowPunct/>
        <w:topLinePunct w:val="0"/>
        <w:bidi w:val="0"/>
        <w:snapToGrid w:val="0"/>
        <w:spacing w:line="576" w:lineRule="exact"/>
        <w:ind w:firstLine="640" w:firstLineChars="200"/>
        <w:rPr>
          <w:rFonts w:hint="default" w:ascii="Times New Roman" w:hAnsi="Times New Roman" w:eastAsia="仿宋_GB2312" w:cs="Times New Roman"/>
          <w:b/>
          <w:color w:val="000000" w:themeColor="text1"/>
          <w:sz w:val="32"/>
          <w:szCs w:val="32"/>
          <w14:textFill>
            <w14:solidFill>
              <w14:schemeClr w14:val="tx1"/>
            </w14:solidFill>
          </w14:textFill>
        </w:rPr>
      </w:pPr>
      <w:bookmarkStart w:id="43" w:name="_Toc15377213"/>
      <w:bookmarkStart w:id="44" w:name="_Toc15378460"/>
      <w:bookmarkStart w:id="45" w:name="_Toc15377444"/>
      <w:bookmarkStart w:id="46" w:name="_Toc31464"/>
      <w:r>
        <w:rPr>
          <w:rFonts w:hint="default" w:ascii="Times New Roman" w:hAnsi="Times New Roman" w:eastAsia="仿宋_GB2312" w:cs="Times New Roman"/>
          <w:color w:val="000000" w:themeColor="text1"/>
          <w:sz w:val="32"/>
          <w:szCs w:val="32"/>
          <w:lang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收入合计22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5.97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万元；2025年支出合计：225.97万元。</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其中</w:t>
      </w:r>
      <w:r>
        <w:rPr>
          <w:rFonts w:hint="default" w:ascii="Times New Roman" w:hAnsi="Times New Roman" w:eastAsia="仿宋_GB2312" w:cs="Times New Roman"/>
          <w:b/>
          <w:color w:val="000000" w:themeColor="text1"/>
          <w:sz w:val="32"/>
          <w:szCs w:val="32"/>
          <w14:textFill>
            <w14:solidFill>
              <w14:schemeClr w14:val="tx1"/>
            </w14:solidFill>
          </w14:textFill>
        </w:rPr>
        <w:t>:</w:t>
      </w:r>
    </w:p>
    <w:p w14:paraId="1638C4D1">
      <w:pPr>
        <w:pageBreakBefore w:val="0"/>
        <w:kinsoku/>
        <w:wordWrap/>
        <w:overflowPunct/>
        <w:topLinePunct w:val="0"/>
        <w:bidi w:val="0"/>
        <w:snapToGrid w:val="0"/>
        <w:spacing w:line="576"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color w:val="000000" w:themeColor="text1"/>
          <w:sz w:val="32"/>
          <w:szCs w:val="32"/>
          <w14:textFill>
            <w14:solidFill>
              <w14:schemeClr w14:val="tx1"/>
            </w14:solidFill>
          </w14:textFill>
        </w:rPr>
        <w:t>一般公共服务支出（类）</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档案</w:t>
      </w:r>
      <w:r>
        <w:rPr>
          <w:rFonts w:hint="default" w:ascii="Times New Roman" w:hAnsi="Times New Roman" w:eastAsia="仿宋_GB2312" w:cs="Times New Roman"/>
          <w:b/>
          <w:color w:val="000000" w:themeColor="text1"/>
          <w:sz w:val="32"/>
          <w:szCs w:val="32"/>
          <w14:textFill>
            <w14:solidFill>
              <w14:schemeClr w14:val="tx1"/>
            </w14:solidFill>
          </w14:textFill>
        </w:rPr>
        <w:t>事务</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）行政运行（</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154.18万元，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完成预算100 %，决算数等于预算数。</w:t>
      </w:r>
    </w:p>
    <w:p w14:paraId="4886F9E3">
      <w:pPr>
        <w:pageBreakBefore w:val="0"/>
        <w:kinsoku/>
        <w:wordWrap/>
        <w:overflowPunct/>
        <w:topLinePunct w:val="0"/>
        <w:bidi w:val="0"/>
        <w:spacing w:line="576" w:lineRule="exact"/>
        <w:ind w:firstLine="643" w:firstLineChars="200"/>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color w:val="000000" w:themeColor="text1"/>
          <w:sz w:val="32"/>
          <w:szCs w:val="32"/>
          <w14:textFill>
            <w14:solidFill>
              <w14:schemeClr w14:val="tx1"/>
            </w14:solidFill>
          </w14:textFill>
        </w:rPr>
        <w:t>一般公共服务支出（类）</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档案</w:t>
      </w:r>
      <w:r>
        <w:rPr>
          <w:rFonts w:hint="default" w:ascii="Times New Roman" w:hAnsi="Times New Roman" w:eastAsia="仿宋_GB2312" w:cs="Times New Roman"/>
          <w:b/>
          <w:color w:val="000000" w:themeColor="text1"/>
          <w:sz w:val="32"/>
          <w:szCs w:val="32"/>
          <w14:textFill>
            <w14:solidFill>
              <w14:schemeClr w14:val="tx1"/>
            </w14:solidFill>
          </w14:textFill>
        </w:rPr>
        <w:t>事务</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一般行政管理事务（项）：</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1.42万元，</w:t>
      </w: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完成预算100 %，决算数等于预算数。</w:t>
      </w:r>
    </w:p>
    <w:p w14:paraId="4630140F">
      <w:pPr>
        <w:pageBreakBefore w:val="0"/>
        <w:kinsoku/>
        <w:wordWrap/>
        <w:overflowPunct/>
        <w:topLinePunct w:val="0"/>
        <w:bidi w:val="0"/>
        <w:spacing w:line="576" w:lineRule="exact"/>
        <w:ind w:firstLine="643" w:firstLineChars="200"/>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color w:val="000000" w:themeColor="text1"/>
          <w:sz w:val="32"/>
          <w:szCs w:val="32"/>
          <w14:textFill>
            <w14:solidFill>
              <w14:schemeClr w14:val="tx1"/>
            </w14:solidFill>
          </w14:textFill>
        </w:rPr>
        <w:t>一般公共服务支出（类）</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档案</w:t>
      </w:r>
      <w:r>
        <w:rPr>
          <w:rFonts w:hint="default" w:ascii="Times New Roman" w:hAnsi="Times New Roman" w:eastAsia="仿宋_GB2312" w:cs="Times New Roman"/>
          <w:b/>
          <w:color w:val="000000" w:themeColor="text1"/>
          <w:sz w:val="32"/>
          <w:szCs w:val="32"/>
          <w14:textFill>
            <w14:solidFill>
              <w14:schemeClr w14:val="tx1"/>
            </w14:solidFill>
          </w14:textFill>
        </w:rPr>
        <w:t>事务</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档案馆</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12.01万元，完成预算100 %，决算数等于预算数。</w:t>
      </w:r>
    </w:p>
    <w:p w14:paraId="59806D71">
      <w:pPr>
        <w:pStyle w:val="7"/>
        <w:pageBreakBefore w:val="0"/>
        <w:numPr>
          <w:ilvl w:val="0"/>
          <w:numId w:val="0"/>
        </w:numPr>
        <w:kinsoku/>
        <w:wordWrap/>
        <w:overflowPunct/>
        <w:topLinePunct w:val="0"/>
        <w:bidi w:val="0"/>
        <w:spacing w:line="576" w:lineRule="exact"/>
        <w:ind w:firstLine="643" w:firstLineChars="200"/>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b/>
          <w:color w:val="000000" w:themeColor="text1"/>
          <w:sz w:val="32"/>
          <w:szCs w:val="32"/>
          <w14:textFill>
            <w14:solidFill>
              <w14:schemeClr w14:val="tx1"/>
            </w14:solidFill>
          </w14:textFill>
        </w:rPr>
        <w:t>社会保障和就业支出（类）行政事业单位养老支出</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）机关事业单位基本养老保险缴费支出（</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21.01万元，</w:t>
      </w: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完成预算100 %，决算数等于预算数。</w:t>
      </w:r>
    </w:p>
    <w:p w14:paraId="39CAC0F7">
      <w:pPr>
        <w:pageBreakBefore w:val="0"/>
        <w:kinsoku/>
        <w:wordWrap/>
        <w:overflowPunct/>
        <w:topLinePunct w:val="0"/>
        <w:bidi w:val="0"/>
        <w:spacing w:line="576" w:lineRule="exact"/>
        <w:ind w:firstLine="643" w:firstLineChars="200"/>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
          <w:color w:val="000000" w:themeColor="text1"/>
          <w:sz w:val="32"/>
          <w:szCs w:val="32"/>
          <w14:textFill>
            <w14:solidFill>
              <w14:schemeClr w14:val="tx1"/>
            </w14:solidFill>
          </w14:textFill>
        </w:rPr>
        <w:t>社会保障和就业支出（类）行政事业单位养老支出</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）机关事业单位职业年金缴费支出（</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10.5万元，</w:t>
      </w: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完成预算100 %，决算数等于预算数。</w:t>
      </w:r>
    </w:p>
    <w:p w14:paraId="4DF8BA9C">
      <w:pPr>
        <w:pageBreakBefore w:val="0"/>
        <w:kinsoku/>
        <w:wordWrap/>
        <w:overflowPunct/>
        <w:topLinePunct w:val="0"/>
        <w:bidi w:val="0"/>
        <w:snapToGrid w:val="0"/>
        <w:spacing w:line="576"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14:textFill>
            <w14:solidFill>
              <w14:schemeClr w14:val="tx1"/>
            </w14:solidFill>
          </w14:textFill>
        </w:rPr>
        <w:t>卫生健康支出</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类</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）行政事业单位医疗</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）行政单位医疗（</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，完成预算100 %，决算数等于预算数。</w:t>
      </w:r>
    </w:p>
    <w:p w14:paraId="572796D9">
      <w:pPr>
        <w:pageBreakBefore w:val="0"/>
        <w:kinsoku/>
        <w:wordWrap/>
        <w:overflowPunct/>
        <w:topLinePunct w:val="0"/>
        <w:bidi w:val="0"/>
        <w:snapToGrid w:val="0"/>
        <w:spacing w:line="576" w:lineRule="exact"/>
        <w:ind w:firstLine="643"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szCs w:val="32"/>
          <w14:textFill>
            <w14:solidFill>
              <w14:schemeClr w14:val="tx1"/>
            </w14:solidFill>
          </w14:textFill>
        </w:rPr>
        <w:t>卫生健康支出</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类</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）行政事业单位医疗</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）公务员医疗补助（</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2.03</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，完成预算100 %，决算数等于预算数。</w:t>
      </w:r>
    </w:p>
    <w:p w14:paraId="1E66F557">
      <w:pPr>
        <w:pageBreakBefore w:val="0"/>
        <w:kinsoku/>
        <w:wordWrap/>
        <w:overflowPunct/>
        <w:topLinePunct w:val="0"/>
        <w:bidi w:val="0"/>
        <w:snapToGrid w:val="0"/>
        <w:spacing w:line="576" w:lineRule="exact"/>
        <w:ind w:firstLine="643"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b/>
          <w:bCs/>
          <w:color w:val="000000" w:themeColor="text1"/>
          <w:sz w:val="32"/>
          <w:szCs w:val="32"/>
          <w14:textFill>
            <w14:solidFill>
              <w14:schemeClr w14:val="tx1"/>
            </w14:solidFill>
          </w14:textFill>
        </w:rPr>
        <w:t>住房保障支出</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类</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）住房改革支出</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款</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）住房公积金（</w:t>
      </w:r>
      <w:r>
        <w:rPr>
          <w:rFonts w:hint="default" w:ascii="Times New Roman" w:hAnsi="Times New Roman" w:eastAsia="仿宋_GB2312" w:cs="Times New Roman"/>
          <w:b/>
          <w:color w:val="000000" w:themeColor="text1"/>
          <w:sz w:val="32"/>
          <w:szCs w:val="32"/>
          <w:lang w:val="en-US" w:eastAsia="zh-CN"/>
          <w14:textFill>
            <w14:solidFill>
              <w14:schemeClr w14:val="tx1"/>
            </w14:solidFill>
          </w14:textFill>
        </w:rPr>
        <w:t>项</w:t>
      </w:r>
      <w:r>
        <w:rPr>
          <w:rFonts w:hint="default" w:ascii="Times New Roman" w:hAnsi="Times New Roman" w:eastAsia="仿宋_GB2312" w:cs="Times New Roman"/>
          <w:b/>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15.83万元，完成预算100 %，决算数等于预算数。</w:t>
      </w:r>
      <w:bookmarkEnd w:id="43"/>
      <w:bookmarkEnd w:id="44"/>
      <w:bookmarkEnd w:id="45"/>
      <w:bookmarkEnd w:id="46"/>
    </w:p>
    <w:p w14:paraId="35C54B8A">
      <w:pPr>
        <w:pageBreakBefore w:val="0"/>
        <w:tabs>
          <w:tab w:val="right" w:pos="8306"/>
        </w:tabs>
        <w:kinsoku/>
        <w:wordWrap/>
        <w:overflowPunct/>
        <w:topLinePunct w:val="0"/>
        <w:bidi w:val="0"/>
        <w:spacing w:line="576" w:lineRule="exact"/>
        <w:ind w:firstLine="640" w:firstLineChars="200"/>
        <w:outlineLvl w:val="1"/>
        <w:rPr>
          <w:rStyle w:val="19"/>
          <w:rFonts w:hint="default" w:ascii="Times New Roman" w:hAnsi="Times New Roman" w:cs="Times New Roman"/>
          <w:color w:val="000000" w:themeColor="text1"/>
          <w14:textFill>
            <w14:solidFill>
              <w14:schemeClr w14:val="tx1"/>
            </w14:solidFill>
          </w14:textFill>
        </w:rPr>
      </w:pPr>
      <w:bookmarkStart w:id="47" w:name="_Toc15396608"/>
      <w:bookmarkStart w:id="48" w:name="_Toc7777"/>
      <w:bookmarkStart w:id="49" w:name="_Toc15377214"/>
      <w:r>
        <w:rPr>
          <w:rFonts w:hint="default" w:ascii="Times New Roman" w:hAnsi="Times New Roman" w:eastAsia="黑体" w:cs="Times New Roman"/>
          <w:color w:val="000000" w:themeColor="text1"/>
          <w:sz w:val="32"/>
          <w:szCs w:val="32"/>
          <w14:textFill>
            <w14:solidFill>
              <w14:schemeClr w14:val="tx1"/>
            </w14:solidFill>
          </w14:textFill>
        </w:rPr>
        <w:t>六</w:t>
      </w:r>
      <w:r>
        <w:rPr>
          <w:rFonts w:hint="default" w:ascii="Times New Roman" w:hAnsi="Times New Roman" w:eastAsia="黑体" w:cs="Times New Roman"/>
          <w:b/>
          <w:color w:val="000000" w:themeColor="text1"/>
          <w:sz w:val="32"/>
          <w:szCs w:val="32"/>
          <w14:textFill>
            <w14:solidFill>
              <w14:schemeClr w14:val="tx1"/>
            </w14:solidFill>
          </w14:textFill>
        </w:rPr>
        <w:t>、一</w:t>
      </w:r>
      <w:r>
        <w:rPr>
          <w:rStyle w:val="19"/>
          <w:rFonts w:hint="default" w:ascii="Times New Roman" w:hAnsi="Times New Roman" w:eastAsia="黑体" w:cs="Times New Roman"/>
          <w:b w:val="0"/>
          <w:color w:val="000000" w:themeColor="text1"/>
          <w14:textFill>
            <w14:solidFill>
              <w14:schemeClr w14:val="tx1"/>
            </w14:solidFill>
          </w14:textFill>
        </w:rPr>
        <w:t>般公共预算财政拨款基本支出决算情况说明</w:t>
      </w:r>
      <w:bookmarkEnd w:id="47"/>
      <w:bookmarkEnd w:id="48"/>
      <w:bookmarkEnd w:id="49"/>
      <w:r>
        <w:rPr>
          <w:rStyle w:val="19"/>
          <w:rFonts w:hint="default" w:ascii="Times New Roman" w:hAnsi="Times New Roman" w:eastAsia="黑体" w:cs="Times New Roman"/>
          <w:b w:val="0"/>
          <w:color w:val="000000" w:themeColor="text1"/>
          <w14:textFill>
            <w14:solidFill>
              <w14:schemeClr w14:val="tx1"/>
            </w14:solidFill>
          </w14:textFill>
        </w:rPr>
        <w:tab/>
      </w:r>
    </w:p>
    <w:p w14:paraId="4E23F5F9">
      <w:pPr>
        <w:pageBreakBefore w:val="0"/>
        <w:kinsoku/>
        <w:wordWrap/>
        <w:overflowPunct/>
        <w:topLinePunct w:val="0"/>
        <w:bidi w:val="0"/>
        <w:spacing w:line="576"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年度一般公共预算财政拨款基本支出2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23.98</w:t>
      </w:r>
      <w:r>
        <w:rPr>
          <w:rFonts w:hint="default" w:ascii="Times New Roman" w:hAnsi="Times New Roman" w:eastAsia="仿宋_GB2312" w:cs="Times New Roman"/>
          <w:color w:val="000000" w:themeColor="text1"/>
          <w:sz w:val="32"/>
          <w:szCs w:val="32"/>
          <w14:textFill>
            <w14:solidFill>
              <w14:schemeClr w14:val="tx1"/>
            </w14:solidFill>
          </w14:textFill>
        </w:rPr>
        <w:t>万元，其中：</w:t>
      </w:r>
    </w:p>
    <w:p w14:paraId="6A069CEF">
      <w:pPr>
        <w:pageBreakBefore w:val="0"/>
        <w:kinsoku/>
        <w:wordWrap/>
        <w:overflowPunct/>
        <w:topLinePunct w:val="0"/>
        <w:bidi w:val="0"/>
        <w:spacing w:line="576" w:lineRule="exact"/>
        <w:ind w:firstLine="645"/>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人员经费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202.39</w:t>
      </w:r>
      <w:r>
        <w:rPr>
          <w:rFonts w:hint="default" w:ascii="Times New Roman" w:hAnsi="Times New Roman" w:eastAsia="仿宋_GB2312" w:cs="Times New Roman"/>
          <w:color w:val="000000" w:themeColor="text1"/>
          <w:sz w:val="32"/>
          <w:szCs w:val="32"/>
          <w14:textFill>
            <w14:solidFill>
              <w14:schemeClr w14:val="tx1"/>
            </w14:solidFill>
          </w14:textFill>
        </w:rPr>
        <w:t>万元，主要包括：基本工资、津贴补贴、奖金、机关事业单位基本养老保险缴费、职业年金缴费、职工基本医疗保险缴费、公务员医疗补助缴费、其他社会保障缴费、医疗费补助、住房公积金、生活补助等。</w:t>
      </w:r>
      <w:r>
        <w:rPr>
          <w:rFonts w:hint="default" w:ascii="Times New Roman" w:hAnsi="Times New Roman" w:eastAsia="仿宋_GB2312" w:cs="Times New Roman"/>
          <w:color w:val="000000" w:themeColor="text1"/>
          <w:sz w:val="32"/>
          <w:szCs w:val="32"/>
          <w14:textFill>
            <w14:solidFill>
              <w14:schemeClr w14:val="tx1"/>
            </w14:solidFill>
          </w14:textFill>
        </w:rPr>
        <w:br w:type="textWrapping"/>
      </w:r>
      <w:r>
        <w:rPr>
          <w:rFonts w:hint="default" w:ascii="Times New Roman" w:hAnsi="Times New Roman" w:eastAsia="仿宋_GB2312" w:cs="Times New Roman"/>
          <w:color w:val="000000" w:themeColor="text1"/>
          <w:sz w:val="32"/>
          <w:szCs w:val="32"/>
          <w14:textFill>
            <w14:solidFill>
              <w14:schemeClr w14:val="tx1"/>
            </w14:solidFill>
          </w14:textFill>
        </w:rPr>
        <w:t>　　公用经费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.15万元，主要包括：办公费、电费、邮电费、差旅费、其他交通费等。</w:t>
      </w:r>
    </w:p>
    <w:p w14:paraId="0F4D0043">
      <w:pPr>
        <w:pageBreakBefore w:val="0"/>
        <w:kinsoku/>
        <w:wordWrap/>
        <w:overflowPunct/>
        <w:topLinePunct w:val="0"/>
        <w:bidi w:val="0"/>
        <w:spacing w:line="576" w:lineRule="exact"/>
        <w:ind w:firstLine="64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50" w:name="_Toc15377215"/>
      <w:bookmarkStart w:id="51" w:name="_Toc201"/>
      <w:bookmarkStart w:id="52" w:name="_Toc15396609"/>
      <w:r>
        <w:rPr>
          <w:rFonts w:hint="default" w:ascii="Times New Roman" w:hAnsi="Times New Roman" w:eastAsia="黑体" w:cs="Times New Roman"/>
          <w:color w:val="000000" w:themeColor="text1"/>
          <w:sz w:val="32"/>
          <w:szCs w:val="32"/>
          <w14:textFill>
            <w14:solidFill>
              <w14:schemeClr w14:val="tx1"/>
            </w14:solidFill>
          </w14:textFill>
        </w:rPr>
        <w:t>七、</w:t>
      </w:r>
      <w:r>
        <w:rPr>
          <w:rStyle w:val="19"/>
          <w:rFonts w:hint="default" w:ascii="Times New Roman" w:hAnsi="Times New Roman" w:eastAsia="黑体" w:cs="Times New Roman"/>
          <w:b w:val="0"/>
          <w:color w:val="000000" w:themeColor="text1"/>
          <w14:textFill>
            <w14:solidFill>
              <w14:schemeClr w14:val="tx1"/>
            </w14:solidFill>
          </w14:textFill>
        </w:rPr>
        <w:t>财政拨款</w:t>
      </w:r>
      <w:r>
        <w:rPr>
          <w:rStyle w:val="19"/>
          <w:rFonts w:hint="default" w:ascii="Times New Roman" w:hAnsi="Times New Roman" w:eastAsia="黑体" w:cs="Times New Roman"/>
          <w:color w:val="000000" w:themeColor="text1"/>
          <w14:textFill>
            <w14:solidFill>
              <w14:schemeClr w14:val="tx1"/>
            </w14:solidFill>
          </w14:textFill>
        </w:rPr>
        <w:t>“</w:t>
      </w:r>
      <w:r>
        <w:rPr>
          <w:rStyle w:val="19"/>
          <w:rFonts w:hint="default" w:ascii="Times New Roman" w:hAnsi="Times New Roman" w:eastAsia="黑体" w:cs="Times New Roman"/>
          <w:b w:val="0"/>
          <w:color w:val="000000" w:themeColor="text1"/>
          <w14:textFill>
            <w14:solidFill>
              <w14:schemeClr w14:val="tx1"/>
            </w14:solidFill>
          </w14:textFill>
        </w:rPr>
        <w:t>三公”经费支出决算情况说明</w:t>
      </w:r>
      <w:bookmarkEnd w:id="50"/>
      <w:bookmarkEnd w:id="51"/>
      <w:bookmarkEnd w:id="52"/>
    </w:p>
    <w:p w14:paraId="4DC4CB88">
      <w:pPr>
        <w:pageBreakBefore w:val="0"/>
        <w:kinsoku/>
        <w:wordWrap/>
        <w:overflowPunct/>
        <w:topLinePunct w:val="0"/>
        <w:bidi w:val="0"/>
        <w:spacing w:line="576" w:lineRule="exact"/>
        <w:ind w:firstLine="640"/>
        <w:outlineLvl w:val="2"/>
        <w:rPr>
          <w:rFonts w:hint="eastAsia" w:ascii="楷体" w:hAnsi="楷体" w:eastAsia="楷体" w:cs="楷体"/>
          <w:b/>
          <w:color w:val="000000" w:themeColor="text1"/>
          <w:sz w:val="32"/>
          <w:szCs w:val="32"/>
          <w14:textFill>
            <w14:solidFill>
              <w14:schemeClr w14:val="tx1"/>
            </w14:solidFill>
          </w14:textFill>
        </w:rPr>
      </w:pPr>
      <w:bookmarkStart w:id="53" w:name="_Toc29835"/>
      <w:bookmarkStart w:id="54" w:name="_Toc15377216"/>
      <w:r>
        <w:rPr>
          <w:rFonts w:hint="eastAsia" w:ascii="楷体" w:hAnsi="楷体" w:eastAsia="楷体" w:cs="楷体"/>
          <w:b/>
          <w:color w:val="000000" w:themeColor="text1"/>
          <w:sz w:val="32"/>
          <w:szCs w:val="32"/>
          <w14:textFill>
            <w14:solidFill>
              <w14:schemeClr w14:val="tx1"/>
            </w14:solidFill>
          </w14:textFill>
        </w:rPr>
        <w:t>（一）“三公”经费财政拨款支出决算总体情况说明</w:t>
      </w:r>
      <w:bookmarkEnd w:id="53"/>
      <w:bookmarkEnd w:id="54"/>
    </w:p>
    <w:p w14:paraId="516B3379">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202</w:t>
      </w:r>
      <w:r>
        <w:rPr>
          <w:rStyle w:val="17"/>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5</w:t>
      </w: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年“三公”经费财政拨款支出决算为0万元。主要原因是本年无“三公”经费。</w:t>
      </w:r>
    </w:p>
    <w:p w14:paraId="2AB70EAC">
      <w:pPr>
        <w:pageBreakBefore w:val="0"/>
        <w:kinsoku/>
        <w:wordWrap/>
        <w:overflowPunct/>
        <w:topLinePunct w:val="0"/>
        <w:bidi w:val="0"/>
        <w:spacing w:line="576" w:lineRule="exact"/>
        <w:ind w:firstLine="640"/>
        <w:outlineLvl w:val="2"/>
        <w:rPr>
          <w:rFonts w:hint="eastAsia" w:ascii="楷体" w:hAnsi="楷体" w:eastAsia="楷体" w:cs="楷体"/>
          <w:b/>
          <w:color w:val="000000" w:themeColor="text1"/>
          <w:sz w:val="32"/>
          <w:szCs w:val="32"/>
          <w14:textFill>
            <w14:solidFill>
              <w14:schemeClr w14:val="tx1"/>
            </w14:solidFill>
          </w14:textFill>
        </w:rPr>
      </w:pPr>
      <w:bookmarkStart w:id="55" w:name="_Toc15377217"/>
      <w:bookmarkStart w:id="56" w:name="_Toc1027"/>
      <w:r>
        <w:rPr>
          <w:rFonts w:hint="eastAsia" w:ascii="楷体" w:hAnsi="楷体" w:eastAsia="楷体" w:cs="楷体"/>
          <w:b/>
          <w:color w:val="000000" w:themeColor="text1"/>
          <w:sz w:val="32"/>
          <w:szCs w:val="32"/>
          <w14:textFill>
            <w14:solidFill>
              <w14:schemeClr w14:val="tx1"/>
            </w14:solidFill>
          </w14:textFill>
        </w:rPr>
        <w:t>（二）“三公”经费财政拨款支出决算具体情况说明</w:t>
      </w:r>
      <w:bookmarkEnd w:id="55"/>
      <w:bookmarkEnd w:id="56"/>
    </w:p>
    <w:p w14:paraId="085E6EC1">
      <w:pPr>
        <w:pageBreakBefore w:val="0"/>
        <w:kinsoku/>
        <w:wordWrap/>
        <w:overflowPunct/>
        <w:topLinePunct w:val="0"/>
        <w:bidi w:val="0"/>
        <w:spacing w:line="576" w:lineRule="exact"/>
        <w:ind w:firstLine="640" w:firstLineChars="200"/>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pP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202</w:t>
      </w:r>
      <w:r>
        <w:rPr>
          <w:rStyle w:val="17"/>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4</w:t>
      </w: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年“三公”经费财政拨款支出决算中，因公出国（境）费支出决算0万元；公务用车购置及运行维护费支出决算0万元（其中公务用车购置为0万元，公务用车运行维护费为0万元）；公务接待费支出决算0万元。具体情况如下：</w:t>
      </w:r>
    </w:p>
    <w:p w14:paraId="04129220">
      <w:pPr>
        <w:pageBreakBefore w:val="0"/>
        <w:kinsoku/>
        <w:wordWrap/>
        <w:overflowPunct/>
        <w:topLinePunct w:val="0"/>
        <w:bidi w:val="0"/>
        <w:spacing w:line="576" w:lineRule="exact"/>
        <w:ind w:firstLine="640"/>
        <w:rPr>
          <w:rFonts w:hint="default" w:ascii="Times New Roman" w:hAnsi="Times New Roman" w:eastAsia="仿宋_GB2312" w:cs="Times New Roman"/>
          <w:b/>
          <w:color w:val="000000" w:themeColor="text1"/>
          <w:sz w:val="32"/>
          <w:szCs w:val="32"/>
          <w14:textFill>
            <w14:solidFill>
              <w14:schemeClr w14:val="tx1"/>
            </w14:solidFill>
          </w14:textFill>
        </w:rPr>
      </w:pP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1.因公出国（境）经费支出0万元。主要原因是本单位无因公出国（境）经费支出。</w:t>
      </w:r>
    </w:p>
    <w:p w14:paraId="6531C0D2">
      <w:pPr>
        <w:pageBreakBefore w:val="0"/>
        <w:kinsoku/>
        <w:wordWrap/>
        <w:overflowPunct/>
        <w:topLinePunct w:val="0"/>
        <w:bidi w:val="0"/>
        <w:spacing w:line="576" w:lineRule="exact"/>
        <w:ind w:firstLine="640"/>
        <w:rPr>
          <w:rFonts w:hint="default" w:ascii="Times New Roman" w:hAnsi="Times New Roman" w:eastAsia="仿宋_GB2312" w:cs="Times New Roman"/>
          <w:b/>
          <w:color w:val="000000" w:themeColor="text1"/>
          <w:sz w:val="32"/>
          <w:szCs w:val="32"/>
          <w14:textFill>
            <w14:solidFill>
              <w14:schemeClr w14:val="tx1"/>
            </w14:solidFill>
          </w14:textFill>
        </w:rPr>
      </w:pP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2.公务用车购置及运行维护费支出0万元。主要原因是本单位无公务用车购置及运行维护费。</w:t>
      </w:r>
    </w:p>
    <w:p w14:paraId="5B47BC73">
      <w:pPr>
        <w:pageBreakBefore w:val="0"/>
        <w:kinsoku/>
        <w:wordWrap/>
        <w:overflowPunct/>
        <w:topLinePunct w:val="0"/>
        <w:bidi w:val="0"/>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Style w:val="17"/>
          <w:rFonts w:hint="default" w:ascii="Times New Roman" w:hAnsi="Times New Roman" w:eastAsia="仿宋_GB2312" w:cs="Times New Roman"/>
          <w:b w:val="0"/>
          <w:bCs/>
          <w:color w:val="000000" w:themeColor="text1"/>
          <w:sz w:val="32"/>
          <w:szCs w:val="32"/>
          <w14:textFill>
            <w14:solidFill>
              <w14:schemeClr w14:val="tx1"/>
            </w14:solidFill>
          </w14:textFill>
        </w:rPr>
        <w:t>3.公务接待费支出0万元。主要原因是本单位无公务接待费。</w:t>
      </w:r>
    </w:p>
    <w:p w14:paraId="653799B6">
      <w:pPr>
        <w:pageBreakBefore w:val="0"/>
        <w:kinsoku/>
        <w:wordWrap/>
        <w:overflowPunct/>
        <w:topLinePunct w:val="0"/>
        <w:bidi w:val="0"/>
        <w:spacing w:line="576" w:lineRule="exact"/>
        <w:ind w:firstLine="640"/>
        <w:outlineLvl w:val="1"/>
        <w:rPr>
          <w:rStyle w:val="19"/>
          <w:rFonts w:hint="default" w:ascii="Times New Roman" w:hAnsi="Times New Roman" w:eastAsia="黑体" w:cs="Times New Roman"/>
          <w:color w:val="000000" w:themeColor="text1"/>
          <w14:textFill>
            <w14:solidFill>
              <w14:schemeClr w14:val="tx1"/>
            </w14:solidFill>
          </w14:textFill>
        </w:rPr>
      </w:pPr>
      <w:bookmarkStart w:id="57" w:name="_Toc15396610"/>
      <w:bookmarkStart w:id="58" w:name="_Toc8784"/>
      <w:bookmarkStart w:id="59" w:name="_Toc15377218"/>
      <w:r>
        <w:rPr>
          <w:rFonts w:hint="default" w:ascii="Times New Roman" w:hAnsi="Times New Roman" w:eastAsia="黑体" w:cs="Times New Roman"/>
          <w:color w:val="000000" w:themeColor="text1"/>
          <w:sz w:val="32"/>
          <w:szCs w:val="32"/>
          <w14:textFill>
            <w14:solidFill>
              <w14:schemeClr w14:val="tx1"/>
            </w14:solidFill>
          </w14:textFill>
        </w:rPr>
        <w:t>八、</w:t>
      </w:r>
      <w:r>
        <w:rPr>
          <w:rStyle w:val="19"/>
          <w:rFonts w:hint="default" w:ascii="Times New Roman" w:hAnsi="Times New Roman" w:eastAsia="黑体" w:cs="Times New Roman"/>
          <w:b w:val="0"/>
          <w:color w:val="000000" w:themeColor="text1"/>
          <w14:textFill>
            <w14:solidFill>
              <w14:schemeClr w14:val="tx1"/>
            </w14:solidFill>
          </w14:textFill>
        </w:rPr>
        <w:t>政府性基金预算支出决算情况说明</w:t>
      </w:r>
      <w:bookmarkEnd w:id="57"/>
      <w:bookmarkEnd w:id="58"/>
      <w:bookmarkEnd w:id="59"/>
    </w:p>
    <w:p w14:paraId="27B78E5C">
      <w:pPr>
        <w:pageBreakBefore w:val="0"/>
        <w:kinsoku/>
        <w:wordWrap/>
        <w:overflowPunct/>
        <w:topLinePunct w:val="0"/>
        <w:bidi w:val="0"/>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年度政府性基金预算财政拨款支出0万元。</w:t>
      </w:r>
    </w:p>
    <w:p w14:paraId="2B009E2D">
      <w:pPr>
        <w:pageBreakBefore w:val="0"/>
        <w:numPr>
          <w:ilvl w:val="0"/>
          <w:numId w:val="3"/>
        </w:numPr>
        <w:kinsoku/>
        <w:wordWrap/>
        <w:overflowPunct/>
        <w:topLinePunct w:val="0"/>
        <w:bidi w:val="0"/>
        <w:spacing w:line="576" w:lineRule="exact"/>
        <w:ind w:firstLine="640"/>
        <w:outlineLvl w:val="1"/>
        <w:rPr>
          <w:rStyle w:val="19"/>
          <w:rFonts w:hint="default" w:ascii="Times New Roman" w:hAnsi="Times New Roman" w:eastAsia="黑体" w:cs="Times New Roman"/>
          <w:b w:val="0"/>
          <w:color w:val="000000" w:themeColor="text1"/>
          <w14:textFill>
            <w14:solidFill>
              <w14:schemeClr w14:val="tx1"/>
            </w14:solidFill>
          </w14:textFill>
        </w:rPr>
      </w:pPr>
      <w:bookmarkStart w:id="60" w:name="_Toc31354"/>
      <w:bookmarkStart w:id="61" w:name="_Toc15377219"/>
      <w:bookmarkStart w:id="62" w:name="_Toc15396611"/>
      <w:r>
        <w:rPr>
          <w:rStyle w:val="19"/>
          <w:rFonts w:hint="default" w:ascii="Times New Roman" w:hAnsi="Times New Roman" w:eastAsia="黑体" w:cs="Times New Roman"/>
          <w:b w:val="0"/>
          <w:color w:val="000000" w:themeColor="text1"/>
          <w14:textFill>
            <w14:solidFill>
              <w14:schemeClr w14:val="tx1"/>
            </w14:solidFill>
          </w14:textFill>
        </w:rPr>
        <w:t>国有资本经营预算支出决算情况说明</w:t>
      </w:r>
      <w:bookmarkEnd w:id="60"/>
      <w:bookmarkEnd w:id="61"/>
      <w:bookmarkEnd w:id="62"/>
    </w:p>
    <w:p w14:paraId="58A6974B">
      <w:pPr>
        <w:pageBreakBefore w:val="0"/>
        <w:kinsoku/>
        <w:wordWrap/>
        <w:overflowPunct/>
        <w:topLinePunct w:val="0"/>
        <w:bidi w:val="0"/>
        <w:spacing w:line="576" w:lineRule="exact"/>
        <w:ind w:firstLine="64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年度政府性基金预算财政拨款支出0</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万元</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38E229FD">
      <w:pPr>
        <w:pageBreakBefore w:val="0"/>
        <w:numPr>
          <w:ilvl w:val="0"/>
          <w:numId w:val="3"/>
        </w:numPr>
        <w:kinsoku/>
        <w:wordWrap/>
        <w:overflowPunct/>
        <w:topLinePunct w:val="0"/>
        <w:bidi w:val="0"/>
        <w:spacing w:line="576" w:lineRule="exact"/>
        <w:ind w:firstLine="640"/>
        <w:outlineLvl w:val="1"/>
        <w:rPr>
          <w:rFonts w:hint="default" w:ascii="Times New Roman" w:hAnsi="Times New Roman" w:eastAsia="仿宋" w:cs="Times New Roman"/>
          <w:b/>
          <w:color w:val="000000" w:themeColor="text1"/>
          <w:sz w:val="32"/>
          <w:szCs w:val="32"/>
          <w14:textFill>
            <w14:solidFill>
              <w14:schemeClr w14:val="tx1"/>
            </w14:solidFill>
          </w14:textFill>
        </w:rPr>
      </w:pPr>
      <w:bookmarkStart w:id="63" w:name="_Toc15396612"/>
      <w:bookmarkStart w:id="64" w:name="_Toc15377221"/>
      <w:bookmarkStart w:id="65" w:name="_Toc19766"/>
      <w:r>
        <w:rPr>
          <w:rStyle w:val="19"/>
          <w:rFonts w:hint="default" w:ascii="Times New Roman" w:hAnsi="Times New Roman" w:eastAsia="黑体" w:cs="Times New Roman"/>
          <w:b w:val="0"/>
          <w:color w:val="000000" w:themeColor="text1"/>
          <w14:textFill>
            <w14:solidFill>
              <w14:schemeClr w14:val="tx1"/>
            </w14:solidFill>
          </w14:textFill>
        </w:rPr>
        <w:t>其他重要事项的情况说明</w:t>
      </w:r>
      <w:bookmarkEnd w:id="63"/>
      <w:bookmarkEnd w:id="64"/>
      <w:bookmarkEnd w:id="65"/>
      <w:bookmarkStart w:id="66" w:name="_Toc15377222"/>
      <w:bookmarkStart w:id="67" w:name="_Toc9736"/>
    </w:p>
    <w:p w14:paraId="4D9E44A1">
      <w:pPr>
        <w:pageBreakBefore w:val="0"/>
        <w:kinsoku/>
        <w:wordWrap/>
        <w:overflowPunct/>
        <w:topLinePunct w:val="0"/>
        <w:bidi w:val="0"/>
        <w:spacing w:line="576" w:lineRule="exact"/>
        <w:ind w:firstLine="643" w:firstLineChars="200"/>
        <w:outlineLvl w:val="2"/>
        <w:rPr>
          <w:rFonts w:hint="eastAsia" w:ascii="楷体" w:hAnsi="楷体" w:eastAsia="楷体" w:cs="楷体"/>
          <w:b/>
          <w:bCs w:val="0"/>
          <w:color w:val="000000" w:themeColor="text1"/>
          <w:sz w:val="32"/>
          <w:szCs w:val="32"/>
          <w14:textFill>
            <w14:solidFill>
              <w14:schemeClr w14:val="tx1"/>
            </w14:solidFill>
          </w14:textFill>
        </w:rPr>
      </w:pPr>
      <w:r>
        <w:rPr>
          <w:rFonts w:hint="eastAsia" w:ascii="楷体" w:hAnsi="楷体" w:eastAsia="楷体" w:cs="楷体"/>
          <w:b/>
          <w:bCs w:val="0"/>
          <w:color w:val="000000" w:themeColor="text1"/>
          <w:sz w:val="32"/>
          <w:szCs w:val="32"/>
          <w14:textFill>
            <w14:solidFill>
              <w14:schemeClr w14:val="tx1"/>
            </w14:solidFill>
          </w14:textFill>
        </w:rPr>
        <w:t>（一）机关运行经费支出情况</w:t>
      </w:r>
      <w:bookmarkEnd w:id="66"/>
      <w:bookmarkEnd w:id="67"/>
    </w:p>
    <w:p w14:paraId="12BABE5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年度，壤塘县档案馆机关运行经费支出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10.15</w:t>
      </w:r>
      <w:r>
        <w:rPr>
          <w:rFonts w:hint="default" w:ascii="Times New Roman" w:hAnsi="Times New Roman" w:eastAsia="仿宋_GB2312" w:cs="Times New Roman"/>
          <w:color w:val="000000" w:themeColor="text1"/>
          <w:sz w:val="32"/>
          <w:szCs w:val="32"/>
          <w14:textFill>
            <w14:solidFill>
              <w14:schemeClr w14:val="tx1"/>
            </w14:solidFill>
          </w14:textFill>
        </w:rPr>
        <w:t>万元，比202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年度增加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0.99</w:t>
      </w:r>
      <w:r>
        <w:rPr>
          <w:rFonts w:hint="default"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10.83</w:t>
      </w:r>
      <w:r>
        <w:rPr>
          <w:rFonts w:hint="default" w:ascii="Times New Roman" w:hAnsi="Times New Roman" w:eastAsia="仿宋_GB2312" w:cs="Times New Roman"/>
          <w:color w:val="000000" w:themeColor="text1"/>
          <w:sz w:val="32"/>
          <w:szCs w:val="32"/>
          <w14:textFill>
            <w14:solidFill>
              <w14:schemeClr w14:val="tx1"/>
            </w14:solidFill>
          </w14:textFill>
        </w:rPr>
        <w:t>%。主要原因是当年业务活动开展频繁，机关运行经费增加。</w:t>
      </w:r>
    </w:p>
    <w:p w14:paraId="64F18339">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 w:hAnsi="楷体" w:eastAsia="楷体" w:cs="楷体"/>
          <w:b/>
          <w:color w:val="000000" w:themeColor="text1"/>
          <w:sz w:val="32"/>
          <w:szCs w:val="32"/>
          <w14:textFill>
            <w14:solidFill>
              <w14:schemeClr w14:val="tx1"/>
            </w14:solidFill>
          </w14:textFill>
        </w:rPr>
      </w:pPr>
      <w:bookmarkStart w:id="68" w:name="_Toc16498"/>
      <w:bookmarkStart w:id="69" w:name="_Toc15377223"/>
      <w:r>
        <w:rPr>
          <w:rFonts w:hint="eastAsia" w:ascii="楷体" w:hAnsi="楷体" w:eastAsia="楷体" w:cs="楷体"/>
          <w:b/>
          <w:color w:val="000000" w:themeColor="text1"/>
          <w:sz w:val="32"/>
          <w:szCs w:val="32"/>
          <w14:textFill>
            <w14:solidFill>
              <w14:schemeClr w14:val="tx1"/>
            </w14:solidFill>
          </w14:textFill>
        </w:rPr>
        <w:t>（二）政府采购支出情况</w:t>
      </w:r>
      <w:bookmarkEnd w:id="68"/>
      <w:bookmarkEnd w:id="69"/>
    </w:p>
    <w:p w14:paraId="589BAED7">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壤塘县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072DB1C6">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 w:hAnsi="楷体" w:eastAsia="楷体" w:cs="楷体"/>
          <w:b/>
          <w:color w:val="000000" w:themeColor="text1"/>
          <w:sz w:val="32"/>
          <w:szCs w:val="32"/>
          <w14:textFill>
            <w14:solidFill>
              <w14:schemeClr w14:val="tx1"/>
            </w14:solidFill>
          </w14:textFill>
        </w:rPr>
      </w:pPr>
      <w:bookmarkStart w:id="70" w:name="_Toc31428"/>
      <w:bookmarkStart w:id="71" w:name="_Toc15377224"/>
      <w:r>
        <w:rPr>
          <w:rFonts w:hint="eastAsia" w:ascii="楷体" w:hAnsi="楷体" w:eastAsia="楷体" w:cs="楷体"/>
          <w:b/>
          <w:color w:val="000000" w:themeColor="text1"/>
          <w:sz w:val="32"/>
          <w:szCs w:val="32"/>
          <w14:textFill>
            <w14:solidFill>
              <w14:schemeClr w14:val="tx1"/>
            </w14:solidFill>
          </w14:textFill>
        </w:rPr>
        <w:t>（三）国有资产占有使用情况</w:t>
      </w:r>
      <w:bookmarkEnd w:id="70"/>
      <w:bookmarkEnd w:id="71"/>
    </w:p>
    <w:p w14:paraId="75446A71">
      <w:pPr>
        <w:pageBreakBefore w:val="0"/>
        <w:kinsoku/>
        <w:wordWrap/>
        <w:overflowPunct/>
        <w:topLinePunct w:val="0"/>
        <w:autoSpaceDE w:val="0"/>
        <w:autoSpaceDN w:val="0"/>
        <w:bidi w:val="0"/>
        <w:adjustRightInd w:val="0"/>
        <w:spacing w:line="576" w:lineRule="exact"/>
        <w:ind w:firstLine="640"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截至</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年12月31日，壤塘县档案馆共有车辆0辆，其中：主要领导干部用车0辆、机要通信用车0辆、应急保障用车0辆、其他用车0辆。单价100万元以上设备（不含车辆）0台（套）。</w:t>
      </w:r>
    </w:p>
    <w:p w14:paraId="040B6EBB">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 w:hAnsi="楷体" w:eastAsia="楷体" w:cs="楷体"/>
          <w:b/>
          <w:color w:val="000000" w:themeColor="text1"/>
          <w:sz w:val="32"/>
          <w:szCs w:val="32"/>
          <w14:textFill>
            <w14:solidFill>
              <w14:schemeClr w14:val="tx1"/>
            </w14:solidFill>
          </w14:textFill>
        </w:rPr>
      </w:pPr>
      <w:bookmarkStart w:id="72" w:name="_Toc1679"/>
      <w:r>
        <w:rPr>
          <w:rFonts w:hint="eastAsia" w:ascii="楷体" w:hAnsi="楷体" w:eastAsia="楷体" w:cs="楷体"/>
          <w:b/>
          <w:color w:val="000000" w:themeColor="text1"/>
          <w:sz w:val="32"/>
          <w:szCs w:val="32"/>
          <w14:textFill>
            <w14:solidFill>
              <w14:schemeClr w14:val="tx1"/>
            </w14:solidFill>
          </w14:textFill>
        </w:rPr>
        <w:t>（四）预算绩效管理情况</w:t>
      </w:r>
      <w:bookmarkEnd w:id="72"/>
    </w:p>
    <w:p w14:paraId="3899705D">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根据预算绩效管理要求，本部门在202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年度预算编制阶段，组织对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个项目开展了预算事前绩效评估，对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个项目编制了绩效目标，预算执行过程中，选取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个项目开展绩效监控，本单位无专项项目。</w:t>
      </w:r>
    </w:p>
    <w:p w14:paraId="14362837">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组织对202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一般公共预算、政府性基金预算、国有资本经营预算、社会保险基金预算以及资本资产、债券资金等全面开展绩效自评，形成壤塘县档案馆部门整体（含部门预算项目）绩效自评报告。其中，壤塘县档案馆部门整体（含部门预算项目）绩效自评得分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分</w:t>
      </w:r>
      <w:r>
        <w:rPr>
          <w:rFonts w:hint="default" w:ascii="Times New Roman" w:hAnsi="Times New Roman" w:eastAsia="仿宋_GB2312" w:cs="Times New Roman"/>
          <w:color w:val="000000" w:themeColor="text1"/>
          <w:sz w:val="32"/>
          <w:szCs w:val="32"/>
          <w14:textFill>
            <w14:solidFill>
              <w14:schemeClr w14:val="tx1"/>
            </w14:solidFill>
          </w14:textFill>
        </w:rPr>
        <w:t>，绩效自评综述：本次部门整体支出绩效自评得分为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分</w:t>
      </w:r>
      <w:r>
        <w:rPr>
          <w:rFonts w:hint="default" w:ascii="Times New Roman" w:hAnsi="Times New Roman" w:eastAsia="仿宋_GB2312" w:cs="Times New Roman"/>
          <w:color w:val="000000" w:themeColor="text1"/>
          <w:sz w:val="32"/>
          <w:szCs w:val="32"/>
          <w14:textFill>
            <w14:solidFill>
              <w14:schemeClr w14:val="tx1"/>
            </w14:solidFill>
          </w14:textFill>
        </w:rPr>
        <w:t>，总体表现良好主要问题为项目绩效目标设置不合理，绩效自评报告详见附件。</w:t>
      </w:r>
    </w:p>
    <w:p w14:paraId="4805E27D">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41469EAA">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66C13100">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1DDA6717">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781C2488">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3CA78EB5">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793B1BE4">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301DB5EB">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1D502BB3">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486D9830">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1EBDAB42">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0FD2A912">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15B6DD1B">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334D0B58">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4DE5225B">
      <w:pPr>
        <w:pageBreakBefore w:val="0"/>
        <w:widowControl/>
        <w:kinsoku/>
        <w:wordWrap/>
        <w:overflowPunct/>
        <w:topLinePunct w:val="0"/>
        <w:bidi w:val="0"/>
        <w:spacing w:line="576" w:lineRule="exact"/>
        <w:ind w:firstLine="643" w:firstLineChars="200"/>
        <w:jc w:val="left"/>
        <w:rPr>
          <w:rFonts w:hint="default" w:ascii="Times New Roman" w:hAnsi="Times New Roman" w:eastAsia="仿宋_GB2312" w:cs="Times New Roman"/>
          <w:b/>
          <w:color w:val="000000" w:themeColor="text1"/>
          <w:sz w:val="32"/>
          <w:szCs w:val="32"/>
          <w14:textFill>
            <w14:solidFill>
              <w14:schemeClr w14:val="tx1"/>
            </w14:solidFill>
          </w14:textFill>
        </w:rPr>
      </w:pPr>
    </w:p>
    <w:p w14:paraId="66842629">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6AF4847E">
      <w:pPr>
        <w:pStyle w:val="5"/>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36214760">
      <w:pPr>
        <w:pageBreakBefore w:val="0"/>
        <w:numPr>
          <w:ilvl w:val="0"/>
          <w:numId w:val="4"/>
        </w:numPr>
        <w:kinsoku/>
        <w:wordWrap/>
        <w:overflowPunct/>
        <w:topLinePunct w:val="0"/>
        <w:bidi w:val="0"/>
        <w:spacing w:line="576" w:lineRule="exact"/>
        <w:ind w:firstLine="660" w:firstLineChars="150"/>
        <w:jc w:val="center"/>
        <w:outlineLvl w:val="0"/>
        <w:rPr>
          <w:rStyle w:val="18"/>
          <w:rFonts w:hint="default" w:ascii="Times New Roman" w:hAnsi="Times New Roman" w:eastAsia="黑体" w:cs="Times New Roman"/>
          <w:b w:val="0"/>
          <w:color w:val="000000" w:themeColor="text1"/>
          <w14:textFill>
            <w14:solidFill>
              <w14:schemeClr w14:val="tx1"/>
            </w14:solidFill>
          </w14:textFill>
        </w:rPr>
      </w:pPr>
      <w:bookmarkStart w:id="73" w:name="_Toc15396613"/>
      <w:bookmarkStart w:id="74" w:name="_Toc15377225"/>
      <w:bookmarkStart w:id="75" w:name="_Toc27798"/>
      <w:r>
        <w:rPr>
          <w:rFonts w:hint="default" w:ascii="Times New Roman" w:hAnsi="Times New Roman" w:eastAsia="黑体" w:cs="Times New Roman"/>
          <w:color w:val="000000" w:themeColor="text1"/>
          <w:sz w:val="44"/>
          <w:szCs w:val="44"/>
          <w14:textFill>
            <w14:solidFill>
              <w14:schemeClr w14:val="tx1"/>
            </w14:solidFill>
          </w14:textFill>
        </w:rPr>
        <w:t>名</w:t>
      </w:r>
      <w:r>
        <w:rPr>
          <w:rStyle w:val="18"/>
          <w:rFonts w:hint="default" w:ascii="Times New Roman" w:hAnsi="Times New Roman" w:eastAsia="黑体" w:cs="Times New Roman"/>
          <w:b w:val="0"/>
          <w:color w:val="000000" w:themeColor="text1"/>
          <w14:textFill>
            <w14:solidFill>
              <w14:schemeClr w14:val="tx1"/>
            </w14:solidFill>
          </w14:textFill>
        </w:rPr>
        <w:t>词解释</w:t>
      </w:r>
      <w:bookmarkEnd w:id="73"/>
      <w:bookmarkEnd w:id="74"/>
      <w:bookmarkEnd w:id="75"/>
    </w:p>
    <w:p w14:paraId="5A83881E">
      <w:pPr>
        <w:pageBreakBefore w:val="0"/>
        <w:kinsoku/>
        <w:wordWrap/>
        <w:overflowPunct/>
        <w:topLinePunct w:val="0"/>
        <w:bidi w:val="0"/>
        <w:spacing w:line="576" w:lineRule="exact"/>
        <w:jc w:val="left"/>
        <w:rPr>
          <w:rFonts w:hint="default" w:ascii="Times New Roman" w:hAnsi="Times New Roman" w:cs="Times New Roman"/>
          <w:b/>
          <w:color w:val="000000" w:themeColor="text1"/>
          <w:sz w:val="44"/>
          <w:szCs w:val="44"/>
          <w14:textFill>
            <w14:solidFill>
              <w14:schemeClr w14:val="tx1"/>
            </w14:solidFill>
          </w14:textFill>
        </w:rPr>
      </w:pPr>
    </w:p>
    <w:p w14:paraId="0B9747AA">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1.财政拨款收入：指单位从同级财政部门取得的财政预算资金。</w:t>
      </w:r>
    </w:p>
    <w:p w14:paraId="3A207109">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2.事业收入：指事业单位开展专业业务活动及辅助活动取得的收入。</w:t>
      </w:r>
    </w:p>
    <w:p w14:paraId="0F9D8202">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3.经营收入：指事业单位在专业业务活动及其辅助活动之外开展非独立核算经营活动取得的收入。</w:t>
      </w:r>
    </w:p>
    <w:p w14:paraId="23109194">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4.其他收入：指单位取得的除上述收入以外的各项收入。 </w:t>
      </w:r>
    </w:p>
    <w:p w14:paraId="0FB73EA2">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5.使用非财政拨款结余（含专用结余）：指事业单位使用以前年度积累的非财政拨款结余弥补当年收支差额的金额。 </w:t>
      </w:r>
    </w:p>
    <w:p w14:paraId="2F3DFEF6">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6.年初结转和结余：指以前年度尚未完成、结转到本年按有关规定继续使用的资金。 </w:t>
      </w:r>
    </w:p>
    <w:p w14:paraId="2FF7C68D">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7.结余分配：指事业单位按照会计制度规定缴纳的所得税、提取的专用结余以及转入非财政拨款结余的金额等。</w:t>
      </w:r>
    </w:p>
    <w:p w14:paraId="6DC4CB53">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8.年末结转和结余：指单位按有关规定结转到下年或以后年度继续使用的资金。</w:t>
      </w:r>
    </w:p>
    <w:p w14:paraId="2DE22EA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9.一般公共服务（类）档案事务（款）行政运行（项）：指行政单位（包括实行公务员管理的事业单位）的基本支出。</w:t>
      </w:r>
    </w:p>
    <w:p w14:paraId="34F4ACB0">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10.一般公共服务（类）档案事务（款）一般行政管理事务（项）：指反映行政单位（包括实行公务员管理的事业单位）未单独设置项级科目的其他项目支出。</w:t>
      </w:r>
    </w:p>
    <w:p w14:paraId="4A381AED">
      <w:pPr>
        <w:pageBreakBefore w:val="0"/>
        <w:kinsoku/>
        <w:wordWrap/>
        <w:overflowPunct/>
        <w:topLinePunct w:val="0"/>
        <w:bidi w:val="0"/>
        <w:spacing w:line="576" w:lineRule="exact"/>
        <w:ind w:firstLine="64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11.一般公共服务（类）档案事务（款）档案馆（项）：指指中央和地方各级档案馆的支出，包括档案资料征集，档案抢救、保护、编纂、修复、现代化管理，档案信息资源开发、提供、利用，档案馆设备购置、维护，档案陈列展览等方面的支出。</w:t>
      </w:r>
    </w:p>
    <w:p w14:paraId="668114D1">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12.社会保障和就业支出（类）行政事业单位养老支出（款）机关事业单位基本养老保险缴费支出（项）：指由单位缴纳的基本养老保险费支出。</w:t>
      </w:r>
    </w:p>
    <w:p w14:paraId="282ED73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13.社会保障和就业支出（类）行政事业单位养老支出（款）机关事业单位职业年金缴费支出（项）：指按照规定标准为职工缴纳的职业年金。</w:t>
      </w:r>
    </w:p>
    <w:p w14:paraId="30B58289">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14.卫生健康支出（类）行政事业单位医疗（款）行政单位医疗（项）：指主要用于行政单位公务员基本医疗保险缴费支出。</w:t>
      </w:r>
    </w:p>
    <w:p w14:paraId="5EE4D97B">
      <w:pPr>
        <w:pStyle w:val="7"/>
        <w:pageBreakBefore w:val="0"/>
        <w:kinsoku/>
        <w:wordWrap/>
        <w:overflowPunct/>
        <w:topLinePunct w:val="0"/>
        <w:bidi w:val="0"/>
        <w:spacing w:line="576" w:lineRule="exact"/>
        <w:ind w:leftChars="0" w:firstLine="64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32"/>
          <w14:textFill>
            <w14:solidFill>
              <w14:schemeClr w14:val="tx1"/>
            </w14:solidFill>
          </w14:textFill>
        </w:rPr>
        <w:t>15.卫生健康（类）行政事业单位医疗（款）公务员医疗补助（项）：指反映财政部门安排的公务员医疗补助经费。</w:t>
      </w:r>
    </w:p>
    <w:p w14:paraId="61C30BB1">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16.住房保障支出（类）住房改革支出（款）住房公积金（项）：指行政事业单位按人力资源和社会保障部、财政部规定的基本工资和津贴补贴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以及按规定比例</w:t>
      </w:r>
      <w:r>
        <w:rPr>
          <w:rFonts w:hint="default" w:ascii="Times New Roman" w:hAnsi="Times New Roman" w:eastAsia="仿宋_GB2312" w:cs="Times New Roman"/>
          <w:color w:val="000000" w:themeColor="text1"/>
          <w:sz w:val="32"/>
          <w:szCs w:val="32"/>
          <w14:textFill>
            <w14:solidFill>
              <w14:schemeClr w14:val="tx1"/>
            </w14:solidFill>
          </w14:textFill>
        </w:rPr>
        <w:t>为职工缴纳的住房公积金。</w:t>
      </w:r>
    </w:p>
    <w:p w14:paraId="576242A7">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17.基本支出：指为保障机构正常运转、完成日常工作任务而发生的人员支出和公用支出。</w:t>
      </w:r>
    </w:p>
    <w:p w14:paraId="262B5103">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18.项目支出：指在基本支出之外为完成特定行政任务和事业发展目标所发生的支出。 </w:t>
      </w:r>
    </w:p>
    <w:p w14:paraId="4ECA1A16">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19.经营支出：指事业单位在专业业务活动及其辅助活动之外开展非独立核算经营活动发生的支出。</w:t>
      </w:r>
    </w:p>
    <w:p w14:paraId="6FA0AD2B">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C95A5FA">
      <w:pPr>
        <w:pStyle w:val="21"/>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236F97">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3595DCFB">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2ADD94BB">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396AE40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03CA3542">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2F157423">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1973755F">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0B033348">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671A5D05">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24B76E9D">
      <w:pPr>
        <w:pageBreakBefore w:val="0"/>
        <w:kinsoku/>
        <w:wordWrap/>
        <w:overflowPunct/>
        <w:topLinePunct w:val="0"/>
        <w:bidi w:val="0"/>
        <w:spacing w:line="576" w:lineRule="exact"/>
        <w:jc w:val="center"/>
        <w:outlineLvl w:val="0"/>
        <w:rPr>
          <w:rStyle w:val="18"/>
          <w:rFonts w:hint="default" w:ascii="Times New Roman" w:hAnsi="Times New Roman" w:eastAsia="黑体" w:cs="Times New Roman"/>
          <w:b w:val="0"/>
          <w:color w:val="000000" w:themeColor="text1"/>
          <w14:textFill>
            <w14:solidFill>
              <w14:schemeClr w14:val="tx1"/>
            </w14:solidFill>
          </w14:textFill>
        </w:rPr>
      </w:pPr>
      <w:bookmarkStart w:id="76" w:name="_Toc15396614"/>
      <w:bookmarkStart w:id="77" w:name="_Toc12600"/>
      <w:bookmarkStart w:id="78" w:name="_Toc15377226"/>
      <w:r>
        <w:rPr>
          <w:rFonts w:hint="default" w:ascii="Times New Roman" w:hAnsi="Times New Roman" w:eastAsia="黑体" w:cs="Times New Roman"/>
          <w:color w:val="000000" w:themeColor="text1"/>
          <w:sz w:val="44"/>
          <w:szCs w:val="44"/>
          <w14:textFill>
            <w14:solidFill>
              <w14:schemeClr w14:val="tx1"/>
            </w14:solidFill>
          </w14:textFill>
        </w:rPr>
        <w:t>第</w:t>
      </w:r>
      <w:r>
        <w:rPr>
          <w:rStyle w:val="18"/>
          <w:rFonts w:hint="default" w:ascii="Times New Roman" w:hAnsi="Times New Roman" w:eastAsia="黑体" w:cs="Times New Roman"/>
          <w:b w:val="0"/>
          <w:color w:val="000000" w:themeColor="text1"/>
          <w14:textFill>
            <w14:solidFill>
              <w14:schemeClr w14:val="tx1"/>
            </w14:solidFill>
          </w14:textFill>
        </w:rPr>
        <w:t>四部分 附件</w:t>
      </w:r>
      <w:bookmarkEnd w:id="76"/>
      <w:bookmarkEnd w:id="77"/>
    </w:p>
    <w:p w14:paraId="3BFA765A">
      <w:pPr>
        <w:pageBreakBefore w:val="0"/>
        <w:kinsoku/>
        <w:wordWrap/>
        <w:overflowPunct/>
        <w:topLinePunct w:val="0"/>
        <w:bidi w:val="0"/>
        <w:spacing w:line="576" w:lineRule="exact"/>
        <w:jc w:val="left"/>
        <w:rPr>
          <w:rFonts w:hint="default" w:ascii="Times New Roman" w:hAnsi="Times New Roman" w:eastAsia="黑体" w:cs="Times New Roman"/>
          <w:color w:val="000000" w:themeColor="text1"/>
          <w:sz w:val="32"/>
          <w:szCs w:val="32"/>
          <w14:textFill>
            <w14:solidFill>
              <w14:schemeClr w14:val="tx1"/>
            </w14:solidFill>
          </w14:textFill>
        </w:rPr>
      </w:pPr>
    </w:p>
    <w:p w14:paraId="1B6403C3">
      <w:pPr>
        <w:pageBreakBefore w:val="0"/>
        <w:kinsoku/>
        <w:wordWrap/>
        <w:overflowPunct/>
        <w:topLinePunct w:val="0"/>
        <w:bidi w:val="0"/>
        <w:spacing w:line="576"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壤塘县档案馆</w:t>
      </w:r>
    </w:p>
    <w:p w14:paraId="741FB66C">
      <w:pPr>
        <w:pageBreakBefore w:val="0"/>
        <w:kinsoku/>
        <w:wordWrap/>
        <w:overflowPunct/>
        <w:topLinePunct w:val="0"/>
        <w:bidi w:val="0"/>
        <w:spacing w:line="576" w:lineRule="exact"/>
        <w:jc w:val="center"/>
        <w:rPr>
          <w:rFonts w:hint="default" w:ascii="Times New Roman" w:hAnsi="Times New Roman" w:eastAsia="仿宋_GB2312" w:cs="Times New Roman"/>
          <w:b/>
          <w:bCs/>
          <w:color w:val="000000" w:themeColor="text1"/>
          <w:kern w:val="0"/>
          <w:sz w:val="32"/>
          <w:szCs w:val="32"/>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20</w:t>
      </w:r>
      <w:r>
        <w:rPr>
          <w:rFonts w:hint="default" w:ascii="Times New Roman" w:hAnsi="Times New Roman" w:eastAsia="方正小标宋_GBK" w:cs="Times New Roman"/>
          <w:color w:val="000000" w:themeColor="text1"/>
          <w:sz w:val="44"/>
          <w:szCs w:val="44"/>
          <w:lang w:val="en-US" w:eastAsia="zh-CN"/>
          <w14:textFill>
            <w14:solidFill>
              <w14:schemeClr w14:val="tx1"/>
            </w14:solidFill>
          </w14:textFill>
        </w:rPr>
        <w:t>25</w:t>
      </w:r>
      <w:r>
        <w:rPr>
          <w:rFonts w:hint="default" w:ascii="Times New Roman" w:hAnsi="Times New Roman" w:eastAsia="方正小标宋_GBK" w:cs="Times New Roman"/>
          <w:color w:val="000000" w:themeColor="text1"/>
          <w:sz w:val="44"/>
          <w:szCs w:val="44"/>
          <w14:textFill>
            <w14:solidFill>
              <w14:schemeClr w14:val="tx1"/>
            </w14:solidFill>
          </w14:textFill>
        </w:rPr>
        <w:t>年度部门整体支出绩效评价报告</w:t>
      </w:r>
    </w:p>
    <w:p w14:paraId="726CC612">
      <w:pPr>
        <w:pageBreakBefore w:val="0"/>
        <w:kinsoku/>
        <w:wordWrap/>
        <w:overflowPunct/>
        <w:topLinePunct w:val="0"/>
        <w:bidi w:val="0"/>
        <w:spacing w:line="576" w:lineRule="exact"/>
        <w:ind w:firstLine="321" w:firstLineChars="100"/>
        <w:rPr>
          <w:rFonts w:hint="default" w:ascii="Times New Roman" w:hAnsi="Times New Roman" w:eastAsia="仿宋_GB2312" w:cs="Times New Roman"/>
          <w:b/>
          <w:bCs/>
          <w:color w:val="000000" w:themeColor="text1"/>
          <w:kern w:val="0"/>
          <w:sz w:val="32"/>
          <w:szCs w:val="32"/>
          <w14:textFill>
            <w14:solidFill>
              <w14:schemeClr w14:val="tx1"/>
            </w14:solidFill>
          </w14:textFill>
        </w:rPr>
      </w:pPr>
    </w:p>
    <w:p w14:paraId="4EC15005">
      <w:pPr>
        <w:pageBreakBefore w:val="0"/>
        <w:kinsoku/>
        <w:wordWrap/>
        <w:overflowPunct/>
        <w:topLinePunct w:val="0"/>
        <w:bidi w:val="0"/>
        <w:spacing w:line="576" w:lineRule="exact"/>
        <w:ind w:firstLine="320" w:firstLineChars="100"/>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kern w:val="0"/>
          <w:sz w:val="32"/>
          <w:szCs w:val="32"/>
          <w14:textFill>
            <w14:solidFill>
              <w14:schemeClr w14:val="tx1"/>
            </w14:solidFill>
          </w14:textFill>
        </w:rPr>
        <w:t>一、部门（单位）概况</w:t>
      </w:r>
    </w:p>
    <w:p w14:paraId="73427225">
      <w:pPr>
        <w:pageBreakBefore w:val="0"/>
        <w:widowControl w:val="0"/>
        <w:kinsoku/>
        <w:wordWrap/>
        <w:overflowPunct/>
        <w:topLinePunct w:val="0"/>
        <w:autoSpaceDE w:val="0"/>
        <w:autoSpaceDN w:val="0"/>
        <w:bidi w:val="0"/>
        <w:adjustRightInd w:val="0"/>
        <w:spacing w:line="576" w:lineRule="exact"/>
        <w:ind w:firstLine="640" w:firstLineChars="200"/>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t>壤塘县档案馆：参公，机构地址：阿坝州壤塘县岗木达镇罗吾塘后街2号，单位负责人：苟忠富。</w:t>
      </w:r>
    </w:p>
    <w:p w14:paraId="598672FF">
      <w:pPr>
        <w:pageBreakBefore w:val="0"/>
        <w:kinsoku/>
        <w:wordWrap/>
        <w:overflowPunct/>
        <w:topLinePunct w:val="0"/>
        <w:bidi w:val="0"/>
        <w:spacing w:line="576" w:lineRule="exact"/>
        <w:ind w:firstLine="643" w:firstLineChars="200"/>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（一）机构组成</w:t>
      </w:r>
    </w:p>
    <w:p w14:paraId="6C52BE07">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中共四川省阿坝州壤塘县档案馆无下属二级单位，本单位为中共壤塘县委办公室归口管理的全额财政拨款正科级事业机构，保留参公管理。</w:t>
      </w:r>
    </w:p>
    <w:p w14:paraId="45B132B0">
      <w:pPr>
        <w:pageBreakBefore w:val="0"/>
        <w:numPr>
          <w:ilvl w:val="0"/>
          <w:numId w:val="5"/>
        </w:numPr>
        <w:kinsoku/>
        <w:wordWrap/>
        <w:overflowPunct/>
        <w:topLinePunct w:val="0"/>
        <w:bidi w:val="0"/>
        <w:spacing w:line="576" w:lineRule="exact"/>
        <w:ind w:firstLine="643" w:firstLineChars="20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机构职能</w:t>
      </w:r>
    </w:p>
    <w:p w14:paraId="479EC76C">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1.贯彻执行《</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实施条例》以及党和国家有关档案工作的方针、政策，严格执行档案业务规范标准，做到依法、依规开展档案管理工作。</w:t>
      </w:r>
    </w:p>
    <w:p w14:paraId="59BD0251">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2.对全县各部门（除特殊部门外）的档案材料进行收集：建立、健全立卷归档制度，确立归档范围、归档时间、保管期限;对遗缺不全的档案，采取不同措施，积极收集齐全；</w:t>
      </w:r>
    </w:p>
    <w:p w14:paraId="7BB58D76">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3.对全县各部门（除特殊部门外）的档案进行归档、立卷与管理：依据档案来源、时间、题目、内容、字母顺序分成若干层次和类别；</w:t>
      </w:r>
    </w:p>
    <w:p w14:paraId="13A4A4E2">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4.对档案进行安全保管；</w:t>
      </w:r>
    </w:p>
    <w:p w14:paraId="6901B105">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5.对档案进行鉴定：从档案的内容、来源、时间、可靠程度、名称等方面鉴别档案的价值；确定各类档案的保管期限表，其中财务档案见财务档案保存期限表，档案保管期限分永久、30年、10年三种；介于两种保管期限的，保管期限从长；</w:t>
      </w:r>
    </w:p>
    <w:p w14:paraId="2A58D1A6">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6.对档案进行销毁：对已失效的档案，认真鉴定，编制销毁清册，办理销毁手续，经批准，方能销毁;销毁时要有二人以上监销，关在清册上签字，该清册永久保存；</w:t>
      </w:r>
    </w:p>
    <w:p w14:paraId="649B4F00">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7.对全县各立档单位专兼职档案工作人员进行业务监督、指导和培训，加强档案干部队伍建设；              </w:t>
      </w:r>
    </w:p>
    <w:p w14:paraId="792C61F7">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8.制定和组织实施档案工作的各项规章制度并对各基层档案工作进行检查、评比；</w:t>
      </w:r>
    </w:p>
    <w:p w14:paraId="766FD742">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9.及时了解处行文、办文情况及工程开展进度指导业务部门立卷、归档工作；</w:t>
      </w:r>
    </w:p>
    <w:p w14:paraId="108CDBF2">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10.负责档案信息资源的开发与利用工作。</w:t>
      </w:r>
    </w:p>
    <w:p w14:paraId="6855346E">
      <w:pPr>
        <w:pageBreakBefore w:val="0"/>
        <w:numPr>
          <w:ilvl w:val="0"/>
          <w:numId w:val="5"/>
        </w:numPr>
        <w:kinsoku/>
        <w:wordWrap/>
        <w:overflowPunct/>
        <w:topLinePunct w:val="0"/>
        <w:bidi w:val="0"/>
        <w:spacing w:line="576" w:lineRule="exact"/>
        <w:ind w:firstLine="643" w:firstLineChars="200"/>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人员概况</w:t>
      </w:r>
    </w:p>
    <w:p w14:paraId="6255AEFE">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人员情况：总编制9名,其中:在编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14:textFill>
            <w14:solidFill>
              <w14:schemeClr w14:val="tx1"/>
            </w14:solidFill>
          </w14:textFill>
        </w:rPr>
        <w:t>人。</w:t>
      </w:r>
    </w:p>
    <w:p w14:paraId="4CBBDA66">
      <w:pPr>
        <w:pageBreakBefore w:val="0"/>
        <w:kinsoku/>
        <w:wordWrap/>
        <w:overflowPunct/>
        <w:topLinePunct w:val="0"/>
        <w:bidi w:val="0"/>
        <w:spacing w:line="576" w:lineRule="exact"/>
        <w:ind w:firstLine="640" w:firstLineChars="200"/>
        <w:rPr>
          <w:rFonts w:hint="default" w:ascii="Times New Roman" w:hAnsi="Times New Roman" w:eastAsia="黑体" w:cs="Times New Roman"/>
          <w:color w:val="000000" w:themeColor="text1"/>
          <w:kern w:val="0"/>
          <w:sz w:val="32"/>
          <w:szCs w:val="32"/>
          <w14:textFill>
            <w14:solidFill>
              <w14:schemeClr w14:val="tx1"/>
            </w14:solidFill>
          </w14:textFill>
        </w:rPr>
      </w:pPr>
      <w:r>
        <w:rPr>
          <w:rFonts w:hint="default" w:ascii="Times New Roman" w:hAnsi="Times New Roman" w:eastAsia="黑体" w:cs="Times New Roman"/>
          <w:color w:val="000000" w:themeColor="text1"/>
          <w:kern w:val="0"/>
          <w:sz w:val="32"/>
          <w:szCs w:val="32"/>
          <w14:textFill>
            <w14:solidFill>
              <w14:schemeClr w14:val="tx1"/>
            </w14:solidFill>
          </w14:textFill>
        </w:rPr>
        <w:t>二、部门财政资金收支情况</w:t>
      </w:r>
    </w:p>
    <w:p w14:paraId="55260060">
      <w:pPr>
        <w:pageBreakBefore w:val="0"/>
        <w:kinsoku/>
        <w:wordWrap/>
        <w:overflowPunct/>
        <w:topLinePunct w:val="0"/>
        <w:bidi w:val="0"/>
        <w:spacing w:line="576" w:lineRule="exact"/>
        <w:ind w:firstLine="643" w:firstLineChars="200"/>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（一）</w:t>
      </w:r>
      <w:r>
        <w:rPr>
          <w:rFonts w:hint="eastAsia" w:ascii="楷体" w:hAnsi="楷体" w:eastAsia="楷体" w:cs="楷体"/>
          <w:b/>
          <w:bCs/>
          <w:color w:val="000000" w:themeColor="text1"/>
          <w:kern w:val="0"/>
          <w:sz w:val="32"/>
          <w:szCs w:val="32"/>
          <w14:textFill>
            <w14:solidFill>
              <w14:schemeClr w14:val="tx1"/>
            </w14:solidFill>
          </w14:textFill>
        </w:rPr>
        <w:t>部门财政资金收入情况</w:t>
      </w:r>
    </w:p>
    <w:p w14:paraId="691D6830">
      <w:pPr>
        <w:pStyle w:val="22"/>
        <w:pageBreakBefore w:val="0"/>
        <w:kinsoku/>
        <w:wordWrap/>
        <w:overflowPunct/>
        <w:topLinePunct w:val="0"/>
        <w:bidi w:val="0"/>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年财政下达壤塘县档案馆年初预算收入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191.38</w:t>
      </w:r>
      <w:r>
        <w:rPr>
          <w:rFonts w:hint="default" w:ascii="Times New Roman" w:hAnsi="Times New Roman" w:eastAsia="仿宋_GB2312" w:cs="Times New Roman"/>
          <w:color w:val="000000" w:themeColor="text1"/>
          <w:sz w:val="32"/>
          <w:szCs w:val="32"/>
          <w14:textFill>
            <w14:solidFill>
              <w14:schemeClr w14:val="tx1"/>
            </w14:solidFill>
          </w14:textFill>
        </w:rPr>
        <w:t>万元，执行期中追加收入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34.59</w:t>
      </w:r>
      <w:r>
        <w:rPr>
          <w:rFonts w:hint="default" w:ascii="Times New Roman" w:hAnsi="Times New Roman" w:eastAsia="仿宋_GB2312" w:cs="Times New Roman"/>
          <w:color w:val="000000" w:themeColor="text1"/>
          <w:sz w:val="32"/>
          <w:szCs w:val="32"/>
          <w14:textFill>
            <w14:solidFill>
              <w14:schemeClr w14:val="tx1"/>
            </w14:solidFill>
          </w14:textFill>
        </w:rPr>
        <w:t>万元，全年收入总计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223.98</w:t>
      </w:r>
      <w:r>
        <w:rPr>
          <w:rFonts w:hint="default" w:ascii="Times New Roman" w:hAnsi="Times New Roman" w:eastAsia="仿宋_GB2312" w:cs="Times New Roman"/>
          <w:color w:val="000000" w:themeColor="text1"/>
          <w:sz w:val="32"/>
          <w:szCs w:val="32"/>
          <w14:textFill>
            <w14:solidFill>
              <w14:schemeClr w14:val="tx1"/>
            </w14:solidFill>
          </w14:textFill>
        </w:rPr>
        <w:t>万元，其中使用上年结转结余资金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1.99</w:t>
      </w:r>
      <w:r>
        <w:rPr>
          <w:rFonts w:hint="default" w:ascii="Times New Roman" w:hAnsi="Times New Roman" w:eastAsia="仿宋_GB2312" w:cs="Times New Roman"/>
          <w:color w:val="000000" w:themeColor="text1"/>
          <w:sz w:val="32"/>
          <w:szCs w:val="32"/>
          <w14:textFill>
            <w14:solidFill>
              <w14:schemeClr w14:val="tx1"/>
            </w14:solidFill>
          </w14:textFill>
        </w:rPr>
        <w:t>万元。</w:t>
      </w:r>
    </w:p>
    <w:p w14:paraId="6073BCEF">
      <w:pPr>
        <w:pStyle w:val="22"/>
        <w:pageBreakBefore w:val="0"/>
        <w:kinsoku/>
        <w:wordWrap/>
        <w:overflowPunct/>
        <w:topLinePunct w:val="0"/>
        <w:bidi w:val="0"/>
        <w:spacing w:line="576" w:lineRule="exact"/>
        <w:ind w:firstLine="643"/>
        <w:rPr>
          <w:rFonts w:hint="eastAsia" w:ascii="楷体" w:hAnsi="楷体" w:eastAsia="楷体" w:cs="楷体"/>
          <w:b/>
          <w:bCs/>
          <w:color w:val="000000" w:themeColor="text1"/>
          <w:sz w:val="32"/>
          <w:szCs w:val="32"/>
          <w14:textFill>
            <w14:solidFill>
              <w14:schemeClr w14:val="tx1"/>
            </w14:solidFill>
          </w14:textFill>
        </w:rPr>
      </w:pPr>
      <w:r>
        <w:rPr>
          <w:rFonts w:hint="default" w:ascii="Times New Roman" w:hAnsi="Times New Roman" w:eastAsia="楷体" w:cs="Times New Roman"/>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14:textFill>
            <w14:solidFill>
              <w14:schemeClr w14:val="tx1"/>
            </w14:solidFill>
          </w14:textFill>
        </w:rPr>
        <w:t>二）</w:t>
      </w: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部门财政资金支出情况</w:t>
      </w:r>
    </w:p>
    <w:p w14:paraId="201A2591">
      <w:pPr>
        <w:pStyle w:val="22"/>
        <w:pageBreakBefore w:val="0"/>
        <w:kinsoku/>
        <w:wordWrap/>
        <w:overflowPunct/>
        <w:topLinePunct w:val="0"/>
        <w:bidi w:val="0"/>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年壤塘县档案馆共计预算支出22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5.97</w:t>
      </w:r>
      <w:r>
        <w:rPr>
          <w:rFonts w:hint="default" w:ascii="Times New Roman" w:hAnsi="Times New Roman" w:eastAsia="仿宋_GB2312" w:cs="Times New Roman"/>
          <w:color w:val="000000" w:themeColor="text1"/>
          <w:sz w:val="32"/>
          <w:szCs w:val="32"/>
          <w14:textFill>
            <w14:solidFill>
              <w14:schemeClr w14:val="tx1"/>
            </w14:solidFill>
          </w14:textFill>
        </w:rPr>
        <w:t>万元，其中基本支出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212.54</w:t>
      </w:r>
      <w:r>
        <w:rPr>
          <w:rFonts w:hint="default" w:ascii="Times New Roman" w:hAnsi="Times New Roman" w:eastAsia="仿宋_GB2312" w:cs="Times New Roman"/>
          <w:color w:val="000000" w:themeColor="text1"/>
          <w:sz w:val="32"/>
          <w:szCs w:val="32"/>
          <w14:textFill>
            <w14:solidFill>
              <w14:schemeClr w14:val="tx1"/>
            </w14:solidFill>
          </w14:textFill>
        </w:rPr>
        <w:t>万元，项目支出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13.44</w:t>
      </w:r>
      <w:r>
        <w:rPr>
          <w:rFonts w:hint="default" w:ascii="Times New Roman" w:hAnsi="Times New Roman" w:eastAsia="仿宋_GB2312" w:cs="Times New Roman"/>
          <w:color w:val="000000" w:themeColor="text1"/>
          <w:sz w:val="32"/>
          <w:szCs w:val="32"/>
          <w14:textFill>
            <w14:solidFill>
              <w14:schemeClr w14:val="tx1"/>
            </w14:solidFill>
          </w14:textFill>
        </w:rPr>
        <w:t>万元。</w:t>
      </w:r>
    </w:p>
    <w:p w14:paraId="5DB8A82B">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三、部门整体预算绩效管理情况</w:t>
      </w:r>
    </w:p>
    <w:p w14:paraId="1615D74E">
      <w:pPr>
        <w:pageBreakBefore w:val="0"/>
        <w:widowControl w:val="0"/>
        <w:suppressAutoHyphens/>
        <w:kinsoku/>
        <w:wordWrap/>
        <w:overflowPunct/>
        <w:topLinePunct w:val="0"/>
        <w:bidi w:val="0"/>
        <w:spacing w:line="576" w:lineRule="exact"/>
        <w:ind w:firstLine="643" w:firstLineChars="200"/>
        <w:jc w:val="both"/>
        <w:rPr>
          <w:rFonts w:hint="eastAsia" w:ascii="楷体" w:hAnsi="楷体" w:eastAsia="楷体" w:cs="楷体"/>
          <w:b/>
          <w:bCs/>
          <w:color w:val="000000" w:themeColor="text1"/>
          <w:kern w:val="0"/>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SA"/>
          <w14:textFill>
            <w14:solidFill>
              <w14:schemeClr w14:val="tx1"/>
            </w14:solidFill>
          </w14:textFill>
        </w:rPr>
        <w:t>（一）部门预算管理</w:t>
      </w:r>
    </w:p>
    <w:p w14:paraId="6C7D35A6">
      <w:pPr>
        <w:pageBreakBefore w:val="0"/>
        <w:widowControl w:val="0"/>
        <w:suppressAutoHyphens/>
        <w:kinsoku/>
        <w:wordWrap/>
        <w:overflowPunct/>
        <w:topLinePunct w:val="0"/>
        <w:bidi w:val="0"/>
        <w:spacing w:line="576" w:lineRule="exact"/>
        <w:ind w:firstLine="643" w:firstLineChars="200"/>
        <w:jc w:val="both"/>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1.部门绩效目标制定情况</w:t>
      </w:r>
    </w:p>
    <w:p w14:paraId="5C80986B">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做好数字档案馆建设工作，完成馆藏文书档案数字化加工；</w:t>
      </w:r>
    </w:p>
    <w:p w14:paraId="7CFECF84">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加强《</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》《乡镇档案工作办法》的宣传和贯彻落实；</w:t>
      </w:r>
    </w:p>
    <w:p w14:paraId="2A5D6CBE">
      <w:pPr>
        <w:pageBreakBefore w:val="0"/>
        <w:widowControl/>
        <w:suppressAutoHyphens/>
        <w:kinsoku/>
        <w:wordWrap/>
        <w:overflowPunct/>
        <w:topLinePunct w:val="0"/>
        <w:bidi w:val="0"/>
        <w:spacing w:before="105" w:beforeAutospacing="0" w:after="105" w:afterAutospacing="0" w:line="576" w:lineRule="exact"/>
        <w:ind w:firstLine="420" w:firstLineChars="0"/>
        <w:jc w:val="left"/>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对各乡镇、各部门开展档案指导工作，并推动各单位向我馆移交相关档案进度；</w:t>
      </w:r>
    </w:p>
    <w:p w14:paraId="1C4352E7">
      <w:pPr>
        <w:pageBreakBefore w:val="0"/>
        <w:widowControl/>
        <w:suppressAutoHyphens/>
        <w:kinsoku/>
        <w:wordWrap/>
        <w:overflowPunct/>
        <w:topLinePunct w:val="0"/>
        <w:bidi w:val="0"/>
        <w:spacing w:before="105" w:beforeAutospacing="0" w:after="105" w:afterAutospacing="0" w:line="576" w:lineRule="exact"/>
        <w:ind w:firstLine="420" w:firstLineChars="0"/>
        <w:jc w:val="left"/>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加强档案资源体系建设，注重实物档案、特殊载体档案征集工作；</w:t>
      </w:r>
    </w:p>
    <w:p w14:paraId="31DA32FA">
      <w:pPr>
        <w:pageBreakBefore w:val="0"/>
        <w:widowControl/>
        <w:suppressAutoHyphens/>
        <w:kinsoku/>
        <w:wordWrap/>
        <w:overflowPunct/>
        <w:topLinePunct w:val="0"/>
        <w:bidi w:val="0"/>
        <w:spacing w:before="105" w:beforeAutospacing="0" w:after="105" w:afterAutospacing="0" w:line="576" w:lineRule="exact"/>
        <w:ind w:leftChars="0" w:firstLine="420" w:firstLineChars="0"/>
        <w:jc w:val="left"/>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加强档案业务培训工作。与县委组织部沟通对接，将档案业务培训纳入全县2025年干部人才大培训计划并组织实施；</w:t>
      </w:r>
    </w:p>
    <w:p w14:paraId="4F69A8A4">
      <w:pPr>
        <w:pageBreakBefore w:val="0"/>
        <w:widowControl w:val="0"/>
        <w:suppressAutoHyphens/>
        <w:kinsoku/>
        <w:wordWrap/>
        <w:overflowPunct/>
        <w:topLinePunct w:val="0"/>
        <w:bidi w:val="0"/>
        <w:spacing w:line="576" w:lineRule="exact"/>
        <w:ind w:firstLine="643" w:firstLineChars="200"/>
        <w:jc w:val="both"/>
        <w:rPr>
          <w:rFonts w:hint="eastAsia" w:ascii="楷体" w:hAnsi="楷体" w:eastAsia="楷体" w:cs="楷体"/>
          <w:b/>
          <w:bCs/>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2"/>
          <w:sz w:val="32"/>
          <w:szCs w:val="32"/>
          <w:lang w:val="en-US" w:eastAsia="zh-CN" w:bidi="ar-SA"/>
          <w14:textFill>
            <w14:solidFill>
              <w14:schemeClr w14:val="tx1"/>
            </w14:solidFill>
          </w14:textFill>
        </w:rPr>
        <w:t>（二）目标完成情况</w:t>
      </w:r>
    </w:p>
    <w:p w14:paraId="34E2B4CD">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14:textFill>
            <w14:solidFill>
              <w14:schemeClr w14:val="tx1"/>
            </w14:solidFill>
          </w14:textFill>
        </w:rPr>
        <w:t>创新工作方式，提升业务能力。</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建立“请进来+走出去”双向联动工作模式，进一步提升乡镇档案业务水平。一是邀请南木达镇、蒲西乡</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等6个单位</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专兼职档案员走进档案馆，通过现场观摩、实操指导等方式，系统学习档案收集、整理、归档等业务知识。二是县档案馆业务人员主动深入乡镇、县级各立档单位，研究解决档案管理中的疑难问题，现场讲解档案归档流程及方法，切实提高全县档案业务专业化和规范化水平。</w:t>
      </w:r>
    </w:p>
    <w:p w14:paraId="7415C60C">
      <w:pPr>
        <w:spacing w:line="560" w:lineRule="exact"/>
        <w:ind w:firstLine="643" w:firstLineChars="200"/>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完善协同机制，科学制定接收计划。</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县档案</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馆</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立足实际，对标《</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》及《机关档案管理规定》等，制定出《壤塘县档案馆2025年度档案接收计划》点对点印发相关单位，明确目标任务和工作时限，推动档案进馆工作。</w:t>
      </w:r>
    </w:p>
    <w:p w14:paraId="5A3C0ADA">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3.落实双套制要求，推进地震档案规范进馆。</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依据《</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重大活动和突发事件档案管理办法》，确定地震档案“纸质＋电子”双套制接收规范，对接住建、交通等14个涉及马尔康“6.10”地震灾后重建项目责任单位，已完成地震专题档案的接收登记工作，同步建立双套档案对应关联台账。</w:t>
      </w:r>
    </w:p>
    <w:p w14:paraId="0BC53FFE">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4.</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优化服务流程，提升档案利用效率。</w:t>
      </w:r>
      <w:r>
        <w:rPr>
          <w:rFonts w:hint="eastAsia"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2025</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年</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，接待到馆查档</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3</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00余人次，查阅</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60</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个全宗</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000</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件档案，主要涉及脱贫攻坚项目、婚姻登记、人事等档案，打印复印档案资料</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3万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余页；开展异地跨馆查档</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63</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人次，查阅</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20</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个全宗</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74</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件档案，主要涉及婚姻登记和退休人事档案，打印回复档案</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189</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页，查档准确率均达90%以上；为壤塘县民政局补录</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新中国成立以来</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历史婚姻档案提供了准确详实的第一手档案资料，得到档案利用者的高度认可。</w:t>
      </w:r>
    </w:p>
    <w:p w14:paraId="07AEC601">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5.</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强化部门联动，凝聚普法合力。</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深入宣传贯彻《</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中华人民共和国档案法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实施条例》，以 “6·9”国际档案日为契机，多形式开展集中宣传活动，现场设立档案业务咨询台，深化交流互动，发放各类宣传资料300余份，活动纪念品300余份，现场接受咨询达300余人次，不断提升全县上下知档、重档、爱档、用档意识，切实推动壤塘档案“八五”普法进程，将档案工作走向开放引向深入。</w:t>
      </w:r>
    </w:p>
    <w:p w14:paraId="2395E5AD">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6.</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健全应急预案，增强灾备应急处置能力。</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5月，县档案馆赴浙江省温州市鹿城区档案馆、攀枝花市东区档案馆开展电子档案数据异地备份和档案工作交流合作，并签订档案数据异地备份协议书，完成馆藏档案数字化副本“异地异质”安全备份工作，提升档案安全防灾避险能力，此次共备份离线移动硬盘4个，共备份数据14.52T。</w:t>
      </w:r>
    </w:p>
    <w:p w14:paraId="37DBC71A">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7.</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深化</w:t>
      </w: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“石榴籽”工程</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，架起党群连心桥梁。</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一是深入开展部门帮扶工作。组织干部职工3</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9</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余人次到石里乡阿斗村开展帮扶联系工作</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12</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次，开展党的政策、安全生产法规知识的宣传5次，详细收集村民的基础信息、家庭收入情况、家庭支出情况及困难诉求，收集困难诉求3条，协调推进2条，全力推动帮扶工作。二是扎实开展“联心同行”活动。慰问公生寺民管会1次，走访联系僧人</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8</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人次，开展政策宣讲，覆盖群众和僧尼6</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6</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余人，通过微信、电话联系沟通10余人次，排查矛盾纠纷0件。</w:t>
      </w:r>
    </w:p>
    <w:p w14:paraId="1ABCCFF9">
      <w:pPr>
        <w:spacing w:line="560" w:lineRule="exact"/>
        <w:ind w:firstLine="643"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8.</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强化责任落实，筑牢档案安全责任体系。</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年，召开安全生产专题会</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次，定期研究解决档案安全领域突出问题；深入开展档案领域安全警示教育</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8</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次，夯实管理措施，认真落实24小时值班值守制度，以消防安全、保密安全为重点，抓实每日消防安全隐患排查，重大节假日、敏感期的安全专项检查</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9</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次，制发《壤塘县档案馆节假日期间安全提示单》3</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8</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余份，落实责任到岗到人，加强重点领域安全点对点提示提醒工作，做好检查记录，加大安全隐患整改力度，确保档案实体安全。</w:t>
      </w:r>
    </w:p>
    <w:p w14:paraId="0537A17D">
      <w:pPr>
        <w:pageBreakBefore w:val="0"/>
        <w:kinsoku/>
        <w:wordWrap/>
        <w:overflowPunct/>
        <w:topLinePunct w:val="0"/>
        <w:bidi w:val="0"/>
        <w:snapToGrid w:val="0"/>
        <w:spacing w:line="576" w:lineRule="exact"/>
        <w:ind w:firstLine="643" w:firstLineChars="200"/>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t>（三）预算编制准确率</w:t>
      </w:r>
    </w:p>
    <w:p w14:paraId="2656EDE6">
      <w:pPr>
        <w:pStyle w:val="22"/>
        <w:pageBreakBefore w:val="0"/>
        <w:kinsoku/>
        <w:wordWrap/>
        <w:overflowPunct/>
        <w:topLinePunct w:val="0"/>
        <w:bidi w:val="0"/>
        <w:spacing w:line="576"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年财政下达壤塘县档案馆年初预算收入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191.38</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14:textFill>
            <w14:solidFill>
              <w14:schemeClr w14:val="tx1"/>
            </w14:solidFill>
          </w14:textFill>
        </w:rPr>
        <w:t>，执行期中追加收入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34.59</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14:textFill>
            <w14:solidFill>
              <w14:schemeClr w14:val="tx1"/>
            </w14:solidFill>
          </w14:textFill>
        </w:rPr>
        <w:t>全年收入总计22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3.98</w:t>
      </w:r>
      <w:r>
        <w:rPr>
          <w:rFonts w:hint="default" w:ascii="Times New Roman" w:hAnsi="Times New Roman" w:eastAsia="仿宋_GB2312" w:cs="Times New Roman"/>
          <w:color w:val="000000" w:themeColor="text1"/>
          <w:sz w:val="32"/>
          <w:szCs w:val="32"/>
          <w14:textFill>
            <w14:solidFill>
              <w14:schemeClr w14:val="tx1"/>
            </w14:solidFill>
          </w14:textFill>
        </w:rPr>
        <w:t>万元，其中使用上年结转结余资金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1.99</w:t>
      </w:r>
      <w:r>
        <w:rPr>
          <w:rFonts w:hint="default" w:ascii="Times New Roman" w:hAnsi="Times New Roman" w:eastAsia="仿宋_GB2312" w:cs="Times New Roman"/>
          <w:color w:val="000000" w:themeColor="text1"/>
          <w:sz w:val="32"/>
          <w:szCs w:val="32"/>
          <w14:textFill>
            <w14:solidFill>
              <w14:schemeClr w14:val="tx1"/>
            </w14:solidFill>
          </w14:textFill>
        </w:rPr>
        <w:t>万元。预算编制准确率较高。</w:t>
      </w:r>
    </w:p>
    <w:p w14:paraId="122EA536">
      <w:pPr>
        <w:pageBreakBefore w:val="0"/>
        <w:numPr>
          <w:ilvl w:val="0"/>
          <w:numId w:val="5"/>
        </w:numPr>
        <w:kinsoku/>
        <w:wordWrap/>
        <w:overflowPunct/>
        <w:topLinePunct w:val="0"/>
        <w:bidi w:val="0"/>
        <w:spacing w:line="576" w:lineRule="exact"/>
        <w:ind w:firstLine="643" w:firstLineChars="200"/>
        <w:rPr>
          <w:rFonts w:hint="default" w:ascii="Times New Roman" w:hAnsi="Times New Roman" w:eastAsia="楷体" w:cs="Times New Roman"/>
          <w:b/>
          <w:bCs/>
          <w:color w:val="000000" w:themeColor="text1"/>
          <w:sz w:val="32"/>
          <w:szCs w:val="32"/>
          <w:shd w:val="clear" w:color="auto" w:fill="FFFFFF"/>
          <w14:textFill>
            <w14:solidFill>
              <w14:schemeClr w14:val="tx1"/>
            </w14:solidFill>
          </w14:textFill>
        </w:rPr>
      </w:pPr>
      <w:r>
        <w:rPr>
          <w:rFonts w:hint="default" w:ascii="Times New Roman" w:hAnsi="Times New Roman" w:eastAsia="楷体" w:cs="Times New Roman"/>
          <w:b/>
          <w:bCs/>
          <w:color w:val="000000" w:themeColor="text1"/>
          <w:sz w:val="32"/>
          <w:szCs w:val="32"/>
          <w:shd w:val="clear" w:color="auto" w:fill="FFFFFF"/>
          <w14:textFill>
            <w14:solidFill>
              <w14:schemeClr w14:val="tx1"/>
            </w14:solidFill>
          </w14:textFill>
        </w:rPr>
        <w:t>支出控制</w:t>
      </w:r>
    </w:p>
    <w:p w14:paraId="7B0C8448">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办公室负责单位内控评价与监督工作，具体职责如下：负责制定单位内部控制监督评价相关制度；负责制订内部控制评价方案；负责组织对单位年度内部控制工作自评工作；负责对本单位风险管理工作的实施情况和有效性进行监督和检查；负责对各个部门各业务流程的执行情况进行监督和检查。</w:t>
      </w:r>
    </w:p>
    <w:p w14:paraId="55FAC13B">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本单位制定的管理制度，</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包括但不限于</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财务管理制度、采购管理制度，监控、监督措施执行有效，2025年度单位财务人员按要求执行了监控职能。</w:t>
      </w:r>
    </w:p>
    <w:p w14:paraId="309EFC63">
      <w:pPr>
        <w:pageBreakBefore w:val="0"/>
        <w:widowControl w:val="0"/>
        <w:suppressAutoHyphens/>
        <w:kinsoku/>
        <w:wordWrap/>
        <w:overflowPunct/>
        <w:topLinePunct w:val="0"/>
        <w:bidi w:val="0"/>
        <w:spacing w:line="576" w:lineRule="exact"/>
        <w:ind w:firstLine="643" w:firstLineChars="200"/>
        <w:jc w:val="both"/>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t>（五）预算完成情况</w:t>
      </w:r>
    </w:p>
    <w:p w14:paraId="7927B04C">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2025年财政预算收入年末总额为22</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5.97</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万元，年末实际预算支出总额为225.97万元，预算完成率为100%。</w:t>
      </w:r>
    </w:p>
    <w:p w14:paraId="348F722D">
      <w:pPr>
        <w:pageBreakBefore w:val="0"/>
        <w:widowControl w:val="0"/>
        <w:suppressAutoHyphens/>
        <w:kinsoku/>
        <w:wordWrap/>
        <w:overflowPunct/>
        <w:topLinePunct w:val="0"/>
        <w:bidi w:val="0"/>
        <w:spacing w:line="576" w:lineRule="exact"/>
        <w:ind w:firstLine="643" w:firstLineChars="200"/>
        <w:jc w:val="both"/>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t>（六）预算动态调整</w:t>
      </w:r>
    </w:p>
    <w:p w14:paraId="7F8B0CF7">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2025年实行了预算动态调整，根据支出实际情况对预算有增减变动预算控制。</w:t>
      </w:r>
    </w:p>
    <w:p w14:paraId="390FED12">
      <w:pPr>
        <w:pageBreakBefore w:val="0"/>
        <w:widowControl w:val="0"/>
        <w:suppressAutoHyphens/>
        <w:kinsoku/>
        <w:wordWrap/>
        <w:overflowPunct/>
        <w:topLinePunct w:val="0"/>
        <w:bidi w:val="0"/>
        <w:spacing w:line="576" w:lineRule="exact"/>
        <w:ind w:firstLine="643" w:firstLineChars="200"/>
        <w:jc w:val="both"/>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lang w:val="en-US" w:eastAsia="zh-CN" w:bidi="ar-SA"/>
          <w14:textFill>
            <w14:solidFill>
              <w14:schemeClr w14:val="tx1"/>
            </w14:solidFill>
          </w14:textFill>
        </w:rPr>
        <w:t>（7）预算执行进度</w:t>
      </w:r>
    </w:p>
    <w:p w14:paraId="13FD713A">
      <w:pPr>
        <w:pageBreakBefore w:val="0"/>
        <w:widowControl w:val="0"/>
        <w:suppressAutoHyphens/>
        <w:kinsoku/>
        <w:wordWrap/>
        <w:overflowPunct/>
        <w:topLinePunct w:val="0"/>
        <w:bidi w:val="0"/>
        <w:spacing w:line="576" w:lineRule="exact"/>
        <w:ind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2025各阶段预算执行进度均达标。</w:t>
      </w:r>
    </w:p>
    <w:p w14:paraId="51833CB6">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四、行政成本</w:t>
      </w:r>
    </w:p>
    <w:p w14:paraId="273B2E59">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壤塘县档案馆2025年“三公”经费财政拨款预算数0.00万元，其中：因公出国（境）经费0.00万元，公务接待费0.00万元，公务用车购置及运行维护费0.00万元。</w:t>
      </w:r>
    </w:p>
    <w:p w14:paraId="326CD223">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五、政府采购</w:t>
      </w:r>
    </w:p>
    <w:p w14:paraId="5611A61F">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壤塘县档案馆2024年政府采购支出0万元，其中政府采购服务支出0万元</w:t>
      </w:r>
    </w:p>
    <w:p w14:paraId="71D76C56">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六、资产管理</w:t>
      </w:r>
    </w:p>
    <w:p w14:paraId="02A78E11">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固定资产在用率。</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截至</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2025年12月31日，我馆行政单位资产管理系统固定资产总计533.62万元，在用的固定资产总计533.62万元，固定资产在用率达100%。</w:t>
      </w:r>
    </w:p>
    <w:p w14:paraId="2E3B24E9">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七、违规记录等情况</w:t>
      </w:r>
    </w:p>
    <w:p w14:paraId="3316E501">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无</w:t>
      </w:r>
    </w:p>
    <w:p w14:paraId="4C1B9E2B">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八、信息公开</w:t>
      </w:r>
    </w:p>
    <w:p w14:paraId="783D091F">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我馆已经按财政要求及时完成预算、决算、绩效等信息公开工作，信息公开在壤塘县门户网站中。</w:t>
      </w:r>
    </w:p>
    <w:p w14:paraId="1634D587">
      <w:pPr>
        <w:pageBreakBefore w:val="0"/>
        <w:widowControl w:val="0"/>
        <w:suppressAutoHyphens/>
        <w:kinsoku/>
        <w:wordWrap/>
        <w:overflowPunct/>
        <w:topLinePunct w:val="0"/>
        <w:bidi w:val="0"/>
        <w:spacing w:line="576" w:lineRule="exact"/>
        <w:ind w:firstLine="640" w:firstLineChars="200"/>
        <w:jc w:val="both"/>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bidi="ar-SA"/>
          <w14:textFill>
            <w14:solidFill>
              <w14:schemeClr w14:val="tx1"/>
            </w14:solidFill>
          </w14:textFill>
        </w:rPr>
        <w:t>九、评价结论及建议</w:t>
      </w:r>
    </w:p>
    <w:p w14:paraId="27C678BE">
      <w:pPr>
        <w:pageBreakBefore w:val="0"/>
        <w:widowControl w:val="0"/>
        <w:suppressAutoHyphens/>
        <w:kinsoku/>
        <w:wordWrap/>
        <w:overflowPunct/>
        <w:topLinePunct w:val="0"/>
        <w:bidi w:val="0"/>
        <w:spacing w:line="576" w:lineRule="exact"/>
        <w:ind w:firstLine="643" w:firstLineChars="200"/>
        <w:jc w:val="both"/>
        <w:outlineLvl w:val="2"/>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（一）存在问题</w:t>
      </w:r>
    </w:p>
    <w:p w14:paraId="6D5FF062">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1.预算编制前根据年度内单位可预见的工作任务，确定了单位年度预算目标，细化了预算指标，但预算编制的精准性有待进一步提高。</w:t>
      </w:r>
    </w:p>
    <w:p w14:paraId="4F66D18E">
      <w:pPr>
        <w:pageBreakBefore w:val="0"/>
        <w:widowControl w:val="0"/>
        <w:suppressAutoHyphens/>
        <w:kinsoku/>
        <w:wordWrap/>
        <w:overflowPunct/>
        <w:topLinePunct w:val="0"/>
        <w:bidi w:val="0"/>
        <w:spacing w:line="576" w:lineRule="exact"/>
        <w:ind w:left="0" w:leftChars="0" w:firstLine="640"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2.未制定明确的财务监控监督措施。</w:t>
      </w:r>
    </w:p>
    <w:p w14:paraId="08FDB67C">
      <w:pPr>
        <w:pageBreakBefore w:val="0"/>
        <w:widowControl w:val="0"/>
        <w:suppressAutoHyphens/>
        <w:kinsoku/>
        <w:wordWrap/>
        <w:overflowPunct/>
        <w:topLinePunct w:val="0"/>
        <w:bidi w:val="0"/>
        <w:spacing w:line="576" w:lineRule="exact"/>
        <w:ind w:firstLine="643" w:firstLineChars="200"/>
        <w:jc w:val="both"/>
        <w:outlineLvl w:val="2"/>
        <w:rPr>
          <w:rFonts w:hint="eastAsia" w:ascii="楷体" w:hAnsi="楷体" w:eastAsia="楷体" w:cs="楷体"/>
          <w:b/>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color w:val="000000" w:themeColor="text1"/>
          <w:kern w:val="2"/>
          <w:sz w:val="32"/>
          <w:szCs w:val="32"/>
          <w:lang w:val="en-US" w:eastAsia="zh-CN" w:bidi="ar-SA"/>
          <w14:textFill>
            <w14:solidFill>
              <w14:schemeClr w14:val="tx1"/>
            </w14:solidFill>
          </w14:textFill>
        </w:rPr>
        <w:t>（二）改进建议</w:t>
      </w:r>
    </w:p>
    <w:p w14:paraId="67144A54">
      <w:pPr>
        <w:pageBreakBefore w:val="0"/>
        <w:widowControl w:val="0"/>
        <w:suppressAutoHyphens/>
        <w:kinsoku/>
        <w:wordWrap/>
        <w:overflowPunct/>
        <w:topLinePunct w:val="0"/>
        <w:bidi w:val="0"/>
        <w:spacing w:before="0" w:beforeAutospacing="0" w:after="120" w:afterAutospacing="0" w:line="576" w:lineRule="exact"/>
        <w:ind w:leftChars="0" w:firstLine="643"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1.加强学习，提高思想认识。</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组织单位财务人员认真学习《</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中华人民共和国预算法</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》、《项目支出绩效评价管理办法》等文件精神及相关法规、制度，提高单位领导对全面预算管理及绩效评价工作的重视程度，</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增强责任意识</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788EEE86">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2.制定明确的财务监控监督措施。</w:t>
      </w:r>
    </w:p>
    <w:p w14:paraId="2C3D5312">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7A90C47F">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E3754DD">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118B9D4">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402F653E">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3C1AC422">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9E55052">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5C3E9743">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0400757">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6453C75B">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06361AA">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213DE51">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0F06ABCC">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74010CA8">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7324BC64">
      <w:pPr>
        <w:pageBreakBefore w:val="0"/>
        <w:widowControl w:val="0"/>
        <w:suppressAutoHyphens/>
        <w:kinsoku/>
        <w:wordWrap/>
        <w:overflowPunct/>
        <w:topLinePunct w:val="0"/>
        <w:bidi w:val="0"/>
        <w:spacing w:before="0" w:beforeAutospacing="0" w:after="120" w:afterAutospacing="0" w:line="576" w:lineRule="exact"/>
        <w:ind w:left="0" w:leftChars="0"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p>
    <w:p w14:paraId="715C428C">
      <w:pPr>
        <w:pStyle w:val="7"/>
        <w:pageBreakBefore w:val="0"/>
        <w:kinsoku/>
        <w:wordWrap/>
        <w:overflowPunct/>
        <w:topLinePunct w:val="0"/>
        <w:bidi w:val="0"/>
        <w:spacing w:line="576" w:lineRule="exact"/>
        <w:ind w:left="0" w:leftChars="0" w:firstLine="1280" w:firstLineChars="4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32"/>
          <w:lang w:val="zh-CN"/>
          <w14:textFill>
            <w14:solidFill>
              <w14:schemeClr w14:val="tx1"/>
            </w14:solidFill>
          </w14:textFill>
        </w:rPr>
        <w:t>附表：</w:t>
      </w:r>
      <w:r>
        <w:rPr>
          <w:rFonts w:hint="default" w:ascii="Times New Roman" w:hAnsi="Times New Roman" w:cs="Times New Roman"/>
          <w:color w:val="000000" w:themeColor="text1"/>
          <w:sz w:val="32"/>
          <w14:textFill>
            <w14:solidFill>
              <w14:schemeClr w14:val="tx1"/>
            </w14:solidFill>
          </w14:textFill>
        </w:rPr>
        <w:t>部门预算项目支出绩效自评表（202</w:t>
      </w:r>
      <w:r>
        <w:rPr>
          <w:rFonts w:hint="default" w:ascii="Times New Roman" w:hAnsi="Times New Roman" w:cs="Times New Roman"/>
          <w:color w:val="000000" w:themeColor="text1"/>
          <w:sz w:val="32"/>
          <w:lang w:val="en-US" w:eastAsia="zh-CN"/>
          <w14:textFill>
            <w14:solidFill>
              <w14:schemeClr w14:val="tx1"/>
            </w14:solidFill>
          </w14:textFill>
        </w:rPr>
        <w:t>5</w:t>
      </w:r>
      <w:r>
        <w:rPr>
          <w:rFonts w:hint="default" w:ascii="Times New Roman" w:hAnsi="Times New Roman" w:cs="Times New Roman"/>
          <w:color w:val="000000" w:themeColor="text1"/>
          <w:sz w:val="32"/>
          <w14:textFill>
            <w14:solidFill>
              <w14:schemeClr w14:val="tx1"/>
            </w14:solidFill>
          </w14:textFill>
        </w:rPr>
        <w:t>年度）</w:t>
      </w:r>
      <w:bookmarkStart w:id="79" w:name="_Toc15396618"/>
    </w:p>
    <w:tbl>
      <w:tblPr>
        <w:tblStyle w:val="14"/>
        <w:tblW w:w="9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14"/>
        <w:gridCol w:w="1195"/>
        <w:gridCol w:w="1041"/>
        <w:gridCol w:w="1317"/>
        <w:gridCol w:w="398"/>
        <w:gridCol w:w="2"/>
        <w:gridCol w:w="994"/>
        <w:gridCol w:w="933"/>
        <w:gridCol w:w="659"/>
        <w:gridCol w:w="306"/>
        <w:gridCol w:w="271"/>
        <w:gridCol w:w="1510"/>
      </w:tblGrid>
      <w:tr w14:paraId="18DC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14:paraId="5FEE249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项目名称</w:t>
            </w:r>
          </w:p>
        </w:tc>
        <w:tc>
          <w:tcPr>
            <w:tcW w:w="7431" w:type="dxa"/>
            <w:gridSpan w:val="10"/>
            <w:tcBorders>
              <w:top w:val="single" w:color="000000" w:sz="4" w:space="0"/>
              <w:left w:val="single" w:color="000000" w:sz="4" w:space="0"/>
              <w:bottom w:val="single" w:color="000000" w:sz="4" w:space="0"/>
              <w:right w:val="single" w:color="000000" w:sz="4" w:space="0"/>
            </w:tcBorders>
            <w:noWrap w:val="0"/>
            <w:vAlign w:val="center"/>
          </w:tcPr>
          <w:p w14:paraId="03EBA83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51323021T000000061835-档案事业经费</w:t>
            </w:r>
          </w:p>
        </w:tc>
      </w:tr>
      <w:tr w14:paraId="5F405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73" w:hRule="atLeast"/>
        </w:trPr>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14:paraId="7EB121A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主管部门</w:t>
            </w:r>
          </w:p>
        </w:tc>
        <w:tc>
          <w:tcPr>
            <w:tcW w:w="4685" w:type="dxa"/>
            <w:gridSpan w:val="6"/>
            <w:tcBorders>
              <w:top w:val="single" w:color="000000" w:sz="4" w:space="0"/>
              <w:left w:val="single" w:color="000000" w:sz="4" w:space="0"/>
              <w:bottom w:val="single" w:color="000000" w:sz="4" w:space="0"/>
              <w:right w:val="single" w:color="000000" w:sz="4" w:space="0"/>
            </w:tcBorders>
            <w:noWrap w:val="0"/>
            <w:vAlign w:val="center"/>
          </w:tcPr>
          <w:p w14:paraId="5458A05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c>
          <w:tcPr>
            <w:tcW w:w="659" w:type="dxa"/>
            <w:noWrap w:val="0"/>
            <w:vAlign w:val="center"/>
          </w:tcPr>
          <w:p w14:paraId="6267B03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实施单位 （盖章）</w:t>
            </w:r>
          </w:p>
        </w:tc>
        <w:tc>
          <w:tcPr>
            <w:tcW w:w="2087" w:type="dxa"/>
            <w:gridSpan w:val="3"/>
            <w:tcBorders>
              <w:top w:val="single" w:color="000000" w:sz="4" w:space="0"/>
              <w:left w:val="single" w:color="000000" w:sz="4" w:space="0"/>
              <w:bottom w:val="single" w:color="000000" w:sz="4" w:space="0"/>
              <w:right w:val="single" w:color="000000" w:sz="4" w:space="0"/>
            </w:tcBorders>
            <w:noWrap w:val="0"/>
            <w:vAlign w:val="center"/>
          </w:tcPr>
          <w:p w14:paraId="0E1447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r>
      <w:tr w14:paraId="3E45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restart"/>
            <w:tcBorders>
              <w:top w:val="single" w:color="000000" w:sz="4" w:space="0"/>
              <w:left w:val="single" w:color="000000" w:sz="4" w:space="0"/>
              <w:bottom w:val="single" w:color="000000" w:sz="4" w:space="0"/>
              <w:right w:val="single" w:color="000000" w:sz="4" w:space="0"/>
            </w:tcBorders>
            <w:noWrap w:val="0"/>
            <w:vAlign w:val="center"/>
          </w:tcPr>
          <w:p w14:paraId="6C67BD9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项目基本情况</w:t>
            </w:r>
          </w:p>
        </w:tc>
        <w:tc>
          <w:tcPr>
            <w:tcW w:w="1195" w:type="dxa"/>
            <w:vMerge w:val="restart"/>
            <w:tcBorders>
              <w:top w:val="single" w:color="000000" w:sz="4" w:space="0"/>
              <w:left w:val="single" w:color="000000" w:sz="4" w:space="0"/>
              <w:bottom w:val="single" w:color="000000" w:sz="4" w:space="0"/>
              <w:right w:val="single" w:color="000000" w:sz="4" w:space="0"/>
            </w:tcBorders>
            <w:noWrap w:val="0"/>
            <w:vAlign w:val="center"/>
          </w:tcPr>
          <w:p w14:paraId="50F451D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1.项目年度目标完成情况</w:t>
            </w:r>
          </w:p>
        </w:tc>
        <w:tc>
          <w:tcPr>
            <w:tcW w:w="4685" w:type="dxa"/>
            <w:gridSpan w:val="6"/>
            <w:tcBorders>
              <w:top w:val="single" w:color="000000" w:sz="4" w:space="0"/>
              <w:left w:val="single" w:color="000000" w:sz="4" w:space="0"/>
              <w:bottom w:val="single" w:color="000000" w:sz="4" w:space="0"/>
              <w:right w:val="single" w:color="000000" w:sz="4" w:space="0"/>
            </w:tcBorders>
            <w:noWrap w:val="0"/>
            <w:vAlign w:val="center"/>
          </w:tcPr>
          <w:p w14:paraId="7E6544F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项目年度目标</w:t>
            </w:r>
          </w:p>
        </w:tc>
        <w:tc>
          <w:tcPr>
            <w:tcW w:w="2746" w:type="dxa"/>
            <w:gridSpan w:val="4"/>
            <w:tcBorders>
              <w:top w:val="single" w:color="000000" w:sz="4" w:space="0"/>
              <w:left w:val="single" w:color="000000" w:sz="4" w:space="0"/>
              <w:bottom w:val="single" w:color="000000" w:sz="4" w:space="0"/>
              <w:right w:val="single" w:color="000000" w:sz="4" w:space="0"/>
            </w:tcBorders>
            <w:noWrap w:val="0"/>
            <w:vAlign w:val="center"/>
          </w:tcPr>
          <w:p w14:paraId="582AF8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年度目标完成情况</w:t>
            </w:r>
          </w:p>
        </w:tc>
      </w:tr>
      <w:tr w14:paraId="4B690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0715A">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15531">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4685" w:type="dxa"/>
            <w:gridSpan w:val="6"/>
            <w:tcBorders>
              <w:top w:val="single" w:color="000000" w:sz="4" w:space="0"/>
              <w:left w:val="single" w:color="000000" w:sz="4" w:space="0"/>
              <w:bottom w:val="single" w:color="000000" w:sz="4" w:space="0"/>
              <w:right w:val="single" w:color="000000" w:sz="4" w:space="0"/>
            </w:tcBorders>
            <w:noWrap w:val="0"/>
            <w:vAlign w:val="center"/>
          </w:tcPr>
          <w:p w14:paraId="7293A5F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推动全县依法治档工作高效开展，确保档案安全和高效利用。</w:t>
            </w:r>
          </w:p>
        </w:tc>
        <w:tc>
          <w:tcPr>
            <w:tcW w:w="2746" w:type="dxa"/>
            <w:gridSpan w:val="4"/>
            <w:tcBorders>
              <w:top w:val="single" w:color="000000" w:sz="4" w:space="0"/>
              <w:left w:val="single" w:color="000000" w:sz="4" w:space="0"/>
              <w:bottom w:val="single" w:color="000000" w:sz="4" w:space="0"/>
              <w:right w:val="single" w:color="000000" w:sz="4" w:space="0"/>
            </w:tcBorders>
            <w:noWrap w:val="0"/>
            <w:vAlign w:val="center"/>
          </w:tcPr>
          <w:p w14:paraId="77D4188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推动全县依法治档工作高效开展，确保档案安全和高效利用。</w:t>
            </w:r>
          </w:p>
        </w:tc>
      </w:tr>
      <w:tr w14:paraId="2827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ACA9D">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66A2E9B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2.项目实施内容及过程概述</w:t>
            </w:r>
          </w:p>
        </w:tc>
        <w:tc>
          <w:tcPr>
            <w:tcW w:w="7431" w:type="dxa"/>
            <w:gridSpan w:val="10"/>
            <w:tcBorders>
              <w:top w:val="single" w:color="000000" w:sz="4" w:space="0"/>
              <w:left w:val="single" w:color="000000" w:sz="4" w:space="0"/>
              <w:bottom w:val="single" w:color="000000" w:sz="4" w:space="0"/>
              <w:right w:val="single" w:color="000000" w:sz="4" w:space="0"/>
            </w:tcBorders>
            <w:noWrap w:val="0"/>
            <w:vAlign w:val="center"/>
          </w:tcPr>
          <w:p w14:paraId="2D3CA655">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0A3C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restart"/>
            <w:tcBorders>
              <w:top w:val="single" w:color="000000" w:sz="4" w:space="0"/>
              <w:left w:val="single" w:color="000000" w:sz="4" w:space="0"/>
              <w:bottom w:val="single" w:color="000000" w:sz="4" w:space="0"/>
              <w:right w:val="single" w:color="000000" w:sz="4" w:space="0"/>
            </w:tcBorders>
            <w:noWrap w:val="0"/>
            <w:vAlign w:val="center"/>
          </w:tcPr>
          <w:p w14:paraId="3DF7A8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预算执行情况（10分）</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5EA8BD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年度预算数（万元）</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3BAE5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年初预算</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2E5D645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调整后预算数</w:t>
            </w: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445EFE0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预算执行数</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746449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预算执行率</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4738FA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75A31B1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4162E9D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原因</w:t>
            </w:r>
          </w:p>
        </w:tc>
      </w:tr>
      <w:tr w14:paraId="5E22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0B77B">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5541FD6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总额</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85652E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2DFC25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5.00</w:t>
            </w: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5DA908F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3.03</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1B56966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60.56%</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74AB83E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15929B6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7</w:t>
            </w:r>
          </w:p>
        </w:tc>
        <w:tc>
          <w:tcPr>
            <w:tcW w:w="151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E31AA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740A9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DC88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01365FE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其中：财政资金</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8E77E4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6A19245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5.00</w:t>
            </w: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711B9BC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3.03</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0B9A034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60.56%</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1DFC1B9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694D698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D55CD">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2A337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7BDC5">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22B0019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财政专户管理资金</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FC833F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5D7D278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6D0ACFB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4DFDD13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423D0E8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7B65861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6560D">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30018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005D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403143E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单位资金</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AD69A3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3F80618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5F61456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5149A78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279303A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645D43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CB835">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07BA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863CC">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81176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其他资金</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9D80F9E">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6094060">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2327" w:type="dxa"/>
            <w:gridSpan w:val="4"/>
            <w:tcBorders>
              <w:top w:val="single" w:color="000000" w:sz="4" w:space="0"/>
              <w:left w:val="single" w:color="000000" w:sz="4" w:space="0"/>
              <w:bottom w:val="single" w:color="000000" w:sz="4" w:space="0"/>
              <w:right w:val="single" w:color="000000" w:sz="4" w:space="0"/>
            </w:tcBorders>
            <w:noWrap w:val="0"/>
            <w:vAlign w:val="center"/>
          </w:tcPr>
          <w:p w14:paraId="5D684B10">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6DC73F08">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4833D3A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4E8627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9635D">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34D74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restart"/>
            <w:tcBorders>
              <w:top w:val="single" w:color="000000" w:sz="4" w:space="0"/>
              <w:left w:val="single" w:color="000000" w:sz="4" w:space="0"/>
              <w:bottom w:val="single" w:color="000000" w:sz="4" w:space="0"/>
              <w:right w:val="single" w:color="000000" w:sz="4" w:space="0"/>
            </w:tcBorders>
            <w:noWrap w:val="0"/>
            <w:vAlign w:val="center"/>
          </w:tcPr>
          <w:p w14:paraId="7B98B2D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绩效指标（90分）</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4BE375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一级指标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BC31E9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二级指标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2A331CB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三级指标</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5E5B696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指标性质</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11FD79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指标值</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4802664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度量单位</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3162271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完成值</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581406D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7546BC7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1CFB573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未完成原因分析</w:t>
            </w:r>
          </w:p>
        </w:tc>
      </w:tr>
      <w:tr w14:paraId="358E3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5D456">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577933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A0F50D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数量指标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7BA5401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档案维修维护数量</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3FF167C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221782B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41172</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7D6E903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卷</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01D87F5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16AB51A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449F06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lang w:val="en-US"/>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24</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23E8B7D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40C6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2C3B7">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19EB0BA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EDF57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质量指标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21FB65C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维修维护覆盖率</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4A02BEF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14DC85B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98</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6F962E5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5219011D">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26347A9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5E4262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24</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761836E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68A8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CC115">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5E5CE14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00F1A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时效指标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C8DFC0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维修维护时间</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1F395FC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0419EB1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12</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0E06DD1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月</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2A1CDD39">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4B3BE0C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20</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1380857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20</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6F98071B">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01D4E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66F48">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05081A2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DB8AE1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成本指标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3BF681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维修维护费用总额</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6554F67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01F3C2A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8.2344</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6B0EF5C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万元</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3947013E">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4FB4558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013CA4C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1D473DF2">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64685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73"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D4D4C">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5F2E218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效益指标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4A6CBF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社会效益指标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5330570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推动依法治档工作的高效开展，增加档案利用率</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4AF8E71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3935B5C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90</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43B7675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304F0DDC">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3DB5824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1CAAB46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17AEF69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008C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1377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95" w:type="dxa"/>
            <w:tcBorders>
              <w:top w:val="single" w:color="000000" w:sz="4" w:space="0"/>
              <w:left w:val="single" w:color="000000" w:sz="4" w:space="0"/>
              <w:bottom w:val="single" w:color="000000" w:sz="4" w:space="0"/>
              <w:right w:val="single" w:color="000000" w:sz="4" w:space="0"/>
            </w:tcBorders>
            <w:noWrap w:val="0"/>
            <w:vAlign w:val="center"/>
          </w:tcPr>
          <w:p w14:paraId="5FCDD00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满意度指标</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BC9668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服务对象满意度指标</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6BB98D5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群众满意度</w:t>
            </w:r>
          </w:p>
        </w:tc>
        <w:tc>
          <w:tcPr>
            <w:tcW w:w="398" w:type="dxa"/>
            <w:tcBorders>
              <w:top w:val="single" w:color="000000" w:sz="4" w:space="0"/>
              <w:left w:val="single" w:color="000000" w:sz="4" w:space="0"/>
              <w:bottom w:val="single" w:color="000000" w:sz="4" w:space="0"/>
              <w:right w:val="single" w:color="000000" w:sz="4" w:space="0"/>
            </w:tcBorders>
            <w:noWrap w:val="0"/>
            <w:vAlign w:val="center"/>
          </w:tcPr>
          <w:p w14:paraId="6FAAB07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96" w:type="dxa"/>
            <w:gridSpan w:val="2"/>
            <w:tcBorders>
              <w:top w:val="single" w:color="000000" w:sz="4" w:space="0"/>
              <w:left w:val="single" w:color="000000" w:sz="4" w:space="0"/>
              <w:bottom w:val="single" w:color="000000" w:sz="4" w:space="0"/>
              <w:right w:val="single" w:color="000000" w:sz="4" w:space="0"/>
            </w:tcBorders>
            <w:noWrap w:val="0"/>
            <w:vAlign w:val="center"/>
          </w:tcPr>
          <w:p w14:paraId="6258158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95</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14:paraId="1842C77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noWrap w:val="0"/>
            <w:vAlign w:val="center"/>
          </w:tcPr>
          <w:p w14:paraId="5B1BE057">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05EEEE3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41ACE0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07F704E0">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r>
      <w:tr w14:paraId="28AB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6953" w:type="dxa"/>
            <w:gridSpan w:val="9"/>
            <w:tcBorders>
              <w:top w:val="single" w:color="000000" w:sz="4" w:space="0"/>
              <w:left w:val="single" w:color="000000" w:sz="4" w:space="0"/>
              <w:bottom w:val="single" w:color="000000" w:sz="4" w:space="0"/>
              <w:right w:val="single" w:color="000000" w:sz="4" w:space="0"/>
            </w:tcBorders>
            <w:noWrap w:val="0"/>
            <w:vAlign w:val="center"/>
          </w:tcPr>
          <w:p w14:paraId="279544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合计</w:t>
            </w:r>
          </w:p>
        </w:tc>
        <w:tc>
          <w:tcPr>
            <w:tcW w:w="306" w:type="dxa"/>
            <w:tcBorders>
              <w:top w:val="single" w:color="000000" w:sz="4" w:space="0"/>
              <w:left w:val="single" w:color="000000" w:sz="4" w:space="0"/>
              <w:bottom w:val="single" w:color="000000" w:sz="4" w:space="0"/>
              <w:right w:val="single" w:color="000000" w:sz="4" w:space="0"/>
            </w:tcBorders>
            <w:noWrap w:val="0"/>
            <w:vAlign w:val="center"/>
          </w:tcPr>
          <w:p w14:paraId="62F92B0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w:t>
            </w:r>
          </w:p>
        </w:tc>
        <w:tc>
          <w:tcPr>
            <w:tcW w:w="271" w:type="dxa"/>
            <w:tcBorders>
              <w:top w:val="single" w:color="000000" w:sz="4" w:space="0"/>
              <w:left w:val="single" w:color="000000" w:sz="4" w:space="0"/>
              <w:bottom w:val="single" w:color="000000" w:sz="4" w:space="0"/>
              <w:right w:val="single" w:color="000000" w:sz="4" w:space="0"/>
            </w:tcBorders>
            <w:noWrap w:val="0"/>
            <w:vAlign w:val="center"/>
          </w:tcPr>
          <w:p w14:paraId="41C22E8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lang w:val="en-US"/>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94</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3194B234">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4080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tcBorders>
              <w:top w:val="single" w:color="000000" w:sz="4" w:space="0"/>
              <w:left w:val="single" w:color="000000" w:sz="4" w:space="0"/>
              <w:bottom w:val="single" w:color="000000" w:sz="4" w:space="0"/>
              <w:right w:val="single" w:color="000000" w:sz="4" w:space="0"/>
            </w:tcBorders>
            <w:noWrap w:val="0"/>
            <w:vAlign w:val="center"/>
          </w:tcPr>
          <w:p w14:paraId="4F2A494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评价结论</w:t>
            </w:r>
          </w:p>
        </w:tc>
        <w:tc>
          <w:tcPr>
            <w:tcW w:w="8626" w:type="dxa"/>
            <w:gridSpan w:val="11"/>
            <w:tcBorders>
              <w:top w:val="single" w:color="000000" w:sz="4" w:space="0"/>
              <w:left w:val="single" w:color="000000" w:sz="4" w:space="0"/>
              <w:bottom w:val="single" w:color="000000" w:sz="4" w:space="0"/>
              <w:right w:val="single" w:color="000000" w:sz="4" w:space="0"/>
            </w:tcBorders>
            <w:noWrap w:val="0"/>
            <w:vAlign w:val="center"/>
          </w:tcPr>
          <w:p w14:paraId="189A964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11B9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tcBorders>
              <w:top w:val="single" w:color="000000" w:sz="4" w:space="0"/>
              <w:left w:val="single" w:color="000000" w:sz="4" w:space="0"/>
              <w:bottom w:val="single" w:color="000000" w:sz="4" w:space="0"/>
              <w:right w:val="single" w:color="000000" w:sz="4" w:space="0"/>
            </w:tcBorders>
            <w:noWrap w:val="0"/>
            <w:vAlign w:val="center"/>
          </w:tcPr>
          <w:p w14:paraId="597FAC9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存在问题</w:t>
            </w:r>
          </w:p>
        </w:tc>
        <w:tc>
          <w:tcPr>
            <w:tcW w:w="8626" w:type="dxa"/>
            <w:gridSpan w:val="11"/>
            <w:tcBorders>
              <w:top w:val="single" w:color="000000" w:sz="4" w:space="0"/>
              <w:left w:val="single" w:color="000000" w:sz="4" w:space="0"/>
              <w:bottom w:val="single" w:color="000000" w:sz="4" w:space="0"/>
              <w:right w:val="single" w:color="000000" w:sz="4" w:space="0"/>
            </w:tcBorders>
            <w:noWrap w:val="0"/>
            <w:vAlign w:val="center"/>
          </w:tcPr>
          <w:p w14:paraId="2071E31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1EDD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1" w:hRule="atLeast"/>
        </w:trPr>
        <w:tc>
          <w:tcPr>
            <w:tcW w:w="414" w:type="dxa"/>
            <w:tcBorders>
              <w:top w:val="single" w:color="000000" w:sz="4" w:space="0"/>
              <w:left w:val="single" w:color="000000" w:sz="4" w:space="0"/>
              <w:bottom w:val="single" w:color="000000" w:sz="4" w:space="0"/>
              <w:right w:val="single" w:color="000000" w:sz="4" w:space="0"/>
            </w:tcBorders>
            <w:noWrap w:val="0"/>
            <w:vAlign w:val="center"/>
          </w:tcPr>
          <w:p w14:paraId="7B4DFF6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改进措施</w:t>
            </w:r>
          </w:p>
        </w:tc>
        <w:tc>
          <w:tcPr>
            <w:tcW w:w="8626" w:type="dxa"/>
            <w:gridSpan w:val="11"/>
            <w:tcBorders>
              <w:top w:val="single" w:color="000000" w:sz="4" w:space="0"/>
              <w:left w:val="single" w:color="000000" w:sz="4" w:space="0"/>
              <w:bottom w:val="single" w:color="000000" w:sz="4" w:space="0"/>
              <w:right w:val="single" w:color="000000" w:sz="4" w:space="0"/>
            </w:tcBorders>
            <w:noWrap w:val="0"/>
            <w:vAlign w:val="center"/>
          </w:tcPr>
          <w:p w14:paraId="717448B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36DF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5" w:hRule="atLeast"/>
        </w:trPr>
        <w:tc>
          <w:tcPr>
            <w:tcW w:w="4367" w:type="dxa"/>
            <w:gridSpan w:val="6"/>
            <w:tcBorders>
              <w:top w:val="single" w:color="000000" w:sz="4" w:space="0"/>
              <w:left w:val="single" w:color="000000" w:sz="4" w:space="0"/>
              <w:bottom w:val="single" w:color="000000" w:sz="4" w:space="0"/>
              <w:right w:val="single" w:color="000000" w:sz="4" w:space="0"/>
            </w:tcBorders>
            <w:noWrap w:val="0"/>
            <w:vAlign w:val="center"/>
          </w:tcPr>
          <w:p w14:paraId="58D5C63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项目负责人：</w:t>
            </w:r>
          </w:p>
        </w:tc>
        <w:tc>
          <w:tcPr>
            <w:tcW w:w="4673" w:type="dxa"/>
            <w:gridSpan w:val="6"/>
            <w:tcBorders>
              <w:top w:val="single" w:color="000000" w:sz="4" w:space="0"/>
              <w:left w:val="single" w:color="000000" w:sz="4" w:space="0"/>
              <w:bottom w:val="single" w:color="000000" w:sz="4" w:space="0"/>
              <w:right w:val="single" w:color="000000" w:sz="4" w:space="0"/>
            </w:tcBorders>
            <w:noWrap w:val="0"/>
            <w:vAlign w:val="center"/>
          </w:tcPr>
          <w:p w14:paraId="3A56706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财务负责人：</w:t>
            </w:r>
          </w:p>
        </w:tc>
      </w:tr>
    </w:tbl>
    <w:p w14:paraId="4C8A28EC">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tbl>
      <w:tblPr>
        <w:tblStyle w:val="14"/>
        <w:tblW w:w="91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18"/>
        <w:gridCol w:w="1205"/>
        <w:gridCol w:w="1050"/>
        <w:gridCol w:w="1326"/>
        <w:gridCol w:w="403"/>
        <w:gridCol w:w="1018"/>
        <w:gridCol w:w="938"/>
        <w:gridCol w:w="673"/>
        <w:gridCol w:w="308"/>
        <w:gridCol w:w="282"/>
        <w:gridCol w:w="1519"/>
      </w:tblGrid>
      <w:tr w14:paraId="5199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623" w:type="dxa"/>
            <w:gridSpan w:val="2"/>
            <w:tcBorders>
              <w:top w:val="single" w:color="000000" w:sz="4" w:space="0"/>
              <w:left w:val="single" w:color="000000" w:sz="4" w:space="0"/>
              <w:bottom w:val="single" w:color="000000" w:sz="4" w:space="0"/>
              <w:right w:val="single" w:color="000000" w:sz="4" w:space="0"/>
            </w:tcBorders>
            <w:noWrap w:val="0"/>
            <w:vAlign w:val="center"/>
          </w:tcPr>
          <w:p w14:paraId="339F924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项目名称</w:t>
            </w:r>
          </w:p>
        </w:tc>
        <w:tc>
          <w:tcPr>
            <w:tcW w:w="7517" w:type="dxa"/>
            <w:gridSpan w:val="9"/>
            <w:tcBorders>
              <w:top w:val="single" w:color="000000" w:sz="4" w:space="0"/>
              <w:left w:val="single" w:color="000000" w:sz="4" w:space="0"/>
              <w:bottom w:val="single" w:color="000000" w:sz="4" w:space="0"/>
              <w:right w:val="single" w:color="000000" w:sz="4" w:space="0"/>
            </w:tcBorders>
            <w:noWrap w:val="0"/>
            <w:vAlign w:val="center"/>
          </w:tcPr>
          <w:p w14:paraId="5C40919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51323022T000000342408-档案馆集中供暖资金</w:t>
            </w:r>
          </w:p>
        </w:tc>
      </w:tr>
      <w:tr w14:paraId="431C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623" w:type="dxa"/>
            <w:gridSpan w:val="2"/>
            <w:tcBorders>
              <w:top w:val="single" w:color="000000" w:sz="4" w:space="0"/>
              <w:left w:val="single" w:color="000000" w:sz="4" w:space="0"/>
              <w:bottom w:val="single" w:color="000000" w:sz="4" w:space="0"/>
              <w:right w:val="single" w:color="000000" w:sz="4" w:space="0"/>
            </w:tcBorders>
            <w:noWrap w:val="0"/>
            <w:vAlign w:val="center"/>
          </w:tcPr>
          <w:p w14:paraId="04018EB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主管部门</w:t>
            </w:r>
          </w:p>
        </w:tc>
        <w:tc>
          <w:tcPr>
            <w:tcW w:w="4735" w:type="dxa"/>
            <w:gridSpan w:val="5"/>
            <w:tcBorders>
              <w:top w:val="single" w:color="000000" w:sz="4" w:space="0"/>
              <w:left w:val="single" w:color="000000" w:sz="4" w:space="0"/>
              <w:bottom w:val="single" w:color="000000" w:sz="4" w:space="0"/>
              <w:right w:val="single" w:color="000000" w:sz="4" w:space="0"/>
            </w:tcBorders>
            <w:noWrap w:val="0"/>
            <w:vAlign w:val="center"/>
          </w:tcPr>
          <w:p w14:paraId="0038CE1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c>
          <w:tcPr>
            <w:tcW w:w="673" w:type="dxa"/>
            <w:noWrap w:val="0"/>
            <w:vAlign w:val="center"/>
          </w:tcPr>
          <w:p w14:paraId="63C0E18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实施单位 （盖章）</w:t>
            </w:r>
          </w:p>
        </w:tc>
        <w:tc>
          <w:tcPr>
            <w:tcW w:w="2109" w:type="dxa"/>
            <w:gridSpan w:val="3"/>
            <w:tcBorders>
              <w:top w:val="single" w:color="000000" w:sz="4" w:space="0"/>
              <w:left w:val="single" w:color="000000" w:sz="4" w:space="0"/>
              <w:bottom w:val="single" w:color="000000" w:sz="4" w:space="0"/>
              <w:right w:val="single" w:color="000000" w:sz="4" w:space="0"/>
            </w:tcBorders>
            <w:noWrap w:val="0"/>
            <w:vAlign w:val="center"/>
          </w:tcPr>
          <w:p w14:paraId="17EB03A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r>
      <w:tr w14:paraId="13598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restart"/>
            <w:tcBorders>
              <w:top w:val="single" w:color="000000" w:sz="4" w:space="0"/>
              <w:left w:val="single" w:color="000000" w:sz="4" w:space="0"/>
              <w:bottom w:val="single" w:color="000000" w:sz="4" w:space="0"/>
              <w:right w:val="single" w:color="000000" w:sz="4" w:space="0"/>
            </w:tcBorders>
            <w:noWrap w:val="0"/>
            <w:vAlign w:val="center"/>
          </w:tcPr>
          <w:p w14:paraId="691A619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项目基本情况</w:t>
            </w:r>
          </w:p>
        </w:tc>
        <w:tc>
          <w:tcPr>
            <w:tcW w:w="12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BC4A31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1.项目年度目标完成情况</w:t>
            </w:r>
          </w:p>
        </w:tc>
        <w:tc>
          <w:tcPr>
            <w:tcW w:w="4735" w:type="dxa"/>
            <w:gridSpan w:val="5"/>
            <w:tcBorders>
              <w:top w:val="single" w:color="000000" w:sz="4" w:space="0"/>
              <w:left w:val="single" w:color="000000" w:sz="4" w:space="0"/>
              <w:bottom w:val="single" w:color="000000" w:sz="4" w:space="0"/>
              <w:right w:val="single" w:color="000000" w:sz="4" w:space="0"/>
            </w:tcBorders>
            <w:noWrap w:val="0"/>
            <w:vAlign w:val="center"/>
          </w:tcPr>
          <w:p w14:paraId="5BADA86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项目年度目标</w:t>
            </w:r>
          </w:p>
        </w:tc>
        <w:tc>
          <w:tcPr>
            <w:tcW w:w="2782" w:type="dxa"/>
            <w:gridSpan w:val="4"/>
            <w:tcBorders>
              <w:top w:val="single" w:color="000000" w:sz="4" w:space="0"/>
              <w:left w:val="single" w:color="000000" w:sz="4" w:space="0"/>
              <w:bottom w:val="single" w:color="000000" w:sz="4" w:space="0"/>
              <w:right w:val="single" w:color="000000" w:sz="4" w:space="0"/>
            </w:tcBorders>
            <w:noWrap w:val="0"/>
            <w:vAlign w:val="center"/>
          </w:tcPr>
          <w:p w14:paraId="5684C0B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年度目标完成情况</w:t>
            </w:r>
          </w:p>
        </w:tc>
      </w:tr>
      <w:tr w14:paraId="41702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E05A2">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26884">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4735" w:type="dxa"/>
            <w:gridSpan w:val="5"/>
            <w:tcBorders>
              <w:top w:val="single" w:color="000000" w:sz="4" w:space="0"/>
              <w:left w:val="single" w:color="000000" w:sz="4" w:space="0"/>
              <w:bottom w:val="single" w:color="000000" w:sz="4" w:space="0"/>
              <w:right w:val="single" w:color="000000" w:sz="4" w:space="0"/>
            </w:tcBorders>
            <w:noWrap w:val="0"/>
            <w:vAlign w:val="center"/>
          </w:tcPr>
          <w:p w14:paraId="42D4EB3F">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sz w:val="18"/>
                <w:szCs w:val="18"/>
                <w:u w:val="none"/>
                <w14:textFill>
                  <w14:solidFill>
                    <w14:schemeClr w14:val="tx1"/>
                  </w14:solidFill>
                </w14:textFill>
              </w:rPr>
              <w:t>保证单位冬季正常供暖，保证我馆冬季工作不会因为温度而有影响。</w:t>
            </w:r>
          </w:p>
        </w:tc>
        <w:tc>
          <w:tcPr>
            <w:tcW w:w="2782" w:type="dxa"/>
            <w:gridSpan w:val="4"/>
            <w:tcBorders>
              <w:top w:val="single" w:color="000000" w:sz="4" w:space="0"/>
              <w:left w:val="single" w:color="000000" w:sz="4" w:space="0"/>
              <w:bottom w:val="single" w:color="000000" w:sz="4" w:space="0"/>
              <w:right w:val="single" w:color="000000" w:sz="4" w:space="0"/>
            </w:tcBorders>
            <w:noWrap w:val="0"/>
            <w:vAlign w:val="center"/>
          </w:tcPr>
          <w:p w14:paraId="4F792B1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保证单位冬季正常供暖，保证我馆冬季工作不会因为温度而有影响。</w:t>
            </w:r>
          </w:p>
        </w:tc>
      </w:tr>
      <w:tr w14:paraId="4BEA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3F223">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6F2BEC5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2.项目实施内容及过程概述</w:t>
            </w:r>
          </w:p>
        </w:tc>
        <w:tc>
          <w:tcPr>
            <w:tcW w:w="7517" w:type="dxa"/>
            <w:gridSpan w:val="9"/>
            <w:tcBorders>
              <w:top w:val="single" w:color="000000" w:sz="4" w:space="0"/>
              <w:left w:val="single" w:color="000000" w:sz="4" w:space="0"/>
              <w:bottom w:val="single" w:color="000000" w:sz="4" w:space="0"/>
              <w:right w:val="single" w:color="000000" w:sz="4" w:space="0"/>
            </w:tcBorders>
            <w:noWrap w:val="0"/>
            <w:vAlign w:val="center"/>
          </w:tcPr>
          <w:p w14:paraId="34FAD39D">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30D72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34A9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预算执行情况（10分）</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137AAA6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年度预算数（万元）</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1E54B4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年初预算</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A4A008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调整后预算数</w:t>
            </w: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146A2C3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预算执行数</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05EEA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预算执行率</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60184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461A00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27B067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原因</w:t>
            </w:r>
          </w:p>
        </w:tc>
      </w:tr>
      <w:tr w14:paraId="1E9A9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3FE1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7FB0E6A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总额</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D95D9D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6EFF9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1.42</w:t>
            </w: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76C842D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1.42</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C0542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100.00%</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6FEF99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0821AAFE">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lang w:val="en-US" w:eastAsia="zh-CN"/>
                <w14:textFill>
                  <w14:solidFill>
                    <w14:schemeClr w14:val="tx1"/>
                  </w14:solidFill>
                </w14:textFill>
              </w:rPr>
            </w:pPr>
            <w:r>
              <w:rPr>
                <w:rFonts w:hint="default" w:ascii="Times New Roman" w:hAnsi="Times New Roman" w:eastAsia="宋体" w:cs="Times New Roman"/>
                <w:i w:val="0"/>
                <w:color w:val="000000" w:themeColor="text1"/>
                <w:sz w:val="18"/>
                <w:szCs w:val="18"/>
                <w:u w:val="none"/>
                <w:lang w:val="en-US" w:eastAsia="zh-CN"/>
                <w14:textFill>
                  <w14:solidFill>
                    <w14:schemeClr w14:val="tx1"/>
                  </w14:solidFill>
                </w14:textFill>
              </w:rPr>
              <w:t>10</w:t>
            </w:r>
          </w:p>
        </w:tc>
        <w:tc>
          <w:tcPr>
            <w:tcW w:w="15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6FAF9D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4A47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CFE39">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60D4ACD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其中：财政资金</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84C17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89DFA0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1.42</w:t>
            </w: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0B7C93C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1.42</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0ED7EF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100.00%</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0F2999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251ECC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F144A">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05C73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5248D">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7CAD63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财政专户管理资金</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46900C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694415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7B18F72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2A261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6AA568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73E06E4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FCEB0">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00CE5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DB0D6">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3EEDE8E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单位资金</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AFE84B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62E6B6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6987374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A4303B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09BF63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4CD359A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C68CC">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504E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75DD3">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709D2C0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其他资金</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C868B92">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324828E">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2359" w:type="dxa"/>
            <w:gridSpan w:val="3"/>
            <w:tcBorders>
              <w:top w:val="single" w:color="000000" w:sz="4" w:space="0"/>
              <w:left w:val="single" w:color="000000" w:sz="4" w:space="0"/>
              <w:bottom w:val="single" w:color="000000" w:sz="4" w:space="0"/>
              <w:right w:val="single" w:color="000000" w:sz="4" w:space="0"/>
            </w:tcBorders>
            <w:noWrap w:val="0"/>
            <w:vAlign w:val="center"/>
          </w:tcPr>
          <w:p w14:paraId="3ED29DB6">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6E5CEDE">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BF15DA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6DFA975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C446C">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4BA89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23E6D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绩效指标（90分）</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6C009A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一级指标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78096A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二级指标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656427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三级指标</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652999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指标性质</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7E10A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指标值</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CF041A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度量单位</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0C5573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完成值</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B2519F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453600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5A407A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未完成原因分析</w:t>
            </w:r>
          </w:p>
        </w:tc>
      </w:tr>
      <w:tr w14:paraId="6F73A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366AB">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402EB95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DB67C7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数量指标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D95574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单位供暖面积</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05103AF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40A5554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1161.54</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CCD350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平方米</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3FAAEFB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1E0B57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2C1D929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1D7E02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14B2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8F4C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063A850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CC141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质量指标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53A935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单位办公场地供暖覆盖率</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1AEAD07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2EA8E6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98</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7D78A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754BA72">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FDFAD7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4B55118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B623EB8">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47E0F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5CDB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22DEF5B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08F3C6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时效指标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7D8A5C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供暖时长</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4B93AFF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5D2C0D1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3</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A995F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月</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57C8C622">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D631FD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3E471E2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lang w:val="en-US"/>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25</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4C8E5E3">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5F422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933D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457B885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967298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成本指标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74EA87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供暖成本</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2FF9BEC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FBD1E2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27063.88</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75BEE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元</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1C9C237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F774C7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386C21E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C266917">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373A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2251D">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14:paraId="5ED3206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满意度指标</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F4AECC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服务对象满意度指标</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E7FC5D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单位员工及群众对供暖的满意度</w:t>
            </w:r>
          </w:p>
        </w:tc>
        <w:tc>
          <w:tcPr>
            <w:tcW w:w="403" w:type="dxa"/>
            <w:tcBorders>
              <w:top w:val="single" w:color="000000" w:sz="4" w:space="0"/>
              <w:left w:val="single" w:color="000000" w:sz="4" w:space="0"/>
              <w:bottom w:val="single" w:color="000000" w:sz="4" w:space="0"/>
              <w:right w:val="single" w:color="000000" w:sz="4" w:space="0"/>
            </w:tcBorders>
            <w:noWrap w:val="0"/>
            <w:vAlign w:val="center"/>
          </w:tcPr>
          <w:p w14:paraId="7F26CE6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DEA5F6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6B305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0909EEAC">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A5D0F5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20</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08BAE08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lang w:val="en-US"/>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18</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FFEDD2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7B4B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7031" w:type="dxa"/>
            <w:gridSpan w:val="8"/>
            <w:tcBorders>
              <w:top w:val="single" w:color="000000" w:sz="4" w:space="0"/>
              <w:left w:val="single" w:color="000000" w:sz="4" w:space="0"/>
              <w:bottom w:val="single" w:color="000000" w:sz="4" w:space="0"/>
              <w:right w:val="single" w:color="000000" w:sz="4" w:space="0"/>
            </w:tcBorders>
            <w:noWrap w:val="0"/>
            <w:vAlign w:val="center"/>
          </w:tcPr>
          <w:p w14:paraId="6FECCED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合计</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C1FB11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w:t>
            </w:r>
          </w:p>
        </w:tc>
        <w:tc>
          <w:tcPr>
            <w:tcW w:w="282" w:type="dxa"/>
            <w:tcBorders>
              <w:top w:val="single" w:color="000000" w:sz="4" w:space="0"/>
              <w:left w:val="single" w:color="000000" w:sz="4" w:space="0"/>
              <w:bottom w:val="single" w:color="000000" w:sz="4" w:space="0"/>
              <w:right w:val="single" w:color="000000" w:sz="4" w:space="0"/>
            </w:tcBorders>
            <w:noWrap w:val="0"/>
            <w:vAlign w:val="center"/>
          </w:tcPr>
          <w:p w14:paraId="58F611C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lang w:val="en-US"/>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97</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E5113AD">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2637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tcBorders>
              <w:top w:val="single" w:color="000000" w:sz="4" w:space="0"/>
              <w:left w:val="single" w:color="000000" w:sz="4" w:space="0"/>
              <w:bottom w:val="single" w:color="000000" w:sz="4" w:space="0"/>
              <w:right w:val="single" w:color="000000" w:sz="4" w:space="0"/>
            </w:tcBorders>
            <w:noWrap w:val="0"/>
            <w:vAlign w:val="center"/>
          </w:tcPr>
          <w:p w14:paraId="007911B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评价结论</w:t>
            </w:r>
          </w:p>
        </w:tc>
        <w:tc>
          <w:tcPr>
            <w:tcW w:w="8722" w:type="dxa"/>
            <w:gridSpan w:val="10"/>
            <w:tcBorders>
              <w:top w:val="single" w:color="000000" w:sz="4" w:space="0"/>
              <w:left w:val="single" w:color="000000" w:sz="4" w:space="0"/>
              <w:bottom w:val="single" w:color="000000" w:sz="4" w:space="0"/>
              <w:right w:val="single" w:color="000000" w:sz="4" w:space="0"/>
            </w:tcBorders>
            <w:noWrap w:val="0"/>
            <w:vAlign w:val="center"/>
          </w:tcPr>
          <w:p w14:paraId="5541388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3D9D2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tcBorders>
              <w:top w:val="single" w:color="000000" w:sz="4" w:space="0"/>
              <w:left w:val="single" w:color="000000" w:sz="4" w:space="0"/>
              <w:bottom w:val="single" w:color="000000" w:sz="4" w:space="0"/>
              <w:right w:val="single" w:color="000000" w:sz="4" w:space="0"/>
            </w:tcBorders>
            <w:noWrap w:val="0"/>
            <w:vAlign w:val="center"/>
          </w:tcPr>
          <w:p w14:paraId="15A894E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存在问题</w:t>
            </w:r>
          </w:p>
        </w:tc>
        <w:tc>
          <w:tcPr>
            <w:tcW w:w="8722" w:type="dxa"/>
            <w:gridSpan w:val="10"/>
            <w:tcBorders>
              <w:top w:val="single" w:color="000000" w:sz="4" w:space="0"/>
              <w:left w:val="single" w:color="000000" w:sz="4" w:space="0"/>
              <w:bottom w:val="single" w:color="000000" w:sz="4" w:space="0"/>
              <w:right w:val="single" w:color="000000" w:sz="4" w:space="0"/>
            </w:tcBorders>
            <w:noWrap w:val="0"/>
            <w:vAlign w:val="center"/>
          </w:tcPr>
          <w:p w14:paraId="02AC8C1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6383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18" w:type="dxa"/>
            <w:tcBorders>
              <w:top w:val="single" w:color="000000" w:sz="4" w:space="0"/>
              <w:left w:val="single" w:color="000000" w:sz="4" w:space="0"/>
              <w:bottom w:val="single" w:color="000000" w:sz="4" w:space="0"/>
              <w:right w:val="single" w:color="000000" w:sz="4" w:space="0"/>
            </w:tcBorders>
            <w:noWrap w:val="0"/>
            <w:vAlign w:val="center"/>
          </w:tcPr>
          <w:p w14:paraId="1A117A1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改进措施</w:t>
            </w:r>
          </w:p>
        </w:tc>
        <w:tc>
          <w:tcPr>
            <w:tcW w:w="8722" w:type="dxa"/>
            <w:gridSpan w:val="10"/>
            <w:tcBorders>
              <w:top w:val="single" w:color="000000" w:sz="4" w:space="0"/>
              <w:left w:val="single" w:color="000000" w:sz="4" w:space="0"/>
              <w:bottom w:val="single" w:color="000000" w:sz="4" w:space="0"/>
              <w:right w:val="single" w:color="000000" w:sz="4" w:space="0"/>
            </w:tcBorders>
            <w:noWrap w:val="0"/>
            <w:vAlign w:val="center"/>
          </w:tcPr>
          <w:p w14:paraId="4365EC9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r w14:paraId="1316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402" w:type="dxa"/>
            <w:gridSpan w:val="5"/>
            <w:tcBorders>
              <w:top w:val="single" w:color="000000" w:sz="4" w:space="0"/>
              <w:left w:val="single" w:color="000000" w:sz="4" w:space="0"/>
              <w:bottom w:val="single" w:color="000000" w:sz="4" w:space="0"/>
              <w:right w:val="single" w:color="000000" w:sz="4" w:space="0"/>
            </w:tcBorders>
            <w:noWrap w:val="0"/>
            <w:vAlign w:val="center"/>
          </w:tcPr>
          <w:p w14:paraId="6A00A9F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项目负责人：</w:t>
            </w:r>
          </w:p>
        </w:tc>
        <w:tc>
          <w:tcPr>
            <w:tcW w:w="4738" w:type="dxa"/>
            <w:gridSpan w:val="6"/>
            <w:tcBorders>
              <w:top w:val="single" w:color="000000" w:sz="4" w:space="0"/>
              <w:left w:val="single" w:color="000000" w:sz="4" w:space="0"/>
              <w:bottom w:val="single" w:color="000000" w:sz="4" w:space="0"/>
              <w:right w:val="single" w:color="000000" w:sz="4" w:space="0"/>
            </w:tcBorders>
            <w:noWrap w:val="0"/>
            <w:vAlign w:val="center"/>
          </w:tcPr>
          <w:p w14:paraId="488AFF2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财务负责人：</w:t>
            </w:r>
          </w:p>
        </w:tc>
      </w:tr>
    </w:tbl>
    <w:p w14:paraId="48EC6C4B">
      <w:pPr>
        <w:pageBreakBefore w:val="0"/>
        <w:tabs>
          <w:tab w:val="left" w:pos="1021"/>
        </w:tabs>
        <w:kinsoku/>
        <w:wordWrap/>
        <w:overflowPunct/>
        <w:topLinePunct w:val="0"/>
        <w:bidi w:val="0"/>
        <w:spacing w:line="576" w:lineRule="exact"/>
        <w:jc w:val="left"/>
        <w:rPr>
          <w:rFonts w:hint="default" w:ascii="Times New Roman" w:hAnsi="Times New Roman" w:cs="Times New Roman"/>
          <w:color w:val="000000" w:themeColor="text1"/>
          <w:kern w:val="2"/>
          <w:sz w:val="21"/>
          <w:szCs w:val="24"/>
          <w:lang w:val="en-US" w:eastAsia="zh-CN" w:bidi="ar-SA"/>
          <w14:textFill>
            <w14:solidFill>
              <w14:schemeClr w14:val="tx1"/>
            </w14:solidFill>
          </w14:textFill>
        </w:rPr>
      </w:pPr>
    </w:p>
    <w:tbl>
      <w:tblPr>
        <w:tblStyle w:val="14"/>
        <w:tblW w:w="8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9"/>
        <w:gridCol w:w="1179"/>
        <w:gridCol w:w="1029"/>
        <w:gridCol w:w="1299"/>
        <w:gridCol w:w="394"/>
        <w:gridCol w:w="970"/>
        <w:gridCol w:w="980"/>
        <w:gridCol w:w="588"/>
        <w:gridCol w:w="301"/>
        <w:gridCol w:w="289"/>
        <w:gridCol w:w="1482"/>
      </w:tblGrid>
      <w:tr w14:paraId="446AA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88" w:type="dxa"/>
            <w:gridSpan w:val="2"/>
            <w:tcBorders>
              <w:top w:val="single" w:color="000000" w:sz="4" w:space="0"/>
              <w:left w:val="single" w:color="000000" w:sz="4" w:space="0"/>
              <w:bottom w:val="single" w:color="000000" w:sz="4" w:space="0"/>
              <w:right w:val="single" w:color="000000" w:sz="4" w:space="0"/>
            </w:tcBorders>
            <w:noWrap w:val="0"/>
            <w:vAlign w:val="center"/>
          </w:tcPr>
          <w:p w14:paraId="0875AE2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项目名称</w:t>
            </w:r>
          </w:p>
        </w:tc>
        <w:tc>
          <w:tcPr>
            <w:tcW w:w="7332" w:type="dxa"/>
            <w:gridSpan w:val="9"/>
            <w:tcBorders>
              <w:top w:val="single" w:color="000000" w:sz="4" w:space="0"/>
              <w:left w:val="single" w:color="000000" w:sz="4" w:space="0"/>
              <w:bottom w:val="single" w:color="000000" w:sz="4" w:space="0"/>
              <w:right w:val="single" w:color="000000" w:sz="4" w:space="0"/>
            </w:tcBorders>
            <w:noWrap w:val="0"/>
            <w:vAlign w:val="center"/>
          </w:tcPr>
          <w:p w14:paraId="6397604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51323025T000012878069-2024年度州级重点档案抢救和保护补助资金</w:t>
            </w:r>
          </w:p>
        </w:tc>
      </w:tr>
      <w:tr w14:paraId="4EE6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588" w:type="dxa"/>
            <w:gridSpan w:val="2"/>
            <w:tcBorders>
              <w:top w:val="single" w:color="000000" w:sz="4" w:space="0"/>
              <w:left w:val="single" w:color="000000" w:sz="4" w:space="0"/>
              <w:bottom w:val="single" w:color="000000" w:sz="4" w:space="0"/>
              <w:right w:val="single" w:color="000000" w:sz="4" w:space="0"/>
            </w:tcBorders>
            <w:noWrap w:val="0"/>
            <w:vAlign w:val="center"/>
          </w:tcPr>
          <w:p w14:paraId="371EAF1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主管部门</w:t>
            </w:r>
          </w:p>
        </w:tc>
        <w:tc>
          <w:tcPr>
            <w:tcW w:w="4672" w:type="dxa"/>
            <w:gridSpan w:val="5"/>
            <w:tcBorders>
              <w:top w:val="single" w:color="000000" w:sz="4" w:space="0"/>
              <w:left w:val="single" w:color="000000" w:sz="4" w:space="0"/>
              <w:bottom w:val="single" w:color="000000" w:sz="4" w:space="0"/>
              <w:right w:val="single" w:color="000000" w:sz="4" w:space="0"/>
            </w:tcBorders>
            <w:noWrap w:val="0"/>
            <w:vAlign w:val="center"/>
          </w:tcPr>
          <w:p w14:paraId="6790DA8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c>
          <w:tcPr>
            <w:tcW w:w="588" w:type="dxa"/>
            <w:noWrap w:val="0"/>
            <w:vAlign w:val="center"/>
          </w:tcPr>
          <w:p w14:paraId="3510E75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实施单位 （盖章）</w:t>
            </w:r>
          </w:p>
        </w:tc>
        <w:tc>
          <w:tcPr>
            <w:tcW w:w="2072" w:type="dxa"/>
            <w:gridSpan w:val="3"/>
            <w:tcBorders>
              <w:top w:val="single" w:color="000000" w:sz="4" w:space="0"/>
              <w:left w:val="single" w:color="000000" w:sz="4" w:space="0"/>
              <w:bottom w:val="single" w:color="000000" w:sz="4" w:space="0"/>
              <w:right w:val="single" w:color="000000" w:sz="4" w:space="0"/>
            </w:tcBorders>
            <w:noWrap w:val="0"/>
            <w:vAlign w:val="center"/>
          </w:tcPr>
          <w:p w14:paraId="690E335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壤塘县档案馆</w:t>
            </w:r>
          </w:p>
        </w:tc>
      </w:tr>
      <w:tr w14:paraId="52D1A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BE2DE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项目基本情况</w:t>
            </w:r>
          </w:p>
        </w:tc>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FD181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1.项目年度目标完成情况</w:t>
            </w:r>
          </w:p>
        </w:tc>
        <w:tc>
          <w:tcPr>
            <w:tcW w:w="4672" w:type="dxa"/>
            <w:gridSpan w:val="5"/>
            <w:tcBorders>
              <w:top w:val="single" w:color="000000" w:sz="4" w:space="0"/>
              <w:left w:val="single" w:color="000000" w:sz="4" w:space="0"/>
              <w:bottom w:val="single" w:color="000000" w:sz="4" w:space="0"/>
              <w:right w:val="single" w:color="000000" w:sz="4" w:space="0"/>
            </w:tcBorders>
            <w:noWrap w:val="0"/>
            <w:vAlign w:val="center"/>
          </w:tcPr>
          <w:p w14:paraId="6DC68EA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项目年度目标</w:t>
            </w:r>
          </w:p>
        </w:tc>
        <w:tc>
          <w:tcPr>
            <w:tcW w:w="2660" w:type="dxa"/>
            <w:gridSpan w:val="4"/>
            <w:tcBorders>
              <w:top w:val="single" w:color="000000" w:sz="4" w:space="0"/>
              <w:left w:val="single" w:color="000000" w:sz="4" w:space="0"/>
              <w:bottom w:val="single" w:color="000000" w:sz="4" w:space="0"/>
              <w:right w:val="single" w:color="000000" w:sz="4" w:space="0"/>
            </w:tcBorders>
            <w:noWrap w:val="0"/>
            <w:vAlign w:val="center"/>
          </w:tcPr>
          <w:p w14:paraId="535B6C5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年度目标完成情况</w:t>
            </w:r>
          </w:p>
        </w:tc>
      </w:tr>
      <w:tr w14:paraId="0A644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7BDA3">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4E54C">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4672" w:type="dxa"/>
            <w:gridSpan w:val="5"/>
            <w:tcBorders>
              <w:top w:val="single" w:color="000000" w:sz="4" w:space="0"/>
              <w:left w:val="single" w:color="000000" w:sz="4" w:space="0"/>
              <w:bottom w:val="single" w:color="000000" w:sz="4" w:space="0"/>
              <w:right w:val="single" w:color="000000" w:sz="4" w:space="0"/>
            </w:tcBorders>
            <w:noWrap w:val="0"/>
            <w:vAlign w:val="center"/>
          </w:tcPr>
          <w:p w14:paraId="65ACF346">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sz w:val="18"/>
                <w:szCs w:val="18"/>
                <w:u w:val="none"/>
                <w14:textFill>
                  <w14:solidFill>
                    <w14:schemeClr w14:val="tx1"/>
                  </w14:solidFill>
                </w14:textFill>
              </w:rPr>
              <w:t>为推进我县档案抢救和保护工作，加快重点档案抢救步伐，开展档案开放审核工作。按照《省财政厅 省档案局转发财政部、国家档案局〈关于印发国家重点档案抢救和保护补助费管理办法的通知〉的通知》（川财教〔2006〕124号）文件要求开展工作</w:t>
            </w:r>
          </w:p>
        </w:tc>
        <w:tc>
          <w:tcPr>
            <w:tcW w:w="2660" w:type="dxa"/>
            <w:gridSpan w:val="4"/>
            <w:tcBorders>
              <w:top w:val="single" w:color="000000" w:sz="4" w:space="0"/>
              <w:left w:val="single" w:color="000000" w:sz="4" w:space="0"/>
              <w:bottom w:val="single" w:color="000000" w:sz="4" w:space="0"/>
              <w:right w:val="single" w:color="000000" w:sz="4" w:space="0"/>
            </w:tcBorders>
            <w:noWrap w:val="0"/>
            <w:vAlign w:val="center"/>
          </w:tcPr>
          <w:p w14:paraId="49F2056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color w:val="000000" w:themeColor="text1"/>
                <w:sz w:val="18"/>
                <w:szCs w:val="18"/>
                <w:u w:val="none"/>
                <w14:textFill>
                  <w14:solidFill>
                    <w14:schemeClr w14:val="tx1"/>
                  </w14:solidFill>
                </w14:textFill>
              </w:rPr>
            </w:pPr>
            <w:r>
              <w:rPr>
                <w:rFonts w:hint="default" w:ascii="Times New Roman" w:hAnsi="Times New Roman" w:eastAsia="黑体" w:cs="Times New Roman"/>
                <w:i w:val="0"/>
                <w:color w:val="000000" w:themeColor="text1"/>
                <w:kern w:val="0"/>
                <w:sz w:val="18"/>
                <w:szCs w:val="18"/>
                <w:u w:val="none"/>
                <w:lang w:val="en-US" w:eastAsia="zh-CN" w:bidi="ar"/>
                <w14:textFill>
                  <w14:solidFill>
                    <w14:schemeClr w14:val="tx1"/>
                  </w14:solidFill>
                </w14:textFill>
              </w:rPr>
              <w:t>为推进我县档案抢救和保护工作，加快重点档案抢救步伐，开展档案开放审核工作。按照《省财政厅 省档案局转发财政部、国家档案局〈关于印发国家重点档案抢救和保护补助费管理办法的通知〉的通知》（川财教〔2006〕124号）文件要求开展工作</w:t>
            </w:r>
          </w:p>
        </w:tc>
      </w:tr>
      <w:tr w14:paraId="0802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B9E5A">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14BA446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2.项目实施内容及过程概述</w:t>
            </w:r>
          </w:p>
        </w:tc>
        <w:tc>
          <w:tcPr>
            <w:tcW w:w="7332" w:type="dxa"/>
            <w:gridSpan w:val="9"/>
            <w:tcBorders>
              <w:top w:val="single" w:color="000000" w:sz="4" w:space="0"/>
              <w:left w:val="single" w:color="000000" w:sz="4" w:space="0"/>
              <w:bottom w:val="single" w:color="000000" w:sz="4" w:space="0"/>
              <w:right w:val="single" w:color="000000" w:sz="4" w:space="0"/>
            </w:tcBorders>
            <w:noWrap w:val="0"/>
            <w:vAlign w:val="center"/>
          </w:tcPr>
          <w:p w14:paraId="0D99B059">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0514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4E20B3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预算执行情况（10分）</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1F64E43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年度预算数（万元）</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BCE2E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年初预算</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489364D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调整后预算数</w:t>
            </w: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7365B41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85D5A2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预算执行率</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7021EB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4270EA1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1C7169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原因</w:t>
            </w:r>
          </w:p>
        </w:tc>
      </w:tr>
      <w:tr w14:paraId="5697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1FF5C">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8F03B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总额</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634414F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AC69BA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7.00</w:t>
            </w: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64946F6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6.99</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6C2059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99.89%</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00A08E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1EC03E7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lang w:val="en-US" w:eastAsia="zh-CN"/>
                <w14:textFill>
                  <w14:solidFill>
                    <w14:schemeClr w14:val="tx1"/>
                  </w14:solidFill>
                </w14:textFill>
              </w:rPr>
            </w:pPr>
            <w:r>
              <w:rPr>
                <w:rFonts w:hint="default" w:ascii="Times New Roman" w:hAnsi="Times New Roman" w:eastAsia="宋体" w:cs="Times New Roman"/>
                <w:i w:val="0"/>
                <w:color w:val="000000" w:themeColor="text1"/>
                <w:sz w:val="18"/>
                <w:szCs w:val="18"/>
                <w:u w:val="none"/>
                <w:lang w:val="en-US" w:eastAsia="zh-CN"/>
                <w14:textFill>
                  <w14:solidFill>
                    <w14:schemeClr w14:val="tx1"/>
                  </w14:solidFill>
                </w14:textFill>
              </w:rPr>
              <w:t>10</w:t>
            </w:r>
          </w:p>
        </w:tc>
        <w:tc>
          <w:tcPr>
            <w:tcW w:w="14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BAB8A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5FC6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F86B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0DB6CF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其中：财政资金</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75EF050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4AC3086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7.00</w:t>
            </w: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46D1E33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6.99</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2F11A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99.89%</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7578F49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015BB4F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4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E2E15">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61B80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07776">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717EEA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财政专户管理资金</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7ECD2A6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059BD0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4FAC6B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5064C2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640E79E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0AA6114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4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F85F4">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1808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3A1F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A2E7D8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单位资金</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3CDF17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6765E5D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63C4A88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3FD3BC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0.00%</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5EDEE96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45E6621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4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B3222">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199CB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FC1E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C357CE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其他资金</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8F7C26B">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4DE24393">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2344" w:type="dxa"/>
            <w:gridSpan w:val="3"/>
            <w:tcBorders>
              <w:top w:val="single" w:color="000000" w:sz="4" w:space="0"/>
              <w:left w:val="single" w:color="000000" w:sz="4" w:space="0"/>
              <w:bottom w:val="single" w:color="000000" w:sz="4" w:space="0"/>
              <w:right w:val="single" w:color="000000" w:sz="4" w:space="0"/>
            </w:tcBorders>
            <w:noWrap w:val="0"/>
            <w:vAlign w:val="center"/>
          </w:tcPr>
          <w:p w14:paraId="65129D25">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B0F502E">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761530A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07BD639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14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C1887">
            <w:pPr>
              <w:pageBreakBefore w:val="0"/>
              <w:kinsoku/>
              <w:wordWrap/>
              <w:overflowPunct/>
              <w:topLinePunct w:val="0"/>
              <w:bidi w:val="0"/>
              <w:spacing w:line="576" w:lineRule="exact"/>
              <w:rPr>
                <w:rFonts w:hint="default" w:ascii="Times New Roman" w:hAnsi="Times New Roman" w:eastAsia="黑体" w:cs="Times New Roman"/>
                <w:i/>
                <w:color w:val="000000" w:themeColor="text1"/>
                <w:sz w:val="18"/>
                <w:szCs w:val="18"/>
                <w:u w:val="none"/>
                <w14:textFill>
                  <w14:solidFill>
                    <w14:schemeClr w14:val="tx1"/>
                  </w14:solidFill>
                </w14:textFill>
              </w:rPr>
            </w:pPr>
          </w:p>
        </w:tc>
      </w:tr>
      <w:tr w14:paraId="597FF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EA28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绩效指标（90分）</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5D0A01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一级指标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62845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二级指标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0BF64CF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三级指标</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4BAB19C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指标性质</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77D38C8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指标值</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39C8940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度量单位</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6F80D4E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完成值</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64265AE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权重</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16126C5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得分</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59EA006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未完成原因分析</w:t>
            </w:r>
          </w:p>
        </w:tc>
      </w:tr>
      <w:tr w14:paraId="07C0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AF8F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6E0A7F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37F9F5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时效指标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68E1006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档案开放审核时间</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3654C97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B8576E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12</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24D7FBB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月</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6F2197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790ADD6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330CCEE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6118DDCE">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4115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1B5F5">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0154AD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5CF3AA3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数量指标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04C96CF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档案保护数量</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72F8F60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12B2437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3000</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1F6ACED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卷</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DB0841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08886EE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15</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5DDD59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15</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264F9D4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5611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3FCC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6A7C12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产出指标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622311B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质量指标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0371B31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验收通过率</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6EF76D6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0272E46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62EF7F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CB58E3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55B3532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15</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23C212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15</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2FB0068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1060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233B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FA43B7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效益指标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581126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经济效益指标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0E36B5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管理完善，提升档案利用率</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7F6DC26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5AFC00A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98</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01C8242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8687E39">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56A3B84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55BF2E6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2F93B2DB">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6D94E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CC261">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512CCC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效益指标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0C9F9D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社会效益指标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2096B88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提升服务效率</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6840E7E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B524D5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98</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CC75F9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BA5318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1A2659E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31540C4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108FF4EF">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068F1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48AE4">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1DA0F56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满意度指标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768F595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服务对象满意度指标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4703E7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办事群众满意度</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068AD9B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758289C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98</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C58108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62303D5">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52F5589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7A44473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0E4AF2A0">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33D1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1531A">
            <w:pPr>
              <w:pageBreakBefore w:val="0"/>
              <w:kinsoku/>
              <w:wordWrap/>
              <w:overflowPunct/>
              <w:topLinePunct w:val="0"/>
              <w:bidi w:val="0"/>
              <w:spacing w:line="576" w:lineRule="exact"/>
              <w:jc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247A54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成本指标</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39E14A1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经济成本指标</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359C9C4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该项目费用总金额</w:t>
            </w:r>
          </w:p>
        </w:tc>
        <w:tc>
          <w:tcPr>
            <w:tcW w:w="394" w:type="dxa"/>
            <w:tcBorders>
              <w:top w:val="single" w:color="000000" w:sz="4" w:space="0"/>
              <w:left w:val="single" w:color="000000" w:sz="4" w:space="0"/>
              <w:bottom w:val="single" w:color="000000" w:sz="4" w:space="0"/>
              <w:right w:val="single" w:color="000000" w:sz="4" w:space="0"/>
            </w:tcBorders>
            <w:noWrap w:val="0"/>
            <w:vAlign w:val="center"/>
          </w:tcPr>
          <w:p w14:paraId="3B14579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C3B4CF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7</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122E908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万元</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D012B9C">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708281F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09648AA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20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5BF3DAB6">
            <w:pPr>
              <w:pageBreakBefore w:val="0"/>
              <w:kinsoku/>
              <w:wordWrap/>
              <w:overflowPunct/>
              <w:topLinePunct w:val="0"/>
              <w:bidi w:val="0"/>
              <w:spacing w:line="576" w:lineRule="exact"/>
              <w:jc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p>
        </w:tc>
      </w:tr>
      <w:tr w14:paraId="1F09F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6848" w:type="dxa"/>
            <w:gridSpan w:val="8"/>
            <w:tcBorders>
              <w:top w:val="single" w:color="000000" w:sz="4" w:space="0"/>
              <w:left w:val="single" w:color="000000" w:sz="4" w:space="0"/>
              <w:bottom w:val="single" w:color="000000" w:sz="4" w:space="0"/>
              <w:right w:val="single" w:color="000000" w:sz="4" w:space="0"/>
            </w:tcBorders>
            <w:noWrap w:val="0"/>
            <w:vAlign w:val="center"/>
          </w:tcPr>
          <w:p w14:paraId="4E7DD9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合计</w:t>
            </w:r>
          </w:p>
        </w:tc>
        <w:tc>
          <w:tcPr>
            <w:tcW w:w="301" w:type="dxa"/>
            <w:tcBorders>
              <w:top w:val="single" w:color="000000" w:sz="4" w:space="0"/>
              <w:left w:val="single" w:color="000000" w:sz="4" w:space="0"/>
              <w:bottom w:val="single" w:color="000000" w:sz="4" w:space="0"/>
              <w:right w:val="single" w:color="000000" w:sz="4" w:space="0"/>
            </w:tcBorders>
            <w:noWrap w:val="0"/>
            <w:vAlign w:val="center"/>
          </w:tcPr>
          <w:p w14:paraId="312C32F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w:t>
            </w:r>
          </w:p>
        </w:tc>
        <w:tc>
          <w:tcPr>
            <w:tcW w:w="289" w:type="dxa"/>
            <w:tcBorders>
              <w:top w:val="single" w:color="000000" w:sz="4" w:space="0"/>
              <w:left w:val="single" w:color="000000" w:sz="4" w:space="0"/>
              <w:bottom w:val="single" w:color="000000" w:sz="4" w:space="0"/>
              <w:right w:val="single" w:color="000000" w:sz="4" w:space="0"/>
            </w:tcBorders>
            <w:noWrap w:val="0"/>
            <w:vAlign w:val="center"/>
          </w:tcPr>
          <w:p w14:paraId="4BC1B41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100</w:t>
            </w:r>
          </w:p>
        </w:tc>
        <w:tc>
          <w:tcPr>
            <w:tcW w:w="1482" w:type="dxa"/>
            <w:tcBorders>
              <w:top w:val="single" w:color="000000" w:sz="4" w:space="0"/>
              <w:left w:val="single" w:color="000000" w:sz="4" w:space="0"/>
              <w:bottom w:val="single" w:color="000000" w:sz="4" w:space="0"/>
              <w:right w:val="single" w:color="000000" w:sz="4" w:space="0"/>
            </w:tcBorders>
            <w:noWrap w:val="0"/>
            <w:vAlign w:val="center"/>
          </w:tcPr>
          <w:p w14:paraId="6F8A293D">
            <w:pPr>
              <w:pageBreakBefore w:val="0"/>
              <w:kinsoku/>
              <w:wordWrap/>
              <w:overflowPunct/>
              <w:topLinePunct w:val="0"/>
              <w:bidi w:val="0"/>
              <w:spacing w:line="576" w:lineRule="exact"/>
              <w:rPr>
                <w:rFonts w:hint="default" w:ascii="Times New Roman" w:hAnsi="Times New Roman" w:eastAsia="宋体" w:cs="Times New Roman"/>
                <w:i w:val="0"/>
                <w:color w:val="000000" w:themeColor="text1"/>
                <w:sz w:val="18"/>
                <w:szCs w:val="18"/>
                <w:u w:val="none"/>
                <w14:textFill>
                  <w14:solidFill>
                    <w14:schemeClr w14:val="tx1"/>
                  </w14:solidFill>
                </w14:textFill>
              </w:rPr>
            </w:pPr>
          </w:p>
        </w:tc>
      </w:tr>
      <w:tr w14:paraId="6597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32" w:hRule="atLeast"/>
        </w:trPr>
        <w:tc>
          <w:tcPr>
            <w:tcW w:w="409" w:type="dxa"/>
            <w:tcBorders>
              <w:top w:val="single" w:color="000000" w:sz="4" w:space="0"/>
              <w:left w:val="single" w:color="000000" w:sz="4" w:space="0"/>
              <w:bottom w:val="single" w:color="000000" w:sz="4" w:space="0"/>
              <w:right w:val="single" w:color="000000" w:sz="4" w:space="0"/>
            </w:tcBorders>
            <w:noWrap w:val="0"/>
            <w:vAlign w:val="center"/>
          </w:tcPr>
          <w:p w14:paraId="0FF67FD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color w:val="000000" w:themeColor="text1"/>
                <w:sz w:val="18"/>
                <w:szCs w:val="18"/>
                <w:u w:val="none"/>
                <w14:textFill>
                  <w14:solidFill>
                    <w14:schemeClr w14:val="tx1"/>
                  </w14:solidFill>
                </w14:textFill>
              </w:rPr>
            </w:pPr>
            <w:r>
              <w:rPr>
                <w:rFonts w:hint="default" w:ascii="Times New Roman" w:hAnsi="Times New Roman" w:eastAsia="宋体" w:cs="Times New Roman"/>
                <w:i w:val="0"/>
                <w:color w:val="000000" w:themeColor="text1"/>
                <w:kern w:val="0"/>
                <w:sz w:val="18"/>
                <w:szCs w:val="18"/>
                <w:u w:val="none"/>
                <w:lang w:val="en-US" w:eastAsia="zh-CN" w:bidi="ar"/>
                <w14:textFill>
                  <w14:solidFill>
                    <w14:schemeClr w14:val="tx1"/>
                  </w14:solidFill>
                </w14:textFill>
              </w:rPr>
              <w:t>评价结论</w:t>
            </w:r>
          </w:p>
        </w:tc>
        <w:tc>
          <w:tcPr>
            <w:tcW w:w="8511" w:type="dxa"/>
            <w:gridSpan w:val="10"/>
            <w:tcBorders>
              <w:top w:val="single" w:color="000000" w:sz="4" w:space="0"/>
              <w:left w:val="single" w:color="000000" w:sz="4" w:space="0"/>
              <w:bottom w:val="single" w:color="000000" w:sz="4" w:space="0"/>
              <w:right w:val="single" w:color="000000" w:sz="4" w:space="0"/>
            </w:tcBorders>
            <w:noWrap w:val="0"/>
            <w:vAlign w:val="center"/>
          </w:tcPr>
          <w:p w14:paraId="5BC9A72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color w:val="000000" w:themeColor="text1"/>
                <w:sz w:val="16"/>
                <w:szCs w:val="16"/>
                <w:u w:val="none"/>
                <w14:textFill>
                  <w14:solidFill>
                    <w14:schemeClr w14:val="tx1"/>
                  </w14:solidFill>
                </w14:textFill>
              </w:rPr>
            </w:pPr>
            <w:r>
              <w:rPr>
                <w:rFonts w:hint="default" w:ascii="Times New Roman" w:hAnsi="Times New Roman" w:eastAsia="微软雅黑" w:cs="Times New Roman"/>
                <w:i/>
                <w:color w:val="000000" w:themeColor="text1"/>
                <w:kern w:val="0"/>
                <w:sz w:val="16"/>
                <w:szCs w:val="16"/>
                <w:u w:val="none"/>
                <w:lang w:val="en-US" w:eastAsia="zh-CN" w:bidi="ar"/>
                <w14:textFill>
                  <w14:solidFill>
                    <w14:schemeClr w14:val="tx1"/>
                  </w14:solidFill>
                </w14:textFill>
              </w:rPr>
              <w:t>无</w:t>
            </w:r>
          </w:p>
        </w:tc>
      </w:tr>
    </w:tbl>
    <w:p w14:paraId="42B7B727">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5DE59FAD">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7A6D1212">
      <w:pPr>
        <w:pageBreakBefore w:val="0"/>
        <w:widowControl/>
        <w:kinsoku/>
        <w:wordWrap/>
        <w:overflowPunct/>
        <w:topLinePunct w:val="0"/>
        <w:bidi w:val="0"/>
        <w:spacing w:line="576" w:lineRule="exact"/>
        <w:jc w:val="center"/>
        <w:outlineLvl w:val="0"/>
        <w:rPr>
          <w:rFonts w:hint="default" w:ascii="Times New Roman" w:hAnsi="Times New Roman" w:eastAsia="仿宋" w:cs="Times New Roman"/>
          <w:bCs/>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44"/>
          <w:szCs w:val="44"/>
          <w14:textFill>
            <w14:solidFill>
              <w14:schemeClr w14:val="tx1"/>
            </w14:solidFill>
          </w14:textFill>
        </w:rPr>
        <w:t>第</w:t>
      </w:r>
      <w:r>
        <w:rPr>
          <w:rStyle w:val="18"/>
          <w:rFonts w:hint="default" w:ascii="Times New Roman" w:hAnsi="Times New Roman" w:eastAsia="黑体" w:cs="Times New Roman"/>
          <w:b w:val="0"/>
          <w:color w:val="000000" w:themeColor="text1"/>
          <w14:textFill>
            <w14:solidFill>
              <w14:schemeClr w14:val="tx1"/>
            </w14:solidFill>
          </w14:textFill>
        </w:rPr>
        <w:t>五部分 附表</w:t>
      </w:r>
    </w:p>
    <w:p w14:paraId="32D73B13">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Fonts w:hint="default" w:ascii="Times New Roman" w:hAnsi="Times New Roman" w:eastAsia="仿宋" w:cs="Times New Roman"/>
          <w:b w:val="0"/>
          <w:color w:val="000000" w:themeColor="text1"/>
          <w14:textFill>
            <w14:solidFill>
              <w14:schemeClr w14:val="tx1"/>
            </w14:solidFill>
          </w14:textFill>
        </w:rPr>
        <w:t>一、收</w:t>
      </w:r>
      <w:r>
        <w:rPr>
          <w:rStyle w:val="19"/>
          <w:rFonts w:hint="default" w:ascii="Times New Roman" w:hAnsi="Times New Roman" w:eastAsia="仿宋" w:cs="Times New Roman"/>
          <w:b w:val="0"/>
          <w:bCs w:val="0"/>
          <w:color w:val="000000" w:themeColor="text1"/>
          <w14:textFill>
            <w14:solidFill>
              <w14:schemeClr w14:val="tx1"/>
            </w14:solidFill>
          </w14:textFill>
        </w:rPr>
        <w:t>入支出决算总表</w:t>
      </w:r>
    </w:p>
    <w:p w14:paraId="5AD9D046">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Fonts w:hint="default" w:ascii="Times New Roman" w:hAnsi="Times New Roman" w:eastAsia="仿宋" w:cs="Times New Roman"/>
          <w:b w:val="0"/>
          <w:color w:val="000000" w:themeColor="text1"/>
          <w14:textFill>
            <w14:solidFill>
              <w14:schemeClr w14:val="tx1"/>
            </w14:solidFill>
          </w14:textFill>
        </w:rPr>
        <w:t>二、收</w:t>
      </w:r>
      <w:r>
        <w:rPr>
          <w:rStyle w:val="19"/>
          <w:rFonts w:hint="default" w:ascii="Times New Roman" w:hAnsi="Times New Roman" w:eastAsia="仿宋" w:cs="Times New Roman"/>
          <w:b w:val="0"/>
          <w:bCs w:val="0"/>
          <w:color w:val="000000" w:themeColor="text1"/>
          <w14:textFill>
            <w14:solidFill>
              <w14:schemeClr w14:val="tx1"/>
            </w14:solidFill>
          </w14:textFill>
        </w:rPr>
        <w:t>入决算表</w:t>
      </w:r>
    </w:p>
    <w:p w14:paraId="2CD8A851">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三、</w:t>
      </w:r>
      <w:r>
        <w:rPr>
          <w:rFonts w:hint="default" w:ascii="Times New Roman" w:hAnsi="Times New Roman" w:eastAsia="仿宋" w:cs="Times New Roman"/>
          <w:b w:val="0"/>
          <w:color w:val="000000" w:themeColor="text1"/>
          <w14:textFill>
            <w14:solidFill>
              <w14:schemeClr w14:val="tx1"/>
            </w14:solidFill>
          </w14:textFill>
        </w:rPr>
        <w:t>支</w:t>
      </w:r>
      <w:r>
        <w:rPr>
          <w:rStyle w:val="19"/>
          <w:rFonts w:hint="default" w:ascii="Times New Roman" w:hAnsi="Times New Roman" w:eastAsia="仿宋" w:cs="Times New Roman"/>
          <w:b w:val="0"/>
          <w:bCs w:val="0"/>
          <w:color w:val="000000" w:themeColor="text1"/>
          <w14:textFill>
            <w14:solidFill>
              <w14:schemeClr w14:val="tx1"/>
            </w14:solidFill>
          </w14:textFill>
        </w:rPr>
        <w:t>出决算表</w:t>
      </w:r>
    </w:p>
    <w:p w14:paraId="0D38DA0B">
      <w:pPr>
        <w:pStyle w:val="3"/>
        <w:pageBreakBefore w:val="0"/>
        <w:kinsoku/>
        <w:wordWrap/>
        <w:overflowPunct/>
        <w:topLinePunct w:val="0"/>
        <w:bidi w:val="0"/>
        <w:spacing w:line="576" w:lineRule="exact"/>
        <w:rPr>
          <w:rFonts w:hint="default" w:ascii="Times New Roman" w:hAnsi="Times New Roman" w:eastAsia="仿宋" w:cs="Times New Roman"/>
          <w:b w:val="0"/>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四、</w:t>
      </w:r>
      <w:r>
        <w:rPr>
          <w:rFonts w:hint="default" w:ascii="Times New Roman" w:hAnsi="Times New Roman" w:eastAsia="仿宋" w:cs="Times New Roman"/>
          <w:b w:val="0"/>
          <w:color w:val="000000" w:themeColor="text1"/>
          <w14:textFill>
            <w14:solidFill>
              <w14:schemeClr w14:val="tx1"/>
            </w14:solidFill>
          </w14:textFill>
        </w:rPr>
        <w:t>财</w:t>
      </w:r>
      <w:r>
        <w:rPr>
          <w:rStyle w:val="19"/>
          <w:rFonts w:hint="default" w:ascii="Times New Roman" w:hAnsi="Times New Roman" w:eastAsia="仿宋" w:cs="Times New Roman"/>
          <w:b w:val="0"/>
          <w:bCs w:val="0"/>
          <w:color w:val="000000" w:themeColor="text1"/>
          <w14:textFill>
            <w14:solidFill>
              <w14:schemeClr w14:val="tx1"/>
            </w14:solidFill>
          </w14:textFill>
        </w:rPr>
        <w:t>政拨款收入支出决算总表</w:t>
      </w:r>
    </w:p>
    <w:p w14:paraId="1D461963">
      <w:pPr>
        <w:pStyle w:val="3"/>
        <w:pageBreakBefore w:val="0"/>
        <w:kinsoku/>
        <w:wordWrap/>
        <w:overflowPunct/>
        <w:topLinePunct w:val="0"/>
        <w:bidi w:val="0"/>
        <w:spacing w:line="576" w:lineRule="exact"/>
        <w:rPr>
          <w:rStyle w:val="19"/>
          <w:rFonts w:hint="default" w:ascii="Times New Roman" w:hAnsi="Times New Roman" w:eastAsia="仿宋" w:cs="Times New Roman"/>
          <w:b w:val="0"/>
          <w:bCs w:val="0"/>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五、</w:t>
      </w:r>
      <w:r>
        <w:rPr>
          <w:rFonts w:hint="default" w:ascii="Times New Roman" w:hAnsi="Times New Roman" w:eastAsia="仿宋" w:cs="Times New Roman"/>
          <w:b w:val="0"/>
          <w:color w:val="000000" w:themeColor="text1"/>
          <w14:textFill>
            <w14:solidFill>
              <w14:schemeClr w14:val="tx1"/>
            </w14:solidFill>
          </w14:textFill>
        </w:rPr>
        <w:t>财</w:t>
      </w:r>
      <w:r>
        <w:rPr>
          <w:rStyle w:val="19"/>
          <w:rFonts w:hint="default" w:ascii="Times New Roman" w:hAnsi="Times New Roman" w:eastAsia="仿宋" w:cs="Times New Roman"/>
          <w:b w:val="0"/>
          <w:bCs w:val="0"/>
          <w:color w:val="000000" w:themeColor="text1"/>
          <w14:textFill>
            <w14:solidFill>
              <w14:schemeClr w14:val="tx1"/>
            </w14:solidFill>
          </w14:textFill>
        </w:rPr>
        <w:t>政拨款支出决算明细表</w:t>
      </w:r>
    </w:p>
    <w:p w14:paraId="3CA5373F">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六、</w:t>
      </w:r>
      <w:r>
        <w:rPr>
          <w:rFonts w:hint="default" w:ascii="Times New Roman" w:hAnsi="Times New Roman" w:eastAsia="仿宋" w:cs="Times New Roman"/>
          <w:b w:val="0"/>
          <w:color w:val="000000" w:themeColor="text1"/>
          <w14:textFill>
            <w14:solidFill>
              <w14:schemeClr w14:val="tx1"/>
            </w14:solidFill>
          </w14:textFill>
        </w:rPr>
        <w:t>一</w:t>
      </w:r>
      <w:r>
        <w:rPr>
          <w:rStyle w:val="19"/>
          <w:rFonts w:hint="default" w:ascii="Times New Roman" w:hAnsi="Times New Roman" w:eastAsia="仿宋" w:cs="Times New Roman"/>
          <w:b w:val="0"/>
          <w:bCs w:val="0"/>
          <w:color w:val="000000" w:themeColor="text1"/>
          <w14:textFill>
            <w14:solidFill>
              <w14:schemeClr w14:val="tx1"/>
            </w14:solidFill>
          </w14:textFill>
        </w:rPr>
        <w:t>般公共预算财政拨款支出决算表</w:t>
      </w:r>
    </w:p>
    <w:p w14:paraId="101CC2ED">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七、</w:t>
      </w:r>
      <w:r>
        <w:rPr>
          <w:rFonts w:hint="default" w:ascii="Times New Roman" w:hAnsi="Times New Roman" w:eastAsia="仿宋" w:cs="Times New Roman"/>
          <w:b w:val="0"/>
          <w:color w:val="000000" w:themeColor="text1"/>
          <w14:textFill>
            <w14:solidFill>
              <w14:schemeClr w14:val="tx1"/>
            </w14:solidFill>
          </w14:textFill>
        </w:rPr>
        <w:t>一</w:t>
      </w:r>
      <w:r>
        <w:rPr>
          <w:rStyle w:val="19"/>
          <w:rFonts w:hint="default" w:ascii="Times New Roman" w:hAnsi="Times New Roman" w:eastAsia="仿宋" w:cs="Times New Roman"/>
          <w:b w:val="0"/>
          <w:bCs w:val="0"/>
          <w:color w:val="000000" w:themeColor="text1"/>
          <w14:textFill>
            <w14:solidFill>
              <w14:schemeClr w14:val="tx1"/>
            </w14:solidFill>
          </w14:textFill>
        </w:rPr>
        <w:t>般公共预算财政拨款支出决算明细表</w:t>
      </w:r>
    </w:p>
    <w:p w14:paraId="781C434F">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八、</w:t>
      </w:r>
      <w:r>
        <w:rPr>
          <w:rFonts w:hint="default" w:ascii="Times New Roman" w:hAnsi="Times New Roman" w:eastAsia="仿宋" w:cs="Times New Roman"/>
          <w:b w:val="0"/>
          <w:color w:val="000000" w:themeColor="text1"/>
          <w14:textFill>
            <w14:solidFill>
              <w14:schemeClr w14:val="tx1"/>
            </w14:solidFill>
          </w14:textFill>
        </w:rPr>
        <w:t>一</w:t>
      </w:r>
      <w:r>
        <w:rPr>
          <w:rStyle w:val="19"/>
          <w:rFonts w:hint="default" w:ascii="Times New Roman" w:hAnsi="Times New Roman" w:eastAsia="仿宋" w:cs="Times New Roman"/>
          <w:b w:val="0"/>
          <w:bCs w:val="0"/>
          <w:color w:val="000000" w:themeColor="text1"/>
          <w14:textFill>
            <w14:solidFill>
              <w14:schemeClr w14:val="tx1"/>
            </w14:solidFill>
          </w14:textFill>
        </w:rPr>
        <w:t>般公共预算财政拨款基本支出决算表</w:t>
      </w:r>
    </w:p>
    <w:p w14:paraId="2EDFE1D2">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九、</w:t>
      </w:r>
      <w:r>
        <w:rPr>
          <w:rFonts w:hint="default" w:ascii="Times New Roman" w:hAnsi="Times New Roman" w:eastAsia="仿宋" w:cs="Times New Roman"/>
          <w:b w:val="0"/>
          <w:color w:val="000000" w:themeColor="text1"/>
          <w14:textFill>
            <w14:solidFill>
              <w14:schemeClr w14:val="tx1"/>
            </w14:solidFill>
          </w14:textFill>
        </w:rPr>
        <w:t>一</w:t>
      </w:r>
      <w:r>
        <w:rPr>
          <w:rStyle w:val="19"/>
          <w:rFonts w:hint="default" w:ascii="Times New Roman" w:hAnsi="Times New Roman" w:eastAsia="仿宋" w:cs="Times New Roman"/>
          <w:b w:val="0"/>
          <w:bCs w:val="0"/>
          <w:color w:val="000000" w:themeColor="text1"/>
          <w14:textFill>
            <w14:solidFill>
              <w14:schemeClr w14:val="tx1"/>
            </w14:solidFill>
          </w14:textFill>
        </w:rPr>
        <w:t>般公共预算财政拨款项目支出决算表</w:t>
      </w:r>
    </w:p>
    <w:p w14:paraId="1BDA6875">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十、</w:t>
      </w:r>
      <w:r>
        <w:rPr>
          <w:rFonts w:hint="default" w:ascii="Times New Roman" w:hAnsi="Times New Roman" w:eastAsia="仿宋" w:cs="Times New Roman"/>
          <w:b w:val="0"/>
          <w:color w:val="000000" w:themeColor="text1"/>
          <w14:textFill>
            <w14:solidFill>
              <w14:schemeClr w14:val="tx1"/>
            </w14:solidFill>
          </w14:textFill>
        </w:rPr>
        <w:t>政</w:t>
      </w:r>
      <w:r>
        <w:rPr>
          <w:rStyle w:val="19"/>
          <w:rFonts w:hint="default" w:ascii="Times New Roman" w:hAnsi="Times New Roman" w:eastAsia="仿宋" w:cs="Times New Roman"/>
          <w:b w:val="0"/>
          <w:bCs w:val="0"/>
          <w:color w:val="000000" w:themeColor="text1"/>
          <w14:textFill>
            <w14:solidFill>
              <w14:schemeClr w14:val="tx1"/>
            </w14:solidFill>
          </w14:textFill>
        </w:rPr>
        <w:t>府性基金预算财政拨款收入支出决算表</w:t>
      </w:r>
    </w:p>
    <w:p w14:paraId="1486A07E">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十一、</w:t>
      </w:r>
      <w:r>
        <w:rPr>
          <w:rFonts w:hint="default" w:ascii="Times New Roman" w:hAnsi="Times New Roman" w:eastAsia="仿宋" w:cs="Times New Roman"/>
          <w:b w:val="0"/>
          <w:color w:val="000000" w:themeColor="text1"/>
          <w14:textFill>
            <w14:solidFill>
              <w14:schemeClr w14:val="tx1"/>
            </w14:solidFill>
          </w14:textFill>
        </w:rPr>
        <w:t>国</w:t>
      </w:r>
      <w:r>
        <w:rPr>
          <w:rStyle w:val="19"/>
          <w:rFonts w:hint="default" w:ascii="Times New Roman" w:hAnsi="Times New Roman" w:eastAsia="仿宋" w:cs="Times New Roman"/>
          <w:b w:val="0"/>
          <w:bCs w:val="0"/>
          <w:color w:val="000000" w:themeColor="text1"/>
          <w14:textFill>
            <w14:solidFill>
              <w14:schemeClr w14:val="tx1"/>
            </w14:solidFill>
          </w14:textFill>
        </w:rPr>
        <w:t>有资本经营预算财政拨款收入支出决算表</w:t>
      </w:r>
    </w:p>
    <w:p w14:paraId="73AAABEE">
      <w:pPr>
        <w:pStyle w:val="3"/>
        <w:pageBreakBefore w:val="0"/>
        <w:kinsoku/>
        <w:wordWrap/>
        <w:overflowPunct/>
        <w:topLinePunct w:val="0"/>
        <w:bidi w:val="0"/>
        <w:spacing w:line="576" w:lineRule="exact"/>
        <w:rPr>
          <w:rFonts w:hint="default" w:ascii="Times New Roman" w:hAnsi="Times New Roman" w:eastAsia="仿宋" w:cs="Times New Roman"/>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十二、国有资本经营预算财政拨款支出决算表</w:t>
      </w:r>
    </w:p>
    <w:p w14:paraId="2C7B2544">
      <w:pPr>
        <w:pStyle w:val="3"/>
        <w:pageBreakBefore w:val="0"/>
        <w:kinsoku/>
        <w:wordWrap/>
        <w:overflowPunct/>
        <w:topLinePunct w:val="0"/>
        <w:bidi w:val="0"/>
        <w:spacing w:line="576" w:lineRule="exact"/>
        <w:rPr>
          <w:rStyle w:val="19"/>
          <w:rFonts w:hint="default" w:ascii="Times New Roman" w:hAnsi="Times New Roman" w:eastAsia="仿宋" w:cs="Times New Roman"/>
          <w:b w:val="0"/>
          <w:bCs w:val="0"/>
          <w:color w:val="000000" w:themeColor="text1"/>
          <w14:textFill>
            <w14:solidFill>
              <w14:schemeClr w14:val="tx1"/>
            </w14:solidFill>
          </w14:textFill>
        </w:rPr>
      </w:pPr>
      <w:r>
        <w:rPr>
          <w:rStyle w:val="19"/>
          <w:rFonts w:hint="default" w:ascii="Times New Roman" w:hAnsi="Times New Roman" w:eastAsia="仿宋" w:cs="Times New Roman"/>
          <w:b w:val="0"/>
          <w:bCs w:val="0"/>
          <w:color w:val="000000" w:themeColor="text1"/>
          <w14:textFill>
            <w14:solidFill>
              <w14:schemeClr w14:val="tx1"/>
            </w14:solidFill>
          </w14:textFill>
        </w:rPr>
        <w:t>十三、财政拨款“三公”经费支出决算表</w:t>
      </w:r>
      <w:bookmarkEnd w:id="78"/>
      <w:bookmarkEnd w:id="79"/>
    </w:p>
    <w:p w14:paraId="2E0420C5">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p w14:paraId="1FE1FB80">
      <w:pPr>
        <w:pageBreakBefore w:val="0"/>
        <w:kinsoku/>
        <w:wordWrap/>
        <w:overflowPunct/>
        <w:topLinePunct w:val="0"/>
        <w:bidi w:val="0"/>
        <w:spacing w:line="576" w:lineRule="exact"/>
        <w:rPr>
          <w:rFonts w:hint="default" w:ascii="Times New Roman" w:hAnsi="Times New Roman" w:cs="Times New Roman"/>
          <w:color w:val="000000" w:themeColor="text1"/>
          <w14:textFill>
            <w14:solidFill>
              <w14:schemeClr w14:val="tx1"/>
            </w14:solidFill>
          </w14:textFill>
        </w:rPr>
      </w:pPr>
    </w:p>
    <w:sectPr>
      <w:footerReference r:id="rId3"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3D0B6">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A6CCBF">
                          <w:pPr>
                            <w:pStyle w:val="9"/>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AA6CCBF">
                    <w:pPr>
                      <w:pStyle w:val="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4F1984C"/>
    <w:multiLevelType w:val="singleLevel"/>
    <w:tmpl w:val="D4F1984C"/>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27BE6324"/>
    <w:multiLevelType w:val="singleLevel"/>
    <w:tmpl w:val="27BE6324"/>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92BAB"/>
    <w:rsid w:val="0031380D"/>
    <w:rsid w:val="00481283"/>
    <w:rsid w:val="007E4CA5"/>
    <w:rsid w:val="008F6EB2"/>
    <w:rsid w:val="009646F4"/>
    <w:rsid w:val="010D7DD7"/>
    <w:rsid w:val="012C2953"/>
    <w:rsid w:val="016043AA"/>
    <w:rsid w:val="01AE3368"/>
    <w:rsid w:val="01B666C0"/>
    <w:rsid w:val="01FA47FF"/>
    <w:rsid w:val="021A27AB"/>
    <w:rsid w:val="022E44A8"/>
    <w:rsid w:val="02427F54"/>
    <w:rsid w:val="02FA082F"/>
    <w:rsid w:val="032B09E8"/>
    <w:rsid w:val="036C34DA"/>
    <w:rsid w:val="038D51FF"/>
    <w:rsid w:val="03AC1B29"/>
    <w:rsid w:val="03D270B5"/>
    <w:rsid w:val="03EA2651"/>
    <w:rsid w:val="041476CE"/>
    <w:rsid w:val="0458580D"/>
    <w:rsid w:val="047C774D"/>
    <w:rsid w:val="04D8694E"/>
    <w:rsid w:val="05B13426"/>
    <w:rsid w:val="05F652DD"/>
    <w:rsid w:val="061D6D0E"/>
    <w:rsid w:val="068B011B"/>
    <w:rsid w:val="06F07F7E"/>
    <w:rsid w:val="071E0F8F"/>
    <w:rsid w:val="07351E35"/>
    <w:rsid w:val="074402CA"/>
    <w:rsid w:val="074D717F"/>
    <w:rsid w:val="076B3AA9"/>
    <w:rsid w:val="07AA45D1"/>
    <w:rsid w:val="083B16CD"/>
    <w:rsid w:val="08534C69"/>
    <w:rsid w:val="08805332"/>
    <w:rsid w:val="091D7025"/>
    <w:rsid w:val="093C394F"/>
    <w:rsid w:val="097C1F9D"/>
    <w:rsid w:val="09981B03"/>
    <w:rsid w:val="09A60DC8"/>
    <w:rsid w:val="09B72FD5"/>
    <w:rsid w:val="09C3197A"/>
    <w:rsid w:val="09EB0ED1"/>
    <w:rsid w:val="09EF09C1"/>
    <w:rsid w:val="09F935EE"/>
    <w:rsid w:val="0A382368"/>
    <w:rsid w:val="0A3B59B5"/>
    <w:rsid w:val="0A60541B"/>
    <w:rsid w:val="0A762E91"/>
    <w:rsid w:val="0A790E35"/>
    <w:rsid w:val="0AD61B81"/>
    <w:rsid w:val="0AF10769"/>
    <w:rsid w:val="0AF85654"/>
    <w:rsid w:val="0B095AB3"/>
    <w:rsid w:val="0B5A630E"/>
    <w:rsid w:val="0B640F3B"/>
    <w:rsid w:val="0B756CA4"/>
    <w:rsid w:val="0B7D1FFD"/>
    <w:rsid w:val="0BA31A63"/>
    <w:rsid w:val="0BCB2D68"/>
    <w:rsid w:val="0C08348B"/>
    <w:rsid w:val="0C5B0590"/>
    <w:rsid w:val="0C882A07"/>
    <w:rsid w:val="0CA23AC9"/>
    <w:rsid w:val="0CB83F37"/>
    <w:rsid w:val="0D0E4F15"/>
    <w:rsid w:val="0D7511DD"/>
    <w:rsid w:val="0D86163D"/>
    <w:rsid w:val="0D98311E"/>
    <w:rsid w:val="0D9F06C9"/>
    <w:rsid w:val="0DA10224"/>
    <w:rsid w:val="0DC108C7"/>
    <w:rsid w:val="0E8A6F0A"/>
    <w:rsid w:val="0ED87C76"/>
    <w:rsid w:val="0F072309"/>
    <w:rsid w:val="0F4C0664"/>
    <w:rsid w:val="0F5512C6"/>
    <w:rsid w:val="0F706100"/>
    <w:rsid w:val="0F9C5147"/>
    <w:rsid w:val="0FF02D9D"/>
    <w:rsid w:val="0FFF56D6"/>
    <w:rsid w:val="10042CED"/>
    <w:rsid w:val="101F18D4"/>
    <w:rsid w:val="1025513D"/>
    <w:rsid w:val="10991687"/>
    <w:rsid w:val="10A73DA4"/>
    <w:rsid w:val="10AB4F16"/>
    <w:rsid w:val="11875983"/>
    <w:rsid w:val="11BD3153"/>
    <w:rsid w:val="11C269BB"/>
    <w:rsid w:val="11E42DD6"/>
    <w:rsid w:val="1202500A"/>
    <w:rsid w:val="125515DD"/>
    <w:rsid w:val="12993BC0"/>
    <w:rsid w:val="12B10F0A"/>
    <w:rsid w:val="13160D6D"/>
    <w:rsid w:val="134D0507"/>
    <w:rsid w:val="1360648C"/>
    <w:rsid w:val="13DE2944"/>
    <w:rsid w:val="13FB7F63"/>
    <w:rsid w:val="144813FA"/>
    <w:rsid w:val="1461426A"/>
    <w:rsid w:val="146A5814"/>
    <w:rsid w:val="14832432"/>
    <w:rsid w:val="148F28CB"/>
    <w:rsid w:val="14A64372"/>
    <w:rsid w:val="14BC1DE8"/>
    <w:rsid w:val="14CA62B3"/>
    <w:rsid w:val="153B0F5F"/>
    <w:rsid w:val="15400323"/>
    <w:rsid w:val="156F29B6"/>
    <w:rsid w:val="15EE7D7F"/>
    <w:rsid w:val="168626AD"/>
    <w:rsid w:val="16924BAE"/>
    <w:rsid w:val="16C136E5"/>
    <w:rsid w:val="170C0FF0"/>
    <w:rsid w:val="171001C9"/>
    <w:rsid w:val="17C87E9B"/>
    <w:rsid w:val="18147845"/>
    <w:rsid w:val="18910E95"/>
    <w:rsid w:val="18D56FD4"/>
    <w:rsid w:val="18ED6A14"/>
    <w:rsid w:val="18FA2EDF"/>
    <w:rsid w:val="192A37C4"/>
    <w:rsid w:val="192F4936"/>
    <w:rsid w:val="1946288D"/>
    <w:rsid w:val="198C1D89"/>
    <w:rsid w:val="19A74E14"/>
    <w:rsid w:val="19AE61A3"/>
    <w:rsid w:val="19D75E59"/>
    <w:rsid w:val="1A400DC5"/>
    <w:rsid w:val="1A4F2DB6"/>
    <w:rsid w:val="1A932F59"/>
    <w:rsid w:val="1A9A6727"/>
    <w:rsid w:val="1AB570BD"/>
    <w:rsid w:val="1ACE017F"/>
    <w:rsid w:val="1AE71241"/>
    <w:rsid w:val="1B301ECB"/>
    <w:rsid w:val="1B4E306E"/>
    <w:rsid w:val="1B970EB9"/>
    <w:rsid w:val="1C0E117B"/>
    <w:rsid w:val="1C8C20A0"/>
    <w:rsid w:val="1D320E99"/>
    <w:rsid w:val="1D4110DC"/>
    <w:rsid w:val="1D943902"/>
    <w:rsid w:val="1DD51824"/>
    <w:rsid w:val="1E14234D"/>
    <w:rsid w:val="1E6432D4"/>
    <w:rsid w:val="1EDB10BC"/>
    <w:rsid w:val="1EE53CE9"/>
    <w:rsid w:val="1F2B2044"/>
    <w:rsid w:val="1F4609E5"/>
    <w:rsid w:val="1F505606"/>
    <w:rsid w:val="1F751511"/>
    <w:rsid w:val="1FAA740D"/>
    <w:rsid w:val="1FAD0CAB"/>
    <w:rsid w:val="1FF01AD1"/>
    <w:rsid w:val="1FFB7C68"/>
    <w:rsid w:val="203C5B8B"/>
    <w:rsid w:val="20692E24"/>
    <w:rsid w:val="20C07248"/>
    <w:rsid w:val="210B5C89"/>
    <w:rsid w:val="21535882"/>
    <w:rsid w:val="21892CEA"/>
    <w:rsid w:val="21BA145D"/>
    <w:rsid w:val="2217065D"/>
    <w:rsid w:val="22A31EF1"/>
    <w:rsid w:val="22A85759"/>
    <w:rsid w:val="22CA3922"/>
    <w:rsid w:val="23024E6A"/>
    <w:rsid w:val="231A0405"/>
    <w:rsid w:val="231B23CF"/>
    <w:rsid w:val="23582CDC"/>
    <w:rsid w:val="23E10F23"/>
    <w:rsid w:val="23EF1892"/>
    <w:rsid w:val="24150BCD"/>
    <w:rsid w:val="24286B52"/>
    <w:rsid w:val="244D65B8"/>
    <w:rsid w:val="245C2C9F"/>
    <w:rsid w:val="247578BD"/>
    <w:rsid w:val="24F609FE"/>
    <w:rsid w:val="257A518B"/>
    <w:rsid w:val="26233A75"/>
    <w:rsid w:val="26461511"/>
    <w:rsid w:val="265B1917"/>
    <w:rsid w:val="2674607E"/>
    <w:rsid w:val="27003DB6"/>
    <w:rsid w:val="272F6449"/>
    <w:rsid w:val="28550131"/>
    <w:rsid w:val="29211DC2"/>
    <w:rsid w:val="293146FB"/>
    <w:rsid w:val="2A41271B"/>
    <w:rsid w:val="2AA42CAA"/>
    <w:rsid w:val="2ABA427C"/>
    <w:rsid w:val="2AF27EBA"/>
    <w:rsid w:val="2AF53506"/>
    <w:rsid w:val="2B1716CE"/>
    <w:rsid w:val="2B292C7E"/>
    <w:rsid w:val="2B3C1135"/>
    <w:rsid w:val="2B41674B"/>
    <w:rsid w:val="2B6568DD"/>
    <w:rsid w:val="2B6E5792"/>
    <w:rsid w:val="2B886128"/>
    <w:rsid w:val="2B9E594C"/>
    <w:rsid w:val="2C1856FE"/>
    <w:rsid w:val="2C1C3440"/>
    <w:rsid w:val="2C5A2842"/>
    <w:rsid w:val="2C772424"/>
    <w:rsid w:val="2C914320"/>
    <w:rsid w:val="2D045C82"/>
    <w:rsid w:val="2D2500D2"/>
    <w:rsid w:val="2D3E73E6"/>
    <w:rsid w:val="2E110657"/>
    <w:rsid w:val="2E286FCC"/>
    <w:rsid w:val="2E9848D4"/>
    <w:rsid w:val="2EA96AE1"/>
    <w:rsid w:val="2EBA484A"/>
    <w:rsid w:val="2EC67693"/>
    <w:rsid w:val="2EC8340B"/>
    <w:rsid w:val="2ED718A0"/>
    <w:rsid w:val="2ED7364E"/>
    <w:rsid w:val="2EF51D26"/>
    <w:rsid w:val="2EF75A9F"/>
    <w:rsid w:val="2F120B2A"/>
    <w:rsid w:val="2F6D7B0F"/>
    <w:rsid w:val="30731155"/>
    <w:rsid w:val="307849BD"/>
    <w:rsid w:val="30B5176D"/>
    <w:rsid w:val="30E67B79"/>
    <w:rsid w:val="30F46739"/>
    <w:rsid w:val="31E340B8"/>
    <w:rsid w:val="32CF58C5"/>
    <w:rsid w:val="32DA195F"/>
    <w:rsid w:val="32E427DE"/>
    <w:rsid w:val="32E672DE"/>
    <w:rsid w:val="32FD564D"/>
    <w:rsid w:val="3337290D"/>
    <w:rsid w:val="33462B51"/>
    <w:rsid w:val="33865643"/>
    <w:rsid w:val="33C85C5B"/>
    <w:rsid w:val="33E660E2"/>
    <w:rsid w:val="33FE342B"/>
    <w:rsid w:val="342804A8"/>
    <w:rsid w:val="342B1D46"/>
    <w:rsid w:val="346148A1"/>
    <w:rsid w:val="348C4EDB"/>
    <w:rsid w:val="348E2A01"/>
    <w:rsid w:val="349A13A6"/>
    <w:rsid w:val="34BB131C"/>
    <w:rsid w:val="351647A5"/>
    <w:rsid w:val="35411821"/>
    <w:rsid w:val="357C0AAC"/>
    <w:rsid w:val="359009FB"/>
    <w:rsid w:val="35C97A69"/>
    <w:rsid w:val="360A60B7"/>
    <w:rsid w:val="361707D4"/>
    <w:rsid w:val="3651018A"/>
    <w:rsid w:val="366D4898"/>
    <w:rsid w:val="367E325A"/>
    <w:rsid w:val="369B1405"/>
    <w:rsid w:val="36B10C29"/>
    <w:rsid w:val="36B81FB7"/>
    <w:rsid w:val="36E6759A"/>
    <w:rsid w:val="37863E63"/>
    <w:rsid w:val="378E2D18"/>
    <w:rsid w:val="37EC24EC"/>
    <w:rsid w:val="37F25055"/>
    <w:rsid w:val="38237904"/>
    <w:rsid w:val="387B329C"/>
    <w:rsid w:val="38BE13DB"/>
    <w:rsid w:val="39072D82"/>
    <w:rsid w:val="39276F80"/>
    <w:rsid w:val="398C3287"/>
    <w:rsid w:val="39A014B5"/>
    <w:rsid w:val="39A16D33"/>
    <w:rsid w:val="39A64AE6"/>
    <w:rsid w:val="39E9692C"/>
    <w:rsid w:val="3A00614F"/>
    <w:rsid w:val="3A52002D"/>
    <w:rsid w:val="3B0C4680"/>
    <w:rsid w:val="3B581673"/>
    <w:rsid w:val="3B653D90"/>
    <w:rsid w:val="3B7641EF"/>
    <w:rsid w:val="3BDC6748"/>
    <w:rsid w:val="3BDF3B42"/>
    <w:rsid w:val="3C1A7270"/>
    <w:rsid w:val="3C6D55F2"/>
    <w:rsid w:val="3C7544A7"/>
    <w:rsid w:val="3CBA010B"/>
    <w:rsid w:val="3CDC62D4"/>
    <w:rsid w:val="3CFE449C"/>
    <w:rsid w:val="3D145A6E"/>
    <w:rsid w:val="3D9D5A63"/>
    <w:rsid w:val="3DC70D32"/>
    <w:rsid w:val="3DD1570D"/>
    <w:rsid w:val="3DF80EEB"/>
    <w:rsid w:val="3DFD29A6"/>
    <w:rsid w:val="3E3E7246"/>
    <w:rsid w:val="3E5D51F2"/>
    <w:rsid w:val="3E834C59"/>
    <w:rsid w:val="3E8409D1"/>
    <w:rsid w:val="3EDA6843"/>
    <w:rsid w:val="3F514D57"/>
    <w:rsid w:val="3F8E7D59"/>
    <w:rsid w:val="3F9609BC"/>
    <w:rsid w:val="3FBA0B4E"/>
    <w:rsid w:val="3FE21E53"/>
    <w:rsid w:val="401C5365"/>
    <w:rsid w:val="403E5B7D"/>
    <w:rsid w:val="40BA4B7E"/>
    <w:rsid w:val="41405083"/>
    <w:rsid w:val="41DB4DAC"/>
    <w:rsid w:val="41DD0F6F"/>
    <w:rsid w:val="41EF0857"/>
    <w:rsid w:val="41F36599"/>
    <w:rsid w:val="424C5CAA"/>
    <w:rsid w:val="426D634C"/>
    <w:rsid w:val="428216CB"/>
    <w:rsid w:val="42DA1507"/>
    <w:rsid w:val="42FF4ACA"/>
    <w:rsid w:val="43302ED5"/>
    <w:rsid w:val="43312BC4"/>
    <w:rsid w:val="43340C18"/>
    <w:rsid w:val="435C3CCA"/>
    <w:rsid w:val="435E3EE6"/>
    <w:rsid w:val="436C03B1"/>
    <w:rsid w:val="43776D56"/>
    <w:rsid w:val="438D657A"/>
    <w:rsid w:val="43CF26EE"/>
    <w:rsid w:val="43E91A02"/>
    <w:rsid w:val="44093E52"/>
    <w:rsid w:val="442A3DC9"/>
    <w:rsid w:val="444E7AB7"/>
    <w:rsid w:val="44511355"/>
    <w:rsid w:val="448654A3"/>
    <w:rsid w:val="44CE29A6"/>
    <w:rsid w:val="44DA134B"/>
    <w:rsid w:val="44EE129A"/>
    <w:rsid w:val="45343151"/>
    <w:rsid w:val="46584C1D"/>
    <w:rsid w:val="465D2233"/>
    <w:rsid w:val="4691012F"/>
    <w:rsid w:val="46D1677D"/>
    <w:rsid w:val="46F56910"/>
    <w:rsid w:val="46F85690"/>
    <w:rsid w:val="473A4323"/>
    <w:rsid w:val="47462CC7"/>
    <w:rsid w:val="47727F60"/>
    <w:rsid w:val="478D08F6"/>
    <w:rsid w:val="47D74267"/>
    <w:rsid w:val="47F72214"/>
    <w:rsid w:val="481728B6"/>
    <w:rsid w:val="482374AD"/>
    <w:rsid w:val="48A759E8"/>
    <w:rsid w:val="49025314"/>
    <w:rsid w:val="498126DD"/>
    <w:rsid w:val="49861AA1"/>
    <w:rsid w:val="49CB3958"/>
    <w:rsid w:val="4A835FE1"/>
    <w:rsid w:val="4A8C1339"/>
    <w:rsid w:val="4ABF170F"/>
    <w:rsid w:val="4AF64A04"/>
    <w:rsid w:val="4B3A6FE7"/>
    <w:rsid w:val="4B7F49FA"/>
    <w:rsid w:val="4B944949"/>
    <w:rsid w:val="4C261319"/>
    <w:rsid w:val="4C63256E"/>
    <w:rsid w:val="4C765DFD"/>
    <w:rsid w:val="4CE0596C"/>
    <w:rsid w:val="4D1473C4"/>
    <w:rsid w:val="4D1B4BF6"/>
    <w:rsid w:val="4D357A66"/>
    <w:rsid w:val="4D9F1383"/>
    <w:rsid w:val="4DC25072"/>
    <w:rsid w:val="4DDC6134"/>
    <w:rsid w:val="4E2A50F1"/>
    <w:rsid w:val="4E546612"/>
    <w:rsid w:val="4E5C1022"/>
    <w:rsid w:val="4E766588"/>
    <w:rsid w:val="4E8F13F8"/>
    <w:rsid w:val="4E946A0E"/>
    <w:rsid w:val="4F0C47F7"/>
    <w:rsid w:val="4F560168"/>
    <w:rsid w:val="4F8C3B89"/>
    <w:rsid w:val="4F9D7B44"/>
    <w:rsid w:val="4FA42C81"/>
    <w:rsid w:val="4FB56C3C"/>
    <w:rsid w:val="50463D38"/>
    <w:rsid w:val="504F4919"/>
    <w:rsid w:val="50597F0F"/>
    <w:rsid w:val="50852AB2"/>
    <w:rsid w:val="50B67110"/>
    <w:rsid w:val="50D41344"/>
    <w:rsid w:val="5119769F"/>
    <w:rsid w:val="518C60C3"/>
    <w:rsid w:val="51CD2963"/>
    <w:rsid w:val="52927709"/>
    <w:rsid w:val="52C5363A"/>
    <w:rsid w:val="52CC2C1B"/>
    <w:rsid w:val="52F21F55"/>
    <w:rsid w:val="531173AB"/>
    <w:rsid w:val="53591FD4"/>
    <w:rsid w:val="53784BC4"/>
    <w:rsid w:val="53794425"/>
    <w:rsid w:val="54260108"/>
    <w:rsid w:val="54436F0C"/>
    <w:rsid w:val="54AE00FE"/>
    <w:rsid w:val="54BA6AA3"/>
    <w:rsid w:val="54EA55DA"/>
    <w:rsid w:val="55050666"/>
    <w:rsid w:val="554C0043"/>
    <w:rsid w:val="55536244"/>
    <w:rsid w:val="55E0078B"/>
    <w:rsid w:val="560E52F8"/>
    <w:rsid w:val="568C177B"/>
    <w:rsid w:val="568D26C1"/>
    <w:rsid w:val="56941CA1"/>
    <w:rsid w:val="56F664B8"/>
    <w:rsid w:val="57460AC2"/>
    <w:rsid w:val="574C257C"/>
    <w:rsid w:val="578D049F"/>
    <w:rsid w:val="57B95737"/>
    <w:rsid w:val="57D165DD"/>
    <w:rsid w:val="57E24C8E"/>
    <w:rsid w:val="57EF1159"/>
    <w:rsid w:val="58134E48"/>
    <w:rsid w:val="5818420C"/>
    <w:rsid w:val="58524EC3"/>
    <w:rsid w:val="58A261CC"/>
    <w:rsid w:val="59EC5950"/>
    <w:rsid w:val="5AE12FDB"/>
    <w:rsid w:val="5B351579"/>
    <w:rsid w:val="5B3E6680"/>
    <w:rsid w:val="5B413A7A"/>
    <w:rsid w:val="5B7976B8"/>
    <w:rsid w:val="5BC326E1"/>
    <w:rsid w:val="5BCC3C8B"/>
    <w:rsid w:val="5BD743DE"/>
    <w:rsid w:val="5BEA5EBF"/>
    <w:rsid w:val="5C1B42CB"/>
    <w:rsid w:val="5C51149E"/>
    <w:rsid w:val="5C7659A5"/>
    <w:rsid w:val="5CCB7A9F"/>
    <w:rsid w:val="5CD8040E"/>
    <w:rsid w:val="5CEB6393"/>
    <w:rsid w:val="5D284EF1"/>
    <w:rsid w:val="5D2973B1"/>
    <w:rsid w:val="5D373386"/>
    <w:rsid w:val="5DA16A52"/>
    <w:rsid w:val="5DDC7A8A"/>
    <w:rsid w:val="5DED1C97"/>
    <w:rsid w:val="5E241C9E"/>
    <w:rsid w:val="5E2751A9"/>
    <w:rsid w:val="5E331DA0"/>
    <w:rsid w:val="5E7F3237"/>
    <w:rsid w:val="5EAE7678"/>
    <w:rsid w:val="5EC944B2"/>
    <w:rsid w:val="5ED510A9"/>
    <w:rsid w:val="5EE4309A"/>
    <w:rsid w:val="5F4E49B7"/>
    <w:rsid w:val="5F667F53"/>
    <w:rsid w:val="5FDB26EF"/>
    <w:rsid w:val="600F2399"/>
    <w:rsid w:val="601B0D3D"/>
    <w:rsid w:val="60326087"/>
    <w:rsid w:val="60487659"/>
    <w:rsid w:val="606A3A73"/>
    <w:rsid w:val="60860ABB"/>
    <w:rsid w:val="60B151FE"/>
    <w:rsid w:val="60B63FDF"/>
    <w:rsid w:val="61572249"/>
    <w:rsid w:val="61706E67"/>
    <w:rsid w:val="61BC02FE"/>
    <w:rsid w:val="61BF1B9C"/>
    <w:rsid w:val="621023F8"/>
    <w:rsid w:val="622814F0"/>
    <w:rsid w:val="62D96C8E"/>
    <w:rsid w:val="630930CF"/>
    <w:rsid w:val="63D77671"/>
    <w:rsid w:val="64061D04"/>
    <w:rsid w:val="6429154F"/>
    <w:rsid w:val="64591E34"/>
    <w:rsid w:val="645C1ED6"/>
    <w:rsid w:val="64835103"/>
    <w:rsid w:val="648F5856"/>
    <w:rsid w:val="65037FF2"/>
    <w:rsid w:val="655F347A"/>
    <w:rsid w:val="66A51361"/>
    <w:rsid w:val="66A852F5"/>
    <w:rsid w:val="67317098"/>
    <w:rsid w:val="6779459B"/>
    <w:rsid w:val="677A0A3F"/>
    <w:rsid w:val="67900263"/>
    <w:rsid w:val="67A7735B"/>
    <w:rsid w:val="67E265E5"/>
    <w:rsid w:val="684D3A5E"/>
    <w:rsid w:val="68D0468F"/>
    <w:rsid w:val="69653029"/>
    <w:rsid w:val="69D361E5"/>
    <w:rsid w:val="6A2627B9"/>
    <w:rsid w:val="6ABC4ECB"/>
    <w:rsid w:val="6ABF49BB"/>
    <w:rsid w:val="6AC975E8"/>
    <w:rsid w:val="6AD06BC8"/>
    <w:rsid w:val="6AD20B92"/>
    <w:rsid w:val="6B3B6738"/>
    <w:rsid w:val="6B5477F9"/>
    <w:rsid w:val="6BB9765C"/>
    <w:rsid w:val="6BBB1626"/>
    <w:rsid w:val="6C3A254B"/>
    <w:rsid w:val="6C8D2FC3"/>
    <w:rsid w:val="6CBD4F2A"/>
    <w:rsid w:val="6CC8224D"/>
    <w:rsid w:val="6CF7043C"/>
    <w:rsid w:val="6D0D1E20"/>
    <w:rsid w:val="6D2854F4"/>
    <w:rsid w:val="6D301BA0"/>
    <w:rsid w:val="6D464F20"/>
    <w:rsid w:val="6D7221B9"/>
    <w:rsid w:val="6E054DDB"/>
    <w:rsid w:val="6E1312A6"/>
    <w:rsid w:val="6E49116B"/>
    <w:rsid w:val="6E4C47B8"/>
    <w:rsid w:val="6E922B12"/>
    <w:rsid w:val="6F370FC4"/>
    <w:rsid w:val="6FD61E94"/>
    <w:rsid w:val="6FEA24DA"/>
    <w:rsid w:val="7016394C"/>
    <w:rsid w:val="70313C65"/>
    <w:rsid w:val="708D1479"/>
    <w:rsid w:val="709F5073"/>
    <w:rsid w:val="70E433CD"/>
    <w:rsid w:val="70F133F4"/>
    <w:rsid w:val="71107D1F"/>
    <w:rsid w:val="711710AD"/>
    <w:rsid w:val="712832BA"/>
    <w:rsid w:val="71453E6C"/>
    <w:rsid w:val="714E0847"/>
    <w:rsid w:val="71757A8D"/>
    <w:rsid w:val="718C1A9B"/>
    <w:rsid w:val="722E4900"/>
    <w:rsid w:val="72327E2D"/>
    <w:rsid w:val="7249798C"/>
    <w:rsid w:val="72541E8D"/>
    <w:rsid w:val="72EB27F1"/>
    <w:rsid w:val="73012015"/>
    <w:rsid w:val="732857F3"/>
    <w:rsid w:val="732B0E40"/>
    <w:rsid w:val="734737A0"/>
    <w:rsid w:val="7399049F"/>
    <w:rsid w:val="73B726D3"/>
    <w:rsid w:val="73BF77DA"/>
    <w:rsid w:val="73C80D84"/>
    <w:rsid w:val="744A3547"/>
    <w:rsid w:val="74836A59"/>
    <w:rsid w:val="74A23383"/>
    <w:rsid w:val="74AE1D28"/>
    <w:rsid w:val="74AE2AFA"/>
    <w:rsid w:val="74D3178F"/>
    <w:rsid w:val="74D6302D"/>
    <w:rsid w:val="74DF1EE2"/>
    <w:rsid w:val="75CF63FA"/>
    <w:rsid w:val="75D05CCE"/>
    <w:rsid w:val="75DE488F"/>
    <w:rsid w:val="760140DA"/>
    <w:rsid w:val="761738FD"/>
    <w:rsid w:val="763D7808"/>
    <w:rsid w:val="77356731"/>
    <w:rsid w:val="77731007"/>
    <w:rsid w:val="77862AE9"/>
    <w:rsid w:val="77CB499F"/>
    <w:rsid w:val="77E141C3"/>
    <w:rsid w:val="77FE4D75"/>
    <w:rsid w:val="780600CD"/>
    <w:rsid w:val="785250C1"/>
    <w:rsid w:val="785E75C1"/>
    <w:rsid w:val="78680440"/>
    <w:rsid w:val="78857244"/>
    <w:rsid w:val="788614A6"/>
    <w:rsid w:val="78AA0A59"/>
    <w:rsid w:val="792A4C04"/>
    <w:rsid w:val="7A9E639B"/>
    <w:rsid w:val="7AB636E5"/>
    <w:rsid w:val="7B2A7C2F"/>
    <w:rsid w:val="7BCD518A"/>
    <w:rsid w:val="7C1B4872"/>
    <w:rsid w:val="7C232FFC"/>
    <w:rsid w:val="7C541407"/>
    <w:rsid w:val="7C8F68E3"/>
    <w:rsid w:val="7D1C7A4B"/>
    <w:rsid w:val="7D20578D"/>
    <w:rsid w:val="7D474AC8"/>
    <w:rsid w:val="7D5471E5"/>
    <w:rsid w:val="7D6C2781"/>
    <w:rsid w:val="7DB06B11"/>
    <w:rsid w:val="7DB303AF"/>
    <w:rsid w:val="7DBF0B02"/>
    <w:rsid w:val="7E17093E"/>
    <w:rsid w:val="7E4D25B2"/>
    <w:rsid w:val="7E53749D"/>
    <w:rsid w:val="7E5971A9"/>
    <w:rsid w:val="7E851D4C"/>
    <w:rsid w:val="7E857F9E"/>
    <w:rsid w:val="7ED607F9"/>
    <w:rsid w:val="7ED625A7"/>
    <w:rsid w:val="7EF667A6"/>
    <w:rsid w:val="7F233313"/>
    <w:rsid w:val="7F5259A6"/>
    <w:rsid w:val="7FE26D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index 8"/>
    <w:basedOn w:val="1"/>
    <w:next w:val="1"/>
    <w:unhideWhenUsed/>
    <w:qFormat/>
    <w:uiPriority w:val="99"/>
    <w:pPr>
      <w:ind w:left="1400" w:leftChars="1400"/>
    </w:pPr>
  </w:style>
  <w:style w:type="paragraph" w:styleId="5">
    <w:name w:val="Body Text"/>
    <w:basedOn w:val="1"/>
    <w:next w:val="4"/>
    <w:qFormat/>
    <w:uiPriority w:val="0"/>
    <w:pPr>
      <w:spacing w:before="0" w:after="140" w:line="276" w:lineRule="auto"/>
    </w:p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unhideWhenUsed/>
    <w:qFormat/>
    <w:uiPriority w:val="0"/>
    <w:pPr>
      <w:spacing w:before="100" w:beforeAutospacing="1" w:after="100" w:afterAutospacing="1"/>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99"/>
    <w:rPr>
      <w:b/>
    </w:rPr>
  </w:style>
  <w:style w:type="character" w:customStyle="1" w:styleId="18">
    <w:name w:val="标题 1 Char"/>
    <w:basedOn w:val="16"/>
    <w:link w:val="2"/>
    <w:qFormat/>
    <w:uiPriority w:val="9"/>
    <w:rPr>
      <w:b/>
      <w:bCs/>
      <w:kern w:val="44"/>
      <w:sz w:val="44"/>
      <w:szCs w:val="44"/>
    </w:rPr>
  </w:style>
  <w:style w:type="character" w:customStyle="1" w:styleId="19">
    <w:name w:val="标题 2 Char"/>
    <w:basedOn w:val="16"/>
    <w:link w:val="3"/>
    <w:qFormat/>
    <w:uiPriority w:val="9"/>
    <w:rPr>
      <w:rFonts w:ascii="Cambria" w:hAnsi="Cambria" w:eastAsia="宋体" w:cs="Times New Roman"/>
      <w:b/>
      <w:bCs/>
      <w:sz w:val="32"/>
      <w:szCs w:val="32"/>
    </w:rPr>
  </w:style>
  <w:style w:type="paragraph" w:styleId="20">
    <w:name w:val="List Paragraph"/>
    <w:basedOn w:val="1"/>
    <w:qFormat/>
    <w:uiPriority w:val="34"/>
    <w:pPr>
      <w:ind w:firstLine="420" w:firstLineChars="200"/>
    </w:p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列出段落1"/>
    <w:basedOn w:val="1"/>
    <w:qFormat/>
    <w:uiPriority w:val="34"/>
    <w:pPr>
      <w:ind w:firstLine="420" w:firstLineChars="200"/>
    </w:pPr>
    <w:rPr>
      <w:rFonts w:ascii="Calibri" w:hAnsi="Calibri" w:eastAsia="宋体" w:cs="Times New Roman"/>
    </w:r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2.bin"/><Relationship Id="rId7" Type="http://schemas.openxmlformats.org/officeDocument/2006/relationships/image" Target="media/image2.emf"/><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emf"/><Relationship Id="rId11" Type="http://schemas.openxmlformats.org/officeDocument/2006/relationships/oleObject" Target="embeddings/oleObject3.bin"/><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8"/>
    <customShpInfo spid="_x0000_s1029"/>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8601</Words>
  <Characters>9478</Characters>
  <Lines>0</Lines>
  <Paragraphs>0</Paragraphs>
  <TotalTime>179</TotalTime>
  <ScaleCrop>false</ScaleCrop>
  <LinksUpToDate>false</LinksUpToDate>
  <CharactersWithSpaces>9790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WPS_1546659833</cp:lastModifiedBy>
  <dcterms:modified xsi:type="dcterms:W3CDTF">2026-10-27T03:09:46Z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eyJoZGlkIjoiZjBmYTJkNWExNjIwZTg1ZWI2Y2EzZjVkYzUxZTQ1ZTAiLCJ1c2VySWQiOiI0NTQ0MzY5NjYifQ==</vt:lpwstr>
  </property>
  <property fmtid="{D5CDD505-2E9C-101B-9397-08002B2CF9AE}" pid="4" name="ICV">
    <vt:lpwstr>4AC1BD0AF8CC44E0B825235F5CC05DC2_12</vt:lpwstr>
  </property>
</Properties>
</file>