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6810A">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06267"/>
      <w:bookmarkStart w:id="2" w:name="_Toc15396475"/>
      <w:bookmarkStart w:id="3" w:name="_Toc15377193"/>
      <w:bookmarkStart w:id="4" w:name="_Toc15377425"/>
      <w:bookmarkStart w:id="5" w:name="_Toc15378441"/>
    </w:p>
    <w:p w14:paraId="058B02A4">
      <w:pPr>
        <w:pStyle w:val="6"/>
        <w:rPr>
          <w:rFonts w:hint="eastAsia" w:ascii="Times New Roman" w:hAnsi="Times New Roman" w:eastAsia="方正小标宋简体" w:cs="Times New Roman"/>
          <w:color w:val="auto"/>
          <w:kern w:val="2"/>
          <w:sz w:val="72"/>
          <w:szCs w:val="72"/>
          <w:highlight w:val="none"/>
          <w:lang w:val="en-US" w:eastAsia="zh-CN" w:bidi="ar-SA"/>
        </w:rPr>
      </w:pPr>
    </w:p>
    <w:p w14:paraId="53406B40">
      <w:pPr>
        <w:pStyle w:val="6"/>
        <w:rPr>
          <w:rFonts w:hint="eastAsia" w:ascii="Times New Roman" w:hAnsi="Times New Roman" w:eastAsia="方正小标宋简体" w:cs="Times New Roman"/>
          <w:color w:val="auto"/>
          <w:kern w:val="2"/>
          <w:sz w:val="72"/>
          <w:szCs w:val="72"/>
          <w:highlight w:val="none"/>
          <w:lang w:val="en-US" w:eastAsia="zh-CN" w:bidi="ar-SA"/>
        </w:rPr>
      </w:pPr>
    </w:p>
    <w:p w14:paraId="54DAD696">
      <w:pPr>
        <w:pStyle w:val="6"/>
        <w:rPr>
          <w:rFonts w:hint="eastAsia" w:ascii="Times New Roman" w:hAnsi="Times New Roman" w:eastAsia="方正小标宋简体" w:cs="Times New Roman"/>
          <w:color w:val="auto"/>
          <w:kern w:val="2"/>
          <w:sz w:val="72"/>
          <w:szCs w:val="72"/>
          <w:highlight w:val="none"/>
          <w:lang w:val="en-US" w:eastAsia="zh-CN" w:bidi="ar-SA"/>
        </w:rPr>
      </w:pPr>
    </w:p>
    <w:p w14:paraId="5D158688">
      <w:pPr>
        <w:pStyle w:val="1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40" w:afterAutospacing="0" w:line="273" w:lineRule="auto"/>
        <w:ind w:left="0" w:right="0"/>
        <w:jc w:val="center"/>
      </w:pPr>
      <w:r>
        <w:rPr>
          <w:rFonts w:ascii="方正小标宋简体" w:hAnsi="方正小标宋简体" w:eastAsia="方正小标宋简体" w:cs="方正小标宋简体"/>
          <w:color w:val="000000"/>
          <w:sz w:val="44"/>
          <w:szCs w:val="44"/>
        </w:rPr>
        <w:t>202</w:t>
      </w:r>
      <w:r>
        <w:rPr>
          <w:rFonts w:hint="eastAsia" w:ascii="方正小标宋简体" w:hAnsi="方正小标宋简体" w:eastAsia="方正小标宋简体" w:cs="方正小标宋简体"/>
          <w:color w:val="000000"/>
          <w:sz w:val="44"/>
          <w:szCs w:val="44"/>
          <w:lang w:val="en-US" w:eastAsia="zh-CN"/>
        </w:rPr>
        <w:t>5</w:t>
      </w:r>
      <w:r>
        <w:rPr>
          <w:rFonts w:ascii="方正小标宋简体" w:hAnsi="方正小标宋简体" w:eastAsia="方正小标宋简体" w:cs="方正小标宋简体"/>
          <w:color w:val="000000"/>
          <w:sz w:val="44"/>
          <w:szCs w:val="44"/>
        </w:rPr>
        <w:t>年度四川省阿坝州壤塘县市场监督管理所单位决算</w:t>
      </w:r>
    </w:p>
    <w:bookmarkEnd w:id="0"/>
    <w:bookmarkEnd w:id="1"/>
    <w:bookmarkEnd w:id="2"/>
    <w:bookmarkEnd w:id="3"/>
    <w:bookmarkEnd w:id="4"/>
    <w:bookmarkEnd w:id="5"/>
    <w:p w14:paraId="35D94D42">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58A666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2BDD7EF">
      <w:pPr>
        <w:widowControl/>
        <w:jc w:val="center"/>
        <w:rPr>
          <w:rFonts w:ascii="Times New Roman" w:hAnsi="Times New Roman" w:eastAsia="黑体" w:cstheme="minorBidi"/>
          <w:color w:val="auto"/>
          <w:sz w:val="28"/>
          <w:szCs w:val="28"/>
          <w:highlight w:val="none"/>
        </w:rPr>
      </w:pPr>
    </w:p>
    <w:p w14:paraId="711F7642">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28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2012"/>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4AB11FCC">
          <w:pPr>
            <w:spacing w:before="0" w:beforeLines="0" w:after="0" w:afterLines="0" w:line="240" w:lineRule="auto"/>
            <w:ind w:left="0" w:leftChars="0" w:right="0" w:rightChars="0" w:firstLine="0" w:firstLineChars="0"/>
            <w:jc w:val="center"/>
            <w:rPr>
              <w:sz w:val="36"/>
              <w:szCs w:val="44"/>
            </w:rPr>
          </w:pPr>
        </w:p>
        <w:p w14:paraId="2C743487">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before="0" w:line="600" w:lineRule="exact"/>
            <w:ind w:left="0" w:leftChars="0"/>
            <w:jc w:val="both"/>
            <w:textAlignment w:val="auto"/>
            <w:rPr>
              <w:rFonts w:hint="eastAsia" w:ascii="仿宋_GB2312" w:hAnsi="仿宋_GB2312" w:eastAsia="仿宋_GB2312" w:cs="仿宋_GB2312"/>
              <w:sz w:val="28"/>
              <w:szCs w:val="28"/>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_Toc14238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第一部分</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 </w:t>
          </w:r>
          <w:bookmarkStart w:id="79" w:name="_GoBack"/>
          <w:bookmarkEnd w:id="79"/>
          <w:r>
            <w:rPr>
              <w:rFonts w:hint="eastAsia" w:ascii="仿宋_GB2312" w:hAnsi="仿宋_GB2312" w:eastAsia="仿宋_GB2312" w:cs="仿宋_GB2312"/>
              <w:bCs w:val="0"/>
              <w:sz w:val="28"/>
              <w:szCs w:val="28"/>
              <w:highlight w:val="none"/>
            </w:rPr>
            <w:t>部门概况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_Toc14238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157B4D5F">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_Toc9109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highlight w:val="none"/>
              <w:lang w:eastAsia="zh-CN"/>
            </w:rPr>
            <w:t>部门职责</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_Toc9109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5FE7FA36">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_Toc3258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二、机</w:t>
          </w:r>
          <w:r>
            <w:rPr>
              <w:rFonts w:hint="eastAsia" w:ascii="仿宋_GB2312" w:hAnsi="仿宋_GB2312" w:eastAsia="仿宋_GB2312" w:cs="仿宋_GB2312"/>
              <w:bCs w:val="0"/>
              <w:sz w:val="28"/>
              <w:szCs w:val="28"/>
              <w:highlight w:val="none"/>
            </w:rPr>
            <w:t>构设置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_Toc3258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3B614D1D">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before="0"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_Toc21856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第二部分</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lang w:val="en-US" w:eastAsia="zh-CN"/>
            </w:rPr>
            <w:t>2025年度</w:t>
          </w:r>
          <w:r>
            <w:rPr>
              <w:rFonts w:hint="eastAsia" w:ascii="仿宋_GB2312" w:hAnsi="仿宋_GB2312" w:eastAsia="仿宋_GB2312" w:cs="仿宋_GB2312"/>
              <w:sz w:val="28"/>
              <w:szCs w:val="28"/>
              <w:highlight w:val="none"/>
            </w:rPr>
            <w:t>部门决算情况说明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_Toc21856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5FBEEFFF">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_Toc3487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lang w:eastAsia="zh-CN"/>
            </w:rPr>
            <w:t>一、</w:t>
          </w:r>
          <w:r>
            <w:rPr>
              <w:rFonts w:hint="eastAsia" w:ascii="仿宋_GB2312" w:hAnsi="仿宋_GB2312" w:eastAsia="仿宋_GB2312" w:cs="仿宋_GB2312"/>
              <w:sz w:val="28"/>
              <w:szCs w:val="28"/>
              <w:highlight w:val="none"/>
            </w:rPr>
            <w:t>收入支出决算总体情况说明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_Toc3487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722E8213">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_Toc2686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lang w:eastAsia="zh-CN"/>
            </w:rPr>
            <w:t>二、收入决算情况说明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_Toc2686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1CFB9DB3">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_Toc14385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lang w:eastAsia="zh-CN"/>
            </w:rPr>
            <w:t>三、</w:t>
          </w:r>
          <w:r>
            <w:rPr>
              <w:rFonts w:hint="eastAsia" w:ascii="仿宋_GB2312" w:hAnsi="仿宋_GB2312" w:eastAsia="仿宋_GB2312" w:cs="仿宋_GB2312"/>
              <w:sz w:val="28"/>
              <w:szCs w:val="28"/>
              <w:highlight w:val="none"/>
            </w:rPr>
            <w:t>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_Toc14385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4FBCED7D">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_Toc3742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四、财政拨款收入支出决算总体情况说明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_Toc3742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563F3307">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_Toc22614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五、一般公共预算财政拨款支出决算情况说明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_Toc22614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5A1E9B25">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_Toc25424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六、一般公共预算财政拨款基本支出决算情况说明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_Toc25424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1FE37204">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_Toc3249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七、财政拨款“三公”经费支出决算情况说明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_Toc3249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0216CF3E">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_Toc27030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八、政府性基金预算支出决算情况说明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_Toc27030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1F791808">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_Toc24574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lang w:eastAsia="zh-CN"/>
            </w:rPr>
            <w:t>九、</w:t>
          </w:r>
          <w:r>
            <w:rPr>
              <w:rFonts w:hint="eastAsia" w:ascii="仿宋_GB2312" w:hAnsi="仿宋_GB2312" w:eastAsia="仿宋_GB2312" w:cs="仿宋_GB2312"/>
              <w:sz w:val="28"/>
              <w:szCs w:val="28"/>
              <w:highlight w:val="none"/>
            </w:rPr>
            <w:t>国有资本经营预算支出决算情况说明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_Toc24574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7AD3E7CD">
          <w:pPr>
            <w:pStyle w:val="14"/>
            <w:keepNext w:val="0"/>
            <w:keepLines w:val="0"/>
            <w:pageBreakBefore w:val="0"/>
            <w:widowControl w:val="0"/>
            <w:tabs>
              <w:tab w:val="right" w:leader="dot" w:pos="8306"/>
              <w:tab w:val="clear" w:pos="8296"/>
            </w:tabs>
            <w:kinsoku/>
            <w:wordWrap/>
            <w:overflowPunct/>
            <w:topLinePunct w:val="0"/>
            <w:autoSpaceDE/>
            <w:autoSpaceDN/>
            <w:bidi w:val="0"/>
            <w:adjustRightInd/>
            <w:spacing w:line="600" w:lineRule="exact"/>
            <w:ind w:left="0" w:left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_Toc19695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lang w:eastAsia="zh-CN"/>
            </w:rPr>
            <w:t>十、</w:t>
          </w:r>
          <w:r>
            <w:rPr>
              <w:rFonts w:hint="eastAsia" w:ascii="仿宋_GB2312" w:hAnsi="仿宋_GB2312" w:eastAsia="仿宋_GB2312" w:cs="仿宋_GB2312"/>
              <w:sz w:val="28"/>
              <w:szCs w:val="28"/>
              <w:highlight w:val="none"/>
            </w:rPr>
            <w:t>其他重要事项的情况说明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_Toc19695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30174C3E">
          <w:pPr>
            <w:pStyle w:val="12"/>
            <w:keepNext w:val="0"/>
            <w:keepLines w:val="0"/>
            <w:pageBreakBefore w:val="0"/>
            <w:widowControl w:val="0"/>
            <w:tabs>
              <w:tab w:val="right" w:leader="dot" w:pos="8306"/>
              <w:tab w:val="clear" w:pos="8296"/>
            </w:tabs>
            <w:kinsoku/>
            <w:wordWrap/>
            <w:overflowPunct/>
            <w:topLinePunct w:val="0"/>
            <w:autoSpaceDE/>
            <w:autoSpaceDN/>
            <w:bidi w:val="0"/>
            <w:adjustRightInd/>
            <w:spacing w:before="0" w:line="600" w:lineRule="exact"/>
            <w:ind w:left="0" w:leftChars="0"/>
            <w:jc w:val="both"/>
            <w:textAlignment w:val="auto"/>
            <w:rPr>
              <w:rFonts w:hint="eastAsia"/>
            </w:rPr>
          </w:pPr>
          <w:r>
            <w:rPr>
              <w:rFonts w:hint="eastAsia" w:ascii="仿宋_GB2312" w:hAnsi="仿宋_GB2312" w:eastAsia="仿宋_GB2312" w:cs="仿宋_GB2312"/>
              <w:color w:val="auto"/>
              <w:sz w:val="28"/>
              <w:szCs w:val="28"/>
              <w:highlight w:val="none"/>
            </w:rPr>
            <w:fldChar w:fldCharType="begin"/>
          </w:r>
          <w:r>
            <w:rPr>
              <w:rFonts w:hint="eastAsia" w:ascii="仿宋_GB2312" w:hAnsi="仿宋_GB2312" w:eastAsia="仿宋_GB2312" w:cs="仿宋_GB2312"/>
              <w:sz w:val="28"/>
              <w:szCs w:val="28"/>
              <w:highlight w:val="none"/>
            </w:rPr>
            <w:instrText xml:space="preserve"> HYPERLINK \l _Toc28494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第</w:t>
          </w:r>
          <w:r>
            <w:rPr>
              <w:rFonts w:hint="eastAsia" w:ascii="仿宋_GB2312" w:hAnsi="仿宋_GB2312" w:eastAsia="仿宋_GB2312" w:cs="仿宋_GB2312"/>
              <w:sz w:val="28"/>
              <w:szCs w:val="28"/>
              <w:highlight w:val="none"/>
              <w:lang w:eastAsia="zh-CN"/>
            </w:rPr>
            <w:t>三</w:t>
          </w:r>
          <w:r>
            <w:rPr>
              <w:rFonts w:hint="eastAsia" w:ascii="仿宋_GB2312" w:hAnsi="仿宋_GB2312" w:eastAsia="仿宋_GB2312" w:cs="仿宋_GB2312"/>
              <w:sz w:val="28"/>
              <w:szCs w:val="28"/>
              <w:highlight w:val="none"/>
            </w:rPr>
            <w:t>部分</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名词解释</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_Toc28494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highlight w:val="none"/>
            </w:rPr>
            <w:fldChar w:fldCharType="end"/>
          </w:r>
        </w:p>
        <w:p w14:paraId="49B3BD1F">
          <w:pPr>
            <w:pStyle w:val="13"/>
            <w:keepNext w:val="0"/>
            <w:keepLines w:val="0"/>
            <w:pageBreakBefore w:val="0"/>
            <w:widowControl w:val="0"/>
            <w:kinsoku/>
            <w:wordWrap/>
            <w:overflowPunct/>
            <w:topLinePunct w:val="0"/>
            <w:autoSpaceDE/>
            <w:autoSpaceDN/>
            <w:bidi w:val="0"/>
            <w:adjustRightInd/>
            <w:spacing w:line="600" w:lineRule="exact"/>
            <w:ind w:left="0" w:leftChars="0"/>
            <w:jc w:val="both"/>
            <w:textAlignment w:val="auto"/>
            <w:rPr>
              <w:rFonts w:hint="default"/>
              <w:lang w:val="en-US" w:eastAsia="zh-CN"/>
            </w:rPr>
          </w:pPr>
          <w:r>
            <w:rPr>
              <w:rFonts w:hint="eastAsia" w:ascii="仿宋_GB2312" w:hAnsi="仿宋_GB2312" w:eastAsia="仿宋_GB2312" w:cs="仿宋_GB2312"/>
              <w:color w:val="auto"/>
              <w:sz w:val="28"/>
              <w:szCs w:val="28"/>
              <w:highlight w:val="none"/>
              <w:lang w:val="en-US" w:eastAsia="zh-CN"/>
            </w:rPr>
            <w:t>第四部分  附件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 xml:space="preserve"> .........................................17</w:t>
          </w:r>
        </w:p>
        <w:p w14:paraId="2B2FCBE0">
          <w:pPr>
            <w:keepNext w:val="0"/>
            <w:keepLines w:val="0"/>
            <w:pageBreakBefore w:val="0"/>
            <w:widowControl w:val="0"/>
            <w:kinsoku/>
            <w:wordWrap/>
            <w:overflowPunct/>
            <w:topLinePunct w:val="0"/>
            <w:autoSpaceDE/>
            <w:autoSpaceDN/>
            <w:bidi w:val="0"/>
            <w:adjustRightInd/>
            <w:spacing w:line="600" w:lineRule="exact"/>
            <w:ind w:left="0" w:leftChars="0"/>
            <w:jc w:val="both"/>
            <w:textAlignment w:val="auto"/>
            <w:rPr>
              <w:rFonts w:hint="default" w:ascii="Times New Roman" w:hAnsi="Times New Roman"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lang w:val="en-US" w:eastAsia="zh-CN"/>
            </w:rPr>
            <w:t xml:space="preserve">第五部分  附表 </w:t>
          </w:r>
          <w:r>
            <w:rPr>
              <w:rFonts w:hint="eastAsia" w:ascii="仿宋_GB2312" w:hAnsi="仿宋_GB2312" w:eastAsia="仿宋_GB2312" w:cs="仿宋_GB2312"/>
              <w:sz w:val="28"/>
              <w:szCs w:val="28"/>
              <w:lang w:val="en-US" w:eastAsia="zh-CN"/>
            </w:rPr>
            <w:t>..........................................18</w:t>
          </w:r>
          <w:r>
            <w:rPr>
              <w:rFonts w:hint="eastAsia" w:ascii="Times New Roman" w:hAnsi="Times New Roman" w:eastAsia="仿宋_GB2312" w:cs="仿宋_GB2312"/>
              <w:color w:val="auto"/>
              <w:sz w:val="28"/>
              <w:szCs w:val="28"/>
              <w:highlight w:val="none"/>
            </w:rPr>
            <w:t>一、收入支出决算总表</w:t>
          </w:r>
          <w:r>
            <w:rPr>
              <w:rFonts w:hint="eastAsia" w:ascii="仿宋_GB2312" w:hAnsi="仿宋_GB2312" w:eastAsia="仿宋_GB2312" w:cs="仿宋_GB2312"/>
              <w:sz w:val="28"/>
              <w:szCs w:val="28"/>
              <w:lang w:val="en-US" w:eastAsia="zh-CN"/>
            </w:rPr>
            <w:t>......................................18</w:t>
          </w:r>
        </w:p>
        <w:p w14:paraId="697B3385">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二、收入决算表</w:t>
          </w:r>
          <w:r>
            <w:rPr>
              <w:rFonts w:hint="eastAsia" w:ascii="仿宋_GB2312" w:hAnsi="仿宋_GB2312" w:eastAsia="仿宋_GB2312" w:cs="仿宋_GB2312"/>
              <w:sz w:val="28"/>
              <w:szCs w:val="28"/>
              <w:lang w:val="en-US" w:eastAsia="zh-CN"/>
            </w:rPr>
            <w:t>............................................18</w:t>
          </w:r>
        </w:p>
        <w:p w14:paraId="19F11E8C">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三、支出决算表</w:t>
          </w:r>
          <w:r>
            <w:rPr>
              <w:rFonts w:hint="eastAsia" w:ascii="仿宋_GB2312" w:hAnsi="仿宋_GB2312" w:eastAsia="仿宋_GB2312" w:cs="仿宋_GB2312"/>
              <w:sz w:val="28"/>
              <w:szCs w:val="28"/>
              <w:lang w:val="en-US" w:eastAsia="zh-CN"/>
            </w:rPr>
            <w:t>............................................18</w:t>
          </w:r>
        </w:p>
        <w:p w14:paraId="28E5AC0C">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四、财政拨款收入支出决算总表</w:t>
          </w:r>
          <w:r>
            <w:rPr>
              <w:rFonts w:hint="eastAsia" w:ascii="仿宋_GB2312" w:hAnsi="仿宋_GB2312" w:eastAsia="仿宋_GB2312" w:cs="仿宋_GB2312"/>
              <w:sz w:val="28"/>
              <w:szCs w:val="28"/>
              <w:lang w:val="en-US" w:eastAsia="zh-CN"/>
            </w:rPr>
            <w:t>..............................18</w:t>
          </w:r>
        </w:p>
        <w:p w14:paraId="1D318F02">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五、财政拨款支出决算明细表</w:t>
          </w:r>
          <w:r>
            <w:rPr>
              <w:rFonts w:hint="eastAsia" w:ascii="仿宋_GB2312" w:hAnsi="仿宋_GB2312" w:eastAsia="仿宋_GB2312" w:cs="仿宋_GB2312"/>
              <w:sz w:val="28"/>
              <w:szCs w:val="28"/>
              <w:lang w:val="en-US" w:eastAsia="zh-CN"/>
            </w:rPr>
            <w:t>................................18</w:t>
          </w:r>
        </w:p>
        <w:p w14:paraId="09ABADFD">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六、一般公共预算财政拨款支出决算表</w:t>
          </w:r>
          <w:r>
            <w:rPr>
              <w:rFonts w:hint="eastAsia" w:ascii="仿宋_GB2312" w:hAnsi="仿宋_GB2312" w:eastAsia="仿宋_GB2312" w:cs="仿宋_GB2312"/>
              <w:sz w:val="28"/>
              <w:szCs w:val="28"/>
              <w:lang w:val="en-US" w:eastAsia="zh-CN"/>
            </w:rPr>
            <w:t>........................18</w:t>
          </w:r>
        </w:p>
        <w:p w14:paraId="08D30452">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七、一般公共预算财政拨款支出决算明细表</w:t>
          </w:r>
          <w:r>
            <w:rPr>
              <w:rFonts w:hint="eastAsia" w:ascii="仿宋_GB2312" w:hAnsi="仿宋_GB2312" w:eastAsia="仿宋_GB2312" w:cs="仿宋_GB2312"/>
              <w:sz w:val="28"/>
              <w:szCs w:val="28"/>
              <w:lang w:val="en-US" w:eastAsia="zh-CN"/>
            </w:rPr>
            <w:t>....................18</w:t>
          </w:r>
        </w:p>
        <w:p w14:paraId="46BB2208">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八、一般公共预算财政拨款基本支出决算表</w:t>
          </w:r>
          <w:r>
            <w:rPr>
              <w:rFonts w:hint="eastAsia" w:ascii="仿宋_GB2312" w:hAnsi="仿宋_GB2312" w:eastAsia="仿宋_GB2312" w:cs="仿宋_GB2312"/>
              <w:sz w:val="28"/>
              <w:szCs w:val="28"/>
              <w:lang w:val="en-US" w:eastAsia="zh-CN"/>
            </w:rPr>
            <w:t>....................18</w:t>
          </w:r>
        </w:p>
        <w:p w14:paraId="47465DB1">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九、一般公共预算财政拨款项目支出决算表</w:t>
          </w:r>
          <w:r>
            <w:rPr>
              <w:rFonts w:hint="eastAsia" w:ascii="仿宋_GB2312" w:hAnsi="仿宋_GB2312" w:eastAsia="仿宋_GB2312" w:cs="仿宋_GB2312"/>
              <w:sz w:val="28"/>
              <w:szCs w:val="28"/>
              <w:lang w:val="en-US" w:eastAsia="zh-CN"/>
            </w:rPr>
            <w:t>....................18</w:t>
          </w:r>
        </w:p>
        <w:p w14:paraId="45DF51CF">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十、政府性基金预算财政拨款收入支出决算表</w:t>
          </w:r>
          <w:r>
            <w:rPr>
              <w:rFonts w:hint="eastAsia" w:ascii="仿宋_GB2312" w:hAnsi="仿宋_GB2312" w:eastAsia="仿宋_GB2312" w:cs="仿宋_GB2312"/>
              <w:sz w:val="28"/>
              <w:szCs w:val="28"/>
              <w:lang w:val="en-US" w:eastAsia="zh-CN"/>
            </w:rPr>
            <w:t>..................18</w:t>
          </w:r>
        </w:p>
        <w:p w14:paraId="541410BF">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十一、国有资本经营预算</w:t>
          </w:r>
          <w:r>
            <w:rPr>
              <w:rFonts w:hint="eastAsia" w:ascii="Times New Roman" w:hAnsi="Times New Roman" w:eastAsia="仿宋_GB2312" w:cs="仿宋_GB2312"/>
              <w:color w:val="auto"/>
              <w:sz w:val="28"/>
              <w:szCs w:val="28"/>
              <w:highlight w:val="none"/>
              <w:lang w:eastAsia="zh-CN"/>
            </w:rPr>
            <w:t>财政拨款收入</w:t>
          </w:r>
          <w:r>
            <w:rPr>
              <w:rFonts w:hint="eastAsia" w:ascii="Times New Roman" w:hAnsi="Times New Roman" w:eastAsia="仿宋_GB2312" w:cs="仿宋_GB2312"/>
              <w:color w:val="auto"/>
              <w:sz w:val="28"/>
              <w:szCs w:val="28"/>
              <w:highlight w:val="none"/>
            </w:rPr>
            <w:t>支出决算表</w:t>
          </w:r>
          <w:r>
            <w:rPr>
              <w:rFonts w:hint="eastAsia" w:ascii="仿宋_GB2312" w:hAnsi="仿宋_GB2312" w:eastAsia="仿宋_GB2312" w:cs="仿宋_GB2312"/>
              <w:sz w:val="28"/>
              <w:szCs w:val="28"/>
              <w:lang w:val="en-US" w:eastAsia="zh-CN"/>
            </w:rPr>
            <w:t>..............18</w:t>
          </w:r>
        </w:p>
        <w:p w14:paraId="561E6E08">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十二、</w:t>
          </w:r>
          <w:r>
            <w:rPr>
              <w:rFonts w:hint="eastAsia" w:ascii="Times New Roman" w:hAnsi="Times New Roman" w:eastAsia="仿宋_GB2312" w:cs="仿宋_GB2312"/>
              <w:color w:val="auto"/>
              <w:sz w:val="28"/>
              <w:szCs w:val="28"/>
              <w:highlight w:val="none"/>
              <w:lang w:eastAsia="zh-CN"/>
            </w:rPr>
            <w:t>国有资本经营预算财政拨款支出决算表</w:t>
          </w:r>
          <w:r>
            <w:rPr>
              <w:rFonts w:hint="eastAsia" w:ascii="仿宋_GB2312" w:hAnsi="仿宋_GB2312" w:eastAsia="仿宋_GB2312" w:cs="仿宋_GB2312"/>
              <w:sz w:val="28"/>
              <w:szCs w:val="28"/>
              <w:lang w:val="en-US" w:eastAsia="zh-CN"/>
            </w:rPr>
            <w:t>..................18</w:t>
          </w:r>
        </w:p>
        <w:p w14:paraId="4B2D763D">
          <w:pPr>
            <w:pStyle w:val="13"/>
            <w:keepNext w:val="0"/>
            <w:keepLines w:val="0"/>
            <w:pageBreakBefore w:val="0"/>
            <w:widowControl w:val="0"/>
            <w:kinsoku/>
            <w:wordWrap/>
            <w:overflowPunct/>
            <w:topLinePunct w:val="0"/>
            <w:autoSpaceDE/>
            <w:autoSpaceDN/>
            <w:bidi w:val="0"/>
            <w:spacing w:line="600" w:lineRule="exact"/>
            <w:textAlignment w:val="auto"/>
            <w:rPr>
              <w:rFonts w:hint="default"/>
              <w:lang w:val="en-US" w:eastAsia="zh-CN"/>
            </w:rPr>
          </w:pPr>
          <w:r>
            <w:rPr>
              <w:rFonts w:hint="eastAsia" w:ascii="Times New Roman" w:hAnsi="Times New Roman" w:eastAsia="仿宋_GB2312" w:cs="仿宋_GB2312"/>
              <w:color w:val="auto"/>
              <w:sz w:val="28"/>
              <w:szCs w:val="28"/>
              <w:highlight w:val="none"/>
            </w:rPr>
            <w:t>十三、</w:t>
          </w:r>
          <w:r>
            <w:rPr>
              <w:rFonts w:hint="eastAsia" w:ascii="Times New Roman" w:hAnsi="Times New Roman" w:eastAsia="仿宋_GB2312" w:cs="仿宋_GB2312"/>
              <w:color w:val="auto"/>
              <w:sz w:val="28"/>
              <w:szCs w:val="28"/>
              <w:highlight w:val="none"/>
              <w:lang w:eastAsia="zh-CN"/>
            </w:rPr>
            <w:t>财政拨款“三公”经费支出决算表</w:t>
          </w:r>
          <w:r>
            <w:rPr>
              <w:rFonts w:hint="eastAsia" w:ascii="仿宋_GB2312" w:hAnsi="仿宋_GB2312" w:eastAsia="仿宋_GB2312" w:cs="仿宋_GB2312"/>
              <w:sz w:val="28"/>
              <w:szCs w:val="28"/>
              <w:lang w:val="en-US" w:eastAsia="zh-CN"/>
            </w:rPr>
            <w:t>........................18</w:t>
          </w:r>
        </w:p>
        <w:p w14:paraId="4CEE0F3F">
          <w:pPr>
            <w:keepNext w:val="0"/>
            <w:keepLines w:val="0"/>
            <w:pageBreakBefore w:val="0"/>
            <w:widowControl w:val="0"/>
            <w:kinsoku/>
            <w:wordWrap/>
            <w:overflowPunct/>
            <w:topLinePunct w:val="0"/>
            <w:autoSpaceDE/>
            <w:autoSpaceDN/>
            <w:bidi w:val="0"/>
            <w:adjustRightInd/>
            <w:spacing w:line="600" w:lineRule="exact"/>
            <w:ind w:left="0" w:leftChars="0"/>
            <w:jc w:val="both"/>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076CBBD1">
      <w:pPr>
        <w:pStyle w:val="3"/>
        <w:jc w:val="both"/>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14:paraId="3AE5724B">
      <w:pPr>
        <w:pStyle w:val="3"/>
        <w:jc w:val="center"/>
        <w:rPr>
          <w:rStyle w:val="29"/>
          <w:rFonts w:hint="eastAsia" w:ascii="Times New Roman" w:hAnsi="Times New Roman" w:eastAsia="方正小标宋简体" w:cs="方正小标宋简体"/>
          <w:b/>
          <w:bCs w:val="0"/>
          <w:color w:val="auto"/>
          <w:highlight w:val="none"/>
        </w:rPr>
      </w:pPr>
      <w:bookmarkStart w:id="8" w:name="_Toc1423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379B72A4">
      <w:pPr>
        <w:widowControl/>
        <w:jc w:val="left"/>
        <w:rPr>
          <w:rFonts w:ascii="Times New Roman" w:hAnsi="Times New Roman" w:eastAsia="黑体"/>
          <w:color w:val="auto"/>
          <w:sz w:val="32"/>
          <w:szCs w:val="32"/>
          <w:highlight w:val="none"/>
        </w:rPr>
      </w:pPr>
    </w:p>
    <w:p w14:paraId="43071BDD">
      <w:pPr>
        <w:pStyle w:val="4"/>
        <w:numPr>
          <w:ilvl w:val="0"/>
          <w:numId w:val="1"/>
        </w:numPr>
        <w:rPr>
          <w:rFonts w:hint="eastAsia" w:ascii="Times New Roman" w:hAnsi="Times New Roman" w:eastAsia="黑体"/>
          <w:b w:val="0"/>
          <w:color w:val="auto"/>
          <w:highlight w:val="none"/>
          <w:lang w:eastAsia="zh-CN"/>
        </w:rPr>
      </w:pPr>
      <w:bookmarkStart w:id="9" w:name="_Toc9109"/>
      <w:r>
        <w:rPr>
          <w:rFonts w:hint="eastAsia" w:ascii="Times New Roman" w:hAnsi="Times New Roman" w:eastAsia="黑体"/>
          <w:b w:val="0"/>
          <w:color w:val="auto"/>
          <w:highlight w:val="none"/>
          <w:lang w:eastAsia="zh-CN"/>
        </w:rPr>
        <w:t>部门职责</w:t>
      </w:r>
      <w:bookmarkEnd w:id="9"/>
    </w:p>
    <w:p w14:paraId="5DD95FC9">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 w:hAnsi="仿宋" w:eastAsia="仿宋" w:cs="仿宋"/>
          <w:color w:val="000000"/>
          <w:sz w:val="32"/>
          <w:szCs w:val="32"/>
        </w:rPr>
        <w:t>负责全县市场综合监督管理工作。起草市场监督管理有关规范性文件，规范和维护市场秩序，</w:t>
      </w:r>
      <w:r>
        <w:rPr>
          <w:rFonts w:hint="eastAsia" w:ascii="仿宋" w:hAnsi="仿宋" w:eastAsia="仿宋" w:cs="仿宋"/>
          <w:color w:val="000000"/>
          <w:sz w:val="32"/>
          <w:szCs w:val="32"/>
        </w:rPr>
        <w:t>负责市场监督管理科技和信息化建设、新闻宣传，营造诚实守信、公平竞争的市场环境。负责全县市场主体统一登记注册。负责全县各类企业、农民专业合作社和从事经营活动的单位、个体工商户以及外国（地区）企业、常驻代表机构等市场主体的登记注册和监督管理工作。负责全县宏观质量管理。组织实施质量发展、质量强县的制度措施。贯彻实施缺陷产品召回制度，监督管理产品防伪工作。负责全县食品安全监督管理综合协调，拟订并组织实施全县食品安全等规划。统筹指导全县食品安全工作。负责食品安全应急体系建设，组织指导食品安全事件应急处置和调查处理工作</w:t>
      </w:r>
      <w:r>
        <w:rPr>
          <w:rFonts w:hint="default" w:ascii="Times New Roman" w:hAnsi="Times New Roman" w:cs="Times New Roman"/>
          <w:color w:val="000000"/>
          <w:sz w:val="32"/>
          <w:szCs w:val="32"/>
        </w:rPr>
        <w:t>。</w:t>
      </w:r>
    </w:p>
    <w:p w14:paraId="2479119F">
      <w:pPr>
        <w:numPr>
          <w:ilvl w:val="0"/>
          <w:numId w:val="0"/>
        </w:numPr>
        <w:rPr>
          <w:rFonts w:hint="eastAsia"/>
          <w:lang w:eastAsia="zh-CN"/>
        </w:rPr>
      </w:pPr>
    </w:p>
    <w:p w14:paraId="418F254B">
      <w:pPr>
        <w:pStyle w:val="4"/>
        <w:rPr>
          <w:rStyle w:val="30"/>
          <w:rFonts w:ascii="Times New Roman" w:hAnsi="Times New Roman"/>
          <w:b w:val="0"/>
          <w:bCs w:val="0"/>
          <w:color w:val="auto"/>
          <w:highlight w:val="none"/>
        </w:rPr>
      </w:pPr>
      <w:bookmarkStart w:id="10" w:name="_Toc15377200"/>
      <w:bookmarkStart w:id="11" w:name="_Toc3258"/>
      <w:bookmarkStart w:id="12"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p>
    <w:p w14:paraId="62396776">
      <w:pPr>
        <w:widowControl/>
        <w:jc w:val="left"/>
        <w:rPr>
          <w:rFonts w:ascii="Times New Roman" w:hAnsi="Times New Roman" w:eastAsia="仿宋"/>
          <w:color w:val="auto"/>
          <w:kern w:val="0"/>
          <w:sz w:val="32"/>
          <w:szCs w:val="32"/>
          <w:highlight w:val="none"/>
        </w:rPr>
      </w:pPr>
      <w:r>
        <w:rPr>
          <w:rFonts w:ascii="仿宋" w:hAnsi="仿宋" w:eastAsia="仿宋" w:cs="仿宋"/>
          <w:color w:val="000000"/>
          <w:sz w:val="32"/>
          <w:szCs w:val="32"/>
        </w:rPr>
        <w:t>壤塘县市场监督管理所无下属二级预算单位，本单位为行政单位。</w:t>
      </w:r>
      <w:r>
        <w:rPr>
          <w:rFonts w:ascii="Times New Roman" w:hAnsi="Times New Roman" w:eastAsia="仿宋"/>
          <w:color w:val="auto"/>
          <w:sz w:val="32"/>
          <w:szCs w:val="32"/>
          <w:highlight w:val="none"/>
        </w:rPr>
        <w:br w:type="page"/>
      </w:r>
    </w:p>
    <w:p w14:paraId="6394C034">
      <w:pPr>
        <w:pStyle w:val="3"/>
        <w:jc w:val="center"/>
        <w:rPr>
          <w:rFonts w:ascii="Times New Roman" w:hAnsi="Times New Roman"/>
          <w:color w:val="auto"/>
          <w:highlight w:val="none"/>
        </w:rPr>
      </w:pPr>
      <w:bookmarkStart w:id="13" w:name="_Toc15377204"/>
      <w:bookmarkStart w:id="14" w:name="_Toc21856"/>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7EABC46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5"/>
      <w:bookmarkStart w:id="17" w:name="_Toc3487"/>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6"/>
      <w:bookmarkEnd w:id="17"/>
      <w:bookmarkEnd w:id="18"/>
    </w:p>
    <w:p w14:paraId="0C63DA82">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年度收入总计为</w:t>
      </w:r>
      <w:r>
        <w:rPr>
          <w:rFonts w:hint="eastAsia" w:ascii="仿宋" w:hAnsi="仿宋" w:eastAsia="仿宋" w:cs="仿宋"/>
          <w:color w:val="000000"/>
          <w:sz w:val="32"/>
          <w:szCs w:val="32"/>
          <w:lang w:val="en-US" w:eastAsia="zh-CN"/>
        </w:rPr>
        <w:t>50.91</w:t>
      </w:r>
      <w:r>
        <w:rPr>
          <w:rFonts w:hint="eastAsia" w:ascii="仿宋" w:hAnsi="仿宋" w:eastAsia="仿宋" w:cs="仿宋"/>
          <w:color w:val="000000"/>
          <w:sz w:val="32"/>
          <w:szCs w:val="32"/>
        </w:rPr>
        <w:t>万元。与202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年度相比，收入总计增加</w:t>
      </w:r>
      <w:r>
        <w:rPr>
          <w:rFonts w:hint="eastAsia" w:ascii="仿宋" w:hAnsi="仿宋" w:eastAsia="仿宋" w:cs="仿宋"/>
          <w:color w:val="000000"/>
          <w:sz w:val="32"/>
          <w:szCs w:val="32"/>
          <w:lang w:val="en-US" w:eastAsia="zh-CN"/>
        </w:rPr>
        <w:t>3.08</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lang w:val="en-US" w:eastAsia="zh-CN"/>
        </w:rPr>
        <w:t>6.44</w:t>
      </w:r>
      <w:r>
        <w:rPr>
          <w:rFonts w:hint="eastAsia" w:ascii="仿宋" w:hAnsi="仿宋" w:eastAsia="仿宋" w:cs="仿宋"/>
          <w:color w:val="000000"/>
          <w:sz w:val="32"/>
          <w:szCs w:val="32"/>
        </w:rPr>
        <w:t>%。主要变动原因是当年人员经费变动，收入增加。202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年度支出总计为</w:t>
      </w:r>
      <w:r>
        <w:rPr>
          <w:rFonts w:hint="eastAsia" w:ascii="仿宋" w:hAnsi="仿宋" w:eastAsia="仿宋" w:cs="仿宋"/>
          <w:color w:val="000000"/>
          <w:sz w:val="32"/>
          <w:szCs w:val="32"/>
          <w:lang w:val="en-US" w:eastAsia="zh-CN"/>
        </w:rPr>
        <w:t>50.91</w:t>
      </w:r>
      <w:r>
        <w:rPr>
          <w:rFonts w:hint="eastAsia" w:ascii="仿宋" w:hAnsi="仿宋" w:eastAsia="仿宋" w:cs="仿宋"/>
          <w:color w:val="000000"/>
          <w:sz w:val="32"/>
          <w:szCs w:val="32"/>
        </w:rPr>
        <w:t>万元，与202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年度相比，支出总计增加</w:t>
      </w:r>
      <w:r>
        <w:rPr>
          <w:rFonts w:hint="eastAsia" w:ascii="仿宋" w:hAnsi="仿宋" w:eastAsia="仿宋" w:cs="仿宋"/>
          <w:color w:val="000000"/>
          <w:sz w:val="32"/>
          <w:szCs w:val="32"/>
          <w:lang w:val="en-US" w:eastAsia="zh-CN"/>
        </w:rPr>
        <w:t>3.08</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lang w:val="en-US" w:eastAsia="zh-CN"/>
        </w:rPr>
        <w:t>6.44</w:t>
      </w:r>
      <w:r>
        <w:rPr>
          <w:rFonts w:hint="eastAsia" w:ascii="仿宋" w:hAnsi="仿宋" w:eastAsia="仿宋" w:cs="仿宋"/>
          <w:color w:val="000000"/>
          <w:sz w:val="32"/>
          <w:szCs w:val="32"/>
        </w:rPr>
        <w:t>%。主要变动原因是当年人员经费变动，支出增加。</w:t>
      </w:r>
    </w:p>
    <w:p w14:paraId="034FB7F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9" w:name="_Toc4862"/>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9"/>
    </w:p>
    <w:p w14:paraId="63716A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C435F2">
      <w:pPr>
        <w:pStyle w:val="13"/>
        <w:rPr>
          <w:rFonts w:hint="eastAsia" w:ascii="Times New Roman" w:hAnsi="Times New Roman" w:eastAsia="仿宋_GB2312" w:cs="仿宋_GB2312"/>
          <w:color w:val="auto"/>
          <w:sz w:val="32"/>
          <w:szCs w:val="32"/>
          <w:lang w:eastAsia="zh-CN"/>
        </w:rPr>
      </w:pPr>
    </w:p>
    <w:p w14:paraId="353A77C0">
      <w:pPr>
        <w:pStyle w:val="8"/>
        <w:rPr>
          <w:rFonts w:hint="eastAsia"/>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572B5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2686"/>
      <w:bookmarkStart w:id="21" w:name="_Toc15396604"/>
      <w:bookmarkStart w:id="22" w:name="_Toc15377206"/>
      <w:r>
        <w:rPr>
          <w:rFonts w:hint="eastAsia" w:ascii="Times New Roman" w:hAnsi="Times New Roman" w:eastAsia="黑体"/>
          <w:color w:val="auto"/>
          <w:sz w:val="32"/>
          <w:szCs w:val="32"/>
          <w:highlight w:val="none"/>
          <w:lang w:eastAsia="zh-CN"/>
        </w:rPr>
        <w:t>二、收入决算情况说明</w:t>
      </w:r>
      <w:bookmarkEnd w:id="20"/>
      <w:bookmarkEnd w:id="21"/>
      <w:bookmarkEnd w:id="22"/>
    </w:p>
    <w:p w14:paraId="6ED8721C">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ascii="仿宋" w:hAnsi="仿宋" w:eastAsia="仿宋" w:cs="仿宋"/>
          <w:b/>
          <w:bCs/>
          <w:color w:val="000000"/>
          <w:sz w:val="32"/>
          <w:szCs w:val="32"/>
        </w:rPr>
        <w:t>（注：数据来源于财决</w:t>
      </w:r>
      <w:r>
        <w:rPr>
          <w:rFonts w:hint="eastAsia" w:ascii="仿宋" w:hAnsi="仿宋" w:eastAsia="仿宋" w:cs="仿宋"/>
          <w:b/>
          <w:bCs/>
          <w:color w:val="000000"/>
          <w:sz w:val="32"/>
          <w:szCs w:val="32"/>
        </w:rPr>
        <w:t>0</w:t>
      </w:r>
      <w:r>
        <w:rPr>
          <w:rFonts w:hint="eastAsia" w:ascii="仿宋" w:hAnsi="仿宋" w:eastAsia="仿宋" w:cs="仿宋"/>
          <w:b/>
          <w:bCs/>
          <w:color w:val="000000"/>
          <w:sz w:val="32"/>
          <w:szCs w:val="32"/>
          <w:lang w:val="en-US" w:eastAsia="zh-CN"/>
        </w:rPr>
        <w:t>2</w:t>
      </w:r>
      <w:r>
        <w:rPr>
          <w:rFonts w:hint="eastAsia" w:ascii="仿宋" w:hAnsi="仿宋" w:eastAsia="仿宋" w:cs="仿宋"/>
          <w:b/>
          <w:bCs/>
          <w:color w:val="000000"/>
          <w:sz w:val="32"/>
          <w:szCs w:val="32"/>
        </w:rPr>
        <w:t>表，仅罗列本单位涉及的收入。）</w:t>
      </w:r>
    </w:p>
    <w:p w14:paraId="40CCBB6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3" w:name="_Toc5974"/>
      <w:r>
        <w:rPr>
          <w:rFonts w:hint="eastAsia" w:ascii="Times New Roman" w:hAnsi="Times New Roman" w:eastAsia="仿宋_GB2312" w:cs="仿宋_GB2312"/>
          <w:color w:val="auto"/>
          <w:sz w:val="32"/>
          <w:szCs w:val="32"/>
          <w:highlight w:val="none"/>
          <w:lang w:eastAsia="zh-CN"/>
        </w:rPr>
        <w:t>（图2：收入决算结构图）（饼状图）</w:t>
      </w:r>
      <w:bookmarkEnd w:id="23"/>
    </w:p>
    <w:p w14:paraId="1D65ABA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E77F1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7"/>
      <w:bookmarkStart w:id="25" w:name="_Toc15396605"/>
      <w:bookmarkStart w:id="26" w:name="_Toc1438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5CCC0C67">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ascii="仿宋" w:hAnsi="仿宋" w:eastAsia="仿宋" w:cs="仿宋"/>
          <w:b/>
          <w:bCs/>
          <w:color w:val="000000"/>
          <w:sz w:val="32"/>
          <w:szCs w:val="32"/>
        </w:rPr>
        <w:t>（注：数据来源于财决</w:t>
      </w:r>
      <w:r>
        <w:rPr>
          <w:rFonts w:hint="eastAsia" w:ascii="仿宋" w:hAnsi="仿宋" w:eastAsia="仿宋" w:cs="仿宋"/>
          <w:b/>
          <w:bCs/>
          <w:color w:val="000000"/>
          <w:sz w:val="32"/>
          <w:szCs w:val="32"/>
        </w:rPr>
        <w:t>0</w:t>
      </w:r>
      <w:r>
        <w:rPr>
          <w:rFonts w:hint="eastAsia" w:ascii="仿宋" w:hAnsi="仿宋" w:eastAsia="仿宋" w:cs="仿宋"/>
          <w:b/>
          <w:bCs/>
          <w:color w:val="000000"/>
          <w:sz w:val="32"/>
          <w:szCs w:val="32"/>
          <w:lang w:val="en-US" w:eastAsia="zh-CN"/>
        </w:rPr>
        <w:t>3</w:t>
      </w:r>
      <w:r>
        <w:rPr>
          <w:rFonts w:hint="eastAsia" w:ascii="仿宋" w:hAnsi="仿宋" w:eastAsia="仿宋" w:cs="仿宋"/>
          <w:b/>
          <w:bCs/>
          <w:color w:val="000000"/>
          <w:sz w:val="32"/>
          <w:szCs w:val="32"/>
        </w:rPr>
        <w:t>表，仅罗列本单位涉及的支出。）</w:t>
      </w:r>
    </w:p>
    <w:p w14:paraId="126009E3">
      <w:pPr>
        <w:pStyle w:val="1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t> </w:t>
      </w:r>
    </w:p>
    <w:p w14:paraId="0698B78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7" w:name="_Toc23336"/>
      <w:r>
        <w:rPr>
          <w:rFonts w:hint="eastAsia" w:ascii="Times New Roman" w:hAnsi="Times New Roman" w:eastAsia="仿宋_GB2312" w:cs="仿宋_GB2312"/>
          <w:color w:val="auto"/>
          <w:sz w:val="32"/>
          <w:szCs w:val="32"/>
          <w:highlight w:val="none"/>
          <w:lang w:eastAsia="zh-CN"/>
        </w:rPr>
        <w:t>（图3：支出决算结构图）（饼状图）</w:t>
      </w:r>
      <w:bookmarkEnd w:id="27"/>
    </w:p>
    <w:p w14:paraId="729B217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969AE1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3D0959">
      <w:pPr>
        <w:rPr>
          <w:rFonts w:hint="eastAsia" w:ascii="Times New Roman" w:hAnsi="Times New Roman" w:eastAsia="仿宋_GB2312" w:cs="仿宋_GB2312"/>
          <w:color w:val="auto"/>
          <w:sz w:val="32"/>
          <w:szCs w:val="32"/>
          <w:highlight w:val="none"/>
          <w:lang w:eastAsia="zh-CN"/>
        </w:rPr>
      </w:pPr>
    </w:p>
    <w:p w14:paraId="0F31068F">
      <w:pPr>
        <w:pStyle w:val="13"/>
        <w:rPr>
          <w:rFonts w:hint="eastAsia"/>
          <w:lang w:eastAsia="zh-CN"/>
        </w:rPr>
      </w:pPr>
    </w:p>
    <w:p w14:paraId="7879635E">
      <w:pPr>
        <w:spacing w:line="600" w:lineRule="exact"/>
        <w:ind w:firstLine="640" w:firstLineChars="200"/>
        <w:outlineLvl w:val="1"/>
        <w:rPr>
          <w:rStyle w:val="30"/>
          <w:rFonts w:ascii="Times New Roman" w:hAnsi="Times New Roman" w:eastAsia="黑体"/>
          <w:b w:val="0"/>
          <w:color w:val="auto"/>
          <w:highlight w:val="none"/>
        </w:rPr>
      </w:pPr>
      <w:bookmarkStart w:id="28" w:name="_Toc3742"/>
      <w:bookmarkStart w:id="29" w:name="_Toc15377208"/>
      <w:bookmarkStart w:id="30"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bookmarkEnd w:id="30"/>
    </w:p>
    <w:p w14:paraId="0A63BF0A">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年度财政拨款收入总计为</w:t>
      </w:r>
      <w:r>
        <w:rPr>
          <w:rFonts w:hint="eastAsia" w:ascii="仿宋" w:hAnsi="仿宋" w:eastAsia="仿宋" w:cs="仿宋"/>
          <w:color w:val="000000"/>
          <w:sz w:val="32"/>
          <w:szCs w:val="32"/>
          <w:lang w:val="en-US" w:eastAsia="zh-CN"/>
        </w:rPr>
        <w:t>50.91</w:t>
      </w:r>
      <w:r>
        <w:rPr>
          <w:rFonts w:hint="eastAsia" w:ascii="仿宋" w:hAnsi="仿宋" w:eastAsia="仿宋" w:cs="仿宋"/>
          <w:color w:val="000000"/>
          <w:sz w:val="32"/>
          <w:szCs w:val="32"/>
        </w:rPr>
        <w:t>万元。与202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年度相比，财政拨款收入总计增加</w:t>
      </w:r>
      <w:r>
        <w:rPr>
          <w:rFonts w:hint="eastAsia" w:ascii="仿宋" w:hAnsi="仿宋" w:eastAsia="仿宋" w:cs="仿宋"/>
          <w:color w:val="000000"/>
          <w:sz w:val="32"/>
          <w:szCs w:val="32"/>
          <w:lang w:val="en-US" w:eastAsia="zh-CN"/>
        </w:rPr>
        <w:t>3.08</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lang w:val="en-US" w:eastAsia="zh-CN"/>
        </w:rPr>
        <w:t>6.44</w:t>
      </w:r>
      <w:r>
        <w:rPr>
          <w:rFonts w:hint="eastAsia" w:ascii="仿宋" w:hAnsi="仿宋" w:eastAsia="仿宋" w:cs="仿宋"/>
          <w:color w:val="000000"/>
          <w:sz w:val="32"/>
          <w:szCs w:val="32"/>
        </w:rPr>
        <w:t>%。主要变动原因是当年人员经费变动，收入增加。202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年度财政拨款支出总计为</w:t>
      </w:r>
      <w:r>
        <w:rPr>
          <w:rFonts w:hint="eastAsia" w:ascii="仿宋" w:hAnsi="仿宋" w:eastAsia="仿宋" w:cs="仿宋"/>
          <w:color w:val="000000"/>
          <w:sz w:val="32"/>
          <w:szCs w:val="32"/>
          <w:lang w:val="en-US" w:eastAsia="zh-CN"/>
        </w:rPr>
        <w:t>50.91</w:t>
      </w:r>
      <w:r>
        <w:rPr>
          <w:rFonts w:hint="eastAsia" w:ascii="仿宋" w:hAnsi="仿宋" w:eastAsia="仿宋" w:cs="仿宋"/>
          <w:color w:val="000000"/>
          <w:sz w:val="32"/>
          <w:szCs w:val="32"/>
        </w:rPr>
        <w:t>万元，与202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年度相比，财政拨款支出总计增加</w:t>
      </w:r>
      <w:r>
        <w:rPr>
          <w:rFonts w:hint="eastAsia" w:ascii="仿宋" w:hAnsi="仿宋" w:eastAsia="仿宋" w:cs="仿宋"/>
          <w:color w:val="000000"/>
          <w:sz w:val="32"/>
          <w:szCs w:val="32"/>
          <w:lang w:val="en-US" w:eastAsia="zh-CN"/>
        </w:rPr>
        <w:t>3.08</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lang w:val="en-US" w:eastAsia="zh-CN"/>
        </w:rPr>
        <w:t>6.44</w:t>
      </w:r>
      <w:r>
        <w:rPr>
          <w:rFonts w:hint="eastAsia" w:ascii="仿宋" w:hAnsi="仿宋" w:eastAsia="仿宋" w:cs="仿宋"/>
          <w:color w:val="000000"/>
          <w:sz w:val="32"/>
          <w:szCs w:val="32"/>
        </w:rPr>
        <w:t>%。主要变动原因是人员经费变动，支出增加。</w:t>
      </w:r>
    </w:p>
    <w:p w14:paraId="00A9E79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0877DED">
      <w:pPr>
        <w:pStyle w:val="13"/>
        <w:rPr>
          <w:rFonts w:hint="eastAsia"/>
          <w:lang w:val="en-US" w:eastAsia="zh-CN"/>
        </w:rPr>
      </w:pPr>
      <w:r>
        <w:rPr>
          <w:rFonts w:hint="eastAsia"/>
          <w:lang w:val="en-US" w:eastAsia="zh-CN"/>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3A7AB6">
      <w:pPr>
        <w:pStyle w:val="8"/>
        <w:rPr>
          <w:rFonts w:hint="eastAsia"/>
          <w:lang w:val="en-US" w:eastAsia="zh-CN"/>
        </w:rPr>
      </w:pPr>
    </w:p>
    <w:p w14:paraId="7B93E8EA">
      <w:pPr>
        <w:rPr>
          <w:rFonts w:hint="eastAsia"/>
          <w:lang w:val="en-US" w:eastAsia="zh-CN"/>
        </w:rPr>
      </w:pPr>
      <w:r>
        <w:rPr>
          <w:rFonts w:hint="eastAsia"/>
          <w:lang w:val="en-US"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244C74">
      <w:pPr>
        <w:pStyle w:val="13"/>
        <w:rPr>
          <w:rFonts w:hint="eastAsia"/>
          <w:lang w:val="en-US" w:eastAsia="zh-CN"/>
        </w:rPr>
      </w:pPr>
    </w:p>
    <w:p w14:paraId="64E8CABC">
      <w:pPr>
        <w:pStyle w:val="8"/>
        <w:rPr>
          <w:rFonts w:hint="eastAsia"/>
          <w:lang w:val="en-US" w:eastAsia="zh-CN"/>
        </w:rPr>
      </w:pPr>
    </w:p>
    <w:p w14:paraId="6DE3E96A">
      <w:pPr>
        <w:rPr>
          <w:rFonts w:hint="eastAsia"/>
          <w:lang w:val="en-US" w:eastAsia="zh-CN"/>
        </w:rPr>
      </w:pPr>
    </w:p>
    <w:p w14:paraId="621D4A50">
      <w:pPr>
        <w:pStyle w:val="13"/>
        <w:rPr>
          <w:rFonts w:hint="eastAsia"/>
          <w:lang w:val="en-US" w:eastAsia="zh-CN"/>
        </w:rPr>
      </w:pPr>
    </w:p>
    <w:p w14:paraId="6D4944E2">
      <w:pPr>
        <w:pStyle w:val="8"/>
        <w:rPr>
          <w:rFonts w:hint="eastAsia"/>
          <w:lang w:val="en-US" w:eastAsia="zh-CN"/>
        </w:rPr>
      </w:pPr>
    </w:p>
    <w:p w14:paraId="0021405A">
      <w:pPr>
        <w:rPr>
          <w:rFonts w:hint="eastAsia"/>
          <w:lang w:val="en-US" w:eastAsia="zh-CN"/>
        </w:rPr>
      </w:pPr>
    </w:p>
    <w:p w14:paraId="500A5281">
      <w:pPr>
        <w:pStyle w:val="13"/>
        <w:rPr>
          <w:rFonts w:hint="eastAsia"/>
          <w:lang w:val="en-US" w:eastAsia="zh-CN"/>
        </w:rPr>
      </w:pPr>
    </w:p>
    <w:p w14:paraId="64C2F8A1">
      <w:pPr>
        <w:pStyle w:val="8"/>
        <w:rPr>
          <w:rFonts w:hint="eastAsia"/>
          <w:lang w:val="en-US" w:eastAsia="zh-CN"/>
        </w:rPr>
      </w:pPr>
    </w:p>
    <w:p w14:paraId="57B9893F">
      <w:pPr>
        <w:rPr>
          <w:rFonts w:hint="eastAsia"/>
          <w:lang w:val="en-US" w:eastAsia="zh-CN"/>
        </w:rPr>
      </w:pPr>
    </w:p>
    <w:p w14:paraId="550C2E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7EC30">
      <w:pPr>
        <w:spacing w:line="600" w:lineRule="exact"/>
        <w:ind w:firstLine="640" w:firstLineChars="200"/>
        <w:outlineLvl w:val="1"/>
        <w:rPr>
          <w:rStyle w:val="30"/>
          <w:rFonts w:ascii="Times New Roman" w:hAnsi="Times New Roman" w:eastAsia="黑体"/>
          <w:b w:val="0"/>
          <w:color w:val="auto"/>
          <w:highlight w:val="none"/>
        </w:rPr>
      </w:pPr>
      <w:bookmarkStart w:id="31" w:name="_Toc22614"/>
      <w:bookmarkStart w:id="32" w:name="_Toc15396607"/>
      <w:bookmarkStart w:id="33"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1"/>
      <w:bookmarkEnd w:id="32"/>
      <w:bookmarkEnd w:id="33"/>
    </w:p>
    <w:p w14:paraId="4A788E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52ECC8EA">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仿宋" w:hAnsi="仿宋" w:eastAsia="仿宋" w:cs="仿宋"/>
          <w:color w:val="000000"/>
          <w:sz w:val="32"/>
          <w:szCs w:val="32"/>
        </w:rPr>
        <w:t>当年人员经费变动，收入增加</w:t>
      </w:r>
      <w:r>
        <w:rPr>
          <w:rFonts w:hint="eastAsia" w:ascii="仿宋" w:hAnsi="仿宋" w:eastAsia="仿宋" w:cs="仿宋"/>
          <w:color w:val="000000"/>
          <w:sz w:val="32"/>
          <w:szCs w:val="32"/>
          <w:lang w:eastAsia="zh-CN"/>
        </w:rPr>
        <w:t>。</w:t>
      </w:r>
    </w:p>
    <w:p w14:paraId="7D8D8C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8BA1D2D">
      <w:pPr>
        <w:pStyle w:val="13"/>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9CAC2B">
      <w:pPr>
        <w:pStyle w:val="8"/>
        <w:rPr>
          <w:rFonts w:hint="eastAsia" w:ascii="Times New Roman" w:hAnsi="Times New Roman" w:eastAsia="仿宋_GB2312" w:cs="仿宋_GB2312"/>
          <w:color w:val="auto"/>
          <w:kern w:val="2"/>
          <w:sz w:val="32"/>
          <w:szCs w:val="32"/>
          <w:highlight w:val="none"/>
          <w:lang w:val="en-US" w:eastAsia="zh-CN" w:bidi="ar-SA"/>
        </w:rPr>
      </w:pPr>
    </w:p>
    <w:p w14:paraId="2B357A89">
      <w:pPr>
        <w:rPr>
          <w:rFonts w:hint="eastAsia" w:ascii="Times New Roman" w:hAnsi="Times New Roman" w:eastAsia="仿宋_GB2312" w:cs="仿宋_GB2312"/>
          <w:color w:val="auto"/>
          <w:kern w:val="2"/>
          <w:sz w:val="32"/>
          <w:szCs w:val="32"/>
          <w:highlight w:val="none"/>
          <w:lang w:val="en-US" w:eastAsia="zh-CN" w:bidi="ar-SA"/>
        </w:rPr>
      </w:pPr>
    </w:p>
    <w:p w14:paraId="63B1A8F8">
      <w:pPr>
        <w:pStyle w:val="13"/>
        <w:rPr>
          <w:rFonts w:hint="eastAsia" w:ascii="Times New Roman" w:hAnsi="Times New Roman" w:eastAsia="仿宋_GB2312" w:cs="仿宋_GB2312"/>
          <w:color w:val="auto"/>
          <w:kern w:val="2"/>
          <w:sz w:val="32"/>
          <w:szCs w:val="32"/>
          <w:highlight w:val="none"/>
          <w:lang w:val="en-US" w:eastAsia="zh-CN" w:bidi="ar-SA"/>
        </w:rPr>
      </w:pPr>
    </w:p>
    <w:p w14:paraId="78DF5614">
      <w:pPr>
        <w:pStyle w:val="8"/>
        <w:rPr>
          <w:rFonts w:hint="eastAsia"/>
          <w:lang w:val="en-US" w:eastAsia="zh-CN"/>
        </w:rPr>
      </w:pPr>
    </w:p>
    <w:p w14:paraId="26257B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C53CD4">
      <w:pPr>
        <w:pStyle w:val="13"/>
        <w:rPr>
          <w:rFonts w:hint="eastAsia" w:ascii="Times New Roman" w:hAnsi="Times New Roman" w:eastAsia="仿宋_GB2312" w:cs="仿宋_GB2312"/>
          <w:color w:val="auto"/>
          <w:kern w:val="2"/>
          <w:sz w:val="32"/>
          <w:szCs w:val="32"/>
          <w:highlight w:val="none"/>
          <w:lang w:val="en-US" w:eastAsia="zh-CN" w:bidi="ar-SA"/>
        </w:rPr>
      </w:pPr>
    </w:p>
    <w:p w14:paraId="36FE90E4">
      <w:pPr>
        <w:pStyle w:val="8"/>
        <w:rPr>
          <w:rFonts w:hint="eastAsia" w:ascii="Times New Roman" w:hAnsi="Times New Roman" w:eastAsia="仿宋_GB2312" w:cs="仿宋_GB2312"/>
          <w:color w:val="auto"/>
          <w:kern w:val="2"/>
          <w:sz w:val="32"/>
          <w:szCs w:val="32"/>
          <w:highlight w:val="none"/>
          <w:lang w:val="en-US" w:eastAsia="zh-CN" w:bidi="ar-SA"/>
        </w:rPr>
      </w:pPr>
    </w:p>
    <w:p w14:paraId="7F32B443">
      <w:pPr>
        <w:rPr>
          <w:rFonts w:hint="eastAsia"/>
          <w:lang w:val="en-US" w:eastAsia="zh-CN"/>
        </w:rPr>
      </w:pPr>
    </w:p>
    <w:p w14:paraId="6E0B823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35D1595C">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 w:hAnsi="仿宋" w:eastAsia="仿宋" w:cs="仿宋"/>
          <w:b/>
          <w:bCs/>
          <w:color w:val="000000"/>
          <w:sz w:val="32"/>
          <w:szCs w:val="32"/>
        </w:rPr>
        <w:t>一般公共服务支出</w:t>
      </w:r>
      <w:r>
        <w:rPr>
          <w:rFonts w:hint="eastAsia" w:ascii="仿宋" w:hAnsi="仿宋" w:eastAsia="仿宋" w:cs="仿宋"/>
          <w:color w:val="000000"/>
          <w:sz w:val="32"/>
          <w:szCs w:val="32"/>
          <w:lang w:val="en-US" w:eastAsia="zh-CN"/>
        </w:rPr>
        <w:t>36.24</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71.18</w:t>
      </w:r>
      <w:r>
        <w:rPr>
          <w:rFonts w:hint="eastAsia" w:ascii="仿宋" w:hAnsi="仿宋" w:eastAsia="仿宋" w:cs="仿宋"/>
          <w:color w:val="000000"/>
          <w:sz w:val="32"/>
          <w:szCs w:val="32"/>
        </w:rPr>
        <w:t>%；</w:t>
      </w:r>
      <w:r>
        <w:rPr>
          <w:rFonts w:hint="eastAsia" w:ascii="仿宋" w:hAnsi="仿宋" w:eastAsia="仿宋" w:cs="仿宋"/>
          <w:b/>
          <w:bCs/>
          <w:color w:val="000000"/>
          <w:sz w:val="32"/>
          <w:szCs w:val="32"/>
        </w:rPr>
        <w:t>社会保障和就业支出</w:t>
      </w:r>
      <w:r>
        <w:rPr>
          <w:rFonts w:hint="eastAsia" w:ascii="仿宋" w:hAnsi="仿宋" w:eastAsia="仿宋" w:cs="仿宋"/>
          <w:color w:val="000000"/>
          <w:sz w:val="32"/>
          <w:szCs w:val="32"/>
          <w:lang w:val="en-US" w:eastAsia="zh-CN"/>
        </w:rPr>
        <w:t>8.17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16.05</w:t>
      </w:r>
      <w:r>
        <w:rPr>
          <w:rFonts w:hint="eastAsia" w:ascii="仿宋" w:hAnsi="仿宋" w:eastAsia="仿宋" w:cs="仿宋"/>
          <w:color w:val="000000"/>
          <w:sz w:val="32"/>
          <w:szCs w:val="32"/>
        </w:rPr>
        <w:t>%；</w:t>
      </w:r>
      <w:r>
        <w:rPr>
          <w:rFonts w:hint="eastAsia" w:ascii="仿宋" w:hAnsi="仿宋" w:eastAsia="仿宋" w:cs="仿宋"/>
          <w:b/>
          <w:bCs/>
          <w:color w:val="000000"/>
          <w:sz w:val="32"/>
          <w:szCs w:val="32"/>
        </w:rPr>
        <w:t>卫生健康支出</w:t>
      </w:r>
      <w:r>
        <w:rPr>
          <w:rFonts w:hint="eastAsia" w:ascii="仿宋" w:hAnsi="仿宋" w:eastAsia="仿宋" w:cs="仿宋"/>
          <w:color w:val="000000"/>
          <w:sz w:val="32"/>
          <w:szCs w:val="32"/>
        </w:rPr>
        <w:t>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5.11</w:t>
      </w:r>
      <w:r>
        <w:rPr>
          <w:rFonts w:hint="eastAsia" w:ascii="仿宋" w:hAnsi="仿宋" w:eastAsia="仿宋" w:cs="仿宋"/>
          <w:color w:val="000000"/>
          <w:sz w:val="32"/>
          <w:szCs w:val="32"/>
        </w:rPr>
        <w:t>%；</w:t>
      </w:r>
      <w:r>
        <w:rPr>
          <w:rFonts w:hint="eastAsia" w:ascii="仿宋" w:hAnsi="仿宋" w:eastAsia="仿宋" w:cs="仿宋"/>
          <w:b/>
          <w:bCs/>
          <w:color w:val="000000"/>
          <w:sz w:val="32"/>
          <w:szCs w:val="32"/>
        </w:rPr>
        <w:t>住房保障支出</w:t>
      </w:r>
      <w:r>
        <w:rPr>
          <w:rFonts w:hint="eastAsia" w:ascii="仿宋" w:hAnsi="仿宋" w:eastAsia="仿宋" w:cs="仿宋"/>
          <w:color w:val="000000"/>
          <w:sz w:val="32"/>
          <w:szCs w:val="32"/>
        </w:rPr>
        <w:t>3.</w:t>
      </w:r>
      <w:r>
        <w:rPr>
          <w:rFonts w:hint="eastAsia" w:ascii="仿宋" w:hAnsi="仿宋" w:eastAsia="仿宋" w:cs="仿宋"/>
          <w:color w:val="000000"/>
          <w:sz w:val="32"/>
          <w:szCs w:val="32"/>
          <w:lang w:val="en-US" w:eastAsia="zh-CN"/>
        </w:rPr>
        <w:t>91</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7.68</w:t>
      </w:r>
      <w:r>
        <w:rPr>
          <w:rFonts w:hint="eastAsia" w:ascii="仿宋" w:hAnsi="仿宋" w:eastAsia="仿宋" w:cs="仿宋"/>
          <w:color w:val="000000"/>
          <w:sz w:val="32"/>
          <w:szCs w:val="32"/>
        </w:rPr>
        <w:t>%。</w:t>
      </w:r>
      <w:r>
        <w:rPr>
          <w:rFonts w:ascii="仿宋" w:hAnsi="仿宋" w:eastAsia="仿宋" w:cs="仿宋"/>
          <w:b/>
          <w:bCs/>
          <w:color w:val="000000"/>
          <w:sz w:val="32"/>
          <w:szCs w:val="32"/>
        </w:rPr>
        <w:t>（</w:t>
      </w:r>
      <w:r>
        <w:rPr>
          <w:rFonts w:hint="eastAsia" w:ascii="仿宋" w:hAnsi="仿宋" w:eastAsia="仿宋" w:cs="仿宋"/>
          <w:b/>
          <w:bCs/>
          <w:color w:val="000000"/>
          <w:sz w:val="32"/>
          <w:szCs w:val="32"/>
        </w:rPr>
        <w:t>注：数据来源于财决</w:t>
      </w:r>
      <w:r>
        <w:rPr>
          <w:rFonts w:hint="eastAsia" w:ascii="仿宋" w:hAnsi="仿宋" w:eastAsia="仿宋" w:cs="仿宋"/>
          <w:b/>
          <w:bCs/>
          <w:color w:val="000000"/>
          <w:sz w:val="32"/>
          <w:szCs w:val="32"/>
          <w:lang w:val="en-US" w:eastAsia="zh-CN"/>
        </w:rPr>
        <w:t>06</w:t>
      </w:r>
      <w:r>
        <w:rPr>
          <w:rFonts w:hint="eastAsia" w:ascii="仿宋" w:hAnsi="仿宋" w:eastAsia="仿宋" w:cs="仿宋"/>
          <w:b/>
          <w:bCs/>
          <w:color w:val="000000"/>
          <w:sz w:val="32"/>
          <w:szCs w:val="32"/>
        </w:rPr>
        <w:t>表，仅罗列本单位涉及的全部功能分类科目，至类级。）</w:t>
      </w:r>
    </w:p>
    <w:p w14:paraId="534097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B7A41B6">
      <w:pPr>
        <w:pStyle w:val="13"/>
        <w:rPr>
          <w:rFonts w:hint="eastAsia"/>
          <w:lang w:val="en-US" w:eastAsia="zh-CN"/>
        </w:rPr>
      </w:pPr>
      <w:r>
        <w:rPr>
          <w:rFonts w:hint="eastAsia"/>
          <w:lang w:val="en-US" w:eastAsia="zh-CN"/>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6C44D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3B8F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40116F5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7" w:name="_Toc15377444"/>
      <w:bookmarkStart w:id="38" w:name="_Toc15377213"/>
      <w:bookmarkStart w:id="3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0CF86B0B">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jc w:val="both"/>
        <w:textAlignment w:val="auto"/>
      </w:pPr>
      <w:r>
        <w:rPr>
          <w:rFonts w:ascii="仿宋" w:hAnsi="仿宋" w:eastAsia="仿宋" w:cs="仿宋"/>
          <w:b/>
          <w:bCs/>
          <w:color w:val="000000"/>
          <w:sz w:val="32"/>
          <w:szCs w:val="32"/>
        </w:rPr>
        <w:t>1</w:t>
      </w:r>
      <w:r>
        <w:rPr>
          <w:rFonts w:hint="eastAsia" w:ascii="仿宋" w:hAnsi="仿宋" w:eastAsia="仿宋" w:cs="仿宋"/>
          <w:b/>
          <w:bCs/>
          <w:color w:val="000000"/>
          <w:sz w:val="32"/>
          <w:szCs w:val="32"/>
        </w:rPr>
        <w:t>.一般公共服务支出（类）</w:t>
      </w:r>
      <w:r>
        <w:rPr>
          <w:rFonts w:ascii="仿宋_GB2312" w:eastAsia="仿宋_GB2312" w:cs="仿宋_GB2312"/>
          <w:b/>
          <w:bCs/>
          <w:color w:val="000000"/>
          <w:sz w:val="32"/>
          <w:szCs w:val="32"/>
        </w:rPr>
        <w:t>市场监督管理事务</w:t>
      </w:r>
      <w:r>
        <w:rPr>
          <w:rFonts w:hint="eastAsia" w:ascii="仿宋" w:hAnsi="仿宋" w:eastAsia="仿宋" w:cs="仿宋"/>
          <w:b/>
          <w:bCs/>
          <w:color w:val="000000"/>
          <w:sz w:val="32"/>
          <w:szCs w:val="32"/>
        </w:rPr>
        <w:t>（款）事业运行（项）:</w:t>
      </w:r>
      <w:r>
        <w:rPr>
          <w:rFonts w:hint="eastAsia" w:ascii="仿宋" w:hAnsi="仿宋" w:eastAsia="仿宋" w:cs="仿宋"/>
          <w:color w:val="000000"/>
          <w:sz w:val="32"/>
          <w:szCs w:val="32"/>
        </w:rPr>
        <w:t> 支出决算为</w:t>
      </w:r>
      <w:r>
        <w:rPr>
          <w:rFonts w:hint="eastAsia" w:ascii="仿宋" w:hAnsi="仿宋" w:eastAsia="仿宋" w:cs="仿宋"/>
          <w:color w:val="000000"/>
          <w:sz w:val="32"/>
          <w:szCs w:val="32"/>
          <w:lang w:val="en-US" w:eastAsia="zh-CN"/>
        </w:rPr>
        <w:t>36.24</w:t>
      </w:r>
      <w:r>
        <w:rPr>
          <w:rFonts w:hint="eastAsia" w:ascii="仿宋" w:hAnsi="仿宋" w:eastAsia="仿宋" w:cs="仿宋"/>
          <w:color w:val="000000"/>
          <w:sz w:val="32"/>
          <w:szCs w:val="32"/>
        </w:rPr>
        <w:t>万元，完成预算100%，决算数等于预算数。</w:t>
      </w:r>
    </w:p>
    <w:p w14:paraId="0031118A">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3"/>
        <w:jc w:val="both"/>
        <w:textAlignment w:val="auto"/>
      </w:pPr>
      <w:r>
        <w:rPr>
          <w:rFonts w:hint="eastAsia" w:ascii="仿宋_GB2312" w:eastAsia="仿宋_GB2312" w:cs="仿宋_GB2312"/>
          <w:b/>
          <w:bCs/>
          <w:color w:val="000000"/>
          <w:sz w:val="32"/>
          <w:szCs w:val="32"/>
        </w:rPr>
        <w:t>2.社会保障和就业支出（类）行政事业单位养老支出（款）机关事业单位基本养老保险缴费支出（项）:</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5.44</w:t>
      </w:r>
      <w:r>
        <w:rPr>
          <w:rFonts w:hint="eastAsia" w:ascii="仿宋_GB2312" w:eastAsia="仿宋_GB2312" w:cs="仿宋_GB2312"/>
          <w:color w:val="000000"/>
          <w:sz w:val="32"/>
          <w:szCs w:val="32"/>
        </w:rPr>
        <w:t>万元，完成预算100%，决算数等于预算数。</w:t>
      </w:r>
    </w:p>
    <w:p w14:paraId="75D0B1ED">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3"/>
        <w:jc w:val="both"/>
        <w:textAlignment w:val="auto"/>
      </w:pPr>
      <w:r>
        <w:rPr>
          <w:rFonts w:hint="eastAsia" w:ascii="仿宋_GB2312" w:eastAsia="仿宋_GB2312" w:cs="仿宋_GB2312"/>
          <w:b/>
          <w:bCs/>
          <w:color w:val="000000"/>
          <w:sz w:val="32"/>
          <w:szCs w:val="32"/>
        </w:rPr>
        <w:t>3.社会保障和就业支出（类）行政事业单位养老支出（款）机关事业单位职业年金缴费支出（项）:</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2.72</w:t>
      </w:r>
      <w:r>
        <w:rPr>
          <w:rFonts w:hint="eastAsia" w:ascii="仿宋_GB2312" w:eastAsia="仿宋_GB2312" w:cs="仿宋_GB2312"/>
          <w:color w:val="000000"/>
          <w:sz w:val="32"/>
          <w:szCs w:val="32"/>
        </w:rPr>
        <w:t>万元，完成预算100%，决算数等于预算数。</w:t>
      </w:r>
    </w:p>
    <w:p w14:paraId="7BE448E1">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3"/>
        <w:jc w:val="both"/>
        <w:textAlignment w:val="auto"/>
      </w:pPr>
      <w:r>
        <w:rPr>
          <w:rFonts w:hint="eastAsia" w:ascii="仿宋_GB2312" w:eastAsia="仿宋_GB2312" w:cs="仿宋_GB2312"/>
          <w:b/>
          <w:bCs/>
          <w:color w:val="000000"/>
          <w:sz w:val="32"/>
          <w:szCs w:val="32"/>
        </w:rPr>
        <w:t>4.卫生健康支出（类）行政事业单位医疗（款）事业单位医疗（项）:</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2.24</w:t>
      </w:r>
      <w:r>
        <w:rPr>
          <w:rFonts w:hint="eastAsia" w:ascii="仿宋_GB2312" w:eastAsia="仿宋_GB2312" w:cs="仿宋_GB2312"/>
          <w:color w:val="000000"/>
          <w:sz w:val="32"/>
          <w:szCs w:val="32"/>
        </w:rPr>
        <w:t>万元，完成预算100%，决算数等于预算数。</w:t>
      </w:r>
    </w:p>
    <w:p w14:paraId="24EAF86D">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420"/>
        <w:jc w:val="both"/>
        <w:textAlignment w:val="auto"/>
      </w:pPr>
      <w:r>
        <w:rPr>
          <w:rFonts w:hint="eastAsia" w:ascii="仿宋_GB2312" w:eastAsia="仿宋_GB2312" w:cs="仿宋_GB2312"/>
          <w:b/>
          <w:bCs/>
          <w:color w:val="000000"/>
          <w:sz w:val="32"/>
          <w:szCs w:val="32"/>
        </w:rPr>
        <w:t>5.卫生健康支出（类）行政事业单位医疗（款）其他行政事业单位医疗支出（项）:</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0.36</w:t>
      </w:r>
      <w:r>
        <w:rPr>
          <w:rFonts w:hint="eastAsia" w:ascii="仿宋_GB2312" w:eastAsia="仿宋_GB2312" w:cs="仿宋_GB2312"/>
          <w:color w:val="000000"/>
          <w:sz w:val="32"/>
          <w:szCs w:val="32"/>
        </w:rPr>
        <w:t>万元，完成预算100%，决算数等于预算数。</w:t>
      </w:r>
    </w:p>
    <w:p w14:paraId="3E5E2362">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3"/>
        <w:jc w:val="both"/>
        <w:textAlignment w:val="auto"/>
      </w:pPr>
      <w:r>
        <w:rPr>
          <w:rFonts w:hint="eastAsia" w:ascii="仿宋_GB2312" w:eastAsia="仿宋_GB2312" w:cs="仿宋_GB2312"/>
          <w:b/>
          <w:bCs/>
          <w:color w:val="000000"/>
          <w:sz w:val="32"/>
          <w:szCs w:val="32"/>
        </w:rPr>
        <w:t>6.住房保障支出（类）住房改革支出（款）住房公积金（项）:</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3.91</w:t>
      </w:r>
      <w:r>
        <w:rPr>
          <w:rFonts w:hint="eastAsia" w:ascii="仿宋_GB2312" w:eastAsia="仿宋_GB2312" w:cs="仿宋_GB2312"/>
          <w:color w:val="000000"/>
          <w:sz w:val="32"/>
          <w:szCs w:val="32"/>
        </w:rPr>
        <w:t>万元，完成预算100%，决算数等于预算数。</w:t>
      </w:r>
    </w:p>
    <w:p w14:paraId="0B8E555C">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61CF3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BE550D">
      <w:pPr>
        <w:tabs>
          <w:tab w:val="right" w:pos="8306"/>
        </w:tabs>
        <w:spacing w:line="600" w:lineRule="exact"/>
        <w:ind w:firstLine="640"/>
        <w:outlineLvl w:val="1"/>
        <w:rPr>
          <w:rStyle w:val="30"/>
          <w:rFonts w:ascii="Times New Roman" w:hAnsi="Times New Roman"/>
          <w:color w:val="auto"/>
          <w:highlight w:val="none"/>
        </w:rPr>
      </w:pPr>
      <w:bookmarkStart w:id="40" w:name="_Toc15377214"/>
      <w:bookmarkStart w:id="41" w:name="_Toc15396608"/>
      <w:bookmarkStart w:id="42" w:name="_Toc2542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0"/>
      <w:bookmarkEnd w:id="41"/>
      <w:bookmarkEnd w:id="42"/>
      <w:r>
        <w:rPr>
          <w:rStyle w:val="30"/>
          <w:rFonts w:ascii="Times New Roman" w:hAnsi="Times New Roman" w:eastAsia="黑体"/>
          <w:b w:val="0"/>
          <w:color w:val="auto"/>
          <w:highlight w:val="none"/>
        </w:rPr>
        <w:tab/>
      </w:r>
    </w:p>
    <w:p w14:paraId="3F39BD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50.91</w:t>
      </w:r>
      <w:r>
        <w:rPr>
          <w:rFonts w:hint="eastAsia" w:ascii="Times New Roman" w:hAnsi="Times New Roman" w:eastAsia="仿宋_GB2312" w:cs="仿宋_GB2312"/>
          <w:color w:val="auto"/>
          <w:kern w:val="2"/>
          <w:sz w:val="32"/>
          <w:szCs w:val="32"/>
          <w:highlight w:val="none"/>
          <w:lang w:val="en-US" w:eastAsia="zh-CN" w:bidi="ar-SA"/>
        </w:rPr>
        <w:t>万元，其中：</w:t>
      </w:r>
    </w:p>
    <w:p w14:paraId="61F97B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48.25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2.66</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BB9491D">
      <w:pPr>
        <w:pStyle w:val="1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645"/>
        <w:jc w:val="both"/>
      </w:pPr>
      <w:r>
        <w:rPr>
          <w:rFonts w:ascii="仿宋" w:hAnsi="仿宋" w:eastAsia="仿宋" w:cs="仿宋"/>
          <w:b/>
          <w:bCs/>
          <w:color w:val="000000"/>
          <w:sz w:val="32"/>
          <w:szCs w:val="32"/>
        </w:rPr>
        <w:t>（注：数据来源于</w:t>
      </w:r>
      <w:r>
        <w:rPr>
          <w:rFonts w:hint="eastAsia" w:ascii="仿宋" w:hAnsi="仿宋" w:eastAsia="仿宋" w:cs="仿宋"/>
          <w:b/>
          <w:bCs/>
          <w:color w:val="000000"/>
          <w:sz w:val="32"/>
          <w:szCs w:val="32"/>
        </w:rPr>
        <w:t>财决08表，仅罗列本单位实际支出涉及的经济分类科目。）</w:t>
      </w:r>
    </w:p>
    <w:p w14:paraId="19825B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B1E9FB">
      <w:pPr>
        <w:spacing w:line="600" w:lineRule="exact"/>
        <w:ind w:firstLine="640"/>
        <w:outlineLvl w:val="1"/>
        <w:rPr>
          <w:rStyle w:val="30"/>
          <w:rFonts w:ascii="Times New Roman" w:hAnsi="Times New Roman" w:eastAsia="黑体"/>
          <w:b w:val="0"/>
          <w:color w:val="auto"/>
          <w:highlight w:val="none"/>
        </w:rPr>
      </w:pPr>
      <w:bookmarkStart w:id="43" w:name="_Toc15396609"/>
      <w:bookmarkStart w:id="44" w:name="_Toc3249"/>
      <w:bookmarkStart w:id="45"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3"/>
      <w:bookmarkEnd w:id="44"/>
      <w:bookmarkEnd w:id="45"/>
    </w:p>
    <w:p w14:paraId="0C89E83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6"/>
    </w:p>
    <w:p w14:paraId="4FFE973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0.36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等于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w:t>
      </w:r>
    </w:p>
    <w:p w14:paraId="794382A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6739AC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14:paraId="35A0B2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143A7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104E5CF">
      <w:pPr>
        <w:pStyle w:val="13"/>
        <w:rPr>
          <w:rFonts w:hint="eastAsia" w:ascii="Times New Roman" w:hAnsi="Times New Roman" w:eastAsia="仿宋_GB2312" w:cs="仿宋_GB2312"/>
          <w:color w:val="auto"/>
          <w:kern w:val="2"/>
          <w:sz w:val="32"/>
          <w:szCs w:val="32"/>
          <w:highlight w:val="none"/>
          <w:lang w:val="en-US" w:eastAsia="zh-CN" w:bidi="ar-SA"/>
        </w:rPr>
      </w:pPr>
    </w:p>
    <w:p w14:paraId="3E56BD50">
      <w:pPr>
        <w:pStyle w:val="8"/>
        <w:rPr>
          <w:rFonts w:hint="eastAsia"/>
          <w:lang w:val="en-US" w:eastAsia="zh-CN"/>
        </w:rPr>
      </w:pPr>
      <w:r>
        <w:rPr>
          <w:rFonts w:hint="eastAsia"/>
          <w:lang w:val="en-US" w:eastAsia="zh-CN"/>
        </w:rPr>
        <w:drawing>
          <wp:inline distT="0" distB="0" distL="114300" distR="114300">
            <wp:extent cx="4730115" cy="2988310"/>
            <wp:effectExtent l="5080" t="5080" r="14605" b="1651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A3863C3">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_GB2312" w:eastAsia="仿宋_GB2312" w:cs="仿宋_GB2312"/>
          <w:b/>
          <w:bCs/>
          <w:color w:val="000000"/>
          <w:sz w:val="32"/>
          <w:szCs w:val="32"/>
        </w:rPr>
        <w:t>1.</w:t>
      </w:r>
      <w:r>
        <w:rPr>
          <w:rFonts w:hint="eastAsia" w:ascii="仿宋_GB2312" w:eastAsia="仿宋_GB2312" w:cs="仿宋_GB2312"/>
          <w:b/>
          <w:bCs/>
          <w:color w:val="000000"/>
          <w:sz w:val="32"/>
          <w:szCs w:val="32"/>
        </w:rPr>
        <w:t>因公出国（境）经费支出</w:t>
      </w:r>
      <w:r>
        <w:rPr>
          <w:rFonts w:hint="eastAsia" w:ascii="仿宋_GB2312" w:eastAsia="仿宋_GB2312" w:cs="仿宋_GB2312"/>
          <w:color w:val="000000"/>
          <w:sz w:val="32"/>
          <w:szCs w:val="32"/>
        </w:rPr>
        <w:t>0万元，</w:t>
      </w:r>
      <w:r>
        <w:rPr>
          <w:rFonts w:ascii="仿宋" w:hAnsi="仿宋" w:eastAsia="仿宋" w:cs="仿宋"/>
          <w:color w:val="000000"/>
          <w:sz w:val="32"/>
          <w:szCs w:val="32"/>
        </w:rPr>
        <w:t>完成预算</w:t>
      </w:r>
      <w:r>
        <w:rPr>
          <w:rFonts w:hint="eastAsia" w:ascii="仿宋" w:hAnsi="仿宋" w:eastAsia="仿宋" w:cs="仿宋"/>
          <w:color w:val="000000"/>
          <w:sz w:val="32"/>
          <w:szCs w:val="32"/>
        </w:rPr>
        <w:t>0%。</w:t>
      </w:r>
      <w:r>
        <w:rPr>
          <w:rFonts w:hint="eastAsia" w:ascii="仿宋_GB2312" w:eastAsia="仿宋_GB2312" w:cs="仿宋_GB2312"/>
          <w:color w:val="000000"/>
          <w:sz w:val="32"/>
          <w:szCs w:val="32"/>
        </w:rPr>
        <w:t>全年安排因公出国（境）团组0次，出国（境）0人。因公出国（境）支出决算比202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年度增加/减少0万元，增长/下降0%。主要原因是</w:t>
      </w:r>
      <w:r>
        <w:rPr>
          <w:rFonts w:hint="eastAsia" w:ascii="仿宋" w:hAnsi="仿宋" w:eastAsia="仿宋" w:cs="仿宋"/>
          <w:color w:val="000000"/>
          <w:sz w:val="32"/>
          <w:szCs w:val="32"/>
        </w:rPr>
        <w:t>主要原因是本单位属壤塘县市场监督管理局下属部门，无</w:t>
      </w:r>
      <w:r>
        <w:rPr>
          <w:rFonts w:hint="eastAsia" w:ascii="仿宋_GB2312" w:eastAsia="仿宋_GB2312" w:cs="仿宋_GB2312"/>
          <w:color w:val="000000"/>
          <w:sz w:val="32"/>
          <w:szCs w:val="32"/>
        </w:rPr>
        <w:t>因公出国（境）经费支出。</w:t>
      </w:r>
    </w:p>
    <w:p w14:paraId="7476417F">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0.36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0.36</w:t>
      </w:r>
      <w:r>
        <w:rPr>
          <w:rFonts w:hint="eastAsia" w:ascii="Times New Roman" w:hAnsi="Times New Roman" w:eastAsia="仿宋_GB2312" w:cs="仿宋_GB2312"/>
          <w:color w:val="auto"/>
          <w:kern w:val="2"/>
          <w:sz w:val="32"/>
          <w:szCs w:val="32"/>
          <w:highlight w:val="none"/>
          <w:lang w:val="en-US" w:eastAsia="zh-CN" w:bidi="ar-SA"/>
        </w:rPr>
        <w:t>万元。</w:t>
      </w:r>
    </w:p>
    <w:p w14:paraId="0351D414">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、食品安全快速检测车1辆</w:t>
      </w:r>
      <w:r>
        <w:rPr>
          <w:rFonts w:hint="eastAsia" w:ascii="Times New Roman" w:hAnsi="Times New Roman" w:eastAsia="仿宋_GB2312" w:cs="仿宋_GB2312"/>
          <w:color w:val="auto"/>
          <w:kern w:val="2"/>
          <w:sz w:val="32"/>
          <w:szCs w:val="32"/>
          <w:highlight w:val="none"/>
          <w:lang w:val="en-US" w:eastAsia="zh-CN" w:bidi="ar-SA"/>
        </w:rPr>
        <w:t>。</w:t>
      </w:r>
    </w:p>
    <w:p w14:paraId="153C5993">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0.36</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0A944A69">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1"/>
        <w:textAlignment w:val="auto"/>
        <w:rPr>
          <w:rFonts w:hint="eastAsia" w:ascii="仿宋_GB2312" w:hAnsi="宋体" w:eastAsia="仿宋_GB2312" w:cs="仿宋_GB2312"/>
          <w:color w:val="000000"/>
          <w:sz w:val="32"/>
          <w:szCs w:val="32"/>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宋体" w:eastAsia="仿宋_GB2312" w:cs="仿宋_GB2312"/>
          <w:color w:val="000000"/>
          <w:sz w:val="32"/>
          <w:szCs w:val="32"/>
        </w:rPr>
        <w:t>其中：</w:t>
      </w:r>
      <w:r>
        <w:rPr>
          <w:rFonts w:hint="eastAsia" w:ascii="仿宋" w:hAnsi="仿宋" w:eastAsia="仿宋" w:cs="仿宋"/>
          <w:b/>
          <w:bCs/>
          <w:color w:val="000000"/>
          <w:sz w:val="32"/>
          <w:szCs w:val="32"/>
        </w:rPr>
        <w:t>国内公务接待支出</w:t>
      </w:r>
      <w:r>
        <w:rPr>
          <w:rFonts w:hint="eastAsia" w:ascii="仿宋" w:hAnsi="仿宋" w:eastAsia="仿宋" w:cs="仿宋"/>
          <w:color w:val="000000"/>
          <w:sz w:val="32"/>
          <w:szCs w:val="32"/>
        </w:rPr>
        <w:t>0</w:t>
      </w:r>
      <w:r>
        <w:rPr>
          <w:rFonts w:hint="eastAsia" w:ascii="仿宋_GB2312" w:hAnsi="宋体" w:eastAsia="仿宋_GB2312" w:cs="仿宋_GB2312"/>
          <w:color w:val="000000"/>
          <w:sz w:val="32"/>
          <w:szCs w:val="32"/>
        </w:rPr>
        <w:t>万元。</w:t>
      </w:r>
      <w:r>
        <w:rPr>
          <w:rFonts w:hint="eastAsia" w:ascii="仿宋" w:hAnsi="仿宋" w:eastAsia="仿宋" w:cs="仿宋"/>
          <w:b/>
          <w:bCs/>
          <w:color w:val="000000"/>
          <w:sz w:val="32"/>
          <w:szCs w:val="32"/>
        </w:rPr>
        <w:t>外事接待支出</w:t>
      </w:r>
      <w:r>
        <w:rPr>
          <w:rFonts w:hint="eastAsia" w:ascii="仿宋" w:hAnsi="仿宋" w:eastAsia="仿宋" w:cs="仿宋"/>
          <w:color w:val="000000"/>
          <w:sz w:val="32"/>
          <w:szCs w:val="32"/>
        </w:rPr>
        <w:t>0</w:t>
      </w:r>
      <w:r>
        <w:rPr>
          <w:rFonts w:hint="eastAsia" w:ascii="仿宋_GB2312" w:hAnsi="宋体" w:eastAsia="仿宋_GB2312" w:cs="仿宋_GB2312"/>
          <w:color w:val="000000"/>
          <w:sz w:val="32"/>
          <w:szCs w:val="32"/>
        </w:rPr>
        <w:t>万元。</w:t>
      </w:r>
    </w:p>
    <w:p w14:paraId="7B8011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218"/>
      <w:bookmarkStart w:id="49" w:name="_Toc15396610"/>
    </w:p>
    <w:p w14:paraId="49610D09">
      <w:pPr>
        <w:spacing w:line="600" w:lineRule="exact"/>
        <w:ind w:firstLine="640"/>
        <w:outlineLvl w:val="1"/>
        <w:rPr>
          <w:rStyle w:val="30"/>
          <w:rFonts w:ascii="Times New Roman" w:hAnsi="Times New Roman" w:eastAsia="黑体"/>
          <w:color w:val="auto"/>
          <w:highlight w:val="none"/>
        </w:rPr>
      </w:pPr>
      <w:bookmarkStart w:id="50" w:name="_Toc2703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8"/>
      <w:bookmarkEnd w:id="49"/>
      <w:bookmarkEnd w:id="50"/>
    </w:p>
    <w:p w14:paraId="1738AB37">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03E86B8">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51" w:name="_Toc15396611"/>
      <w:bookmarkStart w:id="52" w:name="_Toc15377219"/>
    </w:p>
    <w:p w14:paraId="2416B4DE">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3" w:name="_Toc24574"/>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1"/>
      <w:bookmarkEnd w:id="52"/>
      <w:bookmarkEnd w:id="53"/>
    </w:p>
    <w:p w14:paraId="584A5C3C">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0B875628">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54" w:name="_Toc15396612"/>
      <w:bookmarkStart w:id="55" w:name="_Toc15377221"/>
    </w:p>
    <w:p w14:paraId="77E3189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6" w:name="_Toc19695"/>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4"/>
      <w:bookmarkEnd w:id="55"/>
      <w:bookmarkEnd w:id="56"/>
    </w:p>
    <w:p w14:paraId="58B0D82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14:paraId="78E2B3ED">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年度，壤塘县市场监督管理所机关运行经费支出0万元，比202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年度增加/减少0万元，增长/下降0%。</w:t>
      </w:r>
    </w:p>
    <w:p w14:paraId="0306318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335FC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3"/>
      <w:r>
        <w:rPr>
          <w:rFonts w:hint="eastAsia" w:ascii="Times New Roman" w:hAnsi="Times New Roman" w:eastAsia="楷体_GB2312" w:cs="楷体_GB2312"/>
          <w:b/>
          <w:color w:val="auto"/>
          <w:sz w:val="32"/>
          <w:szCs w:val="32"/>
          <w:highlight w:val="none"/>
        </w:rPr>
        <w:t>（二）政府采购支出情况</w:t>
      </w:r>
      <w:bookmarkEnd w:id="58"/>
    </w:p>
    <w:p w14:paraId="14B9D0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壤塘县市场监督管理所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4D39C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3655E9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14:paraId="570A8C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壤塘县市场监督管理所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食品安全检测。</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A8BCD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C6ECA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73EEF0A">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pPr>
      <w:r>
        <w:rPr>
          <w:rFonts w:ascii="仿宋_GB2312" w:eastAsia="仿宋_GB2312" w:cs="仿宋_GB2312"/>
          <w:color w:val="000000"/>
          <w:sz w:val="32"/>
          <w:szCs w:val="32"/>
        </w:rPr>
        <w:t>根据预算绩效管理要求，本单位在</w:t>
      </w:r>
      <w:r>
        <w:rPr>
          <w:rFonts w:hint="eastAsia"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年度预算编制阶段，组织对0个项目开展了预算事前绩效评估，对0个项目编制了绩效目标，预算执行过程中，选取0个项目开展绩效监控，组织对0个项目开展绩效自评，绩效自评表详见第四部分附件。</w:t>
      </w:r>
    </w:p>
    <w:p w14:paraId="1242F5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BDEF7F">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49BF37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0" w:name="_Toc15377225"/>
      <w:bookmarkStart w:id="61" w:name="_Toc15396613"/>
      <w:bookmarkStart w:id="62" w:name="_Toc28494"/>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0"/>
      <w:bookmarkEnd w:id="61"/>
      <w:bookmarkEnd w:id="62"/>
    </w:p>
    <w:p w14:paraId="14308A00">
      <w:pPr>
        <w:spacing w:line="600" w:lineRule="exact"/>
        <w:jc w:val="left"/>
        <w:rPr>
          <w:rFonts w:ascii="Times New Roman" w:hAnsi="Times New Roman"/>
          <w:b/>
          <w:color w:val="auto"/>
          <w:sz w:val="44"/>
          <w:szCs w:val="44"/>
          <w:highlight w:val="none"/>
        </w:rPr>
      </w:pPr>
    </w:p>
    <w:p w14:paraId="0CECD4B7">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bookmarkStart w:id="63" w:name="_Toc15377226"/>
      <w:r>
        <w:rPr>
          <w:rFonts w:ascii="仿宋_GB2312" w:eastAsia="仿宋_GB2312" w:cs="仿宋_GB2312"/>
          <w:color w:val="000000"/>
          <w:sz w:val="32"/>
          <w:szCs w:val="32"/>
        </w:rPr>
        <w:t>1.</w:t>
      </w:r>
      <w:r>
        <w:rPr>
          <w:rFonts w:hint="eastAsia" w:ascii="仿宋_GB2312" w:eastAsia="仿宋_GB2312" w:cs="仿宋_GB2312"/>
          <w:color w:val="000000"/>
          <w:sz w:val="32"/>
          <w:szCs w:val="32"/>
        </w:rPr>
        <w:t>财政拨款收入：指单位从同级财政部门取得的财政预算资金。</w:t>
      </w:r>
    </w:p>
    <w:p w14:paraId="423BC8E2">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2.事业收入：指事业单位开展专业业务活动及辅助活动取得的收入。</w:t>
      </w:r>
    </w:p>
    <w:p w14:paraId="25123EC5">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3.经营收入：指事业单位在专业业务活动及其辅助活动之外开展非独立核算经营活动取得的收入。</w:t>
      </w:r>
    </w:p>
    <w:p w14:paraId="44171284">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4.其他收入：指单位取得的除上述收入以外的各项收入。 </w:t>
      </w:r>
    </w:p>
    <w:p w14:paraId="4183FB4D">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5.使用非财政拨款结余（含专用结余）：指事业单位使用以前年度积累的非财政拨款结余弥补当年收支差额的金额。 </w:t>
      </w:r>
    </w:p>
    <w:p w14:paraId="150AB80C">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6.年初结转和结余：指以前年度尚未完成、结转到本年按有关规定继续使用的资金。 </w:t>
      </w:r>
    </w:p>
    <w:p w14:paraId="70970550">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7.结余分配：指事业单位按照会计制度规定缴纳的所得税、提取的专用结余以及转入非财政拨款结余的金额等。</w:t>
      </w:r>
    </w:p>
    <w:p w14:paraId="5BDFDF81">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8.年末结转和结余：指单位按有关规定结转到下年或以后年度继续使用的资金。</w:t>
      </w:r>
    </w:p>
    <w:p w14:paraId="557E3F29">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9.社会保障和就业（类）社会保障就业支出（款）机关事业单位基本养老保险缴费支出（项）：指基本养老保险单位部分支出。</w:t>
      </w:r>
    </w:p>
    <w:p w14:paraId="38CA5C07">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10.社会保障和就业（类）行政事业单位养老支出（款）    机关事业单位职业年金缴费支出（项）：指单位实施养老保险制度由单位实际缴纳的职业年金支出。</w:t>
      </w:r>
    </w:p>
    <w:p w14:paraId="65632225">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11.卫生健康（类）行政事业单位医疗（款）事业单位医疗（项）：指反映财政部门安排的事业单位基本医疗保险缴费经费，未参加医疗保险的事业单位的公费 医疗经费，按国家规定享受离休人员待遇的医疗经费。</w:t>
      </w:r>
    </w:p>
    <w:p w14:paraId="75CA72C4">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12.卫生健康（类）行政事业单位医疗（款）其他行政事业单位医疗（项）：指反映除上述项目以外的其他用于行政事业单位医疗方面的支出。</w:t>
      </w:r>
    </w:p>
    <w:p w14:paraId="79C391C6">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13.住房保障支出（类）住房改革支出（款）住房公积金（项）:指单位按人力资源和社会保障部、财政部规定的基本工资和津贴补贴以及规定比例为职工缴纳的住房公积金。</w:t>
      </w:r>
    </w:p>
    <w:p w14:paraId="01863948">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ascii="仿宋" w:hAnsi="仿宋" w:eastAsia="仿宋" w:cs="仿宋"/>
          <w:b/>
          <w:bCs/>
          <w:color w:val="000000"/>
          <w:sz w:val="32"/>
          <w:szCs w:val="32"/>
        </w:rPr>
        <w:t>（解释本</w:t>
      </w:r>
      <w:r>
        <w:rPr>
          <w:rFonts w:hint="eastAsia" w:ascii="仿宋" w:hAnsi="仿宋" w:eastAsia="仿宋" w:cs="仿宋"/>
          <w:b/>
          <w:bCs/>
          <w:color w:val="000000"/>
          <w:sz w:val="32"/>
          <w:szCs w:val="32"/>
        </w:rPr>
        <w:t>单位决算报表中涉及的全部功能分类科目至项级，不涉及的科目请自行删除。请参照《202</w:t>
      </w:r>
      <w:r>
        <w:rPr>
          <w:rFonts w:hint="eastAsia" w:ascii="仿宋" w:hAnsi="仿宋" w:eastAsia="仿宋" w:cs="仿宋"/>
          <w:b/>
          <w:bCs/>
          <w:color w:val="000000"/>
          <w:sz w:val="32"/>
          <w:szCs w:val="32"/>
          <w:lang w:val="en-US" w:eastAsia="zh-CN"/>
        </w:rPr>
        <w:t>5</w:t>
      </w:r>
      <w:r>
        <w:rPr>
          <w:rFonts w:hint="eastAsia" w:ascii="仿宋" w:hAnsi="仿宋" w:eastAsia="仿宋" w:cs="仿宋"/>
          <w:b/>
          <w:bCs/>
          <w:color w:val="000000"/>
          <w:sz w:val="32"/>
          <w:szCs w:val="32"/>
        </w:rPr>
        <w:t>年政府收支分类科目》增减内容。）</w:t>
      </w:r>
    </w:p>
    <w:p w14:paraId="6D885D98">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14.基本支出：指为保障机构正常运转、完成日常工作任务而发生的人员支出和公用支出。</w:t>
      </w:r>
    </w:p>
    <w:p w14:paraId="12EB7844">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15.项目支出：指在基本支出之外为完成特定行政任务和事业发展目标所发生的支出。 </w:t>
      </w:r>
    </w:p>
    <w:p w14:paraId="536B9C95">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jc w:val="both"/>
        <w:textAlignment w:val="auto"/>
      </w:pPr>
      <w:r>
        <w:rPr>
          <w:rFonts w:hint="eastAsia" w:ascii="仿宋_GB2312" w:eastAsia="仿宋_GB2312" w:cs="仿宋_GB2312"/>
          <w:color w:val="000000"/>
          <w:sz w:val="32"/>
          <w:szCs w:val="32"/>
        </w:rPr>
        <w:t>16.经营支出：指事业单位在专业业务活动及其辅助活动之外开展非独立核算经营活动发生的支出。</w:t>
      </w:r>
    </w:p>
    <w:p w14:paraId="13985EBE">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17.“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63FEB1">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0"/>
        <w:textAlignment w:val="auto"/>
      </w:pPr>
      <w:r>
        <w:rPr>
          <w:rFonts w:hint="eastAsia" w:ascii="仿宋_GB2312" w:eastAsia="仿宋_GB2312" w:cs="仿宋_GB2312"/>
          <w:color w:val="000000"/>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265964">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600" w:lineRule="exact"/>
        <w:ind w:left="0" w:firstLine="643"/>
        <w:jc w:val="both"/>
        <w:textAlignment w:val="auto"/>
      </w:pPr>
      <w:r>
        <w:rPr>
          <w:rFonts w:hint="eastAsia" w:ascii="仿宋" w:hAnsi="仿宋" w:eastAsia="仿宋" w:cs="仿宋"/>
          <w:b/>
          <w:bCs/>
          <w:color w:val="000000"/>
          <w:sz w:val="32"/>
          <w:szCs w:val="32"/>
        </w:rPr>
        <w:t>（名词解释部分请根据各单位实际列支情况罗列，并根据本单位职责职能增减名词解释内容。）</w:t>
      </w:r>
    </w:p>
    <w:p w14:paraId="40391AF5">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6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p>
    <w:p w14:paraId="73CF46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E32AEF9">
      <w:pPr>
        <w:pStyle w:val="1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jc w:val="center"/>
      </w:pPr>
      <w:bookmarkStart w:id="65" w:name="_Toc15396618"/>
      <w:r>
        <w:rPr>
          <w:rFonts w:ascii="Calibri" w:hAnsi="Calibri" w:cs="Calibri"/>
          <w:color w:val="000000"/>
          <w:sz w:val="36"/>
          <w:szCs w:val="36"/>
        </w:rPr>
        <w:t>部门预算项目支出绩效自评表（202</w:t>
      </w:r>
      <w:r>
        <w:rPr>
          <w:rFonts w:hint="eastAsia" w:ascii="Calibri" w:hAnsi="Calibri" w:cs="Calibri"/>
          <w:color w:val="000000"/>
          <w:sz w:val="36"/>
          <w:szCs w:val="36"/>
          <w:lang w:val="en-US" w:eastAsia="zh-CN"/>
        </w:rPr>
        <w:t>5</w:t>
      </w:r>
      <w:r>
        <w:rPr>
          <w:rFonts w:hint="default" w:ascii="Calibri" w:hAnsi="Calibri" w:cs="Calibri"/>
          <w:color w:val="000000"/>
          <w:sz w:val="36"/>
          <w:szCs w:val="36"/>
        </w:rPr>
        <w:t>年度）</w:t>
      </w:r>
    </w:p>
    <w:p w14:paraId="2428FC51">
      <w:pPr>
        <w:pStyle w:val="1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0" w:lineRule="atLeast"/>
        <w:jc w:val="both"/>
      </w:pPr>
      <w:r>
        <w:rPr>
          <w:rFonts w:ascii="仿宋_GB2312" w:eastAsia="仿宋_GB2312" w:cs="仿宋_GB2312"/>
          <w:color w:val="000000"/>
          <w:sz w:val="52"/>
          <w:szCs w:val="52"/>
        </w:rPr>
        <w:t>无</w:t>
      </w:r>
    </w:p>
    <w:p w14:paraId="7C091501">
      <w:pPr>
        <w:widowControl/>
        <w:jc w:val="center"/>
        <w:rPr>
          <w:rFonts w:hint="eastAsia" w:ascii="Times New Roman" w:hAnsi="Times New Roman" w:eastAsia="黑体"/>
          <w:color w:val="auto"/>
          <w:sz w:val="44"/>
          <w:szCs w:val="44"/>
          <w:highlight w:val="none"/>
        </w:rPr>
      </w:pPr>
    </w:p>
    <w:p w14:paraId="459B8032">
      <w:pPr>
        <w:widowControl/>
        <w:jc w:val="center"/>
        <w:rPr>
          <w:rFonts w:hint="eastAsia" w:ascii="Times New Roman" w:hAnsi="Times New Roman" w:eastAsia="黑体"/>
          <w:color w:val="auto"/>
          <w:sz w:val="44"/>
          <w:szCs w:val="44"/>
          <w:highlight w:val="none"/>
        </w:rPr>
      </w:pPr>
    </w:p>
    <w:p w14:paraId="63EF235B">
      <w:pPr>
        <w:widowControl/>
        <w:jc w:val="center"/>
        <w:rPr>
          <w:rFonts w:hint="eastAsia" w:ascii="Times New Roman" w:hAnsi="Times New Roman" w:eastAsia="黑体"/>
          <w:color w:val="auto"/>
          <w:sz w:val="44"/>
          <w:szCs w:val="44"/>
          <w:highlight w:val="none"/>
        </w:rPr>
      </w:pPr>
    </w:p>
    <w:p w14:paraId="6846E49E">
      <w:pPr>
        <w:widowControl/>
        <w:jc w:val="center"/>
        <w:rPr>
          <w:rFonts w:hint="eastAsia" w:ascii="Times New Roman" w:hAnsi="Times New Roman" w:eastAsia="黑体"/>
          <w:color w:val="auto"/>
          <w:sz w:val="44"/>
          <w:szCs w:val="44"/>
          <w:highlight w:val="none"/>
        </w:rPr>
      </w:pPr>
    </w:p>
    <w:p w14:paraId="6A88C599">
      <w:pPr>
        <w:widowControl/>
        <w:jc w:val="center"/>
        <w:rPr>
          <w:rFonts w:hint="eastAsia" w:ascii="Times New Roman" w:hAnsi="Times New Roman" w:eastAsia="黑体"/>
          <w:color w:val="auto"/>
          <w:sz w:val="44"/>
          <w:szCs w:val="44"/>
          <w:highlight w:val="none"/>
        </w:rPr>
      </w:pPr>
    </w:p>
    <w:p w14:paraId="02E418E0">
      <w:pPr>
        <w:widowControl/>
        <w:jc w:val="center"/>
        <w:rPr>
          <w:rFonts w:hint="eastAsia" w:ascii="Times New Roman" w:hAnsi="Times New Roman" w:eastAsia="黑体"/>
          <w:color w:val="auto"/>
          <w:sz w:val="44"/>
          <w:szCs w:val="44"/>
          <w:highlight w:val="none"/>
        </w:rPr>
      </w:pPr>
    </w:p>
    <w:p w14:paraId="04A5367D">
      <w:pPr>
        <w:widowControl/>
        <w:jc w:val="center"/>
        <w:rPr>
          <w:rFonts w:hint="eastAsia" w:ascii="Times New Roman" w:hAnsi="Times New Roman" w:eastAsia="黑体"/>
          <w:color w:val="auto"/>
          <w:sz w:val="44"/>
          <w:szCs w:val="44"/>
          <w:highlight w:val="none"/>
        </w:rPr>
      </w:pPr>
    </w:p>
    <w:p w14:paraId="0519822E">
      <w:pPr>
        <w:widowControl/>
        <w:jc w:val="center"/>
        <w:rPr>
          <w:rFonts w:hint="eastAsia" w:ascii="Times New Roman" w:hAnsi="Times New Roman" w:eastAsia="黑体"/>
          <w:color w:val="auto"/>
          <w:sz w:val="44"/>
          <w:szCs w:val="44"/>
          <w:highlight w:val="none"/>
        </w:rPr>
      </w:pPr>
    </w:p>
    <w:p w14:paraId="4B134A40">
      <w:pPr>
        <w:widowControl/>
        <w:jc w:val="center"/>
        <w:rPr>
          <w:rFonts w:hint="eastAsia" w:ascii="Times New Roman" w:hAnsi="Times New Roman" w:eastAsia="黑体"/>
          <w:color w:val="auto"/>
          <w:sz w:val="44"/>
          <w:szCs w:val="44"/>
          <w:highlight w:val="none"/>
        </w:rPr>
      </w:pPr>
    </w:p>
    <w:p w14:paraId="3C4C688E">
      <w:pPr>
        <w:widowControl/>
        <w:jc w:val="center"/>
        <w:rPr>
          <w:rFonts w:hint="eastAsia" w:ascii="Times New Roman" w:hAnsi="Times New Roman" w:eastAsia="黑体"/>
          <w:color w:val="auto"/>
          <w:sz w:val="44"/>
          <w:szCs w:val="44"/>
          <w:highlight w:val="none"/>
        </w:rPr>
      </w:pPr>
    </w:p>
    <w:p w14:paraId="1512E72A">
      <w:pPr>
        <w:widowControl/>
        <w:jc w:val="center"/>
        <w:rPr>
          <w:rFonts w:hint="eastAsia" w:ascii="Times New Roman" w:hAnsi="Times New Roman" w:eastAsia="黑体"/>
          <w:color w:val="auto"/>
          <w:sz w:val="44"/>
          <w:szCs w:val="44"/>
          <w:highlight w:val="none"/>
        </w:rPr>
      </w:pPr>
    </w:p>
    <w:p w14:paraId="75CE5C88">
      <w:pPr>
        <w:widowControl/>
        <w:jc w:val="center"/>
        <w:rPr>
          <w:rFonts w:hint="eastAsia" w:ascii="Times New Roman" w:hAnsi="Times New Roman" w:eastAsia="黑体"/>
          <w:color w:val="auto"/>
          <w:sz w:val="44"/>
          <w:szCs w:val="44"/>
          <w:highlight w:val="none"/>
        </w:rPr>
      </w:pPr>
    </w:p>
    <w:p w14:paraId="6D8B8D98">
      <w:pPr>
        <w:widowControl/>
        <w:jc w:val="center"/>
        <w:rPr>
          <w:rFonts w:hint="eastAsia" w:ascii="Times New Roman" w:hAnsi="Times New Roman" w:eastAsia="黑体"/>
          <w:color w:val="auto"/>
          <w:sz w:val="44"/>
          <w:szCs w:val="44"/>
          <w:highlight w:val="none"/>
        </w:rPr>
      </w:pPr>
    </w:p>
    <w:p w14:paraId="33413446">
      <w:pPr>
        <w:widowControl/>
        <w:jc w:val="center"/>
        <w:rPr>
          <w:rFonts w:hint="eastAsia" w:ascii="Times New Roman" w:hAnsi="Times New Roman" w:eastAsia="黑体"/>
          <w:color w:val="auto"/>
          <w:sz w:val="44"/>
          <w:szCs w:val="44"/>
          <w:highlight w:val="none"/>
        </w:rPr>
      </w:pPr>
    </w:p>
    <w:p w14:paraId="6B2E1FBD">
      <w:pPr>
        <w:widowControl/>
        <w:jc w:val="center"/>
        <w:rPr>
          <w:rFonts w:hint="eastAsia" w:ascii="Times New Roman" w:hAnsi="Times New Roman" w:eastAsia="黑体"/>
          <w:color w:val="auto"/>
          <w:sz w:val="44"/>
          <w:szCs w:val="44"/>
          <w:highlight w:val="none"/>
        </w:rPr>
      </w:pPr>
    </w:p>
    <w:p w14:paraId="1CE6DB08">
      <w:pPr>
        <w:widowControl/>
        <w:jc w:val="center"/>
        <w:rPr>
          <w:rFonts w:hint="eastAsia" w:ascii="Times New Roman" w:hAnsi="Times New Roman" w:eastAsia="黑体"/>
          <w:color w:val="auto"/>
          <w:sz w:val="44"/>
          <w:szCs w:val="44"/>
          <w:highlight w:val="none"/>
        </w:rPr>
      </w:pPr>
    </w:p>
    <w:p w14:paraId="7FBFBD4A">
      <w:pPr>
        <w:widowControl/>
        <w:jc w:val="center"/>
        <w:rPr>
          <w:rFonts w:hint="eastAsia" w:ascii="Times New Roman" w:hAnsi="Times New Roman" w:eastAsia="黑体"/>
          <w:color w:val="auto"/>
          <w:sz w:val="44"/>
          <w:szCs w:val="44"/>
          <w:highlight w:val="none"/>
        </w:rPr>
      </w:pPr>
    </w:p>
    <w:p w14:paraId="69C0338A">
      <w:pPr>
        <w:widowControl/>
        <w:jc w:val="both"/>
        <w:rPr>
          <w:rFonts w:hint="eastAsia" w:ascii="Times New Roman" w:hAnsi="Times New Roman" w:eastAsia="黑体"/>
          <w:color w:val="auto"/>
          <w:sz w:val="44"/>
          <w:szCs w:val="44"/>
          <w:highlight w:val="none"/>
        </w:rPr>
      </w:pPr>
    </w:p>
    <w:p w14:paraId="4AB95909">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3"/>
      <w:bookmarkEnd w:id="65"/>
      <w:bookmarkStart w:id="66" w:name="_Toc15396619"/>
    </w:p>
    <w:p w14:paraId="292BE9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53AB837">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6"/>
    </w:p>
    <w:p w14:paraId="1BF39C2C">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67" w:name="_Toc15396620"/>
      <w:r>
        <w:rPr>
          <w:rFonts w:hint="eastAsia" w:ascii="Times New Roman" w:hAnsi="Times New Roman" w:eastAsia="仿宋_GB2312" w:cs="仿宋_GB2312"/>
          <w:color w:val="auto"/>
          <w:sz w:val="32"/>
          <w:szCs w:val="32"/>
          <w:highlight w:val="none"/>
        </w:rPr>
        <w:t>二、收入决算表</w:t>
      </w:r>
      <w:bookmarkEnd w:id="67"/>
    </w:p>
    <w:p w14:paraId="4FB4991C">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68" w:name="_Toc15396621"/>
      <w:r>
        <w:rPr>
          <w:rFonts w:hint="eastAsia" w:ascii="Times New Roman" w:hAnsi="Times New Roman" w:eastAsia="仿宋_GB2312" w:cs="仿宋_GB2312"/>
          <w:color w:val="auto"/>
          <w:sz w:val="32"/>
          <w:szCs w:val="32"/>
          <w:highlight w:val="none"/>
        </w:rPr>
        <w:t>三、支出决算表</w:t>
      </w:r>
      <w:bookmarkEnd w:id="68"/>
    </w:p>
    <w:p w14:paraId="395EEA44">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69" w:name="_Toc15396622"/>
      <w:r>
        <w:rPr>
          <w:rFonts w:hint="eastAsia" w:ascii="Times New Roman" w:hAnsi="Times New Roman" w:eastAsia="仿宋_GB2312" w:cs="仿宋_GB2312"/>
          <w:color w:val="auto"/>
          <w:sz w:val="32"/>
          <w:szCs w:val="32"/>
          <w:highlight w:val="none"/>
        </w:rPr>
        <w:t>四、财政拨款收入支出决算总表</w:t>
      </w:r>
      <w:bookmarkEnd w:id="69"/>
    </w:p>
    <w:p w14:paraId="63FEDCBA">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0" w:name="_Toc15396623"/>
      <w:r>
        <w:rPr>
          <w:rFonts w:hint="eastAsia" w:ascii="Times New Roman" w:hAnsi="Times New Roman" w:eastAsia="仿宋_GB2312" w:cs="仿宋_GB2312"/>
          <w:color w:val="auto"/>
          <w:sz w:val="32"/>
          <w:szCs w:val="32"/>
          <w:highlight w:val="none"/>
        </w:rPr>
        <w:t>五、财政拨款支出决算明细表</w:t>
      </w:r>
      <w:bookmarkEnd w:id="70"/>
      <w:bookmarkStart w:id="71" w:name="_Toc15396624"/>
    </w:p>
    <w:p w14:paraId="4B78B758">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1"/>
    </w:p>
    <w:p w14:paraId="48D58F03">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2" w:name="_Toc15396625"/>
      <w:r>
        <w:rPr>
          <w:rFonts w:hint="eastAsia" w:ascii="Times New Roman" w:hAnsi="Times New Roman" w:eastAsia="仿宋_GB2312" w:cs="仿宋_GB2312"/>
          <w:color w:val="auto"/>
          <w:sz w:val="32"/>
          <w:szCs w:val="32"/>
          <w:highlight w:val="none"/>
        </w:rPr>
        <w:t>七、一般公共预算财政拨款支出决算明细表</w:t>
      </w:r>
      <w:bookmarkEnd w:id="72"/>
    </w:p>
    <w:p w14:paraId="6985CF04">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3" w:name="_Toc15396626"/>
      <w:r>
        <w:rPr>
          <w:rFonts w:hint="eastAsia" w:ascii="Times New Roman" w:hAnsi="Times New Roman" w:eastAsia="仿宋_GB2312" w:cs="仿宋_GB2312"/>
          <w:color w:val="auto"/>
          <w:sz w:val="32"/>
          <w:szCs w:val="32"/>
          <w:highlight w:val="none"/>
        </w:rPr>
        <w:t>八、一般公共预算财政拨款基本支出决算表</w:t>
      </w:r>
      <w:bookmarkEnd w:id="73"/>
    </w:p>
    <w:p w14:paraId="01AB70C9">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4" w:name="_Toc15396627"/>
      <w:r>
        <w:rPr>
          <w:rFonts w:hint="eastAsia" w:ascii="Times New Roman" w:hAnsi="Times New Roman" w:eastAsia="仿宋_GB2312" w:cs="仿宋_GB2312"/>
          <w:color w:val="auto"/>
          <w:sz w:val="32"/>
          <w:szCs w:val="32"/>
          <w:highlight w:val="none"/>
        </w:rPr>
        <w:t>九、一般公共预算财政拨款项目支出决算表</w:t>
      </w:r>
      <w:bookmarkEnd w:id="74"/>
    </w:p>
    <w:p w14:paraId="6012A392">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5" w:name="_Toc15396628"/>
      <w:r>
        <w:rPr>
          <w:rFonts w:hint="eastAsia" w:ascii="Times New Roman" w:hAnsi="Times New Roman" w:eastAsia="仿宋_GB2312" w:cs="仿宋_GB2312"/>
          <w:color w:val="auto"/>
          <w:sz w:val="32"/>
          <w:szCs w:val="32"/>
          <w:highlight w:val="none"/>
        </w:rPr>
        <w:t>十、</w:t>
      </w:r>
      <w:bookmarkEnd w:id="75"/>
      <w:r>
        <w:rPr>
          <w:rFonts w:hint="eastAsia" w:ascii="Times New Roman" w:hAnsi="Times New Roman" w:eastAsia="仿宋_GB2312" w:cs="仿宋_GB2312"/>
          <w:color w:val="auto"/>
          <w:sz w:val="32"/>
          <w:szCs w:val="32"/>
          <w:highlight w:val="none"/>
        </w:rPr>
        <w:t>政府性基金预算财政拨款收入支出决算表</w:t>
      </w:r>
    </w:p>
    <w:p w14:paraId="6F93718F">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6" w:name="_Toc15396629"/>
      <w:r>
        <w:rPr>
          <w:rFonts w:hint="eastAsia" w:ascii="Times New Roman" w:hAnsi="Times New Roman" w:eastAsia="仿宋_GB2312" w:cs="仿宋_GB2312"/>
          <w:color w:val="auto"/>
          <w:sz w:val="32"/>
          <w:szCs w:val="32"/>
          <w:highlight w:val="none"/>
        </w:rPr>
        <w:t>十一、</w:t>
      </w:r>
      <w:bookmarkEnd w:id="7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0743865">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77" w:name="_Toc15396630"/>
      <w:r>
        <w:rPr>
          <w:rFonts w:hint="eastAsia" w:ascii="Times New Roman" w:hAnsi="Times New Roman" w:eastAsia="仿宋_GB2312" w:cs="仿宋_GB2312"/>
          <w:color w:val="auto"/>
          <w:sz w:val="32"/>
          <w:szCs w:val="32"/>
          <w:highlight w:val="none"/>
        </w:rPr>
        <w:t>十二、</w:t>
      </w:r>
      <w:bookmarkEnd w:id="77"/>
      <w:r>
        <w:rPr>
          <w:rFonts w:hint="eastAsia" w:ascii="Times New Roman" w:hAnsi="Times New Roman" w:eastAsia="仿宋_GB2312" w:cs="仿宋_GB2312"/>
          <w:color w:val="auto"/>
          <w:sz w:val="32"/>
          <w:szCs w:val="32"/>
          <w:highlight w:val="none"/>
          <w:lang w:eastAsia="zh-CN"/>
        </w:rPr>
        <w:t>国有资本经营预算财政拨款支出决算表</w:t>
      </w:r>
    </w:p>
    <w:p w14:paraId="0901DC74">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31"/>
      <w:r>
        <w:rPr>
          <w:rFonts w:hint="eastAsia" w:ascii="Times New Roman" w:hAnsi="Times New Roman" w:eastAsia="仿宋_GB2312" w:cs="仿宋_GB2312"/>
          <w:color w:val="auto"/>
          <w:sz w:val="32"/>
          <w:szCs w:val="32"/>
          <w:highlight w:val="none"/>
        </w:rPr>
        <w:t>十三、</w:t>
      </w:r>
      <w:bookmarkEnd w:id="78"/>
      <w:r>
        <w:rPr>
          <w:rFonts w:hint="eastAsia" w:ascii="Times New Roman" w:hAnsi="Times New Roman" w:eastAsia="仿宋_GB2312" w:cs="仿宋_GB2312"/>
          <w:color w:val="auto"/>
          <w:sz w:val="32"/>
          <w:szCs w:val="32"/>
          <w:highlight w:val="none"/>
          <w:lang w:eastAsia="zh-CN"/>
        </w:rPr>
        <w:t>财政拨款“三公”经费支出决算表</w:t>
      </w:r>
    </w:p>
    <w:p w14:paraId="59E84B44">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668DE">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1701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E117018">
                    <w:pPr>
                      <w:pStyle w:val="2"/>
                    </w:pPr>
                    <w:r>
                      <w:fldChar w:fldCharType="begin"/>
                    </w:r>
                    <w:r>
                      <w:instrText xml:space="preserve"> PAGE  \* MERGEFORMAT </w:instrText>
                    </w:r>
                    <w:r>
                      <w:fldChar w:fldCharType="separate"/>
                    </w:r>
                    <w:r>
                      <w:t>1</w:t>
                    </w:r>
                    <w:r>
                      <w:fldChar w:fldCharType="end"/>
                    </w:r>
                  </w:p>
                </w:txbxContent>
              </v:textbox>
            </v:shape>
          </w:pict>
        </mc:Fallback>
      </mc:AlternateContent>
    </w:r>
  </w:p>
  <w:p w14:paraId="546DF0E5">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7A3F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6A6F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C36A6F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06002">
    <w:pPr>
      <w:pStyle w:val="2"/>
      <w:jc w:val="center"/>
    </w:pPr>
  </w:p>
  <w:p w14:paraId="29B91CF5">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AB02C">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EB11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6AEB11C">
                    <w:pPr>
                      <w:pStyle w:val="2"/>
                    </w:pPr>
                    <w:r>
                      <w:fldChar w:fldCharType="begin"/>
                    </w:r>
                    <w:r>
                      <w:instrText xml:space="preserve"> PAGE  \* MERGEFORMAT </w:instrText>
                    </w:r>
                    <w:r>
                      <w:fldChar w:fldCharType="separate"/>
                    </w:r>
                    <w:r>
                      <w:t>1</w:t>
                    </w:r>
                    <w:r>
                      <w:fldChar w:fldCharType="end"/>
                    </w:r>
                  </w:p>
                </w:txbxContent>
              </v:textbox>
            </v:shape>
          </w:pict>
        </mc:Fallback>
      </mc:AlternateContent>
    </w:r>
  </w:p>
  <w:p w14:paraId="3AFEBA1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2580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B6556"/>
    <w:multiLevelType w:val="singleLevel"/>
    <w:tmpl w:val="00FB6556"/>
    <w:lvl w:ilvl="0" w:tentative="0">
      <w:start w:val="1"/>
      <w:numFmt w:val="chineseCounting"/>
      <w:suff w:val="nothing"/>
      <w:lvlText w:val="%1、"/>
      <w:lvlJc w:val="left"/>
      <w:rPr>
        <w:rFonts w:hint="eastAsia"/>
      </w:rPr>
    </w:lvl>
  </w:abstractNum>
  <w:abstractNum w:abstractNumId="1">
    <w:nsid w:val="617BAEEF"/>
    <w:multiLevelType w:val="singleLevel"/>
    <w:tmpl w:val="617BAEEF"/>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C3E1B"/>
    <w:rsid w:val="00FD3CC1"/>
    <w:rsid w:val="00FF1E02"/>
    <w:rsid w:val="00FF30B4"/>
    <w:rsid w:val="015975B8"/>
    <w:rsid w:val="01A23516"/>
    <w:rsid w:val="02317B1B"/>
    <w:rsid w:val="029A7D90"/>
    <w:rsid w:val="02FEBE30"/>
    <w:rsid w:val="045F6B9B"/>
    <w:rsid w:val="04846602"/>
    <w:rsid w:val="061E35DE"/>
    <w:rsid w:val="066E0107"/>
    <w:rsid w:val="071023CF"/>
    <w:rsid w:val="07996F6E"/>
    <w:rsid w:val="07DFD8BA"/>
    <w:rsid w:val="0882554E"/>
    <w:rsid w:val="08DB07E4"/>
    <w:rsid w:val="08FA1588"/>
    <w:rsid w:val="09867E8F"/>
    <w:rsid w:val="0A2032A3"/>
    <w:rsid w:val="0C6C4794"/>
    <w:rsid w:val="0CA8290A"/>
    <w:rsid w:val="0D35B1ED"/>
    <w:rsid w:val="0DE07E2B"/>
    <w:rsid w:val="0E211365"/>
    <w:rsid w:val="0E361C4D"/>
    <w:rsid w:val="0F98263C"/>
    <w:rsid w:val="101860EC"/>
    <w:rsid w:val="10C055FF"/>
    <w:rsid w:val="11772AA4"/>
    <w:rsid w:val="118107EC"/>
    <w:rsid w:val="11A55E09"/>
    <w:rsid w:val="13957196"/>
    <w:rsid w:val="13D50BC4"/>
    <w:rsid w:val="14022904"/>
    <w:rsid w:val="152F2A07"/>
    <w:rsid w:val="165E0673"/>
    <w:rsid w:val="16924BAE"/>
    <w:rsid w:val="169F376F"/>
    <w:rsid w:val="16BB723D"/>
    <w:rsid w:val="16F13FCB"/>
    <w:rsid w:val="186504BB"/>
    <w:rsid w:val="1938089F"/>
    <w:rsid w:val="19A445FC"/>
    <w:rsid w:val="1B7D550C"/>
    <w:rsid w:val="1BE8440E"/>
    <w:rsid w:val="1D0600A4"/>
    <w:rsid w:val="1D155CEE"/>
    <w:rsid w:val="1DE178F3"/>
    <w:rsid w:val="1E740ACF"/>
    <w:rsid w:val="1EFF4DAB"/>
    <w:rsid w:val="1FF35744"/>
    <w:rsid w:val="1FF6BC77"/>
    <w:rsid w:val="21962A9E"/>
    <w:rsid w:val="21AE7C77"/>
    <w:rsid w:val="21B04A82"/>
    <w:rsid w:val="22BC3C41"/>
    <w:rsid w:val="233F60BE"/>
    <w:rsid w:val="23860B96"/>
    <w:rsid w:val="240371BF"/>
    <w:rsid w:val="260F557C"/>
    <w:rsid w:val="279F712B"/>
    <w:rsid w:val="281408E2"/>
    <w:rsid w:val="290A1D40"/>
    <w:rsid w:val="29F80D74"/>
    <w:rsid w:val="29FD04D3"/>
    <w:rsid w:val="2BF57C61"/>
    <w:rsid w:val="2BFF7BC6"/>
    <w:rsid w:val="2C8A61B5"/>
    <w:rsid w:val="2CB01DDA"/>
    <w:rsid w:val="2D214A86"/>
    <w:rsid w:val="2D2E01CF"/>
    <w:rsid w:val="2D621327"/>
    <w:rsid w:val="2DF04E50"/>
    <w:rsid w:val="2E9545B0"/>
    <w:rsid w:val="2F040D46"/>
    <w:rsid w:val="2FAE5751"/>
    <w:rsid w:val="2FB1A395"/>
    <w:rsid w:val="2FD9A7D8"/>
    <w:rsid w:val="319F7F4E"/>
    <w:rsid w:val="321B2544"/>
    <w:rsid w:val="321B55CB"/>
    <w:rsid w:val="3304709D"/>
    <w:rsid w:val="340A6274"/>
    <w:rsid w:val="34281836"/>
    <w:rsid w:val="349D6851"/>
    <w:rsid w:val="35A74912"/>
    <w:rsid w:val="35BA6CAF"/>
    <w:rsid w:val="35D37231"/>
    <w:rsid w:val="364D14C1"/>
    <w:rsid w:val="36835E6A"/>
    <w:rsid w:val="36AA5135"/>
    <w:rsid w:val="36BE0DA7"/>
    <w:rsid w:val="376B6AA6"/>
    <w:rsid w:val="376D39B2"/>
    <w:rsid w:val="37E16F03"/>
    <w:rsid w:val="37F53A3B"/>
    <w:rsid w:val="38341B11"/>
    <w:rsid w:val="389B393F"/>
    <w:rsid w:val="389B6C89"/>
    <w:rsid w:val="38D469F0"/>
    <w:rsid w:val="3922196A"/>
    <w:rsid w:val="393F076E"/>
    <w:rsid w:val="39627CCD"/>
    <w:rsid w:val="396B1811"/>
    <w:rsid w:val="397BAF1F"/>
    <w:rsid w:val="3A296D28"/>
    <w:rsid w:val="3AB79AF3"/>
    <w:rsid w:val="3B7EF35A"/>
    <w:rsid w:val="3B9FDB6C"/>
    <w:rsid w:val="3BF5BC2F"/>
    <w:rsid w:val="3CEBA265"/>
    <w:rsid w:val="3D98207C"/>
    <w:rsid w:val="3D9B0D99"/>
    <w:rsid w:val="3DEE7CF3"/>
    <w:rsid w:val="3DF02244"/>
    <w:rsid w:val="3E78745D"/>
    <w:rsid w:val="3EDD1781"/>
    <w:rsid w:val="3FC714BD"/>
    <w:rsid w:val="3FF4CAE0"/>
    <w:rsid w:val="3FF7B227"/>
    <w:rsid w:val="40E54C45"/>
    <w:rsid w:val="410E1F7D"/>
    <w:rsid w:val="41313393"/>
    <w:rsid w:val="4387343D"/>
    <w:rsid w:val="43A407DF"/>
    <w:rsid w:val="44515BEA"/>
    <w:rsid w:val="44E16B7D"/>
    <w:rsid w:val="44E268DA"/>
    <w:rsid w:val="453F7E5B"/>
    <w:rsid w:val="45965BB9"/>
    <w:rsid w:val="48142DC6"/>
    <w:rsid w:val="486A6C7A"/>
    <w:rsid w:val="49176D9B"/>
    <w:rsid w:val="494006BD"/>
    <w:rsid w:val="49AB59AC"/>
    <w:rsid w:val="4A4A770A"/>
    <w:rsid w:val="4A627F82"/>
    <w:rsid w:val="4B0E749A"/>
    <w:rsid w:val="4B4F25DA"/>
    <w:rsid w:val="4BDA0CFB"/>
    <w:rsid w:val="4BE068DB"/>
    <w:rsid w:val="4CD20605"/>
    <w:rsid w:val="4D3C0CCC"/>
    <w:rsid w:val="4D577224"/>
    <w:rsid w:val="4DBF1CEB"/>
    <w:rsid w:val="4EAB630A"/>
    <w:rsid w:val="4ECE2238"/>
    <w:rsid w:val="4F833267"/>
    <w:rsid w:val="4FE9BD67"/>
    <w:rsid w:val="4FFB052F"/>
    <w:rsid w:val="50681F00"/>
    <w:rsid w:val="516C3C72"/>
    <w:rsid w:val="52860D64"/>
    <w:rsid w:val="53083A92"/>
    <w:rsid w:val="537E6D0A"/>
    <w:rsid w:val="53AF27A2"/>
    <w:rsid w:val="53F74C96"/>
    <w:rsid w:val="53F87A3F"/>
    <w:rsid w:val="560A5808"/>
    <w:rsid w:val="56E47B74"/>
    <w:rsid w:val="57327565"/>
    <w:rsid w:val="57BD3DD4"/>
    <w:rsid w:val="5829466B"/>
    <w:rsid w:val="590E560F"/>
    <w:rsid w:val="5AF92295"/>
    <w:rsid w:val="5BDD79E6"/>
    <w:rsid w:val="5BF561CA"/>
    <w:rsid w:val="5BFF5DFC"/>
    <w:rsid w:val="5CD71FC4"/>
    <w:rsid w:val="5D1F11B5"/>
    <w:rsid w:val="5D6D4FFA"/>
    <w:rsid w:val="5DAE1B18"/>
    <w:rsid w:val="5DE7D9E5"/>
    <w:rsid w:val="5ECEC941"/>
    <w:rsid w:val="5F155949"/>
    <w:rsid w:val="5F493CB7"/>
    <w:rsid w:val="5FBF9FF3"/>
    <w:rsid w:val="5FCD4E2C"/>
    <w:rsid w:val="5FD15F49"/>
    <w:rsid w:val="5FEF394A"/>
    <w:rsid w:val="5FF67715"/>
    <w:rsid w:val="624268AA"/>
    <w:rsid w:val="62BF3928"/>
    <w:rsid w:val="647F5392"/>
    <w:rsid w:val="664B1D71"/>
    <w:rsid w:val="679B2764"/>
    <w:rsid w:val="67AA3209"/>
    <w:rsid w:val="681C4F0D"/>
    <w:rsid w:val="68594AF9"/>
    <w:rsid w:val="69046D0F"/>
    <w:rsid w:val="698D0931"/>
    <w:rsid w:val="69CA039F"/>
    <w:rsid w:val="6A993CED"/>
    <w:rsid w:val="6B053271"/>
    <w:rsid w:val="6BCE6674"/>
    <w:rsid w:val="6C4A05C8"/>
    <w:rsid w:val="6C8742B8"/>
    <w:rsid w:val="6C8A170F"/>
    <w:rsid w:val="6CB54609"/>
    <w:rsid w:val="6D326E35"/>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A4534E"/>
    <w:rsid w:val="74BBD01D"/>
    <w:rsid w:val="74ED5379"/>
    <w:rsid w:val="74FC2395"/>
    <w:rsid w:val="75DEEEC2"/>
    <w:rsid w:val="769211D6"/>
    <w:rsid w:val="76E3355F"/>
    <w:rsid w:val="76FF5125"/>
    <w:rsid w:val="776F6FFA"/>
    <w:rsid w:val="778769C8"/>
    <w:rsid w:val="77DC22F5"/>
    <w:rsid w:val="78A23952"/>
    <w:rsid w:val="79086DAD"/>
    <w:rsid w:val="79382508"/>
    <w:rsid w:val="79974F09"/>
    <w:rsid w:val="79D7FD79"/>
    <w:rsid w:val="79EE5BA4"/>
    <w:rsid w:val="7A894339"/>
    <w:rsid w:val="7AFF7572"/>
    <w:rsid w:val="7B6C7DFB"/>
    <w:rsid w:val="7BBFBED0"/>
    <w:rsid w:val="7BC3E394"/>
    <w:rsid w:val="7C1F3737"/>
    <w:rsid w:val="7CBFC87B"/>
    <w:rsid w:val="7CE24C65"/>
    <w:rsid w:val="7CFE0F48"/>
    <w:rsid w:val="7D3D1E9B"/>
    <w:rsid w:val="7D7EC23E"/>
    <w:rsid w:val="7D8201F6"/>
    <w:rsid w:val="7D916348"/>
    <w:rsid w:val="7D957F29"/>
    <w:rsid w:val="7E8ADEBF"/>
    <w:rsid w:val="7EEF11D3"/>
    <w:rsid w:val="7F0971A6"/>
    <w:rsid w:val="7F3F679B"/>
    <w:rsid w:val="7F4FC4EF"/>
    <w:rsid w:val="7F5E4D54"/>
    <w:rsid w:val="7F6E0135"/>
    <w:rsid w:val="7FA30C79"/>
    <w:rsid w:val="7FAF8ABF"/>
    <w:rsid w:val="7FB328E9"/>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8"/>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9.xml"/><Relationship Id="rId16" Type="http://schemas.openxmlformats.org/officeDocument/2006/relationships/chart" Target="charts/chart8.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8.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47.83</c:v>
                </c:pt>
                <c:pt idx="1">
                  <c:v>50.91</c:v>
                </c:pt>
              </c:numCache>
            </c:numRef>
          </c:val>
        </c:ser>
        <c:dLbls>
          <c:showLegendKey val="0"/>
          <c:showVal val="0"/>
          <c:showCatName val="0"/>
          <c:showSerName val="0"/>
          <c:showPercent val="0"/>
          <c:showBubbleSize val="0"/>
        </c:dLbls>
        <c:gapWidth val="246"/>
        <c:overlap val="-28"/>
        <c:axId val="714381554"/>
        <c:axId val="717357292"/>
      </c:barChart>
      <c:catAx>
        <c:axId val="71438155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357292"/>
        <c:crosses val="autoZero"/>
        <c:auto val="1"/>
        <c:lblAlgn val="ctr"/>
        <c:lblOffset val="100"/>
        <c:noMultiLvlLbl val="0"/>
      </c:catAx>
      <c:valAx>
        <c:axId val="71735729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381554"/>
        <c:crosses val="autoZero"/>
        <c:crossBetween val="between"/>
      </c:valAx>
      <c:spPr>
        <a:noFill/>
        <a:ln>
          <a:noFill/>
        </a:ln>
        <a:effectLst/>
      </c:spPr>
    </c:plotArea>
    <c:plotVisOnly val="1"/>
    <c:dispBlanksAs val="gap"/>
    <c:showDLblsOverMax val="0"/>
    <c:extLst>
      <c:ext uri="{0b15fc19-7d7d-44ad-8c2d-2c3a37ce22c3}">
        <chartProps xmlns="https://web.wps.cn/et/2018/main" chartId="{d7f578fc-5377-4ced-b444-c4515e5e1b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47.83</c:v>
                </c:pt>
                <c:pt idx="1">
                  <c:v>50.91</c:v>
                </c:pt>
              </c:numCache>
            </c:numRef>
          </c:val>
        </c:ser>
        <c:dLbls>
          <c:showLegendKey val="0"/>
          <c:showVal val="0"/>
          <c:showCatName val="0"/>
          <c:showSerName val="0"/>
          <c:showPercent val="0"/>
          <c:showBubbleSize val="0"/>
        </c:dLbls>
        <c:gapWidth val="246"/>
        <c:overlap val="-28"/>
        <c:axId val="714381554"/>
        <c:axId val="717357292"/>
      </c:barChart>
      <c:catAx>
        <c:axId val="71438155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357292"/>
        <c:crosses val="autoZero"/>
        <c:auto val="1"/>
        <c:lblAlgn val="ctr"/>
        <c:lblOffset val="100"/>
        <c:noMultiLvlLbl val="0"/>
      </c:catAx>
      <c:valAx>
        <c:axId val="71735729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381554"/>
        <c:crosses val="autoZero"/>
        <c:crossBetween val="between"/>
      </c:valAx>
      <c:spPr>
        <a:noFill/>
        <a:ln>
          <a:noFill/>
        </a:ln>
        <a:effectLst/>
      </c:spPr>
    </c:plotArea>
    <c:plotVisOnly val="1"/>
    <c:dispBlanksAs val="gap"/>
    <c:showDLblsOverMax val="0"/>
    <c:extLst>
      <c:ext uri="{0b15fc19-7d7d-44ad-8c2d-2c3a37ce22c3}">
        <chartProps xmlns="https://web.wps.cn/et/2018/main" chartId="{ab0a51b3-9841-4dfe-85eb-6e3d43b97c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50.91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30b86c-d0d5-4953-9da4-760fe5d3da5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基本支出</c:v>
                </c:pt>
                <c:pt idx="1">
                  <c:v>项目支出</c:v>
                </c:pt>
                <c:pt idx="2">
                  <c:v>经营支出</c:v>
                </c:pt>
                <c:pt idx="3">
                  <c:v>上缴上级支出</c:v>
                </c:pt>
                <c:pt idx="4">
                  <c:v>附属单位补助支出</c:v>
                </c:pt>
              </c:strCache>
            </c:strRef>
          </c:cat>
          <c:val>
            <c:numRef>
              <c:f>Sheet1!$B$2:$B$6</c:f>
              <c:numCache>
                <c:formatCode>General</c:formatCode>
                <c:ptCount val="5"/>
                <c:pt idx="0">
                  <c:v>50.91</c:v>
                </c:pt>
                <c:pt idx="1">
                  <c:v>0</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15ce60-c7fa-4b80-8d87-7d36ab34380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财政拨款收入决算总计变动情况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47.83</c:v>
                </c:pt>
                <c:pt idx="1">
                  <c:v>50.91</c:v>
                </c:pt>
              </c:numCache>
            </c:numRef>
          </c:val>
        </c:ser>
        <c:dLbls>
          <c:showLegendKey val="0"/>
          <c:showVal val="0"/>
          <c:showCatName val="0"/>
          <c:showSerName val="0"/>
          <c:showPercent val="0"/>
          <c:showBubbleSize val="0"/>
        </c:dLbls>
        <c:gapWidth val="246"/>
        <c:overlap val="-28"/>
        <c:axId val="337252733"/>
        <c:axId val="258657628"/>
      </c:barChart>
      <c:catAx>
        <c:axId val="3372527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657628"/>
        <c:crosses val="autoZero"/>
        <c:auto val="1"/>
        <c:lblAlgn val="ctr"/>
        <c:lblOffset val="100"/>
        <c:noMultiLvlLbl val="0"/>
      </c:catAx>
      <c:valAx>
        <c:axId val="2586576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252733"/>
        <c:crosses val="autoZero"/>
        <c:crossBetween val="between"/>
      </c:valAx>
      <c:spPr>
        <a:noFill/>
        <a:ln>
          <a:noFill/>
        </a:ln>
        <a:effectLst/>
      </c:spPr>
    </c:plotArea>
    <c:plotVisOnly val="1"/>
    <c:dispBlanksAs val="gap"/>
    <c:showDLblsOverMax val="0"/>
    <c:extLst>
      <c:ext uri="{0b15fc19-7d7d-44ad-8c2d-2c3a37ce22c3}">
        <chartProps xmlns="https://web.wps.cn/et/2018/main" chartId="{7e1dedbe-d6c0-4a9b-8ee9-ac9dfee0adb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财政拨款支出决算总计变动情况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47.83</c:v>
                </c:pt>
                <c:pt idx="1">
                  <c:v>50.91</c:v>
                </c:pt>
              </c:numCache>
            </c:numRef>
          </c:val>
        </c:ser>
        <c:dLbls>
          <c:showLegendKey val="0"/>
          <c:showVal val="0"/>
          <c:showCatName val="0"/>
          <c:showSerName val="0"/>
          <c:showPercent val="0"/>
          <c:showBubbleSize val="0"/>
        </c:dLbls>
        <c:gapWidth val="246"/>
        <c:overlap val="-28"/>
        <c:axId val="730686139"/>
        <c:axId val="376696044"/>
      </c:barChart>
      <c:catAx>
        <c:axId val="7306861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696044"/>
        <c:crosses val="autoZero"/>
        <c:auto val="1"/>
        <c:lblAlgn val="ctr"/>
        <c:lblOffset val="100"/>
        <c:noMultiLvlLbl val="0"/>
      </c:catAx>
      <c:valAx>
        <c:axId val="37669604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686139"/>
        <c:crosses val="autoZero"/>
        <c:crossBetween val="between"/>
      </c:valAx>
      <c:spPr>
        <a:noFill/>
        <a:ln>
          <a:noFill/>
        </a:ln>
        <a:effectLst/>
      </c:spPr>
    </c:plotArea>
    <c:plotVisOnly val="1"/>
    <c:dispBlanksAs val="gap"/>
    <c:showDLblsOverMax val="0"/>
    <c:extLst>
      <c:ext uri="{0b15fc19-7d7d-44ad-8c2d-2c3a37ce22c3}">
        <chartProps xmlns="https://web.wps.cn/et/2018/main" chartId="{87d7d460-ded9-48c3-94db-fdf0887612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47.83</c:v>
                </c:pt>
                <c:pt idx="1">
                  <c:v>50.91</c:v>
                </c:pt>
              </c:numCache>
            </c:numRef>
          </c:val>
        </c:ser>
        <c:dLbls>
          <c:showLegendKey val="0"/>
          <c:showVal val="0"/>
          <c:showCatName val="0"/>
          <c:showSerName val="0"/>
          <c:showPercent val="0"/>
          <c:showBubbleSize val="0"/>
        </c:dLbls>
        <c:gapWidth val="246"/>
        <c:overlap val="-28"/>
        <c:axId val="53914812"/>
        <c:axId val="74633805"/>
      </c:barChart>
      <c:catAx>
        <c:axId val="539148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633805"/>
        <c:crosses val="autoZero"/>
        <c:auto val="1"/>
        <c:lblAlgn val="ctr"/>
        <c:lblOffset val="100"/>
        <c:noMultiLvlLbl val="0"/>
      </c:catAx>
      <c:valAx>
        <c:axId val="7463380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14812"/>
        <c:crosses val="autoZero"/>
        <c:crossBetween val="between"/>
      </c:valAx>
      <c:spPr>
        <a:noFill/>
        <a:ln>
          <a:noFill/>
        </a:ln>
        <a:effectLst/>
      </c:spPr>
    </c:plotArea>
    <c:plotVisOnly val="1"/>
    <c:dispBlanksAs val="gap"/>
    <c:showDLblsOverMax val="0"/>
    <c:extLst>
      <c:ext uri="{0b15fc19-7d7d-44ad-8c2d-2c3a37ce22c3}">
        <chartProps xmlns="https://web.wps.cn/et/2018/main" chartId="{f4a4cd69-fdfb-412b-87a7-13e4325e7f8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36.24</c:v>
                </c:pt>
                <c:pt idx="1">
                  <c:v>8.17</c:v>
                </c:pt>
                <c:pt idx="2">
                  <c:v>2.6</c:v>
                </c:pt>
                <c:pt idx="3">
                  <c:v>3.91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c0b38d-2703-46cc-9b58-b3018688a60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c:v>
                </c:pt>
                <c:pt idx="1">
                  <c:v>公务用车购置及运行维护费</c:v>
                </c:pt>
                <c:pt idx="2">
                  <c:v>公务接待费</c:v>
                </c:pt>
              </c:strCache>
            </c:strRef>
          </c:cat>
          <c:val>
            <c:numRef>
              <c:f>Sheet1!$B$2:$B$4</c:f>
              <c:numCache>
                <c:formatCode>General</c:formatCode>
                <c:ptCount val="3"/>
                <c:pt idx="0">
                  <c:v>0</c:v>
                </c:pt>
                <c:pt idx="1">
                  <c:v>0.36</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a6266ab-45d7-490b-9093-c2095eb8fb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5218</Words>
  <Characters>5663</Characters>
  <Lines>61</Lines>
  <Paragraphs>17</Paragraphs>
  <TotalTime>1</TotalTime>
  <ScaleCrop>false</ScaleCrop>
  <LinksUpToDate>false</LinksUpToDate>
  <CharactersWithSpaces>5720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WPS_1602003325</cp:lastModifiedBy>
  <cp:lastPrinted>2026-10-27T08:59:00Z</cp:lastPrinted>
  <dcterms:modified xsi:type="dcterms:W3CDTF">2026-10-27T12:37:18Z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7542318414344758A2194372F86FAD5B_13</vt:lpwstr>
  </property>
  <property fmtid="{D5CDD505-2E9C-101B-9397-08002B2CF9AE}" pid="4" name="KSOTemplateDocerSaveRecord">
    <vt:lpwstr>eyJoZGlkIjoiOGFhMDIzNjY5ZTg3YWYwZGExMjVmYTc0MDlhNTBiN2YiLCJ1c2VySWQiOiIxMTI3OTgyNDUwIn0=</vt:lpwstr>
  </property>
</Properties>
</file>