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ascii="Times New Roman" w:hAnsi="Times New Roman"/>
        </w:rPr>
      </w:pPr>
      <w:bookmarkStart w:id="0" w:name="_Toc15377193"/>
      <w:bookmarkStart w:id="1" w:name="_Toc15377425"/>
      <w:bookmarkStart w:id="2" w:name="_Toc15306267"/>
      <w:bookmarkStart w:id="3" w:name="_Toc15396597"/>
      <w:bookmarkStart w:id="4" w:name="_Toc15378441"/>
      <w:bookmarkStart w:id="5" w:name="_Toc15396475"/>
    </w:p>
    <w:bookmarkEnd w:id="0"/>
    <w:bookmarkEnd w:id="1"/>
    <w:bookmarkEnd w:id="2"/>
    <w:bookmarkEnd w:id="3"/>
    <w:bookmarkEnd w:id="4"/>
    <w:bookmarkEnd w:id="5"/>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市场监督管理局</w:t>
      </w: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p>
    <w:p>
      <w:pPr>
        <w:widowControl/>
        <w:jc w:val="center"/>
        <w:rPr>
          <w:rFonts w:hint="eastAsia" w:ascii="Times New Roman" w:hAnsi="Times New Roman" w:eastAsia="黑体"/>
          <w:color w:val="auto"/>
          <w:sz w:val="48"/>
          <w:szCs w:val="48"/>
          <w:highlight w:val="none"/>
        </w:rPr>
      </w:pPr>
    </w:p>
    <w:p>
      <w:pPr>
        <w:bidi w:val="0"/>
        <w:rPr>
          <w:rFonts w:hint="eastAsia" w:ascii="Times New Roman" w:hAnsi="Times New Roman" w:eastAsia="宋体" w:cs="Times New Roman"/>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tabs>
          <w:tab w:val="left" w:pos="2304"/>
        </w:tabs>
        <w:bidi w:val="0"/>
        <w:jc w:val="left"/>
        <w:rPr>
          <w:rFonts w:hint="eastAsia"/>
          <w:lang w:val="en-US" w:eastAsia="zh-C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eastAsia"/>
          <w:lang w:val="en-US" w:eastAsia="zh-CN"/>
        </w:rPr>
        <w:tab/>
      </w: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28</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79886"/>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bookmarkStart w:id="6" w:name="_Toc15396599"/>
          <w:bookmarkStart w:id="7" w:name="_Toc15377196"/>
        </w:p>
        <w:p>
          <w:pPr>
            <w:pStyle w:val="11"/>
            <w:keepNext w:val="0"/>
            <w:keepLines w:val="0"/>
            <w:pageBreakBefore w:val="0"/>
            <w:widowControl w:val="0"/>
            <w:tabs>
              <w:tab w:val="right" w:leader="dot" w:pos="8845"/>
              <w:tab w:val="clear" w:pos="8296"/>
            </w:tabs>
            <w:kinsoku/>
            <w:wordWrap/>
            <w:overflowPunct/>
            <w:topLinePunct w:val="0"/>
            <w:autoSpaceDE/>
            <w:autoSpaceDN/>
            <w:bidi w:val="0"/>
            <w:spacing w:before="0"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TOC \o "1-2" \h \u </w:instrText>
          </w:r>
          <w:r>
            <w:rPr>
              <w:rFonts w:hint="eastAsia" w:ascii="仿宋" w:hAnsi="仿宋" w:eastAsia="仿宋" w:cs="仿宋"/>
              <w:sz w:val="28"/>
              <w:szCs w:val="28"/>
            </w:rPr>
            <w:fldChar w:fldCharType="separate"/>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_Toc8109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第一部分</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 xml:space="preserve"> </w:t>
          </w:r>
          <w:r>
            <w:rPr>
              <w:rFonts w:hint="eastAsia" w:ascii="仿宋" w:hAnsi="仿宋" w:eastAsia="仿宋" w:cs="仿宋"/>
              <w:bCs w:val="0"/>
              <w:sz w:val="28"/>
              <w:szCs w:val="28"/>
              <w:highlight w:val="none"/>
            </w:rPr>
            <w:t>部门概况</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_Toc8109 </w:instrText>
          </w:r>
          <w:r>
            <w:rPr>
              <w:rFonts w:hint="eastAsia" w:ascii="仿宋" w:hAnsi="仿宋" w:eastAsia="仿宋" w:cs="仿宋"/>
              <w:sz w:val="28"/>
              <w:szCs w:val="28"/>
            </w:rPr>
            <w:fldChar w:fldCharType="separate"/>
          </w:r>
          <w:r>
            <w:rPr>
              <w:rFonts w:hint="eastAsia" w:ascii="仿宋" w:hAnsi="仿宋" w:eastAsia="仿宋" w:cs="仿宋"/>
              <w:sz w:val="28"/>
              <w:szCs w:val="28"/>
            </w:rPr>
            <w:t>- 1 -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_Toc13142 </w:instrText>
          </w:r>
          <w:r>
            <w:rPr>
              <w:rFonts w:hint="eastAsia" w:ascii="仿宋" w:hAnsi="仿宋" w:eastAsia="仿宋" w:cs="仿宋"/>
              <w:sz w:val="28"/>
              <w:szCs w:val="28"/>
            </w:rPr>
            <w:fldChar w:fldCharType="separate"/>
          </w:r>
          <w:r>
            <w:rPr>
              <w:rFonts w:hint="eastAsia" w:ascii="仿宋" w:hAnsi="仿宋" w:eastAsia="仿宋" w:cs="仿宋"/>
              <w:sz w:val="28"/>
              <w:szCs w:val="28"/>
              <w:lang w:eastAsia="zh-CN"/>
            </w:rPr>
            <w:t xml:space="preserve">一、 </w:t>
          </w:r>
          <w:r>
            <w:rPr>
              <w:rFonts w:hint="eastAsia" w:ascii="仿宋" w:hAnsi="仿宋" w:eastAsia="仿宋" w:cs="仿宋"/>
              <w:sz w:val="28"/>
              <w:szCs w:val="28"/>
              <w:highlight w:val="none"/>
              <w:lang w:eastAsia="zh-CN"/>
            </w:rPr>
            <w:t>部门职责</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_Toc13142 </w:instrText>
          </w:r>
          <w:r>
            <w:rPr>
              <w:rFonts w:hint="eastAsia" w:ascii="仿宋" w:hAnsi="仿宋" w:eastAsia="仿宋" w:cs="仿宋"/>
              <w:sz w:val="28"/>
              <w:szCs w:val="28"/>
            </w:rPr>
            <w:fldChar w:fldCharType="separate"/>
          </w:r>
          <w:r>
            <w:rPr>
              <w:rFonts w:hint="eastAsia" w:ascii="仿宋" w:hAnsi="仿宋" w:eastAsia="仿宋" w:cs="仿宋"/>
              <w:sz w:val="28"/>
              <w:szCs w:val="28"/>
            </w:rPr>
            <w:t>- 1 -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_Toc13088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二、机</w:t>
          </w:r>
          <w:r>
            <w:rPr>
              <w:rFonts w:hint="eastAsia" w:ascii="仿宋" w:hAnsi="仿宋" w:eastAsia="仿宋" w:cs="仿宋"/>
              <w:bCs w:val="0"/>
              <w:sz w:val="28"/>
              <w:szCs w:val="28"/>
              <w:highlight w:val="none"/>
            </w:rPr>
            <w:t>构设置</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_Toc13088 </w:instrText>
          </w:r>
          <w:r>
            <w:rPr>
              <w:rFonts w:hint="eastAsia" w:ascii="仿宋" w:hAnsi="仿宋" w:eastAsia="仿宋" w:cs="仿宋"/>
              <w:sz w:val="28"/>
              <w:szCs w:val="28"/>
            </w:rPr>
            <w:fldChar w:fldCharType="separate"/>
          </w:r>
          <w:r>
            <w:rPr>
              <w:rFonts w:hint="eastAsia" w:ascii="仿宋" w:hAnsi="仿宋" w:eastAsia="仿宋" w:cs="仿宋"/>
              <w:sz w:val="28"/>
              <w:szCs w:val="28"/>
            </w:rPr>
            <w:t>- 1 -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1"/>
            <w:keepNext w:val="0"/>
            <w:keepLines w:val="0"/>
            <w:pageBreakBefore w:val="0"/>
            <w:widowControl w:val="0"/>
            <w:tabs>
              <w:tab w:val="right" w:leader="dot" w:pos="8845"/>
              <w:tab w:val="clear" w:pos="8296"/>
            </w:tabs>
            <w:kinsoku/>
            <w:wordWrap/>
            <w:overflowPunct/>
            <w:topLinePunct w:val="0"/>
            <w:autoSpaceDE/>
            <w:autoSpaceDN/>
            <w:bidi w:val="0"/>
            <w:spacing w:before="0"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_Toc6366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第二部分</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lang w:val="en-US" w:eastAsia="zh-CN"/>
            </w:rPr>
            <w:t>2025年度</w:t>
          </w:r>
          <w:r>
            <w:rPr>
              <w:rFonts w:hint="eastAsia" w:ascii="仿宋" w:hAnsi="仿宋" w:eastAsia="仿宋" w:cs="仿宋"/>
              <w:sz w:val="28"/>
              <w:szCs w:val="28"/>
              <w:highlight w:val="none"/>
            </w:rPr>
            <w:t>部门决算情况说明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_Toc6366 </w:instrText>
          </w:r>
          <w:r>
            <w:rPr>
              <w:rFonts w:hint="eastAsia" w:ascii="仿宋" w:hAnsi="仿宋" w:eastAsia="仿宋" w:cs="仿宋"/>
              <w:sz w:val="28"/>
              <w:szCs w:val="28"/>
            </w:rPr>
            <w:fldChar w:fldCharType="separate"/>
          </w:r>
          <w:r>
            <w:rPr>
              <w:rFonts w:hint="eastAsia" w:ascii="仿宋" w:hAnsi="仿宋" w:eastAsia="仿宋" w:cs="仿宋"/>
              <w:sz w:val="28"/>
              <w:szCs w:val="28"/>
            </w:rPr>
            <w:t>- 2 -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_Toc14338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lang w:eastAsia="zh-CN"/>
            </w:rPr>
            <w:t>一、</w:t>
          </w:r>
          <w:r>
            <w:rPr>
              <w:rFonts w:hint="eastAsia" w:ascii="仿宋" w:hAnsi="仿宋" w:eastAsia="仿宋" w:cs="仿宋"/>
              <w:sz w:val="28"/>
              <w:szCs w:val="28"/>
              <w:highlight w:val="none"/>
            </w:rPr>
            <w:t>收入支出决算总体情况说明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_Toc14338 </w:instrText>
          </w:r>
          <w:r>
            <w:rPr>
              <w:rFonts w:hint="eastAsia" w:ascii="仿宋" w:hAnsi="仿宋" w:eastAsia="仿宋" w:cs="仿宋"/>
              <w:sz w:val="28"/>
              <w:szCs w:val="28"/>
            </w:rPr>
            <w:fldChar w:fldCharType="separate"/>
          </w:r>
          <w:r>
            <w:rPr>
              <w:rFonts w:hint="eastAsia" w:ascii="仿宋" w:hAnsi="仿宋" w:eastAsia="仿宋" w:cs="仿宋"/>
              <w:sz w:val="28"/>
              <w:szCs w:val="28"/>
            </w:rPr>
            <w:t>- 2 -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_Toc24760 </w:instrText>
          </w:r>
          <w:r>
            <w:rPr>
              <w:rFonts w:hint="eastAsia" w:ascii="仿宋" w:hAnsi="仿宋" w:eastAsia="仿宋" w:cs="仿宋"/>
              <w:sz w:val="28"/>
              <w:szCs w:val="28"/>
            </w:rPr>
            <w:fldChar w:fldCharType="separate"/>
          </w:r>
          <w:r>
            <w:rPr>
              <w:rFonts w:hint="eastAsia" w:ascii="仿宋" w:hAnsi="仿宋" w:eastAsia="仿宋" w:cs="仿宋"/>
              <w:sz w:val="28"/>
              <w:szCs w:val="28"/>
              <w:lang w:eastAsia="zh-CN"/>
            </w:rPr>
            <w:t>二、收入决算情况说明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_Toc24760 </w:instrText>
          </w:r>
          <w:r>
            <w:rPr>
              <w:rFonts w:hint="eastAsia" w:ascii="仿宋" w:hAnsi="仿宋" w:eastAsia="仿宋" w:cs="仿宋"/>
              <w:sz w:val="28"/>
              <w:szCs w:val="28"/>
            </w:rPr>
            <w:fldChar w:fldCharType="separate"/>
          </w:r>
          <w:r>
            <w:rPr>
              <w:rFonts w:hint="eastAsia" w:ascii="仿宋" w:hAnsi="仿宋" w:eastAsia="仿宋" w:cs="仿宋"/>
              <w:sz w:val="28"/>
              <w:szCs w:val="28"/>
            </w:rPr>
            <w:t>- 3 -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_Toc12305 </w:instrText>
          </w:r>
          <w:r>
            <w:rPr>
              <w:rFonts w:hint="eastAsia" w:ascii="仿宋" w:hAnsi="仿宋" w:eastAsia="仿宋" w:cs="仿宋"/>
              <w:sz w:val="28"/>
              <w:szCs w:val="28"/>
            </w:rPr>
            <w:fldChar w:fldCharType="separate"/>
          </w:r>
          <w:r>
            <w:rPr>
              <w:rFonts w:hint="eastAsia" w:ascii="仿宋" w:hAnsi="仿宋" w:eastAsia="仿宋" w:cs="仿宋"/>
              <w:sz w:val="28"/>
              <w:szCs w:val="28"/>
              <w:lang w:eastAsia="zh-CN"/>
            </w:rPr>
            <w:t>三、</w:t>
          </w:r>
          <w:r>
            <w:rPr>
              <w:rFonts w:hint="eastAsia" w:ascii="仿宋" w:hAnsi="仿宋" w:eastAsia="仿宋" w:cs="仿宋"/>
              <w:sz w:val="28"/>
              <w:szCs w:val="28"/>
            </w:rPr>
            <w:t>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_Toc12305 </w:instrText>
          </w:r>
          <w:r>
            <w:rPr>
              <w:rFonts w:hint="eastAsia" w:ascii="仿宋" w:hAnsi="仿宋" w:eastAsia="仿宋" w:cs="仿宋"/>
              <w:sz w:val="28"/>
              <w:szCs w:val="28"/>
            </w:rPr>
            <w:fldChar w:fldCharType="separate"/>
          </w:r>
          <w:r>
            <w:rPr>
              <w:rFonts w:hint="eastAsia" w:ascii="仿宋" w:hAnsi="仿宋" w:eastAsia="仿宋" w:cs="仿宋"/>
              <w:sz w:val="28"/>
              <w:szCs w:val="28"/>
            </w:rPr>
            <w:t>- 4 -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_Toc1192 </w:instrText>
          </w:r>
          <w:r>
            <w:rPr>
              <w:rFonts w:hint="eastAsia" w:ascii="仿宋" w:hAnsi="仿宋" w:eastAsia="仿宋" w:cs="仿宋"/>
              <w:sz w:val="28"/>
              <w:szCs w:val="28"/>
            </w:rPr>
            <w:fldChar w:fldCharType="separate"/>
          </w:r>
          <w:r>
            <w:rPr>
              <w:rFonts w:hint="eastAsia" w:ascii="仿宋" w:hAnsi="仿宋" w:eastAsia="仿宋" w:cs="仿宋"/>
              <w:sz w:val="28"/>
              <w:szCs w:val="28"/>
            </w:rPr>
            <w:t>四、财政拨款收入支出决算总体情况说明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_Toc1192 </w:instrText>
          </w:r>
          <w:r>
            <w:rPr>
              <w:rFonts w:hint="eastAsia" w:ascii="仿宋" w:hAnsi="仿宋" w:eastAsia="仿宋" w:cs="仿宋"/>
              <w:sz w:val="28"/>
              <w:szCs w:val="28"/>
            </w:rPr>
            <w:fldChar w:fldCharType="separate"/>
          </w:r>
          <w:r>
            <w:rPr>
              <w:rFonts w:hint="eastAsia" w:ascii="仿宋" w:hAnsi="仿宋" w:eastAsia="仿宋" w:cs="仿宋"/>
              <w:sz w:val="28"/>
              <w:szCs w:val="28"/>
            </w:rPr>
            <w:t>- 5 -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_Toc2416 </w:instrText>
          </w:r>
          <w:r>
            <w:rPr>
              <w:rFonts w:hint="eastAsia" w:ascii="仿宋" w:hAnsi="仿宋" w:eastAsia="仿宋" w:cs="仿宋"/>
              <w:sz w:val="28"/>
              <w:szCs w:val="28"/>
            </w:rPr>
            <w:fldChar w:fldCharType="separate"/>
          </w:r>
          <w:r>
            <w:rPr>
              <w:rFonts w:hint="eastAsia" w:ascii="仿宋" w:hAnsi="仿宋" w:eastAsia="仿宋" w:cs="仿宋"/>
              <w:sz w:val="28"/>
              <w:szCs w:val="28"/>
            </w:rPr>
            <w:t>五、一般公共预算财政拨款支出决算情况说明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_Toc2416 </w:instrText>
          </w:r>
          <w:r>
            <w:rPr>
              <w:rFonts w:hint="eastAsia" w:ascii="仿宋" w:hAnsi="仿宋" w:eastAsia="仿宋" w:cs="仿宋"/>
              <w:sz w:val="28"/>
              <w:szCs w:val="28"/>
            </w:rPr>
            <w:fldChar w:fldCharType="separate"/>
          </w:r>
          <w:r>
            <w:rPr>
              <w:rFonts w:hint="eastAsia" w:ascii="仿宋" w:hAnsi="仿宋" w:eastAsia="仿宋" w:cs="仿宋"/>
              <w:sz w:val="28"/>
              <w:szCs w:val="28"/>
            </w:rPr>
            <w:t>- 7 -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_Toc9490 </w:instrText>
          </w:r>
          <w:r>
            <w:rPr>
              <w:rFonts w:hint="eastAsia" w:ascii="仿宋" w:hAnsi="仿宋" w:eastAsia="仿宋" w:cs="仿宋"/>
              <w:sz w:val="28"/>
              <w:szCs w:val="28"/>
            </w:rPr>
            <w:fldChar w:fldCharType="separate"/>
          </w:r>
          <w:r>
            <w:rPr>
              <w:rFonts w:hint="eastAsia" w:ascii="仿宋" w:hAnsi="仿宋" w:eastAsia="仿宋" w:cs="仿宋"/>
              <w:sz w:val="28"/>
              <w:szCs w:val="28"/>
            </w:rPr>
            <w:t>六、一般公共预算财政拨款基本支出决算情况说明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_Toc9490 </w:instrText>
          </w:r>
          <w:r>
            <w:rPr>
              <w:rFonts w:hint="eastAsia" w:ascii="仿宋" w:hAnsi="仿宋" w:eastAsia="仿宋" w:cs="仿宋"/>
              <w:sz w:val="28"/>
              <w:szCs w:val="28"/>
            </w:rPr>
            <w:fldChar w:fldCharType="separate"/>
          </w:r>
          <w:r>
            <w:rPr>
              <w:rFonts w:hint="eastAsia" w:ascii="仿宋" w:hAnsi="仿宋" w:eastAsia="仿宋" w:cs="仿宋"/>
              <w:sz w:val="28"/>
              <w:szCs w:val="28"/>
            </w:rPr>
            <w:t>- 10 -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_Toc17402 </w:instrText>
          </w:r>
          <w:r>
            <w:rPr>
              <w:rFonts w:hint="eastAsia" w:ascii="仿宋" w:hAnsi="仿宋" w:eastAsia="仿宋" w:cs="仿宋"/>
              <w:sz w:val="28"/>
              <w:szCs w:val="28"/>
            </w:rPr>
            <w:fldChar w:fldCharType="separate"/>
          </w:r>
          <w:r>
            <w:rPr>
              <w:rFonts w:hint="eastAsia" w:ascii="仿宋" w:hAnsi="仿宋" w:eastAsia="仿宋" w:cs="仿宋"/>
              <w:sz w:val="28"/>
              <w:szCs w:val="28"/>
            </w:rPr>
            <w:t>七、财政拨款“三公”经费支出决算情况说明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_Toc17402 </w:instrText>
          </w:r>
          <w:r>
            <w:rPr>
              <w:rFonts w:hint="eastAsia" w:ascii="仿宋" w:hAnsi="仿宋" w:eastAsia="仿宋" w:cs="仿宋"/>
              <w:sz w:val="28"/>
              <w:szCs w:val="28"/>
            </w:rPr>
            <w:fldChar w:fldCharType="separate"/>
          </w:r>
          <w:r>
            <w:rPr>
              <w:rFonts w:hint="eastAsia" w:ascii="仿宋" w:hAnsi="仿宋" w:eastAsia="仿宋" w:cs="仿宋"/>
              <w:sz w:val="28"/>
              <w:szCs w:val="28"/>
            </w:rPr>
            <w:t>- 11 -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_Toc948 </w:instrText>
          </w:r>
          <w:r>
            <w:rPr>
              <w:rFonts w:hint="eastAsia" w:ascii="仿宋" w:hAnsi="仿宋" w:eastAsia="仿宋" w:cs="仿宋"/>
              <w:sz w:val="28"/>
              <w:szCs w:val="28"/>
            </w:rPr>
            <w:fldChar w:fldCharType="separate"/>
          </w:r>
          <w:r>
            <w:rPr>
              <w:rFonts w:hint="eastAsia" w:ascii="仿宋" w:hAnsi="仿宋" w:eastAsia="仿宋" w:cs="仿宋"/>
              <w:sz w:val="28"/>
              <w:szCs w:val="28"/>
            </w:rPr>
            <w:t>八、政府性基金预算支出决算情况说明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_Toc948 </w:instrText>
          </w:r>
          <w:r>
            <w:rPr>
              <w:rFonts w:hint="eastAsia" w:ascii="仿宋" w:hAnsi="仿宋" w:eastAsia="仿宋" w:cs="仿宋"/>
              <w:sz w:val="28"/>
              <w:szCs w:val="28"/>
            </w:rPr>
            <w:fldChar w:fldCharType="separate"/>
          </w:r>
          <w:r>
            <w:rPr>
              <w:rFonts w:hint="eastAsia" w:ascii="仿宋" w:hAnsi="仿宋" w:eastAsia="仿宋" w:cs="仿宋"/>
              <w:sz w:val="28"/>
              <w:szCs w:val="28"/>
            </w:rPr>
            <w:t>- 14 -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_Toc28833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lang w:eastAsia="zh-CN"/>
            </w:rPr>
            <w:t>九、</w:t>
          </w:r>
          <w:r>
            <w:rPr>
              <w:rFonts w:hint="eastAsia" w:ascii="仿宋" w:hAnsi="仿宋" w:eastAsia="仿宋" w:cs="仿宋"/>
              <w:sz w:val="28"/>
              <w:szCs w:val="28"/>
              <w:highlight w:val="none"/>
            </w:rPr>
            <w:t>国有资本经营预算支出决算情况说明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_Toc28833 </w:instrText>
          </w:r>
          <w:r>
            <w:rPr>
              <w:rFonts w:hint="eastAsia" w:ascii="仿宋" w:hAnsi="仿宋" w:eastAsia="仿宋" w:cs="仿宋"/>
              <w:sz w:val="28"/>
              <w:szCs w:val="28"/>
            </w:rPr>
            <w:fldChar w:fldCharType="separate"/>
          </w:r>
          <w:r>
            <w:rPr>
              <w:rFonts w:hint="eastAsia" w:ascii="仿宋" w:hAnsi="仿宋" w:eastAsia="仿宋" w:cs="仿宋"/>
              <w:sz w:val="28"/>
              <w:szCs w:val="28"/>
            </w:rPr>
            <w:t>- 14 -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_Toc24889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lang w:eastAsia="zh-CN"/>
            </w:rPr>
            <w:t>十、</w:t>
          </w:r>
          <w:r>
            <w:rPr>
              <w:rFonts w:hint="eastAsia" w:ascii="仿宋" w:hAnsi="仿宋" w:eastAsia="仿宋" w:cs="仿宋"/>
              <w:sz w:val="28"/>
              <w:szCs w:val="28"/>
              <w:highlight w:val="none"/>
            </w:rPr>
            <w:t>其他重要事项的情况说明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_Toc24889 </w:instrText>
          </w:r>
          <w:r>
            <w:rPr>
              <w:rFonts w:hint="eastAsia" w:ascii="仿宋" w:hAnsi="仿宋" w:eastAsia="仿宋" w:cs="仿宋"/>
              <w:sz w:val="28"/>
              <w:szCs w:val="28"/>
            </w:rPr>
            <w:fldChar w:fldCharType="separate"/>
          </w:r>
          <w:r>
            <w:rPr>
              <w:rFonts w:hint="eastAsia" w:ascii="仿宋" w:hAnsi="仿宋" w:eastAsia="仿宋" w:cs="仿宋"/>
              <w:sz w:val="28"/>
              <w:szCs w:val="28"/>
            </w:rPr>
            <w:t>- 14 -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1"/>
            <w:keepNext w:val="0"/>
            <w:keepLines w:val="0"/>
            <w:pageBreakBefore w:val="0"/>
            <w:widowControl w:val="0"/>
            <w:tabs>
              <w:tab w:val="right" w:leader="dot" w:pos="8845"/>
              <w:tab w:val="clear" w:pos="8296"/>
            </w:tabs>
            <w:kinsoku/>
            <w:wordWrap/>
            <w:overflowPunct/>
            <w:topLinePunct w:val="0"/>
            <w:autoSpaceDE/>
            <w:autoSpaceDN/>
            <w:bidi w:val="0"/>
            <w:spacing w:before="0"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_Toc30278 </w:instrText>
          </w:r>
          <w:r>
            <w:rPr>
              <w:rFonts w:hint="eastAsia" w:ascii="仿宋" w:hAnsi="仿宋" w:eastAsia="仿宋" w:cs="仿宋"/>
              <w:sz w:val="28"/>
              <w:szCs w:val="28"/>
            </w:rPr>
            <w:fldChar w:fldCharType="separate"/>
          </w:r>
          <w:r>
            <w:rPr>
              <w:rFonts w:hint="eastAsia" w:ascii="仿宋" w:hAnsi="仿宋" w:eastAsia="仿宋" w:cs="仿宋"/>
              <w:sz w:val="28"/>
              <w:szCs w:val="28"/>
            </w:rPr>
            <w:t>第</w:t>
          </w:r>
          <w:r>
            <w:rPr>
              <w:rFonts w:hint="eastAsia" w:ascii="仿宋" w:hAnsi="仿宋" w:eastAsia="仿宋" w:cs="仿宋"/>
              <w:sz w:val="28"/>
              <w:szCs w:val="28"/>
              <w:lang w:eastAsia="zh-CN"/>
            </w:rPr>
            <w:t>三</w:t>
          </w:r>
          <w:r>
            <w:rPr>
              <w:rFonts w:hint="eastAsia" w:ascii="仿宋" w:hAnsi="仿宋" w:eastAsia="仿宋" w:cs="仿宋"/>
              <w:sz w:val="28"/>
              <w:szCs w:val="28"/>
            </w:rPr>
            <w:t>部分</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名词解释</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_Toc30278 </w:instrText>
          </w:r>
          <w:r>
            <w:rPr>
              <w:rFonts w:hint="eastAsia" w:ascii="仿宋" w:hAnsi="仿宋" w:eastAsia="仿宋" w:cs="仿宋"/>
              <w:sz w:val="28"/>
              <w:szCs w:val="28"/>
            </w:rPr>
            <w:fldChar w:fldCharType="separate"/>
          </w:r>
          <w:r>
            <w:rPr>
              <w:rFonts w:hint="eastAsia" w:ascii="仿宋" w:hAnsi="仿宋" w:eastAsia="仿宋" w:cs="仿宋"/>
              <w:sz w:val="28"/>
              <w:szCs w:val="28"/>
            </w:rPr>
            <w:t>- 16 -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1"/>
            <w:keepNext w:val="0"/>
            <w:keepLines w:val="0"/>
            <w:pageBreakBefore w:val="0"/>
            <w:widowControl w:val="0"/>
            <w:tabs>
              <w:tab w:val="right" w:leader="dot" w:pos="8845"/>
              <w:tab w:val="clear" w:pos="8296"/>
            </w:tabs>
            <w:kinsoku/>
            <w:wordWrap/>
            <w:overflowPunct/>
            <w:topLinePunct w:val="0"/>
            <w:autoSpaceDE/>
            <w:autoSpaceDN/>
            <w:bidi w:val="0"/>
            <w:spacing w:before="0"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_Toc7120 </w:instrText>
          </w:r>
          <w:r>
            <w:rPr>
              <w:rFonts w:hint="eastAsia" w:ascii="仿宋" w:hAnsi="仿宋" w:eastAsia="仿宋" w:cs="仿宋"/>
              <w:sz w:val="28"/>
              <w:szCs w:val="28"/>
            </w:rPr>
            <w:fldChar w:fldCharType="separate"/>
          </w:r>
          <w:r>
            <w:rPr>
              <w:rFonts w:hint="eastAsia" w:ascii="仿宋" w:hAnsi="仿宋" w:eastAsia="仿宋" w:cs="仿宋"/>
              <w:sz w:val="28"/>
              <w:szCs w:val="28"/>
            </w:rPr>
            <w:t>第四部分 附件</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_Toc7120 </w:instrText>
          </w:r>
          <w:r>
            <w:rPr>
              <w:rFonts w:hint="eastAsia" w:ascii="仿宋" w:hAnsi="仿宋" w:eastAsia="仿宋" w:cs="仿宋"/>
              <w:sz w:val="28"/>
              <w:szCs w:val="28"/>
            </w:rPr>
            <w:fldChar w:fldCharType="separate"/>
          </w:r>
          <w:r>
            <w:rPr>
              <w:rFonts w:hint="eastAsia" w:ascii="仿宋" w:hAnsi="仿宋" w:eastAsia="仿宋" w:cs="仿宋"/>
              <w:sz w:val="28"/>
              <w:szCs w:val="28"/>
            </w:rPr>
            <w:t>- 20 -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1"/>
            <w:keepNext w:val="0"/>
            <w:keepLines w:val="0"/>
            <w:pageBreakBefore w:val="0"/>
            <w:widowControl w:val="0"/>
            <w:tabs>
              <w:tab w:val="right" w:leader="dot" w:pos="8845"/>
              <w:tab w:val="clear" w:pos="8296"/>
            </w:tabs>
            <w:kinsoku/>
            <w:wordWrap/>
            <w:overflowPunct/>
            <w:topLinePunct w:val="0"/>
            <w:autoSpaceDE/>
            <w:autoSpaceDN/>
            <w:bidi w:val="0"/>
            <w:spacing w:before="0" w:line="600" w:lineRule="exact"/>
            <w:ind w:left="0" w:leftChars="0"/>
            <w:jc w:val="both"/>
            <w:textAlignment w:val="auto"/>
            <w:rPr>
              <w:rFonts w:hint="eastAsia" w:ascii="仿宋" w:hAnsi="仿宋" w:eastAsia="仿宋" w:cs="仿宋"/>
              <w:sz w:val="28"/>
              <w:szCs w:val="28"/>
            </w:rPr>
          </w:pPr>
          <w:bookmarkStart w:id="121" w:name="_GoBack"/>
          <w:bookmarkEnd w:id="121"/>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_Toc10904 </w:instrText>
          </w:r>
          <w:r>
            <w:rPr>
              <w:rFonts w:hint="eastAsia" w:ascii="仿宋" w:hAnsi="仿宋" w:eastAsia="仿宋" w:cs="仿宋"/>
              <w:sz w:val="28"/>
              <w:szCs w:val="28"/>
            </w:rPr>
            <w:fldChar w:fldCharType="separate"/>
          </w:r>
          <w:r>
            <w:rPr>
              <w:rFonts w:hint="eastAsia" w:ascii="仿宋" w:hAnsi="仿宋" w:eastAsia="仿宋" w:cs="仿宋"/>
              <w:sz w:val="28"/>
              <w:szCs w:val="28"/>
            </w:rPr>
            <w:t>第五部分 附表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_Toc10904 </w:instrText>
          </w:r>
          <w:r>
            <w:rPr>
              <w:rFonts w:hint="eastAsia" w:ascii="仿宋" w:hAnsi="仿宋" w:eastAsia="仿宋" w:cs="仿宋"/>
              <w:sz w:val="28"/>
              <w:szCs w:val="28"/>
            </w:rPr>
            <w:fldChar w:fldCharType="separate"/>
          </w:r>
          <w:r>
            <w:rPr>
              <w:rFonts w:hint="eastAsia" w:ascii="仿宋" w:hAnsi="仿宋" w:eastAsia="仿宋" w:cs="仿宋"/>
              <w:sz w:val="28"/>
              <w:szCs w:val="28"/>
            </w:rPr>
            <w:t>- 48 -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_Toc13036 </w:instrText>
          </w:r>
          <w:r>
            <w:rPr>
              <w:rFonts w:hint="eastAsia" w:ascii="仿宋" w:hAnsi="仿宋" w:eastAsia="仿宋" w:cs="仿宋"/>
              <w:sz w:val="28"/>
              <w:szCs w:val="28"/>
            </w:rPr>
            <w:fldChar w:fldCharType="separate"/>
          </w:r>
          <w:r>
            <w:rPr>
              <w:rFonts w:hint="eastAsia" w:ascii="仿宋" w:hAnsi="仿宋" w:eastAsia="仿宋" w:cs="仿宋"/>
              <w:sz w:val="28"/>
              <w:szCs w:val="28"/>
            </w:rPr>
            <w:t>一、收入支出决算总表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_Toc13036 </w:instrText>
          </w:r>
          <w:r>
            <w:rPr>
              <w:rFonts w:hint="eastAsia" w:ascii="仿宋" w:hAnsi="仿宋" w:eastAsia="仿宋" w:cs="仿宋"/>
              <w:sz w:val="28"/>
              <w:szCs w:val="28"/>
            </w:rPr>
            <w:fldChar w:fldCharType="separate"/>
          </w:r>
          <w:r>
            <w:rPr>
              <w:rFonts w:hint="eastAsia" w:ascii="仿宋" w:hAnsi="仿宋" w:eastAsia="仿宋" w:cs="仿宋"/>
              <w:sz w:val="28"/>
              <w:szCs w:val="28"/>
            </w:rPr>
            <w:t>- 48 -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_Toc6456 </w:instrText>
          </w:r>
          <w:r>
            <w:rPr>
              <w:rFonts w:hint="eastAsia" w:ascii="仿宋" w:hAnsi="仿宋" w:eastAsia="仿宋" w:cs="仿宋"/>
              <w:sz w:val="28"/>
              <w:szCs w:val="28"/>
            </w:rPr>
            <w:fldChar w:fldCharType="separate"/>
          </w:r>
          <w:r>
            <w:rPr>
              <w:rFonts w:hint="eastAsia" w:ascii="仿宋" w:hAnsi="仿宋" w:eastAsia="仿宋" w:cs="仿宋"/>
              <w:sz w:val="28"/>
              <w:szCs w:val="28"/>
            </w:rPr>
            <w:t>二、收入决算表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_Toc6456 </w:instrText>
          </w:r>
          <w:r>
            <w:rPr>
              <w:rFonts w:hint="eastAsia" w:ascii="仿宋" w:hAnsi="仿宋" w:eastAsia="仿宋" w:cs="仿宋"/>
              <w:sz w:val="28"/>
              <w:szCs w:val="28"/>
            </w:rPr>
            <w:fldChar w:fldCharType="separate"/>
          </w:r>
          <w:r>
            <w:rPr>
              <w:rFonts w:hint="eastAsia" w:ascii="仿宋" w:hAnsi="仿宋" w:eastAsia="仿宋" w:cs="仿宋"/>
              <w:sz w:val="28"/>
              <w:szCs w:val="28"/>
            </w:rPr>
            <w:t>- 48 -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_Toc26222 </w:instrText>
          </w:r>
          <w:r>
            <w:rPr>
              <w:rFonts w:hint="eastAsia" w:ascii="仿宋" w:hAnsi="仿宋" w:eastAsia="仿宋" w:cs="仿宋"/>
              <w:sz w:val="28"/>
              <w:szCs w:val="28"/>
            </w:rPr>
            <w:fldChar w:fldCharType="separate"/>
          </w:r>
          <w:r>
            <w:rPr>
              <w:rFonts w:hint="eastAsia" w:ascii="仿宋" w:hAnsi="仿宋" w:eastAsia="仿宋" w:cs="仿宋"/>
              <w:sz w:val="28"/>
              <w:szCs w:val="28"/>
            </w:rPr>
            <w:t>三、支出决算表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_Toc26222 </w:instrText>
          </w:r>
          <w:r>
            <w:rPr>
              <w:rFonts w:hint="eastAsia" w:ascii="仿宋" w:hAnsi="仿宋" w:eastAsia="仿宋" w:cs="仿宋"/>
              <w:sz w:val="28"/>
              <w:szCs w:val="28"/>
            </w:rPr>
            <w:fldChar w:fldCharType="separate"/>
          </w:r>
          <w:r>
            <w:rPr>
              <w:rFonts w:hint="eastAsia" w:ascii="仿宋" w:hAnsi="仿宋" w:eastAsia="仿宋" w:cs="仿宋"/>
              <w:sz w:val="28"/>
              <w:szCs w:val="28"/>
            </w:rPr>
            <w:t>- 48 -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_Toc17579 </w:instrText>
          </w:r>
          <w:r>
            <w:rPr>
              <w:rFonts w:hint="eastAsia" w:ascii="仿宋" w:hAnsi="仿宋" w:eastAsia="仿宋" w:cs="仿宋"/>
              <w:sz w:val="28"/>
              <w:szCs w:val="28"/>
            </w:rPr>
            <w:fldChar w:fldCharType="separate"/>
          </w:r>
          <w:r>
            <w:rPr>
              <w:rFonts w:hint="eastAsia" w:ascii="仿宋" w:hAnsi="仿宋" w:eastAsia="仿宋" w:cs="仿宋"/>
              <w:sz w:val="28"/>
              <w:szCs w:val="28"/>
            </w:rPr>
            <w:t>四、财政拨款收入支出决算总表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_Toc17579 </w:instrText>
          </w:r>
          <w:r>
            <w:rPr>
              <w:rFonts w:hint="eastAsia" w:ascii="仿宋" w:hAnsi="仿宋" w:eastAsia="仿宋" w:cs="仿宋"/>
              <w:sz w:val="28"/>
              <w:szCs w:val="28"/>
            </w:rPr>
            <w:fldChar w:fldCharType="separate"/>
          </w:r>
          <w:r>
            <w:rPr>
              <w:rFonts w:hint="eastAsia" w:ascii="仿宋" w:hAnsi="仿宋" w:eastAsia="仿宋" w:cs="仿宋"/>
              <w:sz w:val="28"/>
              <w:szCs w:val="28"/>
            </w:rPr>
            <w:t>- 48 -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_Toc17870 </w:instrText>
          </w:r>
          <w:r>
            <w:rPr>
              <w:rFonts w:hint="eastAsia" w:ascii="仿宋" w:hAnsi="仿宋" w:eastAsia="仿宋" w:cs="仿宋"/>
              <w:sz w:val="28"/>
              <w:szCs w:val="28"/>
            </w:rPr>
            <w:fldChar w:fldCharType="separate"/>
          </w:r>
          <w:r>
            <w:rPr>
              <w:rFonts w:hint="eastAsia" w:ascii="仿宋" w:hAnsi="仿宋" w:eastAsia="仿宋" w:cs="仿宋"/>
              <w:sz w:val="28"/>
              <w:szCs w:val="28"/>
            </w:rPr>
            <w:t>五、财政拨款支出决算明细表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_Toc17870 </w:instrText>
          </w:r>
          <w:r>
            <w:rPr>
              <w:rFonts w:hint="eastAsia" w:ascii="仿宋" w:hAnsi="仿宋" w:eastAsia="仿宋" w:cs="仿宋"/>
              <w:sz w:val="28"/>
              <w:szCs w:val="28"/>
            </w:rPr>
            <w:fldChar w:fldCharType="separate"/>
          </w:r>
          <w:r>
            <w:rPr>
              <w:rFonts w:hint="eastAsia" w:ascii="仿宋" w:hAnsi="仿宋" w:eastAsia="仿宋" w:cs="仿宋"/>
              <w:sz w:val="28"/>
              <w:szCs w:val="28"/>
            </w:rPr>
            <w:t>- 48 -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_Toc26246 </w:instrText>
          </w:r>
          <w:r>
            <w:rPr>
              <w:rFonts w:hint="eastAsia" w:ascii="仿宋" w:hAnsi="仿宋" w:eastAsia="仿宋" w:cs="仿宋"/>
              <w:sz w:val="28"/>
              <w:szCs w:val="28"/>
            </w:rPr>
            <w:fldChar w:fldCharType="separate"/>
          </w:r>
          <w:r>
            <w:rPr>
              <w:rFonts w:hint="eastAsia" w:ascii="仿宋" w:hAnsi="仿宋" w:eastAsia="仿宋" w:cs="仿宋"/>
              <w:sz w:val="28"/>
              <w:szCs w:val="28"/>
            </w:rPr>
            <w:t>六、一般公共预算财政拨款支出决算表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_Toc26246 </w:instrText>
          </w:r>
          <w:r>
            <w:rPr>
              <w:rFonts w:hint="eastAsia" w:ascii="仿宋" w:hAnsi="仿宋" w:eastAsia="仿宋" w:cs="仿宋"/>
              <w:sz w:val="28"/>
              <w:szCs w:val="28"/>
            </w:rPr>
            <w:fldChar w:fldCharType="separate"/>
          </w:r>
          <w:r>
            <w:rPr>
              <w:rFonts w:hint="eastAsia" w:ascii="仿宋" w:hAnsi="仿宋" w:eastAsia="仿宋" w:cs="仿宋"/>
              <w:sz w:val="28"/>
              <w:szCs w:val="28"/>
            </w:rPr>
            <w:t>- 48 -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_Toc28906 </w:instrText>
          </w:r>
          <w:r>
            <w:rPr>
              <w:rFonts w:hint="eastAsia" w:ascii="仿宋" w:hAnsi="仿宋" w:eastAsia="仿宋" w:cs="仿宋"/>
              <w:sz w:val="28"/>
              <w:szCs w:val="28"/>
            </w:rPr>
            <w:fldChar w:fldCharType="separate"/>
          </w:r>
          <w:r>
            <w:rPr>
              <w:rFonts w:hint="eastAsia" w:ascii="仿宋" w:hAnsi="仿宋" w:eastAsia="仿宋" w:cs="仿宋"/>
              <w:sz w:val="28"/>
              <w:szCs w:val="28"/>
            </w:rPr>
            <w:t>七、一般公共预算财政拨款支出决算明细表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_Toc28906 </w:instrText>
          </w:r>
          <w:r>
            <w:rPr>
              <w:rFonts w:hint="eastAsia" w:ascii="仿宋" w:hAnsi="仿宋" w:eastAsia="仿宋" w:cs="仿宋"/>
              <w:sz w:val="28"/>
              <w:szCs w:val="28"/>
            </w:rPr>
            <w:fldChar w:fldCharType="separate"/>
          </w:r>
          <w:r>
            <w:rPr>
              <w:rFonts w:hint="eastAsia" w:ascii="仿宋" w:hAnsi="仿宋" w:eastAsia="仿宋" w:cs="仿宋"/>
              <w:sz w:val="28"/>
              <w:szCs w:val="28"/>
            </w:rPr>
            <w:t>- 48 -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_Toc16714 </w:instrText>
          </w:r>
          <w:r>
            <w:rPr>
              <w:rFonts w:hint="eastAsia" w:ascii="仿宋" w:hAnsi="仿宋" w:eastAsia="仿宋" w:cs="仿宋"/>
              <w:sz w:val="28"/>
              <w:szCs w:val="28"/>
            </w:rPr>
            <w:fldChar w:fldCharType="separate"/>
          </w:r>
          <w:r>
            <w:rPr>
              <w:rFonts w:hint="eastAsia" w:ascii="仿宋" w:hAnsi="仿宋" w:eastAsia="仿宋" w:cs="仿宋"/>
              <w:sz w:val="28"/>
              <w:szCs w:val="28"/>
            </w:rPr>
            <w:t>八、一般公共预算财政拨款基本支出决算表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_Toc16714 </w:instrText>
          </w:r>
          <w:r>
            <w:rPr>
              <w:rFonts w:hint="eastAsia" w:ascii="仿宋" w:hAnsi="仿宋" w:eastAsia="仿宋" w:cs="仿宋"/>
              <w:sz w:val="28"/>
              <w:szCs w:val="28"/>
            </w:rPr>
            <w:fldChar w:fldCharType="separate"/>
          </w:r>
          <w:r>
            <w:rPr>
              <w:rFonts w:hint="eastAsia" w:ascii="仿宋" w:hAnsi="仿宋" w:eastAsia="仿宋" w:cs="仿宋"/>
              <w:sz w:val="28"/>
              <w:szCs w:val="28"/>
            </w:rPr>
            <w:t>- 48 -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_Toc8690 </w:instrText>
          </w:r>
          <w:r>
            <w:rPr>
              <w:rFonts w:hint="eastAsia" w:ascii="仿宋" w:hAnsi="仿宋" w:eastAsia="仿宋" w:cs="仿宋"/>
              <w:sz w:val="28"/>
              <w:szCs w:val="28"/>
            </w:rPr>
            <w:fldChar w:fldCharType="separate"/>
          </w:r>
          <w:r>
            <w:rPr>
              <w:rFonts w:hint="eastAsia" w:ascii="仿宋" w:hAnsi="仿宋" w:eastAsia="仿宋" w:cs="仿宋"/>
              <w:sz w:val="28"/>
              <w:szCs w:val="28"/>
            </w:rPr>
            <w:t>九、一般公共预算财政拨款项目支出决算表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_Toc8690 </w:instrText>
          </w:r>
          <w:r>
            <w:rPr>
              <w:rFonts w:hint="eastAsia" w:ascii="仿宋" w:hAnsi="仿宋" w:eastAsia="仿宋" w:cs="仿宋"/>
              <w:sz w:val="28"/>
              <w:szCs w:val="28"/>
            </w:rPr>
            <w:fldChar w:fldCharType="separate"/>
          </w:r>
          <w:r>
            <w:rPr>
              <w:rFonts w:hint="eastAsia" w:ascii="仿宋" w:hAnsi="仿宋" w:eastAsia="仿宋" w:cs="仿宋"/>
              <w:sz w:val="28"/>
              <w:szCs w:val="28"/>
            </w:rPr>
            <w:t>- 48 -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_Toc26963 </w:instrText>
          </w:r>
          <w:r>
            <w:rPr>
              <w:rFonts w:hint="eastAsia" w:ascii="仿宋" w:hAnsi="仿宋" w:eastAsia="仿宋" w:cs="仿宋"/>
              <w:sz w:val="28"/>
              <w:szCs w:val="28"/>
            </w:rPr>
            <w:fldChar w:fldCharType="separate"/>
          </w:r>
          <w:r>
            <w:rPr>
              <w:rFonts w:hint="eastAsia" w:ascii="仿宋" w:hAnsi="仿宋" w:eastAsia="仿宋" w:cs="仿宋"/>
              <w:sz w:val="28"/>
              <w:szCs w:val="28"/>
            </w:rPr>
            <w:t>十、政府性基金预算财政拨款收入支出决算表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_Toc26963 </w:instrText>
          </w:r>
          <w:r>
            <w:rPr>
              <w:rFonts w:hint="eastAsia" w:ascii="仿宋" w:hAnsi="仿宋" w:eastAsia="仿宋" w:cs="仿宋"/>
              <w:sz w:val="28"/>
              <w:szCs w:val="28"/>
            </w:rPr>
            <w:fldChar w:fldCharType="separate"/>
          </w:r>
          <w:r>
            <w:rPr>
              <w:rFonts w:hint="eastAsia" w:ascii="仿宋" w:hAnsi="仿宋" w:eastAsia="仿宋" w:cs="仿宋"/>
              <w:sz w:val="28"/>
              <w:szCs w:val="28"/>
            </w:rPr>
            <w:t>- 48 -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_Toc31510 </w:instrText>
          </w:r>
          <w:r>
            <w:rPr>
              <w:rFonts w:hint="eastAsia" w:ascii="仿宋" w:hAnsi="仿宋" w:eastAsia="仿宋" w:cs="仿宋"/>
              <w:sz w:val="28"/>
              <w:szCs w:val="28"/>
            </w:rPr>
            <w:fldChar w:fldCharType="separate"/>
          </w:r>
          <w:r>
            <w:rPr>
              <w:rFonts w:hint="eastAsia" w:ascii="仿宋" w:hAnsi="仿宋" w:eastAsia="仿宋" w:cs="仿宋"/>
              <w:sz w:val="28"/>
              <w:szCs w:val="28"/>
            </w:rPr>
            <w:t>十一、国有资本经营预算</w:t>
          </w:r>
          <w:r>
            <w:rPr>
              <w:rFonts w:hint="eastAsia" w:ascii="仿宋" w:hAnsi="仿宋" w:eastAsia="仿宋" w:cs="仿宋"/>
              <w:sz w:val="28"/>
              <w:szCs w:val="28"/>
              <w:lang w:eastAsia="zh-CN"/>
            </w:rPr>
            <w:t>财政拨款收入</w:t>
          </w:r>
          <w:r>
            <w:rPr>
              <w:rFonts w:hint="eastAsia" w:ascii="仿宋" w:hAnsi="仿宋" w:eastAsia="仿宋" w:cs="仿宋"/>
              <w:sz w:val="28"/>
              <w:szCs w:val="28"/>
            </w:rPr>
            <w:t>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_Toc31510 </w:instrText>
          </w:r>
          <w:r>
            <w:rPr>
              <w:rFonts w:hint="eastAsia" w:ascii="仿宋" w:hAnsi="仿宋" w:eastAsia="仿宋" w:cs="仿宋"/>
              <w:sz w:val="28"/>
              <w:szCs w:val="28"/>
            </w:rPr>
            <w:fldChar w:fldCharType="separate"/>
          </w:r>
          <w:r>
            <w:rPr>
              <w:rFonts w:hint="eastAsia" w:ascii="仿宋" w:hAnsi="仿宋" w:eastAsia="仿宋" w:cs="仿宋"/>
              <w:sz w:val="28"/>
              <w:szCs w:val="28"/>
            </w:rPr>
            <w:t>- 48 -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_Toc25159 </w:instrText>
          </w:r>
          <w:r>
            <w:rPr>
              <w:rFonts w:hint="eastAsia" w:ascii="仿宋" w:hAnsi="仿宋" w:eastAsia="仿宋" w:cs="仿宋"/>
              <w:sz w:val="28"/>
              <w:szCs w:val="28"/>
            </w:rPr>
            <w:fldChar w:fldCharType="separate"/>
          </w:r>
          <w:r>
            <w:rPr>
              <w:rFonts w:hint="eastAsia" w:ascii="仿宋" w:hAnsi="仿宋" w:eastAsia="仿宋" w:cs="仿宋"/>
              <w:sz w:val="28"/>
              <w:szCs w:val="28"/>
            </w:rPr>
            <w:t>十二、</w:t>
          </w:r>
          <w:r>
            <w:rPr>
              <w:rFonts w:hint="eastAsia" w:ascii="仿宋" w:hAnsi="仿宋" w:eastAsia="仿宋" w:cs="仿宋"/>
              <w:sz w:val="28"/>
              <w:szCs w:val="28"/>
              <w:lang w:eastAsia="zh-CN"/>
            </w:rPr>
            <w:t>国有资本经营预算财政拨款支出决算表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_Toc25159 </w:instrText>
          </w:r>
          <w:r>
            <w:rPr>
              <w:rFonts w:hint="eastAsia" w:ascii="仿宋" w:hAnsi="仿宋" w:eastAsia="仿宋" w:cs="仿宋"/>
              <w:sz w:val="28"/>
              <w:szCs w:val="28"/>
            </w:rPr>
            <w:fldChar w:fldCharType="separate"/>
          </w:r>
          <w:r>
            <w:rPr>
              <w:rFonts w:hint="eastAsia" w:ascii="仿宋" w:hAnsi="仿宋" w:eastAsia="仿宋" w:cs="仿宋"/>
              <w:sz w:val="28"/>
              <w:szCs w:val="28"/>
            </w:rPr>
            <w:t>- 48 -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textAlignment w:val="auto"/>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_Toc6839 </w:instrText>
          </w:r>
          <w:r>
            <w:rPr>
              <w:rFonts w:hint="eastAsia" w:ascii="仿宋" w:hAnsi="仿宋" w:eastAsia="仿宋" w:cs="仿宋"/>
              <w:sz w:val="28"/>
              <w:szCs w:val="28"/>
            </w:rPr>
            <w:fldChar w:fldCharType="separate"/>
          </w:r>
          <w:r>
            <w:rPr>
              <w:rFonts w:hint="eastAsia" w:ascii="仿宋" w:hAnsi="仿宋" w:eastAsia="仿宋" w:cs="仿宋"/>
              <w:sz w:val="28"/>
              <w:szCs w:val="28"/>
            </w:rPr>
            <w:t>十三、</w:t>
          </w:r>
          <w:r>
            <w:rPr>
              <w:rFonts w:hint="eastAsia" w:ascii="仿宋" w:hAnsi="仿宋" w:eastAsia="仿宋" w:cs="仿宋"/>
              <w:sz w:val="28"/>
              <w:szCs w:val="28"/>
              <w:lang w:eastAsia="zh-CN"/>
            </w:rPr>
            <w:t>财政拨款“三公”经费支出决算表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_Toc6839 </w:instrText>
          </w:r>
          <w:r>
            <w:rPr>
              <w:rFonts w:hint="eastAsia" w:ascii="仿宋" w:hAnsi="仿宋" w:eastAsia="仿宋" w:cs="仿宋"/>
              <w:sz w:val="28"/>
              <w:szCs w:val="28"/>
            </w:rPr>
            <w:fldChar w:fldCharType="separate"/>
          </w:r>
          <w:r>
            <w:rPr>
              <w:rFonts w:hint="eastAsia" w:ascii="仿宋" w:hAnsi="仿宋" w:eastAsia="仿宋" w:cs="仿宋"/>
              <w:sz w:val="28"/>
              <w:szCs w:val="28"/>
            </w:rPr>
            <w:t>- 48 -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15"/>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jc w:val="left"/>
            <w:textAlignment w:val="auto"/>
            <w:rPr>
              <w:rFonts w:ascii="宋体" w:hAnsi="宋体" w:eastAsia="宋体" w:cs="Times New Roman"/>
              <w:kern w:val="2"/>
              <w:sz w:val="21"/>
              <w:szCs w:val="24"/>
              <w:lang w:val="en-US" w:eastAsia="zh-CN" w:bidi="ar-SA"/>
            </w:rPr>
          </w:pPr>
          <w:r>
            <w:rPr>
              <w:rFonts w:hint="eastAsia" w:ascii="仿宋" w:hAnsi="仿宋" w:eastAsia="仿宋" w:cs="仿宋"/>
              <w:sz w:val="28"/>
              <w:szCs w:val="28"/>
            </w:rPr>
            <w:fldChar w:fldCharType="end"/>
          </w:r>
        </w:p>
      </w:sdtContent>
    </w:sdt>
    <w:p>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Times New Roman" w:hAnsi="Times New Roman" w:eastAsia="宋体" w:cs="Times New Roman"/>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pStyle w:val="3"/>
        <w:jc w:val="both"/>
        <w:rPr>
          <w:rFonts w:hint="eastAsia" w:ascii="Times New Roman" w:hAnsi="Times New Roman" w:eastAsia="方正小标宋简体" w:cs="方正小标宋简体"/>
          <w:b w:val="0"/>
          <w:color w:val="auto"/>
          <w:highlight w:val="none"/>
        </w:rPr>
        <w:sectPr>
          <w:headerReference r:id="rId5" w:type="default"/>
          <w:footerReference r:id="rId6" w:type="default"/>
          <w:pgSz w:w="11906" w:h="16838"/>
          <w:pgMar w:top="2098" w:right="1474" w:bottom="1984" w:left="1587" w:header="851" w:footer="992" w:gutter="0"/>
          <w:pgNumType w:fmt="numberInDash" w:start="1"/>
          <w:cols w:space="425" w:num="1"/>
          <w:docGrid w:type="lines" w:linePitch="435" w:charSpace="0"/>
        </w:sectPr>
      </w:pPr>
    </w:p>
    <w:p>
      <w:pPr>
        <w:pStyle w:val="3"/>
        <w:jc w:val="center"/>
        <w:rPr>
          <w:rFonts w:ascii="Times New Roman" w:hAnsi="Times New Roman" w:eastAsia="黑体"/>
          <w:color w:val="auto"/>
          <w:sz w:val="32"/>
          <w:szCs w:val="32"/>
          <w:highlight w:val="none"/>
        </w:rPr>
      </w:pPr>
      <w:bookmarkStart w:id="8" w:name="_Toc8109"/>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bookmarkEnd w:id="7"/>
      <w:bookmarkEnd w:id="8"/>
    </w:p>
    <w:p>
      <w:pPr>
        <w:pStyle w:val="4"/>
        <w:numPr>
          <w:ilvl w:val="0"/>
          <w:numId w:val="1"/>
        </w:numPr>
        <w:rPr>
          <w:rFonts w:hint="eastAsia" w:ascii="Times New Roman" w:hAnsi="Times New Roman" w:eastAsia="黑体"/>
          <w:b w:val="0"/>
          <w:color w:val="auto"/>
          <w:highlight w:val="none"/>
          <w:lang w:eastAsia="zh-CN"/>
        </w:rPr>
      </w:pPr>
      <w:bookmarkStart w:id="9" w:name="_Toc13142"/>
      <w:r>
        <w:rPr>
          <w:rFonts w:hint="eastAsia" w:ascii="Times New Roman" w:hAnsi="Times New Roman" w:eastAsia="黑体"/>
          <w:b w:val="0"/>
          <w:color w:val="auto"/>
          <w:highlight w:val="none"/>
          <w:lang w:eastAsia="zh-CN"/>
        </w:rPr>
        <w:t>部门职责</w:t>
      </w:r>
      <w:bookmarkEnd w:id="9"/>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负责全县市场综合监督管理工作。起草市场监督管理有关规范性文件，规范和维护市场秩序，负责市场监督管理科技和信息化建设、新闻宣传，营造诚实守信、公平竞争的市场环境。负责全县市场主体统一登记注册。负责全县各类企业、农民专业合作社和从事经营活动的单位、个体工商户以及外国（地区）企业、常驻代表机构等市场主体的登记注册和监督管理工作。负责全县宏观质量管理。组织实施质量发展、质量强县的制度措施。组织产品质量事故调查，贯彻实施缺陷产品召回制度，监督管理产品防伪工作。负责全县食品安全监督管理综合协调，拟定并组织实施全县食品安全规划。统筹指导全县食品安全工作。负责食品安全应急体系建设，组织指导食品安全事件应急处置和调查处理工作。</w:t>
      </w:r>
    </w:p>
    <w:p>
      <w:pPr>
        <w:pStyle w:val="4"/>
        <w:rPr>
          <w:rStyle w:val="31"/>
          <w:rFonts w:ascii="Times New Roman" w:hAnsi="Times New Roman"/>
          <w:b w:val="0"/>
          <w:bCs w:val="0"/>
          <w:color w:val="auto"/>
          <w:highlight w:val="none"/>
        </w:rPr>
      </w:pPr>
      <w:bookmarkStart w:id="10" w:name="_Toc15396601"/>
      <w:bookmarkStart w:id="11" w:name="_Toc15377200"/>
      <w:bookmarkStart w:id="12" w:name="_Toc13088"/>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0"/>
      <w:bookmarkEnd w:id="11"/>
      <w:bookmarkEnd w:id="12"/>
    </w:p>
    <w:p>
      <w:pPr>
        <w:pageBreakBefore w:val="0"/>
        <w:widowControl w:val="0"/>
        <w:numPr>
          <w:ilvl w:val="0"/>
          <w:numId w:val="0"/>
        </w:numPr>
        <w:kinsoku/>
        <w:wordWrap/>
        <w:overflowPunct/>
        <w:topLinePunct w:val="0"/>
        <w:autoSpaceDE/>
        <w:autoSpaceDN/>
        <w:bidi w:val="0"/>
        <w:adjustRightInd/>
        <w:snapToGrid w:val="0"/>
        <w:spacing w:line="560" w:lineRule="exact"/>
        <w:ind w:leftChars="0" w:firstLine="640" w:firstLineChars="200"/>
        <w:textAlignment w:val="auto"/>
        <w:outlineLvl w:val="9"/>
        <w:rPr>
          <w:rFonts w:ascii="Times New Roman" w:hAnsi="Times New Roman" w:eastAsia="仿宋"/>
          <w:color w:val="auto"/>
          <w:kern w:val="0"/>
          <w:sz w:val="32"/>
          <w:szCs w:val="32"/>
          <w:highlight w:val="none"/>
        </w:rPr>
      </w:pPr>
      <w:r>
        <w:rPr>
          <w:rFonts w:hint="eastAsia" w:ascii="仿宋" w:hAnsi="仿宋" w:eastAsia="仿宋" w:cs="Times New Roman"/>
          <w:color w:val="auto"/>
          <w:kern w:val="0"/>
          <w:sz w:val="32"/>
          <w:szCs w:val="32"/>
          <w:lang w:val="en-US" w:eastAsia="zh-CN" w:bidi="ar-SA"/>
        </w:rPr>
        <w:t>壤塘县市场监督管理局有下属单位，本单位为行政单位，主要由壤塘市场监督管理综合执法中队和壤塘县消费者权益委员会组成。</w:t>
      </w:r>
      <w:r>
        <w:rPr>
          <w:rFonts w:ascii="Times New Roman" w:hAnsi="Times New Roman" w:eastAsia="仿宋"/>
          <w:color w:val="auto"/>
          <w:sz w:val="32"/>
          <w:szCs w:val="32"/>
          <w:highlight w:val="none"/>
        </w:rPr>
        <w:br w:type="page"/>
      </w:r>
    </w:p>
    <w:p>
      <w:pPr>
        <w:pStyle w:val="3"/>
        <w:jc w:val="center"/>
        <w:rPr>
          <w:rFonts w:ascii="Times New Roman" w:hAnsi="Times New Roman"/>
          <w:color w:val="auto"/>
          <w:highlight w:val="none"/>
        </w:rPr>
      </w:pPr>
      <w:bookmarkStart w:id="13" w:name="_Toc15396602"/>
      <w:bookmarkStart w:id="14" w:name="_Toc15377204"/>
      <w:bookmarkStart w:id="15" w:name="_Toc6366"/>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3"/>
      <w:bookmarkEnd w:id="14"/>
      <w:bookmarkEnd w:id="15"/>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6" w:name="_Toc15396603"/>
      <w:bookmarkStart w:id="17" w:name="_Toc15377205"/>
      <w:bookmarkStart w:id="18" w:name="_Toc14338"/>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6"/>
      <w:bookmarkEnd w:id="17"/>
      <w:bookmarkEnd w:id="18"/>
    </w:p>
    <w:p>
      <w:pPr>
        <w:spacing w:line="600" w:lineRule="exact"/>
        <w:ind w:firstLine="640" w:firstLineChars="200"/>
        <w:rPr>
          <w:rFonts w:hint="default"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年度收</w:t>
      </w:r>
      <w:r>
        <w:rPr>
          <w:rFonts w:hint="eastAsia" w:ascii="仿宋" w:hAnsi="仿宋" w:eastAsia="仿宋"/>
          <w:color w:val="auto"/>
          <w:sz w:val="32"/>
          <w:szCs w:val="32"/>
          <w:highlight w:val="none"/>
          <w:lang w:val="en-US" w:eastAsia="zh-CN"/>
        </w:rPr>
        <w:t>入</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eastAsia="zh-CN"/>
        </w:rPr>
        <w:t>为</w:t>
      </w:r>
      <w:r>
        <w:rPr>
          <w:rFonts w:hint="eastAsia" w:ascii="仿宋" w:hAnsi="仿宋" w:eastAsia="仿宋"/>
          <w:color w:val="auto"/>
          <w:sz w:val="32"/>
          <w:szCs w:val="32"/>
          <w:highlight w:val="none"/>
          <w:lang w:val="en-US" w:eastAsia="zh-CN"/>
        </w:rPr>
        <w:t>1004.84</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相比，收</w:t>
      </w:r>
      <w:r>
        <w:rPr>
          <w:rFonts w:hint="eastAsia" w:ascii="仿宋" w:hAnsi="仿宋" w:eastAsia="仿宋"/>
          <w:color w:val="auto"/>
          <w:sz w:val="32"/>
          <w:szCs w:val="32"/>
          <w:highlight w:val="none"/>
          <w:lang w:val="en-US" w:eastAsia="zh-CN"/>
        </w:rPr>
        <w:t>入</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减少2.04</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下降0.2</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2025年度支出总计为1001.64万元，与2024年度相比，支出总计减少5.24万元，下降0.52%。主要变动原因是财政拨款收入有所压减。</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14"/>
        <w:ind w:left="0" w:leftChars="0" w:firstLine="0" w:firstLineChars="0"/>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lang w:eastAsia="zh-CN"/>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rPr>
          <w:rFonts w:hint="eastAsia" w:ascii="Times New Roman" w:hAnsi="Times New Roman" w:eastAsia="仿宋_GB2312" w:cs="仿宋_GB2312"/>
          <w:color w:val="auto"/>
          <w:sz w:val="32"/>
          <w:szCs w:val="32"/>
          <w:lang w:eastAsia="zh-CN"/>
        </w:rPr>
      </w:pPr>
    </w:p>
    <w:p>
      <w:pPr>
        <w:pStyle w:val="14"/>
        <w:rPr>
          <w:rFonts w:hint="eastAsia" w:ascii="Times New Roman" w:hAnsi="Times New Roman" w:eastAsia="仿宋_GB2312" w:cs="仿宋_GB2312"/>
          <w:color w:val="auto"/>
          <w:sz w:val="32"/>
          <w:szCs w:val="32"/>
          <w:lang w:eastAsia="zh-CN"/>
        </w:rPr>
      </w:pPr>
    </w:p>
    <w:p>
      <w:pPr>
        <w:rPr>
          <w:rFonts w:hint="eastAsia" w:ascii="Times New Roman" w:hAnsi="Times New Roman" w:eastAsia="仿宋_GB2312" w:cs="仿宋_GB2312"/>
          <w:color w:val="auto"/>
          <w:sz w:val="32"/>
          <w:szCs w:val="32"/>
          <w:lang w:eastAsia="zh-CN"/>
        </w:rPr>
      </w:pPr>
    </w:p>
    <w:p>
      <w:pPr>
        <w:pStyle w:val="14"/>
        <w:rPr>
          <w:rFonts w:hint="eastAsia" w:ascii="Times New Roman" w:hAnsi="Times New Roman" w:eastAsia="仿宋_GB2312" w:cs="仿宋_GB2312"/>
          <w:color w:val="auto"/>
          <w:sz w:val="32"/>
          <w:szCs w:val="32"/>
          <w:lang w:eastAsia="zh-CN"/>
        </w:rPr>
      </w:pPr>
    </w:p>
    <w:p>
      <w:pPr>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lang w:eastAsia="zh-CN"/>
        </w:rP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bookmarkStart w:id="19" w:name="_Toc19940"/>
      <w:bookmarkStart w:id="20" w:name="_Toc10866"/>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End w:id="19"/>
      <w:bookmarkEnd w:id="20"/>
    </w:p>
    <w:p>
      <w:pPr>
        <w:pStyle w:val="14"/>
        <w:rPr>
          <w:rFonts w:hint="eastAsia"/>
          <w:lang w:eastAsia="zh-CN"/>
        </w:rPr>
      </w:pPr>
    </w:p>
    <w:p>
      <w:pPr>
        <w:pStyle w:val="14"/>
        <w:ind w:left="0" w:leftChars="0" w:firstLine="0" w:firstLineChars="0"/>
        <w:rPr>
          <w:rFonts w:hint="eastAsia"/>
        </w:rPr>
      </w:pPr>
    </w:p>
    <w:p>
      <w:pPr>
        <w:pStyle w:val="4"/>
        <w:bidi w:val="0"/>
        <w:ind w:firstLine="643" w:firstLineChars="200"/>
        <w:rPr>
          <w:rFonts w:hint="eastAsia"/>
          <w:lang w:eastAsia="zh-CN"/>
        </w:rPr>
      </w:pPr>
      <w:bookmarkStart w:id="21" w:name="_Toc15377206"/>
      <w:bookmarkStart w:id="22" w:name="_Toc15396604"/>
      <w:bookmarkStart w:id="23" w:name="_Toc24760"/>
      <w:r>
        <w:rPr>
          <w:rFonts w:hint="eastAsia"/>
          <w:lang w:eastAsia="zh-CN"/>
        </w:rPr>
        <w:t>二、收入决算情况说明</w:t>
      </w:r>
      <w:bookmarkEnd w:id="21"/>
      <w:bookmarkEnd w:id="22"/>
      <w:bookmarkEnd w:id="23"/>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24" w:name="_Toc21146"/>
      <w:bookmarkStart w:id="25" w:name="_Toc23952"/>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本年收入合计1004.84万元，其中：一般公共预算财政拨款收入980.04万元，占</w:t>
      </w:r>
      <w:r>
        <w:rPr>
          <w:rFonts w:hint="eastAsia" w:eastAsia="仿宋_GB2312" w:cs="仿宋_GB2312"/>
          <w:color w:val="auto"/>
          <w:sz w:val="32"/>
          <w:szCs w:val="32"/>
          <w:highlight w:val="none"/>
          <w:lang w:val="en-US" w:eastAsia="zh-CN"/>
        </w:rPr>
        <w:t>97.53</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24.8</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2.47</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（注：数据来源于财决0</w:t>
      </w:r>
      <w:r>
        <w:rPr>
          <w:rFonts w:hint="eastAsia" w:eastAsia="仿宋_GB2312" w:cs="仿宋_GB2312"/>
          <w:b/>
          <w:bCs/>
          <w:color w:val="auto"/>
          <w:sz w:val="32"/>
          <w:szCs w:val="32"/>
          <w:highlight w:val="none"/>
          <w:lang w:val="en-US" w:eastAsia="zh-CN"/>
        </w:rPr>
        <w:t>2</w:t>
      </w:r>
      <w:r>
        <w:rPr>
          <w:rFonts w:hint="eastAsia" w:ascii="Times New Roman" w:hAnsi="Times New Roman" w:eastAsia="仿宋_GB2312" w:cs="仿宋_GB2312"/>
          <w:b/>
          <w:bCs/>
          <w:color w:val="auto"/>
          <w:sz w:val="32"/>
          <w:szCs w:val="32"/>
          <w:highlight w:val="none"/>
          <w:lang w:eastAsia="zh-CN"/>
        </w:rPr>
        <w:t>表</w:t>
      </w:r>
      <w:r>
        <w:rPr>
          <w:rFonts w:hint="eastAsia"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仅罗列本部门涉及的收入）</w:t>
      </w:r>
      <w:bookmarkEnd w:id="24"/>
      <w:bookmarkEnd w:id="25"/>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ind w:firstLine="800" w:firstLineChars="250"/>
        <w:jc w:val="center"/>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lang w:eastAsia="zh-CN"/>
        </w:rPr>
        <w:drawing>
          <wp:inline distT="0" distB="0" distL="114300" distR="114300">
            <wp:extent cx="4843780" cy="3559810"/>
            <wp:effectExtent l="4445" t="4445" r="9525"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6" w:name="_Toc9280"/>
      <w:bookmarkStart w:id="27" w:name="_Toc28348"/>
      <w:r>
        <w:rPr>
          <w:rFonts w:hint="eastAsia" w:ascii="Times New Roman" w:hAnsi="Times New Roman" w:eastAsia="仿宋_GB2312" w:cs="仿宋_GB2312"/>
          <w:color w:val="auto"/>
          <w:sz w:val="32"/>
          <w:szCs w:val="32"/>
          <w:highlight w:val="none"/>
          <w:lang w:eastAsia="zh-CN"/>
        </w:rPr>
        <w:t>（图2：收入决算结构图）（饼状图）</w:t>
      </w:r>
      <w:bookmarkEnd w:id="26"/>
      <w:bookmarkEnd w:id="27"/>
    </w:p>
    <w:p>
      <w:pPr>
        <w:pStyle w:val="14"/>
        <w:rPr>
          <w:rFonts w:hint="eastAsia"/>
          <w:lang w:eastAsia="zh-CN"/>
        </w:rPr>
      </w:pPr>
    </w:p>
    <w:p>
      <w:pPr>
        <w:rPr>
          <w:rFonts w:hint="eastAsia"/>
          <w:lang w:eastAsia="zh-CN"/>
        </w:rPr>
      </w:pPr>
    </w:p>
    <w:p>
      <w:pPr>
        <w:pStyle w:val="4"/>
        <w:bidi w:val="0"/>
        <w:ind w:firstLine="643" w:firstLineChars="200"/>
        <w:rPr>
          <w:rFonts w:hint="eastAsia"/>
        </w:rPr>
      </w:pPr>
      <w:bookmarkStart w:id="28" w:name="_Toc15377207"/>
      <w:bookmarkStart w:id="29" w:name="_Toc15396605"/>
      <w:bookmarkStart w:id="30" w:name="_Toc12305"/>
      <w:r>
        <w:rPr>
          <w:rFonts w:hint="eastAsia"/>
          <w:lang w:eastAsia="zh-CN"/>
        </w:rPr>
        <w:t>三、</w:t>
      </w:r>
      <w:r>
        <w:rPr>
          <w:rFonts w:hint="eastAsia"/>
        </w:rPr>
        <w:t>支出决算情况说明</w:t>
      </w:r>
      <w:bookmarkEnd w:id="28"/>
      <w:bookmarkEnd w:id="29"/>
      <w:bookmarkEnd w:id="30"/>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31" w:name="_Toc26068"/>
      <w:bookmarkStart w:id="32" w:name="_Toc10677"/>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1001.64</w:t>
      </w:r>
      <w:r>
        <w:rPr>
          <w:rFonts w:hint="eastAsia" w:ascii="Times New Roman" w:hAnsi="Times New Roman" w:eastAsia="仿宋_GB2312" w:cs="仿宋_GB2312"/>
          <w:color w:val="auto"/>
          <w:sz w:val="32"/>
          <w:szCs w:val="32"/>
          <w:highlight w:val="none"/>
          <w:lang w:eastAsia="zh-CN"/>
        </w:rPr>
        <w:t>万元，其中：基本支出884.83万元，占</w:t>
      </w:r>
      <w:r>
        <w:rPr>
          <w:rFonts w:hint="eastAsia" w:eastAsia="仿宋_GB2312" w:cs="仿宋_GB2312"/>
          <w:color w:val="auto"/>
          <w:sz w:val="32"/>
          <w:szCs w:val="32"/>
          <w:highlight w:val="none"/>
          <w:lang w:val="en-US" w:eastAsia="zh-CN"/>
        </w:rPr>
        <w:t>88.33</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116.8</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11.66</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（注：数据来源于财决0</w:t>
      </w:r>
      <w:r>
        <w:rPr>
          <w:rFonts w:hint="eastAsia" w:eastAsia="仿宋_GB2312" w:cs="仿宋_GB2312"/>
          <w:b/>
          <w:bCs/>
          <w:color w:val="auto"/>
          <w:sz w:val="32"/>
          <w:szCs w:val="32"/>
          <w:highlight w:val="none"/>
          <w:lang w:val="en-US" w:eastAsia="zh-CN"/>
        </w:rPr>
        <w:t>3</w:t>
      </w:r>
      <w:r>
        <w:rPr>
          <w:rFonts w:hint="eastAsia" w:ascii="Times New Roman" w:hAnsi="Times New Roman" w:eastAsia="仿宋_GB2312" w:cs="仿宋_GB2312"/>
          <w:b/>
          <w:bCs/>
          <w:color w:val="auto"/>
          <w:sz w:val="32"/>
          <w:szCs w:val="32"/>
          <w:highlight w:val="none"/>
          <w:lang w:eastAsia="zh-CN"/>
        </w:rPr>
        <w:t>表，仅罗列本单位涉及的支出。）</w:t>
      </w:r>
      <w:bookmarkEnd w:id="31"/>
      <w:bookmarkEnd w:id="32"/>
    </w:p>
    <w:p>
      <w:pPr>
        <w:ind w:firstLine="800" w:firstLineChars="250"/>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lang w:eastAsia="zh-CN"/>
        </w:rPr>
        <w:drawing>
          <wp:inline distT="0" distB="0" distL="114300" distR="114300">
            <wp:extent cx="4885690" cy="2988310"/>
            <wp:effectExtent l="5080" t="4445" r="5080" b="1714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3" w:name="_Toc22743"/>
      <w:bookmarkStart w:id="34" w:name="_Toc28494"/>
      <w:r>
        <w:rPr>
          <w:rFonts w:hint="eastAsia" w:ascii="Times New Roman" w:hAnsi="Times New Roman" w:eastAsia="仿宋_GB2312" w:cs="仿宋_GB2312"/>
          <w:color w:val="auto"/>
          <w:sz w:val="32"/>
          <w:szCs w:val="32"/>
          <w:highlight w:val="none"/>
          <w:lang w:eastAsia="zh-CN"/>
        </w:rPr>
        <w:t>（图3：支出决算结构图）（饼状图）</w:t>
      </w:r>
      <w:bookmarkEnd w:id="33"/>
      <w:bookmarkEnd w:id="34"/>
    </w:p>
    <w:p>
      <w:pPr>
        <w:pStyle w:val="14"/>
        <w:rPr>
          <w:rFonts w:hint="eastAsia"/>
          <w:lang w:eastAsia="zh-CN"/>
        </w:rPr>
      </w:pPr>
    </w:p>
    <w:p>
      <w:pPr>
        <w:rPr>
          <w:rFonts w:hint="eastAsia"/>
          <w:lang w:eastAsia="zh-CN"/>
        </w:rPr>
      </w:pPr>
    </w:p>
    <w:p>
      <w:pPr>
        <w:pStyle w:val="4"/>
        <w:bidi w:val="0"/>
        <w:ind w:firstLine="643" w:firstLineChars="200"/>
        <w:rPr>
          <w:rStyle w:val="31"/>
          <w:rFonts w:ascii="Times New Roman" w:hAnsi="Times New Roman" w:eastAsia="黑体"/>
          <w:b w:val="0"/>
          <w:bCs/>
          <w:color w:val="auto"/>
          <w:highlight w:val="none"/>
        </w:rPr>
      </w:pPr>
      <w:bookmarkStart w:id="35" w:name="_Toc15377208"/>
      <w:bookmarkStart w:id="36" w:name="_Toc15396606"/>
      <w:bookmarkStart w:id="37" w:name="_Toc1192"/>
      <w:r>
        <w:rPr>
          <w:rFonts w:hint="eastAsia"/>
        </w:rPr>
        <w:t>四、财政拨款收入支出决算总体情况说明</w:t>
      </w:r>
      <w:bookmarkEnd w:id="35"/>
      <w:bookmarkEnd w:id="36"/>
      <w:bookmarkEnd w:id="37"/>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38" w:name="_Toc3546"/>
      <w:bookmarkStart w:id="39" w:name="_Toc2281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w:t>
      </w:r>
      <w:r>
        <w:rPr>
          <w:rFonts w:hint="eastAsia" w:eastAsia="仿宋_GB2312" w:cs="仿宋_GB2312"/>
          <w:color w:val="auto"/>
          <w:kern w:val="2"/>
          <w:sz w:val="32"/>
          <w:szCs w:val="32"/>
          <w:highlight w:val="none"/>
          <w:lang w:val="en-US" w:eastAsia="zh-CN" w:bidi="ar-SA"/>
        </w:rPr>
        <w:t>总计为980.04万元，</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2024年</w:t>
      </w:r>
      <w:r>
        <w:rPr>
          <w:rFonts w:hint="eastAsia" w:ascii="Times New Roman" w:hAnsi="Times New Roman" w:eastAsia="仿宋_GB2312" w:cs="仿宋_GB2312"/>
          <w:color w:val="auto"/>
          <w:kern w:val="2"/>
          <w:sz w:val="32"/>
          <w:szCs w:val="32"/>
          <w:highlight w:val="none"/>
          <w:lang w:val="en-US" w:eastAsia="zh-CN" w:bidi="ar-SA"/>
        </w:rPr>
        <w:t>相比，财政拨款收入总计减少</w:t>
      </w:r>
      <w:r>
        <w:rPr>
          <w:rFonts w:hint="eastAsia" w:eastAsia="仿宋_GB2312" w:cs="仿宋_GB2312"/>
          <w:color w:val="auto"/>
          <w:kern w:val="2"/>
          <w:sz w:val="32"/>
          <w:szCs w:val="32"/>
          <w:highlight w:val="none"/>
          <w:lang w:val="en-US" w:eastAsia="zh-CN" w:bidi="ar-SA"/>
        </w:rPr>
        <w:t>26.84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2.67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2024年度财政拨款支出总计为980.04万元，与2024年相比，财政拨款支出总计减少26.84万元，下降2.67%。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color w:val="auto"/>
          <w:sz w:val="32"/>
          <w:szCs w:val="32"/>
          <w:highlight w:val="none"/>
          <w:lang w:val="en-US" w:eastAsia="zh-CN"/>
        </w:rPr>
        <w:t>项目经费减少，导致收入和支出减少</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sz w:val="32"/>
          <w:szCs w:val="32"/>
          <w:highlight w:val="none"/>
          <w:lang w:eastAsia="zh-CN"/>
        </w:rPr>
        <w:t>（注：数据来源于财决0</w:t>
      </w:r>
      <w:r>
        <w:rPr>
          <w:rFonts w:hint="eastAsia" w:eastAsia="仿宋_GB2312" w:cs="仿宋_GB2312"/>
          <w:b/>
          <w:bCs/>
          <w:color w:val="auto"/>
          <w:sz w:val="32"/>
          <w:szCs w:val="32"/>
          <w:highlight w:val="none"/>
          <w:lang w:val="en-US" w:eastAsia="zh-CN"/>
        </w:rPr>
        <w:t>4</w:t>
      </w:r>
      <w:r>
        <w:rPr>
          <w:rFonts w:hint="eastAsia" w:ascii="Times New Roman" w:hAnsi="Times New Roman" w:eastAsia="仿宋_GB2312" w:cs="仿宋_GB2312"/>
          <w:b/>
          <w:bCs/>
          <w:color w:val="auto"/>
          <w:sz w:val="32"/>
          <w:szCs w:val="32"/>
          <w:highlight w:val="none"/>
          <w:lang w:eastAsia="zh-CN"/>
        </w:rPr>
        <w:t>表，仅罗列本单位涉及的支出。）</w:t>
      </w:r>
      <w:bookmarkEnd w:id="38"/>
      <w:bookmarkEnd w:id="39"/>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p>
      <w:pPr>
        <w:pStyle w:val="14"/>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lang w:val="en-US" w:eastAsia="zh-CN" w:bidi="ar-SA"/>
        </w:rPr>
        <w:drawing>
          <wp:inline distT="0" distB="0" distL="114300" distR="114300">
            <wp:extent cx="5224145" cy="2893695"/>
            <wp:effectExtent l="4445" t="4445" r="10160" b="1651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rPr>
          <w:rFonts w:hint="eastAsia" w:ascii="Times New Roman" w:hAnsi="Times New Roman" w:eastAsia="仿宋_GB2312" w:cs="仿宋_GB2312"/>
          <w:color w:val="auto"/>
          <w:kern w:val="2"/>
          <w:sz w:val="32"/>
          <w:szCs w:val="32"/>
          <w:lang w:val="en-US" w:eastAsia="zh-CN" w:bidi="ar-SA"/>
        </w:rPr>
      </w:pPr>
      <w:r>
        <w:rPr>
          <w:rFonts w:hint="eastAsia" w:eastAsia="仿宋_GB2312" w:cs="仿宋_GB2312"/>
          <w:color w:val="auto"/>
          <w:kern w:val="2"/>
          <w:sz w:val="32"/>
          <w:szCs w:val="32"/>
          <w:lang w:val="en-US" w:eastAsia="zh-CN" w:bidi="ar-SA"/>
        </w:rPr>
        <w:t xml:space="preserve">   </w:t>
      </w:r>
      <w:r>
        <w:rPr>
          <w:rFonts w:hint="eastAsia" w:ascii="Times New Roman" w:hAnsi="Times New Roman" w:eastAsia="仿宋_GB2312" w:cs="仿宋_GB2312"/>
          <w:color w:val="auto"/>
          <w:kern w:val="2"/>
          <w:sz w:val="32"/>
          <w:szCs w:val="32"/>
          <w:lang w:val="en-US" w:eastAsia="zh-CN" w:bidi="ar-SA"/>
        </w:rPr>
        <w:drawing>
          <wp:inline distT="0" distB="0" distL="114300" distR="114300">
            <wp:extent cx="5255260" cy="3009265"/>
            <wp:effectExtent l="4445" t="4445" r="17145" b="1524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pStyle w:val="14"/>
        <w:rPr>
          <w:rFonts w:hint="eastAsia"/>
          <w:lang w:val="en-US" w:eastAsia="zh-CN"/>
        </w:rPr>
      </w:pPr>
    </w:p>
    <w:p>
      <w:pPr>
        <w:rPr>
          <w:rFonts w:hint="eastAsia"/>
          <w:lang w:val="en-US" w:eastAsia="zh-CN"/>
        </w:rPr>
      </w:pPr>
    </w:p>
    <w:p>
      <w:pPr>
        <w:pStyle w:val="4"/>
        <w:bidi w:val="0"/>
        <w:ind w:firstLine="643" w:firstLineChars="200"/>
      </w:pPr>
      <w:bookmarkStart w:id="40" w:name="_Toc15377209"/>
      <w:bookmarkStart w:id="41" w:name="_Toc15396607"/>
      <w:bookmarkStart w:id="42" w:name="_Toc2416"/>
      <w:r>
        <w:rPr>
          <w:rFonts w:hint="eastAsia"/>
        </w:rPr>
        <w:t>五、一般公共预算财政拨款支出决算情况说明</w:t>
      </w:r>
      <w:bookmarkEnd w:id="40"/>
      <w:bookmarkEnd w:id="41"/>
      <w:bookmarkEnd w:id="42"/>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3"/>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44" w:name="_Toc30506"/>
      <w:bookmarkStart w:id="45" w:name="_Toc28121"/>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980.04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97.84</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26.84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2.67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color w:val="auto"/>
          <w:sz w:val="32"/>
          <w:szCs w:val="32"/>
          <w:highlight w:val="none"/>
          <w:lang w:val="en-US" w:eastAsia="zh-CN"/>
        </w:rPr>
        <w:t>项目经费减少，导致支出减少。</w:t>
      </w:r>
      <w:bookmarkEnd w:id="44"/>
      <w:bookmarkEnd w:id="45"/>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p>
    <w:p>
      <w:pPr>
        <w:pStyle w:val="13"/>
        <w:jc w:val="left"/>
        <w:rPr>
          <w:rFonts w:hint="eastAsia"/>
          <w:lang w:val="en-US" w:eastAsia="zh-CN"/>
        </w:rPr>
      </w:pPr>
      <w:r>
        <w:rPr>
          <w:rFonts w:hint="eastAsia"/>
          <w:lang w:val="en-US" w:eastAsia="zh-CN"/>
        </w:rPr>
        <w:drawing>
          <wp:inline distT="0" distB="0" distL="114300" distR="114300">
            <wp:extent cx="4695825" cy="2988310"/>
            <wp:effectExtent l="5080" t="4445" r="4445"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rPr>
          <w:rFonts w:hint="eastAsia"/>
          <w:lang w:val="en-US" w:eastAsia="zh-CN"/>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980.04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732.07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74.7</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131.49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13.41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45.22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4.6</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62.3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6.36</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sz w:val="32"/>
          <w:szCs w:val="32"/>
          <w:highlight w:val="none"/>
          <w:lang w:eastAsia="zh-CN"/>
        </w:rPr>
        <w:t>数据来源于财决0</w:t>
      </w:r>
      <w:r>
        <w:rPr>
          <w:rFonts w:hint="eastAsia" w:eastAsia="仿宋_GB2312" w:cs="仿宋_GB2312"/>
          <w:b/>
          <w:bCs/>
          <w:color w:val="auto"/>
          <w:sz w:val="32"/>
          <w:szCs w:val="32"/>
          <w:highlight w:val="none"/>
          <w:lang w:val="en-US" w:eastAsia="zh-CN"/>
        </w:rPr>
        <w:t>7</w:t>
      </w:r>
      <w:r>
        <w:rPr>
          <w:rFonts w:hint="eastAsia" w:ascii="Times New Roman" w:hAnsi="Times New Roman" w:eastAsia="仿宋_GB2312" w:cs="仿宋_GB2312"/>
          <w:b/>
          <w:bCs/>
          <w:color w:val="auto"/>
          <w:sz w:val="32"/>
          <w:szCs w:val="32"/>
          <w:highlight w:val="none"/>
          <w:lang w:eastAsia="zh-CN"/>
        </w:rPr>
        <w:t>表</w:t>
      </w:r>
      <w:r>
        <w:rPr>
          <w:rFonts w:hint="eastAsia"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仅罗列本单位涉及的支出。</w:t>
      </w:r>
      <w:r>
        <w:rPr>
          <w:rFonts w:hint="eastAsia" w:ascii="Times New Roman" w:hAnsi="Times New Roman" w:eastAsia="仿宋_GB2312" w:cs="仿宋_GB2312"/>
          <w:b/>
          <w:bCs/>
          <w:color w:val="auto"/>
          <w:kern w:val="2"/>
          <w:sz w:val="32"/>
          <w:szCs w:val="32"/>
          <w:highlight w:val="none"/>
          <w:lang w:val="en-US" w:eastAsia="zh-CN" w:bidi="ar-SA"/>
        </w:rPr>
        <w:t>）</w:t>
      </w:r>
    </w:p>
    <w:p>
      <w:pPr>
        <w:pStyle w:val="12"/>
        <w:rPr>
          <w:rFonts w:hint="eastAsia" w:ascii="Times New Roman" w:hAnsi="Times New Roman" w:eastAsia="楷体_GB2312" w:cs="楷体_GB2312"/>
          <w:b/>
          <w:color w:val="auto"/>
          <w:sz w:val="32"/>
          <w:szCs w:val="32"/>
          <w:highlight w:val="none"/>
        </w:rPr>
      </w:pPr>
      <w:bookmarkStart w:id="47" w:name="_Toc15377212"/>
      <w:r>
        <w:rPr>
          <w:rFonts w:hint="eastAsia" w:ascii="Times New Roman" w:hAnsi="Times New Roman" w:eastAsia="仿宋_GB2312" w:cs="仿宋_GB2312"/>
          <w:color w:val="auto"/>
          <w:kern w:val="2"/>
          <w:sz w:val="32"/>
          <w:szCs w:val="32"/>
          <w:lang w:val="en-US" w:eastAsia="zh-CN" w:bidi="ar-SA"/>
        </w:rPr>
        <w:drawing>
          <wp:inline distT="0" distB="0" distL="114300" distR="114300">
            <wp:extent cx="5784850" cy="3613150"/>
            <wp:effectExtent l="4445" t="4445" r="20955" b="2095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spacing w:line="600" w:lineRule="exact"/>
        <w:ind w:firstLine="640"/>
        <w:rPr>
          <w:rFonts w:hint="eastAsia" w:ascii="Times New Roman" w:hAnsi="Times New Roman" w:eastAsia="楷体_GB2312" w:cs="楷体_GB2312"/>
          <w:b/>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pStyle w:val="13"/>
        <w:rPr>
          <w:rFonts w:hint="eastAsia" w:ascii="Times New Roman" w:hAnsi="Times New Roman" w:eastAsia="楷体_GB2312" w:cs="楷体_GB2312"/>
          <w:b/>
          <w:color w:val="auto"/>
          <w:sz w:val="32"/>
          <w:szCs w:val="32"/>
          <w:highlight w:val="none"/>
        </w:rPr>
      </w:pPr>
    </w:p>
    <w:p>
      <w:pPr>
        <w:pStyle w:val="12"/>
        <w:rPr>
          <w:rFonts w:hint="eastAsi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4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8" w:name="_Toc15377213"/>
      <w:bookmarkStart w:id="49" w:name="_Toc15377444"/>
      <w:bookmarkStart w:id="50"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980.04</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8"/>
      <w:bookmarkEnd w:id="49"/>
      <w:bookmarkEnd w:id="50"/>
    </w:p>
    <w:p>
      <w:pPr>
        <w:numPr>
          <w:ilvl w:val="0"/>
          <w:numId w:val="2"/>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市场监督管理事务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645.82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，决算数与预算数持平。</w:t>
      </w:r>
    </w:p>
    <w:p>
      <w:pPr>
        <w:numPr>
          <w:ilvl w:val="0"/>
          <w:numId w:val="0"/>
        </w:numPr>
        <w:spacing w:line="600" w:lineRule="exact"/>
        <w:ind w:firstLine="640" w:firstLineChars="20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2.一般公共服务（类）</w:t>
      </w:r>
      <w:r>
        <w:rPr>
          <w:rFonts w:hint="eastAsia" w:eastAsia="仿宋_GB2312" w:cs="仿宋_GB2312"/>
          <w:color w:val="auto"/>
          <w:kern w:val="2"/>
          <w:sz w:val="32"/>
          <w:szCs w:val="32"/>
          <w:highlight w:val="none"/>
          <w:lang w:val="en-US" w:eastAsia="zh-CN" w:bidi="ar-SA"/>
        </w:rPr>
        <w:t>市场监督管理事务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一般行政管理事务</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6.33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，决算数与预算数持平。</w:t>
      </w:r>
    </w:p>
    <w:p>
      <w:pPr>
        <w:numPr>
          <w:ilvl w:val="0"/>
          <w:numId w:val="0"/>
        </w:numPr>
        <w:spacing w:line="600" w:lineRule="exact"/>
        <w:ind w:firstLine="640" w:firstLineChars="20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3.一般公共服务（类）</w:t>
      </w:r>
      <w:r>
        <w:rPr>
          <w:rFonts w:hint="eastAsia" w:eastAsia="仿宋_GB2312" w:cs="仿宋_GB2312"/>
          <w:color w:val="auto"/>
          <w:kern w:val="2"/>
          <w:sz w:val="32"/>
          <w:szCs w:val="32"/>
          <w:highlight w:val="none"/>
          <w:lang w:val="en-US" w:eastAsia="zh-CN" w:bidi="ar-SA"/>
        </w:rPr>
        <w:t>市场监督管理事务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药品事务</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10.01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，决算数与预算数持平。</w:t>
      </w:r>
    </w:p>
    <w:p>
      <w:pPr>
        <w:numPr>
          <w:ilvl w:val="0"/>
          <w:numId w:val="0"/>
        </w:numPr>
        <w:spacing w:line="600" w:lineRule="exact"/>
        <w:ind w:firstLine="640" w:firstLineChars="20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4.一般公共服务（类）</w:t>
      </w:r>
      <w:r>
        <w:rPr>
          <w:rFonts w:hint="eastAsia" w:eastAsia="仿宋_GB2312" w:cs="仿宋_GB2312"/>
          <w:color w:val="auto"/>
          <w:kern w:val="2"/>
          <w:sz w:val="32"/>
          <w:szCs w:val="32"/>
          <w:highlight w:val="none"/>
          <w:lang w:val="en-US" w:eastAsia="zh-CN" w:bidi="ar-SA"/>
        </w:rPr>
        <w:t>市场监督管理事务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其他市场监督管理事务</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69.91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，决算数与预算数持平。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5.社会保障和就业（类）</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机关事业单位基本养老保险缴费支出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87.66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，决算数与预算数持平。</w:t>
      </w:r>
    </w:p>
    <w:p>
      <w:pPr>
        <w:pStyle w:val="12"/>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lang w:val="en-US" w:eastAsia="zh-CN"/>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43.83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，决算数与预算数持平。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35.82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，决算数与预算数持平。</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公务员医疗补助</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，决算数与预算数持平。</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资源勘探工业信息等支出（类）</w:t>
      </w:r>
      <w:r>
        <w:rPr>
          <w:rFonts w:hint="eastAsia" w:eastAsia="仿宋_GB2312" w:cs="仿宋_GB2312"/>
          <w:color w:val="auto"/>
          <w:kern w:val="2"/>
          <w:sz w:val="32"/>
          <w:szCs w:val="32"/>
          <w:highlight w:val="none"/>
          <w:lang w:val="en-US" w:eastAsia="zh-CN" w:bidi="ar-SA"/>
        </w:rPr>
        <w:t>支持中小企业发展和管理支出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中小企业发展专项</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，决算数与预算数持平。</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商业服务业等支出（类）</w:t>
      </w:r>
      <w:r>
        <w:rPr>
          <w:rFonts w:hint="eastAsia" w:eastAsia="仿宋_GB2312" w:cs="仿宋_GB2312"/>
          <w:color w:val="auto"/>
          <w:kern w:val="2"/>
          <w:sz w:val="32"/>
          <w:szCs w:val="32"/>
          <w:highlight w:val="none"/>
          <w:lang w:val="en-US" w:eastAsia="zh-CN" w:bidi="ar-SA"/>
        </w:rPr>
        <w:t>其他商业服务业等支出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其他商业服务业等支出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2.95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，决算数与预算数持平。</w:t>
      </w:r>
    </w:p>
    <w:p>
      <w:pPr>
        <w:spacing w:line="600" w:lineRule="exact"/>
        <w:ind w:firstLine="640"/>
        <w:rPr>
          <w:rFonts w:hint="eastAsia"/>
          <w:b/>
          <w:bCs/>
          <w:lang w:val="en-US" w:eastAsia="zh-CN"/>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住房保障支出（类）</w:t>
      </w:r>
      <w:r>
        <w:rPr>
          <w:rFonts w:hint="eastAsia" w:eastAsia="仿宋_GB2312" w:cs="仿宋_GB2312"/>
          <w:color w:val="auto"/>
          <w:kern w:val="2"/>
          <w:sz w:val="32"/>
          <w:szCs w:val="32"/>
          <w:highlight w:val="none"/>
          <w:lang w:val="en-US" w:eastAsia="zh-CN" w:bidi="ar-SA"/>
        </w:rPr>
        <w:t>住房改革支出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住房公积金</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62.3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，决算数与预算数持平。</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sz w:val="32"/>
          <w:szCs w:val="32"/>
          <w:highlight w:val="none"/>
          <w:lang w:eastAsia="zh-CN"/>
        </w:rPr>
        <w:t>数据来源于财决0</w:t>
      </w:r>
      <w:r>
        <w:rPr>
          <w:rFonts w:hint="eastAsia" w:eastAsia="仿宋_GB2312" w:cs="仿宋_GB2312"/>
          <w:b/>
          <w:bCs/>
          <w:color w:val="auto"/>
          <w:sz w:val="32"/>
          <w:szCs w:val="32"/>
          <w:highlight w:val="none"/>
          <w:lang w:val="en-US" w:eastAsia="zh-CN"/>
        </w:rPr>
        <w:t>7</w:t>
      </w:r>
      <w:r>
        <w:rPr>
          <w:rFonts w:hint="eastAsia" w:ascii="Times New Roman" w:hAnsi="Times New Roman" w:eastAsia="仿宋_GB2312" w:cs="仿宋_GB2312"/>
          <w:b/>
          <w:bCs/>
          <w:color w:val="auto"/>
          <w:sz w:val="32"/>
          <w:szCs w:val="32"/>
          <w:highlight w:val="none"/>
          <w:lang w:eastAsia="zh-CN"/>
        </w:rPr>
        <w:t>表</w:t>
      </w:r>
      <w:r>
        <w:rPr>
          <w:rFonts w:hint="eastAsia"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kern w:val="2"/>
          <w:sz w:val="32"/>
          <w:szCs w:val="32"/>
          <w:highlight w:val="none"/>
          <w:lang w:val="en-US" w:eastAsia="zh-CN" w:bidi="ar-SA"/>
        </w:rPr>
        <w:t>仅罗列本部门涉及的全部功能分类科目，至项级。上述“预算”口径为全年预算数。增减变动原因为决算数&lt;项级&gt;和全年预算数&lt;项级&gt;比较，与预算数持平可以不写原因）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tabs>
          <w:tab w:val="right" w:pos="8306"/>
        </w:tabs>
        <w:spacing w:line="600" w:lineRule="exact"/>
        <w:ind w:firstLine="640"/>
        <w:outlineLvl w:val="1"/>
        <w:rPr>
          <w:rStyle w:val="31"/>
          <w:rFonts w:ascii="Times New Roman" w:hAnsi="Times New Roman"/>
          <w:color w:val="auto"/>
          <w:highlight w:val="none"/>
        </w:rPr>
      </w:pPr>
      <w:bookmarkStart w:id="51" w:name="_Toc15377214"/>
      <w:bookmarkStart w:id="52" w:name="_Toc15396608"/>
      <w:bookmarkStart w:id="53" w:name="_Toc9490"/>
      <w:r>
        <w:rPr>
          <w:rStyle w:val="31"/>
          <w:rFonts w:hint="eastAsia"/>
        </w:rPr>
        <w:t>六、一般公共预算财政拨款基本支出决算情况说明</w:t>
      </w:r>
      <w:bookmarkEnd w:id="51"/>
      <w:bookmarkEnd w:id="52"/>
      <w:bookmarkEnd w:id="53"/>
      <w:r>
        <w:rPr>
          <w:rStyle w:val="31"/>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884.83</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835.26</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49.57</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pStyle w:val="1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firstLine="645"/>
        <w:jc w:val="both"/>
      </w:pPr>
      <w:r>
        <w:rPr>
          <w:rFonts w:ascii="仿宋" w:hAnsi="仿宋" w:eastAsia="仿宋" w:cs="仿宋"/>
          <w:b/>
          <w:bCs/>
          <w:color w:val="000000"/>
          <w:sz w:val="32"/>
          <w:szCs w:val="32"/>
        </w:rPr>
        <w:t>（注：数据来源于财决</w:t>
      </w:r>
      <w:r>
        <w:rPr>
          <w:rFonts w:hint="eastAsia" w:ascii="仿宋" w:hAnsi="仿宋" w:eastAsia="仿宋" w:cs="仿宋"/>
          <w:b/>
          <w:bCs/>
          <w:color w:val="000000"/>
          <w:sz w:val="32"/>
          <w:szCs w:val="32"/>
        </w:rPr>
        <w:t>0</w:t>
      </w:r>
      <w:r>
        <w:rPr>
          <w:rFonts w:hint="eastAsia" w:ascii="仿宋" w:hAnsi="仿宋" w:eastAsia="仿宋" w:cs="仿宋"/>
          <w:b/>
          <w:bCs/>
          <w:color w:val="000000"/>
          <w:sz w:val="32"/>
          <w:szCs w:val="32"/>
          <w:lang w:val="en-US" w:eastAsia="zh-CN"/>
        </w:rPr>
        <w:t>8</w:t>
      </w:r>
      <w:r>
        <w:rPr>
          <w:rFonts w:hint="eastAsia" w:ascii="仿宋" w:hAnsi="仿宋" w:eastAsia="仿宋" w:cs="仿宋"/>
          <w:b/>
          <w:bCs/>
          <w:color w:val="000000"/>
          <w:sz w:val="32"/>
          <w:szCs w:val="32"/>
        </w:rPr>
        <w:t>表，仅罗列本单位实际支出涉及的经济分类科目。）</w:t>
      </w:r>
      <w:bookmarkStart w:id="54" w:name="_Toc25687"/>
      <w:bookmarkEnd w:id="5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4"/>
        <w:bidi w:val="0"/>
        <w:ind w:firstLine="643" w:firstLineChars="200"/>
      </w:pPr>
      <w:bookmarkStart w:id="55" w:name="_Toc15377215"/>
      <w:bookmarkStart w:id="56" w:name="_Toc15396609"/>
      <w:bookmarkStart w:id="57" w:name="_Toc17402"/>
      <w:r>
        <w:rPr>
          <w:rFonts w:hint="eastAsia"/>
        </w:rPr>
        <w:t>七、财政拨款“三公”经费支出决算情况说明</w:t>
      </w:r>
      <w:bookmarkEnd w:id="55"/>
      <w:bookmarkEnd w:id="56"/>
      <w:bookmarkEnd w:id="57"/>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58"/>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35.88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26.22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271.43</w:t>
      </w:r>
      <w:r>
        <w:rPr>
          <w:rFonts w:hint="eastAsia" w:ascii="Times New Roman" w:hAnsi="Times New Roman" w:eastAsia="仿宋_GB2312" w:cs="仿宋_GB2312"/>
          <w:color w:val="auto"/>
          <w:kern w:val="2"/>
          <w:sz w:val="32"/>
          <w:szCs w:val="32"/>
          <w:highlight w:val="none"/>
          <w:lang w:val="en-US" w:eastAsia="zh-CN" w:bidi="ar-SA"/>
        </w:rPr>
        <w:t>%。决算</w:t>
      </w:r>
      <w:r>
        <w:rPr>
          <w:rFonts w:hint="eastAsia" w:eastAsia="仿宋_GB2312" w:cs="仿宋_GB2312"/>
          <w:color w:val="auto"/>
          <w:kern w:val="2"/>
          <w:sz w:val="32"/>
          <w:szCs w:val="32"/>
          <w:highlight w:val="none"/>
          <w:lang w:val="en-US" w:eastAsia="zh-CN" w:bidi="ar-SA"/>
        </w:rPr>
        <w:t>数大</w:t>
      </w:r>
      <w:r>
        <w:rPr>
          <w:rFonts w:hint="eastAsia" w:ascii="Times New Roman" w:hAnsi="Times New Roman" w:eastAsia="仿宋_GB2312" w:cs="仿宋_GB2312"/>
          <w:color w:val="auto"/>
          <w:kern w:val="2"/>
          <w:sz w:val="32"/>
          <w:szCs w:val="32"/>
          <w:highlight w:val="none"/>
          <w:lang w:val="en-US" w:eastAsia="zh-CN" w:bidi="ar-SA"/>
        </w:rPr>
        <w:t>于预算数的主要原因是</w:t>
      </w:r>
      <w:r>
        <w:rPr>
          <w:rFonts w:hint="eastAsia" w:eastAsia="仿宋_GB2312" w:cs="仿宋_GB2312"/>
          <w:color w:val="auto"/>
          <w:kern w:val="2"/>
          <w:sz w:val="32"/>
          <w:szCs w:val="32"/>
          <w:highlight w:val="none"/>
          <w:lang w:val="en-US" w:eastAsia="zh-CN" w:bidi="ar-SA"/>
        </w:rPr>
        <w:t>本年度按规定更新购置公务用车1辆。</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35.25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98.24</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0.63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1.76</w:t>
      </w:r>
      <w:r>
        <w:rPr>
          <w:rFonts w:hint="eastAsia" w:ascii="Times New Roman" w:hAnsi="Times New Roman" w:eastAsia="仿宋_GB2312" w:cs="仿宋_GB2312"/>
          <w:color w:val="auto"/>
          <w:kern w:val="2"/>
          <w:sz w:val="32"/>
          <w:szCs w:val="32"/>
          <w:highlight w:val="none"/>
          <w:lang w:val="en-US" w:eastAsia="zh-CN" w:bidi="ar-SA"/>
        </w:rPr>
        <w:t>%。具体情况如下：</w:t>
      </w:r>
    </w:p>
    <w:p>
      <w:pPr>
        <w:rPr>
          <w:rFonts w:hint="eastAsia" w:ascii="Times New Roman" w:hAnsi="Times New Roman" w:eastAsia="仿宋_GB2312" w:cs="仿宋_GB2312"/>
          <w:color w:val="auto"/>
          <w:kern w:val="2"/>
          <w:sz w:val="32"/>
          <w:szCs w:val="32"/>
          <w:lang w:val="en-US" w:eastAsia="zh-CN" w:bidi="ar-SA"/>
        </w:rPr>
      </w:pPr>
      <w:r>
        <w:rPr>
          <w:rFonts w:hint="eastAsia" w:ascii="Times New Roman" w:hAnsi="Times New Roman" w:eastAsia="仿宋_GB2312" w:cs="仿宋_GB2312"/>
          <w:color w:val="auto"/>
          <w:kern w:val="2"/>
          <w:sz w:val="32"/>
          <w:szCs w:val="32"/>
          <w:lang w:val="en-US" w:eastAsia="zh-CN" w:bidi="ar-SA"/>
        </w:rPr>
        <w:drawing>
          <wp:inline distT="0" distB="0" distL="114300" distR="114300">
            <wp:extent cx="5256530" cy="2988310"/>
            <wp:effectExtent l="5080" t="4445" r="1524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pStyle w:val="14"/>
        <w:rPr>
          <w:rFonts w:hint="eastAsia"/>
          <w:lang w:val="en-US" w:eastAsia="zh-CN"/>
        </w:rPr>
      </w:pPr>
    </w:p>
    <w:p>
      <w:pPr>
        <w:pStyle w:val="13"/>
        <w:rPr>
          <w:rFonts w:hint="eastAsia"/>
          <w:lang w:val="en-US" w:eastAsia="zh-CN"/>
        </w:rPr>
      </w:pPr>
    </w:p>
    <w:p>
      <w:pPr>
        <w:numPr>
          <w:ilvl w:val="0"/>
          <w:numId w:val="3"/>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w:t>
      </w:r>
    </w:p>
    <w:p>
      <w:pPr>
        <w:numPr>
          <w:ilvl w:val="0"/>
          <w:numId w:val="0"/>
        </w:numPr>
        <w:spacing w:line="600" w:lineRule="exact"/>
        <w:ind w:firstLine="643"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35.25</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25.59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264.91</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本年度按规定更新购置公务用车1辆。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市场监管执法执勤出行</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、食品安全快速检测车1辆</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10.25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市场监管执法执勤</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0.63</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0.63</w:t>
      </w:r>
      <w:r>
        <w:rPr>
          <w:rFonts w:hint="eastAsia" w:ascii="Times New Roman" w:hAnsi="Times New Roman" w:eastAsia="仿宋_GB2312" w:cs="仿宋_GB2312"/>
          <w:color w:val="auto"/>
          <w:kern w:val="2"/>
          <w:sz w:val="32"/>
          <w:szCs w:val="32"/>
          <w:highlight w:val="none"/>
          <w:lang w:val="en-US" w:eastAsia="zh-CN" w:bidi="ar-SA"/>
        </w:rPr>
        <w:t>万元。主要原因是</w:t>
      </w:r>
      <w:r>
        <w:rPr>
          <w:rFonts w:hint="eastAsia" w:eastAsia="仿宋_GB2312" w:cs="仿宋_GB2312"/>
          <w:color w:val="auto"/>
          <w:kern w:val="2"/>
          <w:sz w:val="32"/>
          <w:szCs w:val="32"/>
          <w:highlight w:val="none"/>
          <w:lang w:val="en-US" w:eastAsia="zh-CN" w:bidi="ar-SA"/>
        </w:rPr>
        <w:t>本年度开展市场监管跨区域协作检查接待</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0.63</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eastAsia="仿宋_GB2312" w:cs="仿宋_GB2312"/>
          <w:color w:val="auto"/>
          <w:kern w:val="2"/>
          <w:sz w:val="32"/>
          <w:szCs w:val="32"/>
          <w:highlight w:val="none"/>
          <w:lang w:val="en-US" w:eastAsia="zh-CN" w:bidi="ar-SA"/>
        </w:rPr>
        <w:t>三</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0.63</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参观学习基层所两化建设和工作交流3446元，阿坝州校园食品安全整治专项行动2041元，看望慰问援藏干部813元。</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60" w:name="_Toc15396610"/>
      <w:bookmarkStart w:id="61" w:name="_Toc15377218"/>
      <w:r>
        <w:rPr>
          <w:rFonts w:hint="eastAsia" w:eastAsia="仿宋_GB2312" w:cs="仿宋_GB2312"/>
          <w:color w:val="auto"/>
          <w:kern w:val="2"/>
          <w:sz w:val="32"/>
          <w:szCs w:val="32"/>
          <w:highlight w:val="none"/>
          <w:lang w:val="en-US" w:eastAsia="zh-CN" w:bidi="ar-SA"/>
        </w:rPr>
        <w:t>全年无外事接待批次和人次。</w:t>
      </w:r>
    </w:p>
    <w:p>
      <w:pPr>
        <w:pStyle w:val="4"/>
        <w:bidi w:val="0"/>
        <w:ind w:firstLine="643" w:firstLineChars="200"/>
      </w:pPr>
      <w:bookmarkStart w:id="62" w:name="_Toc948"/>
      <w:r>
        <w:rPr>
          <w:rFonts w:hint="eastAsia"/>
        </w:rPr>
        <w:t>八、政府性基金预算支出决算情况说明</w:t>
      </w:r>
      <w:bookmarkEnd w:id="60"/>
      <w:bookmarkEnd w:id="61"/>
      <w:bookmarkEnd w:id="62"/>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持平，本单位无政府性基金预算收支。</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63" w:name="_Toc15396611"/>
      <w:bookmarkStart w:id="64" w:name="_Toc15377219"/>
      <w:bookmarkStart w:id="65" w:name="_Toc28833"/>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63"/>
      <w:bookmarkEnd w:id="64"/>
      <w:bookmarkEnd w:id="6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本单位无国有资本经营预算收支。</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66" w:name="_Toc15396612"/>
      <w:bookmarkStart w:id="67" w:name="_Toc15377221"/>
      <w:bookmarkStart w:id="68" w:name="_Toc24889"/>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66"/>
      <w:bookmarkEnd w:id="67"/>
      <w:bookmarkEnd w:id="68"/>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9" w:name="_Toc15377222"/>
      <w:r>
        <w:rPr>
          <w:rFonts w:hint="eastAsia" w:ascii="Times New Roman" w:hAnsi="Times New Roman" w:eastAsia="楷体_GB2312" w:cs="楷体_GB2312"/>
          <w:b/>
          <w:color w:val="auto"/>
          <w:sz w:val="32"/>
          <w:szCs w:val="32"/>
          <w:highlight w:val="none"/>
        </w:rPr>
        <w:t>（一）机关运行经费支出情况</w:t>
      </w:r>
      <w:bookmarkEnd w:id="6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壤塘县市场监督管理局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49.57</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13.45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37.24</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年度决算数持平）。主要原因是</w:t>
      </w:r>
      <w:r>
        <w:rPr>
          <w:rFonts w:hint="eastAsia" w:eastAsia="仿宋_GB2312" w:cs="仿宋_GB2312"/>
          <w:color w:val="auto"/>
          <w:kern w:val="2"/>
          <w:sz w:val="32"/>
          <w:szCs w:val="32"/>
          <w:highlight w:val="none"/>
          <w:lang w:val="en-US" w:eastAsia="zh-CN" w:bidi="ar-SA"/>
        </w:rPr>
        <w:t>执法执勤车辆运行成本增加</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0" w:name="_Toc15377223"/>
      <w:r>
        <w:rPr>
          <w:rFonts w:hint="eastAsia" w:ascii="Times New Roman" w:hAnsi="Times New Roman" w:eastAsia="楷体_GB2312" w:cs="楷体_GB2312"/>
          <w:b/>
          <w:color w:val="auto"/>
          <w:sz w:val="32"/>
          <w:szCs w:val="32"/>
          <w:highlight w:val="none"/>
        </w:rPr>
        <w:t>（二）政府采购支出情况</w:t>
      </w:r>
      <w:bookmarkEnd w:id="7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壤塘县市场监督管理局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1" w:name="_Toc15377224"/>
      <w:r>
        <w:rPr>
          <w:rFonts w:hint="eastAsia" w:ascii="Times New Roman" w:hAnsi="Times New Roman" w:eastAsia="楷体_GB2312" w:cs="楷体_GB2312"/>
          <w:b/>
          <w:color w:val="auto"/>
          <w:sz w:val="32"/>
          <w:szCs w:val="32"/>
          <w:highlight w:val="none"/>
        </w:rPr>
        <w:t>（三）国有资产占有使用情况</w:t>
      </w:r>
      <w:bookmarkEnd w:id="7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年12月31日，共有车辆</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eastAsia="仿宋_GB2312" w:cs="Times New Roman"/>
          <w:color w:val="auto"/>
          <w:sz w:val="32"/>
          <w:szCs w:val="32"/>
          <w:highlight w:val="none"/>
          <w:lang w:val="en-US" w:eastAsia="zh-CN"/>
        </w:rPr>
        <w:t>2025</w:t>
      </w:r>
      <w:r>
        <w:rPr>
          <w:rFonts w:hint="eastAsia" w:ascii="仿宋_GB2312" w:hAnsi="Times New Roman" w:eastAsia="仿宋_GB2312" w:cs="Times New Roman"/>
          <w:color w:val="auto"/>
          <w:sz w:val="32"/>
          <w:szCs w:val="32"/>
          <w:highlight w:val="none"/>
          <w:lang w:val="en-US" w:eastAsia="zh-CN"/>
        </w:rPr>
        <w:t>年度</w:t>
      </w:r>
      <w:r>
        <w:rPr>
          <w:rFonts w:hint="eastAsia" w:ascii="仿宋_GB2312" w:hAnsi="Times New Roman" w:eastAsia="仿宋_GB2312" w:cs="Times New Roman"/>
          <w:color w:val="auto"/>
          <w:sz w:val="32"/>
          <w:szCs w:val="32"/>
          <w:highlight w:val="none"/>
          <w:lang w:eastAsia="zh-CN"/>
        </w:rPr>
        <w:t>预算编制阶段，组织对</w:t>
      </w:r>
      <w:r>
        <w:rPr>
          <w:rFonts w:hint="eastAsia" w:ascii="仿宋_GB2312" w:hAnsi="Times New Roman" w:eastAsia="仿宋_GB2312" w:cs="Times New Roman"/>
          <w:color w:val="auto"/>
          <w:sz w:val="32"/>
          <w:szCs w:val="32"/>
          <w:highlight w:val="none"/>
          <w:lang w:val="en-US" w:eastAsia="zh-CN"/>
        </w:rPr>
        <w:t>1</w:t>
      </w:r>
      <w:r>
        <w:rPr>
          <w:rFonts w:hint="eastAsia" w:ascii="仿宋_GB2312" w:eastAsia="仿宋_GB2312" w:cs="Times New Roman"/>
          <w:color w:val="auto"/>
          <w:sz w:val="32"/>
          <w:szCs w:val="32"/>
          <w:highlight w:val="none"/>
          <w:lang w:val="en-US" w:eastAsia="zh-CN"/>
        </w:rPr>
        <w:t>6</w:t>
      </w:r>
      <w:r>
        <w:rPr>
          <w:rFonts w:hint="eastAsia" w:ascii="仿宋_GB2312" w:hAnsi="Times New Roman" w:eastAsia="仿宋_GB2312" w:cs="Times New Roman"/>
          <w:color w:val="auto"/>
          <w:sz w:val="32"/>
          <w:szCs w:val="32"/>
          <w:highlight w:val="none"/>
          <w:lang w:val="en-US" w:eastAsia="zh-CN"/>
        </w:rPr>
        <w:t>个项目</w:t>
      </w:r>
      <w:r>
        <w:rPr>
          <w:rFonts w:hint="eastAsia" w:ascii="仿宋_GB2312" w:hAnsi="Times New Roman" w:eastAsia="仿宋_GB2312" w:cs="Times New Roman"/>
          <w:color w:val="auto"/>
          <w:sz w:val="32"/>
          <w:szCs w:val="32"/>
          <w:highlight w:val="none"/>
          <w:lang w:eastAsia="zh-CN"/>
        </w:rPr>
        <w:t>开展了预算事前绩效评估，对</w:t>
      </w:r>
      <w:r>
        <w:rPr>
          <w:rFonts w:hint="eastAsia" w:ascii="仿宋_GB2312" w:hAnsi="Times New Roman" w:eastAsia="仿宋_GB2312" w:cs="Times New Roman"/>
          <w:color w:val="auto"/>
          <w:sz w:val="32"/>
          <w:szCs w:val="32"/>
          <w:highlight w:val="none"/>
          <w:lang w:val="en-US" w:eastAsia="zh-CN"/>
        </w:rPr>
        <w:t>1</w:t>
      </w:r>
      <w:r>
        <w:rPr>
          <w:rFonts w:hint="eastAsia" w:ascii="仿宋_GB2312" w:eastAsia="仿宋_GB2312" w:cs="Times New Roman"/>
          <w:color w:val="auto"/>
          <w:sz w:val="32"/>
          <w:szCs w:val="32"/>
          <w:highlight w:val="none"/>
          <w:lang w:val="en-US" w:eastAsia="zh-CN"/>
        </w:rPr>
        <w:t>6</w:t>
      </w:r>
      <w:r>
        <w:rPr>
          <w:rFonts w:hint="eastAsia" w:ascii="仿宋_GB2312" w:hAnsi="Times New Roman" w:eastAsia="仿宋_GB2312" w:cs="Times New Roman"/>
          <w:color w:val="auto"/>
          <w:sz w:val="32"/>
          <w:szCs w:val="32"/>
          <w:highlight w:val="none"/>
          <w:lang w:eastAsia="zh-CN"/>
        </w:rPr>
        <w:t>个项目编制了绩效目标，预算执行过程中</w:t>
      </w:r>
      <w:r>
        <w:rPr>
          <w:rFonts w:hint="eastAsia" w:ascii="仿宋_GB2312" w:eastAsia="仿宋_GB2312" w:cs="Times New Roman"/>
          <w:color w:val="auto"/>
          <w:sz w:val="32"/>
          <w:szCs w:val="32"/>
          <w:highlight w:val="none"/>
          <w:lang w:eastAsia="zh-CN"/>
        </w:rPr>
        <w:t>，</w:t>
      </w:r>
      <w:r>
        <w:rPr>
          <w:rFonts w:hint="eastAsia" w:ascii="仿宋_GB2312" w:hAnsi="Times New Roman" w:eastAsia="仿宋_GB2312" w:cs="Times New Roman"/>
          <w:color w:val="auto"/>
          <w:sz w:val="32"/>
          <w:szCs w:val="32"/>
          <w:highlight w:val="none"/>
          <w:lang w:eastAsia="zh-CN"/>
        </w:rPr>
        <w:t>组织对</w:t>
      </w:r>
      <w:r>
        <w:rPr>
          <w:rFonts w:hint="eastAsia" w:ascii="仿宋_GB2312" w:hAnsi="Times New Roman" w:eastAsia="仿宋_GB2312" w:cs="Times New Roman"/>
          <w:color w:val="auto"/>
          <w:sz w:val="32"/>
          <w:szCs w:val="32"/>
          <w:highlight w:val="none"/>
          <w:lang w:val="en-US" w:eastAsia="zh-CN"/>
        </w:rPr>
        <w:t>1</w:t>
      </w:r>
      <w:r>
        <w:rPr>
          <w:rFonts w:hint="eastAsia" w:ascii="仿宋_GB2312" w:eastAsia="仿宋_GB2312" w:cs="Times New Roman"/>
          <w:color w:val="auto"/>
          <w:sz w:val="32"/>
          <w:szCs w:val="32"/>
          <w:highlight w:val="none"/>
          <w:lang w:val="en-US" w:eastAsia="zh-CN"/>
        </w:rPr>
        <w:t>6</w:t>
      </w:r>
      <w:r>
        <w:rPr>
          <w:rFonts w:hint="eastAsia" w:ascii="仿宋_GB2312" w:hAnsi="Times New Roman" w:eastAsia="仿宋_GB2312" w:cs="Times New Roman"/>
          <w:color w:val="auto"/>
          <w:sz w:val="32"/>
          <w:szCs w:val="32"/>
          <w:highlight w:val="none"/>
          <w:lang w:val="en-US" w:eastAsia="zh-CN"/>
        </w:rPr>
        <w:t>个项目开展绩效自评，绩效自评表详见第四部分附件。</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3"/>
        <w:bidi w:val="0"/>
        <w:rPr>
          <w:rFonts w:hint="eastAsia"/>
        </w:rPr>
      </w:pPr>
      <w:bookmarkStart w:id="72" w:name="_Toc15377225"/>
      <w:bookmarkStart w:id="73" w:name="_Toc15396613"/>
    </w:p>
    <w:p>
      <w:pPr>
        <w:pStyle w:val="3"/>
        <w:bidi w:val="0"/>
        <w:jc w:val="center"/>
        <w:rPr>
          <w:rFonts w:hint="eastAsia"/>
        </w:rPr>
      </w:pPr>
      <w:bookmarkStart w:id="74" w:name="_Toc30278"/>
      <w:r>
        <w:rPr>
          <w:rFonts w:hint="eastAsia"/>
        </w:rPr>
        <w:t>第</w:t>
      </w:r>
      <w:r>
        <w:rPr>
          <w:rFonts w:hint="eastAsia"/>
          <w:lang w:eastAsia="zh-CN"/>
        </w:rPr>
        <w:t>三</w:t>
      </w:r>
      <w:r>
        <w:rPr>
          <w:rFonts w:hint="eastAsia"/>
        </w:rPr>
        <w:t>部分</w:t>
      </w:r>
      <w:r>
        <w:rPr>
          <w:rFonts w:hint="eastAsia"/>
          <w:lang w:val="en-US" w:eastAsia="zh-CN"/>
        </w:rPr>
        <w:t xml:space="preserve">  </w:t>
      </w:r>
      <w:r>
        <w:rPr>
          <w:rFonts w:hint="eastAsia"/>
        </w:rPr>
        <w:t>名词解释</w:t>
      </w:r>
      <w:bookmarkEnd w:id="72"/>
      <w:bookmarkEnd w:id="73"/>
      <w:bookmarkEnd w:id="74"/>
    </w:p>
    <w:p>
      <w:pPr>
        <w:spacing w:line="600" w:lineRule="exact"/>
        <w:jc w:val="left"/>
        <w:rPr>
          <w:rFonts w:ascii="Times New Roman" w:hAnsi="Times New Roman"/>
          <w:b/>
          <w:color w:val="auto"/>
          <w:sz w:val="44"/>
          <w:szCs w:val="44"/>
          <w:highlight w:val="none"/>
        </w:rPr>
      </w:pPr>
    </w:p>
    <w:p>
      <w:pPr>
        <w:keepNext w:val="0"/>
        <w:keepLines w:val="0"/>
        <w:pageBreakBefore w:val="0"/>
        <w:widowControl w:val="0"/>
        <w:numPr>
          <w:ilvl w:val="0"/>
          <w:numId w:val="4"/>
        </w:numPr>
        <w:kinsoku/>
        <w:wordWrap/>
        <w:overflowPunct/>
        <w:topLinePunct w:val="0"/>
        <w:autoSpaceDE/>
        <w:autoSpaceDN/>
        <w:bidi w:val="0"/>
        <w:adjustRightInd/>
        <w:spacing w:line="600" w:lineRule="exact"/>
        <w:ind w:firstLine="358" w:firstLineChars="112"/>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财政拨款收入：指单位从同级财政部门取得的财政预算资金。</w:t>
      </w:r>
    </w:p>
    <w:p>
      <w:pPr>
        <w:keepNext w:val="0"/>
        <w:keepLines w:val="0"/>
        <w:pageBreakBefore w:val="0"/>
        <w:widowControl w:val="0"/>
        <w:kinsoku/>
        <w:wordWrap/>
        <w:overflowPunct/>
        <w:topLinePunct w:val="0"/>
        <w:autoSpaceDE/>
        <w:autoSpaceDN/>
        <w:bidi w:val="0"/>
        <w:adjustRightInd/>
        <w:spacing w:line="600" w:lineRule="exact"/>
        <w:ind w:firstLine="358" w:firstLineChars="112"/>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事业收入：指事业单位开展专业业务活动及辅助活动取得的收入。</w:t>
      </w:r>
    </w:p>
    <w:p>
      <w:pPr>
        <w:keepNext w:val="0"/>
        <w:keepLines w:val="0"/>
        <w:pageBreakBefore w:val="0"/>
        <w:widowControl w:val="0"/>
        <w:kinsoku/>
        <w:wordWrap/>
        <w:overflowPunct/>
        <w:topLinePunct w:val="0"/>
        <w:autoSpaceDE/>
        <w:autoSpaceDN/>
        <w:bidi w:val="0"/>
        <w:adjustRightInd/>
        <w:spacing w:line="600" w:lineRule="exact"/>
        <w:ind w:firstLine="358" w:firstLineChars="112"/>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经营收入：指事业单位在专业业务活动及其辅助活动之外开展非独立核算经营活动取得的收入。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pacing w:line="600" w:lineRule="exact"/>
        <w:ind w:firstLine="358" w:firstLineChars="112"/>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 xml:space="preserve">其他收入：指单位取得的除上述收入以外的各项收入。 </w:t>
      </w:r>
    </w:p>
    <w:p>
      <w:pPr>
        <w:keepNext w:val="0"/>
        <w:keepLines w:val="0"/>
        <w:pageBreakBefore w:val="0"/>
        <w:widowControl w:val="0"/>
        <w:kinsoku/>
        <w:wordWrap/>
        <w:overflowPunct/>
        <w:topLinePunct w:val="0"/>
        <w:autoSpaceDE/>
        <w:autoSpaceDN/>
        <w:bidi w:val="0"/>
        <w:adjustRightInd/>
        <w:spacing w:line="600" w:lineRule="exact"/>
        <w:ind w:firstLine="358" w:firstLineChars="112"/>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pPr>
        <w:keepNext w:val="0"/>
        <w:keepLines w:val="0"/>
        <w:pageBreakBefore w:val="0"/>
        <w:widowControl w:val="0"/>
        <w:kinsoku/>
        <w:wordWrap/>
        <w:overflowPunct/>
        <w:topLinePunct w:val="0"/>
        <w:autoSpaceDE/>
        <w:autoSpaceDN/>
        <w:bidi w:val="0"/>
        <w:adjustRightInd/>
        <w:spacing w:line="600" w:lineRule="exact"/>
        <w:ind w:firstLine="358" w:firstLineChars="112"/>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w:t>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pPr>
        <w:keepNext w:val="0"/>
        <w:keepLines w:val="0"/>
        <w:pageBreakBefore w:val="0"/>
        <w:widowControl w:val="0"/>
        <w:kinsoku/>
        <w:wordWrap/>
        <w:overflowPunct/>
        <w:topLinePunct w:val="0"/>
        <w:autoSpaceDE/>
        <w:autoSpaceDN/>
        <w:bidi w:val="0"/>
        <w:adjustRightInd/>
        <w:spacing w:line="600" w:lineRule="exact"/>
        <w:ind w:firstLine="358" w:firstLineChars="112"/>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keepNext w:val="0"/>
        <w:keepLines w:val="0"/>
        <w:pageBreakBefore w:val="0"/>
        <w:widowControl w:val="0"/>
        <w:kinsoku/>
        <w:wordWrap/>
        <w:overflowPunct/>
        <w:topLinePunct w:val="0"/>
        <w:autoSpaceDE/>
        <w:autoSpaceDN/>
        <w:bidi w:val="0"/>
        <w:adjustRightInd/>
        <w:spacing w:line="600" w:lineRule="exact"/>
        <w:ind w:firstLine="358" w:firstLineChars="112"/>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w:t>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pPr>
        <w:keepNext w:val="0"/>
        <w:keepLines w:val="0"/>
        <w:pageBreakBefore w:val="0"/>
        <w:widowControl w:val="0"/>
        <w:kinsoku/>
        <w:wordWrap/>
        <w:overflowPunct/>
        <w:topLinePunct w:val="0"/>
        <w:autoSpaceDE/>
        <w:autoSpaceDN/>
        <w:bidi w:val="0"/>
        <w:adjustRightInd/>
        <w:spacing w:line="600" w:lineRule="exact"/>
        <w:ind w:firstLine="358" w:firstLineChars="112"/>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w:t>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市场监督管理事务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：指市场监督管理行政单位基本支出，主要用于人员工资福利及保障机关正常运转的公用经费。</w:t>
      </w:r>
    </w:p>
    <w:p>
      <w:pPr>
        <w:keepNext w:val="0"/>
        <w:keepLines w:val="0"/>
        <w:pageBreakBefore w:val="0"/>
        <w:widowControl w:val="0"/>
        <w:kinsoku/>
        <w:wordWrap/>
        <w:overflowPunct/>
        <w:topLinePunct w:val="0"/>
        <w:autoSpaceDE/>
        <w:autoSpaceDN/>
        <w:bidi w:val="0"/>
        <w:adjustRightInd/>
        <w:spacing w:line="600" w:lineRule="exact"/>
        <w:ind w:firstLine="358" w:firstLineChars="112"/>
        <w:textAlignment w:val="auto"/>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社会保障和就业（类）社会保障</w:t>
      </w:r>
      <w:r>
        <w:rPr>
          <w:rFonts w:hint="eastAsia" w:eastAsia="仿宋_GB2312" w:cs="仿宋_GB2312"/>
          <w:color w:val="auto"/>
          <w:kern w:val="2"/>
          <w:sz w:val="32"/>
          <w:szCs w:val="32"/>
          <w:highlight w:val="none"/>
          <w:lang w:val="en-US" w:eastAsia="zh-CN" w:bidi="ar-SA"/>
        </w:rPr>
        <w:t>和</w:t>
      </w:r>
      <w:r>
        <w:rPr>
          <w:rFonts w:hint="eastAsia" w:ascii="Times New Roman" w:hAnsi="Times New Roman" w:eastAsia="仿宋_GB2312" w:cs="仿宋_GB2312"/>
          <w:color w:val="auto"/>
          <w:kern w:val="2"/>
          <w:sz w:val="32"/>
          <w:szCs w:val="32"/>
          <w:highlight w:val="none"/>
          <w:lang w:val="en-US" w:eastAsia="zh-CN" w:bidi="ar-SA"/>
        </w:rPr>
        <w:t>就业支出（款）机关事业单位基本养老保险缴费支出（项）：指基本养老保险单位部分支出</w:t>
      </w:r>
      <w:r>
        <w:rPr>
          <w:rFonts w:hint="eastAsia" w:eastAsia="仿宋_GB2312" w:cs="仿宋_GB2312"/>
          <w:color w:val="auto"/>
          <w:kern w:val="2"/>
          <w:sz w:val="32"/>
          <w:szCs w:val="32"/>
          <w:highlight w:val="none"/>
          <w:lang w:val="en-US" w:eastAsia="zh-CN" w:bidi="ar-SA"/>
        </w:rPr>
        <w:t>。</w:t>
      </w:r>
    </w:p>
    <w:p>
      <w:pPr>
        <w:pStyle w:val="12"/>
        <w:keepNext w:val="0"/>
        <w:keepLines w:val="0"/>
        <w:pageBreakBefore w:val="0"/>
        <w:widowControl w:val="0"/>
        <w:kinsoku/>
        <w:wordWrap/>
        <w:overflowPunct/>
        <w:topLinePunct w:val="0"/>
        <w:autoSpaceDE/>
        <w:autoSpaceDN/>
        <w:bidi w:val="0"/>
        <w:adjustRightInd/>
        <w:spacing w:line="600" w:lineRule="exact"/>
        <w:ind w:firstLine="358" w:firstLineChars="112"/>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 社会保障和就业（类）行政事业单位养老支出（款） 机关事业单位职业年金缴费支出（项）：指单位实施养老保</w:t>
      </w:r>
    </w:p>
    <w:p>
      <w:pPr>
        <w:pStyle w:val="12"/>
        <w:keepNext w:val="0"/>
        <w:keepLines w:val="0"/>
        <w:pageBreakBefore w:val="0"/>
        <w:widowControl w:val="0"/>
        <w:kinsoku/>
        <w:wordWrap/>
        <w:overflowPunct/>
        <w:topLinePunct w:val="0"/>
        <w:autoSpaceDE/>
        <w:autoSpaceDN/>
        <w:bidi w:val="0"/>
        <w:adjustRightInd/>
        <w:spacing w:line="600" w:lineRule="exact"/>
        <w:ind w:firstLine="358" w:firstLineChars="112"/>
        <w:textAlignment w:val="auto"/>
        <w:rPr>
          <w:rFonts w:hint="default"/>
          <w:lang w:val="en-US" w:eastAsia="zh-CN"/>
        </w:rPr>
      </w:pPr>
      <w:r>
        <w:rPr>
          <w:rFonts w:hint="eastAsia" w:eastAsia="仿宋_GB2312" w:cs="仿宋_GB2312"/>
          <w:color w:val="auto"/>
          <w:kern w:val="2"/>
          <w:sz w:val="32"/>
          <w:szCs w:val="32"/>
          <w:highlight w:val="none"/>
          <w:lang w:val="en-US" w:eastAsia="zh-CN" w:bidi="ar-SA"/>
        </w:rPr>
        <w:t>险制度由单位实际缴纳的职业年金支出。</w:t>
      </w:r>
    </w:p>
    <w:p>
      <w:pPr>
        <w:keepNext w:val="0"/>
        <w:keepLines w:val="0"/>
        <w:pageBreakBefore w:val="0"/>
        <w:widowControl w:val="0"/>
        <w:numPr>
          <w:ilvl w:val="0"/>
          <w:numId w:val="5"/>
        </w:numPr>
        <w:kinsoku/>
        <w:wordWrap/>
        <w:overflowPunct/>
        <w:topLinePunct w:val="0"/>
        <w:autoSpaceDE/>
        <w:autoSpaceDN/>
        <w:bidi w:val="0"/>
        <w:adjustRightInd/>
        <w:spacing w:line="600" w:lineRule="exact"/>
        <w:ind w:firstLine="358" w:firstLineChars="112"/>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类）行政事业单位医疗（款）行政单位医疗（项）：指反映财政部门安排的行政单位（包括实行公务员管理的事业单位，下同）基本医疗保险缴费经费，未参加医疗保险的行政单位的公费医疗经费，按国家规定享受离休人员，红军老战士待遇的医疗经费。</w:t>
      </w:r>
    </w:p>
    <w:p>
      <w:pPr>
        <w:keepNext w:val="0"/>
        <w:keepLines w:val="0"/>
        <w:pageBreakBefore w:val="0"/>
        <w:widowControl w:val="0"/>
        <w:numPr>
          <w:ilvl w:val="0"/>
          <w:numId w:val="0"/>
        </w:numPr>
        <w:kinsoku/>
        <w:wordWrap/>
        <w:overflowPunct/>
        <w:topLinePunct w:val="0"/>
        <w:autoSpaceDE/>
        <w:autoSpaceDN/>
        <w:bidi w:val="0"/>
        <w:adjustRightInd/>
        <w:spacing w:line="600" w:lineRule="exact"/>
        <w:ind w:firstLine="358" w:firstLineChars="112"/>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13. </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卫生健康（类）行政事业单位医疗（款）公务员医疗补助（项）：指反映财政部门安排的公务员医疗补助经费。</w:t>
      </w:r>
    </w:p>
    <w:p>
      <w:pPr>
        <w:keepNext w:val="0"/>
        <w:keepLines w:val="0"/>
        <w:pageBreakBefore w:val="0"/>
        <w:widowControl w:val="0"/>
        <w:kinsoku/>
        <w:wordWrap/>
        <w:overflowPunct/>
        <w:topLinePunct w:val="0"/>
        <w:autoSpaceDE/>
        <w:autoSpaceDN/>
        <w:bidi w:val="0"/>
        <w:adjustRightInd/>
        <w:spacing w:line="600" w:lineRule="exact"/>
        <w:ind w:firstLine="358" w:firstLineChars="112"/>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资源勘探工业信息等支出（类）</w:t>
      </w:r>
      <w:r>
        <w:rPr>
          <w:rFonts w:hint="eastAsia" w:eastAsia="仿宋_GB2312" w:cs="仿宋_GB2312"/>
          <w:color w:val="auto"/>
          <w:kern w:val="2"/>
          <w:sz w:val="32"/>
          <w:szCs w:val="32"/>
          <w:highlight w:val="none"/>
          <w:lang w:val="en-US" w:eastAsia="zh-CN" w:bidi="ar-SA"/>
        </w:rPr>
        <w:t>支持中小企业发展和管理支出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中小企业发展专项</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反映财政安排用于扶持中小微企业发展，支持企业创业创新、完善公共服务体系、优化中小企业发展环境等方面的专项资金支出。</w:t>
      </w:r>
    </w:p>
    <w:p>
      <w:pPr>
        <w:keepNext w:val="0"/>
        <w:keepLines w:val="0"/>
        <w:pageBreakBefore w:val="0"/>
        <w:widowControl w:val="0"/>
        <w:kinsoku/>
        <w:wordWrap/>
        <w:overflowPunct/>
        <w:topLinePunct w:val="0"/>
        <w:autoSpaceDE/>
        <w:autoSpaceDN/>
        <w:bidi w:val="0"/>
        <w:adjustRightInd/>
        <w:spacing w:line="600" w:lineRule="exact"/>
        <w:ind w:firstLine="358" w:firstLineChars="112"/>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住房保障支出（类）</w:t>
      </w:r>
      <w:r>
        <w:rPr>
          <w:rFonts w:hint="eastAsia" w:eastAsia="仿宋_GB2312" w:cs="仿宋_GB2312"/>
          <w:color w:val="auto"/>
          <w:kern w:val="2"/>
          <w:sz w:val="32"/>
          <w:szCs w:val="32"/>
          <w:highlight w:val="none"/>
          <w:lang w:val="en-US" w:eastAsia="zh-CN" w:bidi="ar-SA"/>
        </w:rPr>
        <w:t>住房改革支出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住房公积金</w:t>
      </w:r>
      <w:r>
        <w:rPr>
          <w:rFonts w:hint="eastAsia" w:ascii="Times New Roman" w:hAnsi="Times New Roman" w:eastAsia="仿宋_GB2312" w:cs="仿宋_GB2312"/>
          <w:color w:val="auto"/>
          <w:kern w:val="2"/>
          <w:sz w:val="32"/>
          <w:szCs w:val="32"/>
          <w:highlight w:val="none"/>
          <w:lang w:val="en-US" w:eastAsia="zh-CN" w:bidi="ar-SA"/>
        </w:rPr>
        <w:t>（项）：指单位按人力资源和社会保障部、财政部规定的基本工资和津贴补贴以及规定比例为职工缴纳的住房公积金</w:t>
      </w:r>
      <w:r>
        <w:rPr>
          <w:rFonts w:hint="eastAsia" w:eastAsia="仿宋_GB2312" w:cs="仿宋_GB2312"/>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pacing w:line="600" w:lineRule="exact"/>
        <w:ind w:firstLine="360" w:firstLineChars="112"/>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pPr>
        <w:keepNext w:val="0"/>
        <w:keepLines w:val="0"/>
        <w:pageBreakBefore w:val="0"/>
        <w:widowControl w:val="0"/>
        <w:kinsoku/>
        <w:wordWrap/>
        <w:overflowPunct/>
        <w:topLinePunct w:val="0"/>
        <w:autoSpaceDE/>
        <w:autoSpaceDN/>
        <w:bidi w:val="0"/>
        <w:adjustRightInd/>
        <w:spacing w:line="600" w:lineRule="exact"/>
        <w:ind w:firstLine="358" w:firstLineChars="112"/>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pacing w:line="600" w:lineRule="exact"/>
        <w:ind w:firstLine="358" w:firstLineChars="112"/>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keepNext w:val="0"/>
        <w:keepLines w:val="0"/>
        <w:pageBreakBefore w:val="0"/>
        <w:widowControl w:val="0"/>
        <w:kinsoku/>
        <w:wordWrap/>
        <w:overflowPunct/>
        <w:topLinePunct w:val="0"/>
        <w:autoSpaceDE/>
        <w:autoSpaceDN/>
        <w:bidi w:val="0"/>
        <w:adjustRightInd/>
        <w:spacing w:line="600" w:lineRule="exact"/>
        <w:ind w:firstLine="358" w:firstLineChars="112"/>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spacing w:line="600" w:lineRule="exact"/>
        <w:ind w:firstLine="358" w:firstLineChars="112"/>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spacing w:line="600" w:lineRule="exact"/>
        <w:ind w:firstLine="358" w:firstLineChars="112"/>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pPr>
        <w:numPr>
          <w:ilvl w:val="0"/>
          <w:numId w:val="6"/>
        </w:numPr>
        <w:spacing w:line="600" w:lineRule="exact"/>
        <w:jc w:val="center"/>
        <w:rPr>
          <w:rFonts w:hint="eastAsia" w:ascii="Times New Roman" w:hAnsi="Times New Roman" w:eastAsia="黑体"/>
          <w:color w:val="auto"/>
          <w:sz w:val="44"/>
          <w:szCs w:val="44"/>
          <w:highlight w:val="none"/>
        </w:rPr>
      </w:pPr>
      <w:bookmarkStart w:id="7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76" w:name="_Toc15396614"/>
      <w:r>
        <w:rPr>
          <w:rFonts w:hint="eastAsia" w:ascii="Times New Roman" w:hAnsi="Times New Roman" w:eastAsia="黑体"/>
          <w:color w:val="auto"/>
          <w:sz w:val="44"/>
          <w:szCs w:val="44"/>
          <w:highlight w:val="none"/>
        </w:rPr>
        <w:t xml:space="preserve"> </w:t>
      </w:r>
      <w:bookmarkStart w:id="77" w:name="_Toc7120"/>
      <w:r>
        <w:rPr>
          <w:rStyle w:val="30"/>
          <w:rFonts w:hint="eastAsia"/>
        </w:rPr>
        <w:t>附件</w:t>
      </w:r>
      <w:bookmarkEnd w:id="76"/>
      <w:bookmarkEnd w:id="77"/>
    </w:p>
    <w:p>
      <w:pPr>
        <w:widowControl/>
        <w:spacing w:line="578" w:lineRule="exact"/>
        <w:contextualSpacing/>
        <w:jc w:val="center"/>
        <w:rPr>
          <w:rFonts w:ascii="Times New Roman" w:hAnsi="Times New Roman" w:eastAsia="方正小标宋简体" w:cs="Times New Roman"/>
          <w:bCs/>
          <w:sz w:val="44"/>
          <w:szCs w:val="44"/>
          <w:shd w:val="clear" w:color="auto" w:fill="FFFFFF"/>
        </w:rPr>
      </w:pPr>
      <w:r>
        <w:rPr>
          <w:rFonts w:ascii="Times New Roman" w:hAnsi="Times New Roman" w:eastAsia="方正小标宋简体" w:cs="Times New Roman"/>
          <w:bCs/>
          <w:sz w:val="44"/>
          <w:szCs w:val="44"/>
          <w:shd w:val="clear" w:color="auto" w:fill="FFFFFF"/>
        </w:rPr>
        <w:t>部门预算绩效</w:t>
      </w:r>
      <w:r>
        <w:rPr>
          <w:rFonts w:hint="eastAsia" w:ascii="Times New Roman" w:hAnsi="Times New Roman" w:eastAsia="方正小标宋简体" w:cs="Times New Roman"/>
          <w:bCs/>
          <w:sz w:val="44"/>
          <w:szCs w:val="44"/>
          <w:shd w:val="clear" w:color="auto" w:fill="FFFFFF"/>
        </w:rPr>
        <w:t>自评</w:t>
      </w:r>
      <w:r>
        <w:rPr>
          <w:rFonts w:ascii="Times New Roman" w:hAnsi="Times New Roman" w:eastAsia="方正小标宋简体" w:cs="Times New Roman"/>
          <w:bCs/>
          <w:sz w:val="44"/>
          <w:szCs w:val="44"/>
          <w:shd w:val="clear" w:color="auto" w:fill="FFFFFF"/>
        </w:rPr>
        <w:t>报告</w:t>
      </w:r>
    </w:p>
    <w:p>
      <w:pPr>
        <w:widowControl/>
        <w:adjustRightInd w:val="0"/>
        <w:snapToGrid w:val="0"/>
        <w:spacing w:line="578" w:lineRule="exact"/>
        <w:contextualSpacing/>
        <w:jc w:val="left"/>
        <w:rPr>
          <w:rFonts w:ascii="Times New Roman" w:hAnsi="Times New Roman" w:eastAsia="黑体" w:cs="Times New Roman"/>
          <w:color w:val="000000"/>
          <w:kern w:val="0"/>
          <w:sz w:val="24"/>
          <w:szCs w:val="32"/>
          <w:shd w:val="clear" w:color="auto" w:fill="FFFFFF"/>
        </w:rPr>
      </w:pPr>
    </w:p>
    <w:p>
      <w:pPr>
        <w:widowControl/>
        <w:adjustRightInd w:val="0"/>
        <w:snapToGrid w:val="0"/>
        <w:spacing w:line="578"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黑体" w:cs="Times New Roman"/>
          <w:color w:val="000000"/>
          <w:kern w:val="0"/>
          <w:sz w:val="32"/>
          <w:szCs w:val="32"/>
          <w:shd w:val="clear" w:color="auto" w:fill="FFFFFF"/>
          <w:lang w:val="zh-CN"/>
        </w:rPr>
        <w:t>一、部门（单位）基本情况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壤塘县市场监督管理局</w:t>
      </w:r>
      <w:r>
        <w:rPr>
          <w:rFonts w:hint="eastAsia" w:ascii="仿宋_GB2312" w:hAnsi="仿宋_GB2312" w:eastAsia="仿宋_GB2312" w:cs="仿宋_GB2312"/>
          <w:color w:val="auto"/>
          <w:sz w:val="32"/>
          <w:szCs w:val="32"/>
        </w:rPr>
        <w:t>机构性质：机关，机构地址：</w:t>
      </w:r>
      <w:r>
        <w:rPr>
          <w:rFonts w:hint="eastAsia" w:ascii="仿宋_GB2312" w:hAnsi="仿宋_GB2312" w:eastAsia="仿宋_GB2312" w:cs="仿宋_GB2312"/>
          <w:color w:val="auto"/>
          <w:sz w:val="32"/>
          <w:szCs w:val="32"/>
          <w:lang w:eastAsia="zh-CN"/>
        </w:rPr>
        <w:t>四川省壤塘县</w:t>
      </w:r>
      <w:r>
        <w:rPr>
          <w:rFonts w:hint="eastAsia" w:ascii="仿宋_GB2312" w:hAnsi="仿宋_GB2312" w:eastAsia="仿宋_GB2312" w:cs="仿宋_GB2312"/>
          <w:color w:val="auto"/>
          <w:sz w:val="32"/>
          <w:szCs w:val="32"/>
          <w:lang w:val="en-US" w:eastAsia="zh-CN"/>
        </w:rPr>
        <w:t>岗木达镇罗吾塘中街42号九千六楼</w:t>
      </w:r>
      <w:r>
        <w:rPr>
          <w:rFonts w:hint="eastAsia" w:ascii="仿宋_GB2312" w:hAnsi="仿宋_GB2312" w:eastAsia="仿宋_GB2312" w:cs="仿宋_GB2312"/>
          <w:color w:val="auto"/>
          <w:sz w:val="32"/>
          <w:szCs w:val="32"/>
          <w:lang w:eastAsia="zh-CN"/>
        </w:rPr>
        <w:t>，单位</w:t>
      </w:r>
      <w:r>
        <w:rPr>
          <w:rFonts w:hint="eastAsia" w:ascii="仿宋_GB2312" w:hAnsi="仿宋_GB2312" w:eastAsia="仿宋_GB2312" w:cs="仿宋_GB2312"/>
          <w:color w:val="auto"/>
          <w:sz w:val="32"/>
          <w:szCs w:val="32"/>
        </w:rPr>
        <w:t>负责人：</w:t>
      </w:r>
      <w:r>
        <w:rPr>
          <w:rFonts w:hint="eastAsia" w:ascii="仿宋_GB2312" w:hAnsi="仿宋_GB2312" w:eastAsia="仿宋_GB2312" w:cs="仿宋_GB2312"/>
          <w:color w:val="auto"/>
          <w:sz w:val="32"/>
          <w:szCs w:val="32"/>
          <w:lang w:val="en-US" w:eastAsia="zh-CN"/>
        </w:rPr>
        <w:t>约潭罗尔吾</w:t>
      </w:r>
      <w:r>
        <w:rPr>
          <w:rFonts w:hint="eastAsia" w:ascii="仿宋_GB2312" w:hAnsi="仿宋_GB2312" w:eastAsia="仿宋_GB2312" w:cs="仿宋_GB2312"/>
          <w:color w:val="auto"/>
          <w:sz w:val="32"/>
          <w:szCs w:val="32"/>
          <w:lang w:eastAsia="zh-CN"/>
        </w:rPr>
        <w:t>。</w:t>
      </w:r>
    </w:p>
    <w:p>
      <w:pPr>
        <w:keepNext w:val="0"/>
        <w:keepLines w:val="0"/>
        <w:pageBreakBefore w:val="0"/>
        <w:numPr>
          <w:ilvl w:val="0"/>
          <w:numId w:val="7"/>
        </w:numPr>
        <w:kinsoku/>
        <w:wordWrap/>
        <w:overflowPunct/>
        <w:topLinePunct w:val="0"/>
        <w:autoSpaceDE/>
        <w:autoSpaceDN/>
        <w:bidi w:val="0"/>
        <w:spacing w:line="560" w:lineRule="exact"/>
        <w:ind w:leftChars="0" w:firstLine="643" w:firstLineChars="200"/>
        <w:jc w:val="both"/>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机构组成。</w:t>
      </w:r>
    </w:p>
    <w:p>
      <w:pPr>
        <w:keepNext w:val="0"/>
        <w:keepLines w:val="0"/>
        <w:pageBreakBefore w:val="0"/>
        <w:numPr>
          <w:ilvl w:val="0"/>
          <w:numId w:val="0"/>
        </w:numPr>
        <w:kinsoku/>
        <w:wordWrap/>
        <w:overflowPunct/>
        <w:topLinePunct w:val="0"/>
        <w:autoSpaceDE/>
        <w:autoSpaceDN/>
        <w:bidi w:val="0"/>
        <w:spacing w:line="560" w:lineRule="exact"/>
        <w:ind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壤塘县市场监督管理局</w:t>
      </w:r>
      <w:r>
        <w:rPr>
          <w:rFonts w:hint="eastAsia" w:ascii="仿宋_GB2312" w:hAnsi="仿宋_GB2312" w:eastAsia="仿宋_GB2312" w:cs="仿宋_GB2312"/>
          <w:color w:val="auto"/>
          <w:sz w:val="32"/>
          <w:szCs w:val="32"/>
          <w:lang w:val="en-US" w:eastAsia="zh-CN"/>
        </w:rPr>
        <w:t>共</w:t>
      </w:r>
      <w:r>
        <w:rPr>
          <w:rFonts w:hint="eastAsia" w:ascii="仿宋_GB2312" w:hAnsi="仿宋_GB2312" w:eastAsia="仿宋_GB2312" w:cs="仿宋_GB2312"/>
          <w:color w:val="auto"/>
          <w:sz w:val="32"/>
          <w:szCs w:val="32"/>
        </w:rPr>
        <w:t>有</w:t>
      </w:r>
      <w:r>
        <w:rPr>
          <w:rFonts w:hint="eastAsia" w:ascii="仿宋_GB2312" w:hAnsi="仿宋_GB2312" w:eastAsia="仿宋_GB2312" w:cs="仿宋_GB2312"/>
          <w:color w:val="auto"/>
          <w:sz w:val="32"/>
          <w:szCs w:val="32"/>
          <w:lang w:val="en-US" w:eastAsia="zh-CN"/>
        </w:rPr>
        <w:t>6个股室，分别为质监股、市场股、办公室、食药股、行政审批股及消保股</w:t>
      </w:r>
      <w:r>
        <w:rPr>
          <w:rFonts w:hint="eastAsia" w:ascii="仿宋_GB2312" w:hAnsi="仿宋_GB2312" w:eastAsia="仿宋_GB2312" w:cs="仿宋_GB2312"/>
          <w:color w:val="auto"/>
          <w:sz w:val="32"/>
          <w:szCs w:val="32"/>
        </w:rPr>
        <w:t>。</w:t>
      </w:r>
    </w:p>
    <w:p>
      <w:pPr>
        <w:keepNext w:val="0"/>
        <w:keepLines w:val="0"/>
        <w:pageBreakBefore w:val="0"/>
        <w:numPr>
          <w:ilvl w:val="0"/>
          <w:numId w:val="7"/>
        </w:numPr>
        <w:kinsoku/>
        <w:wordWrap/>
        <w:overflowPunct/>
        <w:topLinePunct w:val="0"/>
        <w:autoSpaceDE/>
        <w:autoSpaceDN/>
        <w:bidi w:val="0"/>
        <w:spacing w:line="560" w:lineRule="exact"/>
        <w:ind w:left="0" w:leftChars="0" w:firstLine="643" w:firstLineChars="200"/>
        <w:jc w:val="both"/>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机构职能。</w:t>
      </w:r>
    </w:p>
    <w:p>
      <w:pPr>
        <w:keepNext w:val="0"/>
        <w:keepLines w:val="0"/>
        <w:pageBreakBefore w:val="0"/>
        <w:numPr>
          <w:ilvl w:val="0"/>
          <w:numId w:val="0"/>
        </w:numPr>
        <w:kinsoku/>
        <w:wordWrap/>
        <w:overflowPunct/>
        <w:topLinePunct w:val="0"/>
        <w:autoSpaceDE/>
        <w:autoSpaceDN/>
        <w:bidi w:val="0"/>
        <w:spacing w:line="560" w:lineRule="exact"/>
        <w:ind w:leftChars="0" w:firstLine="643" w:firstLineChars="200"/>
        <w:jc w:val="both"/>
        <w:textAlignment w:val="auto"/>
        <w:rPr>
          <w:rFonts w:hint="eastAsia" w:ascii="仿宋_GB2312" w:hAnsi="仿宋_GB2312" w:eastAsia="仿宋_GB2312" w:cs="仿宋_GB2312"/>
          <w:color w:val="auto"/>
          <w:kern w:val="0"/>
          <w:sz w:val="32"/>
          <w:szCs w:val="32"/>
          <w:lang w:val="zh-CN" w:eastAsia="zh-CN" w:bidi="ar-SA"/>
        </w:rPr>
      </w:pPr>
      <w:r>
        <w:rPr>
          <w:rFonts w:hint="eastAsia" w:ascii="仿宋_GB2312" w:hAnsi="仿宋_GB2312" w:eastAsia="仿宋_GB2312" w:cs="仿宋_GB2312"/>
          <w:b/>
          <w:bCs/>
          <w:color w:val="auto"/>
          <w:kern w:val="0"/>
          <w:sz w:val="32"/>
          <w:szCs w:val="32"/>
          <w:lang w:val="en-US" w:eastAsia="zh-CN" w:bidi="ar-SA"/>
        </w:rPr>
        <w:t>1.</w:t>
      </w:r>
      <w:r>
        <w:rPr>
          <w:rFonts w:hint="eastAsia" w:ascii="仿宋_GB2312" w:hAnsi="仿宋_GB2312" w:eastAsia="仿宋_GB2312" w:cs="仿宋_GB2312"/>
          <w:b/>
          <w:bCs/>
          <w:color w:val="auto"/>
          <w:kern w:val="0"/>
          <w:sz w:val="32"/>
          <w:szCs w:val="32"/>
          <w:lang w:val="zh-CN" w:eastAsia="zh-CN" w:bidi="ar-SA"/>
        </w:rPr>
        <w:t>负责全县市场综合监督管理工作。</w:t>
      </w:r>
      <w:r>
        <w:rPr>
          <w:rFonts w:hint="eastAsia" w:ascii="仿宋_GB2312" w:hAnsi="仿宋_GB2312" w:eastAsia="仿宋_GB2312" w:cs="仿宋_GB2312"/>
          <w:color w:val="auto"/>
          <w:kern w:val="0"/>
          <w:sz w:val="32"/>
          <w:szCs w:val="32"/>
          <w:lang w:val="zh-CN" w:eastAsia="zh-CN" w:bidi="ar-SA"/>
        </w:rPr>
        <w:t>起草市场监督管理有关规范性文件，规范和维护市场秩序，负责市场监督管理科技和信息化建设、新闻宣传，营造诚实守信、公平竞争的市场环境。</w:t>
      </w:r>
    </w:p>
    <w:p>
      <w:pPr>
        <w:keepNext w:val="0"/>
        <w:keepLines w:val="0"/>
        <w:pageBreakBefore w:val="0"/>
        <w:kinsoku/>
        <w:wordWrap/>
        <w:overflowPunct/>
        <w:topLinePunct w:val="0"/>
        <w:autoSpaceDE/>
        <w:autoSpaceDN/>
        <w:bidi w:val="0"/>
        <w:spacing w:line="560" w:lineRule="exact"/>
        <w:ind w:leftChars="0" w:firstLine="643" w:firstLineChars="200"/>
        <w:jc w:val="both"/>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b/>
          <w:bCs/>
          <w:color w:val="auto"/>
          <w:kern w:val="0"/>
          <w:sz w:val="32"/>
          <w:szCs w:val="32"/>
          <w:lang w:val="en-US" w:eastAsia="zh-CN" w:bidi="ar-SA"/>
        </w:rPr>
        <w:t>2.</w:t>
      </w:r>
      <w:r>
        <w:rPr>
          <w:rFonts w:hint="eastAsia" w:ascii="仿宋_GB2312" w:hAnsi="仿宋_GB2312" w:eastAsia="仿宋_GB2312" w:cs="仿宋_GB2312"/>
          <w:b/>
          <w:bCs/>
          <w:color w:val="auto"/>
          <w:kern w:val="0"/>
          <w:sz w:val="32"/>
          <w:szCs w:val="32"/>
          <w:lang w:val="zh-CN" w:eastAsia="zh-CN" w:bidi="ar-SA"/>
        </w:rPr>
        <w:t>负责全县市场主体统一登记注册。</w:t>
      </w:r>
      <w:r>
        <w:rPr>
          <w:rFonts w:hint="eastAsia" w:ascii="仿宋_GB2312" w:hAnsi="仿宋_GB2312" w:eastAsia="仿宋_GB2312" w:cs="仿宋_GB2312"/>
          <w:color w:val="auto"/>
          <w:kern w:val="0"/>
          <w:sz w:val="32"/>
          <w:szCs w:val="32"/>
          <w:lang w:val="zh-CN" w:eastAsia="zh-CN" w:bidi="ar-SA"/>
        </w:rPr>
        <w:t>负责全县各类企业、农民专业合作社和从事经营活动的单位、个体工商户以及外国</w:t>
      </w:r>
      <w:r>
        <w:rPr>
          <w:rFonts w:hint="eastAsia" w:ascii="仿宋_GB2312" w:hAnsi="仿宋_GB2312" w:eastAsia="仿宋_GB2312" w:cs="仿宋_GB2312"/>
          <w:color w:val="auto"/>
          <w:sz w:val="32"/>
          <w:szCs w:val="32"/>
          <w:lang w:val="zh-CN" w:eastAsia="zh-CN"/>
        </w:rPr>
        <w:t>（地区）企业、常驻代表机构等市场主体的登记注册和监督管理工作。</w:t>
      </w:r>
    </w:p>
    <w:p>
      <w:pPr>
        <w:keepNext w:val="0"/>
        <w:keepLines w:val="0"/>
        <w:pageBreakBefore w:val="0"/>
        <w:kinsoku/>
        <w:wordWrap/>
        <w:overflowPunct/>
        <w:topLinePunct w:val="0"/>
        <w:autoSpaceDE/>
        <w:autoSpaceDN/>
        <w:bidi w:val="0"/>
        <w:spacing w:line="560" w:lineRule="exact"/>
        <w:ind w:leftChars="0" w:firstLine="643" w:firstLineChars="200"/>
        <w:jc w:val="both"/>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lang w:val="zh-CN" w:eastAsia="zh-CN"/>
        </w:rPr>
        <w:t>负责全县宏观质量管理。</w:t>
      </w:r>
      <w:r>
        <w:rPr>
          <w:rFonts w:hint="eastAsia" w:ascii="仿宋_GB2312" w:hAnsi="仿宋_GB2312" w:eastAsia="仿宋_GB2312" w:cs="仿宋_GB2312"/>
          <w:color w:val="auto"/>
          <w:sz w:val="32"/>
          <w:szCs w:val="32"/>
          <w:lang w:val="zh-CN" w:eastAsia="zh-CN"/>
        </w:rPr>
        <w:t>组织实施质量发展、质量强县的制度措施。统筹全县质量基础设施建设与应用。会同有关部门组织实施重大工程设备质量监理制度，组织产品质量事故调查，贯彻实施缺陷产品召回制度，监督管理产品防伪工作。</w:t>
      </w:r>
    </w:p>
    <w:p>
      <w:pPr>
        <w:keepNext w:val="0"/>
        <w:keepLines w:val="0"/>
        <w:pageBreakBefore w:val="0"/>
        <w:kinsoku/>
        <w:wordWrap/>
        <w:overflowPunct/>
        <w:topLinePunct w:val="0"/>
        <w:autoSpaceDE/>
        <w:autoSpaceDN/>
        <w:bidi w:val="0"/>
        <w:spacing w:line="560" w:lineRule="exact"/>
        <w:ind w:leftChars="0" w:firstLine="643" w:firstLineChars="200"/>
        <w:jc w:val="both"/>
        <w:textAlignment w:val="auto"/>
        <w:rPr>
          <w:rFonts w:ascii="Times New Roman" w:hAnsi="Times New Roman" w:eastAsia="楷体_GB2312" w:cs="Times New Roman"/>
          <w:b/>
          <w:bCs/>
          <w:color w:val="000000"/>
          <w:kern w:val="0"/>
          <w:sz w:val="32"/>
          <w:szCs w:val="32"/>
          <w:shd w:val="clear" w:color="auto" w:fill="FFFFFF"/>
          <w:lang w:val="zh-CN"/>
        </w:rPr>
      </w:pP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lang w:val="zh-CN" w:eastAsia="zh-CN"/>
        </w:rPr>
        <w:t>负责全县食品安全监督管理综合协调</w:t>
      </w:r>
      <w:r>
        <w:rPr>
          <w:rFonts w:hint="eastAsia" w:ascii="仿宋_GB2312" w:hAnsi="仿宋_GB2312" w:eastAsia="仿宋_GB2312" w:cs="仿宋_GB2312"/>
          <w:b/>
          <w:bCs/>
          <w:color w:val="auto"/>
          <w:sz w:val="32"/>
          <w:szCs w:val="32"/>
          <w:lang w:val="en-US" w:eastAsia="zh-CN"/>
        </w:rPr>
        <w:t>工作</w:t>
      </w:r>
      <w:r>
        <w:rPr>
          <w:rFonts w:hint="eastAsia" w:ascii="仿宋_GB2312" w:hAnsi="仿宋_GB2312" w:eastAsia="仿宋_GB2312" w:cs="仿宋_GB2312"/>
          <w:b/>
          <w:bCs/>
          <w:color w:val="auto"/>
          <w:sz w:val="32"/>
          <w:szCs w:val="32"/>
          <w:lang w:val="zh-CN" w:eastAsia="zh-CN"/>
        </w:rPr>
        <w:t>。</w:t>
      </w:r>
      <w:r>
        <w:rPr>
          <w:rFonts w:hint="eastAsia" w:ascii="仿宋_GB2312" w:hAnsi="仿宋_GB2312" w:eastAsia="仿宋_GB2312" w:cs="仿宋_GB2312"/>
          <w:color w:val="auto"/>
          <w:sz w:val="32"/>
          <w:szCs w:val="32"/>
          <w:lang w:val="zh-CN" w:eastAsia="zh-CN"/>
        </w:rPr>
        <w:t>拟定并组织实施全县食品安全等规划。统筹指导全县食品安全工作。负责食品安全应急体系建设，组织指导食品安全事件应急处置和调查处理工作。</w:t>
      </w:r>
    </w:p>
    <w:p>
      <w:pPr>
        <w:spacing w:line="578" w:lineRule="exact"/>
        <w:ind w:firstLine="643" w:firstLineChars="200"/>
        <w:jc w:val="left"/>
        <w:rPr>
          <w:rFonts w:ascii="Times New Roman" w:hAnsi="Times New Roman" w:eastAsia="仿宋_GB2312" w:cs="Times New Roman"/>
          <w:sz w:val="32"/>
          <w:szCs w:val="32"/>
        </w:rPr>
      </w:pPr>
      <w:r>
        <w:rPr>
          <w:rFonts w:ascii="Times New Roman" w:hAnsi="Times New Roman" w:eastAsia="楷体_GB2312" w:cs="Times New Roman"/>
          <w:b/>
          <w:bCs/>
          <w:color w:val="000000"/>
          <w:kern w:val="0"/>
          <w:sz w:val="32"/>
          <w:szCs w:val="32"/>
          <w:shd w:val="clear" w:color="auto" w:fill="FFFFFF"/>
          <w:lang w:val="zh-CN"/>
        </w:rPr>
        <w:t>（三）人员概况。</w:t>
      </w:r>
      <w:r>
        <w:rPr>
          <w:rFonts w:hint="eastAsia" w:ascii="仿宋_GB2312" w:hAnsi="仿宋_GB2312" w:eastAsia="仿宋_GB2312" w:cs="仿宋_GB2312"/>
          <w:color w:val="auto"/>
          <w:sz w:val="32"/>
          <w:szCs w:val="32"/>
          <w:highlight w:val="none"/>
          <w:lang w:val="en-US" w:eastAsia="zh-CN"/>
        </w:rPr>
        <w:t>单位人员分别为行政30名、事业2名。</w:t>
      </w:r>
    </w:p>
    <w:p>
      <w:pPr>
        <w:widowControl/>
        <w:adjustRightInd w:val="0"/>
        <w:snapToGrid w:val="0"/>
        <w:spacing w:line="578" w:lineRule="exact"/>
        <w:ind w:firstLine="640" w:firstLineChars="200"/>
        <w:contextualSpacing/>
        <w:jc w:val="left"/>
        <w:rPr>
          <w:rFonts w:ascii="Times New Roman" w:hAnsi="Times New Roman" w:eastAsia="黑体" w:cs="Times New Roman"/>
          <w:color w:val="000000"/>
          <w:kern w:val="0"/>
          <w:sz w:val="32"/>
          <w:szCs w:val="32"/>
          <w:shd w:val="clear" w:color="auto" w:fill="FFFFFF"/>
        </w:rPr>
      </w:pPr>
      <w:r>
        <w:rPr>
          <w:rFonts w:ascii="Times New Roman" w:hAnsi="Times New Roman" w:eastAsia="黑体" w:cs="Times New Roman"/>
          <w:color w:val="000000"/>
          <w:kern w:val="0"/>
          <w:sz w:val="32"/>
          <w:szCs w:val="32"/>
          <w:shd w:val="clear" w:color="auto" w:fill="FFFFFF"/>
        </w:rPr>
        <w:t>二、部门资金收支情况</w:t>
      </w:r>
    </w:p>
    <w:p>
      <w:pPr>
        <w:keepNext w:val="0"/>
        <w:keepLines w:val="0"/>
        <w:pageBreakBefore w:val="0"/>
        <w:kinsoku/>
        <w:wordWrap/>
        <w:overflowPunct/>
        <w:topLinePunct w:val="0"/>
        <w:autoSpaceDE/>
        <w:autoSpaceDN/>
        <w:bidi w:val="0"/>
        <w:spacing w:line="560" w:lineRule="exact"/>
        <w:ind w:firstLine="643" w:firstLineChars="200"/>
        <w:jc w:val="both"/>
        <w:textAlignment w:val="auto"/>
        <w:rPr>
          <w:rFonts w:hint="eastAsia" w:ascii="仿宋_GB2312" w:hAnsi="仿宋_GB2312" w:eastAsia="仿宋_GB2312" w:cs="仿宋_GB2312"/>
          <w:color w:val="auto"/>
          <w:sz w:val="32"/>
          <w:szCs w:val="32"/>
          <w:lang w:val="zh-CN" w:eastAsia="zh-CN"/>
        </w:rPr>
      </w:pPr>
      <w:r>
        <w:rPr>
          <w:rFonts w:ascii="Times New Roman" w:hAnsi="Times New Roman" w:eastAsia="楷体_GB2312" w:cs="Times New Roman"/>
          <w:b/>
          <w:bCs/>
          <w:color w:val="000000"/>
          <w:kern w:val="0"/>
          <w:sz w:val="32"/>
          <w:szCs w:val="32"/>
          <w:shd w:val="clear" w:color="auto" w:fill="FFFFFF"/>
          <w:lang w:val="zh-CN"/>
        </w:rPr>
        <w:t>（一）收入情况。</w:t>
      </w:r>
      <w:r>
        <w:rPr>
          <w:rFonts w:hint="eastAsia" w:ascii="仿宋_GB2312" w:hAnsi="仿宋_GB2312" w:eastAsia="仿宋_GB2312" w:cs="仿宋_GB2312"/>
          <w:color w:val="auto"/>
          <w:sz w:val="32"/>
          <w:szCs w:val="32"/>
          <w:lang w:val="zh-CN" w:eastAsia="zh-CN"/>
        </w:rPr>
        <w:t>202</w:t>
      </w:r>
      <w:r>
        <w:rPr>
          <w:rFonts w:hint="eastAsia" w:ascii="仿宋_GB2312" w:hAnsi="仿宋_GB2312" w:eastAsia="仿宋_GB2312" w:cs="仿宋_GB2312"/>
          <w:color w:val="auto"/>
          <w:sz w:val="32"/>
          <w:szCs w:val="32"/>
          <w:lang w:val="en-US" w:eastAsia="zh-CN"/>
        </w:rPr>
        <w:t>5年</w:t>
      </w:r>
      <w:r>
        <w:rPr>
          <w:rFonts w:hint="eastAsia" w:ascii="仿宋_GB2312" w:hAnsi="仿宋_GB2312" w:eastAsia="仿宋_GB2312" w:cs="仿宋_GB2312"/>
          <w:color w:val="auto"/>
          <w:sz w:val="32"/>
          <w:szCs w:val="32"/>
          <w:lang w:val="zh-CN" w:eastAsia="zh-CN"/>
        </w:rPr>
        <w:t>财政下达壤塘县市场监督管理局年初预算收入</w:t>
      </w:r>
      <w:r>
        <w:rPr>
          <w:rFonts w:hint="eastAsia" w:ascii="仿宋_GB2312" w:hAnsi="仿宋_GB2312" w:eastAsia="仿宋_GB2312" w:cs="仿宋_GB2312"/>
          <w:color w:val="auto"/>
          <w:sz w:val="32"/>
          <w:szCs w:val="32"/>
          <w:lang w:val="en-US" w:eastAsia="zh-CN"/>
        </w:rPr>
        <w:t>866.04</w:t>
      </w:r>
      <w:r>
        <w:rPr>
          <w:rFonts w:hint="eastAsia" w:ascii="仿宋_GB2312" w:hAnsi="仿宋_GB2312" w:eastAsia="仿宋_GB2312" w:cs="仿宋_GB2312"/>
          <w:color w:val="auto"/>
          <w:sz w:val="32"/>
          <w:szCs w:val="32"/>
          <w:lang w:val="zh-CN" w:eastAsia="zh-CN"/>
        </w:rPr>
        <w:t>万元，执行期中追加收入</w:t>
      </w:r>
      <w:r>
        <w:rPr>
          <w:rFonts w:hint="eastAsia" w:ascii="仿宋_GB2312" w:hAnsi="仿宋_GB2312" w:eastAsia="仿宋_GB2312" w:cs="仿宋_GB2312"/>
          <w:color w:val="auto"/>
          <w:sz w:val="32"/>
          <w:szCs w:val="32"/>
          <w:lang w:val="en-US" w:eastAsia="zh-CN"/>
        </w:rPr>
        <w:t>164.91</w:t>
      </w:r>
      <w:r>
        <w:rPr>
          <w:rFonts w:hint="eastAsia" w:ascii="仿宋_GB2312" w:hAnsi="仿宋_GB2312" w:eastAsia="仿宋_GB2312" w:cs="仿宋_GB2312"/>
          <w:color w:val="auto"/>
          <w:sz w:val="32"/>
          <w:szCs w:val="32"/>
          <w:lang w:val="zh-CN" w:eastAsia="zh-CN"/>
        </w:rPr>
        <w:t>万元，本年度总收入合计</w:t>
      </w:r>
      <w:r>
        <w:rPr>
          <w:rFonts w:hint="eastAsia" w:ascii="仿宋_GB2312" w:hAnsi="仿宋_GB2312" w:eastAsia="仿宋_GB2312" w:cs="仿宋_GB2312"/>
          <w:color w:val="auto"/>
          <w:sz w:val="32"/>
          <w:szCs w:val="32"/>
          <w:lang w:val="en-US" w:eastAsia="zh-CN"/>
        </w:rPr>
        <w:t>1030.95</w:t>
      </w:r>
      <w:r>
        <w:rPr>
          <w:rFonts w:hint="eastAsia" w:ascii="仿宋_GB2312" w:hAnsi="仿宋_GB2312" w:eastAsia="仿宋_GB2312" w:cs="仿宋_GB2312"/>
          <w:color w:val="auto"/>
          <w:sz w:val="32"/>
          <w:szCs w:val="32"/>
          <w:lang w:val="zh-CN" w:eastAsia="zh-CN"/>
        </w:rPr>
        <w:t>万元，</w:t>
      </w:r>
      <w:r>
        <w:rPr>
          <w:rFonts w:hint="eastAsia" w:ascii="仿宋_GB2312" w:hAnsi="仿宋_GB2312" w:eastAsia="仿宋_GB2312" w:cs="仿宋_GB2312"/>
          <w:color w:val="auto"/>
          <w:sz w:val="32"/>
          <w:szCs w:val="32"/>
          <w:lang w:val="en-US" w:eastAsia="zh-CN"/>
        </w:rPr>
        <w:t>结余3.2万元。</w:t>
      </w:r>
    </w:p>
    <w:p>
      <w:pPr>
        <w:widowControl/>
        <w:adjustRightInd w:val="0"/>
        <w:snapToGrid w:val="0"/>
        <w:spacing w:line="578" w:lineRule="exact"/>
        <w:ind w:firstLine="643" w:firstLineChars="200"/>
        <w:contextualSpacing/>
        <w:jc w:val="left"/>
        <w:rPr>
          <w:rFonts w:ascii="Times New Roman" w:hAnsi="Times New Roman" w:eastAsia="仿宋_GB2312" w:cs="Times New Roman"/>
          <w:sz w:val="32"/>
          <w:szCs w:val="32"/>
          <w:lang w:val="zh-CN"/>
        </w:rPr>
      </w:pPr>
      <w:r>
        <w:rPr>
          <w:rFonts w:ascii="Times New Roman" w:hAnsi="Times New Roman" w:eastAsia="楷体_GB2312" w:cs="Times New Roman"/>
          <w:b/>
          <w:bCs/>
          <w:color w:val="000000"/>
          <w:kern w:val="0"/>
          <w:sz w:val="32"/>
          <w:szCs w:val="32"/>
          <w:shd w:val="clear" w:color="auto" w:fill="FFFFFF"/>
          <w:lang w:val="zh-CN"/>
        </w:rPr>
        <w:t>（二）支出情况。</w:t>
      </w:r>
      <w:r>
        <w:rPr>
          <w:rFonts w:hint="eastAsia" w:ascii="仿宋_GB2312" w:hAnsi="仿宋_GB2312" w:eastAsia="仿宋_GB2312" w:cs="仿宋_GB2312"/>
          <w:color w:val="auto"/>
          <w:sz w:val="32"/>
          <w:szCs w:val="32"/>
          <w:lang w:val="en-US" w:eastAsia="zh-CN"/>
        </w:rPr>
        <w:t>2025年壤塘县市场监督管理局共计预算支出1052.55万元，基本支出935.75万元，项目支出116.80万元。</w:t>
      </w:r>
    </w:p>
    <w:p>
      <w:pPr>
        <w:widowControl/>
        <w:adjustRightInd w:val="0"/>
        <w:snapToGrid w:val="0"/>
        <w:spacing w:line="578" w:lineRule="exact"/>
        <w:ind w:firstLine="643" w:firstLineChars="200"/>
        <w:contextualSpacing/>
        <w:jc w:val="left"/>
        <w:rPr>
          <w:rFonts w:ascii="Times New Roman" w:hAnsi="Times New Roman" w:eastAsia="仿宋_GB2312" w:cs="Times New Roman"/>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（三）</w:t>
      </w:r>
      <w:r>
        <w:rPr>
          <w:rFonts w:ascii="Times New Roman" w:hAnsi="Times New Roman" w:eastAsia="楷体_GB2312" w:cs="Times New Roman"/>
          <w:b/>
          <w:sz w:val="32"/>
          <w:szCs w:val="32"/>
        </w:rPr>
        <w:t>结余分配和结转结余情况。</w:t>
      </w:r>
      <w:r>
        <w:rPr>
          <w:rFonts w:hint="eastAsia" w:ascii="仿宋_GB2312" w:hAnsi="仿宋_GB2312" w:eastAsia="仿宋_GB2312" w:cs="仿宋_GB2312"/>
          <w:color w:val="auto"/>
          <w:sz w:val="32"/>
          <w:szCs w:val="32"/>
          <w:lang w:val="en-US" w:eastAsia="zh-CN"/>
        </w:rPr>
        <w:t>2025年壤塘县市场监督管理局共计决算</w:t>
      </w:r>
      <w:r>
        <w:rPr>
          <w:rFonts w:ascii="Times New Roman" w:hAnsi="Times New Roman" w:eastAsia="仿宋_GB2312" w:cs="Times New Roman"/>
          <w:sz w:val="32"/>
          <w:szCs w:val="32"/>
        </w:rPr>
        <w:t>报表</w:t>
      </w:r>
      <w:r>
        <w:rPr>
          <w:rFonts w:ascii="Times New Roman" w:hAnsi="Times New Roman" w:eastAsia="仿宋_GB2312" w:cs="Times New Roman"/>
          <w:color w:val="000000"/>
          <w:kern w:val="0"/>
          <w:sz w:val="32"/>
          <w:szCs w:val="32"/>
          <w:shd w:val="clear" w:color="auto" w:fill="FFFFFF"/>
        </w:rPr>
        <w:t>结转结余</w:t>
      </w:r>
      <w:r>
        <w:rPr>
          <w:rFonts w:hint="eastAsia" w:ascii="Times New Roman" w:hAnsi="Times New Roman" w:eastAsia="仿宋_GB2312" w:cs="Times New Roman"/>
          <w:color w:val="000000"/>
          <w:kern w:val="0"/>
          <w:sz w:val="32"/>
          <w:szCs w:val="32"/>
          <w:shd w:val="clear" w:color="auto" w:fill="FFFFFF"/>
          <w:lang w:val="en-US" w:eastAsia="zh-CN"/>
        </w:rPr>
        <w:t>3.20万元</w:t>
      </w:r>
      <w:r>
        <w:rPr>
          <w:rFonts w:ascii="Times New Roman" w:hAnsi="Times New Roman" w:eastAsia="仿宋_GB2312" w:cs="Times New Roman"/>
          <w:color w:val="000000"/>
          <w:kern w:val="0"/>
          <w:sz w:val="32"/>
          <w:szCs w:val="32"/>
          <w:shd w:val="clear" w:color="auto" w:fill="FFFFFF"/>
        </w:rPr>
        <w:t>。</w:t>
      </w:r>
    </w:p>
    <w:p>
      <w:pPr>
        <w:widowControl/>
        <w:adjustRightInd w:val="0"/>
        <w:snapToGrid w:val="0"/>
        <w:spacing w:line="578" w:lineRule="exact"/>
        <w:ind w:firstLine="640" w:firstLineChars="200"/>
        <w:contextualSpacing/>
        <w:jc w:val="left"/>
        <w:rPr>
          <w:rFonts w:ascii="Times New Roman" w:hAnsi="Times New Roman" w:eastAsia="黑体" w:cs="Times New Roman"/>
          <w:color w:val="000000" w:themeColor="text1"/>
          <w:kern w:val="0"/>
          <w:sz w:val="32"/>
          <w:szCs w:val="32"/>
          <w:shd w:val="clear" w:color="auto" w:fill="FFFFFF"/>
          <w14:textFill>
            <w14:solidFill>
              <w14:schemeClr w14:val="tx1"/>
            </w14:solidFill>
          </w14:textFill>
        </w:rPr>
      </w:pPr>
      <w:r>
        <w:rPr>
          <w:rFonts w:ascii="Times New Roman" w:hAnsi="Times New Roman" w:eastAsia="黑体" w:cs="Times New Roman"/>
          <w:color w:val="000000"/>
          <w:kern w:val="0"/>
          <w:sz w:val="32"/>
          <w:szCs w:val="32"/>
          <w:shd w:val="clear" w:color="auto" w:fill="FFFFFF"/>
        </w:rPr>
        <w:t>三、部门预算绩效分析</w:t>
      </w:r>
    </w:p>
    <w:p>
      <w:pPr>
        <w:adjustRightInd w:val="0"/>
        <w:snapToGrid w:val="0"/>
        <w:spacing w:line="578" w:lineRule="exact"/>
        <w:ind w:firstLine="643" w:firstLineChars="200"/>
        <w:contextualSpacing/>
        <w:jc w:val="left"/>
        <w:rPr>
          <w:rFonts w:ascii="Times New Roman" w:hAnsi="Times New Roman" w:eastAsia="仿宋_GB2312" w:cs="Times New Roman"/>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（一）部门预算总体绩效分析。</w:t>
      </w:r>
    </w:p>
    <w:p>
      <w:pPr>
        <w:widowControl w:val="0"/>
        <w:spacing w:line="360" w:lineRule="auto"/>
        <w:ind w:firstLine="640" w:firstLineChars="200"/>
        <w:jc w:val="both"/>
        <w:rPr>
          <w:rFonts w:hint="eastAsia" w:ascii="仿宋_GB2312" w:hAnsi="仿宋_GB2312" w:eastAsia="仿宋_GB2312" w:cs="仿宋_GB2312"/>
          <w:kern w:val="2"/>
          <w:sz w:val="32"/>
          <w:szCs w:val="32"/>
          <w:lang w:val="en-US" w:eastAsia="zh-CN" w:bidi="ar-SA"/>
        </w:rPr>
      </w:pPr>
      <w:r>
        <w:rPr>
          <w:rFonts w:hint="eastAsia" w:ascii="Calibri" w:hAnsi="Calibri" w:eastAsia="楷体_GB2312" w:cs="Times New Roman"/>
          <w:color w:val="000000"/>
          <w:kern w:val="0"/>
          <w:sz w:val="32"/>
          <w:szCs w:val="32"/>
          <w:shd w:val="clear" w:color="auto" w:fill="FFFFFF"/>
          <w:lang w:val="en-US" w:eastAsia="zh-CN" w:bidi="ar-SA"/>
        </w:rPr>
        <w:t>1</w:t>
      </w:r>
      <w:r>
        <w:rPr>
          <w:rFonts w:ascii="Calibri" w:hAnsi="Calibri" w:eastAsia="楷体_GB2312" w:cs="Times New Roman"/>
          <w:color w:val="000000"/>
          <w:kern w:val="0"/>
          <w:sz w:val="32"/>
          <w:szCs w:val="32"/>
          <w:shd w:val="clear" w:color="auto" w:fill="FFFFFF"/>
          <w:lang w:val="en-US" w:eastAsia="zh-CN" w:bidi="ar-SA"/>
        </w:rPr>
        <w:t>.</w:t>
      </w:r>
      <w:r>
        <w:rPr>
          <w:rFonts w:ascii="Calibri" w:hAnsi="Calibri" w:eastAsia="楷体_GB2312" w:cs="Times New Roman"/>
          <w:color w:val="000000"/>
          <w:kern w:val="0"/>
          <w:sz w:val="32"/>
          <w:szCs w:val="32"/>
          <w:shd w:val="clear" w:color="auto" w:fill="FFFFFF"/>
          <w:lang w:val="zh-CN" w:eastAsia="zh-CN" w:bidi="ar-SA"/>
        </w:rPr>
        <w:t>预算管理。</w:t>
      </w:r>
      <w:r>
        <w:rPr>
          <w:rFonts w:hint="eastAsia" w:ascii="仿宋_GB2312" w:hAnsi="仿宋_GB2312" w:eastAsia="仿宋_GB2312" w:cs="仿宋_GB2312"/>
          <w:kern w:val="2"/>
          <w:sz w:val="32"/>
          <w:szCs w:val="32"/>
          <w:lang w:val="en-US" w:eastAsia="zh-CN" w:bidi="ar-SA"/>
        </w:rPr>
        <w:t xml:space="preserve">2025年年初预算收入866.04万元，执行期中追加收入164.91万元，全年收入总计1030.95万元。   </w:t>
      </w:r>
    </w:p>
    <w:p>
      <w:pPr>
        <w:spacing w:line="560" w:lineRule="exact"/>
        <w:ind w:firstLine="707" w:firstLineChars="221"/>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年初</w:t>
      </w:r>
      <w:r>
        <w:rPr>
          <w:rFonts w:hint="eastAsia" w:ascii="仿宋_GB2312" w:hAnsi="仿宋_GB2312" w:eastAsia="仿宋_GB2312" w:cs="仿宋_GB2312"/>
          <w:sz w:val="32"/>
          <w:szCs w:val="32"/>
          <w:lang w:eastAsia="zh-CN"/>
        </w:rPr>
        <w:t>预算支出</w:t>
      </w:r>
      <w:r>
        <w:rPr>
          <w:rFonts w:hint="eastAsia" w:ascii="仿宋_GB2312" w:hAnsi="仿宋_GB2312" w:eastAsia="仿宋_GB2312" w:cs="仿宋_GB2312"/>
          <w:sz w:val="32"/>
          <w:szCs w:val="32"/>
          <w:lang w:val="en-US" w:eastAsia="zh-CN"/>
        </w:rPr>
        <w:t>866.04</w:t>
      </w:r>
      <w:r>
        <w:rPr>
          <w:rFonts w:hint="eastAsia" w:ascii="仿宋_GB2312" w:hAnsi="仿宋_GB2312" w:eastAsia="仿宋_GB2312" w:cs="仿宋_GB2312"/>
          <w:sz w:val="32"/>
          <w:szCs w:val="32"/>
          <w:lang w:eastAsia="zh-CN"/>
        </w:rPr>
        <w:t>万元，基本支出</w:t>
      </w:r>
      <w:r>
        <w:rPr>
          <w:rFonts w:hint="eastAsia" w:ascii="仿宋_GB2312" w:hAnsi="仿宋_GB2312" w:eastAsia="仿宋_GB2312" w:cs="仿宋_GB2312"/>
          <w:sz w:val="32"/>
          <w:szCs w:val="32"/>
          <w:lang w:val="en-US" w:eastAsia="zh-CN"/>
        </w:rPr>
        <w:t>866.04</w:t>
      </w:r>
      <w:r>
        <w:rPr>
          <w:rFonts w:hint="eastAsia" w:ascii="仿宋_GB2312" w:hAnsi="仿宋_GB2312" w:eastAsia="仿宋_GB2312" w:cs="仿宋_GB2312"/>
          <w:sz w:val="32"/>
          <w:szCs w:val="32"/>
          <w:lang w:eastAsia="zh-CN"/>
        </w:rPr>
        <w:t>万元，项目支出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lang w:eastAsia="zh-CN"/>
        </w:rPr>
        <w:t>万元。</w:t>
      </w:r>
    </w:p>
    <w:p>
      <w:pPr>
        <w:numPr>
          <w:ilvl w:val="0"/>
          <w:numId w:val="8"/>
        </w:numPr>
        <w:tabs>
          <w:tab w:val="left" w:pos="679"/>
        </w:tabs>
        <w:spacing w:line="560" w:lineRule="exact"/>
        <w:ind w:firstLine="707" w:firstLineChars="22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预算绩效管理</w:t>
      </w:r>
    </w:p>
    <w:p>
      <w:pPr>
        <w:numPr>
          <w:ilvl w:val="0"/>
          <w:numId w:val="0"/>
        </w:numPr>
        <w:spacing w:line="560" w:lineRule="exact"/>
        <w:ind w:firstLine="640" w:firstLineChars="200"/>
        <w:rPr>
          <w:rFonts w:hint="default" w:ascii="Times New Roman" w:hAnsi="Times New Roman" w:eastAsia="仿宋_GB2312" w:cs="Times New Roman"/>
          <w:sz w:val="32"/>
          <w:lang w:val="en-US" w:eastAsia="zh-CN"/>
        </w:rPr>
      </w:pPr>
      <w:r>
        <w:rPr>
          <w:rFonts w:hint="eastAsia" w:ascii="仿宋_GB2312" w:hAnsi="仿宋_GB2312" w:eastAsia="仿宋_GB2312" w:cs="仿宋_GB2312"/>
          <w:sz w:val="32"/>
          <w:szCs w:val="32"/>
          <w:lang w:val="en-US" w:eastAsia="zh-CN"/>
        </w:rPr>
        <w:t>我单位均按照要求进行预算项目绩效管理，并进行预算项目绩效自评报告。已按要求开展事前绩效评估、目标编制、运行监控和事后评价，绩效管理意识逐步增强，全过程预算绩效管理框架基本建立。</w:t>
      </w:r>
    </w:p>
    <w:p>
      <w:pPr>
        <w:spacing w:line="360" w:lineRule="auto"/>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我单位</w:t>
      </w:r>
      <w:r>
        <w:rPr>
          <w:rFonts w:hint="eastAsia" w:ascii="仿宋_GB2312" w:hAnsi="仿宋_GB2312" w:eastAsia="仿宋_GB2312" w:cs="仿宋_GB2312"/>
          <w:sz w:val="32"/>
          <w:szCs w:val="32"/>
        </w:rPr>
        <w:t>本年度资金使用过程中严格按照单位财务管理制度要求执行，资金使用的合规性体现在：</w:t>
      </w:r>
    </w:p>
    <w:p>
      <w:pPr>
        <w:spacing w:line="360" w:lineRule="auto"/>
        <w:ind w:firstLine="640" w:firstLineChars="200"/>
        <w:jc w:val="both"/>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所有经费开支坚持财务审批制度，重大资金支出（日常公用经费在1万元及以上）由</w:t>
      </w:r>
      <w:r>
        <w:rPr>
          <w:rFonts w:hint="eastAsia" w:ascii="仿宋_GB2312" w:hAnsi="仿宋_GB2312" w:eastAsia="仿宋_GB2312" w:cs="仿宋_GB2312"/>
          <w:color w:val="000000"/>
          <w:sz w:val="32"/>
          <w:szCs w:val="32"/>
          <w:lang w:eastAsia="zh-CN"/>
        </w:rPr>
        <w:t>党支部行政领导班子</w:t>
      </w:r>
      <w:r>
        <w:rPr>
          <w:rFonts w:hint="eastAsia" w:ascii="仿宋_GB2312" w:hAnsi="仿宋_GB2312" w:eastAsia="仿宋_GB2312" w:cs="仿宋_GB2312"/>
          <w:color w:val="000000"/>
          <w:sz w:val="32"/>
          <w:szCs w:val="32"/>
        </w:rPr>
        <w:t>研究决定。</w:t>
      </w:r>
    </w:p>
    <w:p>
      <w:pPr>
        <w:spacing w:line="360" w:lineRule="auto"/>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在报销经费时，经办人使用统一规范的审批单，在审批单上写明用途、经办人员、股室负责人、财务负责人、单位领导、金额、报销日期等内容。</w:t>
      </w:r>
    </w:p>
    <w:p>
      <w:pPr>
        <w:spacing w:line="360" w:lineRule="auto"/>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费用报销审批程序  </w:t>
      </w:r>
    </w:p>
    <w:p>
      <w:pPr>
        <w:spacing w:line="360" w:lineRule="auto"/>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经办人填写</w:t>
      </w:r>
      <w:r>
        <w:rPr>
          <w:rFonts w:hint="eastAsia" w:ascii="仿宋_GB2312" w:hAnsi="仿宋_GB2312" w:eastAsia="仿宋_GB2312" w:cs="仿宋_GB2312"/>
          <w:sz w:val="32"/>
          <w:szCs w:val="32"/>
          <w:lang w:eastAsia="zh-CN"/>
        </w:rPr>
        <w:t>报销单</w:t>
      </w:r>
      <w:r>
        <w:rPr>
          <w:rFonts w:hint="eastAsia" w:ascii="仿宋_GB2312" w:hAnsi="仿宋_GB2312" w:eastAsia="仿宋_GB2312" w:cs="仿宋_GB2312"/>
          <w:sz w:val="32"/>
          <w:szCs w:val="32"/>
        </w:rPr>
        <w:t>→由业务科室负责人确认签字→财务科</w:t>
      </w:r>
      <w:r>
        <w:rPr>
          <w:rFonts w:hint="eastAsia" w:ascii="仿宋_GB2312" w:hAnsi="仿宋_GB2312" w:eastAsia="仿宋_GB2312" w:cs="仿宋_GB2312"/>
          <w:sz w:val="32"/>
          <w:szCs w:val="32"/>
          <w:lang w:eastAsia="zh-CN"/>
        </w:rPr>
        <w:t>人员</w:t>
      </w:r>
      <w:r>
        <w:rPr>
          <w:rFonts w:hint="eastAsia" w:ascii="仿宋_GB2312" w:hAnsi="仿宋_GB2312" w:eastAsia="仿宋_GB2312" w:cs="仿宋_GB2312"/>
          <w:sz w:val="32"/>
          <w:szCs w:val="32"/>
        </w:rPr>
        <w:t>核签字→</w:t>
      </w:r>
      <w:r>
        <w:rPr>
          <w:rFonts w:hint="eastAsia" w:ascii="仿宋_GB2312" w:hAnsi="仿宋_GB2312" w:eastAsia="仿宋_GB2312" w:cs="仿宋_GB2312"/>
          <w:sz w:val="32"/>
          <w:szCs w:val="32"/>
          <w:lang w:eastAsia="zh-CN"/>
        </w:rPr>
        <w:t>财务</w:t>
      </w:r>
      <w:r>
        <w:rPr>
          <w:rFonts w:hint="eastAsia" w:ascii="仿宋_GB2312" w:hAnsi="仿宋_GB2312" w:eastAsia="仿宋_GB2312" w:cs="仿宋_GB2312"/>
          <w:sz w:val="32"/>
          <w:szCs w:val="32"/>
        </w:rPr>
        <w:t>分管领导确认签字→</w:t>
      </w:r>
      <w:r>
        <w:rPr>
          <w:rFonts w:hint="eastAsia" w:ascii="仿宋_GB2312" w:hAnsi="仿宋_GB2312" w:eastAsia="仿宋_GB2312" w:cs="仿宋_GB2312"/>
          <w:sz w:val="32"/>
          <w:szCs w:val="32"/>
          <w:lang w:val="en-US" w:eastAsia="zh-CN"/>
        </w:rPr>
        <w:t>单位负责人</w:t>
      </w:r>
      <w:r>
        <w:rPr>
          <w:rFonts w:hint="eastAsia" w:ascii="仿宋_GB2312" w:hAnsi="仿宋_GB2312" w:eastAsia="仿宋_GB2312" w:cs="仿宋_GB2312"/>
          <w:sz w:val="32"/>
          <w:szCs w:val="32"/>
        </w:rPr>
        <w:t>批准后，到</w:t>
      </w:r>
      <w:r>
        <w:rPr>
          <w:rFonts w:hint="eastAsia" w:ascii="仿宋_GB2312" w:hAnsi="仿宋_GB2312" w:eastAsia="仿宋_GB2312" w:cs="仿宋_GB2312"/>
          <w:color w:val="000000"/>
          <w:sz w:val="32"/>
          <w:szCs w:val="32"/>
        </w:rPr>
        <w:t>财务</w:t>
      </w:r>
      <w:r>
        <w:rPr>
          <w:rFonts w:hint="eastAsia" w:ascii="仿宋_GB2312" w:hAnsi="仿宋_GB2312" w:eastAsia="仿宋_GB2312" w:cs="仿宋_GB2312"/>
          <w:color w:val="000000"/>
          <w:sz w:val="32"/>
          <w:szCs w:val="32"/>
          <w:lang w:eastAsia="zh-CN"/>
        </w:rPr>
        <w:t>室</w:t>
      </w:r>
      <w:r>
        <w:rPr>
          <w:rFonts w:hint="eastAsia" w:ascii="仿宋_GB2312" w:hAnsi="仿宋_GB2312" w:eastAsia="仿宋_GB2312" w:cs="仿宋_GB2312"/>
          <w:sz w:val="32"/>
          <w:szCs w:val="32"/>
        </w:rPr>
        <w:t>出纳处办理支付手续。</w:t>
      </w:r>
    </w:p>
    <w:p>
      <w:pPr>
        <w:spacing w:line="360" w:lineRule="auto"/>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各个审批环节的具体职责：</w:t>
      </w:r>
    </w:p>
    <w:p>
      <w:pPr>
        <w:spacing w:line="360" w:lineRule="auto"/>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业务科室负责人及其分管领导对其发生的支出用途及金额的真实性、准确性负责，并对其科室填写的支出审批单内容、大小写金额、票据张数进行审核。经济业务发生后，原则上在</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天之内报账完毕。不得将几个经济事项的票据合并填报。</w:t>
      </w:r>
    </w:p>
    <w:p>
      <w:pPr>
        <w:spacing w:line="360" w:lineRule="auto"/>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财务室</w:t>
      </w:r>
      <w:r>
        <w:rPr>
          <w:rFonts w:hint="eastAsia" w:ascii="仿宋_GB2312" w:hAnsi="仿宋_GB2312" w:eastAsia="仿宋_GB2312" w:cs="仿宋_GB2312"/>
          <w:sz w:val="32"/>
          <w:szCs w:val="32"/>
          <w:lang w:eastAsia="zh-CN"/>
        </w:rPr>
        <w:t>对</w:t>
      </w:r>
      <w:r>
        <w:rPr>
          <w:rFonts w:hint="eastAsia" w:ascii="仿宋_GB2312" w:hAnsi="仿宋_GB2312" w:eastAsia="仿宋_GB2312" w:cs="仿宋_GB2312"/>
          <w:sz w:val="32"/>
          <w:szCs w:val="32"/>
        </w:rPr>
        <w:t>提供的原始票据的合法性进行审核监督。审核发票是否真实合法、填写是否规范、印章是否齐全、报销金额与原始票据是否相符；审核是否符合审批程序；审核是否在预算额度内、在审计金额内按进度、按比例、按范围付款。对不符合规定的票据，财务科有权拒绝受理。</w:t>
      </w:r>
    </w:p>
    <w:p>
      <w:pPr>
        <w:spacing w:line="360" w:lineRule="auto"/>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各审批领导审查财务收支的真实性、合法性、必要性，并在报销凭证上明确签署报销意见。</w:t>
      </w:r>
    </w:p>
    <w:p>
      <w:pPr>
        <w:spacing w:line="360" w:lineRule="auto"/>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所有费用报销实行</w:t>
      </w:r>
      <w:r>
        <w:rPr>
          <w:rFonts w:hint="eastAsia" w:ascii="仿宋_GB2312" w:hAnsi="仿宋_GB2312" w:eastAsia="仿宋_GB2312" w:cs="仿宋_GB2312"/>
          <w:sz w:val="32"/>
          <w:szCs w:val="32"/>
          <w:lang w:eastAsia="zh-CN"/>
        </w:rPr>
        <w:t>单位负责人</w:t>
      </w:r>
      <w:r>
        <w:rPr>
          <w:rFonts w:hint="eastAsia" w:ascii="仿宋_GB2312" w:hAnsi="仿宋_GB2312" w:eastAsia="仿宋_GB2312" w:cs="仿宋_GB2312"/>
          <w:sz w:val="32"/>
          <w:szCs w:val="32"/>
        </w:rPr>
        <w:t>“一支笔”签批制度。</w:t>
      </w:r>
    </w:p>
    <w:p>
      <w:pPr>
        <w:spacing w:line="360" w:lineRule="auto"/>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纳人员对已经审批后的支出票据必须进行复核（复核票据张数、金额、审批程序），对不符合规定的票据有权拒绝支付并立即向机关领导报告。严格控制现金支付，原则上采用公务卡和转账结算。会计人员进行会计核算时，对不符合</w:t>
      </w:r>
      <w:r>
        <w:rPr>
          <w:rFonts w:hint="eastAsia" w:ascii="仿宋_GB2312" w:hAnsi="仿宋_GB2312" w:eastAsia="仿宋_GB2312" w:cs="仿宋_GB2312"/>
          <w:sz w:val="32"/>
          <w:szCs w:val="32"/>
          <w:lang w:val="en-US" w:eastAsia="zh-CN"/>
        </w:rPr>
        <w:t>财务</w:t>
      </w:r>
      <w:r>
        <w:rPr>
          <w:rFonts w:hint="eastAsia" w:ascii="仿宋_GB2312" w:hAnsi="仿宋_GB2312" w:eastAsia="仿宋_GB2312" w:cs="仿宋_GB2312"/>
          <w:sz w:val="32"/>
          <w:szCs w:val="32"/>
        </w:rPr>
        <w:t>管理规定的票据有权拒绝接受并应立即报告。</w:t>
      </w:r>
    </w:p>
    <w:p>
      <w:pPr>
        <w:numPr>
          <w:ilvl w:val="0"/>
          <w:numId w:val="8"/>
        </w:numPr>
        <w:spacing w:line="360" w:lineRule="auto"/>
        <w:ind w:left="0" w:leftChars="0" w:firstLine="707" w:firstLineChars="221"/>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资产管理</w:t>
      </w:r>
    </w:p>
    <w:p>
      <w:pPr>
        <w:numPr>
          <w:ilvl w:val="0"/>
          <w:numId w:val="0"/>
        </w:num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年12月31日，</w:t>
      </w:r>
      <w:r>
        <w:rPr>
          <w:rFonts w:hint="eastAsia" w:ascii="仿宋_GB2312" w:hAnsi="仿宋_GB2312" w:eastAsia="仿宋_GB2312" w:cs="仿宋_GB2312"/>
          <w:sz w:val="32"/>
          <w:szCs w:val="32"/>
          <w:lang w:val="en-US" w:eastAsia="zh-CN"/>
        </w:rPr>
        <w:t>我单位</w:t>
      </w:r>
      <w:r>
        <w:rPr>
          <w:rFonts w:hint="eastAsia" w:ascii="仿宋_GB2312" w:hAnsi="仿宋_GB2312" w:eastAsia="仿宋_GB2312" w:cs="仿宋_GB2312"/>
          <w:sz w:val="32"/>
          <w:szCs w:val="32"/>
          <w:lang w:eastAsia="zh-CN"/>
        </w:rPr>
        <w:t>《行政单位资产管理系统》固定资产</w:t>
      </w:r>
      <w:r>
        <w:rPr>
          <w:rFonts w:hint="eastAsia" w:ascii="仿宋_GB2312" w:hAnsi="仿宋_GB2312" w:eastAsia="仿宋_GB2312" w:cs="仿宋_GB2312"/>
          <w:sz w:val="32"/>
          <w:szCs w:val="32"/>
          <w:lang w:val="en-US" w:eastAsia="zh-CN"/>
        </w:rPr>
        <w:t>原值</w:t>
      </w:r>
      <w:r>
        <w:rPr>
          <w:rFonts w:hint="eastAsia" w:ascii="仿宋_GB2312" w:hAnsi="仿宋_GB2312" w:eastAsia="仿宋_GB2312" w:cs="仿宋_GB2312"/>
          <w:sz w:val="32"/>
          <w:szCs w:val="32"/>
          <w:lang w:eastAsia="zh-CN"/>
        </w:rPr>
        <w:t>总计</w:t>
      </w:r>
      <w:r>
        <w:rPr>
          <w:rFonts w:hint="eastAsia" w:ascii="仿宋_GB2312" w:hAnsi="仿宋_GB2312" w:eastAsia="仿宋_GB2312" w:cs="仿宋_GB2312"/>
          <w:sz w:val="32"/>
          <w:szCs w:val="32"/>
          <w:lang w:val="en-US" w:eastAsia="zh-CN"/>
        </w:rPr>
        <w:t>618.02</w:t>
      </w:r>
      <w:r>
        <w:rPr>
          <w:rFonts w:hint="eastAsia" w:ascii="仿宋_GB2312" w:hAnsi="仿宋_GB2312" w:eastAsia="仿宋_GB2312" w:cs="仿宋_GB2312"/>
          <w:sz w:val="32"/>
          <w:szCs w:val="32"/>
          <w:lang w:eastAsia="zh-CN"/>
        </w:rPr>
        <w:t>万元，在用的固定资产总计</w:t>
      </w:r>
      <w:r>
        <w:rPr>
          <w:rFonts w:hint="eastAsia" w:ascii="仿宋_GB2312" w:hAnsi="仿宋_GB2312" w:eastAsia="仿宋_GB2312" w:cs="仿宋_GB2312"/>
          <w:sz w:val="32"/>
          <w:szCs w:val="32"/>
          <w:lang w:val="en-US" w:eastAsia="zh-CN"/>
        </w:rPr>
        <w:t>618.02</w:t>
      </w:r>
      <w:r>
        <w:rPr>
          <w:rFonts w:hint="eastAsia" w:ascii="仿宋_GB2312" w:hAnsi="仿宋_GB2312" w:eastAsia="仿宋_GB2312" w:cs="仿宋_GB2312"/>
          <w:sz w:val="32"/>
          <w:szCs w:val="32"/>
          <w:lang w:eastAsia="zh-CN"/>
        </w:rPr>
        <w:t>万元，固定资产在用率达</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eastAsia="zh-CN"/>
        </w:rPr>
        <w:t>%。</w:t>
      </w:r>
    </w:p>
    <w:p>
      <w:pPr>
        <w:numPr>
          <w:ilvl w:val="0"/>
          <w:numId w:val="0"/>
        </w:num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我单位</w:t>
      </w:r>
      <w:r>
        <w:rPr>
          <w:rFonts w:hint="eastAsia" w:ascii="仿宋_GB2312" w:hAnsi="仿宋_GB2312" w:eastAsia="仿宋_GB2312" w:cs="仿宋_GB2312"/>
          <w:sz w:val="32"/>
          <w:szCs w:val="32"/>
          <w:lang w:eastAsia="zh-CN"/>
        </w:rPr>
        <w:t>资产管理制度健全，定期开展清查盘点，账实相符，资产使用效率有待进一步提升。</w:t>
      </w:r>
    </w:p>
    <w:p>
      <w:pPr>
        <w:numPr>
          <w:ilvl w:val="0"/>
          <w:numId w:val="0"/>
        </w:numPr>
        <w:spacing w:line="360" w:lineRule="auto"/>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5、政府采购管理</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rPr>
          <w:rFonts w:ascii="Times New Roman" w:hAnsi="Times New Roman" w:eastAsia="楷体_GB2312" w:cs="Times New Roman"/>
          <w:color w:val="000000"/>
          <w:kern w:val="0"/>
          <w:sz w:val="32"/>
          <w:szCs w:val="32"/>
          <w:shd w:val="clear" w:color="auto" w:fill="FFFFFF"/>
          <w:lang w:val="zh-CN"/>
        </w:rPr>
      </w:pPr>
      <w:r>
        <w:rPr>
          <w:rFonts w:hint="eastAsia" w:ascii="仿宋_GB2312" w:hAnsi="仿宋_GB2312" w:eastAsia="仿宋_GB2312" w:cs="仿宋_GB2312"/>
          <w:sz w:val="32"/>
          <w:szCs w:val="32"/>
          <w:lang w:val="en-US" w:eastAsia="zh-CN"/>
        </w:rPr>
        <w:t>2025年我单位无政府采购项目。</w:t>
      </w:r>
    </w:p>
    <w:p>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643" w:firstLineChars="200"/>
        <w:jc w:val="both"/>
        <w:textAlignment w:val="auto"/>
        <w:rPr>
          <w:rFonts w:ascii="Times New Roman" w:hAnsi="Times New Roman" w:eastAsia="楷体_GB2312" w:cs="Times New Roman"/>
          <w:b/>
          <w:bCs/>
          <w:color w:val="000000"/>
          <w:kern w:val="0"/>
          <w:sz w:val="32"/>
          <w:szCs w:val="32"/>
          <w:shd w:val="clear" w:color="auto" w:fill="FFFFFF"/>
          <w:lang w:val="zh-CN"/>
        </w:rPr>
      </w:pPr>
      <w:r>
        <w:rPr>
          <w:rFonts w:hint="eastAsia" w:ascii="Times New Roman" w:hAnsi="Times New Roman" w:eastAsia="楷体_GB2312" w:cs="Times New Roman"/>
          <w:b/>
          <w:bCs/>
          <w:color w:val="000000"/>
          <w:kern w:val="0"/>
          <w:sz w:val="32"/>
          <w:szCs w:val="32"/>
          <w:shd w:val="clear" w:color="auto" w:fill="FFFFFF"/>
          <w:lang w:val="en-US" w:eastAsia="zh-CN"/>
        </w:rPr>
        <w:t>当年取得的主要任务</w:t>
      </w:r>
      <w:r>
        <w:rPr>
          <w:rFonts w:ascii="Times New Roman" w:hAnsi="Times New Roman" w:eastAsia="楷体_GB2312" w:cs="Times New Roman"/>
          <w:b/>
          <w:bCs/>
          <w:color w:val="000000"/>
          <w:kern w:val="0"/>
          <w:sz w:val="32"/>
          <w:szCs w:val="32"/>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color w:val="auto"/>
          <w:sz w:val="32"/>
          <w:szCs w:val="32"/>
          <w:lang w:val="en-US" w:eastAsia="zh-CN" w:bidi="ar-SA"/>
        </w:rPr>
        <w:t>2025年，全县新登记商事主体273户，累计实有商事主体达2661户，其中在册企业586户；在册个体工商</w:t>
      </w:r>
      <w:r>
        <w:rPr>
          <w:rFonts w:hint="eastAsia" w:eastAsia="仿宋_GB2312" w:cs="Times New Roman"/>
          <w:color w:val="auto"/>
          <w:sz w:val="32"/>
          <w:szCs w:val="32"/>
          <w:lang w:val="en-US" w:eastAsia="zh-CN" w:bidi="ar-SA"/>
        </w:rPr>
        <w:t>户</w:t>
      </w:r>
      <w:r>
        <w:rPr>
          <w:rFonts w:hint="default" w:ascii="Times New Roman" w:hAnsi="Times New Roman" w:eastAsia="仿宋_GB2312" w:cs="Times New Roman"/>
          <w:color w:val="auto"/>
          <w:sz w:val="32"/>
          <w:szCs w:val="32"/>
          <w:lang w:val="en-US" w:eastAsia="zh-CN" w:bidi="ar-SA"/>
        </w:rPr>
        <w:t>1918户；在册农民专业合作社157户。新登记的企业53户，个体新增217户，农民专业合作社新增3户。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0"/>
        <w:rPr>
          <w:rFonts w:hint="default" w:ascii="Times New Roman" w:hAnsi="Times New Roman" w:eastAsia="楷体_GB2312" w:cs="Times New Roman"/>
          <w:b/>
          <w:bCs/>
          <w:snapToGrid w:val="0"/>
          <w:color w:val="auto"/>
          <w:kern w:val="0"/>
          <w:sz w:val="32"/>
          <w:szCs w:val="32"/>
          <w:lang w:val="en-US" w:eastAsia="zh-CN" w:bidi="ar-SA"/>
        </w:rPr>
      </w:pPr>
      <w:bookmarkStart w:id="78" w:name="_Toc28917"/>
      <w:bookmarkStart w:id="79" w:name="_Toc29067"/>
      <w:r>
        <w:rPr>
          <w:rFonts w:hint="default" w:ascii="Times New Roman" w:hAnsi="Times New Roman" w:eastAsia="楷体_GB2312" w:cs="Times New Roman"/>
          <w:b/>
          <w:bCs/>
          <w:snapToGrid w:val="0"/>
          <w:color w:val="auto"/>
          <w:kern w:val="0"/>
          <w:sz w:val="32"/>
          <w:szCs w:val="32"/>
          <w:lang w:val="en-US" w:eastAsia="zh-CN" w:bidi="ar-SA"/>
        </w:rPr>
        <w:t>聚焦“保”字，维护健康有序市场环境</w:t>
      </w:r>
      <w:bookmarkEnd w:id="78"/>
      <w:bookmarkEnd w:id="79"/>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0"/>
        <w:rPr>
          <w:rFonts w:hint="default" w:ascii="Times New Roman" w:hAnsi="Times New Roman" w:eastAsia="仿宋_GB2312" w:cs="Times New Roman"/>
          <w:b w:val="0"/>
          <w:bCs w:val="0"/>
          <w:snapToGrid w:val="0"/>
          <w:color w:val="auto"/>
          <w:kern w:val="0"/>
          <w:sz w:val="32"/>
          <w:szCs w:val="32"/>
          <w:lang w:val="en-US" w:eastAsia="zh-CN" w:bidi="ar-SA"/>
        </w:rPr>
      </w:pPr>
      <w:bookmarkStart w:id="80" w:name="_Toc29956"/>
      <w:bookmarkStart w:id="81" w:name="_Toc0"/>
      <w:r>
        <w:rPr>
          <w:rFonts w:hint="eastAsia" w:ascii="Times New Roman" w:hAnsi="Times New Roman" w:eastAsia="仿宋_GB2312" w:cs="Times New Roman"/>
          <w:b/>
          <w:bCs/>
          <w:snapToGrid w:val="0"/>
          <w:color w:val="auto"/>
          <w:kern w:val="0"/>
          <w:sz w:val="32"/>
          <w:szCs w:val="32"/>
          <w:lang w:val="en-US" w:eastAsia="zh-CN" w:bidi="ar-SA"/>
        </w:rPr>
        <w:t>一是</w:t>
      </w:r>
      <w:r>
        <w:rPr>
          <w:rFonts w:hint="default" w:ascii="Times New Roman" w:hAnsi="Times New Roman" w:eastAsia="仿宋_GB2312" w:cs="Times New Roman"/>
          <w:b/>
          <w:bCs/>
          <w:snapToGrid w:val="0"/>
          <w:color w:val="auto"/>
          <w:kern w:val="0"/>
          <w:sz w:val="32"/>
          <w:szCs w:val="32"/>
          <w:lang w:val="en-US" w:eastAsia="zh-CN" w:bidi="ar-SA"/>
        </w:rPr>
        <w:t>强化计量监管，守护公平底线。</w:t>
      </w:r>
      <w:r>
        <w:rPr>
          <w:rFonts w:hint="default" w:ascii="Times New Roman" w:hAnsi="Times New Roman" w:eastAsia="仿宋_GB2312" w:cs="Times New Roman"/>
          <w:b w:val="0"/>
          <w:bCs w:val="0"/>
          <w:snapToGrid w:val="0"/>
          <w:color w:val="auto"/>
          <w:kern w:val="0"/>
          <w:sz w:val="32"/>
          <w:szCs w:val="32"/>
          <w:lang w:val="en-US" w:eastAsia="zh-CN" w:bidi="ar-SA"/>
        </w:rPr>
        <w:t>聚焦集贸市场、加油（气）站等重点场所，严厉打击计量作弊行为。</w:t>
      </w:r>
      <w:r>
        <w:rPr>
          <w:rFonts w:hint="default" w:ascii="Times New Roman" w:hAnsi="Times New Roman" w:eastAsia="仿宋_GB2312" w:cs="Times New Roman"/>
          <w:b w:val="0"/>
          <w:bCs w:val="0"/>
          <w:snapToGrid w:val="0"/>
          <w:color w:val="auto"/>
          <w:kern w:val="0"/>
          <w:sz w:val="32"/>
          <w:szCs w:val="32"/>
          <w:highlight w:val="none"/>
          <w:lang w:val="en-US" w:eastAsia="zh-CN" w:bidi="ar-SA"/>
        </w:rPr>
        <w:t>组织召开水厂水表约谈会1次、水电厂警示约谈会1次</w:t>
      </w:r>
      <w:r>
        <w:rPr>
          <w:rFonts w:hint="default" w:ascii="Times New Roman" w:hAnsi="Times New Roman" w:eastAsia="仿宋_GB2312" w:cs="Times New Roman"/>
          <w:b w:val="0"/>
          <w:bCs w:val="0"/>
          <w:snapToGrid w:val="0"/>
          <w:color w:val="auto"/>
          <w:kern w:val="0"/>
          <w:sz w:val="32"/>
          <w:szCs w:val="32"/>
          <w:lang w:val="en-US" w:eastAsia="zh-CN" w:bidi="ar-SA"/>
        </w:rPr>
        <w:t>，开展媒体宣传1次；检查集贸市场1个、企业及个体工商户300余户次；检定电子秤400余台次、压力表200余支次、电表300余支、医疗计量器具100余个，打印手机砝码条200余份，有效规范计量市场秩序。</w:t>
      </w:r>
      <w:bookmarkEnd w:id="80"/>
      <w:bookmarkEnd w:id="81"/>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outlineLvl w:val="0"/>
        <w:rPr>
          <w:rFonts w:hint="default" w:ascii="Times New Roman" w:hAnsi="Times New Roman" w:eastAsia="仿宋_GB2312" w:cs="Times New Roman"/>
          <w:b w:val="0"/>
          <w:bCs w:val="0"/>
          <w:snapToGrid w:val="0"/>
          <w:color w:val="auto"/>
          <w:kern w:val="0"/>
          <w:sz w:val="32"/>
          <w:szCs w:val="32"/>
          <w:lang w:val="en-US" w:eastAsia="zh-CN" w:bidi="ar-SA"/>
        </w:rPr>
      </w:pPr>
      <w:bookmarkStart w:id="82" w:name="_Toc5295"/>
      <w:bookmarkStart w:id="83" w:name="_Toc15778"/>
      <w:r>
        <w:rPr>
          <w:rFonts w:hint="eastAsia" w:ascii="Times New Roman" w:hAnsi="Times New Roman" w:eastAsia="仿宋_GB2312" w:cs="Times New Roman"/>
          <w:b/>
          <w:bCs/>
          <w:snapToGrid w:val="0"/>
          <w:color w:val="auto"/>
          <w:kern w:val="0"/>
          <w:sz w:val="32"/>
          <w:szCs w:val="32"/>
          <w:lang w:val="en-US" w:eastAsia="zh-CN" w:bidi="ar-SA"/>
        </w:rPr>
        <w:t>二是</w:t>
      </w:r>
      <w:r>
        <w:rPr>
          <w:rFonts w:hint="default" w:ascii="Times New Roman" w:hAnsi="Times New Roman" w:eastAsia="仿宋_GB2312" w:cs="Times New Roman"/>
          <w:b/>
          <w:bCs/>
          <w:snapToGrid w:val="0"/>
          <w:color w:val="auto"/>
          <w:kern w:val="0"/>
          <w:sz w:val="32"/>
          <w:szCs w:val="32"/>
          <w:lang w:val="en-US" w:eastAsia="zh-CN" w:bidi="ar-SA"/>
        </w:rPr>
        <w:t>加强价格监管，保障消费</w:t>
      </w:r>
      <w:r>
        <w:rPr>
          <w:rFonts w:hint="eastAsia" w:eastAsia="仿宋_GB2312" w:cs="Times New Roman"/>
          <w:b/>
          <w:bCs/>
          <w:snapToGrid w:val="0"/>
          <w:color w:val="auto"/>
          <w:kern w:val="0"/>
          <w:sz w:val="32"/>
          <w:szCs w:val="32"/>
          <w:lang w:val="en-US" w:eastAsia="zh-CN" w:bidi="ar-SA"/>
        </w:rPr>
        <w:t>者</w:t>
      </w:r>
      <w:r>
        <w:rPr>
          <w:rFonts w:hint="default" w:ascii="Times New Roman" w:hAnsi="Times New Roman" w:eastAsia="仿宋_GB2312" w:cs="Times New Roman"/>
          <w:b/>
          <w:bCs/>
          <w:snapToGrid w:val="0"/>
          <w:color w:val="auto"/>
          <w:kern w:val="0"/>
          <w:sz w:val="32"/>
          <w:szCs w:val="32"/>
          <w:lang w:val="en-US" w:eastAsia="zh-CN" w:bidi="ar-SA"/>
        </w:rPr>
        <w:t>权益。</w:t>
      </w:r>
      <w:r>
        <w:rPr>
          <w:rFonts w:hint="default" w:ascii="Times New Roman" w:hAnsi="Times New Roman" w:eastAsia="仿宋_GB2312" w:cs="Times New Roman"/>
          <w:b w:val="0"/>
          <w:bCs w:val="0"/>
          <w:snapToGrid w:val="0"/>
          <w:color w:val="auto"/>
          <w:kern w:val="0"/>
          <w:sz w:val="32"/>
          <w:szCs w:val="32"/>
          <w:lang w:val="en-US" w:eastAsia="zh-CN" w:bidi="ar-SA"/>
        </w:rPr>
        <w:t>发布《商品价格提醒告诫书》，针对农贸市场、超市、零售药店、社区卫生服务站等开展价格专项检查，严查囤积居奇、哄抬物价、不明码标价等违法行为。累计发放明码标价签6000余份，规范400余家个体经营户明码标价行为，切实维护消费者价格权益。</w:t>
      </w:r>
      <w:bookmarkEnd w:id="82"/>
      <w:bookmarkEnd w:id="83"/>
    </w:p>
    <w:p>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default" w:ascii="Times New Roman" w:hAnsi="Times New Roman" w:eastAsia="仿宋_GB2312" w:cs="Times New Roman"/>
          <w:b w:val="0"/>
          <w:bCs w:val="0"/>
          <w:snapToGrid w:val="0"/>
          <w:color w:val="auto"/>
          <w:kern w:val="0"/>
          <w:sz w:val="32"/>
          <w:szCs w:val="32"/>
          <w:lang w:val="en-US" w:eastAsia="zh-CN" w:bidi="ar-SA"/>
        </w:rPr>
      </w:pPr>
      <w:r>
        <w:rPr>
          <w:rFonts w:hint="eastAsia" w:ascii="Times New Roman" w:hAnsi="Times New Roman" w:eastAsia="仿宋_GB2312" w:cs="Times New Roman"/>
          <w:b/>
          <w:bCs/>
          <w:snapToGrid w:val="0"/>
          <w:color w:val="auto"/>
          <w:kern w:val="0"/>
          <w:sz w:val="32"/>
          <w:szCs w:val="32"/>
          <w:lang w:val="en-US" w:eastAsia="zh-CN" w:bidi="ar-SA"/>
        </w:rPr>
        <w:t>三是</w:t>
      </w:r>
      <w:r>
        <w:rPr>
          <w:rFonts w:hint="default" w:ascii="Times New Roman" w:hAnsi="Times New Roman" w:eastAsia="仿宋_GB2312" w:cs="Times New Roman"/>
          <w:b/>
          <w:bCs/>
          <w:snapToGrid w:val="0"/>
          <w:color w:val="auto"/>
          <w:kern w:val="0"/>
          <w:sz w:val="32"/>
          <w:szCs w:val="32"/>
          <w:lang w:val="en-US" w:eastAsia="zh-CN" w:bidi="ar-SA"/>
        </w:rPr>
        <w:t>深化秩序整治，创建平安环境。</w:t>
      </w:r>
      <w:r>
        <w:rPr>
          <w:rFonts w:hint="default" w:ascii="Times New Roman" w:hAnsi="Times New Roman" w:eastAsia="仿宋_GB2312" w:cs="Times New Roman"/>
          <w:b w:val="0"/>
          <w:bCs w:val="0"/>
          <w:snapToGrid w:val="0"/>
          <w:color w:val="auto"/>
          <w:kern w:val="0"/>
          <w:sz w:val="32"/>
          <w:szCs w:val="32"/>
          <w:lang w:val="en-US" w:eastAsia="zh-CN" w:bidi="ar-SA"/>
        </w:rPr>
        <w:t>以旅游沿线为重点，开展“无证无照”“一店多照”专项检查。组织旅游市场专项检查8次，排查旅游相关经营主体500余家次，整改问题隐患80余处，下达责令改正通知书12份，全力护航旅游市场安全。</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仿宋_GB2312" w:cs="Times New Roman"/>
          <w:color w:val="0000FF"/>
          <w:sz w:val="32"/>
          <w:highlight w:val="none"/>
          <w:lang w:val="en-US" w:eastAsia="zh-CN"/>
        </w:rPr>
      </w:pPr>
      <w:r>
        <w:rPr>
          <w:rFonts w:hint="eastAsia" w:ascii="Times New Roman" w:hAnsi="Times New Roman" w:eastAsia="仿宋_GB2312" w:cs="Times New Roman"/>
          <w:b/>
          <w:bCs/>
          <w:snapToGrid w:val="0"/>
          <w:color w:val="auto"/>
          <w:kern w:val="0"/>
          <w:sz w:val="32"/>
          <w:szCs w:val="32"/>
          <w:lang w:val="en-US" w:eastAsia="zh-CN" w:bidi="ar-SA"/>
        </w:rPr>
        <w:t>四是</w:t>
      </w:r>
      <w:r>
        <w:rPr>
          <w:rFonts w:hint="default" w:ascii="Times New Roman" w:hAnsi="Times New Roman" w:eastAsia="仿宋_GB2312" w:cs="Times New Roman"/>
          <w:b/>
          <w:bCs/>
          <w:snapToGrid w:val="0"/>
          <w:color w:val="auto"/>
          <w:kern w:val="0"/>
          <w:sz w:val="32"/>
          <w:szCs w:val="32"/>
          <w:lang w:val="en-US" w:eastAsia="zh-CN" w:bidi="ar-SA"/>
        </w:rPr>
        <w:t>规范认证监管，筑牢质量防线。</w:t>
      </w:r>
      <w:r>
        <w:rPr>
          <w:rFonts w:hint="default" w:ascii="Times New Roman" w:hAnsi="Times New Roman" w:eastAsia="仿宋_GB2312" w:cs="Times New Roman"/>
          <w:b w:val="0"/>
          <w:bCs w:val="0"/>
          <w:snapToGrid w:val="0"/>
          <w:color w:val="auto"/>
          <w:kern w:val="0"/>
          <w:sz w:val="32"/>
          <w:szCs w:val="32"/>
          <w:highlight w:val="none"/>
          <w:lang w:val="en-US" w:eastAsia="zh-CN" w:bidi="ar-SA"/>
        </w:rPr>
        <w:t>针对燃气灶具专卖店、五金店、超市等场所，重点核查燃气具、玩具等产品3C强制性认证情况，累计检查相关场所100余家次，有效防范认证违规风险。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聚焦 “防” 字，筑牢市场监管安全底线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仿宋_GB2312" w:cs="Times New Roman"/>
          <w:b/>
          <w:bCs/>
          <w:color w:val="0000FF"/>
          <w:sz w:val="32"/>
          <w:szCs w:val="32"/>
        </w:rPr>
      </w:pPr>
      <w:r>
        <w:rPr>
          <w:rFonts w:hint="default" w:ascii="Times New Roman" w:hAnsi="Times New Roman" w:eastAsia="仿宋_GB2312" w:cs="Times New Roman"/>
          <w:b/>
          <w:bCs/>
          <w:sz w:val="32"/>
          <w:szCs w:val="32"/>
          <w:lang w:val="en-US" w:eastAsia="zh-CN"/>
        </w:rPr>
        <w:t>严守食品安全底线。</w:t>
      </w:r>
      <w:r>
        <w:rPr>
          <w:rFonts w:hint="default" w:ascii="Times New Roman" w:hAnsi="Times New Roman" w:eastAsia="仿宋_GB2312" w:cs="Times New Roman"/>
          <w:b/>
          <w:bCs/>
          <w:color w:val="auto"/>
          <w:sz w:val="32"/>
          <w:szCs w:val="32"/>
          <w:lang w:val="en-US" w:eastAsia="zh-CN"/>
        </w:rPr>
        <w:t>一是生产环节。</w:t>
      </w:r>
      <w:r>
        <w:rPr>
          <w:rFonts w:hint="default" w:ascii="Times New Roman" w:hAnsi="Times New Roman" w:eastAsia="仿宋_GB2312" w:cs="Times New Roman"/>
          <w:b w:val="0"/>
          <w:bCs w:val="0"/>
          <w:snapToGrid w:val="0"/>
          <w:color w:val="auto"/>
          <w:kern w:val="0"/>
          <w:sz w:val="32"/>
          <w:szCs w:val="32"/>
          <w:highlight w:val="none"/>
          <w:lang w:val="en-US" w:eastAsia="zh-CN" w:bidi="ar-SA"/>
        </w:rPr>
        <w:t>排查食品生产经营主体1350户次，处置风险隐患550余处，整改完成率达98%以上；对360余户获证单位实施动态风险分级管理。</w:t>
      </w:r>
      <w:r>
        <w:rPr>
          <w:rFonts w:hint="default" w:ascii="Times New Roman" w:hAnsi="Times New Roman" w:eastAsia="仿宋_GB2312" w:cs="Times New Roman"/>
          <w:b/>
          <w:bCs/>
          <w:color w:val="auto"/>
          <w:sz w:val="32"/>
          <w:szCs w:val="32"/>
          <w:lang w:val="en-US" w:eastAsia="zh-CN"/>
        </w:rPr>
        <w:t>二是流通环节。</w:t>
      </w:r>
      <w:r>
        <w:rPr>
          <w:rFonts w:hint="default" w:ascii="Times New Roman" w:hAnsi="Times New Roman" w:eastAsia="仿宋_GB2312" w:cs="Times New Roman"/>
          <w:b w:val="0"/>
          <w:bCs w:val="0"/>
          <w:snapToGrid w:val="0"/>
          <w:color w:val="auto"/>
          <w:kern w:val="0"/>
          <w:sz w:val="32"/>
          <w:szCs w:val="32"/>
          <w:highlight w:val="none"/>
          <w:lang w:val="en-US" w:eastAsia="zh-CN" w:bidi="ar-SA"/>
        </w:rPr>
        <w:t>检查食品流通经营户650户次，查处违法案件38起，规范进货查验、贮存销售等行为。</w:t>
      </w:r>
      <w:r>
        <w:rPr>
          <w:rFonts w:hint="default" w:ascii="Times New Roman" w:hAnsi="Times New Roman" w:eastAsia="仿宋_GB2312" w:cs="Times New Roman"/>
          <w:b/>
          <w:bCs/>
          <w:color w:val="auto"/>
          <w:sz w:val="32"/>
          <w:szCs w:val="32"/>
          <w:lang w:val="en-US" w:eastAsia="zh-CN"/>
        </w:rPr>
        <w:t>三是餐饮服务环节。</w:t>
      </w:r>
      <w:r>
        <w:rPr>
          <w:rFonts w:hint="default" w:ascii="Times New Roman" w:hAnsi="Times New Roman" w:eastAsia="仿宋_GB2312" w:cs="Times New Roman"/>
          <w:b w:val="0"/>
          <w:bCs w:val="0"/>
          <w:color w:val="auto"/>
          <w:sz w:val="32"/>
          <w:szCs w:val="32"/>
        </w:rPr>
        <w:t>检查餐饮服务单位550户次，下达责令改正通知书25份，查处违法案件55起，督促落实主体责任</w:t>
      </w:r>
      <w:r>
        <w:rPr>
          <w:rFonts w:hint="default" w:ascii="Times New Roman" w:hAnsi="Times New Roman" w:eastAsia="仿宋_GB2312" w:cs="Times New Roman"/>
          <w:b w:val="0"/>
          <w:bCs w:val="0"/>
          <w:color w:val="0000FF"/>
          <w:sz w:val="32"/>
          <w:szCs w:val="32"/>
        </w:rPr>
        <w:t>。</w:t>
      </w:r>
      <w:r>
        <w:rPr>
          <w:rFonts w:hint="default" w:ascii="Times New Roman" w:hAnsi="Times New Roman" w:eastAsia="仿宋_GB2312" w:cs="Times New Roman"/>
          <w:b/>
          <w:bCs/>
          <w:color w:val="auto"/>
          <w:sz w:val="32"/>
          <w:szCs w:val="32"/>
          <w:lang w:val="en-US" w:eastAsia="zh-CN"/>
        </w:rPr>
        <w:t>四是食品抽检。</w:t>
      </w:r>
      <w:r>
        <w:rPr>
          <w:rFonts w:hint="default" w:ascii="Times New Roman" w:hAnsi="Times New Roman" w:eastAsia="仿宋_GB2312" w:cs="Times New Roman"/>
          <w:b w:val="0"/>
          <w:bCs w:val="0"/>
          <w:color w:val="auto"/>
          <w:sz w:val="32"/>
          <w:szCs w:val="32"/>
        </w:rPr>
        <w:t>对粮食加工品、食用油等重点品类抽检</w:t>
      </w:r>
      <w:r>
        <w:rPr>
          <w:rFonts w:hint="default" w:ascii="Times New Roman" w:hAnsi="Times New Roman" w:eastAsia="仿宋_GB2312" w:cs="Times New Roman"/>
          <w:b w:val="0"/>
          <w:bCs w:val="0"/>
          <w:color w:val="auto"/>
          <w:sz w:val="32"/>
          <w:szCs w:val="32"/>
          <w:lang w:val="en-US" w:eastAsia="zh-CN"/>
        </w:rPr>
        <w:t>190</w:t>
      </w:r>
      <w:r>
        <w:rPr>
          <w:rFonts w:hint="default" w:ascii="Times New Roman" w:hAnsi="Times New Roman" w:eastAsia="仿宋_GB2312" w:cs="Times New Roman"/>
          <w:b w:val="0"/>
          <w:bCs w:val="0"/>
          <w:color w:val="auto"/>
          <w:sz w:val="32"/>
          <w:szCs w:val="32"/>
        </w:rPr>
        <w:t>批次，合格</w:t>
      </w:r>
      <w:r>
        <w:rPr>
          <w:rFonts w:hint="default" w:ascii="Times New Roman" w:hAnsi="Times New Roman" w:eastAsia="仿宋_GB2312" w:cs="Times New Roman"/>
          <w:b w:val="0"/>
          <w:bCs w:val="0"/>
          <w:color w:val="auto"/>
          <w:sz w:val="32"/>
          <w:szCs w:val="32"/>
          <w:lang w:val="en-US" w:eastAsia="zh-CN"/>
        </w:rPr>
        <w:t>181</w:t>
      </w:r>
      <w:r>
        <w:rPr>
          <w:rFonts w:hint="default" w:ascii="Times New Roman" w:hAnsi="Times New Roman" w:eastAsia="仿宋_GB2312" w:cs="Times New Roman"/>
          <w:b w:val="0"/>
          <w:bCs w:val="0"/>
          <w:color w:val="auto"/>
          <w:sz w:val="32"/>
          <w:szCs w:val="32"/>
        </w:rPr>
        <w:t>批次，不合格</w:t>
      </w:r>
      <w:r>
        <w:rPr>
          <w:rFonts w:hint="default" w:ascii="Times New Roman" w:hAnsi="Times New Roman" w:eastAsia="仿宋_GB2312" w:cs="Times New Roman"/>
          <w:b w:val="0"/>
          <w:bCs w:val="0"/>
          <w:color w:val="auto"/>
          <w:sz w:val="32"/>
          <w:szCs w:val="32"/>
          <w:lang w:val="en-US" w:eastAsia="zh-CN"/>
        </w:rPr>
        <w:t>9</w:t>
      </w:r>
      <w:r>
        <w:rPr>
          <w:rFonts w:hint="default" w:ascii="Times New Roman" w:hAnsi="Times New Roman" w:eastAsia="仿宋_GB2312" w:cs="Times New Roman"/>
          <w:b w:val="0"/>
          <w:bCs w:val="0"/>
          <w:color w:val="auto"/>
          <w:sz w:val="32"/>
          <w:szCs w:val="32"/>
        </w:rPr>
        <w:t>批次，总体合格率</w:t>
      </w:r>
      <w:r>
        <w:rPr>
          <w:rFonts w:hint="default" w:ascii="Times New Roman" w:hAnsi="Times New Roman" w:eastAsia="仿宋_GB2312" w:cs="Times New Roman"/>
          <w:b w:val="0"/>
          <w:bCs w:val="0"/>
          <w:color w:val="auto"/>
          <w:sz w:val="32"/>
          <w:szCs w:val="32"/>
          <w:lang w:val="en-US" w:eastAsia="zh-CN"/>
        </w:rPr>
        <w:t>95</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bCs/>
          <w:color w:val="auto"/>
          <w:sz w:val="32"/>
          <w:szCs w:val="32"/>
          <w:lang w:val="en-US" w:eastAsia="zh-CN"/>
        </w:rPr>
        <w:t>五</w:t>
      </w:r>
      <w:r>
        <w:rPr>
          <w:rFonts w:hint="default" w:ascii="Times New Roman" w:hAnsi="Times New Roman" w:eastAsia="仿宋_GB2312" w:cs="Times New Roman"/>
          <w:b/>
          <w:bCs/>
          <w:color w:val="auto"/>
          <w:sz w:val="32"/>
          <w:szCs w:val="32"/>
          <w:lang w:eastAsia="zh-CN"/>
        </w:rPr>
        <w:t>是</w:t>
      </w:r>
      <w:r>
        <w:rPr>
          <w:rFonts w:hint="default" w:ascii="Times New Roman" w:hAnsi="Times New Roman" w:eastAsia="仿宋_GB2312" w:cs="Times New Roman"/>
          <w:b/>
          <w:bCs/>
          <w:color w:val="auto"/>
          <w:sz w:val="32"/>
          <w:szCs w:val="32"/>
        </w:rPr>
        <w:t>校园食品安全。</w:t>
      </w:r>
      <w:r>
        <w:rPr>
          <w:rFonts w:hint="default" w:ascii="Times New Roman" w:hAnsi="Times New Roman" w:eastAsia="仿宋_GB2312" w:cs="Times New Roman"/>
          <w:b w:val="0"/>
          <w:bCs w:val="0"/>
          <w:color w:val="auto"/>
          <w:sz w:val="32"/>
          <w:szCs w:val="32"/>
          <w:lang w:eastAsia="zh-CN"/>
        </w:rPr>
        <w:t>全覆盖检查学校（含托幼机构）食堂及校园周边经营户，检查食堂</w:t>
      </w:r>
      <w:r>
        <w:rPr>
          <w:rFonts w:hint="default" w:ascii="Times New Roman" w:hAnsi="Times New Roman" w:eastAsia="仿宋_GB2312" w:cs="Times New Roman"/>
          <w:b w:val="0"/>
          <w:bCs w:val="0"/>
          <w:color w:val="auto"/>
          <w:sz w:val="32"/>
          <w:szCs w:val="32"/>
          <w:lang w:val="en-US" w:eastAsia="zh-CN"/>
        </w:rPr>
        <w:t>115</w:t>
      </w:r>
      <w:r>
        <w:rPr>
          <w:rFonts w:hint="default" w:ascii="Times New Roman" w:hAnsi="Times New Roman" w:eastAsia="仿宋_GB2312" w:cs="Times New Roman"/>
          <w:b w:val="0"/>
          <w:bCs w:val="0"/>
          <w:color w:val="auto"/>
          <w:sz w:val="32"/>
          <w:szCs w:val="32"/>
          <w:lang w:eastAsia="zh-CN"/>
        </w:rPr>
        <w:t>家次、周边经营户</w:t>
      </w:r>
      <w:r>
        <w:rPr>
          <w:rFonts w:hint="default" w:ascii="Times New Roman" w:hAnsi="Times New Roman" w:eastAsia="仿宋_GB2312" w:cs="Times New Roman"/>
          <w:b w:val="0"/>
          <w:bCs w:val="0"/>
          <w:color w:val="auto"/>
          <w:sz w:val="32"/>
          <w:szCs w:val="32"/>
          <w:lang w:val="en-US" w:eastAsia="zh-CN"/>
        </w:rPr>
        <w:t>110</w:t>
      </w:r>
      <w:r>
        <w:rPr>
          <w:rFonts w:hint="default" w:ascii="Times New Roman" w:hAnsi="Times New Roman" w:eastAsia="仿宋_GB2312" w:cs="Times New Roman"/>
          <w:b w:val="0"/>
          <w:bCs w:val="0"/>
          <w:color w:val="auto"/>
          <w:sz w:val="32"/>
          <w:szCs w:val="32"/>
          <w:lang w:eastAsia="zh-CN"/>
        </w:rPr>
        <w:t>户次，下达责令改正通知书</w:t>
      </w:r>
      <w:r>
        <w:rPr>
          <w:rFonts w:hint="default" w:ascii="Times New Roman" w:hAnsi="Times New Roman" w:eastAsia="仿宋_GB2312" w:cs="Times New Roman"/>
          <w:b w:val="0"/>
          <w:bCs w:val="0"/>
          <w:color w:val="auto"/>
          <w:sz w:val="32"/>
          <w:szCs w:val="32"/>
          <w:lang w:val="en-US" w:eastAsia="zh-CN"/>
        </w:rPr>
        <w:t>5</w:t>
      </w:r>
      <w:r>
        <w:rPr>
          <w:rFonts w:hint="default" w:ascii="Times New Roman" w:hAnsi="Times New Roman" w:eastAsia="仿宋_GB2312" w:cs="Times New Roman"/>
          <w:b w:val="0"/>
          <w:bCs w:val="0"/>
          <w:color w:val="auto"/>
          <w:sz w:val="32"/>
          <w:szCs w:val="32"/>
          <w:lang w:eastAsia="zh-CN"/>
        </w:rPr>
        <w:t>份，立案查处</w:t>
      </w:r>
      <w:r>
        <w:rPr>
          <w:rFonts w:hint="default" w:ascii="Times New Roman" w:hAnsi="Times New Roman" w:eastAsia="仿宋_GB2312" w:cs="Times New Roman"/>
          <w:b w:val="0"/>
          <w:bCs w:val="0"/>
          <w:color w:val="auto"/>
          <w:sz w:val="32"/>
          <w:szCs w:val="32"/>
          <w:lang w:val="en-US" w:eastAsia="zh-CN"/>
        </w:rPr>
        <w:t>28</w:t>
      </w:r>
      <w:r>
        <w:rPr>
          <w:rFonts w:hint="default" w:ascii="Times New Roman" w:hAnsi="Times New Roman" w:eastAsia="仿宋_GB2312" w:cs="Times New Roman"/>
          <w:b w:val="0"/>
          <w:bCs w:val="0"/>
          <w:color w:val="auto"/>
          <w:sz w:val="32"/>
          <w:szCs w:val="32"/>
          <w:lang w:eastAsia="zh-CN"/>
        </w:rPr>
        <w:t>起。</w:t>
      </w:r>
      <w:r>
        <w:rPr>
          <w:rFonts w:hint="default" w:ascii="Times New Roman" w:hAnsi="Times New Roman" w:eastAsia="仿宋_GB2312" w:cs="Times New Roman"/>
          <w:b/>
          <w:bCs/>
          <w:color w:val="auto"/>
          <w:sz w:val="32"/>
          <w:szCs w:val="32"/>
          <w:lang w:val="en-US" w:eastAsia="zh-CN"/>
        </w:rPr>
        <w:t>六是</w:t>
      </w:r>
      <w:r>
        <w:rPr>
          <w:rFonts w:hint="eastAsia" w:eastAsia="仿宋_GB2312" w:cs="Times New Roman"/>
          <w:b/>
          <w:bCs/>
          <w:color w:val="auto"/>
          <w:sz w:val="32"/>
          <w:szCs w:val="32"/>
          <w:lang w:val="en-US" w:eastAsia="zh-CN"/>
        </w:rPr>
        <w:t>狠抓</w:t>
      </w:r>
      <w:r>
        <w:rPr>
          <w:rFonts w:hint="default" w:ascii="Times New Roman" w:hAnsi="Times New Roman" w:eastAsia="仿宋_GB2312" w:cs="Times New Roman"/>
          <w:b/>
          <w:bCs/>
          <w:color w:val="auto"/>
          <w:sz w:val="32"/>
          <w:szCs w:val="32"/>
        </w:rPr>
        <w:t>责任</w:t>
      </w:r>
      <w:r>
        <w:rPr>
          <w:rFonts w:hint="default" w:ascii="Times New Roman" w:hAnsi="Times New Roman" w:eastAsia="仿宋_GB2312" w:cs="Times New Roman"/>
          <w:b/>
          <w:bCs/>
          <w:color w:val="auto"/>
          <w:sz w:val="32"/>
          <w:szCs w:val="32"/>
          <w:lang w:val="en-US" w:eastAsia="zh-CN"/>
        </w:rPr>
        <w:t>落实</w:t>
      </w:r>
      <w:r>
        <w:rPr>
          <w:rFonts w:hint="default" w:ascii="Times New Roman" w:hAnsi="Times New Roman" w:eastAsia="仿宋_GB2312" w:cs="Times New Roman"/>
          <w:b/>
          <w:bCs/>
          <w:color w:val="auto"/>
          <w:sz w:val="32"/>
          <w:szCs w:val="32"/>
        </w:rPr>
        <w:t>。</w:t>
      </w:r>
      <w:r>
        <w:rPr>
          <w:rFonts w:hint="default" w:ascii="Times New Roman" w:hAnsi="Times New Roman" w:eastAsia="仿宋_GB2312" w:cs="Times New Roman"/>
          <w:b w:val="0"/>
          <w:bCs w:val="0"/>
          <w:color w:val="auto"/>
          <w:sz w:val="32"/>
          <w:szCs w:val="32"/>
          <w:lang w:eastAsia="zh-CN"/>
        </w:rPr>
        <w:t>完善包保干部“三清单一承诺”制度，组织培训</w:t>
      </w:r>
      <w:r>
        <w:rPr>
          <w:rFonts w:hint="default" w:ascii="Times New Roman" w:hAnsi="Times New Roman" w:eastAsia="仿宋_GB2312" w:cs="Times New Roman"/>
          <w:b w:val="0"/>
          <w:bCs w:val="0"/>
          <w:color w:val="auto"/>
          <w:sz w:val="32"/>
          <w:szCs w:val="32"/>
          <w:lang w:val="en-US" w:eastAsia="zh-CN"/>
        </w:rPr>
        <w:t>2</w:t>
      </w:r>
      <w:r>
        <w:rPr>
          <w:rFonts w:hint="default" w:ascii="Times New Roman" w:hAnsi="Times New Roman" w:eastAsia="仿宋_GB2312" w:cs="Times New Roman"/>
          <w:b w:val="0"/>
          <w:bCs w:val="0"/>
          <w:color w:val="auto"/>
          <w:sz w:val="32"/>
          <w:szCs w:val="32"/>
          <w:lang w:eastAsia="zh-CN"/>
        </w:rPr>
        <w:t>次，覆盖</w:t>
      </w:r>
      <w:r>
        <w:rPr>
          <w:rFonts w:hint="default" w:ascii="Times New Roman" w:hAnsi="Times New Roman" w:eastAsia="仿宋_GB2312" w:cs="Times New Roman"/>
          <w:b w:val="0"/>
          <w:bCs w:val="0"/>
          <w:color w:val="auto"/>
          <w:sz w:val="32"/>
          <w:szCs w:val="32"/>
          <w:lang w:val="en-US" w:eastAsia="zh-CN"/>
        </w:rPr>
        <w:t>70</w:t>
      </w:r>
      <w:r>
        <w:rPr>
          <w:rFonts w:hint="default" w:ascii="Times New Roman" w:hAnsi="Times New Roman" w:eastAsia="仿宋_GB2312" w:cs="Times New Roman"/>
          <w:b w:val="0"/>
          <w:bCs w:val="0"/>
          <w:color w:val="auto"/>
          <w:sz w:val="32"/>
          <w:szCs w:val="32"/>
          <w:lang w:eastAsia="zh-CN"/>
        </w:rPr>
        <w:t>余人次；治理农村食品市场，检查经营户</w:t>
      </w:r>
      <w:r>
        <w:rPr>
          <w:rFonts w:hint="default" w:ascii="Times New Roman" w:hAnsi="Times New Roman" w:eastAsia="仿宋_GB2312" w:cs="Times New Roman"/>
          <w:b w:val="0"/>
          <w:bCs w:val="0"/>
          <w:color w:val="auto"/>
          <w:sz w:val="32"/>
          <w:szCs w:val="32"/>
          <w:lang w:val="en-US" w:eastAsia="zh-CN"/>
        </w:rPr>
        <w:t>650</w:t>
      </w:r>
      <w:r>
        <w:rPr>
          <w:rFonts w:hint="default" w:ascii="Times New Roman" w:hAnsi="Times New Roman" w:eastAsia="仿宋_GB2312" w:cs="Times New Roman"/>
          <w:b w:val="0"/>
          <w:bCs w:val="0"/>
          <w:color w:val="auto"/>
          <w:sz w:val="32"/>
          <w:szCs w:val="32"/>
          <w:lang w:eastAsia="zh-CN"/>
        </w:rPr>
        <w:t>户次，查处违法案件</w:t>
      </w:r>
      <w:r>
        <w:rPr>
          <w:rFonts w:hint="default" w:ascii="Times New Roman" w:hAnsi="Times New Roman" w:eastAsia="仿宋_GB2312" w:cs="Times New Roman"/>
          <w:b w:val="0"/>
          <w:bCs w:val="0"/>
          <w:color w:val="auto"/>
          <w:sz w:val="32"/>
          <w:szCs w:val="32"/>
          <w:lang w:val="en-US" w:eastAsia="zh-CN"/>
        </w:rPr>
        <w:t>50</w:t>
      </w:r>
      <w:r>
        <w:rPr>
          <w:rFonts w:hint="default" w:ascii="Times New Roman" w:hAnsi="Times New Roman" w:eastAsia="仿宋_GB2312" w:cs="Times New Roman"/>
          <w:b w:val="0"/>
          <w:bCs w:val="0"/>
          <w:color w:val="auto"/>
          <w:sz w:val="32"/>
          <w:szCs w:val="32"/>
          <w:lang w:eastAsia="zh-CN"/>
        </w:rPr>
        <w:t>起；开展农产品质量安全巡查</w:t>
      </w:r>
      <w:r>
        <w:rPr>
          <w:rFonts w:hint="default" w:ascii="Times New Roman" w:hAnsi="Times New Roman" w:eastAsia="仿宋_GB2312" w:cs="Times New Roman"/>
          <w:b w:val="0"/>
          <w:bCs w:val="0"/>
          <w:color w:val="auto"/>
          <w:sz w:val="32"/>
          <w:szCs w:val="32"/>
          <w:lang w:val="en-US" w:eastAsia="zh-CN"/>
        </w:rPr>
        <w:t>22</w:t>
      </w:r>
      <w:r>
        <w:rPr>
          <w:rFonts w:hint="default" w:ascii="Times New Roman" w:hAnsi="Times New Roman" w:eastAsia="仿宋_GB2312" w:cs="Times New Roman"/>
          <w:b w:val="0"/>
          <w:bCs w:val="0"/>
          <w:color w:val="auto"/>
          <w:sz w:val="32"/>
          <w:szCs w:val="32"/>
          <w:lang w:eastAsia="zh-CN"/>
        </w:rPr>
        <w:t>次、春耕农资打假行动</w:t>
      </w:r>
      <w:r>
        <w:rPr>
          <w:rFonts w:hint="default" w:ascii="Times New Roman" w:hAnsi="Times New Roman" w:eastAsia="仿宋_GB2312" w:cs="Times New Roman"/>
          <w:b w:val="0"/>
          <w:bCs w:val="0"/>
          <w:color w:val="auto"/>
          <w:sz w:val="32"/>
          <w:szCs w:val="32"/>
          <w:lang w:val="en-US" w:eastAsia="zh-CN"/>
        </w:rPr>
        <w:t>4</w:t>
      </w:r>
      <w:r>
        <w:rPr>
          <w:rFonts w:hint="default" w:ascii="Times New Roman" w:hAnsi="Times New Roman" w:eastAsia="仿宋_GB2312" w:cs="Times New Roman"/>
          <w:b w:val="0"/>
          <w:bCs w:val="0"/>
          <w:color w:val="auto"/>
          <w:sz w:val="32"/>
          <w:szCs w:val="32"/>
          <w:lang w:eastAsia="zh-CN"/>
        </w:rPr>
        <w:t>次，检测农产品</w:t>
      </w:r>
      <w:r>
        <w:rPr>
          <w:rFonts w:hint="default" w:ascii="Times New Roman" w:hAnsi="Times New Roman" w:eastAsia="仿宋_GB2312" w:cs="Times New Roman"/>
          <w:b w:val="0"/>
          <w:bCs w:val="0"/>
          <w:color w:val="auto"/>
          <w:sz w:val="32"/>
          <w:szCs w:val="32"/>
          <w:lang w:val="en-US" w:eastAsia="zh-CN"/>
        </w:rPr>
        <w:t>125</w:t>
      </w:r>
      <w:r>
        <w:rPr>
          <w:rFonts w:hint="default" w:ascii="Times New Roman" w:hAnsi="Times New Roman" w:eastAsia="仿宋_GB2312" w:cs="Times New Roman"/>
          <w:b w:val="0"/>
          <w:bCs w:val="0"/>
          <w:color w:val="auto"/>
          <w:sz w:val="32"/>
          <w:szCs w:val="32"/>
          <w:lang w:eastAsia="zh-CN"/>
        </w:rPr>
        <w:t>批次，监督抽查与例行监测合格率保持</w:t>
      </w:r>
      <w:r>
        <w:rPr>
          <w:rFonts w:hint="default" w:ascii="Times New Roman" w:hAnsi="Times New Roman" w:eastAsia="仿宋_GB2312" w:cs="Times New Roman"/>
          <w:b w:val="0"/>
          <w:bCs w:val="0"/>
          <w:color w:val="auto"/>
          <w:sz w:val="32"/>
          <w:szCs w:val="32"/>
          <w:lang w:val="en-US" w:eastAsia="zh-CN"/>
        </w:rPr>
        <w:t>100</w:t>
      </w:r>
      <w:r>
        <w:rPr>
          <w:rFonts w:hint="default" w:ascii="Times New Roman" w:hAnsi="Times New Roman" w:eastAsia="仿宋_GB2312" w:cs="Times New Roman"/>
          <w:b w:val="0"/>
          <w:bCs w:val="0"/>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楷体_GB2312" w:cs="Times New Roman"/>
          <w:color w:val="0000FF"/>
          <w:sz w:val="32"/>
          <w:szCs w:val="32"/>
          <w:lang w:val="en-US" w:eastAsia="zh-CN"/>
        </w:rPr>
      </w:pPr>
      <w:r>
        <w:rPr>
          <w:rFonts w:hint="default" w:ascii="Times New Roman" w:hAnsi="Times New Roman" w:eastAsia="仿宋_GB2312" w:cs="Times New Roman"/>
          <w:b/>
          <w:bCs/>
          <w:sz w:val="32"/>
          <w:szCs w:val="32"/>
          <w:lang w:val="en-US" w:eastAsia="zh-CN"/>
        </w:rPr>
        <w:t>强化“两品一械”监管。</w:t>
      </w:r>
      <w:r>
        <w:rPr>
          <w:rFonts w:hint="default" w:ascii="Times New Roman" w:hAnsi="Times New Roman" w:eastAsia="仿宋_GB2312" w:cs="Times New Roman"/>
          <w:b w:val="0"/>
          <w:bCs w:val="0"/>
          <w:color w:val="auto"/>
          <w:sz w:val="32"/>
          <w:szCs w:val="32"/>
          <w:lang w:val="en-US" w:eastAsia="zh-CN"/>
        </w:rPr>
        <w:t>约谈安全隐患较大、整改不到位的药品经营企业及使用单位4家次；检查药品零售企业125家次、医疗机构30家次、化妆品经营使用企业35家次，签订《药品销售承诺书》12份、《化妆品经营质量安全承诺书》12份。查办案件17件（含医疗器械6起、药品类8起、化妆品3起），结案14起，罚没款1.7万元；录入不良反应及药物滥用数据90条，筑牢“两品一械”安全屏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仿宋_GB2312" w:cs="Times New Roman"/>
          <w:color w:val="0000FF"/>
          <w:sz w:val="32"/>
          <w:szCs w:val="32"/>
          <w:highlight w:val="none"/>
          <w:lang w:val="en-US" w:eastAsia="zh-CN"/>
        </w:rPr>
      </w:pPr>
      <w:r>
        <w:rPr>
          <w:rFonts w:hint="default" w:ascii="Times New Roman" w:hAnsi="Times New Roman" w:eastAsia="仿宋_GB2312" w:cs="Times New Roman"/>
          <w:b/>
          <w:bCs/>
          <w:sz w:val="32"/>
          <w:szCs w:val="32"/>
          <w:lang w:val="en-US" w:eastAsia="zh-CN"/>
        </w:rPr>
        <w:t>严格特种设备安全检查。</w:t>
      </w:r>
      <w:r>
        <w:rPr>
          <w:rFonts w:hint="default" w:ascii="Times New Roman" w:hAnsi="Times New Roman" w:eastAsia="仿宋_GB2312" w:cs="Times New Roman"/>
          <w:b w:val="0"/>
          <w:bCs w:val="0"/>
          <w:color w:val="auto"/>
          <w:sz w:val="32"/>
          <w:szCs w:val="32"/>
          <w:lang w:val="en-US" w:eastAsia="zh-CN"/>
        </w:rPr>
        <w:t>开展气瓶、电梯、压力管道等专项整治，组织使用单位培训1次，检查单位40余家次、特种设备100余台次，排查整改隐患20处，下达</w:t>
      </w:r>
      <w:r>
        <w:rPr>
          <w:rFonts w:hint="eastAsia" w:eastAsia="仿宋_GB2312" w:cs="Times New Roman"/>
          <w:b w:val="0"/>
          <w:bCs w:val="0"/>
          <w:color w:val="auto"/>
          <w:sz w:val="32"/>
          <w:szCs w:val="32"/>
          <w:lang w:val="en-US" w:eastAsia="zh-CN"/>
        </w:rPr>
        <w:t>检查</w:t>
      </w:r>
      <w:r>
        <w:rPr>
          <w:rFonts w:hint="default" w:ascii="Times New Roman" w:hAnsi="Times New Roman" w:eastAsia="仿宋_GB2312" w:cs="Times New Roman"/>
          <w:b w:val="0"/>
          <w:bCs w:val="0"/>
          <w:color w:val="auto"/>
          <w:sz w:val="32"/>
          <w:szCs w:val="32"/>
          <w:lang w:val="en-US" w:eastAsia="zh-CN"/>
        </w:rPr>
        <w:t>指令书6份，坚决防范特种设备安全事故。</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仿宋_GB2312" w:cs="Times New Roman"/>
          <w:color w:val="0000FF"/>
          <w:sz w:val="32"/>
          <w:szCs w:val="32"/>
          <w:highlight w:val="none"/>
          <w:lang w:val="en-US" w:eastAsia="zh-CN"/>
        </w:rPr>
      </w:pPr>
      <w:r>
        <w:rPr>
          <w:rFonts w:hint="default" w:ascii="Times New Roman" w:hAnsi="Times New Roman" w:eastAsia="仿宋_GB2312" w:cs="Times New Roman"/>
          <w:b/>
          <w:bCs/>
          <w:sz w:val="32"/>
          <w:szCs w:val="32"/>
          <w:lang w:val="en-US" w:eastAsia="zh-CN"/>
        </w:rPr>
        <w:t>聚焦重点产品质量安全。</w:t>
      </w:r>
      <w:r>
        <w:rPr>
          <w:rFonts w:hint="default" w:ascii="Times New Roman" w:hAnsi="Times New Roman" w:eastAsia="仿宋_GB2312" w:cs="Times New Roman"/>
          <w:b w:val="0"/>
          <w:bCs w:val="0"/>
          <w:color w:val="auto"/>
          <w:sz w:val="32"/>
          <w:szCs w:val="32"/>
          <w:lang w:val="en-US" w:eastAsia="zh-CN"/>
        </w:rPr>
        <w:t>以电动自行车、燃气</w:t>
      </w:r>
      <w:r>
        <w:rPr>
          <w:rFonts w:hint="eastAsia" w:eastAsia="仿宋_GB2312" w:cs="Times New Roman"/>
          <w:b w:val="0"/>
          <w:bCs w:val="0"/>
          <w:color w:val="auto"/>
          <w:sz w:val="32"/>
          <w:szCs w:val="32"/>
          <w:lang w:val="en-US" w:eastAsia="zh-CN"/>
        </w:rPr>
        <w:t>灶</w:t>
      </w:r>
      <w:r>
        <w:rPr>
          <w:rFonts w:hint="default" w:ascii="Times New Roman" w:hAnsi="Times New Roman" w:eastAsia="仿宋_GB2312" w:cs="Times New Roman"/>
          <w:b w:val="0"/>
          <w:bCs w:val="0"/>
          <w:color w:val="auto"/>
          <w:sz w:val="32"/>
          <w:szCs w:val="32"/>
          <w:lang w:val="en-US" w:eastAsia="zh-CN"/>
        </w:rPr>
        <w:t>具、儿童玩具等为重点，检查产品合格证明、检验报告及进货来源，落实工业产品质量安全“两个规定”。检查经营户200余户次，现场整改问题10处，提升产品质量安全水平。</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聚焦“进”字，培育高质量发展新动能</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仿宋_GB2312" w:cs="Times New Roman"/>
          <w:b w:val="0"/>
          <w:bCs w:val="0"/>
          <w:color w:val="0000FF"/>
          <w:kern w:val="2"/>
          <w:sz w:val="32"/>
          <w:szCs w:val="32"/>
          <w:highlight w:val="none"/>
          <w:lang w:val="en-US" w:eastAsia="zh-CN" w:bidi="ar"/>
        </w:rPr>
      </w:pPr>
      <w:r>
        <w:rPr>
          <w:rFonts w:hint="eastAsia"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b/>
          <w:bCs/>
          <w:sz w:val="32"/>
          <w:szCs w:val="32"/>
          <w:lang w:val="en-US" w:eastAsia="zh-CN"/>
        </w:rPr>
        <w:t>优化政务服务效能。</w:t>
      </w:r>
      <w:r>
        <w:rPr>
          <w:rFonts w:hint="default" w:ascii="Times New Roman" w:hAnsi="Times New Roman" w:eastAsia="仿宋_GB2312" w:cs="Times New Roman"/>
          <w:b w:val="0"/>
          <w:bCs w:val="0"/>
          <w:color w:val="auto"/>
          <w:sz w:val="32"/>
          <w:szCs w:val="32"/>
          <w:lang w:val="en-US" w:eastAsia="zh-CN"/>
        </w:rPr>
        <w:t>深化“放管服”改革，整合“企业开办”“餐饮服务”“个转企”等“一件事”，实现“一次提交、同步办理”。办理全程序电子化业务15件、“网页一窗通”93件、“营商通”3件，政务服务便捷度持续提升。</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bCs/>
          <w:sz w:val="32"/>
          <w:szCs w:val="32"/>
          <w:lang w:val="en-US" w:eastAsia="zh-CN"/>
        </w:rPr>
        <w:t>二是</w:t>
      </w:r>
      <w:r>
        <w:rPr>
          <w:rFonts w:hint="default" w:ascii="Times New Roman" w:hAnsi="Times New Roman" w:eastAsia="仿宋_GB2312" w:cs="Times New Roman"/>
          <w:b/>
          <w:bCs/>
          <w:sz w:val="32"/>
          <w:szCs w:val="32"/>
          <w:lang w:val="en-US" w:eastAsia="zh-CN"/>
        </w:rPr>
        <w:t>推动主体培育与党建融合。</w:t>
      </w:r>
      <w:r>
        <w:rPr>
          <w:rFonts w:hint="default" w:ascii="Times New Roman" w:hAnsi="Times New Roman" w:eastAsia="仿宋_GB2312" w:cs="Times New Roman"/>
          <w:b w:val="0"/>
          <w:bCs w:val="0"/>
          <w:color w:val="auto"/>
          <w:sz w:val="32"/>
          <w:szCs w:val="32"/>
          <w:lang w:val="en-US" w:eastAsia="zh-CN"/>
        </w:rPr>
        <w:t>走访个体户70余家，推动10家转型为企业，完成20家“名特优新”个体工商户申报；党员干部结对联系企业63家，开展党建指导与诉求收集，个体私营经济协会优化架构后吸纳会员18名。</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FF"/>
          <w:sz w:val="32"/>
          <w:szCs w:val="32"/>
        </w:rPr>
      </w:pPr>
      <w:r>
        <w:rPr>
          <w:rFonts w:hint="eastAsia" w:ascii="Times New Roman" w:hAnsi="Times New Roman" w:eastAsia="仿宋_GB2312" w:cs="Times New Roman"/>
          <w:b/>
          <w:bCs/>
          <w:kern w:val="2"/>
          <w:sz w:val="32"/>
          <w:szCs w:val="32"/>
          <w:lang w:val="en-US" w:eastAsia="zh-CN" w:bidi="ar-SA"/>
        </w:rPr>
        <w:t>三是</w:t>
      </w:r>
      <w:r>
        <w:rPr>
          <w:rFonts w:hint="default" w:ascii="Times New Roman" w:hAnsi="Times New Roman" w:eastAsia="仿宋_GB2312" w:cs="Times New Roman"/>
          <w:b/>
          <w:bCs/>
          <w:kern w:val="2"/>
          <w:sz w:val="32"/>
          <w:szCs w:val="32"/>
          <w:lang w:val="en-US" w:eastAsia="zh-CN" w:bidi="ar-SA"/>
        </w:rPr>
        <w:t>推进质量品牌建设。</w:t>
      </w:r>
      <w:r>
        <w:rPr>
          <w:rFonts w:hint="default" w:ascii="Times New Roman" w:hAnsi="Times New Roman" w:eastAsia="仿宋_GB2312" w:cs="Times New Roman"/>
          <w:b w:val="0"/>
          <w:bCs w:val="0"/>
          <w:color w:val="auto"/>
          <w:kern w:val="2"/>
          <w:sz w:val="32"/>
          <w:szCs w:val="32"/>
          <w:highlight w:val="none"/>
          <w:lang w:val="en-US" w:eastAsia="zh-CN" w:bidi="ar"/>
        </w:rPr>
        <w:t>新增商标注册申请50件、成功注册33件，专利申请3件；“天府菜油”区域品牌授权1家（系三州唯一），成立壤塘县品牌协会，搭建品牌交流合作平台。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val="0"/>
          <w:color w:val="0000FF"/>
          <w:kern w:val="2"/>
          <w:sz w:val="32"/>
          <w:szCs w:val="32"/>
          <w:highlight w:val="none"/>
          <w:lang w:val="en-US" w:eastAsia="zh-CN" w:bidi="ar"/>
        </w:rPr>
      </w:pPr>
      <w:r>
        <w:rPr>
          <w:rFonts w:hint="eastAsia" w:ascii="Times New Roman" w:hAnsi="Times New Roman" w:eastAsia="仿宋_GB2312" w:cs="Times New Roman"/>
          <w:b/>
          <w:bCs/>
          <w:kern w:val="2"/>
          <w:sz w:val="32"/>
          <w:szCs w:val="32"/>
          <w:lang w:val="en-US" w:eastAsia="zh-CN" w:bidi="ar-SA"/>
        </w:rPr>
        <w:t>四是</w:t>
      </w:r>
      <w:r>
        <w:rPr>
          <w:rFonts w:hint="default" w:ascii="Times New Roman" w:hAnsi="Times New Roman" w:eastAsia="仿宋_GB2312" w:cs="Times New Roman"/>
          <w:b/>
          <w:bCs/>
          <w:kern w:val="2"/>
          <w:sz w:val="32"/>
          <w:szCs w:val="32"/>
          <w:lang w:val="en-US" w:eastAsia="zh-CN" w:bidi="ar-SA"/>
        </w:rPr>
        <w:t>提升消费维权质效。</w:t>
      </w:r>
      <w:r>
        <w:rPr>
          <w:rFonts w:hint="default" w:ascii="Times New Roman" w:hAnsi="Times New Roman" w:eastAsia="仿宋_GB2312" w:cs="Times New Roman"/>
          <w:b w:val="0"/>
          <w:bCs w:val="0"/>
          <w:color w:val="auto"/>
          <w:kern w:val="2"/>
          <w:sz w:val="32"/>
          <w:szCs w:val="32"/>
          <w:highlight w:val="none"/>
          <w:lang w:val="en-US" w:eastAsia="zh-CN" w:bidi="ar"/>
        </w:rPr>
        <w:t>办理投诉举报98件，按时办结率100%；新增ODR企业1家、放心舒心示范单元10家、线下无理由退货单位3家，消费环境持续优化。​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outlineLvl w:val="0"/>
        <w:rPr>
          <w:rFonts w:hint="default" w:ascii="Times New Roman" w:hAnsi="Times New Roman" w:eastAsia="楷体_GB2312" w:cs="Times New Roman"/>
          <w:b/>
          <w:bCs/>
          <w:kern w:val="2"/>
          <w:sz w:val="32"/>
          <w:szCs w:val="32"/>
          <w:lang w:val="en-US" w:eastAsia="zh-CN" w:bidi="ar-SA"/>
        </w:rPr>
      </w:pPr>
      <w:bookmarkStart w:id="84" w:name="_Toc27353"/>
      <w:bookmarkStart w:id="85" w:name="_Toc16875"/>
      <w:r>
        <w:rPr>
          <w:rFonts w:hint="default" w:ascii="Times New Roman" w:hAnsi="Times New Roman" w:eastAsia="楷体_GB2312" w:cs="Times New Roman"/>
          <w:b/>
          <w:bCs/>
          <w:kern w:val="2"/>
          <w:sz w:val="32"/>
          <w:szCs w:val="32"/>
          <w:lang w:val="en-US" w:eastAsia="zh-CN" w:bidi="ar-SA"/>
        </w:rPr>
        <w:t>聚焦“宣”字，夯实系统普法基础</w:t>
      </w:r>
      <w:bookmarkEnd w:id="84"/>
      <w:bookmarkEnd w:id="85"/>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outlineLvl w:val="0"/>
        <w:rPr>
          <w:rFonts w:hint="default" w:ascii="Times New Roman" w:hAnsi="Times New Roman" w:eastAsia="仿宋_GB2312" w:cs="Times New Roman"/>
          <w:b w:val="0"/>
          <w:bCs w:val="0"/>
          <w:color w:val="0000FF"/>
          <w:kern w:val="2"/>
          <w:sz w:val="32"/>
          <w:szCs w:val="32"/>
          <w:highlight w:val="none"/>
          <w:lang w:val="en-US" w:eastAsia="zh-CN" w:bidi="ar"/>
        </w:rPr>
      </w:pPr>
      <w:bookmarkStart w:id="86" w:name="_Toc24261"/>
      <w:bookmarkStart w:id="87" w:name="_Toc21746"/>
      <w:r>
        <w:rPr>
          <w:rFonts w:hint="eastAsia" w:ascii="Times New Roman" w:hAnsi="Times New Roman" w:eastAsia="仿宋_GB2312" w:cs="Times New Roman"/>
          <w:b/>
          <w:bCs/>
          <w:kern w:val="2"/>
          <w:sz w:val="32"/>
          <w:szCs w:val="32"/>
          <w:lang w:val="en-US" w:eastAsia="zh-CN" w:bidi="ar-SA"/>
        </w:rPr>
        <w:t>一是</w:t>
      </w:r>
      <w:r>
        <w:rPr>
          <w:rFonts w:hint="default" w:ascii="Times New Roman" w:hAnsi="Times New Roman" w:eastAsia="仿宋_GB2312" w:cs="Times New Roman"/>
          <w:b/>
          <w:bCs/>
          <w:kern w:val="2"/>
          <w:sz w:val="32"/>
          <w:szCs w:val="32"/>
          <w:lang w:val="en-US" w:eastAsia="zh-CN" w:bidi="ar-SA"/>
        </w:rPr>
        <w:t>强化法治能力保障。</w:t>
      </w:r>
      <w:r>
        <w:rPr>
          <w:rFonts w:hint="default" w:ascii="Times New Roman" w:hAnsi="Times New Roman" w:eastAsia="仿宋_GB2312" w:cs="Times New Roman"/>
          <w:b w:val="0"/>
          <w:bCs w:val="0"/>
          <w:color w:val="auto"/>
          <w:kern w:val="2"/>
          <w:sz w:val="32"/>
          <w:szCs w:val="32"/>
          <w:highlight w:val="none"/>
          <w:lang w:val="en-US" w:eastAsia="zh-CN" w:bidi="ar"/>
        </w:rPr>
        <w:t>完善法律顾问工作制度，聘请法律顾问参与重大案件审理3次，提供专业法律意见14条；邀请专业律师开展业务培训1次，提升干部法治素养。</w:t>
      </w:r>
      <w:bookmarkEnd w:id="86"/>
      <w:bookmarkEnd w:id="87"/>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outlineLvl w:val="0"/>
        <w:rPr>
          <w:rFonts w:hint="default" w:ascii="Times New Roman" w:hAnsi="Times New Roman" w:eastAsia="仿宋_GB2312" w:cs="Times New Roman"/>
          <w:b w:val="0"/>
          <w:bCs w:val="0"/>
          <w:color w:val="auto"/>
          <w:kern w:val="2"/>
          <w:sz w:val="32"/>
          <w:szCs w:val="32"/>
          <w:highlight w:val="none"/>
          <w:lang w:val="en-US" w:eastAsia="zh-CN" w:bidi="ar"/>
        </w:rPr>
      </w:pPr>
      <w:bookmarkStart w:id="88" w:name="_Toc7669"/>
      <w:bookmarkStart w:id="89" w:name="_Toc30182"/>
      <w:r>
        <w:rPr>
          <w:rFonts w:hint="eastAsia" w:ascii="Times New Roman" w:hAnsi="Times New Roman" w:eastAsia="仿宋_GB2312" w:cs="Times New Roman"/>
          <w:b/>
          <w:bCs/>
          <w:kern w:val="2"/>
          <w:sz w:val="32"/>
          <w:szCs w:val="32"/>
          <w:lang w:val="en-US" w:eastAsia="zh-CN" w:bidi="ar-SA"/>
        </w:rPr>
        <w:t>二是</w:t>
      </w:r>
      <w:r>
        <w:rPr>
          <w:rFonts w:hint="default" w:ascii="Times New Roman" w:hAnsi="Times New Roman" w:eastAsia="仿宋_GB2312" w:cs="Times New Roman"/>
          <w:b/>
          <w:bCs/>
          <w:kern w:val="2"/>
          <w:sz w:val="32"/>
          <w:szCs w:val="32"/>
          <w:lang w:val="en-US" w:eastAsia="zh-CN" w:bidi="ar-SA"/>
        </w:rPr>
        <w:t>深化普法宣传活动。</w:t>
      </w:r>
      <w:r>
        <w:rPr>
          <w:rFonts w:hint="default" w:ascii="Times New Roman" w:hAnsi="Times New Roman" w:eastAsia="仿宋_GB2312" w:cs="Times New Roman"/>
          <w:b w:val="0"/>
          <w:bCs w:val="0"/>
          <w:color w:val="auto"/>
          <w:kern w:val="2"/>
          <w:sz w:val="32"/>
          <w:szCs w:val="32"/>
          <w:highlight w:val="none"/>
          <w:lang w:val="en-US" w:eastAsia="zh-CN" w:bidi="ar"/>
        </w:rPr>
        <w:t>围绕食品安全、特种设备安全、产品质量安全、知识产权保护、消费者权益保护五大主题，开展宣传活动12余次，发放普法宣传品3000余份、宣传资料6000余份，动员群众参与2000人次，推动法治宣传走深走实。</w:t>
      </w:r>
      <w:bookmarkEnd w:id="88"/>
      <w:bookmarkEnd w:id="89"/>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outlineLvl w:val="0"/>
        <w:rPr>
          <w:rFonts w:ascii="Times New Roman" w:hAnsi="Times New Roman" w:eastAsia="仿宋_GB2312" w:cs="Times New Roman"/>
          <w:b/>
          <w:kern w:val="44"/>
          <w:sz w:val="44"/>
          <w:szCs w:val="44"/>
          <w:lang w:val="en-US" w:eastAsia="zh-CN" w:bidi="ar-SA"/>
        </w:rPr>
      </w:pPr>
      <w:bookmarkStart w:id="90" w:name="_Toc21757"/>
      <w:bookmarkStart w:id="91" w:name="_Toc6113"/>
      <w:r>
        <w:rPr>
          <w:rFonts w:hint="default" w:ascii="Times New Roman" w:hAnsi="Times New Roman" w:eastAsia="仿宋_GB2312" w:cs="Times New Roman"/>
          <w:b w:val="0"/>
          <w:bCs w:val="0"/>
          <w:color w:val="auto"/>
          <w:kern w:val="2"/>
          <w:sz w:val="32"/>
          <w:szCs w:val="32"/>
          <w:highlight w:val="none"/>
          <w:lang w:val="en-US" w:eastAsia="zh-CN" w:bidi="ar"/>
        </w:rPr>
        <w:t>2025年，共立案83件（其中一般程序55件，简易程序28件）。结案74件，罚没10.2万元。</w:t>
      </w:r>
      <w:bookmarkEnd w:id="90"/>
      <w:bookmarkEnd w:id="91"/>
    </w:p>
    <w:p>
      <w:pPr>
        <w:widowControl/>
        <w:adjustRightInd w:val="0"/>
        <w:snapToGrid w:val="0"/>
        <w:spacing w:line="578" w:lineRule="exact"/>
        <w:ind w:firstLine="640" w:firstLineChars="200"/>
        <w:contextualSpacing/>
        <w:jc w:val="left"/>
        <w:rPr>
          <w:rFonts w:ascii="Times New Roman" w:hAnsi="Times New Roman" w:eastAsia="黑体" w:cs="Times New Roman"/>
          <w:color w:val="000000"/>
          <w:kern w:val="0"/>
          <w:sz w:val="32"/>
          <w:szCs w:val="32"/>
          <w:shd w:val="clear" w:color="auto" w:fill="FFFFFF"/>
        </w:rPr>
      </w:pPr>
      <w:r>
        <w:rPr>
          <w:rFonts w:ascii="Times New Roman" w:hAnsi="Times New Roman" w:eastAsia="黑体" w:cs="Times New Roman"/>
          <w:color w:val="000000"/>
          <w:kern w:val="0"/>
          <w:sz w:val="32"/>
          <w:szCs w:val="32"/>
          <w:shd w:val="clear" w:color="auto" w:fill="FFFFFF"/>
        </w:rPr>
        <w:t>四、评价结论及建议</w:t>
      </w:r>
    </w:p>
    <w:p>
      <w:pPr>
        <w:widowControl/>
        <w:adjustRightInd w:val="0"/>
        <w:snapToGrid w:val="0"/>
        <w:spacing w:line="578" w:lineRule="exact"/>
        <w:ind w:firstLine="643" w:firstLineChars="200"/>
        <w:contextualSpacing/>
        <w:jc w:val="left"/>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（一）评价结论。</w:t>
      </w:r>
    </w:p>
    <w:p>
      <w:pPr>
        <w:widowControl/>
        <w:adjustRightInd w:val="0"/>
        <w:snapToGrid w:val="0"/>
        <w:spacing w:line="578" w:lineRule="exact"/>
        <w:ind w:firstLine="640" w:firstLineChars="200"/>
        <w:contextualSpacing/>
        <w:jc w:val="left"/>
        <w:rPr>
          <w:rFonts w:ascii="Times New Roman" w:hAnsi="Times New Roman" w:eastAsia="楷体_GB2312" w:cs="Times New Roman"/>
          <w:b/>
          <w:bCs/>
          <w:color w:val="000000"/>
          <w:kern w:val="0"/>
          <w:sz w:val="32"/>
          <w:szCs w:val="32"/>
          <w:shd w:val="clear" w:color="auto" w:fill="FFFFFF"/>
        </w:rPr>
      </w:pPr>
      <w:r>
        <w:rPr>
          <w:rFonts w:hint="eastAsia" w:ascii="仿宋_GB2312" w:hAnsi="仿宋_GB2312" w:eastAsia="仿宋_GB2312" w:cs="仿宋_GB2312"/>
          <w:color w:val="000000"/>
          <w:kern w:val="2"/>
          <w:sz w:val="32"/>
          <w:szCs w:val="32"/>
          <w:lang w:val="en-US" w:eastAsia="zh-CN" w:bidi="ar-SA"/>
        </w:rPr>
        <w:t>本部门按要求对2025年部门整体支出绩效评价情况开展自评，并撰写《壤塘县市场监督管理局2025年部门整体支出绩效评价报告》。根据考核评分细则，我局严格按照国家的相关财务管理制度规定，财务制度健全、会计核算规范，依照计划管理使用。按照部门整体支出绩效评价指标体系对照打分得出结果为</w:t>
      </w:r>
      <w:r>
        <w:rPr>
          <w:rFonts w:hint="eastAsia" w:ascii="仿宋_GB2312" w:hAnsi="仿宋_GB2312" w:eastAsia="仿宋_GB2312" w:cs="仿宋_GB2312"/>
          <w:b w:val="0"/>
          <w:bCs w:val="0"/>
          <w:color w:val="auto"/>
          <w:kern w:val="2"/>
          <w:sz w:val="32"/>
          <w:szCs w:val="32"/>
          <w:highlight w:val="none"/>
          <w:lang w:val="en-US" w:eastAsia="zh-CN" w:bidi="ar-SA"/>
        </w:rPr>
        <w:t>92分</w:t>
      </w:r>
      <w:r>
        <w:rPr>
          <w:rFonts w:ascii="Times New Roman" w:hAnsi="Times New Roman" w:eastAsia="仿宋_GB2312" w:cs="Times New Roman"/>
          <w:b w:val="0"/>
          <w:bCs w:val="0"/>
          <w:color w:val="auto"/>
          <w:kern w:val="0"/>
          <w:sz w:val="32"/>
          <w:szCs w:val="32"/>
          <w:highlight w:val="none"/>
        </w:rPr>
        <w:t>。</w:t>
      </w:r>
    </w:p>
    <w:p>
      <w:pPr>
        <w:widowControl/>
        <w:adjustRightInd w:val="0"/>
        <w:snapToGrid w:val="0"/>
        <w:spacing w:line="578" w:lineRule="exact"/>
        <w:ind w:firstLine="643" w:firstLineChars="200"/>
        <w:contextualSpacing/>
        <w:jc w:val="left"/>
        <w:rPr>
          <w:rFonts w:ascii="Times New Roman" w:hAnsi="Times New Roman" w:eastAsia="楷体_GB2312" w:cs="Times New Roman"/>
          <w:b/>
          <w:bCs/>
          <w:color w:val="000000"/>
          <w:kern w:val="0"/>
          <w:sz w:val="32"/>
          <w:szCs w:val="32"/>
          <w:shd w:val="clear" w:color="auto" w:fill="FFFFFF"/>
        </w:rPr>
      </w:pPr>
      <w:r>
        <w:rPr>
          <w:rFonts w:ascii="Times New Roman" w:hAnsi="Times New Roman" w:eastAsia="楷体_GB2312" w:cs="Times New Roman"/>
          <w:b/>
          <w:bCs/>
          <w:color w:val="000000"/>
          <w:kern w:val="0"/>
          <w:sz w:val="32"/>
          <w:szCs w:val="32"/>
          <w:shd w:val="clear" w:color="auto" w:fill="FFFFFF"/>
          <w:lang w:val="zh-CN"/>
        </w:rPr>
        <w:t>（二）存在问题。</w:t>
      </w:r>
      <w:r>
        <w:rPr>
          <w:rFonts w:hint="eastAsia" w:ascii="仿宋_GB2312" w:hAnsi="仿宋_GB2312" w:eastAsia="仿宋_GB2312" w:cs="仿宋_GB2312"/>
          <w:b w:val="0"/>
          <w:bCs w:val="0"/>
          <w:color w:val="000000"/>
          <w:kern w:val="0"/>
          <w:sz w:val="32"/>
          <w:szCs w:val="32"/>
          <w:shd w:val="clear" w:color="auto" w:fill="FFFFFF"/>
          <w:lang w:val="en-US" w:eastAsia="zh-CN"/>
        </w:rPr>
        <w:t>若</w:t>
      </w:r>
      <w:r>
        <w:rPr>
          <w:rFonts w:hint="eastAsia" w:ascii="仿宋_GB2312" w:hAnsi="仿宋_GB2312" w:eastAsia="仿宋_GB2312" w:cs="仿宋_GB2312"/>
          <w:color w:val="000000"/>
          <w:kern w:val="2"/>
          <w:sz w:val="32"/>
          <w:szCs w:val="32"/>
          <w:lang w:val="en-US" w:eastAsia="zh-CN" w:bidi="ar-SA"/>
        </w:rPr>
        <w:t>预期目标与实际实施结果绩效存在一定程度的差异，有绩效意识但重视程度需进一步加强</w:t>
      </w:r>
      <w:r>
        <w:rPr>
          <w:rFonts w:ascii="Times New Roman" w:hAnsi="Times New Roman" w:eastAsia="仿宋_GB2312" w:cs="Times New Roman"/>
          <w:w w:val="95"/>
          <w:kern w:val="0"/>
          <w:sz w:val="32"/>
          <w:szCs w:val="32"/>
        </w:rPr>
        <w:t>。</w:t>
      </w:r>
    </w:p>
    <w:p>
      <w:pPr>
        <w:widowControl/>
        <w:adjustRightInd w:val="0"/>
        <w:snapToGrid w:val="0"/>
        <w:spacing w:line="578" w:lineRule="exact"/>
        <w:ind w:firstLine="643" w:firstLineChars="200"/>
        <w:contextualSpacing/>
        <w:jc w:val="left"/>
        <w:rPr>
          <w:rFonts w:ascii="Times New Roman" w:hAnsi="Times New Roman" w:eastAsia="仿宋_GB2312" w:cs="Times New Roman"/>
          <w:kern w:val="0"/>
          <w:sz w:val="32"/>
          <w:szCs w:val="32"/>
        </w:rPr>
      </w:pPr>
      <w:r>
        <w:rPr>
          <w:rFonts w:ascii="Times New Roman" w:hAnsi="Times New Roman" w:eastAsia="楷体_GB2312" w:cs="Times New Roman"/>
          <w:b/>
          <w:bCs/>
          <w:color w:val="000000"/>
          <w:kern w:val="0"/>
          <w:sz w:val="32"/>
          <w:szCs w:val="32"/>
          <w:shd w:val="clear" w:color="auto" w:fill="FFFFFF"/>
          <w:lang w:val="zh-CN"/>
        </w:rPr>
        <w:t>（三）改进建议。</w:t>
      </w:r>
      <w:bookmarkStart w:id="92" w:name="_Hlk110546638"/>
      <w:r>
        <w:rPr>
          <w:rFonts w:hint="eastAsia" w:ascii="仿宋_GB2312" w:hAnsi="仿宋_GB2312" w:eastAsia="仿宋_GB2312" w:cs="仿宋_GB2312"/>
          <w:b/>
          <w:bCs/>
          <w:color w:val="000000"/>
          <w:kern w:val="2"/>
          <w:sz w:val="32"/>
          <w:szCs w:val="32"/>
          <w:lang w:val="en-US" w:eastAsia="zh-CN" w:bidi="ar-SA"/>
        </w:rPr>
        <w:t>一是</w:t>
      </w:r>
      <w:r>
        <w:rPr>
          <w:rFonts w:hint="eastAsia" w:ascii="仿宋_GB2312" w:hAnsi="仿宋_GB2312" w:eastAsia="仿宋_GB2312" w:cs="仿宋_GB2312"/>
          <w:color w:val="000000"/>
          <w:kern w:val="2"/>
          <w:sz w:val="32"/>
          <w:szCs w:val="32"/>
          <w:lang w:val="en-US" w:eastAsia="zh-CN" w:bidi="ar-SA"/>
        </w:rPr>
        <w:t>提高思想认识，加强对绩效考评相关工作的重视程度。</w:t>
      </w:r>
      <w:r>
        <w:rPr>
          <w:rFonts w:hint="eastAsia" w:ascii="仿宋_GB2312" w:hAnsi="仿宋_GB2312" w:eastAsia="仿宋_GB2312" w:cs="仿宋_GB2312"/>
          <w:b/>
          <w:bCs/>
          <w:color w:val="000000"/>
          <w:kern w:val="2"/>
          <w:sz w:val="32"/>
          <w:szCs w:val="32"/>
          <w:lang w:val="en-US" w:eastAsia="zh-CN" w:bidi="ar-SA"/>
        </w:rPr>
        <w:t>二是</w:t>
      </w:r>
      <w:r>
        <w:rPr>
          <w:rFonts w:hint="eastAsia" w:ascii="仿宋_GB2312" w:hAnsi="仿宋_GB2312" w:eastAsia="仿宋_GB2312" w:cs="仿宋_GB2312"/>
          <w:color w:val="000000"/>
          <w:kern w:val="2"/>
          <w:sz w:val="32"/>
          <w:szCs w:val="32"/>
          <w:lang w:val="en-US" w:eastAsia="zh-CN" w:bidi="ar-SA"/>
        </w:rPr>
        <w:t>安排专人参与相关培训学习，提高业务能力。</w:t>
      </w:r>
      <w:r>
        <w:rPr>
          <w:rFonts w:hint="eastAsia" w:ascii="仿宋_GB2312" w:hAnsi="仿宋_GB2312" w:eastAsia="仿宋_GB2312" w:cs="仿宋_GB2312"/>
          <w:b/>
          <w:bCs/>
          <w:color w:val="000000"/>
          <w:kern w:val="2"/>
          <w:sz w:val="32"/>
          <w:szCs w:val="32"/>
          <w:lang w:val="en-US" w:eastAsia="zh-CN" w:bidi="ar-SA"/>
        </w:rPr>
        <w:t>三是</w:t>
      </w:r>
      <w:r>
        <w:rPr>
          <w:rFonts w:hint="eastAsia" w:ascii="仿宋_GB2312" w:hAnsi="仿宋_GB2312" w:eastAsia="仿宋_GB2312" w:cs="仿宋_GB2312"/>
          <w:color w:val="000000"/>
          <w:kern w:val="2"/>
          <w:sz w:val="32"/>
          <w:szCs w:val="32"/>
          <w:lang w:val="en-US" w:eastAsia="zh-CN" w:bidi="ar-SA"/>
        </w:rPr>
        <w:t>完善绩效考评制度，严格控制经费支出，提高资金使用效率</w:t>
      </w:r>
      <w:r>
        <w:rPr>
          <w:rFonts w:ascii="Times New Roman" w:hAnsi="Times New Roman" w:eastAsia="仿宋_GB2312" w:cs="Times New Roman"/>
          <w:kern w:val="0"/>
          <w:sz w:val="32"/>
          <w:szCs w:val="32"/>
        </w:rPr>
        <w:t>。</w:t>
      </w:r>
    </w:p>
    <w:bookmarkEnd w:id="92"/>
    <w:p>
      <w:pPr>
        <w:spacing w:line="578" w:lineRule="exact"/>
        <w:contextualSpacing/>
        <w:jc w:val="left"/>
        <w:rPr>
          <w:rFonts w:ascii="Times New Roman" w:hAnsi="Times New Roman" w:eastAsia="黑体" w:cs="Times New Roman"/>
          <w:sz w:val="32"/>
          <w:szCs w:val="32"/>
        </w:rPr>
      </w:pPr>
    </w:p>
    <w:p>
      <w:pPr>
        <w:spacing w:line="578"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color w:val="000000"/>
          <w:kern w:val="0"/>
          <w:sz w:val="32"/>
          <w:szCs w:val="32"/>
          <w:shd w:val="clear" w:color="auto" w:fill="FFFFFF"/>
        </w:rPr>
        <w:t>附表：</w:t>
      </w:r>
      <w:r>
        <w:rPr>
          <w:rFonts w:hint="eastAsia" w:ascii="Times New Roman" w:hAnsi="Times New Roman" w:eastAsia="仿宋_GB2312" w:cs="Times New Roman"/>
          <w:color w:val="000000"/>
          <w:kern w:val="0"/>
          <w:sz w:val="32"/>
          <w:szCs w:val="32"/>
          <w:shd w:val="clear" w:color="auto" w:fill="FFFFFF"/>
        </w:rPr>
        <w:t>1.</w:t>
      </w:r>
      <w:r>
        <w:rPr>
          <w:rFonts w:hint="eastAsia" w:ascii="Times New Roman" w:hAnsi="Times New Roman" w:eastAsia="仿宋_GB2312" w:cs="Times New Roman"/>
          <w:sz w:val="32"/>
          <w:szCs w:val="32"/>
        </w:rPr>
        <w:t>部门预算绩效自评打分表</w:t>
      </w:r>
    </w:p>
    <w:p>
      <w:pPr>
        <w:spacing w:line="578" w:lineRule="exact"/>
        <w:ind w:firstLine="1600" w:firstLineChars="500"/>
        <w:jc w:val="left"/>
        <w:rPr>
          <w:rFonts w:ascii="Times New Roman" w:hAnsi="Times New Roman" w:eastAsia="仿宋_GB2312" w:cs="Times New Roman"/>
          <w:color w:val="000000"/>
          <w:kern w:val="0"/>
          <w:sz w:val="32"/>
          <w:szCs w:val="32"/>
          <w:shd w:val="clear" w:color="auto" w:fill="FFFFFF"/>
        </w:rPr>
      </w:pPr>
      <w:r>
        <w:rPr>
          <w:rFonts w:hint="eastAsia" w:ascii="Times New Roman" w:hAnsi="Times New Roman" w:eastAsia="仿宋_GB2312" w:cs="Times New Roman"/>
          <w:sz w:val="32"/>
          <w:szCs w:val="32"/>
        </w:rPr>
        <w:t>2.</w:t>
      </w:r>
      <w:r>
        <w:rPr>
          <w:rFonts w:ascii="Times New Roman" w:hAnsi="Times New Roman" w:eastAsia="仿宋_GB2312" w:cs="Times New Roman"/>
          <w:color w:val="000000"/>
          <w:kern w:val="0"/>
          <w:sz w:val="32"/>
          <w:szCs w:val="32"/>
          <w:shd w:val="clear" w:color="auto" w:fill="FFFFFF"/>
        </w:rPr>
        <w:t>部门整体</w:t>
      </w:r>
      <w:r>
        <w:rPr>
          <w:rFonts w:hint="eastAsia" w:ascii="Times New Roman" w:hAnsi="Times New Roman" w:eastAsia="仿宋_GB2312" w:cs="Times New Roman"/>
          <w:color w:val="000000"/>
          <w:kern w:val="0"/>
          <w:sz w:val="32"/>
          <w:szCs w:val="32"/>
          <w:shd w:val="clear" w:color="auto" w:fill="FFFFFF"/>
        </w:rPr>
        <w:t>支出</w:t>
      </w:r>
      <w:r>
        <w:rPr>
          <w:rFonts w:ascii="Times New Roman" w:hAnsi="Times New Roman" w:eastAsia="仿宋_GB2312" w:cs="Times New Roman"/>
          <w:color w:val="000000"/>
          <w:kern w:val="0"/>
          <w:sz w:val="32"/>
          <w:szCs w:val="32"/>
          <w:shd w:val="clear" w:color="auto" w:fill="FFFFFF"/>
        </w:rPr>
        <w:t>绩效目标完成情况自评表</w:t>
      </w:r>
    </w:p>
    <w:p>
      <w:pPr>
        <w:spacing w:line="578" w:lineRule="exact"/>
        <w:ind w:firstLine="1600" w:firstLineChars="500"/>
        <w:jc w:val="left"/>
        <w:rPr>
          <w:rFonts w:ascii="Times New Roman" w:hAnsi="Times New Roman" w:eastAsia="仿宋_GB2312" w:cs="Times New Roman"/>
          <w:sz w:val="32"/>
          <w:szCs w:val="32"/>
        </w:rPr>
      </w:pPr>
      <w:r>
        <w:rPr>
          <w:rFonts w:hint="eastAsia" w:ascii="Times New Roman" w:hAnsi="Times New Roman" w:eastAsia="仿宋_GB2312" w:cs="Times New Roman"/>
          <w:color w:val="000000"/>
          <w:kern w:val="0"/>
          <w:sz w:val="32"/>
          <w:szCs w:val="32"/>
          <w:shd w:val="clear" w:color="auto" w:fill="FFFFFF"/>
        </w:rPr>
        <w:t>3.</w:t>
      </w:r>
      <w:r>
        <w:rPr>
          <w:rFonts w:ascii="Times New Roman" w:hAnsi="Times New Roman" w:eastAsia="仿宋_GB2312" w:cs="Times New Roman"/>
          <w:sz w:val="32"/>
          <w:szCs w:val="32"/>
        </w:rPr>
        <w:t>部门预算项目支出绩效评价表（202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w:t>
      </w:r>
    </w:p>
    <w:p>
      <w:pPr>
        <w:pStyle w:val="14"/>
        <w:rPr>
          <w:rFonts w:hint="eastAsia"/>
          <w:lang w:eastAsia="zh-CN"/>
        </w:rPr>
      </w:pPr>
    </w:p>
    <w:p>
      <w:pPr>
        <w:rPr>
          <w:rFonts w:hint="eastAsia"/>
          <w:lang w:eastAsia="zh-CN"/>
        </w:rPr>
      </w:pPr>
    </w:p>
    <w:p>
      <w:pPr>
        <w:pStyle w:val="14"/>
        <w:rPr>
          <w:rFonts w:hint="eastAsia"/>
          <w:lang w:eastAsia="zh-CN"/>
        </w:rPr>
      </w:pPr>
    </w:p>
    <w:p>
      <w:pPr>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spacing w:line="578"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附表1</w:t>
      </w:r>
    </w:p>
    <w:p>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7"/>
        <w:tblW w:w="9958" w:type="dxa"/>
        <w:jc w:val="center"/>
        <w:tblLayout w:type="fixed"/>
        <w:tblCellMar>
          <w:top w:w="0" w:type="dxa"/>
          <w:left w:w="108" w:type="dxa"/>
          <w:bottom w:w="0" w:type="dxa"/>
          <w:right w:w="108" w:type="dxa"/>
        </w:tblCellMar>
      </w:tblPr>
      <w:tblGrid>
        <w:gridCol w:w="1001"/>
        <w:gridCol w:w="1096"/>
        <w:gridCol w:w="1760"/>
        <w:gridCol w:w="655"/>
        <w:gridCol w:w="4344"/>
        <w:gridCol w:w="666"/>
        <w:gridCol w:w="436"/>
      </w:tblGrid>
      <w:tr>
        <w:tblPrEx>
          <w:tblCellMar>
            <w:top w:w="0" w:type="dxa"/>
            <w:left w:w="108" w:type="dxa"/>
            <w:bottom w:w="0" w:type="dxa"/>
            <w:right w:w="108" w:type="dxa"/>
          </w:tblCellMar>
        </w:tblPrEx>
        <w:trPr>
          <w:trHeight w:val="237" w:hRule="atLeast"/>
          <w:jc w:val="center"/>
        </w:trPr>
        <w:tc>
          <w:tcPr>
            <w:tcW w:w="45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666"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36"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tblPrEx>
          <w:tblCellMar>
            <w:top w:w="0" w:type="dxa"/>
            <w:left w:w="108" w:type="dxa"/>
            <w:bottom w:w="0" w:type="dxa"/>
            <w:right w:w="108" w:type="dxa"/>
          </w:tblCellMar>
        </w:tblPrEx>
        <w:trPr>
          <w:trHeight w:val="464" w:hRule="atLeast"/>
          <w:jc w:val="center"/>
        </w:trPr>
        <w:tc>
          <w:tcPr>
            <w:tcW w:w="1001"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3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666"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436"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r>
      <w:tr>
        <w:tblPrEx>
          <w:tblCellMar>
            <w:top w:w="0" w:type="dxa"/>
            <w:left w:w="108" w:type="dxa"/>
            <w:bottom w:w="0" w:type="dxa"/>
            <w:right w:w="108" w:type="dxa"/>
          </w:tblCellMar>
        </w:tblPrEx>
        <w:trPr>
          <w:trHeight w:val="464" w:hRule="atLeast"/>
          <w:jc w:val="center"/>
        </w:trPr>
        <w:tc>
          <w:tcPr>
            <w:tcW w:w="1001"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履职效果</w:t>
            </w:r>
          </w:p>
        </w:tc>
        <w:tc>
          <w:tcPr>
            <w:tcW w:w="655"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64" w:hRule="atLeast"/>
          <w:jc w:val="center"/>
        </w:trPr>
        <w:tc>
          <w:tcPr>
            <w:tcW w:w="10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7" w:hRule="atLeast"/>
          <w:jc w:val="center"/>
        </w:trPr>
        <w:tc>
          <w:tcPr>
            <w:tcW w:w="10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7" w:hRule="atLeast"/>
          <w:jc w:val="center"/>
        </w:trPr>
        <w:tc>
          <w:tcPr>
            <w:tcW w:w="10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7" w:hRule="atLeast"/>
          <w:jc w:val="center"/>
        </w:trPr>
        <w:tc>
          <w:tcPr>
            <w:tcW w:w="10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18" w:hRule="atLeast"/>
          <w:jc w:val="center"/>
        </w:trPr>
        <w:tc>
          <w:tcPr>
            <w:tcW w:w="10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7" w:hRule="atLeast"/>
          <w:jc w:val="center"/>
        </w:trPr>
        <w:tc>
          <w:tcPr>
            <w:tcW w:w="10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64" w:hRule="atLeast"/>
          <w:jc w:val="center"/>
        </w:trPr>
        <w:tc>
          <w:tcPr>
            <w:tcW w:w="10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64" w:hRule="atLeast"/>
          <w:jc w:val="center"/>
        </w:trPr>
        <w:tc>
          <w:tcPr>
            <w:tcW w:w="10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7" w:hRule="atLeast"/>
          <w:jc w:val="center"/>
        </w:trPr>
        <w:tc>
          <w:tcPr>
            <w:tcW w:w="10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7" w:hRule="atLeast"/>
          <w:jc w:val="center"/>
        </w:trPr>
        <w:tc>
          <w:tcPr>
            <w:tcW w:w="10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64" w:hRule="atLeast"/>
          <w:jc w:val="center"/>
        </w:trPr>
        <w:tc>
          <w:tcPr>
            <w:tcW w:w="1001"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64" w:hRule="atLeast"/>
          <w:jc w:val="center"/>
        </w:trPr>
        <w:tc>
          <w:tcPr>
            <w:tcW w:w="10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7" w:hRule="atLeast"/>
          <w:jc w:val="center"/>
        </w:trPr>
        <w:tc>
          <w:tcPr>
            <w:tcW w:w="1001"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64" w:hRule="atLeas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096"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18" w:hRule="atLeas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64" w:hRule="atLeas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64" w:hRule="atLeas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7" w:hRule="atLeas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760" w:type="dxa"/>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7" w:hRule="atLeas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7" w:hRule="atLeas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593" w:hRule="atLeas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7" w:hRule="atLeas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64" w:hRule="atLeast"/>
          <w:jc w:val="center"/>
        </w:trPr>
        <w:tc>
          <w:tcPr>
            <w:tcW w:w="10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28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34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46" w:hRule="atLeast"/>
          <w:jc w:val="center"/>
        </w:trPr>
        <w:tc>
          <w:tcPr>
            <w:tcW w:w="10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b/>
                <w:color w:val="000000"/>
                <w:kern w:val="0"/>
                <w:sz w:val="24"/>
                <w:lang w:val="en-US" w:eastAsia="zh-CN"/>
              </w:rPr>
            </w:pPr>
            <w:r>
              <w:rPr>
                <w:rFonts w:hint="eastAsia" w:ascii="宋体" w:hAnsi="宋体" w:eastAsia="宋体" w:cs="宋体"/>
                <w:b/>
                <w:color w:val="000000"/>
                <w:kern w:val="0"/>
                <w:sz w:val="24"/>
                <w:lang w:val="en-US" w:eastAsia="zh-CN"/>
              </w:rPr>
              <w:t>总计</w:t>
            </w:r>
          </w:p>
        </w:tc>
        <w:tc>
          <w:tcPr>
            <w:tcW w:w="78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88</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bl>
    <w:p>
      <w:pPr>
        <w:rPr>
          <w:rFonts w:hint="eastAsia"/>
          <w:lang w:eastAsia="zh-CN"/>
        </w:rPr>
      </w:pPr>
    </w:p>
    <w:p>
      <w:pPr>
        <w:bidi w:val="0"/>
        <w:rPr>
          <w:rFonts w:hint="eastAsia"/>
          <w:lang w:eastAsia="zh-CN"/>
        </w:rPr>
      </w:pPr>
    </w:p>
    <w:p>
      <w:pPr>
        <w:rPr>
          <w:rFonts w:hint="eastAsia"/>
          <w:lang w:eastAsia="zh-CN"/>
        </w:rPr>
      </w:pPr>
    </w:p>
    <w:p>
      <w:pPr>
        <w:pStyle w:val="14"/>
        <w:rPr>
          <w:rFonts w:hint="eastAsia"/>
          <w:lang w:eastAsia="zh-CN"/>
        </w:rPr>
      </w:pPr>
    </w:p>
    <w:p>
      <w:pPr>
        <w:rPr>
          <w:rFonts w:hint="eastAsia"/>
          <w:lang w:eastAsia="zh-CN"/>
        </w:rPr>
      </w:pPr>
    </w:p>
    <w:p>
      <w:pPr>
        <w:pStyle w:val="14"/>
        <w:rPr>
          <w:rFonts w:hint="eastAsia"/>
          <w:lang w:eastAsia="zh-CN"/>
        </w:rPr>
      </w:pPr>
    </w:p>
    <w:p>
      <w:pPr>
        <w:spacing w:line="578"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附表2</w:t>
      </w:r>
    </w:p>
    <w:p>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7"/>
        <w:tblW w:w="9658" w:type="dxa"/>
        <w:jc w:val="center"/>
        <w:tblLayout w:type="fixed"/>
        <w:tblCellMar>
          <w:top w:w="0" w:type="dxa"/>
          <w:left w:w="108" w:type="dxa"/>
          <w:bottom w:w="0" w:type="dxa"/>
          <w:right w:w="108" w:type="dxa"/>
        </w:tblCellMar>
      </w:tblPr>
      <w:tblGrid>
        <w:gridCol w:w="331"/>
        <w:gridCol w:w="593"/>
        <w:gridCol w:w="937"/>
        <w:gridCol w:w="1112"/>
        <w:gridCol w:w="803"/>
        <w:gridCol w:w="881"/>
        <w:gridCol w:w="914"/>
        <w:gridCol w:w="1045"/>
        <w:gridCol w:w="1111"/>
        <w:gridCol w:w="1931"/>
      </w:tblGrid>
      <w:tr>
        <w:tblPrEx>
          <w:tblCellMar>
            <w:top w:w="0" w:type="dxa"/>
            <w:left w:w="108" w:type="dxa"/>
            <w:bottom w:w="0" w:type="dxa"/>
            <w:right w:w="108" w:type="dxa"/>
          </w:tblCellMar>
        </w:tblPrEx>
        <w:trPr>
          <w:trHeight w:val="465" w:hRule="atLeast"/>
          <w:jc w:val="center"/>
        </w:trPr>
        <w:tc>
          <w:tcPr>
            <w:tcW w:w="1861" w:type="dxa"/>
            <w:gridSpan w:val="3"/>
            <w:tcBorders>
              <w:top w:val="single" w:color="000000" w:sz="4" w:space="0"/>
              <w:left w:val="single" w:color="000000" w:sz="4" w:space="0"/>
              <w:bottom w:val="single" w:color="auto" w:sz="4" w:space="0"/>
              <w:right w:val="single" w:color="000000" w:sz="4" w:space="0"/>
            </w:tcBorders>
            <w:vAlign w:val="center"/>
          </w:tcPr>
          <w:p>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7797" w:type="dxa"/>
            <w:gridSpan w:val="7"/>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壤塘县市场监督管理局</w:t>
            </w:r>
          </w:p>
        </w:tc>
      </w:tr>
      <w:tr>
        <w:tblPrEx>
          <w:tblCellMar>
            <w:top w:w="0" w:type="dxa"/>
            <w:left w:w="108" w:type="dxa"/>
            <w:bottom w:w="0" w:type="dxa"/>
            <w:right w:w="108" w:type="dxa"/>
          </w:tblCellMar>
        </w:tblPrEx>
        <w:trPr>
          <w:trHeight w:val="239" w:hRule="atLeast"/>
          <w:jc w:val="center"/>
        </w:trPr>
        <w:tc>
          <w:tcPr>
            <w:tcW w:w="1861"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1915" w:type="dxa"/>
            <w:gridSpan w:val="2"/>
            <w:tcBorders>
              <w:top w:val="single" w:color="000000" w:sz="4" w:space="0"/>
              <w:left w:val="single" w:color="auto" w:sz="4" w:space="0"/>
              <w:bottom w:val="single" w:color="000000"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tblPrEx>
          <w:tblCellMar>
            <w:top w:w="0" w:type="dxa"/>
            <w:left w:w="108" w:type="dxa"/>
            <w:bottom w:w="0" w:type="dxa"/>
            <w:right w:w="108" w:type="dxa"/>
          </w:tblCellMar>
        </w:tblPrEx>
        <w:trPr>
          <w:trHeight w:val="239" w:hRule="atLeast"/>
          <w:jc w:val="center"/>
        </w:trPr>
        <w:tc>
          <w:tcPr>
            <w:tcW w:w="1861"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1915" w:type="dxa"/>
            <w:gridSpan w:val="2"/>
            <w:tcBorders>
              <w:top w:val="single" w:color="000000" w:sz="4" w:space="0"/>
              <w:left w:val="single" w:color="auto" w:sz="4" w:space="0"/>
              <w:bottom w:val="single" w:color="000000" w:sz="4" w:space="0"/>
              <w:right w:val="single" w:color="auto"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866.04万元</w:t>
            </w:r>
          </w:p>
        </w:tc>
        <w:tc>
          <w:tcPr>
            <w:tcW w:w="1795"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866.04万元</w:t>
            </w:r>
          </w:p>
        </w:tc>
        <w:tc>
          <w:tcPr>
            <w:tcW w:w="4087"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hint="eastAsia" w:ascii="宋体" w:hAnsi="宋体" w:eastAsia="宋体" w:cs="宋体"/>
                <w:color w:val="000000"/>
                <w:kern w:val="0"/>
                <w:sz w:val="24"/>
                <w:lang w:eastAsia="zh-CN"/>
              </w:rPr>
            </w:pPr>
          </w:p>
        </w:tc>
      </w:tr>
      <w:tr>
        <w:tblPrEx>
          <w:tblCellMar>
            <w:top w:w="0" w:type="dxa"/>
            <w:left w:w="108" w:type="dxa"/>
            <w:bottom w:w="0" w:type="dxa"/>
            <w:right w:w="108" w:type="dxa"/>
          </w:tblCellMar>
        </w:tblPrEx>
        <w:trPr>
          <w:trHeight w:val="296" w:hRule="atLeast"/>
          <w:jc w:val="center"/>
        </w:trPr>
        <w:tc>
          <w:tcPr>
            <w:tcW w:w="1861"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1915" w:type="dxa"/>
            <w:gridSpan w:val="2"/>
            <w:tcBorders>
              <w:top w:val="single" w:color="000000" w:sz="4" w:space="0"/>
              <w:left w:val="single" w:color="auto"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866.04万元</w:t>
            </w:r>
          </w:p>
        </w:tc>
        <w:tc>
          <w:tcPr>
            <w:tcW w:w="1795" w:type="dxa"/>
            <w:gridSpan w:val="2"/>
            <w:tcBorders>
              <w:top w:val="single" w:color="auto"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866.04万元</w:t>
            </w:r>
          </w:p>
        </w:tc>
        <w:tc>
          <w:tcPr>
            <w:tcW w:w="4087" w:type="dxa"/>
            <w:gridSpan w:val="3"/>
            <w:tcBorders>
              <w:top w:val="single" w:color="auto"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p>
        </w:tc>
      </w:tr>
      <w:tr>
        <w:tblPrEx>
          <w:tblCellMar>
            <w:top w:w="0" w:type="dxa"/>
            <w:left w:w="108" w:type="dxa"/>
            <w:bottom w:w="0" w:type="dxa"/>
            <w:right w:w="108" w:type="dxa"/>
          </w:tblCellMar>
        </w:tblPrEx>
        <w:trPr>
          <w:trHeight w:val="296" w:hRule="atLeast"/>
          <w:jc w:val="center"/>
        </w:trPr>
        <w:tc>
          <w:tcPr>
            <w:tcW w:w="1861" w:type="dxa"/>
            <w:gridSpan w:val="3"/>
            <w:tcBorders>
              <w:top w:val="single" w:color="auto"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797" w:type="dxa"/>
            <w:gridSpan w:val="7"/>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守牢食品安全阵地，深入开展流通食品、小作坊整治提防行动，全面提升两个责任落实。加强食品安全培训。</w:t>
            </w:r>
          </w:p>
        </w:tc>
      </w:tr>
      <w:tr>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93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11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93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112"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881" w:type="dxa"/>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91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1931" w:type="dxa"/>
            <w:vMerge w:val="continue"/>
            <w:tcBorders>
              <w:left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93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11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50</w:t>
            </w:r>
            <w:r>
              <w:rPr>
                <w:rFonts w:hint="eastAsia" w:ascii="宋体" w:hAnsi="宋体" w:eastAsia="宋体" w:cs="宋体"/>
                <w:color w:val="000000"/>
                <w:kern w:val="0"/>
                <w:sz w:val="24"/>
              </w:rPr>
              <w:t>%</w:t>
            </w:r>
          </w:p>
        </w:tc>
        <w:tc>
          <w:tcPr>
            <w:tcW w:w="88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43.98</w:t>
            </w:r>
            <w:r>
              <w:rPr>
                <w:rFonts w:ascii="宋体" w:hAnsi="宋体" w:eastAsia="宋体" w:cs="宋体"/>
                <w:color w:val="000000"/>
                <w:kern w:val="0"/>
                <w:sz w:val="24"/>
              </w:rPr>
              <w:t>%</w:t>
            </w:r>
          </w:p>
        </w:tc>
        <w:tc>
          <w:tcPr>
            <w:tcW w:w="91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43.31%</w:t>
            </w:r>
          </w:p>
        </w:tc>
        <w:tc>
          <w:tcPr>
            <w:tcW w:w="104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63.78%</w:t>
            </w: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24.86%</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24.86%</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93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11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90</w:t>
            </w:r>
            <w:r>
              <w:rPr>
                <w:rFonts w:hint="eastAsia" w:ascii="宋体" w:hAnsi="宋体" w:eastAsia="宋体" w:cs="宋体"/>
                <w:color w:val="000000"/>
                <w:kern w:val="0"/>
                <w:sz w:val="24"/>
              </w:rPr>
              <w:t>%</w:t>
            </w:r>
          </w:p>
        </w:tc>
        <w:tc>
          <w:tcPr>
            <w:tcW w:w="88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91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93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11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rPr>
              <w:t>%</w:t>
            </w:r>
          </w:p>
        </w:tc>
        <w:tc>
          <w:tcPr>
            <w:tcW w:w="88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4.11</w:t>
            </w:r>
            <w:r>
              <w:rPr>
                <w:rFonts w:ascii="宋体" w:hAnsi="宋体" w:eastAsia="宋体" w:cs="宋体"/>
                <w:color w:val="000000"/>
                <w:kern w:val="0"/>
                <w:sz w:val="24"/>
              </w:rPr>
              <w:t>%</w:t>
            </w:r>
          </w:p>
        </w:tc>
        <w:tc>
          <w:tcPr>
            <w:tcW w:w="91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4.31%</w:t>
            </w:r>
          </w:p>
        </w:tc>
        <w:tc>
          <w:tcPr>
            <w:tcW w:w="104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3.37%</w:t>
            </w: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4.66%</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4.66%</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93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11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40</w:t>
            </w:r>
            <w:r>
              <w:rPr>
                <w:rFonts w:ascii="宋体" w:hAnsi="宋体" w:eastAsia="宋体" w:cs="宋体"/>
                <w:color w:val="000000"/>
                <w:kern w:val="0"/>
                <w:sz w:val="24"/>
              </w:rPr>
              <w:t>万元</w:t>
            </w:r>
          </w:p>
        </w:tc>
        <w:tc>
          <w:tcPr>
            <w:tcW w:w="3951"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36.24万元</w:t>
            </w:r>
            <w:r>
              <w:rPr>
                <w:rFonts w:ascii="宋体" w:hAnsi="宋体" w:eastAsia="宋体" w:cs="宋体"/>
                <w:color w:val="000000"/>
                <w:kern w:val="0"/>
                <w:sz w:val="24"/>
              </w:rPr>
              <w:t>为上年一般性支出金额</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36.24万元</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11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ascii="宋体" w:hAnsi="宋体" w:eastAsia="宋体" w:cs="宋体"/>
                <w:color w:val="000000"/>
                <w:kern w:val="0"/>
                <w:sz w:val="24"/>
              </w:rPr>
              <w:t>良</w:t>
            </w:r>
          </w:p>
        </w:tc>
        <w:tc>
          <w:tcPr>
            <w:tcW w:w="3951"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ascii="宋体" w:hAnsi="宋体" w:eastAsia="宋体" w:cs="宋体"/>
                <w:color w:val="000000"/>
                <w:kern w:val="0"/>
                <w:sz w:val="24"/>
              </w:rPr>
              <w:t>良</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11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88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91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11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0</w:t>
            </w:r>
            <w:r>
              <w:rPr>
                <w:rFonts w:hint="eastAsia" w:ascii="宋体" w:hAnsi="宋体" w:eastAsia="宋体" w:cs="宋体"/>
                <w:color w:val="000000"/>
                <w:kern w:val="0"/>
                <w:sz w:val="24"/>
              </w:rPr>
              <w:t>%</w:t>
            </w:r>
          </w:p>
        </w:tc>
        <w:tc>
          <w:tcPr>
            <w:tcW w:w="88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91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11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产出指标</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11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检查次数</w:t>
            </w:r>
          </w:p>
        </w:tc>
        <w:tc>
          <w:tcPr>
            <w:tcW w:w="475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≥10次</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1200次</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rPr>
            </w:pP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11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抽查质量合格率</w:t>
            </w:r>
          </w:p>
        </w:tc>
        <w:tc>
          <w:tcPr>
            <w:tcW w:w="475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≥98%</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98%</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rPr>
            </w:pP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11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质量检查时间</w:t>
            </w:r>
          </w:p>
        </w:tc>
        <w:tc>
          <w:tcPr>
            <w:tcW w:w="475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=1年</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1年</w:t>
            </w:r>
          </w:p>
        </w:tc>
      </w:tr>
      <w:tr>
        <w:tblPrEx>
          <w:tblCellMar>
            <w:top w:w="0" w:type="dxa"/>
            <w:left w:w="108" w:type="dxa"/>
            <w:bottom w:w="0" w:type="dxa"/>
            <w:right w:w="108" w:type="dxa"/>
          </w:tblCellMar>
        </w:tblPrEx>
        <w:trPr>
          <w:trHeight w:val="1357"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效益指标</w:t>
            </w: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11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开展食品、小作坊整治，提升食品安全</w:t>
            </w:r>
          </w:p>
        </w:tc>
        <w:tc>
          <w:tcPr>
            <w:tcW w:w="475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rPr>
            </w:pPr>
          </w:p>
        </w:tc>
        <w:tc>
          <w:tcPr>
            <w:tcW w:w="93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111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抽检活动对各个商家的持续约束力</w:t>
            </w:r>
          </w:p>
        </w:tc>
        <w:tc>
          <w:tcPr>
            <w:tcW w:w="475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≥1年</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1年</w:t>
            </w:r>
          </w:p>
        </w:tc>
      </w:tr>
    </w:tbl>
    <w:p>
      <w:pPr>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13"/>
        <w:spacing w:after="0" w:line="578" w:lineRule="exact"/>
        <w:ind w:left="0" w:leftChars="0" w:firstLine="0" w:firstLineChars="0"/>
        <w:rPr>
          <w:rFonts w:hint="eastAsia" w:ascii="仿宋_GB2312" w:hAnsi="仿宋_GB2312" w:eastAsia="仿宋_GB2312" w:cs="仿宋_GB2312"/>
          <w:sz w:val="32"/>
          <w:szCs w:val="32"/>
        </w:rPr>
      </w:pPr>
    </w:p>
    <w:p>
      <w:pPr>
        <w:pStyle w:val="13"/>
        <w:spacing w:after="0" w:line="578" w:lineRule="exact"/>
        <w:ind w:left="0" w:leftChars="0" w:firstLine="0" w:firstLineChars="0"/>
        <w:rPr>
          <w:rFonts w:hint="eastAsia" w:ascii="仿宋_GB2312" w:hAnsi="仿宋_GB2312" w:eastAsia="仿宋_GB2312" w:cs="仿宋_GB2312"/>
          <w:sz w:val="32"/>
          <w:szCs w:val="32"/>
        </w:rPr>
      </w:pPr>
    </w:p>
    <w:p>
      <w:pPr>
        <w:pStyle w:val="13"/>
        <w:spacing w:after="0" w:line="578" w:lineRule="exact"/>
        <w:ind w:left="0" w:leftChars="0" w:firstLine="0" w:firstLineChars="0"/>
        <w:rPr>
          <w:rFonts w:hint="eastAsia" w:ascii="仿宋_GB2312" w:hAnsi="仿宋_GB2312" w:eastAsia="仿宋_GB2312" w:cs="仿宋_GB2312"/>
          <w:sz w:val="32"/>
          <w:szCs w:val="32"/>
        </w:rPr>
      </w:pPr>
    </w:p>
    <w:p>
      <w:pPr>
        <w:pStyle w:val="13"/>
        <w:spacing w:after="0" w:line="578" w:lineRule="exact"/>
        <w:ind w:left="0" w:leftChars="0" w:firstLine="0" w:firstLineChars="0"/>
        <w:rPr>
          <w:rFonts w:hint="eastAsia" w:ascii="仿宋_GB2312" w:hAnsi="仿宋_GB2312" w:eastAsia="仿宋_GB2312" w:cs="仿宋_GB2312"/>
          <w:sz w:val="32"/>
          <w:szCs w:val="32"/>
        </w:rPr>
      </w:pPr>
    </w:p>
    <w:p>
      <w:pPr>
        <w:pStyle w:val="13"/>
        <w:spacing w:after="0" w:line="578" w:lineRule="exact"/>
        <w:ind w:left="0" w:leftChars="0" w:firstLine="0" w:firstLineChars="0"/>
        <w:rPr>
          <w:rFonts w:hint="eastAsia" w:ascii="仿宋_GB2312" w:hAnsi="仿宋_GB2312" w:eastAsia="仿宋_GB2312" w:cs="仿宋_GB2312"/>
          <w:sz w:val="32"/>
          <w:szCs w:val="32"/>
        </w:rPr>
      </w:pPr>
    </w:p>
    <w:p>
      <w:pPr>
        <w:pStyle w:val="13"/>
        <w:spacing w:after="0" w:line="578" w:lineRule="exact"/>
        <w:ind w:left="0" w:leftChars="0" w:firstLine="0" w:firstLineChars="0"/>
        <w:rPr>
          <w:rFonts w:hint="eastAsia" w:ascii="仿宋_GB2312" w:hAnsi="仿宋_GB2312" w:eastAsia="仿宋_GB2312" w:cs="仿宋_GB2312"/>
          <w:sz w:val="32"/>
          <w:szCs w:val="32"/>
        </w:rPr>
      </w:pPr>
    </w:p>
    <w:p>
      <w:pPr>
        <w:pStyle w:val="13"/>
        <w:spacing w:after="0" w:line="578" w:lineRule="exact"/>
        <w:ind w:left="0" w:leftChars="0" w:firstLine="0" w:firstLineChars="0"/>
        <w:rPr>
          <w:rFonts w:hint="eastAsia" w:ascii="仿宋_GB2312" w:hAnsi="仿宋_GB2312" w:eastAsia="仿宋_GB2312" w:cs="仿宋_GB2312"/>
          <w:sz w:val="32"/>
          <w:szCs w:val="32"/>
        </w:rPr>
      </w:pPr>
    </w:p>
    <w:p>
      <w:pPr>
        <w:pStyle w:val="13"/>
        <w:spacing w:after="0" w:line="578" w:lineRule="exact"/>
        <w:ind w:left="0" w:leftChars="0"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附表3</w:t>
      </w:r>
    </w:p>
    <w:p>
      <w:pPr>
        <w:widowControl/>
        <w:spacing w:line="578" w:lineRule="exact"/>
        <w:jc w:val="center"/>
        <w:textAlignment w:val="center"/>
        <w:rPr>
          <w:rFonts w:eastAsia="方正小标宋简体"/>
          <w:color w:val="000000"/>
          <w:kern w:val="0"/>
          <w:sz w:val="44"/>
          <w:szCs w:val="44"/>
        </w:rPr>
      </w:pPr>
    </w:p>
    <w:p>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部门预算项目支出绩效评价表</w:t>
      </w:r>
    </w:p>
    <w:p>
      <w:pPr>
        <w:widowControl/>
        <w:spacing w:line="578" w:lineRule="exact"/>
        <w:jc w:val="center"/>
        <w:textAlignment w:val="center"/>
        <w:rPr>
          <w:rFonts w:eastAsia="方正小标宋简体"/>
          <w:color w:val="000000"/>
          <w:kern w:val="0"/>
          <w:szCs w:val="32"/>
        </w:rPr>
      </w:pPr>
      <w:r>
        <w:rPr>
          <w:rFonts w:eastAsia="方正小标宋简体"/>
          <w:color w:val="000000"/>
          <w:kern w:val="0"/>
          <w:szCs w:val="32"/>
        </w:rPr>
        <w:t>（202</w:t>
      </w:r>
      <w:r>
        <w:rPr>
          <w:rFonts w:hint="eastAsia" w:eastAsia="方正小标宋简体"/>
          <w:color w:val="000000"/>
          <w:kern w:val="0"/>
          <w:szCs w:val="32"/>
        </w:rPr>
        <w:t>5</w:t>
      </w:r>
      <w:r>
        <w:rPr>
          <w:rFonts w:eastAsia="方正小标宋简体"/>
          <w:color w:val="000000"/>
          <w:kern w:val="0"/>
          <w:szCs w:val="32"/>
        </w:rPr>
        <w:t>年度）</w:t>
      </w:r>
    </w:p>
    <w:p>
      <w:pPr>
        <w:pStyle w:val="21"/>
        <w:spacing w:before="0" w:after="0" w:line="578" w:lineRule="exact"/>
        <w:ind w:firstLine="640" w:firstLineChars="200"/>
        <w:rPr>
          <w:rFonts w:ascii="Times New Roman" w:hAnsi="Times New Roman" w:eastAsia="仿宋_GB2312"/>
          <w:b w:val="0"/>
          <w:color w:val="000000"/>
          <w:kern w:val="0"/>
          <w:sz w:val="32"/>
          <w:szCs w:val="32"/>
          <w:shd w:val="clear" w:color="auto" w:fill="FFFFFF"/>
        </w:rPr>
      </w:pPr>
    </w:p>
    <w:p>
      <w:pPr>
        <w:pStyle w:val="21"/>
        <w:spacing w:before="0" w:after="0" w:line="578" w:lineRule="exact"/>
        <w:ind w:firstLine="640" w:firstLineChars="200"/>
        <w:rPr>
          <w:rFonts w:hint="eastAsia" w:ascii="Times New Roman" w:hAnsi="Times New Roman" w:eastAsia="仿宋_GB2312"/>
          <w:b w:val="0"/>
          <w:color w:val="000000"/>
          <w:kern w:val="0"/>
          <w:sz w:val="32"/>
          <w:szCs w:val="32"/>
          <w:shd w:val="clear" w:color="auto" w:fill="FFFFFF"/>
        </w:rPr>
      </w:pPr>
      <w:r>
        <w:rPr>
          <w:rFonts w:hint="eastAsia" w:ascii="Times New Roman" w:hAnsi="Times New Roman" w:eastAsia="仿宋_GB2312"/>
          <w:b w:val="0"/>
          <w:color w:val="000000"/>
          <w:kern w:val="0"/>
          <w:sz w:val="32"/>
          <w:szCs w:val="32"/>
          <w:shd w:val="clear" w:color="auto" w:fill="FFFFFF"/>
        </w:rPr>
        <w:t>“</w:t>
      </w:r>
      <w:r>
        <w:rPr>
          <w:rFonts w:ascii="Times New Roman" w:hAnsi="Times New Roman" w:eastAsia="仿宋_GB2312"/>
          <w:b w:val="0"/>
          <w:color w:val="000000"/>
          <w:kern w:val="0"/>
          <w:sz w:val="32"/>
          <w:szCs w:val="32"/>
          <w:shd w:val="clear" w:color="auto" w:fill="FFFFFF"/>
        </w:rPr>
        <w:t>部门预算项目支出绩效评价表</w:t>
      </w:r>
      <w:r>
        <w:rPr>
          <w:rFonts w:hint="eastAsia" w:ascii="Times New Roman" w:hAnsi="Times New Roman" w:eastAsia="仿宋_GB2312"/>
          <w:b w:val="0"/>
          <w:color w:val="000000"/>
          <w:kern w:val="0"/>
          <w:sz w:val="32"/>
          <w:szCs w:val="32"/>
          <w:shd w:val="clear" w:color="auto" w:fill="FFFFFF"/>
        </w:rPr>
        <w:t>”</w:t>
      </w:r>
      <w:r>
        <w:rPr>
          <w:rFonts w:ascii="Times New Roman" w:hAnsi="Times New Roman" w:eastAsia="仿宋_GB2312"/>
          <w:b w:val="0"/>
          <w:color w:val="000000"/>
          <w:kern w:val="0"/>
          <w:sz w:val="32"/>
          <w:szCs w:val="32"/>
          <w:shd w:val="clear" w:color="auto" w:fill="FFFFFF"/>
        </w:rPr>
        <w:t>在预算管理一体化系统</w:t>
      </w:r>
      <w:r>
        <w:rPr>
          <w:rFonts w:hint="eastAsia" w:ascii="Times New Roman" w:hAnsi="Times New Roman" w:eastAsia="仿宋_GB2312"/>
          <w:b w:val="0"/>
          <w:color w:val="000000"/>
          <w:kern w:val="0"/>
          <w:sz w:val="32"/>
          <w:szCs w:val="32"/>
          <w:shd w:val="clear" w:color="auto" w:fill="FFFFFF"/>
        </w:rPr>
        <w:t>—</w:t>
      </w:r>
      <w:r>
        <w:rPr>
          <w:rFonts w:ascii="Times New Roman" w:hAnsi="Times New Roman" w:eastAsia="仿宋_GB2312"/>
          <w:b w:val="0"/>
          <w:color w:val="000000"/>
          <w:kern w:val="0"/>
          <w:sz w:val="32"/>
          <w:szCs w:val="32"/>
          <w:shd w:val="clear" w:color="auto" w:fill="FFFFFF"/>
        </w:rPr>
        <w:t>综合报表查询</w:t>
      </w:r>
      <w:r>
        <w:rPr>
          <w:rFonts w:hint="eastAsia" w:ascii="Times New Roman" w:hAnsi="Times New Roman" w:eastAsia="仿宋_GB2312"/>
          <w:b w:val="0"/>
          <w:color w:val="000000"/>
          <w:kern w:val="0"/>
          <w:sz w:val="32"/>
          <w:szCs w:val="32"/>
          <w:shd w:val="clear" w:color="auto" w:fill="FFFFFF"/>
        </w:rPr>
        <w:t>—</w:t>
      </w:r>
      <w:r>
        <w:rPr>
          <w:rFonts w:ascii="Times New Roman" w:hAnsi="Times New Roman" w:eastAsia="仿宋_GB2312"/>
          <w:b w:val="0"/>
          <w:color w:val="000000"/>
          <w:kern w:val="0"/>
          <w:sz w:val="32"/>
          <w:szCs w:val="32"/>
          <w:shd w:val="clear" w:color="auto" w:fill="FFFFFF"/>
        </w:rPr>
        <w:t>预算绩效报表模块中</w:t>
      </w:r>
      <w:r>
        <w:rPr>
          <w:rFonts w:hint="eastAsia" w:ascii="Times New Roman" w:hAnsi="Times New Roman" w:eastAsia="仿宋_GB2312"/>
          <w:b w:val="0"/>
          <w:color w:val="000000"/>
          <w:kern w:val="0"/>
          <w:sz w:val="32"/>
          <w:szCs w:val="32"/>
          <w:shd w:val="clear" w:color="auto" w:fill="FFFFFF"/>
        </w:rPr>
        <w:t>进行</w:t>
      </w:r>
      <w:r>
        <w:rPr>
          <w:rFonts w:ascii="Times New Roman" w:hAnsi="Times New Roman" w:eastAsia="仿宋_GB2312"/>
          <w:b w:val="0"/>
          <w:color w:val="000000"/>
          <w:kern w:val="0"/>
          <w:sz w:val="32"/>
          <w:szCs w:val="32"/>
          <w:shd w:val="clear" w:color="auto" w:fill="FFFFFF"/>
        </w:rPr>
        <w:t>下载</w:t>
      </w:r>
      <w:r>
        <w:rPr>
          <w:rFonts w:hint="eastAsia" w:ascii="Times New Roman" w:hAnsi="Times New Roman" w:eastAsia="仿宋_GB2312"/>
          <w:b w:val="0"/>
          <w:color w:val="000000"/>
          <w:kern w:val="0"/>
          <w:sz w:val="32"/>
          <w:szCs w:val="32"/>
          <w:shd w:val="clear" w:color="auto" w:fill="FFFFFF"/>
        </w:rPr>
        <w:t>，完成相关内容填报后作为本处附表。</w:t>
      </w:r>
    </w:p>
    <w:p>
      <w:pPr>
        <w:rPr>
          <w:rFonts w:hint="eastAsia" w:ascii="Times New Roman" w:hAnsi="Times New Roman" w:eastAsia="仿宋_GB2312"/>
          <w:b w:val="0"/>
          <w:color w:val="000000"/>
          <w:kern w:val="0"/>
          <w:sz w:val="32"/>
          <w:szCs w:val="32"/>
          <w:shd w:val="clear" w:color="auto" w:fill="FFFFFF"/>
        </w:rPr>
      </w:pPr>
    </w:p>
    <w:p>
      <w:pPr>
        <w:pStyle w:val="2"/>
      </w:pPr>
      <w:r>
        <w:drawing>
          <wp:inline distT="0" distB="0" distL="114300" distR="114300">
            <wp:extent cx="5612765" cy="3935095"/>
            <wp:effectExtent l="0" t="0" r="6985" b="825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20"/>
                    <a:stretch>
                      <a:fillRect/>
                    </a:stretch>
                  </pic:blipFill>
                  <pic:spPr>
                    <a:xfrm>
                      <a:off x="0" y="0"/>
                      <a:ext cx="5612765" cy="3935095"/>
                    </a:xfrm>
                    <a:prstGeom prst="rect">
                      <a:avLst/>
                    </a:prstGeom>
                    <a:noFill/>
                    <a:ln>
                      <a:noFill/>
                    </a:ln>
                  </pic:spPr>
                </pic:pic>
              </a:graphicData>
            </a:graphic>
          </wp:inline>
        </w:drawing>
      </w:r>
    </w:p>
    <w:p>
      <w:pPr>
        <w:pStyle w:val="2"/>
        <w:sectPr>
          <w:footerReference r:id="rId7" w:type="default"/>
          <w:pgSz w:w="11906" w:h="16838"/>
          <w:pgMar w:top="2098" w:right="1474" w:bottom="1984" w:left="1587" w:header="851" w:footer="992" w:gutter="0"/>
          <w:pgNumType w:fmt="numberInDash" w:start="1"/>
          <w:cols w:space="425" w:num="1"/>
          <w:docGrid w:type="lines" w:linePitch="435" w:charSpace="0"/>
        </w:sectPr>
      </w:pPr>
    </w:p>
    <w:p>
      <w:pPr>
        <w:pStyle w:val="2"/>
        <w:sectPr>
          <w:pgSz w:w="11906" w:h="16838"/>
          <w:pgMar w:top="2098" w:right="1474" w:bottom="1984" w:left="1587" w:header="851" w:footer="992" w:gutter="0"/>
          <w:pgNumType w:fmt="numberInDash"/>
          <w:cols w:space="425" w:num="1"/>
          <w:docGrid w:type="lines" w:linePitch="435" w:charSpace="0"/>
        </w:sectPr>
      </w:pPr>
      <w:r>
        <w:drawing>
          <wp:inline distT="0" distB="0" distL="114300" distR="114300">
            <wp:extent cx="5612765" cy="3866515"/>
            <wp:effectExtent l="0" t="0" r="6985" b="635"/>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21"/>
                    <a:stretch>
                      <a:fillRect/>
                    </a:stretch>
                  </pic:blipFill>
                  <pic:spPr>
                    <a:xfrm>
                      <a:off x="0" y="0"/>
                      <a:ext cx="5612765" cy="3866515"/>
                    </a:xfrm>
                    <a:prstGeom prst="rect">
                      <a:avLst/>
                    </a:prstGeom>
                    <a:noFill/>
                    <a:ln>
                      <a:noFill/>
                    </a:ln>
                  </pic:spPr>
                </pic:pic>
              </a:graphicData>
            </a:graphic>
          </wp:inline>
        </w:drawing>
      </w:r>
    </w:p>
    <w:p>
      <w:pPr>
        <w:pStyle w:val="2"/>
        <w:sectPr>
          <w:pgSz w:w="11906" w:h="16838"/>
          <w:pgMar w:top="2098" w:right="1474" w:bottom="1984" w:left="1587" w:header="851" w:footer="992" w:gutter="0"/>
          <w:pgNumType w:fmt="numberInDash"/>
          <w:cols w:space="425" w:num="1"/>
          <w:docGrid w:type="lines" w:linePitch="435" w:charSpace="0"/>
        </w:sectPr>
      </w:pPr>
      <w:r>
        <w:drawing>
          <wp:inline distT="0" distB="0" distL="114300" distR="114300">
            <wp:extent cx="5612765" cy="3866515"/>
            <wp:effectExtent l="0" t="0" r="6985" b="635"/>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22"/>
                    <a:stretch>
                      <a:fillRect/>
                    </a:stretch>
                  </pic:blipFill>
                  <pic:spPr>
                    <a:xfrm>
                      <a:off x="0" y="0"/>
                      <a:ext cx="5612765" cy="3866515"/>
                    </a:xfrm>
                    <a:prstGeom prst="rect">
                      <a:avLst/>
                    </a:prstGeom>
                    <a:noFill/>
                    <a:ln>
                      <a:noFill/>
                    </a:ln>
                  </pic:spPr>
                </pic:pic>
              </a:graphicData>
            </a:graphic>
          </wp:inline>
        </w:drawing>
      </w:r>
    </w:p>
    <w:p>
      <w:pPr>
        <w:pStyle w:val="2"/>
        <w:sectPr>
          <w:pgSz w:w="11906" w:h="16838"/>
          <w:pgMar w:top="2098" w:right="1474" w:bottom="1984" w:left="1587" w:header="851" w:footer="992" w:gutter="0"/>
          <w:pgNumType w:fmt="numberInDash"/>
          <w:cols w:space="425" w:num="1"/>
          <w:docGrid w:type="lines" w:linePitch="435" w:charSpace="0"/>
        </w:sectPr>
      </w:pPr>
      <w:r>
        <w:drawing>
          <wp:inline distT="0" distB="0" distL="114300" distR="114300">
            <wp:extent cx="5612765" cy="4071620"/>
            <wp:effectExtent l="0" t="0" r="6985" b="5080"/>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23"/>
                    <a:stretch>
                      <a:fillRect/>
                    </a:stretch>
                  </pic:blipFill>
                  <pic:spPr>
                    <a:xfrm>
                      <a:off x="0" y="0"/>
                      <a:ext cx="5612765" cy="4071620"/>
                    </a:xfrm>
                    <a:prstGeom prst="rect">
                      <a:avLst/>
                    </a:prstGeom>
                    <a:noFill/>
                    <a:ln>
                      <a:noFill/>
                    </a:ln>
                  </pic:spPr>
                </pic:pic>
              </a:graphicData>
            </a:graphic>
          </wp:inline>
        </w:drawing>
      </w:r>
    </w:p>
    <w:p>
      <w:pPr>
        <w:pStyle w:val="2"/>
        <w:sectPr>
          <w:pgSz w:w="11906" w:h="16838"/>
          <w:pgMar w:top="2098" w:right="1474" w:bottom="1984" w:left="1587" w:header="851" w:footer="992" w:gutter="0"/>
          <w:pgNumType w:fmt="numberInDash"/>
          <w:cols w:space="425" w:num="1"/>
          <w:docGrid w:type="lines" w:linePitch="435" w:charSpace="0"/>
        </w:sectPr>
      </w:pPr>
      <w:r>
        <w:drawing>
          <wp:inline distT="0" distB="0" distL="114300" distR="114300">
            <wp:extent cx="5612765" cy="3923665"/>
            <wp:effectExtent l="0" t="0" r="6985" b="635"/>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pic:cNvPicPr>
                      <a:picLocks noChangeAspect="1"/>
                    </pic:cNvPicPr>
                  </pic:nvPicPr>
                  <pic:blipFill>
                    <a:blip r:embed="rId24"/>
                    <a:stretch>
                      <a:fillRect/>
                    </a:stretch>
                  </pic:blipFill>
                  <pic:spPr>
                    <a:xfrm>
                      <a:off x="0" y="0"/>
                      <a:ext cx="5612765" cy="3923665"/>
                    </a:xfrm>
                    <a:prstGeom prst="rect">
                      <a:avLst/>
                    </a:prstGeom>
                    <a:noFill/>
                    <a:ln>
                      <a:noFill/>
                    </a:ln>
                  </pic:spPr>
                </pic:pic>
              </a:graphicData>
            </a:graphic>
          </wp:inline>
        </w:drawing>
      </w:r>
    </w:p>
    <w:p>
      <w:pPr>
        <w:pStyle w:val="2"/>
        <w:sectPr>
          <w:pgSz w:w="11906" w:h="16838"/>
          <w:pgMar w:top="2098" w:right="1474" w:bottom="1984" w:left="1587" w:header="851" w:footer="992" w:gutter="0"/>
          <w:pgNumType w:fmt="numberInDash"/>
          <w:cols w:space="425" w:num="1"/>
          <w:docGrid w:type="lines" w:linePitch="435" w:charSpace="0"/>
        </w:sectPr>
      </w:pPr>
      <w:r>
        <w:drawing>
          <wp:inline distT="0" distB="0" distL="114300" distR="114300">
            <wp:extent cx="5612765" cy="4020185"/>
            <wp:effectExtent l="0" t="0" r="6985" b="18415"/>
            <wp:docPr id="1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
                    <pic:cNvPicPr>
                      <a:picLocks noChangeAspect="1"/>
                    </pic:cNvPicPr>
                  </pic:nvPicPr>
                  <pic:blipFill>
                    <a:blip r:embed="rId25"/>
                    <a:stretch>
                      <a:fillRect/>
                    </a:stretch>
                  </pic:blipFill>
                  <pic:spPr>
                    <a:xfrm>
                      <a:off x="0" y="0"/>
                      <a:ext cx="5612765" cy="4020185"/>
                    </a:xfrm>
                    <a:prstGeom prst="rect">
                      <a:avLst/>
                    </a:prstGeom>
                    <a:noFill/>
                    <a:ln>
                      <a:noFill/>
                    </a:ln>
                  </pic:spPr>
                </pic:pic>
              </a:graphicData>
            </a:graphic>
          </wp:inline>
        </w:drawing>
      </w:r>
    </w:p>
    <w:p>
      <w:pPr>
        <w:pStyle w:val="2"/>
        <w:sectPr>
          <w:pgSz w:w="11906" w:h="16838"/>
          <w:pgMar w:top="2098" w:right="1474" w:bottom="1984" w:left="1587" w:header="851" w:footer="992" w:gutter="0"/>
          <w:pgNumType w:fmt="numberInDash"/>
          <w:cols w:space="425" w:num="1"/>
          <w:docGrid w:type="lines" w:linePitch="435" w:charSpace="0"/>
        </w:sectPr>
      </w:pPr>
      <w:r>
        <w:drawing>
          <wp:inline distT="0" distB="0" distL="114300" distR="114300">
            <wp:extent cx="5612765" cy="4105910"/>
            <wp:effectExtent l="0" t="0" r="6985" b="8890"/>
            <wp:docPr id="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pic:cNvPicPr>
                      <a:picLocks noChangeAspect="1"/>
                    </pic:cNvPicPr>
                  </pic:nvPicPr>
                  <pic:blipFill>
                    <a:blip r:embed="rId26"/>
                    <a:stretch>
                      <a:fillRect/>
                    </a:stretch>
                  </pic:blipFill>
                  <pic:spPr>
                    <a:xfrm>
                      <a:off x="0" y="0"/>
                      <a:ext cx="5612765" cy="4105910"/>
                    </a:xfrm>
                    <a:prstGeom prst="rect">
                      <a:avLst/>
                    </a:prstGeom>
                    <a:noFill/>
                    <a:ln>
                      <a:noFill/>
                    </a:ln>
                  </pic:spPr>
                </pic:pic>
              </a:graphicData>
            </a:graphic>
          </wp:inline>
        </w:drawing>
      </w:r>
    </w:p>
    <w:p>
      <w:pPr>
        <w:pStyle w:val="2"/>
        <w:sectPr>
          <w:pgSz w:w="11906" w:h="16838"/>
          <w:pgMar w:top="2098" w:right="1474" w:bottom="1984" w:left="1587" w:header="851" w:footer="992" w:gutter="0"/>
          <w:pgNumType w:fmt="numberInDash"/>
          <w:cols w:space="425" w:num="1"/>
          <w:docGrid w:type="lines" w:linePitch="435" w:charSpace="0"/>
        </w:sectPr>
      </w:pPr>
      <w:r>
        <w:drawing>
          <wp:inline distT="0" distB="0" distL="114300" distR="114300">
            <wp:extent cx="5612765" cy="4043045"/>
            <wp:effectExtent l="0" t="0" r="6985" b="14605"/>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27"/>
                    <a:stretch>
                      <a:fillRect/>
                    </a:stretch>
                  </pic:blipFill>
                  <pic:spPr>
                    <a:xfrm>
                      <a:off x="0" y="0"/>
                      <a:ext cx="5612765" cy="4043045"/>
                    </a:xfrm>
                    <a:prstGeom prst="rect">
                      <a:avLst/>
                    </a:prstGeom>
                    <a:noFill/>
                    <a:ln>
                      <a:noFill/>
                    </a:ln>
                  </pic:spPr>
                </pic:pic>
              </a:graphicData>
            </a:graphic>
          </wp:inline>
        </w:drawing>
      </w:r>
    </w:p>
    <w:p>
      <w:pPr>
        <w:pStyle w:val="2"/>
        <w:sectPr>
          <w:pgSz w:w="11906" w:h="16838"/>
          <w:pgMar w:top="2098" w:right="1474" w:bottom="1984" w:left="1587" w:header="851" w:footer="992" w:gutter="0"/>
          <w:pgNumType w:fmt="numberInDash"/>
          <w:cols w:space="425" w:num="1"/>
          <w:docGrid w:type="lines" w:linePitch="435" w:charSpace="0"/>
        </w:sectPr>
      </w:pPr>
      <w:r>
        <w:drawing>
          <wp:inline distT="0" distB="0" distL="114300" distR="114300">
            <wp:extent cx="5612765" cy="4048760"/>
            <wp:effectExtent l="0" t="0" r="6985" b="8890"/>
            <wp:docPr id="2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1"/>
                    <pic:cNvPicPr>
                      <a:picLocks noChangeAspect="1"/>
                    </pic:cNvPicPr>
                  </pic:nvPicPr>
                  <pic:blipFill>
                    <a:blip r:embed="rId28"/>
                    <a:stretch>
                      <a:fillRect/>
                    </a:stretch>
                  </pic:blipFill>
                  <pic:spPr>
                    <a:xfrm>
                      <a:off x="0" y="0"/>
                      <a:ext cx="5612765" cy="4048760"/>
                    </a:xfrm>
                    <a:prstGeom prst="rect">
                      <a:avLst/>
                    </a:prstGeom>
                    <a:noFill/>
                    <a:ln>
                      <a:noFill/>
                    </a:ln>
                  </pic:spPr>
                </pic:pic>
              </a:graphicData>
            </a:graphic>
          </wp:inline>
        </w:drawing>
      </w:r>
    </w:p>
    <w:p>
      <w:pPr>
        <w:pStyle w:val="2"/>
        <w:sectPr>
          <w:pgSz w:w="11906" w:h="16838"/>
          <w:pgMar w:top="2098" w:right="1474" w:bottom="1984" w:left="1587" w:header="851" w:footer="992" w:gutter="0"/>
          <w:pgNumType w:fmt="numberInDash"/>
          <w:cols w:space="425" w:num="1"/>
          <w:docGrid w:type="lines" w:linePitch="435" w:charSpace="0"/>
        </w:sectPr>
      </w:pPr>
      <w:r>
        <w:drawing>
          <wp:inline distT="0" distB="0" distL="114300" distR="114300">
            <wp:extent cx="5612765" cy="4008755"/>
            <wp:effectExtent l="0" t="0" r="6985" b="10795"/>
            <wp:docPr id="2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2"/>
                    <pic:cNvPicPr>
                      <a:picLocks noChangeAspect="1"/>
                    </pic:cNvPicPr>
                  </pic:nvPicPr>
                  <pic:blipFill>
                    <a:blip r:embed="rId29"/>
                    <a:stretch>
                      <a:fillRect/>
                    </a:stretch>
                  </pic:blipFill>
                  <pic:spPr>
                    <a:xfrm>
                      <a:off x="0" y="0"/>
                      <a:ext cx="5612765" cy="4008755"/>
                    </a:xfrm>
                    <a:prstGeom prst="rect">
                      <a:avLst/>
                    </a:prstGeom>
                    <a:noFill/>
                    <a:ln>
                      <a:noFill/>
                    </a:ln>
                  </pic:spPr>
                </pic:pic>
              </a:graphicData>
            </a:graphic>
          </wp:inline>
        </w:drawing>
      </w:r>
    </w:p>
    <w:p>
      <w:pPr>
        <w:pStyle w:val="2"/>
        <w:sectPr>
          <w:pgSz w:w="11906" w:h="16838"/>
          <w:pgMar w:top="2098" w:right="1474" w:bottom="1984" w:left="1587" w:header="851" w:footer="992" w:gutter="0"/>
          <w:pgNumType w:fmt="numberInDash"/>
          <w:cols w:space="425" w:num="1"/>
          <w:docGrid w:type="lines" w:linePitch="435" w:charSpace="0"/>
        </w:sectPr>
      </w:pPr>
      <w:r>
        <w:drawing>
          <wp:inline distT="0" distB="0" distL="114300" distR="114300">
            <wp:extent cx="5612765" cy="4065905"/>
            <wp:effectExtent l="0" t="0" r="6985" b="10795"/>
            <wp:docPr id="2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3"/>
                    <pic:cNvPicPr>
                      <a:picLocks noChangeAspect="1"/>
                    </pic:cNvPicPr>
                  </pic:nvPicPr>
                  <pic:blipFill>
                    <a:blip r:embed="rId30"/>
                    <a:stretch>
                      <a:fillRect/>
                    </a:stretch>
                  </pic:blipFill>
                  <pic:spPr>
                    <a:xfrm>
                      <a:off x="0" y="0"/>
                      <a:ext cx="5612765" cy="4065905"/>
                    </a:xfrm>
                    <a:prstGeom prst="rect">
                      <a:avLst/>
                    </a:prstGeom>
                    <a:noFill/>
                    <a:ln>
                      <a:noFill/>
                    </a:ln>
                  </pic:spPr>
                </pic:pic>
              </a:graphicData>
            </a:graphic>
          </wp:inline>
        </w:drawing>
      </w:r>
    </w:p>
    <w:p>
      <w:pPr>
        <w:pStyle w:val="2"/>
        <w:sectPr>
          <w:pgSz w:w="11906" w:h="16838"/>
          <w:pgMar w:top="2098" w:right="1474" w:bottom="1984" w:left="1587" w:header="851" w:footer="992" w:gutter="0"/>
          <w:pgNumType w:fmt="numberInDash"/>
          <w:cols w:space="425" w:num="1"/>
          <w:docGrid w:type="lines" w:linePitch="435" w:charSpace="0"/>
        </w:sectPr>
      </w:pPr>
      <w:r>
        <w:drawing>
          <wp:inline distT="0" distB="0" distL="114300" distR="114300">
            <wp:extent cx="5612765" cy="4031615"/>
            <wp:effectExtent l="0" t="0" r="6985" b="6985"/>
            <wp:docPr id="2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4"/>
                    <pic:cNvPicPr>
                      <a:picLocks noChangeAspect="1"/>
                    </pic:cNvPicPr>
                  </pic:nvPicPr>
                  <pic:blipFill>
                    <a:blip r:embed="rId31"/>
                    <a:stretch>
                      <a:fillRect/>
                    </a:stretch>
                  </pic:blipFill>
                  <pic:spPr>
                    <a:xfrm>
                      <a:off x="0" y="0"/>
                      <a:ext cx="5612765" cy="4031615"/>
                    </a:xfrm>
                    <a:prstGeom prst="rect">
                      <a:avLst/>
                    </a:prstGeom>
                    <a:noFill/>
                    <a:ln>
                      <a:noFill/>
                    </a:ln>
                  </pic:spPr>
                </pic:pic>
              </a:graphicData>
            </a:graphic>
          </wp:inline>
        </w:drawing>
      </w:r>
    </w:p>
    <w:p>
      <w:pPr>
        <w:pStyle w:val="2"/>
        <w:sectPr>
          <w:pgSz w:w="11906" w:h="16838"/>
          <w:pgMar w:top="2098" w:right="1474" w:bottom="1984" w:left="1587" w:header="851" w:footer="992" w:gutter="0"/>
          <w:pgNumType w:fmt="numberInDash"/>
          <w:cols w:space="425" w:num="1"/>
          <w:docGrid w:type="lines" w:linePitch="435" w:charSpace="0"/>
        </w:sectPr>
      </w:pPr>
      <w:r>
        <w:drawing>
          <wp:inline distT="0" distB="0" distL="114300" distR="114300">
            <wp:extent cx="5612765" cy="3997325"/>
            <wp:effectExtent l="0" t="0" r="6985" b="3175"/>
            <wp:docPr id="2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5"/>
                    <pic:cNvPicPr>
                      <a:picLocks noChangeAspect="1"/>
                    </pic:cNvPicPr>
                  </pic:nvPicPr>
                  <pic:blipFill>
                    <a:blip r:embed="rId32"/>
                    <a:stretch>
                      <a:fillRect/>
                    </a:stretch>
                  </pic:blipFill>
                  <pic:spPr>
                    <a:xfrm>
                      <a:off x="0" y="0"/>
                      <a:ext cx="5612765" cy="3997325"/>
                    </a:xfrm>
                    <a:prstGeom prst="rect">
                      <a:avLst/>
                    </a:prstGeom>
                    <a:noFill/>
                    <a:ln>
                      <a:noFill/>
                    </a:ln>
                  </pic:spPr>
                </pic:pic>
              </a:graphicData>
            </a:graphic>
          </wp:inline>
        </w:drawing>
      </w:r>
    </w:p>
    <w:p>
      <w:pPr>
        <w:pStyle w:val="2"/>
        <w:sectPr>
          <w:pgSz w:w="11906" w:h="16838"/>
          <w:pgMar w:top="2098" w:right="1474" w:bottom="1984" w:left="1587" w:header="851" w:footer="992" w:gutter="0"/>
          <w:pgNumType w:fmt="numberInDash"/>
          <w:cols w:space="425" w:num="1"/>
          <w:docGrid w:type="lines" w:linePitch="435" w:charSpace="0"/>
        </w:sectPr>
      </w:pPr>
      <w:r>
        <w:drawing>
          <wp:inline distT="0" distB="0" distL="114300" distR="114300">
            <wp:extent cx="5612765" cy="4048760"/>
            <wp:effectExtent l="0" t="0" r="6985" b="8890"/>
            <wp:docPr id="2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6"/>
                    <pic:cNvPicPr>
                      <a:picLocks noChangeAspect="1"/>
                    </pic:cNvPicPr>
                  </pic:nvPicPr>
                  <pic:blipFill>
                    <a:blip r:embed="rId33"/>
                    <a:stretch>
                      <a:fillRect/>
                    </a:stretch>
                  </pic:blipFill>
                  <pic:spPr>
                    <a:xfrm>
                      <a:off x="0" y="0"/>
                      <a:ext cx="5612765" cy="4048760"/>
                    </a:xfrm>
                    <a:prstGeom prst="rect">
                      <a:avLst/>
                    </a:prstGeom>
                    <a:noFill/>
                    <a:ln>
                      <a:noFill/>
                    </a:ln>
                  </pic:spPr>
                </pic:pic>
              </a:graphicData>
            </a:graphic>
          </wp:inline>
        </w:drawing>
      </w:r>
    </w:p>
    <w:p>
      <w:pPr>
        <w:pStyle w:val="2"/>
        <w:sectPr>
          <w:pgSz w:w="11906" w:h="16838"/>
          <w:pgMar w:top="2098" w:right="1474" w:bottom="1984" w:left="1587" w:header="851" w:footer="992" w:gutter="0"/>
          <w:pgNumType w:fmt="numberInDash"/>
          <w:cols w:space="425" w:num="1"/>
          <w:docGrid w:type="lines" w:linePitch="435" w:charSpace="0"/>
        </w:sectPr>
      </w:pPr>
      <w:r>
        <w:drawing>
          <wp:inline distT="0" distB="0" distL="114300" distR="114300">
            <wp:extent cx="5612765" cy="4077335"/>
            <wp:effectExtent l="0" t="0" r="6985" b="18415"/>
            <wp:docPr id="2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7"/>
                    <pic:cNvPicPr>
                      <a:picLocks noChangeAspect="1"/>
                    </pic:cNvPicPr>
                  </pic:nvPicPr>
                  <pic:blipFill>
                    <a:blip r:embed="rId34"/>
                    <a:stretch>
                      <a:fillRect/>
                    </a:stretch>
                  </pic:blipFill>
                  <pic:spPr>
                    <a:xfrm>
                      <a:off x="0" y="0"/>
                      <a:ext cx="5612765" cy="4077335"/>
                    </a:xfrm>
                    <a:prstGeom prst="rect">
                      <a:avLst/>
                    </a:prstGeom>
                    <a:noFill/>
                    <a:ln>
                      <a:noFill/>
                    </a:ln>
                  </pic:spPr>
                </pic:pic>
              </a:graphicData>
            </a:graphic>
          </wp:inline>
        </w:drawing>
      </w:r>
    </w:p>
    <w:p>
      <w:pPr>
        <w:pStyle w:val="2"/>
        <w:rPr>
          <w:rFonts w:hint="eastAsia"/>
          <w:lang w:eastAsia="zh-CN"/>
        </w:rPr>
      </w:pPr>
      <w:r>
        <w:drawing>
          <wp:inline distT="0" distB="0" distL="114300" distR="114300">
            <wp:extent cx="5612765" cy="4316095"/>
            <wp:effectExtent l="0" t="0" r="6985" b="8255"/>
            <wp:docPr id="2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8"/>
                    <pic:cNvPicPr>
                      <a:picLocks noChangeAspect="1"/>
                    </pic:cNvPicPr>
                  </pic:nvPicPr>
                  <pic:blipFill>
                    <a:blip r:embed="rId35"/>
                    <a:stretch>
                      <a:fillRect/>
                    </a:stretch>
                  </pic:blipFill>
                  <pic:spPr>
                    <a:xfrm>
                      <a:off x="0" y="0"/>
                      <a:ext cx="5612765" cy="4316095"/>
                    </a:xfrm>
                    <a:prstGeom prst="rect">
                      <a:avLst/>
                    </a:prstGeom>
                    <a:noFill/>
                    <a:ln>
                      <a:noFill/>
                    </a:ln>
                  </pic:spPr>
                </pic:pic>
              </a:graphicData>
            </a:graphic>
          </wp:inline>
        </w:drawing>
      </w:r>
    </w:p>
    <w:p/>
    <w:p/>
    <w:p/>
    <w:p>
      <w:pPr>
        <w:pStyle w:val="14"/>
        <w:rPr>
          <w:rFonts w:hint="eastAsia"/>
          <w:lang w:eastAsia="zh-CN"/>
        </w:rPr>
      </w:pPr>
    </w:p>
    <w:p>
      <w:pPr>
        <w:rPr>
          <w:rFonts w:hint="eastAsia"/>
          <w:lang w:eastAsia="zh-CN"/>
        </w:rPr>
      </w:pPr>
    </w:p>
    <w:p>
      <w:pPr>
        <w:pStyle w:val="14"/>
        <w:rPr>
          <w:rFonts w:hint="eastAsia"/>
          <w:lang w:eastAsia="zh-CN"/>
        </w:rPr>
      </w:pPr>
    </w:p>
    <w:p>
      <w:pPr>
        <w:rPr>
          <w:rFonts w:hint="eastAsia"/>
          <w:lang w:eastAsia="zh-CN"/>
        </w:rPr>
      </w:pPr>
    </w:p>
    <w:p>
      <w:pPr>
        <w:pStyle w:val="14"/>
        <w:rPr>
          <w:rFonts w:hint="eastAsia"/>
          <w:lang w:eastAsia="zh-CN"/>
        </w:rPr>
      </w:pPr>
    </w:p>
    <w:p>
      <w:pPr>
        <w:rPr>
          <w:rFonts w:hint="eastAsia"/>
          <w:lang w:eastAsia="zh-CN"/>
        </w:rPr>
      </w:pPr>
    </w:p>
    <w:p>
      <w:pPr>
        <w:pStyle w:val="14"/>
        <w:rPr>
          <w:rFonts w:hint="eastAsia"/>
          <w:lang w:eastAsia="zh-CN"/>
        </w:rPr>
      </w:pPr>
    </w:p>
    <w:p>
      <w:pPr>
        <w:rPr>
          <w:rFonts w:hint="eastAsia"/>
          <w:lang w:eastAsia="zh-CN"/>
        </w:rPr>
      </w:pPr>
    </w:p>
    <w:p>
      <w:pPr>
        <w:pStyle w:val="14"/>
        <w:rPr>
          <w:rFonts w:hint="eastAsia"/>
          <w:lang w:eastAsia="zh-CN"/>
        </w:rPr>
      </w:pPr>
    </w:p>
    <w:p>
      <w:pPr>
        <w:rPr>
          <w:rFonts w:hint="eastAsia"/>
          <w:lang w:eastAsia="zh-CN"/>
        </w:rPr>
      </w:pPr>
    </w:p>
    <w:p>
      <w:pPr>
        <w:pStyle w:val="14"/>
        <w:rPr>
          <w:rFonts w:hint="eastAsia"/>
          <w:lang w:eastAsia="zh-CN"/>
        </w:rPr>
      </w:pPr>
    </w:p>
    <w:p>
      <w:pPr>
        <w:rPr>
          <w:rFonts w:hint="eastAsia"/>
          <w:lang w:eastAsia="zh-CN"/>
        </w:rPr>
      </w:pPr>
    </w:p>
    <w:p>
      <w:pPr>
        <w:pStyle w:val="14"/>
        <w:rPr>
          <w:rFonts w:hint="eastAsia"/>
          <w:lang w:eastAsia="zh-CN"/>
        </w:rPr>
      </w:pPr>
    </w:p>
    <w:p>
      <w:pPr>
        <w:rPr>
          <w:rFonts w:hint="eastAsia"/>
          <w:lang w:eastAsia="zh-CN"/>
        </w:rPr>
      </w:pPr>
    </w:p>
    <w:p>
      <w:pPr>
        <w:pStyle w:val="14"/>
        <w:rPr>
          <w:rFonts w:hint="eastAsia"/>
          <w:lang w:eastAsia="zh-CN"/>
        </w:rPr>
      </w:pPr>
    </w:p>
    <w:p>
      <w:pPr>
        <w:rPr>
          <w:rFonts w:hint="eastAsia"/>
          <w:lang w:eastAsia="zh-CN"/>
        </w:rPr>
      </w:pPr>
    </w:p>
    <w:p>
      <w:pPr>
        <w:pStyle w:val="14"/>
        <w:rPr>
          <w:rFonts w:hint="eastAsia"/>
          <w:lang w:eastAsia="zh-CN"/>
        </w:rPr>
      </w:pPr>
    </w:p>
    <w:p>
      <w:pPr>
        <w:rPr>
          <w:rFonts w:hint="eastAsia"/>
          <w:lang w:eastAsia="zh-CN"/>
        </w:rPr>
      </w:pPr>
    </w:p>
    <w:p>
      <w:pPr>
        <w:pStyle w:val="14"/>
        <w:rPr>
          <w:rFonts w:hint="eastAsia"/>
          <w:lang w:eastAsia="zh-CN"/>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pStyle w:val="3"/>
        <w:bidi w:val="0"/>
        <w:jc w:val="center"/>
        <w:rPr>
          <w:rFonts w:hint="eastAsia" w:ascii="Times New Roman" w:hAnsi="Times New Roman" w:eastAsia="仿宋_GB2312" w:cs="仿宋_GB2312"/>
          <w:color w:val="auto"/>
          <w:sz w:val="32"/>
          <w:szCs w:val="32"/>
          <w:highlight w:val="none"/>
        </w:rPr>
      </w:pPr>
      <w:bookmarkStart w:id="93" w:name="_Toc15396618"/>
      <w:bookmarkStart w:id="94" w:name="_Toc10904"/>
      <w:r>
        <w:rPr>
          <w:rFonts w:hint="eastAsia"/>
        </w:rPr>
        <w:t>第五部分 附表</w:t>
      </w:r>
      <w:bookmarkEnd w:id="75"/>
      <w:bookmarkEnd w:id="93"/>
      <w:bookmarkEnd w:id="94"/>
      <w:bookmarkStart w:id="95" w:name="_Toc15396619"/>
    </w:p>
    <w:p>
      <w:pPr>
        <w:pStyle w:val="4"/>
        <w:bidi w:val="0"/>
        <w:rPr>
          <w:rFonts w:hint="eastAsia"/>
          <w:sz w:val="28"/>
          <w:szCs w:val="28"/>
        </w:rPr>
      </w:pPr>
      <w:bookmarkStart w:id="96" w:name="_Toc13036"/>
      <w:r>
        <w:rPr>
          <w:rFonts w:hint="eastAsia"/>
          <w:sz w:val="28"/>
          <w:szCs w:val="28"/>
        </w:rPr>
        <w:t>一、收入支出决算总表</w:t>
      </w:r>
      <w:bookmarkEnd w:id="95"/>
      <w:bookmarkEnd w:id="96"/>
    </w:p>
    <w:p>
      <w:pPr>
        <w:pStyle w:val="4"/>
        <w:bidi w:val="0"/>
        <w:rPr>
          <w:rFonts w:hint="eastAsia"/>
          <w:sz w:val="28"/>
          <w:szCs w:val="28"/>
        </w:rPr>
      </w:pPr>
      <w:bookmarkStart w:id="97" w:name="_Toc15396620"/>
      <w:bookmarkStart w:id="98" w:name="_Toc6456"/>
      <w:r>
        <w:rPr>
          <w:rFonts w:hint="eastAsia"/>
          <w:sz w:val="28"/>
          <w:szCs w:val="28"/>
        </w:rPr>
        <w:t>二、收入决算表</w:t>
      </w:r>
      <w:bookmarkEnd w:id="97"/>
      <w:bookmarkEnd w:id="98"/>
    </w:p>
    <w:p>
      <w:pPr>
        <w:pStyle w:val="4"/>
        <w:bidi w:val="0"/>
        <w:rPr>
          <w:rFonts w:hint="eastAsia"/>
          <w:sz w:val="28"/>
          <w:szCs w:val="28"/>
        </w:rPr>
      </w:pPr>
      <w:bookmarkStart w:id="99" w:name="_Toc15396621"/>
      <w:bookmarkStart w:id="100" w:name="_Toc26222"/>
      <w:r>
        <w:rPr>
          <w:rFonts w:hint="eastAsia"/>
          <w:sz w:val="28"/>
          <w:szCs w:val="28"/>
        </w:rPr>
        <w:t>三、支出决算表</w:t>
      </w:r>
      <w:bookmarkEnd w:id="99"/>
      <w:bookmarkEnd w:id="100"/>
    </w:p>
    <w:p>
      <w:pPr>
        <w:pStyle w:val="4"/>
        <w:bidi w:val="0"/>
        <w:rPr>
          <w:rFonts w:hint="eastAsia"/>
          <w:sz w:val="28"/>
          <w:szCs w:val="28"/>
        </w:rPr>
      </w:pPr>
      <w:bookmarkStart w:id="101" w:name="_Toc15396622"/>
      <w:bookmarkStart w:id="102" w:name="_Toc17579"/>
      <w:r>
        <w:rPr>
          <w:rFonts w:hint="eastAsia"/>
          <w:sz w:val="28"/>
          <w:szCs w:val="28"/>
        </w:rPr>
        <w:t>四、财政拨款收入支出决算总表</w:t>
      </w:r>
      <w:bookmarkEnd w:id="101"/>
      <w:bookmarkEnd w:id="102"/>
    </w:p>
    <w:p>
      <w:pPr>
        <w:pStyle w:val="4"/>
        <w:bidi w:val="0"/>
        <w:rPr>
          <w:rFonts w:hint="eastAsia"/>
          <w:sz w:val="28"/>
          <w:szCs w:val="28"/>
        </w:rPr>
      </w:pPr>
      <w:bookmarkStart w:id="103" w:name="_Toc15396623"/>
      <w:bookmarkStart w:id="104" w:name="_Toc17870"/>
      <w:r>
        <w:rPr>
          <w:rFonts w:hint="eastAsia"/>
          <w:sz w:val="28"/>
          <w:szCs w:val="28"/>
        </w:rPr>
        <w:t>五、财政拨款支出决算明细表</w:t>
      </w:r>
      <w:bookmarkEnd w:id="103"/>
      <w:bookmarkEnd w:id="104"/>
      <w:bookmarkStart w:id="105" w:name="_Toc15396624"/>
    </w:p>
    <w:p>
      <w:pPr>
        <w:pStyle w:val="4"/>
        <w:bidi w:val="0"/>
        <w:rPr>
          <w:rFonts w:hint="eastAsia"/>
          <w:sz w:val="28"/>
          <w:szCs w:val="28"/>
        </w:rPr>
      </w:pPr>
      <w:bookmarkStart w:id="106" w:name="_Toc26246"/>
      <w:r>
        <w:rPr>
          <w:rFonts w:hint="eastAsia"/>
          <w:sz w:val="28"/>
          <w:szCs w:val="28"/>
        </w:rPr>
        <w:t>六、一般公共预算财政拨款支出决算表</w:t>
      </w:r>
      <w:bookmarkEnd w:id="105"/>
      <w:bookmarkEnd w:id="106"/>
    </w:p>
    <w:p>
      <w:pPr>
        <w:pStyle w:val="4"/>
        <w:bidi w:val="0"/>
        <w:rPr>
          <w:rFonts w:hint="eastAsia"/>
          <w:sz w:val="28"/>
          <w:szCs w:val="28"/>
        </w:rPr>
      </w:pPr>
      <w:bookmarkStart w:id="107" w:name="_Toc15396625"/>
      <w:bookmarkStart w:id="108" w:name="_Toc28906"/>
      <w:r>
        <w:rPr>
          <w:rFonts w:hint="eastAsia"/>
          <w:sz w:val="28"/>
          <w:szCs w:val="28"/>
        </w:rPr>
        <w:t>七、一般公共预算财政拨款支出决算明细表</w:t>
      </w:r>
      <w:bookmarkEnd w:id="107"/>
      <w:bookmarkEnd w:id="108"/>
    </w:p>
    <w:p>
      <w:pPr>
        <w:pStyle w:val="4"/>
        <w:bidi w:val="0"/>
        <w:rPr>
          <w:rFonts w:hint="eastAsia"/>
          <w:sz w:val="28"/>
          <w:szCs w:val="28"/>
        </w:rPr>
      </w:pPr>
      <w:bookmarkStart w:id="109" w:name="_Toc15396626"/>
      <w:bookmarkStart w:id="110" w:name="_Toc16714"/>
      <w:r>
        <w:rPr>
          <w:rFonts w:hint="eastAsia"/>
          <w:sz w:val="28"/>
          <w:szCs w:val="28"/>
        </w:rPr>
        <w:t>八、一般公共预算财政拨款基本支出决算表</w:t>
      </w:r>
      <w:bookmarkEnd w:id="109"/>
      <w:bookmarkEnd w:id="110"/>
    </w:p>
    <w:p>
      <w:pPr>
        <w:pStyle w:val="4"/>
        <w:bidi w:val="0"/>
        <w:rPr>
          <w:rFonts w:hint="eastAsia"/>
          <w:sz w:val="28"/>
          <w:szCs w:val="28"/>
        </w:rPr>
      </w:pPr>
      <w:bookmarkStart w:id="111" w:name="_Toc15396627"/>
      <w:bookmarkStart w:id="112" w:name="_Toc8690"/>
      <w:r>
        <w:rPr>
          <w:rFonts w:hint="eastAsia"/>
          <w:sz w:val="28"/>
          <w:szCs w:val="28"/>
        </w:rPr>
        <w:t>九、一般公共预算财政拨款项目支出决算表</w:t>
      </w:r>
      <w:bookmarkEnd w:id="111"/>
      <w:bookmarkEnd w:id="112"/>
    </w:p>
    <w:p>
      <w:pPr>
        <w:pStyle w:val="4"/>
        <w:bidi w:val="0"/>
        <w:rPr>
          <w:rFonts w:hint="eastAsia"/>
          <w:sz w:val="28"/>
          <w:szCs w:val="28"/>
        </w:rPr>
      </w:pPr>
      <w:bookmarkStart w:id="113" w:name="_Toc15396628"/>
      <w:bookmarkStart w:id="114" w:name="_Toc26963"/>
      <w:r>
        <w:rPr>
          <w:rFonts w:hint="eastAsia"/>
          <w:sz w:val="28"/>
          <w:szCs w:val="28"/>
        </w:rPr>
        <w:t>十、</w:t>
      </w:r>
      <w:bookmarkEnd w:id="113"/>
      <w:r>
        <w:rPr>
          <w:rFonts w:hint="eastAsia"/>
          <w:sz w:val="28"/>
          <w:szCs w:val="28"/>
        </w:rPr>
        <w:t>政府性基金预算财政拨款收入支出决算表</w:t>
      </w:r>
      <w:bookmarkEnd w:id="114"/>
    </w:p>
    <w:p>
      <w:pPr>
        <w:pStyle w:val="4"/>
        <w:bidi w:val="0"/>
        <w:rPr>
          <w:rFonts w:hint="eastAsia"/>
          <w:sz w:val="28"/>
          <w:szCs w:val="28"/>
        </w:rPr>
      </w:pPr>
      <w:bookmarkStart w:id="115" w:name="_Toc15396629"/>
      <w:bookmarkStart w:id="116" w:name="_Toc31510"/>
      <w:r>
        <w:rPr>
          <w:rFonts w:hint="eastAsia"/>
          <w:sz w:val="28"/>
          <w:szCs w:val="28"/>
        </w:rPr>
        <w:t>十一、</w:t>
      </w:r>
      <w:bookmarkEnd w:id="115"/>
      <w:r>
        <w:rPr>
          <w:rFonts w:hint="eastAsia"/>
          <w:sz w:val="28"/>
          <w:szCs w:val="28"/>
        </w:rPr>
        <w:t>国有资本经营预算</w:t>
      </w:r>
      <w:r>
        <w:rPr>
          <w:rFonts w:hint="eastAsia"/>
          <w:sz w:val="28"/>
          <w:szCs w:val="28"/>
          <w:lang w:eastAsia="zh-CN"/>
        </w:rPr>
        <w:t>财政拨款收入</w:t>
      </w:r>
      <w:r>
        <w:rPr>
          <w:rFonts w:hint="eastAsia"/>
          <w:sz w:val="28"/>
          <w:szCs w:val="28"/>
        </w:rPr>
        <w:t>支出决算表</w:t>
      </w:r>
      <w:bookmarkEnd w:id="116"/>
    </w:p>
    <w:p>
      <w:pPr>
        <w:pStyle w:val="4"/>
        <w:bidi w:val="0"/>
        <w:rPr>
          <w:rFonts w:hint="eastAsia"/>
          <w:sz w:val="28"/>
          <w:szCs w:val="28"/>
        </w:rPr>
      </w:pPr>
      <w:bookmarkStart w:id="117" w:name="_Toc15396630"/>
      <w:bookmarkStart w:id="118" w:name="_Toc25159"/>
      <w:r>
        <w:rPr>
          <w:rFonts w:hint="eastAsia"/>
          <w:sz w:val="28"/>
          <w:szCs w:val="28"/>
        </w:rPr>
        <w:t>十二、</w:t>
      </w:r>
      <w:bookmarkEnd w:id="117"/>
      <w:r>
        <w:rPr>
          <w:rFonts w:hint="eastAsia"/>
          <w:sz w:val="28"/>
          <w:szCs w:val="28"/>
          <w:lang w:eastAsia="zh-CN"/>
        </w:rPr>
        <w:t>国有资本经营预算财政拨款支出决算表</w:t>
      </w:r>
      <w:bookmarkEnd w:id="118"/>
    </w:p>
    <w:p>
      <w:pPr>
        <w:pStyle w:val="4"/>
        <w:bidi w:val="0"/>
        <w:rPr>
          <w:rFonts w:hint="eastAsia"/>
          <w:sz w:val="28"/>
          <w:szCs w:val="28"/>
          <w:lang w:eastAsia="zh-CN"/>
        </w:rPr>
      </w:pPr>
      <w:bookmarkStart w:id="119" w:name="_Toc15396631"/>
      <w:bookmarkStart w:id="120" w:name="_Toc6839"/>
      <w:r>
        <w:rPr>
          <w:rFonts w:hint="eastAsia"/>
          <w:sz w:val="28"/>
          <w:szCs w:val="28"/>
        </w:rPr>
        <w:t>十三、</w:t>
      </w:r>
      <w:bookmarkEnd w:id="119"/>
      <w:r>
        <w:rPr>
          <w:rFonts w:hint="eastAsia"/>
          <w:sz w:val="28"/>
          <w:szCs w:val="28"/>
          <w:lang w:eastAsia="zh-CN"/>
        </w:rPr>
        <w:t>财政拨款“三公”经费支出决算表</w:t>
      </w:r>
      <w:bookmarkEnd w:id="120"/>
    </w:p>
    <w:p>
      <w:pPr>
        <w:rPr>
          <w:rFonts w:hint="eastAsia" w:ascii="Times New Roman" w:hAnsi="Times New Roman"/>
          <w:lang w:eastAsia="zh-CN"/>
        </w:rPr>
      </w:pPr>
    </w:p>
    <w:sectPr>
      <w:footerReference r:id="rId9" w:type="first"/>
      <w:footerReference r:id="rId8"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altName w:val="黑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叶根友毛笔行书2.0版">
    <w:panose1 w:val="02010601030101010101"/>
    <w:charset w:val="86"/>
    <w:family w:val="auto"/>
    <w:pitch w:val="default"/>
    <w:sig w:usb0="00000001" w:usb1="080E0000" w:usb2="00000000" w:usb3="00000000" w:csb0="00040000" w:csb1="00000000"/>
  </w:font>
  <w:font w:name="DotumChe">
    <w:panose1 w:val="020B0609000101010101"/>
    <w:charset w:val="81"/>
    <w:family w:val="auto"/>
    <w:pitch w:val="default"/>
    <w:sig w:usb0="B00002AF" w:usb1="69D77CFB" w:usb2="00000030" w:usb3="00000000" w:csb0="4008009F" w:csb1="DFD70000"/>
  </w:font>
  <w:font w:name="SimSun-ExtB">
    <w:panose1 w:val="02010609060101010101"/>
    <w:charset w:val="86"/>
    <w:family w:val="auto"/>
    <w:pitch w:val="default"/>
    <w:sig w:usb0="00000001" w:usb1="02000000" w:usb2="00000000" w:usb3="00000000" w:csb0="00040001" w:csb1="00000000"/>
  </w:font>
  <w:font w:name="BrowalliaUPC">
    <w:panose1 w:val="020B0604020202020204"/>
    <w:charset w:val="00"/>
    <w:family w:val="auto"/>
    <w:pitch w:val="default"/>
    <w:sig w:usb0="81000003" w:usb1="00000000" w:usb2="00000000" w:usb3="00000000" w:csb0="00010001" w:csb1="00000000"/>
  </w:font>
  <w:font w:name="Segoe Print">
    <w:panose1 w:val="02000600000000000000"/>
    <w:charset w:val="00"/>
    <w:family w:val="auto"/>
    <w:pitch w:val="default"/>
    <w:sig w:usb0="0000028F" w:usb1="00000000" w:usb2="00000000" w:usb3="00000000" w:csb0="2000009F" w:csb1="47010000"/>
  </w:font>
  <w:font w:name="BatangChe">
    <w:panose1 w:val="02030609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MingLiU_HKSCS-ExtB">
    <w:panose1 w:val="02020500000000000000"/>
    <w:charset w:val="88"/>
    <w:family w:val="auto"/>
    <w:pitch w:val="default"/>
    <w:sig w:usb0="8000002F" w:usb1="02000008" w:usb2="00000000" w:usb3="00000000" w:csb0="00100001" w:csb1="00000000"/>
  </w:font>
  <w:font w:name="Angsana New">
    <w:panose1 w:val="02020603050405020304"/>
    <w:charset w:val="00"/>
    <w:family w:val="auto"/>
    <w:pitch w:val="default"/>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ind w:right="296" w:rightChars="141"/>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6 -</w:t>
                          </w:r>
                          <w:r>
                            <w:rPr>
                              <w:rFonts w:ascii="宋体" w:hAnsi="宋体"/>
                              <w:sz w:val="28"/>
                              <w:szCs w:val="28"/>
                            </w:rPr>
                            <w:fldChar w:fldCharType="end"/>
                          </w: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CxUsaAgAAIw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NwLFSxoCAAAjBAAADgAA&#10;AAAAAAABACAAAAAfAQAAZHJzL2Uyb0RvYy54bWxQSwUGAAAAAAYABgBZAQAAqwUAAAAA&#10;">
              <v:fill on="f" focussize="0,0"/>
              <v:stroke on="f" weight="0.5pt"/>
              <v:imagedata o:title=""/>
              <o:lock v:ext="edit" aspectratio="f"/>
              <v:textbox inset="0mm,0mm,0mm,0mm" style="mso-fit-shape-to-text:t;">
                <w:txbxContent>
                  <w:p>
                    <w:pPr>
                      <w:pStyle w:val="2"/>
                      <w:ind w:right="296" w:rightChars="141"/>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6 -</w:t>
                    </w:r>
                    <w:r>
                      <w:rPr>
                        <w:rFonts w:ascii="宋体" w:hAnsi="宋体"/>
                        <w:sz w:val="28"/>
                        <w:szCs w:val="28"/>
                      </w:rPr>
                      <w:fldChar w:fldCharType="end"/>
                    </w:r>
                  </w:p>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5K3pfhcCAAAVBAAADgAAAAAA&#10;AAABACAAAAAfAQAAZHJzL2Uyb0RvYy54bWxQSwUGAAAAAAYABgBZAQAAqA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p>
    <w:pPr>
      <w:pStyle w:val="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9F990B"/>
    <w:multiLevelType w:val="singleLevel"/>
    <w:tmpl w:val="8B9F990B"/>
    <w:lvl w:ilvl="0" w:tentative="0">
      <w:start w:val="1"/>
      <w:numFmt w:val="decimal"/>
      <w:lvlText w:val="%1."/>
      <w:lvlJc w:val="left"/>
      <w:pPr>
        <w:tabs>
          <w:tab w:val="left" w:pos="312"/>
        </w:tabs>
      </w:pPr>
    </w:lvl>
  </w:abstractNum>
  <w:abstractNum w:abstractNumId="1">
    <w:nsid w:val="B9965BDA"/>
    <w:multiLevelType w:val="singleLevel"/>
    <w:tmpl w:val="B9965BDA"/>
    <w:lvl w:ilvl="0" w:tentative="0">
      <w:start w:val="1"/>
      <w:numFmt w:val="decimal"/>
      <w:suff w:val="space"/>
      <w:lvlText w:val="%1."/>
      <w:lvlJc w:val="left"/>
    </w:lvl>
  </w:abstractNum>
  <w:abstractNum w:abstractNumId="2">
    <w:nsid w:val="C0CD0CC3"/>
    <w:multiLevelType w:val="singleLevel"/>
    <w:tmpl w:val="C0CD0CC3"/>
    <w:lvl w:ilvl="0" w:tentative="0">
      <w:start w:val="1"/>
      <w:numFmt w:val="decimal"/>
      <w:lvlText w:val="%1."/>
      <w:lvlJc w:val="left"/>
      <w:pPr>
        <w:tabs>
          <w:tab w:val="left" w:pos="312"/>
        </w:tabs>
      </w:pPr>
    </w:lvl>
  </w:abstractNum>
  <w:abstractNum w:abstractNumId="3">
    <w:nsid w:val="E202BAB8"/>
    <w:multiLevelType w:val="singleLevel"/>
    <w:tmpl w:val="E202BAB8"/>
    <w:lvl w:ilvl="0" w:tentative="0">
      <w:start w:val="1"/>
      <w:numFmt w:val="chineseCounting"/>
      <w:suff w:val="nothing"/>
      <w:lvlText w:val="%1、"/>
      <w:lvlJc w:val="left"/>
      <w:rPr>
        <w:rFonts w:hint="eastAsia"/>
      </w:rPr>
    </w:lvl>
  </w:abstractNum>
  <w:abstractNum w:abstractNumId="4">
    <w:nsid w:val="2265BAAD"/>
    <w:multiLevelType w:val="singleLevel"/>
    <w:tmpl w:val="2265BAAD"/>
    <w:lvl w:ilvl="0" w:tentative="0">
      <w:start w:val="1"/>
      <w:numFmt w:val="chineseCounting"/>
      <w:suff w:val="nothing"/>
      <w:lvlText w:val="（%1）"/>
      <w:lvlJc w:val="left"/>
      <w:rPr>
        <w:rFonts w:hint="eastAsia"/>
      </w:rPr>
    </w:lvl>
  </w:abstractNum>
  <w:abstractNum w:abstractNumId="5">
    <w:nsid w:val="25AE14DB"/>
    <w:multiLevelType w:val="singleLevel"/>
    <w:tmpl w:val="25AE14DB"/>
    <w:lvl w:ilvl="0" w:tentative="0">
      <w:start w:val="12"/>
      <w:numFmt w:val="decimal"/>
      <w:suff w:val="space"/>
      <w:lvlText w:val="%1."/>
      <w:lvlJc w:val="left"/>
    </w:lvl>
  </w:abstractNum>
  <w:abstractNum w:abstractNumId="6">
    <w:nsid w:val="484DE548"/>
    <w:multiLevelType w:val="singleLevel"/>
    <w:tmpl w:val="484DE548"/>
    <w:lvl w:ilvl="0" w:tentative="0">
      <w:start w:val="4"/>
      <w:numFmt w:val="chineseCounting"/>
      <w:suff w:val="space"/>
      <w:lvlText w:val="第%1部分"/>
      <w:lvlJc w:val="left"/>
      <w:rPr>
        <w:rFonts w:hint="eastAsia"/>
      </w:rPr>
    </w:lvl>
  </w:abstractNum>
  <w:abstractNum w:abstractNumId="7">
    <w:nsid w:val="4BA6A42F"/>
    <w:multiLevelType w:val="singleLevel"/>
    <w:tmpl w:val="4BA6A42F"/>
    <w:lvl w:ilvl="0" w:tentative="0">
      <w:start w:val="2"/>
      <w:numFmt w:val="decimal"/>
      <w:suff w:val="nothing"/>
      <w:lvlText w:val="%1、"/>
      <w:lvlJc w:val="left"/>
    </w:lvl>
  </w:abstractNum>
  <w:num w:numId="1">
    <w:abstractNumId w:val="3"/>
  </w:num>
  <w:num w:numId="2">
    <w:abstractNumId w:val="0"/>
  </w:num>
  <w:num w:numId="3">
    <w:abstractNumId w:val="2"/>
  </w:num>
  <w:num w:numId="4">
    <w:abstractNumId w:val="1"/>
  </w:num>
  <w:num w:numId="5">
    <w:abstractNumId w:val="5"/>
  </w:num>
  <w:num w:numId="6">
    <w:abstractNumId w:val="6"/>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117A"/>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54B"/>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20DF2"/>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726FE"/>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152DF0"/>
    <w:rsid w:val="015975B8"/>
    <w:rsid w:val="01E46D89"/>
    <w:rsid w:val="01F9035B"/>
    <w:rsid w:val="020016E9"/>
    <w:rsid w:val="02317B1B"/>
    <w:rsid w:val="02427F54"/>
    <w:rsid w:val="027B2776"/>
    <w:rsid w:val="028A203B"/>
    <w:rsid w:val="02FEBE30"/>
    <w:rsid w:val="03F37758"/>
    <w:rsid w:val="045C3E73"/>
    <w:rsid w:val="04B92AB0"/>
    <w:rsid w:val="04CC44EA"/>
    <w:rsid w:val="0571576A"/>
    <w:rsid w:val="061E35DE"/>
    <w:rsid w:val="065D680C"/>
    <w:rsid w:val="066E0107"/>
    <w:rsid w:val="07967452"/>
    <w:rsid w:val="07996F6E"/>
    <w:rsid w:val="07DFD8BA"/>
    <w:rsid w:val="08DB07E4"/>
    <w:rsid w:val="092E371C"/>
    <w:rsid w:val="097A7FD3"/>
    <w:rsid w:val="09867E8F"/>
    <w:rsid w:val="09D43B87"/>
    <w:rsid w:val="0A195C1F"/>
    <w:rsid w:val="0A2032A3"/>
    <w:rsid w:val="0A2D3298"/>
    <w:rsid w:val="0AD73F30"/>
    <w:rsid w:val="0AF142C5"/>
    <w:rsid w:val="0B2E5519"/>
    <w:rsid w:val="0C6C4794"/>
    <w:rsid w:val="0CA8290A"/>
    <w:rsid w:val="0D35B1ED"/>
    <w:rsid w:val="0DE07E2B"/>
    <w:rsid w:val="0E2B5AF7"/>
    <w:rsid w:val="0E464928"/>
    <w:rsid w:val="0E6354DA"/>
    <w:rsid w:val="0EBC4943"/>
    <w:rsid w:val="0EC73CBB"/>
    <w:rsid w:val="0EF97BEC"/>
    <w:rsid w:val="0F98263C"/>
    <w:rsid w:val="0FA4224E"/>
    <w:rsid w:val="101860EC"/>
    <w:rsid w:val="10795489"/>
    <w:rsid w:val="10C055FF"/>
    <w:rsid w:val="10E81680"/>
    <w:rsid w:val="10EC17B7"/>
    <w:rsid w:val="11164A85"/>
    <w:rsid w:val="11772AA4"/>
    <w:rsid w:val="118107EC"/>
    <w:rsid w:val="11AA463D"/>
    <w:rsid w:val="12070D49"/>
    <w:rsid w:val="12355F6F"/>
    <w:rsid w:val="125F420A"/>
    <w:rsid w:val="128F4AAE"/>
    <w:rsid w:val="12B44556"/>
    <w:rsid w:val="12D22C2E"/>
    <w:rsid w:val="13D50BC4"/>
    <w:rsid w:val="14022904"/>
    <w:rsid w:val="14AA20B4"/>
    <w:rsid w:val="152C2AC9"/>
    <w:rsid w:val="152F2A07"/>
    <w:rsid w:val="154A6192"/>
    <w:rsid w:val="1567051E"/>
    <w:rsid w:val="156A35F2"/>
    <w:rsid w:val="156F3491"/>
    <w:rsid w:val="159D3250"/>
    <w:rsid w:val="15C9656A"/>
    <w:rsid w:val="165E0673"/>
    <w:rsid w:val="16BB723D"/>
    <w:rsid w:val="16DC22CD"/>
    <w:rsid w:val="178E7A6B"/>
    <w:rsid w:val="17F945CD"/>
    <w:rsid w:val="186504BB"/>
    <w:rsid w:val="18820C52"/>
    <w:rsid w:val="1938089F"/>
    <w:rsid w:val="19396899"/>
    <w:rsid w:val="19A445FC"/>
    <w:rsid w:val="1AE654C9"/>
    <w:rsid w:val="1B5468D6"/>
    <w:rsid w:val="1B7D550C"/>
    <w:rsid w:val="1BE8440E"/>
    <w:rsid w:val="1BF14E41"/>
    <w:rsid w:val="1BFC23B9"/>
    <w:rsid w:val="1C534DE0"/>
    <w:rsid w:val="1D155CEE"/>
    <w:rsid w:val="1D552DD9"/>
    <w:rsid w:val="1E6F1C79"/>
    <w:rsid w:val="1E740ACF"/>
    <w:rsid w:val="1EF26B32"/>
    <w:rsid w:val="1F107A8A"/>
    <w:rsid w:val="1F751511"/>
    <w:rsid w:val="1FB65DB1"/>
    <w:rsid w:val="1FBB33C8"/>
    <w:rsid w:val="1FDC6E9A"/>
    <w:rsid w:val="1FF35744"/>
    <w:rsid w:val="1FF6BC77"/>
    <w:rsid w:val="202B34C4"/>
    <w:rsid w:val="20542ED4"/>
    <w:rsid w:val="209239FD"/>
    <w:rsid w:val="21150E6D"/>
    <w:rsid w:val="21274A8D"/>
    <w:rsid w:val="21962A9E"/>
    <w:rsid w:val="21AE7C77"/>
    <w:rsid w:val="21F4671D"/>
    <w:rsid w:val="22140B6D"/>
    <w:rsid w:val="22BC3C41"/>
    <w:rsid w:val="23860B96"/>
    <w:rsid w:val="23ED78C8"/>
    <w:rsid w:val="240371BF"/>
    <w:rsid w:val="24EB0BC6"/>
    <w:rsid w:val="25461985"/>
    <w:rsid w:val="255D1154"/>
    <w:rsid w:val="260B1A8B"/>
    <w:rsid w:val="260F557C"/>
    <w:rsid w:val="26445799"/>
    <w:rsid w:val="26804A23"/>
    <w:rsid w:val="26906C30"/>
    <w:rsid w:val="26E75939"/>
    <w:rsid w:val="281408E2"/>
    <w:rsid w:val="288017B4"/>
    <w:rsid w:val="28A80261"/>
    <w:rsid w:val="28C037FD"/>
    <w:rsid w:val="292D2FB3"/>
    <w:rsid w:val="29C76E0D"/>
    <w:rsid w:val="29FD04D3"/>
    <w:rsid w:val="2A44045E"/>
    <w:rsid w:val="2B222C50"/>
    <w:rsid w:val="2BFC0FF0"/>
    <w:rsid w:val="2BFF7BC6"/>
    <w:rsid w:val="2C8A61B5"/>
    <w:rsid w:val="2CA32422"/>
    <w:rsid w:val="2CDC497D"/>
    <w:rsid w:val="2D2E01CF"/>
    <w:rsid w:val="2DA51213"/>
    <w:rsid w:val="2DA76D39"/>
    <w:rsid w:val="2DF04E50"/>
    <w:rsid w:val="2E9545B0"/>
    <w:rsid w:val="2ED70780"/>
    <w:rsid w:val="2F040D46"/>
    <w:rsid w:val="2F560A17"/>
    <w:rsid w:val="2FAE5751"/>
    <w:rsid w:val="2FB1A395"/>
    <w:rsid w:val="2FD9A7D8"/>
    <w:rsid w:val="2FEE50F3"/>
    <w:rsid w:val="30736947"/>
    <w:rsid w:val="309C68FD"/>
    <w:rsid w:val="3106021B"/>
    <w:rsid w:val="31191AA6"/>
    <w:rsid w:val="319F7F4E"/>
    <w:rsid w:val="31B2096C"/>
    <w:rsid w:val="31C3435E"/>
    <w:rsid w:val="321B2544"/>
    <w:rsid w:val="3304709D"/>
    <w:rsid w:val="33AD3B23"/>
    <w:rsid w:val="34281836"/>
    <w:rsid w:val="34311A53"/>
    <w:rsid w:val="349106D7"/>
    <w:rsid w:val="349D6851"/>
    <w:rsid w:val="356E638F"/>
    <w:rsid w:val="359C114E"/>
    <w:rsid w:val="35BA6CAF"/>
    <w:rsid w:val="36414D22"/>
    <w:rsid w:val="364D14C1"/>
    <w:rsid w:val="36AA5135"/>
    <w:rsid w:val="36BA2363"/>
    <w:rsid w:val="36BE0DA7"/>
    <w:rsid w:val="376B6AA6"/>
    <w:rsid w:val="376D39B2"/>
    <w:rsid w:val="37E16F03"/>
    <w:rsid w:val="37E34E12"/>
    <w:rsid w:val="37F53A3B"/>
    <w:rsid w:val="37FB7B6D"/>
    <w:rsid w:val="389B6C89"/>
    <w:rsid w:val="38D469F0"/>
    <w:rsid w:val="39400042"/>
    <w:rsid w:val="39627CCD"/>
    <w:rsid w:val="397BAF1F"/>
    <w:rsid w:val="39913D8E"/>
    <w:rsid w:val="39E449A6"/>
    <w:rsid w:val="3A0D3347"/>
    <w:rsid w:val="3A345A65"/>
    <w:rsid w:val="3AB79AF3"/>
    <w:rsid w:val="3B094F00"/>
    <w:rsid w:val="3B5E2A01"/>
    <w:rsid w:val="3B7EF35A"/>
    <w:rsid w:val="3B901A53"/>
    <w:rsid w:val="3B9FDB6C"/>
    <w:rsid w:val="3BF5BC2F"/>
    <w:rsid w:val="3CEBA265"/>
    <w:rsid w:val="3D204412"/>
    <w:rsid w:val="3D736C38"/>
    <w:rsid w:val="3D98207C"/>
    <w:rsid w:val="3D9B0D99"/>
    <w:rsid w:val="3DE23DBE"/>
    <w:rsid w:val="3DEE7CF3"/>
    <w:rsid w:val="3DF02244"/>
    <w:rsid w:val="3DF97B88"/>
    <w:rsid w:val="3E027FBC"/>
    <w:rsid w:val="3E78745D"/>
    <w:rsid w:val="3ECA3377"/>
    <w:rsid w:val="3F083599"/>
    <w:rsid w:val="3F0D420A"/>
    <w:rsid w:val="3FD85478"/>
    <w:rsid w:val="3FF4CAE0"/>
    <w:rsid w:val="3FF7B227"/>
    <w:rsid w:val="40A23390"/>
    <w:rsid w:val="40DA0D7C"/>
    <w:rsid w:val="40E54C45"/>
    <w:rsid w:val="40FA5D19"/>
    <w:rsid w:val="41EA1493"/>
    <w:rsid w:val="424B3CDF"/>
    <w:rsid w:val="42DE4B54"/>
    <w:rsid w:val="431D7E81"/>
    <w:rsid w:val="43A407DF"/>
    <w:rsid w:val="44515BEA"/>
    <w:rsid w:val="4464421F"/>
    <w:rsid w:val="44B25E62"/>
    <w:rsid w:val="44E268DA"/>
    <w:rsid w:val="453F7E5B"/>
    <w:rsid w:val="4560176C"/>
    <w:rsid w:val="45A97A79"/>
    <w:rsid w:val="4669507C"/>
    <w:rsid w:val="46D324F5"/>
    <w:rsid w:val="46F54C2F"/>
    <w:rsid w:val="47165380"/>
    <w:rsid w:val="475E0004"/>
    <w:rsid w:val="486A6C7A"/>
    <w:rsid w:val="487877F8"/>
    <w:rsid w:val="48A22D0B"/>
    <w:rsid w:val="48DC3316"/>
    <w:rsid w:val="48E21116"/>
    <w:rsid w:val="49176D9B"/>
    <w:rsid w:val="492359B6"/>
    <w:rsid w:val="497918F0"/>
    <w:rsid w:val="49861F88"/>
    <w:rsid w:val="49C5081B"/>
    <w:rsid w:val="4A17094B"/>
    <w:rsid w:val="4A627F82"/>
    <w:rsid w:val="4B0E749A"/>
    <w:rsid w:val="4B4F25DA"/>
    <w:rsid w:val="4BBF129A"/>
    <w:rsid w:val="4BD018A7"/>
    <w:rsid w:val="4BD961F7"/>
    <w:rsid w:val="4BDA0CFB"/>
    <w:rsid w:val="4BE068DB"/>
    <w:rsid w:val="4C07336D"/>
    <w:rsid w:val="4C165D70"/>
    <w:rsid w:val="4C887646"/>
    <w:rsid w:val="4D074CF5"/>
    <w:rsid w:val="4D3C0CCC"/>
    <w:rsid w:val="4D52686A"/>
    <w:rsid w:val="4D577224"/>
    <w:rsid w:val="4DBF1CEB"/>
    <w:rsid w:val="4DE70D09"/>
    <w:rsid w:val="4E027201"/>
    <w:rsid w:val="4E726A98"/>
    <w:rsid w:val="4EAB630A"/>
    <w:rsid w:val="4ECE2238"/>
    <w:rsid w:val="4F3E766F"/>
    <w:rsid w:val="4F833267"/>
    <w:rsid w:val="4FE9BD67"/>
    <w:rsid w:val="4FFB052F"/>
    <w:rsid w:val="51234079"/>
    <w:rsid w:val="51BA678C"/>
    <w:rsid w:val="51DF61F2"/>
    <w:rsid w:val="522D1654"/>
    <w:rsid w:val="52DE294E"/>
    <w:rsid w:val="53083A92"/>
    <w:rsid w:val="537E6D0A"/>
    <w:rsid w:val="53AF27A2"/>
    <w:rsid w:val="53B042EA"/>
    <w:rsid w:val="53F74C96"/>
    <w:rsid w:val="5458228C"/>
    <w:rsid w:val="54F93A6F"/>
    <w:rsid w:val="551A5992"/>
    <w:rsid w:val="555869E7"/>
    <w:rsid w:val="561D378D"/>
    <w:rsid w:val="561F7146"/>
    <w:rsid w:val="569724FE"/>
    <w:rsid w:val="56E47B74"/>
    <w:rsid w:val="56ED13B1"/>
    <w:rsid w:val="571C7B58"/>
    <w:rsid w:val="5735375C"/>
    <w:rsid w:val="57BD3DD4"/>
    <w:rsid w:val="58E30CBE"/>
    <w:rsid w:val="58EF1411"/>
    <w:rsid w:val="599D17E8"/>
    <w:rsid w:val="5A146083"/>
    <w:rsid w:val="5ADC7773"/>
    <w:rsid w:val="5AF92295"/>
    <w:rsid w:val="5AFF16B3"/>
    <w:rsid w:val="5BDD79E6"/>
    <w:rsid w:val="5BF22FC6"/>
    <w:rsid w:val="5BF37EB0"/>
    <w:rsid w:val="5BF561CA"/>
    <w:rsid w:val="5BFE72E0"/>
    <w:rsid w:val="5BFF5DFC"/>
    <w:rsid w:val="5CD71FC4"/>
    <w:rsid w:val="5D1F11B5"/>
    <w:rsid w:val="5D7719D5"/>
    <w:rsid w:val="5D9C768D"/>
    <w:rsid w:val="5DAE1B18"/>
    <w:rsid w:val="5DE7D9E5"/>
    <w:rsid w:val="5E59557E"/>
    <w:rsid w:val="5ECEC941"/>
    <w:rsid w:val="5F493CB7"/>
    <w:rsid w:val="5FBF9FF3"/>
    <w:rsid w:val="5FCD4E2C"/>
    <w:rsid w:val="5FD15F49"/>
    <w:rsid w:val="5FD76F4D"/>
    <w:rsid w:val="5FEF394A"/>
    <w:rsid w:val="5FF67715"/>
    <w:rsid w:val="606A3A73"/>
    <w:rsid w:val="613D4CE3"/>
    <w:rsid w:val="61DC3C79"/>
    <w:rsid w:val="622639C9"/>
    <w:rsid w:val="62437CE1"/>
    <w:rsid w:val="62BF3928"/>
    <w:rsid w:val="6416019A"/>
    <w:rsid w:val="647253CE"/>
    <w:rsid w:val="647F5392"/>
    <w:rsid w:val="64A2575C"/>
    <w:rsid w:val="64D01562"/>
    <w:rsid w:val="65143FAD"/>
    <w:rsid w:val="65424FBE"/>
    <w:rsid w:val="65B337C6"/>
    <w:rsid w:val="664B1D71"/>
    <w:rsid w:val="66D22D65"/>
    <w:rsid w:val="67244F1A"/>
    <w:rsid w:val="673B3A73"/>
    <w:rsid w:val="675623A5"/>
    <w:rsid w:val="67AA3209"/>
    <w:rsid w:val="67E81E4D"/>
    <w:rsid w:val="681C4F0D"/>
    <w:rsid w:val="686A6203"/>
    <w:rsid w:val="68C161FA"/>
    <w:rsid w:val="69046D0F"/>
    <w:rsid w:val="698D0931"/>
    <w:rsid w:val="6A58493C"/>
    <w:rsid w:val="6A993CED"/>
    <w:rsid w:val="6B053271"/>
    <w:rsid w:val="6B480E55"/>
    <w:rsid w:val="6BCE6674"/>
    <w:rsid w:val="6C4A05C8"/>
    <w:rsid w:val="6C6D246C"/>
    <w:rsid w:val="6C8742B8"/>
    <w:rsid w:val="6C8A170F"/>
    <w:rsid w:val="6CB54609"/>
    <w:rsid w:val="6CC75A87"/>
    <w:rsid w:val="6D203E37"/>
    <w:rsid w:val="6DBF5E93"/>
    <w:rsid w:val="6DCE5641"/>
    <w:rsid w:val="6DFF077E"/>
    <w:rsid w:val="6E1A254D"/>
    <w:rsid w:val="6E7E3605"/>
    <w:rsid w:val="6E7FDCC7"/>
    <w:rsid w:val="6ED6A62E"/>
    <w:rsid w:val="6EE00B15"/>
    <w:rsid w:val="6F544B20"/>
    <w:rsid w:val="6F6FB3EB"/>
    <w:rsid w:val="6F784160"/>
    <w:rsid w:val="6F8731EA"/>
    <w:rsid w:val="6FCE6052"/>
    <w:rsid w:val="6FD57C00"/>
    <w:rsid w:val="6FEC6252"/>
    <w:rsid w:val="6FEFFFD8"/>
    <w:rsid w:val="6FF5CC65"/>
    <w:rsid w:val="6FFB47EC"/>
    <w:rsid w:val="6FFF034A"/>
    <w:rsid w:val="704020FA"/>
    <w:rsid w:val="70496804"/>
    <w:rsid w:val="712A28F1"/>
    <w:rsid w:val="715C0E4B"/>
    <w:rsid w:val="71653C83"/>
    <w:rsid w:val="719A3A8C"/>
    <w:rsid w:val="71E847F7"/>
    <w:rsid w:val="72233669"/>
    <w:rsid w:val="7227300F"/>
    <w:rsid w:val="72734D90"/>
    <w:rsid w:val="73045661"/>
    <w:rsid w:val="7332FE48"/>
    <w:rsid w:val="73364007"/>
    <w:rsid w:val="735C724B"/>
    <w:rsid w:val="736B1B84"/>
    <w:rsid w:val="73722F12"/>
    <w:rsid w:val="73AB61DA"/>
    <w:rsid w:val="73AD73D5"/>
    <w:rsid w:val="73B6EB34"/>
    <w:rsid w:val="73E84F83"/>
    <w:rsid w:val="73FA497D"/>
    <w:rsid w:val="744731E5"/>
    <w:rsid w:val="74527205"/>
    <w:rsid w:val="74BBD01D"/>
    <w:rsid w:val="74ED5379"/>
    <w:rsid w:val="74FC2395"/>
    <w:rsid w:val="756945DB"/>
    <w:rsid w:val="757A4038"/>
    <w:rsid w:val="75DEEEC2"/>
    <w:rsid w:val="76927258"/>
    <w:rsid w:val="76E3355F"/>
    <w:rsid w:val="76FF5125"/>
    <w:rsid w:val="773B361B"/>
    <w:rsid w:val="7750356B"/>
    <w:rsid w:val="776F6FFA"/>
    <w:rsid w:val="778769C8"/>
    <w:rsid w:val="77AA6BD9"/>
    <w:rsid w:val="77DC22F5"/>
    <w:rsid w:val="78212811"/>
    <w:rsid w:val="78D21D5D"/>
    <w:rsid w:val="79086DAD"/>
    <w:rsid w:val="798B1948"/>
    <w:rsid w:val="799139C7"/>
    <w:rsid w:val="79974F09"/>
    <w:rsid w:val="79D7FD79"/>
    <w:rsid w:val="79EE5BA4"/>
    <w:rsid w:val="7A6A04A0"/>
    <w:rsid w:val="7A894339"/>
    <w:rsid w:val="7AD149C3"/>
    <w:rsid w:val="7AE244DA"/>
    <w:rsid w:val="7AEA5A84"/>
    <w:rsid w:val="7AFF7572"/>
    <w:rsid w:val="7B6C7DFB"/>
    <w:rsid w:val="7BAB6D73"/>
    <w:rsid w:val="7BBFBED0"/>
    <w:rsid w:val="7BC3E394"/>
    <w:rsid w:val="7C0B3F04"/>
    <w:rsid w:val="7C1F3737"/>
    <w:rsid w:val="7CBFC87B"/>
    <w:rsid w:val="7CCE5566"/>
    <w:rsid w:val="7CD76149"/>
    <w:rsid w:val="7CFE0F48"/>
    <w:rsid w:val="7D7EC23E"/>
    <w:rsid w:val="7D831878"/>
    <w:rsid w:val="7D916348"/>
    <w:rsid w:val="7DA43CC8"/>
    <w:rsid w:val="7E81400A"/>
    <w:rsid w:val="7E8ADEBF"/>
    <w:rsid w:val="7EEF11D3"/>
    <w:rsid w:val="7F0215EE"/>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qFormat/>
    <w:uiPriority w:val="0"/>
    <w:pPr>
      <w:spacing w:after="120"/>
      <w:ind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7"/>
    <w:unhideWhenUsed/>
    <w:qFormat/>
    <w:uiPriority w:val="99"/>
    <w:pPr>
      <w:ind w:firstLine="420" w:firstLineChars="200"/>
    </w:pPr>
  </w:style>
  <w:style w:type="paragraph" w:styleId="14">
    <w:name w:val="table of figures"/>
    <w:basedOn w:val="1"/>
    <w:next w:val="1"/>
    <w:qFormat/>
    <w:uiPriority w:val="0"/>
    <w:pPr>
      <w:widowControl w:val="0"/>
      <w:ind w:left="400" w:leftChars="200" w:hanging="200" w:hangingChars="200"/>
      <w:jc w:val="both"/>
    </w:pPr>
    <w:rPr>
      <w:rFonts w:ascii="Calibri" w:hAnsi="Calibri" w:eastAsia="宋体" w:cs="Times New Roman"/>
      <w:kern w:val="2"/>
      <w:sz w:val="21"/>
      <w:szCs w:val="24"/>
      <w:lang w:val="en-US" w:eastAsia="zh-CN" w:bidi="ar-SA"/>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0"/>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9"/>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列出段落1"/>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16.png"/><Relationship Id="rId34" Type="http://schemas.openxmlformats.org/officeDocument/2006/relationships/image" Target="media/image15.png"/><Relationship Id="rId33" Type="http://schemas.openxmlformats.org/officeDocument/2006/relationships/image" Target="media/image14.png"/><Relationship Id="rId32" Type="http://schemas.openxmlformats.org/officeDocument/2006/relationships/image" Target="media/image13.png"/><Relationship Id="rId31" Type="http://schemas.openxmlformats.org/officeDocument/2006/relationships/image" Target="media/image12.png"/><Relationship Id="rId30" Type="http://schemas.openxmlformats.org/officeDocument/2006/relationships/image" Target="media/image11.png"/><Relationship Id="rId3" Type="http://schemas.openxmlformats.org/officeDocument/2006/relationships/header" Target="header1.xml"/><Relationship Id="rId29" Type="http://schemas.openxmlformats.org/officeDocument/2006/relationships/image" Target="media/image10.png"/><Relationship Id="rId28" Type="http://schemas.openxmlformats.org/officeDocument/2006/relationships/image" Target="media/image9.png"/><Relationship Id="rId27" Type="http://schemas.openxmlformats.org/officeDocument/2006/relationships/image" Target="media/image8.png"/><Relationship Id="rId26" Type="http://schemas.openxmlformats.org/officeDocument/2006/relationships/image" Target="media/image7.png"/><Relationship Id="rId25" Type="http://schemas.openxmlformats.org/officeDocument/2006/relationships/image" Target="media/image6.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3.png"/><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chart" Target="charts/chart9.xml"/><Relationship Id="rId18" Type="http://schemas.openxmlformats.org/officeDocument/2006/relationships/chart" Target="charts/chart8.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收入决算总计</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收入决算总计</c:v>
                </c:pt>
              </c:strCache>
            </c:strRef>
          </c:tx>
          <c:spPr>
            <a:solidFill>
              <a:schemeClr val="accent1"/>
            </a:solidFill>
            <a:ln>
              <a:noFill/>
            </a:ln>
            <a:effectLst/>
          </c:spPr>
          <c:invertIfNegative val="0"/>
          <c:dLbls>
            <c:delete val="1"/>
          </c:dLbls>
          <c:cat>
            <c:numRef>
              <c:f>Sheet1!$A$2:$A$3</c:f>
              <c:numCache>
                <c:formatCode>General</c:formatCode>
                <c:ptCount val="2"/>
                <c:pt idx="0">
                  <c:v>2024</c:v>
                </c:pt>
                <c:pt idx="1">
                  <c:v>2025</c:v>
                </c:pt>
              </c:numCache>
            </c:numRef>
          </c:cat>
          <c:val>
            <c:numRef>
              <c:f>Sheet1!$B$2:$B$3</c:f>
              <c:numCache>
                <c:formatCode>General</c:formatCode>
                <c:ptCount val="2"/>
                <c:pt idx="0">
                  <c:v>1006.88</c:v>
                </c:pt>
                <c:pt idx="1">
                  <c:v>1004.84</c:v>
                </c:pt>
              </c:numCache>
            </c:numRef>
          </c:val>
        </c:ser>
        <c:dLbls>
          <c:showLegendKey val="0"/>
          <c:showVal val="0"/>
          <c:showCatName val="0"/>
          <c:showSerName val="0"/>
          <c:showPercent val="0"/>
          <c:showBubbleSize val="0"/>
        </c:dLbls>
        <c:gapWidth val="246"/>
        <c:overlap val="-28"/>
        <c:axId val="888356284"/>
        <c:axId val="167246812"/>
      </c:barChart>
      <c:catAx>
        <c:axId val="88835628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7246812"/>
        <c:crosses val="autoZero"/>
        <c:auto val="1"/>
        <c:lblAlgn val="ctr"/>
        <c:lblOffset val="100"/>
        <c:noMultiLvlLbl val="0"/>
      </c:catAx>
      <c:valAx>
        <c:axId val="16724681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83562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支出决算总计</c:v>
                </c:pt>
              </c:strCache>
            </c:strRef>
          </c:tx>
          <c:spPr>
            <a:solidFill>
              <a:schemeClr val="accent1"/>
            </a:solidFill>
            <a:ln>
              <a:noFill/>
            </a:ln>
            <a:effectLst/>
          </c:spPr>
          <c:invertIfNegative val="0"/>
          <c:dLbls>
            <c:delete val="1"/>
          </c:dLbls>
          <c:cat>
            <c:numRef>
              <c:f>Sheet1!$A$2:$A$3</c:f>
              <c:numCache>
                <c:formatCode>General</c:formatCode>
                <c:ptCount val="2"/>
                <c:pt idx="0">
                  <c:v>2024</c:v>
                </c:pt>
                <c:pt idx="1">
                  <c:v>2025</c:v>
                </c:pt>
              </c:numCache>
            </c:numRef>
          </c:cat>
          <c:val>
            <c:numRef>
              <c:f>Sheet1!$B$2:$B$3</c:f>
              <c:numCache>
                <c:formatCode>General</c:formatCode>
                <c:ptCount val="2"/>
                <c:pt idx="0">
                  <c:v>1006.88</c:v>
                </c:pt>
                <c:pt idx="1">
                  <c:v>1001.64</c:v>
                </c:pt>
              </c:numCache>
            </c:numRef>
          </c:val>
        </c:ser>
        <c:dLbls>
          <c:showLegendKey val="0"/>
          <c:showVal val="0"/>
          <c:showCatName val="0"/>
          <c:showSerName val="0"/>
          <c:showPercent val="0"/>
          <c:showBubbleSize val="0"/>
        </c:dLbls>
        <c:gapWidth val="246"/>
        <c:overlap val="-28"/>
        <c:axId val="173282488"/>
        <c:axId val="795290264"/>
      </c:barChart>
      <c:catAx>
        <c:axId val="17328248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5290264"/>
        <c:crosses val="autoZero"/>
        <c:auto val="1"/>
        <c:lblAlgn val="ctr"/>
        <c:lblOffset val="100"/>
        <c:noMultiLvlLbl val="0"/>
      </c:catAx>
      <c:valAx>
        <c:axId val="79529026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32824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manualLayout>
          <c:xMode val="edge"/>
          <c:yMode val="edge"/>
          <c:x val="0.327198472472685"/>
          <c:y val="0.0251231527093596"/>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delete val="1"/>
          </c:dLbls>
          <c:cat>
            <c:strRef>
              <c:f>Sheet1!$A$2:$A$9</c:f>
              <c:strCache>
                <c:ptCount val="8"/>
                <c:pt idx="0">
                  <c:v>一般公共预算财政拨款收入
</c:v>
                </c:pt>
                <c:pt idx="1">
                  <c:v>政府性基金预算财政拨款收入</c:v>
                </c:pt>
                <c:pt idx="2">
                  <c:v>国有资本经营预算财政拨款收入
</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980.04</c:v>
                </c:pt>
                <c:pt idx="1">
                  <c:v>0</c:v>
                </c:pt>
                <c:pt idx="2">
                  <c:v>0</c:v>
                </c:pt>
                <c:pt idx="3">
                  <c:v>0</c:v>
                </c:pt>
                <c:pt idx="4">
                  <c:v>0</c:v>
                </c:pt>
                <c:pt idx="5">
                  <c:v>0</c:v>
                </c:pt>
                <c:pt idx="6">
                  <c:v>0</c:v>
                </c:pt>
                <c:pt idx="7">
                  <c:v>24.8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884.83</c:v>
                </c:pt>
                <c:pt idx="1">
                  <c:v>116.8</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财政拨款收入总计变动情况</c:v>
                </c:pt>
              </c:strCache>
            </c:strRef>
          </c:tx>
          <c:spPr>
            <a:solidFill>
              <a:schemeClr val="accent1"/>
            </a:solidFill>
            <a:ln>
              <a:noFill/>
            </a:ln>
            <a:effectLst/>
          </c:spPr>
          <c:invertIfNegative val="0"/>
          <c:dLbls>
            <c:delete val="1"/>
          </c:dLbls>
          <c:cat>
            <c:numRef>
              <c:f>Sheet1!$A$2:$A$3</c:f>
              <c:numCache>
                <c:formatCode>General</c:formatCode>
                <c:ptCount val="2"/>
                <c:pt idx="0">
                  <c:v>2024</c:v>
                </c:pt>
                <c:pt idx="1">
                  <c:v>2025</c:v>
                </c:pt>
              </c:numCache>
            </c:numRef>
          </c:cat>
          <c:val>
            <c:numRef>
              <c:f>Sheet1!$B$2:$B$3</c:f>
              <c:numCache>
                <c:formatCode>General</c:formatCode>
                <c:ptCount val="2"/>
                <c:pt idx="0">
                  <c:v>1006.88</c:v>
                </c:pt>
                <c:pt idx="1">
                  <c:v>980.04</c:v>
                </c:pt>
              </c:numCache>
            </c:numRef>
          </c:val>
        </c:ser>
        <c:dLbls>
          <c:showLegendKey val="0"/>
          <c:showVal val="0"/>
          <c:showCatName val="0"/>
          <c:showSerName val="0"/>
          <c:showPercent val="0"/>
          <c:showBubbleSize val="0"/>
        </c:dLbls>
        <c:gapWidth val="246"/>
        <c:overlap val="-28"/>
        <c:axId val="986224775"/>
        <c:axId val="567035142"/>
      </c:barChart>
      <c:catAx>
        <c:axId val="9862247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7035142"/>
        <c:crosses val="autoZero"/>
        <c:auto val="1"/>
        <c:lblAlgn val="ctr"/>
        <c:lblOffset val="100"/>
        <c:noMultiLvlLbl val="0"/>
      </c:catAx>
      <c:valAx>
        <c:axId val="56703514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2247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财政拨款支出总计变动情况</c:v>
                </c:pt>
              </c:strCache>
            </c:strRef>
          </c:tx>
          <c:spPr>
            <a:solidFill>
              <a:schemeClr val="accent1"/>
            </a:solidFill>
            <a:ln>
              <a:noFill/>
            </a:ln>
            <a:effectLst/>
          </c:spPr>
          <c:invertIfNegative val="0"/>
          <c:dLbls>
            <c:delete val="1"/>
          </c:dLbls>
          <c:cat>
            <c:numRef>
              <c:f>Sheet1!$A$2:$A$3</c:f>
              <c:numCache>
                <c:formatCode>General</c:formatCode>
                <c:ptCount val="2"/>
                <c:pt idx="0">
                  <c:v>2024</c:v>
                </c:pt>
                <c:pt idx="1">
                  <c:v>2025</c:v>
                </c:pt>
              </c:numCache>
            </c:numRef>
          </c:cat>
          <c:val>
            <c:numRef>
              <c:f>Sheet1!$B$2:$B$3</c:f>
              <c:numCache>
                <c:formatCode>General</c:formatCode>
                <c:ptCount val="2"/>
                <c:pt idx="0">
                  <c:v>1006.88</c:v>
                </c:pt>
                <c:pt idx="1">
                  <c:v>980.04</c:v>
                </c:pt>
              </c:numCache>
            </c:numRef>
          </c:val>
        </c:ser>
        <c:dLbls>
          <c:showLegendKey val="0"/>
          <c:showVal val="0"/>
          <c:showCatName val="0"/>
          <c:showSerName val="0"/>
          <c:showPercent val="0"/>
          <c:showBubbleSize val="0"/>
        </c:dLbls>
        <c:gapWidth val="246"/>
        <c:overlap val="-28"/>
        <c:axId val="924299284"/>
        <c:axId val="127336246"/>
      </c:barChart>
      <c:catAx>
        <c:axId val="92429928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7336246"/>
        <c:crosses val="autoZero"/>
        <c:auto val="1"/>
        <c:lblAlgn val="ctr"/>
        <c:lblOffset val="100"/>
        <c:noMultiLvlLbl val="0"/>
      </c:catAx>
      <c:valAx>
        <c:axId val="12733624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42992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一般公共预算财政拨款支出决算变动情况</c:v>
                </c:pt>
              </c:strCache>
            </c:strRef>
          </c:tx>
          <c:spPr>
            <a:solidFill>
              <a:schemeClr val="accent1"/>
            </a:solidFill>
            <a:ln>
              <a:noFill/>
            </a:ln>
            <a:effectLst/>
          </c:spPr>
          <c:invertIfNegative val="0"/>
          <c:dLbls>
            <c:delete val="1"/>
          </c:dLbls>
          <c:cat>
            <c:numRef>
              <c:f>Sheet1!$A$2:$A$3</c:f>
              <c:numCache>
                <c:formatCode>General</c:formatCode>
                <c:ptCount val="2"/>
                <c:pt idx="0">
                  <c:v>2024</c:v>
                </c:pt>
                <c:pt idx="1">
                  <c:v>2025</c:v>
                </c:pt>
              </c:numCache>
            </c:numRef>
          </c:cat>
          <c:val>
            <c:numRef>
              <c:f>Sheet1!$B$2:$B$3</c:f>
              <c:numCache>
                <c:formatCode>General</c:formatCode>
                <c:ptCount val="2"/>
                <c:pt idx="0">
                  <c:v>1006.88</c:v>
                </c:pt>
                <c:pt idx="1">
                  <c:v>980.04</c:v>
                </c:pt>
              </c:numCache>
            </c:numRef>
          </c:val>
        </c:ser>
        <c:dLbls>
          <c:showLegendKey val="0"/>
          <c:showVal val="0"/>
          <c:showCatName val="0"/>
          <c:showSerName val="0"/>
          <c:showPercent val="0"/>
          <c:showBubbleSize val="0"/>
        </c:dLbls>
        <c:gapWidth val="246"/>
        <c:overlap val="-28"/>
        <c:axId val="237204554"/>
        <c:axId val="24937148"/>
      </c:barChart>
      <c:catAx>
        <c:axId val="23720455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937148"/>
        <c:crosses val="autoZero"/>
        <c:auto val="1"/>
        <c:lblAlgn val="ctr"/>
        <c:lblOffset val="100"/>
        <c:noMultiLvlLbl val="0"/>
      </c:catAx>
      <c:valAx>
        <c:axId val="24937148"/>
        <c:scaling>
          <c:orientation val="minMax"/>
          <c:max val="1010"/>
          <c:min val="950"/>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720455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Lbls>
            <c:delete val="1"/>
          </c:dLbls>
          <c:cat>
            <c:strRef>
              <c:f>Sheet1!$A$2:$A$8</c:f>
              <c:strCache>
                <c:ptCount val="7"/>
                <c:pt idx="0">
                  <c:v>一般公共服务支出
</c:v>
                </c:pt>
                <c:pt idx="1">
                  <c:v>教育支出</c:v>
                </c:pt>
                <c:pt idx="2">
                  <c:v>科学技术支出</c:v>
                </c:pt>
                <c:pt idx="3">
                  <c:v>文化旅游体育传媒支出</c:v>
                </c:pt>
                <c:pt idx="4">
                  <c:v>社会保障和就业支出</c:v>
                </c:pt>
                <c:pt idx="5">
                  <c:v>卫生健康支出</c:v>
                </c:pt>
                <c:pt idx="6">
                  <c:v>住房保障支出</c:v>
                </c:pt>
              </c:strCache>
            </c:strRef>
          </c:cat>
          <c:val>
            <c:numRef>
              <c:f>Sheet1!$B$2:$B$8</c:f>
              <c:numCache>
                <c:formatCode>General</c:formatCode>
                <c:ptCount val="7"/>
                <c:pt idx="0">
                  <c:v>723.07</c:v>
                </c:pt>
                <c:pt idx="1">
                  <c:v>0</c:v>
                </c:pt>
                <c:pt idx="2">
                  <c:v>0</c:v>
                </c:pt>
                <c:pt idx="3">
                  <c:v>0</c:v>
                </c:pt>
                <c:pt idx="4">
                  <c:v>131.49</c:v>
                </c:pt>
                <c:pt idx="5">
                  <c:v>45.22</c:v>
                </c:pt>
                <c:pt idx="6">
                  <c:v>62.3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财政拨款“三公”经费支出结构
</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35.25</c:v>
                </c:pt>
                <c:pt idx="2">
                  <c:v>0.63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51</Pages>
  <Words>11486</Words>
  <Characters>13387</Characters>
  <Lines>61</Lines>
  <Paragraphs>17</Paragraphs>
  <TotalTime>1</TotalTime>
  <ScaleCrop>false</ScaleCrop>
  <LinksUpToDate>false</LinksUpToDate>
  <CharactersWithSpaces>13797</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2026-10-27T09:01:00Z</cp:lastPrinted>
  <dcterms:modified xsi:type="dcterms:W3CDTF">2026-10-28T01:56:55Z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y fmtid="{D5CDD505-2E9C-101B-9397-08002B2CF9AE}" pid="3" name="ICV">
    <vt:lpwstr>9969F51E1E7543C28A6610AA2E9CA442_13</vt:lpwstr>
  </property>
  <property fmtid="{D5CDD505-2E9C-101B-9397-08002B2CF9AE}" pid="4" name="KSOTemplateDocerSaveRecord">
    <vt:lpwstr>eyJoZGlkIjoiOGFhMDIzNjY5ZTg3YWYwZGExMjVmYTc0MDlhNTBiN2YiLCJ1c2VySWQiOiIxMTI3OTgyNDUwIn0=</vt:lpwstr>
  </property>
</Properties>
</file>