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96597"/>
      <w:bookmarkStart w:id="2" w:name="_Toc15396475"/>
      <w:bookmarkStart w:id="3" w:name="_Toc15377193"/>
      <w:bookmarkStart w:id="4" w:name="_Toc15306267"/>
      <w:bookmarkStart w:id="5" w:name="_Toc15378441"/>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应急管理局</w:t>
      </w: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pPr>
        <w:spacing w:line="600" w:lineRule="exact"/>
        <w:jc w:val="center"/>
        <w:outlineLvl w:val="0"/>
        <w:rPr>
          <w:rFonts w:ascii="Times New Roman" w:hAnsi="Times New Roman" w:eastAsia="方正小标宋简体"/>
          <w:color w:val="auto"/>
          <w:sz w:val="72"/>
          <w:szCs w:val="72"/>
          <w:highlight w:val="none"/>
        </w:rPr>
      </w:pPr>
    </w:p>
    <w:p>
      <w:pPr>
        <w:pStyle w:val="22"/>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ind w:firstLine="1920" w:firstLineChars="6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eastAsia="仿宋_GB2312" w:cs="仿宋_GB2312"/>
          <w:color w:val="auto"/>
          <w:sz w:val="32"/>
          <w:szCs w:val="32"/>
          <w:highlight w:val="none"/>
          <w:lang w:val="en-US" w:eastAsia="zh-CN"/>
        </w:rPr>
        <w:t>28</w:t>
      </w:r>
      <w:bookmarkStart w:id="6" w:name="_GoBack"/>
      <w:bookmarkEnd w:id="6"/>
      <w:r>
        <w:rPr>
          <w:rFonts w:hint="eastAsia" w:ascii="Times New Roman" w:hAnsi="Times New Roman" w:eastAsia="仿宋_GB2312" w:cs="仿宋_GB2312"/>
          <w:color w:val="auto"/>
          <w:sz w:val="32"/>
          <w:szCs w:val="32"/>
          <w:highlight w:val="none"/>
        </w:rPr>
        <w:t>日</w:t>
      </w:r>
      <w:bookmarkEnd w:id="0"/>
      <w:bookmarkEnd w:id="1"/>
      <w:bookmarkEnd w:id="2"/>
      <w:bookmarkEnd w:id="3"/>
      <w:bookmarkEnd w:id="4"/>
      <w:bookmarkEnd w:id="5"/>
    </w:p>
    <w:p>
      <w:pPr>
        <w:ind w:firstLine="1920" w:firstLineChars="600"/>
        <w:rPr>
          <w:rFonts w:hint="eastAsia" w:ascii="Times New Roman" w:hAnsi="Times New Roman" w:eastAsia="仿宋_GB2312" w:cs="仿宋_GB2312"/>
          <w:color w:val="auto"/>
          <w:sz w:val="32"/>
          <w:szCs w:val="32"/>
          <w:highlight w:val="none"/>
          <w:lang w:val="en-US" w:eastAsia="zh-CN"/>
        </w:rPr>
      </w:pPr>
    </w:p>
    <w:p>
      <w:pPr>
        <w:pStyle w:val="13"/>
        <w:tabs>
          <w:tab w:val="right" w:leader="dot" w:pos="8306"/>
          <w:tab w:val="clear" w:pos="8296"/>
        </w:tabs>
      </w:pPr>
      <w:r>
        <w:rPr>
          <w:rFonts w:hint="eastAsia" w:ascii="宋体" w:hAnsi="宋体" w:eastAsia="宋体" w:cs="宋体"/>
          <w:color w:val="auto"/>
          <w:sz w:val="24"/>
          <w:highlight w:val="none"/>
          <w:lang w:val="en-US" w:eastAsia="zh-CN"/>
        </w:rPr>
        <w:fldChar w:fldCharType="begin"/>
      </w:r>
      <w:r>
        <w:rPr>
          <w:rFonts w:hint="eastAsia" w:ascii="宋体" w:hAnsi="宋体" w:eastAsia="宋体" w:cs="宋体"/>
          <w:color w:val="auto"/>
          <w:sz w:val="24"/>
          <w:highlight w:val="none"/>
          <w:lang w:val="en-US" w:eastAsia="zh-CN"/>
        </w:rPr>
        <w:instrText xml:space="preserve">TOC \o "1-3" \h \u </w:instrText>
      </w:r>
      <w:r>
        <w:rPr>
          <w:rFonts w:hint="eastAsia" w:ascii="宋体" w:hAnsi="宋体" w:eastAsia="宋体" w:cs="宋体"/>
          <w:color w:val="auto"/>
          <w:sz w:val="24"/>
          <w:highlight w:val="none"/>
          <w:lang w:val="en-US" w:eastAsia="zh-CN"/>
        </w:rPr>
        <w:fldChar w:fldCharType="separate"/>
      </w: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_Toc29689 </w:instrText>
      </w:r>
      <w:r>
        <w:rPr>
          <w:rFonts w:hint="eastAsia" w:ascii="宋体" w:hAnsi="宋体" w:eastAsia="宋体" w:cs="宋体"/>
          <w:highlight w:val="none"/>
          <w:lang w:val="en-US" w:eastAsia="zh-CN"/>
        </w:rPr>
        <w:fldChar w:fldCharType="separate"/>
      </w:r>
      <w:r>
        <w:rPr>
          <w:rFonts w:hint="eastAsia" w:ascii="黑体" w:hAnsi="黑体" w:eastAsia="黑体"/>
          <w:highlight w:val="none"/>
        </w:rPr>
        <w:t xml:space="preserve">第一部分 </w:t>
      </w:r>
      <w:r>
        <w:rPr>
          <w:rFonts w:hint="eastAsia" w:ascii="黑体" w:hAnsi="黑体" w:eastAsia="黑体"/>
          <w:bCs w:val="0"/>
          <w:highlight w:val="none"/>
        </w:rPr>
        <w:t>部门概况</w:t>
      </w:r>
      <w:r>
        <w:tab/>
      </w:r>
      <w:r>
        <w:rPr>
          <w:rFonts w:hint="eastAsia"/>
          <w:lang w:val="en-US" w:eastAsia="zh-CN"/>
        </w:rPr>
        <w:t>1</w:t>
      </w:r>
      <w:r>
        <w:rPr>
          <w:rFonts w:hint="eastAsia" w:ascii="宋体" w:hAnsi="宋体" w:eastAsia="宋体" w:cs="宋体"/>
          <w:color w:val="auto"/>
          <w:highlight w:val="none"/>
          <w:lang w:val="en-US" w:eastAsia="zh-CN"/>
        </w:rPr>
        <w:fldChar w:fldCharType="end"/>
      </w:r>
    </w:p>
    <w:p>
      <w:pPr>
        <w:pStyle w:val="16"/>
        <w:tabs>
          <w:tab w:val="right" w:leader="dot" w:pos="8306"/>
          <w:tab w:val="clear" w:pos="8296"/>
        </w:tabs>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_Toc26186 </w:instrText>
      </w:r>
      <w:r>
        <w:rPr>
          <w:rFonts w:hint="eastAsia" w:ascii="宋体" w:hAnsi="宋体" w:eastAsia="宋体" w:cs="宋体"/>
          <w:highlight w:val="none"/>
          <w:lang w:val="en-US" w:eastAsia="zh-CN"/>
        </w:rPr>
        <w:fldChar w:fldCharType="separate"/>
      </w:r>
      <w:r>
        <w:rPr>
          <w:rFonts w:hint="eastAsia"/>
          <w:lang w:eastAsia="zh-CN"/>
        </w:rPr>
        <w:t xml:space="preserve">一、 </w:t>
      </w:r>
      <w:r>
        <w:rPr>
          <w:rFonts w:hint="eastAsia" w:ascii="黑体" w:hAnsi="黑体" w:eastAsia="黑体"/>
          <w:highlight w:val="none"/>
          <w:lang w:eastAsia="zh-CN"/>
        </w:rPr>
        <w:t>部门职责</w:t>
      </w:r>
      <w:r>
        <w:tab/>
      </w:r>
      <w:r>
        <w:rPr>
          <w:rFonts w:hint="eastAsia"/>
          <w:lang w:val="en-US" w:eastAsia="zh-CN"/>
        </w:rPr>
        <w:t>1</w:t>
      </w:r>
      <w:r>
        <w:rPr>
          <w:rFonts w:hint="eastAsia" w:ascii="宋体" w:hAnsi="宋体" w:eastAsia="宋体" w:cs="宋体"/>
          <w:color w:val="auto"/>
          <w:highlight w:val="none"/>
          <w:lang w:val="en-US" w:eastAsia="zh-CN"/>
        </w:rPr>
        <w:fldChar w:fldCharType="end"/>
      </w:r>
    </w:p>
    <w:p>
      <w:pPr>
        <w:pStyle w:val="16"/>
        <w:tabs>
          <w:tab w:val="right" w:leader="dot" w:pos="8306"/>
          <w:tab w:val="clear" w:pos="8296"/>
        </w:tabs>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_Toc14621 </w:instrText>
      </w:r>
      <w:r>
        <w:rPr>
          <w:rFonts w:hint="eastAsia" w:ascii="宋体" w:hAnsi="宋体" w:eastAsia="宋体" w:cs="宋体"/>
          <w:highlight w:val="none"/>
          <w:lang w:val="en-US" w:eastAsia="zh-CN"/>
        </w:rPr>
        <w:fldChar w:fldCharType="separate"/>
      </w:r>
      <w:r>
        <w:rPr>
          <w:rFonts w:hint="eastAsia" w:ascii="黑体" w:eastAsia="黑体"/>
          <w:highlight w:val="none"/>
        </w:rPr>
        <w:t>二、</w:t>
      </w:r>
      <w:r>
        <w:rPr>
          <w:rFonts w:hint="eastAsia" w:ascii="黑体" w:hAnsi="黑体" w:eastAsia="黑体"/>
          <w:highlight w:val="none"/>
        </w:rPr>
        <w:t>机</w:t>
      </w:r>
      <w:r>
        <w:rPr>
          <w:rFonts w:hint="eastAsia" w:ascii="黑体" w:hAnsi="黑体" w:eastAsia="黑体"/>
          <w:bCs w:val="0"/>
          <w:highlight w:val="none"/>
        </w:rPr>
        <w:t>构设置</w:t>
      </w:r>
      <w:r>
        <w:tab/>
      </w:r>
      <w:r>
        <w:rPr>
          <w:rFonts w:hint="eastAsia"/>
          <w:lang w:val="en-US" w:eastAsia="zh-CN"/>
        </w:rPr>
        <w:t>4</w:t>
      </w:r>
      <w:r>
        <w:rPr>
          <w:rFonts w:hint="eastAsia" w:ascii="宋体" w:hAnsi="宋体" w:eastAsia="宋体" w:cs="宋体"/>
          <w:color w:val="auto"/>
          <w:highlight w:val="none"/>
          <w:lang w:val="en-US" w:eastAsia="zh-CN"/>
        </w:rPr>
        <w:fldChar w:fldCharType="end"/>
      </w:r>
    </w:p>
    <w:p>
      <w:pPr>
        <w:pStyle w:val="13"/>
        <w:tabs>
          <w:tab w:val="right" w:leader="dot" w:pos="8306"/>
          <w:tab w:val="clear" w:pos="8296"/>
        </w:tabs>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_Toc8000 </w:instrText>
      </w:r>
      <w:r>
        <w:rPr>
          <w:rFonts w:hint="eastAsia" w:ascii="宋体" w:hAnsi="宋体" w:eastAsia="宋体" w:cs="宋体"/>
          <w:highlight w:val="none"/>
          <w:lang w:val="en-US" w:eastAsia="zh-CN"/>
        </w:rPr>
        <w:fldChar w:fldCharType="separate"/>
      </w:r>
      <w:r>
        <w:rPr>
          <w:rFonts w:hint="eastAsia" w:ascii="黑体" w:hAnsi="黑体" w:eastAsia="黑体"/>
          <w:bCs/>
          <w:highlight w:val="none"/>
        </w:rPr>
        <w:t xml:space="preserve">第二部分 </w:t>
      </w:r>
      <w:r>
        <w:rPr>
          <w:rFonts w:hint="eastAsia" w:ascii="黑体" w:hAnsi="黑体" w:eastAsia="黑体"/>
          <w:bCs/>
          <w:highlight w:val="none"/>
          <w:lang w:val="en-US" w:eastAsia="zh-CN"/>
        </w:rPr>
        <w:t>2025年度</w:t>
      </w:r>
      <w:r>
        <w:rPr>
          <w:rFonts w:hint="eastAsia" w:ascii="黑体" w:hAnsi="黑体" w:eastAsia="黑体"/>
          <w:bCs/>
          <w:highlight w:val="none"/>
        </w:rPr>
        <w:t>部门决算情况说明</w:t>
      </w:r>
      <w:r>
        <w:tab/>
      </w:r>
      <w:r>
        <w:rPr>
          <w:rFonts w:hint="eastAsia"/>
          <w:lang w:val="en-US" w:eastAsia="zh-CN"/>
        </w:rPr>
        <w:t>5</w:t>
      </w:r>
      <w:r>
        <w:rPr>
          <w:rFonts w:hint="eastAsia" w:ascii="宋体" w:hAnsi="宋体" w:eastAsia="宋体" w:cs="宋体"/>
          <w:color w:val="auto"/>
          <w:highlight w:val="none"/>
          <w:lang w:val="en-US" w:eastAsia="zh-CN"/>
        </w:rPr>
        <w:fldChar w:fldCharType="end"/>
      </w:r>
    </w:p>
    <w:p>
      <w:pPr>
        <w:pStyle w:val="16"/>
        <w:tabs>
          <w:tab w:val="right" w:leader="dot" w:pos="8306"/>
          <w:tab w:val="clear" w:pos="8296"/>
        </w:tabs>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_Toc32048 </w:instrText>
      </w:r>
      <w:r>
        <w:rPr>
          <w:rFonts w:hint="eastAsia" w:ascii="宋体" w:hAnsi="宋体" w:eastAsia="宋体" w:cs="宋体"/>
          <w:highlight w:val="none"/>
          <w:lang w:val="en-US" w:eastAsia="zh-CN"/>
        </w:rPr>
        <w:fldChar w:fldCharType="separate"/>
      </w:r>
      <w:r>
        <w:rPr>
          <w:rFonts w:hint="default" w:ascii="黑体" w:hAnsi="黑体" w:eastAsia="黑体"/>
        </w:rPr>
        <w:t xml:space="preserve">一、 </w:t>
      </w:r>
      <w:r>
        <w:rPr>
          <w:rFonts w:hint="eastAsia" w:ascii="黑体" w:hAnsi="黑体" w:eastAsia="黑体"/>
          <w:szCs w:val="32"/>
          <w:highlight w:val="none"/>
        </w:rPr>
        <w:t>收</w:t>
      </w:r>
      <w:r>
        <w:rPr>
          <w:rFonts w:hint="eastAsia" w:ascii="黑体" w:hAnsi="黑体" w:eastAsia="黑体"/>
          <w:highlight w:val="none"/>
        </w:rPr>
        <w:t>入支出决算总体情况说明</w:t>
      </w:r>
      <w:r>
        <w:tab/>
      </w:r>
      <w:r>
        <w:rPr>
          <w:rFonts w:hint="eastAsia"/>
          <w:lang w:val="en-US" w:eastAsia="zh-CN"/>
        </w:rPr>
        <w:t>5</w:t>
      </w:r>
      <w:r>
        <w:rPr>
          <w:rFonts w:hint="eastAsia" w:ascii="宋体" w:hAnsi="宋体" w:eastAsia="宋体" w:cs="宋体"/>
          <w:color w:val="auto"/>
          <w:highlight w:val="none"/>
          <w:lang w:val="en-US" w:eastAsia="zh-CN"/>
        </w:rPr>
        <w:fldChar w:fldCharType="end"/>
      </w:r>
    </w:p>
    <w:p>
      <w:pPr>
        <w:pStyle w:val="16"/>
        <w:tabs>
          <w:tab w:val="right" w:leader="dot" w:pos="8306"/>
          <w:tab w:val="clear" w:pos="8296"/>
        </w:tabs>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_Toc28103 </w:instrText>
      </w:r>
      <w:r>
        <w:rPr>
          <w:rFonts w:hint="eastAsia" w:ascii="宋体" w:hAnsi="宋体" w:eastAsia="宋体" w:cs="宋体"/>
          <w:highlight w:val="none"/>
          <w:lang w:val="en-US" w:eastAsia="zh-CN"/>
        </w:rPr>
        <w:fldChar w:fldCharType="separate"/>
      </w:r>
      <w:r>
        <w:rPr>
          <w:rFonts w:hint="default" w:ascii="黑体" w:hAnsi="黑体" w:eastAsia="黑体"/>
        </w:rPr>
        <w:t xml:space="preserve">二、 </w:t>
      </w:r>
      <w:r>
        <w:rPr>
          <w:rFonts w:hint="eastAsia" w:ascii="黑体" w:hAnsi="黑体" w:eastAsia="黑体"/>
          <w:szCs w:val="32"/>
          <w:highlight w:val="none"/>
        </w:rPr>
        <w:t>收</w:t>
      </w:r>
      <w:r>
        <w:rPr>
          <w:rFonts w:hint="eastAsia" w:ascii="黑体" w:hAnsi="黑体" w:eastAsia="黑体"/>
          <w:highlight w:val="none"/>
        </w:rPr>
        <w:t>入决算情况说明</w:t>
      </w:r>
      <w:r>
        <w:tab/>
      </w:r>
      <w:r>
        <w:rPr>
          <w:rFonts w:hint="eastAsia"/>
          <w:lang w:val="en-US" w:eastAsia="zh-CN"/>
        </w:rPr>
        <w:t>6</w:t>
      </w:r>
      <w:r>
        <w:rPr>
          <w:rFonts w:hint="eastAsia" w:ascii="宋体" w:hAnsi="宋体" w:eastAsia="宋体" w:cs="宋体"/>
          <w:color w:val="auto"/>
          <w:highlight w:val="none"/>
          <w:lang w:val="en-US" w:eastAsia="zh-CN"/>
        </w:rPr>
        <w:fldChar w:fldCharType="end"/>
      </w:r>
    </w:p>
    <w:p>
      <w:pPr>
        <w:pStyle w:val="16"/>
        <w:tabs>
          <w:tab w:val="right" w:leader="dot" w:pos="8306"/>
          <w:tab w:val="clear" w:pos="8296"/>
        </w:tabs>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_Toc2683 </w:instrText>
      </w:r>
      <w:r>
        <w:rPr>
          <w:rFonts w:hint="eastAsia" w:ascii="宋体" w:hAnsi="宋体" w:eastAsia="宋体" w:cs="宋体"/>
          <w:highlight w:val="none"/>
          <w:lang w:val="en-US" w:eastAsia="zh-CN"/>
        </w:rPr>
        <w:fldChar w:fldCharType="separate"/>
      </w:r>
      <w:r>
        <w:rPr>
          <w:rFonts w:hint="default" w:ascii="黑体" w:hAnsi="黑体" w:eastAsia="黑体"/>
        </w:rPr>
        <w:t xml:space="preserve">三、 </w:t>
      </w:r>
      <w:r>
        <w:rPr>
          <w:rFonts w:hint="eastAsia" w:ascii="黑体" w:hAnsi="黑体" w:eastAsia="黑体"/>
          <w:szCs w:val="32"/>
          <w:highlight w:val="none"/>
        </w:rPr>
        <w:t>支</w:t>
      </w:r>
      <w:r>
        <w:rPr>
          <w:rFonts w:hint="eastAsia" w:ascii="黑体" w:hAnsi="黑体" w:eastAsia="黑体"/>
          <w:highlight w:val="none"/>
        </w:rPr>
        <w:t>出决算情况说明</w:t>
      </w:r>
      <w:r>
        <w:tab/>
      </w:r>
      <w:r>
        <w:rPr>
          <w:rFonts w:hint="eastAsia"/>
          <w:lang w:val="en-US" w:eastAsia="zh-CN"/>
        </w:rPr>
        <w:t>7</w:t>
      </w:r>
      <w:r>
        <w:rPr>
          <w:rFonts w:hint="eastAsia" w:ascii="宋体" w:hAnsi="宋体" w:eastAsia="宋体" w:cs="宋体"/>
          <w:color w:val="auto"/>
          <w:highlight w:val="none"/>
          <w:lang w:val="en-US" w:eastAsia="zh-CN"/>
        </w:rPr>
        <w:fldChar w:fldCharType="end"/>
      </w:r>
    </w:p>
    <w:p>
      <w:pPr>
        <w:pStyle w:val="16"/>
        <w:tabs>
          <w:tab w:val="right" w:leader="dot" w:pos="8306"/>
          <w:tab w:val="clear" w:pos="8296"/>
        </w:tabs>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_Toc32740 </w:instrText>
      </w:r>
      <w:r>
        <w:rPr>
          <w:rFonts w:hint="eastAsia" w:ascii="宋体" w:hAnsi="宋体" w:eastAsia="宋体" w:cs="宋体"/>
          <w:highlight w:val="none"/>
          <w:lang w:val="en-US" w:eastAsia="zh-CN"/>
        </w:rPr>
        <w:fldChar w:fldCharType="separate"/>
      </w:r>
      <w:r>
        <w:rPr>
          <w:rFonts w:hint="eastAsia" w:ascii="黑体" w:hAnsi="黑体" w:eastAsia="黑体"/>
          <w:szCs w:val="32"/>
          <w:highlight w:val="none"/>
        </w:rPr>
        <w:t>四、财</w:t>
      </w:r>
      <w:r>
        <w:rPr>
          <w:rFonts w:hint="eastAsia" w:ascii="黑体" w:hAnsi="黑体" w:eastAsia="黑体"/>
          <w:highlight w:val="none"/>
        </w:rPr>
        <w:t>政拨款收入支出决算总体情况说明</w:t>
      </w:r>
      <w:r>
        <w:tab/>
      </w:r>
      <w:r>
        <w:rPr>
          <w:rFonts w:hint="eastAsia"/>
          <w:lang w:val="en-US" w:eastAsia="zh-CN"/>
        </w:rPr>
        <w:t>8</w:t>
      </w:r>
      <w:r>
        <w:rPr>
          <w:rFonts w:hint="eastAsia" w:ascii="宋体" w:hAnsi="宋体" w:eastAsia="宋体" w:cs="宋体"/>
          <w:color w:val="auto"/>
          <w:highlight w:val="none"/>
          <w:lang w:val="en-US" w:eastAsia="zh-CN"/>
        </w:rPr>
        <w:fldChar w:fldCharType="end"/>
      </w:r>
    </w:p>
    <w:p>
      <w:pPr>
        <w:pStyle w:val="16"/>
        <w:tabs>
          <w:tab w:val="right" w:leader="dot" w:pos="8306"/>
          <w:tab w:val="clear" w:pos="8296"/>
        </w:tabs>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_Toc14411 </w:instrText>
      </w:r>
      <w:r>
        <w:rPr>
          <w:rFonts w:hint="eastAsia" w:ascii="宋体" w:hAnsi="宋体" w:eastAsia="宋体" w:cs="宋体"/>
          <w:highlight w:val="none"/>
          <w:lang w:val="en-US" w:eastAsia="zh-CN"/>
        </w:rPr>
        <w:fldChar w:fldCharType="separate"/>
      </w:r>
      <w:r>
        <w:rPr>
          <w:rFonts w:hint="eastAsia" w:ascii="黑体" w:hAnsi="黑体" w:eastAsia="黑体"/>
          <w:szCs w:val="32"/>
          <w:highlight w:val="none"/>
        </w:rPr>
        <w:t>五、一</w:t>
      </w:r>
      <w:r>
        <w:rPr>
          <w:rFonts w:hint="eastAsia" w:ascii="黑体" w:hAnsi="黑体" w:eastAsia="黑体"/>
          <w:highlight w:val="none"/>
        </w:rPr>
        <w:t>般公共预算财政拨款支出决算情况说明</w:t>
      </w:r>
      <w:r>
        <w:tab/>
      </w:r>
      <w:r>
        <w:rPr>
          <w:rFonts w:hint="eastAsia"/>
          <w:lang w:val="en-US" w:eastAsia="zh-CN"/>
        </w:rPr>
        <w:t>9</w:t>
      </w:r>
      <w:r>
        <w:rPr>
          <w:rFonts w:hint="eastAsia" w:ascii="宋体" w:hAnsi="宋体" w:eastAsia="宋体" w:cs="宋体"/>
          <w:color w:val="auto"/>
          <w:highlight w:val="none"/>
          <w:lang w:val="en-US" w:eastAsia="zh-CN"/>
        </w:rPr>
        <w:fldChar w:fldCharType="end"/>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_Toc5027 </w:instrText>
      </w:r>
      <w:r>
        <w:rPr>
          <w:rFonts w:hint="eastAsia" w:ascii="宋体" w:hAnsi="宋体" w:eastAsia="宋体" w:cs="宋体"/>
          <w:highlight w:val="none"/>
          <w:lang w:val="en-US" w:eastAsia="zh-CN"/>
        </w:rPr>
        <w:fldChar w:fldCharType="separate"/>
      </w:r>
      <w:r>
        <w:rPr>
          <w:rFonts w:hint="eastAsia" w:ascii="黑体" w:eastAsia="黑体"/>
          <w:szCs w:val="32"/>
          <w:highlight w:val="none"/>
        </w:rPr>
        <w:t>六、</w:t>
      </w:r>
      <w:r>
        <w:rPr>
          <w:rFonts w:hint="eastAsia" w:ascii="黑体" w:hAnsi="黑体" w:eastAsia="黑体"/>
          <w:szCs w:val="32"/>
          <w:highlight w:val="none"/>
        </w:rPr>
        <w:t>一</w:t>
      </w:r>
      <w:r>
        <w:rPr>
          <w:rFonts w:hint="eastAsia" w:ascii="黑体" w:hAnsi="黑体" w:eastAsia="黑体"/>
          <w:highlight w:val="none"/>
        </w:rPr>
        <w:t>般公共预算财政拨款基本支出决算情况说明</w:t>
      </w:r>
      <w:r>
        <w:tab/>
      </w:r>
      <w:r>
        <w:rPr>
          <w:rFonts w:hint="eastAsia"/>
          <w:lang w:val="en-US" w:eastAsia="zh-CN"/>
        </w:rPr>
        <w:t>1</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4</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_Toc18594 </w:instrText>
      </w:r>
      <w:r>
        <w:rPr>
          <w:rFonts w:hint="eastAsia" w:ascii="宋体" w:hAnsi="宋体" w:eastAsia="宋体" w:cs="宋体"/>
          <w:highlight w:val="none"/>
          <w:lang w:val="en-US" w:eastAsia="zh-CN"/>
        </w:rPr>
        <w:fldChar w:fldCharType="separate"/>
      </w:r>
      <w:r>
        <w:rPr>
          <w:rFonts w:hint="eastAsia" w:ascii="黑体" w:eastAsia="黑体"/>
          <w:szCs w:val="32"/>
          <w:highlight w:val="none"/>
        </w:rPr>
        <w:t>七、</w:t>
      </w:r>
      <w:r>
        <w:rPr>
          <w:rFonts w:hint="eastAsia" w:ascii="黑体" w:hAnsi="黑体" w:eastAsia="黑体"/>
          <w:highlight w:val="none"/>
        </w:rPr>
        <w:t>财政拨款“三公”经费支出决算情况说明</w:t>
      </w:r>
      <w:r>
        <w:tab/>
      </w:r>
      <w:r>
        <w:rPr>
          <w:rFonts w:hint="eastAsia"/>
          <w:lang w:val="en-US" w:eastAsia="zh-CN"/>
        </w:rPr>
        <w:t>1</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5</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_Toc5758 </w:instrText>
      </w:r>
      <w:r>
        <w:rPr>
          <w:rFonts w:hint="eastAsia" w:ascii="宋体" w:hAnsi="宋体" w:eastAsia="宋体" w:cs="宋体"/>
          <w:highlight w:val="none"/>
          <w:lang w:val="en-US" w:eastAsia="zh-CN"/>
        </w:rPr>
        <w:fldChar w:fldCharType="separate"/>
      </w:r>
      <w:r>
        <w:rPr>
          <w:rFonts w:hint="eastAsia" w:ascii="黑体" w:eastAsia="黑体"/>
          <w:szCs w:val="32"/>
          <w:highlight w:val="none"/>
        </w:rPr>
        <w:t>八、</w:t>
      </w:r>
      <w:r>
        <w:rPr>
          <w:rFonts w:hint="eastAsia" w:ascii="黑体" w:hAnsi="黑体" w:eastAsia="黑体"/>
          <w:highlight w:val="none"/>
        </w:rPr>
        <w:t>政府性基金预算支出决算情况说明</w:t>
      </w:r>
      <w:r>
        <w:tab/>
      </w:r>
      <w:r>
        <w:rPr>
          <w:rFonts w:hint="eastAsia"/>
          <w:lang w:val="en-US" w:eastAsia="zh-CN"/>
        </w:rPr>
        <w:t>1</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7</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_Toc24720 </w:instrText>
      </w:r>
      <w:r>
        <w:rPr>
          <w:rFonts w:hint="eastAsia" w:ascii="宋体" w:hAnsi="宋体" w:eastAsia="宋体" w:cs="宋体"/>
          <w:highlight w:val="none"/>
          <w:lang w:val="en-US" w:eastAsia="zh-CN"/>
        </w:rPr>
        <w:fldChar w:fldCharType="separate"/>
      </w:r>
      <w:r>
        <w:rPr>
          <w:rFonts w:hint="eastAsia" w:ascii="黑体" w:hAnsi="黑体" w:eastAsia="黑体"/>
        </w:rPr>
        <w:t xml:space="preserve">九、 </w:t>
      </w:r>
      <w:r>
        <w:rPr>
          <w:rFonts w:hint="eastAsia" w:ascii="黑体" w:hAnsi="黑体" w:eastAsia="黑体"/>
          <w:highlight w:val="none"/>
        </w:rPr>
        <w:t>国有资本经营预算支出决算情况说明</w:t>
      </w:r>
      <w:r>
        <w:tab/>
      </w:r>
      <w:r>
        <w:rPr>
          <w:rFonts w:hint="eastAsia"/>
          <w:lang w:val="en-US" w:eastAsia="zh-CN"/>
        </w:rPr>
        <w:t>1</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7</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_Toc14555 </w:instrText>
      </w:r>
      <w:r>
        <w:rPr>
          <w:rFonts w:hint="eastAsia" w:ascii="宋体" w:hAnsi="宋体" w:eastAsia="宋体" w:cs="宋体"/>
          <w:highlight w:val="none"/>
          <w:lang w:val="en-US" w:eastAsia="zh-CN"/>
        </w:rPr>
        <w:fldChar w:fldCharType="separate"/>
      </w:r>
      <w:r>
        <w:rPr>
          <w:rFonts w:hint="eastAsia" w:ascii="黑体" w:hAnsi="黑体" w:eastAsia="黑体"/>
        </w:rPr>
        <w:t xml:space="preserve">十、 </w:t>
      </w:r>
      <w:r>
        <w:rPr>
          <w:rFonts w:hint="eastAsia" w:ascii="黑体" w:hAnsi="黑体" w:eastAsia="黑体"/>
          <w:highlight w:val="none"/>
        </w:rPr>
        <w:t>其他重要事项的情况说明</w:t>
      </w:r>
      <w:r>
        <w:tab/>
      </w:r>
      <w:r>
        <w:rPr>
          <w:rFonts w:hint="eastAsia"/>
          <w:lang w:val="en-US" w:eastAsia="zh-CN"/>
        </w:rPr>
        <w:t>1</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13"/>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_Toc22572 </w:instrText>
      </w:r>
      <w:r>
        <w:rPr>
          <w:rFonts w:hint="eastAsia" w:ascii="宋体" w:hAnsi="宋体" w:eastAsia="宋体" w:cs="宋体"/>
          <w:highlight w:val="none"/>
          <w:lang w:val="en-US" w:eastAsia="zh-CN"/>
        </w:rPr>
        <w:fldChar w:fldCharType="separate"/>
      </w:r>
      <w:r>
        <w:rPr>
          <w:rFonts w:hint="eastAsia" w:ascii="黑体" w:hAnsi="黑体" w:eastAsia="黑体"/>
        </w:rPr>
        <w:t xml:space="preserve">第三部分 </w:t>
      </w:r>
      <w:r>
        <w:rPr>
          <w:rFonts w:hint="eastAsia" w:ascii="黑体" w:hAnsi="黑体" w:eastAsia="黑体"/>
          <w:szCs w:val="44"/>
          <w:highlight w:val="none"/>
        </w:rPr>
        <w:t>名</w:t>
      </w:r>
      <w:r>
        <w:rPr>
          <w:rFonts w:hint="eastAsia" w:ascii="黑体" w:hAnsi="黑体" w:eastAsia="黑体"/>
          <w:highlight w:val="none"/>
        </w:rPr>
        <w:t>词解释</w:t>
      </w:r>
      <w:r>
        <w:tab/>
      </w:r>
      <w:r>
        <w:rPr>
          <w:rFonts w:hint="eastAsia"/>
          <w:lang w:val="en-US" w:eastAsia="zh-CN"/>
        </w:rPr>
        <w:t>1</w:t>
      </w:r>
      <w:r>
        <w:rPr>
          <w:rFonts w:hint="eastAsia" w:ascii="宋体" w:hAnsi="宋体" w:eastAsia="宋体" w:cs="宋体"/>
          <w:color w:val="auto"/>
          <w:highlight w:val="none"/>
          <w:lang w:val="en-US" w:eastAsia="zh-CN"/>
        </w:rPr>
        <w:fldChar w:fldCharType="end"/>
      </w:r>
      <w:r>
        <w:rPr>
          <w:rFonts w:hint="eastAsia" w:ascii="宋体" w:hAnsi="宋体" w:eastAsia="宋体" w:cs="宋体"/>
          <w:color w:val="auto"/>
          <w:highlight w:val="none"/>
          <w:lang w:val="en-US" w:eastAsia="zh-CN"/>
        </w:rPr>
        <w:t>9</w:t>
      </w:r>
    </w:p>
    <w:p>
      <w:pPr>
        <w:pStyle w:val="13"/>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_Toc24209 </w:instrText>
      </w:r>
      <w:r>
        <w:rPr>
          <w:rFonts w:hint="eastAsia" w:ascii="宋体" w:hAnsi="宋体" w:eastAsia="宋体" w:cs="宋体"/>
          <w:highlight w:val="none"/>
          <w:lang w:val="en-US" w:eastAsia="zh-CN"/>
        </w:rPr>
        <w:fldChar w:fldCharType="separate"/>
      </w:r>
      <w:r>
        <w:rPr>
          <w:rFonts w:hint="eastAsia" w:ascii="黑体" w:hAnsi="黑体" w:eastAsia="黑体"/>
          <w:szCs w:val="44"/>
          <w:highlight w:val="none"/>
        </w:rPr>
        <w:t>第</w:t>
      </w:r>
      <w:r>
        <w:rPr>
          <w:rFonts w:hint="eastAsia" w:ascii="黑体" w:hAnsi="黑体" w:eastAsia="黑体"/>
          <w:highlight w:val="none"/>
        </w:rPr>
        <w:t>四部分 附件</w:t>
      </w:r>
      <w:r>
        <w:tab/>
      </w:r>
      <w:r>
        <w:rPr>
          <w:rFonts w:hint="eastAsia"/>
          <w:lang w:val="en-US" w:eastAsia="zh-CN"/>
        </w:rPr>
        <w:t>2</w:t>
      </w:r>
      <w:r>
        <w:rPr>
          <w:rFonts w:hint="eastAsia" w:ascii="宋体" w:hAnsi="宋体" w:eastAsia="宋体" w:cs="宋体"/>
          <w:color w:val="auto"/>
          <w:highlight w:val="none"/>
          <w:lang w:val="en-US" w:eastAsia="zh-CN"/>
        </w:rPr>
        <w:fldChar w:fldCharType="end"/>
      </w:r>
      <w:r>
        <w:rPr>
          <w:rFonts w:hint="eastAsia" w:ascii="宋体" w:hAnsi="宋体" w:eastAsia="宋体" w:cs="宋体"/>
          <w:color w:val="auto"/>
          <w:highlight w:val="none"/>
          <w:lang w:val="en-US" w:eastAsia="zh-CN"/>
        </w:rPr>
        <w:t>4</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_Toc18313 </w:instrText>
      </w:r>
      <w:r>
        <w:rPr>
          <w:rFonts w:hint="eastAsia" w:ascii="宋体" w:hAnsi="宋体" w:eastAsia="宋体" w:cs="宋体"/>
          <w:highlight w:val="none"/>
          <w:lang w:val="en-US" w:eastAsia="zh-CN"/>
        </w:rPr>
        <w:fldChar w:fldCharType="separate"/>
      </w:r>
      <w:r>
        <w:rPr>
          <w:rFonts w:hint="eastAsia" w:ascii="仿宋" w:hAnsi="仿宋" w:eastAsia="仿宋"/>
          <w:highlight w:val="none"/>
        </w:rPr>
        <w:t>一、收</w:t>
      </w:r>
      <w:r>
        <w:rPr>
          <w:rFonts w:hint="eastAsia" w:ascii="仿宋" w:hAnsi="仿宋" w:eastAsia="仿宋"/>
          <w:bCs w:val="0"/>
          <w:highlight w:val="none"/>
        </w:rPr>
        <w:t>入支出决算总表</w:t>
      </w:r>
      <w:r>
        <w:tab/>
      </w:r>
      <w:r>
        <w:rPr>
          <w:rFonts w:hint="eastAsia"/>
          <w:lang w:val="en-US" w:eastAsia="zh-CN"/>
        </w:rPr>
        <w:t>4</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_Toc23709 </w:instrText>
      </w:r>
      <w:r>
        <w:rPr>
          <w:rFonts w:hint="eastAsia" w:ascii="宋体" w:hAnsi="宋体" w:eastAsia="宋体" w:cs="宋体"/>
          <w:highlight w:val="none"/>
          <w:lang w:val="en-US" w:eastAsia="zh-CN"/>
        </w:rPr>
        <w:fldChar w:fldCharType="separate"/>
      </w:r>
      <w:r>
        <w:rPr>
          <w:rFonts w:hint="eastAsia" w:ascii="仿宋" w:hAnsi="仿宋" w:eastAsia="仿宋"/>
          <w:highlight w:val="none"/>
        </w:rPr>
        <w:t>二、收</w:t>
      </w:r>
      <w:r>
        <w:rPr>
          <w:rFonts w:hint="eastAsia" w:ascii="仿宋" w:hAnsi="仿宋" w:eastAsia="仿宋"/>
          <w:bCs w:val="0"/>
          <w:highlight w:val="none"/>
        </w:rPr>
        <w:t>入决算表</w:t>
      </w:r>
      <w:r>
        <w:tab/>
      </w:r>
      <w:r>
        <w:rPr>
          <w:rFonts w:hint="eastAsia"/>
          <w:lang w:val="en-US" w:eastAsia="zh-CN"/>
        </w:rPr>
        <w:t>4</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_Toc8217 </w:instrText>
      </w:r>
      <w:r>
        <w:rPr>
          <w:rFonts w:hint="eastAsia" w:ascii="宋体" w:hAnsi="宋体" w:eastAsia="宋体" w:cs="宋体"/>
          <w:highlight w:val="none"/>
          <w:lang w:val="en-US" w:eastAsia="zh-CN"/>
        </w:rPr>
        <w:fldChar w:fldCharType="separate"/>
      </w:r>
      <w:r>
        <w:rPr>
          <w:rFonts w:hint="eastAsia" w:ascii="仿宋" w:hAnsi="仿宋" w:eastAsia="仿宋"/>
          <w:bCs w:val="0"/>
          <w:highlight w:val="none"/>
        </w:rPr>
        <w:t>三、</w:t>
      </w:r>
      <w:r>
        <w:rPr>
          <w:rFonts w:hint="eastAsia" w:ascii="仿宋" w:hAnsi="仿宋" w:eastAsia="仿宋"/>
          <w:highlight w:val="none"/>
        </w:rPr>
        <w:t>支</w:t>
      </w:r>
      <w:r>
        <w:rPr>
          <w:rFonts w:hint="eastAsia" w:ascii="仿宋" w:hAnsi="仿宋" w:eastAsia="仿宋"/>
          <w:bCs w:val="0"/>
          <w:highlight w:val="none"/>
        </w:rPr>
        <w:t>出决算表</w:t>
      </w:r>
      <w:r>
        <w:tab/>
      </w:r>
      <w:r>
        <w:rPr>
          <w:rFonts w:hint="eastAsia"/>
          <w:lang w:val="en-US" w:eastAsia="zh-CN"/>
        </w:rPr>
        <w:t>4</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_Toc13674 </w:instrText>
      </w:r>
      <w:r>
        <w:rPr>
          <w:rFonts w:hint="eastAsia" w:ascii="宋体" w:hAnsi="宋体" w:eastAsia="宋体" w:cs="宋体"/>
          <w:highlight w:val="none"/>
          <w:lang w:val="en-US" w:eastAsia="zh-CN"/>
        </w:rPr>
        <w:fldChar w:fldCharType="separate"/>
      </w:r>
      <w:r>
        <w:rPr>
          <w:rFonts w:hint="eastAsia" w:ascii="仿宋" w:hAnsi="仿宋" w:eastAsia="仿宋"/>
          <w:bCs w:val="0"/>
          <w:highlight w:val="none"/>
        </w:rPr>
        <w:t>四、</w:t>
      </w:r>
      <w:r>
        <w:rPr>
          <w:rFonts w:hint="eastAsia" w:ascii="仿宋" w:hAnsi="仿宋" w:eastAsia="仿宋"/>
          <w:highlight w:val="none"/>
        </w:rPr>
        <w:t>财</w:t>
      </w:r>
      <w:r>
        <w:rPr>
          <w:rFonts w:hint="eastAsia" w:ascii="仿宋" w:hAnsi="仿宋" w:eastAsia="仿宋"/>
          <w:bCs w:val="0"/>
          <w:highlight w:val="none"/>
        </w:rPr>
        <w:t>政拨款收入支出决算总表</w:t>
      </w:r>
      <w:r>
        <w:tab/>
      </w:r>
      <w:r>
        <w:rPr>
          <w:rFonts w:hint="eastAsia"/>
          <w:lang w:val="en-US" w:eastAsia="zh-CN"/>
        </w:rPr>
        <w:t>4</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_Toc24154 </w:instrText>
      </w:r>
      <w:r>
        <w:rPr>
          <w:rFonts w:hint="eastAsia" w:ascii="宋体" w:hAnsi="宋体" w:eastAsia="宋体" w:cs="宋体"/>
          <w:highlight w:val="none"/>
          <w:lang w:val="en-US" w:eastAsia="zh-CN"/>
        </w:rPr>
        <w:fldChar w:fldCharType="separate"/>
      </w:r>
      <w:r>
        <w:rPr>
          <w:rFonts w:hint="eastAsia" w:ascii="仿宋" w:hAnsi="仿宋" w:eastAsia="仿宋"/>
          <w:bCs w:val="0"/>
          <w:highlight w:val="none"/>
        </w:rPr>
        <w:t>五、</w:t>
      </w:r>
      <w:r>
        <w:rPr>
          <w:rFonts w:hint="eastAsia" w:ascii="仿宋" w:hAnsi="仿宋" w:eastAsia="仿宋"/>
          <w:highlight w:val="none"/>
        </w:rPr>
        <w:t>财</w:t>
      </w:r>
      <w:r>
        <w:rPr>
          <w:rFonts w:hint="eastAsia" w:ascii="仿宋" w:hAnsi="仿宋" w:eastAsia="仿宋"/>
          <w:bCs w:val="0"/>
          <w:highlight w:val="none"/>
        </w:rPr>
        <w:t>政拨款支出决算明细表</w:t>
      </w:r>
      <w:r>
        <w:tab/>
      </w:r>
      <w:r>
        <w:rPr>
          <w:rFonts w:hint="eastAsia"/>
          <w:lang w:val="en-US" w:eastAsia="zh-CN"/>
        </w:rPr>
        <w:t>4</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_Toc20562 </w:instrText>
      </w:r>
      <w:r>
        <w:rPr>
          <w:rFonts w:hint="eastAsia" w:ascii="宋体" w:hAnsi="宋体" w:eastAsia="宋体" w:cs="宋体"/>
          <w:highlight w:val="none"/>
          <w:lang w:val="en-US" w:eastAsia="zh-CN"/>
        </w:rPr>
        <w:fldChar w:fldCharType="separate"/>
      </w:r>
      <w:r>
        <w:rPr>
          <w:rFonts w:hint="eastAsia" w:ascii="仿宋" w:hAnsi="仿宋" w:eastAsia="仿宋"/>
          <w:bCs w:val="0"/>
          <w:highlight w:val="none"/>
        </w:rPr>
        <w:t>六、</w:t>
      </w:r>
      <w:r>
        <w:rPr>
          <w:rFonts w:hint="eastAsia" w:ascii="仿宋" w:hAnsi="仿宋" w:eastAsia="仿宋"/>
          <w:highlight w:val="none"/>
        </w:rPr>
        <w:t>一</w:t>
      </w:r>
      <w:r>
        <w:rPr>
          <w:rFonts w:hint="eastAsia" w:ascii="仿宋" w:hAnsi="仿宋" w:eastAsia="仿宋"/>
          <w:bCs w:val="0"/>
          <w:highlight w:val="none"/>
        </w:rPr>
        <w:t>般公共预算财政拨款支出决算表</w:t>
      </w:r>
      <w:r>
        <w:tab/>
      </w:r>
      <w:r>
        <w:rPr>
          <w:rFonts w:hint="eastAsia"/>
          <w:lang w:val="en-US" w:eastAsia="zh-CN"/>
        </w:rPr>
        <w:t>4</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_Toc32196 </w:instrText>
      </w:r>
      <w:r>
        <w:rPr>
          <w:rFonts w:hint="eastAsia" w:ascii="宋体" w:hAnsi="宋体" w:eastAsia="宋体" w:cs="宋体"/>
          <w:highlight w:val="none"/>
          <w:lang w:val="en-US" w:eastAsia="zh-CN"/>
        </w:rPr>
        <w:fldChar w:fldCharType="separate"/>
      </w:r>
      <w:r>
        <w:rPr>
          <w:rFonts w:hint="eastAsia" w:ascii="仿宋" w:hAnsi="仿宋" w:eastAsia="仿宋"/>
          <w:bCs w:val="0"/>
          <w:highlight w:val="none"/>
        </w:rPr>
        <w:t>七、</w:t>
      </w:r>
      <w:r>
        <w:rPr>
          <w:rFonts w:hint="eastAsia" w:ascii="仿宋" w:hAnsi="仿宋" w:eastAsia="仿宋"/>
          <w:highlight w:val="none"/>
        </w:rPr>
        <w:t>一</w:t>
      </w:r>
      <w:r>
        <w:rPr>
          <w:rFonts w:hint="eastAsia" w:ascii="仿宋" w:hAnsi="仿宋" w:eastAsia="仿宋"/>
          <w:bCs w:val="0"/>
          <w:highlight w:val="none"/>
        </w:rPr>
        <w:t>般公共预算财政拨款支出决算明细表</w:t>
      </w:r>
      <w:r>
        <w:tab/>
      </w:r>
      <w:r>
        <w:rPr>
          <w:rFonts w:hint="eastAsia"/>
          <w:lang w:val="en-US" w:eastAsia="zh-CN"/>
        </w:rPr>
        <w:t>4</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_Toc20043 </w:instrText>
      </w:r>
      <w:r>
        <w:rPr>
          <w:rFonts w:hint="eastAsia" w:ascii="宋体" w:hAnsi="宋体" w:eastAsia="宋体" w:cs="宋体"/>
          <w:highlight w:val="none"/>
          <w:lang w:val="en-US" w:eastAsia="zh-CN"/>
        </w:rPr>
        <w:fldChar w:fldCharType="separate"/>
      </w:r>
      <w:r>
        <w:rPr>
          <w:rFonts w:hint="eastAsia" w:ascii="仿宋" w:hAnsi="仿宋" w:eastAsia="仿宋"/>
          <w:bCs w:val="0"/>
          <w:highlight w:val="none"/>
        </w:rPr>
        <w:t>八、</w:t>
      </w:r>
      <w:r>
        <w:rPr>
          <w:rFonts w:hint="eastAsia" w:ascii="仿宋" w:hAnsi="仿宋" w:eastAsia="仿宋"/>
          <w:highlight w:val="none"/>
        </w:rPr>
        <w:t>一</w:t>
      </w:r>
      <w:r>
        <w:rPr>
          <w:rFonts w:hint="eastAsia" w:ascii="仿宋" w:hAnsi="仿宋" w:eastAsia="仿宋"/>
          <w:bCs w:val="0"/>
          <w:highlight w:val="none"/>
        </w:rPr>
        <w:t>般公共预算财政拨款基本支出决算表</w:t>
      </w:r>
      <w:r>
        <w:tab/>
      </w:r>
      <w:r>
        <w:rPr>
          <w:rFonts w:hint="eastAsia"/>
          <w:lang w:val="en-US" w:eastAsia="zh-CN"/>
        </w:rPr>
        <w:t>4</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_Toc26961 </w:instrText>
      </w:r>
      <w:r>
        <w:rPr>
          <w:rFonts w:hint="eastAsia" w:ascii="宋体" w:hAnsi="宋体" w:eastAsia="宋体" w:cs="宋体"/>
          <w:highlight w:val="none"/>
          <w:lang w:val="en-US" w:eastAsia="zh-CN"/>
        </w:rPr>
        <w:fldChar w:fldCharType="separate"/>
      </w:r>
      <w:r>
        <w:rPr>
          <w:rFonts w:hint="eastAsia" w:ascii="仿宋" w:hAnsi="仿宋" w:eastAsia="仿宋"/>
          <w:bCs w:val="0"/>
          <w:highlight w:val="none"/>
        </w:rPr>
        <w:t>九、</w:t>
      </w:r>
      <w:r>
        <w:rPr>
          <w:rFonts w:hint="eastAsia" w:ascii="仿宋" w:hAnsi="仿宋" w:eastAsia="仿宋"/>
          <w:highlight w:val="none"/>
        </w:rPr>
        <w:t>一</w:t>
      </w:r>
      <w:r>
        <w:rPr>
          <w:rFonts w:hint="eastAsia" w:ascii="仿宋" w:hAnsi="仿宋" w:eastAsia="仿宋"/>
          <w:bCs w:val="0"/>
          <w:highlight w:val="none"/>
        </w:rPr>
        <w:t>般公共预算财政拨款项目支出决算表</w:t>
      </w:r>
      <w:r>
        <w:tab/>
      </w:r>
      <w:r>
        <w:rPr>
          <w:rFonts w:hint="eastAsia"/>
          <w:lang w:val="en-US" w:eastAsia="zh-CN"/>
        </w:rPr>
        <w:t>4</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_Toc27868 </w:instrText>
      </w:r>
      <w:r>
        <w:rPr>
          <w:rFonts w:hint="eastAsia" w:ascii="宋体" w:hAnsi="宋体" w:eastAsia="宋体" w:cs="宋体"/>
          <w:highlight w:val="none"/>
          <w:lang w:val="en-US" w:eastAsia="zh-CN"/>
        </w:rPr>
        <w:fldChar w:fldCharType="separate"/>
      </w:r>
      <w:r>
        <w:rPr>
          <w:rFonts w:hint="eastAsia" w:ascii="仿宋" w:hAnsi="仿宋" w:eastAsia="仿宋"/>
          <w:bCs w:val="0"/>
          <w:highlight w:val="none"/>
        </w:rPr>
        <w:t>十、</w:t>
      </w:r>
      <w:r>
        <w:rPr>
          <w:rFonts w:hint="eastAsia" w:ascii="仿宋" w:hAnsi="仿宋" w:eastAsia="仿宋"/>
          <w:highlight w:val="none"/>
        </w:rPr>
        <w:t>政</w:t>
      </w:r>
      <w:r>
        <w:rPr>
          <w:rFonts w:hint="eastAsia" w:ascii="仿宋" w:hAnsi="仿宋" w:eastAsia="仿宋"/>
          <w:bCs w:val="0"/>
          <w:highlight w:val="none"/>
        </w:rPr>
        <w:t>府性基金预算财政拨款收入支出决算表</w:t>
      </w:r>
      <w:r>
        <w:tab/>
      </w:r>
      <w:r>
        <w:rPr>
          <w:rFonts w:hint="eastAsia"/>
          <w:lang w:val="en-US" w:eastAsia="zh-CN"/>
        </w:rPr>
        <w:t>4</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_Toc13589 </w:instrText>
      </w:r>
      <w:r>
        <w:rPr>
          <w:rFonts w:hint="eastAsia" w:ascii="宋体" w:hAnsi="宋体" w:eastAsia="宋体" w:cs="宋体"/>
          <w:highlight w:val="none"/>
          <w:lang w:val="en-US" w:eastAsia="zh-CN"/>
        </w:rPr>
        <w:fldChar w:fldCharType="separate"/>
      </w:r>
      <w:r>
        <w:rPr>
          <w:rFonts w:hint="eastAsia" w:ascii="仿宋" w:hAnsi="仿宋" w:eastAsia="仿宋"/>
          <w:bCs w:val="0"/>
          <w:highlight w:val="none"/>
        </w:rPr>
        <w:t>十一、</w:t>
      </w:r>
      <w:r>
        <w:rPr>
          <w:rFonts w:hint="eastAsia" w:ascii="仿宋" w:hAnsi="仿宋" w:eastAsia="仿宋"/>
          <w:highlight w:val="none"/>
        </w:rPr>
        <w:t>国</w:t>
      </w:r>
      <w:r>
        <w:rPr>
          <w:rFonts w:hint="eastAsia" w:ascii="仿宋" w:hAnsi="仿宋" w:eastAsia="仿宋"/>
          <w:bCs w:val="0"/>
          <w:highlight w:val="none"/>
        </w:rPr>
        <w:t>有资本经营预算</w:t>
      </w:r>
      <w:r>
        <w:rPr>
          <w:rFonts w:hint="eastAsia" w:ascii="仿宋" w:hAnsi="仿宋" w:eastAsia="仿宋"/>
          <w:bCs w:val="0"/>
          <w:highlight w:val="none"/>
          <w:lang w:eastAsia="zh-CN"/>
        </w:rPr>
        <w:t>财政拨款收入</w:t>
      </w:r>
      <w:r>
        <w:rPr>
          <w:rFonts w:hint="eastAsia" w:ascii="仿宋" w:hAnsi="仿宋" w:eastAsia="仿宋"/>
          <w:bCs w:val="0"/>
          <w:highlight w:val="none"/>
        </w:rPr>
        <w:t>支出决算表</w:t>
      </w:r>
      <w:r>
        <w:tab/>
      </w:r>
      <w:r>
        <w:rPr>
          <w:rFonts w:hint="eastAsia"/>
          <w:lang w:val="en-US" w:eastAsia="zh-CN"/>
        </w:rPr>
        <w:t>4</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_Toc12745 </w:instrText>
      </w:r>
      <w:r>
        <w:rPr>
          <w:rFonts w:hint="eastAsia" w:ascii="宋体" w:hAnsi="宋体" w:eastAsia="宋体" w:cs="宋体"/>
          <w:highlight w:val="none"/>
          <w:lang w:val="en-US" w:eastAsia="zh-CN"/>
        </w:rPr>
        <w:fldChar w:fldCharType="separate"/>
      </w:r>
      <w:r>
        <w:rPr>
          <w:rFonts w:hint="eastAsia" w:ascii="仿宋" w:hAnsi="仿宋" w:eastAsia="仿宋"/>
          <w:bCs w:val="0"/>
          <w:highlight w:val="none"/>
        </w:rPr>
        <w:t>十二、</w:t>
      </w:r>
      <w:r>
        <w:rPr>
          <w:rFonts w:hint="eastAsia" w:ascii="仿宋" w:hAnsi="仿宋" w:eastAsia="仿宋"/>
          <w:bCs w:val="0"/>
          <w:highlight w:val="none"/>
          <w:lang w:eastAsia="zh-CN"/>
        </w:rPr>
        <w:t>国有资本经营预算财政拨款支出决算表</w:t>
      </w:r>
      <w:r>
        <w:tab/>
      </w:r>
      <w:r>
        <w:rPr>
          <w:rFonts w:hint="eastAsia"/>
          <w:lang w:val="en-US" w:eastAsia="zh-CN"/>
        </w:rPr>
        <w:t>4</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16"/>
        <w:tabs>
          <w:tab w:val="right" w:leader="dot" w:pos="8306"/>
          <w:tab w:val="clear" w:pos="8296"/>
        </w:tabs>
        <w:rPr>
          <w:rFonts w:hint="default"/>
          <w:lang w:val="en-US"/>
        </w:rPr>
      </w:pPr>
      <w:r>
        <w:rPr>
          <w:rFonts w:hint="eastAsia" w:ascii="宋体" w:hAnsi="宋体" w:eastAsia="宋体" w:cs="宋体"/>
          <w:color w:val="auto"/>
          <w:highlight w:val="none"/>
          <w:lang w:val="en-US" w:eastAsia="zh-CN"/>
        </w:rPr>
        <w:fldChar w:fldCharType="begin"/>
      </w:r>
      <w:r>
        <w:rPr>
          <w:rFonts w:hint="eastAsia" w:ascii="宋体" w:hAnsi="宋体" w:eastAsia="宋体" w:cs="宋体"/>
          <w:highlight w:val="none"/>
          <w:lang w:val="en-US" w:eastAsia="zh-CN"/>
        </w:rPr>
        <w:instrText xml:space="preserve"> HYPERLINK \l _Toc4543 </w:instrText>
      </w:r>
      <w:r>
        <w:rPr>
          <w:rFonts w:hint="eastAsia" w:ascii="宋体" w:hAnsi="宋体" w:eastAsia="宋体" w:cs="宋体"/>
          <w:highlight w:val="none"/>
          <w:lang w:val="en-US" w:eastAsia="zh-CN"/>
        </w:rPr>
        <w:fldChar w:fldCharType="separate"/>
      </w:r>
      <w:r>
        <w:rPr>
          <w:rFonts w:hint="eastAsia" w:ascii="仿宋" w:hAnsi="仿宋" w:eastAsia="仿宋"/>
          <w:bCs w:val="0"/>
          <w:highlight w:val="none"/>
        </w:rPr>
        <w:t>十三、</w:t>
      </w:r>
      <w:r>
        <w:rPr>
          <w:rFonts w:hint="eastAsia" w:ascii="仿宋" w:hAnsi="仿宋" w:eastAsia="仿宋"/>
          <w:bCs w:val="0"/>
          <w:highlight w:val="none"/>
          <w:lang w:eastAsia="zh-CN"/>
        </w:rPr>
        <w:t>财政拨款“三公”经费支出决算表</w:t>
      </w:r>
      <w:r>
        <w:tab/>
      </w:r>
      <w:r>
        <w:rPr>
          <w:rFonts w:hint="eastAsia"/>
          <w:lang w:val="en-US" w:eastAsia="zh-CN"/>
        </w:rPr>
        <w:t>4</w:t>
      </w:r>
      <w:r>
        <w:rPr>
          <w:rFonts w:hint="eastAsia" w:ascii="宋体" w:hAnsi="宋体" w:eastAsia="宋体" w:cs="宋体"/>
          <w:color w:val="auto"/>
          <w:highlight w:val="none"/>
          <w:lang w:val="en-US" w:eastAsia="zh-CN"/>
        </w:rPr>
        <w:fldChar w:fldCharType="end"/>
      </w:r>
      <w:r>
        <w:rPr>
          <w:rFonts w:hint="eastAsia" w:ascii="宋体" w:hAnsi="宋体" w:cs="宋体"/>
          <w:color w:val="auto"/>
          <w:highlight w:val="none"/>
          <w:lang w:val="en-US" w:eastAsia="zh-CN"/>
        </w:rPr>
        <w:t>8</w:t>
      </w:r>
    </w:p>
    <w:p>
      <w:pPr>
        <w:pStyle w:val="6"/>
        <w:jc w:val="center"/>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r>
        <w:rPr>
          <w:rFonts w:hint="eastAsia" w:ascii="宋体" w:hAnsi="宋体" w:eastAsia="宋体" w:cs="宋体"/>
          <w:color w:val="auto"/>
          <w:highlight w:val="none"/>
          <w:lang w:val="en-US" w:eastAsia="zh-CN"/>
        </w:rPr>
        <w:fldChar w:fldCharType="end"/>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ind w:firstLine="1760" w:firstLineChars="4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44"/>
          <w:szCs w:val="44"/>
          <w:highlight w:val="none"/>
        </w:rPr>
        <w:t>第一部分 部门概况</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color w:val="auto"/>
          <w:sz w:val="32"/>
          <w:szCs w:val="32"/>
          <w:highlight w:val="none"/>
        </w:rPr>
      </w:pP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eastAsia="仿宋_GB2312"/>
          <w:sz w:val="32"/>
          <w:szCs w:val="32"/>
          <w:lang w:val="zh-CN" w:eastAsia="zh-CN"/>
        </w:rPr>
      </w:pPr>
      <w:r>
        <w:rPr>
          <w:rFonts w:hint="eastAsia" w:ascii="黑体" w:hAnsi="黑体" w:eastAsia="黑体" w:cs="黑体"/>
          <w:color w:val="auto"/>
          <w:sz w:val="32"/>
          <w:szCs w:val="32"/>
          <w:highlight w:val="none"/>
        </w:rPr>
        <w:t>一、</w:t>
      </w:r>
      <w:r>
        <w:rPr>
          <w:rFonts w:hint="eastAsia" w:ascii="黑体" w:hAnsi="黑体" w:eastAsia="黑体" w:cs="黑体"/>
          <w:color w:val="auto"/>
          <w:sz w:val="32"/>
          <w:szCs w:val="32"/>
          <w:highlight w:val="none"/>
          <w:lang w:eastAsia="zh-CN"/>
        </w:rPr>
        <w:t>部门职责</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（1）负责应急管理工作，组织和指导各乡（镇）、各部门（单位）应对安全生产类、自然灾害类等突发事件和综合防灾减灾救灾工作。负责安全生产综合监督管理和工矿商贸安全生产监督管理工作。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（2）拟订应急管理、安全生产等有关规范性文件，组织编制应急体系建设、安全生产和综合防灾减灾规划。</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3）负责组织、指导应急预案体系建设，建立完善事故灾害和自然灾害分级应对制度，牵头组织编制综合应急防灾减灾预案和安全生产类、自然灾害类专项预案，负责应急预案衔接工作，组织开展预案演练并落实，推动应急避难设施建设。</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（4）牵头建立统一的应急管理信息系统，负责信息传输渠道的规划和布局，建立监测预警和灾情报告制度,健全自然灾害信息资源获取和共享机制，依法统一发布灾情。</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5）负责组织、指导、协调安全生产类、自然灾害类等突发事件应急救援，承担全县应对一般、较大及以上灾害指挥部工作，综合研判突发事件发展态势并提出应对建议，负责组织一般、较大及以上灾害应急处置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（6）统一协调指挥各类应急专业队伍，建立应急协调联动机制，推进指挥平台对接。提请衔接解放军和武警部队参与应急救援工作。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7）按照国家、省、州相关政策和规定负责消防、森林和草原火灾扑救、抗洪抢险、地震和地质灾害救援、生产安全事故救援等专业应急救援力量建设，依法依规统筹指导各乡（镇）及社会应急救援力量和应急保障能力建设。</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（8）按照国家、省、州相关政策和县委、县政府相关规定负责消防工作，组织和指导消防监督、火灾预防、火灾扑救等工作。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（9）负责自然灾害综合监测预警工作，承担自然灾害综合风险评估工作，指导协调森林和草原火灾、水旱灾害、地震和地质灾害等防治工作。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（10）负责组织、协调灾害救助工作，组织和指导灾情核查、损失评估、救灾捐赠工作，管理、分配中央、省、州下拨及县级救灾款物并监督使用。</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（11）依法承担县政府安全生产综合监督管理责任，指导协调、监督检查县级有关部门和各乡（镇）政府安全生产工作，组织开展安全生产巡查、督查、考核工作。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12）按照分级、属地原则，依法监督检查工矿商贸生产经营单位贯彻执行安全生产法律法规情况及其安全生产条件和有关设备（特种设备除外）、材料、劳动防护用品的安全生产管理工作。协助做好在县工矿商贸企业安全生产监督管理工作。负责危险化学品综合安全监督管理工作和烟花爆竹安全生产监督管理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（13）承担非煤矿山、危险化学品和烟花爆竹等生产经营单位安全生产监督管理责任。</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（14）依法组织、指导生产安全事故调查处理，监督事故查处和责任追究落实情况。组织开展自然灾害类突发事件的调查评估工作。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（15）开展应急管理和安全生产方面的交流与合作，组织参与安全生产类、自然灾害类等突发事件的跨区域救援工作。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（16）制定应急物资储备和应急救援装备规划并组织实施，会同县发展和改革局等部门建立健全应急物资信息平台和调度拨发制度，在救灾时统一调度。</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（17）负责应急管理、安全生产宣传教育和培训工作， 组织和指导应急管理、 安全生产的科学技术工作。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（18）负责职责范围内的职业健康机构节能减排、审批服务便民化工作。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sz w:val="32"/>
          <w:szCs w:val="32"/>
          <w:lang w:val="zh-CN" w:eastAsia="zh-CN"/>
        </w:rPr>
      </w:pPr>
      <w:r>
        <w:rPr>
          <w:rFonts w:hint="eastAsia" w:ascii="仿宋_GB2312" w:eastAsia="仿宋_GB2312"/>
          <w:sz w:val="32"/>
          <w:szCs w:val="32"/>
          <w:lang w:val="zh-CN" w:eastAsia="zh-CN"/>
        </w:rPr>
        <w:t>（19）完成县委和县政府交办的其他工作。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仿宋_GB2312" w:eastAsia="仿宋_GB2312"/>
          <w:sz w:val="32"/>
          <w:szCs w:val="32"/>
          <w:lang w:val="zh-CN" w:eastAsia="zh-CN"/>
        </w:rPr>
        <w:t>（20）</w:t>
      </w:r>
      <w:r>
        <w:rPr>
          <w:rFonts w:hint="eastAsia" w:ascii="Calibri" w:hAnsi="Calibri" w:eastAsia="仿宋_GB2312" w:cs="Times New Roman"/>
          <w:sz w:val="32"/>
          <w:szCs w:val="32"/>
        </w:rPr>
        <w:t>职能转变。加强、优化、统筹应急能力建设，构建统一领导、权责一致、权威高效的应急能力体系，推动形成统一指挥、专常兼备、反应灵敏、上下联动、平战结合、特色鲜明的应急管理体制。一是坚持以防为主、防抗救结合，坚持常态减灾和非常态救灾相统一，努力实现从注重灾后救助向注重灾前预防转变，从应对单一灾种向综合减灾转变，从减少灾害损失向减轻灾害风险转变，提高全县应急管理水平和防灾减灾救灾能力，</w:t>
      </w:r>
      <w:r>
        <w:rPr>
          <w:rFonts w:hint="eastAsia" w:ascii="Calibri" w:hAnsi="Calibri" w:eastAsia="仿宋_GB2312" w:cs="Times New Roman"/>
          <w:sz w:val="32"/>
          <w:szCs w:val="32"/>
          <w:lang w:eastAsia="zh-CN"/>
        </w:rPr>
        <w:t>防范化解重大安全风险</w:t>
      </w:r>
      <w:r>
        <w:rPr>
          <w:rFonts w:hint="eastAsia" w:ascii="Calibri" w:hAnsi="Calibri" w:eastAsia="仿宋_GB2312" w:cs="Times New Roman"/>
          <w:sz w:val="32"/>
          <w:szCs w:val="32"/>
        </w:rPr>
        <w:t>。二是坚持以人为本，把确保人民群众生命财产安全放在首位，确保受灾群众基本生活，加强应急预案演练，增强全民防灾减灾意识，提升公众知识普及和自救互救技能，切实减少人员伤亡和财产损失。</w:t>
      </w:r>
      <w:r>
        <w:rPr>
          <w:rFonts w:hint="eastAsia" w:ascii="Calibri" w:hAnsi="Calibri" w:eastAsia="仿宋_GB2312" w:cs="Times New Roman"/>
          <w:sz w:val="32"/>
          <w:szCs w:val="32"/>
          <w:lang w:eastAsia="zh-CN"/>
        </w:rPr>
        <w:t>三是牢固树立安全</w:t>
      </w:r>
      <w:r>
        <w:rPr>
          <w:rFonts w:hint="eastAsia" w:ascii="Calibri" w:hAnsi="Calibri" w:eastAsia="仿宋_GB2312" w:cs="Times New Roman"/>
          <w:sz w:val="32"/>
          <w:szCs w:val="32"/>
        </w:rPr>
        <w:t>发展理念，坚持生命至上、安全第一，完善安全生产责任制，努力杜绝重特大安全事故、遏制较大事故、减少一般事故。</w:t>
      </w:r>
    </w:p>
    <w:p>
      <w:pPr>
        <w:pStyle w:val="16"/>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机构设置</w:t>
      </w:r>
    </w:p>
    <w:p>
      <w:pPr>
        <w:keepNext w:val="0"/>
        <w:keepLines w:val="0"/>
        <w:pageBreakBefore w:val="0"/>
        <w:kinsoku/>
        <w:wordWrap/>
        <w:overflowPunct/>
        <w:topLinePunct w:val="0"/>
        <w:autoSpaceDE/>
        <w:autoSpaceDN/>
        <w:bidi w:val="0"/>
        <w:spacing w:line="560" w:lineRule="exact"/>
        <w:ind w:firstLine="800" w:firstLineChars="250"/>
        <w:textAlignment w:val="auto"/>
        <w:rPr>
          <w:rFonts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壤塘县应急管理局</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个</w:t>
      </w:r>
      <w:r>
        <w:rPr>
          <w:rFonts w:hint="eastAsia" w:ascii="仿宋" w:hAnsi="仿宋" w:eastAsia="仿宋"/>
          <w:b w:val="0"/>
          <w:bCs w:val="0"/>
          <w:color w:val="auto"/>
          <w:sz w:val="32"/>
          <w:szCs w:val="32"/>
          <w:highlight w:val="none"/>
        </w:rPr>
        <w:t>，其中行政单位</w:t>
      </w:r>
      <w:r>
        <w:rPr>
          <w:rFonts w:hint="eastAsia" w:ascii="仿宋" w:hAnsi="仿宋" w:eastAsia="仿宋"/>
          <w:b w:val="0"/>
          <w:bCs w:val="0"/>
          <w:color w:val="auto"/>
          <w:sz w:val="32"/>
          <w:szCs w:val="32"/>
          <w:highlight w:val="none"/>
          <w:lang w:val="en-US" w:eastAsia="zh-CN"/>
        </w:rPr>
        <w:t>1</w:t>
      </w:r>
      <w:r>
        <w:rPr>
          <w:rFonts w:hint="eastAsia" w:ascii="仿宋" w:hAnsi="仿宋" w:eastAsia="仿宋"/>
          <w:b w:val="0"/>
          <w:bCs w:val="0"/>
          <w:color w:val="auto"/>
          <w:sz w:val="32"/>
          <w:szCs w:val="32"/>
          <w:highlight w:val="none"/>
        </w:rPr>
        <w:t>个，参照公务员法管理的事业单位</w:t>
      </w:r>
      <w:r>
        <w:rPr>
          <w:rFonts w:hint="eastAsia" w:ascii="仿宋" w:hAnsi="仿宋" w:eastAsia="仿宋"/>
          <w:b w:val="0"/>
          <w:bCs w:val="0"/>
          <w:color w:val="auto"/>
          <w:sz w:val="32"/>
          <w:szCs w:val="32"/>
          <w:highlight w:val="none"/>
          <w:lang w:val="en-US" w:eastAsia="zh-CN"/>
        </w:rPr>
        <w:t>0</w:t>
      </w:r>
      <w:r>
        <w:rPr>
          <w:rFonts w:hint="eastAsia" w:ascii="仿宋" w:hAnsi="仿宋" w:eastAsia="仿宋"/>
          <w:b w:val="0"/>
          <w:bCs w:val="0"/>
          <w:color w:val="auto"/>
          <w:sz w:val="32"/>
          <w:szCs w:val="32"/>
          <w:highlight w:val="none"/>
        </w:rPr>
        <w:t>个，其他事业单位</w:t>
      </w:r>
      <w:r>
        <w:rPr>
          <w:rFonts w:hint="eastAsia" w:ascii="仿宋" w:hAnsi="仿宋" w:eastAsia="仿宋"/>
          <w:b w:val="0"/>
          <w:bCs w:val="0"/>
          <w:color w:val="auto"/>
          <w:sz w:val="32"/>
          <w:szCs w:val="32"/>
          <w:highlight w:val="none"/>
          <w:lang w:val="en-US" w:eastAsia="zh-CN"/>
        </w:rPr>
        <w:t>1</w:t>
      </w:r>
      <w:r>
        <w:rPr>
          <w:rFonts w:hint="eastAsia" w:ascii="仿宋" w:hAnsi="仿宋" w:eastAsia="仿宋"/>
          <w:b w:val="0"/>
          <w:bCs w:val="0"/>
          <w:color w:val="auto"/>
          <w:sz w:val="32"/>
          <w:szCs w:val="32"/>
          <w:highlight w:val="none"/>
        </w:rPr>
        <w:t>个。</w:t>
      </w:r>
    </w:p>
    <w:p>
      <w:pPr>
        <w:pStyle w:val="6"/>
        <w:keepNext w:val="0"/>
        <w:keepLines w:val="0"/>
        <w:pageBreakBefore w:val="0"/>
        <w:kinsoku/>
        <w:wordWrap/>
        <w:overflowPunct/>
        <w:topLinePunct w:val="0"/>
        <w:autoSpaceDE/>
        <w:autoSpaceDN/>
        <w:bidi w:val="0"/>
        <w:adjustRightInd w:val="0"/>
        <w:snapToGrid w:val="0"/>
        <w:spacing w:before="93" w:line="560" w:lineRule="exact"/>
        <w:ind w:firstLine="672" w:firstLineChars="210"/>
        <w:textAlignment w:val="auto"/>
        <w:rPr>
          <w:rFonts w:ascii="仿宋" w:hAnsi="仿宋" w:eastAsia="仿宋"/>
          <w:color w:val="auto"/>
          <w:sz w:val="32"/>
          <w:szCs w:val="32"/>
          <w:highlight w:val="none"/>
        </w:rPr>
      </w:pPr>
      <w:r>
        <w:rPr>
          <w:rFonts w:hint="eastAsia" w:ascii="仿宋" w:hAnsi="仿宋" w:eastAsia="仿宋"/>
          <w:b w:val="0"/>
          <w:bCs w:val="0"/>
          <w:color w:val="auto"/>
          <w:sz w:val="32"/>
          <w:szCs w:val="32"/>
          <w:highlight w:val="none"/>
        </w:rPr>
        <w:t>纳入</w:t>
      </w:r>
      <w:r>
        <w:rPr>
          <w:rFonts w:hint="eastAsia" w:ascii="仿宋" w:hAnsi="仿宋" w:eastAsia="仿宋"/>
          <w:b w:val="0"/>
          <w:bCs w:val="0"/>
          <w:color w:val="auto"/>
          <w:sz w:val="32"/>
          <w:szCs w:val="32"/>
          <w:highlight w:val="none"/>
          <w:lang w:val="en-US" w:eastAsia="zh-CN"/>
        </w:rPr>
        <w:t>壤塘县应急管理局</w:t>
      </w:r>
      <w:r>
        <w:rPr>
          <w:rFonts w:hint="eastAsia" w:ascii="仿宋" w:hAnsi="仿宋" w:eastAsia="仿宋"/>
          <w:b w:val="0"/>
          <w:bCs w:val="0"/>
          <w:color w:val="auto"/>
          <w:sz w:val="32"/>
          <w:szCs w:val="32"/>
          <w:highlight w:val="none"/>
          <w:lang w:eastAsia="zh-CN"/>
        </w:rPr>
        <w:t>202</w:t>
      </w:r>
      <w:r>
        <w:rPr>
          <w:rFonts w:hint="eastAsia" w:ascii="仿宋" w:hAnsi="仿宋" w:eastAsia="仿宋"/>
          <w:b w:val="0"/>
          <w:bCs w:val="0"/>
          <w:color w:val="auto"/>
          <w:sz w:val="32"/>
          <w:szCs w:val="32"/>
          <w:highlight w:val="none"/>
          <w:lang w:val="en-US" w:eastAsia="zh-CN"/>
        </w:rPr>
        <w:t>5</w:t>
      </w:r>
      <w:r>
        <w:rPr>
          <w:rFonts w:hint="eastAsia" w:ascii="仿宋" w:hAnsi="仿宋" w:eastAsia="仿宋"/>
          <w:b w:val="0"/>
          <w:bCs w:val="0"/>
          <w:color w:val="auto"/>
          <w:sz w:val="32"/>
          <w:szCs w:val="32"/>
          <w:highlight w:val="none"/>
        </w:rPr>
        <w:t>年度部门决算编制范围的</w:t>
      </w:r>
      <w:r>
        <w:rPr>
          <w:rFonts w:hint="eastAsia" w:ascii="仿宋" w:hAnsi="仿宋" w:eastAsia="仿宋"/>
          <w:color w:val="auto"/>
          <w:sz w:val="32"/>
          <w:szCs w:val="32"/>
          <w:highlight w:val="none"/>
        </w:rPr>
        <w:t>二级预算单位包括：</w:t>
      </w:r>
    </w:p>
    <w:p>
      <w:pPr>
        <w:pStyle w:val="6"/>
        <w:keepNext w:val="0"/>
        <w:keepLines w:val="0"/>
        <w:pageBreakBefore w:val="0"/>
        <w:numPr>
          <w:ilvl w:val="0"/>
          <w:numId w:val="0"/>
        </w:numPr>
        <w:kinsoku/>
        <w:wordWrap/>
        <w:overflowPunct/>
        <w:topLinePunct w:val="0"/>
        <w:autoSpaceDE/>
        <w:autoSpaceDN/>
        <w:bidi w:val="0"/>
        <w:adjustRightInd w:val="0"/>
        <w:snapToGrid w:val="0"/>
        <w:spacing w:before="93" w:line="560" w:lineRule="exact"/>
        <w:ind w:left="672" w:leftChars="0"/>
        <w:textAlignment w:val="auto"/>
        <w:outlineLvl w:val="9"/>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1.壤塘县应急管理局</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both"/>
        <w:textAlignment w:val="auto"/>
        <w:rPr>
          <w:rFonts w:hint="eastAsia"/>
        </w:rPr>
      </w:pPr>
      <w:r>
        <w:rPr>
          <w:rFonts w:hint="eastAsia" w:ascii="仿宋" w:hAnsi="仿宋" w:eastAsia="仿宋"/>
          <w:color w:val="auto"/>
          <w:sz w:val="32"/>
          <w:szCs w:val="32"/>
          <w:highlight w:val="none"/>
          <w:lang w:val="en-US" w:eastAsia="zh-CN"/>
        </w:rPr>
        <w:t>2.县应急管理综合服务中心</w:t>
      </w:r>
    </w:p>
    <w:p>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hint="eastAsia"/>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ind w:firstLine="440" w:firstLineChars="100"/>
        <w:jc w:val="left"/>
        <w:textAlignment w:val="auto"/>
        <w:rPr>
          <w:rFonts w:hint="eastAsia" w:ascii="黑体" w:hAnsi="黑体" w:eastAsia="黑体" w:cs="黑体"/>
          <w:color w:val="auto"/>
          <w:sz w:val="44"/>
          <w:szCs w:val="44"/>
          <w:highlight w:val="none"/>
        </w:rPr>
      </w:pPr>
      <w:r>
        <w:rPr>
          <w:rFonts w:hint="eastAsia" w:ascii="黑体" w:hAnsi="黑体" w:eastAsia="黑体" w:cs="黑体"/>
          <w:color w:val="auto"/>
          <w:sz w:val="44"/>
          <w:szCs w:val="44"/>
          <w:highlight w:val="none"/>
        </w:rPr>
        <w:t>第二部分</w:t>
      </w:r>
      <w:r>
        <w:rPr>
          <w:rFonts w:hint="eastAsia" w:ascii="黑体" w:hAnsi="黑体" w:eastAsia="黑体" w:cs="黑体"/>
          <w:color w:val="auto"/>
          <w:sz w:val="44"/>
          <w:szCs w:val="44"/>
          <w:highlight w:val="none"/>
          <w:lang w:val="en-US" w:eastAsia="zh-CN"/>
        </w:rPr>
        <w:t xml:space="preserve"> 2025年度</w:t>
      </w:r>
      <w:r>
        <w:rPr>
          <w:rFonts w:hint="eastAsia" w:ascii="黑体" w:hAnsi="黑体" w:eastAsia="黑体" w:cs="黑体"/>
          <w:color w:val="auto"/>
          <w:sz w:val="44"/>
          <w:szCs w:val="44"/>
          <w:highlight w:val="none"/>
        </w:rPr>
        <w:t>部门决算情况说明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color w:val="auto"/>
          <w:sz w:val="32"/>
          <w:szCs w:val="32"/>
          <w:highlight w:val="none"/>
        </w:rPr>
      </w:pP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一、收入支出决算总体情况说明</w:t>
      </w:r>
    </w:p>
    <w:p>
      <w:pPr>
        <w:ind w:firstLine="640" w:firstLineChars="200"/>
        <w:rPr>
          <w:rFonts w:hint="eastAsia"/>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年度收</w:t>
      </w:r>
      <w:r>
        <w:rPr>
          <w:rFonts w:hint="eastAsia" w:ascii="仿宋" w:hAnsi="仿宋" w:eastAsia="仿宋"/>
          <w:color w:val="auto"/>
          <w:sz w:val="32"/>
          <w:szCs w:val="32"/>
          <w:highlight w:val="none"/>
          <w:lang w:val="en-US" w:eastAsia="zh-CN"/>
        </w:rPr>
        <w:t>入</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eastAsia="zh-CN"/>
        </w:rPr>
        <w:t>为</w:t>
      </w:r>
      <w:r>
        <w:rPr>
          <w:rFonts w:hint="eastAsia" w:ascii="仿宋" w:hAnsi="仿宋" w:eastAsia="仿宋"/>
          <w:color w:val="auto"/>
          <w:sz w:val="32"/>
          <w:szCs w:val="32"/>
          <w:highlight w:val="none"/>
          <w:lang w:val="en-US" w:eastAsia="zh-CN"/>
        </w:rPr>
        <w:t>1921.68</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相比，收</w:t>
      </w:r>
      <w:r>
        <w:rPr>
          <w:rFonts w:hint="eastAsia" w:ascii="仿宋" w:hAnsi="仿宋" w:eastAsia="仿宋"/>
          <w:color w:val="auto"/>
          <w:sz w:val="32"/>
          <w:szCs w:val="32"/>
          <w:highlight w:val="none"/>
          <w:lang w:val="en-US" w:eastAsia="zh-CN"/>
        </w:rPr>
        <w:t>入</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增加299.32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增长18.45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当年人员新增和公务活动开展较多，项目增加，收入增加</w:t>
      </w:r>
      <w:r>
        <w:rPr>
          <w:rFonts w:hint="eastAsia" w:ascii="仿宋" w:hAnsi="仿宋" w:eastAsia="仿宋"/>
          <w:color w:val="auto"/>
          <w:sz w:val="32"/>
          <w:szCs w:val="32"/>
          <w:highlight w:val="none"/>
          <w:lang w:eastAsia="zh-CN"/>
        </w:rPr>
        <w:t>。</w:t>
      </w:r>
    </w:p>
    <w:p>
      <w:pPr>
        <w:rPr>
          <w:rFonts w:hint="eastAsia"/>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年度</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eastAsia="zh-CN"/>
        </w:rPr>
        <w:t>为</w:t>
      </w:r>
      <w:r>
        <w:rPr>
          <w:rFonts w:hint="eastAsia" w:ascii="仿宋" w:hAnsi="仿宋" w:eastAsia="仿宋"/>
          <w:color w:val="auto"/>
          <w:sz w:val="32"/>
          <w:szCs w:val="32"/>
          <w:highlight w:val="none"/>
          <w:lang w:val="en-US" w:eastAsia="zh-CN"/>
        </w:rPr>
        <w:t>1921.68</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增加299.32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增长18.45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当年人员新增和公务活动开展较多，项目增加，支出增加</w:t>
      </w:r>
      <w:r>
        <w:rPr>
          <w:rFonts w:hint="eastAsia" w:ascii="仿宋" w:hAnsi="仿宋" w:eastAsia="仿宋"/>
          <w:color w:val="auto"/>
          <w:sz w:val="32"/>
          <w:szCs w:val="32"/>
          <w:highlight w:val="none"/>
          <w:lang w:eastAsia="zh-CN"/>
        </w:rPr>
        <w:t>。</w:t>
      </w:r>
    </w:p>
    <w:p>
      <w:pPr>
        <w:spacing w:line="600" w:lineRule="exact"/>
        <w:ind w:firstLine="640" w:firstLineChars="200"/>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p>
      <w:pPr>
        <w:pStyle w:val="6"/>
      </w:pPr>
      <w:r>
        <w:rPr>
          <w:rFonts w:hint="eastAsia"/>
          <w:lang w:val="en-US" w:eastAsia="zh-CN"/>
        </w:rPr>
        <w:t xml:space="preserve">    </w:t>
      </w:r>
      <w:r>
        <w:drawing>
          <wp:inline distT="0" distB="0" distL="114300" distR="114300">
            <wp:extent cx="4114800" cy="2241550"/>
            <wp:effectExtent l="5080" t="4445" r="13970" b="20955"/>
            <wp:docPr id="104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5"/>
      </w:pPr>
    </w:p>
    <w:p>
      <w:r>
        <w:rPr>
          <w:rFonts w:hint="eastAsia"/>
          <w:lang w:val="en-US" w:eastAsia="zh-CN"/>
        </w:rPr>
        <w:t xml:space="preserve">     </w:t>
      </w:r>
      <w:r>
        <w:drawing>
          <wp:inline distT="0" distB="0" distL="114300" distR="114300">
            <wp:extent cx="4314825" cy="2153920"/>
            <wp:effectExtent l="4445" t="4445" r="5080" b="13335"/>
            <wp:docPr id="104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
      <w:pPr>
        <w:pStyle w:val="5"/>
        <w:ind w:left="0" w:leftChars="0" w:firstLine="0" w:firstLineChars="0"/>
      </w:pPr>
    </w:p>
    <w:p>
      <w:pPr>
        <w:pStyle w:val="5"/>
        <w:rPr>
          <w:rFonts w:hint="eastAsia"/>
          <w:lang w:val="en-US" w:eastAsia="zh-CN"/>
        </w:rPr>
      </w:pP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二、</w:t>
      </w:r>
      <w:r>
        <w:rPr>
          <w:rFonts w:hint="eastAsia" w:ascii="黑体" w:hAnsi="黑体" w:eastAsia="黑体" w:cs="黑体"/>
          <w:color w:val="000000" w:themeColor="text1"/>
          <w:sz w:val="32"/>
          <w:szCs w:val="32"/>
          <w:highlight w:val="none"/>
          <w14:textFill>
            <w14:solidFill>
              <w14:schemeClr w14:val="tx1"/>
            </w14:solidFill>
          </w14:textFill>
        </w:rPr>
        <w:t>收入决算情况说明</w:t>
      </w:r>
    </w:p>
    <w:p>
      <w:pPr>
        <w:spacing w:line="600" w:lineRule="exact"/>
        <w:ind w:firstLine="640" w:firstLineChars="200"/>
        <w:outlineLvl w:val="9"/>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1921.68</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1921.68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pPr>
        <w:spacing w:line="600" w:lineRule="exact"/>
        <w:ind w:firstLine="642" w:firstLineChars="200"/>
        <w:outlineLvl w:val="9"/>
        <w:rPr>
          <w:rFonts w:hint="eastAsia"/>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01表</w:t>
      </w:r>
      <w:r>
        <w:rPr>
          <w:rFonts w:hint="eastAsia" w:ascii="仿宋" w:hAnsi="仿宋" w:eastAsia="仿宋"/>
          <w:b/>
          <w:color w:val="auto"/>
          <w:sz w:val="32"/>
          <w:szCs w:val="32"/>
          <w:highlight w:val="none"/>
          <w:lang w:eastAsia="zh-CN"/>
        </w:rPr>
        <w:t>，仅罗列本部门涉及的收入。</w:t>
      </w:r>
      <w:r>
        <w:rPr>
          <w:rFonts w:ascii="仿宋" w:hAnsi="仿宋" w:eastAsia="仿宋"/>
          <w:b/>
          <w:color w:val="auto"/>
          <w:sz w:val="32"/>
          <w:szCs w:val="32"/>
          <w:highlight w:val="none"/>
        </w:rPr>
        <w:t>）</w:t>
      </w:r>
    </w:p>
    <w:p>
      <w:pPr>
        <w:numPr>
          <w:ilvl w:val="0"/>
          <w:numId w:val="0"/>
        </w:numPr>
        <w:ind w:leftChars="0"/>
        <w:rPr>
          <w:rFonts w:hint="eastAsia"/>
        </w:rPr>
      </w:pPr>
      <w:r>
        <w:drawing>
          <wp:inline distT="0" distB="0" distL="114300" distR="114300">
            <wp:extent cx="4400550" cy="2610485"/>
            <wp:effectExtent l="4445" t="4445" r="14605" b="52070"/>
            <wp:docPr id="3" name="图表 1"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firstLineChars="200"/>
        <w:rPr>
          <w:rFonts w:hint="eastAsia" w:ascii="黑体" w:hAnsi="黑体" w:eastAsia="黑体" w:cs="黑体"/>
          <w:color w:val="auto"/>
          <w:sz w:val="32"/>
          <w:szCs w:val="32"/>
          <w:highlight w:val="none"/>
        </w:rPr>
      </w:pPr>
      <w:r>
        <w:rPr>
          <w:rFonts w:hint="eastAsia" w:ascii="仿宋" w:hAnsi="仿宋" w:eastAsia="仿宋"/>
          <w:color w:val="auto"/>
          <w:sz w:val="32"/>
          <w:szCs w:val="32"/>
          <w:highlight w:val="none"/>
        </w:rPr>
        <w:t>（图2：收入决算结构图）（饼状图）</w:t>
      </w: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rPr>
        <w:t>支出决算情况说明</w:t>
      </w:r>
    </w:p>
    <w:p>
      <w:pPr>
        <w:snapToGrid w:val="0"/>
        <w:spacing w:line="52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1921.68</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799.35</w:t>
      </w:r>
      <w:r>
        <w:rPr>
          <w:rFonts w:hint="eastAsia" w:ascii="仿宋" w:hAnsi="仿宋" w:eastAsia="仿宋"/>
          <w:color w:val="auto"/>
          <w:sz w:val="32"/>
          <w:szCs w:val="32"/>
          <w:highlight w:val="none"/>
        </w:rPr>
        <w:t>万元，</w:t>
      </w:r>
      <w:r>
        <w:rPr>
          <w:rFonts w:hint="eastAsia" w:ascii="Times New Roman" w:hAnsi="Times New Roman" w:eastAsia="仿宋_GB2312" w:cs="仿宋_GB2312"/>
          <w:sz w:val="32"/>
          <w:szCs w:val="32"/>
          <w:lang w:val="en-US" w:eastAsia="zh-CN"/>
        </w:rPr>
        <w:t>占41.59%；项目支出：1122.33万元，占58.41%</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pPr>
        <w:widowControl w:val="0"/>
        <w:numPr>
          <w:ilvl w:val="0"/>
          <w:numId w:val="0"/>
        </w:numPr>
        <w:jc w:val="both"/>
        <w:rPr>
          <w:rFonts w:hint="eastAsia"/>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04</w:t>
      </w:r>
      <w:r>
        <w:rPr>
          <w:rFonts w:hint="eastAsia" w:ascii="仿宋" w:hAnsi="仿宋" w:eastAsia="仿宋"/>
          <w:b/>
          <w:color w:val="auto"/>
          <w:sz w:val="32"/>
          <w:szCs w:val="32"/>
          <w:highlight w:val="none"/>
        </w:rPr>
        <w:t>表</w:t>
      </w:r>
      <w:r>
        <w:rPr>
          <w:rFonts w:hint="eastAsia" w:ascii="仿宋" w:hAnsi="仿宋" w:eastAsia="仿宋"/>
          <w:b/>
          <w:color w:val="auto"/>
          <w:sz w:val="32"/>
          <w:szCs w:val="32"/>
          <w:highlight w:val="none"/>
          <w:lang w:eastAsia="zh-CN"/>
        </w:rPr>
        <w:t>，仅罗列本部门涉及的支出。</w:t>
      </w:r>
      <w:r>
        <w:rPr>
          <w:rFonts w:hint="eastAsia" w:ascii="仿宋" w:hAnsi="仿宋" w:eastAsia="仿宋"/>
          <w:b/>
          <w:color w:val="auto"/>
          <w:sz w:val="32"/>
          <w:szCs w:val="32"/>
          <w:highlight w:val="none"/>
        </w:rPr>
        <w:t>）</w:t>
      </w:r>
    </w:p>
    <w:p>
      <w:pPr>
        <w:widowControl w:val="0"/>
        <w:numPr>
          <w:ilvl w:val="0"/>
          <w:numId w:val="0"/>
        </w:numPr>
        <w:jc w:val="both"/>
        <w:rPr>
          <w:rFonts w:hint="eastAsia"/>
        </w:rPr>
      </w:pPr>
    </w:p>
    <w:p>
      <w:pPr>
        <w:widowControl w:val="0"/>
        <w:numPr>
          <w:ilvl w:val="0"/>
          <w:numId w:val="0"/>
        </w:numPr>
        <w:jc w:val="both"/>
        <w:rPr>
          <w:rFonts w:hint="eastAsia"/>
        </w:rPr>
      </w:pPr>
      <w:r>
        <w:drawing>
          <wp:inline distT="0" distB="0" distL="114300" distR="114300">
            <wp:extent cx="4572000" cy="2449195"/>
            <wp:effectExtent l="4445" t="4445" r="14605" b="60960"/>
            <wp:docPr id="1" name="图表 1"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widowControl w:val="0"/>
        <w:numPr>
          <w:ilvl w:val="0"/>
          <w:numId w:val="0"/>
        </w:numPr>
        <w:ind w:firstLine="640" w:firstLineChars="200"/>
        <w:jc w:val="both"/>
        <w:rPr>
          <w:rFonts w:hint="eastAsia"/>
        </w:rPr>
      </w:pPr>
      <w:r>
        <w:rPr>
          <w:rFonts w:hint="eastAsia" w:ascii="仿宋" w:hAnsi="仿宋" w:eastAsia="仿宋"/>
          <w:color w:val="auto"/>
          <w:sz w:val="32"/>
          <w:szCs w:val="32"/>
          <w:highlight w:val="none"/>
        </w:rPr>
        <w:t>（图2：收入决算结构图）（饼状图）</w:t>
      </w: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jc w:val="left"/>
        <w:textAlignment w:val="auto"/>
        <w:rPr>
          <w:rFonts w:hint="eastAsia" w:ascii="黑体" w:hAnsi="黑体" w:eastAsia="黑体" w:cs="黑体"/>
          <w:color w:val="auto"/>
          <w:sz w:val="32"/>
          <w:szCs w:val="32"/>
          <w:highlight w:val="none"/>
        </w:rPr>
      </w:pP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四、</w:t>
      </w:r>
      <w:r>
        <w:rPr>
          <w:rFonts w:hint="eastAsia" w:ascii="黑体" w:hAnsi="黑体" w:eastAsia="黑体" w:cs="黑体"/>
          <w:color w:val="auto"/>
          <w:sz w:val="32"/>
          <w:szCs w:val="32"/>
          <w:highlight w:val="none"/>
        </w:rPr>
        <w:t>财政拨款收入支出决算总体情况说明</w:t>
      </w:r>
    </w:p>
    <w:p>
      <w:pPr>
        <w:ind w:firstLine="640" w:firstLineChars="200"/>
        <w:rPr>
          <w:rFonts w:hint="eastAsia"/>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年度</w:t>
      </w:r>
      <w:r>
        <w:rPr>
          <w:rFonts w:hint="eastAsia" w:ascii="仿宋" w:hAnsi="仿宋" w:eastAsia="仿宋"/>
          <w:color w:val="auto"/>
          <w:sz w:val="32"/>
          <w:szCs w:val="32"/>
          <w:highlight w:val="none"/>
          <w:lang w:val="en-US" w:eastAsia="zh-CN"/>
        </w:rPr>
        <w:t>财政拨款</w:t>
      </w:r>
      <w:r>
        <w:rPr>
          <w:rFonts w:hint="eastAsia" w:ascii="仿宋" w:hAnsi="仿宋" w:eastAsia="仿宋"/>
          <w:color w:val="auto"/>
          <w:sz w:val="32"/>
          <w:szCs w:val="32"/>
          <w:highlight w:val="none"/>
        </w:rPr>
        <w:t>收</w:t>
      </w:r>
      <w:r>
        <w:rPr>
          <w:rFonts w:hint="eastAsia" w:ascii="仿宋" w:hAnsi="仿宋" w:eastAsia="仿宋"/>
          <w:color w:val="auto"/>
          <w:sz w:val="32"/>
          <w:szCs w:val="32"/>
          <w:highlight w:val="none"/>
          <w:lang w:val="en-US" w:eastAsia="zh-CN"/>
        </w:rPr>
        <w:t>入</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eastAsia="zh-CN"/>
        </w:rPr>
        <w:t>为</w:t>
      </w:r>
      <w:r>
        <w:rPr>
          <w:rFonts w:hint="eastAsia" w:ascii="仿宋" w:hAnsi="仿宋" w:eastAsia="仿宋"/>
          <w:color w:val="auto"/>
          <w:sz w:val="32"/>
          <w:szCs w:val="32"/>
          <w:highlight w:val="none"/>
          <w:lang w:val="en-US" w:eastAsia="zh-CN"/>
        </w:rPr>
        <w:t>1921.68</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val="en-US" w:eastAsia="zh-CN"/>
        </w:rPr>
        <w:t>财政拨款</w:t>
      </w:r>
      <w:r>
        <w:rPr>
          <w:rFonts w:hint="eastAsia" w:ascii="仿宋" w:hAnsi="仿宋" w:eastAsia="仿宋"/>
          <w:color w:val="auto"/>
          <w:sz w:val="32"/>
          <w:szCs w:val="32"/>
          <w:highlight w:val="none"/>
        </w:rPr>
        <w:t>收</w:t>
      </w:r>
      <w:r>
        <w:rPr>
          <w:rFonts w:hint="eastAsia" w:ascii="仿宋" w:hAnsi="仿宋" w:eastAsia="仿宋"/>
          <w:color w:val="auto"/>
          <w:sz w:val="32"/>
          <w:szCs w:val="32"/>
          <w:highlight w:val="none"/>
          <w:lang w:val="en-US" w:eastAsia="zh-CN"/>
        </w:rPr>
        <w:t>入</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增加299.32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增长18.45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当年人员新增和公务活动开展较多，项目增加，收入增加</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年度</w:t>
      </w:r>
      <w:r>
        <w:rPr>
          <w:rFonts w:hint="eastAsia" w:ascii="仿宋" w:hAnsi="仿宋" w:eastAsia="仿宋"/>
          <w:color w:val="auto"/>
          <w:sz w:val="32"/>
          <w:szCs w:val="32"/>
          <w:highlight w:val="none"/>
          <w:lang w:val="en-US" w:eastAsia="zh-CN"/>
        </w:rPr>
        <w:t>财政拨款支出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eastAsia="zh-CN"/>
        </w:rPr>
        <w:t>为</w:t>
      </w:r>
      <w:r>
        <w:rPr>
          <w:rFonts w:hint="eastAsia" w:ascii="仿宋" w:hAnsi="仿宋" w:eastAsia="仿宋"/>
          <w:color w:val="auto"/>
          <w:sz w:val="32"/>
          <w:szCs w:val="32"/>
          <w:highlight w:val="none"/>
          <w:lang w:val="en-US" w:eastAsia="zh-CN"/>
        </w:rPr>
        <w:t>1921.68</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val="en-US" w:eastAsia="zh-CN"/>
        </w:rPr>
        <w:t>财政拨款支出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增加299.32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增长18.45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当年人员新增和公务活动开展较多，项目增加，支出增加</w:t>
      </w:r>
      <w:r>
        <w:rPr>
          <w:rFonts w:hint="eastAsia" w:ascii="仿宋" w:hAnsi="仿宋" w:eastAsia="仿宋"/>
          <w:color w:val="auto"/>
          <w:sz w:val="32"/>
          <w:szCs w:val="32"/>
          <w:highlight w:val="none"/>
          <w:lang w:eastAsia="zh-CN"/>
        </w:rPr>
        <w:t>。</w:t>
      </w:r>
    </w:p>
    <w:p>
      <w:pPr>
        <w:spacing w:line="600" w:lineRule="exact"/>
        <w:ind w:firstLine="64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01-1</w:t>
      </w:r>
      <w:r>
        <w:rPr>
          <w:rFonts w:hint="eastAsia" w:ascii="仿宋" w:hAnsi="仿宋" w:eastAsia="仿宋"/>
          <w:b/>
          <w:color w:val="auto"/>
          <w:sz w:val="32"/>
          <w:szCs w:val="32"/>
          <w:highlight w:val="none"/>
        </w:rPr>
        <w:t>表</w:t>
      </w:r>
      <w:r>
        <w:rPr>
          <w:rFonts w:ascii="仿宋" w:hAnsi="仿宋" w:eastAsia="仿宋"/>
          <w:b/>
          <w:color w:val="auto"/>
          <w:sz w:val="32"/>
          <w:szCs w:val="32"/>
          <w:highlight w:val="none"/>
        </w:rPr>
        <w:t>）</w:t>
      </w: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pPr>
      <w:r>
        <w:rPr>
          <w:rFonts w:hint="eastAsia"/>
          <w:lang w:val="en-US" w:eastAsia="zh-CN"/>
        </w:rPr>
        <w:t xml:space="preserve">  </w:t>
      </w:r>
      <w:r>
        <w:drawing>
          <wp:inline distT="0" distB="0" distL="114300" distR="114300">
            <wp:extent cx="4846955" cy="2267585"/>
            <wp:effectExtent l="4445" t="4445" r="6350" b="13970"/>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numPr>
          <w:ilvl w:val="0"/>
          <w:numId w:val="0"/>
        </w:numPr>
        <w:ind w:leftChars="0"/>
      </w:pPr>
      <w:r>
        <w:rPr>
          <w:rFonts w:hint="eastAsia"/>
          <w:lang w:val="en-US" w:eastAsia="zh-CN"/>
        </w:rPr>
        <w:t xml:space="preserve">   </w:t>
      </w:r>
      <w:r>
        <w:drawing>
          <wp:inline distT="0" distB="0" distL="114300" distR="114300">
            <wp:extent cx="4742180" cy="2067560"/>
            <wp:effectExtent l="4445" t="4445" r="15875" b="2349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numPr>
          <w:ilvl w:val="0"/>
          <w:numId w:val="0"/>
        </w:numPr>
        <w:ind w:leftChars="0"/>
      </w:pPr>
      <w:r>
        <w:rPr>
          <w:rFonts w:hint="eastAsia" w:ascii="仿宋" w:hAnsi="仿宋" w:eastAsia="仿宋"/>
          <w:color w:val="auto"/>
          <w:sz w:val="32"/>
          <w:szCs w:val="32"/>
          <w:highlight w:val="none"/>
        </w:rPr>
        <w:t>（图4：财政拨款收、支决算总计变动情况）（柱状图）</w:t>
      </w: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五、</w:t>
      </w:r>
      <w:r>
        <w:rPr>
          <w:rFonts w:hint="eastAsia" w:ascii="黑体" w:hAnsi="黑体" w:eastAsia="黑体" w:cs="黑体"/>
          <w:color w:val="auto"/>
          <w:sz w:val="32"/>
          <w:szCs w:val="32"/>
          <w:highlight w:val="none"/>
        </w:rPr>
        <w:t>一般公共预算财政拨款支出决算情况说明</w:t>
      </w:r>
    </w:p>
    <w:p>
      <w:pPr>
        <w:spacing w:line="600" w:lineRule="exact"/>
        <w:ind w:firstLine="642" w:firstLineChars="200"/>
        <w:outlineLvl w:val="9"/>
        <w:rPr>
          <w:rFonts w:ascii="仿宋" w:hAnsi="仿宋" w:eastAsia="仿宋"/>
          <w:b/>
          <w:color w:val="auto"/>
          <w:sz w:val="32"/>
          <w:szCs w:val="32"/>
          <w:highlight w:val="none"/>
        </w:rPr>
      </w:pPr>
      <w:r>
        <w:rPr>
          <w:rFonts w:hint="eastAsia" w:ascii="仿宋" w:hAnsi="仿宋" w:eastAsia="仿宋"/>
          <w:b/>
          <w:color w:val="auto"/>
          <w:sz w:val="32"/>
          <w:szCs w:val="32"/>
          <w:highlight w:val="none"/>
        </w:rPr>
        <w:t>（一）一般公共预算财政拨款支出决算总体情况</w:t>
      </w:r>
    </w:p>
    <w:p>
      <w:pPr>
        <w:spacing w:line="600"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1921.68</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lang w:val="en-US" w:eastAsia="zh-CN"/>
        </w:rPr>
        <w:t>增加299.32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增长18.45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当年人员新增和公务活动开展较多，项目增加，支出增加</w:t>
      </w:r>
      <w:r>
        <w:rPr>
          <w:rFonts w:hint="eastAsia" w:ascii="仿宋" w:hAnsi="仿宋" w:eastAsia="仿宋"/>
          <w:color w:val="auto"/>
          <w:sz w:val="32"/>
          <w:szCs w:val="32"/>
          <w:highlight w:val="none"/>
          <w:lang w:eastAsia="zh-CN"/>
        </w:rPr>
        <w:t>。</w:t>
      </w:r>
    </w:p>
    <w:p>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（图5：一般公共预算财政拨款支出决算变动情况）（柱状图）</w:t>
      </w:r>
    </w:p>
    <w:p>
      <w:pPr>
        <w:widowControl w:val="0"/>
        <w:numPr>
          <w:ilvl w:val="0"/>
          <w:numId w:val="0"/>
        </w:numPr>
        <w:jc w:val="both"/>
        <w:rPr>
          <w:rFonts w:hint="eastAsia" w:ascii="仿宋" w:hAnsi="仿宋" w:eastAsia="仿宋"/>
          <w:b/>
          <w:color w:val="auto"/>
          <w:sz w:val="32"/>
          <w:szCs w:val="32"/>
          <w:highlight w:val="none"/>
        </w:rPr>
      </w:pPr>
      <w:r>
        <w:drawing>
          <wp:inline distT="0" distB="0" distL="114300" distR="114300">
            <wp:extent cx="4695190" cy="2334260"/>
            <wp:effectExtent l="5080" t="4445" r="5080" b="2349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ind w:firstLine="642" w:firstLineChars="200"/>
        <w:outlineLvl w:val="9"/>
        <w:rPr>
          <w:rFonts w:ascii="仿宋" w:hAnsi="仿宋" w:eastAsia="仿宋"/>
          <w:b/>
          <w:color w:val="auto"/>
          <w:sz w:val="32"/>
          <w:szCs w:val="32"/>
          <w:highlight w:val="none"/>
        </w:rPr>
      </w:pPr>
      <w:r>
        <w:rPr>
          <w:rFonts w:hint="eastAsia" w:ascii="仿宋" w:hAnsi="仿宋" w:eastAsia="仿宋"/>
          <w:b/>
          <w:color w:val="auto"/>
          <w:sz w:val="32"/>
          <w:szCs w:val="32"/>
          <w:highlight w:val="none"/>
        </w:rPr>
        <w:t>（二）一般公共预算财政拨款支出决算结构情况</w:t>
      </w:r>
    </w:p>
    <w:p>
      <w:pPr>
        <w:spacing w:line="600" w:lineRule="exact"/>
        <w:ind w:firstLine="640"/>
        <w:outlineLvl w:val="9"/>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1921.68</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bCs/>
          <w:color w:val="auto"/>
          <w:sz w:val="32"/>
          <w:szCs w:val="32"/>
          <w:highlight w:val="none"/>
          <w:lang w:val="en-US" w:eastAsia="zh-CN"/>
        </w:rPr>
        <w:t>一般公共服务支出</w:t>
      </w:r>
      <w:r>
        <w:rPr>
          <w:rFonts w:hint="eastAsia" w:ascii="仿宋" w:hAnsi="仿宋" w:eastAsia="仿宋"/>
          <w:color w:val="auto"/>
          <w:sz w:val="32"/>
          <w:szCs w:val="32"/>
          <w:highlight w:val="none"/>
          <w:lang w:val="en-US" w:eastAsia="zh-CN"/>
        </w:rPr>
        <w:t>456.48万元，占23.75%</w:t>
      </w:r>
      <w:r>
        <w:rPr>
          <w:rFonts w:hint="eastAsia" w:ascii="仿宋" w:hAnsi="仿宋" w:eastAsia="仿宋"/>
          <w:b/>
          <w:bCs/>
          <w:color w:val="auto"/>
          <w:sz w:val="32"/>
          <w:szCs w:val="32"/>
          <w:highlight w:val="none"/>
          <w:lang w:val="en-US" w:eastAsia="zh-CN"/>
        </w:rPr>
        <w:t>;</w:t>
      </w:r>
      <w:r>
        <w:rPr>
          <w:rFonts w:hint="eastAsia" w:ascii="仿宋" w:hAnsi="仿宋" w:eastAsia="仿宋" w:cs="Times New Roman"/>
          <w:b/>
          <w:color w:val="auto"/>
          <w:sz w:val="32"/>
          <w:szCs w:val="32"/>
          <w:highlight w:val="none"/>
          <w:lang w:val="en-US" w:eastAsia="zh-CN"/>
        </w:rPr>
        <w:t>农林水支出</w:t>
      </w:r>
      <w:r>
        <w:rPr>
          <w:rFonts w:hint="eastAsia" w:ascii="仿宋" w:hAnsi="仿宋" w:eastAsia="仿宋"/>
          <w:color w:val="auto"/>
          <w:sz w:val="32"/>
          <w:szCs w:val="32"/>
          <w:highlight w:val="none"/>
          <w:lang w:val="en-US" w:eastAsia="zh-CN"/>
        </w:rPr>
        <w:t>447.44万元，占23.28%；</w:t>
      </w:r>
      <w:r>
        <w:rPr>
          <w:rFonts w:hint="eastAsia" w:ascii="仿宋" w:hAnsi="仿宋" w:eastAsia="仿宋"/>
          <w:b/>
          <w:color w:val="auto"/>
          <w:sz w:val="32"/>
          <w:szCs w:val="32"/>
          <w:highlight w:val="none"/>
          <w:lang w:val="en-US" w:eastAsia="zh-CN"/>
        </w:rPr>
        <w:t>灾害防治及应急管理</w:t>
      </w:r>
      <w:r>
        <w:rPr>
          <w:rFonts w:hint="eastAsia" w:ascii="仿宋" w:hAnsi="仿宋" w:eastAsia="仿宋"/>
          <w:b/>
          <w:color w:val="auto"/>
          <w:sz w:val="32"/>
          <w:szCs w:val="32"/>
          <w:highlight w:val="none"/>
        </w:rPr>
        <w:t>支出</w:t>
      </w:r>
      <w:r>
        <w:rPr>
          <w:rFonts w:hint="eastAsia" w:ascii="仿宋" w:hAnsi="仿宋" w:eastAsia="仿宋"/>
          <w:color w:val="auto"/>
          <w:sz w:val="32"/>
          <w:szCs w:val="32"/>
          <w:highlight w:val="none"/>
          <w:lang w:val="en-US" w:eastAsia="zh-CN"/>
        </w:rPr>
        <w:t>803.13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41.79%</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114.35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5.95</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41.77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2.17</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58.18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3.03</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pPr>
        <w:spacing w:line="600" w:lineRule="exact"/>
        <w:ind w:firstLine="640"/>
        <w:outlineLvl w:val="9"/>
        <w:rPr>
          <w:rFonts w:ascii="仿宋" w:hAnsi="仿宋" w:eastAsia="仿宋"/>
          <w:b/>
          <w:color w:val="auto"/>
          <w:sz w:val="32"/>
          <w:szCs w:val="32"/>
          <w:highlight w:val="none"/>
        </w:rPr>
      </w:pP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注：数据来源于财决</w:t>
      </w:r>
      <w:r>
        <w:rPr>
          <w:rFonts w:hint="eastAsia" w:ascii="仿宋" w:hAnsi="仿宋" w:eastAsia="仿宋"/>
          <w:b/>
          <w:color w:val="auto"/>
          <w:sz w:val="32"/>
          <w:szCs w:val="32"/>
          <w:highlight w:val="none"/>
          <w:lang w:val="en-US" w:eastAsia="zh-CN"/>
        </w:rPr>
        <w:t>01-1表，仅</w:t>
      </w:r>
      <w:r>
        <w:rPr>
          <w:rFonts w:hint="eastAsia" w:ascii="仿宋" w:hAnsi="仿宋" w:eastAsia="仿宋"/>
          <w:b/>
          <w:color w:val="auto"/>
          <w:sz w:val="32"/>
          <w:szCs w:val="32"/>
          <w:highlight w:val="none"/>
        </w:rPr>
        <w:t>罗列</w:t>
      </w:r>
      <w:r>
        <w:rPr>
          <w:rFonts w:hint="eastAsia" w:ascii="仿宋" w:hAnsi="仿宋" w:eastAsia="仿宋"/>
          <w:b/>
          <w:color w:val="auto"/>
          <w:sz w:val="32"/>
          <w:szCs w:val="32"/>
          <w:highlight w:val="none"/>
          <w:lang w:eastAsia="zh-CN"/>
        </w:rPr>
        <w:t>本部门涉及的全部</w:t>
      </w:r>
      <w:r>
        <w:rPr>
          <w:rFonts w:hint="eastAsia" w:ascii="仿宋" w:hAnsi="仿宋" w:eastAsia="仿宋"/>
          <w:b/>
          <w:color w:val="auto"/>
          <w:sz w:val="32"/>
          <w:szCs w:val="32"/>
          <w:highlight w:val="none"/>
        </w:rPr>
        <w:t>功能分类科目，至类级。）</w:t>
      </w:r>
    </w:p>
    <w:p>
      <w:pPr>
        <w:pStyle w:val="6"/>
        <w:rPr>
          <w:rFonts w:hint="eastAsia"/>
        </w:rPr>
      </w:pPr>
      <w:r>
        <w:rPr>
          <w:rFonts w:hint="eastAsia"/>
          <w:lang w:val="en-US" w:eastAsia="zh-CN"/>
        </w:rPr>
        <w:t xml:space="preserve">   </w:t>
      </w:r>
      <w:r>
        <w:drawing>
          <wp:inline distT="0" distB="0" distL="114300" distR="114300">
            <wp:extent cx="3886200" cy="2741930"/>
            <wp:effectExtent l="4445" t="4445" r="14605" b="53975"/>
            <wp:docPr id="1042" name="图表 1"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spacing w:line="600" w:lineRule="exact"/>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pPr>
        <w:pStyle w:val="5"/>
        <w:rPr>
          <w:rFonts w:hint="eastAsia"/>
        </w:rPr>
      </w:pPr>
    </w:p>
    <w:p>
      <w:pPr>
        <w:spacing w:line="600" w:lineRule="exact"/>
        <w:ind w:firstLine="642" w:firstLineChars="200"/>
        <w:outlineLvl w:val="9"/>
        <w:rPr>
          <w:rFonts w:ascii="仿宋" w:hAnsi="仿宋" w:eastAsia="仿宋"/>
          <w:b/>
          <w:color w:val="auto"/>
          <w:sz w:val="32"/>
          <w:szCs w:val="32"/>
          <w:highlight w:val="none"/>
        </w:rPr>
      </w:pPr>
      <w:r>
        <w:rPr>
          <w:rFonts w:hint="eastAsia" w:ascii="仿宋" w:hAnsi="仿宋" w:eastAsia="仿宋"/>
          <w:b/>
          <w:color w:val="auto"/>
          <w:sz w:val="32"/>
          <w:szCs w:val="32"/>
          <w:highlight w:val="none"/>
        </w:rPr>
        <w:t>（三）一般公共预算财政拨款支出决算具体情况</w:t>
      </w:r>
    </w:p>
    <w:p>
      <w:pPr>
        <w:spacing w:line="600" w:lineRule="exact"/>
        <w:ind w:firstLine="642" w:firstLineChars="200"/>
        <w:outlineLvl w:val="9"/>
        <w:rPr>
          <w:rFonts w:ascii="仿宋" w:hAnsi="仿宋" w:eastAsia="仿宋"/>
          <w:color w:val="auto"/>
          <w:sz w:val="32"/>
          <w:szCs w:val="32"/>
          <w:highlight w:val="none"/>
        </w:rPr>
      </w:pPr>
      <w:r>
        <w:rPr>
          <w:rFonts w:hint="eastAsia" w:ascii="仿宋" w:hAnsi="仿宋" w:eastAsia="仿宋"/>
          <w:b/>
          <w:color w:val="auto"/>
          <w:sz w:val="32"/>
          <w:szCs w:val="32"/>
          <w:highlight w:val="none"/>
          <w:lang w:eastAsia="zh-CN"/>
        </w:rPr>
        <w:t>202</w:t>
      </w:r>
      <w:r>
        <w:rPr>
          <w:rFonts w:hint="eastAsia" w:ascii="仿宋" w:hAnsi="仿宋" w:eastAsia="仿宋"/>
          <w:b/>
          <w:color w:val="auto"/>
          <w:sz w:val="32"/>
          <w:szCs w:val="32"/>
          <w:highlight w:val="none"/>
          <w:lang w:val="en-US" w:eastAsia="zh-CN"/>
        </w:rPr>
        <w:t>5</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度一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1921.68</w:t>
      </w:r>
      <w:r>
        <w:rPr>
          <w:rFonts w:hint="eastAsia" w:ascii="仿宋" w:hAnsi="仿宋" w:eastAsia="仿宋"/>
          <w:color w:val="auto"/>
          <w:sz w:val="32"/>
          <w:szCs w:val="32"/>
          <w:highlight w:val="none"/>
        </w:rPr>
        <w:t>，</w:t>
      </w:r>
      <w:r>
        <w:rPr>
          <w:rStyle w:val="20"/>
          <w:rFonts w:hint="eastAsia" w:ascii="仿宋" w:hAnsi="仿宋" w:eastAsia="仿宋"/>
          <w:bCs/>
          <w:color w:val="auto"/>
          <w:sz w:val="32"/>
          <w:szCs w:val="32"/>
          <w:highlight w:val="none"/>
        </w:rPr>
        <w:t>完成预算</w:t>
      </w:r>
      <w:r>
        <w:rPr>
          <w:rStyle w:val="20"/>
          <w:rFonts w:hint="eastAsia" w:ascii="仿宋" w:hAnsi="仿宋" w:eastAsia="仿宋"/>
          <w:bCs/>
          <w:color w:val="auto"/>
          <w:sz w:val="32"/>
          <w:szCs w:val="32"/>
          <w:highlight w:val="none"/>
          <w:lang w:val="en-US" w:eastAsia="zh-CN"/>
        </w:rPr>
        <w:t>100</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。其中：</w:t>
      </w:r>
    </w:p>
    <w:p>
      <w:pPr>
        <w:keepNext w:val="0"/>
        <w:keepLines w:val="0"/>
        <w:pageBreakBefore w:val="0"/>
        <w:widowControl w:val="0"/>
        <w:kinsoku/>
        <w:wordWrap/>
        <w:overflowPunct/>
        <w:topLinePunct w:val="0"/>
        <w:autoSpaceDE/>
        <w:autoSpaceDN/>
        <w:bidi w:val="0"/>
        <w:adjustRightInd/>
        <w:snapToGrid/>
        <w:spacing w:line="600" w:lineRule="exact"/>
        <w:ind w:left="0" w:firstLine="642" w:firstLineChars="200"/>
        <w:textAlignment w:val="auto"/>
        <w:outlineLvl w:val="9"/>
        <w:rPr>
          <w:rStyle w:val="20"/>
          <w:rFonts w:hint="default" w:ascii="仿宋" w:eastAsia="仿宋"/>
          <w:bCs/>
          <w:color w:val="000000"/>
          <w:sz w:val="32"/>
          <w:szCs w:val="32"/>
          <w:lang w:val="en-US" w:eastAsia="zh-CN"/>
        </w:rPr>
      </w:pPr>
      <w:r>
        <w:rPr>
          <w:rStyle w:val="20"/>
          <w:rFonts w:hint="eastAsia" w:ascii="仿宋" w:eastAsia="仿宋"/>
          <w:bCs/>
          <w:color w:val="000000"/>
          <w:sz w:val="32"/>
          <w:szCs w:val="32"/>
          <w:lang w:val="en-US" w:eastAsia="zh-CN"/>
        </w:rPr>
        <w:t>1</w:t>
      </w:r>
      <w:r>
        <w:rPr>
          <w:rStyle w:val="20"/>
          <w:rFonts w:ascii="仿宋" w:eastAsia="仿宋"/>
          <w:bCs/>
          <w:color w:val="000000"/>
          <w:sz w:val="32"/>
          <w:szCs w:val="32"/>
        </w:rPr>
        <w:t>.</w:t>
      </w:r>
      <w:r>
        <w:rPr>
          <w:rStyle w:val="20"/>
          <w:rFonts w:hint="eastAsia" w:ascii="仿宋" w:eastAsia="仿宋"/>
          <w:bCs/>
          <w:color w:val="000000"/>
          <w:sz w:val="32"/>
          <w:szCs w:val="32"/>
          <w:lang w:val="en-US" w:eastAsia="zh-CN"/>
        </w:rPr>
        <w:t>一般公共服务（类）其他一般公共服务（款）其他一般公共服务</w:t>
      </w:r>
      <w:r>
        <w:rPr>
          <w:rStyle w:val="20"/>
          <w:rFonts w:hint="eastAsia" w:ascii="仿宋" w:eastAsia="仿宋" w:cs="Times New Roman"/>
          <w:bCs/>
          <w:color w:val="000000"/>
          <w:kern w:val="2"/>
          <w:sz w:val="32"/>
          <w:szCs w:val="32"/>
          <w:lang w:val="en-US" w:eastAsia="zh-CN" w:bidi="ar-SA"/>
        </w:rPr>
        <w:t>（项）：</w:t>
      </w:r>
      <w:r>
        <w:rPr>
          <w:rFonts w:hint="eastAsia" w:ascii="仿宋_GB2312" w:hAnsi="Times New Roman" w:eastAsia="仿宋_GB2312" w:cs="Times New Roman"/>
          <w:bCs/>
          <w:color w:val="000000"/>
          <w:sz w:val="32"/>
          <w:szCs w:val="32"/>
          <w:lang w:val="en-US" w:eastAsia="zh-CN"/>
        </w:rPr>
        <w:t>支出决算为456.48万元，</w:t>
      </w:r>
      <w:r>
        <w:rPr>
          <w:rFonts w:hint="eastAsia" w:ascii="仿宋_GB2312" w:eastAsia="仿宋_GB2312"/>
          <w:bCs/>
          <w:color w:val="000000"/>
          <w:sz w:val="32"/>
          <w:szCs w:val="32"/>
        </w:rPr>
        <w:t>完</w:t>
      </w:r>
      <w:r>
        <w:rPr>
          <w:rFonts w:hint="eastAsia" w:ascii="仿宋_GB2312" w:eastAsia="仿宋_GB2312"/>
          <w:b w:val="0"/>
          <w:bCs/>
          <w:color w:val="000000"/>
          <w:sz w:val="32"/>
          <w:szCs w:val="32"/>
        </w:rPr>
        <w:t>成预算</w:t>
      </w:r>
      <w:r>
        <w:rPr>
          <w:rFonts w:hint="eastAsia" w:ascii="仿宋_GB2312" w:eastAsia="仿宋_GB2312"/>
          <w:b w:val="0"/>
          <w:bCs/>
          <w:color w:val="000000"/>
          <w:sz w:val="32"/>
          <w:szCs w:val="32"/>
          <w:lang w:val="en-US" w:eastAsia="zh-CN"/>
        </w:rPr>
        <w:t>1</w:t>
      </w:r>
      <w:r>
        <w:rPr>
          <w:rFonts w:hint="eastAsia" w:ascii="仿宋_GB2312" w:eastAsia="仿宋_GB2312"/>
          <w:bCs/>
          <w:color w:val="000000"/>
          <w:sz w:val="32"/>
          <w:szCs w:val="32"/>
          <w:lang w:val="en-US" w:eastAsia="zh-CN"/>
        </w:rPr>
        <w:t>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w:t>
      </w:r>
      <w:r>
        <w:rPr>
          <w:rFonts w:hint="eastAsia" w:ascii="仿宋_GB2312" w:eastAsia="仿宋_GB2312"/>
          <w:bCs/>
          <w:color w:val="000000"/>
          <w:sz w:val="32"/>
          <w:szCs w:val="32"/>
        </w:rPr>
        <w:t>决算数等于预算数</w:t>
      </w:r>
      <w:r>
        <w:rPr>
          <w:rFonts w:hint="eastAsia" w:ascii="仿宋_GB2312" w:eastAsia="仿宋_GB2312"/>
          <w:bCs/>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firstLine="642" w:firstLineChars="200"/>
        <w:textAlignment w:val="auto"/>
        <w:outlineLvl w:val="9"/>
        <w:rPr>
          <w:rFonts w:hint="eastAsia" w:ascii="仿宋_GB2312" w:eastAsia="仿宋_GB2312"/>
          <w:bCs/>
          <w:color w:val="000000"/>
          <w:sz w:val="32"/>
          <w:szCs w:val="32"/>
          <w:lang w:eastAsia="zh-CN"/>
        </w:rPr>
      </w:pPr>
      <w:r>
        <w:rPr>
          <w:rStyle w:val="20"/>
          <w:rFonts w:hint="eastAsia" w:ascii="仿宋" w:eastAsia="仿宋" w:cs="Times New Roman"/>
          <w:bCs/>
          <w:color w:val="000000"/>
          <w:kern w:val="2"/>
          <w:sz w:val="32"/>
          <w:szCs w:val="32"/>
          <w:lang w:val="en-US" w:eastAsia="zh-CN" w:bidi="ar-SA"/>
        </w:rPr>
        <w:t>2.社会保障和就业（类）行政事业单位养老支出（款)  机关事业单位基本养老保险缴费支出（项）:</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78.51</w:t>
      </w:r>
      <w:r>
        <w:rPr>
          <w:rFonts w:hint="eastAsia" w:ascii="仿宋_GB2312" w:eastAsia="仿宋_GB2312"/>
          <w:bCs/>
          <w:color w:val="000000"/>
          <w:sz w:val="32"/>
          <w:szCs w:val="32"/>
        </w:rPr>
        <w:t>万元，完</w:t>
      </w:r>
      <w:r>
        <w:rPr>
          <w:rFonts w:hint="eastAsia" w:ascii="仿宋_GB2312" w:eastAsia="仿宋_GB2312"/>
          <w:b w:val="0"/>
          <w:bCs/>
          <w:color w:val="000000"/>
          <w:sz w:val="32"/>
          <w:szCs w:val="32"/>
        </w:rPr>
        <w:t>成预算</w:t>
      </w:r>
      <w:r>
        <w:rPr>
          <w:rFonts w:hint="eastAsia" w:ascii="仿宋_GB2312" w:eastAsia="仿宋_GB2312"/>
          <w:b w:val="0"/>
          <w:bCs/>
          <w:color w:val="000000"/>
          <w:sz w:val="32"/>
          <w:szCs w:val="32"/>
          <w:lang w:val="en-US" w:eastAsia="zh-CN"/>
        </w:rPr>
        <w:t>1</w:t>
      </w:r>
      <w:r>
        <w:rPr>
          <w:rFonts w:hint="eastAsia" w:ascii="仿宋_GB2312" w:eastAsia="仿宋_GB2312"/>
          <w:bCs/>
          <w:color w:val="000000"/>
          <w:sz w:val="32"/>
          <w:szCs w:val="32"/>
          <w:lang w:val="en-US" w:eastAsia="zh-CN"/>
        </w:rPr>
        <w:t>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w:t>
      </w:r>
      <w:r>
        <w:rPr>
          <w:rFonts w:hint="eastAsia" w:ascii="仿宋_GB2312" w:eastAsia="仿宋_GB2312"/>
          <w:bCs/>
          <w:color w:val="000000"/>
          <w:sz w:val="32"/>
          <w:szCs w:val="32"/>
        </w:rPr>
        <w:t>决算数等于预算数</w:t>
      </w:r>
      <w:r>
        <w:rPr>
          <w:rFonts w:hint="eastAsia" w:ascii="仿宋_GB2312" w:eastAsia="仿宋_GB2312"/>
          <w:bCs/>
          <w:color w:val="000000"/>
          <w:sz w:val="32"/>
          <w:szCs w:val="32"/>
          <w:lang w:eastAsia="zh-CN"/>
        </w:rPr>
        <w:t>。</w:t>
      </w:r>
    </w:p>
    <w:p>
      <w:pPr>
        <w:spacing w:line="600" w:lineRule="exact"/>
        <w:ind w:firstLine="642" w:firstLineChars="200"/>
        <w:outlineLvl w:val="9"/>
        <w:rPr>
          <w:rFonts w:hint="eastAsia" w:ascii="仿宋_GB2312" w:eastAsia="仿宋_GB2312"/>
          <w:bCs/>
          <w:color w:val="000000"/>
          <w:sz w:val="32"/>
          <w:szCs w:val="32"/>
        </w:rPr>
      </w:pPr>
      <w:r>
        <w:rPr>
          <w:rStyle w:val="20"/>
          <w:rFonts w:hint="eastAsia" w:ascii="仿宋" w:eastAsia="仿宋"/>
          <w:bCs/>
          <w:color w:val="000000"/>
          <w:sz w:val="32"/>
          <w:szCs w:val="32"/>
          <w:lang w:val="en-US" w:eastAsia="zh-CN"/>
        </w:rPr>
        <w:t>3</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社会保障和就业（类）行政事业单位养老支出（款) 机关事业单位职业年金缴费支出（项）:</w:t>
      </w:r>
      <w:r>
        <w:rPr>
          <w:rFonts w:hint="eastAsia" w:ascii="仿宋_GB2312" w:eastAsia="仿宋_GB2312"/>
          <w:bCs/>
          <w:color w:val="000000"/>
          <w:sz w:val="32"/>
          <w:szCs w:val="32"/>
        </w:rPr>
        <w:t xml:space="preserve"> 支出决算为</w:t>
      </w:r>
      <w:r>
        <w:rPr>
          <w:rFonts w:hint="eastAsia" w:ascii="仿宋_GB2312" w:eastAsia="仿宋_GB2312"/>
          <w:bCs/>
          <w:color w:val="000000"/>
          <w:sz w:val="32"/>
          <w:szCs w:val="32"/>
          <w:lang w:val="en-US" w:eastAsia="zh-CN"/>
        </w:rPr>
        <w:t>35.84</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，决算数等于预算数</w:t>
      </w:r>
      <w:r>
        <w:rPr>
          <w:rFonts w:hint="eastAsia" w:ascii="仿宋_GB2312" w:eastAsia="仿宋_GB2312"/>
          <w:bCs/>
          <w:color w:val="000000"/>
          <w:sz w:val="32"/>
          <w:szCs w:val="32"/>
        </w:rPr>
        <w:t>。</w:t>
      </w:r>
    </w:p>
    <w:p>
      <w:pPr>
        <w:spacing w:line="600" w:lineRule="exact"/>
        <w:ind w:firstLine="642" w:firstLineChars="200"/>
        <w:outlineLvl w:val="9"/>
        <w:rPr>
          <w:rFonts w:hint="eastAsia"/>
          <w:lang w:eastAsia="zh-CN"/>
        </w:rPr>
      </w:pPr>
      <w:r>
        <w:rPr>
          <w:rStyle w:val="20"/>
          <w:rFonts w:hint="eastAsia" w:ascii="仿宋" w:eastAsia="仿宋"/>
          <w:bCs/>
          <w:color w:val="000000" w:themeColor="text1"/>
          <w:sz w:val="32"/>
          <w:szCs w:val="32"/>
          <w:lang w:val="en-US" w:eastAsia="zh-CN"/>
          <w14:textFill>
            <w14:solidFill>
              <w14:schemeClr w14:val="tx1"/>
            </w14:solidFill>
          </w14:textFill>
        </w:rPr>
        <w:t>4</w:t>
      </w:r>
      <w:r>
        <w:rPr>
          <w:rStyle w:val="20"/>
          <w:rFonts w:ascii="仿宋" w:eastAsia="仿宋"/>
          <w:bCs/>
          <w:color w:val="000000" w:themeColor="text1"/>
          <w:sz w:val="32"/>
          <w:szCs w:val="32"/>
          <w14:textFill>
            <w14:solidFill>
              <w14:schemeClr w14:val="tx1"/>
            </w14:solidFill>
          </w14:textFill>
        </w:rPr>
        <w:t>.</w:t>
      </w:r>
      <w:r>
        <w:rPr>
          <w:rStyle w:val="20"/>
          <w:rFonts w:hint="eastAsia" w:ascii="仿宋" w:eastAsia="仿宋" w:cs="Times New Roman"/>
          <w:bCs/>
          <w:color w:val="000000" w:themeColor="text1"/>
          <w:kern w:val="2"/>
          <w:sz w:val="32"/>
          <w:szCs w:val="32"/>
          <w:lang w:val="en-US" w:eastAsia="zh-CN" w:bidi="ar-SA"/>
          <w14:textFill>
            <w14:solidFill>
              <w14:schemeClr w14:val="tx1"/>
            </w14:solidFill>
          </w14:textFill>
        </w:rPr>
        <w:t>卫生健康</w:t>
      </w:r>
      <w:r>
        <w:rPr>
          <w:rStyle w:val="20"/>
          <w:rFonts w:hint="eastAsia" w:ascii="仿宋" w:eastAsia="仿宋" w:cs="Times New Roman"/>
          <w:bCs/>
          <w:color w:val="000000"/>
          <w:kern w:val="2"/>
          <w:sz w:val="32"/>
          <w:szCs w:val="32"/>
          <w:lang w:val="en-US" w:eastAsia="zh-CN" w:bidi="ar-SA"/>
        </w:rPr>
        <w:t>支出（类）行政事业单位医疗（款)公务员医疗补助（项）:</w:t>
      </w:r>
      <w:r>
        <w:rPr>
          <w:rStyle w:val="20"/>
          <w:rFonts w:ascii="仿宋" w:eastAsia="仿宋"/>
          <w:b w:val="0"/>
          <w:bCs/>
          <w:color w:val="000000"/>
          <w:sz w:val="32"/>
          <w:szCs w:val="32"/>
        </w:rPr>
        <w:t xml:space="preserve"> </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3.97</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，决算数等于预算数。</w:t>
      </w:r>
    </w:p>
    <w:p>
      <w:pPr>
        <w:spacing w:line="600" w:lineRule="exact"/>
        <w:ind w:firstLine="642" w:firstLineChars="200"/>
        <w:outlineLvl w:val="9"/>
        <w:rPr>
          <w:rStyle w:val="20"/>
          <w:rFonts w:hint="eastAsia" w:ascii="仿宋" w:eastAsia="仿宋" w:cs="Times New Roman"/>
          <w:b w:val="0"/>
          <w:bCs/>
          <w:color w:val="000000"/>
          <w:sz w:val="32"/>
          <w:szCs w:val="32"/>
          <w:lang w:eastAsia="zh-CN"/>
        </w:rPr>
      </w:pPr>
      <w:r>
        <w:rPr>
          <w:rStyle w:val="20"/>
          <w:rFonts w:hint="eastAsia" w:ascii="仿宋" w:eastAsia="仿宋"/>
          <w:bCs/>
          <w:color w:val="000000"/>
          <w:sz w:val="32"/>
          <w:szCs w:val="32"/>
          <w:lang w:val="en-US" w:eastAsia="zh-CN"/>
        </w:rPr>
        <w:t>5</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卫生健康支出（类）行政事业单位医疗（款)行政单位医疗（项）:</w:t>
      </w:r>
      <w:r>
        <w:rPr>
          <w:rStyle w:val="20"/>
          <w:rFonts w:ascii="仿宋" w:eastAsia="仿宋"/>
          <w:b w:val="0"/>
          <w:bCs/>
          <w:color w:val="000000"/>
          <w:sz w:val="32"/>
          <w:szCs w:val="32"/>
        </w:rPr>
        <w:t xml:space="preserve"> </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25.87</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，决算数等于预算数</w:t>
      </w:r>
      <w:r>
        <w:rPr>
          <w:rStyle w:val="20"/>
          <w:rFonts w:hint="eastAsia" w:ascii="仿宋" w:eastAsia="仿宋" w:cs="Times New Roman"/>
          <w:b w:val="0"/>
          <w:bCs/>
          <w:color w:val="000000"/>
          <w:sz w:val="32"/>
          <w:szCs w:val="32"/>
          <w:lang w:eastAsia="zh-CN"/>
        </w:rPr>
        <w:t>。</w:t>
      </w:r>
    </w:p>
    <w:p>
      <w:pPr>
        <w:spacing w:line="600" w:lineRule="exact"/>
        <w:ind w:firstLine="642" w:firstLineChars="200"/>
        <w:outlineLvl w:val="9"/>
        <w:rPr>
          <w:rFonts w:hint="eastAsia"/>
          <w:lang w:eastAsia="zh-CN"/>
        </w:rPr>
      </w:pPr>
      <w:r>
        <w:rPr>
          <w:rStyle w:val="20"/>
          <w:rFonts w:hint="eastAsia" w:ascii="仿宋" w:eastAsia="仿宋"/>
          <w:bCs/>
          <w:color w:val="000000"/>
          <w:sz w:val="32"/>
          <w:szCs w:val="32"/>
          <w:lang w:val="en-US" w:eastAsia="zh-CN"/>
        </w:rPr>
        <w:t>6</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卫生健康支出（类）行政事业单位医疗（款)事业单位医疗（项）:</w:t>
      </w:r>
      <w:r>
        <w:rPr>
          <w:rStyle w:val="20"/>
          <w:rFonts w:ascii="仿宋" w:eastAsia="仿宋"/>
          <w:b w:val="0"/>
          <w:bCs/>
          <w:color w:val="000000"/>
          <w:sz w:val="32"/>
          <w:szCs w:val="32"/>
        </w:rPr>
        <w:t xml:space="preserve"> </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10.44</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，决算数等于预算数。</w:t>
      </w:r>
    </w:p>
    <w:p>
      <w:pPr>
        <w:pStyle w:val="38"/>
        <w:outlineLvl w:val="9"/>
        <w:rPr>
          <w:rFonts w:hint="eastAsia" w:ascii="仿宋_GB2312" w:eastAsia="仿宋_GB2312"/>
          <w:bCs/>
          <w:color w:val="000000"/>
          <w:sz w:val="32"/>
          <w:szCs w:val="32"/>
          <w:lang w:eastAsia="zh-CN"/>
        </w:rPr>
      </w:pPr>
      <w:r>
        <w:rPr>
          <w:rStyle w:val="20"/>
          <w:rFonts w:hint="eastAsia" w:ascii="仿宋" w:eastAsia="仿宋"/>
          <w:bCs/>
          <w:color w:val="000000"/>
          <w:sz w:val="32"/>
          <w:szCs w:val="32"/>
          <w:lang w:val="en-US" w:eastAsia="zh-CN"/>
        </w:rPr>
        <w:t>7</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卫生健康支出（类）行政事业单位医疗（款)其他行政事业单位医疗支出（项）:</w:t>
      </w:r>
      <w:r>
        <w:rPr>
          <w:rStyle w:val="20"/>
          <w:rFonts w:ascii="仿宋" w:eastAsia="仿宋"/>
          <w:b w:val="0"/>
          <w:bCs/>
          <w:color w:val="000000"/>
          <w:sz w:val="32"/>
          <w:szCs w:val="32"/>
        </w:rPr>
        <w:t xml:space="preserve"> </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1.49</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，决算数等于预算数。</w:t>
      </w:r>
    </w:p>
    <w:p>
      <w:pPr>
        <w:spacing w:line="600" w:lineRule="exact"/>
        <w:ind w:firstLine="642" w:firstLineChars="200"/>
        <w:outlineLvl w:val="9"/>
        <w:rPr>
          <w:rFonts w:hint="eastAsia" w:ascii="仿宋_GB2312" w:eastAsia="仿宋_GB2312"/>
          <w:bCs/>
          <w:color w:val="000000"/>
          <w:sz w:val="32"/>
          <w:szCs w:val="32"/>
          <w:lang w:eastAsia="zh-CN"/>
        </w:rPr>
      </w:pPr>
      <w:r>
        <w:rPr>
          <w:rStyle w:val="20"/>
          <w:rFonts w:hint="eastAsia" w:ascii="仿宋" w:eastAsia="仿宋"/>
          <w:bCs/>
          <w:color w:val="000000"/>
          <w:sz w:val="32"/>
          <w:szCs w:val="32"/>
          <w:lang w:val="en-US" w:eastAsia="zh-CN"/>
        </w:rPr>
        <w:t>8</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农林水支出（类）农业农村（款)防汛其他农业农村（项）:</w:t>
      </w:r>
      <w:r>
        <w:rPr>
          <w:rFonts w:hint="eastAsia" w:ascii="仿宋_GB2312" w:eastAsia="仿宋_GB2312"/>
          <w:bCs/>
          <w:color w:val="000000"/>
          <w:sz w:val="32"/>
          <w:szCs w:val="32"/>
        </w:rPr>
        <w:t>支出决算为</w:t>
      </w:r>
      <w:r>
        <w:rPr>
          <w:rFonts w:hint="eastAsia" w:eastAsia="仿宋_GB2312"/>
          <w:bCs/>
          <w:color w:val="000000"/>
          <w:sz w:val="32"/>
          <w:szCs w:val="32"/>
          <w:lang w:val="en-US" w:eastAsia="zh-CN"/>
        </w:rPr>
        <w:t>446.35</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w:t>
      </w:r>
      <w:r>
        <w:rPr>
          <w:rFonts w:hint="eastAsia" w:ascii="仿宋_GB2312" w:eastAsia="仿宋_GB2312"/>
          <w:bCs/>
          <w:color w:val="000000"/>
          <w:sz w:val="32"/>
          <w:szCs w:val="32"/>
        </w:rPr>
        <w:t>决算数等于预算数。</w:t>
      </w:r>
    </w:p>
    <w:p>
      <w:pPr>
        <w:spacing w:line="600" w:lineRule="exact"/>
        <w:ind w:firstLine="642" w:firstLineChars="200"/>
        <w:outlineLvl w:val="9"/>
        <w:rPr>
          <w:rFonts w:hint="eastAsia" w:ascii="仿宋_GB2312" w:eastAsia="仿宋_GB2312"/>
          <w:bCs/>
          <w:color w:val="000000"/>
          <w:sz w:val="32"/>
          <w:szCs w:val="32"/>
        </w:rPr>
      </w:pPr>
      <w:r>
        <w:rPr>
          <w:rStyle w:val="20"/>
          <w:rFonts w:hint="eastAsia" w:ascii="仿宋" w:eastAsia="仿宋"/>
          <w:bCs/>
          <w:color w:val="000000"/>
          <w:sz w:val="32"/>
          <w:szCs w:val="32"/>
          <w:lang w:val="en-US" w:eastAsia="zh-CN"/>
        </w:rPr>
        <w:t>9</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农林水支出（类）水利（款)防汛（项）:</w:t>
      </w:r>
      <w:r>
        <w:rPr>
          <w:rFonts w:hint="eastAsia" w:ascii="仿宋_GB2312" w:eastAsia="仿宋_GB2312"/>
          <w:bCs/>
          <w:color w:val="000000"/>
          <w:sz w:val="32"/>
          <w:szCs w:val="32"/>
        </w:rPr>
        <w:t>支出决算为</w:t>
      </w:r>
      <w:r>
        <w:rPr>
          <w:rFonts w:hint="eastAsia" w:eastAsia="仿宋_GB2312"/>
          <w:bCs/>
          <w:color w:val="000000"/>
          <w:sz w:val="32"/>
          <w:szCs w:val="32"/>
          <w:lang w:val="en-US" w:eastAsia="zh-CN"/>
        </w:rPr>
        <w:t>1.42</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w:t>
      </w:r>
      <w:r>
        <w:rPr>
          <w:rFonts w:hint="eastAsia" w:ascii="仿宋_GB2312" w:eastAsia="仿宋_GB2312"/>
          <w:bCs/>
          <w:color w:val="000000"/>
          <w:sz w:val="32"/>
          <w:szCs w:val="32"/>
        </w:rPr>
        <w:t>决算数等于预算数。</w:t>
      </w:r>
    </w:p>
    <w:p>
      <w:pPr>
        <w:pStyle w:val="15"/>
        <w:ind w:left="0" w:leftChars="0" w:firstLine="642" w:firstLineChars="200"/>
        <w:outlineLvl w:val="9"/>
        <w:rPr>
          <w:rFonts w:hint="eastAsia" w:ascii="仿宋_GB2312" w:eastAsia="仿宋_GB2312"/>
          <w:bCs/>
          <w:color w:val="000000"/>
          <w:sz w:val="32"/>
          <w:szCs w:val="32"/>
          <w:lang w:eastAsia="zh-CN"/>
        </w:rPr>
      </w:pPr>
      <w:r>
        <w:rPr>
          <w:rStyle w:val="20"/>
          <w:rFonts w:hint="eastAsia" w:ascii="仿宋" w:eastAsia="仿宋"/>
          <w:bCs/>
          <w:color w:val="000000"/>
          <w:sz w:val="32"/>
          <w:szCs w:val="32"/>
          <w:lang w:val="en-US" w:eastAsia="zh-CN"/>
        </w:rPr>
        <w:t>10</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住房保障支出（类）住房改革支出（款）住房公积金（项）:</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58.18</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w:t>
      </w:r>
      <w:r>
        <w:rPr>
          <w:rFonts w:hint="eastAsia" w:ascii="仿宋_GB2312" w:eastAsia="仿宋_GB2312"/>
          <w:bCs/>
          <w:color w:val="000000"/>
          <w:sz w:val="32"/>
          <w:szCs w:val="32"/>
        </w:rPr>
        <w:t>决算数等于预算数</w:t>
      </w:r>
      <w:r>
        <w:rPr>
          <w:rFonts w:hint="eastAsia" w:ascii="仿宋_GB2312" w:eastAsia="仿宋_GB2312"/>
          <w:bCs/>
          <w:color w:val="000000"/>
          <w:sz w:val="32"/>
          <w:szCs w:val="32"/>
          <w:lang w:eastAsia="zh-CN"/>
        </w:rPr>
        <w:t>。</w:t>
      </w:r>
    </w:p>
    <w:p>
      <w:pPr>
        <w:pStyle w:val="38"/>
        <w:outlineLvl w:val="9"/>
        <w:rPr>
          <w:rFonts w:hint="eastAsia" w:ascii="仿宋_GB2312" w:eastAsia="仿宋_GB2312"/>
          <w:bCs/>
          <w:color w:val="000000"/>
          <w:sz w:val="32"/>
          <w:szCs w:val="32"/>
          <w:lang w:eastAsia="zh-CN"/>
        </w:rPr>
      </w:pPr>
      <w:r>
        <w:rPr>
          <w:rStyle w:val="20"/>
          <w:rFonts w:hint="eastAsia" w:ascii="仿宋" w:eastAsia="仿宋"/>
          <w:bCs/>
          <w:color w:val="000000"/>
          <w:sz w:val="32"/>
          <w:szCs w:val="32"/>
          <w:lang w:val="en-US" w:eastAsia="zh-CN"/>
        </w:rPr>
        <w:t>11</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灾害防治及应急管理支出（类）应急管理事务（款）  行政运行（项）:</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425.13</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w:t>
      </w:r>
      <w:r>
        <w:rPr>
          <w:rFonts w:hint="eastAsia" w:ascii="仿宋_GB2312" w:eastAsia="仿宋_GB2312"/>
          <w:bCs/>
          <w:color w:val="000000"/>
          <w:sz w:val="32"/>
          <w:szCs w:val="32"/>
          <w:lang w:val="en-US" w:eastAsia="zh-CN"/>
        </w:rPr>
        <w:t>等于</w:t>
      </w:r>
      <w:r>
        <w:rPr>
          <w:rFonts w:hint="eastAsia" w:ascii="仿宋_GB2312" w:eastAsia="仿宋_GB2312"/>
          <w:bCs/>
          <w:color w:val="000000"/>
          <w:sz w:val="32"/>
          <w:szCs w:val="32"/>
          <w:lang w:eastAsia="zh-CN"/>
        </w:rPr>
        <w:t>预算数。</w:t>
      </w:r>
    </w:p>
    <w:p>
      <w:pPr>
        <w:pStyle w:val="38"/>
        <w:outlineLvl w:val="9"/>
        <w:rPr>
          <w:rFonts w:hint="eastAsia" w:ascii="仿宋_GB2312" w:eastAsia="仿宋_GB2312"/>
          <w:bCs/>
          <w:color w:val="000000"/>
          <w:sz w:val="32"/>
          <w:szCs w:val="32"/>
          <w:lang w:eastAsia="zh-CN"/>
        </w:rPr>
      </w:pPr>
      <w:r>
        <w:rPr>
          <w:rStyle w:val="20"/>
          <w:rFonts w:hint="eastAsia" w:ascii="仿宋" w:eastAsia="仿宋"/>
          <w:bCs/>
          <w:color w:val="000000"/>
          <w:sz w:val="32"/>
          <w:szCs w:val="32"/>
          <w:lang w:val="en-US" w:eastAsia="zh-CN"/>
        </w:rPr>
        <w:t>12</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灾害防治及应急管理支出（类）应急管理事务（款）  一般行政管理事务（项）:</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8.80</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w:t>
      </w:r>
      <w:r>
        <w:rPr>
          <w:rFonts w:hint="eastAsia" w:ascii="仿宋_GB2312" w:eastAsia="仿宋_GB2312"/>
          <w:bCs/>
          <w:color w:val="000000"/>
          <w:sz w:val="32"/>
          <w:szCs w:val="32"/>
          <w:lang w:val="en-US" w:eastAsia="zh-CN"/>
        </w:rPr>
        <w:t>等于</w:t>
      </w:r>
      <w:r>
        <w:rPr>
          <w:rFonts w:hint="eastAsia" w:ascii="仿宋_GB2312" w:eastAsia="仿宋_GB2312"/>
          <w:bCs/>
          <w:color w:val="000000"/>
          <w:sz w:val="32"/>
          <w:szCs w:val="32"/>
          <w:lang w:eastAsia="zh-CN"/>
        </w:rPr>
        <w:t>预算数。</w:t>
      </w:r>
    </w:p>
    <w:p>
      <w:pPr>
        <w:pStyle w:val="38"/>
        <w:outlineLvl w:val="9"/>
        <w:rPr>
          <w:rFonts w:hint="default" w:ascii="仿宋_GB2312" w:eastAsia="仿宋_GB2312"/>
          <w:bCs/>
          <w:color w:val="000000"/>
          <w:sz w:val="32"/>
          <w:szCs w:val="32"/>
          <w:lang w:val="en-US" w:eastAsia="zh-CN"/>
        </w:rPr>
      </w:pPr>
      <w:r>
        <w:rPr>
          <w:rStyle w:val="20"/>
          <w:rFonts w:hint="eastAsia" w:ascii="仿宋" w:eastAsia="仿宋"/>
          <w:bCs/>
          <w:color w:val="000000"/>
          <w:sz w:val="32"/>
          <w:szCs w:val="32"/>
          <w:lang w:val="en-US" w:eastAsia="zh-CN"/>
        </w:rPr>
        <w:t>13</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灾害防治及应急管理支出（类）应急管理事务（款）  安全监管（项）:</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9.41</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w:t>
      </w:r>
      <w:r>
        <w:rPr>
          <w:rFonts w:hint="eastAsia" w:ascii="仿宋_GB2312" w:eastAsia="仿宋_GB2312"/>
          <w:bCs/>
          <w:color w:val="000000"/>
          <w:sz w:val="32"/>
          <w:szCs w:val="32"/>
          <w:lang w:val="en-US" w:eastAsia="zh-CN"/>
        </w:rPr>
        <w:t>等于</w:t>
      </w:r>
      <w:r>
        <w:rPr>
          <w:rFonts w:hint="eastAsia" w:ascii="仿宋_GB2312" w:eastAsia="仿宋_GB2312"/>
          <w:bCs/>
          <w:color w:val="000000"/>
          <w:sz w:val="32"/>
          <w:szCs w:val="32"/>
          <w:lang w:eastAsia="zh-CN"/>
        </w:rPr>
        <w:t>预算数。</w:t>
      </w:r>
    </w:p>
    <w:p>
      <w:pPr>
        <w:pStyle w:val="38"/>
        <w:outlineLvl w:val="9"/>
        <w:rPr>
          <w:rFonts w:hint="default" w:ascii="仿宋_GB2312" w:eastAsia="仿宋_GB2312"/>
          <w:bCs/>
          <w:color w:val="000000"/>
          <w:sz w:val="32"/>
          <w:szCs w:val="32"/>
          <w:lang w:val="en-US" w:eastAsia="zh-CN"/>
        </w:rPr>
      </w:pPr>
      <w:r>
        <w:rPr>
          <w:rStyle w:val="20"/>
          <w:rFonts w:hint="eastAsia" w:ascii="仿宋" w:eastAsia="仿宋"/>
          <w:bCs/>
          <w:color w:val="auto"/>
          <w:sz w:val="32"/>
          <w:szCs w:val="32"/>
          <w:lang w:val="en-US" w:eastAsia="zh-CN"/>
        </w:rPr>
        <w:t>14</w:t>
      </w:r>
      <w:r>
        <w:rPr>
          <w:rStyle w:val="20"/>
          <w:rFonts w:ascii="仿宋" w:eastAsia="仿宋"/>
          <w:bCs/>
          <w:color w:val="auto"/>
          <w:sz w:val="32"/>
          <w:szCs w:val="32"/>
        </w:rPr>
        <w:t>.</w:t>
      </w:r>
      <w:r>
        <w:rPr>
          <w:rStyle w:val="20"/>
          <w:rFonts w:hint="eastAsia" w:ascii="仿宋" w:eastAsia="仿宋" w:cs="Times New Roman"/>
          <w:bCs/>
          <w:color w:val="auto"/>
          <w:kern w:val="2"/>
          <w:sz w:val="32"/>
          <w:szCs w:val="32"/>
          <w:lang w:val="en-US" w:eastAsia="zh-CN" w:bidi="ar-SA"/>
        </w:rPr>
        <w:t>灾害防治及应急管理支出（类）应急管理事务（款）  灾害风险防治（项）</w:t>
      </w:r>
      <w:r>
        <w:rPr>
          <w:rStyle w:val="20"/>
          <w:rFonts w:hint="eastAsia" w:ascii="仿宋" w:eastAsia="仿宋" w:cs="Times New Roman"/>
          <w:bCs/>
          <w:color w:val="000000"/>
          <w:kern w:val="2"/>
          <w:sz w:val="32"/>
          <w:szCs w:val="32"/>
          <w:lang w:val="en-US" w:eastAsia="zh-CN" w:bidi="ar-SA"/>
        </w:rPr>
        <w:t>:</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77.98</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w:t>
      </w:r>
      <w:r>
        <w:rPr>
          <w:rFonts w:hint="eastAsia" w:ascii="仿宋_GB2312" w:eastAsia="仿宋_GB2312"/>
          <w:bCs/>
          <w:color w:val="000000"/>
          <w:sz w:val="32"/>
          <w:szCs w:val="32"/>
          <w:lang w:val="en-US" w:eastAsia="zh-CN"/>
        </w:rPr>
        <w:t>等于</w:t>
      </w:r>
      <w:r>
        <w:rPr>
          <w:rFonts w:hint="eastAsia" w:ascii="仿宋_GB2312" w:eastAsia="仿宋_GB2312"/>
          <w:bCs/>
          <w:color w:val="000000"/>
          <w:sz w:val="32"/>
          <w:szCs w:val="32"/>
          <w:lang w:eastAsia="zh-CN"/>
        </w:rPr>
        <w:t>预算数。</w:t>
      </w:r>
    </w:p>
    <w:p>
      <w:pPr>
        <w:pStyle w:val="38"/>
        <w:outlineLvl w:val="9"/>
        <w:rPr>
          <w:rFonts w:hint="eastAsia" w:ascii="仿宋_GB2312" w:eastAsia="仿宋_GB2312"/>
          <w:bCs/>
          <w:color w:val="000000"/>
          <w:sz w:val="32"/>
          <w:szCs w:val="32"/>
          <w:lang w:eastAsia="zh-CN"/>
        </w:rPr>
      </w:pPr>
      <w:r>
        <w:rPr>
          <w:rStyle w:val="20"/>
          <w:rFonts w:hint="eastAsia" w:ascii="仿宋" w:eastAsia="仿宋"/>
          <w:bCs/>
          <w:color w:val="000000"/>
          <w:sz w:val="32"/>
          <w:szCs w:val="32"/>
          <w:lang w:val="en-US" w:eastAsia="zh-CN"/>
        </w:rPr>
        <w:t>15</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灾害防治及应急管理支出（类）应急管理事务（款）  事业运行（项）:</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159.92</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w:t>
      </w:r>
      <w:r>
        <w:rPr>
          <w:rFonts w:hint="eastAsia" w:ascii="仿宋_GB2312" w:eastAsia="仿宋_GB2312"/>
          <w:bCs/>
          <w:color w:val="000000"/>
          <w:sz w:val="32"/>
          <w:szCs w:val="32"/>
          <w:lang w:val="en-US" w:eastAsia="zh-CN"/>
        </w:rPr>
        <w:t>等于</w:t>
      </w:r>
      <w:r>
        <w:rPr>
          <w:rFonts w:hint="eastAsia" w:ascii="仿宋_GB2312" w:eastAsia="仿宋_GB2312"/>
          <w:bCs/>
          <w:color w:val="000000"/>
          <w:sz w:val="32"/>
          <w:szCs w:val="32"/>
          <w:lang w:eastAsia="zh-CN"/>
        </w:rPr>
        <w:t>预算数。</w:t>
      </w:r>
    </w:p>
    <w:p>
      <w:pPr>
        <w:pStyle w:val="38"/>
        <w:outlineLvl w:val="9"/>
        <w:rPr>
          <w:rFonts w:hint="eastAsia" w:ascii="仿宋_GB2312" w:eastAsia="仿宋_GB2312"/>
          <w:bCs/>
          <w:color w:val="000000"/>
          <w:sz w:val="32"/>
          <w:szCs w:val="32"/>
          <w:lang w:eastAsia="zh-CN"/>
        </w:rPr>
      </w:pPr>
      <w:r>
        <w:rPr>
          <w:rStyle w:val="20"/>
          <w:rFonts w:hint="eastAsia" w:ascii="仿宋" w:eastAsia="仿宋"/>
          <w:bCs/>
          <w:color w:val="000000"/>
          <w:sz w:val="32"/>
          <w:szCs w:val="32"/>
          <w:lang w:val="en-US" w:eastAsia="zh-CN"/>
        </w:rPr>
        <w:t>16</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灾害防治及应急管理支出（类）应急管理事务（款）  应急管理（项）:</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22.22</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w:t>
      </w:r>
      <w:r>
        <w:rPr>
          <w:rFonts w:hint="eastAsia" w:ascii="仿宋_GB2312" w:eastAsia="仿宋_GB2312"/>
          <w:bCs/>
          <w:color w:val="000000"/>
          <w:sz w:val="32"/>
          <w:szCs w:val="32"/>
          <w:lang w:val="en-US" w:eastAsia="zh-CN"/>
        </w:rPr>
        <w:t>等于</w:t>
      </w:r>
      <w:r>
        <w:rPr>
          <w:rFonts w:hint="eastAsia" w:ascii="仿宋_GB2312" w:eastAsia="仿宋_GB2312"/>
          <w:bCs/>
          <w:color w:val="000000"/>
          <w:sz w:val="32"/>
          <w:szCs w:val="32"/>
          <w:lang w:eastAsia="zh-CN"/>
        </w:rPr>
        <w:t>预算数。</w:t>
      </w:r>
    </w:p>
    <w:p>
      <w:pPr>
        <w:pStyle w:val="38"/>
        <w:outlineLvl w:val="9"/>
        <w:rPr>
          <w:rFonts w:hint="eastAsia" w:ascii="仿宋_GB2312" w:eastAsia="仿宋_GB2312"/>
          <w:bCs/>
          <w:color w:val="000000"/>
          <w:sz w:val="32"/>
          <w:szCs w:val="32"/>
          <w:lang w:eastAsia="zh-CN"/>
        </w:rPr>
      </w:pPr>
      <w:r>
        <w:rPr>
          <w:rStyle w:val="20"/>
          <w:rFonts w:hint="eastAsia" w:ascii="仿宋" w:eastAsia="仿宋"/>
          <w:bCs/>
          <w:color w:val="000000"/>
          <w:sz w:val="32"/>
          <w:szCs w:val="32"/>
          <w:lang w:val="en-US" w:eastAsia="zh-CN"/>
        </w:rPr>
        <w:t>17</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灾害防治及应急管理支出（类）应急管理事务（款）  其他应急管理支出（项）:</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58.86</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w:t>
      </w:r>
      <w:r>
        <w:rPr>
          <w:rFonts w:hint="eastAsia" w:ascii="仿宋_GB2312" w:eastAsia="仿宋_GB2312"/>
          <w:bCs/>
          <w:color w:val="000000"/>
          <w:sz w:val="32"/>
          <w:szCs w:val="32"/>
          <w:lang w:val="en-US" w:eastAsia="zh-CN"/>
        </w:rPr>
        <w:t>等于</w:t>
      </w:r>
      <w:r>
        <w:rPr>
          <w:rFonts w:hint="eastAsia" w:ascii="仿宋_GB2312" w:eastAsia="仿宋_GB2312"/>
          <w:bCs/>
          <w:color w:val="000000"/>
          <w:sz w:val="32"/>
          <w:szCs w:val="32"/>
          <w:lang w:eastAsia="zh-CN"/>
        </w:rPr>
        <w:t>预算数。</w:t>
      </w:r>
    </w:p>
    <w:p>
      <w:pPr>
        <w:ind w:firstLine="642" w:firstLineChars="200"/>
        <w:outlineLvl w:val="9"/>
        <w:rPr>
          <w:rFonts w:hint="eastAsia" w:ascii="仿宋_GB2312" w:eastAsia="仿宋_GB2312"/>
          <w:bCs/>
          <w:color w:val="000000"/>
          <w:sz w:val="32"/>
          <w:szCs w:val="32"/>
          <w:lang w:eastAsia="zh-CN"/>
        </w:rPr>
      </w:pPr>
      <w:r>
        <w:rPr>
          <w:rStyle w:val="20"/>
          <w:rFonts w:hint="eastAsia" w:ascii="仿宋" w:eastAsia="仿宋"/>
          <w:bCs/>
          <w:color w:val="000000"/>
          <w:sz w:val="32"/>
          <w:szCs w:val="32"/>
          <w:lang w:val="en-US" w:eastAsia="zh-CN"/>
        </w:rPr>
        <w:t>18</w:t>
      </w:r>
      <w:r>
        <w:rPr>
          <w:rStyle w:val="20"/>
          <w:rFonts w:ascii="仿宋" w:eastAsia="仿宋"/>
          <w:bCs/>
          <w:color w:val="000000"/>
          <w:sz w:val="32"/>
          <w:szCs w:val="32"/>
        </w:rPr>
        <w:t>.</w:t>
      </w:r>
      <w:r>
        <w:rPr>
          <w:rStyle w:val="20"/>
          <w:rFonts w:hint="eastAsia" w:ascii="仿宋" w:eastAsia="仿宋" w:cs="Times New Roman"/>
          <w:bCs/>
          <w:color w:val="000000"/>
          <w:kern w:val="2"/>
          <w:sz w:val="32"/>
          <w:szCs w:val="32"/>
          <w:lang w:val="en-US" w:eastAsia="zh-CN" w:bidi="ar-SA"/>
        </w:rPr>
        <w:t>灾害防治及应急管理支出（类）消防救援事务（款）  消防应急救援（项）:</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8.75</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w:t>
      </w:r>
      <w:r>
        <w:rPr>
          <w:rFonts w:hint="eastAsia" w:ascii="仿宋_GB2312" w:eastAsia="仿宋_GB2312"/>
          <w:bCs/>
          <w:color w:val="000000"/>
          <w:sz w:val="32"/>
          <w:szCs w:val="32"/>
          <w:lang w:val="en-US" w:eastAsia="zh-CN"/>
        </w:rPr>
        <w:t>等于</w:t>
      </w:r>
      <w:r>
        <w:rPr>
          <w:rFonts w:hint="eastAsia" w:ascii="仿宋_GB2312" w:eastAsia="仿宋_GB2312"/>
          <w:bCs/>
          <w:color w:val="000000"/>
          <w:sz w:val="32"/>
          <w:szCs w:val="32"/>
          <w:lang w:eastAsia="zh-CN"/>
        </w:rPr>
        <w:t>预算数。</w:t>
      </w:r>
    </w:p>
    <w:p>
      <w:pPr>
        <w:spacing w:line="600" w:lineRule="exact"/>
        <w:ind w:firstLine="642" w:firstLineChars="200"/>
        <w:outlineLvl w:val="9"/>
        <w:rPr>
          <w:rFonts w:hint="eastAsia" w:ascii="仿宋_GB2312" w:eastAsia="仿宋_GB2312"/>
          <w:bCs/>
          <w:color w:val="000000"/>
          <w:sz w:val="32"/>
          <w:szCs w:val="32"/>
          <w:lang w:eastAsia="zh-CN"/>
        </w:rPr>
      </w:pPr>
      <w:r>
        <w:rPr>
          <w:rStyle w:val="20"/>
          <w:rFonts w:hint="eastAsia" w:ascii="仿宋" w:eastAsia="仿宋"/>
          <w:bCs/>
          <w:color w:val="auto"/>
          <w:sz w:val="32"/>
          <w:szCs w:val="32"/>
          <w:lang w:val="en-US" w:eastAsia="zh-CN"/>
        </w:rPr>
        <w:t>19</w:t>
      </w:r>
      <w:r>
        <w:rPr>
          <w:rStyle w:val="20"/>
          <w:rFonts w:ascii="仿宋" w:eastAsia="仿宋"/>
          <w:bCs/>
          <w:color w:val="auto"/>
          <w:sz w:val="32"/>
          <w:szCs w:val="32"/>
        </w:rPr>
        <w:t>.</w:t>
      </w:r>
      <w:r>
        <w:rPr>
          <w:rStyle w:val="20"/>
          <w:rFonts w:hint="eastAsia" w:ascii="仿宋" w:eastAsia="仿宋" w:cs="Times New Roman"/>
          <w:bCs/>
          <w:color w:val="auto"/>
          <w:kern w:val="2"/>
          <w:sz w:val="32"/>
          <w:szCs w:val="32"/>
          <w:lang w:val="en-US" w:eastAsia="zh-CN" w:bidi="ar-SA"/>
        </w:rPr>
        <w:t>灾害防治及应急管理支出（类）自然灾害防治（款）  地质灾害防治（项）:</w:t>
      </w:r>
      <w:r>
        <w:rPr>
          <w:rStyle w:val="20"/>
          <w:rFonts w:ascii="仿宋" w:eastAsia="仿宋"/>
          <w:b w:val="0"/>
          <w:bCs/>
          <w:color w:val="auto"/>
          <w:sz w:val="32"/>
          <w:szCs w:val="32"/>
        </w:rPr>
        <w:t xml:space="preserve"> </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10.5</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，决算数</w:t>
      </w:r>
      <w:r>
        <w:rPr>
          <w:rFonts w:hint="eastAsia" w:ascii="仿宋_GB2312" w:eastAsia="仿宋_GB2312"/>
          <w:bCs/>
          <w:color w:val="000000"/>
          <w:sz w:val="32"/>
          <w:szCs w:val="32"/>
          <w:lang w:val="en-US" w:eastAsia="zh-CN"/>
        </w:rPr>
        <w:t>等于</w:t>
      </w:r>
      <w:r>
        <w:rPr>
          <w:rFonts w:hint="eastAsia" w:ascii="仿宋_GB2312" w:eastAsia="仿宋_GB2312"/>
          <w:bCs/>
          <w:color w:val="000000"/>
          <w:sz w:val="32"/>
          <w:szCs w:val="32"/>
          <w:lang w:eastAsia="zh-CN"/>
        </w:rPr>
        <w:t>预算数。</w:t>
      </w:r>
    </w:p>
    <w:p>
      <w:pPr>
        <w:ind w:firstLine="642" w:firstLineChars="200"/>
        <w:outlineLvl w:val="9"/>
        <w:rPr>
          <w:rFonts w:hint="eastAsia" w:ascii="仿宋_GB2312" w:eastAsia="仿宋_GB2312"/>
          <w:bCs/>
          <w:color w:val="000000"/>
          <w:sz w:val="32"/>
          <w:szCs w:val="32"/>
          <w:lang w:eastAsia="zh-CN"/>
        </w:rPr>
      </w:pPr>
      <w:r>
        <w:rPr>
          <w:rStyle w:val="20"/>
          <w:rFonts w:hint="eastAsia" w:ascii="仿宋" w:eastAsia="仿宋"/>
          <w:bCs/>
          <w:color w:val="auto"/>
          <w:sz w:val="32"/>
          <w:szCs w:val="32"/>
          <w:lang w:val="en-US" w:eastAsia="zh-CN"/>
        </w:rPr>
        <w:t>20</w:t>
      </w:r>
      <w:r>
        <w:rPr>
          <w:rStyle w:val="20"/>
          <w:rFonts w:ascii="仿宋" w:eastAsia="仿宋"/>
          <w:bCs/>
          <w:color w:val="auto"/>
          <w:sz w:val="32"/>
          <w:szCs w:val="32"/>
        </w:rPr>
        <w:t>.</w:t>
      </w:r>
      <w:r>
        <w:rPr>
          <w:rStyle w:val="20"/>
          <w:rFonts w:hint="eastAsia" w:ascii="仿宋" w:eastAsia="仿宋" w:cs="Times New Roman"/>
          <w:bCs/>
          <w:color w:val="auto"/>
          <w:kern w:val="2"/>
          <w:sz w:val="32"/>
          <w:szCs w:val="32"/>
          <w:lang w:val="en-US" w:eastAsia="zh-CN" w:bidi="ar-SA"/>
        </w:rPr>
        <w:t>灾害防治及应急管理支出（类）自然灾害救灾及恢复重建支出（款）自然灾害后重建补助（项）:</w:t>
      </w:r>
      <w:r>
        <w:rPr>
          <w:rStyle w:val="20"/>
          <w:rFonts w:ascii="仿宋" w:eastAsia="仿宋"/>
          <w:b w:val="0"/>
          <w:bCs/>
          <w:color w:val="auto"/>
          <w:sz w:val="32"/>
          <w:szCs w:val="32"/>
        </w:rPr>
        <w:t xml:space="preserve"> </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 xml:space="preserve">1.67 </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w:t>
      </w:r>
      <w:r>
        <w:rPr>
          <w:rFonts w:hint="eastAsia" w:ascii="仿宋_GB2312" w:eastAsia="仿宋_GB2312"/>
          <w:bCs/>
          <w:color w:val="000000"/>
          <w:sz w:val="32"/>
          <w:szCs w:val="32"/>
        </w:rPr>
        <w:t>决算数等于预算数</w:t>
      </w:r>
      <w:r>
        <w:rPr>
          <w:rFonts w:hint="eastAsia" w:ascii="仿宋_GB2312" w:eastAsia="仿宋_GB2312"/>
          <w:bCs/>
          <w:color w:val="000000"/>
          <w:sz w:val="32"/>
          <w:szCs w:val="32"/>
          <w:lang w:eastAsia="zh-CN"/>
        </w:rPr>
        <w:t>。</w:t>
      </w:r>
    </w:p>
    <w:p>
      <w:pPr>
        <w:ind w:firstLine="642" w:firstLineChars="200"/>
        <w:outlineLvl w:val="9"/>
        <w:rPr>
          <w:rFonts w:hint="eastAsia" w:ascii="仿宋_GB2312" w:eastAsia="仿宋_GB2312"/>
          <w:bCs/>
          <w:color w:val="000000"/>
          <w:sz w:val="32"/>
          <w:szCs w:val="32"/>
          <w:lang w:eastAsia="zh-CN"/>
        </w:rPr>
      </w:pPr>
      <w:r>
        <w:rPr>
          <w:rStyle w:val="20"/>
          <w:rFonts w:hint="eastAsia" w:ascii="仿宋" w:eastAsia="仿宋"/>
          <w:bCs/>
          <w:color w:val="auto"/>
          <w:sz w:val="32"/>
          <w:szCs w:val="32"/>
          <w:lang w:val="en-US" w:eastAsia="zh-CN"/>
        </w:rPr>
        <w:t>21</w:t>
      </w:r>
      <w:r>
        <w:rPr>
          <w:rStyle w:val="20"/>
          <w:rFonts w:ascii="仿宋" w:eastAsia="仿宋"/>
          <w:bCs/>
          <w:color w:val="auto"/>
          <w:sz w:val="32"/>
          <w:szCs w:val="32"/>
        </w:rPr>
        <w:t>.</w:t>
      </w:r>
      <w:r>
        <w:rPr>
          <w:rStyle w:val="20"/>
          <w:rFonts w:hint="eastAsia" w:ascii="仿宋" w:eastAsia="仿宋" w:cs="Times New Roman"/>
          <w:bCs/>
          <w:color w:val="auto"/>
          <w:kern w:val="2"/>
          <w:sz w:val="32"/>
          <w:szCs w:val="32"/>
          <w:lang w:val="en-US" w:eastAsia="zh-CN" w:bidi="ar-SA"/>
        </w:rPr>
        <w:t>灾害防治及应急管理支出（类）其他灾害防治及应急管理支出:</w:t>
      </w:r>
      <w:r>
        <w:rPr>
          <w:rStyle w:val="20"/>
          <w:rFonts w:ascii="仿宋" w:eastAsia="仿宋"/>
          <w:b w:val="0"/>
          <w:bCs/>
          <w:color w:val="auto"/>
          <w:sz w:val="32"/>
          <w:szCs w:val="32"/>
        </w:rPr>
        <w:t xml:space="preserve"> </w:t>
      </w:r>
      <w:r>
        <w:rPr>
          <w:rFonts w:hint="eastAsia" w:ascii="仿宋_GB2312" w:eastAsia="仿宋_GB2312"/>
          <w:bCs/>
          <w:color w:val="000000"/>
          <w:sz w:val="32"/>
          <w:szCs w:val="32"/>
        </w:rPr>
        <w:t>支出决算为</w:t>
      </w:r>
      <w:r>
        <w:rPr>
          <w:rFonts w:hint="eastAsia" w:ascii="仿宋_GB2312" w:eastAsia="仿宋_GB2312"/>
          <w:bCs/>
          <w:color w:val="000000"/>
          <w:sz w:val="32"/>
          <w:szCs w:val="32"/>
          <w:lang w:val="en-US" w:eastAsia="zh-CN"/>
        </w:rPr>
        <w:t xml:space="preserve">19.90 </w:t>
      </w:r>
      <w:r>
        <w:rPr>
          <w:rFonts w:hint="eastAsia" w:ascii="仿宋_GB2312" w:eastAsia="仿宋_GB2312"/>
          <w:bCs/>
          <w:color w:val="000000"/>
          <w:sz w:val="32"/>
          <w:szCs w:val="32"/>
        </w:rPr>
        <w:t>万元，完成预算</w:t>
      </w:r>
      <w:r>
        <w:rPr>
          <w:rFonts w:hint="eastAsia" w:ascii="仿宋_GB2312" w:eastAsia="仿宋_GB2312"/>
          <w:bCs/>
          <w:color w:val="000000"/>
          <w:sz w:val="32"/>
          <w:szCs w:val="32"/>
          <w:lang w:val="en-US" w:eastAsia="zh-CN"/>
        </w:rPr>
        <w:t>100</w:t>
      </w:r>
      <w:r>
        <w:rPr>
          <w:rFonts w:hint="eastAsia" w:ascii="仿宋_GB2312" w:eastAsia="仿宋_GB2312"/>
          <w:bCs/>
          <w:color w:val="000000"/>
          <w:sz w:val="32"/>
          <w:szCs w:val="32"/>
        </w:rPr>
        <w:t>%</w:t>
      </w:r>
      <w:r>
        <w:rPr>
          <w:rFonts w:hint="eastAsia" w:ascii="仿宋_GB2312" w:eastAsia="仿宋_GB2312"/>
          <w:bCs/>
          <w:color w:val="000000"/>
          <w:sz w:val="32"/>
          <w:szCs w:val="32"/>
          <w:lang w:eastAsia="zh-CN"/>
        </w:rPr>
        <w:t>，</w:t>
      </w:r>
      <w:r>
        <w:rPr>
          <w:rFonts w:hint="eastAsia" w:ascii="仿宋_GB2312" w:eastAsia="仿宋_GB2312"/>
          <w:bCs/>
          <w:color w:val="000000"/>
          <w:sz w:val="32"/>
          <w:szCs w:val="32"/>
        </w:rPr>
        <w:t>决算数等于预算数</w:t>
      </w:r>
      <w:r>
        <w:rPr>
          <w:rFonts w:hint="eastAsia" w:ascii="仿宋_GB2312" w:eastAsia="仿宋_GB2312"/>
          <w:bCs/>
          <w:color w:val="000000"/>
          <w:sz w:val="32"/>
          <w:szCs w:val="32"/>
          <w:lang w:eastAsia="zh-CN"/>
        </w:rPr>
        <w:t>。</w:t>
      </w: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六、</w:t>
      </w:r>
      <w:r>
        <w:rPr>
          <w:rFonts w:hint="eastAsia" w:ascii="黑体" w:hAnsi="黑体" w:eastAsia="黑体" w:cs="黑体"/>
          <w:color w:val="auto"/>
          <w:sz w:val="32"/>
          <w:szCs w:val="32"/>
          <w:highlight w:val="none"/>
        </w:rPr>
        <w:t>一般公共预算财政拨款基本支出决算情况说明</w:t>
      </w:r>
    </w:p>
    <w:p>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799.35</w:t>
      </w:r>
      <w:r>
        <w:rPr>
          <w:rFonts w:hint="eastAsia" w:ascii="仿宋" w:hAnsi="仿宋" w:eastAsia="仿宋"/>
          <w:color w:val="auto"/>
          <w:sz w:val="32"/>
          <w:szCs w:val="32"/>
          <w:highlight w:val="none"/>
        </w:rPr>
        <w:t>万元，其中：</w:t>
      </w:r>
    </w:p>
    <w:p>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747.96</w:t>
      </w:r>
      <w:r>
        <w:rPr>
          <w:rFonts w:hint="eastAsia" w:ascii="仿宋" w:hAnsi="仿宋" w:eastAsia="仿宋"/>
          <w:color w:val="auto"/>
          <w:sz w:val="32"/>
          <w:szCs w:val="32"/>
          <w:highlight w:val="none"/>
        </w:rPr>
        <w:t>万元，主要包括：基本工资、津贴补贴、奖金、绩效工资、机关事业单位基本养老保险缴费、职业年金缴费、</w:t>
      </w:r>
      <w:r>
        <w:rPr>
          <w:rFonts w:hint="eastAsia" w:ascii="仿宋" w:hAnsi="仿宋" w:eastAsia="仿宋"/>
          <w:color w:val="auto"/>
          <w:sz w:val="32"/>
          <w:szCs w:val="32"/>
          <w:highlight w:val="none"/>
          <w:lang w:val="en-US" w:eastAsia="zh-CN"/>
        </w:rPr>
        <w:t>职工基本医疗保险缴费、公务员医疗补助缴费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其他社会保障缴费、生活补助、医疗费补助、奖励金、住房公积金。</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51.39</w:t>
      </w:r>
      <w:r>
        <w:rPr>
          <w:rFonts w:hint="eastAsia" w:ascii="仿宋" w:hAnsi="仿宋" w:eastAsia="仿宋"/>
          <w:color w:val="auto"/>
          <w:sz w:val="32"/>
          <w:szCs w:val="32"/>
          <w:highlight w:val="none"/>
        </w:rPr>
        <w:t>万元，主要包括：办公费、印刷费、电费、邮电费、取暖费、物业管理费、差旅费、</w:t>
      </w:r>
      <w:r>
        <w:rPr>
          <w:rFonts w:hint="eastAsia" w:ascii="仿宋" w:hAnsi="仿宋" w:eastAsia="仿宋"/>
          <w:color w:val="auto"/>
          <w:sz w:val="32"/>
          <w:szCs w:val="32"/>
          <w:highlight w:val="none"/>
          <w:lang w:val="en-US" w:eastAsia="zh-CN"/>
        </w:rPr>
        <w:t>维修（护）费、</w:t>
      </w:r>
      <w:r>
        <w:rPr>
          <w:rFonts w:hint="eastAsia" w:ascii="仿宋" w:hAnsi="仿宋" w:eastAsia="仿宋"/>
          <w:color w:val="auto"/>
          <w:sz w:val="32"/>
          <w:szCs w:val="32"/>
          <w:highlight w:val="none"/>
        </w:rPr>
        <w:t>劳务费、公务用车运行维护费、其他交通费等。</w:t>
      </w:r>
    </w:p>
    <w:p>
      <w:pPr>
        <w:widowControl w:val="0"/>
        <w:numPr>
          <w:ilvl w:val="0"/>
          <w:numId w:val="0"/>
        </w:numPr>
        <w:jc w:val="both"/>
        <w:rPr>
          <w:rFonts w:hint="default" w:eastAsia="宋体"/>
          <w:lang w:val="en-US" w:eastAsia="zh-CN"/>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w:t>
      </w:r>
      <w:r>
        <w:rPr>
          <w:rFonts w:hint="eastAsia" w:ascii="仿宋" w:hAnsi="仿宋" w:eastAsia="仿宋"/>
          <w:b/>
          <w:color w:val="auto"/>
          <w:sz w:val="32"/>
          <w:szCs w:val="32"/>
          <w:highlight w:val="none"/>
        </w:rPr>
        <w:t>7表</w:t>
      </w:r>
      <w:r>
        <w:rPr>
          <w:rFonts w:hint="eastAsia" w:ascii="仿宋" w:hAnsi="仿宋" w:eastAsia="仿宋"/>
          <w:b/>
          <w:color w:val="auto"/>
          <w:sz w:val="32"/>
          <w:szCs w:val="32"/>
          <w:highlight w:val="none"/>
          <w:lang w:eastAsia="zh-CN"/>
        </w:rPr>
        <w:t>和财决</w:t>
      </w:r>
      <w:r>
        <w:rPr>
          <w:rFonts w:hint="eastAsia" w:ascii="仿宋" w:hAnsi="仿宋" w:eastAsia="仿宋"/>
          <w:b/>
          <w:color w:val="auto"/>
          <w:sz w:val="32"/>
          <w:szCs w:val="32"/>
          <w:highlight w:val="none"/>
          <w:lang w:val="en-US" w:eastAsia="zh-CN"/>
        </w:rPr>
        <w:t>08-1表</w:t>
      </w: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仅罗列</w:t>
      </w:r>
      <w:r>
        <w:rPr>
          <w:rFonts w:hint="eastAsia" w:ascii="仿宋" w:hAnsi="仿宋" w:eastAsia="仿宋"/>
          <w:b/>
          <w:color w:val="auto"/>
          <w:sz w:val="32"/>
          <w:szCs w:val="32"/>
          <w:highlight w:val="none"/>
        </w:rPr>
        <w:t>本部门实际支出</w:t>
      </w:r>
      <w:r>
        <w:rPr>
          <w:rFonts w:hint="eastAsia" w:ascii="仿宋" w:hAnsi="仿宋" w:eastAsia="仿宋"/>
          <w:b/>
          <w:color w:val="auto"/>
          <w:sz w:val="32"/>
          <w:szCs w:val="32"/>
          <w:highlight w:val="none"/>
          <w:lang w:eastAsia="zh-CN"/>
        </w:rPr>
        <w:t>涉及的</w:t>
      </w:r>
      <w:r>
        <w:rPr>
          <w:rFonts w:hint="eastAsia" w:ascii="仿宋" w:hAnsi="仿宋" w:eastAsia="仿宋"/>
          <w:b/>
          <w:color w:val="auto"/>
          <w:sz w:val="32"/>
          <w:szCs w:val="32"/>
          <w:highlight w:val="none"/>
        </w:rPr>
        <w:t>经济分类科目。）</w:t>
      </w: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七、</w:t>
      </w:r>
      <w:r>
        <w:rPr>
          <w:rFonts w:hint="eastAsia" w:ascii="黑体" w:hAnsi="黑体" w:eastAsia="黑体" w:cs="黑体"/>
          <w:color w:val="auto"/>
          <w:sz w:val="32"/>
          <w:szCs w:val="32"/>
          <w:highlight w:val="none"/>
        </w:rPr>
        <w:t>财政拨款</w:t>
      </w:r>
      <w:r>
        <w:rPr>
          <w:rFonts w:hint="eastAsia" w:ascii="黑体" w:hAnsi="黑体" w:eastAsia="黑体" w:cs="黑体"/>
          <w:color w:val="auto"/>
          <w:sz w:val="32"/>
          <w:szCs w:val="32"/>
          <w:highlight w:val="none"/>
          <w:lang w:eastAsia="zh-CN"/>
        </w:rPr>
        <w:t>“</w:t>
      </w:r>
      <w:r>
        <w:rPr>
          <w:rFonts w:hint="eastAsia" w:ascii="黑体" w:hAnsi="黑体" w:eastAsia="黑体" w:cs="黑体"/>
          <w:color w:val="auto"/>
          <w:sz w:val="32"/>
          <w:szCs w:val="32"/>
          <w:highlight w:val="none"/>
        </w:rPr>
        <w:t>三公”经费支出决算情况说明</w:t>
      </w:r>
    </w:p>
    <w:p>
      <w:pPr>
        <w:spacing w:line="600" w:lineRule="exact"/>
        <w:ind w:firstLine="640"/>
        <w:outlineLvl w:val="9"/>
        <w:rPr>
          <w:rFonts w:ascii="仿宋" w:hAnsi="仿宋" w:eastAsia="仿宋"/>
          <w:b/>
          <w:color w:val="auto"/>
          <w:sz w:val="32"/>
          <w:szCs w:val="32"/>
          <w:highlight w:val="none"/>
        </w:rPr>
      </w:pPr>
      <w:r>
        <w:rPr>
          <w:rFonts w:hint="eastAsia" w:ascii="仿宋" w:hAnsi="仿宋" w:eastAsia="仿宋"/>
          <w:b/>
          <w:color w:val="auto"/>
          <w:sz w:val="32"/>
          <w:szCs w:val="32"/>
          <w:highlight w:val="none"/>
        </w:rPr>
        <w:t>（一）“三公”经费财政拨款支出决算总体情况说明</w:t>
      </w:r>
    </w:p>
    <w:p>
      <w:pPr>
        <w:spacing w:line="600" w:lineRule="exact"/>
        <w:ind w:firstLine="640" w:firstLineChars="200"/>
        <w:outlineLvl w:val="9"/>
        <w:rPr>
          <w:rFonts w:hint="default" w:ascii="仿宋" w:hAnsi="仿宋" w:eastAsia="仿宋"/>
          <w:color w:val="auto"/>
          <w:sz w:val="32"/>
          <w:szCs w:val="32"/>
          <w:highlight w:val="none"/>
          <w:lang w:val="en-US"/>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6.53</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较上年度</w:t>
      </w:r>
      <w:r>
        <w:rPr>
          <w:rFonts w:hint="eastAsia" w:ascii="仿宋" w:hAnsi="仿宋" w:eastAsia="仿宋"/>
          <w:color w:val="auto"/>
          <w:sz w:val="32"/>
          <w:szCs w:val="32"/>
          <w:highlight w:val="none"/>
          <w:lang w:val="en-US" w:eastAsia="zh-CN"/>
        </w:rPr>
        <w:t>增加0万元，增长0%。</w:t>
      </w:r>
      <w:r>
        <w:rPr>
          <w:rFonts w:hint="eastAsia" w:ascii="仿宋" w:hAnsi="仿宋" w:eastAsia="仿宋"/>
          <w:color w:val="auto"/>
          <w:sz w:val="32"/>
          <w:szCs w:val="32"/>
          <w:highlight w:val="none"/>
        </w:rPr>
        <w:t>决算数</w:t>
      </w:r>
      <w:r>
        <w:rPr>
          <w:rFonts w:hint="eastAsia" w:ascii="仿宋" w:hAnsi="仿宋" w:eastAsia="仿宋"/>
          <w:color w:val="auto"/>
          <w:sz w:val="32"/>
          <w:szCs w:val="32"/>
          <w:highlight w:val="none"/>
          <w:lang w:val="en-US" w:eastAsia="zh-CN"/>
        </w:rPr>
        <w:t>小于</w:t>
      </w:r>
      <w:r>
        <w:rPr>
          <w:rFonts w:hint="eastAsia" w:ascii="仿宋" w:hAnsi="仿宋" w:eastAsia="仿宋"/>
          <w:color w:val="auto"/>
          <w:sz w:val="32"/>
          <w:szCs w:val="32"/>
          <w:highlight w:val="none"/>
        </w:rPr>
        <w:t>预算数</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主要原因是</w:t>
      </w:r>
      <w:r>
        <w:rPr>
          <w:rFonts w:hint="eastAsia" w:ascii="仿宋" w:hAnsi="仿宋" w:eastAsia="仿宋"/>
          <w:color w:val="auto"/>
          <w:sz w:val="32"/>
          <w:szCs w:val="32"/>
          <w:highlight w:val="none"/>
          <w:lang w:val="en-US" w:eastAsia="zh-CN"/>
        </w:rPr>
        <w:t>本年度严格落实厉行节约原则，相关支出相应减少，</w:t>
      </w:r>
      <w:r>
        <w:rPr>
          <w:rFonts w:hint="eastAsia" w:ascii="仿宋" w:hAnsi="仿宋" w:eastAsia="仿宋"/>
          <w:color w:val="auto"/>
          <w:sz w:val="32"/>
          <w:szCs w:val="32"/>
          <w:highlight w:val="none"/>
        </w:rPr>
        <w:t>决算数</w:t>
      </w:r>
      <w:r>
        <w:rPr>
          <w:rFonts w:hint="eastAsia" w:ascii="仿宋" w:hAnsi="仿宋" w:eastAsia="仿宋"/>
          <w:color w:val="auto"/>
          <w:sz w:val="32"/>
          <w:szCs w:val="32"/>
          <w:highlight w:val="none"/>
          <w:lang w:val="en-US" w:eastAsia="zh-CN"/>
        </w:rPr>
        <w:t>小于预算数。</w:t>
      </w:r>
    </w:p>
    <w:p>
      <w:pPr>
        <w:spacing w:line="600" w:lineRule="exact"/>
        <w:ind w:firstLine="640"/>
        <w:outlineLvl w:val="9"/>
        <w:rPr>
          <w:rFonts w:hint="eastAsia" w:ascii="仿宋" w:hAnsi="仿宋" w:eastAsia="仿宋"/>
          <w:b/>
          <w:color w:val="auto"/>
          <w:sz w:val="32"/>
          <w:szCs w:val="32"/>
          <w:highlight w:val="none"/>
        </w:rPr>
      </w:pPr>
      <w:r>
        <w:rPr>
          <w:rFonts w:hint="eastAsia" w:ascii="仿宋" w:hAnsi="仿宋" w:eastAsia="仿宋"/>
          <w:b/>
          <w:color w:val="auto"/>
          <w:sz w:val="32"/>
          <w:szCs w:val="32"/>
          <w:highlight w:val="none"/>
        </w:rPr>
        <w:t>（注：上述“预算”口径为</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数，包括</w:t>
      </w:r>
      <w:r>
        <w:rPr>
          <w:rFonts w:hint="eastAsia" w:ascii="仿宋" w:hAnsi="仿宋" w:eastAsia="仿宋"/>
          <w:b/>
          <w:color w:val="auto"/>
          <w:sz w:val="32"/>
          <w:szCs w:val="32"/>
          <w:highlight w:val="none"/>
          <w:lang w:eastAsia="zh-CN"/>
        </w:rPr>
        <w:t>一般公共预算和</w:t>
      </w:r>
      <w:r>
        <w:rPr>
          <w:rFonts w:hint="eastAsia" w:ascii="仿宋" w:hAnsi="仿宋" w:eastAsia="仿宋"/>
          <w:b/>
          <w:color w:val="auto"/>
          <w:sz w:val="32"/>
          <w:szCs w:val="32"/>
          <w:highlight w:val="none"/>
        </w:rPr>
        <w:t>政府性基金</w:t>
      </w:r>
      <w:r>
        <w:rPr>
          <w:rFonts w:hint="eastAsia" w:ascii="仿宋" w:hAnsi="仿宋" w:eastAsia="仿宋"/>
          <w:b/>
          <w:color w:val="auto"/>
          <w:sz w:val="32"/>
          <w:szCs w:val="32"/>
          <w:highlight w:val="none"/>
          <w:lang w:eastAsia="zh-CN"/>
        </w:rPr>
        <w:t>预算财政拨款</w:t>
      </w:r>
      <w:r>
        <w:rPr>
          <w:rFonts w:hint="eastAsia" w:ascii="仿宋" w:hAnsi="仿宋" w:eastAsia="仿宋"/>
          <w:b/>
          <w:color w:val="auto"/>
          <w:sz w:val="32"/>
          <w:szCs w:val="32"/>
          <w:highlight w:val="none"/>
        </w:rPr>
        <w:t>支出决算情况。）</w:t>
      </w:r>
    </w:p>
    <w:p>
      <w:pPr>
        <w:spacing w:line="600" w:lineRule="exact"/>
        <w:ind w:firstLine="640"/>
        <w:outlineLvl w:val="9"/>
        <w:rPr>
          <w:rFonts w:ascii="仿宋" w:hAnsi="仿宋" w:eastAsia="仿宋"/>
          <w:b/>
          <w:color w:val="FF0000"/>
          <w:sz w:val="32"/>
          <w:szCs w:val="32"/>
          <w:highlight w:val="none"/>
        </w:rPr>
      </w:pPr>
      <w:r>
        <w:rPr>
          <w:rFonts w:hint="eastAsia" w:ascii="仿宋" w:hAnsi="仿宋" w:eastAsia="仿宋"/>
          <w:b/>
          <w:color w:val="000000" w:themeColor="text1"/>
          <w:sz w:val="32"/>
          <w:szCs w:val="32"/>
          <w:highlight w:val="none"/>
          <w14:textFill>
            <w14:solidFill>
              <w14:schemeClr w14:val="tx1"/>
            </w14:solidFill>
          </w14:textFill>
        </w:rPr>
        <w:t>（二）“三公”经费财政拨款支出决算具体情况说明</w:t>
      </w:r>
    </w:p>
    <w:p>
      <w:pPr>
        <w:spacing w:line="600" w:lineRule="exact"/>
        <w:ind w:firstLine="640"/>
        <w:outlineLvl w:val="9"/>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6.53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pPr>
        <w:spacing w:line="600" w:lineRule="exact"/>
        <w:ind w:firstLine="640"/>
        <w:outlineLvl w:val="9"/>
        <w:rPr>
          <w:rFonts w:hint="eastAsia" w:ascii="仿宋" w:hAnsi="仿宋" w:eastAsia="仿宋"/>
          <w:color w:val="auto"/>
          <w:sz w:val="32"/>
          <w:szCs w:val="32"/>
          <w:highlight w:val="none"/>
        </w:rPr>
      </w:pPr>
      <w:r>
        <w:drawing>
          <wp:anchor distT="0" distB="0" distL="114300" distR="114300" simplePos="0" relativeHeight="251659264" behindDoc="0" locked="0" layoutInCell="1" allowOverlap="1">
            <wp:simplePos x="0" y="0"/>
            <wp:positionH relativeFrom="column">
              <wp:posOffset>658495</wp:posOffset>
            </wp:positionH>
            <wp:positionV relativeFrom="paragraph">
              <wp:posOffset>204470</wp:posOffset>
            </wp:positionV>
            <wp:extent cx="4143375" cy="2427605"/>
            <wp:effectExtent l="4445" t="4445" r="5080" b="63500"/>
            <wp:wrapNone/>
            <wp:docPr id="8" name="图表 1"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pPr>
        <w:spacing w:line="600" w:lineRule="exact"/>
        <w:outlineLvl w:val="9"/>
        <w:rPr>
          <w:rFonts w:hint="eastAsia" w:ascii="仿宋" w:hAnsi="仿宋" w:eastAsia="仿宋"/>
          <w:color w:val="auto"/>
          <w:sz w:val="32"/>
          <w:szCs w:val="32"/>
          <w:highlight w:val="none"/>
        </w:rPr>
      </w:pPr>
    </w:p>
    <w:p>
      <w:pPr>
        <w:spacing w:line="600" w:lineRule="exact"/>
        <w:ind w:firstLine="640"/>
        <w:outlineLvl w:val="9"/>
      </w:pPr>
    </w:p>
    <w:p>
      <w:pPr>
        <w:spacing w:line="600" w:lineRule="exact"/>
        <w:ind w:firstLine="640"/>
        <w:outlineLvl w:val="9"/>
      </w:pPr>
    </w:p>
    <w:p>
      <w:pPr>
        <w:spacing w:line="600" w:lineRule="exact"/>
        <w:ind w:firstLine="640"/>
        <w:outlineLvl w:val="9"/>
      </w:pPr>
    </w:p>
    <w:p>
      <w:pPr>
        <w:spacing w:line="600" w:lineRule="exact"/>
        <w:ind w:firstLine="640"/>
        <w:outlineLvl w:val="9"/>
      </w:pPr>
    </w:p>
    <w:p>
      <w:pPr>
        <w:spacing w:line="600" w:lineRule="exact"/>
        <w:ind w:firstLine="640"/>
        <w:outlineLvl w:val="9"/>
      </w:pPr>
    </w:p>
    <w:p>
      <w:pPr>
        <w:spacing w:line="600" w:lineRule="exact"/>
        <w:ind w:firstLine="640"/>
        <w:outlineLvl w:val="9"/>
        <w:rPr>
          <w:rFonts w:hint="eastAsia" w:ascii="仿宋" w:hAnsi="仿宋" w:eastAsia="仿宋"/>
          <w:color w:val="auto"/>
          <w:sz w:val="32"/>
          <w:szCs w:val="32"/>
          <w:highlight w:val="none"/>
        </w:rPr>
      </w:pPr>
    </w:p>
    <w:p>
      <w:pPr>
        <w:spacing w:line="600" w:lineRule="exact"/>
        <w:ind w:firstLine="640" w:firstLineChars="200"/>
        <w:rPr>
          <w:rFonts w:ascii="仿宋_GB2312" w:eastAsia="仿宋_GB2312"/>
          <w:b/>
          <w:color w:val="auto"/>
          <w:sz w:val="32"/>
          <w:szCs w:val="32"/>
          <w:highlight w:val="none"/>
        </w:rPr>
      </w:pPr>
      <w:r>
        <w:rPr>
          <w:rFonts w:hint="eastAsia" w:ascii="仿宋" w:hAnsi="仿宋" w:eastAsia="仿宋"/>
          <w:color w:val="auto"/>
          <w:sz w:val="32"/>
          <w:szCs w:val="32"/>
          <w:highlight w:val="none"/>
        </w:rPr>
        <w:t>（图7：“三公”经费财政拨款支出结构）（饼状图）</w:t>
      </w:r>
    </w:p>
    <w:p>
      <w:pPr>
        <w:keepNext w:val="0"/>
        <w:keepLines w:val="0"/>
        <w:pageBreakBefore w:val="0"/>
        <w:widowControl w:val="0"/>
        <w:kinsoku/>
        <w:wordWrap/>
        <w:overflowPunct/>
        <w:topLinePunct w:val="0"/>
        <w:bidi w:val="0"/>
        <w:spacing w:line="560" w:lineRule="exact"/>
        <w:ind w:firstLine="640"/>
        <w:textAlignment w:val="auto"/>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20"/>
          <w:rFonts w:hint="eastAsia" w:ascii="仿宋" w:hAnsi="仿宋" w:eastAsia="仿宋"/>
          <w:b w:val="0"/>
          <w:bCs/>
          <w:color w:val="auto"/>
          <w:sz w:val="32"/>
          <w:szCs w:val="32"/>
          <w:highlight w:val="none"/>
        </w:rPr>
        <w:t>完成预算</w:t>
      </w:r>
      <w:r>
        <w:rPr>
          <w:rStyle w:val="20"/>
          <w:rFonts w:hint="eastAsia" w:ascii="仿宋" w:hAnsi="仿宋" w:eastAsia="仿宋"/>
          <w:b w:val="0"/>
          <w:bCs/>
          <w:color w:val="auto"/>
          <w:sz w:val="32"/>
          <w:szCs w:val="32"/>
          <w:highlight w:val="none"/>
          <w:lang w:val="en-US" w:eastAsia="zh-CN"/>
        </w:rPr>
        <w:t>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本单位无</w:t>
      </w:r>
      <w:r>
        <w:rPr>
          <w:rFonts w:hint="eastAsia" w:ascii="仿宋_GB2312" w:eastAsia="仿宋_GB2312" w:cs="Times New Roman"/>
          <w:color w:val="auto"/>
          <w:sz w:val="32"/>
          <w:szCs w:val="32"/>
          <w:highlight w:val="none"/>
          <w:lang w:eastAsia="zh-CN"/>
        </w:rPr>
        <w:t>因公出国（境）经费支出</w:t>
      </w:r>
      <w:r>
        <w:rPr>
          <w:rFonts w:hint="eastAsia" w:ascii="仿宋_GB2312" w:eastAsia="仿宋_GB2312"/>
          <w:color w:val="auto"/>
          <w:sz w:val="32"/>
          <w:szCs w:val="32"/>
          <w:highlight w:val="none"/>
        </w:rPr>
        <w:t>。</w:t>
      </w:r>
    </w:p>
    <w:p>
      <w:pPr>
        <w:keepNext w:val="0"/>
        <w:keepLines w:val="0"/>
        <w:pageBreakBefore w:val="0"/>
        <w:widowControl w:val="0"/>
        <w:kinsoku/>
        <w:wordWrap/>
        <w:overflowPunct/>
        <w:topLinePunct w:val="0"/>
        <w:bidi w:val="0"/>
        <w:spacing w:line="560" w:lineRule="exact"/>
        <w:ind w:firstLine="642" w:firstLineChars="200"/>
        <w:textAlignment w:val="auto"/>
        <w:outlineLvl w:val="9"/>
        <w:rPr>
          <w:rFonts w:hint="default" w:ascii="仿宋" w:hAnsi="仿宋" w:eastAsia="仿宋"/>
          <w:color w:val="auto"/>
          <w:sz w:val="32"/>
          <w:szCs w:val="32"/>
          <w:highlight w:val="none"/>
          <w:lang w:val="en-US"/>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6.53</w:t>
      </w:r>
      <w:r>
        <w:rPr>
          <w:rFonts w:hint="eastAsia" w:ascii="仿宋_GB2312" w:eastAsia="仿宋_GB2312"/>
          <w:color w:val="auto"/>
          <w:sz w:val="32"/>
          <w:szCs w:val="32"/>
          <w:highlight w:val="none"/>
        </w:rPr>
        <w:t>万元,</w:t>
      </w:r>
      <w:r>
        <w:rPr>
          <w:rStyle w:val="20"/>
          <w:rFonts w:hint="eastAsia" w:ascii="仿宋" w:hAnsi="仿宋" w:eastAsia="仿宋"/>
          <w:b w:val="0"/>
          <w:bCs/>
          <w:color w:val="auto"/>
          <w:sz w:val="32"/>
          <w:szCs w:val="32"/>
          <w:highlight w:val="none"/>
        </w:rPr>
        <w:t>完成预算</w:t>
      </w:r>
      <w:r>
        <w:rPr>
          <w:rStyle w:val="20"/>
          <w:rFonts w:hint="eastAsia" w:ascii="仿宋" w:hAnsi="仿宋" w:eastAsia="仿宋"/>
          <w:b w:val="0"/>
          <w:bCs/>
          <w:color w:val="auto"/>
          <w:sz w:val="32"/>
          <w:szCs w:val="32"/>
          <w:highlight w:val="none"/>
          <w:lang w:val="en-US" w:eastAsia="zh-CN"/>
        </w:rPr>
        <w:t>83.83</w:t>
      </w:r>
      <w:r>
        <w:rPr>
          <w:rStyle w:val="20"/>
          <w:rFonts w:ascii="仿宋" w:hAnsi="仿宋" w:eastAsia="仿宋"/>
          <w:b w:val="0"/>
          <w:bCs/>
          <w:color w:val="auto"/>
          <w:sz w:val="32"/>
          <w:szCs w:val="32"/>
          <w:highlight w:val="none"/>
        </w:rPr>
        <w:t>%</w:t>
      </w:r>
      <w:r>
        <w:rPr>
          <w:rFonts w:hint="eastAsia" w:ascii="仿宋" w:hAnsi="仿宋" w:eastAsia="仿宋"/>
          <w:color w:val="auto"/>
          <w:sz w:val="32"/>
          <w:szCs w:val="32"/>
          <w:highlight w:val="none"/>
        </w:rPr>
        <w:t>，</w:t>
      </w:r>
      <w:r>
        <w:rPr>
          <w:rFonts w:hint="eastAsia" w:ascii="仿宋_GB2312" w:eastAsia="仿宋_GB2312"/>
          <w:color w:val="auto"/>
          <w:sz w:val="32"/>
          <w:szCs w:val="32"/>
          <w:highlight w:val="none"/>
        </w:rPr>
        <w:t>公务用车购置及运行维护费支出决算比</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lang w:val="en-US" w:eastAsia="zh-CN"/>
        </w:rPr>
        <w:t>增加0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val="en-US" w:eastAsia="zh-CN"/>
        </w:rPr>
        <w:t>增长0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r>
        <w:rPr>
          <w:rFonts w:hint="eastAsia" w:ascii="仿宋" w:hAnsi="仿宋" w:eastAsia="仿宋"/>
          <w:color w:val="auto"/>
          <w:sz w:val="32"/>
          <w:szCs w:val="32"/>
          <w:highlight w:val="none"/>
        </w:rPr>
        <w:t>主要原因是</w:t>
      </w:r>
      <w:r>
        <w:rPr>
          <w:rFonts w:hint="eastAsia" w:ascii="仿宋" w:hAnsi="仿宋" w:eastAsia="仿宋"/>
          <w:color w:val="auto"/>
          <w:sz w:val="32"/>
          <w:szCs w:val="32"/>
          <w:highlight w:val="none"/>
          <w:lang w:val="en-US" w:eastAsia="zh-CN"/>
        </w:rPr>
        <w:t>本年度严格落实厉行节约原则，相关支出相应减少。</w:t>
      </w:r>
    </w:p>
    <w:p>
      <w:pPr>
        <w:keepNext w:val="0"/>
        <w:keepLines w:val="0"/>
        <w:pageBreakBefore w:val="0"/>
        <w:widowControl w:val="0"/>
        <w:kinsoku/>
        <w:wordWrap/>
        <w:overflowPunct/>
        <w:topLinePunct w:val="0"/>
        <w:bidi w:val="0"/>
        <w:spacing w:line="560" w:lineRule="exact"/>
        <w:ind w:firstLine="640" w:firstLineChars="200"/>
        <w:textAlignment w:val="auto"/>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pPr>
        <w:keepNext w:val="0"/>
        <w:keepLines w:val="0"/>
        <w:pageBreakBefore w:val="0"/>
        <w:widowControl w:val="0"/>
        <w:kinsoku/>
        <w:wordWrap/>
        <w:overflowPunct/>
        <w:topLinePunct w:val="0"/>
        <w:bidi w:val="0"/>
        <w:spacing w:line="560" w:lineRule="exact"/>
        <w:ind w:firstLine="642" w:firstLineChars="200"/>
        <w:textAlignment w:val="auto"/>
        <w:rPr>
          <w:rFonts w:ascii="仿宋_GB2312" w:eastAsia="仿宋_GB2312"/>
          <w:color w:val="auto"/>
          <w:sz w:val="32"/>
          <w:szCs w:val="32"/>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6.53</w:t>
      </w:r>
      <w:r>
        <w:rPr>
          <w:rFonts w:hint="eastAsia" w:ascii="仿宋_GB2312" w:eastAsia="仿宋_GB2312"/>
          <w:color w:val="auto"/>
          <w:sz w:val="32"/>
          <w:szCs w:val="32"/>
          <w:highlight w:val="none"/>
        </w:rPr>
        <w:t>万元。</w:t>
      </w:r>
      <w:r>
        <w:rPr>
          <w:rFonts w:hint="eastAsia" w:ascii="仿宋_GB2312" w:eastAsia="仿宋_GB2312"/>
          <w:color w:val="auto"/>
          <w:sz w:val="32"/>
          <w:szCs w:val="32"/>
        </w:rPr>
        <w:t>主要用于公务</w:t>
      </w:r>
      <w:r>
        <w:rPr>
          <w:rFonts w:ascii="仿宋_GB2312" w:eastAsia="仿宋_GB2312"/>
          <w:color w:val="auto"/>
          <w:sz w:val="32"/>
          <w:szCs w:val="32"/>
        </w:rPr>
        <w:t>出差、外出培训</w:t>
      </w:r>
      <w:r>
        <w:rPr>
          <w:rFonts w:hint="eastAsia" w:ascii="仿宋_GB2312" w:eastAsia="仿宋_GB2312"/>
          <w:color w:val="auto"/>
          <w:sz w:val="32"/>
          <w:szCs w:val="32"/>
        </w:rPr>
        <w:t>等所需的公务用车燃料费、维修</w:t>
      </w:r>
      <w:r>
        <w:rPr>
          <w:rFonts w:hint="eastAsia" w:ascii="仿宋_GB2312" w:eastAsia="仿宋_GB2312"/>
          <w:color w:val="auto"/>
          <w:sz w:val="32"/>
          <w:szCs w:val="32"/>
          <w:lang w:val="en-US" w:eastAsia="zh-CN"/>
        </w:rPr>
        <w:t>保养</w:t>
      </w:r>
      <w:r>
        <w:rPr>
          <w:rFonts w:hint="eastAsia" w:ascii="仿宋_GB2312" w:eastAsia="仿宋_GB2312"/>
          <w:color w:val="auto"/>
          <w:sz w:val="32"/>
          <w:szCs w:val="32"/>
        </w:rPr>
        <w:t>费、过路过桥费、</w:t>
      </w:r>
      <w:r>
        <w:rPr>
          <w:rFonts w:hint="eastAsia" w:ascii="仿宋_GB2312" w:eastAsia="仿宋_GB2312"/>
          <w:color w:val="auto"/>
          <w:sz w:val="32"/>
          <w:szCs w:val="32"/>
          <w:lang w:val="en-US" w:eastAsia="zh-CN"/>
        </w:rPr>
        <w:t>洗车费停车费、</w:t>
      </w:r>
      <w:r>
        <w:rPr>
          <w:rFonts w:hint="eastAsia" w:ascii="仿宋_GB2312" w:eastAsia="仿宋_GB2312"/>
          <w:color w:val="auto"/>
          <w:sz w:val="32"/>
          <w:szCs w:val="32"/>
        </w:rPr>
        <w:t>保险费等支出。</w:t>
      </w:r>
    </w:p>
    <w:p>
      <w:pPr>
        <w:keepNext w:val="0"/>
        <w:keepLines w:val="0"/>
        <w:pageBreakBefore w:val="0"/>
        <w:widowControl w:val="0"/>
        <w:kinsoku/>
        <w:wordWrap/>
        <w:overflowPunct/>
        <w:topLinePunct w:val="0"/>
        <w:bidi w:val="0"/>
        <w:spacing w:line="560" w:lineRule="exact"/>
        <w:ind w:firstLine="640"/>
        <w:textAlignment w:val="auto"/>
        <w:rPr>
          <w:rFonts w:ascii="仿宋_GB2312" w:eastAsia="仿宋_GB2312"/>
          <w:color w:val="auto"/>
          <w:sz w:val="32"/>
          <w:szCs w:val="32"/>
          <w:highlight w:val="none"/>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万元。主要原因是</w:t>
      </w:r>
      <w:r>
        <w:rPr>
          <w:rFonts w:hint="eastAsia" w:ascii="仿宋_GB2312" w:eastAsia="仿宋_GB2312"/>
          <w:color w:val="auto"/>
          <w:sz w:val="32"/>
          <w:szCs w:val="32"/>
          <w:highlight w:val="none"/>
          <w:lang w:val="en-US" w:eastAsia="zh-CN"/>
        </w:rPr>
        <w:t>本单位无公务接待费支出</w:t>
      </w:r>
      <w:r>
        <w:rPr>
          <w:rFonts w:hint="eastAsia" w:ascii="仿宋_GB2312" w:eastAsia="仿宋_GB2312"/>
          <w:color w:val="auto"/>
          <w:sz w:val="32"/>
          <w:szCs w:val="32"/>
          <w:highlight w:val="none"/>
        </w:rPr>
        <w:t>。其中：</w:t>
      </w:r>
    </w:p>
    <w:p>
      <w:pPr>
        <w:keepNext w:val="0"/>
        <w:keepLines w:val="0"/>
        <w:pageBreakBefore w:val="0"/>
        <w:widowControl w:val="0"/>
        <w:kinsoku/>
        <w:wordWrap/>
        <w:overflowPunct/>
        <w:topLinePunct w:val="0"/>
        <w:bidi w:val="0"/>
        <w:spacing w:line="560" w:lineRule="exact"/>
        <w:ind w:firstLine="640"/>
        <w:textAlignment w:val="auto"/>
        <w:rPr>
          <w:rFonts w:hint="eastAsia" w:ascii="仿宋_GB2312" w:eastAsia="仿宋_GB2312"/>
          <w:color w:val="auto"/>
          <w:sz w:val="32"/>
          <w:szCs w:val="32"/>
          <w:highlight w:val="none"/>
          <w:lang w:eastAsia="zh-CN"/>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国内公务接待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人次，共计支出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p>
    <w:p>
      <w:pPr>
        <w:keepNext w:val="0"/>
        <w:keepLines w:val="0"/>
        <w:pageBreakBefore w:val="0"/>
        <w:widowControl w:val="0"/>
        <w:kinsoku/>
        <w:wordWrap/>
        <w:overflowPunct/>
        <w:topLinePunct w:val="0"/>
        <w:bidi w:val="0"/>
        <w:spacing w:line="560" w:lineRule="exact"/>
        <w:ind w:firstLine="642" w:firstLineChars="200"/>
        <w:textAlignment w:val="auto"/>
        <w:rPr>
          <w:rFonts w:ascii="黑体" w:eastAsia="黑体"/>
          <w:color w:val="auto"/>
          <w:sz w:val="32"/>
          <w:szCs w:val="32"/>
          <w:highlight w:val="none"/>
        </w:rPr>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外事接待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w:t>
      </w:r>
      <w:r>
        <w:rPr>
          <w:rFonts w:hint="eastAsia" w:ascii="仿宋_GB2312" w:eastAsia="仿宋_GB2312"/>
          <w:color w:val="auto"/>
          <w:sz w:val="32"/>
          <w:szCs w:val="32"/>
          <w:highlight w:val="none"/>
          <w:lang w:eastAsia="zh-CN"/>
        </w:rPr>
        <w:t>次</w:t>
      </w:r>
      <w:r>
        <w:rPr>
          <w:rFonts w:hint="eastAsia" w:ascii="仿宋_GB2312" w:eastAsia="仿宋_GB2312"/>
          <w:color w:val="auto"/>
          <w:sz w:val="32"/>
          <w:szCs w:val="32"/>
          <w:highlight w:val="none"/>
        </w:rPr>
        <w:t>，共计支出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八、</w:t>
      </w:r>
      <w:r>
        <w:rPr>
          <w:rFonts w:hint="eastAsia" w:ascii="黑体" w:hAnsi="黑体" w:eastAsia="黑体" w:cs="黑体"/>
          <w:color w:val="auto"/>
          <w:sz w:val="32"/>
          <w:szCs w:val="32"/>
          <w:highlight w:val="none"/>
        </w:rPr>
        <w:t>政府性基金预算支出决算情况说明</w:t>
      </w:r>
    </w:p>
    <w:p>
      <w:pPr>
        <w:keepNext w:val="0"/>
        <w:keepLines w:val="0"/>
        <w:pageBreakBefore w:val="0"/>
        <w:widowControl w:val="0"/>
        <w:kinsoku/>
        <w:wordWrap/>
        <w:overflowPunct/>
        <w:topLinePunct w:val="0"/>
        <w:bidi w:val="0"/>
        <w:spacing w:line="560" w:lineRule="exact"/>
        <w:ind w:firstLine="64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九、</w:t>
      </w:r>
      <w:r>
        <w:rPr>
          <w:rFonts w:hint="eastAsia" w:ascii="黑体" w:hAnsi="黑体" w:eastAsia="黑体" w:cs="黑体"/>
          <w:color w:val="auto"/>
          <w:sz w:val="32"/>
          <w:szCs w:val="32"/>
          <w:highlight w:val="none"/>
          <w:lang w:eastAsia="zh-CN"/>
        </w:rPr>
        <w:t>国</w:t>
      </w:r>
      <w:r>
        <w:rPr>
          <w:rFonts w:hint="eastAsia" w:ascii="黑体" w:hAnsi="黑体" w:eastAsia="黑体" w:cs="黑体"/>
          <w:color w:val="auto"/>
          <w:sz w:val="32"/>
          <w:szCs w:val="32"/>
          <w:highlight w:val="none"/>
        </w:rPr>
        <w:t>有资本经营预算支出决算情况说明</w:t>
      </w:r>
    </w:p>
    <w:p>
      <w:pPr>
        <w:keepNext w:val="0"/>
        <w:keepLines w:val="0"/>
        <w:pageBreakBefore w:val="0"/>
        <w:widowControl w:val="0"/>
        <w:kinsoku/>
        <w:wordWrap/>
        <w:overflowPunct/>
        <w:topLinePunct w:val="0"/>
        <w:bidi w:val="0"/>
        <w:spacing w:line="560" w:lineRule="exact"/>
        <w:ind w:firstLine="640"/>
        <w:textAlignment w:val="auto"/>
        <w:rPr>
          <w:rFonts w:ascii="方正小标宋简体" w:hAnsi="方正小标宋简体" w:eastAsia="方正小标宋简体" w:cs="方正小标宋简体"/>
          <w:color w:val="auto"/>
          <w:sz w:val="44"/>
          <w:szCs w:val="44"/>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left"/>
        <w:textAlignment w:val="auto"/>
        <w:rPr>
          <w:rFonts w:hint="eastAsia" w:ascii="黑体" w:hAnsi="黑体" w:eastAsia="黑体" w:cs="黑体"/>
          <w:color w:val="FF0000"/>
          <w:sz w:val="32"/>
          <w:szCs w:val="32"/>
          <w:highlight w:val="none"/>
        </w:rPr>
      </w:pPr>
      <w:r>
        <w:rPr>
          <w:rFonts w:hint="eastAsia" w:ascii="黑体" w:hAnsi="黑体" w:eastAsia="黑体" w:cs="黑体"/>
          <w:color w:val="auto"/>
          <w:sz w:val="32"/>
          <w:szCs w:val="32"/>
          <w:highlight w:val="none"/>
          <w:lang w:val="en-US" w:eastAsia="zh-CN"/>
        </w:rPr>
        <w:t>十、</w:t>
      </w:r>
      <w:r>
        <w:rPr>
          <w:rFonts w:hint="eastAsia" w:ascii="黑体" w:hAnsi="黑体" w:eastAsia="黑体" w:cs="黑体"/>
          <w:color w:val="auto"/>
          <w:sz w:val="32"/>
          <w:szCs w:val="32"/>
          <w:highlight w:val="none"/>
        </w:rPr>
        <w:t>其他重要事项的情况说明</w:t>
      </w:r>
    </w:p>
    <w:p>
      <w:pPr>
        <w:keepNext w:val="0"/>
        <w:keepLines w:val="0"/>
        <w:pageBreakBefore w:val="0"/>
        <w:widowControl w:val="0"/>
        <w:kinsoku/>
        <w:wordWrap/>
        <w:overflowPunct/>
        <w:topLinePunct w:val="0"/>
        <w:bidi w:val="0"/>
        <w:spacing w:line="560" w:lineRule="exact"/>
        <w:ind w:firstLine="321" w:firstLineChars="100"/>
        <w:textAlignment w:val="auto"/>
        <w:outlineLvl w:val="9"/>
        <w:rPr>
          <w:rFonts w:ascii="仿宋" w:hAnsi="仿宋" w:eastAsia="仿宋"/>
          <w:color w:val="auto"/>
          <w:sz w:val="32"/>
          <w:szCs w:val="32"/>
          <w:highlight w:val="none"/>
        </w:rPr>
      </w:pPr>
      <w:r>
        <w:rPr>
          <w:rFonts w:hint="eastAsia" w:ascii="仿宋" w:hAnsi="仿宋" w:eastAsia="仿宋"/>
          <w:b/>
          <w:color w:val="auto"/>
          <w:sz w:val="32"/>
          <w:szCs w:val="32"/>
          <w:highlight w:val="none"/>
        </w:rPr>
        <w:t>（一）机关运行经费支出情况</w:t>
      </w:r>
    </w:p>
    <w:p>
      <w:pPr>
        <w:keepNext w:val="0"/>
        <w:keepLines w:val="0"/>
        <w:pageBreakBefore w:val="0"/>
        <w:widowControl w:val="0"/>
        <w:kinsoku/>
        <w:wordWrap/>
        <w:overflowPunct/>
        <w:topLinePunct w:val="0"/>
        <w:bidi w:val="0"/>
        <w:spacing w:line="560" w:lineRule="exact"/>
        <w:ind w:firstLine="640" w:firstLineChars="200"/>
        <w:textAlignment w:val="auto"/>
        <w:outlineLvl w:val="9"/>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壤塘县应急管理局</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35.55</w:t>
      </w:r>
      <w:r>
        <w:rPr>
          <w:rFonts w:hint="eastAsia" w:ascii="仿宋_GB2312" w:eastAsia="仿宋_GB2312"/>
          <w:color w:val="auto"/>
          <w:sz w:val="32"/>
          <w:szCs w:val="32"/>
          <w:highlight w:val="none"/>
        </w:rPr>
        <w:t>万元，比</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lang w:val="en-US" w:eastAsia="zh-CN"/>
        </w:rPr>
        <w:t>增加8.13</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val="en-US" w:eastAsia="zh-CN"/>
        </w:rPr>
        <w:t>增长29.65</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本年度人员增加，机关运行经费增加</w:t>
      </w:r>
      <w:r>
        <w:rPr>
          <w:rFonts w:hint="eastAsia" w:ascii="仿宋_GB2312" w:eastAsia="仿宋_GB2312"/>
          <w:color w:val="auto"/>
          <w:sz w:val="32"/>
          <w:szCs w:val="32"/>
          <w:highlight w:val="none"/>
          <w:lang w:eastAsia="zh-CN"/>
        </w:rPr>
        <w:t>。</w:t>
      </w:r>
    </w:p>
    <w:p>
      <w:pPr>
        <w:keepNext w:val="0"/>
        <w:keepLines w:val="0"/>
        <w:pageBreakBefore w:val="0"/>
        <w:widowControl w:val="0"/>
        <w:kinsoku/>
        <w:wordWrap/>
        <w:overflowPunct/>
        <w:topLinePunct w:val="0"/>
        <w:bidi w:val="0"/>
        <w:spacing w:line="560" w:lineRule="exact"/>
        <w:ind w:firstLine="642" w:firstLineChars="200"/>
        <w:textAlignment w:val="auto"/>
        <w:outlineLvl w:val="9"/>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pPr>
        <w:keepNext w:val="0"/>
        <w:keepLines w:val="0"/>
        <w:pageBreakBefore w:val="0"/>
        <w:widowControl w:val="0"/>
        <w:kinsoku/>
        <w:wordWrap/>
        <w:overflowPunct/>
        <w:topLinePunct w:val="0"/>
        <w:autoSpaceDE w:val="0"/>
        <w:autoSpaceDN w:val="0"/>
        <w:bidi w:val="0"/>
        <w:adjustRightInd w:val="0"/>
        <w:spacing w:line="560" w:lineRule="exact"/>
        <w:ind w:firstLine="642" w:firstLineChars="200"/>
        <w:jc w:val="left"/>
        <w:textAlignment w:val="auto"/>
        <w:outlineLvl w:val="9"/>
        <w:rPr>
          <w:rFonts w:ascii="仿宋" w:hAnsi="仿宋" w:eastAsia="仿宋"/>
          <w:b/>
          <w:color w:val="auto"/>
          <w:sz w:val="32"/>
          <w:szCs w:val="32"/>
          <w:highlight w:val="none"/>
        </w:rPr>
      </w:pPr>
      <w:r>
        <w:rPr>
          <w:rFonts w:hint="eastAsia" w:ascii="仿宋" w:hAnsi="仿宋" w:eastAsia="仿宋"/>
          <w:b/>
          <w:color w:val="auto"/>
          <w:sz w:val="32"/>
          <w:szCs w:val="32"/>
          <w:highlight w:val="none"/>
        </w:rPr>
        <w:t>（二）政府采购支出情况</w:t>
      </w:r>
    </w:p>
    <w:p>
      <w:pPr>
        <w:keepNext w:val="0"/>
        <w:keepLines w:val="0"/>
        <w:pageBreakBefore w:val="0"/>
        <w:widowControl w:val="0"/>
        <w:kinsoku/>
        <w:wordWrap/>
        <w:overflowPunct/>
        <w:topLinePunct w:val="0"/>
        <w:bidi w:val="0"/>
        <w:spacing w:line="560" w:lineRule="exact"/>
        <w:ind w:firstLine="640" w:firstLineChars="200"/>
        <w:textAlignment w:val="auto"/>
        <w:outlineLvl w:val="9"/>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壤塘县应急管理局</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916.63</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916.63</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万元。授予中小企业合同金额</w:t>
      </w:r>
      <w:r>
        <w:rPr>
          <w:rFonts w:hint="eastAsia" w:ascii="仿宋_GB2312" w:eastAsia="仿宋_GB2312"/>
          <w:color w:val="auto"/>
          <w:sz w:val="32"/>
          <w:szCs w:val="32"/>
          <w:highlight w:val="none"/>
          <w:lang w:val="en-US" w:eastAsia="zh-CN"/>
        </w:rPr>
        <w:t>916.63</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100</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w:t>
      </w:r>
    </w:p>
    <w:p>
      <w:pPr>
        <w:keepNext w:val="0"/>
        <w:keepLines w:val="0"/>
        <w:pageBreakBefore w:val="0"/>
        <w:widowControl w:val="0"/>
        <w:kinsoku/>
        <w:wordWrap/>
        <w:overflowPunct/>
        <w:topLinePunct w:val="0"/>
        <w:bidi w:val="0"/>
        <w:spacing w:line="560" w:lineRule="exact"/>
        <w:ind w:firstLine="642" w:firstLineChars="200"/>
        <w:textAlignment w:val="auto"/>
        <w:outlineLvl w:val="9"/>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pPr>
        <w:keepNext w:val="0"/>
        <w:keepLines w:val="0"/>
        <w:pageBreakBefore w:val="0"/>
        <w:widowControl w:val="0"/>
        <w:kinsoku/>
        <w:wordWrap/>
        <w:overflowPunct/>
        <w:topLinePunct w:val="0"/>
        <w:autoSpaceDE w:val="0"/>
        <w:autoSpaceDN w:val="0"/>
        <w:bidi w:val="0"/>
        <w:adjustRightInd w:val="0"/>
        <w:spacing w:line="560" w:lineRule="exact"/>
        <w:ind w:firstLine="642" w:firstLineChars="200"/>
        <w:jc w:val="left"/>
        <w:textAlignment w:val="auto"/>
        <w:outlineLvl w:val="9"/>
        <w:rPr>
          <w:rFonts w:ascii="仿宋" w:hAnsi="仿宋" w:eastAsia="仿宋"/>
          <w:b/>
          <w:color w:val="auto"/>
          <w:sz w:val="32"/>
          <w:szCs w:val="32"/>
          <w:highlight w:val="none"/>
        </w:rPr>
      </w:pPr>
      <w:r>
        <w:rPr>
          <w:rFonts w:hint="eastAsia" w:ascii="仿宋" w:hAnsi="仿宋" w:eastAsia="仿宋"/>
          <w:b/>
          <w:color w:val="auto"/>
          <w:sz w:val="32"/>
          <w:szCs w:val="32"/>
          <w:highlight w:val="none"/>
        </w:rPr>
        <w:t>（三）国有资产占有使用情况</w:t>
      </w:r>
    </w:p>
    <w:p>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left"/>
        <w:textAlignment w:val="auto"/>
        <w:outlineLvl w:val="9"/>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壤塘县应急管理局</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万元以上设备</w:t>
      </w:r>
      <w:r>
        <w:rPr>
          <w:rFonts w:hint="eastAsia" w:ascii="仿宋_GB2312" w:eastAsia="仿宋_GB2312"/>
          <w:color w:val="auto"/>
          <w:sz w:val="32"/>
          <w:szCs w:val="32"/>
          <w:highlight w:val="none"/>
          <w:lang w:eastAsia="zh-CN"/>
        </w:rPr>
        <w:t>（不含车辆）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pPr>
        <w:keepNext w:val="0"/>
        <w:keepLines w:val="0"/>
        <w:pageBreakBefore w:val="0"/>
        <w:widowControl w:val="0"/>
        <w:kinsoku/>
        <w:wordWrap/>
        <w:overflowPunct/>
        <w:topLinePunct w:val="0"/>
        <w:autoSpaceDE w:val="0"/>
        <w:autoSpaceDN w:val="0"/>
        <w:bidi w:val="0"/>
        <w:adjustRightInd w:val="0"/>
        <w:spacing w:line="560" w:lineRule="exact"/>
        <w:ind w:firstLine="642" w:firstLineChars="200"/>
        <w:jc w:val="left"/>
        <w:textAlignment w:val="auto"/>
        <w:outlineLvl w:val="9"/>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w:t>
      </w:r>
      <w:r>
        <w:rPr>
          <w:rFonts w:hint="eastAsia" w:ascii="仿宋" w:hAnsi="仿宋" w:eastAsia="仿宋"/>
          <w:b/>
          <w:color w:val="auto"/>
          <w:sz w:val="32"/>
          <w:szCs w:val="32"/>
          <w:highlight w:val="none"/>
          <w:lang w:eastAsia="zh-CN"/>
        </w:rPr>
        <w:t>于</w:t>
      </w:r>
      <w:r>
        <w:rPr>
          <w:rFonts w:hint="eastAsia" w:ascii="仿宋" w:hAnsi="仿宋" w:eastAsia="仿宋"/>
          <w:b/>
          <w:color w:val="auto"/>
          <w:sz w:val="32"/>
          <w:szCs w:val="32"/>
          <w:highlight w:val="none"/>
        </w:rPr>
        <w:t>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表，按部门决算报表填报数据罗列车辆情况。）</w:t>
      </w:r>
    </w:p>
    <w:p>
      <w:pPr>
        <w:keepNext w:val="0"/>
        <w:keepLines w:val="0"/>
        <w:pageBreakBefore w:val="0"/>
        <w:widowControl w:val="0"/>
        <w:kinsoku/>
        <w:wordWrap/>
        <w:overflowPunct/>
        <w:topLinePunct w:val="0"/>
        <w:autoSpaceDE w:val="0"/>
        <w:autoSpaceDN w:val="0"/>
        <w:bidi w:val="0"/>
        <w:adjustRightInd w:val="0"/>
        <w:spacing w:line="560" w:lineRule="exact"/>
        <w:ind w:firstLine="642" w:firstLineChars="200"/>
        <w:jc w:val="left"/>
        <w:textAlignment w:val="auto"/>
        <w:outlineLvl w:val="9"/>
        <w:rPr>
          <w:rFonts w:ascii="仿宋" w:hAnsi="仿宋" w:eastAsia="仿宋"/>
          <w:b/>
          <w:color w:val="000000" w:themeColor="text1"/>
          <w:sz w:val="32"/>
          <w:szCs w:val="32"/>
          <w:highlight w:val="none"/>
          <w14:textFill>
            <w14:solidFill>
              <w14:schemeClr w14:val="tx1"/>
            </w14:solidFill>
          </w14:textFill>
        </w:rPr>
      </w:pPr>
      <w:r>
        <w:rPr>
          <w:rFonts w:hint="eastAsia" w:ascii="仿宋" w:hAnsi="仿宋" w:eastAsia="仿宋"/>
          <w:b/>
          <w:color w:val="000000" w:themeColor="text1"/>
          <w:sz w:val="32"/>
          <w:szCs w:val="32"/>
          <w:highlight w:val="none"/>
          <w14:textFill>
            <w14:solidFill>
              <w14:schemeClr w14:val="tx1"/>
            </w14:solidFill>
          </w14:textFill>
        </w:rPr>
        <w:t>（四）预算绩效管理情况</w:t>
      </w:r>
    </w:p>
    <w:p>
      <w:pPr>
        <w:keepNext w:val="0"/>
        <w:keepLines w:val="0"/>
        <w:pageBreakBefore w:val="0"/>
        <w:widowControl w:val="0"/>
        <w:kinsoku/>
        <w:wordWrap/>
        <w:overflowPunct/>
        <w:topLinePunct w:val="0"/>
        <w:bidi w:val="0"/>
        <w:spacing w:line="560" w:lineRule="exact"/>
        <w:ind w:firstLine="640" w:firstLineChars="200"/>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根据预算绩效管理要求，本部门在</w:t>
      </w:r>
      <w:r>
        <w:rPr>
          <w:rFonts w:hint="eastAsia" w:ascii="仿宋_GB2312" w:hAnsi="仿宋_GB2312" w:eastAsia="仿宋_GB2312" w:cs="仿宋_GB2312"/>
          <w:color w:val="auto"/>
          <w:sz w:val="32"/>
          <w:szCs w:val="32"/>
          <w:highlight w:val="none"/>
          <w:lang w:val="en-US" w:eastAsia="zh-CN"/>
        </w:rPr>
        <w:t>2025年度</w:t>
      </w:r>
      <w:r>
        <w:rPr>
          <w:rFonts w:hint="eastAsia" w:ascii="仿宋_GB2312" w:hAnsi="仿宋_GB2312" w:eastAsia="仿宋_GB2312" w:cs="仿宋_GB2312"/>
          <w:color w:val="auto"/>
          <w:sz w:val="32"/>
          <w:szCs w:val="32"/>
          <w:highlight w:val="none"/>
        </w:rPr>
        <w:t>预算编制阶段，组织对</w:t>
      </w:r>
      <w:r>
        <w:rPr>
          <w:rFonts w:hint="eastAsia" w:ascii="仿宋_GB2312" w:hAnsi="仿宋_GB2312" w:eastAsia="仿宋_GB2312" w:cs="仿宋_GB2312"/>
          <w:color w:val="auto"/>
          <w:sz w:val="32"/>
          <w:szCs w:val="32"/>
          <w:highlight w:val="none"/>
          <w:lang w:val="en-US" w:eastAsia="zh-CN"/>
        </w:rPr>
        <w:t>6个项目</w:t>
      </w:r>
      <w:r>
        <w:rPr>
          <w:rFonts w:hint="eastAsia" w:ascii="仿宋_GB2312" w:hAnsi="仿宋_GB2312" w:eastAsia="仿宋_GB2312" w:cs="仿宋_GB2312"/>
          <w:color w:val="auto"/>
          <w:sz w:val="32"/>
          <w:szCs w:val="32"/>
          <w:highlight w:val="none"/>
        </w:rPr>
        <w:t>开展了预算事前绩效评估，对</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6</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6</w:t>
      </w:r>
      <w:r>
        <w:rPr>
          <w:rFonts w:hint="eastAsia" w:ascii="仿宋_GB2312" w:hAnsi="仿宋_GB2312" w:eastAsia="仿宋_GB2312" w:cs="仿宋_GB2312"/>
          <w:color w:val="auto"/>
          <w:sz w:val="32"/>
          <w:szCs w:val="32"/>
          <w:highlight w:val="none"/>
        </w:rPr>
        <w:t>个项目开展绩效监控</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bidi w:val="0"/>
        <w:spacing w:line="560" w:lineRule="exact"/>
        <w:ind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组织</w:t>
      </w:r>
      <w:r>
        <w:rPr>
          <w:rFonts w:hint="eastAsia" w:ascii="仿宋_GB2312" w:hAnsi="仿宋_GB2312" w:eastAsia="仿宋_GB2312" w:cs="仿宋_GB2312"/>
          <w:color w:val="auto"/>
          <w:sz w:val="32"/>
          <w:szCs w:val="32"/>
          <w:highlight w:val="none"/>
        </w:rPr>
        <w:t>对</w:t>
      </w:r>
      <w:r>
        <w:rPr>
          <w:rFonts w:hint="eastAsia" w:ascii="仿宋_GB2312" w:hAnsi="仿宋_GB2312" w:eastAsia="仿宋_GB2312" w:cs="仿宋_GB2312"/>
          <w:color w:val="auto"/>
          <w:sz w:val="32"/>
          <w:szCs w:val="32"/>
          <w:highlight w:val="none"/>
          <w:lang w:val="en-US" w:eastAsia="zh-CN"/>
        </w:rPr>
        <w:t>2025年度一般公共预算、</w:t>
      </w:r>
      <w:r>
        <w:rPr>
          <w:rFonts w:hint="eastAsia" w:ascii="仿宋_GB2312" w:hAnsi="仿宋_GB2312" w:eastAsia="仿宋_GB2312" w:cs="仿宋_GB2312"/>
          <w:color w:val="auto"/>
          <w:sz w:val="32"/>
          <w:szCs w:val="32"/>
          <w:highlight w:val="none"/>
          <w:lang w:eastAsia="zh-CN"/>
        </w:rPr>
        <w:t>政府性基金预算、国有资本经营预算、社会保险基金预算以及资本资产、债券资金等</w:t>
      </w:r>
      <w:r>
        <w:rPr>
          <w:rFonts w:hint="eastAsia" w:ascii="仿宋_GB2312" w:hAnsi="仿宋_GB2312" w:eastAsia="仿宋_GB2312" w:cs="仿宋_GB2312"/>
          <w:color w:val="auto"/>
          <w:sz w:val="32"/>
          <w:szCs w:val="32"/>
          <w:highlight w:val="none"/>
          <w:lang w:val="en-US" w:eastAsia="zh-CN"/>
        </w:rPr>
        <w:t>全面开展绩效自评，形成壤塘县应急管理局</w:t>
      </w:r>
      <w:r>
        <w:rPr>
          <w:rFonts w:hint="eastAsia" w:ascii="仿宋_GB2312" w:hAnsi="仿宋_GB2312" w:eastAsia="仿宋_GB2312" w:cs="仿宋_GB2312"/>
          <w:color w:val="auto"/>
          <w:sz w:val="32"/>
          <w:szCs w:val="32"/>
          <w:highlight w:val="none"/>
          <w:lang w:eastAsia="zh-CN"/>
        </w:rPr>
        <w:t>部门整体（含部门预算项目）</w:t>
      </w:r>
      <w:r>
        <w:rPr>
          <w:rFonts w:hint="eastAsia" w:ascii="仿宋_GB2312" w:hAnsi="仿宋_GB2312" w:eastAsia="仿宋_GB2312" w:cs="仿宋_GB2312"/>
          <w:color w:val="auto"/>
          <w:sz w:val="32"/>
          <w:szCs w:val="32"/>
          <w:highlight w:val="none"/>
          <w:lang w:val="en-US" w:eastAsia="zh-CN"/>
        </w:rPr>
        <w:t>绩效自评报告。其中，壤塘县应急管理局部门整体</w:t>
      </w:r>
      <w:r>
        <w:rPr>
          <w:rFonts w:hint="eastAsia" w:ascii="仿宋_GB2312" w:hAnsi="仿宋_GB2312" w:eastAsia="仿宋_GB2312" w:cs="仿宋_GB2312"/>
          <w:color w:val="auto"/>
          <w:sz w:val="32"/>
          <w:szCs w:val="32"/>
          <w:highlight w:val="none"/>
          <w:lang w:eastAsia="zh-CN"/>
        </w:rPr>
        <w:t>（含部门预算项目）</w:t>
      </w:r>
      <w:r>
        <w:rPr>
          <w:rFonts w:hint="eastAsia" w:ascii="仿宋_GB2312" w:hAnsi="仿宋_GB2312" w:eastAsia="仿宋_GB2312" w:cs="仿宋_GB2312"/>
          <w:color w:val="auto"/>
          <w:sz w:val="32"/>
          <w:szCs w:val="32"/>
          <w:highlight w:val="none"/>
          <w:lang w:val="en-US" w:eastAsia="zh-CN"/>
        </w:rPr>
        <w:t>绩效自评得分为</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81</w:t>
      </w:r>
      <w:r>
        <w:rPr>
          <w:rFonts w:hint="eastAsia" w:ascii="仿宋_GB2312" w:hAnsi="仿宋_GB2312" w:eastAsia="仿宋_GB2312" w:cs="仿宋_GB2312"/>
          <w:color w:val="auto"/>
          <w:sz w:val="32"/>
          <w:szCs w:val="32"/>
          <w:highlight w:val="none"/>
          <w:lang w:val="en-US" w:eastAsia="zh-CN"/>
        </w:rPr>
        <w:t>分，绩效自评综述：总体表现优秀。绩效自评报告详见附件。</w:t>
      </w:r>
    </w:p>
    <w:p>
      <w:pPr>
        <w:keepNext w:val="0"/>
        <w:keepLines w:val="0"/>
        <w:pageBreakBefore w:val="0"/>
        <w:widowControl w:val="0"/>
        <w:kinsoku/>
        <w:wordWrap/>
        <w:overflowPunct/>
        <w:topLinePunct w:val="0"/>
        <w:bidi w:val="0"/>
        <w:spacing w:line="560" w:lineRule="exact"/>
        <w:textAlignment w:val="auto"/>
        <w:rPr>
          <w:rFonts w:hint="eastAsia" w:ascii="Times New Roman" w:hAnsi="Times New Roman" w:eastAsia="黑体" w:cs="黑体"/>
          <w:color w:val="auto"/>
          <w:sz w:val="44"/>
          <w:szCs w:val="44"/>
          <w:highlight w:val="none"/>
        </w:rPr>
      </w:pPr>
    </w:p>
    <w:p>
      <w:pPr>
        <w:pStyle w:val="13"/>
        <w:keepNext w:val="0"/>
        <w:keepLines w:val="0"/>
        <w:pageBreakBefore w:val="0"/>
        <w:numPr>
          <w:ilvl w:val="0"/>
          <w:numId w:val="0"/>
        </w:numPr>
        <w:kinsoku/>
        <w:wordWrap/>
        <w:overflowPunct/>
        <w:topLinePunct w:val="0"/>
        <w:autoSpaceDE/>
        <w:autoSpaceDN/>
        <w:bidi w:val="0"/>
        <w:adjustRightInd w:val="0"/>
        <w:snapToGrid w:val="0"/>
        <w:spacing w:before="0" w:line="560" w:lineRule="exact"/>
        <w:jc w:val="center"/>
        <w:textAlignment w:val="auto"/>
        <w:rPr>
          <w:rFonts w:hint="eastAsia" w:ascii="Times New Roman" w:hAnsi="Times New Roman" w:eastAsia="黑体" w:cs="黑体"/>
          <w:color w:val="auto"/>
          <w:sz w:val="44"/>
          <w:szCs w:val="44"/>
          <w:highlight w:val="none"/>
          <w:lang w:val="en-US" w:eastAsia="zh-CN"/>
        </w:rPr>
      </w:pPr>
      <w:r>
        <w:rPr>
          <w:rFonts w:hint="eastAsia" w:ascii="Times New Roman" w:hAnsi="Times New Roman" w:eastAsia="黑体" w:cs="黑体"/>
          <w:color w:val="auto"/>
          <w:sz w:val="44"/>
          <w:szCs w:val="44"/>
          <w:highlight w:val="none"/>
          <w:lang w:val="en-US" w:eastAsia="zh-CN"/>
        </w:rPr>
        <w:t xml:space="preserve">第三部分 </w:t>
      </w:r>
      <w:r>
        <w:rPr>
          <w:rFonts w:hint="eastAsia" w:ascii="Times New Roman" w:hAnsi="Times New Roman" w:eastAsia="黑体" w:cs="黑体"/>
          <w:color w:val="auto"/>
          <w:sz w:val="44"/>
          <w:szCs w:val="44"/>
          <w:highlight w:val="none"/>
        </w:rPr>
        <w:t>名词</w:t>
      </w:r>
      <w:r>
        <w:rPr>
          <w:rFonts w:hint="eastAsia" w:ascii="Times New Roman" w:hAnsi="Times New Roman" w:eastAsia="黑体" w:cs="黑体"/>
          <w:color w:val="auto"/>
          <w:sz w:val="44"/>
          <w:szCs w:val="44"/>
          <w:highlight w:val="none"/>
          <w:lang w:val="en-US" w:eastAsia="zh-CN"/>
        </w:rPr>
        <w:t>解释</w:t>
      </w:r>
    </w:p>
    <w:p>
      <w:pPr>
        <w:widowControl w:val="0"/>
        <w:numPr>
          <w:ilvl w:val="0"/>
          <w:numId w:val="0"/>
        </w:numPr>
        <w:jc w:val="both"/>
        <w:rPr>
          <w:rFonts w:hint="eastAsia"/>
          <w:lang w:val="en-US" w:eastAsia="zh-CN"/>
        </w:rPr>
      </w:pPr>
    </w:p>
    <w:p>
      <w:pPr>
        <w:pStyle w:val="29"/>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pPr>
        <w:pStyle w:val="29"/>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w:t>
      </w:r>
    </w:p>
    <w:p>
      <w:pPr>
        <w:pStyle w:val="29"/>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w:t>
      </w:r>
    </w:p>
    <w:p>
      <w:pPr>
        <w:pStyle w:val="29"/>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w:t>
      </w:r>
      <w:r>
        <w:rPr>
          <w:rFonts w:ascii="仿宋_GB2312" w:eastAsia="仿宋_GB2312"/>
          <w:color w:val="auto"/>
          <w:sz w:val="32"/>
          <w:szCs w:val="32"/>
          <w:highlight w:val="none"/>
        </w:rPr>
        <w:t xml:space="preserve"> </w:t>
      </w:r>
    </w:p>
    <w:p>
      <w:pPr>
        <w:pStyle w:val="29"/>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pPr>
        <w:pStyle w:val="29"/>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pPr>
        <w:pStyle w:val="29"/>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pPr>
        <w:pStyle w:val="29"/>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pPr>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lang w:val="en-US" w:eastAsia="zh-CN"/>
        </w:rPr>
        <w:t>9</w:t>
      </w:r>
      <w:r>
        <w:rPr>
          <w:rFonts w:ascii="仿宋_GB2312" w:eastAsia="仿宋_GB2312"/>
          <w:color w:val="000000"/>
          <w:sz w:val="32"/>
          <w:szCs w:val="32"/>
        </w:rPr>
        <w:t>.</w:t>
      </w:r>
      <w:r>
        <w:rPr>
          <w:rFonts w:hint="eastAsia" w:ascii="仿宋_GB2312" w:eastAsia="仿宋_GB2312"/>
          <w:color w:val="000000"/>
          <w:sz w:val="32"/>
          <w:szCs w:val="32"/>
          <w:lang w:eastAsia="zh-CN"/>
        </w:rPr>
        <w:t>社会保障和就业</w:t>
      </w:r>
      <w:r>
        <w:rPr>
          <w:rFonts w:hint="eastAsia" w:ascii="仿宋_GB2312" w:eastAsia="仿宋_GB2312"/>
          <w:color w:val="000000"/>
          <w:sz w:val="32"/>
          <w:szCs w:val="32"/>
        </w:rPr>
        <w:t>（类）</w:t>
      </w:r>
      <w:r>
        <w:rPr>
          <w:rFonts w:hint="eastAsia" w:ascii="仿宋" w:eastAsia="仿宋" w:cs="仿宋"/>
          <w:color w:val="000000"/>
          <w:sz w:val="32"/>
          <w:szCs w:val="32"/>
          <w:lang w:eastAsia="zh-CN"/>
        </w:rPr>
        <w:t>行政事业单位</w:t>
      </w:r>
      <w:r>
        <w:rPr>
          <w:rFonts w:hint="eastAsia" w:ascii="仿宋" w:eastAsia="仿宋" w:cs="仿宋"/>
          <w:color w:val="000000"/>
          <w:sz w:val="32"/>
          <w:szCs w:val="32"/>
          <w:lang w:val="en-US" w:eastAsia="zh-CN"/>
        </w:rPr>
        <w:t>养老支出</w:t>
      </w:r>
      <w:r>
        <w:rPr>
          <w:rFonts w:hint="eastAsia" w:ascii="仿宋_GB2312" w:eastAsia="仿宋_GB2312"/>
          <w:color w:val="000000"/>
          <w:sz w:val="32"/>
          <w:szCs w:val="32"/>
        </w:rPr>
        <w:t>（款）</w:t>
      </w:r>
      <w:r>
        <w:rPr>
          <w:rFonts w:hint="eastAsia" w:ascii="仿宋_GB2312" w:eastAsia="仿宋_GB2312"/>
          <w:color w:val="000000"/>
          <w:sz w:val="32"/>
          <w:szCs w:val="32"/>
          <w:lang w:eastAsia="zh-CN"/>
        </w:rPr>
        <w:t>机关事业单位基本养老保险缴费支出</w:t>
      </w:r>
      <w:r>
        <w:rPr>
          <w:rFonts w:hint="eastAsia" w:ascii="仿宋_GB2312" w:eastAsia="仿宋_GB2312"/>
          <w:color w:val="000000"/>
          <w:sz w:val="32"/>
          <w:szCs w:val="32"/>
        </w:rPr>
        <w:t>（项）：指</w:t>
      </w:r>
      <w:r>
        <w:rPr>
          <w:rFonts w:hint="eastAsia" w:ascii="仿宋_GB2312" w:eastAsia="仿宋_GB2312"/>
          <w:color w:val="000000"/>
          <w:sz w:val="32"/>
          <w:szCs w:val="32"/>
          <w:lang w:eastAsia="zh-CN"/>
        </w:rPr>
        <w:t>由单位缴纳的基本养老保险费支出</w:t>
      </w:r>
      <w:r>
        <w:rPr>
          <w:rFonts w:hint="eastAsia" w:ascii="仿宋_GB2312" w:eastAsia="仿宋_GB2312"/>
          <w:color w:val="000000"/>
          <w:sz w:val="32"/>
          <w:szCs w:val="32"/>
        </w:rPr>
        <w:t>。</w:t>
      </w:r>
    </w:p>
    <w:p>
      <w:pPr>
        <w:keepNext w:val="0"/>
        <w:keepLines w:val="0"/>
        <w:pageBreakBefore w:val="0"/>
        <w:widowControl w:val="0"/>
        <w:kinsoku/>
        <w:wordWrap/>
        <w:overflowPunct/>
        <w:topLinePunct w:val="0"/>
        <w:bidi w:val="0"/>
        <w:spacing w:line="560" w:lineRule="atLeas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10</w:t>
      </w:r>
      <w:r>
        <w:rPr>
          <w:rFonts w:ascii="仿宋_GB2312" w:eastAsia="仿宋_GB2312"/>
          <w:color w:val="000000"/>
          <w:sz w:val="32"/>
          <w:szCs w:val="32"/>
        </w:rPr>
        <w:t>.</w:t>
      </w:r>
      <w:r>
        <w:rPr>
          <w:rFonts w:hint="eastAsia" w:ascii="仿宋_GB2312" w:eastAsia="仿宋_GB2312"/>
          <w:color w:val="000000"/>
          <w:sz w:val="32"/>
          <w:szCs w:val="32"/>
        </w:rPr>
        <w:t>社会保</w:t>
      </w:r>
      <w:r>
        <w:rPr>
          <w:rFonts w:hint="eastAsia" w:ascii="仿宋_GB2312" w:eastAsia="仿宋_GB2312" w:cs="Times New Roman"/>
          <w:color w:val="000000"/>
          <w:sz w:val="32"/>
          <w:szCs w:val="32"/>
          <w:lang w:eastAsia="zh-CN"/>
        </w:rPr>
        <w:t>障和就业（类）</w:t>
      </w:r>
      <w:r>
        <w:rPr>
          <w:rFonts w:hint="eastAsia" w:ascii="仿宋" w:eastAsia="仿宋" w:cs="仿宋"/>
          <w:color w:val="000000"/>
          <w:sz w:val="32"/>
          <w:szCs w:val="32"/>
          <w:lang w:eastAsia="zh-CN"/>
        </w:rPr>
        <w:t>行政事业单位</w:t>
      </w:r>
      <w:r>
        <w:rPr>
          <w:rFonts w:hint="eastAsia" w:ascii="仿宋" w:eastAsia="仿宋" w:cs="仿宋"/>
          <w:color w:val="000000"/>
          <w:sz w:val="32"/>
          <w:szCs w:val="32"/>
          <w:lang w:val="en-US" w:eastAsia="zh-CN"/>
        </w:rPr>
        <w:t>养老支出</w:t>
      </w:r>
      <w:r>
        <w:rPr>
          <w:rFonts w:hint="eastAsia" w:ascii="仿宋_GB2312" w:eastAsia="仿宋_GB2312" w:cs="Times New Roman"/>
          <w:color w:val="000000"/>
          <w:sz w:val="32"/>
          <w:szCs w:val="32"/>
          <w:lang w:eastAsia="zh-CN"/>
        </w:rPr>
        <w:t>（款）</w:t>
      </w:r>
      <w:r>
        <w:rPr>
          <w:rFonts w:hint="eastAsia" w:ascii="仿宋_GB2312" w:eastAsia="仿宋_GB2312" w:cs="Times New Roman"/>
          <w:color w:val="000000"/>
          <w:sz w:val="32"/>
          <w:szCs w:val="32"/>
          <w:lang w:val="en-US" w:eastAsia="zh-CN"/>
        </w:rPr>
        <w:t>机关事业单位职业年金缴费支出</w:t>
      </w:r>
      <w:r>
        <w:rPr>
          <w:rFonts w:hint="eastAsia" w:ascii="仿宋_GB2312" w:eastAsia="仿宋_GB2312" w:cs="Times New Roman"/>
          <w:color w:val="000000"/>
          <w:sz w:val="32"/>
          <w:szCs w:val="32"/>
          <w:lang w:eastAsia="zh-CN"/>
        </w:rPr>
        <w:t>（项）：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机关事业单位实施养老保险制度由单位实际缴纳的职业年金</w:t>
      </w:r>
      <w:r>
        <w:rPr>
          <w:rFonts w:hint="eastAsia" w:ascii="仿宋_GB2312" w:eastAsia="仿宋_GB2312"/>
          <w:color w:val="000000"/>
          <w:sz w:val="32"/>
          <w:szCs w:val="32"/>
        </w:rPr>
        <w:t>。</w:t>
      </w:r>
    </w:p>
    <w:p>
      <w:pPr>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lang w:val="en-US" w:eastAsia="zh-CN"/>
        </w:rPr>
        <w:t>11</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卫生健康</w:t>
      </w:r>
      <w:r>
        <w:rPr>
          <w:rFonts w:hint="eastAsia" w:ascii="仿宋_GB2312" w:eastAsia="仿宋_GB2312"/>
          <w:color w:val="auto"/>
          <w:sz w:val="32"/>
          <w:szCs w:val="32"/>
        </w:rPr>
        <w:t>（类）</w:t>
      </w:r>
      <w:r>
        <w:rPr>
          <w:rFonts w:hint="eastAsia" w:ascii="仿宋_GB2312" w:eastAsia="仿宋_GB2312"/>
          <w:color w:val="auto"/>
          <w:sz w:val="32"/>
          <w:szCs w:val="32"/>
          <w:lang w:val="en-US" w:eastAsia="zh-CN"/>
        </w:rPr>
        <w:t>行政事业单位医疗</w:t>
      </w:r>
      <w:r>
        <w:rPr>
          <w:rFonts w:hint="eastAsia" w:ascii="仿宋_GB2312" w:eastAsia="仿宋_GB2312"/>
          <w:color w:val="auto"/>
          <w:sz w:val="32"/>
          <w:szCs w:val="32"/>
        </w:rPr>
        <w:t>（款）</w:t>
      </w:r>
      <w:r>
        <w:rPr>
          <w:rFonts w:hint="eastAsia" w:ascii="仿宋_GB2312" w:eastAsia="仿宋_GB2312"/>
          <w:color w:val="auto"/>
          <w:sz w:val="32"/>
          <w:szCs w:val="32"/>
          <w:lang w:val="en-US" w:eastAsia="zh-CN"/>
        </w:rPr>
        <w:t>行政单位医疗</w:t>
      </w:r>
      <w:r>
        <w:rPr>
          <w:rFonts w:hint="eastAsia" w:ascii="仿宋_GB2312" w:eastAsia="仿宋_GB2312"/>
          <w:color w:val="auto"/>
          <w:sz w:val="32"/>
          <w:szCs w:val="32"/>
        </w:rPr>
        <w:t>（项）：指</w:t>
      </w:r>
      <w:r>
        <w:rPr>
          <w:rFonts w:hint="eastAsia" w:ascii="仿宋_GB2312" w:eastAsia="仿宋_GB2312"/>
          <w:color w:val="auto"/>
          <w:sz w:val="32"/>
          <w:szCs w:val="32"/>
          <w:lang w:val="en-US" w:eastAsia="zh-CN"/>
        </w:rPr>
        <w:t>反映财政部门安排的行政单位（包括实行公务员管理的事业单位，下同）基本医疗保险缴费经费，未参加医疗保险的行政单位的公费医疗经费，按国家规定享受离退休人员，红军老战士待遇的医疗经费</w:t>
      </w:r>
      <w:r>
        <w:rPr>
          <w:rFonts w:hint="eastAsia" w:ascii="仿宋_GB2312" w:eastAsia="仿宋_GB2312"/>
          <w:color w:val="auto"/>
          <w:sz w:val="32"/>
          <w:szCs w:val="32"/>
        </w:rPr>
        <w:t>。</w:t>
      </w:r>
    </w:p>
    <w:p>
      <w:pPr>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lang w:val="en-US" w:eastAsia="zh-CN"/>
        </w:rPr>
        <w:t>12</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卫生健康</w:t>
      </w:r>
      <w:r>
        <w:rPr>
          <w:rFonts w:hint="eastAsia" w:ascii="仿宋_GB2312" w:eastAsia="仿宋_GB2312"/>
          <w:color w:val="auto"/>
          <w:sz w:val="32"/>
          <w:szCs w:val="32"/>
        </w:rPr>
        <w:t>（类）</w:t>
      </w:r>
      <w:r>
        <w:rPr>
          <w:rFonts w:hint="eastAsia" w:ascii="仿宋_GB2312" w:eastAsia="仿宋_GB2312"/>
          <w:color w:val="auto"/>
          <w:sz w:val="32"/>
          <w:szCs w:val="32"/>
          <w:lang w:val="en-US" w:eastAsia="zh-CN"/>
        </w:rPr>
        <w:t>行政事业单位医疗</w:t>
      </w:r>
      <w:r>
        <w:rPr>
          <w:rFonts w:hint="eastAsia" w:ascii="仿宋_GB2312" w:eastAsia="仿宋_GB2312"/>
          <w:color w:val="auto"/>
          <w:sz w:val="32"/>
          <w:szCs w:val="32"/>
        </w:rPr>
        <w:t>（款）</w:t>
      </w:r>
      <w:r>
        <w:rPr>
          <w:rFonts w:hint="eastAsia" w:ascii="仿宋_GB2312" w:eastAsia="仿宋_GB2312"/>
          <w:color w:val="auto"/>
          <w:sz w:val="32"/>
          <w:szCs w:val="32"/>
          <w:lang w:val="en-US" w:eastAsia="zh-CN"/>
        </w:rPr>
        <w:t>事业单位医疗</w:t>
      </w:r>
      <w:r>
        <w:rPr>
          <w:rFonts w:hint="eastAsia" w:ascii="仿宋_GB2312" w:eastAsia="仿宋_GB2312"/>
          <w:color w:val="auto"/>
          <w:sz w:val="32"/>
          <w:szCs w:val="32"/>
        </w:rPr>
        <w:t>（项）：指</w:t>
      </w:r>
      <w:r>
        <w:rPr>
          <w:rFonts w:hint="eastAsia" w:ascii="仿宋_GB2312" w:eastAsia="仿宋_GB2312"/>
          <w:color w:val="auto"/>
          <w:sz w:val="32"/>
          <w:szCs w:val="32"/>
          <w:lang w:val="en-US" w:eastAsia="zh-CN"/>
        </w:rPr>
        <w:t>反映财政部门安排的事业单位基本医疗保险缴费经费，未参加医疗保险的事业单位的公费 医疗经费，按国家规定享受离退休人员待遇的医疗经费</w:t>
      </w:r>
      <w:r>
        <w:rPr>
          <w:rFonts w:hint="eastAsia" w:ascii="仿宋_GB2312" w:eastAsia="仿宋_GB2312"/>
          <w:color w:val="auto"/>
          <w:sz w:val="32"/>
          <w:szCs w:val="32"/>
        </w:rPr>
        <w:t>。</w:t>
      </w:r>
    </w:p>
    <w:p>
      <w:pPr>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lang w:val="en-US" w:eastAsia="zh-CN"/>
        </w:rPr>
        <w:t>13</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卫生健康</w:t>
      </w:r>
      <w:r>
        <w:rPr>
          <w:rFonts w:hint="eastAsia" w:ascii="仿宋_GB2312" w:eastAsia="仿宋_GB2312"/>
          <w:color w:val="auto"/>
          <w:sz w:val="32"/>
          <w:szCs w:val="32"/>
        </w:rPr>
        <w:t>（类）</w:t>
      </w:r>
      <w:r>
        <w:rPr>
          <w:rFonts w:hint="eastAsia" w:ascii="仿宋_GB2312" w:eastAsia="仿宋_GB2312"/>
          <w:color w:val="auto"/>
          <w:sz w:val="32"/>
          <w:szCs w:val="32"/>
          <w:lang w:val="en-US" w:eastAsia="zh-CN"/>
        </w:rPr>
        <w:t>行政事业单位医疗</w:t>
      </w:r>
      <w:r>
        <w:rPr>
          <w:rFonts w:hint="eastAsia" w:ascii="仿宋_GB2312" w:eastAsia="仿宋_GB2312"/>
          <w:color w:val="auto"/>
          <w:sz w:val="32"/>
          <w:szCs w:val="32"/>
        </w:rPr>
        <w:t>（款）</w:t>
      </w:r>
      <w:r>
        <w:rPr>
          <w:rFonts w:hint="eastAsia" w:ascii="仿宋_GB2312" w:eastAsia="仿宋_GB2312"/>
          <w:color w:val="auto"/>
          <w:sz w:val="32"/>
          <w:szCs w:val="32"/>
          <w:lang w:val="en-US" w:eastAsia="zh-CN"/>
        </w:rPr>
        <w:t>公务员医疗补助</w:t>
      </w:r>
      <w:r>
        <w:rPr>
          <w:rFonts w:hint="eastAsia" w:ascii="仿宋_GB2312" w:eastAsia="仿宋_GB2312"/>
          <w:color w:val="auto"/>
          <w:sz w:val="32"/>
          <w:szCs w:val="32"/>
          <w:lang w:eastAsia="zh-CN"/>
        </w:rPr>
        <w:t>（</w:t>
      </w:r>
      <w:r>
        <w:rPr>
          <w:rFonts w:hint="eastAsia" w:ascii="仿宋_GB2312" w:eastAsia="仿宋_GB2312"/>
          <w:color w:val="auto"/>
          <w:sz w:val="32"/>
          <w:szCs w:val="32"/>
        </w:rPr>
        <w:t>项）：指</w:t>
      </w:r>
      <w:r>
        <w:rPr>
          <w:rFonts w:hint="eastAsia" w:ascii="仿宋_GB2312" w:eastAsia="仿宋_GB2312"/>
          <w:color w:val="auto"/>
          <w:sz w:val="32"/>
          <w:szCs w:val="32"/>
          <w:lang w:val="en-US" w:eastAsia="zh-CN"/>
        </w:rPr>
        <w:t>反映财政部门安排的公务员医疗补助经费</w:t>
      </w:r>
      <w:r>
        <w:rPr>
          <w:rFonts w:hint="eastAsia" w:ascii="仿宋_GB2312" w:eastAsia="仿宋_GB2312"/>
          <w:color w:val="auto"/>
          <w:sz w:val="32"/>
          <w:szCs w:val="32"/>
        </w:rPr>
        <w:t>。</w:t>
      </w:r>
    </w:p>
    <w:p>
      <w:pPr>
        <w:keepNext w:val="0"/>
        <w:keepLines w:val="0"/>
        <w:pageBreakBefore w:val="0"/>
        <w:widowControl w:val="0"/>
        <w:kinsoku/>
        <w:wordWrap/>
        <w:overflowPunct/>
        <w:topLinePunct w:val="0"/>
        <w:bidi w:val="0"/>
        <w:spacing w:line="560" w:lineRule="atLeast"/>
        <w:ind w:firstLine="640" w:firstLineChars="200"/>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14</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卫生健康</w:t>
      </w:r>
      <w:r>
        <w:rPr>
          <w:rFonts w:hint="eastAsia" w:ascii="仿宋_GB2312" w:eastAsia="仿宋_GB2312"/>
          <w:color w:val="auto"/>
          <w:sz w:val="32"/>
          <w:szCs w:val="32"/>
        </w:rPr>
        <w:t>（类）</w:t>
      </w:r>
      <w:r>
        <w:rPr>
          <w:rFonts w:hint="eastAsia" w:ascii="仿宋_GB2312" w:eastAsia="仿宋_GB2312"/>
          <w:color w:val="auto"/>
          <w:sz w:val="32"/>
          <w:szCs w:val="32"/>
          <w:lang w:val="en-US" w:eastAsia="zh-CN"/>
        </w:rPr>
        <w:t>行政事业单位医疗</w:t>
      </w:r>
      <w:r>
        <w:rPr>
          <w:rFonts w:hint="eastAsia" w:ascii="仿宋_GB2312" w:eastAsia="仿宋_GB2312"/>
          <w:color w:val="auto"/>
          <w:sz w:val="32"/>
          <w:szCs w:val="32"/>
        </w:rPr>
        <w:t>（款）</w:t>
      </w:r>
      <w:r>
        <w:rPr>
          <w:rFonts w:hint="eastAsia" w:ascii="仿宋_GB2312" w:eastAsia="仿宋_GB2312"/>
          <w:color w:val="auto"/>
          <w:sz w:val="32"/>
          <w:szCs w:val="32"/>
          <w:lang w:val="en-US" w:eastAsia="zh-CN"/>
        </w:rPr>
        <w:t>其他行政事业单位医疗</w:t>
      </w:r>
      <w:r>
        <w:rPr>
          <w:rFonts w:hint="eastAsia" w:ascii="仿宋_GB2312" w:eastAsia="仿宋_GB2312"/>
          <w:color w:val="auto"/>
          <w:sz w:val="32"/>
          <w:szCs w:val="32"/>
          <w:lang w:eastAsia="zh-CN"/>
        </w:rPr>
        <w:t>（</w:t>
      </w:r>
      <w:r>
        <w:rPr>
          <w:rFonts w:hint="eastAsia" w:ascii="仿宋_GB2312" w:eastAsia="仿宋_GB2312"/>
          <w:color w:val="auto"/>
          <w:sz w:val="32"/>
          <w:szCs w:val="32"/>
        </w:rPr>
        <w:t>项）：指</w:t>
      </w:r>
      <w:r>
        <w:rPr>
          <w:rFonts w:hint="eastAsia" w:ascii="仿宋_GB2312" w:eastAsia="仿宋_GB2312"/>
          <w:color w:val="auto"/>
          <w:sz w:val="32"/>
          <w:szCs w:val="32"/>
          <w:lang w:val="en-US" w:eastAsia="zh-CN"/>
        </w:rPr>
        <w:t>反映除上述项目以外的其他用于行政事业单位医疗方面的支出。</w:t>
      </w:r>
    </w:p>
    <w:p>
      <w:pPr>
        <w:keepNext w:val="0"/>
        <w:keepLines w:val="0"/>
        <w:pageBreakBefore w:val="0"/>
        <w:widowControl w:val="0"/>
        <w:kinsoku/>
        <w:wordWrap/>
        <w:overflowPunct/>
        <w:topLinePunct w:val="0"/>
        <w:bidi w:val="0"/>
        <w:spacing w:line="560" w:lineRule="atLeast"/>
        <w:ind w:firstLine="640" w:firstLineChars="200"/>
        <w:textAlignment w:val="auto"/>
        <w:rPr>
          <w:rFonts w:hint="eastAsia" w:ascii="仿宋_GB2312" w:eastAsia="仿宋_GB2312" w:cs="Times New Roman"/>
          <w:color w:val="000000"/>
          <w:sz w:val="32"/>
          <w:szCs w:val="32"/>
          <w:lang w:eastAsia="zh-CN"/>
        </w:rPr>
      </w:pPr>
      <w:r>
        <w:rPr>
          <w:rFonts w:hint="eastAsia" w:ascii="仿宋_GB2312" w:eastAsia="仿宋_GB2312" w:cs="Times New Roman"/>
          <w:color w:val="000000"/>
          <w:sz w:val="32"/>
          <w:szCs w:val="32"/>
          <w:lang w:val="en-US" w:eastAsia="zh-CN"/>
        </w:rPr>
        <w:t>15</w:t>
      </w:r>
      <w:r>
        <w:rPr>
          <w:rFonts w:hint="eastAsia" w:ascii="仿宋_GB2312" w:eastAsia="仿宋_GB2312" w:cs="Times New Roman"/>
          <w:color w:val="000000"/>
          <w:sz w:val="32"/>
          <w:szCs w:val="32"/>
          <w:lang w:eastAsia="zh-CN"/>
        </w:rPr>
        <w:t>.农林水支出</w:t>
      </w:r>
      <w:r>
        <w:rPr>
          <w:rFonts w:hint="eastAsia" w:ascii="仿宋_GB2312" w:eastAsia="仿宋_GB2312" w:cs="Times New Roman"/>
          <w:color w:val="000000"/>
          <w:sz w:val="32"/>
          <w:szCs w:val="32"/>
          <w:lang w:val="en-US" w:eastAsia="zh-CN"/>
        </w:rPr>
        <w:t>（类）水利（款）防汛（项）：指防汛业务支出</w:t>
      </w:r>
      <w:r>
        <w:rPr>
          <w:rFonts w:hint="eastAsia" w:ascii="仿宋_GB2312" w:eastAsia="仿宋_GB2312" w:cs="Times New Roman"/>
          <w:color w:val="000000"/>
          <w:sz w:val="32"/>
          <w:szCs w:val="32"/>
          <w:lang w:eastAsia="zh-CN"/>
        </w:rPr>
        <w:t>。</w:t>
      </w:r>
    </w:p>
    <w:p>
      <w:pPr>
        <w:pStyle w:val="15"/>
        <w:keepNext w:val="0"/>
        <w:keepLines w:val="0"/>
        <w:pageBreakBefore w:val="0"/>
        <w:widowControl w:val="0"/>
        <w:kinsoku/>
        <w:wordWrap/>
        <w:overflowPunct/>
        <w:topLinePunct w:val="0"/>
        <w:bidi w:val="0"/>
        <w:spacing w:line="560" w:lineRule="atLeast"/>
        <w:ind w:left="0" w:leftChars="0" w:firstLine="640" w:firstLineChars="200"/>
        <w:textAlignment w:val="auto"/>
      </w:pPr>
      <w:r>
        <w:rPr>
          <w:rFonts w:hint="eastAsia" w:ascii="仿宋_GB2312" w:eastAsia="仿宋_GB2312" w:cs="Times New Roman"/>
          <w:color w:val="000000"/>
          <w:sz w:val="32"/>
          <w:szCs w:val="32"/>
          <w:lang w:val="en-US" w:eastAsia="zh-CN"/>
        </w:rPr>
        <w:t>16</w:t>
      </w:r>
      <w:r>
        <w:rPr>
          <w:rFonts w:hint="eastAsia" w:ascii="仿宋_GB2312" w:eastAsia="仿宋_GB2312" w:cs="Times New Roman"/>
          <w:color w:val="000000"/>
          <w:sz w:val="32"/>
          <w:szCs w:val="32"/>
          <w:lang w:eastAsia="zh-CN"/>
        </w:rPr>
        <w:t>.农林水支出</w:t>
      </w:r>
      <w:r>
        <w:rPr>
          <w:rFonts w:hint="eastAsia" w:ascii="仿宋_GB2312" w:eastAsia="仿宋_GB2312" w:cs="Times New Roman"/>
          <w:color w:val="000000"/>
          <w:sz w:val="32"/>
          <w:szCs w:val="32"/>
          <w:lang w:val="en-US" w:eastAsia="zh-CN"/>
        </w:rPr>
        <w:t>（类）巩固脱贫攻坚衔接乡村振兴（款）其他巩固脱贫攻坚衔接乡村振兴（项）：指反映除上述项目以外其他用于巩固拓展脱贫攻坚成果同乡村振兴有效衔接方面的支出</w:t>
      </w:r>
      <w:r>
        <w:rPr>
          <w:rFonts w:hint="eastAsia" w:ascii="仿宋_GB2312" w:eastAsia="仿宋_GB2312" w:cs="Times New Roman"/>
          <w:color w:val="000000"/>
          <w:sz w:val="32"/>
          <w:szCs w:val="32"/>
          <w:lang w:eastAsia="zh-CN"/>
        </w:rPr>
        <w:t>。</w:t>
      </w:r>
    </w:p>
    <w:p>
      <w:pPr>
        <w:keepNext w:val="0"/>
        <w:keepLines w:val="0"/>
        <w:pageBreakBefore w:val="0"/>
        <w:widowControl w:val="0"/>
        <w:kinsoku/>
        <w:wordWrap/>
        <w:overflowPunct/>
        <w:topLinePunct w:val="0"/>
        <w:bidi w:val="0"/>
        <w:spacing w:line="560" w:lineRule="atLeast"/>
        <w:ind w:firstLine="640" w:firstLineChars="200"/>
        <w:textAlignment w:val="auto"/>
        <w:rPr>
          <w:rFonts w:hint="eastAsia" w:ascii="仿宋_GB2312" w:eastAsia="仿宋_GB2312" w:cs="Times New Roman"/>
          <w:color w:val="000000"/>
          <w:sz w:val="32"/>
          <w:szCs w:val="32"/>
          <w:lang w:eastAsia="zh-CN"/>
        </w:rPr>
      </w:pPr>
      <w:r>
        <w:rPr>
          <w:rFonts w:hint="eastAsia" w:ascii="仿宋_GB2312" w:eastAsia="仿宋_GB2312" w:cs="Times New Roman"/>
          <w:color w:val="000000"/>
          <w:sz w:val="32"/>
          <w:szCs w:val="32"/>
          <w:lang w:val="en-US" w:eastAsia="zh-CN"/>
        </w:rPr>
        <w:t>17.住房保障支出（类）住房改革支出（款）住房公积金（项）：指行政事业单位</w:t>
      </w:r>
      <w:r>
        <w:rPr>
          <w:rFonts w:hint="eastAsia" w:ascii="仿宋_GB2312" w:eastAsia="仿宋_GB2312" w:cs="Times New Roman"/>
          <w:color w:val="000000"/>
          <w:sz w:val="32"/>
          <w:szCs w:val="32"/>
          <w:lang w:eastAsia="zh-CN"/>
        </w:rPr>
        <w:t>按照工资比例为职工缴纳的住房公积金。</w:t>
      </w:r>
    </w:p>
    <w:p>
      <w:pPr>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s="Times New Roman"/>
          <w:color w:val="000000"/>
          <w:sz w:val="32"/>
          <w:szCs w:val="32"/>
          <w:lang w:val="en-US" w:eastAsia="zh-CN"/>
        </w:rPr>
      </w:pPr>
      <w:r>
        <w:rPr>
          <w:rFonts w:hint="eastAsia" w:ascii="仿宋_GB2312" w:eastAsia="仿宋_GB2312" w:cs="Times New Roman"/>
          <w:color w:val="000000"/>
          <w:sz w:val="32"/>
          <w:szCs w:val="32"/>
          <w:lang w:val="en-US" w:eastAsia="zh-CN"/>
        </w:rPr>
        <w:t>18.灾害防治及应急管理支出（类）应急管理事务（款）  行政运行（项）：</w:t>
      </w:r>
      <w:r>
        <w:rPr>
          <w:rFonts w:hint="eastAsia" w:ascii="仿宋_GB2312" w:eastAsia="仿宋_GB2312" w:cs="Times New Roman"/>
          <w:color w:val="000000"/>
          <w:sz w:val="32"/>
          <w:szCs w:val="32"/>
          <w:lang w:eastAsia="zh-CN"/>
        </w:rPr>
        <w:t>指</w:t>
      </w:r>
      <w:r>
        <w:rPr>
          <w:rFonts w:hint="eastAsia" w:ascii="仿宋_GB2312" w:eastAsia="仿宋_GB2312" w:cs="Times New Roman"/>
          <w:color w:val="000000"/>
          <w:sz w:val="32"/>
          <w:szCs w:val="32"/>
          <w:lang w:val="en-US" w:eastAsia="zh-CN"/>
        </w:rPr>
        <w:t>行政单位（包括实行公务员管理的事业单位）的基本支出</w:t>
      </w:r>
      <w:r>
        <w:rPr>
          <w:rFonts w:hint="eastAsia" w:ascii="仿宋_GB2312" w:eastAsia="仿宋_GB2312" w:cs="Times New Roman"/>
          <w:color w:val="000000"/>
          <w:sz w:val="32"/>
          <w:szCs w:val="32"/>
          <w:lang w:eastAsia="zh-CN"/>
        </w:rPr>
        <w:t>。</w:t>
      </w:r>
    </w:p>
    <w:p>
      <w:pPr>
        <w:keepNext w:val="0"/>
        <w:keepLines w:val="0"/>
        <w:pageBreakBefore w:val="0"/>
        <w:widowControl w:val="0"/>
        <w:kinsoku/>
        <w:wordWrap/>
        <w:overflowPunct/>
        <w:topLinePunct w:val="0"/>
        <w:bidi w:val="0"/>
        <w:spacing w:line="560" w:lineRule="atLeast"/>
        <w:ind w:firstLine="640" w:firstLineChars="200"/>
        <w:textAlignment w:val="auto"/>
        <w:rPr>
          <w:rFonts w:hint="eastAsia" w:ascii="仿宋_GB2312" w:eastAsia="仿宋_GB2312" w:cs="Times New Roman"/>
          <w:color w:val="000000"/>
          <w:sz w:val="32"/>
          <w:szCs w:val="32"/>
          <w:lang w:val="en-US" w:eastAsia="zh-CN"/>
        </w:rPr>
      </w:pPr>
      <w:r>
        <w:rPr>
          <w:rFonts w:hint="eastAsia" w:ascii="仿宋_GB2312" w:eastAsia="仿宋_GB2312" w:cs="Times New Roman"/>
          <w:color w:val="000000"/>
          <w:sz w:val="32"/>
          <w:szCs w:val="32"/>
          <w:lang w:val="en-US" w:eastAsia="zh-CN"/>
        </w:rPr>
        <w:t>19.灾害防治及应急管理支出（类）应急管理事务（款）  安全监管（项）：指安全生产监管方面的支出。</w:t>
      </w:r>
    </w:p>
    <w:p>
      <w:pPr>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s="Times New Roman"/>
          <w:color w:val="000000"/>
          <w:sz w:val="32"/>
          <w:szCs w:val="32"/>
          <w:lang w:val="en-US" w:eastAsia="zh-CN"/>
        </w:rPr>
      </w:pPr>
      <w:r>
        <w:rPr>
          <w:rFonts w:hint="eastAsia" w:ascii="仿宋_GB2312" w:eastAsia="仿宋_GB2312" w:cs="Times New Roman"/>
          <w:color w:val="000000"/>
          <w:sz w:val="32"/>
          <w:szCs w:val="32"/>
          <w:lang w:val="en-US" w:eastAsia="zh-CN"/>
        </w:rPr>
        <w:t>20.灾害防治及应急管理支出（类）应急管理事务（款）  其他应急管理支出（项）：指其他用于应急管理方面的支出。</w:t>
      </w:r>
    </w:p>
    <w:p>
      <w:pPr>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s="Times New Roman"/>
          <w:color w:val="000000"/>
          <w:sz w:val="32"/>
          <w:szCs w:val="32"/>
          <w:lang w:val="en-US" w:eastAsia="zh-CN"/>
        </w:rPr>
      </w:pPr>
      <w:r>
        <w:rPr>
          <w:rFonts w:hint="eastAsia" w:ascii="仿宋_GB2312" w:eastAsia="仿宋_GB2312" w:cs="Times New Roman"/>
          <w:color w:val="000000"/>
          <w:sz w:val="32"/>
          <w:szCs w:val="32"/>
          <w:lang w:val="en-US" w:eastAsia="zh-CN"/>
        </w:rPr>
        <w:t>21.灾害防治及应急管理支出（类）应急管理事务（款）  一般行政管理事务（项）：</w:t>
      </w:r>
      <w:r>
        <w:rPr>
          <w:rFonts w:hint="eastAsia" w:ascii="仿宋_GB2312" w:eastAsia="仿宋_GB2312" w:cs="Times New Roman"/>
          <w:color w:val="000000"/>
          <w:sz w:val="32"/>
          <w:szCs w:val="32"/>
          <w:lang w:eastAsia="zh-CN"/>
        </w:rPr>
        <w:t>指</w:t>
      </w:r>
      <w:r>
        <w:rPr>
          <w:rFonts w:hint="eastAsia" w:ascii="仿宋_GB2312" w:eastAsia="仿宋_GB2312" w:cs="Times New Roman"/>
          <w:color w:val="000000"/>
          <w:sz w:val="32"/>
          <w:szCs w:val="32"/>
          <w:lang w:val="en-US" w:eastAsia="zh-CN"/>
        </w:rPr>
        <w:t>行政单位（包括实行公务员管理的事业单位）未单独设置项目及科目的其他项目支出</w:t>
      </w:r>
      <w:r>
        <w:rPr>
          <w:rFonts w:hint="eastAsia" w:ascii="仿宋_GB2312" w:eastAsia="仿宋_GB2312" w:cs="Times New Roman"/>
          <w:color w:val="000000"/>
          <w:sz w:val="32"/>
          <w:szCs w:val="32"/>
          <w:lang w:eastAsia="zh-CN"/>
        </w:rPr>
        <w:t>。</w:t>
      </w:r>
    </w:p>
    <w:p>
      <w:pPr>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s="Times New Roman"/>
          <w:color w:val="000000"/>
          <w:sz w:val="32"/>
          <w:szCs w:val="32"/>
          <w:lang w:val="en-US" w:eastAsia="zh-CN"/>
        </w:rPr>
      </w:pPr>
      <w:r>
        <w:rPr>
          <w:rFonts w:hint="eastAsia" w:ascii="仿宋_GB2312" w:eastAsia="仿宋_GB2312" w:cs="Times New Roman"/>
          <w:color w:val="000000"/>
          <w:sz w:val="32"/>
          <w:szCs w:val="32"/>
          <w:lang w:val="en-US" w:eastAsia="zh-CN"/>
        </w:rPr>
        <w:t>22.灾害防治及应急管理支出（类）应急管理事务（款）  应急救援（项）：指反映安全生产、自然灾害应急救援方面的支出。</w:t>
      </w:r>
    </w:p>
    <w:p>
      <w:pPr>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s="Times New Roman"/>
          <w:color w:val="000000"/>
          <w:sz w:val="32"/>
          <w:szCs w:val="32"/>
          <w:lang w:val="en-US" w:eastAsia="zh-CN"/>
        </w:rPr>
      </w:pPr>
      <w:r>
        <w:rPr>
          <w:rFonts w:hint="eastAsia" w:ascii="仿宋_GB2312" w:eastAsia="仿宋_GB2312" w:cs="Times New Roman"/>
          <w:color w:val="000000"/>
          <w:sz w:val="32"/>
          <w:szCs w:val="32"/>
          <w:lang w:val="en-US" w:eastAsia="zh-CN"/>
        </w:rPr>
        <w:t>23.灾害防治及应急管理支出（类）应急管理事务（款）  事业运行（项）：指反映事业单位的基本支出，不包括行政单位（包括实行公务员管理的事业单位）后勤服务中心、医疗室等附属事业单位。</w:t>
      </w:r>
    </w:p>
    <w:p>
      <w:pPr>
        <w:keepNext w:val="0"/>
        <w:keepLines w:val="0"/>
        <w:pageBreakBefore w:val="0"/>
        <w:widowControl w:val="0"/>
        <w:kinsoku/>
        <w:wordWrap/>
        <w:overflowPunct/>
        <w:topLinePunct w:val="0"/>
        <w:bidi w:val="0"/>
        <w:spacing w:line="560" w:lineRule="atLeast"/>
        <w:ind w:firstLine="640" w:firstLineChars="200"/>
        <w:textAlignment w:val="auto"/>
        <w:rPr>
          <w:lang w:val="en-US" w:eastAsia="zh-CN"/>
        </w:rPr>
      </w:pPr>
      <w:r>
        <w:rPr>
          <w:rFonts w:hint="eastAsia" w:ascii="仿宋_GB2312" w:eastAsia="仿宋_GB2312" w:cs="Times New Roman"/>
          <w:color w:val="000000"/>
          <w:sz w:val="32"/>
          <w:szCs w:val="32"/>
          <w:lang w:val="en-US" w:eastAsia="zh-CN"/>
        </w:rPr>
        <w:t>24.灾害防治及应急管理支出（类）自然灾害防治（款）  地质灾害防治（项）：指用于防治地质灾害方面的支出。</w:t>
      </w:r>
    </w:p>
    <w:p>
      <w:pPr>
        <w:pStyle w:val="6"/>
        <w:keepNext w:val="0"/>
        <w:keepLines w:val="0"/>
        <w:pageBreakBefore w:val="0"/>
        <w:widowControl w:val="0"/>
        <w:kinsoku/>
        <w:wordWrap/>
        <w:overflowPunct/>
        <w:topLinePunct w:val="0"/>
        <w:bidi w:val="0"/>
        <w:spacing w:line="560" w:lineRule="atLeast"/>
        <w:ind w:firstLine="640" w:firstLineChars="200"/>
        <w:textAlignment w:val="auto"/>
        <w:rPr>
          <w:rFonts w:hint="eastAsia" w:ascii="仿宋_GB2312" w:eastAsia="仿宋_GB2312" w:cs="Times New Roman"/>
          <w:color w:val="000000"/>
          <w:sz w:val="32"/>
          <w:szCs w:val="32"/>
          <w:lang w:val="en-US" w:eastAsia="zh-CN"/>
        </w:rPr>
      </w:pPr>
      <w:r>
        <w:rPr>
          <w:rFonts w:hint="eastAsia" w:ascii="仿宋_GB2312" w:eastAsia="仿宋_GB2312" w:cs="Times New Roman"/>
          <w:color w:val="000000"/>
          <w:sz w:val="32"/>
          <w:szCs w:val="32"/>
          <w:lang w:val="en-US" w:eastAsia="zh-CN"/>
        </w:rPr>
        <w:t>25.灾害防治及应急管理支出（类）自然灾害救灾及恢复重建支出（款）自然灾害救灾补助（项）：指用于应对重大自然灾害应急救援和受灾群众救助的支出。</w:t>
      </w:r>
    </w:p>
    <w:p>
      <w:pPr>
        <w:pStyle w:val="5"/>
        <w:keepNext w:val="0"/>
        <w:keepLines w:val="0"/>
        <w:pageBreakBefore w:val="0"/>
        <w:widowControl w:val="0"/>
        <w:kinsoku/>
        <w:wordWrap/>
        <w:overflowPunct/>
        <w:topLinePunct w:val="0"/>
        <w:bidi w:val="0"/>
        <w:spacing w:line="560" w:lineRule="atLeast"/>
        <w:ind w:left="0" w:leftChars="0" w:firstLine="642" w:firstLineChars="200"/>
        <w:textAlignment w:val="auto"/>
        <w:rPr>
          <w:rFonts w:hint="eastAsia"/>
          <w:lang w:val="en-US" w:eastAsia="zh-CN"/>
        </w:rPr>
      </w:pPr>
      <w:r>
        <w:rPr>
          <w:rFonts w:hint="eastAsia" w:ascii="仿宋" w:hAnsi="仿宋" w:eastAsia="仿宋"/>
          <w:b/>
          <w:color w:val="auto"/>
          <w:sz w:val="32"/>
          <w:szCs w:val="32"/>
          <w:highlight w:val="none"/>
        </w:rPr>
        <w:t>（解释本部门决算报表中</w:t>
      </w:r>
      <w:r>
        <w:rPr>
          <w:rFonts w:hint="eastAsia" w:ascii="仿宋" w:hAnsi="仿宋" w:eastAsia="仿宋"/>
          <w:b/>
          <w:color w:val="auto"/>
          <w:sz w:val="32"/>
          <w:szCs w:val="32"/>
          <w:highlight w:val="none"/>
          <w:lang w:eastAsia="zh-CN"/>
        </w:rPr>
        <w:t>涉及的</w:t>
      </w:r>
      <w:r>
        <w:rPr>
          <w:rFonts w:hint="eastAsia" w:ascii="仿宋" w:hAnsi="仿宋" w:eastAsia="仿宋"/>
          <w:b/>
          <w:color w:val="auto"/>
          <w:sz w:val="32"/>
          <w:szCs w:val="32"/>
          <w:highlight w:val="none"/>
        </w:rPr>
        <w:t>全部功能分类科目至项级，</w:t>
      </w:r>
      <w:r>
        <w:rPr>
          <w:rFonts w:hint="eastAsia" w:ascii="仿宋" w:hAnsi="仿宋" w:eastAsia="仿宋"/>
          <w:b/>
          <w:color w:val="auto"/>
          <w:sz w:val="32"/>
          <w:szCs w:val="32"/>
          <w:highlight w:val="none"/>
          <w:lang w:eastAsia="zh-CN"/>
        </w:rPr>
        <w:t>不涉及的科目请自行删除。</w:t>
      </w:r>
      <w:r>
        <w:rPr>
          <w:rFonts w:hint="eastAsia" w:ascii="仿宋" w:hAnsi="仿宋" w:eastAsia="仿宋"/>
          <w:b/>
          <w:color w:val="auto"/>
          <w:sz w:val="32"/>
          <w:szCs w:val="32"/>
          <w:highlight w:val="none"/>
        </w:rPr>
        <w:t>请参照《</w:t>
      </w:r>
      <w:r>
        <w:rPr>
          <w:rFonts w:hint="eastAsia" w:ascii="仿宋" w:hAnsi="仿宋" w:eastAsia="仿宋"/>
          <w:b/>
          <w:color w:val="auto"/>
          <w:sz w:val="32"/>
          <w:szCs w:val="32"/>
          <w:highlight w:val="none"/>
          <w:lang w:eastAsia="zh-CN"/>
        </w:rPr>
        <w:t>2024</w:t>
      </w:r>
      <w:r>
        <w:rPr>
          <w:rFonts w:hint="eastAsia" w:ascii="仿宋" w:hAnsi="仿宋" w:eastAsia="仿宋"/>
          <w:b/>
          <w:color w:val="auto"/>
          <w:sz w:val="32"/>
          <w:szCs w:val="32"/>
          <w:highlight w:val="none"/>
        </w:rPr>
        <w:t>年政府收支分类科目》增减内容。）</w:t>
      </w:r>
    </w:p>
    <w:p>
      <w:pPr>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pPr>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lang w:val="en-US" w:eastAsia="zh-CN"/>
        </w:rPr>
        <w:t>7</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pPr>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lang w:val="en-US" w:eastAsia="zh-CN"/>
        </w:rPr>
        <w:t>8</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经营支出：指事业单位在专业业务活动及其辅助活动之外开展非独立核算经营活动发生的支出。</w:t>
      </w:r>
    </w:p>
    <w:p>
      <w:pPr>
        <w:pStyle w:val="29"/>
        <w:keepNext w:val="0"/>
        <w:keepLines w:val="0"/>
        <w:pageBreakBefore w:val="0"/>
        <w:widowControl w:val="0"/>
        <w:kinsoku/>
        <w:wordWrap/>
        <w:overflowPunct/>
        <w:topLinePunct w:val="0"/>
        <w:bidi w:val="0"/>
        <w:spacing w:line="560" w:lineRule="atLeas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29</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9"/>
        <w:keepNext w:val="0"/>
        <w:keepLines w:val="0"/>
        <w:pageBreakBefore w:val="0"/>
        <w:widowControl w:val="0"/>
        <w:kinsoku/>
        <w:wordWrap/>
        <w:overflowPunct/>
        <w:topLinePunct w:val="0"/>
        <w:bidi w:val="0"/>
        <w:spacing w:line="560" w:lineRule="atLeast"/>
        <w:ind w:firstLine="640" w:firstLineChars="200"/>
        <w:textAlignment w:val="auto"/>
        <w:rPr>
          <w:rFonts w:hint="eastAsia"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9"/>
        <w:keepNext w:val="0"/>
        <w:keepLines w:val="0"/>
        <w:pageBreakBefore w:val="0"/>
        <w:widowControl w:val="0"/>
        <w:kinsoku/>
        <w:wordWrap/>
        <w:overflowPunct/>
        <w:topLinePunct w:val="0"/>
        <w:bidi w:val="0"/>
        <w:spacing w:line="560" w:lineRule="atLeast"/>
        <w:ind w:firstLine="640" w:firstLineChars="200"/>
        <w:textAlignment w:val="auto"/>
        <w:rPr>
          <w:rFonts w:hint="eastAsia" w:ascii="仿宋_GB2312" w:eastAsia="仿宋_GB2312"/>
          <w:color w:val="auto"/>
          <w:sz w:val="32"/>
          <w:szCs w:val="32"/>
          <w:highlight w:val="none"/>
        </w:rPr>
      </w:pPr>
    </w:p>
    <w:p>
      <w:pPr>
        <w:pStyle w:val="29"/>
        <w:keepNext w:val="0"/>
        <w:keepLines w:val="0"/>
        <w:pageBreakBefore w:val="0"/>
        <w:widowControl w:val="0"/>
        <w:kinsoku/>
        <w:wordWrap/>
        <w:overflowPunct/>
        <w:topLinePunct w:val="0"/>
        <w:bidi w:val="0"/>
        <w:spacing w:line="560" w:lineRule="atLeast"/>
        <w:textAlignment w:val="auto"/>
        <w:rPr>
          <w:rFonts w:hint="eastAsia" w:ascii="仿宋_GB2312" w:eastAsia="仿宋_GB2312"/>
          <w:color w:val="auto"/>
          <w:sz w:val="32"/>
          <w:szCs w:val="32"/>
          <w:highlight w:val="none"/>
        </w:rPr>
      </w:pPr>
    </w:p>
    <w:p>
      <w:pPr>
        <w:pStyle w:val="13"/>
        <w:keepNext w:val="0"/>
        <w:keepLines w:val="0"/>
        <w:pageBreakBefore w:val="0"/>
        <w:numPr>
          <w:ilvl w:val="0"/>
          <w:numId w:val="2"/>
        </w:numPr>
        <w:kinsoku/>
        <w:wordWrap/>
        <w:overflowPunct/>
        <w:topLinePunct w:val="0"/>
        <w:autoSpaceDE/>
        <w:autoSpaceDN/>
        <w:bidi w:val="0"/>
        <w:adjustRightInd w:val="0"/>
        <w:snapToGrid w:val="0"/>
        <w:spacing w:before="0" w:line="560" w:lineRule="exact"/>
        <w:jc w:val="center"/>
        <w:textAlignment w:val="auto"/>
        <w:rPr>
          <w:rFonts w:hint="eastAsia" w:ascii="Times New Roman" w:hAnsi="Times New Roman" w:eastAsia="黑体" w:cs="黑体"/>
          <w:color w:val="auto"/>
          <w:sz w:val="44"/>
          <w:szCs w:val="44"/>
          <w:highlight w:val="none"/>
        </w:rPr>
      </w:pPr>
      <w:r>
        <w:rPr>
          <w:rFonts w:hint="eastAsia" w:ascii="Times New Roman" w:hAnsi="Times New Roman" w:eastAsia="黑体" w:cs="黑体"/>
          <w:color w:val="auto"/>
          <w:sz w:val="44"/>
          <w:szCs w:val="44"/>
          <w:highlight w:val="none"/>
        </w:rPr>
        <w:t>附件</w:t>
      </w:r>
    </w:p>
    <w:p>
      <w:pPr>
        <w:numPr>
          <w:ilvl w:val="0"/>
          <w:numId w:val="0"/>
        </w:numPr>
        <w:rPr>
          <w:rFonts w:hint="eastAsia"/>
        </w:rPr>
      </w:pPr>
    </w:p>
    <w:p>
      <w:pPr>
        <w:spacing w:line="360" w:lineRule="auto"/>
        <w:jc w:val="center"/>
        <w:outlineLvl w:val="0"/>
        <w:rPr>
          <w:rFonts w:ascii="宋体" w:hAnsi="宋体" w:cs="宋体"/>
          <w:b/>
          <w:bCs/>
          <w:kern w:val="0"/>
          <w:sz w:val="44"/>
          <w:szCs w:val="44"/>
        </w:rPr>
      </w:pPr>
      <w:r>
        <w:rPr>
          <w:rFonts w:hint="eastAsia" w:ascii="宋体" w:hAnsi="宋体" w:cs="宋体"/>
          <w:b/>
          <w:bCs/>
          <w:kern w:val="0"/>
          <w:sz w:val="44"/>
          <w:szCs w:val="44"/>
        </w:rPr>
        <w:t>壤塘县应急管理局202</w:t>
      </w:r>
      <w:r>
        <w:rPr>
          <w:rFonts w:hint="eastAsia" w:ascii="宋体" w:hAnsi="宋体" w:cs="宋体"/>
          <w:b/>
          <w:bCs/>
          <w:kern w:val="0"/>
          <w:sz w:val="44"/>
          <w:szCs w:val="44"/>
          <w:lang w:val="en-US" w:eastAsia="zh-CN"/>
        </w:rPr>
        <w:t>5</w:t>
      </w:r>
      <w:r>
        <w:rPr>
          <w:rFonts w:hint="eastAsia" w:ascii="宋体" w:hAnsi="宋体" w:cs="宋体"/>
          <w:b/>
          <w:bCs/>
          <w:kern w:val="0"/>
          <w:sz w:val="44"/>
          <w:szCs w:val="44"/>
        </w:rPr>
        <w:t>年度部门整体支出绩效评价自评报告</w:t>
      </w:r>
    </w:p>
    <w:p>
      <w:pPr>
        <w:spacing w:line="360" w:lineRule="auto"/>
        <w:jc w:val="center"/>
        <w:rPr>
          <w:rFonts w:ascii="宋体" w:hAnsi="宋体" w:cs="宋体"/>
          <w:kern w:val="0"/>
          <w:szCs w:val="21"/>
        </w:rPr>
      </w:pPr>
    </w:p>
    <w:p>
      <w:pPr>
        <w:numPr>
          <w:ilvl w:val="0"/>
          <w:numId w:val="3"/>
        </w:numPr>
        <w:spacing w:line="360" w:lineRule="auto"/>
        <w:outlineLvl w:val="0"/>
        <w:rPr>
          <w:rFonts w:hint="eastAsia" w:ascii="黑体" w:hAnsi="黑体" w:eastAsia="黑体" w:cs="黑体"/>
          <w:kern w:val="0"/>
          <w:sz w:val="32"/>
          <w:szCs w:val="32"/>
        </w:rPr>
      </w:pPr>
      <w:r>
        <w:rPr>
          <w:rFonts w:hint="eastAsia" w:ascii="黑体" w:hAnsi="黑体" w:eastAsia="黑体" w:cs="黑体"/>
          <w:kern w:val="0"/>
          <w:sz w:val="32"/>
          <w:szCs w:val="32"/>
        </w:rPr>
        <w:t>部门（单位）概况</w:t>
      </w:r>
    </w:p>
    <w:p>
      <w:pPr>
        <w:numPr>
          <w:ilvl w:val="0"/>
          <w:numId w:val="0"/>
        </w:numPr>
        <w:spacing w:line="360" w:lineRule="auto"/>
        <w:ind w:firstLine="640" w:firstLineChars="200"/>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壤塘县应急管理局：</w:t>
      </w:r>
      <w:r>
        <w:rPr>
          <w:rFonts w:hint="eastAsia" w:ascii="仿宋_GB2312" w:hAnsi="仿宋_GB2312" w:eastAsia="仿宋_GB2312" w:cs="仿宋_GB2312"/>
          <w:color w:val="auto"/>
          <w:sz w:val="32"/>
          <w:szCs w:val="32"/>
          <w:lang w:val="en-US" w:eastAsia="zh-CN"/>
        </w:rPr>
        <w:t>行政</w:t>
      </w:r>
      <w:r>
        <w:rPr>
          <w:rFonts w:hint="eastAsia" w:ascii="仿宋_GB2312" w:hAnsi="仿宋_GB2312" w:eastAsia="仿宋_GB2312" w:cs="仿宋_GB2312"/>
          <w:color w:val="auto"/>
          <w:sz w:val="32"/>
          <w:szCs w:val="32"/>
        </w:rPr>
        <w:t>，机构地址：四川省阿坝藏族羌族自治州四川省阿坝州壤塘县岗木达镇罗吾塘中街33号，单位负责人：</w:t>
      </w:r>
      <w:r>
        <w:rPr>
          <w:rFonts w:hint="eastAsia" w:ascii="仿宋_GB2312" w:hAnsi="仿宋_GB2312" w:eastAsia="仿宋_GB2312" w:cs="仿宋_GB2312"/>
          <w:color w:val="auto"/>
          <w:sz w:val="32"/>
          <w:szCs w:val="32"/>
          <w:lang w:val="en-US" w:eastAsia="zh-CN"/>
        </w:rPr>
        <w:t>刘海波</w:t>
      </w:r>
      <w:r>
        <w:rPr>
          <w:rFonts w:hint="eastAsia" w:ascii="仿宋_GB2312" w:hAnsi="仿宋_GB2312" w:eastAsia="仿宋_GB2312" w:cs="仿宋_GB2312"/>
          <w:color w:val="auto"/>
          <w:sz w:val="32"/>
          <w:szCs w:val="32"/>
        </w:rPr>
        <w:t>。</w:t>
      </w:r>
    </w:p>
    <w:p>
      <w:pPr>
        <w:widowControl/>
        <w:adjustRightInd w:val="0"/>
        <w:snapToGrid w:val="0"/>
        <w:spacing w:line="560" w:lineRule="exact"/>
        <w:ind w:firstLine="642" w:firstLineChars="200"/>
        <w:contextualSpacing/>
        <w:jc w:val="left"/>
        <w:outlineLvl w:val="1"/>
        <w:rPr>
          <w:rFonts w:ascii="仿宋_GB2312" w:hAnsi="宋体" w:eastAsia="仿宋_GB2312" w:cs="宋体"/>
          <w:b/>
          <w:bCs/>
          <w:color w:val="auto"/>
          <w:kern w:val="0"/>
          <w:sz w:val="32"/>
          <w:szCs w:val="32"/>
          <w:shd w:val="clear" w:color="auto" w:fill="FFFFFF"/>
        </w:rPr>
      </w:pPr>
      <w:r>
        <w:rPr>
          <w:rFonts w:ascii="仿宋_GB2312" w:hAnsi="宋体" w:eastAsia="仿宋_GB2312" w:cs="仿宋_GB2312"/>
          <w:b/>
          <w:bCs/>
          <w:color w:val="auto"/>
          <w:kern w:val="0"/>
          <w:sz w:val="32"/>
          <w:szCs w:val="32"/>
          <w:shd w:val="clear" w:color="auto" w:fill="FFFFFF"/>
          <w:lang w:bidi="ar"/>
        </w:rPr>
        <w:t>（一）机构组成</w:t>
      </w:r>
    </w:p>
    <w:p>
      <w:pPr>
        <w:spacing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壤塘县应急管理局下设三个股室（综合股、安监股、应急股），一个指挥中心（应急指挥中心），一个执法中队（</w:t>
      </w:r>
      <w:r>
        <w:rPr>
          <w:rFonts w:hint="eastAsia" w:ascii="仿宋_GB2312" w:hAnsi="仿宋_GB2312" w:eastAsia="仿宋_GB2312" w:cs="仿宋_GB2312"/>
          <w:color w:val="auto"/>
          <w:sz w:val="32"/>
          <w:szCs w:val="32"/>
          <w:lang w:val="en-US" w:eastAsia="zh-CN"/>
        </w:rPr>
        <w:t>应急管理综合行政执法中队</w:t>
      </w:r>
      <w:r>
        <w:rPr>
          <w:rFonts w:hint="eastAsia" w:ascii="仿宋_GB2312" w:hAnsi="仿宋_GB2312" w:eastAsia="仿宋_GB2312" w:cs="仿宋_GB2312"/>
          <w:color w:val="auto"/>
          <w:sz w:val="32"/>
          <w:szCs w:val="32"/>
        </w:rPr>
        <w:t>）。下属二级单位1个，其中行政单位0个，参照公务员法管理的事业单位1个</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防震减灾事务中心）</w:t>
      </w:r>
      <w:r>
        <w:rPr>
          <w:rFonts w:hint="eastAsia" w:ascii="仿宋_GB2312" w:hAnsi="仿宋_GB2312" w:eastAsia="仿宋_GB2312" w:cs="仿宋_GB2312"/>
          <w:color w:val="auto"/>
          <w:sz w:val="32"/>
          <w:szCs w:val="32"/>
        </w:rPr>
        <w:t>，其他事业单位0个。</w:t>
      </w:r>
    </w:p>
    <w:p>
      <w:pPr>
        <w:widowControl/>
        <w:adjustRightInd w:val="0"/>
        <w:snapToGrid w:val="0"/>
        <w:spacing w:line="560" w:lineRule="exact"/>
        <w:ind w:firstLine="642" w:firstLineChars="200"/>
        <w:contextualSpacing/>
        <w:jc w:val="left"/>
        <w:rPr>
          <w:rFonts w:hint="eastAsia" w:ascii="仿宋_GB2312" w:hAnsi="仿宋_GB2312" w:eastAsia="仿宋_GB2312" w:cs="仿宋_GB2312"/>
          <w:b/>
          <w:bCs/>
          <w:sz w:val="32"/>
          <w:szCs w:val="32"/>
        </w:rPr>
      </w:pPr>
      <w:r>
        <w:rPr>
          <w:rFonts w:ascii="仿宋_GB2312" w:hAnsi="宋体" w:eastAsia="仿宋_GB2312" w:cs="仿宋_GB2312"/>
          <w:b/>
          <w:bCs/>
          <w:color w:val="000000"/>
          <w:kern w:val="0"/>
          <w:sz w:val="32"/>
          <w:szCs w:val="32"/>
          <w:shd w:val="clear" w:color="auto" w:fill="FFFFFF"/>
          <w:lang w:bidi="ar"/>
        </w:rPr>
        <w:t>（二）机构职能</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1.负责应急管理工作，组织和指导各乡（镇）、各部门（单位）应对安全生产类、自然灾害类等突发事件和综合防灾减灾救灾工作。负责安全生产综合监督管理和工矿商贸安全生产监督管理工作。</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2.拟订应急管理、安全生产等有关规范性文件，组织编制应急体系建设、安全生产和综合防灾减灾规划。</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3.负责组织、指导应急预案体系建设，建立完善</w:t>
      </w:r>
      <w:r>
        <w:rPr>
          <w:rFonts w:hint="eastAsia" w:ascii="仿宋" w:hAnsi="仿宋" w:eastAsia="仿宋"/>
          <w:bCs/>
          <w:sz w:val="32"/>
          <w:szCs w:val="32"/>
          <w:lang w:eastAsia="zh-CN"/>
        </w:rPr>
        <w:t>事故灾害</w:t>
      </w:r>
      <w:r>
        <w:rPr>
          <w:rFonts w:hint="eastAsia" w:ascii="仿宋" w:hAnsi="仿宋" w:eastAsia="仿宋"/>
          <w:bCs/>
          <w:sz w:val="32"/>
          <w:szCs w:val="32"/>
        </w:rPr>
        <w:t>和自然灾害分级应对制度，牵头组织编制综合应急防灾减灾预案和安全生产类、自然灾害类专项预案，负责应急预案衔接工作，组织开展预案演练并落实，推动应急避难设施建设。</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4.牵头建立统一的应急管理信息系统，负责信息传输渠道的规划和布局，建立监测预警和灾情报告制度,健全自然灾害信息资源获取和共享机制，依法统一发布灾情。</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5.负责组织、指导、协调安全生产类、自然灾害类等突发事件应急救援，承担全县应对一般、较大及以上灾害指挥部工作，综合研判突发事件发展态势并提出应对建议，负责组织一般、较大及以上灾害应急处置工作。</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6.统一协调指挥各类应急专业队伍，建立应急协调联动机制，推进指挥平台对接。提请衔接解放军和武警部队参与应急救援工作。</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7.按照国家、省、州相关政策和规定负责消防、森林和草原火灾扑救、抗洪抢险、地震和地质灾害救援、生产安全事故救援等专业应急救援力量建设，依法依规统筹指导各乡（镇）及社会应急救援力量和应急保障能力建设。</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8.按照国家、省、州相关政策和县委、县政府相关规定负责消防工作，组织和指导消防监督、火灾预防、火灾扑救等工作。</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9.负责自然灾害综合监测预警工作，承担自然灾害综合风险评估工作，指导协调森林和草原火灾、水旱灾害、地震和地质灾害等防治工作。</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10.负责组织、协调灾害救助工作，组织和指导灾情核查、损失评估、救灾捐赠工作， 管理、分配中央、省、州下拨及县级救灾款物并监督使用。</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11.依法承担县政府安全生产综合监督管理责任，指导协调、监督检查县级有关部门和各乡（镇）政府安全生产工作，组织开展安全生产巡查、督查、考核工作。</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12.按照分级、属地原则，依法监督检查工矿商贸生产经营单位贯彻执行安全生产法律法规情况及其安全生产条件和有关设备（ 特种设备除外）、材料、劳动防护用品的安全生产管理工作。协助做好在县工矿商贸企业安全生产监督管理工作。负责危险化学品综合安全监督管理工作和烟花爆竹安全生产监督管理工作。</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13.承担非煤矿山、危险化学品、非药品类易制毒化学品和烟花爆竹等生产经营单位</w:t>
      </w:r>
      <w:r>
        <w:rPr>
          <w:rFonts w:hint="eastAsia" w:ascii="仿宋" w:hAnsi="仿宋" w:eastAsia="仿宋"/>
          <w:bCs/>
          <w:sz w:val="32"/>
          <w:szCs w:val="32"/>
          <w:lang w:eastAsia="zh-CN"/>
        </w:rPr>
        <w:t>安全生产监督管理</w:t>
      </w:r>
      <w:r>
        <w:rPr>
          <w:rFonts w:hint="eastAsia" w:ascii="仿宋" w:hAnsi="仿宋" w:eastAsia="仿宋"/>
          <w:bCs/>
          <w:sz w:val="32"/>
          <w:szCs w:val="32"/>
        </w:rPr>
        <w:t>责任。</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14.依法组织、指导生产安全事故调查处理，监督事故查处和责任追究落实情况。组织开展自然灾害类突发事件的调查评估工作。</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15.开展应急管理和安全生产方面的交流与合作，组织参与安全生产类、自然灾害类等突发事件的跨区域救援工作。</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16.制定应急物资储备和应急救援装备规划并组织实施，会同县发展和改革局等部门建立健全应急物资信息平台和调度拨发制度，在救灾时统一调度。</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17.负责应急管理、安全生产宣传教育和培训工作， 组织和指导应急管理、 安全生产的科学技术工作。</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18.负责职责范围内的职业健康机构节能减排、审批服务便民化工作。</w:t>
      </w:r>
    </w:p>
    <w:p>
      <w:pPr>
        <w:widowControl/>
        <w:adjustRightInd w:val="0"/>
        <w:snapToGrid w:val="0"/>
        <w:spacing w:line="560" w:lineRule="exact"/>
        <w:ind w:firstLine="640" w:firstLineChars="200"/>
        <w:contextualSpacing/>
        <w:jc w:val="left"/>
        <w:rPr>
          <w:rFonts w:hint="eastAsia" w:ascii="仿宋" w:hAnsi="仿宋" w:eastAsia="仿宋"/>
          <w:bCs/>
          <w:sz w:val="32"/>
          <w:szCs w:val="32"/>
        </w:rPr>
      </w:pPr>
      <w:r>
        <w:rPr>
          <w:rFonts w:hint="eastAsia" w:ascii="仿宋" w:hAnsi="仿宋" w:eastAsia="仿宋"/>
          <w:bCs/>
          <w:sz w:val="32"/>
          <w:szCs w:val="32"/>
        </w:rPr>
        <w:t>19.完成县委和县政府交办的其他工作。</w:t>
      </w:r>
    </w:p>
    <w:p>
      <w:pPr>
        <w:widowControl/>
        <w:adjustRightInd w:val="0"/>
        <w:snapToGrid w:val="0"/>
        <w:spacing w:line="560" w:lineRule="exact"/>
        <w:ind w:firstLine="640" w:firstLineChars="200"/>
        <w:contextualSpacing/>
        <w:jc w:val="left"/>
        <w:rPr>
          <w:rFonts w:ascii="仿宋" w:hAnsi="仿宋" w:eastAsia="仿宋"/>
          <w:bCs/>
          <w:sz w:val="32"/>
          <w:szCs w:val="32"/>
        </w:rPr>
      </w:pPr>
      <w:r>
        <w:rPr>
          <w:rFonts w:hint="eastAsia" w:ascii="仿宋" w:hAnsi="仿宋" w:eastAsia="仿宋"/>
          <w:bCs/>
          <w:sz w:val="32"/>
          <w:szCs w:val="32"/>
        </w:rPr>
        <w:t>20.职能转变。加强、优化、统筹应急能力建设，构建统一领导、权责一致、权威高效的应急能力体系，推动形成统一指挥、专常兼备、反应灵敏、上下联动、平战结合、特色鲜明的应急管理体制。一是坚持以防为主、防抗救结合，坚持常态减灾和非常态救灾相统一，努力实现从注重灾后救助向注重灾前预防转变，从应对单一灾种向综合减灾转变，从减少灾害损失向减轻灾害风险转变，提高全县应急管理水平和防灾减灾救灾能力，</w:t>
      </w:r>
      <w:r>
        <w:rPr>
          <w:rFonts w:hint="eastAsia" w:ascii="仿宋" w:hAnsi="仿宋" w:eastAsia="仿宋"/>
          <w:bCs/>
          <w:sz w:val="32"/>
          <w:szCs w:val="32"/>
          <w:lang w:eastAsia="zh-CN"/>
        </w:rPr>
        <w:t>防范化解重大安全风险</w:t>
      </w:r>
      <w:r>
        <w:rPr>
          <w:rFonts w:hint="eastAsia" w:ascii="仿宋" w:hAnsi="仿宋" w:eastAsia="仿宋"/>
          <w:bCs/>
          <w:sz w:val="32"/>
          <w:szCs w:val="32"/>
        </w:rPr>
        <w:t>。二是坚持以人为本，把确保人民群众生命财产安全放在首位，确保受灾群众基本生活，加强应急预案演练，增强全民防灾减灾意识，提升公众知识普及和自救互救技能，切实减少人员伤亡和财产损失。</w:t>
      </w:r>
      <w:r>
        <w:rPr>
          <w:rFonts w:hint="eastAsia" w:ascii="仿宋" w:hAnsi="仿宋" w:eastAsia="仿宋"/>
          <w:bCs/>
          <w:sz w:val="32"/>
          <w:szCs w:val="32"/>
          <w:lang w:eastAsia="zh-CN"/>
        </w:rPr>
        <w:t>三是牢固树立安全</w:t>
      </w:r>
      <w:r>
        <w:rPr>
          <w:rFonts w:hint="eastAsia" w:ascii="仿宋" w:hAnsi="仿宋" w:eastAsia="仿宋"/>
          <w:bCs/>
          <w:sz w:val="32"/>
          <w:szCs w:val="32"/>
        </w:rPr>
        <w:t>发展理念，坚持生命至上、安全第一，完善安全生产责任制，努力杜绝重特大安全事故、遏制较大事故、减少一般事故。</w:t>
      </w:r>
    </w:p>
    <w:p>
      <w:pPr>
        <w:widowControl/>
        <w:adjustRightInd w:val="0"/>
        <w:snapToGrid w:val="0"/>
        <w:spacing w:line="560" w:lineRule="exact"/>
        <w:ind w:firstLine="642" w:firstLineChars="200"/>
        <w:contextualSpacing/>
        <w:jc w:val="left"/>
        <w:rPr>
          <w:rFonts w:hint="eastAsia" w:ascii="仿宋_GB2312" w:hAnsi="宋体" w:eastAsia="仿宋_GB2312" w:cs="仿宋_GB2312"/>
          <w:b/>
          <w:bCs/>
          <w:color w:val="000000"/>
          <w:kern w:val="0"/>
          <w:sz w:val="32"/>
          <w:szCs w:val="32"/>
          <w:shd w:val="clear" w:color="auto" w:fill="FFFFFF"/>
          <w:lang w:bidi="ar"/>
        </w:rPr>
      </w:pPr>
      <w:r>
        <w:rPr>
          <w:rFonts w:hint="eastAsia" w:ascii="仿宋_GB2312" w:hAnsi="宋体" w:eastAsia="仿宋_GB2312" w:cs="仿宋_GB2312"/>
          <w:b/>
          <w:bCs/>
          <w:color w:val="000000"/>
          <w:kern w:val="0"/>
          <w:sz w:val="32"/>
          <w:szCs w:val="32"/>
          <w:shd w:val="clear" w:color="auto" w:fill="FFFFFF"/>
          <w:lang w:bidi="ar"/>
        </w:rPr>
        <w:t>（三）人员概况</w:t>
      </w:r>
    </w:p>
    <w:p>
      <w:pPr>
        <w:ind w:firstLine="640" w:firstLineChars="200"/>
        <w:rPr>
          <w:rFonts w:ascii="仿宋_GB2312" w:hAnsi="仿宋_GB2312" w:eastAsia="仿宋_GB2312" w:cs="仿宋_GB2312"/>
          <w:color w:val="auto"/>
          <w:sz w:val="32"/>
          <w:szCs w:val="32"/>
        </w:rPr>
      </w:pPr>
      <w:r>
        <w:rPr>
          <w:rFonts w:hint="eastAsia" w:ascii="仿宋_GB2312" w:hAnsi="宋体" w:eastAsia="仿宋_GB2312" w:cs="仿宋_GB2312"/>
          <w:color w:val="auto"/>
          <w:kern w:val="0"/>
          <w:sz w:val="32"/>
          <w:szCs w:val="32"/>
        </w:rPr>
        <w:t>壤塘县应急管理局</w:t>
      </w:r>
      <w:r>
        <w:rPr>
          <w:rFonts w:hint="eastAsia" w:ascii="仿宋_GB2312" w:hAnsi="宋体" w:eastAsia="仿宋_GB2312" w:cs="仿宋_GB2312"/>
          <w:color w:val="auto"/>
          <w:kern w:val="0"/>
          <w:sz w:val="32"/>
          <w:szCs w:val="32"/>
          <w:lang w:eastAsia="zh-CN"/>
        </w:rPr>
        <w:t>截至</w:t>
      </w:r>
      <w:r>
        <w:rPr>
          <w:rFonts w:hint="eastAsia" w:ascii="仿宋_GB2312" w:hAnsi="宋体" w:eastAsia="仿宋_GB2312" w:cs="仿宋_GB2312"/>
          <w:color w:val="auto"/>
          <w:kern w:val="0"/>
          <w:sz w:val="32"/>
          <w:szCs w:val="32"/>
        </w:rPr>
        <w:t>202</w:t>
      </w:r>
      <w:r>
        <w:rPr>
          <w:rFonts w:hint="eastAsia" w:ascii="仿宋_GB2312" w:hAnsi="宋体" w:eastAsia="仿宋_GB2312" w:cs="仿宋_GB2312"/>
          <w:color w:val="auto"/>
          <w:kern w:val="0"/>
          <w:sz w:val="32"/>
          <w:szCs w:val="32"/>
          <w:lang w:val="en-US" w:eastAsia="zh-CN"/>
        </w:rPr>
        <w:t>5</w:t>
      </w:r>
      <w:r>
        <w:rPr>
          <w:rFonts w:hint="eastAsia" w:ascii="仿宋_GB2312" w:hAnsi="宋体" w:eastAsia="仿宋_GB2312" w:cs="仿宋_GB2312"/>
          <w:color w:val="auto"/>
          <w:kern w:val="0"/>
          <w:sz w:val="32"/>
          <w:szCs w:val="32"/>
        </w:rPr>
        <w:t>年12月31日，年底在职总人数为</w:t>
      </w:r>
      <w:r>
        <w:rPr>
          <w:rFonts w:hint="eastAsia" w:ascii="仿宋_GB2312" w:hAnsi="宋体" w:eastAsia="仿宋_GB2312" w:cs="仿宋_GB2312"/>
          <w:color w:val="auto"/>
          <w:kern w:val="0"/>
          <w:sz w:val="32"/>
          <w:szCs w:val="32"/>
          <w:lang w:val="en-US" w:eastAsia="zh-CN"/>
        </w:rPr>
        <w:t>36</w:t>
      </w:r>
      <w:r>
        <w:rPr>
          <w:rFonts w:hint="eastAsia" w:ascii="仿宋_GB2312" w:hAnsi="宋体" w:eastAsia="仿宋_GB2312" w:cs="仿宋_GB2312"/>
          <w:color w:val="auto"/>
          <w:kern w:val="0"/>
          <w:sz w:val="32"/>
          <w:szCs w:val="32"/>
        </w:rPr>
        <w:t>人。</w:t>
      </w:r>
    </w:p>
    <w:p>
      <w:pPr>
        <w:widowControl/>
        <w:adjustRightInd w:val="0"/>
        <w:snapToGrid w:val="0"/>
        <w:spacing w:line="560" w:lineRule="exact"/>
        <w:contextualSpacing/>
        <w:jc w:val="left"/>
        <w:rPr>
          <w:rFonts w:hint="eastAsia"/>
          <w:lang w:bidi="ar"/>
        </w:rPr>
      </w:pPr>
      <w:r>
        <w:rPr>
          <w:rFonts w:hint="eastAsia" w:ascii="黑体" w:hAnsi="宋体" w:eastAsia="黑体" w:cs="黑体"/>
          <w:color w:val="000000"/>
          <w:kern w:val="0"/>
          <w:sz w:val="32"/>
          <w:szCs w:val="32"/>
          <w:shd w:val="clear" w:color="auto" w:fill="FFFFFF"/>
          <w:lang w:bidi="ar"/>
        </w:rPr>
        <w:t>二、部门财政资金收支情况</w:t>
      </w:r>
    </w:p>
    <w:p>
      <w:pPr>
        <w:widowControl/>
        <w:adjustRightInd w:val="0"/>
        <w:snapToGrid w:val="0"/>
        <w:spacing w:line="560" w:lineRule="exact"/>
        <w:ind w:firstLine="642" w:firstLineChars="200"/>
        <w:contextualSpacing/>
        <w:jc w:val="left"/>
        <w:rPr>
          <w:rFonts w:ascii="仿宋_GB2312" w:hAnsi="宋体" w:eastAsia="仿宋_GB2312" w:cs="宋体"/>
          <w:b/>
          <w:bCs/>
          <w:color w:val="000000"/>
          <w:kern w:val="0"/>
          <w:sz w:val="32"/>
          <w:szCs w:val="32"/>
          <w:shd w:val="clear" w:color="auto" w:fill="FFFFFF"/>
        </w:rPr>
      </w:pPr>
      <w:r>
        <w:rPr>
          <w:rFonts w:ascii="仿宋_GB2312" w:hAnsi="宋体" w:eastAsia="仿宋_GB2312" w:cs="仿宋_GB2312"/>
          <w:b/>
          <w:bCs/>
          <w:color w:val="000000"/>
          <w:kern w:val="0"/>
          <w:sz w:val="32"/>
          <w:szCs w:val="32"/>
          <w:shd w:val="clear" w:color="auto" w:fill="FFFFFF"/>
          <w:lang w:bidi="ar"/>
        </w:rPr>
        <w:t>（一）部门财政资金收入情况</w:t>
      </w:r>
    </w:p>
    <w:p>
      <w:pPr>
        <w:pStyle w:val="38"/>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年财政下达壤塘县应急管理局年初预算收入</w:t>
      </w:r>
      <w:r>
        <w:rPr>
          <w:rFonts w:hint="eastAsia" w:ascii="仿宋_GB2312" w:hAnsi="仿宋_GB2312" w:eastAsia="仿宋_GB2312" w:cs="仿宋_GB2312"/>
          <w:color w:val="auto"/>
          <w:sz w:val="32"/>
          <w:szCs w:val="32"/>
          <w:lang w:val="en-US" w:eastAsia="zh-CN"/>
        </w:rPr>
        <w:t>670.53</w:t>
      </w:r>
      <w:r>
        <w:rPr>
          <w:rFonts w:hint="eastAsia" w:ascii="仿宋_GB2312" w:hAnsi="仿宋_GB2312" w:eastAsia="仿宋_GB2312" w:cs="仿宋_GB2312"/>
          <w:color w:val="auto"/>
          <w:sz w:val="32"/>
          <w:szCs w:val="32"/>
        </w:rPr>
        <w:t>万元，执行期间追加资金</w:t>
      </w:r>
      <w:r>
        <w:rPr>
          <w:rFonts w:hint="eastAsia" w:ascii="仿宋_GB2312" w:hAnsi="仿宋_GB2312" w:eastAsia="仿宋_GB2312" w:cs="仿宋_GB2312"/>
          <w:color w:val="auto"/>
          <w:sz w:val="32"/>
          <w:szCs w:val="32"/>
          <w:lang w:val="en-US" w:eastAsia="zh-CN"/>
        </w:rPr>
        <w:t>1251.68</w:t>
      </w:r>
      <w:r>
        <w:rPr>
          <w:rFonts w:hint="eastAsia" w:ascii="仿宋_GB2312" w:hAnsi="仿宋_GB2312" w:eastAsia="仿宋_GB2312" w:cs="仿宋_GB2312"/>
          <w:color w:val="auto"/>
          <w:sz w:val="32"/>
          <w:szCs w:val="32"/>
        </w:rPr>
        <w:t>万元，年末</w:t>
      </w:r>
      <w:r>
        <w:rPr>
          <w:rFonts w:hint="eastAsia" w:ascii="仿宋_GB2312" w:hAnsi="仿宋_GB2312" w:eastAsia="仿宋_GB2312" w:cs="仿宋_GB2312"/>
          <w:color w:val="auto"/>
          <w:sz w:val="32"/>
          <w:szCs w:val="32"/>
          <w:lang w:val="en-US" w:eastAsia="zh-CN"/>
        </w:rPr>
        <w:t>收入总计</w:t>
      </w: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sz w:val="32"/>
          <w:szCs w:val="32"/>
          <w:lang w:val="en-US" w:eastAsia="zh-CN"/>
        </w:rPr>
        <w:t>1921.68</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lang w:val="en-US" w:eastAsia="zh-CN"/>
        </w:rPr>
        <w:t>其中使用上年结转结余0万元。</w:t>
      </w:r>
      <w:r>
        <w:rPr>
          <w:rFonts w:hint="eastAsia" w:ascii="仿宋_GB2312" w:hAnsi="仿宋_GB2312" w:eastAsia="仿宋_GB2312" w:cs="仿宋_GB2312"/>
          <w:sz w:val="32"/>
          <w:szCs w:val="32"/>
        </w:rPr>
        <w:t xml:space="preserve">  </w:t>
      </w:r>
    </w:p>
    <w:p>
      <w:pPr>
        <w:widowControl/>
        <w:adjustRightInd w:val="0"/>
        <w:snapToGrid w:val="0"/>
        <w:spacing w:line="560" w:lineRule="exact"/>
        <w:ind w:firstLine="642" w:firstLineChars="200"/>
        <w:contextualSpacing/>
        <w:jc w:val="left"/>
        <w:rPr>
          <w:rFonts w:hint="eastAsia" w:ascii="仿宋_GB2312" w:hAnsi="仿宋_GB2312" w:eastAsia="仿宋_GB2312" w:cs="仿宋_GB2312"/>
          <w:b/>
          <w:bCs/>
          <w:sz w:val="32"/>
          <w:szCs w:val="32"/>
        </w:rPr>
      </w:pPr>
      <w:r>
        <w:rPr>
          <w:rFonts w:ascii="仿宋_GB2312" w:hAnsi="宋体" w:eastAsia="仿宋_GB2312" w:cs="仿宋_GB2312"/>
          <w:b/>
          <w:bCs/>
          <w:color w:val="000000"/>
          <w:kern w:val="0"/>
          <w:sz w:val="32"/>
          <w:szCs w:val="32"/>
          <w:shd w:val="clear" w:color="auto" w:fill="FFFFFF"/>
          <w:lang w:bidi="ar"/>
        </w:rPr>
        <w:t>（二）部门财政资金支出情况</w:t>
      </w:r>
    </w:p>
    <w:p>
      <w:pPr>
        <w:pStyle w:val="38"/>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年壤塘县应急管理局共计预算支出</w:t>
      </w:r>
      <w:r>
        <w:rPr>
          <w:rFonts w:hint="eastAsia" w:ascii="仿宋_GB2312" w:hAnsi="仿宋_GB2312" w:eastAsia="仿宋_GB2312" w:cs="仿宋_GB2312"/>
          <w:sz w:val="32"/>
          <w:szCs w:val="32"/>
          <w:lang w:val="en-US" w:eastAsia="zh-CN"/>
        </w:rPr>
        <w:t>1921.68</w:t>
      </w:r>
      <w:r>
        <w:rPr>
          <w:rFonts w:hint="eastAsia" w:ascii="仿宋_GB2312" w:hAnsi="仿宋_GB2312" w:eastAsia="仿宋_GB2312" w:cs="仿宋_GB2312"/>
          <w:sz w:val="32"/>
          <w:szCs w:val="32"/>
        </w:rPr>
        <w:t>万元，基本支出</w:t>
      </w:r>
      <w:r>
        <w:rPr>
          <w:rFonts w:hint="eastAsia" w:ascii="仿宋_GB2312" w:hAnsi="仿宋_GB2312" w:eastAsia="仿宋_GB2312" w:cs="仿宋_GB2312"/>
          <w:sz w:val="32"/>
          <w:szCs w:val="32"/>
          <w:lang w:val="en-US" w:eastAsia="zh-CN"/>
        </w:rPr>
        <w:t>799.35</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1122.33</w:t>
      </w:r>
      <w:r>
        <w:rPr>
          <w:rFonts w:hint="eastAsia" w:ascii="仿宋_GB2312" w:hAnsi="仿宋_GB2312" w:eastAsia="仿宋_GB2312" w:cs="仿宋_GB2312"/>
          <w:sz w:val="32"/>
          <w:szCs w:val="32"/>
        </w:rPr>
        <w:t>万元。</w:t>
      </w:r>
    </w:p>
    <w:p>
      <w:pPr>
        <w:widowControl/>
        <w:adjustRightInd w:val="0"/>
        <w:snapToGrid w:val="0"/>
        <w:spacing w:line="560" w:lineRule="exact"/>
        <w:contextualSpacing/>
        <w:jc w:val="left"/>
        <w:rPr>
          <w:rFonts w:hint="eastAsia" w:ascii="黑体" w:hAnsi="宋体" w:eastAsia="黑体" w:cs="宋体"/>
          <w:color w:val="FF0000"/>
          <w:kern w:val="0"/>
          <w:sz w:val="32"/>
          <w:szCs w:val="32"/>
          <w:shd w:val="clear" w:color="auto" w:fill="FFFFFF"/>
        </w:rPr>
      </w:pPr>
      <w:r>
        <w:rPr>
          <w:rFonts w:hint="eastAsia" w:ascii="黑体" w:hAnsi="宋体" w:eastAsia="黑体" w:cs="黑体"/>
          <w:color w:val="auto"/>
          <w:kern w:val="0"/>
          <w:sz w:val="32"/>
          <w:szCs w:val="32"/>
          <w:shd w:val="clear" w:color="auto" w:fill="FFFFFF"/>
          <w:lang w:bidi="ar"/>
        </w:rPr>
        <w:t>三、部门整体预算绩效管理情况</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2" w:firstLineChars="200"/>
        <w:textAlignment w:val="auto"/>
        <w:rPr>
          <w:rFonts w:hint="eastAsia" w:ascii="仿宋_GB2312" w:hAnsi="宋体" w:eastAsia="仿宋_GB2312" w:cs="仿宋_GB2312"/>
          <w:b/>
          <w:bCs/>
          <w:color w:val="000000"/>
          <w:kern w:val="0"/>
          <w:sz w:val="32"/>
          <w:szCs w:val="32"/>
          <w:shd w:val="clear" w:color="auto" w:fill="FFFFFF"/>
          <w:lang w:bidi="ar"/>
        </w:rPr>
      </w:pPr>
      <w:r>
        <w:rPr>
          <w:rFonts w:hint="eastAsia" w:ascii="仿宋_GB2312" w:hAnsi="宋体" w:eastAsia="仿宋_GB2312" w:cs="仿宋_GB2312"/>
          <w:b/>
          <w:bCs/>
          <w:color w:val="000000"/>
          <w:kern w:val="0"/>
          <w:sz w:val="32"/>
          <w:szCs w:val="32"/>
          <w:shd w:val="clear" w:color="auto" w:fill="FFFFFF"/>
          <w:lang w:bidi="ar"/>
        </w:rPr>
        <w:t>（一）部门预算管理</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宋体" w:eastAsia="仿宋_GB2312" w:cs="仿宋_GB2312"/>
          <w:color w:val="000000"/>
          <w:kern w:val="0"/>
          <w:sz w:val="32"/>
          <w:szCs w:val="32"/>
          <w:shd w:val="clear" w:color="auto" w:fill="FFFFFF"/>
          <w:lang w:bidi="ar"/>
        </w:rPr>
      </w:pPr>
      <w:r>
        <w:rPr>
          <w:rFonts w:hint="eastAsia" w:ascii="仿宋_GB2312" w:hAnsi="宋体" w:eastAsia="仿宋_GB2312" w:cs="仿宋_GB2312"/>
          <w:color w:val="000000"/>
          <w:kern w:val="0"/>
          <w:sz w:val="32"/>
          <w:szCs w:val="32"/>
          <w:shd w:val="clear" w:color="auto" w:fill="FFFFFF"/>
          <w:lang w:bidi="ar"/>
        </w:rPr>
        <w:t>1、部门绩效目标制定情况</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Times New Roman" w:eastAsia="仿宋_GB2312"/>
          <w:sz w:val="32"/>
          <w:szCs w:val="32"/>
          <w:lang w:eastAsia="zh-CN"/>
        </w:rPr>
      </w:pPr>
      <w:r>
        <w:rPr>
          <w:rFonts w:hint="eastAsia" w:ascii="仿宋_GB2312" w:hAnsi="Times New Roman" w:eastAsia="仿宋_GB2312"/>
          <w:color w:val="000000"/>
          <w:sz w:val="32"/>
          <w:szCs w:val="32"/>
          <w:lang w:val="en-US" w:eastAsia="zh-CN"/>
        </w:rPr>
        <w:t>202</w:t>
      </w:r>
      <w:r>
        <w:rPr>
          <w:rFonts w:hint="eastAsia" w:hAnsi="Times New Roman" w:eastAsia="仿宋_GB2312"/>
          <w:color w:val="000000"/>
          <w:sz w:val="32"/>
          <w:szCs w:val="32"/>
          <w:lang w:val="en-US" w:eastAsia="zh-CN"/>
        </w:rPr>
        <w:t>5</w:t>
      </w:r>
      <w:r>
        <w:rPr>
          <w:rFonts w:hint="eastAsia" w:ascii="仿宋_GB2312" w:hAnsi="Times New Roman" w:eastAsia="仿宋_GB2312"/>
          <w:color w:val="000000"/>
          <w:sz w:val="32"/>
          <w:szCs w:val="32"/>
          <w:lang w:val="en-US" w:eastAsia="zh-CN"/>
        </w:rPr>
        <w:t>年保证</w:t>
      </w:r>
      <w:r>
        <w:rPr>
          <w:rFonts w:hint="eastAsia" w:ascii="仿宋_GB2312" w:hAnsi="Times New Roman" w:eastAsia="仿宋_GB2312"/>
          <w:color w:val="000000"/>
          <w:sz w:val="32"/>
          <w:szCs w:val="32"/>
        </w:rPr>
        <w:t>综合监管工作持续稳步推进，问题隐患有效整改</w:t>
      </w:r>
      <w:r>
        <w:rPr>
          <w:rFonts w:hint="eastAsia" w:ascii="仿宋_GB2312" w:hAnsi="Times New Roman" w:eastAsia="仿宋_GB2312"/>
          <w:color w:val="000000"/>
          <w:sz w:val="32"/>
          <w:szCs w:val="32"/>
          <w:lang w:eastAsia="zh-CN"/>
        </w:rPr>
        <w:t>，</w:t>
      </w:r>
      <w:r>
        <w:rPr>
          <w:rFonts w:hint="eastAsia" w:ascii="仿宋_GB2312" w:hAnsi="Times New Roman" w:eastAsia="仿宋_GB2312"/>
          <w:color w:val="000000"/>
          <w:sz w:val="32"/>
          <w:szCs w:val="32"/>
        </w:rPr>
        <w:t>县安办充分发挥综合协调、统筹监管作用，</w:t>
      </w:r>
      <w:r>
        <w:rPr>
          <w:rFonts w:ascii="仿宋_GB2312" w:hAnsi="Times New Roman" w:eastAsia="仿宋_GB2312"/>
          <w:sz w:val="32"/>
          <w:szCs w:val="32"/>
        </w:rPr>
        <w:t>严格按照全县安全生产大排查大整治工作要求，突出重点行业、重点领域扎实开展专项整治，坚决消除安全隐患</w:t>
      </w:r>
      <w:r>
        <w:rPr>
          <w:rFonts w:hint="eastAsia" w:ascii="仿宋_GB2312" w:hAnsi="Times New Roman" w:eastAsia="仿宋_GB2312"/>
          <w:sz w:val="32"/>
          <w:szCs w:val="32"/>
          <w:lang w:eastAsia="zh-CN"/>
        </w:rPr>
        <w:t>。</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宋体" w:eastAsia="仿宋_GB2312" w:cs="仿宋_GB2312"/>
          <w:color w:val="000000"/>
          <w:kern w:val="0"/>
          <w:sz w:val="32"/>
          <w:szCs w:val="32"/>
          <w:shd w:val="clear" w:color="auto" w:fill="FFFFFF"/>
          <w:lang w:bidi="ar"/>
        </w:rPr>
      </w:pPr>
      <w:r>
        <w:rPr>
          <w:rFonts w:hint="eastAsia" w:ascii="仿宋_GB2312" w:hAnsi="宋体" w:eastAsia="仿宋_GB2312" w:cs="仿宋_GB2312"/>
          <w:color w:val="000000" w:themeColor="text1"/>
          <w:kern w:val="0"/>
          <w:sz w:val="32"/>
          <w:szCs w:val="32"/>
          <w:shd w:val="clear" w:color="auto" w:fill="FFFFFF"/>
          <w:lang w:bidi="ar"/>
          <w14:textFill>
            <w14:solidFill>
              <w14:schemeClr w14:val="tx1"/>
            </w14:solidFill>
          </w14:textFill>
        </w:rPr>
        <w:t>2、目标完成情况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default" w:ascii="Times New Roman" w:hAnsi="Times New Roman" w:eastAsia="仿宋_GB2312" w:cs="Times New Roman"/>
          <w:sz w:val="32"/>
          <w:szCs w:val="32"/>
          <w:lang w:eastAsia="zh-CN"/>
        </w:rPr>
      </w:pPr>
      <w:r>
        <w:rPr>
          <w:rFonts w:hint="eastAsia" w:ascii="楷体_GB2312" w:hAnsi="楷体_GB2312" w:eastAsia="楷体_GB2312" w:cs="楷体_GB2312"/>
          <w:b/>
          <w:bCs/>
          <w:sz w:val="32"/>
          <w:szCs w:val="32"/>
          <w:lang w:val="en-US" w:eastAsia="zh-CN"/>
        </w:rPr>
        <w:t>（一）夯实安全生产基本盘。</w:t>
      </w:r>
      <w:r>
        <w:rPr>
          <w:rFonts w:hint="default" w:ascii="Times New Roman" w:hAnsi="Times New Roman" w:eastAsia="仿宋_GB2312" w:cs="Times New Roman"/>
          <w:sz w:val="32"/>
          <w:szCs w:val="32"/>
          <w:lang w:val="en-US" w:eastAsia="zh-CN"/>
        </w:rPr>
        <w:t>以安全生产治本攻坚三年行动为核心，深入开展重点行业领域专项整治，排查隐患902 项（含重大隐患4项），均完成整改；应用“蜀安焊”系统，核查重点场所583个，录入电气焊设备91台、从业人员63人、动火作业470项、有限空间等相关信息；持续开展监管执法，出动执法人员80余人次，检查企业70余家次，行政处罚26起，罚款17.45万元，加强部门联合执法形成合力；以“人人讲安全、个个会应急—查找身边安全隐患”为主题，开展安全宣传活动145余场次，参加人次达3万余人次，发放各类安全教育宣传资料4.2万余份。</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b/>
          <w:bCs/>
          <w:sz w:val="32"/>
          <w:szCs w:val="32"/>
          <w:lang w:val="en-US" w:eastAsia="zh-CN"/>
        </w:rPr>
        <w:t>（二）</w:t>
      </w:r>
      <w:r>
        <w:rPr>
          <w:rFonts w:hint="default" w:ascii="楷体_GB2312" w:hAnsi="楷体_GB2312" w:eastAsia="楷体_GB2312" w:cs="楷体_GB2312"/>
          <w:b/>
          <w:bCs/>
          <w:sz w:val="32"/>
          <w:szCs w:val="32"/>
          <w:lang w:val="en-US" w:eastAsia="zh-CN"/>
        </w:rPr>
        <w:t>坚持不懈抓实森林草原防灭火工作。</w:t>
      </w:r>
      <w:r>
        <w:rPr>
          <w:rFonts w:hint="default" w:ascii="Times New Roman" w:hAnsi="Times New Roman" w:eastAsia="仿宋_GB2312" w:cs="Times New Roman"/>
          <w:sz w:val="32"/>
          <w:szCs w:val="32"/>
          <w:lang w:val="en-US" w:eastAsia="zh-CN"/>
        </w:rPr>
        <w:t>汲取“2·5”火灾事故教训，全县范围内开展林牧区输配电设施设备火灾隐患排查工作，排查林牧区线路、电杆塔变压器安全隐患1125处（林牧区线路47处未完成整改），清理通道346.9km、可燃物1331m²，砍剪树木831颗；应急、林草、气象定期分析研判森林草原火险形势，会商研判113期，发布黄色预警8期，人工降雨增雪23次，发射炮弹79枚，开展用火审批114起，发送森林草原防灭火提示短信140余万条；发放森林防灭火和“法七条”宣传单19654份，进村入户宣传37985人次；督促开展应急演练13次，参演人数达1354人次。</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b/>
          <w:bCs/>
          <w:sz w:val="32"/>
          <w:szCs w:val="32"/>
          <w:lang w:val="en-US" w:eastAsia="zh-CN"/>
        </w:rPr>
        <w:t>（三）</w:t>
      </w:r>
      <w:r>
        <w:rPr>
          <w:rFonts w:hint="default" w:ascii="楷体_GB2312" w:hAnsi="楷体_GB2312" w:eastAsia="楷体_GB2312" w:cs="楷体_GB2312"/>
          <w:b/>
          <w:bCs/>
          <w:sz w:val="32"/>
          <w:szCs w:val="32"/>
          <w:lang w:val="en-US" w:eastAsia="zh-CN"/>
        </w:rPr>
        <w:t>全力抓牢防灾减灾救灾。</w:t>
      </w:r>
      <w:r>
        <w:rPr>
          <w:rFonts w:hint="default" w:ascii="Times New Roman" w:hAnsi="Times New Roman" w:eastAsia="仿宋_GB2312" w:cs="Times New Roman"/>
          <w:sz w:val="32"/>
          <w:szCs w:val="32"/>
          <w:lang w:val="en-US" w:eastAsia="zh-CN"/>
        </w:rPr>
        <w:t>汛期全县开展防汛演练及培训125次、6015人；落实联合值班值守机制，应急、水务、气象、自然资源会商研判149次，发布暴雨蓝色预警11期、黄色预警2期、联合预警提示单22次；紧急避险转移人口1904户7148人，按照每人每天30元临时生活补贴标准，已发放1140户4240人11.772万元，</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月底前完成764户2908人8.724万；联合人保财险完成辖区11702户农户巨灾保险投保，切实保障参保对象房屋安全。</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default" w:ascii="Times New Roman" w:hAnsi="Times New Roman" w:eastAsia="仿宋_GB2312" w:cs="Times New Roman"/>
          <w:sz w:val="32"/>
          <w:szCs w:val="32"/>
          <w:lang w:val="en-US" w:eastAsia="zh-CN"/>
        </w:rPr>
      </w:pPr>
      <w:r>
        <w:rPr>
          <w:rFonts w:hint="default" w:ascii="楷体_GB2312" w:hAnsi="楷体_GB2312" w:eastAsia="楷体_GB2312" w:cs="楷体_GB2312"/>
          <w:b/>
          <w:bCs/>
          <w:sz w:val="32"/>
          <w:szCs w:val="32"/>
          <w:lang w:val="en-US" w:eastAsia="zh-CN"/>
        </w:rPr>
        <w:t>（</w:t>
      </w:r>
      <w:r>
        <w:rPr>
          <w:rFonts w:hint="eastAsia" w:ascii="楷体_GB2312" w:hAnsi="楷体_GB2312" w:eastAsia="楷体_GB2312" w:cs="楷体_GB2312"/>
          <w:b/>
          <w:bCs/>
          <w:sz w:val="32"/>
          <w:szCs w:val="32"/>
          <w:lang w:val="en-US" w:eastAsia="zh-CN"/>
        </w:rPr>
        <w:t>四</w:t>
      </w:r>
      <w:r>
        <w:rPr>
          <w:rFonts w:hint="default" w:ascii="楷体_GB2312" w:hAnsi="楷体_GB2312" w:eastAsia="楷体_GB2312" w:cs="楷体_GB2312"/>
          <w:b/>
          <w:bCs/>
          <w:sz w:val="32"/>
          <w:szCs w:val="32"/>
          <w:lang w:val="en-US" w:eastAsia="zh-CN"/>
        </w:rPr>
        <w:t>）切实提升应急能力。</w:t>
      </w:r>
      <w:r>
        <w:rPr>
          <w:rFonts w:hint="default" w:ascii="Times New Roman" w:hAnsi="Times New Roman" w:eastAsia="仿宋_GB2312" w:cs="Times New Roman"/>
          <w:sz w:val="32"/>
          <w:szCs w:val="32"/>
          <w:lang w:val="en-US" w:eastAsia="zh-CN"/>
        </w:rPr>
        <w:t>更新乡镇、村（社区）应急队伍的人员，全县共有应急救援队伍75支，约1658人左右；更新全县应急物资储备，目前储备应急物资设备较全，全县物资库储备7.2万余件，其中应急救灾物资合计10348件（含县级物资7331件，州级前置物资3017件），中央前置救灾物资1416件直拨乡镇，为汛期防灾减灾救灾应急保障做好充分准备；完善《壤塘县总体应急预案》等42个各类行业领域内应急预案，要求各乡镇、成员单位按照科学性、可操作性的原则，完善各项应急预案和应急处理办法，并切实开展预案演练；采购农村消防水池444个，各乡镇已完成安装投入使用；完成应急指挥部系统国产化替换工作，接入各类灾害点位图谱及值班电话，全县31架无人机</w:t>
      </w:r>
      <w:r>
        <w:rPr>
          <w:rFonts w:hint="eastAsia" w:ascii="Times New Roman" w:hAnsi="Times New Roman" w:eastAsia="仿宋_GB2312" w:cs="Times New Roman"/>
          <w:sz w:val="32"/>
          <w:szCs w:val="32"/>
          <w:lang w:val="en-US" w:eastAsia="zh-CN"/>
        </w:rPr>
        <w:t>全部连线应急</w:t>
      </w:r>
      <w:r>
        <w:rPr>
          <w:rFonts w:hint="default" w:ascii="Times New Roman" w:hAnsi="Times New Roman" w:eastAsia="仿宋_GB2312" w:cs="Times New Roman"/>
          <w:sz w:val="32"/>
          <w:szCs w:val="32"/>
          <w:lang w:val="en-US" w:eastAsia="zh-CN"/>
        </w:rPr>
        <w:t>视频会议系统</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实现实时传输灾害画面至县应急指挥部。</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default" w:ascii="Times New Roman" w:hAnsi="Times New Roman" w:eastAsia="仿宋_GB2312" w:cs="Times New Roman"/>
          <w:sz w:val="32"/>
          <w:szCs w:val="32"/>
          <w:lang w:val="en-US" w:eastAsia="zh-CN"/>
        </w:rPr>
      </w:pPr>
      <w:r>
        <w:rPr>
          <w:rFonts w:hint="default" w:ascii="楷体_GB2312" w:hAnsi="楷体_GB2312" w:eastAsia="楷体_GB2312" w:cs="楷体_GB2312"/>
          <w:b/>
          <w:bCs/>
          <w:sz w:val="32"/>
          <w:szCs w:val="32"/>
          <w:lang w:val="en-US" w:eastAsia="zh-CN"/>
        </w:rPr>
        <w:t>（</w:t>
      </w:r>
      <w:r>
        <w:rPr>
          <w:rFonts w:hint="eastAsia" w:ascii="楷体_GB2312" w:hAnsi="楷体_GB2312" w:eastAsia="楷体_GB2312" w:cs="楷体_GB2312"/>
          <w:b/>
          <w:bCs/>
          <w:sz w:val="32"/>
          <w:szCs w:val="32"/>
          <w:lang w:val="en-US" w:eastAsia="zh-CN"/>
        </w:rPr>
        <w:t>五</w:t>
      </w:r>
      <w:r>
        <w:rPr>
          <w:rFonts w:hint="default" w:ascii="楷体_GB2312" w:hAnsi="楷体_GB2312" w:eastAsia="楷体_GB2312" w:cs="楷体_GB2312"/>
          <w:b/>
          <w:bCs/>
          <w:sz w:val="32"/>
          <w:szCs w:val="32"/>
          <w:lang w:val="en-US" w:eastAsia="zh-CN"/>
        </w:rPr>
        <w:t>）高质量夯实防震减灾基础。</w:t>
      </w:r>
      <w:r>
        <w:rPr>
          <w:rFonts w:hint="default" w:ascii="Times New Roman" w:hAnsi="Times New Roman" w:eastAsia="仿宋_GB2312" w:cs="Times New Roman"/>
          <w:sz w:val="32"/>
          <w:szCs w:val="32"/>
          <w:lang w:val="en-US" w:eastAsia="zh-CN"/>
        </w:rPr>
        <w:t>推进科普教育“八进” 活动，在“5.12”“6.10”等节点深入机关、学校、企业等宣传，举办培训5期</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发放藏汉双语读本 8000 余册、宣传品3000余套；及时有效维护维修地震监测仪器，地震仪器正常运转率达99.8%，开展震情会商9次，指导乡（镇）、学校开展应急演练40余次；投入省局转移资金6万元，用于南木达镇建设二氧化碳气体观测台站，加密地震观测台站网，强化地震预警预测能力；将上杜柯流体台站观测仪器返厂进行系统升级，软件更新，进一步保障地震数据可靠，地震预测准确。</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3、预算编制情况</w:t>
      </w:r>
    </w:p>
    <w:p>
      <w:pPr>
        <w:pStyle w:val="38"/>
        <w:spacing w:line="360" w:lineRule="auto"/>
        <w:ind w:firstLine="640"/>
        <w:rPr>
          <w:rFonts w:ascii="仿宋_GB2312" w:hAnsi="宋体" w:eastAsia="仿宋_GB2312" w:cs="仿宋_GB2312"/>
          <w:color w:val="000000"/>
          <w:kern w:val="0"/>
          <w:sz w:val="32"/>
          <w:szCs w:val="32"/>
          <w:shd w:val="clear" w:color="auto" w:fill="FFFFFF"/>
          <w:lang w:bidi="ar"/>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年财政下达壤塘县应急管理局年初预算收入</w:t>
      </w:r>
      <w:r>
        <w:rPr>
          <w:rFonts w:hint="eastAsia" w:ascii="仿宋_GB2312" w:hAnsi="仿宋_GB2312" w:eastAsia="仿宋_GB2312" w:cs="仿宋_GB2312"/>
          <w:sz w:val="32"/>
          <w:szCs w:val="32"/>
          <w:lang w:val="en-US" w:eastAsia="zh-CN"/>
        </w:rPr>
        <w:t>670.53</w:t>
      </w:r>
      <w:r>
        <w:rPr>
          <w:rFonts w:hint="eastAsia" w:ascii="仿宋_GB2312" w:hAnsi="仿宋_GB2312" w:eastAsia="仿宋_GB2312" w:cs="仿宋_GB2312"/>
          <w:sz w:val="32"/>
          <w:szCs w:val="32"/>
        </w:rPr>
        <w:t>万元，执行期间追加资金</w:t>
      </w:r>
      <w:r>
        <w:rPr>
          <w:rFonts w:hint="eastAsia" w:ascii="仿宋_GB2312" w:hAnsi="仿宋_GB2312" w:eastAsia="仿宋_GB2312" w:cs="仿宋_GB2312"/>
          <w:sz w:val="32"/>
          <w:szCs w:val="32"/>
          <w:lang w:val="en-US" w:eastAsia="zh-CN"/>
        </w:rPr>
        <w:t>1251.68</w:t>
      </w:r>
      <w:r>
        <w:rPr>
          <w:rFonts w:hint="eastAsia" w:ascii="仿宋_GB2312" w:hAnsi="仿宋_GB2312" w:eastAsia="仿宋_GB2312" w:cs="仿宋_GB2312"/>
          <w:sz w:val="32"/>
          <w:szCs w:val="32"/>
        </w:rPr>
        <w:t>万元，年末</w:t>
      </w:r>
      <w:r>
        <w:rPr>
          <w:rFonts w:hint="eastAsia" w:ascii="仿宋_GB2312" w:hAnsi="仿宋_GB2312" w:eastAsia="仿宋_GB2312" w:cs="仿宋_GB2312"/>
          <w:sz w:val="32"/>
          <w:szCs w:val="32"/>
          <w:lang w:val="en-US" w:eastAsia="zh-CN"/>
        </w:rPr>
        <w:t>收入总计</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1921.68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其中使用上年结转结余0万元；</w:t>
      </w:r>
      <w:r>
        <w:rPr>
          <w:rFonts w:hint="eastAsia" w:ascii="仿宋_GB2312" w:hAnsi="宋体" w:eastAsia="仿宋_GB2312" w:cs="仿宋_GB2312"/>
          <w:color w:val="000000"/>
          <w:kern w:val="0"/>
          <w:sz w:val="32"/>
          <w:szCs w:val="32"/>
          <w:shd w:val="clear" w:color="auto" w:fill="FFFFFF"/>
          <w:lang w:bidi="ar"/>
        </w:rPr>
        <w:t>年末无结转结余，预算编制准确率较高。严格按照预算编制方案科学合理编制本单位预算，提前做好情况摸底、数据收集、填报绩效目标、细化专项预算，按照人员经费逐人核定编制，公用经费按定额编制；根据“总量控制、计划管理”的`要求从严控制机关经费，严格编制</w:t>
      </w:r>
      <w:r>
        <w:rPr>
          <w:rFonts w:hint="eastAsia" w:ascii="仿宋_GB2312" w:hAnsi="宋体" w:eastAsia="仿宋_GB2312" w:cs="仿宋_GB2312"/>
          <w:color w:val="000000"/>
          <w:kern w:val="0"/>
          <w:sz w:val="32"/>
          <w:szCs w:val="32"/>
          <w:shd w:val="clear" w:color="auto" w:fill="FFFFFF"/>
          <w:lang w:eastAsia="zh-CN" w:bidi="ar"/>
        </w:rPr>
        <w:t>“三公”经费</w:t>
      </w:r>
      <w:r>
        <w:rPr>
          <w:rFonts w:hint="eastAsia" w:ascii="仿宋_GB2312" w:hAnsi="宋体" w:eastAsia="仿宋_GB2312" w:cs="仿宋_GB2312"/>
          <w:color w:val="000000"/>
          <w:kern w:val="0"/>
          <w:sz w:val="32"/>
          <w:szCs w:val="32"/>
          <w:shd w:val="clear" w:color="auto" w:fill="FFFFFF"/>
          <w:lang w:bidi="ar"/>
        </w:rPr>
        <w:t>预算，压缩公业务费，科学编制项目支出，编制部门预算项目绩效目标，按时完成预算编制报送工作。</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4、执行进度情况</w:t>
      </w:r>
    </w:p>
    <w:p>
      <w:pPr>
        <w:pStyle w:val="38"/>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年财政下达壤塘县应急管理局年初预算收入</w:t>
      </w:r>
      <w:r>
        <w:rPr>
          <w:rFonts w:hint="eastAsia" w:ascii="仿宋_GB2312" w:hAnsi="仿宋_GB2312" w:eastAsia="仿宋_GB2312" w:cs="仿宋_GB2312"/>
          <w:sz w:val="32"/>
          <w:szCs w:val="32"/>
          <w:lang w:val="en-US" w:eastAsia="zh-CN"/>
        </w:rPr>
        <w:t>670.53</w:t>
      </w:r>
      <w:r>
        <w:rPr>
          <w:rFonts w:hint="eastAsia" w:ascii="仿宋_GB2312" w:hAnsi="仿宋_GB2312" w:eastAsia="仿宋_GB2312" w:cs="仿宋_GB2312"/>
          <w:sz w:val="32"/>
          <w:szCs w:val="32"/>
        </w:rPr>
        <w:t>万元，执行期间追加资金</w:t>
      </w:r>
      <w:r>
        <w:rPr>
          <w:rFonts w:hint="eastAsia" w:ascii="仿宋_GB2312" w:hAnsi="仿宋_GB2312" w:eastAsia="仿宋_GB2312" w:cs="仿宋_GB2312"/>
          <w:sz w:val="32"/>
          <w:szCs w:val="32"/>
          <w:lang w:val="en-US" w:eastAsia="zh-CN"/>
        </w:rPr>
        <w:t>1251.68</w:t>
      </w:r>
      <w:r>
        <w:rPr>
          <w:rFonts w:hint="eastAsia" w:ascii="仿宋_GB2312" w:hAnsi="仿宋_GB2312" w:eastAsia="仿宋_GB2312" w:cs="仿宋_GB2312"/>
          <w:sz w:val="32"/>
          <w:szCs w:val="32"/>
        </w:rPr>
        <w:t>万元，年末</w:t>
      </w:r>
      <w:r>
        <w:rPr>
          <w:rFonts w:hint="eastAsia" w:ascii="仿宋_GB2312" w:hAnsi="仿宋_GB2312" w:eastAsia="仿宋_GB2312" w:cs="仿宋_GB2312"/>
          <w:sz w:val="32"/>
          <w:szCs w:val="32"/>
          <w:lang w:val="en-US" w:eastAsia="zh-CN"/>
        </w:rPr>
        <w:t>收入总计</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1921.68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其中使用上年结转结余0万元，</w:t>
      </w:r>
      <w:r>
        <w:rPr>
          <w:rFonts w:hint="eastAsia" w:ascii="仿宋_GB2312" w:hAnsi="仿宋_GB2312" w:eastAsia="仿宋_GB2312" w:cs="仿宋_GB2312"/>
          <w:sz w:val="32"/>
          <w:szCs w:val="32"/>
        </w:rPr>
        <w:t>年末无结转结余，单位执行进度为100%，达到预期目标。</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5、预算完成情况</w:t>
      </w:r>
    </w:p>
    <w:p>
      <w:pPr>
        <w:pStyle w:val="38"/>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年财政下达壤塘县应急管理局年初预算收入</w:t>
      </w:r>
      <w:r>
        <w:rPr>
          <w:rFonts w:hint="eastAsia" w:ascii="仿宋_GB2312" w:hAnsi="仿宋_GB2312" w:eastAsia="仿宋_GB2312" w:cs="仿宋_GB2312"/>
          <w:sz w:val="32"/>
          <w:szCs w:val="32"/>
          <w:lang w:val="en-US" w:eastAsia="zh-CN"/>
        </w:rPr>
        <w:t>670.53</w:t>
      </w:r>
      <w:r>
        <w:rPr>
          <w:rFonts w:hint="eastAsia" w:ascii="仿宋_GB2312" w:hAnsi="仿宋_GB2312" w:eastAsia="仿宋_GB2312" w:cs="仿宋_GB2312"/>
          <w:sz w:val="32"/>
          <w:szCs w:val="32"/>
        </w:rPr>
        <w:t>万元，执行期间追加资金</w:t>
      </w:r>
      <w:r>
        <w:rPr>
          <w:rFonts w:hint="eastAsia" w:ascii="仿宋_GB2312" w:hAnsi="仿宋_GB2312" w:eastAsia="仿宋_GB2312" w:cs="仿宋_GB2312"/>
          <w:sz w:val="32"/>
          <w:szCs w:val="32"/>
          <w:lang w:val="en-US" w:eastAsia="zh-CN"/>
        </w:rPr>
        <w:t>1251.68</w:t>
      </w:r>
      <w:r>
        <w:rPr>
          <w:rFonts w:hint="eastAsia" w:ascii="仿宋_GB2312" w:hAnsi="仿宋_GB2312" w:eastAsia="仿宋_GB2312" w:cs="仿宋_GB2312"/>
          <w:sz w:val="32"/>
          <w:szCs w:val="32"/>
        </w:rPr>
        <w:t>万元，年末</w:t>
      </w:r>
      <w:r>
        <w:rPr>
          <w:rFonts w:hint="eastAsia" w:ascii="仿宋_GB2312" w:hAnsi="仿宋_GB2312" w:eastAsia="仿宋_GB2312" w:cs="仿宋_GB2312"/>
          <w:sz w:val="32"/>
          <w:szCs w:val="32"/>
          <w:lang w:val="en-US" w:eastAsia="zh-CN"/>
        </w:rPr>
        <w:t>收入总计</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1921.68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年末无结转结余，单位执行进度</w:t>
      </w:r>
      <w:r>
        <w:rPr>
          <w:rFonts w:hint="eastAsia" w:ascii="仿宋_GB2312" w:hAnsi="仿宋_GB2312" w:eastAsia="仿宋_GB2312" w:cs="仿宋_GB2312"/>
          <w:sz w:val="32"/>
          <w:szCs w:val="32"/>
        </w:rPr>
        <w:t>为100%，达到预期目标。</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6、行政成本</w:t>
      </w:r>
    </w:p>
    <w:p>
      <w:pPr>
        <w:pStyle w:val="38"/>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“三公”经费控制。壤塘县应急管理局</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年“三公”经费预算</w:t>
      </w:r>
      <w:r>
        <w:rPr>
          <w:rFonts w:hint="eastAsia" w:ascii="仿宋_GB2312" w:hAnsi="仿宋_GB2312" w:eastAsia="仿宋_GB2312" w:cs="仿宋_GB2312"/>
          <w:sz w:val="32"/>
          <w:szCs w:val="32"/>
          <w:lang w:val="en-US" w:eastAsia="zh-CN"/>
        </w:rPr>
        <w:t>7.79</w:t>
      </w:r>
      <w:r>
        <w:rPr>
          <w:rFonts w:hint="eastAsia" w:ascii="仿宋_GB2312" w:hAnsi="仿宋_GB2312" w:eastAsia="仿宋_GB2312" w:cs="仿宋_GB2312"/>
          <w:sz w:val="32"/>
          <w:szCs w:val="32"/>
        </w:rPr>
        <w:t>万元，决算支出</w:t>
      </w:r>
      <w:r>
        <w:rPr>
          <w:rFonts w:hint="eastAsia" w:ascii="仿宋_GB2312" w:hAnsi="仿宋_GB2312" w:eastAsia="仿宋_GB2312" w:cs="仿宋_GB2312"/>
          <w:sz w:val="32"/>
          <w:szCs w:val="32"/>
          <w:lang w:val="en-US" w:eastAsia="zh-CN"/>
        </w:rPr>
        <w:t>6.53</w:t>
      </w:r>
      <w:r>
        <w:rPr>
          <w:rFonts w:hint="eastAsia" w:ascii="仿宋_GB2312" w:hAnsi="仿宋_GB2312" w:eastAsia="仿宋_GB2312" w:cs="仿宋_GB2312"/>
          <w:sz w:val="32"/>
          <w:szCs w:val="32"/>
        </w:rPr>
        <w:t>万元。其中公务用车购置及运行维护费预算</w:t>
      </w:r>
      <w:r>
        <w:rPr>
          <w:rFonts w:hint="eastAsia" w:ascii="仿宋_GB2312" w:hAnsi="仿宋_GB2312" w:eastAsia="仿宋_GB2312" w:cs="仿宋_GB2312"/>
          <w:sz w:val="32"/>
          <w:szCs w:val="32"/>
          <w:lang w:val="en-US" w:eastAsia="zh-CN"/>
        </w:rPr>
        <w:t>6.53</w:t>
      </w:r>
      <w:r>
        <w:rPr>
          <w:rFonts w:hint="eastAsia" w:ascii="仿宋_GB2312" w:hAnsi="仿宋_GB2312" w:eastAsia="仿宋_GB2312" w:cs="仿宋_GB2312"/>
          <w:sz w:val="32"/>
          <w:szCs w:val="32"/>
        </w:rPr>
        <w:t>万元，决算支出</w:t>
      </w:r>
      <w:r>
        <w:rPr>
          <w:rFonts w:hint="eastAsia" w:ascii="仿宋_GB2312" w:hAnsi="仿宋_GB2312" w:eastAsia="仿宋_GB2312" w:cs="仿宋_GB2312"/>
          <w:sz w:val="32"/>
          <w:szCs w:val="32"/>
          <w:lang w:val="en-US" w:eastAsia="zh-CN"/>
        </w:rPr>
        <w:t>6.53</w:t>
      </w:r>
      <w:r>
        <w:rPr>
          <w:rFonts w:hint="eastAsia" w:ascii="仿宋_GB2312" w:hAnsi="仿宋_GB2312" w:eastAsia="仿宋_GB2312" w:cs="仿宋_GB2312"/>
          <w:sz w:val="32"/>
          <w:szCs w:val="32"/>
        </w:rPr>
        <w:t>万元（其中公务用车运行维护费</w:t>
      </w:r>
      <w:r>
        <w:rPr>
          <w:rFonts w:hint="eastAsia" w:ascii="仿宋_GB2312" w:hAnsi="仿宋_GB2312" w:eastAsia="仿宋_GB2312" w:cs="仿宋_GB2312"/>
          <w:sz w:val="32"/>
          <w:szCs w:val="32"/>
          <w:lang w:val="en-US" w:eastAsia="zh-CN"/>
        </w:rPr>
        <w:t>6.53</w:t>
      </w:r>
      <w:r>
        <w:rPr>
          <w:rFonts w:hint="eastAsia" w:ascii="仿宋_GB2312" w:hAnsi="仿宋_GB2312" w:eastAsia="仿宋_GB2312" w:cs="仿宋_GB2312"/>
          <w:sz w:val="32"/>
          <w:szCs w:val="32"/>
        </w:rPr>
        <w:t>万元）,未发生因公出国（境）费及公务接待费，</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年“三公”经费决算均未超过预算。</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宋体" w:eastAsia="仿宋_GB2312" w:cs="仿宋_GB2312"/>
          <w:color w:val="000000"/>
          <w:kern w:val="0"/>
          <w:sz w:val="32"/>
          <w:szCs w:val="32"/>
          <w:shd w:val="clear" w:color="auto" w:fill="FFFFFF"/>
          <w:lang w:bidi="ar"/>
        </w:rPr>
      </w:pPr>
      <w:r>
        <w:rPr>
          <w:rFonts w:ascii="仿宋_GB2312" w:hAnsi="宋体" w:eastAsia="仿宋_GB2312" w:cs="仿宋_GB2312"/>
          <w:color w:val="000000" w:themeColor="text1"/>
          <w:kern w:val="0"/>
          <w:sz w:val="32"/>
          <w:szCs w:val="32"/>
          <w:shd w:val="clear" w:color="auto" w:fill="FFFFFF"/>
          <w:lang w:bidi="ar"/>
          <w14:textFill>
            <w14:solidFill>
              <w14:schemeClr w14:val="tx1"/>
            </w14:solidFill>
          </w14:textFill>
        </w:rPr>
        <w:t>7</w:t>
      </w:r>
      <w:r>
        <w:rPr>
          <w:rFonts w:hint="eastAsia" w:ascii="仿宋_GB2312" w:hAnsi="宋体" w:eastAsia="仿宋_GB2312" w:cs="仿宋_GB2312"/>
          <w:color w:val="000000" w:themeColor="text1"/>
          <w:kern w:val="0"/>
          <w:sz w:val="32"/>
          <w:szCs w:val="32"/>
          <w:shd w:val="clear" w:color="auto" w:fill="FFFFFF"/>
          <w:lang w:bidi="ar"/>
          <w14:textFill>
            <w14:solidFill>
              <w14:schemeClr w14:val="tx1"/>
            </w14:solidFill>
          </w14:textFill>
        </w:rPr>
        <w:t>、政府采购</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lang w:bidi="ar"/>
        </w:rPr>
      </w:pPr>
      <w:r>
        <w:rPr>
          <w:rFonts w:hint="eastAsia" w:ascii="仿宋_GB2312" w:hAnsi="宋体" w:eastAsia="仿宋_GB2312" w:cs="仿宋_GB2312"/>
          <w:color w:val="000000"/>
          <w:kern w:val="0"/>
          <w:sz w:val="32"/>
          <w:szCs w:val="32"/>
          <w:shd w:val="clear" w:color="auto" w:fill="FFFFFF"/>
          <w:lang w:bidi="ar"/>
        </w:rPr>
        <w:t>壤塘县应急管理局</w:t>
      </w:r>
      <w:r>
        <w:rPr>
          <w:rFonts w:hint="eastAsia" w:ascii="仿宋_GB2312" w:hAnsi="宋体" w:eastAsia="仿宋_GB2312" w:cs="仿宋_GB2312"/>
          <w:color w:val="000000"/>
          <w:kern w:val="0"/>
          <w:sz w:val="32"/>
          <w:szCs w:val="32"/>
          <w:shd w:val="clear" w:color="auto" w:fill="FFFFFF"/>
          <w:lang w:eastAsia="zh-CN" w:bidi="ar"/>
        </w:rPr>
        <w:t>202</w:t>
      </w:r>
      <w:r>
        <w:rPr>
          <w:rFonts w:hint="eastAsia" w:hAnsi="宋体" w:eastAsia="仿宋_GB2312" w:cs="仿宋_GB2312"/>
          <w:color w:val="000000"/>
          <w:kern w:val="0"/>
          <w:sz w:val="32"/>
          <w:szCs w:val="32"/>
          <w:shd w:val="clear" w:color="auto" w:fill="FFFFFF"/>
          <w:lang w:val="en-US" w:eastAsia="zh-CN" w:bidi="ar"/>
        </w:rPr>
        <w:t>5</w:t>
      </w:r>
      <w:r>
        <w:rPr>
          <w:rFonts w:hint="eastAsia" w:ascii="仿宋_GB2312" w:hAnsi="宋体" w:eastAsia="仿宋_GB2312" w:cs="仿宋_GB2312"/>
          <w:color w:val="000000"/>
          <w:kern w:val="0"/>
          <w:sz w:val="32"/>
          <w:szCs w:val="32"/>
          <w:shd w:val="clear" w:color="auto" w:fill="FFFFFF"/>
          <w:lang w:bidi="ar"/>
        </w:rPr>
        <w:t>年度政府采购货物支出</w:t>
      </w:r>
      <w:r>
        <w:rPr>
          <w:rFonts w:hint="eastAsia" w:hAnsi="宋体" w:eastAsia="仿宋_GB2312" w:cs="仿宋_GB2312"/>
          <w:color w:val="000000"/>
          <w:kern w:val="0"/>
          <w:sz w:val="32"/>
          <w:szCs w:val="32"/>
          <w:shd w:val="clear" w:color="auto" w:fill="FFFFFF"/>
          <w:lang w:val="en-US" w:eastAsia="zh-CN" w:bidi="ar"/>
        </w:rPr>
        <w:t>916.63</w:t>
      </w:r>
      <w:r>
        <w:rPr>
          <w:rFonts w:hint="eastAsia" w:ascii="仿宋_GB2312" w:hAnsi="宋体" w:eastAsia="仿宋_GB2312" w:cs="仿宋_GB2312"/>
          <w:color w:val="000000"/>
          <w:kern w:val="0"/>
          <w:sz w:val="32"/>
          <w:szCs w:val="32"/>
          <w:shd w:val="clear" w:color="auto" w:fill="FFFFFF"/>
          <w:lang w:bidi="ar"/>
        </w:rPr>
        <w:t>万元，政府采购工程支出0万元，政府采购服务支</w:t>
      </w:r>
      <w:r>
        <w:rPr>
          <w:rFonts w:hint="eastAsia" w:ascii="仿宋_GB2312" w:hAnsi="宋体" w:eastAsia="仿宋_GB2312" w:cs="仿宋_GB2312"/>
          <w:color w:val="000000"/>
          <w:kern w:val="0"/>
          <w:sz w:val="32"/>
          <w:szCs w:val="32"/>
          <w:shd w:val="clear" w:color="auto" w:fill="FFFFFF"/>
          <w:lang w:val="en-US" w:eastAsia="zh-CN" w:bidi="ar"/>
        </w:rPr>
        <w:t>出0万元。</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宋体" w:eastAsia="仿宋_GB2312" w:cs="仿宋_GB2312"/>
          <w:color w:val="000000" w:themeColor="text1"/>
          <w:kern w:val="0"/>
          <w:sz w:val="32"/>
          <w:szCs w:val="32"/>
          <w:shd w:val="clear" w:color="auto" w:fill="FFFFFF"/>
          <w:lang w:bidi="ar"/>
          <w14:textFill>
            <w14:solidFill>
              <w14:schemeClr w14:val="tx1"/>
            </w14:solidFill>
          </w14:textFill>
        </w:rPr>
      </w:pPr>
      <w:r>
        <w:rPr>
          <w:rFonts w:ascii="仿宋_GB2312" w:hAnsi="宋体" w:eastAsia="仿宋_GB2312" w:cs="仿宋_GB2312"/>
          <w:color w:val="000000" w:themeColor="text1"/>
          <w:kern w:val="0"/>
          <w:sz w:val="32"/>
          <w:szCs w:val="32"/>
          <w:shd w:val="clear" w:color="auto" w:fill="FFFFFF"/>
          <w:lang w:bidi="ar"/>
          <w14:textFill>
            <w14:solidFill>
              <w14:schemeClr w14:val="tx1"/>
            </w14:solidFill>
          </w14:textFill>
        </w:rPr>
        <w:t>8</w:t>
      </w:r>
      <w:r>
        <w:rPr>
          <w:rFonts w:hint="eastAsia" w:ascii="仿宋_GB2312" w:hAnsi="宋体" w:eastAsia="仿宋_GB2312" w:cs="仿宋_GB2312"/>
          <w:color w:val="000000" w:themeColor="text1"/>
          <w:kern w:val="0"/>
          <w:sz w:val="32"/>
          <w:szCs w:val="32"/>
          <w:shd w:val="clear" w:color="auto" w:fill="FFFFFF"/>
          <w:lang w:bidi="ar"/>
          <w14:textFill>
            <w14:solidFill>
              <w14:schemeClr w14:val="tx1"/>
            </w14:solidFill>
          </w14:textFill>
        </w:rPr>
        <w:t xml:space="preserve">、资产管理  </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宋体" w:eastAsia="仿宋_GB2312" w:cs="仿宋_GB2312"/>
          <w:color w:val="000000" w:themeColor="text1"/>
          <w:kern w:val="0"/>
          <w:sz w:val="32"/>
          <w:szCs w:val="32"/>
          <w:shd w:val="clear" w:color="auto" w:fill="FFFFFF"/>
          <w:lang w:eastAsia="zh-CN" w:bidi="ar"/>
          <w14:textFill>
            <w14:solidFill>
              <w14:schemeClr w14:val="tx1"/>
            </w14:solidFill>
          </w14:textFill>
        </w:rPr>
      </w:pPr>
      <w:r>
        <w:rPr>
          <w:rFonts w:hint="eastAsia" w:ascii="仿宋_GB2312" w:hAnsi="宋体" w:eastAsia="仿宋_GB2312" w:cs="仿宋_GB2312"/>
          <w:color w:val="000000" w:themeColor="text1"/>
          <w:kern w:val="0"/>
          <w:sz w:val="32"/>
          <w:szCs w:val="32"/>
          <w:shd w:val="clear" w:color="auto" w:fill="FFFFFF"/>
          <w:lang w:bidi="ar"/>
          <w14:textFill>
            <w14:solidFill>
              <w14:schemeClr w14:val="tx1"/>
            </w14:solidFill>
          </w14:textFill>
        </w:rPr>
        <w:t>固定资产在用率。</w:t>
      </w:r>
      <w:r>
        <w:rPr>
          <w:rFonts w:hint="eastAsia" w:hAnsi="宋体" w:eastAsia="仿宋_GB2312" w:cs="仿宋_GB2312"/>
          <w:color w:val="000000" w:themeColor="text1"/>
          <w:kern w:val="0"/>
          <w:sz w:val="32"/>
          <w:szCs w:val="32"/>
          <w:shd w:val="clear" w:color="auto" w:fill="FFFFFF"/>
          <w:lang w:eastAsia="zh-CN" w:bidi="ar"/>
          <w14:textFill>
            <w14:solidFill>
              <w14:schemeClr w14:val="tx1"/>
            </w14:solidFill>
          </w14:textFill>
        </w:rPr>
        <w:t>截至</w:t>
      </w:r>
      <w:r>
        <w:rPr>
          <w:rFonts w:hint="eastAsia" w:ascii="仿宋_GB2312" w:hAnsi="宋体" w:eastAsia="仿宋_GB2312" w:cs="仿宋_GB2312"/>
          <w:color w:val="000000" w:themeColor="text1"/>
          <w:kern w:val="0"/>
          <w:sz w:val="32"/>
          <w:szCs w:val="32"/>
          <w:shd w:val="clear" w:color="auto" w:fill="FFFFFF"/>
          <w:lang w:eastAsia="zh-CN" w:bidi="ar"/>
          <w14:textFill>
            <w14:solidFill>
              <w14:schemeClr w14:val="tx1"/>
            </w14:solidFill>
          </w14:textFill>
        </w:rPr>
        <w:t>202</w:t>
      </w:r>
      <w:r>
        <w:rPr>
          <w:rFonts w:hint="eastAsia" w:hAnsi="宋体" w:eastAsia="仿宋_GB2312" w:cs="仿宋_GB2312"/>
          <w:color w:val="000000" w:themeColor="text1"/>
          <w:kern w:val="0"/>
          <w:sz w:val="32"/>
          <w:szCs w:val="32"/>
          <w:shd w:val="clear" w:color="auto" w:fill="FFFFFF"/>
          <w:lang w:val="en-US" w:eastAsia="zh-CN" w:bidi="ar"/>
          <w14:textFill>
            <w14:solidFill>
              <w14:schemeClr w14:val="tx1"/>
            </w14:solidFill>
          </w14:textFill>
        </w:rPr>
        <w:t>5</w:t>
      </w:r>
      <w:r>
        <w:rPr>
          <w:rFonts w:hint="eastAsia" w:ascii="仿宋_GB2312" w:hAnsi="宋体" w:eastAsia="仿宋_GB2312" w:cs="仿宋_GB2312"/>
          <w:color w:val="000000" w:themeColor="text1"/>
          <w:kern w:val="0"/>
          <w:sz w:val="32"/>
          <w:szCs w:val="32"/>
          <w:shd w:val="clear" w:color="auto" w:fill="FFFFFF"/>
          <w:lang w:bidi="ar"/>
          <w14:textFill>
            <w14:solidFill>
              <w14:schemeClr w14:val="tx1"/>
            </w14:solidFill>
          </w14:textFill>
        </w:rPr>
        <w:t>年12月31日，壤塘县应急管理局《行政单位资产管理系统》固定资产总计</w:t>
      </w:r>
      <w:r>
        <w:rPr>
          <w:rFonts w:hint="eastAsia" w:hAnsi="宋体" w:eastAsia="仿宋_GB2312" w:cs="仿宋_GB2312"/>
          <w:color w:val="000000" w:themeColor="text1"/>
          <w:kern w:val="0"/>
          <w:sz w:val="32"/>
          <w:szCs w:val="32"/>
          <w:shd w:val="clear" w:color="auto" w:fill="FFFFFF"/>
          <w:lang w:val="en-US" w:eastAsia="zh-CN" w:bidi="ar"/>
          <w14:textFill>
            <w14:solidFill>
              <w14:schemeClr w14:val="tx1"/>
            </w14:solidFill>
          </w14:textFill>
        </w:rPr>
        <w:t>622.67</w:t>
      </w:r>
      <w:r>
        <w:rPr>
          <w:rFonts w:hint="eastAsia" w:ascii="仿宋_GB2312" w:hAnsi="宋体" w:eastAsia="仿宋_GB2312" w:cs="仿宋_GB2312"/>
          <w:color w:val="000000" w:themeColor="text1"/>
          <w:kern w:val="0"/>
          <w:sz w:val="32"/>
          <w:szCs w:val="32"/>
          <w:shd w:val="clear" w:color="auto" w:fill="FFFFFF"/>
          <w:lang w:bidi="ar"/>
          <w14:textFill>
            <w14:solidFill>
              <w14:schemeClr w14:val="tx1"/>
            </w14:solidFill>
          </w14:textFill>
        </w:rPr>
        <w:t>万元，在用的固定资产总计</w:t>
      </w:r>
      <w:r>
        <w:rPr>
          <w:rFonts w:hint="eastAsia" w:hAnsi="宋体" w:eastAsia="仿宋_GB2312" w:cs="仿宋_GB2312"/>
          <w:color w:val="000000" w:themeColor="text1"/>
          <w:kern w:val="0"/>
          <w:sz w:val="32"/>
          <w:szCs w:val="32"/>
          <w:shd w:val="clear" w:color="auto" w:fill="FFFFFF"/>
          <w:lang w:val="en-US" w:eastAsia="zh-CN" w:bidi="ar"/>
          <w14:textFill>
            <w14:solidFill>
              <w14:schemeClr w14:val="tx1"/>
            </w14:solidFill>
          </w14:textFill>
        </w:rPr>
        <w:t>622.67</w:t>
      </w:r>
      <w:r>
        <w:rPr>
          <w:rFonts w:hint="eastAsia" w:ascii="仿宋_GB2312" w:hAnsi="宋体" w:eastAsia="仿宋_GB2312" w:cs="仿宋_GB2312"/>
          <w:color w:val="000000" w:themeColor="text1"/>
          <w:kern w:val="0"/>
          <w:sz w:val="32"/>
          <w:szCs w:val="32"/>
          <w:shd w:val="clear" w:color="auto" w:fill="FFFFFF"/>
          <w:lang w:bidi="ar"/>
          <w14:textFill>
            <w14:solidFill>
              <w14:schemeClr w14:val="tx1"/>
            </w14:solidFill>
          </w14:textFill>
        </w:rPr>
        <w:t>万元，固定资产在用率达100%</w:t>
      </w:r>
      <w:r>
        <w:rPr>
          <w:rFonts w:hint="eastAsia" w:ascii="仿宋_GB2312" w:hAnsi="宋体" w:eastAsia="仿宋_GB2312" w:cs="仿宋_GB2312"/>
          <w:color w:val="000000" w:themeColor="text1"/>
          <w:kern w:val="0"/>
          <w:sz w:val="32"/>
          <w:szCs w:val="32"/>
          <w:shd w:val="clear" w:color="auto" w:fill="FFFFFF"/>
          <w:lang w:eastAsia="zh-CN" w:bidi="ar"/>
          <w14:textFill>
            <w14:solidFill>
              <w14:schemeClr w14:val="tx1"/>
            </w14:solidFill>
          </w14:textFill>
        </w:rPr>
        <w:t>。</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宋体" w:eastAsia="仿宋_GB2312" w:cs="仿宋_GB2312"/>
          <w:color w:val="000000"/>
          <w:kern w:val="0"/>
          <w:sz w:val="32"/>
          <w:szCs w:val="32"/>
          <w:shd w:val="clear" w:color="auto" w:fill="FFFFFF"/>
          <w:lang w:bidi="ar"/>
        </w:rPr>
      </w:pPr>
      <w:r>
        <w:rPr>
          <w:rFonts w:ascii="仿宋_GB2312" w:hAnsi="宋体" w:eastAsia="仿宋_GB2312" w:cs="仿宋_GB2312"/>
          <w:color w:val="000000"/>
          <w:kern w:val="0"/>
          <w:sz w:val="32"/>
          <w:szCs w:val="32"/>
          <w:shd w:val="clear" w:color="auto" w:fill="FFFFFF"/>
          <w:lang w:bidi="ar"/>
        </w:rPr>
        <w:t>9</w:t>
      </w:r>
      <w:r>
        <w:rPr>
          <w:rFonts w:hint="eastAsia" w:ascii="仿宋_GB2312" w:hAnsi="宋体" w:eastAsia="仿宋_GB2312" w:cs="仿宋_GB2312"/>
          <w:color w:val="000000"/>
          <w:kern w:val="0"/>
          <w:sz w:val="32"/>
          <w:szCs w:val="32"/>
          <w:shd w:val="clear" w:color="auto" w:fill="FFFFFF"/>
          <w:lang w:bidi="ar"/>
        </w:rPr>
        <w:t>、信息公开</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宋体" w:eastAsia="仿宋_GB2312" w:cs="仿宋_GB2312"/>
          <w:color w:val="000000"/>
          <w:kern w:val="0"/>
          <w:sz w:val="32"/>
          <w:szCs w:val="32"/>
          <w:shd w:val="clear" w:color="auto" w:fill="FFFFFF"/>
          <w:lang w:bidi="ar"/>
        </w:rPr>
      </w:pPr>
      <w:r>
        <w:rPr>
          <w:rFonts w:hint="eastAsia" w:ascii="仿宋_GB2312" w:hAnsi="宋体" w:eastAsia="仿宋_GB2312" w:cs="仿宋_GB2312"/>
          <w:color w:val="000000"/>
          <w:kern w:val="0"/>
          <w:sz w:val="32"/>
          <w:szCs w:val="32"/>
          <w:shd w:val="clear" w:color="auto" w:fill="FFFFFF"/>
          <w:lang w:val="en-US" w:eastAsia="zh-CN" w:bidi="ar"/>
        </w:rPr>
        <w:t>壤塘县应急管理局已经按财政要求及时完成</w:t>
      </w:r>
      <w:r>
        <w:rPr>
          <w:rFonts w:hint="eastAsia" w:ascii="仿宋_GB2312" w:hAnsi="宋体" w:eastAsia="仿宋_GB2312" w:cs="仿宋_GB2312"/>
          <w:color w:val="000000"/>
          <w:kern w:val="0"/>
          <w:sz w:val="32"/>
          <w:szCs w:val="32"/>
          <w:shd w:val="clear" w:color="auto" w:fill="FFFFFF"/>
          <w:lang w:bidi="ar"/>
        </w:rPr>
        <w:t>预算、决算、绩效等信息公开工作，信息公开在壤塘县门户网站中。</w:t>
      </w:r>
    </w:p>
    <w:p>
      <w:pPr>
        <w:pStyle w:val="8"/>
        <w:ind w:left="0" w:leftChars="0" w:firstLine="640" w:firstLineChars="200"/>
        <w:rPr>
          <w:rFonts w:hint="eastAsia" w:ascii="仿宋_GB2312" w:hAnsi="宋体" w:eastAsia="仿宋_GB2312" w:cs="仿宋_GB2312"/>
          <w:color w:val="000000"/>
          <w:kern w:val="0"/>
          <w:sz w:val="32"/>
          <w:szCs w:val="32"/>
          <w:shd w:val="clear" w:color="auto" w:fill="FFFFFF"/>
          <w:lang w:bidi="ar"/>
        </w:rPr>
      </w:pPr>
      <w:r>
        <w:rPr>
          <w:rFonts w:ascii="仿宋_GB2312" w:hAnsi="宋体" w:eastAsia="仿宋_GB2312" w:cs="仿宋_GB2312"/>
          <w:color w:val="000000"/>
          <w:kern w:val="0"/>
          <w:sz w:val="32"/>
          <w:szCs w:val="32"/>
          <w:shd w:val="clear" w:color="auto" w:fill="FFFFFF"/>
          <w:lang w:bidi="ar"/>
        </w:rPr>
        <w:t>10</w:t>
      </w:r>
      <w:r>
        <w:rPr>
          <w:rFonts w:hint="eastAsia" w:ascii="仿宋_GB2312" w:hAnsi="宋体" w:eastAsia="仿宋_GB2312" w:cs="仿宋_GB2312"/>
          <w:color w:val="000000"/>
          <w:kern w:val="0"/>
          <w:sz w:val="32"/>
          <w:szCs w:val="32"/>
          <w:shd w:val="clear" w:color="auto" w:fill="FFFFFF"/>
          <w:lang w:bidi="ar"/>
        </w:rPr>
        <w:t>、违规情况</w:t>
      </w:r>
    </w:p>
    <w:p>
      <w:pPr>
        <w:pStyle w:val="8"/>
        <w:ind w:left="0" w:leftChars="0" w:firstLine="640" w:firstLineChars="200"/>
        <w:rPr>
          <w:rFonts w:hint="eastAsia" w:ascii="仿宋_GB2312" w:hAnsi="宋体" w:eastAsia="仿宋_GB2312" w:cs="仿宋_GB2312"/>
          <w:color w:val="000000"/>
          <w:kern w:val="0"/>
          <w:sz w:val="32"/>
          <w:szCs w:val="32"/>
          <w:shd w:val="clear" w:color="auto" w:fill="FFFFFF"/>
          <w:lang w:bidi="ar"/>
        </w:rPr>
      </w:pPr>
      <w:r>
        <w:rPr>
          <w:rFonts w:hint="eastAsia" w:ascii="仿宋_GB2312" w:hAnsi="宋体" w:eastAsia="仿宋_GB2312" w:cs="仿宋_GB2312"/>
          <w:color w:val="000000"/>
          <w:kern w:val="0"/>
          <w:sz w:val="32"/>
          <w:szCs w:val="32"/>
          <w:shd w:val="clear" w:color="auto" w:fill="FFFFFF"/>
          <w:lang w:bidi="ar"/>
        </w:rPr>
        <w:t>无</w:t>
      </w:r>
    </w:p>
    <w:p>
      <w:pPr>
        <w:pStyle w:val="8"/>
        <w:numPr>
          <w:ilvl w:val="0"/>
          <w:numId w:val="4"/>
        </w:numPr>
        <w:ind w:left="0" w:leftChars="0"/>
        <w:rPr>
          <w:rFonts w:ascii="仿宋_GB2312" w:hAnsi="宋体" w:eastAsia="仿宋_GB2312" w:cs="仿宋_GB2312"/>
          <w:b/>
          <w:bCs/>
          <w:color w:val="000000"/>
          <w:kern w:val="0"/>
          <w:sz w:val="32"/>
          <w:szCs w:val="32"/>
          <w:shd w:val="clear" w:color="auto" w:fill="FFFFFF"/>
          <w:lang w:bidi="ar"/>
        </w:rPr>
      </w:pPr>
      <w:r>
        <w:rPr>
          <w:rFonts w:hint="eastAsia" w:ascii="仿宋_GB2312" w:hAnsi="宋体" w:eastAsia="仿宋_GB2312" w:cs="仿宋_GB2312"/>
          <w:b/>
          <w:bCs/>
          <w:color w:val="000000"/>
          <w:kern w:val="0"/>
          <w:sz w:val="32"/>
          <w:szCs w:val="32"/>
          <w:shd w:val="clear" w:color="auto" w:fill="FFFFFF"/>
          <w:lang w:bidi="ar"/>
        </w:rPr>
        <w:t>结果应用情况</w:t>
      </w:r>
    </w:p>
    <w:p>
      <w:pPr>
        <w:pStyle w:val="8"/>
        <w:numPr>
          <w:ilvl w:val="0"/>
          <w:numId w:val="0"/>
        </w:numPr>
        <w:ind w:firstLine="640" w:firstLineChars="200"/>
        <w:rPr>
          <w:rFonts w:hint="eastAsia" w:ascii="仿宋_GB2312" w:hAnsi="宋体" w:eastAsia="仿宋_GB2312" w:cs="仿宋_GB2312"/>
          <w:color w:val="000000"/>
          <w:kern w:val="0"/>
          <w:sz w:val="32"/>
          <w:szCs w:val="32"/>
          <w:shd w:val="clear" w:color="auto" w:fill="FFFFFF"/>
          <w:lang w:bidi="ar"/>
        </w:rPr>
      </w:pPr>
      <w:r>
        <w:rPr>
          <w:rFonts w:hint="eastAsia" w:ascii="仿宋_GB2312" w:hAnsi="宋体" w:eastAsia="仿宋_GB2312" w:cs="仿宋_GB2312"/>
          <w:color w:val="000000"/>
          <w:kern w:val="0"/>
          <w:sz w:val="32"/>
          <w:szCs w:val="32"/>
          <w:shd w:val="clear" w:color="auto" w:fill="FFFFFF"/>
          <w:lang w:bidi="ar"/>
        </w:rPr>
        <w:t>绩效目标填报执行了《四川省省级财政专项资金绩效分配管理暂行办法》，实施绩效分配。在项目资金管理方面，单位建立和健全项目资金管理制度和管理办法。严格资金的使用和划拨流程，确保资金使用安全、公平、合理。项目资金做到了专款专用，及时支付。资金的支付均通过对公账户，直接支付到供应商,切实保障了资金使用的准确性和安全性。在绩效目标评价方面，根据县财政局要求，我中心成立自评工作小组，组织实施本单位</w:t>
      </w:r>
      <w:r>
        <w:rPr>
          <w:rFonts w:hint="eastAsia" w:ascii="仿宋_GB2312" w:hAnsi="宋体" w:eastAsia="仿宋_GB2312" w:cs="仿宋_GB2312"/>
          <w:color w:val="000000"/>
          <w:kern w:val="0"/>
          <w:sz w:val="32"/>
          <w:szCs w:val="32"/>
          <w:shd w:val="clear" w:color="auto" w:fill="FFFFFF"/>
          <w:lang w:eastAsia="zh-CN" w:bidi="ar"/>
        </w:rPr>
        <w:t>202</w:t>
      </w:r>
      <w:r>
        <w:rPr>
          <w:rFonts w:hint="eastAsia" w:ascii="仿宋_GB2312" w:hAnsi="宋体" w:eastAsia="仿宋_GB2312" w:cs="仿宋_GB2312"/>
          <w:color w:val="000000"/>
          <w:kern w:val="0"/>
          <w:sz w:val="32"/>
          <w:szCs w:val="32"/>
          <w:shd w:val="clear" w:color="auto" w:fill="FFFFFF"/>
          <w:lang w:val="en-US" w:eastAsia="zh-CN" w:bidi="ar"/>
        </w:rPr>
        <w:t xml:space="preserve">5 </w:t>
      </w:r>
      <w:r>
        <w:rPr>
          <w:rFonts w:hint="eastAsia" w:ascii="仿宋_GB2312" w:hAnsi="宋体" w:eastAsia="仿宋_GB2312" w:cs="仿宋_GB2312"/>
          <w:color w:val="000000"/>
          <w:kern w:val="0"/>
          <w:sz w:val="32"/>
          <w:szCs w:val="32"/>
          <w:shd w:val="clear" w:color="auto" w:fill="FFFFFF"/>
          <w:lang w:bidi="ar"/>
        </w:rPr>
        <w:t>年绩效管理自评工作。</w:t>
      </w:r>
    </w:p>
    <w:p>
      <w:pPr>
        <w:pStyle w:val="8"/>
        <w:numPr>
          <w:ilvl w:val="0"/>
          <w:numId w:val="0"/>
        </w:numPr>
        <w:ind w:firstLine="640" w:firstLineChars="200"/>
        <w:rPr>
          <w:rFonts w:hint="eastAsia"/>
        </w:rPr>
      </w:pPr>
      <w:r>
        <w:rPr>
          <w:rFonts w:hint="eastAsia" w:ascii="仿宋_GB2312" w:hAnsi="宋体" w:eastAsia="仿宋_GB2312" w:cs="仿宋_GB2312"/>
          <w:color w:val="000000"/>
          <w:kern w:val="0"/>
          <w:sz w:val="32"/>
          <w:szCs w:val="32"/>
          <w:shd w:val="clear" w:color="auto" w:fill="FFFFFF"/>
          <w:lang w:bidi="ar"/>
        </w:rPr>
        <w:t>信息公开情况。按照财政要求，及时在预决算批复后20日内，在壤塘县人民</w:t>
      </w:r>
      <w:r>
        <w:rPr>
          <w:rFonts w:hint="eastAsia" w:hAnsi="宋体" w:eastAsia="仿宋_GB2312" w:cs="仿宋_GB2312"/>
          <w:color w:val="000000"/>
          <w:kern w:val="0"/>
          <w:sz w:val="32"/>
          <w:szCs w:val="32"/>
          <w:shd w:val="clear" w:color="auto" w:fill="FFFFFF"/>
          <w:lang w:eastAsia="zh-CN" w:bidi="ar"/>
        </w:rPr>
        <w:t>政府网站</w:t>
      </w:r>
      <w:r>
        <w:rPr>
          <w:rFonts w:hint="eastAsia" w:ascii="仿宋_GB2312" w:hAnsi="宋体" w:eastAsia="仿宋_GB2312" w:cs="仿宋_GB2312"/>
          <w:color w:val="000000"/>
          <w:kern w:val="0"/>
          <w:sz w:val="32"/>
          <w:szCs w:val="32"/>
          <w:shd w:val="clear" w:color="auto" w:fill="FFFFFF"/>
          <w:lang w:bidi="ar"/>
        </w:rPr>
        <w:t>进行了信息公开，公开内容真实、完整。依法接受财政、审计、纪检监察、</w:t>
      </w:r>
      <w:r>
        <w:rPr>
          <w:rFonts w:hint="eastAsia" w:hAnsi="宋体" w:eastAsia="仿宋_GB2312" w:cs="仿宋_GB2312"/>
          <w:color w:val="000000"/>
          <w:kern w:val="0"/>
          <w:sz w:val="32"/>
          <w:szCs w:val="32"/>
          <w:shd w:val="clear" w:color="auto" w:fill="FFFFFF"/>
          <w:lang w:eastAsia="zh-CN" w:bidi="ar"/>
        </w:rPr>
        <w:t>巡察等</w:t>
      </w:r>
      <w:r>
        <w:rPr>
          <w:rFonts w:hint="eastAsia" w:ascii="仿宋_GB2312" w:hAnsi="宋体" w:eastAsia="仿宋_GB2312" w:cs="仿宋_GB2312"/>
          <w:color w:val="000000"/>
          <w:kern w:val="0"/>
          <w:sz w:val="32"/>
          <w:szCs w:val="32"/>
          <w:shd w:val="clear" w:color="auto" w:fill="FFFFFF"/>
          <w:lang w:bidi="ar"/>
        </w:rPr>
        <w:t>部门的监督检查。严守财经法规，严格财经纪律，依法接受财政、审计、巡察、派驻</w:t>
      </w:r>
      <w:r>
        <w:rPr>
          <w:rFonts w:hint="eastAsia" w:hAnsi="宋体" w:eastAsia="仿宋_GB2312" w:cs="仿宋_GB2312"/>
          <w:color w:val="000000"/>
          <w:kern w:val="0"/>
          <w:sz w:val="32"/>
          <w:szCs w:val="32"/>
          <w:shd w:val="clear" w:color="auto" w:fill="FFFFFF"/>
          <w:lang w:eastAsia="zh-CN" w:bidi="ar"/>
        </w:rPr>
        <w:t>纪检监察</w:t>
      </w:r>
      <w:r>
        <w:rPr>
          <w:rFonts w:hint="eastAsia" w:ascii="仿宋_GB2312" w:hAnsi="宋体" w:eastAsia="仿宋_GB2312" w:cs="仿宋_GB2312"/>
          <w:color w:val="000000"/>
          <w:kern w:val="0"/>
          <w:sz w:val="32"/>
          <w:szCs w:val="32"/>
          <w:shd w:val="clear" w:color="auto" w:fill="FFFFFF"/>
          <w:lang w:bidi="ar"/>
        </w:rPr>
        <w:t>，按时上报各类资料。严格遵守中央八项规定及省市县有关厉行勤俭节约相关规定，严格执行财务管理制度，根据年初预算合理安排日常公用经费资金，做到厉行节约、精打细算，把有效的资金用到刀刃上，让财政资金发挥最大的社会及经济效益并保证我单位各项工作的正常运转。</w:t>
      </w:r>
    </w:p>
    <w:p>
      <w:pPr>
        <w:widowControl/>
        <w:numPr>
          <w:ilvl w:val="0"/>
          <w:numId w:val="0"/>
        </w:numPr>
        <w:adjustRightInd w:val="0"/>
        <w:snapToGrid w:val="0"/>
        <w:spacing w:line="560" w:lineRule="exact"/>
        <w:contextualSpacing/>
        <w:jc w:val="left"/>
        <w:rPr>
          <w:rFonts w:hint="eastAsia" w:ascii="Times New Roman" w:hAnsi="Times New Roman" w:eastAsia="黑体" w:cs="黑体"/>
          <w:color w:val="auto"/>
          <w:sz w:val="32"/>
          <w:szCs w:val="32"/>
          <w:highlight w:val="none"/>
        </w:rPr>
      </w:pPr>
      <w:r>
        <w:rPr>
          <w:rFonts w:hint="eastAsia" w:ascii="黑体" w:hAnsi="宋体" w:eastAsia="黑体" w:cs="黑体"/>
          <w:color w:val="000000" w:themeColor="text1"/>
          <w:kern w:val="0"/>
          <w:sz w:val="32"/>
          <w:szCs w:val="32"/>
          <w:shd w:val="clear" w:color="auto" w:fill="FFFFFF"/>
          <w:lang w:val="en-US" w:eastAsia="zh-CN" w:bidi="ar"/>
          <w14:textFill>
            <w14:solidFill>
              <w14:schemeClr w14:val="tx1"/>
            </w14:solidFill>
          </w14:textFill>
        </w:rPr>
        <w:t>四、</w:t>
      </w:r>
      <w:r>
        <w:rPr>
          <w:rFonts w:hint="eastAsia" w:ascii="黑体" w:hAnsi="宋体" w:eastAsia="黑体" w:cs="黑体"/>
          <w:color w:val="000000" w:themeColor="text1"/>
          <w:kern w:val="0"/>
          <w:sz w:val="32"/>
          <w:szCs w:val="32"/>
          <w:shd w:val="clear" w:color="auto" w:fill="FFFFFF"/>
          <w:lang w:bidi="ar"/>
          <w14:textFill>
            <w14:solidFill>
              <w14:schemeClr w14:val="tx1"/>
            </w14:solidFill>
          </w14:textFill>
        </w:rPr>
        <w:t>评价结论及建议</w:t>
      </w:r>
    </w:p>
    <w:p>
      <w:pPr>
        <w:widowControl/>
        <w:numPr>
          <w:ilvl w:val="0"/>
          <w:numId w:val="5"/>
        </w:numPr>
        <w:adjustRightInd w:val="0"/>
        <w:snapToGrid w:val="0"/>
        <w:spacing w:line="560" w:lineRule="exact"/>
        <w:ind w:left="-10" w:leftChars="0" w:firstLine="640" w:firstLineChars="0"/>
        <w:contextualSpacing/>
        <w:jc w:val="left"/>
        <w:rPr>
          <w:rFonts w:ascii="仿宋_GB2312" w:hAnsi="宋体" w:eastAsia="仿宋_GB2312" w:cs="仿宋_GB2312"/>
          <w:b/>
          <w:bCs/>
          <w:color w:val="000000"/>
          <w:kern w:val="0"/>
          <w:sz w:val="32"/>
          <w:szCs w:val="32"/>
          <w:shd w:val="clear" w:color="auto" w:fill="FFFFFF"/>
          <w:lang w:bidi="ar"/>
        </w:rPr>
      </w:pPr>
      <w:r>
        <w:rPr>
          <w:rFonts w:ascii="仿宋_GB2312" w:hAnsi="宋体" w:eastAsia="仿宋_GB2312" w:cs="仿宋_GB2312"/>
          <w:b/>
          <w:bCs/>
          <w:color w:val="000000"/>
          <w:kern w:val="0"/>
          <w:sz w:val="32"/>
          <w:szCs w:val="32"/>
          <w:shd w:val="clear" w:color="auto" w:fill="FFFFFF"/>
          <w:lang w:bidi="ar"/>
        </w:rPr>
        <w:t>评价结论</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宋体" w:eastAsia="仿宋_GB2312" w:cs="仿宋_GB2312"/>
          <w:color w:val="000000"/>
          <w:kern w:val="0"/>
          <w:sz w:val="32"/>
          <w:szCs w:val="32"/>
          <w:shd w:val="clear" w:color="auto" w:fill="FFFFFF"/>
          <w:lang w:val="zh-CN" w:eastAsia="zh-CN" w:bidi="ar"/>
        </w:rPr>
      </w:pPr>
      <w:r>
        <w:rPr>
          <w:rFonts w:hint="eastAsia" w:ascii="仿宋_GB2312" w:hAnsi="宋体" w:eastAsia="仿宋_GB2312" w:cs="仿宋_GB2312"/>
          <w:color w:val="000000"/>
          <w:kern w:val="0"/>
          <w:sz w:val="32"/>
          <w:szCs w:val="32"/>
          <w:shd w:val="clear" w:color="auto" w:fill="FFFFFF"/>
          <w:lang w:val="zh-CN" w:bidi="ar"/>
        </w:rPr>
        <w:t>我</w:t>
      </w:r>
      <w:r>
        <w:rPr>
          <w:rFonts w:hint="eastAsia" w:ascii="仿宋_GB2312" w:hAnsi="宋体" w:eastAsia="仿宋_GB2312" w:cs="仿宋_GB2312"/>
          <w:color w:val="000000"/>
          <w:kern w:val="0"/>
          <w:sz w:val="32"/>
          <w:szCs w:val="32"/>
          <w:shd w:val="clear" w:color="auto" w:fill="FFFFFF"/>
          <w:lang w:val="en-US" w:eastAsia="zh-CN" w:bidi="ar"/>
        </w:rPr>
        <w:t>单位</w:t>
      </w:r>
      <w:r>
        <w:rPr>
          <w:rFonts w:hint="eastAsia" w:ascii="仿宋_GB2312" w:hAnsi="宋体" w:eastAsia="仿宋_GB2312" w:cs="仿宋_GB2312"/>
          <w:color w:val="000000"/>
          <w:kern w:val="0"/>
          <w:sz w:val="32"/>
          <w:szCs w:val="32"/>
          <w:shd w:val="clear" w:color="auto" w:fill="FFFFFF"/>
          <w:lang w:val="zh-CN" w:bidi="ar"/>
        </w:rPr>
        <w:t>通过加强预算收支管理，不断建立健全内部管理制</w:t>
      </w:r>
      <w:r>
        <w:rPr>
          <w:rFonts w:hint="eastAsia" w:ascii="仿宋_GB2312" w:hAnsi="宋体" w:eastAsia="仿宋_GB2312" w:cs="仿宋_GB2312"/>
          <w:color w:val="000000"/>
          <w:kern w:val="0"/>
          <w:sz w:val="32"/>
          <w:szCs w:val="32"/>
          <w:shd w:val="clear" w:color="auto" w:fill="FFFFFF"/>
          <w:lang w:val="zh-CN" w:eastAsia="zh-CN" w:bidi="ar"/>
        </w:rPr>
        <w:t>度，强化内部管理流程，部门整体支出管理情况得到提升，</w:t>
      </w:r>
      <w:r>
        <w:rPr>
          <w:rFonts w:hint="eastAsia" w:ascii="仿宋_GB2312" w:hAnsi="宋体" w:eastAsia="仿宋_GB2312" w:cs="仿宋_GB2312"/>
          <w:color w:val="000000"/>
          <w:kern w:val="0"/>
          <w:sz w:val="32"/>
          <w:szCs w:val="32"/>
          <w:shd w:val="clear" w:color="auto" w:fill="FFFFFF"/>
          <w:lang w:val="zh-CN" w:bidi="ar"/>
        </w:rPr>
        <w:t>也能较好完成部门决算的编制、送审、批复和公开工作。同时也认识到在编制决算过程中存在项目分类不够精细、功能科目分类不够准确等不足。在下一年度的部门预算编制、执行决算中，我</w:t>
      </w:r>
      <w:r>
        <w:rPr>
          <w:rFonts w:hint="eastAsia" w:ascii="仿宋_GB2312" w:hAnsi="宋体" w:eastAsia="仿宋_GB2312" w:cs="仿宋_GB2312"/>
          <w:color w:val="000000"/>
          <w:kern w:val="0"/>
          <w:sz w:val="32"/>
          <w:szCs w:val="32"/>
          <w:shd w:val="clear" w:color="auto" w:fill="FFFFFF"/>
          <w:lang w:bidi="ar"/>
        </w:rPr>
        <w:t>会</w:t>
      </w:r>
      <w:r>
        <w:rPr>
          <w:rFonts w:hint="eastAsia" w:ascii="仿宋_GB2312" w:hAnsi="宋体" w:eastAsia="仿宋_GB2312" w:cs="仿宋_GB2312"/>
          <w:color w:val="000000"/>
          <w:kern w:val="0"/>
          <w:sz w:val="32"/>
          <w:szCs w:val="32"/>
          <w:shd w:val="clear" w:color="auto" w:fill="FFFFFF"/>
          <w:lang w:val="zh-CN" w:bidi="ar"/>
        </w:rPr>
        <w:t>将继续努力，科学合理编制预决算，进行绩效评价，加强精细管理，完善不足。</w:t>
      </w:r>
      <w:r>
        <w:rPr>
          <w:rFonts w:hint="eastAsia" w:ascii="仿宋_GB2312" w:hAnsi="宋体" w:eastAsia="仿宋_GB2312" w:cs="仿宋_GB2312"/>
          <w:color w:val="000000"/>
          <w:kern w:val="0"/>
          <w:sz w:val="32"/>
          <w:szCs w:val="32"/>
          <w:shd w:val="clear" w:color="auto" w:fill="FFFFFF"/>
          <w:lang w:bidi="ar"/>
        </w:rPr>
        <w:t>根据《壤塘县</w:t>
      </w:r>
      <w:r>
        <w:rPr>
          <w:rFonts w:hint="eastAsia" w:ascii="仿宋_GB2312" w:hAnsi="宋体" w:eastAsia="仿宋_GB2312" w:cs="仿宋_GB2312"/>
          <w:color w:val="000000"/>
          <w:kern w:val="0"/>
          <w:sz w:val="32"/>
          <w:szCs w:val="32"/>
          <w:shd w:val="clear" w:color="auto" w:fill="FFFFFF"/>
          <w:lang w:eastAsia="zh-CN" w:bidi="ar"/>
        </w:rPr>
        <w:t>202</w:t>
      </w:r>
      <w:r>
        <w:rPr>
          <w:rFonts w:hint="eastAsia" w:hAnsi="宋体" w:eastAsia="仿宋_GB2312" w:cs="仿宋_GB2312"/>
          <w:color w:val="000000"/>
          <w:kern w:val="0"/>
          <w:sz w:val="32"/>
          <w:szCs w:val="32"/>
          <w:shd w:val="clear" w:color="auto" w:fill="FFFFFF"/>
          <w:lang w:val="en-US" w:eastAsia="zh-CN" w:bidi="ar"/>
        </w:rPr>
        <w:t>5</w:t>
      </w:r>
      <w:r>
        <w:rPr>
          <w:rFonts w:ascii="仿宋_GB2312" w:hAnsi="宋体" w:eastAsia="仿宋_GB2312" w:cs="仿宋_GB2312"/>
          <w:color w:val="000000"/>
          <w:kern w:val="0"/>
          <w:sz w:val="32"/>
          <w:szCs w:val="32"/>
          <w:shd w:val="clear" w:color="auto" w:fill="FFFFFF"/>
          <w:lang w:bidi="ar"/>
        </w:rPr>
        <w:t>年部门整体支出绩效评价指标体系》评分，</w:t>
      </w:r>
      <w:r>
        <w:rPr>
          <w:rFonts w:hint="eastAsia" w:ascii="仿宋_GB2312" w:hAnsi="宋体" w:eastAsia="仿宋_GB2312" w:cs="仿宋_GB2312"/>
          <w:color w:val="000000"/>
          <w:kern w:val="0"/>
          <w:sz w:val="32"/>
          <w:szCs w:val="32"/>
          <w:shd w:val="clear" w:color="auto" w:fill="FFFFFF"/>
          <w:lang w:val="zh-CN" w:bidi="ar"/>
        </w:rPr>
        <w:t>得分</w:t>
      </w:r>
      <w:r>
        <w:rPr>
          <w:rFonts w:hint="eastAsia" w:ascii="仿宋_GB2312" w:hAnsi="宋体" w:eastAsia="仿宋_GB2312" w:cs="仿宋_GB2312"/>
          <w:color w:val="000000"/>
          <w:kern w:val="0"/>
          <w:sz w:val="32"/>
          <w:szCs w:val="32"/>
          <w:shd w:val="clear" w:color="auto" w:fill="FFFFFF"/>
          <w:lang w:val="en-US" w:eastAsia="zh-CN" w:bidi="ar"/>
        </w:rPr>
        <w:t>见附表</w:t>
      </w:r>
      <w:r>
        <w:rPr>
          <w:rFonts w:hint="eastAsia" w:ascii="仿宋_GB2312" w:hAnsi="宋体" w:eastAsia="仿宋_GB2312" w:cs="仿宋_GB2312"/>
          <w:color w:val="000000"/>
          <w:kern w:val="0"/>
          <w:sz w:val="32"/>
          <w:szCs w:val="32"/>
          <w:shd w:val="clear" w:color="auto" w:fill="FFFFFF"/>
          <w:lang w:val="zh-CN" w:eastAsia="zh-CN" w:bidi="ar"/>
        </w:rPr>
        <w:t>。</w:t>
      </w:r>
    </w:p>
    <w:p>
      <w:pPr>
        <w:widowControl/>
        <w:numPr>
          <w:ilvl w:val="0"/>
          <w:numId w:val="5"/>
        </w:numPr>
        <w:adjustRightInd w:val="0"/>
        <w:snapToGrid w:val="0"/>
        <w:spacing w:line="560" w:lineRule="exact"/>
        <w:ind w:left="-10" w:leftChars="0" w:firstLine="640" w:firstLineChars="0"/>
        <w:contextualSpacing/>
        <w:jc w:val="left"/>
        <w:rPr>
          <w:rFonts w:ascii="仿宋_GB2312" w:hAnsi="宋体" w:eastAsia="仿宋_GB2312" w:cs="仿宋_GB2312"/>
          <w:b/>
          <w:bCs/>
          <w:color w:val="000000"/>
          <w:kern w:val="0"/>
          <w:sz w:val="32"/>
          <w:szCs w:val="32"/>
          <w:shd w:val="clear" w:color="auto" w:fill="FFFFFF"/>
          <w:lang w:bidi="ar"/>
        </w:rPr>
      </w:pPr>
      <w:r>
        <w:rPr>
          <w:rFonts w:ascii="仿宋_GB2312" w:hAnsi="宋体" w:eastAsia="仿宋_GB2312" w:cs="仿宋_GB2312"/>
          <w:b/>
          <w:bCs/>
          <w:color w:val="000000"/>
          <w:kern w:val="0"/>
          <w:sz w:val="32"/>
          <w:szCs w:val="32"/>
          <w:shd w:val="clear" w:color="auto" w:fill="FFFFFF"/>
          <w:lang w:bidi="ar"/>
        </w:rPr>
        <w:t>存在问题</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宋体" w:eastAsia="仿宋_GB2312" w:cs="仿宋_GB2312"/>
          <w:color w:val="000000"/>
          <w:kern w:val="0"/>
          <w:sz w:val="32"/>
          <w:szCs w:val="32"/>
          <w:shd w:val="clear" w:color="auto" w:fill="FFFFFF"/>
          <w:lang w:val="zh-CN" w:bidi="ar"/>
        </w:rPr>
      </w:pPr>
      <w:r>
        <w:rPr>
          <w:rFonts w:ascii="仿宋_GB2312" w:hAnsi="宋体" w:eastAsia="仿宋_GB2312" w:cs="仿宋_GB2312"/>
          <w:color w:val="000000"/>
          <w:kern w:val="0"/>
          <w:sz w:val="32"/>
          <w:szCs w:val="32"/>
          <w:shd w:val="clear" w:color="auto" w:fill="FFFFFF"/>
          <w:lang w:bidi="ar"/>
        </w:rPr>
        <w:t>1</w:t>
      </w:r>
      <w:r>
        <w:rPr>
          <w:rFonts w:hint="eastAsia" w:ascii="仿宋_GB2312" w:hAnsi="宋体" w:eastAsia="仿宋_GB2312" w:cs="仿宋_GB2312"/>
          <w:color w:val="000000"/>
          <w:kern w:val="0"/>
          <w:sz w:val="32"/>
          <w:szCs w:val="32"/>
          <w:shd w:val="clear" w:color="auto" w:fill="FFFFFF"/>
          <w:lang w:bidi="ar"/>
        </w:rPr>
        <w:t>、</w:t>
      </w:r>
      <w:r>
        <w:rPr>
          <w:rFonts w:ascii="仿宋_GB2312" w:hAnsi="宋体" w:eastAsia="仿宋_GB2312" w:cs="仿宋_GB2312"/>
          <w:color w:val="000000"/>
          <w:kern w:val="0"/>
          <w:sz w:val="32"/>
          <w:szCs w:val="32"/>
          <w:shd w:val="clear" w:color="auto" w:fill="FFFFFF"/>
          <w:lang w:bidi="ar"/>
        </w:rPr>
        <w:t>预算编制前根据年度内单位可预见的工作任务，确</w:t>
      </w:r>
      <w:r>
        <w:rPr>
          <w:rFonts w:ascii="仿宋_GB2312" w:hAnsi="宋体" w:eastAsia="仿宋_GB2312" w:cs="仿宋_GB2312"/>
          <w:color w:val="000000"/>
          <w:kern w:val="0"/>
          <w:sz w:val="32"/>
          <w:szCs w:val="32"/>
          <w:shd w:val="clear" w:color="auto" w:fill="FFFFFF"/>
          <w:lang w:val="en-US" w:eastAsia="zh-CN" w:bidi="ar"/>
        </w:rPr>
        <w:t>定了单位年度预算目标，细化了预算指标，但预算编制的精</w:t>
      </w:r>
      <w:r>
        <w:rPr>
          <w:rFonts w:ascii="仿宋_GB2312" w:hAnsi="宋体" w:eastAsia="仿宋_GB2312" w:cs="仿宋_GB2312"/>
          <w:color w:val="000000"/>
          <w:kern w:val="0"/>
          <w:sz w:val="32"/>
          <w:szCs w:val="32"/>
          <w:shd w:val="clear" w:color="auto" w:fill="FFFFFF"/>
          <w:lang w:bidi="ar"/>
        </w:rPr>
        <w:t>准性有待进一步提高。</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仿宋_GB2312" w:hAnsi="宋体" w:eastAsia="仿宋_GB2312" w:cs="仿宋_GB2312"/>
          <w:b/>
          <w:bCs/>
          <w:color w:val="000000"/>
          <w:kern w:val="0"/>
          <w:sz w:val="32"/>
          <w:szCs w:val="32"/>
          <w:shd w:val="clear" w:color="auto" w:fill="FFFFFF"/>
          <w:lang w:val="en-US" w:bidi="ar"/>
        </w:rPr>
      </w:pPr>
      <w:r>
        <w:rPr>
          <w:rFonts w:hint="eastAsia" w:ascii="仿宋_GB2312" w:hAnsi="宋体" w:eastAsia="仿宋_GB2312" w:cs="仿宋_GB2312"/>
          <w:color w:val="000000"/>
          <w:kern w:val="0"/>
          <w:sz w:val="32"/>
          <w:szCs w:val="32"/>
          <w:shd w:val="clear" w:color="auto" w:fill="FFFFFF"/>
          <w:lang w:val="en-US" w:eastAsia="zh-CN" w:bidi="ar"/>
        </w:rPr>
        <w:t>2、</w:t>
      </w:r>
      <w:r>
        <w:rPr>
          <w:rFonts w:hint="eastAsia" w:hAnsi="宋体" w:eastAsia="仿宋_GB2312" w:cs="仿宋_GB2312"/>
          <w:color w:val="000000"/>
          <w:kern w:val="0"/>
          <w:sz w:val="32"/>
          <w:szCs w:val="32"/>
          <w:shd w:val="clear" w:color="auto" w:fill="FFFFFF"/>
          <w:lang w:val="en-US" w:eastAsia="zh-CN" w:bidi="ar"/>
        </w:rPr>
        <w:t>财务业务工作人员业务能力有待提高，</w:t>
      </w:r>
    </w:p>
    <w:p>
      <w:pPr>
        <w:widowControl/>
        <w:adjustRightInd w:val="0"/>
        <w:snapToGrid w:val="0"/>
        <w:spacing w:line="560" w:lineRule="exact"/>
        <w:ind w:firstLine="642" w:firstLineChars="200"/>
        <w:contextualSpacing/>
        <w:jc w:val="left"/>
        <w:rPr>
          <w:rFonts w:ascii="仿宋_GB2312" w:hAnsi="宋体" w:eastAsia="仿宋_GB2312" w:cs="仿宋_GB2312"/>
          <w:b/>
          <w:bCs/>
          <w:color w:val="000000"/>
          <w:kern w:val="0"/>
          <w:sz w:val="32"/>
          <w:szCs w:val="32"/>
          <w:shd w:val="clear" w:color="auto" w:fill="FFFFFF"/>
          <w:lang w:bidi="ar"/>
        </w:rPr>
      </w:pPr>
      <w:r>
        <w:rPr>
          <w:rFonts w:ascii="仿宋_GB2312" w:hAnsi="宋体" w:eastAsia="仿宋_GB2312" w:cs="仿宋_GB2312"/>
          <w:b/>
          <w:bCs/>
          <w:color w:val="000000"/>
          <w:kern w:val="0"/>
          <w:sz w:val="32"/>
          <w:szCs w:val="32"/>
          <w:shd w:val="clear" w:color="auto" w:fill="FFFFFF"/>
          <w:lang w:bidi="ar"/>
        </w:rPr>
        <w:t>（三）改进建议</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ascii="仿宋_GB2312" w:hAnsi="宋体" w:eastAsia="仿宋_GB2312" w:cs="仿宋_GB2312"/>
          <w:color w:val="000000"/>
          <w:kern w:val="0"/>
          <w:sz w:val="32"/>
          <w:szCs w:val="32"/>
          <w:shd w:val="clear" w:color="auto" w:fill="FFFFFF"/>
          <w:lang w:bidi="ar"/>
        </w:rPr>
      </w:pPr>
      <w:r>
        <w:rPr>
          <w:rFonts w:ascii="仿宋_GB2312" w:hAnsi="宋体" w:eastAsia="仿宋_GB2312" w:cs="仿宋_GB2312"/>
          <w:color w:val="000000"/>
          <w:kern w:val="0"/>
          <w:sz w:val="32"/>
          <w:szCs w:val="32"/>
          <w:shd w:val="clear" w:color="auto" w:fill="FFFFFF"/>
          <w:lang w:bidi="ar"/>
        </w:rPr>
        <w:t>1.加强学习，提高思想认识。组织单位财务人员认真学习《</w:t>
      </w:r>
      <w:r>
        <w:rPr>
          <w:rFonts w:hint="eastAsia" w:hAnsi="宋体" w:eastAsia="仿宋_GB2312" w:cs="仿宋_GB2312"/>
          <w:color w:val="000000"/>
          <w:kern w:val="0"/>
          <w:sz w:val="32"/>
          <w:szCs w:val="32"/>
          <w:shd w:val="clear" w:color="auto" w:fill="FFFFFF"/>
          <w:lang w:eastAsia="zh-CN" w:bidi="ar"/>
        </w:rPr>
        <w:t>中华人民共和国预算法</w:t>
      </w:r>
      <w:r>
        <w:rPr>
          <w:rFonts w:ascii="仿宋_GB2312" w:hAnsi="宋体" w:eastAsia="仿宋_GB2312" w:cs="仿宋_GB2312"/>
          <w:color w:val="000000"/>
          <w:kern w:val="0"/>
          <w:sz w:val="32"/>
          <w:szCs w:val="32"/>
          <w:shd w:val="clear" w:color="auto" w:fill="FFFFFF"/>
          <w:lang w:bidi="ar"/>
        </w:rPr>
        <w:t>》、《项目支出绩效评价》等文件精神及相关法</w:t>
      </w:r>
      <w:r>
        <w:rPr>
          <w:rFonts w:ascii="仿宋_GB2312" w:hAnsi="宋体" w:eastAsia="仿宋_GB2312" w:cs="仿宋_GB2312"/>
          <w:color w:val="000000"/>
          <w:kern w:val="0"/>
          <w:sz w:val="32"/>
          <w:szCs w:val="32"/>
          <w:shd w:val="clear" w:color="auto" w:fill="FFFFFF"/>
          <w:lang w:val="en-US" w:eastAsia="zh-CN" w:bidi="ar"/>
        </w:rPr>
        <w:t>规、制度，提高单位领导对全面预算管理及绩效评价工作的</w:t>
      </w:r>
      <w:r>
        <w:rPr>
          <w:rFonts w:ascii="仿宋_GB2312" w:hAnsi="宋体" w:eastAsia="仿宋_GB2312" w:cs="仿宋_GB2312"/>
          <w:color w:val="000000"/>
          <w:kern w:val="0"/>
          <w:sz w:val="32"/>
          <w:szCs w:val="32"/>
          <w:shd w:val="clear" w:color="auto" w:fill="FFFFFF"/>
          <w:lang w:bidi="ar"/>
        </w:rPr>
        <w:t>重视程度，</w:t>
      </w:r>
      <w:r>
        <w:rPr>
          <w:rFonts w:hint="eastAsia" w:hAnsi="宋体" w:eastAsia="仿宋_GB2312" w:cs="仿宋_GB2312"/>
          <w:color w:val="000000"/>
          <w:kern w:val="0"/>
          <w:sz w:val="32"/>
          <w:szCs w:val="32"/>
          <w:shd w:val="clear" w:color="auto" w:fill="FFFFFF"/>
          <w:lang w:eastAsia="zh-CN" w:bidi="ar"/>
        </w:rPr>
        <w:t>增强责任意识</w:t>
      </w:r>
      <w:r>
        <w:rPr>
          <w:rFonts w:ascii="仿宋_GB2312" w:hAnsi="宋体" w:eastAsia="仿宋_GB2312" w:cs="仿宋_GB2312"/>
          <w:color w:val="000000"/>
          <w:kern w:val="0"/>
          <w:sz w:val="32"/>
          <w:szCs w:val="32"/>
          <w:shd w:val="clear" w:color="auto" w:fill="FFFFFF"/>
          <w:lang w:bidi="ar"/>
        </w:rPr>
        <w:t>。</w:t>
      </w:r>
    </w:p>
    <w:p>
      <w:pPr>
        <w:ind w:firstLine="640" w:firstLineChars="200"/>
        <w:rPr>
          <w:rFonts w:hint="default" w:eastAsia="仿宋_GB2312"/>
          <w:lang w:val="en-US" w:eastAsia="zh-CN"/>
        </w:rPr>
      </w:pPr>
      <w:r>
        <w:rPr>
          <w:rFonts w:hint="eastAsia" w:ascii="仿宋_GB2312" w:hAnsi="宋体" w:eastAsia="仿宋_GB2312" w:cs="仿宋_GB2312"/>
          <w:color w:val="000000"/>
          <w:kern w:val="0"/>
          <w:sz w:val="32"/>
          <w:szCs w:val="32"/>
          <w:shd w:val="clear" w:color="auto" w:fill="FFFFFF"/>
          <w:lang w:val="en-US" w:eastAsia="zh-CN" w:bidi="ar"/>
        </w:rPr>
        <w:t>2.组织单位财务人员积极参与各类业务培训，提高业务能力。</w:t>
      </w:r>
    </w:p>
    <w:p>
      <w:pPr>
        <w:pStyle w:val="13"/>
        <w:keepNext w:val="0"/>
        <w:keepLines w:val="0"/>
        <w:pageBreakBefore w:val="0"/>
        <w:kinsoku/>
        <w:wordWrap/>
        <w:overflowPunct/>
        <w:topLinePunct w:val="0"/>
        <w:autoSpaceDE/>
        <w:autoSpaceDN/>
        <w:bidi w:val="0"/>
        <w:adjustRightInd w:val="0"/>
        <w:snapToGrid w:val="0"/>
        <w:spacing w:before="0" w:line="560" w:lineRule="exact"/>
        <w:jc w:val="center"/>
        <w:textAlignment w:val="auto"/>
        <w:rPr>
          <w:rFonts w:hint="eastAsia" w:ascii="Times New Roman" w:hAnsi="Times New Roman" w:eastAsia="黑体" w:cs="黑体"/>
          <w:color w:val="auto"/>
          <w:sz w:val="44"/>
          <w:szCs w:val="44"/>
          <w:highlight w:val="none"/>
        </w:rPr>
      </w:pPr>
      <w:r>
        <w:rPr>
          <w:rFonts w:hint="eastAsia" w:asciiTheme="majorEastAsia" w:hAnsiTheme="majorEastAsia" w:eastAsiaTheme="majorEastAsia" w:cstheme="majorEastAsia"/>
          <w:color w:val="auto"/>
          <w:sz w:val="32"/>
          <w:szCs w:val="32"/>
          <w:highlight w:val="none"/>
          <w:lang w:val="zh-CN" w:eastAsia="zh-CN"/>
        </w:rPr>
        <w:t>附表：</w:t>
      </w:r>
      <w:r>
        <w:rPr>
          <w:rFonts w:hint="eastAsia" w:asciiTheme="majorEastAsia" w:hAnsiTheme="majorEastAsia" w:eastAsiaTheme="majorEastAsia" w:cstheme="majorEastAsia"/>
          <w:color w:val="auto"/>
          <w:sz w:val="32"/>
          <w:szCs w:val="32"/>
          <w:highlight w:val="none"/>
          <w:lang w:val="en-US" w:eastAsia="zh-CN"/>
        </w:rPr>
        <w:t>部门预算项目支出绩效自评表（2025年度）</w:t>
      </w:r>
    </w:p>
    <w:tbl>
      <w:tblPr>
        <w:tblStyle w:val="18"/>
        <w:tblW w:w="9285" w:type="dxa"/>
        <w:tblInd w:w="-5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5"/>
        <w:gridCol w:w="705"/>
        <w:gridCol w:w="750"/>
        <w:gridCol w:w="60"/>
        <w:gridCol w:w="1098"/>
        <w:gridCol w:w="942"/>
        <w:gridCol w:w="885"/>
        <w:gridCol w:w="1230"/>
        <w:gridCol w:w="675"/>
        <w:gridCol w:w="19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285" w:type="dxa"/>
            <w:gridSpan w:val="10"/>
            <w:tcBorders>
              <w:top w:val="single" w:color="auto" w:sz="4" w:space="0"/>
              <w:left w:val="single" w:color="auto" w:sz="4" w:space="0"/>
              <w:bottom w:val="nil"/>
              <w:right w:val="single" w:color="auto" w:sz="4" w:space="0"/>
            </w:tcBorders>
            <w:shd w:val="clear" w:color="auto" w:fill="auto"/>
            <w:vAlign w:val="center"/>
          </w:tcPr>
          <w:p>
            <w:pPr>
              <w:pStyle w:val="13"/>
              <w:keepNext w:val="0"/>
              <w:keepLines w:val="0"/>
              <w:pageBreakBefore w:val="0"/>
              <w:kinsoku/>
              <w:wordWrap/>
              <w:overflowPunct/>
              <w:topLinePunct w:val="0"/>
              <w:autoSpaceDE/>
              <w:autoSpaceDN/>
              <w:bidi w:val="0"/>
              <w:adjustRightInd w:val="0"/>
              <w:snapToGrid w:val="0"/>
              <w:spacing w:before="0" w:line="560" w:lineRule="exact"/>
              <w:jc w:val="center"/>
              <w:textAlignment w:val="auto"/>
              <w:rPr>
                <w:rFonts w:hint="eastAsia" w:ascii="宋体" w:hAnsi="宋体" w:eastAsia="宋体" w:cs="宋体"/>
                <w:b/>
                <w:bCs/>
                <w:i w:val="0"/>
                <w:iCs w:val="0"/>
                <w:color w:val="000000"/>
                <w:sz w:val="32"/>
                <w:szCs w:val="32"/>
                <w:u w:val="none"/>
              </w:rPr>
            </w:pPr>
            <w:r>
              <w:rPr>
                <w:rFonts w:hint="eastAsia" w:asciiTheme="majorEastAsia" w:hAnsiTheme="majorEastAsia" w:eastAsiaTheme="majorEastAsia" w:cstheme="majorEastAsia"/>
                <w:color w:val="auto"/>
                <w:sz w:val="32"/>
                <w:szCs w:val="32"/>
                <w:highlight w:val="none"/>
                <w:lang w:val="en-US" w:eastAsia="zh-CN"/>
              </w:rPr>
              <w:t>部门预算项目支出绩效自评表（2025年度）</w:t>
            </w:r>
            <w:r>
              <w:rPr>
                <w:rFonts w:hint="eastAsia" w:ascii="宋体" w:hAnsi="宋体" w:eastAsia="宋体" w:cs="宋体"/>
                <w:b/>
                <w:bCs/>
                <w:i w:val="0"/>
                <w:iCs w:val="0"/>
                <w:color w:val="000000"/>
                <w:kern w:val="0"/>
                <w:sz w:val="32"/>
                <w:szCs w:val="32"/>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168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转移支付（项目）名称</w:t>
            </w:r>
          </w:p>
        </w:tc>
        <w:tc>
          <w:tcPr>
            <w:tcW w:w="7605" w:type="dxa"/>
            <w:gridSpan w:val="8"/>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壤塘县农村水池采购项目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地方主管部门</w:t>
            </w:r>
          </w:p>
        </w:tc>
        <w:tc>
          <w:tcPr>
            <w:tcW w:w="26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0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资金使用单位</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壤塘县应急管理局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资金投入情况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（权重10%）</w:t>
            </w:r>
          </w:p>
        </w:tc>
        <w:tc>
          <w:tcPr>
            <w:tcW w:w="1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全年预算数（A）</w:t>
            </w:r>
          </w:p>
        </w:tc>
        <w:tc>
          <w:tcPr>
            <w:tcW w:w="1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预算执行率 </w:t>
            </w:r>
            <w:r>
              <w:rPr>
                <w:rStyle w:val="39"/>
                <w:lang w:val="en-US" w:eastAsia="zh-CN" w:bidi="ar"/>
              </w:rPr>
              <w:t>（B/A×100%)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w:t>
            </w:r>
            <w:r>
              <w:rPr>
                <w:rFonts w:hint="eastAsia" w:ascii="宋体" w:hAnsi="宋体" w:cs="宋体"/>
                <w:i w:val="0"/>
                <w:iCs w:val="0"/>
                <w:color w:val="000000"/>
                <w:kern w:val="0"/>
                <w:sz w:val="20"/>
                <w:szCs w:val="20"/>
                <w:u w:val="none"/>
                <w:lang w:val="en-US" w:eastAsia="zh-CN" w:bidi="ar"/>
              </w:rPr>
              <w:t>总</w:t>
            </w:r>
            <w:r>
              <w:rPr>
                <w:rFonts w:hint="eastAsia" w:ascii="宋体" w:hAnsi="宋体" w:eastAsia="宋体" w:cs="宋体"/>
                <w:i w:val="0"/>
                <w:iCs w:val="0"/>
                <w:color w:val="000000"/>
                <w:kern w:val="0"/>
                <w:sz w:val="20"/>
                <w:szCs w:val="20"/>
                <w:u w:val="none"/>
                <w:lang w:val="en-US" w:eastAsia="zh-CN" w:bidi="ar"/>
              </w:rPr>
              <w:t>额：</w:t>
            </w:r>
          </w:p>
        </w:tc>
        <w:tc>
          <w:tcPr>
            <w:tcW w:w="1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460.1928万元</w:t>
            </w:r>
          </w:p>
        </w:tc>
        <w:tc>
          <w:tcPr>
            <w:tcW w:w="1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446.348</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0.97</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r>
              <w:rPr>
                <w:rStyle w:val="40"/>
                <w:lang w:val="en-US" w:eastAsia="zh-CN" w:bidi="ar"/>
              </w:rPr>
              <w:t>其中：中央补助</w:t>
            </w:r>
          </w:p>
        </w:tc>
        <w:tc>
          <w:tcPr>
            <w:tcW w:w="1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460.1928万元</w:t>
            </w:r>
          </w:p>
        </w:tc>
        <w:tc>
          <w:tcPr>
            <w:tcW w:w="18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446.348</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0.97</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975"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总体目标完成情况</w:t>
            </w:r>
          </w:p>
        </w:tc>
        <w:tc>
          <w:tcPr>
            <w:tcW w:w="2613" w:type="dxa"/>
            <w:gridSpan w:val="4"/>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总体目标</w:t>
            </w:r>
          </w:p>
        </w:tc>
        <w:tc>
          <w:tcPr>
            <w:tcW w:w="5697" w:type="dxa"/>
            <w:gridSpan w:val="5"/>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0" w:hRule="atLeast"/>
        </w:trPr>
        <w:tc>
          <w:tcPr>
            <w:tcW w:w="97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6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壤塘县农村水池采购项目共建设水池444个及配套设施设备，具体包含11个乡镇51个村及2个社区。</w:t>
            </w:r>
          </w:p>
        </w:tc>
        <w:tc>
          <w:tcPr>
            <w:tcW w:w="56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农村水池采购项目总投资460.152646万元，共建设水池444个，具体分布为蒲西乡42个、岗木达镇31个、南木达镇32个、上壤塘乡8个、中壤塘镇27个、茸木达乡22个、尕多乡28个、吾伊乡70个、宗科乡65个、上杜柯乡61个、石里乡58个。项目于2025年5月正式开工，同年10月竣工并投入使用。项目建成后，可为全县51个村及2个社区提供冬季应急用水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 效 指 标（权重50%）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全年实际完成值</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未完成原因和改进措施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产出指标（权重30%）</w:t>
            </w:r>
          </w:p>
        </w:tc>
        <w:tc>
          <w:tcPr>
            <w:tcW w:w="8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农村水池采购数量</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=444个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444个</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农村水池安装乡镇覆盖率</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农村水池使用年限5年以上</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≥5年</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5年</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项目周期1年（2025年1月-2025年12月）</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7月</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 益 指 标（权重10%）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是否有效保障农村应急用水，提供便利</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经济成本指标</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采购总投资控制在预算内</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≤490.6万元</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460.1526万元</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满意度指标（权重5%）</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受益群众使用满意度</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1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bl>
    <w:p>
      <w:pPr>
        <w:rPr>
          <w:rFonts w:hint="eastAsia" w:ascii="Times New Roman" w:hAnsi="Times New Roman" w:eastAsia="黑体" w:cs="黑体"/>
          <w:color w:val="auto"/>
          <w:sz w:val="44"/>
          <w:szCs w:val="44"/>
          <w:highlight w:val="none"/>
        </w:rPr>
      </w:pPr>
    </w:p>
    <w:tbl>
      <w:tblPr>
        <w:tblStyle w:val="18"/>
        <w:tblW w:w="9315" w:type="dxa"/>
        <w:tblInd w:w="-5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7"/>
        <w:gridCol w:w="765"/>
        <w:gridCol w:w="793"/>
        <w:gridCol w:w="1372"/>
        <w:gridCol w:w="544"/>
        <w:gridCol w:w="585"/>
        <w:gridCol w:w="1181"/>
        <w:gridCol w:w="904"/>
        <w:gridCol w:w="677"/>
        <w:gridCol w:w="972"/>
        <w:gridCol w:w="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9315"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Theme="majorEastAsia" w:hAnsiTheme="majorEastAsia" w:eastAsiaTheme="majorEastAsia" w:cstheme="majorEastAsia"/>
                <w:color w:val="auto"/>
                <w:sz w:val="32"/>
                <w:szCs w:val="32"/>
                <w:highlight w:val="none"/>
                <w:lang w:val="en-US" w:eastAsia="zh-CN"/>
              </w:rPr>
              <w:t>部门预算项目支出绩效自评表（2025年度）</w:t>
            </w:r>
            <w:r>
              <w:rPr>
                <w:rFonts w:hint="eastAsia" w:ascii="宋体" w:hAnsi="宋体" w:eastAsia="宋体" w:cs="宋体"/>
                <w:i w:val="0"/>
                <w:iCs w:val="0"/>
                <w:color w:val="000000"/>
                <w:kern w:val="0"/>
                <w:sz w:val="32"/>
                <w:szCs w:val="32"/>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2265"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501"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壤塘县2025民用无人驾驶航空器操控员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执照取证培训费</w:t>
            </w:r>
          </w:p>
        </w:tc>
        <w:tc>
          <w:tcPr>
            <w:tcW w:w="1181"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项目负责人及电话</w:t>
            </w:r>
          </w:p>
        </w:tc>
        <w:tc>
          <w:tcPr>
            <w:tcW w:w="3368" w:type="dxa"/>
            <w:gridSpan w:val="4"/>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安建、13458004340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5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壤塘县应急管理局</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33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壤塘县应急管理局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2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1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全年预算数（A）</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执行率（B/A)</w:t>
            </w: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2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1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29.14</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2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其中：本年财政拨款</w:t>
            </w:r>
          </w:p>
        </w:tc>
        <w:tc>
          <w:tcPr>
            <w:tcW w:w="11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29.14</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40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年初设定目标</w:t>
            </w:r>
          </w:p>
        </w:tc>
        <w:tc>
          <w:tcPr>
            <w:tcW w:w="45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0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举办2025年壤塘县民用无人驾驶航空器操控员执照取证培训，提升无人机操控员在灾害侦查、应急处突等场景中的实战能力</w:t>
            </w:r>
          </w:p>
        </w:tc>
        <w:tc>
          <w:tcPr>
            <w:tcW w:w="45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已按计划完成全部培训工作，24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名学员均取得相关职业技能等级证书，此次培训贴合高原应急工作实际，有效提升我县无人机操作水平和应急处置能力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9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年度指标值</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全年实际值</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(50分)</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9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组织参与培训人数</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≥20人</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24人</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9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参训人员相关职业技能等级证书取得率</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9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资金拨付及时率</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≤30天</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23天</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未在培训完成30天内完成资金拨付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9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工作开展经费控制在预算内</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≤30</w:t>
            </w:r>
            <w:r>
              <w:rPr>
                <w:rFonts w:hint="eastAsia" w:ascii="宋体" w:hAnsi="宋体" w:eastAsia="宋体" w:cs="宋体"/>
                <w:i w:val="0"/>
                <w:iCs w:val="0"/>
                <w:color w:val="000000"/>
                <w:kern w:val="0"/>
                <w:sz w:val="20"/>
                <w:szCs w:val="20"/>
                <w:u w:val="none"/>
                <w:lang w:val="en-US" w:eastAsia="zh-CN" w:bidi="ar"/>
              </w:rPr>
              <w:t>万元</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29.14万元</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(30分)</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19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是否减少因安全生产事故造成的经济损失</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19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是否提升无人机操控员在灾害侦查、应急处突等场景中的实战能力</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5" w:hRule="atLeast"/>
        </w:trPr>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9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是否充分发挥无人机在灾情侦察、救援处置、综合保障场景中的重要作用</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19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参训人员满意度</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培训地点较远，交通不便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41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总分</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0"/>
                <w:szCs w:val="20"/>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95.7</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bl>
    <w:p>
      <w:pPr>
        <w:rPr>
          <w:rFonts w:hint="eastAsia" w:ascii="Times New Roman" w:hAnsi="Times New Roman" w:eastAsia="黑体" w:cs="黑体"/>
          <w:color w:val="auto"/>
          <w:sz w:val="44"/>
          <w:szCs w:val="44"/>
          <w:highlight w:val="none"/>
        </w:rPr>
      </w:pPr>
    </w:p>
    <w:tbl>
      <w:tblPr>
        <w:tblStyle w:val="18"/>
        <w:tblW w:w="9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5"/>
        <w:gridCol w:w="765"/>
        <w:gridCol w:w="671"/>
        <w:gridCol w:w="2096"/>
        <w:gridCol w:w="578"/>
        <w:gridCol w:w="519"/>
        <w:gridCol w:w="1046"/>
        <w:gridCol w:w="816"/>
        <w:gridCol w:w="575"/>
        <w:gridCol w:w="816"/>
        <w:gridCol w:w="5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0"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Theme="majorEastAsia" w:hAnsiTheme="majorEastAsia" w:eastAsiaTheme="majorEastAsia" w:cstheme="majorEastAsia"/>
                <w:color w:val="auto"/>
                <w:sz w:val="32"/>
                <w:szCs w:val="32"/>
                <w:highlight w:val="none"/>
                <w:lang w:val="en-US" w:eastAsia="zh-CN"/>
              </w:rPr>
              <w:t>部门预算项目支出绩效自评表（2025年度）</w:t>
            </w:r>
            <w:r>
              <w:rPr>
                <w:rFonts w:hint="eastAsia" w:ascii="宋体" w:hAnsi="宋体" w:eastAsia="宋体" w:cs="宋体"/>
                <w:i w:val="0"/>
                <w:iCs w:val="0"/>
                <w:color w:val="000000"/>
                <w:kern w:val="0"/>
                <w:sz w:val="32"/>
                <w:szCs w:val="32"/>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991"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3193"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壤塘县应急物资采购项目</w:t>
            </w:r>
          </w:p>
        </w:tc>
        <w:tc>
          <w:tcPr>
            <w:tcW w:w="1046"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项目负责人及电话</w:t>
            </w:r>
          </w:p>
        </w:tc>
        <w:tc>
          <w:tcPr>
            <w:tcW w:w="2770" w:type="dxa"/>
            <w:gridSpan w:val="4"/>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刘兴13795791505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31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壤塘县应急管理局</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27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壤塘县应急管理局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99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20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全年预算数（A）</w:t>
            </w:r>
          </w:p>
        </w:tc>
        <w:tc>
          <w:tcPr>
            <w:tcW w:w="1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执行率（B/A)</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99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456.48万元</w:t>
            </w:r>
          </w:p>
        </w:tc>
        <w:tc>
          <w:tcPr>
            <w:tcW w:w="1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456.48万元</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99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其中：本年财政拨款</w:t>
            </w:r>
          </w:p>
        </w:tc>
        <w:tc>
          <w:tcPr>
            <w:tcW w:w="1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456.48万元</w:t>
            </w:r>
          </w:p>
        </w:tc>
        <w:tc>
          <w:tcPr>
            <w:tcW w:w="1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456.48万元</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46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年初设定目标</w:t>
            </w:r>
          </w:p>
        </w:tc>
        <w:tc>
          <w:tcPr>
            <w:tcW w:w="3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6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完成应急物资采购。主要包括：对讲机、油锯、12平方米双层帐篷、雨衣、雨鞋等。其中，对讲机共计采购500部等</w:t>
            </w:r>
          </w:p>
        </w:tc>
        <w:tc>
          <w:tcPr>
            <w:tcW w:w="38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已完成应急物资采购。主要包括：对讲机、油锯、12平方米双层帐篷、雨衣、雨鞋等。其中，对讲机共计采购500部等，并分发至乡镇投入使用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6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年度指标值</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全年实际值</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(50分)</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6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应急物资采购批数</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等于1次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1次</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6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该批采购应急物资质量全部合格</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等于100%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6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截至</w:t>
            </w:r>
            <w:r>
              <w:rPr>
                <w:rFonts w:hint="eastAsia" w:ascii="宋体" w:hAnsi="宋体" w:eastAsia="宋体" w:cs="宋体"/>
                <w:i w:val="0"/>
                <w:iCs w:val="0"/>
                <w:color w:val="000000"/>
                <w:kern w:val="0"/>
                <w:sz w:val="20"/>
                <w:szCs w:val="20"/>
                <w:u w:val="none"/>
                <w:lang w:val="en-US" w:eastAsia="zh-CN" w:bidi="ar"/>
              </w:rPr>
              <w:t>2025年12月底前资金拨付率</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6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项目总投资控制在预算内</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≤480.93万元</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456.48万元</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26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发生突发事件是否能及时有效处置</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6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有效提升全县应急处置能力</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26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总分</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w:t>
            </w:r>
          </w:p>
        </w:tc>
        <w:tc>
          <w:tcPr>
            <w:tcW w:w="1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0"/>
                <w:szCs w:val="20"/>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w:t>
            </w:r>
          </w:p>
        </w:tc>
        <w:tc>
          <w:tcPr>
            <w:tcW w:w="13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bl>
    <w:p>
      <w:pPr>
        <w:rPr>
          <w:rFonts w:hint="eastAsia" w:ascii="Times New Roman" w:hAnsi="Times New Roman" w:eastAsia="黑体" w:cs="黑体"/>
          <w:color w:val="auto"/>
          <w:sz w:val="44"/>
          <w:szCs w:val="44"/>
          <w:highlight w:val="none"/>
        </w:rPr>
      </w:pPr>
    </w:p>
    <w:tbl>
      <w:tblPr>
        <w:tblStyle w:val="18"/>
        <w:tblW w:w="89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8"/>
        <w:gridCol w:w="800"/>
        <w:gridCol w:w="775"/>
        <w:gridCol w:w="1803"/>
        <w:gridCol w:w="456"/>
        <w:gridCol w:w="651"/>
        <w:gridCol w:w="945"/>
        <w:gridCol w:w="692"/>
        <w:gridCol w:w="658"/>
        <w:gridCol w:w="868"/>
        <w:gridCol w:w="8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8998"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Theme="majorEastAsia" w:hAnsiTheme="majorEastAsia" w:eastAsiaTheme="majorEastAsia" w:cstheme="majorEastAsia"/>
                <w:color w:val="auto"/>
                <w:sz w:val="32"/>
                <w:szCs w:val="32"/>
                <w:highlight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2083"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910"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2025年中央和省级财政自然灾害救灾资金</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项目负责人及电话</w:t>
            </w:r>
          </w:p>
        </w:tc>
        <w:tc>
          <w:tcPr>
            <w:tcW w:w="3060" w:type="dxa"/>
            <w:gridSpan w:val="4"/>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谢朗准15183700339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0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9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壤塘县应急管理局</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30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壤塘县应急管理局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08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全年预算数（A）</w:t>
            </w:r>
          </w:p>
        </w:tc>
        <w:tc>
          <w:tcPr>
            <w:tcW w:w="16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执行率（B/A)</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0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6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43.60%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0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其中：本年财政拨款</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6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43.60%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44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年初设定目标</w:t>
            </w:r>
          </w:p>
        </w:tc>
        <w:tc>
          <w:tcPr>
            <w:tcW w:w="4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4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用于我县2025年汛期因灾倒损房屋重建及紧急转移安置</w:t>
            </w:r>
          </w:p>
        </w:tc>
        <w:tc>
          <w:tcPr>
            <w:tcW w:w="40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目标全部完成，目前，4户倒损房屋重建竣工，待验收通过后拨付尾款。30名紧急转移群众得到妥善安置，完成时效符合要求。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0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2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年度指标值</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全年实际值</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0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(50分)</w:t>
            </w: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2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倒损房屋恢复重建户数</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4户</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4户</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0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2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紧急转移安置人数</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30人</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30人</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50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2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倒损房屋重建验收通过率</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该项目实行存在时间限制，倒损房屋重建需要一定时间，期限为1年，</w:t>
            </w:r>
            <w:r>
              <w:rPr>
                <w:rFonts w:hint="eastAsia" w:ascii="宋体" w:hAnsi="宋体" w:cs="宋体"/>
                <w:i w:val="0"/>
                <w:iCs w:val="0"/>
                <w:color w:val="000000"/>
                <w:kern w:val="0"/>
                <w:sz w:val="20"/>
                <w:szCs w:val="20"/>
                <w:u w:val="none"/>
                <w:lang w:val="en-US" w:eastAsia="zh-CN" w:bidi="ar"/>
              </w:rPr>
              <w:t>截至</w:t>
            </w:r>
            <w:r>
              <w:rPr>
                <w:rFonts w:hint="eastAsia" w:ascii="宋体" w:hAnsi="宋体" w:eastAsia="宋体" w:cs="宋体"/>
                <w:i w:val="0"/>
                <w:iCs w:val="0"/>
                <w:color w:val="000000"/>
                <w:kern w:val="0"/>
                <w:sz w:val="20"/>
                <w:szCs w:val="20"/>
                <w:u w:val="none"/>
                <w:lang w:val="en-US" w:eastAsia="zh-CN" w:bidi="ar"/>
              </w:rPr>
              <w:t>2025年底，还未达到开展验收条件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50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2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资金拨付及时率</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倒损房屋重建补助金分启动资金及尾款两批次发放，尾款在验收通过后发放，期限为1年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0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2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倒损房屋重建及紧急转移安置补助金发控制在预算内</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25万元</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25万元</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0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(30分)</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22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是否有效减少自然灾害次生经济损失</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22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是否有效保障受灾群众的基本生活</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0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2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0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2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是否完善防灾减灾体系，提升抗灾减灾能力</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0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22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受灾群众满意度</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43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总分</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w:t>
            </w:r>
          </w:p>
        </w:tc>
        <w:tc>
          <w:tcPr>
            <w:tcW w:w="16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0"/>
                <w:szCs w:val="20"/>
                <w:u w:val="none"/>
              </w:rPr>
            </w:pPr>
          </w:p>
        </w:tc>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84.3</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bl>
    <w:p>
      <w:pPr>
        <w:rPr>
          <w:rFonts w:hint="eastAsia" w:ascii="Times New Roman" w:hAnsi="Times New Roman" w:eastAsia="黑体" w:cs="黑体"/>
          <w:color w:val="auto"/>
          <w:sz w:val="44"/>
          <w:szCs w:val="44"/>
          <w:highlight w:val="none"/>
        </w:rPr>
      </w:pPr>
    </w:p>
    <w:tbl>
      <w:tblPr>
        <w:tblStyle w:val="18"/>
        <w:tblW w:w="898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5"/>
        <w:gridCol w:w="679"/>
        <w:gridCol w:w="616"/>
        <w:gridCol w:w="2350"/>
        <w:gridCol w:w="716"/>
        <w:gridCol w:w="782"/>
        <w:gridCol w:w="741"/>
        <w:gridCol w:w="668"/>
        <w:gridCol w:w="907"/>
        <w:gridCol w:w="9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8983"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Theme="majorEastAsia" w:hAnsiTheme="majorEastAsia" w:eastAsiaTheme="majorEastAsia" w:cstheme="majorEastAsia"/>
                <w:color w:val="auto"/>
                <w:sz w:val="32"/>
                <w:szCs w:val="32"/>
                <w:highlight w:val="none"/>
                <w:lang w:val="en-US" w:eastAsia="zh-CN"/>
              </w:rPr>
              <w:t>部门预算项目支出绩效自评表（2025年度）</w:t>
            </w:r>
            <w:r>
              <w:rPr>
                <w:rFonts w:hint="eastAsia" w:ascii="宋体" w:hAnsi="宋体" w:eastAsia="宋体" w:cs="宋体"/>
                <w:i w:val="0"/>
                <w:iCs w:val="0"/>
                <w:color w:val="000000"/>
                <w:kern w:val="0"/>
                <w:sz w:val="32"/>
                <w:szCs w:val="32"/>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1850"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3066"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壤塘县城乡居民巨灾保险</w:t>
            </w:r>
          </w:p>
        </w:tc>
        <w:tc>
          <w:tcPr>
            <w:tcW w:w="782"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项目负责人及电话</w:t>
            </w:r>
          </w:p>
        </w:tc>
        <w:tc>
          <w:tcPr>
            <w:tcW w:w="3285" w:type="dxa"/>
            <w:gridSpan w:val="4"/>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谢朗准 15183700339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壤塘县应急管理局</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328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壤塘县应急管理局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8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全年预算数（A）</w:t>
            </w:r>
          </w:p>
        </w:tc>
        <w:tc>
          <w:tcPr>
            <w:tcW w:w="15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执行率（B/A)</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8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27.72</w:t>
            </w:r>
          </w:p>
        </w:tc>
        <w:tc>
          <w:tcPr>
            <w:tcW w:w="15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27.72</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8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其中：本年财政拨款</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27.72</w:t>
            </w:r>
          </w:p>
        </w:tc>
        <w:tc>
          <w:tcPr>
            <w:tcW w:w="15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27.72</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8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其他资金</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5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90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4361" w:type="dxa"/>
            <w:gridSpan w:val="4"/>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年初设定目标</w:t>
            </w:r>
          </w:p>
        </w:tc>
        <w:tc>
          <w:tcPr>
            <w:tcW w:w="40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3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进一步保障人民群众生命财产安全，坚决守住“不发生规模性返贫”底线，按计划完成全县城乡居民住宅地震巨灾保险及政策性农房保险投保工作，足额落实县级财政补贴资金，提升群众灾害风险抵御能力，防范因灾致贫返贫。</w:t>
            </w:r>
          </w:p>
        </w:tc>
        <w:tc>
          <w:tcPr>
            <w:tcW w:w="40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按文件要求完成全部参保工作，县级财政补贴资金277227元足额拨付到位，所有参保户均纳入保障范围，有效降低了群众因灾损失风险，未发生因灾返贫现象，项目目标全部达成。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年度指标值</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全年实际值</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(50分)</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城乡居民住宅地震巨灾保险参保户数  </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5122户</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5122户</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政策性农房保险参保户数</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4589户</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4589户</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受保户受灾后赔付率</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巨灾保险保障周期</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年</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年</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县级财政补贴资金执行率</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(30分)</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是否有效弥补受灾群众的经济负担</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是否降低受灾群众因灾返贫率 </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部分群众会因自然灾害影响生活质量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参保群众满意度</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491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总分</w:t>
            </w:r>
          </w:p>
        </w:tc>
        <w:tc>
          <w:tcPr>
            <w:tcW w:w="15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0"/>
                <w:szCs w:val="20"/>
                <w:u w:val="none"/>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98</w:t>
            </w: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bl>
    <w:p>
      <w:pPr>
        <w:rPr>
          <w:rFonts w:hint="eastAsia" w:ascii="Times New Roman" w:hAnsi="Times New Roman" w:eastAsia="黑体" w:cs="黑体"/>
          <w:color w:val="auto"/>
          <w:sz w:val="44"/>
          <w:szCs w:val="44"/>
          <w:highlight w:val="none"/>
        </w:rPr>
      </w:pPr>
    </w:p>
    <w:tbl>
      <w:tblPr>
        <w:tblStyle w:val="18"/>
        <w:tblW w:w="89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8"/>
        <w:gridCol w:w="885"/>
        <w:gridCol w:w="1020"/>
        <w:gridCol w:w="883"/>
        <w:gridCol w:w="827"/>
        <w:gridCol w:w="690"/>
        <w:gridCol w:w="1290"/>
        <w:gridCol w:w="705"/>
        <w:gridCol w:w="855"/>
        <w:gridCol w:w="13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8998"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Theme="majorEastAsia" w:hAnsiTheme="majorEastAsia" w:eastAsiaTheme="majorEastAsia" w:cstheme="majorEastAsia"/>
                <w:color w:val="auto"/>
                <w:sz w:val="32"/>
                <w:szCs w:val="32"/>
                <w:highlight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2353"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00"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2025年州级自然灾害救灾资金</w:t>
            </w:r>
          </w:p>
        </w:tc>
        <w:tc>
          <w:tcPr>
            <w:tcW w:w="129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项目负责人及电话</w:t>
            </w:r>
          </w:p>
        </w:tc>
        <w:tc>
          <w:tcPr>
            <w:tcW w:w="2955"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谢朗准 15183700339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3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4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壤塘县应急管理局</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29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壤塘县应急管理局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35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全年预算数（A）</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执行率（B/A)</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3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3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其中：本年财政拨款</w:t>
            </w:r>
          </w:p>
        </w:tc>
        <w:tc>
          <w:tcPr>
            <w:tcW w:w="1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4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年初设定目标</w:t>
            </w:r>
          </w:p>
        </w:tc>
        <w:tc>
          <w:tcPr>
            <w:tcW w:w="42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年度总体目标完成情况综述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3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进一步保障人民群众生命财产安全，坚决守住“人员零伤亡底线”，按照相关文件要求，2025年5月-9月期间，十一个乡镇对受地灾、山洪隐患威胁的人员采取了阶段性紧急避险转移安置措施，根据自然资源局、水务局申报资金情况，完成紧急避险转移3000人次</w:t>
            </w:r>
          </w:p>
        </w:tc>
        <w:tc>
          <w:tcPr>
            <w:tcW w:w="42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按照相关流程，及时将资金足额发放到位。有效保障了避险转移群众基本生活，未发生因灾返贫现象，群众满意度高，目标全部达成。</w:t>
            </w:r>
            <w:r>
              <w:rPr>
                <w:rFonts w:hint="eastAsia" w:ascii="宋体" w:hAnsi="宋体" w:eastAsia="宋体" w:cs="宋体"/>
                <w:i w:val="0"/>
                <w:iCs w:val="0"/>
                <w:color w:val="000000"/>
                <w:kern w:val="0"/>
                <w:sz w:val="20"/>
                <w:szCs w:val="20"/>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4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年度指标值</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全年实际值</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未完成原因及拟采取的改进措施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44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2025年紧急避险转移人次</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&gt;=3000人</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3000人</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4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保障2025年紧急避险转移群众救助覆盖率</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44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救助资金完成时限</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w:t>
            </w:r>
            <w:r>
              <w:rPr>
                <w:rFonts w:hint="eastAsia" w:ascii="宋体" w:hAnsi="宋体" w:eastAsia="宋体" w:cs="宋体"/>
                <w:i w:val="0"/>
                <w:iCs w:val="0"/>
                <w:color w:val="000000"/>
                <w:kern w:val="0"/>
                <w:sz w:val="20"/>
                <w:szCs w:val="20"/>
                <w:u w:val="none"/>
                <w:lang w:val="en-US" w:eastAsia="zh-CN" w:bidi="ar"/>
              </w:rPr>
              <w:t>天</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部分发放失败人员，未能及时收集正确卡号，重新发放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本次救助总金额</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9万</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资金拨付进度缓慢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44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救助对象因灾返贫现象</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44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保障3000人次群众基本生活</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44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杜绝发生因灾返贫现象</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4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群众对象满意度</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&gt;=90</w:t>
            </w:r>
            <w:r>
              <w:rPr>
                <w:rFonts w:hint="eastAsia" w:ascii="宋体" w:hAnsi="宋体" w:eastAsia="宋体" w:cs="宋体"/>
                <w:i w:val="0"/>
                <w:iCs w:val="0"/>
                <w:strike/>
                <w:color w:val="000000"/>
                <w:kern w:val="0"/>
                <w:sz w:val="20"/>
                <w:szCs w:val="20"/>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部分群众不了解该政策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40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0"/>
                <w:szCs w:val="20"/>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89</w:t>
            </w:r>
          </w:p>
        </w:tc>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bl>
    <w:p>
      <w:pPr>
        <w:pStyle w:val="13"/>
        <w:keepNext w:val="0"/>
        <w:keepLines w:val="0"/>
        <w:pageBreakBefore w:val="0"/>
        <w:kinsoku/>
        <w:wordWrap/>
        <w:overflowPunct/>
        <w:topLinePunct w:val="0"/>
        <w:autoSpaceDE/>
        <w:autoSpaceDN/>
        <w:bidi w:val="0"/>
        <w:adjustRightInd w:val="0"/>
        <w:snapToGrid w:val="0"/>
        <w:spacing w:before="0" w:line="560" w:lineRule="exact"/>
        <w:jc w:val="both"/>
        <w:textAlignment w:val="auto"/>
        <w:rPr>
          <w:rFonts w:hint="eastAsia" w:ascii="Times New Roman" w:hAnsi="Times New Roman" w:eastAsia="黑体" w:cs="黑体"/>
          <w:color w:val="auto"/>
          <w:sz w:val="44"/>
          <w:szCs w:val="44"/>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center"/>
        <w:textAlignment w:val="auto"/>
        <w:rPr>
          <w:rFonts w:hint="eastAsia" w:ascii="Times New Roman" w:hAnsi="Times New Roman" w:eastAsia="黑体" w:cs="黑体"/>
          <w:color w:val="auto"/>
          <w:sz w:val="44"/>
          <w:szCs w:val="44"/>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center"/>
        <w:textAlignment w:val="auto"/>
        <w:rPr>
          <w:rFonts w:hint="eastAsia" w:ascii="Times New Roman" w:hAnsi="Times New Roman" w:eastAsia="黑体" w:cs="黑体"/>
          <w:color w:val="auto"/>
          <w:sz w:val="44"/>
          <w:szCs w:val="44"/>
          <w:highlight w:val="none"/>
        </w:rPr>
      </w:pPr>
      <w:r>
        <w:rPr>
          <w:rFonts w:hint="eastAsia" w:ascii="Times New Roman" w:hAnsi="Times New Roman" w:eastAsia="黑体" w:cs="黑体"/>
          <w:color w:val="auto"/>
          <w:sz w:val="44"/>
          <w:szCs w:val="44"/>
          <w:highlight w:val="none"/>
        </w:rPr>
        <w:t>第五部分 附表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lang w:eastAsia="zh-CN"/>
        </w:rPr>
      </w:pPr>
    </w:p>
    <w:sectPr>
      <w:footerReference r:id="rId8" w:type="first"/>
      <w:footerReference r:id="rId7"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8F284C"/>
    <w:multiLevelType w:val="singleLevel"/>
    <w:tmpl w:val="EB8F284C"/>
    <w:lvl w:ilvl="0" w:tentative="0">
      <w:start w:val="4"/>
      <w:numFmt w:val="chineseCounting"/>
      <w:suff w:val="space"/>
      <w:lvlText w:val="第%1部分"/>
      <w:lvlJc w:val="left"/>
      <w:rPr>
        <w:rFonts w:hint="eastAsia"/>
      </w:rPr>
    </w:lvl>
  </w:abstractNum>
  <w:abstractNum w:abstractNumId="1">
    <w:nsid w:val="43BF398C"/>
    <w:multiLevelType w:val="singleLevel"/>
    <w:tmpl w:val="43BF398C"/>
    <w:lvl w:ilvl="0" w:tentative="0">
      <w:start w:val="1"/>
      <w:numFmt w:val="chineseCounting"/>
      <w:suff w:val="nothing"/>
      <w:lvlText w:val="（%1）"/>
      <w:lvlJc w:val="left"/>
      <w:pPr>
        <w:ind w:left="-10"/>
      </w:pPr>
      <w:rPr>
        <w:rFonts w:hint="eastAsia"/>
      </w:rPr>
    </w:lvl>
  </w:abstractNum>
  <w:abstractNum w:abstractNumId="2">
    <w:nsid w:val="58778620"/>
    <w:multiLevelType w:val="singleLevel"/>
    <w:tmpl w:val="58778620"/>
    <w:lvl w:ilvl="0" w:tentative="0">
      <w:start w:val="2"/>
      <w:numFmt w:val="chineseCounting"/>
      <w:suff w:val="nothing"/>
      <w:lvlText w:val="（%1）"/>
      <w:lvlJc w:val="left"/>
      <w:rPr>
        <w:rFonts w:hint="eastAsia"/>
      </w:rPr>
    </w:lvl>
  </w:abstractNum>
  <w:abstractNum w:abstractNumId="3">
    <w:nsid w:val="6118D23D"/>
    <w:multiLevelType w:val="singleLevel"/>
    <w:tmpl w:val="6118D23D"/>
    <w:lvl w:ilvl="0" w:tentative="0">
      <w:start w:val="1"/>
      <w:numFmt w:val="chineseCounting"/>
      <w:suff w:val="nothing"/>
      <w:lvlText w:val="%1、"/>
      <w:lvlJc w:val="left"/>
      <w:rPr>
        <w:rFonts w:hint="eastAsia"/>
      </w:rPr>
    </w:lvl>
  </w:abstractNum>
  <w:abstractNum w:abstractNumId="4">
    <w:nsid w:val="683489A9"/>
    <w:multiLevelType w:val="singleLevel"/>
    <w:tmpl w:val="683489A9"/>
    <w:lvl w:ilvl="0" w:tentative="0">
      <w:start w:val="2"/>
      <w:numFmt w:val="chineseCounting"/>
      <w:suff w:val="nothing"/>
      <w:lvlText w:val="%1、"/>
      <w:lvlJc w:val="left"/>
      <w:rPr>
        <w:rFonts w:hint="eastAsia"/>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752C8"/>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3CF07D0"/>
    <w:rsid w:val="04763EE5"/>
    <w:rsid w:val="061E35DE"/>
    <w:rsid w:val="066E0107"/>
    <w:rsid w:val="07996F6E"/>
    <w:rsid w:val="07DFD8BA"/>
    <w:rsid w:val="080A5070"/>
    <w:rsid w:val="08DB07E4"/>
    <w:rsid w:val="09867E8F"/>
    <w:rsid w:val="09A35797"/>
    <w:rsid w:val="09DF42DA"/>
    <w:rsid w:val="0A00672A"/>
    <w:rsid w:val="0A2032A3"/>
    <w:rsid w:val="0C6C4794"/>
    <w:rsid w:val="0CA8290A"/>
    <w:rsid w:val="0D35B1ED"/>
    <w:rsid w:val="0D9A0C44"/>
    <w:rsid w:val="0DE07E2B"/>
    <w:rsid w:val="0F98263C"/>
    <w:rsid w:val="101860EC"/>
    <w:rsid w:val="10C055FF"/>
    <w:rsid w:val="11772AA4"/>
    <w:rsid w:val="118107EC"/>
    <w:rsid w:val="11AE535B"/>
    <w:rsid w:val="12070D49"/>
    <w:rsid w:val="12D22C2E"/>
    <w:rsid w:val="12E50128"/>
    <w:rsid w:val="13D50BC4"/>
    <w:rsid w:val="13DF5603"/>
    <w:rsid w:val="14022904"/>
    <w:rsid w:val="14ED3D4F"/>
    <w:rsid w:val="152F2A07"/>
    <w:rsid w:val="165E0673"/>
    <w:rsid w:val="16BB723D"/>
    <w:rsid w:val="184E2D57"/>
    <w:rsid w:val="186504BB"/>
    <w:rsid w:val="1938089F"/>
    <w:rsid w:val="19A445FC"/>
    <w:rsid w:val="19BB04E7"/>
    <w:rsid w:val="1A2F64A6"/>
    <w:rsid w:val="1AAE5D2F"/>
    <w:rsid w:val="1B7D550C"/>
    <w:rsid w:val="1BE8440E"/>
    <w:rsid w:val="1C1366CD"/>
    <w:rsid w:val="1C5E5533"/>
    <w:rsid w:val="1D155CEE"/>
    <w:rsid w:val="1D864D41"/>
    <w:rsid w:val="1E740ACF"/>
    <w:rsid w:val="1FF35744"/>
    <w:rsid w:val="1FF6BC77"/>
    <w:rsid w:val="209D487B"/>
    <w:rsid w:val="21962A9E"/>
    <w:rsid w:val="21AE7C77"/>
    <w:rsid w:val="22BC3C41"/>
    <w:rsid w:val="23860B96"/>
    <w:rsid w:val="240371BF"/>
    <w:rsid w:val="248102D4"/>
    <w:rsid w:val="24DF2C23"/>
    <w:rsid w:val="260F557C"/>
    <w:rsid w:val="281408E2"/>
    <w:rsid w:val="29BA7997"/>
    <w:rsid w:val="29FD04D3"/>
    <w:rsid w:val="2BCA34CC"/>
    <w:rsid w:val="2BFF7BC6"/>
    <w:rsid w:val="2C8A61B5"/>
    <w:rsid w:val="2D2E01CF"/>
    <w:rsid w:val="2D7116F1"/>
    <w:rsid w:val="2DF04E50"/>
    <w:rsid w:val="2E9545B0"/>
    <w:rsid w:val="2F040D46"/>
    <w:rsid w:val="2FAE5751"/>
    <w:rsid w:val="2FB1A395"/>
    <w:rsid w:val="2FD9A7D8"/>
    <w:rsid w:val="30E019C1"/>
    <w:rsid w:val="319F7F4E"/>
    <w:rsid w:val="321B2544"/>
    <w:rsid w:val="3304709D"/>
    <w:rsid w:val="34281836"/>
    <w:rsid w:val="34802092"/>
    <w:rsid w:val="349D6851"/>
    <w:rsid w:val="35BA6CAF"/>
    <w:rsid w:val="364D14C1"/>
    <w:rsid w:val="36681030"/>
    <w:rsid w:val="36AA5135"/>
    <w:rsid w:val="36BE0DA7"/>
    <w:rsid w:val="36FF7524"/>
    <w:rsid w:val="376B6AA6"/>
    <w:rsid w:val="376D39B2"/>
    <w:rsid w:val="37E16F03"/>
    <w:rsid w:val="37F53A3B"/>
    <w:rsid w:val="389B6C89"/>
    <w:rsid w:val="38D469F0"/>
    <w:rsid w:val="39627CCD"/>
    <w:rsid w:val="397BAF1F"/>
    <w:rsid w:val="3AB79AF3"/>
    <w:rsid w:val="3B183024"/>
    <w:rsid w:val="3B7EF35A"/>
    <w:rsid w:val="3B9FDB6C"/>
    <w:rsid w:val="3BC767F9"/>
    <w:rsid w:val="3BF53366"/>
    <w:rsid w:val="3BF5BC2F"/>
    <w:rsid w:val="3CEBA265"/>
    <w:rsid w:val="3D6562C9"/>
    <w:rsid w:val="3D98207C"/>
    <w:rsid w:val="3D9B0D99"/>
    <w:rsid w:val="3DEE7CF3"/>
    <w:rsid w:val="3DF02244"/>
    <w:rsid w:val="3DF97B88"/>
    <w:rsid w:val="3E78745D"/>
    <w:rsid w:val="3E7940FA"/>
    <w:rsid w:val="3FF4CAE0"/>
    <w:rsid w:val="3FF7B227"/>
    <w:rsid w:val="40E54C45"/>
    <w:rsid w:val="41C51A2C"/>
    <w:rsid w:val="438F22F2"/>
    <w:rsid w:val="43A407DF"/>
    <w:rsid w:val="44515BEA"/>
    <w:rsid w:val="44E268DA"/>
    <w:rsid w:val="453807D4"/>
    <w:rsid w:val="453F7E5B"/>
    <w:rsid w:val="486A6C7A"/>
    <w:rsid w:val="48D709DA"/>
    <w:rsid w:val="49176D9B"/>
    <w:rsid w:val="49184B37"/>
    <w:rsid w:val="4A627F82"/>
    <w:rsid w:val="4AB64608"/>
    <w:rsid w:val="4B0E749A"/>
    <w:rsid w:val="4B4F25DA"/>
    <w:rsid w:val="4BB7794E"/>
    <w:rsid w:val="4BDA0CFB"/>
    <w:rsid w:val="4BE068DB"/>
    <w:rsid w:val="4CD60A12"/>
    <w:rsid w:val="4D3C0CCC"/>
    <w:rsid w:val="4D577224"/>
    <w:rsid w:val="4DBF1CEB"/>
    <w:rsid w:val="4E027201"/>
    <w:rsid w:val="4E4A5793"/>
    <w:rsid w:val="4EAB630A"/>
    <w:rsid w:val="4ECE2238"/>
    <w:rsid w:val="4F833267"/>
    <w:rsid w:val="4FE9BD67"/>
    <w:rsid w:val="4FFB052F"/>
    <w:rsid w:val="500E1B55"/>
    <w:rsid w:val="52920AEE"/>
    <w:rsid w:val="52B551A5"/>
    <w:rsid w:val="53083A92"/>
    <w:rsid w:val="537E6D0A"/>
    <w:rsid w:val="53AF27A2"/>
    <w:rsid w:val="53F74C96"/>
    <w:rsid w:val="56E47B74"/>
    <w:rsid w:val="570F757A"/>
    <w:rsid w:val="57207FF3"/>
    <w:rsid w:val="57BD3DD4"/>
    <w:rsid w:val="583F79EB"/>
    <w:rsid w:val="589518D3"/>
    <w:rsid w:val="5A9F29C3"/>
    <w:rsid w:val="5AF92295"/>
    <w:rsid w:val="5BDD79E6"/>
    <w:rsid w:val="5BF561CA"/>
    <w:rsid w:val="5BFF5DFC"/>
    <w:rsid w:val="5C0056E3"/>
    <w:rsid w:val="5C0A0310"/>
    <w:rsid w:val="5CD71FC4"/>
    <w:rsid w:val="5D1F11B5"/>
    <w:rsid w:val="5D2B6790"/>
    <w:rsid w:val="5DAE1B18"/>
    <w:rsid w:val="5DE7D9E5"/>
    <w:rsid w:val="5E9F0257"/>
    <w:rsid w:val="5ECEC941"/>
    <w:rsid w:val="5F493CB7"/>
    <w:rsid w:val="5FBF9FF3"/>
    <w:rsid w:val="5FCD4E2C"/>
    <w:rsid w:val="5FD15F49"/>
    <w:rsid w:val="5FEF394A"/>
    <w:rsid w:val="5FF67715"/>
    <w:rsid w:val="60BE791B"/>
    <w:rsid w:val="614412A5"/>
    <w:rsid w:val="62BF3928"/>
    <w:rsid w:val="6338070A"/>
    <w:rsid w:val="647F5392"/>
    <w:rsid w:val="664B1D71"/>
    <w:rsid w:val="66675D79"/>
    <w:rsid w:val="676236F6"/>
    <w:rsid w:val="67AA3209"/>
    <w:rsid w:val="681C4F0D"/>
    <w:rsid w:val="69046D0F"/>
    <w:rsid w:val="698D0931"/>
    <w:rsid w:val="6A0E546F"/>
    <w:rsid w:val="6A993CED"/>
    <w:rsid w:val="6B053271"/>
    <w:rsid w:val="6B792DBC"/>
    <w:rsid w:val="6BCE6674"/>
    <w:rsid w:val="6C4A05C8"/>
    <w:rsid w:val="6C4C622A"/>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F52EE5"/>
    <w:rsid w:val="712A28F1"/>
    <w:rsid w:val="715C0E4B"/>
    <w:rsid w:val="71D60F68"/>
    <w:rsid w:val="72233669"/>
    <w:rsid w:val="72734D90"/>
    <w:rsid w:val="730E7201"/>
    <w:rsid w:val="7332FE48"/>
    <w:rsid w:val="738E13CF"/>
    <w:rsid w:val="73AB61DA"/>
    <w:rsid w:val="73AD73D5"/>
    <w:rsid w:val="73B6EB34"/>
    <w:rsid w:val="73FA497D"/>
    <w:rsid w:val="744731E5"/>
    <w:rsid w:val="74527205"/>
    <w:rsid w:val="74BBD01D"/>
    <w:rsid w:val="74D54E6C"/>
    <w:rsid w:val="74ED5379"/>
    <w:rsid w:val="74FC2395"/>
    <w:rsid w:val="75797532"/>
    <w:rsid w:val="757C1E26"/>
    <w:rsid w:val="75DEEEC2"/>
    <w:rsid w:val="768014A2"/>
    <w:rsid w:val="76E3355F"/>
    <w:rsid w:val="76FF5125"/>
    <w:rsid w:val="776F6FFA"/>
    <w:rsid w:val="778769C8"/>
    <w:rsid w:val="77DC22F5"/>
    <w:rsid w:val="780B3776"/>
    <w:rsid w:val="79086DAD"/>
    <w:rsid w:val="79974F09"/>
    <w:rsid w:val="79D7FD79"/>
    <w:rsid w:val="79EE5BA4"/>
    <w:rsid w:val="7A894339"/>
    <w:rsid w:val="7AFF7572"/>
    <w:rsid w:val="7B6C7DFB"/>
    <w:rsid w:val="7BBFBED0"/>
    <w:rsid w:val="7BC3E394"/>
    <w:rsid w:val="7C1F3737"/>
    <w:rsid w:val="7CA3413D"/>
    <w:rsid w:val="7CBFC87B"/>
    <w:rsid w:val="7CFE0F48"/>
    <w:rsid w:val="7D7EC23E"/>
    <w:rsid w:val="7D916348"/>
    <w:rsid w:val="7E8ADEBF"/>
    <w:rsid w:val="7EED169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DFAC9AD"/>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A9B6F6"/>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index 8"/>
    <w:basedOn w:val="1"/>
    <w:next w:val="1"/>
    <w:unhideWhenUsed/>
    <w:qFormat/>
    <w:uiPriority w:val="99"/>
    <w:pPr>
      <w:ind w:left="2940"/>
    </w:pPr>
  </w:style>
  <w:style w:type="paragraph" w:styleId="6">
    <w:name w:val="Body Text"/>
    <w:basedOn w:val="1"/>
    <w:next w:val="5"/>
    <w:link w:val="28"/>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4"/>
      <w:lang w:val="en-US" w:eastAsia="zh-CN" w:bidi="ar-SA"/>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widowControl w:val="0"/>
      <w:suppressAutoHyphens/>
      <w:spacing w:before="100" w:beforeAutospacing="1" w:after="100" w:afterAutospacing="1"/>
      <w:ind w:left="0" w:right="0"/>
      <w:jc w:val="left"/>
    </w:pPr>
    <w:rPr>
      <w:rFonts w:ascii="Calibri" w:hAnsi="Calibri" w:eastAsia="宋体" w:cs="Arial"/>
      <w:kern w:val="0"/>
      <w:sz w:val="24"/>
      <w:szCs w:val="22"/>
      <w:lang w:val="en-US" w:eastAsia="zh-CN" w:bidi="ar-SA"/>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2"/>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1"/>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2"/>
    <w:qFormat/>
    <w:uiPriority w:val="9"/>
    <w:rPr>
      <w:rFonts w:ascii="Times New Roman" w:hAnsi="Times New Roman"/>
      <w:b/>
      <w:bCs/>
      <w:kern w:val="44"/>
      <w:sz w:val="44"/>
      <w:szCs w:val="44"/>
    </w:rPr>
  </w:style>
  <w:style w:type="character" w:customStyle="1" w:styleId="32">
    <w:name w:val="标题 2 Char"/>
    <w:basedOn w:val="19"/>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0"/>
    <w:semiHidden/>
    <w:qFormat/>
    <w:uiPriority w:val="99"/>
    <w:rPr>
      <w:rFonts w:ascii="Times New Roman" w:hAnsi="Times New Roman"/>
      <w:kern w:val="2"/>
      <w:sz w:val="18"/>
      <w:szCs w:val="18"/>
    </w:rPr>
  </w:style>
  <w:style w:type="character" w:customStyle="1" w:styleId="35">
    <w:name w:val="标题 3 Char"/>
    <w:basedOn w:val="19"/>
    <w:link w:val="4"/>
    <w:qFormat/>
    <w:uiPriority w:val="9"/>
    <w:rPr>
      <w:rFonts w:ascii="Times New Roman" w:hAnsi="Times New Roman"/>
      <w:b/>
      <w:bCs/>
      <w:kern w:val="2"/>
      <w:sz w:val="32"/>
      <w:szCs w:val="32"/>
    </w:rPr>
  </w:style>
  <w:style w:type="paragraph" w:customStyle="1" w:styleId="36">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列出段落1"/>
    <w:basedOn w:val="1"/>
    <w:qFormat/>
    <w:uiPriority w:val="0"/>
    <w:pPr>
      <w:keepNext w:val="0"/>
      <w:keepLines w:val="0"/>
      <w:widowControl w:val="0"/>
      <w:suppressLineNumbers w:val="0"/>
      <w:spacing w:before="0" w:beforeAutospacing="0" w:after="0" w:afterAutospacing="0"/>
      <w:ind w:left="0" w:right="0" w:firstLine="200" w:firstLineChars="200"/>
      <w:jc w:val="both"/>
    </w:pPr>
    <w:rPr>
      <w:rFonts w:ascii="Calibri" w:hAnsi="Calibri" w:eastAsia="宋体" w:cs="Times New Roman"/>
      <w:kern w:val="2"/>
      <w:sz w:val="32"/>
      <w:szCs w:val="32"/>
      <w:lang w:val="en-US" w:eastAsia="zh-CN"/>
    </w:rPr>
  </w:style>
  <w:style w:type="character" w:customStyle="1" w:styleId="39">
    <w:name w:val="font91"/>
    <w:basedOn w:val="19"/>
    <w:qFormat/>
    <w:uiPriority w:val="0"/>
    <w:rPr>
      <w:rFonts w:hint="eastAsia" w:ascii="宋体" w:hAnsi="宋体" w:eastAsia="宋体" w:cs="宋体"/>
      <w:color w:val="000000"/>
      <w:sz w:val="16"/>
      <w:szCs w:val="16"/>
      <w:u w:val="none"/>
    </w:rPr>
  </w:style>
  <w:style w:type="character" w:customStyle="1" w:styleId="40">
    <w:name w:val="font101"/>
    <w:basedOn w:val="19"/>
    <w:qFormat/>
    <w:uiPriority w:val="0"/>
    <w:rPr>
      <w:rFonts w:hint="eastAsia" w:ascii="宋体" w:hAnsi="宋体" w:eastAsia="宋体" w:cs="宋体"/>
      <w:color w:val="000000"/>
      <w:sz w:val="20"/>
      <w:szCs w:val="20"/>
      <w:u w:val="none"/>
    </w:rPr>
  </w:style>
  <w:style w:type="character" w:customStyle="1" w:styleId="41">
    <w:name w:val="font112"/>
    <w:basedOn w:val="19"/>
    <w:qFormat/>
    <w:uiPriority w:val="0"/>
    <w:rPr>
      <w:rFonts w:hint="eastAsia" w:ascii="宋体" w:hAnsi="宋体" w:eastAsia="宋体" w:cs="宋体"/>
      <w:b/>
      <w:bCs/>
      <w:color w:val="000000"/>
      <w:sz w:val="20"/>
      <w:szCs w:val="20"/>
      <w:u w:val="none"/>
    </w:rPr>
  </w:style>
  <w:style w:type="character" w:customStyle="1" w:styleId="42">
    <w:name w:val="font111"/>
    <w:basedOn w:val="19"/>
    <w:qFormat/>
    <w:uiPriority w:val="0"/>
    <w:rPr>
      <w:rFonts w:hint="eastAsia" w:ascii="宋体" w:hAnsi="宋体" w:eastAsia="宋体" w:cs="宋体"/>
      <w:b/>
      <w:bCs/>
      <w:color w:val="000000"/>
      <w:sz w:val="32"/>
      <w:szCs w:val="32"/>
      <w:u w:val="none"/>
    </w:rPr>
  </w:style>
  <w:style w:type="character" w:customStyle="1" w:styleId="43">
    <w:name w:val="font21"/>
    <w:basedOn w:val="19"/>
    <w:qFormat/>
    <w:uiPriority w:val="0"/>
    <w:rPr>
      <w:rFonts w:hint="eastAsia" w:ascii="宋体" w:hAnsi="宋体" w:eastAsia="宋体" w:cs="宋体"/>
      <w:color w:val="000000"/>
      <w:sz w:val="32"/>
      <w:szCs w:val="32"/>
      <w:u w:val="none"/>
    </w:rPr>
  </w:style>
  <w:style w:type="character" w:customStyle="1" w:styleId="44">
    <w:name w:val="font13"/>
    <w:basedOn w:val="19"/>
    <w:qFormat/>
    <w:uiPriority w:val="0"/>
    <w:rPr>
      <w:rFonts w:hint="eastAsia" w:ascii="宋体" w:hAnsi="宋体" w:eastAsia="宋体" w:cs="宋体"/>
      <w:color w:val="000000"/>
      <w:sz w:val="20"/>
      <w:szCs w:val="20"/>
      <w:u w:val="none"/>
    </w:rPr>
  </w:style>
  <w:style w:type="character" w:customStyle="1" w:styleId="45">
    <w:name w:val="font121"/>
    <w:basedOn w:val="19"/>
    <w:qFormat/>
    <w:uiPriority w:val="0"/>
    <w:rPr>
      <w:rFonts w:hint="eastAsia" w:ascii="宋体" w:hAnsi="宋体" w:eastAsia="宋体" w:cs="宋体"/>
      <w:color w:val="000000"/>
      <w:sz w:val="20"/>
      <w:szCs w:val="20"/>
      <w:u w:val="none"/>
    </w:rPr>
  </w:style>
  <w:style w:type="character" w:customStyle="1" w:styleId="46">
    <w:name w:val="font61"/>
    <w:basedOn w:val="19"/>
    <w:qFormat/>
    <w:uiPriority w:val="0"/>
    <w:rPr>
      <w:rFonts w:hint="default" w:ascii="Arial" w:hAnsi="Arial" w:cs="Arial"/>
      <w:color w:val="000000"/>
      <w:sz w:val="20"/>
      <w:szCs w:val="20"/>
      <w:u w:val="none"/>
    </w:rPr>
  </w:style>
  <w:style w:type="character" w:customStyle="1" w:styleId="47">
    <w:name w:val="font131"/>
    <w:basedOn w:val="19"/>
    <w:qFormat/>
    <w:uiPriority w:val="0"/>
    <w:rPr>
      <w:rFonts w:hint="eastAsia" w:ascii="宋体" w:hAnsi="宋体" w:eastAsia="宋体" w:cs="宋体"/>
      <w:b/>
      <w:bCs/>
      <w:color w:val="000000"/>
      <w:sz w:val="32"/>
      <w:szCs w:val="32"/>
      <w:u w:val="none"/>
    </w:rPr>
  </w:style>
  <w:style w:type="character" w:customStyle="1" w:styleId="48">
    <w:name w:val="font41"/>
    <w:basedOn w:val="19"/>
    <w:qFormat/>
    <w:uiPriority w:val="0"/>
    <w:rPr>
      <w:rFonts w:hint="eastAsia" w:ascii="宋体" w:hAnsi="宋体" w:eastAsia="宋体" w:cs="宋体"/>
      <w:color w:val="000000"/>
      <w:sz w:val="32"/>
      <w:szCs w:val="32"/>
      <w:u w:val="none"/>
    </w:rPr>
  </w:style>
  <w:style w:type="character" w:customStyle="1" w:styleId="49">
    <w:name w:val="font141"/>
    <w:basedOn w:val="19"/>
    <w:qFormat/>
    <w:uiPriority w:val="0"/>
    <w:rPr>
      <w:rFonts w:hint="eastAsia" w:ascii="宋体" w:hAnsi="宋体" w:eastAsia="宋体" w:cs="宋体"/>
      <w:color w:val="000000"/>
      <w:sz w:val="20"/>
      <w:szCs w:val="20"/>
      <w:u w:val="none"/>
    </w:rPr>
  </w:style>
  <w:style w:type="character" w:customStyle="1" w:styleId="50">
    <w:name w:val="font81"/>
    <w:basedOn w:val="19"/>
    <w:qFormat/>
    <w:uiPriority w:val="0"/>
    <w:rPr>
      <w:rFonts w:hint="default" w:ascii="Arial" w:hAnsi="Arial" w:cs="Arial"/>
      <w:color w:val="000000"/>
      <w:sz w:val="20"/>
      <w:szCs w:val="20"/>
      <w:u w:val="none"/>
    </w:rPr>
  </w:style>
  <w:style w:type="character" w:customStyle="1" w:styleId="51">
    <w:name w:val="font151"/>
    <w:basedOn w:val="19"/>
    <w:qFormat/>
    <w:uiPriority w:val="0"/>
    <w:rPr>
      <w:rFonts w:hint="eastAsia" w:ascii="宋体" w:hAnsi="宋体" w:eastAsia="宋体" w:cs="宋体"/>
      <w:color w:val="000000"/>
      <w:sz w:val="18"/>
      <w:szCs w:val="18"/>
      <w:u w:val="none"/>
    </w:rPr>
  </w:style>
  <w:style w:type="character" w:customStyle="1" w:styleId="52">
    <w:name w:val="font161"/>
    <w:basedOn w:val="19"/>
    <w:qFormat/>
    <w:uiPriority w:val="0"/>
    <w:rPr>
      <w:rFonts w:hint="eastAsia" w:ascii="宋体" w:hAnsi="宋体" w:eastAsia="宋体" w:cs="宋体"/>
      <w:color w:val="000000"/>
      <w:sz w:val="18"/>
      <w:szCs w:val="18"/>
      <w:u w:val="none"/>
    </w:rPr>
  </w:style>
  <w:style w:type="character" w:customStyle="1" w:styleId="53">
    <w:name w:val="font171"/>
    <w:basedOn w:val="19"/>
    <w:qFormat/>
    <w:uiPriority w:val="0"/>
    <w:rPr>
      <w:rFonts w:hint="eastAsia" w:ascii="宋体" w:hAnsi="宋体" w:eastAsia="宋体" w:cs="宋体"/>
      <w:color w:val="000000"/>
      <w:sz w:val="12"/>
      <w:szCs w:val="12"/>
      <w:u w:val="none"/>
    </w:rPr>
  </w:style>
  <w:style w:type="character" w:customStyle="1" w:styleId="54">
    <w:name w:val="font122"/>
    <w:basedOn w:val="19"/>
    <w:qFormat/>
    <w:uiPriority w:val="0"/>
    <w:rPr>
      <w:rFonts w:hint="eastAsia" w:ascii="宋体" w:hAnsi="宋体" w:eastAsia="宋体" w:cs="宋体"/>
      <w:b/>
      <w:bCs/>
      <w:color w:val="000000"/>
      <w:sz w:val="32"/>
      <w:szCs w:val="32"/>
      <w:u w:val="none"/>
    </w:rPr>
  </w:style>
  <w:style w:type="character" w:customStyle="1" w:styleId="55">
    <w:name w:val="font71"/>
    <w:basedOn w:val="19"/>
    <w:qFormat/>
    <w:uiPriority w:val="0"/>
    <w:rPr>
      <w:rFonts w:hint="eastAsia" w:ascii="宋体" w:hAnsi="宋体" w:eastAsia="宋体" w:cs="宋体"/>
      <w:color w:val="000000"/>
      <w:sz w:val="18"/>
      <w:szCs w:val="18"/>
      <w:u w:val="none"/>
    </w:rPr>
  </w:style>
  <w:style w:type="character" w:customStyle="1" w:styleId="56">
    <w:name w:val="font181"/>
    <w:basedOn w:val="19"/>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9.xml"/><Relationship Id="rId17" Type="http://schemas.openxmlformats.org/officeDocument/2006/relationships/chart" Target="charts/chart8.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22270;&#34920;%20&#22312;%20&#24212;&#24613;&#23616;&#27719;&#24635;2024&#24180;&#37096;&#38376;&#20915;&#31639;&#20844;&#24320;.doc"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22270;&#34920;%20&#22312;%20&#24212;&#24613;&#23616;&#27719;&#24635;2024&#24180;&#37096;&#38376;&#20915;&#31639;&#20844;&#24320;.doc"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22270;&#34920;%20&#22312;%20&#24212;&#24613;&#23616;&#27719;&#24635;2024&#24180;&#37096;&#38376;&#20915;&#31639;&#20844;&#24320;.doc"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22270;&#34920;%20&#22312;%20&#24212;&#24613;&#23616;&#27719;&#24635;2024&#24180;&#37096;&#38376;&#20915;&#31639;&#20844;&#24320;.doc"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22270;&#34920;%20&#22312;%20&#24212;&#24613;&#23616;&#27719;&#24635;2024&#24180;&#37096;&#38376;&#20915;&#31639;&#20844;&#24320;.doc"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22270;&#34920;%20&#22312;%20&#24212;&#24613;&#23616;&#27719;&#24635;2024&#24180;&#37096;&#38376;&#20915;&#31639;&#20844;&#24320;.doc"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22270;&#34920;%20&#22312;%20&#24212;&#24613;&#23616;&#27719;&#24635;2024&#24180;&#37096;&#38376;&#20915;&#31639;&#20844;&#24320;.doc"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22270;&#34920;%20&#22312;%20&#24212;&#24613;&#23616;&#27719;&#24635;2024&#24180;&#37096;&#38376;&#20915;&#31639;&#20844;&#24320;.doc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22270;&#34920;%20&#22312;%20&#24212;&#24613;&#23616;&#27719;&#24635;2024&#24180;&#37096;&#38376;&#20915;&#31639;&#20844;&#24320;.doc"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'[图表 在 应急局汇总2024年部门决算公开.doc]Sheet1'!$B$3</c:f>
              <c:strCache>
                <c:ptCount val="1"/>
                <c:pt idx="0">
                  <c:v>收入决算总计变动情况图</c:v>
                </c:pt>
              </c:strCache>
            </c:strRef>
          </c:tx>
          <c:spPr>
            <a:solidFill>
              <a:schemeClr val="accent1">
                <a:alpha val="100000"/>
              </a:schemeClr>
            </a:solidFill>
            <a:ln w="3175">
              <a:noFill/>
            </a:ln>
          </c:spPr>
          <c:invertIfNegative val="0"/>
          <c:dLbls>
            <c:delete val="1"/>
          </c:dLbls>
          <c:cat>
            <c:strRef>
              <c:f>[015e2b301]Sheet1!$C$2:$D$2</c:f>
              <c:strCache>
                <c:ptCount val="2"/>
                <c:pt idx="0">
                  <c:v>2025年</c:v>
                </c:pt>
                <c:pt idx="1">
                  <c:v>2024年</c:v>
                </c:pt>
              </c:strCache>
            </c:strRef>
          </c:cat>
          <c:val>
            <c:numRef>
              <c:f>[015e2b301]Sheet1!$C$3:$D$3</c:f>
              <c:numCache>
                <c:formatCode>General</c:formatCode>
                <c:ptCount val="2"/>
                <c:pt idx="0">
                  <c:v>1921.68</c:v>
                </c:pt>
                <c:pt idx="1">
                  <c:v>1622.36</c:v>
                </c:pt>
              </c:numCache>
            </c:numRef>
          </c:val>
        </c:ser>
        <c:dLbls>
          <c:showLegendKey val="0"/>
          <c:showVal val="0"/>
          <c:showCatName val="0"/>
          <c:showSerName val="0"/>
          <c:showPercent val="0"/>
          <c:showBubbleSize val="0"/>
        </c:dLbls>
        <c:gapWidth val="219"/>
        <c:overlap val="-27"/>
        <c:axId val="365522734"/>
        <c:axId val="792161875"/>
      </c:barChart>
      <c:catAx>
        <c:axId val="36552273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2161875"/>
        <c:crosses val="autoZero"/>
        <c:auto val="1"/>
        <c:lblAlgn val="ctr"/>
        <c:lblOffset val="100"/>
        <c:noMultiLvlLbl val="0"/>
      </c:catAx>
      <c:valAx>
        <c:axId val="792161875"/>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dash"/>
            <a:round/>
          </a:ln>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522734"/>
        <c:crosses val="autoZero"/>
        <c:crossBetween val="between"/>
      </c:valAx>
      <c:spPr>
        <a:noFill/>
        <a:ln w="3175">
          <a:noFill/>
        </a:ln>
      </c:spPr>
    </c:plotArea>
    <c:legend>
      <c:legendPos val="r"/>
      <c:layout>
        <c:manualLayout>
          <c:xMode val="edge"/>
          <c:yMode val="edge"/>
          <c:x val="0.341194444444444"/>
          <c:y val="0.909869053226566"/>
          <c:w val="0.3305"/>
          <c:h val="0.076"/>
        </c:manualLayout>
      </c:layout>
      <c:overlay val="0"/>
      <c:spPr>
        <a:noFill/>
        <a:ln w="3175">
          <a:noFill/>
        </a:ln>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'[图表 在 应急局汇总2024年部门决算公开.doc]Sheet1'!$B$3</c:f>
              <c:strCache>
                <c:ptCount val="1"/>
                <c:pt idx="0">
                  <c:v>支出决算总计变动情况图</c:v>
                </c:pt>
              </c:strCache>
            </c:strRef>
          </c:tx>
          <c:spPr>
            <a:solidFill>
              <a:schemeClr val="accent1">
                <a:alpha val="100000"/>
              </a:schemeClr>
            </a:solidFill>
            <a:ln w="3175">
              <a:noFill/>
            </a:ln>
          </c:spPr>
          <c:invertIfNegative val="0"/>
          <c:dLbls>
            <c:delete val="1"/>
          </c:dLbls>
          <c:cat>
            <c:strRef>
              <c:f>'[图表 在 应急局汇总2024年部门决算公开.doc]Sheet1'!$C$2:$D$2</c:f>
              <c:strCache>
                <c:ptCount val="2"/>
                <c:pt idx="0">
                  <c:v>2025年</c:v>
                </c:pt>
                <c:pt idx="1">
                  <c:v>2024年</c:v>
                </c:pt>
              </c:strCache>
            </c:strRef>
          </c:cat>
          <c:val>
            <c:numRef>
              <c:f>'[图表 在 应急局汇总2024年部门决算公开.doc]Sheet1'!$C$3:$D$3</c:f>
              <c:numCache>
                <c:formatCode>General</c:formatCode>
                <c:ptCount val="2"/>
                <c:pt idx="0">
                  <c:v>1921.68</c:v>
                </c:pt>
                <c:pt idx="1">
                  <c:v>1622.36</c:v>
                </c:pt>
              </c:numCache>
            </c:numRef>
          </c:val>
        </c:ser>
        <c:dLbls>
          <c:showLegendKey val="0"/>
          <c:showVal val="0"/>
          <c:showCatName val="0"/>
          <c:showSerName val="0"/>
          <c:showPercent val="0"/>
          <c:showBubbleSize val="0"/>
        </c:dLbls>
        <c:gapWidth val="219"/>
        <c:overlap val="-27"/>
        <c:axId val="423893356"/>
        <c:axId val="764683468"/>
      </c:barChart>
      <c:catAx>
        <c:axId val="42389335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4683468"/>
        <c:crosses val="autoZero"/>
        <c:auto val="1"/>
        <c:lblAlgn val="ctr"/>
        <c:lblOffset val="100"/>
        <c:noMultiLvlLbl val="0"/>
      </c:catAx>
      <c:valAx>
        <c:axId val="7646834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dash"/>
            <a:round/>
          </a:ln>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893356"/>
        <c:crosses val="autoZero"/>
        <c:crossBetween val="between"/>
      </c:valAx>
      <c:spPr>
        <a:noFill/>
        <a:ln w="3175">
          <a:noFill/>
        </a:ln>
      </c:spPr>
    </c:plotArea>
    <c:legend>
      <c:legendPos val="r"/>
      <c:layout>
        <c:manualLayout>
          <c:xMode val="edge"/>
          <c:yMode val="edge"/>
          <c:x val="0.33425"/>
          <c:y val="0.895"/>
          <c:w val="0.3305"/>
          <c:h val="0.07575"/>
        </c:manualLayout>
      </c:layout>
      <c:overlay val="0"/>
      <c:spPr>
        <a:noFill/>
        <a:ln w="3175">
          <a:noFill/>
        </a:ln>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t>收入决算结构图</a:t>
            </a:r>
            <a:endParaRPr sz="14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tx>
            <c:strRef>
              <c:f>'[图表 在 应急局汇总2024年部门决算公开.doc]Sheet1'!$B$3</c:f>
              <c:strCache>
                <c:ptCount val="1"/>
                <c:pt idx="0">
                  <c:v>2025年</c:v>
                </c:pt>
              </c:strCache>
            </c:strRef>
          </c:tx>
          <c:spPr>
            <a:ln w="15875">
              <a:solidFill>
                <a:schemeClr val="bg1"/>
              </a:solidFill>
            </a:ln>
            <a:effectLst>
              <a:outerShdw blurRad="50800" dist="38100" dir="2700000" algn="tl" rotWithShape="0">
                <a:prstClr val="black">
                  <a:alpha val="40000"/>
                </a:prstClr>
              </a:outerShdw>
            </a:effectLst>
            <a:sp3d contourW="15875"/>
          </c:spPr>
          <c:explosion val="0"/>
          <c:dPt>
            <c:idx val="0"/>
            <c:bubble3D val="0"/>
            <c:explosion val="0"/>
            <c:spPr>
              <a:gradFill>
                <a:gsLst>
                  <a:gs pos="0">
                    <a:schemeClr val="accent6">
                      <a:lumMod val="60000"/>
                      <a:lumOff val="40000"/>
                    </a:schemeClr>
                  </a:gs>
                  <a:gs pos="83000">
                    <a:schemeClr val="accent6"/>
                  </a:gs>
                </a:gsLst>
                <a:lin ang="2700000"/>
              </a:gradFill>
              <a:ln w="15875">
                <a:solidFill>
                  <a:schemeClr val="bg1"/>
                </a:solidFill>
              </a:ln>
              <a:effectLst>
                <a:outerShdw blurRad="50800" dist="38100" dir="2700000" algn="tl" rotWithShape="0">
                  <a:schemeClr val="accent6">
                    <a:lumMod val="50000"/>
                    <a:alpha val="40000"/>
                  </a:schemeClr>
                </a:outerShdw>
              </a:effectLst>
              <a:sp3d contourW="15875"/>
            </c:spPr>
          </c:dPt>
          <c:dPt>
            <c:idx val="1"/>
            <c:bubble3D val="0"/>
            <c:explosion val="0"/>
            <c:spPr>
              <a:gradFill>
                <a:gsLst>
                  <a:gs pos="0">
                    <a:schemeClr val="accent3">
                      <a:lumMod val="60000"/>
                      <a:lumOff val="40000"/>
                    </a:schemeClr>
                  </a:gs>
                  <a:gs pos="83000">
                    <a:schemeClr val="accent3"/>
                  </a:gs>
                </a:gsLst>
                <a:lin ang="2700000"/>
              </a:gradFill>
              <a:ln w="15875">
                <a:solidFill>
                  <a:schemeClr val="bg1"/>
                </a:solidFill>
              </a:ln>
              <a:effectLst>
                <a:outerShdw blurRad="50800" dist="38100" dir="2700000" algn="tl" rotWithShape="0">
                  <a:schemeClr val="accent2">
                    <a:lumMod val="50000"/>
                    <a:alpha val="40000"/>
                  </a:schemeClr>
                </a:outerShdw>
              </a:effectLst>
              <a:sp3d contourW="15875"/>
            </c:spPr>
          </c:dPt>
          <c:dPt>
            <c:idx val="2"/>
            <c:bubble3D val="0"/>
            <c:explosion val="0"/>
            <c:spPr>
              <a:gradFill>
                <a:gsLst>
                  <a:gs pos="0">
                    <a:schemeClr val="accent5">
                      <a:lumMod val="60000"/>
                      <a:lumOff val="40000"/>
                    </a:schemeClr>
                  </a:gs>
                  <a:gs pos="83000">
                    <a:schemeClr val="accent5"/>
                  </a:gs>
                </a:gsLst>
                <a:lin ang="2700000"/>
              </a:gradFill>
              <a:ln w="19050">
                <a:solidFill>
                  <a:schemeClr val="bg1"/>
                </a:solidFill>
              </a:ln>
              <a:effectLst>
                <a:outerShdw blurRad="50800" dist="38100" dir="2700000" algn="tl" rotWithShape="0">
                  <a:schemeClr val="accent5">
                    <a:lumMod val="50000"/>
                    <a:alpha val="40000"/>
                  </a:schemeClr>
                </a:outerShdw>
              </a:effectLst>
              <a:sp3d contourW="19050"/>
            </c:spPr>
          </c:dPt>
          <c:dPt>
            <c:idx val="3"/>
            <c:bubble3D val="0"/>
            <c:explosion val="0"/>
            <c:spPr>
              <a:solidFill>
                <a:schemeClr val="accent4"/>
              </a:solidFill>
              <a:ln w="15875">
                <a:solidFill>
                  <a:schemeClr val="bg1"/>
                </a:solidFill>
              </a:ln>
              <a:effectLst>
                <a:outerShdw blurRad="50800" dist="38100" dir="2700000" algn="tl" rotWithShape="0">
                  <a:prstClr val="black">
                    <a:alpha val="40000"/>
                  </a:prstClr>
                </a:outerShdw>
              </a:effectLst>
              <a:sp3d contourW="15875"/>
            </c:spPr>
          </c:dPt>
          <c:dPt>
            <c:idx val="4"/>
            <c:bubble3D val="0"/>
            <c:explosion val="0"/>
            <c:spPr>
              <a:solidFill>
                <a:schemeClr val="accent5"/>
              </a:solidFill>
              <a:ln w="15875">
                <a:solidFill>
                  <a:schemeClr val="bg1"/>
                </a:solidFill>
              </a:ln>
              <a:effectLst>
                <a:outerShdw blurRad="50800" dist="38100" dir="2700000" algn="tl" rotWithShape="0">
                  <a:prstClr val="black">
                    <a:alpha val="40000"/>
                  </a:prstClr>
                </a:outerShdw>
              </a:effectLst>
              <a:sp3d contourW="15875"/>
            </c:spPr>
          </c:dPt>
          <c:dPt>
            <c:idx val="5"/>
            <c:bubble3D val="0"/>
            <c:explosion val="0"/>
            <c:spPr>
              <a:solidFill>
                <a:schemeClr val="accent6"/>
              </a:solidFill>
              <a:ln w="15875">
                <a:solidFill>
                  <a:schemeClr val="bg1"/>
                </a:solidFill>
              </a:ln>
              <a:effectLst>
                <a:outerShdw blurRad="50800" dist="38100" dir="2700000" algn="tl" rotWithShape="0">
                  <a:prstClr val="black">
                    <a:alpha val="40000"/>
                  </a:prstClr>
                </a:outerShdw>
              </a:effectLst>
              <a:sp3d contourW="15875"/>
            </c:spPr>
          </c:dPt>
          <c:dPt>
            <c:idx val="6"/>
            <c:bubble3D val="0"/>
            <c:explosion val="0"/>
            <c:spPr>
              <a:solidFill>
                <a:schemeClr val="accent1">
                  <a:lumMod val="60000"/>
                </a:schemeClr>
              </a:solidFill>
              <a:ln w="15875">
                <a:solidFill>
                  <a:schemeClr val="bg1"/>
                </a:solidFill>
              </a:ln>
              <a:effectLst>
                <a:outerShdw blurRad="50800" dist="38100" dir="2700000" algn="tl" rotWithShape="0">
                  <a:prstClr val="black">
                    <a:alpha val="40000"/>
                  </a:prstClr>
                </a:outerShdw>
              </a:effectLst>
              <a:sp3d contourW="15875"/>
            </c:spPr>
          </c:dPt>
          <c:dPt>
            <c:idx val="7"/>
            <c:bubble3D val="0"/>
            <c:explosion val="0"/>
            <c:spPr>
              <a:solidFill>
                <a:schemeClr val="accent2">
                  <a:lumMod val="60000"/>
                </a:schemeClr>
              </a:solidFill>
              <a:ln w="15875">
                <a:solidFill>
                  <a:schemeClr val="bg1"/>
                </a:solidFill>
              </a:ln>
              <a:effectLst>
                <a:outerShdw blurRad="50800" dist="38100" dir="2700000" algn="tl" rotWithShape="0">
                  <a:prstClr val="black">
                    <a:alpha val="40000"/>
                  </a:prstClr>
                </a:outerShdw>
              </a:effectLst>
              <a:sp3d contourW="15875"/>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effectLst/>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'[图表 在 应急局汇总2024年部门决算公开.doc]Sheet1'!$C$2:$J$2</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'[图表 在 应急局汇总2024年部门决算公开.doc]Sheet1'!$C$3:$J$3</c:f>
              <c:numCache>
                <c:formatCode>General</c:formatCode>
                <c:ptCount val="8"/>
                <c:pt idx="0">
                  <c:v>1921.68</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showLeaderLines val="1"/>
        </c:dLbls>
        <c:firstSliceAng val="36"/>
      </c:pieChart>
      <c:spPr>
        <a:noFill/>
        <a:ln>
          <a:noFill/>
        </a:ln>
        <a:effectLst/>
      </c:spPr>
    </c:plotArea>
    <c:legend>
      <c:legendPos val="r"/>
      <c:layout>
        <c:manualLayout>
          <c:xMode val="edge"/>
          <c:yMode val="edge"/>
          <c:x val="0.65"/>
          <c:y val="0.11602858134691"/>
          <c:w val="0.33325"/>
          <c:h val="0.8435"/>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bg1">
          <a:lumMod val="85000"/>
        </a:schemeClr>
      </a:solidFill>
      <a:prstDash val="solid"/>
      <a:round/>
    </a:ln>
    <a:effectLst>
      <a:outerShdw blurRad="63500" dist="37357" dir="2700000" sx="0" sy="0" rotWithShape="0">
        <a:scrgbClr r="0" g="0" b="0"/>
      </a:outerShdw>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t>支出决算结构图</a:t>
            </a:r>
            <a:endParaRPr sz="14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tx>
            <c:strRef>
              <c:f>'[图表 在 应急局汇总2024年部门决算公开.doc]Sheet1'!$B$3</c:f>
              <c:strCache>
                <c:ptCount val="1"/>
                <c:pt idx="0">
                  <c:v>2025年</c:v>
                </c:pt>
              </c:strCache>
            </c:strRef>
          </c:tx>
          <c:spPr>
            <a:ln w="15875">
              <a:solidFill>
                <a:schemeClr val="bg1"/>
              </a:solidFill>
            </a:ln>
            <a:effectLst>
              <a:outerShdw blurRad="50800" dist="38100" dir="2700000" algn="tl" rotWithShape="0">
                <a:prstClr val="black">
                  <a:alpha val="40000"/>
                </a:prstClr>
              </a:outerShdw>
            </a:effectLst>
            <a:sp3d contourW="15875"/>
          </c:spPr>
          <c:explosion val="0"/>
          <c:dPt>
            <c:idx val="0"/>
            <c:bubble3D val="0"/>
            <c:explosion val="0"/>
            <c:spPr>
              <a:gradFill>
                <a:gsLst>
                  <a:gs pos="0">
                    <a:schemeClr val="accent6">
                      <a:lumMod val="60000"/>
                      <a:lumOff val="40000"/>
                    </a:schemeClr>
                  </a:gs>
                  <a:gs pos="83000">
                    <a:schemeClr val="accent6"/>
                  </a:gs>
                </a:gsLst>
                <a:lin ang="2700000"/>
              </a:gradFill>
              <a:ln w="15875">
                <a:solidFill>
                  <a:schemeClr val="bg1"/>
                </a:solidFill>
              </a:ln>
              <a:effectLst>
                <a:outerShdw blurRad="50800" dist="38100" dir="2700000" algn="tl" rotWithShape="0">
                  <a:schemeClr val="accent6">
                    <a:lumMod val="50000"/>
                    <a:alpha val="40000"/>
                  </a:schemeClr>
                </a:outerShdw>
              </a:effectLst>
              <a:sp3d contourW="15875"/>
            </c:spPr>
          </c:dPt>
          <c:dPt>
            <c:idx val="1"/>
            <c:bubble3D val="0"/>
            <c:explosion val="0"/>
            <c:spPr>
              <a:gradFill>
                <a:gsLst>
                  <a:gs pos="0">
                    <a:schemeClr val="accent3">
                      <a:lumMod val="60000"/>
                      <a:lumOff val="40000"/>
                    </a:schemeClr>
                  </a:gs>
                  <a:gs pos="83000">
                    <a:schemeClr val="accent3"/>
                  </a:gs>
                </a:gsLst>
                <a:lin ang="2700000"/>
              </a:gradFill>
              <a:ln w="15875">
                <a:solidFill>
                  <a:schemeClr val="bg1"/>
                </a:solidFill>
              </a:ln>
              <a:effectLst>
                <a:outerShdw blurRad="50800" dist="38100" dir="2700000" algn="tl" rotWithShape="0">
                  <a:schemeClr val="accent2">
                    <a:lumMod val="50000"/>
                    <a:alpha val="40000"/>
                  </a:schemeClr>
                </a:outerShdw>
              </a:effectLst>
              <a:sp3d contourW="15875"/>
            </c:spPr>
          </c:dPt>
          <c:dPt>
            <c:idx val="2"/>
            <c:bubble3D val="0"/>
            <c:explosion val="0"/>
            <c:spPr>
              <a:gradFill>
                <a:gsLst>
                  <a:gs pos="0">
                    <a:schemeClr val="accent5">
                      <a:lumMod val="60000"/>
                      <a:lumOff val="40000"/>
                    </a:schemeClr>
                  </a:gs>
                  <a:gs pos="83000">
                    <a:schemeClr val="accent5"/>
                  </a:gs>
                </a:gsLst>
                <a:lin ang="2700000"/>
              </a:gradFill>
              <a:ln w="19050">
                <a:solidFill>
                  <a:schemeClr val="bg1"/>
                </a:solidFill>
              </a:ln>
              <a:effectLst>
                <a:outerShdw blurRad="50800" dist="38100" dir="2700000" algn="tl" rotWithShape="0">
                  <a:schemeClr val="accent5">
                    <a:lumMod val="50000"/>
                    <a:alpha val="40000"/>
                  </a:schemeClr>
                </a:outerShdw>
              </a:effectLst>
              <a:sp3d contourW="19050"/>
            </c:spPr>
          </c:dPt>
          <c:dPt>
            <c:idx val="3"/>
            <c:bubble3D val="0"/>
            <c:explosion val="0"/>
            <c:spPr>
              <a:solidFill>
                <a:schemeClr val="accent4"/>
              </a:solidFill>
              <a:ln w="15875">
                <a:solidFill>
                  <a:schemeClr val="bg1"/>
                </a:solidFill>
              </a:ln>
              <a:effectLst>
                <a:outerShdw blurRad="50800" dist="38100" dir="2700000" algn="tl" rotWithShape="0">
                  <a:prstClr val="black">
                    <a:alpha val="40000"/>
                  </a:prstClr>
                </a:outerShdw>
              </a:effectLst>
              <a:sp3d contourW="15875"/>
            </c:spPr>
          </c:dPt>
          <c:dPt>
            <c:idx val="4"/>
            <c:bubble3D val="0"/>
            <c:explosion val="0"/>
            <c:spPr>
              <a:solidFill>
                <a:schemeClr val="accent5"/>
              </a:solidFill>
              <a:ln w="15875">
                <a:solidFill>
                  <a:schemeClr val="bg1"/>
                </a:solidFill>
              </a:ln>
              <a:effectLst>
                <a:outerShdw blurRad="50800" dist="38100" dir="2700000" algn="tl" rotWithShape="0">
                  <a:prstClr val="black">
                    <a:alpha val="40000"/>
                  </a:prstClr>
                </a:outerShdw>
              </a:effectLst>
              <a:sp3d contourW="15875"/>
            </c:spPr>
          </c:dPt>
          <c:dPt>
            <c:idx val="5"/>
            <c:bubble3D val="0"/>
            <c:explosion val="0"/>
            <c:spPr>
              <a:solidFill>
                <a:schemeClr val="accent6"/>
              </a:solidFill>
              <a:ln w="15875">
                <a:solidFill>
                  <a:schemeClr val="bg1"/>
                </a:solidFill>
              </a:ln>
              <a:effectLst>
                <a:outerShdw blurRad="50800" dist="38100" dir="2700000" algn="tl" rotWithShape="0">
                  <a:prstClr val="black">
                    <a:alpha val="40000"/>
                  </a:prstClr>
                </a:outerShdw>
              </a:effectLst>
              <a:sp3d contourW="15875"/>
            </c:spPr>
          </c:dPt>
          <c:dPt>
            <c:idx val="6"/>
            <c:bubble3D val="0"/>
            <c:explosion val="0"/>
            <c:spPr>
              <a:solidFill>
                <a:schemeClr val="accent1">
                  <a:lumMod val="60000"/>
                </a:schemeClr>
              </a:solidFill>
              <a:ln w="15875">
                <a:solidFill>
                  <a:schemeClr val="bg1"/>
                </a:solidFill>
              </a:ln>
              <a:effectLst>
                <a:outerShdw blurRad="50800" dist="38100" dir="2700000" algn="tl" rotWithShape="0">
                  <a:prstClr val="black">
                    <a:alpha val="40000"/>
                  </a:prstClr>
                </a:outerShdw>
              </a:effectLst>
              <a:sp3d contourW="15875"/>
            </c:spPr>
          </c:dPt>
          <c:dPt>
            <c:idx val="7"/>
            <c:bubble3D val="0"/>
            <c:explosion val="0"/>
            <c:spPr>
              <a:solidFill>
                <a:schemeClr val="accent2">
                  <a:lumMod val="60000"/>
                </a:schemeClr>
              </a:solidFill>
              <a:ln w="15875">
                <a:solidFill>
                  <a:schemeClr val="bg1"/>
                </a:solidFill>
              </a:ln>
              <a:effectLst>
                <a:outerShdw blurRad="50800" dist="38100" dir="2700000" algn="tl" rotWithShape="0">
                  <a:prstClr val="black">
                    <a:alpha val="40000"/>
                  </a:prstClr>
                </a:outerShdw>
              </a:effectLst>
              <a:sp3d contourW="15875"/>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effectLst/>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'[图表 在 应急局汇总2024年部门决算公开.doc]Sheet1'!$C$2:$J$2</c:f>
              <c:strCache>
                <c:ptCount val="8"/>
                <c:pt idx="0">
                  <c:v>基本支出</c:v>
                </c:pt>
                <c:pt idx="1">
                  <c:v>项目支出</c:v>
                </c:pt>
              </c:strCache>
            </c:strRef>
          </c:cat>
          <c:val>
            <c:numRef>
              <c:f>'[图表 在 应急局汇总2024年部门决算公开.doc]Sheet1'!$C$3:$J$3</c:f>
              <c:numCache>
                <c:formatCode>General</c:formatCode>
                <c:ptCount val="8"/>
                <c:pt idx="0">
                  <c:v>799.35</c:v>
                </c:pt>
                <c:pt idx="1">
                  <c:v>1122.33</c:v>
                </c:pt>
                <c:pt idx="2">
                  <c:v>0</c:v>
                </c:pt>
              </c:numCache>
            </c:numRef>
          </c:val>
        </c:ser>
        <c:dLbls>
          <c:showLegendKey val="0"/>
          <c:showVal val="0"/>
          <c:showCatName val="0"/>
          <c:showSerName val="0"/>
          <c:showPercent val="0"/>
          <c:showBubbleSize val="0"/>
          <c:showLeaderLines val="1"/>
        </c:dLbls>
        <c:firstSliceAng val="36"/>
      </c:pieChart>
      <c:spPr>
        <a:noFill/>
        <a:ln>
          <a:noFill/>
        </a:ln>
        <a:effectLst/>
      </c:spPr>
    </c:plotArea>
    <c:legend>
      <c:legendPos val="r"/>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ayout>
        <c:manualLayout>
          <c:xMode val="edge"/>
          <c:yMode val="edge"/>
          <c:x val="0.647916666666667"/>
          <c:y val="0.874408602150538"/>
          <c:w val="0.333194444444444"/>
          <c:h val="0.103225806451613"/>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bg1">
          <a:lumMod val="85000"/>
        </a:schemeClr>
      </a:solidFill>
      <a:prstDash val="solid"/>
      <a:round/>
    </a:ln>
    <a:effectLst>
      <a:outerShdw blurRad="63500" dist="37357" dir="2700000" sx="0" sy="0" rotWithShape="0">
        <a:scrgbClr r="0" g="0" b="0"/>
      </a:outerShdw>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'[图表 在 应急局汇总2024年部门决算公开.doc]Sheet1'!$B$3</c:f>
              <c:strCache>
                <c:ptCount val="1"/>
                <c:pt idx="0">
                  <c:v>财政拨款收入总计变动表</c:v>
                </c:pt>
              </c:strCache>
            </c:strRef>
          </c:tx>
          <c:spPr>
            <a:solidFill>
              <a:schemeClr val="accent1">
                <a:alpha val="100000"/>
              </a:schemeClr>
            </a:solidFill>
            <a:ln w="3175">
              <a:noFill/>
            </a:ln>
          </c:spPr>
          <c:invertIfNegative val="0"/>
          <c:dLbls>
            <c:delete val="1"/>
          </c:dLbls>
          <c:cat>
            <c:strRef>
              <c:f>'[图表 在 应急局汇总2024年部门决算公开.doc]Sheet1'!$C$2:$D$2</c:f>
              <c:strCache>
                <c:ptCount val="2"/>
                <c:pt idx="0">
                  <c:v>2025年</c:v>
                </c:pt>
                <c:pt idx="1">
                  <c:v>2024年</c:v>
                </c:pt>
              </c:strCache>
            </c:strRef>
          </c:cat>
          <c:val>
            <c:numRef>
              <c:f>'[图表 在 应急局汇总2024年部门决算公开.doc]Sheet1'!$C$3:$D$3</c:f>
              <c:numCache>
                <c:formatCode>General</c:formatCode>
                <c:ptCount val="2"/>
                <c:pt idx="0">
                  <c:v>1921.68</c:v>
                </c:pt>
                <c:pt idx="1">
                  <c:v>1622.36</c:v>
                </c:pt>
              </c:numCache>
            </c:numRef>
          </c:val>
        </c:ser>
        <c:dLbls>
          <c:showLegendKey val="0"/>
          <c:showVal val="0"/>
          <c:showCatName val="0"/>
          <c:showSerName val="0"/>
          <c:showPercent val="0"/>
          <c:showBubbleSize val="0"/>
        </c:dLbls>
        <c:gapWidth val="219"/>
        <c:overlap val="-27"/>
        <c:axId val="423893356"/>
        <c:axId val="764683468"/>
      </c:barChart>
      <c:catAx>
        <c:axId val="42389335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4683468"/>
        <c:crosses val="autoZero"/>
        <c:auto val="1"/>
        <c:lblAlgn val="ctr"/>
        <c:lblOffset val="100"/>
        <c:noMultiLvlLbl val="0"/>
      </c:catAx>
      <c:valAx>
        <c:axId val="7646834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dash"/>
            <a:round/>
          </a:ln>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893356"/>
        <c:crosses val="autoZero"/>
        <c:crossBetween val="between"/>
      </c:valAx>
      <c:spPr>
        <a:noFill/>
        <a:ln w="3175">
          <a:noFill/>
        </a:ln>
      </c:spPr>
    </c:plotArea>
    <c:legend>
      <c:legendPos val="r"/>
      <c:layout>
        <c:manualLayout>
          <c:xMode val="edge"/>
          <c:yMode val="edge"/>
          <c:x val="0.329145728643216"/>
          <c:y val="0.867626567580121"/>
          <c:w val="0.396984924623116"/>
          <c:h val="0.089177891314445"/>
        </c:manualLayout>
      </c:layout>
      <c:overlay val="0"/>
      <c:spPr>
        <a:noFill/>
        <a:ln w="3175">
          <a:noFill/>
        </a:ln>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'[图表 在 应急局汇总2024年部门决算公开.doc]Sheet1'!$B$3</c:f>
              <c:strCache>
                <c:ptCount val="1"/>
                <c:pt idx="0">
                  <c:v>财政拨款支出总计变动表</c:v>
                </c:pt>
              </c:strCache>
            </c:strRef>
          </c:tx>
          <c:spPr>
            <a:solidFill>
              <a:schemeClr val="accent1">
                <a:alpha val="100000"/>
              </a:schemeClr>
            </a:solidFill>
            <a:ln w="3175">
              <a:noFill/>
            </a:ln>
          </c:spPr>
          <c:invertIfNegative val="0"/>
          <c:dLbls>
            <c:delete val="1"/>
          </c:dLbls>
          <c:cat>
            <c:strRef>
              <c:f>'[图表 在 应急局汇总2024年部门决算公开.doc]Sheet1'!$C$2:$D$2</c:f>
              <c:strCache>
                <c:ptCount val="2"/>
                <c:pt idx="0">
                  <c:v>2025年</c:v>
                </c:pt>
                <c:pt idx="1">
                  <c:v>2024年</c:v>
                </c:pt>
              </c:strCache>
            </c:strRef>
          </c:cat>
          <c:val>
            <c:numRef>
              <c:f>'[图表 在 应急局汇总2024年部门决算公开.doc]Sheet1'!$C$3:$D$3</c:f>
              <c:numCache>
                <c:formatCode>General</c:formatCode>
                <c:ptCount val="2"/>
                <c:pt idx="0">
                  <c:v>1921.68</c:v>
                </c:pt>
                <c:pt idx="1">
                  <c:v>1622.36</c:v>
                </c:pt>
              </c:numCache>
            </c:numRef>
          </c:val>
        </c:ser>
        <c:dLbls>
          <c:showLegendKey val="0"/>
          <c:showVal val="0"/>
          <c:showCatName val="0"/>
          <c:showSerName val="0"/>
          <c:showPercent val="0"/>
          <c:showBubbleSize val="0"/>
        </c:dLbls>
        <c:gapWidth val="219"/>
        <c:overlap val="-27"/>
        <c:axId val="423893356"/>
        <c:axId val="764683468"/>
      </c:barChart>
      <c:catAx>
        <c:axId val="42389335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4683468"/>
        <c:crosses val="autoZero"/>
        <c:auto val="1"/>
        <c:lblAlgn val="ctr"/>
        <c:lblOffset val="100"/>
        <c:noMultiLvlLbl val="0"/>
      </c:catAx>
      <c:valAx>
        <c:axId val="7646834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dash"/>
            <a:round/>
          </a:ln>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893356"/>
        <c:crosses val="autoZero"/>
        <c:crossBetween val="between"/>
      </c:valAx>
      <c:spPr>
        <a:noFill/>
        <a:ln w="3175">
          <a:noFill/>
        </a:ln>
      </c:spPr>
    </c:plotArea>
    <c:legend>
      <c:legendPos val="r"/>
      <c:layout>
        <c:manualLayout>
          <c:xMode val="edge"/>
          <c:yMode val="edge"/>
          <c:x val="0.329145728643216"/>
          <c:y val="0.867626567580121"/>
          <c:w val="0.396984924623116"/>
          <c:h val="0.089177891314445"/>
        </c:manualLayout>
      </c:layout>
      <c:overlay val="0"/>
      <c:spPr>
        <a:noFill/>
        <a:ln w="3175">
          <a:noFill/>
        </a:ln>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'[图表 在 应急局汇总2024年部门决算公开.doc]Sheet1'!$B$3</c:f>
              <c:strCache>
                <c:ptCount val="1"/>
                <c:pt idx="0">
                  <c:v>一般公共预算财政拨款支出决算变动情况</c:v>
                </c:pt>
              </c:strCache>
            </c:strRef>
          </c:tx>
          <c:spPr>
            <a:solidFill>
              <a:schemeClr val="accent1">
                <a:alpha val="100000"/>
              </a:schemeClr>
            </a:solidFill>
            <a:ln w="3175">
              <a:noFill/>
            </a:ln>
          </c:spPr>
          <c:invertIfNegative val="0"/>
          <c:dLbls>
            <c:delete val="1"/>
          </c:dLbls>
          <c:cat>
            <c:strRef>
              <c:f>'[图表 在 应急局汇总2024年部门决算公开.doc]Sheet1'!$C$2:$D$2</c:f>
              <c:strCache>
                <c:ptCount val="2"/>
                <c:pt idx="0">
                  <c:v>2025年</c:v>
                </c:pt>
                <c:pt idx="1">
                  <c:v>2024年</c:v>
                </c:pt>
              </c:strCache>
            </c:strRef>
          </c:cat>
          <c:val>
            <c:numRef>
              <c:f>'[图表 在 应急局汇总2024年部门决算公开.doc]Sheet1'!$C$3:$D$3</c:f>
              <c:numCache>
                <c:formatCode>General</c:formatCode>
                <c:ptCount val="2"/>
                <c:pt idx="0">
                  <c:v>1921.68</c:v>
                </c:pt>
                <c:pt idx="1">
                  <c:v>1622.36</c:v>
                </c:pt>
              </c:numCache>
            </c:numRef>
          </c:val>
        </c:ser>
        <c:dLbls>
          <c:showLegendKey val="0"/>
          <c:showVal val="0"/>
          <c:showCatName val="0"/>
          <c:showSerName val="0"/>
          <c:showPercent val="0"/>
          <c:showBubbleSize val="0"/>
        </c:dLbls>
        <c:gapWidth val="219"/>
        <c:overlap val="-27"/>
        <c:axId val="423893356"/>
        <c:axId val="764683468"/>
      </c:barChart>
      <c:catAx>
        <c:axId val="42389335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4683468"/>
        <c:crosses val="autoZero"/>
        <c:auto val="1"/>
        <c:lblAlgn val="ctr"/>
        <c:lblOffset val="100"/>
        <c:noMultiLvlLbl val="0"/>
      </c:catAx>
      <c:valAx>
        <c:axId val="7646834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3175" cap="flat" cmpd="sng" algn="ctr">
            <a:noFill/>
            <a:prstDash val="dash"/>
            <a:round/>
          </a:ln>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893356"/>
        <c:crosses val="autoZero"/>
        <c:crossBetween val="between"/>
      </c:valAx>
      <c:spPr>
        <a:noFill/>
        <a:ln w="3175">
          <a:noFill/>
        </a:ln>
      </c:spPr>
    </c:plotArea>
    <c:legend>
      <c:legendPos val="r"/>
      <c:layout>
        <c:manualLayout>
          <c:xMode val="edge"/>
          <c:yMode val="edge"/>
          <c:x val="0.329145728643216"/>
          <c:y val="0.874593590339062"/>
          <c:w val="0.595477386934673"/>
          <c:h val="0.0627032048304691"/>
        </c:manualLayout>
      </c:layout>
      <c:overlay val="0"/>
      <c:spPr>
        <a:noFill/>
        <a:ln w="3175">
          <a:noFill/>
        </a:ln>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t>一般公共预算财政拨款支出决算结构图</a:t>
            </a:r>
            <a:endParaRPr sz="14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tx>
            <c:strRef>
              <c:f>'[图表 在 应急局汇总2024年部门决算公开.doc1]Sheet1'!$B$3</c:f>
              <c:strCache>
                <c:ptCount val="1"/>
                <c:pt idx="0">
                  <c:v>2025年</c:v>
                </c:pt>
              </c:strCache>
            </c:strRef>
          </c:tx>
          <c:spPr>
            <a:ln w="15875">
              <a:solidFill>
                <a:schemeClr val="bg1"/>
              </a:solidFill>
            </a:ln>
            <a:effectLst>
              <a:outerShdw blurRad="50800" dist="38100" dir="2700000" algn="tl" rotWithShape="0">
                <a:prstClr val="black">
                  <a:alpha val="40000"/>
                </a:prstClr>
              </a:outerShdw>
            </a:effectLst>
            <a:sp3d contourW="15875"/>
          </c:spPr>
          <c:explosion val="0"/>
          <c:dPt>
            <c:idx val="0"/>
            <c:bubble3D val="0"/>
            <c:explosion val="0"/>
            <c:spPr>
              <a:gradFill>
                <a:gsLst>
                  <a:gs pos="0">
                    <a:schemeClr val="accent6">
                      <a:lumMod val="60000"/>
                      <a:lumOff val="40000"/>
                    </a:schemeClr>
                  </a:gs>
                  <a:gs pos="83000">
                    <a:schemeClr val="accent6"/>
                  </a:gs>
                </a:gsLst>
                <a:lin ang="2700000"/>
              </a:gradFill>
              <a:ln w="15875">
                <a:solidFill>
                  <a:schemeClr val="bg1"/>
                </a:solidFill>
              </a:ln>
              <a:effectLst>
                <a:outerShdw blurRad="50800" dist="38100" dir="2700000" algn="tl" rotWithShape="0">
                  <a:schemeClr val="accent6">
                    <a:lumMod val="50000"/>
                    <a:alpha val="40000"/>
                  </a:schemeClr>
                </a:outerShdw>
              </a:effectLst>
              <a:sp3d contourW="15875"/>
            </c:spPr>
          </c:dPt>
          <c:dPt>
            <c:idx val="1"/>
            <c:bubble3D val="0"/>
            <c:explosion val="0"/>
            <c:spPr>
              <a:gradFill>
                <a:gsLst>
                  <a:gs pos="0">
                    <a:schemeClr val="accent3">
                      <a:lumMod val="60000"/>
                      <a:lumOff val="40000"/>
                    </a:schemeClr>
                  </a:gs>
                  <a:gs pos="83000">
                    <a:schemeClr val="accent3"/>
                  </a:gs>
                </a:gsLst>
                <a:lin ang="2700000"/>
              </a:gradFill>
              <a:ln w="15875">
                <a:solidFill>
                  <a:schemeClr val="bg1"/>
                </a:solidFill>
              </a:ln>
              <a:effectLst>
                <a:outerShdw blurRad="50800" dist="38100" dir="2700000" algn="tl" rotWithShape="0">
                  <a:schemeClr val="accent2">
                    <a:lumMod val="50000"/>
                    <a:alpha val="40000"/>
                  </a:schemeClr>
                </a:outerShdw>
              </a:effectLst>
              <a:sp3d contourW="15875"/>
            </c:spPr>
          </c:dPt>
          <c:dPt>
            <c:idx val="2"/>
            <c:bubble3D val="0"/>
            <c:explosion val="0"/>
            <c:spPr>
              <a:gradFill>
                <a:gsLst>
                  <a:gs pos="0">
                    <a:schemeClr val="accent5">
                      <a:lumMod val="60000"/>
                      <a:lumOff val="40000"/>
                    </a:schemeClr>
                  </a:gs>
                  <a:gs pos="83000">
                    <a:schemeClr val="accent5"/>
                  </a:gs>
                </a:gsLst>
                <a:lin ang="2700000"/>
              </a:gradFill>
              <a:ln w="19050">
                <a:solidFill>
                  <a:schemeClr val="bg1"/>
                </a:solidFill>
              </a:ln>
              <a:effectLst>
                <a:outerShdw blurRad="50800" dist="38100" dir="2700000" algn="tl" rotWithShape="0">
                  <a:schemeClr val="accent5">
                    <a:lumMod val="50000"/>
                    <a:alpha val="40000"/>
                  </a:schemeClr>
                </a:outerShdw>
              </a:effectLst>
              <a:sp3d contourW="19050"/>
            </c:spPr>
          </c:dPt>
          <c:dPt>
            <c:idx val="3"/>
            <c:bubble3D val="0"/>
            <c:explosion val="0"/>
            <c:spPr>
              <a:solidFill>
                <a:schemeClr val="accent4"/>
              </a:solidFill>
              <a:ln w="15875">
                <a:solidFill>
                  <a:schemeClr val="bg1"/>
                </a:solidFill>
              </a:ln>
              <a:effectLst>
                <a:outerShdw blurRad="50800" dist="38100" dir="2700000" algn="tl" rotWithShape="0">
                  <a:prstClr val="black">
                    <a:alpha val="40000"/>
                  </a:prstClr>
                </a:outerShdw>
              </a:effectLst>
              <a:sp3d contourW="15875"/>
            </c:spPr>
          </c:dPt>
          <c:dPt>
            <c:idx val="4"/>
            <c:bubble3D val="0"/>
            <c:explosion val="0"/>
            <c:spPr>
              <a:ln w="15875">
                <a:solidFill>
                  <a:schemeClr val="bg1"/>
                </a:solidFill>
              </a:ln>
              <a:effectLst>
                <a:outerShdw blurRad="50800" dist="38100" dir="2700000" algn="tl" rotWithShape="0">
                  <a:prstClr val="black">
                    <a:alpha val="40000"/>
                  </a:prstClr>
                </a:outerShdw>
              </a:effectLst>
              <a:sp3d contourW="15875"/>
            </c:spPr>
          </c:dPt>
          <c:dPt>
            <c:idx val="5"/>
            <c:bubble3D val="0"/>
            <c:spPr>
              <a:gradFill>
                <a:gsLst>
                  <a:gs pos="0">
                    <a:schemeClr val="accent6">
                      <a:hueOff val="-2520000"/>
                    </a:schemeClr>
                  </a:gs>
                  <a:gs pos="100000">
                    <a:schemeClr val="accent6"/>
                  </a:gs>
                </a:gsLst>
                <a:lin ang="2700000" scaled="0"/>
              </a:gradFill>
              <a:ln>
                <a:noFill/>
              </a:ln>
              <a:sp3d>
                <a:extrusionClr>
                  <a:srgbClr val="FFFFFF"/>
                </a:extrusionClr>
                <a:contourClr>
                  <a:srgbClr val="FFFFFF"/>
                </a:contourClr>
              </a:sp3d>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effectLst/>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'[图表 在 应急局汇总2024年部门决算公开.doc1]Sheet1'!$C$2:$H$2</c:f>
              <c:strCache>
                <c:ptCount val="6"/>
                <c:pt idx="0">
                  <c:v>灾害防治及应急管理支出</c:v>
                </c:pt>
                <c:pt idx="1">
                  <c:v>社会保障和就业支出</c:v>
                </c:pt>
                <c:pt idx="2">
                  <c:v>卫生健康支出</c:v>
                </c:pt>
                <c:pt idx="3">
                  <c:v>住房保障支出</c:v>
                </c:pt>
                <c:pt idx="4">
                  <c:v>农林水支出</c:v>
                </c:pt>
                <c:pt idx="5">
                  <c:v>一般公共服务支出</c:v>
                </c:pt>
              </c:strCache>
            </c:strRef>
          </c:cat>
          <c:val>
            <c:numRef>
              <c:f>'[图表 在 应急局汇总2024年部门决算公开.doc1]Sheet1'!$C$3:$H$3</c:f>
              <c:numCache>
                <c:formatCode>General</c:formatCode>
                <c:ptCount val="6"/>
                <c:pt idx="0">
                  <c:v>803.13</c:v>
                </c:pt>
                <c:pt idx="1">
                  <c:v>114.35</c:v>
                </c:pt>
                <c:pt idx="2">
                  <c:v>41.77</c:v>
                </c:pt>
                <c:pt idx="3">
                  <c:v>58.18</c:v>
                </c:pt>
                <c:pt idx="4">
                  <c:v>447.44</c:v>
                </c:pt>
                <c:pt idx="5">
                  <c:v>456.48</c:v>
                </c:pt>
              </c:numCache>
            </c:numRef>
          </c:val>
        </c:ser>
        <c:dLbls>
          <c:showLegendKey val="0"/>
          <c:showVal val="0"/>
          <c:showCatName val="0"/>
          <c:showSerName val="0"/>
          <c:showPercent val="0"/>
          <c:showBubbleSize val="0"/>
          <c:showLeaderLines val="1"/>
        </c:dLbls>
        <c:firstSliceAng val="36"/>
      </c:pieChart>
      <c:spPr>
        <a:noFill/>
        <a:ln>
          <a:noFill/>
        </a:ln>
        <a:effectLst/>
      </c:spPr>
    </c:plotArea>
    <c:legend>
      <c:legendPos val="r"/>
      <c:layout>
        <c:manualLayout>
          <c:xMode val="edge"/>
          <c:yMode val="edge"/>
          <c:x val="0.647"/>
          <c:y val="0.311"/>
          <c:w val="0.33325"/>
          <c:h val="0.532"/>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bg1">
          <a:lumMod val="85000"/>
        </a:schemeClr>
      </a:solidFill>
      <a:prstDash val="solid"/>
      <a:round/>
    </a:ln>
    <a:effectLst>
      <a:outerShdw blurRad="63500" dist="37357" dir="2700000" sx="0" sy="0" rotWithShape="0">
        <a:scrgbClr r="0" g="0" b="0"/>
      </a:outerShdw>
    </a:effectLst>
  </c:spPr>
  <c:txPr>
    <a:bodyPr wrap="square"/>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rPr lang="en-US" altLang="zh-CN"/>
              <a:t>“</a:t>
            </a:r>
            <a:r>
              <a:rPr altLang="en-US"/>
              <a:t>三公</a:t>
            </a:r>
            <a:r>
              <a:rPr lang="en-US" altLang="zh-CN"/>
              <a:t>”</a:t>
            </a:r>
            <a:r>
              <a:rPr altLang="en-US"/>
              <a:t>经费</a:t>
            </a:r>
            <a:r>
              <a:t>财政拨款支出决算结构</a:t>
            </a:r>
            <a:endParaRPr sz="14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tx>
            <c:strRef>
              <c:f>'[图表 在 应急局汇总2024年部门决算公开.doc]Sheet1'!$B$3</c:f>
              <c:strCache>
                <c:ptCount val="1"/>
                <c:pt idx="0">
                  <c:v>2025年</c:v>
                </c:pt>
              </c:strCache>
            </c:strRef>
          </c:tx>
          <c:spPr>
            <a:ln w="15875">
              <a:solidFill>
                <a:schemeClr val="bg1"/>
              </a:solidFill>
            </a:ln>
            <a:effectLst>
              <a:outerShdw blurRad="50800" dist="38100" dir="2700000" algn="tl" rotWithShape="0">
                <a:prstClr val="black">
                  <a:alpha val="40000"/>
                </a:prstClr>
              </a:outerShdw>
            </a:effectLst>
            <a:sp3d contourW="15875"/>
          </c:spPr>
          <c:explosion val="0"/>
          <c:dPt>
            <c:idx val="0"/>
            <c:bubble3D val="0"/>
            <c:explosion val="0"/>
            <c:spPr>
              <a:gradFill>
                <a:gsLst>
                  <a:gs pos="0">
                    <a:schemeClr val="accent6">
                      <a:lumMod val="60000"/>
                      <a:lumOff val="40000"/>
                    </a:schemeClr>
                  </a:gs>
                  <a:gs pos="83000">
                    <a:schemeClr val="accent6"/>
                  </a:gs>
                </a:gsLst>
                <a:lin ang="2700000"/>
              </a:gradFill>
              <a:ln w="15875">
                <a:solidFill>
                  <a:schemeClr val="bg1"/>
                </a:solidFill>
              </a:ln>
              <a:effectLst>
                <a:outerShdw blurRad="50800" dist="38100" dir="2700000" algn="tl" rotWithShape="0">
                  <a:schemeClr val="accent6">
                    <a:lumMod val="50000"/>
                    <a:alpha val="40000"/>
                  </a:schemeClr>
                </a:outerShdw>
              </a:effectLst>
              <a:sp3d contourW="15875"/>
            </c:spPr>
          </c:dPt>
          <c:dPt>
            <c:idx val="1"/>
            <c:bubble3D val="0"/>
            <c:explosion val="0"/>
            <c:spPr>
              <a:gradFill>
                <a:gsLst>
                  <a:gs pos="0">
                    <a:schemeClr val="accent3">
                      <a:lumMod val="60000"/>
                      <a:lumOff val="40000"/>
                    </a:schemeClr>
                  </a:gs>
                  <a:gs pos="83000">
                    <a:schemeClr val="accent3"/>
                  </a:gs>
                </a:gsLst>
                <a:lin ang="2700000"/>
              </a:gradFill>
              <a:ln w="15875">
                <a:solidFill>
                  <a:schemeClr val="bg1"/>
                </a:solidFill>
              </a:ln>
              <a:effectLst>
                <a:outerShdw blurRad="50800" dist="38100" dir="2700000" algn="tl" rotWithShape="0">
                  <a:schemeClr val="accent2">
                    <a:lumMod val="50000"/>
                    <a:alpha val="40000"/>
                  </a:schemeClr>
                </a:outerShdw>
              </a:effectLst>
              <a:sp3d contourW="15875"/>
            </c:spPr>
          </c:dPt>
          <c:dPt>
            <c:idx val="2"/>
            <c:bubble3D val="0"/>
            <c:explosion val="0"/>
            <c:spPr>
              <a:gradFill>
                <a:gsLst>
                  <a:gs pos="0">
                    <a:schemeClr val="accent5">
                      <a:lumMod val="60000"/>
                      <a:lumOff val="40000"/>
                    </a:schemeClr>
                  </a:gs>
                  <a:gs pos="83000">
                    <a:schemeClr val="accent5"/>
                  </a:gs>
                </a:gsLst>
                <a:lin ang="2700000"/>
              </a:gradFill>
              <a:ln w="19050">
                <a:solidFill>
                  <a:schemeClr val="bg1"/>
                </a:solidFill>
              </a:ln>
              <a:effectLst>
                <a:outerShdw blurRad="50800" dist="38100" dir="2700000" algn="tl" rotWithShape="0">
                  <a:schemeClr val="accent5">
                    <a:lumMod val="50000"/>
                    <a:alpha val="40000"/>
                  </a:schemeClr>
                </a:outerShdw>
              </a:effectLst>
              <a:sp3d contourW="19050"/>
            </c:spPr>
          </c:dPt>
          <c:dPt>
            <c:idx val="3"/>
            <c:bubble3D val="0"/>
            <c:explosion val="0"/>
            <c:spPr>
              <a:solidFill>
                <a:schemeClr val="accent4"/>
              </a:solidFill>
              <a:ln w="15875">
                <a:solidFill>
                  <a:schemeClr val="bg1"/>
                </a:solidFill>
              </a:ln>
              <a:effectLst>
                <a:outerShdw blurRad="50800" dist="38100" dir="2700000" algn="tl" rotWithShape="0">
                  <a:prstClr val="black">
                    <a:alpha val="40000"/>
                  </a:prstClr>
                </a:outerShdw>
              </a:effectLst>
              <a:sp3d contourW="15875"/>
            </c:spPr>
          </c:dPt>
          <c:dPt>
            <c:idx val="4"/>
            <c:bubble3D val="0"/>
            <c:explosion val="0"/>
            <c:spPr>
              <a:ln w="15875">
                <a:solidFill>
                  <a:schemeClr val="bg1"/>
                </a:solidFill>
              </a:ln>
              <a:effectLst>
                <a:outerShdw blurRad="50800" dist="38100" dir="2700000" algn="tl" rotWithShape="0">
                  <a:prstClr val="black">
                    <a:alpha val="40000"/>
                  </a:prstClr>
                </a:outerShdw>
              </a:effectLst>
              <a:sp3d contourW="15875"/>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effectLst/>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'[图表 在 应急局汇总2024年部门决算公开.doc]Sheet1'!$C$2:$G$2</c:f>
              <c:strCache>
                <c:ptCount val="5"/>
                <c:pt idx="0">
                  <c:v>因公出国（境）费</c:v>
                </c:pt>
                <c:pt idx="1">
                  <c:v>公务接待费</c:v>
                </c:pt>
                <c:pt idx="2">
                  <c:v>公务用车购置及运行维护费</c:v>
                </c:pt>
              </c:strCache>
            </c:strRef>
          </c:cat>
          <c:val>
            <c:numRef>
              <c:f>'[图表 在 应急局汇总2024年部门决算公开.doc]Sheet1'!$C$3:$G$3</c:f>
              <c:numCache>
                <c:formatCode>General</c:formatCode>
                <c:ptCount val="5"/>
                <c:pt idx="0">
                  <c:v>0</c:v>
                </c:pt>
                <c:pt idx="1">
                  <c:v>0</c:v>
                </c:pt>
                <c:pt idx="2">
                  <c:v>6.53</c:v>
                </c:pt>
                <c:pt idx="3">
                  <c:v>0</c:v>
                </c:pt>
                <c:pt idx="4">
                  <c:v>0</c:v>
                </c:pt>
              </c:numCache>
            </c:numRef>
          </c:val>
        </c:ser>
        <c:dLbls>
          <c:showLegendKey val="0"/>
          <c:showVal val="0"/>
          <c:showCatName val="0"/>
          <c:showSerName val="0"/>
          <c:showPercent val="0"/>
          <c:showBubbleSize val="0"/>
          <c:showLeaderLines val="1"/>
        </c:dLbls>
        <c:firstSliceAng val="36"/>
      </c:pieChart>
      <c:spPr>
        <a:noFill/>
        <a:ln>
          <a:noFill/>
        </a:ln>
        <a:effectLst/>
      </c:spPr>
    </c:plotArea>
    <c:legend>
      <c:legendPos val="r"/>
      <c:legendEntry>
        <c:idx val="3"/>
        <c:delete val="1"/>
      </c:legendEntry>
      <c:legendEntry>
        <c:idx val="4"/>
        <c:delete val="1"/>
      </c:legendEntry>
      <c:layout>
        <c:manualLayout>
          <c:xMode val="edge"/>
          <c:yMode val="edge"/>
          <c:x val="0.647"/>
          <c:y val="0.311"/>
          <c:w val="0.33325"/>
          <c:h val="0.532"/>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bg1">
          <a:lumMod val="85000"/>
        </a:schemeClr>
      </a:solidFill>
      <a:prstDash val="solid"/>
      <a:round/>
    </a:ln>
    <a:effectLst>
      <a:outerShdw blurRad="63500" dist="37357" dir="2700000" sx="0" sy="0" rotWithShape="0">
        <a:scrgbClr r="0" g="0" b="0"/>
      </a:outerShdw>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40</Pages>
  <Words>10705</Words>
  <Characters>11513</Characters>
  <Lines>61</Lines>
  <Paragraphs>17</Paragraphs>
  <TotalTime>77</TotalTime>
  <ScaleCrop>false</ScaleCrop>
  <LinksUpToDate>false</LinksUpToDate>
  <CharactersWithSpaces>11633</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2026-10-27T19:11:00Z</cp:lastPrinted>
  <dcterms:modified xsi:type="dcterms:W3CDTF">2026-10-28T13:27:42Z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y fmtid="{D5CDD505-2E9C-101B-9397-08002B2CF9AE}" pid="4" name="KSOTemplateDocerSaveRecord">
    <vt:lpwstr>eyJoZGlkIjoiNWFlN2FhMDUyYmYyZDY5ZjFkZTVlMGU3NzZiNWZkMmMiLCJ1c2VySWQiOiI1Mjk3NjE1MjEifQ==</vt:lpwstr>
  </property>
</Properties>
</file>