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rPr>
          <w:rFonts w:hint="eastAsia" w:ascii="Times New Roman" w:hAnsi="Times New Roman" w:eastAsia="方正小标宋简体" w:cs="Times New Roman"/>
          <w:color w:val="auto"/>
          <w:kern w:val="2"/>
          <w:sz w:val="72"/>
          <w:szCs w:val="72"/>
          <w:highlight w:val="none"/>
          <w:lang w:val="en-US" w:eastAsia="zh-CN" w:bidi="ar-SA"/>
        </w:rPr>
      </w:pPr>
      <w:bookmarkStart w:id="0" w:name="_Toc15377193"/>
      <w:bookmarkStart w:id="1" w:name="_Toc15396597"/>
      <w:bookmarkStart w:id="2" w:name="_Toc15377425"/>
      <w:bookmarkStart w:id="3" w:name="_Toc15306267"/>
      <w:bookmarkStart w:id="4" w:name="_Toc15378441"/>
      <w:bookmarkStart w:id="5" w:name="_Toc15396475"/>
    </w:p>
    <w:p>
      <w:pPr>
        <w:pStyle w:val="7"/>
        <w:jc w:val="center"/>
        <w:rPr>
          <w:rFonts w:hint="eastAsia" w:ascii="Times New Roman"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阿坝州壤塘县</w:t>
      </w:r>
    </w:p>
    <w:p>
      <w:pPr>
        <w:pStyle w:val="7"/>
        <w:jc w:val="center"/>
        <w:rPr>
          <w:rFonts w:hint="default" w:ascii="Times New Roman" w:hAnsi="Times New Roman"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2025年度统计局</w:t>
      </w:r>
      <w:r>
        <w:rPr>
          <w:rFonts w:hint="eastAsia" w:ascii="Times New Roman" w:hAnsi="Times New Roman" w:eastAsia="方正小标宋简体" w:cs="Times New Roman"/>
          <w:color w:val="auto"/>
          <w:kern w:val="2"/>
          <w:sz w:val="44"/>
          <w:szCs w:val="44"/>
          <w:highlight w:val="none"/>
          <w:lang w:val="en-US" w:eastAsia="zh-CN" w:bidi="ar-SA"/>
        </w:rPr>
        <w:t>决算公开</w:t>
      </w:r>
    </w:p>
    <w:p>
      <w:pPr>
        <w:spacing w:line="600" w:lineRule="exact"/>
        <w:jc w:val="center"/>
        <w:outlineLvl w:val="0"/>
        <w:rPr>
          <w:rFonts w:ascii="Times New Roman" w:hAnsi="Times New Roman" w:eastAsia="方正小标宋简体"/>
          <w:color w:val="auto"/>
          <w:sz w:val="72"/>
          <w:szCs w:val="72"/>
          <w:highlight w:val="none"/>
        </w:rPr>
      </w:pPr>
    </w:p>
    <w:p>
      <w:pPr>
        <w:pStyle w:val="21"/>
        <w:rPr>
          <w:rFonts w:ascii="Times New Roman" w:hAnsi="Times New Roman"/>
        </w:rPr>
        <w:sectPr>
          <w:headerReference r:id="rId4" w:type="first"/>
          <w:footerReference r:id="rId6" w:type="first"/>
          <w:headerReference r:id="rId3" w:type="default"/>
          <w:footerReference r:id="rId5" w:type="default"/>
          <w:pgSz w:w="11906" w:h="16838"/>
          <w:pgMar w:top="1440" w:right="1800" w:bottom="1440" w:left="1800" w:header="851" w:footer="992" w:gutter="0"/>
          <w:pgNumType w:fmt="decimal"/>
          <w:cols w:space="425" w:num="1"/>
          <w:docGrid w:type="lines" w:linePitch="312" w:charSpace="0"/>
        </w:sectPr>
      </w:pPr>
    </w:p>
    <w:p>
      <w:pPr>
        <w:rPr>
          <w:rFonts w:ascii="Times New Roman" w:hAnsi="Times New Roman"/>
        </w:rPr>
      </w:pPr>
    </w:p>
    <w:bookmarkEnd w:id="0"/>
    <w:bookmarkEnd w:id="1"/>
    <w:bookmarkEnd w:id="2"/>
    <w:bookmarkEnd w:id="3"/>
    <w:bookmarkEnd w:id="4"/>
    <w:bookmarkEnd w:id="5"/>
    <w:p>
      <w:pPr>
        <w:pStyle w:val="7"/>
        <w:jc w:val="center"/>
        <w:rPr>
          <w:rFonts w:hint="eastAsia" w:ascii="Times New Roman" w:hAnsi="Times New Roman" w:eastAsia="方正小标宋简体" w:cs="Times New Roman"/>
          <w:color w:val="auto"/>
          <w:kern w:val="2"/>
          <w:sz w:val="44"/>
          <w:szCs w:val="44"/>
          <w:highlight w:val="none"/>
          <w:lang w:val="en-US" w:eastAsia="zh-CN" w:bidi="ar-SA"/>
        </w:rPr>
      </w:pPr>
    </w:p>
    <w:p>
      <w:pPr>
        <w:pStyle w:val="7"/>
        <w:jc w:val="center"/>
        <w:rPr>
          <w:rFonts w:hint="eastAsia" w:ascii="Times New Roman" w:hAnsi="Times New Roman" w:eastAsia="方正小标宋简体" w:cs="Times New Roman"/>
          <w:color w:val="auto"/>
          <w:kern w:val="2"/>
          <w:sz w:val="44"/>
          <w:szCs w:val="44"/>
          <w:highlight w:val="none"/>
          <w:lang w:val="en-US" w:eastAsia="zh-CN" w:bidi="ar-SA"/>
        </w:rPr>
      </w:pPr>
    </w:p>
    <w:p>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pPr>
        <w:widowControl/>
        <w:jc w:val="center"/>
        <w:rPr>
          <w:rFonts w:ascii="Times New Roman" w:hAnsi="Times New Roman" w:eastAsia="黑体" w:cstheme="minorBidi"/>
          <w:color w:val="auto"/>
          <w:sz w:val="28"/>
          <w:szCs w:val="28"/>
          <w:highlight w:val="none"/>
        </w:rPr>
      </w:pPr>
    </w:p>
    <w:p>
      <w:pPr>
        <w:pStyle w:val="14"/>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 10 </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 21 </w:t>
      </w:r>
      <w:r>
        <w:rPr>
          <w:rFonts w:hint="eastAsia" w:ascii="Times New Roman" w:hAnsi="Times New Roman" w:eastAsia="仿宋_GB2312" w:cs="仿宋_GB2312"/>
          <w:color w:val="auto"/>
          <w:sz w:val="32"/>
          <w:szCs w:val="32"/>
          <w:highlight w:val="none"/>
        </w:rPr>
        <w:t>日</w:t>
      </w:r>
    </w:p>
    <w:p>
      <w:pPr>
        <w:rPr>
          <w:rFonts w:ascii="Times New Roman" w:hAnsi="Times New Roman"/>
          <w:color w:val="auto"/>
          <w:highlight w:val="none"/>
        </w:rPr>
      </w:pPr>
    </w:p>
    <w:p>
      <w:pPr>
        <w:pStyle w:val="14"/>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第一部分 部门概况</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二、机构设置</w:t>
      </w:r>
    </w:p>
    <w:p>
      <w:pPr>
        <w:pStyle w:val="14"/>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一、收入支出决算总体情况说明</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二、收入决算情况说明</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三、支出决算情况说明</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四、财政拨款收入支出决算总体情况说明</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五、一般公共预算财政拨款支出决算情况说明</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六、一般公共预算财政拨款基本支出决算情况说明</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八、政府性基金预算支出决算情况说明</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p>
    <w:p>
      <w:pPr>
        <w:pStyle w:val="14"/>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第三部分 名词解释</w:t>
      </w:r>
    </w:p>
    <w:p>
      <w:pPr>
        <w:pStyle w:val="14"/>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第四部分 附件</w:t>
      </w:r>
    </w:p>
    <w:p>
      <w:pPr>
        <w:pStyle w:val="14"/>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第五部分 附表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九、一般公共预算财政拨款项目支出决算表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十一、国有资本经营预算财政拨款收入支出决算表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十三、财政拨款“三公”经费支出决算表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2" w:firstLineChars="200"/>
        <w:jc w:val="left"/>
        <w:textAlignment w:val="auto"/>
        <w:rPr>
          <w:rFonts w:hint="eastAsia" w:ascii="Times New Roman" w:hAnsi="Times New Roman" w:eastAsia="仿宋_GB2312" w:cs="仿宋_GB2312"/>
          <w:b/>
          <w:bCs/>
          <w:color w:val="auto"/>
          <w:sz w:val="32"/>
          <w:szCs w:val="32"/>
          <w:highlight w:val="none"/>
          <w:lang w:eastAsia="zh-CN"/>
        </w:rPr>
      </w:pPr>
      <w:r>
        <w:rPr>
          <w:rFonts w:hint="eastAsia" w:ascii="Times New Roman" w:hAnsi="Times New Roman" w:eastAsia="仿宋_GB2312" w:cs="仿宋_GB2312"/>
          <w:b/>
          <w:bCs/>
          <w:color w:val="auto"/>
          <w:sz w:val="32"/>
          <w:szCs w:val="32"/>
          <w:highlight w:val="none"/>
          <w:lang w:eastAsia="zh-CN"/>
        </w:rPr>
        <w:t>（</w:t>
      </w:r>
      <w:r>
        <w:rPr>
          <w:rFonts w:hint="eastAsia" w:ascii="Times New Roman" w:hAnsi="Times New Roman" w:eastAsia="仿宋_GB2312" w:cs="仿宋_GB2312"/>
          <w:b/>
          <w:bCs/>
          <w:color w:val="auto"/>
          <w:sz w:val="32"/>
          <w:szCs w:val="32"/>
          <w:highlight w:val="none"/>
        </w:rPr>
        <w:t>注：请部门根据实际注明页码</w:t>
      </w:r>
      <w:r>
        <w:rPr>
          <w:rFonts w:hint="eastAsia" w:ascii="Times New Roman" w:hAnsi="Times New Roman" w:eastAsia="仿宋_GB2312" w:cs="仿宋_GB2312"/>
          <w:b/>
          <w:bCs/>
          <w:color w:val="auto"/>
          <w:sz w:val="32"/>
          <w:szCs w:val="32"/>
          <w:highlight w:val="none"/>
          <w:lang w:eastAsia="zh-CN"/>
        </w:rPr>
        <w:t>）</w:t>
      </w:r>
    </w:p>
    <w:p>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6" w:name="_Toc15396599"/>
      <w:bookmarkStart w:id="7" w:name="_Toc15377196"/>
      <w:r>
        <w:rPr>
          <w:rFonts w:hint="eastAsia" w:ascii="Times New Roman" w:hAnsi="Times New Roman" w:eastAsia="仿宋_GB2312" w:cs="仿宋_GB2312"/>
          <w:b/>
          <w:color w:val="auto"/>
          <w:sz w:val="32"/>
          <w:szCs w:val="32"/>
          <w:highlight w:val="none"/>
        </w:rPr>
        <w:br w:type="page"/>
      </w:r>
    </w:p>
    <w:p>
      <w:pPr>
        <w:pStyle w:val="2"/>
        <w:jc w:val="center"/>
        <w:rPr>
          <w:rStyle w:val="30"/>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30"/>
          <w:rFonts w:hint="eastAsia" w:ascii="Times New Roman" w:hAnsi="Times New Roman" w:eastAsia="方正小标宋简体" w:cs="方正小标宋简体"/>
          <w:b w:val="0"/>
          <w:bCs w:val="0"/>
          <w:color w:val="auto"/>
          <w:highlight w:val="none"/>
        </w:rPr>
        <w:t>部门概况</w:t>
      </w:r>
      <w:bookmarkEnd w:id="6"/>
      <w:bookmarkEnd w:id="7"/>
    </w:p>
    <w:p>
      <w:pPr>
        <w:widowControl/>
        <w:jc w:val="left"/>
        <w:rPr>
          <w:rFonts w:ascii="Times New Roman" w:hAnsi="Times New Roman" w:eastAsia="黑体"/>
          <w:color w:val="auto"/>
          <w:sz w:val="32"/>
          <w:szCs w:val="32"/>
          <w:highlight w:val="none"/>
        </w:rPr>
      </w:pPr>
    </w:p>
    <w:p>
      <w:pPr>
        <w:pStyle w:val="3"/>
        <w:numPr>
          <w:ilvl w:val="0"/>
          <w:numId w:val="1"/>
        </w:numPr>
        <w:rPr>
          <w:rFonts w:hint="eastAsia" w:ascii="Times New Roman" w:hAnsi="Times New Roman" w:eastAsia="黑体"/>
          <w:b w:val="0"/>
          <w:color w:val="auto"/>
          <w:highlight w:val="none"/>
          <w:lang w:eastAsia="zh-CN"/>
        </w:rPr>
      </w:pPr>
      <w:r>
        <w:rPr>
          <w:rFonts w:hint="eastAsia" w:ascii="Times New Roman" w:hAnsi="Times New Roman" w:eastAsia="黑体"/>
          <w:b w:val="0"/>
          <w:color w:val="auto"/>
          <w:highlight w:val="none"/>
          <w:lang w:eastAsia="zh-CN"/>
        </w:rPr>
        <w:t>部门职责</w:t>
      </w:r>
    </w:p>
    <w:p>
      <w:pPr>
        <w:pageBreakBefore w:val="0"/>
        <w:kinsoku/>
        <w:wordWrap/>
        <w:overflowPunct/>
        <w:topLinePunct w:val="0"/>
        <w:bidi w:val="0"/>
        <w:spacing w:line="560" w:lineRule="exact"/>
        <w:ind w:firstLine="640" w:firstLineChars="200"/>
        <w:rPr>
          <w:rFonts w:hint="eastAsia" w:ascii="仿宋" w:hAnsi="仿宋" w:eastAsia="仿宋"/>
          <w:sz w:val="32"/>
          <w:szCs w:val="32"/>
        </w:rPr>
      </w:pPr>
      <w:r>
        <w:rPr>
          <w:rFonts w:hint="eastAsia" w:ascii="仿宋" w:hAnsi="仿宋" w:eastAsia="仿宋"/>
          <w:sz w:val="32"/>
          <w:szCs w:val="32"/>
          <w:lang w:val="en-US" w:eastAsia="zh-CN"/>
        </w:rPr>
        <w:t>1.</w:t>
      </w:r>
      <w:r>
        <w:rPr>
          <w:rFonts w:hint="eastAsia" w:ascii="仿宋" w:hAnsi="仿宋" w:eastAsia="仿宋"/>
          <w:sz w:val="32"/>
          <w:szCs w:val="32"/>
        </w:rPr>
        <w:t>贯彻执行国家统计工作的方针、政策和法律、法规以及统计制度、统计标准,承担组织领导和协调全县统计工作,确保统计数据真实、准确、及时的责任。</w:t>
      </w:r>
    </w:p>
    <w:p>
      <w:pPr>
        <w:pageBreakBefore w:val="0"/>
        <w:kinsoku/>
        <w:wordWrap/>
        <w:overflowPunct/>
        <w:topLinePunct w:val="0"/>
        <w:bidi w:val="0"/>
        <w:spacing w:line="560" w:lineRule="exact"/>
        <w:ind w:firstLine="640" w:firstLineChars="200"/>
        <w:rPr>
          <w:rFonts w:hint="eastAsia" w:ascii="仿宋" w:hAnsi="仿宋" w:eastAsia="仿宋"/>
          <w:sz w:val="32"/>
          <w:szCs w:val="32"/>
        </w:rPr>
      </w:pPr>
      <w:r>
        <w:rPr>
          <w:rFonts w:hint="eastAsia" w:ascii="仿宋" w:hAnsi="仿宋" w:eastAsia="仿宋"/>
          <w:sz w:val="32"/>
          <w:szCs w:val="32"/>
          <w:lang w:val="en-US" w:eastAsia="zh-CN"/>
        </w:rPr>
        <w:t>2.</w:t>
      </w:r>
      <w:r>
        <w:rPr>
          <w:rFonts w:hint="eastAsia" w:ascii="仿宋" w:hAnsi="仿宋" w:eastAsia="仿宋"/>
          <w:sz w:val="32"/>
          <w:szCs w:val="32"/>
        </w:rPr>
        <w:t>组织实施全县国民经济核算制度,核算全县地区生产总值,整理提供国民经济核算资料,开展分析研究。</w:t>
      </w:r>
    </w:p>
    <w:p>
      <w:pPr>
        <w:pageBreakBefore w:val="0"/>
        <w:kinsoku/>
        <w:wordWrap/>
        <w:overflowPunct/>
        <w:topLinePunct w:val="0"/>
        <w:bidi w:val="0"/>
        <w:spacing w:line="560" w:lineRule="exact"/>
        <w:ind w:firstLine="640" w:firstLineChars="200"/>
        <w:rPr>
          <w:rFonts w:hint="eastAsia" w:ascii="仿宋" w:hAnsi="仿宋" w:eastAsia="仿宋"/>
          <w:sz w:val="32"/>
          <w:szCs w:val="32"/>
        </w:rPr>
      </w:pPr>
      <w:r>
        <w:rPr>
          <w:rFonts w:hint="eastAsia" w:ascii="仿宋" w:hAnsi="仿宋" w:eastAsia="仿宋"/>
          <w:sz w:val="32"/>
          <w:szCs w:val="32"/>
          <w:lang w:val="en-US" w:eastAsia="zh-CN"/>
        </w:rPr>
        <w:t>3.</w:t>
      </w:r>
      <w:r>
        <w:rPr>
          <w:rFonts w:hint="eastAsia" w:ascii="仿宋" w:hAnsi="仿宋" w:eastAsia="仿宋"/>
          <w:sz w:val="32"/>
          <w:szCs w:val="32"/>
        </w:rPr>
        <w:t>在县政府统一领导下,会同有关部门组织实施重大的国情国力普查;负责组织协调各乡镇、各部门的统计调查、社会经济调查、社会监测;审查和审批各乡镇、各部门统计调查计划、调查方案;组织全县统计报表的管理工作。</w:t>
      </w:r>
    </w:p>
    <w:p>
      <w:pPr>
        <w:pageBreakBefore w:val="0"/>
        <w:kinsoku/>
        <w:wordWrap/>
        <w:overflowPunct/>
        <w:topLinePunct w:val="0"/>
        <w:bidi w:val="0"/>
        <w:spacing w:line="560" w:lineRule="exact"/>
        <w:ind w:firstLine="640" w:firstLineChars="200"/>
        <w:rPr>
          <w:rFonts w:hint="eastAsia" w:ascii="仿宋" w:hAnsi="仿宋" w:eastAsia="仿宋"/>
          <w:sz w:val="32"/>
          <w:szCs w:val="32"/>
        </w:rPr>
      </w:pPr>
      <w:r>
        <w:rPr>
          <w:rFonts w:hint="eastAsia" w:ascii="仿宋" w:hAnsi="仿宋" w:eastAsia="仿宋"/>
          <w:sz w:val="32"/>
          <w:szCs w:val="32"/>
          <w:lang w:val="en-US" w:eastAsia="zh-CN"/>
        </w:rPr>
        <w:t>4.</w:t>
      </w:r>
      <w:r>
        <w:rPr>
          <w:rFonts w:hint="eastAsia" w:ascii="仿宋" w:hAnsi="仿宋" w:eastAsia="仿宋"/>
          <w:sz w:val="32"/>
          <w:szCs w:val="32"/>
        </w:rPr>
        <w:t>组织实施农林牧渔业、工业、建筑业、批发和零售业、住宿和餐饮业等国民经济行业以及能源、投资、人口、收入、科技社会发展基本情况、环境基本状况等领域的统计调查,建立</w:t>
      </w:r>
      <w:r>
        <w:rPr>
          <w:rFonts w:hint="eastAsia" w:ascii="仿宋" w:hAnsi="仿宋" w:eastAsia="仿宋"/>
          <w:sz w:val="32"/>
          <w:szCs w:val="32"/>
          <w:lang w:eastAsia="zh-CN"/>
        </w:rPr>
        <w:t>健全</w:t>
      </w:r>
      <w:r>
        <w:rPr>
          <w:rFonts w:hint="eastAsia" w:ascii="仿宋" w:hAnsi="仿宋" w:eastAsia="仿宋"/>
          <w:sz w:val="32"/>
          <w:szCs w:val="32"/>
        </w:rPr>
        <w:t>全县经济社会发展监测评价制度及指标体系,对重点区域和重要领域实施监测评价,牵头综合整理和提供全县基本统计资料。</w:t>
      </w:r>
    </w:p>
    <w:p>
      <w:pPr>
        <w:pageBreakBefore w:val="0"/>
        <w:kinsoku/>
        <w:wordWrap/>
        <w:overflowPunct/>
        <w:topLinePunct w:val="0"/>
        <w:bidi w:val="0"/>
        <w:spacing w:line="560" w:lineRule="exact"/>
        <w:ind w:firstLine="640" w:firstLineChars="200"/>
        <w:rPr>
          <w:rFonts w:hint="eastAsia" w:ascii="仿宋" w:hAnsi="仿宋" w:eastAsia="仿宋"/>
          <w:sz w:val="32"/>
          <w:szCs w:val="32"/>
        </w:rPr>
      </w:pPr>
      <w:r>
        <w:rPr>
          <w:rFonts w:hint="eastAsia" w:ascii="仿宋" w:hAnsi="仿宋" w:eastAsia="仿宋"/>
          <w:sz w:val="32"/>
          <w:szCs w:val="32"/>
          <w:lang w:val="en-US" w:eastAsia="zh-CN"/>
        </w:rPr>
        <w:t>5.</w:t>
      </w:r>
      <w:r>
        <w:rPr>
          <w:rFonts w:hint="eastAsia" w:ascii="仿宋" w:hAnsi="仿宋" w:eastAsia="仿宋"/>
          <w:sz w:val="32"/>
          <w:szCs w:val="32"/>
        </w:rPr>
        <w:t>建立健全全县统计数据质量审核、监控和评估制度,依法对全县各单位、各部门重要统计数据进行审核、监控和评估,组织指导统计基层基础建设。</w:t>
      </w:r>
    </w:p>
    <w:p>
      <w:pPr>
        <w:pageBreakBefore w:val="0"/>
        <w:kinsoku/>
        <w:wordWrap/>
        <w:overflowPunct/>
        <w:topLinePunct w:val="0"/>
        <w:bidi w:val="0"/>
        <w:spacing w:line="560" w:lineRule="exact"/>
        <w:ind w:firstLine="640" w:firstLineChars="200"/>
        <w:rPr>
          <w:rFonts w:hint="eastAsia" w:ascii="仿宋" w:hAnsi="仿宋" w:eastAsia="仿宋"/>
          <w:sz w:val="32"/>
          <w:szCs w:val="32"/>
        </w:rPr>
      </w:pPr>
      <w:r>
        <w:rPr>
          <w:rFonts w:hint="eastAsia" w:ascii="仿宋" w:hAnsi="仿宋" w:eastAsia="仿宋"/>
          <w:sz w:val="32"/>
          <w:szCs w:val="32"/>
          <w:lang w:val="en-US" w:eastAsia="zh-CN"/>
        </w:rPr>
        <w:t>6.</w:t>
      </w:r>
      <w:r>
        <w:rPr>
          <w:rFonts w:hint="eastAsia" w:ascii="仿宋" w:hAnsi="仿宋" w:eastAsia="仿宋"/>
          <w:sz w:val="32"/>
          <w:szCs w:val="32"/>
        </w:rPr>
        <w:t>对国民经济、社会发展、科技进步和资源环境等情况进行统计分析和预测,定期发布全县经济社会发展情况的统计信息,向县委、县政府及有关部门提供统计咨询建议,向社会公众提供统计信息服务。</w:t>
      </w:r>
    </w:p>
    <w:p>
      <w:pPr>
        <w:pageBreakBefore w:val="0"/>
        <w:kinsoku/>
        <w:wordWrap/>
        <w:overflowPunct/>
        <w:topLinePunct w:val="0"/>
        <w:bidi w:val="0"/>
        <w:spacing w:line="560" w:lineRule="exact"/>
        <w:ind w:firstLine="640" w:firstLineChars="200"/>
        <w:rPr>
          <w:rFonts w:hint="eastAsia"/>
          <w:lang w:eastAsia="zh-CN"/>
        </w:rPr>
      </w:pPr>
      <w:r>
        <w:rPr>
          <w:rFonts w:hint="eastAsia" w:ascii="仿宋" w:hAnsi="仿宋" w:eastAsia="仿宋"/>
          <w:sz w:val="32"/>
          <w:szCs w:val="32"/>
          <w:lang w:val="en-US" w:eastAsia="zh-CN"/>
        </w:rPr>
        <w:t>7.</w:t>
      </w:r>
      <w:r>
        <w:rPr>
          <w:rFonts w:hint="eastAsia" w:ascii="仿宋" w:hAnsi="仿宋" w:eastAsia="仿宋"/>
          <w:sz w:val="32"/>
          <w:szCs w:val="32"/>
        </w:rPr>
        <w:t>建立健全全县统计数据库系统和统计信息自动化系统信息共享制度,搞好统计信息化建设。</w:t>
      </w:r>
    </w:p>
    <w:p>
      <w:pPr>
        <w:numPr>
          <w:ilvl w:val="0"/>
          <w:numId w:val="0"/>
        </w:numPr>
        <w:rPr>
          <w:rFonts w:hint="eastAsia"/>
          <w:lang w:eastAsia="zh-CN"/>
        </w:rPr>
      </w:pPr>
    </w:p>
    <w:p>
      <w:pPr>
        <w:pStyle w:val="3"/>
        <w:rPr>
          <w:rStyle w:val="31"/>
          <w:rFonts w:ascii="Times New Roman" w:hAnsi="Times New Roman"/>
          <w:b w:val="0"/>
          <w:bCs w:val="0"/>
          <w:color w:val="auto"/>
          <w:highlight w:val="none"/>
        </w:rPr>
      </w:pPr>
      <w:bookmarkStart w:id="8" w:name="_Toc15377200"/>
      <w:bookmarkStart w:id="9" w:name="_Toc15396601"/>
      <w:r>
        <w:rPr>
          <w:rFonts w:hint="eastAsia" w:ascii="Times New Roman" w:hAnsi="Times New Roman" w:eastAsia="黑体"/>
          <w:b w:val="0"/>
          <w:color w:val="auto"/>
          <w:highlight w:val="none"/>
        </w:rPr>
        <w:t>二、机</w:t>
      </w:r>
      <w:r>
        <w:rPr>
          <w:rStyle w:val="31"/>
          <w:rFonts w:hint="eastAsia" w:ascii="Times New Roman" w:hAnsi="Times New Roman" w:eastAsia="黑体"/>
          <w:b w:val="0"/>
          <w:bCs w:val="0"/>
          <w:color w:val="auto"/>
          <w:highlight w:val="none"/>
        </w:rPr>
        <w:t>构设置</w:t>
      </w:r>
      <w:bookmarkEnd w:id="8"/>
      <w:bookmarkEnd w:id="9"/>
    </w:p>
    <w:p>
      <w:pPr>
        <w:pStyle w:val="3"/>
        <w:pageBreakBefore w:val="0"/>
        <w:numPr>
          <w:ilvl w:val="0"/>
          <w:numId w:val="0"/>
        </w:numPr>
        <w:kinsoku/>
        <w:wordWrap/>
        <w:overflowPunct/>
        <w:topLinePunct w:val="0"/>
        <w:bidi w:val="0"/>
        <w:spacing w:line="560" w:lineRule="exact"/>
        <w:ind w:leftChars="0" w:firstLine="640" w:firstLineChars="200"/>
        <w:rPr>
          <w:rStyle w:val="37"/>
          <w:rFonts w:hint="eastAsia" w:ascii="仿宋_GB2312" w:hAnsi="仿宋_GB2312" w:eastAsia="仿宋_GB2312" w:cs="Times New Roman"/>
          <w:b w:val="0"/>
          <w:i w:val="0"/>
          <w:caps w:val="0"/>
          <w:color w:val="000000"/>
          <w:spacing w:val="0"/>
          <w:w w:val="100"/>
          <w:sz w:val="32"/>
          <w:szCs w:val="32"/>
          <w:lang w:val="en-US" w:eastAsia="zh-CN"/>
        </w:rPr>
      </w:pPr>
      <w:bookmarkStart w:id="10" w:name="_Toc15377201"/>
      <w:bookmarkStart w:id="11" w:name="_Toc15306275"/>
      <w:bookmarkStart w:id="12" w:name="_Toc15377432"/>
      <w:bookmarkStart w:id="13" w:name="_Toc15378448"/>
      <w:r>
        <w:rPr>
          <w:rStyle w:val="37"/>
          <w:rFonts w:hint="eastAsia" w:ascii="仿宋_GB2312" w:hAnsi="仿宋_GB2312" w:eastAsia="仿宋_GB2312" w:cs="Times New Roman"/>
          <w:b w:val="0"/>
          <w:i w:val="0"/>
          <w:caps w:val="0"/>
          <w:color w:val="000000"/>
          <w:spacing w:val="0"/>
          <w:w w:val="100"/>
          <w:sz w:val="32"/>
          <w:szCs w:val="32"/>
          <w:lang w:val="en-US" w:eastAsia="zh-CN"/>
        </w:rPr>
        <w:t>1.壤塘县统计局无下属二级单位，基本性质为行政单位。</w:t>
      </w:r>
    </w:p>
    <w:p>
      <w:pPr>
        <w:pStyle w:val="3"/>
        <w:pageBreakBefore w:val="0"/>
        <w:numPr>
          <w:ilvl w:val="0"/>
          <w:numId w:val="0"/>
        </w:numPr>
        <w:kinsoku/>
        <w:wordWrap/>
        <w:overflowPunct/>
        <w:topLinePunct w:val="0"/>
        <w:bidi w:val="0"/>
        <w:spacing w:line="560" w:lineRule="exact"/>
        <w:ind w:leftChars="0" w:firstLine="640" w:firstLineChars="200"/>
        <w:rPr>
          <w:rStyle w:val="37"/>
          <w:rFonts w:hint="default" w:ascii="仿宋_GB2312" w:hAnsi="仿宋_GB2312" w:eastAsia="仿宋_GB2312" w:cs="Times New Roman"/>
          <w:b w:val="0"/>
          <w:i w:val="0"/>
          <w:caps w:val="0"/>
          <w:color w:val="000000"/>
          <w:spacing w:val="0"/>
          <w:w w:val="100"/>
          <w:sz w:val="32"/>
          <w:szCs w:val="32"/>
          <w:lang w:val="en-US" w:eastAsia="zh-CN"/>
        </w:rPr>
      </w:pPr>
      <w:r>
        <w:rPr>
          <w:rStyle w:val="37"/>
          <w:rFonts w:hint="eastAsia" w:ascii="仿宋_GB2312" w:hAnsi="仿宋_GB2312" w:eastAsia="仿宋_GB2312" w:cs="Times New Roman"/>
          <w:b w:val="0"/>
          <w:i w:val="0"/>
          <w:caps w:val="0"/>
          <w:color w:val="000000"/>
          <w:spacing w:val="0"/>
          <w:w w:val="100"/>
          <w:sz w:val="32"/>
          <w:szCs w:val="32"/>
          <w:lang w:val="en-US" w:eastAsia="zh-CN"/>
        </w:rPr>
        <w:t>2.人员情况，壤塘县统计局独立编制机构数1个，独立核算机构数1个，年末在职人员14人，财政拨款退休人员4人。</w:t>
      </w:r>
    </w:p>
    <w:bookmarkEnd w:id="10"/>
    <w:bookmarkEnd w:id="11"/>
    <w:bookmarkEnd w:id="12"/>
    <w:bookmarkEnd w:id="13"/>
    <w:p>
      <w:pPr>
        <w:widowControl/>
        <w:jc w:val="left"/>
        <w:rPr>
          <w:rFonts w:ascii="Times New Roman" w:hAnsi="Times New Roman" w:eastAsia="仿宋"/>
          <w:color w:val="auto"/>
          <w:kern w:val="0"/>
          <w:sz w:val="32"/>
          <w:szCs w:val="32"/>
          <w:highlight w:val="none"/>
        </w:rPr>
      </w:pPr>
      <w:r>
        <w:rPr>
          <w:rFonts w:ascii="Times New Roman" w:hAnsi="Times New Roman" w:eastAsia="仿宋"/>
          <w:color w:val="auto"/>
          <w:sz w:val="32"/>
          <w:szCs w:val="32"/>
          <w:highlight w:val="none"/>
        </w:rPr>
        <w:br w:type="page"/>
      </w:r>
    </w:p>
    <w:p>
      <w:pPr>
        <w:pStyle w:val="2"/>
        <w:jc w:val="center"/>
        <w:rPr>
          <w:rFonts w:hint="eastAsia" w:ascii="Times New Roman" w:hAnsi="Times New Roman" w:eastAsia="方正小标宋简体" w:cs="方正小标宋简体"/>
          <w:b w:val="0"/>
          <w:color w:val="auto"/>
          <w:highlight w:val="none"/>
        </w:rPr>
      </w:pPr>
      <w:bookmarkStart w:id="14" w:name="_Toc15396602"/>
      <w:bookmarkStart w:id="15" w:name="_Toc15377204"/>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14"/>
      <w:bookmarkEnd w:id="15"/>
    </w:p>
    <w:p>
      <w:pPr>
        <w:rPr>
          <w:rFonts w:ascii="Times New Roman" w:hAnsi="Times New Roman"/>
          <w:color w:val="auto"/>
          <w:highlight w:val="none"/>
        </w:rPr>
      </w:pP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1"/>
          <w:rFonts w:hint="eastAsia" w:ascii="Times New Roman" w:hAnsi="Times New Roman" w:eastAsia="黑体"/>
          <w:b w:val="0"/>
          <w:color w:val="auto"/>
          <w:highlight w:val="none"/>
        </w:rPr>
      </w:pPr>
      <w:bookmarkStart w:id="16" w:name="_Toc15377205"/>
      <w:bookmarkStart w:id="17" w:name="_Toc15396603"/>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1"/>
          <w:rFonts w:hint="eastAsia" w:ascii="Times New Roman" w:hAnsi="Times New Roman" w:eastAsia="黑体"/>
          <w:b w:val="0"/>
          <w:color w:val="auto"/>
          <w:highlight w:val="none"/>
        </w:rPr>
        <w:t>入支出决算总体情况说明</w:t>
      </w:r>
      <w:bookmarkEnd w:id="16"/>
      <w:bookmarkEnd w:id="17"/>
    </w:p>
    <w:p>
      <w:pPr>
        <w:snapToGrid w:val="0"/>
        <w:spacing w:line="520" w:lineRule="exact"/>
        <w:ind w:firstLine="640" w:firstLineChars="200"/>
        <w:rPr>
          <w:rFonts w:hint="eastAsia" w:ascii="仿宋" w:hAnsi="仿宋" w:eastAsia="仿宋"/>
          <w:color w:val="000000"/>
          <w:sz w:val="32"/>
          <w:szCs w:val="32"/>
          <w:lang w:eastAsia="zh-CN"/>
        </w:rPr>
      </w:pPr>
      <w:r>
        <w:rPr>
          <w:rFonts w:hint="eastAsia" w:ascii="仿宋_GB2312" w:hAnsi="仿宋_GB2312" w:eastAsia="仿宋_GB2312" w:cs="仿宋_GB2312"/>
          <w:b w:val="0"/>
          <w:bCs w:val="0"/>
          <w:kern w:val="2"/>
          <w:sz w:val="32"/>
          <w:szCs w:val="32"/>
          <w:lang w:val="en-US" w:eastAsia="zh-CN" w:bidi="ar-SA"/>
        </w:rPr>
        <w:t>2025年财政预算收入合计：492.03万元，2024年财政预算收入总计：485.01万元，比去年增加7.02万元，增长1.4%。2025年财政预算</w:t>
      </w:r>
      <w:r>
        <w:rPr>
          <w:rFonts w:hint="eastAsia" w:eastAsia="仿宋_GB2312" w:cs="仿宋_GB2312"/>
          <w:sz w:val="32"/>
          <w:szCs w:val="32"/>
          <w:lang w:val="en-US" w:eastAsia="zh-CN"/>
        </w:rPr>
        <w:t>支出合计：492.03</w:t>
      </w:r>
      <w:r>
        <w:rPr>
          <w:rFonts w:hint="eastAsia" w:eastAsia="仿宋_GB2312" w:cs="仿宋_GB2312"/>
          <w:sz w:val="32"/>
          <w:szCs w:val="32"/>
        </w:rPr>
        <w:t>万元，</w:t>
      </w:r>
      <w:r>
        <w:rPr>
          <w:rFonts w:hint="eastAsia" w:eastAsia="仿宋_GB2312"/>
          <w:sz w:val="32"/>
          <w:szCs w:val="32"/>
          <w:lang w:val="en-US" w:eastAsia="zh-CN"/>
        </w:rPr>
        <w:t>2024</w:t>
      </w:r>
      <w:r>
        <w:rPr>
          <w:rFonts w:hint="eastAsia" w:eastAsia="仿宋_GB2312" w:cs="仿宋_GB2312"/>
          <w:sz w:val="32"/>
          <w:szCs w:val="32"/>
        </w:rPr>
        <w:t>年财政预算</w:t>
      </w:r>
      <w:r>
        <w:rPr>
          <w:rFonts w:hint="eastAsia" w:eastAsia="仿宋_GB2312" w:cs="仿宋_GB2312"/>
          <w:sz w:val="32"/>
          <w:szCs w:val="32"/>
          <w:lang w:val="en-US" w:eastAsia="zh-CN"/>
        </w:rPr>
        <w:t>支出总计485.01</w:t>
      </w:r>
      <w:r>
        <w:rPr>
          <w:rFonts w:hint="eastAsia" w:eastAsia="仿宋_GB2312" w:cs="仿宋_GB2312"/>
          <w:sz w:val="32"/>
          <w:szCs w:val="32"/>
        </w:rPr>
        <w:t>万元，比去年</w:t>
      </w:r>
      <w:r>
        <w:rPr>
          <w:rFonts w:hint="eastAsia" w:eastAsia="仿宋_GB2312" w:cs="仿宋_GB2312"/>
          <w:sz w:val="32"/>
          <w:szCs w:val="32"/>
          <w:lang w:eastAsia="zh-CN"/>
        </w:rPr>
        <w:t>增加</w:t>
      </w:r>
      <w:r>
        <w:rPr>
          <w:rFonts w:hint="eastAsia" w:eastAsia="仿宋_GB2312" w:cs="仿宋_GB2312"/>
          <w:sz w:val="32"/>
          <w:szCs w:val="32"/>
          <w:lang w:val="en-US" w:eastAsia="zh-CN"/>
        </w:rPr>
        <w:t>7.02</w:t>
      </w:r>
      <w:r>
        <w:rPr>
          <w:rFonts w:hint="eastAsia" w:eastAsia="仿宋_GB2312" w:cs="仿宋_GB2312"/>
          <w:sz w:val="32"/>
          <w:szCs w:val="32"/>
        </w:rPr>
        <w:t>万元</w:t>
      </w:r>
      <w:r>
        <w:rPr>
          <w:rFonts w:hint="eastAsia" w:ascii="仿宋_GB2312" w:hAnsi="仿宋_GB2312" w:eastAsia="仿宋_GB2312" w:cs="仿宋_GB2312"/>
          <w:b w:val="0"/>
          <w:bCs w:val="0"/>
          <w:kern w:val="2"/>
          <w:sz w:val="32"/>
          <w:szCs w:val="32"/>
          <w:lang w:val="en-US" w:eastAsia="zh-CN" w:bidi="ar-SA"/>
        </w:rPr>
        <w:t>，增长1.4%</w:t>
      </w:r>
      <w:r>
        <w:rPr>
          <w:rFonts w:hint="eastAsia" w:eastAsia="仿宋_GB2312" w:cs="仿宋_GB2312"/>
          <w:sz w:val="32"/>
          <w:szCs w:val="32"/>
          <w:lang w:eastAsia="zh-CN"/>
        </w:rPr>
        <w:t>。</w:t>
      </w:r>
      <w:r>
        <w:rPr>
          <w:rFonts w:hint="eastAsia" w:ascii="仿宋" w:hAnsi="仿宋" w:eastAsia="仿宋"/>
          <w:color w:val="000000"/>
          <w:sz w:val="32"/>
          <w:szCs w:val="32"/>
        </w:rPr>
        <w:t>主要原因:</w:t>
      </w:r>
      <w:r>
        <w:rPr>
          <w:rFonts w:hint="eastAsia" w:ascii="仿宋" w:hAnsi="仿宋" w:eastAsia="仿宋"/>
          <w:color w:val="000000"/>
          <w:sz w:val="32"/>
          <w:szCs w:val="32"/>
          <w:lang w:eastAsia="zh-CN"/>
        </w:rPr>
        <w:t>人员增加。</w:t>
      </w: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rPr>
          <w:rFonts w:hint="eastAsia" w:ascii="Times New Roman" w:hAnsi="Times New Roman" w:eastAsia="仿宋_GB2312" w:cs="仿宋_GB2312"/>
          <w:color w:val="auto"/>
          <w:sz w:val="32"/>
          <w:szCs w:val="32"/>
          <w:highlight w:val="none"/>
        </w:rPr>
      </w:pPr>
      <w:r>
        <w:drawing>
          <wp:anchor distT="0" distB="0" distL="114300" distR="114300" simplePos="0" relativeHeight="251659264" behindDoc="0" locked="0" layoutInCell="1" allowOverlap="1">
            <wp:simplePos x="0" y="0"/>
            <wp:positionH relativeFrom="column">
              <wp:posOffset>391795</wp:posOffset>
            </wp:positionH>
            <wp:positionV relativeFrom="paragraph">
              <wp:posOffset>130175</wp:posOffset>
            </wp:positionV>
            <wp:extent cx="4629150" cy="2188845"/>
            <wp:effectExtent l="4445" t="5080" r="14605" b="15875"/>
            <wp:wrapTopAndBottom/>
            <wp:docPr id="1" name="图表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rPr>
      </w:pP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18" w:name="_Toc15377206"/>
      <w:bookmarkStart w:id="19" w:name="_Toc15396604"/>
      <w:r>
        <w:rPr>
          <w:rFonts w:hint="eastAsia" w:ascii="Times New Roman" w:hAnsi="Times New Roman" w:eastAsia="黑体"/>
          <w:color w:val="auto"/>
          <w:sz w:val="32"/>
          <w:szCs w:val="32"/>
          <w:highlight w:val="none"/>
          <w:lang w:eastAsia="zh-CN"/>
        </w:rPr>
        <w:t>二、收入决算情况说明</w:t>
      </w:r>
      <w:bookmarkEnd w:id="18"/>
      <w:bookmarkEnd w:id="19"/>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b/>
          <w:bCs/>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eastAsia="仿宋_GB2312" w:cs="仿宋_GB2312"/>
          <w:color w:val="auto"/>
          <w:sz w:val="32"/>
          <w:szCs w:val="32"/>
          <w:highlight w:val="none"/>
          <w:lang w:val="en-US" w:eastAsia="zh-CN"/>
        </w:rPr>
        <w:t>502.83</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eastAsia="仿宋_GB2312" w:cs="仿宋_GB2312"/>
          <w:color w:val="auto"/>
          <w:sz w:val="32"/>
          <w:szCs w:val="32"/>
          <w:highlight w:val="none"/>
          <w:lang w:val="en-US" w:eastAsia="zh-CN"/>
        </w:rPr>
        <w:t>492.03</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97.8</w:t>
      </w:r>
      <w:r>
        <w:rPr>
          <w:rFonts w:hint="eastAsia" w:ascii="Times New Roman" w:hAnsi="Times New Roman" w:eastAsia="仿宋_GB2312" w:cs="仿宋_GB2312"/>
          <w:color w:val="auto"/>
          <w:sz w:val="32"/>
          <w:szCs w:val="32"/>
          <w:highlight w:val="none"/>
          <w:lang w:eastAsia="zh-CN"/>
        </w:rPr>
        <w:t>%；其他收入</w:t>
      </w:r>
      <w:r>
        <w:rPr>
          <w:rFonts w:hint="eastAsia" w:eastAsia="仿宋_GB2312" w:cs="仿宋_GB2312"/>
          <w:color w:val="auto"/>
          <w:sz w:val="32"/>
          <w:szCs w:val="32"/>
          <w:highlight w:val="none"/>
          <w:lang w:val="en-US" w:eastAsia="zh-CN"/>
        </w:rPr>
        <w:t>10.8</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2.2</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b/>
          <w:bCs/>
          <w:color w:val="auto"/>
          <w:sz w:val="32"/>
          <w:szCs w:val="32"/>
          <w:highlight w:val="none"/>
          <w:lang w:eastAsia="zh-CN"/>
        </w:rPr>
        <w:t>（注：仅罗列本部门涉及的收入）</w:t>
      </w: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textAlignment w:val="auto"/>
        <w:outlineLvl w:val="1"/>
        <w:rPr>
          <w:rFonts w:hint="eastAsia" w:ascii="Times New Roman" w:hAnsi="Times New Roman" w:eastAsia="仿宋_GB2312" w:cs="仿宋_GB2312"/>
          <w:b/>
          <w:bCs/>
          <w:color w:val="auto"/>
          <w:sz w:val="32"/>
          <w:szCs w:val="32"/>
          <w:highlight w:val="none"/>
          <w:lang w:eastAsia="zh-CN"/>
        </w:rPr>
      </w:pP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textAlignment w:val="auto"/>
        <w:outlineLvl w:val="1"/>
        <w:rPr>
          <w:rFonts w:hint="eastAsia" w:ascii="Times New Roman" w:hAnsi="Times New Roman" w:eastAsia="仿宋_GB2312" w:cs="仿宋_GB2312"/>
          <w:b/>
          <w:bCs/>
          <w:color w:val="auto"/>
          <w:sz w:val="32"/>
          <w:szCs w:val="32"/>
          <w:highlight w:val="none"/>
          <w:lang w:eastAsia="zh-CN"/>
        </w:rPr>
      </w:pP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rPr>
          <w:rFonts w:hint="eastAsia" w:ascii="Times New Roman" w:hAnsi="Times New Roman" w:eastAsia="仿宋_GB2312" w:cs="仿宋_GB2312"/>
          <w:b/>
          <w:bCs/>
          <w:color w:val="auto"/>
          <w:sz w:val="32"/>
          <w:szCs w:val="32"/>
          <w:highlight w:val="none"/>
          <w:lang w:eastAsia="zh-CN"/>
        </w:rPr>
      </w:pPr>
      <w:r>
        <w:drawing>
          <wp:anchor distT="0" distB="0" distL="114300" distR="114300" simplePos="0" relativeHeight="251661312" behindDoc="0" locked="0" layoutInCell="1" allowOverlap="1">
            <wp:simplePos x="0" y="0"/>
            <wp:positionH relativeFrom="column">
              <wp:posOffset>210820</wp:posOffset>
            </wp:positionH>
            <wp:positionV relativeFrom="page">
              <wp:posOffset>1069340</wp:posOffset>
            </wp:positionV>
            <wp:extent cx="4645025" cy="2990215"/>
            <wp:effectExtent l="4445" t="4445" r="17780" b="15240"/>
            <wp:wrapTopAndBottom/>
            <wp:docPr id="3"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（图2：收入决算结构图）（饼状图）</w:t>
      </w: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1"/>
          <w:rFonts w:hint="eastAsia" w:ascii="Times New Roman" w:hAnsi="Times New Roman" w:eastAsia="黑体"/>
          <w:b w:val="0"/>
          <w:color w:val="auto"/>
          <w:highlight w:val="none"/>
        </w:rPr>
      </w:pPr>
      <w:bookmarkStart w:id="20" w:name="_Toc15396605"/>
      <w:bookmarkStart w:id="21" w:name="_Toc15377207"/>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1"/>
          <w:rFonts w:hint="eastAsia" w:ascii="Times New Roman" w:hAnsi="Times New Roman" w:eastAsia="黑体"/>
          <w:b w:val="0"/>
          <w:color w:val="auto"/>
          <w:highlight w:val="none"/>
        </w:rPr>
        <w:t>出决算情况说明</w:t>
      </w:r>
      <w:bookmarkEnd w:id="20"/>
      <w:bookmarkEnd w:id="21"/>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b/>
          <w:bCs/>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eastAsia="仿宋_GB2312" w:cs="仿宋_GB2312"/>
          <w:color w:val="auto"/>
          <w:sz w:val="32"/>
          <w:szCs w:val="32"/>
          <w:highlight w:val="none"/>
          <w:lang w:val="en-US" w:eastAsia="zh-CN"/>
        </w:rPr>
        <w:t>497.86</w:t>
      </w:r>
      <w:r>
        <w:rPr>
          <w:rFonts w:hint="eastAsia" w:ascii="Times New Roman" w:hAnsi="Times New Roman" w:eastAsia="仿宋_GB2312" w:cs="仿宋_GB2312"/>
          <w:color w:val="auto"/>
          <w:sz w:val="32"/>
          <w:szCs w:val="32"/>
          <w:highlight w:val="none"/>
          <w:lang w:eastAsia="zh-CN"/>
        </w:rPr>
        <w:t>万元，其中：基本支出</w:t>
      </w:r>
      <w:r>
        <w:rPr>
          <w:rFonts w:hint="eastAsia" w:eastAsia="仿宋_GB2312" w:cs="仿宋_GB2312"/>
          <w:color w:val="auto"/>
          <w:sz w:val="32"/>
          <w:szCs w:val="32"/>
          <w:highlight w:val="none"/>
          <w:lang w:val="en-US" w:eastAsia="zh-CN"/>
        </w:rPr>
        <w:t>343.98</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69.09</w:t>
      </w:r>
      <w:r>
        <w:rPr>
          <w:rFonts w:hint="eastAsia" w:ascii="Times New Roman" w:hAnsi="Times New Roman" w:eastAsia="仿宋_GB2312" w:cs="仿宋_GB2312"/>
          <w:color w:val="auto"/>
          <w:sz w:val="32"/>
          <w:szCs w:val="32"/>
          <w:highlight w:val="none"/>
          <w:lang w:eastAsia="zh-CN"/>
        </w:rPr>
        <w:t>%；项目支出</w:t>
      </w:r>
      <w:r>
        <w:rPr>
          <w:rFonts w:hint="eastAsia" w:eastAsia="仿宋_GB2312" w:cs="仿宋_GB2312"/>
          <w:color w:val="auto"/>
          <w:sz w:val="32"/>
          <w:szCs w:val="32"/>
          <w:highlight w:val="none"/>
          <w:lang w:val="en-US" w:eastAsia="zh-CN"/>
        </w:rPr>
        <w:t>153.88</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30.91</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b/>
          <w:bCs/>
          <w:color w:val="auto"/>
          <w:sz w:val="32"/>
          <w:szCs w:val="32"/>
          <w:highlight w:val="none"/>
          <w:lang w:eastAsia="zh-CN"/>
        </w:rPr>
        <w:t>（注：仅罗列本部门涉及的支出）</w:t>
      </w: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rPr>
          <w:rFonts w:hint="eastAsia" w:ascii="Times New Roman" w:hAnsi="Times New Roman" w:eastAsia="仿宋_GB2312" w:cs="仿宋_GB2312"/>
          <w:color w:val="auto"/>
          <w:sz w:val="32"/>
          <w:szCs w:val="32"/>
          <w:highlight w:val="none"/>
          <w:lang w:eastAsia="zh-CN"/>
        </w:rPr>
      </w:pPr>
      <w:r>
        <w:drawing>
          <wp:anchor distT="0" distB="0" distL="114300" distR="114300" simplePos="0" relativeHeight="251662336" behindDoc="0" locked="0" layoutInCell="1" allowOverlap="1">
            <wp:simplePos x="0" y="0"/>
            <wp:positionH relativeFrom="column">
              <wp:posOffset>-48895</wp:posOffset>
            </wp:positionH>
            <wp:positionV relativeFrom="page">
              <wp:posOffset>6637020</wp:posOffset>
            </wp:positionV>
            <wp:extent cx="4826000" cy="2596515"/>
            <wp:effectExtent l="4445" t="4445" r="8255" b="8890"/>
            <wp:wrapTopAndBottom/>
            <wp:docPr id="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r>
        <w:rPr>
          <w:rFonts w:hint="eastAsia" w:ascii="Times New Roman" w:hAnsi="Times New Roman" w:eastAsia="仿宋_GB2312" w:cs="仿宋_GB2312"/>
          <w:color w:val="auto"/>
          <w:sz w:val="32"/>
          <w:szCs w:val="32"/>
          <w:highlight w:val="none"/>
          <w:lang w:eastAsia="zh-CN"/>
        </w:rPr>
        <w:t>（图3：支出决算结构图）（饼状图）</w:t>
      </w:r>
    </w:p>
    <w:p>
      <w:pPr>
        <w:ind w:firstLine="800" w:firstLineChars="250"/>
        <w:rPr>
          <w:rFonts w:hint="eastAsia" w:ascii="Times New Roman" w:hAnsi="Times New Roman" w:eastAsia="仿宋_GB2312" w:cs="仿宋_GB2312"/>
          <w:color w:val="auto"/>
          <w:sz w:val="32"/>
          <w:szCs w:val="32"/>
          <w:highlight w:val="none"/>
          <w:lang w:eastAsia="zh-CN"/>
        </w:rPr>
      </w:pPr>
    </w:p>
    <w:p>
      <w:pPr>
        <w:spacing w:line="600" w:lineRule="exact"/>
        <w:ind w:firstLine="640" w:firstLineChars="200"/>
        <w:outlineLvl w:val="1"/>
        <w:rPr>
          <w:rStyle w:val="31"/>
          <w:rFonts w:ascii="Times New Roman" w:hAnsi="Times New Roman" w:eastAsia="黑体"/>
          <w:b w:val="0"/>
          <w:color w:val="auto"/>
          <w:highlight w:val="none"/>
        </w:rPr>
      </w:pPr>
      <w:bookmarkStart w:id="22" w:name="_Toc15377208"/>
      <w:bookmarkStart w:id="23" w:name="_Toc15396606"/>
      <w:r>
        <w:rPr>
          <w:rFonts w:hint="eastAsia" w:ascii="Times New Roman" w:hAnsi="Times New Roman" w:eastAsia="黑体"/>
          <w:color w:val="auto"/>
          <w:sz w:val="32"/>
          <w:szCs w:val="32"/>
          <w:highlight w:val="none"/>
        </w:rPr>
        <w:t>四、财</w:t>
      </w:r>
      <w:r>
        <w:rPr>
          <w:rStyle w:val="31"/>
          <w:rFonts w:hint="eastAsia" w:ascii="Times New Roman" w:hAnsi="Times New Roman" w:eastAsia="黑体"/>
          <w:b w:val="0"/>
          <w:color w:val="auto"/>
          <w:highlight w:val="none"/>
        </w:rPr>
        <w:t>政拨款收入支出决算总体情况说明</w:t>
      </w:r>
      <w:bookmarkEnd w:id="22"/>
      <w:bookmarkEnd w:id="23"/>
    </w:p>
    <w:p>
      <w:pPr>
        <w:spacing w:line="560" w:lineRule="exact"/>
        <w:ind w:firstLine="640" w:firstLineChars="200"/>
        <w:rPr>
          <w:rFonts w:hint="eastAsia" w:eastAsia="仿宋_GB2312"/>
          <w:color w:val="000000"/>
          <w:sz w:val="32"/>
          <w:szCs w:val="32"/>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eastAsia="仿宋_GB2312" w:cs="仿宋_GB2312"/>
          <w:color w:val="auto"/>
          <w:kern w:val="2"/>
          <w:sz w:val="32"/>
          <w:szCs w:val="32"/>
          <w:highlight w:val="none"/>
          <w:lang w:val="en-US" w:eastAsia="zh-CN" w:bidi="ar-SA"/>
        </w:rPr>
        <w:t>492.03</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年度相比，财政拨款收入、支出总计各增加</w:t>
      </w:r>
      <w:r>
        <w:rPr>
          <w:rFonts w:hint="eastAsia" w:eastAsia="仿宋_GB2312" w:cs="仿宋_GB2312"/>
          <w:color w:val="auto"/>
          <w:kern w:val="2"/>
          <w:sz w:val="32"/>
          <w:szCs w:val="32"/>
          <w:highlight w:val="none"/>
          <w:lang w:val="en-US" w:eastAsia="zh-CN" w:bidi="ar-SA"/>
        </w:rPr>
        <w:t>7.02</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1.4%</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000000"/>
          <w:sz w:val="32"/>
          <w:szCs w:val="32"/>
        </w:rPr>
        <w:t>主要原因是</w:t>
      </w:r>
      <w:r>
        <w:rPr>
          <w:rFonts w:hint="eastAsia" w:eastAsia="仿宋_GB2312"/>
          <w:color w:val="000000"/>
          <w:sz w:val="32"/>
          <w:szCs w:val="32"/>
          <w:lang w:eastAsia="zh-CN"/>
        </w:rPr>
        <w:t>人员经费</w:t>
      </w:r>
      <w:r>
        <w:rPr>
          <w:rFonts w:hint="eastAsia" w:eastAsia="仿宋_GB2312"/>
          <w:color w:val="000000"/>
          <w:sz w:val="32"/>
          <w:szCs w:val="32"/>
        </w:rPr>
        <w:t>增加。</w:t>
      </w:r>
    </w:p>
    <w:p>
      <w:pPr>
        <w:pStyle w:val="38"/>
        <w:rPr>
          <w:rFonts w:hint="eastAsia" w:eastAsia="仿宋_GB2312"/>
          <w:color w:val="000000"/>
          <w:sz w:val="32"/>
          <w:szCs w:val="32"/>
        </w:rPr>
      </w:pPr>
    </w:p>
    <w:p>
      <w:pPr>
        <w:pStyle w:val="38"/>
        <w:rPr>
          <w:rFonts w:hint="eastAsia" w:eastAsia="仿宋_GB2312"/>
          <w:color w:val="000000"/>
          <w:sz w:val="32"/>
          <w:szCs w:val="32"/>
        </w:rPr>
      </w:pPr>
      <w:r>
        <w:drawing>
          <wp:inline distT="0" distB="0" distL="114300" distR="114300">
            <wp:extent cx="4772025" cy="2743200"/>
            <wp:effectExtent l="4445" t="4445" r="5080" b="14605"/>
            <wp:docPr id="7"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pPr>
        <w:spacing w:line="600" w:lineRule="exact"/>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firstLineChars="200"/>
        <w:outlineLvl w:val="1"/>
        <w:rPr>
          <w:rStyle w:val="31"/>
          <w:rFonts w:ascii="Times New Roman" w:hAnsi="Times New Roman" w:eastAsia="黑体"/>
          <w:b w:val="0"/>
          <w:color w:val="auto"/>
          <w:highlight w:val="none"/>
        </w:rPr>
      </w:pPr>
      <w:bookmarkStart w:id="24" w:name="_Toc15377209"/>
      <w:bookmarkStart w:id="25" w:name="_Toc15396607"/>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1"/>
          <w:rFonts w:hint="eastAsia" w:ascii="Times New Roman" w:hAnsi="Times New Roman" w:eastAsia="黑体"/>
          <w:b w:val="0"/>
          <w:color w:val="auto"/>
          <w:highlight w:val="none"/>
        </w:rPr>
        <w:t>般公共预算财政拨款支出决算情况说明</w:t>
      </w:r>
      <w:bookmarkEnd w:id="24"/>
      <w:bookmarkEnd w:id="25"/>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26"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26"/>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eastAsia="仿宋_GB2312" w:cs="仿宋_GB2312"/>
          <w:color w:val="auto"/>
          <w:kern w:val="2"/>
          <w:sz w:val="32"/>
          <w:szCs w:val="32"/>
          <w:highlight w:val="none"/>
          <w:lang w:val="en-US" w:eastAsia="zh-CN" w:bidi="ar-SA"/>
        </w:rPr>
        <w:t>492.03</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98.8</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年度相比，一般公共预算财政拨款支出增加</w:t>
      </w:r>
      <w:r>
        <w:rPr>
          <w:rFonts w:hint="eastAsia" w:eastAsia="仿宋_GB2312" w:cs="仿宋_GB2312"/>
          <w:color w:val="auto"/>
          <w:kern w:val="2"/>
          <w:sz w:val="32"/>
          <w:szCs w:val="32"/>
          <w:highlight w:val="none"/>
          <w:lang w:val="en-US" w:eastAsia="zh-CN" w:bidi="ar-SA"/>
        </w:rPr>
        <w:t>7.02</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1.4</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人员经费增加。</w:t>
      </w:r>
    </w:p>
    <w:p>
      <w:pPr>
        <w:pStyle w:val="38"/>
        <w:rPr>
          <w:rFonts w:hint="eastAsia" w:eastAsia="仿宋_GB2312" w:cs="仿宋_GB2312"/>
          <w:color w:val="auto"/>
          <w:kern w:val="2"/>
          <w:sz w:val="32"/>
          <w:szCs w:val="32"/>
          <w:highlight w:val="none"/>
          <w:lang w:val="en-US" w:eastAsia="zh-CN" w:bidi="ar-SA"/>
        </w:rPr>
      </w:pPr>
    </w:p>
    <w:p>
      <w:pPr>
        <w:pStyle w:val="38"/>
        <w:ind w:left="0" w:leftChars="0" w:firstLine="0" w:firstLineChars="0"/>
        <w:rPr>
          <w:rFonts w:hint="eastAsia" w:eastAsia="仿宋_GB2312" w:cs="仿宋_GB2312"/>
          <w:color w:val="auto"/>
          <w:kern w:val="2"/>
          <w:sz w:val="32"/>
          <w:szCs w:val="32"/>
          <w:highlight w:val="none"/>
          <w:lang w:val="en-US" w:eastAsia="zh-CN" w:bidi="ar-SA"/>
        </w:rPr>
      </w:pPr>
      <w:r>
        <w:drawing>
          <wp:anchor distT="0" distB="0" distL="114300" distR="114300" simplePos="0" relativeHeight="251663360" behindDoc="0" locked="0" layoutInCell="1" allowOverlap="1">
            <wp:simplePos x="0" y="0"/>
            <wp:positionH relativeFrom="column">
              <wp:posOffset>271145</wp:posOffset>
            </wp:positionH>
            <wp:positionV relativeFrom="paragraph">
              <wp:posOffset>10160</wp:posOffset>
            </wp:positionV>
            <wp:extent cx="4826000" cy="2613025"/>
            <wp:effectExtent l="4445" t="4445" r="8255" b="11430"/>
            <wp:wrapTopAndBottom/>
            <wp:docPr id="22" name="图表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pPr>
        <w:spacing w:line="600" w:lineRule="exac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27"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27"/>
    </w:p>
    <w:p>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eastAsia="仿宋_GB2312" w:cs="仿宋_GB2312"/>
          <w:color w:val="auto"/>
          <w:kern w:val="2"/>
          <w:sz w:val="32"/>
          <w:szCs w:val="32"/>
          <w:highlight w:val="none"/>
          <w:lang w:val="en-US" w:eastAsia="zh-CN" w:bidi="ar-SA"/>
        </w:rPr>
        <w:t>492.03</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一般公共服务支出</w:t>
      </w:r>
      <w:r>
        <w:rPr>
          <w:rFonts w:hint="eastAsia" w:eastAsia="仿宋_GB2312" w:cs="仿宋_GB2312"/>
          <w:color w:val="auto"/>
          <w:kern w:val="2"/>
          <w:sz w:val="32"/>
          <w:szCs w:val="32"/>
          <w:highlight w:val="none"/>
          <w:lang w:val="en-US" w:eastAsia="zh-CN" w:bidi="ar-SA"/>
        </w:rPr>
        <w:t>397.22</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80.7</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52.24</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10.6</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17.82</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3.6</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24.75</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5.1</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（注：仅罗列本部门涉及的全部功能分类科目，至类级）</w:t>
      </w:r>
    </w:p>
    <w:p>
      <w:pPr>
        <w:pStyle w:val="38"/>
        <w:rPr>
          <w:rFonts w:hint="eastAsia"/>
          <w:lang w:val="en-US" w:eastAsia="zh-CN"/>
        </w:rPr>
      </w:pPr>
      <w:r>
        <w:drawing>
          <wp:inline distT="0" distB="0" distL="114300" distR="114300">
            <wp:extent cx="5172710" cy="2442210"/>
            <wp:effectExtent l="4445" t="4445" r="23495" b="10795"/>
            <wp:docPr id="4"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pPr>
        <w:spacing w:line="600" w:lineRule="exac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28"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28"/>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29" w:name="_Toc15377444"/>
      <w:bookmarkStart w:id="30" w:name="_Toc15377213"/>
      <w:bookmarkStart w:id="31" w:name="_Toc15378460"/>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eastAsia="仿宋_GB2312" w:cs="仿宋_GB2312"/>
          <w:color w:val="auto"/>
          <w:kern w:val="2"/>
          <w:sz w:val="32"/>
          <w:szCs w:val="32"/>
          <w:highlight w:val="none"/>
          <w:lang w:val="en-US" w:eastAsia="zh-CN" w:bidi="ar-SA"/>
        </w:rPr>
        <w:t>492.03</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29"/>
      <w:bookmarkEnd w:id="30"/>
      <w:bookmarkEnd w:id="31"/>
    </w:p>
    <w:p>
      <w:pPr>
        <w:numPr>
          <w:ilvl w:val="0"/>
          <w:numId w:val="0"/>
        </w:numPr>
        <w:spacing w:line="600" w:lineRule="exact"/>
        <w:ind w:firstLine="642" w:firstLineChars="200"/>
        <w:rPr>
          <w:rStyle w:val="19"/>
          <w:rFonts w:hint="eastAsia" w:ascii="仿宋" w:hAnsi="仿宋" w:eastAsia="仿宋"/>
          <w:b w:val="0"/>
          <w:bCs/>
          <w:color w:val="auto"/>
          <w:sz w:val="32"/>
          <w:szCs w:val="32"/>
          <w:highlight w:val="none"/>
          <w:lang w:eastAsia="zh-CN"/>
        </w:rPr>
      </w:pPr>
      <w:r>
        <w:rPr>
          <w:rStyle w:val="19"/>
          <w:rFonts w:ascii="仿宋" w:hAnsi="仿宋" w:eastAsia="仿宋"/>
          <w:bCs/>
          <w:color w:val="auto"/>
          <w:sz w:val="32"/>
          <w:szCs w:val="32"/>
          <w:highlight w:val="none"/>
        </w:rPr>
        <w:t>1.</w:t>
      </w:r>
      <w:r>
        <w:rPr>
          <w:rStyle w:val="19"/>
          <w:rFonts w:hint="eastAsia" w:ascii="仿宋" w:hAnsi="仿宋" w:eastAsia="仿宋"/>
          <w:bCs/>
          <w:color w:val="auto"/>
          <w:sz w:val="32"/>
          <w:szCs w:val="32"/>
          <w:highlight w:val="none"/>
        </w:rPr>
        <w:t>一般公共服务</w:t>
      </w:r>
      <w:r>
        <w:rPr>
          <w:rStyle w:val="19"/>
          <w:rFonts w:hint="eastAsia" w:ascii="仿宋" w:hAnsi="仿宋" w:eastAsia="仿宋"/>
          <w:bCs/>
          <w:color w:val="auto"/>
          <w:sz w:val="32"/>
          <w:szCs w:val="32"/>
          <w:highlight w:val="none"/>
          <w:lang w:eastAsia="zh-CN"/>
        </w:rPr>
        <w:t>统计信息事务（类）</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397.22</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Style w:val="19"/>
          <w:rFonts w:hint="eastAsia" w:ascii="仿宋" w:hAnsi="仿宋" w:eastAsia="仿宋"/>
          <w:b w:val="0"/>
          <w:bCs/>
          <w:color w:val="auto"/>
          <w:sz w:val="32"/>
          <w:szCs w:val="32"/>
          <w:highlight w:val="none"/>
        </w:rPr>
        <w:t>决算数等于预算数</w:t>
      </w:r>
      <w:r>
        <w:rPr>
          <w:rStyle w:val="19"/>
          <w:rFonts w:hint="eastAsia" w:ascii="仿宋" w:hAnsi="仿宋" w:eastAsia="仿宋"/>
          <w:b w:val="0"/>
          <w:bCs/>
          <w:color w:val="auto"/>
          <w:sz w:val="32"/>
          <w:szCs w:val="32"/>
          <w:highlight w:val="none"/>
          <w:lang w:eastAsia="zh-CN"/>
        </w:rPr>
        <w:t>。</w:t>
      </w:r>
    </w:p>
    <w:p>
      <w:pPr>
        <w:spacing w:line="600" w:lineRule="exact"/>
        <w:ind w:firstLine="640"/>
        <w:rPr>
          <w:rFonts w:hint="eastAsia" w:eastAsia="仿宋_GB2312" w:cs="仿宋_GB2312"/>
          <w:color w:val="auto"/>
          <w:kern w:val="2"/>
          <w:sz w:val="32"/>
          <w:szCs w:val="32"/>
          <w:highlight w:val="none"/>
          <w:lang w:val="en-US" w:eastAsia="zh-CN" w:bidi="ar-SA"/>
        </w:rPr>
      </w:pPr>
      <w:r>
        <w:rPr>
          <w:rStyle w:val="19"/>
          <w:rFonts w:hint="eastAsia" w:ascii="仿宋" w:hAnsi="仿宋" w:eastAsia="仿宋"/>
          <w:bCs/>
          <w:color w:val="auto"/>
          <w:sz w:val="32"/>
          <w:szCs w:val="32"/>
          <w:highlight w:val="none"/>
          <w:lang w:val="en-US" w:eastAsia="zh-CN"/>
        </w:rPr>
        <w:t>2</w:t>
      </w:r>
      <w:r>
        <w:rPr>
          <w:rStyle w:val="19"/>
          <w:rFonts w:ascii="仿宋" w:hAnsi="仿宋" w:eastAsia="仿宋"/>
          <w:bCs/>
          <w:color w:val="auto"/>
          <w:sz w:val="32"/>
          <w:szCs w:val="32"/>
          <w:highlight w:val="none"/>
        </w:rPr>
        <w:t>.</w:t>
      </w:r>
      <w:r>
        <w:rPr>
          <w:rStyle w:val="19"/>
          <w:rFonts w:hint="eastAsia" w:ascii="仿宋" w:hAnsi="仿宋" w:eastAsia="仿宋"/>
          <w:bCs/>
          <w:color w:val="auto"/>
          <w:sz w:val="32"/>
          <w:szCs w:val="32"/>
          <w:highlight w:val="none"/>
        </w:rPr>
        <w:t>社会保障和就业（类）行政事业单位养老支出</w:t>
      </w:r>
      <w:r>
        <w:rPr>
          <w:rStyle w:val="19"/>
          <w:rFonts w:ascii="仿宋" w:hAnsi="仿宋" w:eastAsia="仿宋"/>
          <w:bCs/>
          <w:color w:val="auto"/>
          <w:sz w:val="32"/>
          <w:szCs w:val="32"/>
          <w:highlight w:val="none"/>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52.24</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%，决算等于预算数</w:t>
      </w:r>
      <w:r>
        <w:rPr>
          <w:rFonts w:hint="eastAsia" w:eastAsia="仿宋_GB2312" w:cs="仿宋_GB2312"/>
          <w:color w:val="auto"/>
          <w:kern w:val="2"/>
          <w:sz w:val="32"/>
          <w:szCs w:val="32"/>
          <w:highlight w:val="none"/>
          <w:lang w:val="en-US" w:eastAsia="zh-CN" w:bidi="ar-SA"/>
        </w:rPr>
        <w:t>。</w:t>
      </w:r>
    </w:p>
    <w:p>
      <w:pPr>
        <w:spacing w:line="600" w:lineRule="exact"/>
        <w:ind w:firstLine="640"/>
        <w:rPr>
          <w:rFonts w:hint="eastAsia" w:eastAsia="仿宋_GB2312" w:cs="仿宋_GB2312"/>
          <w:color w:val="auto"/>
          <w:kern w:val="2"/>
          <w:sz w:val="32"/>
          <w:szCs w:val="32"/>
          <w:highlight w:val="none"/>
          <w:lang w:val="en-US" w:eastAsia="zh-CN" w:bidi="ar-SA"/>
        </w:rPr>
      </w:pPr>
      <w:r>
        <w:rPr>
          <w:rStyle w:val="19"/>
          <w:rFonts w:hint="eastAsia" w:ascii="仿宋" w:hAnsi="仿宋" w:eastAsia="仿宋"/>
          <w:bCs/>
          <w:color w:val="auto"/>
          <w:sz w:val="32"/>
          <w:szCs w:val="32"/>
          <w:highlight w:val="none"/>
          <w:lang w:val="en-US" w:eastAsia="zh-CN"/>
        </w:rPr>
        <w:t>3</w:t>
      </w:r>
      <w:r>
        <w:rPr>
          <w:rStyle w:val="19"/>
          <w:rFonts w:ascii="仿宋" w:hAnsi="仿宋" w:eastAsia="仿宋"/>
          <w:bCs/>
          <w:color w:val="auto"/>
          <w:sz w:val="32"/>
          <w:szCs w:val="32"/>
          <w:highlight w:val="none"/>
        </w:rPr>
        <w:t>.</w:t>
      </w:r>
      <w:r>
        <w:rPr>
          <w:rFonts w:hint="eastAsia" w:ascii="仿宋" w:hAnsi="仿宋" w:eastAsia="仿宋"/>
          <w:b/>
          <w:bCs/>
          <w:color w:val="auto"/>
          <w:sz w:val="32"/>
          <w:szCs w:val="32"/>
          <w:highlight w:val="none"/>
        </w:rPr>
        <w:t>卫生健康</w:t>
      </w:r>
      <w:r>
        <w:rPr>
          <w:rStyle w:val="19"/>
          <w:rFonts w:hint="eastAsia" w:ascii="仿宋" w:hAnsi="仿宋" w:eastAsia="仿宋"/>
          <w:bCs/>
          <w:color w:val="auto"/>
          <w:sz w:val="32"/>
          <w:szCs w:val="32"/>
          <w:highlight w:val="none"/>
        </w:rPr>
        <w:t>（类）行政事业单位医疗</w:t>
      </w:r>
      <w:r>
        <w:rPr>
          <w:rStyle w:val="19"/>
          <w:rFonts w:ascii="仿宋" w:hAnsi="仿宋" w:eastAsia="仿宋"/>
          <w:bCs/>
          <w:color w:val="auto"/>
          <w:sz w:val="32"/>
          <w:szCs w:val="32"/>
          <w:highlight w:val="none"/>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17.82</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w:t>
      </w:r>
      <w:r>
        <w:rPr>
          <w:rFonts w:hint="eastAsia" w:eastAsia="仿宋_GB2312" w:cs="仿宋_GB2312"/>
          <w:color w:val="auto"/>
          <w:kern w:val="2"/>
          <w:sz w:val="32"/>
          <w:szCs w:val="32"/>
          <w:highlight w:val="none"/>
          <w:lang w:val="en-US" w:eastAsia="zh-CN" w:bidi="ar-SA"/>
        </w:rPr>
        <w:t>。</w:t>
      </w:r>
    </w:p>
    <w:p>
      <w:pPr>
        <w:pStyle w:val="38"/>
        <w:rPr>
          <w:rFonts w:hint="eastAsia" w:ascii="Times New Roman" w:hAnsi="Times New Roman" w:eastAsia="仿宋_GB2312" w:cs="仿宋_GB2312"/>
          <w:color w:val="auto"/>
          <w:kern w:val="2"/>
          <w:sz w:val="32"/>
          <w:szCs w:val="32"/>
          <w:highlight w:val="none"/>
          <w:lang w:val="en-US" w:eastAsia="zh-CN" w:bidi="ar-SA"/>
        </w:rPr>
      </w:pPr>
      <w:r>
        <w:rPr>
          <w:rFonts w:hint="eastAsia" w:ascii="仿宋" w:hAnsi="仿宋" w:eastAsia="仿宋"/>
          <w:b/>
          <w:bCs/>
          <w:color w:val="auto"/>
          <w:sz w:val="32"/>
          <w:szCs w:val="32"/>
          <w:highlight w:val="none"/>
          <w:lang w:val="en-US" w:eastAsia="zh-CN"/>
        </w:rPr>
        <w:t>4.</w:t>
      </w:r>
      <w:r>
        <w:rPr>
          <w:rFonts w:hint="eastAsia" w:ascii="仿宋" w:hAnsi="仿宋" w:eastAsia="仿宋"/>
          <w:b/>
          <w:bCs/>
          <w:color w:val="auto"/>
          <w:sz w:val="32"/>
          <w:szCs w:val="32"/>
          <w:highlight w:val="none"/>
          <w:lang w:eastAsia="zh-CN"/>
        </w:rPr>
        <w:t>住房保障</w:t>
      </w:r>
      <w:r>
        <w:rPr>
          <w:rStyle w:val="19"/>
          <w:rFonts w:hint="eastAsia" w:ascii="仿宋" w:hAnsi="仿宋" w:eastAsia="仿宋"/>
          <w:bCs/>
          <w:color w:val="auto"/>
          <w:sz w:val="32"/>
          <w:szCs w:val="32"/>
          <w:highlight w:val="none"/>
        </w:rPr>
        <w:t>（类）住房改革支出</w:t>
      </w:r>
      <w:r>
        <w:rPr>
          <w:rStyle w:val="19"/>
          <w:rFonts w:hint="eastAsia" w:ascii="仿宋" w:hAnsi="仿宋" w:eastAsia="仿宋"/>
          <w:bCs/>
          <w:color w:val="auto"/>
          <w:sz w:val="32"/>
          <w:szCs w:val="32"/>
          <w:highlight w:val="none"/>
          <w:lang w:eastAsia="zh-CN"/>
        </w:rPr>
        <w:t>：</w:t>
      </w:r>
      <w:r>
        <w:rPr>
          <w:rStyle w:val="19"/>
          <w:rFonts w:hint="eastAsia" w:ascii="仿宋" w:hAnsi="仿宋" w:eastAsia="仿宋"/>
          <w:b w:val="0"/>
          <w:bCs/>
          <w:color w:val="auto"/>
          <w:sz w:val="32"/>
          <w:szCs w:val="32"/>
          <w:highlight w:val="none"/>
        </w:rPr>
        <w:t>支出决算为</w:t>
      </w:r>
      <w:r>
        <w:rPr>
          <w:rStyle w:val="19"/>
          <w:rFonts w:hint="eastAsia" w:ascii="仿宋" w:hAnsi="仿宋" w:eastAsia="仿宋"/>
          <w:b w:val="0"/>
          <w:bCs/>
          <w:color w:val="auto"/>
          <w:sz w:val="32"/>
          <w:szCs w:val="32"/>
          <w:highlight w:val="none"/>
          <w:lang w:val="en-US" w:eastAsia="zh-CN"/>
        </w:rPr>
        <w:t>24.75</w:t>
      </w:r>
      <w:r>
        <w:rPr>
          <w:rStyle w:val="19"/>
          <w:rFonts w:hint="eastAsia" w:ascii="仿宋" w:hAnsi="仿宋" w:eastAsia="仿宋"/>
          <w:b w:val="0"/>
          <w:bCs/>
          <w:color w:val="auto"/>
          <w:sz w:val="32"/>
          <w:szCs w:val="32"/>
          <w:highlight w:val="none"/>
        </w:rPr>
        <w:t>万元，完成预算</w:t>
      </w:r>
      <w:r>
        <w:rPr>
          <w:rStyle w:val="19"/>
          <w:rFonts w:hint="eastAsia" w:ascii="仿宋" w:hAnsi="仿宋" w:eastAsia="仿宋"/>
          <w:b w:val="0"/>
          <w:bCs/>
          <w:color w:val="auto"/>
          <w:sz w:val="32"/>
          <w:szCs w:val="32"/>
          <w:highlight w:val="none"/>
          <w:lang w:val="en-US" w:eastAsia="zh-CN"/>
        </w:rPr>
        <w:t>100</w:t>
      </w:r>
      <w:r>
        <w:rPr>
          <w:rStyle w:val="19"/>
          <w:rFonts w:ascii="仿宋" w:hAnsi="仿宋" w:eastAsia="仿宋"/>
          <w:b w:val="0"/>
          <w:bCs/>
          <w:color w:val="auto"/>
          <w:sz w:val="32"/>
          <w:szCs w:val="32"/>
          <w:highlight w:val="none"/>
        </w:rPr>
        <w:t>%</w:t>
      </w:r>
      <w:r>
        <w:rPr>
          <w:rStyle w:val="19"/>
          <w:rFonts w:hint="eastAsia" w:ascii="仿宋" w:hAnsi="仿宋" w:eastAsia="仿宋"/>
          <w:b w:val="0"/>
          <w:bCs/>
          <w:color w:val="auto"/>
          <w:sz w:val="32"/>
          <w:szCs w:val="32"/>
          <w:highlight w:val="none"/>
          <w:lang w:eastAsia="zh-CN"/>
        </w:rPr>
        <w:t>，决算数等于预算数。</w:t>
      </w:r>
    </w:p>
    <w:p>
      <w:pPr>
        <w:tabs>
          <w:tab w:val="right" w:pos="8306"/>
        </w:tabs>
        <w:spacing w:line="600" w:lineRule="exact"/>
        <w:ind w:firstLine="640"/>
        <w:outlineLvl w:val="1"/>
        <w:rPr>
          <w:rStyle w:val="31"/>
          <w:rFonts w:ascii="Times New Roman" w:hAnsi="Times New Roman"/>
          <w:color w:val="auto"/>
          <w:highlight w:val="none"/>
        </w:rPr>
      </w:pPr>
      <w:bookmarkStart w:id="32" w:name="_Toc15396608"/>
      <w:bookmarkStart w:id="33" w:name="_Toc15377214"/>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1"/>
          <w:rFonts w:hint="eastAsia" w:ascii="Times New Roman" w:hAnsi="Times New Roman" w:eastAsia="黑体"/>
          <w:b w:val="0"/>
          <w:color w:val="auto"/>
          <w:highlight w:val="none"/>
        </w:rPr>
        <w:t>般公共预算财政拨款基本支出决算情况说明</w:t>
      </w:r>
      <w:bookmarkEnd w:id="32"/>
      <w:bookmarkEnd w:id="33"/>
      <w:r>
        <w:rPr>
          <w:rStyle w:val="31"/>
          <w:rFonts w:ascii="Times New Roman" w:hAnsi="Times New Roman" w:eastAsia="黑体"/>
          <w:b w:val="0"/>
          <w:color w:val="auto"/>
          <w:highlight w:val="none"/>
        </w:rPr>
        <w:tab/>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eastAsia="仿宋_GB2312" w:cs="仿宋_GB2312"/>
          <w:color w:val="auto"/>
          <w:kern w:val="2"/>
          <w:sz w:val="32"/>
          <w:szCs w:val="32"/>
          <w:highlight w:val="none"/>
          <w:lang w:val="en-US" w:eastAsia="zh-CN" w:bidi="ar-SA"/>
        </w:rPr>
        <w:t>343.98</w:t>
      </w:r>
      <w:r>
        <w:rPr>
          <w:rFonts w:hint="eastAsia" w:ascii="Times New Roman" w:hAnsi="Times New Roman" w:eastAsia="仿宋_GB2312" w:cs="仿宋_GB2312"/>
          <w:color w:val="auto"/>
          <w:kern w:val="2"/>
          <w:sz w:val="32"/>
          <w:szCs w:val="32"/>
          <w:highlight w:val="none"/>
          <w:lang w:val="en-US" w:eastAsia="zh-CN" w:bidi="ar-SA"/>
        </w:rPr>
        <w:t>万元，其中：</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eastAsia="仿宋_GB2312" w:cs="仿宋_GB2312"/>
          <w:color w:val="auto"/>
          <w:kern w:val="2"/>
          <w:sz w:val="32"/>
          <w:szCs w:val="32"/>
          <w:highlight w:val="none"/>
          <w:lang w:val="en-US" w:eastAsia="zh-CN" w:bidi="ar-SA"/>
        </w:rPr>
        <w:t>325.12</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ascii="仿宋" w:hAnsi="仿宋" w:eastAsia="仿宋"/>
          <w:color w:val="auto"/>
          <w:sz w:val="32"/>
          <w:szCs w:val="32"/>
          <w:highlight w:val="none"/>
        </w:rPr>
        <w:t>主要包括：基本工资、津贴补贴、奖金、绩效工资、机关事业单位基本养老保险缴费、职业年金缴费、其他社会保障缴费、生活补助、医疗费补助、奖励金、住房公积金。</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eastAsia="仿宋_GB2312" w:cs="仿宋_GB2312"/>
          <w:color w:val="auto"/>
          <w:kern w:val="2"/>
          <w:sz w:val="32"/>
          <w:szCs w:val="32"/>
          <w:highlight w:val="none"/>
          <w:lang w:val="en-US" w:eastAsia="zh-CN" w:bidi="ar-SA"/>
        </w:rPr>
        <w:t>18.86</w:t>
      </w:r>
      <w:r>
        <w:rPr>
          <w:rFonts w:hint="eastAsia" w:ascii="Times New Roman" w:hAnsi="Times New Roman" w:eastAsia="仿宋_GB2312" w:cs="仿宋_GB2312"/>
          <w:color w:val="auto"/>
          <w:kern w:val="2"/>
          <w:sz w:val="32"/>
          <w:szCs w:val="32"/>
          <w:highlight w:val="none"/>
          <w:lang w:val="en-US" w:eastAsia="zh-CN" w:bidi="ar-SA"/>
        </w:rPr>
        <w:t>万元，主要包括：办公费、印刷费、手续费、水费、电费、邮电费、取暖费、物业管理费、差旅费、会议费、培训费、公务用车运行维护费、其他商品和服务支出。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（注：仅罗列本部门实际支出涉及的经济分类科目）</w:t>
      </w:r>
    </w:p>
    <w:p>
      <w:pPr>
        <w:spacing w:line="600" w:lineRule="exact"/>
        <w:ind w:firstLine="640"/>
        <w:outlineLvl w:val="1"/>
        <w:rPr>
          <w:rFonts w:hint="eastAsia" w:ascii="Times New Roman" w:hAnsi="Times New Roman" w:eastAsia="黑体"/>
          <w:color w:val="auto"/>
          <w:sz w:val="32"/>
          <w:szCs w:val="32"/>
          <w:highlight w:val="none"/>
        </w:rPr>
      </w:pPr>
      <w:bookmarkStart w:id="34" w:name="_Toc15396609"/>
      <w:bookmarkStart w:id="35" w:name="_Toc15377215"/>
    </w:p>
    <w:p>
      <w:pPr>
        <w:spacing w:line="600" w:lineRule="exact"/>
        <w:ind w:firstLine="640"/>
        <w:outlineLvl w:val="1"/>
        <w:rPr>
          <w:rStyle w:val="31"/>
          <w:rFonts w:ascii="Times New Roman" w:hAnsi="Times New Roman" w:eastAsia="黑体"/>
          <w:b w:val="0"/>
          <w:color w:val="auto"/>
          <w:highlight w:val="none"/>
        </w:rPr>
      </w:pPr>
      <w:r>
        <w:rPr>
          <w:rFonts w:hint="eastAsia" w:ascii="Times New Roman" w:hAnsi="Times New Roman" w:eastAsia="黑体"/>
          <w:color w:val="auto"/>
          <w:sz w:val="32"/>
          <w:szCs w:val="32"/>
          <w:highlight w:val="none"/>
        </w:rPr>
        <w:t>七、</w:t>
      </w:r>
      <w:r>
        <w:rPr>
          <w:rStyle w:val="31"/>
          <w:rFonts w:hint="eastAsia" w:ascii="Times New Roman" w:hAnsi="Times New Roman" w:eastAsia="黑体"/>
          <w:b w:val="0"/>
          <w:color w:val="auto"/>
          <w:highlight w:val="none"/>
        </w:rPr>
        <w:t>财政拨款</w:t>
      </w:r>
      <w:r>
        <w:rPr>
          <w:rStyle w:val="31"/>
          <w:rFonts w:hint="eastAsia" w:ascii="Times New Roman" w:hAnsi="Times New Roman" w:eastAsia="黑体"/>
          <w:color w:val="auto"/>
          <w:highlight w:val="none"/>
        </w:rPr>
        <w:t>“</w:t>
      </w:r>
      <w:r>
        <w:rPr>
          <w:rStyle w:val="31"/>
          <w:rFonts w:hint="eastAsia" w:ascii="Times New Roman" w:hAnsi="Times New Roman" w:eastAsia="黑体"/>
          <w:b w:val="0"/>
          <w:color w:val="auto"/>
          <w:highlight w:val="none"/>
        </w:rPr>
        <w:t>三公”经费支出决算情况说明</w:t>
      </w:r>
      <w:bookmarkEnd w:id="34"/>
      <w:bookmarkEnd w:id="35"/>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36"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36"/>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%，较上年度增加</w:t>
      </w:r>
      <w:r>
        <w:rPr>
          <w:rFonts w:hint="eastAsia" w:eastAsia="仿宋_GB2312" w:cs="仿宋_GB2312"/>
          <w:color w:val="auto"/>
          <w:kern w:val="2"/>
          <w:sz w:val="32"/>
          <w:szCs w:val="32"/>
          <w:highlight w:val="none"/>
          <w:lang w:val="en-US" w:eastAsia="zh-CN" w:bidi="ar-SA"/>
        </w:rPr>
        <w:t>0.02</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0.5</w:t>
      </w:r>
      <w:r>
        <w:rPr>
          <w:rFonts w:hint="eastAsia" w:ascii="Times New Roman" w:hAnsi="Times New Roman" w:eastAsia="仿宋_GB2312" w:cs="仿宋_GB2312"/>
          <w:color w:val="auto"/>
          <w:kern w:val="2"/>
          <w:sz w:val="32"/>
          <w:szCs w:val="32"/>
          <w:highlight w:val="none"/>
          <w:lang w:val="en-US" w:eastAsia="zh-CN" w:bidi="ar-SA"/>
        </w:rPr>
        <w:t>%。决算数与预算数持平</w:t>
      </w:r>
      <w:r>
        <w:rPr>
          <w:rFonts w:hint="eastAsia" w:eastAsia="仿宋_GB2312" w:cs="仿宋_GB2312"/>
          <w:color w:val="auto"/>
          <w:kern w:val="2"/>
          <w:sz w:val="32"/>
          <w:szCs w:val="32"/>
          <w:highlight w:val="none"/>
          <w:lang w:val="en-US" w:eastAsia="zh-CN" w:bidi="ar-SA"/>
        </w:rPr>
        <w:t>。</w:t>
      </w:r>
    </w:p>
    <w:p>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（注：上述“预算”口径为全年预算数，包括一般公共预算和政府性基金预算财政拨款支出决算情况，与预算数持平可以不写原因）</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37"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37"/>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drawing>
          <wp:anchor distT="0" distB="0" distL="114300" distR="114300" simplePos="0" relativeHeight="251664384" behindDoc="0" locked="0" layoutInCell="1" allowOverlap="1">
            <wp:simplePos x="0" y="0"/>
            <wp:positionH relativeFrom="column">
              <wp:posOffset>34925</wp:posOffset>
            </wp:positionH>
            <wp:positionV relativeFrom="page">
              <wp:posOffset>6716395</wp:posOffset>
            </wp:positionV>
            <wp:extent cx="4826000" cy="2456180"/>
            <wp:effectExtent l="4445" t="4445" r="8255" b="15875"/>
            <wp:wrapTopAndBottom/>
            <wp:docPr id="6149"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%。具体情况如下：</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（图7：财政拨款“三公”经费支出结构）（饼状图）</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人。</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eastAsia="仿宋_GB2312" w:cs="仿宋_GB2312"/>
          <w:b/>
          <w:bCs/>
          <w:color w:val="auto"/>
          <w:kern w:val="2"/>
          <w:sz w:val="32"/>
          <w:szCs w:val="32"/>
          <w:highlight w:val="none"/>
          <w:lang w:val="en-US" w:eastAsia="zh-CN" w:bidi="ar-SA"/>
        </w:rPr>
        <w:t>4</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eastAsia="仿宋_GB2312" w:cs="仿宋_GB2312"/>
          <w:color w:val="auto"/>
          <w:kern w:val="2"/>
          <w:sz w:val="32"/>
          <w:szCs w:val="32"/>
          <w:highlight w:val="none"/>
          <w:lang w:val="en-US" w:eastAsia="zh-CN" w:bidi="ar-SA"/>
        </w:rPr>
        <w:t>0.02</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0.5</w:t>
      </w:r>
      <w:r>
        <w:rPr>
          <w:rFonts w:hint="eastAsia" w:ascii="Times New Roman" w:hAnsi="Times New Roman" w:eastAsia="仿宋_GB2312" w:cs="仿宋_GB2312"/>
          <w:color w:val="auto"/>
          <w:kern w:val="2"/>
          <w:sz w:val="32"/>
          <w:szCs w:val="32"/>
          <w:highlight w:val="none"/>
          <w:lang w:val="en-US" w:eastAsia="zh-CN" w:bidi="ar-SA"/>
        </w:rPr>
        <w:t>%。主要</w:t>
      </w:r>
      <w:r>
        <w:rPr>
          <w:rFonts w:hint="eastAsia" w:eastAsia="仿宋_GB2312" w:cs="仿宋_GB2312"/>
          <w:color w:val="auto"/>
          <w:kern w:val="2"/>
          <w:sz w:val="32"/>
          <w:szCs w:val="32"/>
          <w:highlight w:val="none"/>
          <w:lang w:val="en-US" w:eastAsia="zh-CN" w:bidi="ar-SA"/>
        </w:rPr>
        <w:t>原因是日常公务活动较多，所以略有增长。</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ascii="仿宋_GB2312" w:eastAsia="仿宋_GB2312"/>
          <w:color w:val="auto"/>
          <w:sz w:val="32"/>
          <w:szCs w:val="32"/>
          <w:highlight w:val="none"/>
        </w:rPr>
        <w:t>主要用于</w:t>
      </w:r>
      <w:r>
        <w:rPr>
          <w:rFonts w:hint="eastAsia" w:ascii="仿宋_GB2312" w:eastAsia="仿宋_GB2312"/>
          <w:color w:val="auto"/>
          <w:sz w:val="32"/>
          <w:szCs w:val="32"/>
          <w:highlight w:val="none"/>
          <w:lang w:eastAsia="zh-CN"/>
        </w:rPr>
        <w:t>单位公务活动中</w:t>
      </w:r>
      <w:r>
        <w:rPr>
          <w:rFonts w:hint="eastAsia" w:ascii="仿宋_GB2312" w:eastAsia="仿宋_GB2312"/>
          <w:color w:val="auto"/>
          <w:sz w:val="32"/>
          <w:szCs w:val="32"/>
          <w:highlight w:val="none"/>
        </w:rPr>
        <w:t>公务用车</w:t>
      </w:r>
      <w:r>
        <w:rPr>
          <w:rFonts w:hint="eastAsia" w:ascii="Times New Roman" w:hAnsi="Times New Roman" w:eastAsia="仿宋_GB2312" w:cs="仿宋_GB2312"/>
          <w:color w:val="auto"/>
          <w:kern w:val="2"/>
          <w:sz w:val="32"/>
          <w:szCs w:val="32"/>
          <w:highlight w:val="none"/>
          <w:lang w:val="en-US" w:eastAsia="zh-CN" w:bidi="ar-SA"/>
        </w:rPr>
        <w:t>所需的公务用车燃料费、维修费、过路过桥费、保险费等支出。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eastAsia="仿宋_GB2312" w:cs="仿宋_GB2312"/>
          <w:color w:val="auto"/>
          <w:kern w:val="2"/>
          <w:sz w:val="32"/>
          <w:szCs w:val="32"/>
          <w:highlight w:val="none"/>
          <w:lang w:val="en-US" w:eastAsia="zh-CN" w:bidi="ar-SA"/>
        </w:rPr>
        <w:t>持平</w:t>
      </w:r>
      <w:r>
        <w:rPr>
          <w:rFonts w:hint="eastAsia" w:ascii="Times New Roman" w:hAnsi="Times New Roman" w:eastAsia="仿宋_GB2312" w:cs="仿宋_GB2312"/>
          <w:color w:val="auto"/>
          <w:kern w:val="2"/>
          <w:sz w:val="32"/>
          <w:szCs w:val="32"/>
          <w:highlight w:val="none"/>
          <w:lang w:val="en-US" w:eastAsia="zh-CN" w:bidi="ar-SA"/>
        </w:rPr>
        <w:t>。其中：</w:t>
      </w:r>
    </w:p>
    <w:p>
      <w:pPr>
        <w:pageBreakBefore w:val="0"/>
        <w:kinsoku/>
        <w:wordWrap/>
        <w:overflowPunct/>
        <w:topLinePunct w:val="0"/>
        <w:bidi w:val="0"/>
        <w:spacing w:line="560" w:lineRule="exact"/>
        <w:ind w:firstLine="640"/>
        <w:rPr>
          <w:rFonts w:ascii="仿宋_GB2312" w:eastAsia="仿宋_GB2312"/>
          <w:color w:val="auto"/>
          <w:sz w:val="32"/>
          <w:szCs w:val="32"/>
          <w:highlight w:val="none"/>
        </w:rPr>
      </w:pPr>
      <w:bookmarkStart w:id="38" w:name="_Toc15396610"/>
      <w:bookmarkStart w:id="39" w:name="_Toc15377218"/>
      <w:r>
        <w:rPr>
          <w:rFonts w:hint="eastAsia" w:ascii="仿宋" w:hAnsi="仿宋" w:eastAsia="仿宋"/>
          <w:b/>
          <w:color w:val="auto"/>
          <w:sz w:val="32"/>
          <w:szCs w:val="32"/>
          <w:highlight w:val="none"/>
        </w:rPr>
        <w:t>国内公务接待支出</w:t>
      </w:r>
      <w:r>
        <w:rPr>
          <w:rFonts w:hint="eastAsia" w:ascii="仿宋" w:hAnsi="仿宋" w:eastAsia="仿宋"/>
          <w:b/>
          <w:color w:val="auto"/>
          <w:sz w:val="32"/>
          <w:szCs w:val="32"/>
          <w:highlight w:val="none"/>
          <w:lang w:val="en-US" w:eastAsia="zh-CN"/>
        </w:rPr>
        <w:t>0</w:t>
      </w:r>
      <w:r>
        <w:rPr>
          <w:rFonts w:hint="eastAsia" w:ascii="仿宋_GB2312" w:eastAsia="仿宋_GB2312"/>
          <w:color w:val="auto"/>
          <w:sz w:val="32"/>
          <w:szCs w:val="32"/>
          <w:highlight w:val="none"/>
        </w:rPr>
        <w:t>万元。</w:t>
      </w:r>
    </w:p>
    <w:p>
      <w:pPr>
        <w:pageBreakBefore w:val="0"/>
        <w:kinsoku/>
        <w:wordWrap/>
        <w:overflowPunct/>
        <w:topLinePunct w:val="0"/>
        <w:bidi w:val="0"/>
        <w:spacing w:line="560" w:lineRule="exact"/>
        <w:ind w:firstLine="642"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仿宋" w:hAnsi="仿宋" w:eastAsia="仿宋"/>
          <w:b/>
          <w:color w:val="auto"/>
          <w:sz w:val="32"/>
          <w:szCs w:val="32"/>
          <w:highlight w:val="none"/>
        </w:rPr>
        <w:t>外事接待支出</w:t>
      </w:r>
      <w:r>
        <w:rPr>
          <w:rFonts w:hint="eastAsia" w:ascii="仿宋" w:hAnsi="仿宋" w:eastAsia="仿宋"/>
          <w:color w:val="auto"/>
          <w:sz w:val="32"/>
          <w:szCs w:val="32"/>
          <w:highlight w:val="none"/>
          <w:lang w:val="en-US" w:eastAsia="zh-CN"/>
        </w:rPr>
        <w:t>0</w:t>
      </w:r>
      <w:r>
        <w:rPr>
          <w:rFonts w:hint="eastAsia" w:ascii="仿宋_GB2312" w:eastAsia="仿宋_GB2312"/>
          <w:color w:val="auto"/>
          <w:sz w:val="32"/>
          <w:szCs w:val="32"/>
          <w:highlight w:val="none"/>
        </w:rPr>
        <w:t>万元。</w:t>
      </w:r>
    </w:p>
    <w:p>
      <w:pPr>
        <w:spacing w:line="600" w:lineRule="exact"/>
        <w:ind w:firstLine="640"/>
        <w:outlineLvl w:val="1"/>
        <w:rPr>
          <w:rStyle w:val="31"/>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31"/>
          <w:rFonts w:hint="eastAsia" w:ascii="Times New Roman" w:hAnsi="Times New Roman" w:eastAsia="黑体"/>
          <w:b w:val="0"/>
          <w:color w:val="auto"/>
          <w:highlight w:val="none"/>
        </w:rPr>
        <w:t>政府性基金预算支出决算情况说明</w:t>
      </w:r>
      <w:bookmarkEnd w:id="38"/>
      <w:bookmarkEnd w:id="39"/>
    </w:p>
    <w:p>
      <w:pPr>
        <w:spacing w:line="600" w:lineRule="exact"/>
        <w:ind w:firstLine="640"/>
        <w:rPr>
          <w:rFonts w:ascii="仿宋_GB2312" w:eastAsia="仿宋_GB2312"/>
          <w:color w:val="auto"/>
          <w:sz w:val="32"/>
          <w:szCs w:val="32"/>
          <w:highlight w:val="none"/>
        </w:rPr>
      </w:pPr>
      <w:r>
        <w:rPr>
          <w:rFonts w:hint="eastAsia" w:ascii="仿宋_GB2312" w:eastAsia="仿宋_GB2312"/>
          <w:color w:val="auto"/>
          <w:sz w:val="32"/>
          <w:szCs w:val="32"/>
          <w:highlight w:val="none"/>
          <w:lang w:eastAsia="zh-CN"/>
        </w:rPr>
        <w:t>202</w:t>
      </w:r>
      <w:r>
        <w:rPr>
          <w:rFonts w:hint="eastAsia" w:ascii="仿宋_GB2312" w:eastAsia="仿宋_GB2312"/>
          <w:color w:val="auto"/>
          <w:sz w:val="32"/>
          <w:szCs w:val="32"/>
          <w:highlight w:val="none"/>
          <w:lang w:val="en-US" w:eastAsia="zh-CN"/>
        </w:rPr>
        <w:t>5</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eastAsia="zh-CN"/>
        </w:rPr>
        <w:t>度</w:t>
      </w:r>
      <w:r>
        <w:rPr>
          <w:rFonts w:hint="eastAsia" w:ascii="仿宋_GB2312" w:eastAsia="仿宋_GB2312"/>
          <w:color w:val="auto"/>
          <w:sz w:val="32"/>
          <w:szCs w:val="32"/>
          <w:highlight w:val="none"/>
        </w:rPr>
        <w:t>政府性基金预算</w:t>
      </w:r>
      <w:r>
        <w:rPr>
          <w:rFonts w:hint="eastAsia" w:ascii="仿宋_GB2312" w:eastAsia="仿宋_GB2312"/>
          <w:color w:val="auto"/>
          <w:sz w:val="32"/>
          <w:szCs w:val="32"/>
          <w:highlight w:val="none"/>
          <w:lang w:eastAsia="zh-CN"/>
        </w:rPr>
        <w:t>财政</w:t>
      </w:r>
      <w:r>
        <w:rPr>
          <w:rFonts w:hint="eastAsia" w:ascii="仿宋_GB2312" w:eastAsia="仿宋_GB2312"/>
          <w:color w:val="auto"/>
          <w:sz w:val="32"/>
          <w:szCs w:val="32"/>
          <w:highlight w:val="none"/>
        </w:rPr>
        <w:t>拨款支出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p>
    <w:p>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（注：支出数与上年持平可以不写原因）</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numPr>
          <w:ilvl w:val="0"/>
          <w:numId w:val="0"/>
        </w:numPr>
        <w:spacing w:line="600" w:lineRule="exact"/>
        <w:ind w:left="630" w:leftChars="0"/>
        <w:outlineLvl w:val="1"/>
        <w:rPr>
          <w:rStyle w:val="31"/>
          <w:rFonts w:ascii="Times New Roman" w:hAnsi="Times New Roman" w:eastAsia="黑体"/>
          <w:b w:val="0"/>
          <w:color w:val="auto"/>
          <w:highlight w:val="none"/>
        </w:rPr>
      </w:pPr>
      <w:bookmarkStart w:id="40" w:name="_Toc15377219"/>
      <w:bookmarkStart w:id="41" w:name="_Toc15396611"/>
      <w:r>
        <w:rPr>
          <w:rStyle w:val="31"/>
          <w:rFonts w:hint="eastAsia" w:ascii="Times New Roman" w:hAnsi="Times New Roman" w:eastAsia="黑体"/>
          <w:b w:val="0"/>
          <w:color w:val="auto"/>
          <w:highlight w:val="none"/>
          <w:lang w:eastAsia="zh-CN"/>
        </w:rPr>
        <w:t>九、</w:t>
      </w:r>
      <w:r>
        <w:rPr>
          <w:rStyle w:val="31"/>
          <w:rFonts w:hint="eastAsia" w:ascii="Times New Roman" w:hAnsi="Times New Roman" w:eastAsia="黑体"/>
          <w:b w:val="0"/>
          <w:color w:val="auto"/>
          <w:highlight w:val="none"/>
        </w:rPr>
        <w:t>国有资本经营预算支出决算情况说明</w:t>
      </w:r>
      <w:bookmarkEnd w:id="40"/>
      <w:bookmarkEnd w:id="41"/>
    </w:p>
    <w:p>
      <w:pPr>
        <w:pageBreakBefore w:val="0"/>
        <w:kinsoku/>
        <w:wordWrap/>
        <w:overflowPunct/>
        <w:topLinePunct w:val="0"/>
        <w:bidi w:val="0"/>
        <w:spacing w:line="560" w:lineRule="exact"/>
        <w:ind w:firstLine="640"/>
        <w:rPr>
          <w:rFonts w:ascii="仿宋_GB2312" w:eastAsia="仿宋_GB2312"/>
          <w:color w:val="auto"/>
          <w:sz w:val="32"/>
          <w:szCs w:val="32"/>
          <w:highlight w:val="none"/>
        </w:rPr>
      </w:pPr>
      <w:r>
        <w:rPr>
          <w:rFonts w:hint="eastAsia" w:ascii="仿宋_GB2312" w:eastAsia="仿宋_GB2312"/>
          <w:color w:val="auto"/>
          <w:sz w:val="32"/>
          <w:szCs w:val="32"/>
          <w:highlight w:val="none"/>
          <w:lang w:eastAsia="zh-CN"/>
        </w:rPr>
        <w:t>202</w:t>
      </w:r>
      <w:r>
        <w:rPr>
          <w:rFonts w:hint="eastAsia" w:ascii="仿宋_GB2312" w:eastAsia="仿宋_GB2312"/>
          <w:color w:val="auto"/>
          <w:sz w:val="32"/>
          <w:szCs w:val="32"/>
          <w:highlight w:val="none"/>
          <w:lang w:val="en-US" w:eastAsia="zh-CN"/>
        </w:rPr>
        <w:t>5</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eastAsia="zh-CN"/>
        </w:rPr>
        <w:t>度</w:t>
      </w:r>
      <w:r>
        <w:rPr>
          <w:rFonts w:hint="eastAsia" w:ascii="仿宋_GB2312" w:eastAsia="仿宋_GB2312"/>
          <w:color w:val="auto"/>
          <w:sz w:val="32"/>
          <w:szCs w:val="32"/>
          <w:highlight w:val="none"/>
        </w:rPr>
        <w:t>国有资本经营预算</w:t>
      </w:r>
      <w:r>
        <w:rPr>
          <w:rFonts w:hint="eastAsia" w:ascii="仿宋_GB2312" w:eastAsia="仿宋_GB2312"/>
          <w:color w:val="auto"/>
          <w:sz w:val="32"/>
          <w:szCs w:val="32"/>
          <w:highlight w:val="none"/>
          <w:lang w:eastAsia="zh-CN"/>
        </w:rPr>
        <w:t>财政</w:t>
      </w:r>
      <w:r>
        <w:rPr>
          <w:rFonts w:hint="eastAsia" w:ascii="仿宋_GB2312" w:eastAsia="仿宋_GB2312"/>
          <w:color w:val="auto"/>
          <w:sz w:val="32"/>
          <w:szCs w:val="32"/>
          <w:highlight w:val="none"/>
        </w:rPr>
        <w:t>拨款支出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（注：支出数与上年持平可以不写原因）</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numPr>
          <w:ilvl w:val="0"/>
          <w:numId w:val="0"/>
        </w:numPr>
        <w:spacing w:line="600" w:lineRule="exact"/>
        <w:ind w:left="630" w:leftChars="0"/>
        <w:outlineLvl w:val="1"/>
        <w:rPr>
          <w:rStyle w:val="31"/>
          <w:rFonts w:hint="eastAsia" w:ascii="Times New Roman" w:hAnsi="Times New Roman" w:eastAsia="黑体"/>
          <w:b w:val="0"/>
          <w:color w:val="auto"/>
          <w:highlight w:val="none"/>
        </w:rPr>
      </w:pPr>
      <w:bookmarkStart w:id="42" w:name="_Toc15377221"/>
      <w:bookmarkStart w:id="43" w:name="_Toc15396612"/>
      <w:r>
        <w:rPr>
          <w:rStyle w:val="31"/>
          <w:rFonts w:hint="eastAsia" w:ascii="Times New Roman" w:hAnsi="Times New Roman" w:eastAsia="黑体"/>
          <w:b w:val="0"/>
          <w:color w:val="auto"/>
          <w:highlight w:val="none"/>
          <w:lang w:eastAsia="zh-CN"/>
        </w:rPr>
        <w:t>十、</w:t>
      </w:r>
      <w:r>
        <w:rPr>
          <w:rStyle w:val="31"/>
          <w:rFonts w:hint="eastAsia" w:ascii="Times New Roman" w:hAnsi="Times New Roman" w:eastAsia="黑体"/>
          <w:b w:val="0"/>
          <w:color w:val="auto"/>
          <w:highlight w:val="none"/>
        </w:rPr>
        <w:t>其他重要事项的情况说明</w:t>
      </w:r>
      <w:bookmarkEnd w:id="42"/>
      <w:bookmarkEnd w:id="43"/>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44" w:name="_Toc15377222"/>
      <w:r>
        <w:rPr>
          <w:rFonts w:hint="eastAsia" w:ascii="Times New Roman" w:hAnsi="Times New Roman" w:eastAsia="楷体_GB2312" w:cs="楷体_GB2312"/>
          <w:b/>
          <w:color w:val="auto"/>
          <w:sz w:val="32"/>
          <w:szCs w:val="32"/>
          <w:highlight w:val="none"/>
        </w:rPr>
        <w:t>（一）机关运行经费支出情况</w:t>
      </w:r>
      <w:bookmarkEnd w:id="44"/>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eastAsia="仿宋_GB2312"/>
          <w:color w:val="auto"/>
          <w:sz w:val="32"/>
          <w:szCs w:val="32"/>
          <w:highlight w:val="none"/>
          <w:lang w:eastAsia="zh-CN"/>
        </w:rPr>
        <w:t>统计局</w:t>
      </w:r>
      <w:r>
        <w:rPr>
          <w:rFonts w:hint="eastAsia" w:ascii="仿宋_GB2312" w:eastAsia="仿宋_GB2312"/>
          <w:color w:val="auto"/>
          <w:sz w:val="32"/>
          <w:szCs w:val="32"/>
          <w:highlight w:val="none"/>
        </w:rPr>
        <w:t>机关运行经费支出</w:t>
      </w:r>
      <w:r>
        <w:rPr>
          <w:rFonts w:hint="eastAsia" w:ascii="仿宋_GB2312" w:eastAsia="仿宋_GB2312"/>
          <w:color w:val="auto"/>
          <w:sz w:val="32"/>
          <w:szCs w:val="32"/>
          <w:highlight w:val="none"/>
          <w:lang w:val="en-US" w:eastAsia="zh-CN"/>
        </w:rPr>
        <w:t>14.35</w:t>
      </w:r>
      <w:r>
        <w:rPr>
          <w:rFonts w:hint="eastAsia" w:ascii="Times New Roman" w:hAnsi="Times New Roman" w:eastAsia="仿宋_GB2312" w:cs="仿宋_GB2312"/>
          <w:color w:val="auto"/>
          <w:kern w:val="2"/>
          <w:sz w:val="32"/>
          <w:szCs w:val="32"/>
          <w:highlight w:val="none"/>
          <w:lang w:val="en-US" w:eastAsia="zh-CN" w:bidi="ar-SA"/>
        </w:rPr>
        <w:t>万元，比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年度减少</w:t>
      </w:r>
      <w:r>
        <w:rPr>
          <w:rFonts w:hint="eastAsia" w:eastAsia="仿宋_GB2312" w:cs="仿宋_GB2312"/>
          <w:color w:val="auto"/>
          <w:kern w:val="2"/>
          <w:sz w:val="32"/>
          <w:szCs w:val="32"/>
          <w:highlight w:val="none"/>
          <w:lang w:val="en-US" w:eastAsia="zh-CN" w:bidi="ar-SA"/>
        </w:rPr>
        <w:t>4.94</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25.6</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2024年支出了以前年度的经费运行经费，2025年仅支出当年费用，所以运行经费支出下降。</w:t>
      </w:r>
      <w:r>
        <w:rPr>
          <w:rFonts w:hint="eastAsia" w:ascii="Times New Roman" w:hAnsi="Times New Roman" w:eastAsia="仿宋_GB2312" w:cs="仿宋_GB2312"/>
          <w:b/>
          <w:bCs/>
          <w:color w:val="auto"/>
          <w:kern w:val="2"/>
          <w:sz w:val="32"/>
          <w:szCs w:val="32"/>
          <w:highlight w:val="none"/>
          <w:lang w:val="en-US" w:eastAsia="zh-CN" w:bidi="ar-SA"/>
        </w:rPr>
        <w:t>（注：支出数与上年持平可以不写原因）</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45" w:name="_Toc15377223"/>
      <w:r>
        <w:rPr>
          <w:rFonts w:hint="eastAsia" w:ascii="Times New Roman" w:hAnsi="Times New Roman" w:eastAsia="楷体_GB2312" w:cs="楷体_GB2312"/>
          <w:b/>
          <w:color w:val="auto"/>
          <w:sz w:val="32"/>
          <w:szCs w:val="32"/>
          <w:highlight w:val="none"/>
        </w:rPr>
        <w:t>（二）政府采购支出情况</w:t>
      </w:r>
      <w:bookmarkEnd w:id="45"/>
    </w:p>
    <w:p>
      <w:pPr>
        <w:pageBreakBefore w:val="0"/>
        <w:kinsoku/>
        <w:wordWrap/>
        <w:overflowPunct/>
        <w:topLinePunct w:val="0"/>
        <w:bidi w:val="0"/>
        <w:spacing w:line="56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eastAsia="仿宋_GB2312"/>
          <w:color w:val="auto"/>
          <w:sz w:val="32"/>
          <w:szCs w:val="32"/>
          <w:highlight w:val="none"/>
          <w:lang w:eastAsia="zh-CN"/>
        </w:rPr>
        <w:t>202</w:t>
      </w:r>
      <w:r>
        <w:rPr>
          <w:rFonts w:hint="eastAsia" w:ascii="仿宋_GB2312" w:eastAsia="仿宋_GB2312"/>
          <w:color w:val="auto"/>
          <w:sz w:val="32"/>
          <w:szCs w:val="32"/>
          <w:highlight w:val="none"/>
          <w:lang w:val="en-US" w:eastAsia="zh-CN"/>
        </w:rPr>
        <w:t>5</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eastAsia="zh-CN"/>
        </w:rPr>
        <w:t>度</w:t>
      </w:r>
      <w:r>
        <w:rPr>
          <w:rFonts w:hint="eastAsia" w:ascii="仿宋_GB2312" w:eastAsia="仿宋_GB2312"/>
          <w:color w:val="auto"/>
          <w:sz w:val="32"/>
          <w:szCs w:val="32"/>
          <w:highlight w:val="none"/>
        </w:rPr>
        <w:t>，</w:t>
      </w:r>
      <w:r>
        <w:rPr>
          <w:rFonts w:hint="eastAsia" w:ascii="仿宋_GB2312" w:eastAsia="仿宋_GB2312"/>
          <w:color w:val="auto"/>
          <w:sz w:val="32"/>
          <w:szCs w:val="32"/>
          <w:highlight w:val="none"/>
          <w:lang w:eastAsia="zh-CN"/>
        </w:rPr>
        <w:t>统计局无</w:t>
      </w:r>
      <w:r>
        <w:rPr>
          <w:rFonts w:hint="eastAsia" w:ascii="仿宋_GB2312" w:eastAsia="仿宋_GB2312"/>
          <w:color w:val="auto"/>
          <w:sz w:val="32"/>
          <w:szCs w:val="32"/>
          <w:highlight w:val="none"/>
        </w:rPr>
        <w:t>政府采购支出</w:t>
      </w:r>
      <w:r>
        <w:rPr>
          <w:rFonts w:hint="eastAsia" w:ascii="仿宋_GB2312" w:eastAsia="仿宋_GB2312"/>
          <w:color w:val="auto"/>
          <w:sz w:val="32"/>
          <w:szCs w:val="32"/>
          <w:highlight w:val="none"/>
          <w:lang w:eastAsia="zh-CN"/>
        </w:rPr>
        <w:t>。</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46" w:name="_Toc15377224"/>
      <w:r>
        <w:rPr>
          <w:rFonts w:hint="eastAsia" w:ascii="Times New Roman" w:hAnsi="Times New Roman" w:eastAsia="楷体_GB2312" w:cs="楷体_GB2312"/>
          <w:b/>
          <w:color w:val="auto"/>
          <w:sz w:val="32"/>
          <w:szCs w:val="32"/>
          <w:highlight w:val="none"/>
        </w:rPr>
        <w:t>（三）国有资产占有使用情况</w:t>
      </w:r>
      <w:bookmarkEnd w:id="46"/>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w:t>
      </w:r>
      <w:r>
        <w:rPr>
          <w:rFonts w:hint="eastAsia" w:eastAsia="仿宋_GB2312" w:cs="仿宋_GB2312"/>
          <w:color w:val="auto"/>
          <w:kern w:val="2"/>
          <w:sz w:val="32"/>
          <w:szCs w:val="32"/>
          <w:highlight w:val="none"/>
          <w:lang w:val="en-US" w:eastAsia="zh-CN" w:bidi="ar-SA"/>
        </w:rPr>
        <w:t>至</w:t>
      </w: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ascii="仿宋_GB2312" w:eastAsia="仿宋_GB2312"/>
          <w:color w:val="auto"/>
          <w:sz w:val="32"/>
          <w:szCs w:val="32"/>
          <w:highlight w:val="none"/>
          <w:lang w:eastAsia="zh-CN"/>
        </w:rPr>
        <w:t>统计局资产系统</w:t>
      </w:r>
      <w:r>
        <w:rPr>
          <w:rFonts w:hint="eastAsia" w:ascii="仿宋_GB2312" w:eastAsia="仿宋_GB2312"/>
          <w:color w:val="auto"/>
          <w:sz w:val="32"/>
          <w:szCs w:val="32"/>
          <w:highlight w:val="none"/>
        </w:rPr>
        <w:t>共有车辆</w:t>
      </w:r>
      <w:r>
        <w:rPr>
          <w:rFonts w:hint="eastAsia" w:ascii="仿宋_GB2312" w:eastAsia="仿宋_GB2312"/>
          <w:color w:val="auto"/>
          <w:sz w:val="32"/>
          <w:szCs w:val="32"/>
          <w:highlight w:val="none"/>
          <w:lang w:val="en-US" w:eastAsia="zh-CN"/>
        </w:rPr>
        <w:t>2</w:t>
      </w:r>
      <w:r>
        <w:rPr>
          <w:rFonts w:hint="eastAsia" w:ascii="仿宋_GB2312" w:eastAsia="仿宋_GB2312"/>
          <w:color w:val="auto"/>
          <w:sz w:val="32"/>
          <w:szCs w:val="32"/>
          <w:highlight w:val="none"/>
        </w:rPr>
        <w:t>辆，其中：主要领导干部用车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辆、机要通信用车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辆、应急保障用车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辆、其他用车</w:t>
      </w:r>
      <w:r>
        <w:rPr>
          <w:rFonts w:hint="eastAsia" w:ascii="仿宋_GB2312" w:eastAsia="仿宋_GB2312"/>
          <w:color w:val="auto"/>
          <w:sz w:val="32"/>
          <w:szCs w:val="32"/>
          <w:highlight w:val="none"/>
          <w:lang w:val="en-US" w:eastAsia="zh-CN"/>
        </w:rPr>
        <w:t>2</w:t>
      </w:r>
      <w:r>
        <w:rPr>
          <w:rFonts w:hint="eastAsia" w:ascii="仿宋_GB2312" w:eastAsia="仿宋_GB2312"/>
          <w:color w:val="auto"/>
          <w:sz w:val="32"/>
          <w:szCs w:val="32"/>
          <w:highlight w:val="none"/>
        </w:rPr>
        <w:t>辆</w:t>
      </w:r>
      <w:r>
        <w:rPr>
          <w:rFonts w:hint="eastAsia" w:ascii="仿宋_GB2312" w:eastAsia="仿宋_GB2312"/>
          <w:color w:val="auto"/>
          <w:sz w:val="32"/>
          <w:szCs w:val="32"/>
          <w:highlight w:val="none"/>
          <w:lang w:val="en-US" w:eastAsia="zh-CN"/>
        </w:rPr>
        <w:t>(只有1辆正常使用，另外有1辆财政划拨的公车在报废处理当中，年末没有从资产系统下账）</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以上设备（不含车辆）</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（套）。</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hint="eastAsia" w:eastAsia="仿宋_GB2312" w:cs="仿宋_GB2312"/>
          <w:color w:val="auto"/>
          <w:kern w:val="2"/>
          <w:sz w:val="32"/>
          <w:szCs w:val="32"/>
          <w:highlight w:val="none"/>
          <w:lang w:val="en-US" w:eastAsia="zh-CN" w:bidi="ar-SA"/>
        </w:rPr>
        <w:t>本单位</w:t>
      </w:r>
      <w:r>
        <w:rPr>
          <w:rFonts w:hint="eastAsia" w:ascii="Times New Roman" w:hAnsi="Times New Roman" w:eastAsia="仿宋_GB2312" w:cs="仿宋_GB2312"/>
          <w:color w:val="auto"/>
          <w:kern w:val="2"/>
          <w:sz w:val="32"/>
          <w:szCs w:val="32"/>
          <w:highlight w:val="none"/>
          <w:lang w:val="en-US" w:eastAsia="zh-CN" w:bidi="ar-SA"/>
        </w:rPr>
        <w:t>在2025年度</w:t>
      </w:r>
      <w:r>
        <w:rPr>
          <w:rFonts w:hint="eastAsia" w:ascii="仿宋_GB2312" w:hAnsi="Times New Roman" w:eastAsia="仿宋_GB2312" w:cs="Times New Roman"/>
          <w:color w:val="auto"/>
          <w:sz w:val="32"/>
          <w:szCs w:val="32"/>
          <w:highlight w:val="none"/>
          <w:lang w:eastAsia="zh-CN"/>
        </w:rPr>
        <w:t>预算编制阶段，组织对</w:t>
      </w:r>
      <w:r>
        <w:rPr>
          <w:rFonts w:hint="eastAsia" w:ascii="仿宋_GB2312" w:eastAsia="仿宋_GB2312" w:cs="Times New Roman"/>
          <w:color w:val="auto"/>
          <w:sz w:val="32"/>
          <w:szCs w:val="32"/>
          <w:highlight w:val="none"/>
          <w:lang w:val="en-US" w:eastAsia="zh-CN"/>
        </w:rPr>
        <w:t>7</w:t>
      </w:r>
      <w:r>
        <w:rPr>
          <w:rFonts w:hint="eastAsia" w:ascii="仿宋_GB2312" w:hAnsi="Times New Roman" w:eastAsia="仿宋_GB2312" w:cs="Times New Roman"/>
          <w:color w:val="auto"/>
          <w:sz w:val="32"/>
          <w:szCs w:val="32"/>
          <w:highlight w:val="none"/>
          <w:lang w:eastAsia="zh-CN"/>
        </w:rPr>
        <w:t>项目（劳动力调查、城乡一体化住户调查、全国第五次经济普查、统计内网运行维护、首席统计师与协统员制度、统计工作运转经费</w:t>
      </w:r>
      <w:r>
        <w:rPr>
          <w:rFonts w:hint="eastAsia" w:ascii="仿宋_GB2312" w:eastAsia="仿宋_GB2312" w:cs="Times New Roman"/>
          <w:color w:val="auto"/>
          <w:sz w:val="32"/>
          <w:szCs w:val="32"/>
          <w:highlight w:val="none"/>
          <w:lang w:val="en-US" w:eastAsia="zh-CN"/>
        </w:rPr>
        <w:t>、1%人口抽样调查</w:t>
      </w:r>
      <w:r>
        <w:rPr>
          <w:rFonts w:hint="eastAsia" w:ascii="仿宋_GB2312" w:hAnsi="Times New Roman" w:eastAsia="仿宋_GB2312" w:cs="Times New Roman"/>
          <w:color w:val="auto"/>
          <w:sz w:val="32"/>
          <w:szCs w:val="32"/>
          <w:highlight w:val="none"/>
          <w:lang w:eastAsia="zh-CN"/>
        </w:rPr>
        <w:t>）等</w:t>
      </w:r>
      <w:r>
        <w:rPr>
          <w:rFonts w:hint="eastAsia" w:eastAsia="仿宋_GB2312" w:cs="仿宋_GB2312"/>
          <w:color w:val="auto"/>
          <w:kern w:val="2"/>
          <w:sz w:val="32"/>
          <w:szCs w:val="32"/>
          <w:highlight w:val="none"/>
          <w:lang w:val="en-US" w:eastAsia="zh-CN" w:bidi="ar-SA"/>
        </w:rPr>
        <w:t>7</w:t>
      </w:r>
      <w:r>
        <w:rPr>
          <w:rFonts w:hint="eastAsia" w:ascii="Times New Roman" w:hAnsi="Times New Roman" w:eastAsia="仿宋_GB2312" w:cs="仿宋_GB2312"/>
          <w:color w:val="auto"/>
          <w:kern w:val="2"/>
          <w:sz w:val="32"/>
          <w:szCs w:val="32"/>
          <w:highlight w:val="none"/>
          <w:lang w:val="en-US" w:eastAsia="zh-CN" w:bidi="ar-SA"/>
        </w:rPr>
        <w:t>个项目涉及金额</w:t>
      </w:r>
      <w:r>
        <w:rPr>
          <w:rFonts w:hint="eastAsia" w:eastAsia="仿宋_GB2312" w:cs="仿宋_GB2312"/>
          <w:color w:val="auto"/>
          <w:kern w:val="2"/>
          <w:sz w:val="32"/>
          <w:szCs w:val="32"/>
          <w:highlight w:val="none"/>
          <w:lang w:val="en-US" w:eastAsia="zh-CN" w:bidi="ar-SA"/>
        </w:rPr>
        <w:t>14.33</w:t>
      </w:r>
      <w:r>
        <w:rPr>
          <w:rFonts w:hint="eastAsia" w:ascii="Times New Roman" w:hAnsi="Times New Roman" w:eastAsia="仿宋_GB2312" w:cs="仿宋_GB2312"/>
          <w:color w:val="auto"/>
          <w:kern w:val="2"/>
          <w:sz w:val="32"/>
          <w:szCs w:val="32"/>
          <w:highlight w:val="none"/>
          <w:lang w:val="en-US" w:eastAsia="zh-CN" w:bidi="ar-SA"/>
        </w:rPr>
        <w:t>万元开展了事前绩效评估，对</w:t>
      </w:r>
      <w:r>
        <w:rPr>
          <w:rFonts w:hint="eastAsia" w:eastAsia="仿宋_GB2312" w:cs="仿宋_GB2312"/>
          <w:color w:val="auto"/>
          <w:kern w:val="2"/>
          <w:sz w:val="32"/>
          <w:szCs w:val="32"/>
          <w:highlight w:val="none"/>
          <w:lang w:val="en-US" w:eastAsia="zh-CN" w:bidi="ar-SA"/>
        </w:rPr>
        <w:t>7</w:t>
      </w:r>
      <w:r>
        <w:rPr>
          <w:rFonts w:hint="eastAsia" w:ascii="Times New Roman" w:hAnsi="Times New Roman" w:eastAsia="仿宋_GB2312" w:cs="仿宋_GB2312"/>
          <w:color w:val="auto"/>
          <w:kern w:val="2"/>
          <w:sz w:val="32"/>
          <w:szCs w:val="32"/>
          <w:highlight w:val="none"/>
          <w:lang w:val="en-US" w:eastAsia="zh-CN" w:bidi="ar-SA"/>
        </w:rPr>
        <w:t>个项目编制了绩效目标，预算执行过程中，选取</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个项目开展绩效监控。</w:t>
      </w:r>
    </w:p>
    <w:p>
      <w:pPr>
        <w:spacing w:line="580" w:lineRule="exact"/>
        <w:ind w:firstLine="640" w:firstLineChars="200"/>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eastAsia="zh-CN"/>
        </w:rPr>
        <w:t>组织</w:t>
      </w:r>
      <w:r>
        <w:rPr>
          <w:rFonts w:hint="eastAsia" w:ascii="仿宋_GB2312" w:hAnsi="仿宋_GB2312" w:eastAsia="仿宋_GB2312" w:cs="仿宋_GB2312"/>
          <w:color w:val="auto"/>
          <w:sz w:val="32"/>
          <w:szCs w:val="32"/>
          <w:highlight w:val="none"/>
        </w:rPr>
        <w:t>对</w:t>
      </w:r>
      <w:r>
        <w:rPr>
          <w:rFonts w:hint="eastAsia" w:ascii="仿宋_GB2312" w:hAnsi="仿宋_GB2312" w:eastAsia="仿宋_GB2312" w:cs="仿宋_GB2312"/>
          <w:color w:val="auto"/>
          <w:sz w:val="32"/>
          <w:szCs w:val="32"/>
          <w:highlight w:val="none"/>
          <w:lang w:val="en-US" w:eastAsia="zh-CN"/>
        </w:rPr>
        <w:t>2025年度一般公共预算形成统计局</w:t>
      </w:r>
      <w:r>
        <w:rPr>
          <w:rFonts w:hint="eastAsia" w:ascii="仿宋_GB2312" w:hAnsi="仿宋_GB2312" w:eastAsia="仿宋_GB2312" w:cs="仿宋_GB2312"/>
          <w:color w:val="auto"/>
          <w:sz w:val="32"/>
          <w:szCs w:val="32"/>
          <w:highlight w:val="none"/>
          <w:lang w:eastAsia="zh-CN"/>
        </w:rPr>
        <w:t>部门整体（含部门预算项目）</w:t>
      </w:r>
      <w:r>
        <w:rPr>
          <w:rFonts w:hint="eastAsia" w:ascii="仿宋_GB2312" w:hAnsi="仿宋_GB2312" w:eastAsia="仿宋_GB2312" w:cs="仿宋_GB2312"/>
          <w:color w:val="auto"/>
          <w:sz w:val="32"/>
          <w:szCs w:val="32"/>
          <w:highlight w:val="none"/>
          <w:lang w:val="en-US" w:eastAsia="zh-CN"/>
        </w:rPr>
        <w:t>绩效自评报告统计局部门整体</w:t>
      </w:r>
      <w:r>
        <w:rPr>
          <w:rFonts w:hint="eastAsia" w:ascii="仿宋_GB2312" w:hAnsi="仿宋_GB2312" w:eastAsia="仿宋_GB2312" w:cs="仿宋_GB2312"/>
          <w:color w:val="auto"/>
          <w:sz w:val="32"/>
          <w:szCs w:val="32"/>
          <w:highlight w:val="none"/>
          <w:lang w:eastAsia="zh-CN"/>
        </w:rPr>
        <w:t>（含部门预算项目）</w:t>
      </w:r>
      <w:r>
        <w:rPr>
          <w:rFonts w:hint="eastAsia" w:ascii="仿宋_GB2312" w:hAnsi="仿宋_GB2312" w:eastAsia="仿宋_GB2312" w:cs="仿宋_GB2312"/>
          <w:color w:val="auto"/>
          <w:sz w:val="32"/>
          <w:szCs w:val="32"/>
          <w:highlight w:val="none"/>
          <w:lang w:val="en-US" w:eastAsia="zh-CN"/>
        </w:rPr>
        <w:t>绩效自评得分为93分，绩效自评综述：2025年统计局各专业圆满完成了各项统计工作，并对2026年工作进行提前计划。</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47" w:name="_Toc15396613"/>
      <w:bookmarkStart w:id="48" w:name="_Toc15377225"/>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47"/>
      <w:bookmarkEnd w:id="48"/>
    </w:p>
    <w:p>
      <w:pPr>
        <w:spacing w:line="600" w:lineRule="exact"/>
        <w:jc w:val="left"/>
        <w:rPr>
          <w:rFonts w:ascii="Times New Roman" w:hAnsi="Times New Roman"/>
          <w:b/>
          <w:color w:val="auto"/>
          <w:sz w:val="44"/>
          <w:szCs w:val="44"/>
          <w:highlight w:val="none"/>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2.事业收入：指事业单位开展专业业务活动及辅助活动取得的收入。如……（二级预算</w:t>
      </w:r>
      <w:r>
        <w:rPr>
          <w:rFonts w:hint="eastAsia" w:eastAsia="仿宋_GB2312" w:cs="仿宋_GB2312"/>
          <w:color w:val="auto"/>
          <w:kern w:val="2"/>
          <w:sz w:val="32"/>
          <w:szCs w:val="32"/>
          <w:highlight w:val="none"/>
          <w:lang w:val="en-US" w:eastAsia="zh-CN" w:bidi="ar-SA"/>
        </w:rPr>
        <w:t>事业单位</w:t>
      </w:r>
      <w:r>
        <w:rPr>
          <w:rFonts w:hint="eastAsia" w:ascii="Times New Roman" w:hAnsi="Times New Roman" w:eastAsia="仿宋_GB2312" w:cs="仿宋_GB2312"/>
          <w:color w:val="auto"/>
          <w:kern w:val="2"/>
          <w:sz w:val="32"/>
          <w:szCs w:val="32"/>
          <w:highlight w:val="none"/>
          <w:lang w:val="en-US" w:eastAsia="zh-CN" w:bidi="ar-SA"/>
        </w:rPr>
        <w:t>收入情况）等。</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3.经营收入：指事业单位在专业业务活动及其辅助活动之外开展非独立核算经营活动取得的收入。如……（二级预算单位经营收入情况）等。</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4.其他收入：指单位取得的除上述收入以外的各项收入。主要是……（收入类型）等。 </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5.使用非财政拨款结余（含专用结余）：指事业单位使用以前年度积累的非财政拨款结余弥补当年收支差额的金额。 </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6.年初结转和结余：指以前年度尚未完成、结转到本年按有关规定继续使用的资金。 </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7.结余分配：指事业单位按照会计制度规定缴纳的所得税、提取的专用结余以及转入非财政拨款结余的金额等。</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8.年末结转和结余：指单位按有关规定结转到下年或以后年度继续使用的资金。</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9.一般公共服务（类）……（款）……（项）：指……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10.外交（类）……（款）……（项）：指……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11.公共安全（类）……（款）……（项）：指……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12.教育（类）……（款）……（项）：指……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13.科学技术（类）……（款）……（项）：指……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14.文化旅游体育与传媒（类）……（款）……（项）：指……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15.社会保障和就业（类）……（款）……（项）：指……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16.卫生健康（类）……（款）……（项）：指……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17.节能环保（类）……（款）……（项）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18.城乡社区（类）……（款）……（项）：指……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19.农林水（类）……（款）……（项）：指……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20.交通运输（类）……（款）……（项）：指……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21.资源勘探工业信息等（类）……（款）……（项）：指……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22.商业服务业（类）……（款）……（项）：指……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23.金融（类）……（款）……（项）：指……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24.自然资源海洋气象等（类）……（款）……（项）：指……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25.住房保障（类）……（款）……（项）：指……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26.粮油物资储备（类）……（款）……（项）：指……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w:t>
      </w:r>
      <w:r>
        <w:rPr>
          <w:rFonts w:hint="eastAsia" w:eastAsia="仿宋_GB2312" w:cs="仿宋_GB2312"/>
          <w:b/>
          <w:bCs/>
          <w:color w:val="auto"/>
          <w:kern w:val="2"/>
          <w:sz w:val="32"/>
          <w:szCs w:val="32"/>
          <w:highlight w:val="none"/>
          <w:lang w:val="en-US" w:eastAsia="zh-CN" w:bidi="ar-SA"/>
        </w:rPr>
        <w:t>注：</w:t>
      </w:r>
      <w:r>
        <w:rPr>
          <w:rFonts w:hint="eastAsia" w:ascii="Times New Roman" w:hAnsi="Times New Roman" w:eastAsia="仿宋_GB2312" w:cs="仿宋_GB2312"/>
          <w:b/>
          <w:bCs/>
          <w:color w:val="auto"/>
          <w:kern w:val="2"/>
          <w:sz w:val="32"/>
          <w:szCs w:val="32"/>
          <w:highlight w:val="none"/>
          <w:lang w:val="en-US" w:eastAsia="zh-CN" w:bidi="ar-SA"/>
        </w:rPr>
        <w:t>解释本部门决算报表中涉及的全部功能分类科目至项级，不涉及的科目请自行删除。请参照</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202</w:t>
      </w:r>
      <w:r>
        <w:rPr>
          <w:rFonts w:hint="eastAsia" w:eastAsia="仿宋_GB2312" w:cs="仿宋_GB2312"/>
          <w:b/>
          <w:bCs/>
          <w:color w:val="auto"/>
          <w:kern w:val="2"/>
          <w:sz w:val="32"/>
          <w:szCs w:val="32"/>
          <w:highlight w:val="none"/>
          <w:lang w:val="en-US" w:eastAsia="zh-CN" w:bidi="ar-SA"/>
        </w:rPr>
        <w:t>5</w:t>
      </w:r>
      <w:r>
        <w:rPr>
          <w:rFonts w:hint="eastAsia" w:ascii="Times New Roman" w:hAnsi="Times New Roman" w:eastAsia="仿宋_GB2312" w:cs="仿宋_GB2312"/>
          <w:b/>
          <w:bCs/>
          <w:color w:val="auto"/>
          <w:kern w:val="2"/>
          <w:sz w:val="32"/>
          <w:szCs w:val="32"/>
          <w:highlight w:val="none"/>
          <w:lang w:val="en-US" w:eastAsia="zh-CN" w:bidi="ar-SA"/>
        </w:rPr>
        <w:t>年政府收支分类科目</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增减内容）</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27.基本支出：指为保障机构正常运转、完成日常工作任务而发生的人员支出和公用支出。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28.项目支出：指在基本支出之外为完成特定行政任务和事业发展目标所发生的支出。 </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29.经营支出：指事业单位在专业业务活动及其辅助活动之外开展非独立核算经营活动发生的支出。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30.</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31.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32.……</w:t>
      </w:r>
    </w:p>
    <w:p>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（注：名词解释部分请根据各部门实际列支情况罗列，并根据本部门职责职能增减名词解释内容）</w:t>
      </w:r>
    </w:p>
    <w:p>
      <w:pPr>
        <w:spacing w:line="600" w:lineRule="exact"/>
        <w:jc w:val="center"/>
        <w:rPr>
          <w:rStyle w:val="30"/>
          <w:rFonts w:hint="eastAsia" w:ascii="Times New Roman" w:hAnsi="Times New Roman" w:eastAsia="黑体"/>
          <w:b w:val="0"/>
          <w:color w:val="auto"/>
          <w:highlight w:val="none"/>
          <w:lang w:eastAsia="zh-CN"/>
        </w:rPr>
      </w:pPr>
      <w:bookmarkStart w:id="49"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50"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50"/>
    </w:p>
    <w:p>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方正小标宋简体"/>
          <w:color w:val="auto"/>
          <w:sz w:val="44"/>
          <w:szCs w:val="44"/>
          <w:highlight w:val="none"/>
          <w:lang w:val="en-US" w:eastAsia="zh-CN"/>
        </w:rPr>
      </w:pPr>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pPr>
        <w:keepNext w:val="0"/>
        <w:keepLines w:val="0"/>
        <w:pageBreakBefore w:val="0"/>
        <w:widowControl/>
        <w:kinsoku/>
        <w:wordWrap/>
        <w:overflowPunct/>
        <w:topLinePunct w:val="0"/>
        <w:autoSpaceDE/>
        <w:autoSpaceDN/>
        <w:bidi w:val="0"/>
        <w:adjustRightInd/>
        <w:snapToGrid/>
        <w:spacing w:line="700" w:lineRule="exact"/>
        <w:contextualSpacing/>
        <w:jc w:val="center"/>
        <w:textAlignment w:val="auto"/>
        <w:rPr>
          <w:rFonts w:hint="default" w:ascii="Times New Roman" w:hAnsi="Times New Roman" w:eastAsia="方正小标宋_GBK" w:cs="Times New Roman"/>
          <w:b w:val="0"/>
          <w:bCs/>
          <w:sz w:val="44"/>
          <w:szCs w:val="44"/>
          <w:shd w:val="clear" w:color="auto" w:fill="FFFFFF"/>
          <w:lang w:eastAsia="zh-CN"/>
        </w:rPr>
      </w:pPr>
      <w:r>
        <w:rPr>
          <w:rFonts w:hint="default" w:ascii="Times New Roman" w:hAnsi="Times New Roman" w:eastAsia="方正小标宋_GBK" w:cs="Times New Roman"/>
          <w:b w:val="0"/>
          <w:bCs/>
          <w:sz w:val="44"/>
          <w:szCs w:val="44"/>
          <w:shd w:val="clear" w:color="auto" w:fill="FFFFFF"/>
          <w:lang w:eastAsia="zh-CN"/>
        </w:rPr>
        <w:t>壤塘县</w:t>
      </w:r>
      <w:r>
        <w:rPr>
          <w:rFonts w:hint="eastAsia" w:ascii="Times New Roman" w:hAnsi="Times New Roman" w:eastAsia="方正小标宋_GBK" w:cs="Times New Roman"/>
          <w:b w:val="0"/>
          <w:bCs/>
          <w:sz w:val="44"/>
          <w:szCs w:val="44"/>
          <w:shd w:val="clear" w:color="auto" w:fill="FFFFFF"/>
          <w:lang w:val="en-US" w:eastAsia="zh-CN"/>
        </w:rPr>
        <w:t>统计</w:t>
      </w:r>
      <w:r>
        <w:rPr>
          <w:rFonts w:hint="default" w:ascii="Times New Roman" w:hAnsi="Times New Roman" w:eastAsia="方正小标宋_GBK" w:cs="Times New Roman"/>
          <w:b w:val="0"/>
          <w:bCs/>
          <w:sz w:val="44"/>
          <w:szCs w:val="44"/>
          <w:shd w:val="clear" w:color="auto" w:fill="FFFFFF"/>
          <w:lang w:val="en-US" w:eastAsia="zh-CN"/>
        </w:rPr>
        <w:t>局</w:t>
      </w:r>
      <w:r>
        <w:rPr>
          <w:rFonts w:hint="default" w:ascii="Times New Roman" w:hAnsi="Times New Roman" w:eastAsia="方正小标宋_GBK" w:cs="Times New Roman"/>
          <w:b w:val="0"/>
          <w:bCs/>
          <w:sz w:val="44"/>
          <w:szCs w:val="44"/>
          <w:shd w:val="clear" w:color="auto" w:fill="FFFFFF"/>
        </w:rPr>
        <w:t>2</w:t>
      </w:r>
      <w:r>
        <w:rPr>
          <w:rFonts w:hint="default" w:ascii="Times New Roman" w:hAnsi="Times New Roman" w:eastAsia="方正小标宋_GBK" w:cs="Times New Roman"/>
          <w:b w:val="0"/>
          <w:bCs/>
          <w:sz w:val="44"/>
          <w:szCs w:val="44"/>
          <w:shd w:val="clear" w:color="auto" w:fill="FFFFFF"/>
          <w:lang w:val="en-US" w:eastAsia="zh-CN"/>
        </w:rPr>
        <w:t>02</w:t>
      </w:r>
      <w:r>
        <w:rPr>
          <w:rFonts w:hint="eastAsia" w:ascii="Times New Roman" w:hAnsi="Times New Roman" w:eastAsia="方正小标宋_GBK" w:cs="Times New Roman"/>
          <w:b w:val="0"/>
          <w:bCs/>
          <w:sz w:val="44"/>
          <w:szCs w:val="44"/>
          <w:shd w:val="clear" w:color="auto" w:fill="FFFFFF"/>
          <w:lang w:val="en-US" w:eastAsia="zh-CN"/>
        </w:rPr>
        <w:t>5</w:t>
      </w:r>
      <w:r>
        <w:rPr>
          <w:rFonts w:hint="default" w:ascii="Times New Roman" w:hAnsi="Times New Roman" w:eastAsia="方正小标宋_GBK" w:cs="Times New Roman"/>
          <w:b w:val="0"/>
          <w:bCs/>
          <w:sz w:val="44"/>
          <w:szCs w:val="44"/>
          <w:shd w:val="clear" w:color="auto" w:fill="FFFFFF"/>
        </w:rPr>
        <w:t>年</w:t>
      </w:r>
      <w:r>
        <w:rPr>
          <w:rFonts w:hint="default" w:ascii="Times New Roman" w:hAnsi="Times New Roman" w:eastAsia="方正小标宋_GBK" w:cs="Times New Roman"/>
          <w:b w:val="0"/>
          <w:bCs/>
          <w:sz w:val="44"/>
          <w:szCs w:val="44"/>
          <w:shd w:val="clear" w:color="auto" w:fill="FFFFFF"/>
          <w:lang w:eastAsia="zh-CN"/>
        </w:rPr>
        <w:t>度</w:t>
      </w:r>
    </w:p>
    <w:p>
      <w:pPr>
        <w:keepNext w:val="0"/>
        <w:keepLines w:val="0"/>
        <w:pageBreakBefore w:val="0"/>
        <w:widowControl/>
        <w:kinsoku/>
        <w:wordWrap/>
        <w:overflowPunct/>
        <w:topLinePunct w:val="0"/>
        <w:autoSpaceDE/>
        <w:autoSpaceDN/>
        <w:bidi w:val="0"/>
        <w:adjustRightInd/>
        <w:snapToGrid/>
        <w:spacing w:line="700" w:lineRule="exact"/>
        <w:contextualSpacing/>
        <w:jc w:val="center"/>
        <w:textAlignment w:val="auto"/>
        <w:rPr>
          <w:rFonts w:hint="default" w:ascii="Times New Roman" w:hAnsi="Times New Roman" w:eastAsia="方正小标宋_GBK" w:cs="Times New Roman"/>
          <w:b w:val="0"/>
          <w:bCs/>
          <w:sz w:val="44"/>
          <w:szCs w:val="44"/>
          <w:shd w:val="clear" w:color="auto" w:fill="FFFFFF"/>
        </w:rPr>
      </w:pPr>
      <w:r>
        <w:rPr>
          <w:rFonts w:hint="default" w:ascii="Times New Roman" w:hAnsi="Times New Roman" w:eastAsia="方正小标宋_GBK" w:cs="Times New Roman"/>
          <w:b w:val="0"/>
          <w:bCs/>
          <w:sz w:val="44"/>
          <w:szCs w:val="44"/>
          <w:shd w:val="clear" w:color="auto" w:fill="FFFFFF"/>
        </w:rPr>
        <w:t>部门整体支出绩效评价</w:t>
      </w:r>
      <w:r>
        <w:rPr>
          <w:rFonts w:hint="default" w:ascii="Times New Roman" w:hAnsi="Times New Roman" w:eastAsia="方正小标宋_GBK" w:cs="Times New Roman"/>
          <w:b w:val="0"/>
          <w:bCs/>
          <w:sz w:val="44"/>
          <w:szCs w:val="44"/>
          <w:shd w:val="clear" w:color="auto" w:fill="FFFFFF"/>
          <w:lang w:eastAsia="zh-CN"/>
        </w:rPr>
        <w:t>自评</w:t>
      </w:r>
      <w:r>
        <w:rPr>
          <w:rFonts w:hint="default" w:ascii="Times New Roman" w:hAnsi="Times New Roman" w:eastAsia="方正小标宋_GBK" w:cs="Times New Roman"/>
          <w:b w:val="0"/>
          <w:bCs/>
          <w:sz w:val="44"/>
          <w:szCs w:val="44"/>
          <w:shd w:val="clear" w:color="auto" w:fill="FFFFFF"/>
        </w:rPr>
        <w:t>报告</w:t>
      </w:r>
    </w:p>
    <w:p>
      <w:pPr>
        <w:keepNext w:val="0"/>
        <w:keepLines w:val="0"/>
        <w:pageBreakBefore w:val="0"/>
        <w:widowControl/>
        <w:kinsoku/>
        <w:wordWrap/>
        <w:overflowPunct/>
        <w:topLinePunct w:val="0"/>
        <w:autoSpaceDE/>
        <w:autoSpaceDN/>
        <w:bidi w:val="0"/>
        <w:adjustRightInd w:val="0"/>
        <w:snapToGrid w:val="0"/>
        <w:spacing w:line="578" w:lineRule="exact"/>
        <w:ind w:firstLine="480" w:firstLineChars="200"/>
        <w:contextualSpacing/>
        <w:jc w:val="left"/>
        <w:textAlignment w:val="auto"/>
        <w:outlineLvl w:val="9"/>
        <w:rPr>
          <w:rFonts w:hint="default" w:ascii="Times New Roman" w:hAnsi="Times New Roman" w:eastAsia="黑体" w:cs="Times New Roman"/>
          <w:color w:val="000000"/>
          <w:kern w:val="0"/>
          <w:sz w:val="24"/>
          <w:szCs w:val="32"/>
          <w:highlight w:val="none"/>
          <w:shd w:val="clear" w:color="auto" w:fill="FFFFFF"/>
        </w:rPr>
      </w:pPr>
    </w:p>
    <w:p>
      <w:pPr>
        <w:keepNext w:val="0"/>
        <w:keepLines w:val="0"/>
        <w:pageBreakBefore w:val="0"/>
        <w:widowControl/>
        <w:numPr>
          <w:ilvl w:val="0"/>
          <w:numId w:val="2"/>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default" w:ascii="Times New Roman" w:hAnsi="Times New Roman" w:eastAsia="黑体" w:cs="Times New Roman"/>
          <w:color w:val="000000"/>
          <w:kern w:val="0"/>
          <w:sz w:val="32"/>
          <w:szCs w:val="32"/>
          <w:highlight w:val="none"/>
          <w:shd w:val="clear" w:color="auto" w:fill="FFFFFF"/>
          <w:lang w:val="zh-CN"/>
        </w:rPr>
        <w:t>部门（单位）基本情况</w:t>
      </w:r>
    </w:p>
    <w:p>
      <w:pPr>
        <w:keepNext w:val="0"/>
        <w:keepLines w:val="0"/>
        <w:pageBreakBefore w:val="0"/>
        <w:kinsoku/>
        <w:wordWrap/>
        <w:overflowPunct/>
        <w:topLinePunct w:val="0"/>
        <w:autoSpaceDE/>
        <w:autoSpaceDN/>
        <w:bidi w:val="0"/>
        <w:spacing w:line="560" w:lineRule="exact"/>
        <w:ind w:firstLine="640" w:firstLineChars="200"/>
        <w:jc w:val="both"/>
        <w:rPr>
          <w:rFonts w:hint="default" w:ascii="Times New Roman" w:hAnsi="Times New Roman" w:eastAsia="仿宋_GB2312" w:cs="Times New Roman"/>
          <w:sz w:val="32"/>
          <w:szCs w:val="32"/>
          <w:highlight w:val="none"/>
          <w:lang w:val="zh-CN" w:eastAsia="zh-CN"/>
        </w:rPr>
      </w:pPr>
      <w:r>
        <w:rPr>
          <w:rFonts w:hint="default" w:ascii="Times New Roman" w:hAnsi="Times New Roman" w:eastAsia="仿宋_GB2312" w:cs="Times New Roman"/>
          <w:sz w:val="32"/>
          <w:szCs w:val="32"/>
          <w:highlight w:val="none"/>
          <w:lang w:val="en-US" w:eastAsia="zh-CN"/>
        </w:rPr>
        <w:t>壤塘县</w:t>
      </w:r>
      <w:r>
        <w:rPr>
          <w:rFonts w:hint="eastAsia" w:ascii="Times New Roman" w:hAnsi="Times New Roman" w:eastAsia="仿宋_GB2312" w:cs="Times New Roman"/>
          <w:sz w:val="32"/>
          <w:szCs w:val="32"/>
          <w:highlight w:val="none"/>
          <w:lang w:val="en-US" w:eastAsia="zh-CN"/>
        </w:rPr>
        <w:t>统计</w:t>
      </w:r>
      <w:r>
        <w:rPr>
          <w:rFonts w:hint="default" w:ascii="Times New Roman" w:hAnsi="Times New Roman" w:eastAsia="仿宋_GB2312" w:cs="Times New Roman"/>
          <w:sz w:val="32"/>
          <w:szCs w:val="32"/>
          <w:highlight w:val="none"/>
          <w:lang w:val="en-US" w:eastAsia="zh-CN"/>
        </w:rPr>
        <w:t>局机构性质：机关，机构地址：四川省壤塘县</w:t>
      </w:r>
      <w:r>
        <w:rPr>
          <w:rFonts w:hint="eastAsia" w:ascii="Times New Roman" w:hAnsi="Times New Roman" w:eastAsia="仿宋_GB2312" w:cs="Times New Roman"/>
          <w:sz w:val="32"/>
          <w:szCs w:val="32"/>
          <w:highlight w:val="none"/>
          <w:lang w:val="en-US" w:eastAsia="zh-CN"/>
        </w:rPr>
        <w:t>岗木达</w:t>
      </w:r>
      <w:r>
        <w:rPr>
          <w:rFonts w:hint="default" w:ascii="Times New Roman" w:hAnsi="Times New Roman" w:eastAsia="仿宋_GB2312" w:cs="Times New Roman"/>
          <w:sz w:val="32"/>
          <w:szCs w:val="32"/>
          <w:highlight w:val="none"/>
          <w:lang w:val="en-US" w:eastAsia="zh-CN"/>
        </w:rPr>
        <w:t>镇罗吾塘中街</w:t>
      </w:r>
      <w:r>
        <w:rPr>
          <w:rFonts w:hint="eastAsia" w:ascii="Times New Roman" w:hAnsi="Times New Roman" w:eastAsia="仿宋_GB2312" w:cs="Times New Roman"/>
          <w:sz w:val="32"/>
          <w:szCs w:val="32"/>
          <w:highlight w:val="none"/>
          <w:lang w:val="en-US" w:eastAsia="zh-CN"/>
        </w:rPr>
        <w:t>30</w:t>
      </w:r>
      <w:r>
        <w:rPr>
          <w:rFonts w:hint="default" w:ascii="Times New Roman" w:hAnsi="Times New Roman" w:eastAsia="仿宋_GB2312" w:cs="Times New Roman"/>
          <w:sz w:val="32"/>
          <w:szCs w:val="32"/>
          <w:highlight w:val="none"/>
          <w:lang w:val="en-US" w:eastAsia="zh-CN"/>
        </w:rPr>
        <w:t>号</w:t>
      </w:r>
      <w:r>
        <w:rPr>
          <w:rFonts w:hint="eastAsia" w:ascii="Times New Roman" w:hAnsi="Times New Roman" w:eastAsia="仿宋_GB2312" w:cs="Times New Roman"/>
          <w:sz w:val="32"/>
          <w:szCs w:val="32"/>
          <w:highlight w:val="none"/>
          <w:lang w:val="en-US" w:eastAsia="zh-CN"/>
        </w:rPr>
        <w:t>附一号四楼</w:t>
      </w:r>
      <w:r>
        <w:rPr>
          <w:rFonts w:hint="default" w:ascii="Times New Roman" w:hAnsi="Times New Roman" w:eastAsia="仿宋_GB2312" w:cs="Times New Roman"/>
          <w:sz w:val="32"/>
          <w:szCs w:val="32"/>
          <w:highlight w:val="none"/>
          <w:lang w:val="en-US" w:eastAsia="zh-CN"/>
        </w:rPr>
        <w:t>，单位负责人：</w:t>
      </w:r>
      <w:r>
        <w:rPr>
          <w:rFonts w:hint="eastAsia" w:ascii="Times New Roman" w:hAnsi="Times New Roman" w:eastAsia="仿宋_GB2312" w:cs="Times New Roman"/>
          <w:sz w:val="32"/>
          <w:szCs w:val="32"/>
          <w:highlight w:val="none"/>
          <w:lang w:val="en-US" w:eastAsia="zh-CN"/>
        </w:rPr>
        <w:t>王娜</w:t>
      </w:r>
      <w:r>
        <w:rPr>
          <w:rFonts w:hint="default" w:ascii="Times New Roman" w:hAnsi="Times New Roman" w:eastAsia="仿宋_GB2312" w:cs="Times New Roman"/>
          <w:sz w:val="32"/>
          <w:szCs w:val="32"/>
          <w:highlight w:val="none"/>
          <w:lang w:val="en-US" w:eastAsia="zh-CN"/>
        </w:rPr>
        <w:t>。</w:t>
      </w:r>
    </w:p>
    <w:p>
      <w:pPr>
        <w:keepNext w:val="0"/>
        <w:keepLines w:val="0"/>
        <w:pageBreakBefore w:val="0"/>
        <w:kinsoku/>
        <w:wordWrap/>
        <w:overflowPunct/>
        <w:topLinePunct w:val="0"/>
        <w:autoSpaceDE/>
        <w:autoSpaceDN/>
        <w:bidi w:val="0"/>
        <w:spacing w:line="560" w:lineRule="exact"/>
        <w:ind w:firstLine="642" w:firstLineChars="200"/>
        <w:jc w:val="both"/>
        <w:rPr>
          <w:rFonts w:hint="default" w:ascii="Times New Roman" w:hAnsi="Times New Roman" w:cs="Times New Roman"/>
          <w:szCs w:val="32"/>
        </w:rPr>
      </w:pPr>
      <w:r>
        <w:rPr>
          <w:rFonts w:hint="eastAsia" w:ascii="Times New Roman" w:hAnsi="Times New Roman" w:eastAsia="楷体_GB2312" w:cs="楷体_GB2312"/>
          <w:b/>
          <w:color w:val="auto"/>
          <w:sz w:val="32"/>
          <w:szCs w:val="32"/>
          <w:highlight w:val="none"/>
          <w:lang w:val="zh-CN"/>
        </w:rPr>
        <w:t>（一）</w:t>
      </w:r>
      <w:r>
        <w:rPr>
          <w:rFonts w:hint="default" w:ascii="Times New Roman" w:hAnsi="Times New Roman" w:eastAsia="楷体_GB2312" w:cs="楷体_GB2312"/>
          <w:b/>
          <w:color w:val="auto"/>
          <w:sz w:val="32"/>
          <w:szCs w:val="32"/>
          <w:highlight w:val="none"/>
          <w:lang w:val="zh-CN"/>
        </w:rPr>
        <w:t>机构组成。</w:t>
      </w:r>
      <w:r>
        <w:rPr>
          <w:rFonts w:hint="eastAsia" w:ascii="Times New Roman" w:hAnsi="Times New Roman" w:eastAsia="仿宋_GB2312" w:cs="Times New Roman"/>
          <w:sz w:val="32"/>
          <w:szCs w:val="32"/>
          <w:highlight w:val="none"/>
          <w:lang w:val="en-US" w:eastAsia="zh-CN"/>
        </w:rPr>
        <w:t>壤塘县统计局下属行政股室2个，事业股室2个（普查中心、执法中队）</w:t>
      </w:r>
      <w:r>
        <w:rPr>
          <w:rFonts w:hint="default" w:ascii="Times New Roman" w:hAnsi="Times New Roman" w:eastAsia="仿宋_GB2312" w:cs="Times New Roman"/>
          <w:sz w:val="32"/>
          <w:szCs w:val="32"/>
          <w:highlight w:val="none"/>
          <w:lang w:val="en-US" w:eastAsia="zh-CN"/>
        </w:rPr>
        <w:t>。行政编制</w:t>
      </w:r>
      <w:r>
        <w:rPr>
          <w:rFonts w:hint="eastAsia" w:ascii="Times New Roman" w:hAnsi="Times New Roman" w:eastAsia="仿宋_GB2312" w:cs="Times New Roman"/>
          <w:sz w:val="32"/>
          <w:szCs w:val="32"/>
          <w:highlight w:val="none"/>
          <w:lang w:val="en-US" w:eastAsia="zh-CN"/>
        </w:rPr>
        <w:t>5</w:t>
      </w:r>
      <w:r>
        <w:rPr>
          <w:rFonts w:hint="default" w:ascii="Times New Roman" w:hAnsi="Times New Roman" w:eastAsia="仿宋_GB2312" w:cs="Times New Roman"/>
          <w:sz w:val="32"/>
          <w:szCs w:val="32"/>
          <w:highlight w:val="none"/>
          <w:lang w:val="en-US" w:eastAsia="zh-CN"/>
        </w:rPr>
        <w:t>个，行政工勤编制1个，参公编制</w:t>
      </w:r>
      <w:r>
        <w:rPr>
          <w:rFonts w:hint="eastAsia" w:ascii="Times New Roman" w:hAnsi="Times New Roman" w:eastAsia="仿宋_GB2312" w:cs="Times New Roman"/>
          <w:sz w:val="32"/>
          <w:szCs w:val="32"/>
          <w:highlight w:val="none"/>
          <w:lang w:val="en-US" w:eastAsia="zh-CN"/>
        </w:rPr>
        <w:t>6</w:t>
      </w:r>
      <w:r>
        <w:rPr>
          <w:rFonts w:hint="default" w:ascii="Times New Roman" w:hAnsi="Times New Roman" w:eastAsia="仿宋_GB2312" w:cs="Times New Roman"/>
          <w:sz w:val="32"/>
          <w:szCs w:val="32"/>
          <w:highlight w:val="none"/>
          <w:lang w:val="en-US" w:eastAsia="zh-CN"/>
        </w:rPr>
        <w:t>个，事业编制</w:t>
      </w:r>
      <w:r>
        <w:rPr>
          <w:rFonts w:hint="eastAsia" w:ascii="Times New Roman" w:hAnsi="Times New Roman" w:eastAsia="仿宋_GB2312" w:cs="Times New Roman"/>
          <w:sz w:val="32"/>
          <w:szCs w:val="32"/>
          <w:highlight w:val="none"/>
          <w:lang w:val="en-US" w:eastAsia="zh-CN"/>
        </w:rPr>
        <w:t>4</w:t>
      </w:r>
      <w:r>
        <w:rPr>
          <w:rFonts w:hint="default" w:ascii="Times New Roman" w:hAnsi="Times New Roman" w:eastAsia="仿宋_GB2312" w:cs="Times New Roman"/>
          <w:sz w:val="32"/>
          <w:szCs w:val="32"/>
          <w:highlight w:val="none"/>
          <w:lang w:val="en-US" w:eastAsia="zh-CN"/>
        </w:rPr>
        <w:t>个。</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2" w:firstLineChars="200"/>
        <w:contextualSpacing/>
        <w:jc w:val="left"/>
        <w:textAlignment w:val="auto"/>
        <w:outlineLvl w:val="9"/>
        <w:rPr>
          <w:rFonts w:hint="eastAsia" w:ascii="Times New Roman" w:hAnsi="Times New Roman" w:eastAsia="仿宋_GB2312" w:cs="Times New Roman"/>
          <w:sz w:val="32"/>
          <w:szCs w:val="32"/>
          <w:highlight w:val="none"/>
          <w:lang w:val="en-US" w:eastAsia="zh-CN"/>
        </w:rPr>
      </w:pPr>
      <w:r>
        <w:rPr>
          <w:rFonts w:hint="default" w:ascii="Times New Roman" w:hAnsi="Times New Roman" w:eastAsia="楷体_GB2312" w:cs="楷体_GB2312"/>
          <w:b/>
          <w:color w:val="auto"/>
          <w:sz w:val="32"/>
          <w:szCs w:val="32"/>
          <w:highlight w:val="none"/>
          <w:lang w:val="zh-CN"/>
        </w:rPr>
        <w:t>（二）机构职能</w:t>
      </w:r>
      <w:r>
        <w:rPr>
          <w:rFonts w:hint="eastAsia" w:ascii="Times New Roman" w:hAnsi="Times New Roman" w:eastAsia="楷体_GB2312" w:cs="楷体_GB2312"/>
          <w:b/>
          <w:color w:val="auto"/>
          <w:sz w:val="32"/>
          <w:szCs w:val="32"/>
          <w:highlight w:val="none"/>
          <w:lang w:val="zh-CN"/>
        </w:rPr>
        <w:t>。</w:t>
      </w:r>
      <w:r>
        <w:rPr>
          <w:rFonts w:hint="eastAsia" w:ascii="Times New Roman" w:hAnsi="Times New Roman" w:eastAsia="仿宋_GB2312" w:cs="Times New Roman"/>
          <w:sz w:val="32"/>
          <w:szCs w:val="32"/>
          <w:highlight w:val="none"/>
          <w:lang w:val="en-US" w:eastAsia="zh-CN"/>
        </w:rPr>
        <w:t>壤塘县统计局。</w:t>
      </w:r>
    </w:p>
    <w:p>
      <w:pPr>
        <w:spacing w:line="360" w:lineRule="auto"/>
        <w:ind w:firstLine="640" w:firstLineChars="200"/>
        <w:rPr>
          <w:rFonts w:hint="eastAsia" w:ascii="仿宋" w:hAnsi="仿宋" w:eastAsia="仿宋"/>
          <w:sz w:val="32"/>
          <w:szCs w:val="32"/>
        </w:rPr>
      </w:pPr>
      <w:r>
        <w:rPr>
          <w:rFonts w:hint="eastAsia" w:ascii="仿宋" w:hAnsi="仿宋" w:eastAsia="仿宋"/>
          <w:sz w:val="32"/>
          <w:szCs w:val="32"/>
          <w:lang w:val="en-US" w:eastAsia="zh-CN"/>
        </w:rPr>
        <w:t>1.</w:t>
      </w:r>
      <w:r>
        <w:rPr>
          <w:rFonts w:hint="eastAsia" w:ascii="仿宋" w:hAnsi="仿宋" w:eastAsia="仿宋"/>
          <w:sz w:val="32"/>
          <w:szCs w:val="32"/>
        </w:rPr>
        <w:t>贯彻执行国家统计工作的方针、政策和法律、法规以及统计制度、统计标准,承担组织领导和协调全县统计工作,确保统计数据真实、准确、及时的责任。</w:t>
      </w:r>
    </w:p>
    <w:p>
      <w:pPr>
        <w:spacing w:line="360" w:lineRule="auto"/>
        <w:ind w:firstLine="640" w:firstLineChars="200"/>
        <w:rPr>
          <w:rFonts w:hint="eastAsia" w:ascii="仿宋" w:hAnsi="仿宋" w:eastAsia="仿宋"/>
          <w:sz w:val="32"/>
          <w:szCs w:val="32"/>
        </w:rPr>
      </w:pPr>
      <w:r>
        <w:rPr>
          <w:rFonts w:hint="eastAsia" w:ascii="仿宋" w:hAnsi="仿宋" w:eastAsia="仿宋"/>
          <w:sz w:val="32"/>
          <w:szCs w:val="32"/>
          <w:lang w:val="en-US" w:eastAsia="zh-CN"/>
        </w:rPr>
        <w:t>2.</w:t>
      </w:r>
      <w:r>
        <w:rPr>
          <w:rFonts w:hint="eastAsia" w:ascii="仿宋" w:hAnsi="仿宋" w:eastAsia="仿宋"/>
          <w:sz w:val="32"/>
          <w:szCs w:val="32"/>
        </w:rPr>
        <w:t>组织实施全县国民经济核算制度,核算全县地区生产总值,整理提供国民经济核算资料,开展分析研究。</w:t>
      </w:r>
    </w:p>
    <w:p>
      <w:pPr>
        <w:spacing w:line="360" w:lineRule="auto"/>
        <w:ind w:firstLine="640" w:firstLineChars="200"/>
        <w:rPr>
          <w:rFonts w:hint="eastAsia" w:ascii="仿宋" w:hAnsi="仿宋" w:eastAsia="仿宋"/>
          <w:sz w:val="32"/>
          <w:szCs w:val="32"/>
        </w:rPr>
      </w:pPr>
      <w:r>
        <w:rPr>
          <w:rFonts w:hint="eastAsia" w:ascii="仿宋" w:hAnsi="仿宋" w:eastAsia="仿宋"/>
          <w:sz w:val="32"/>
          <w:szCs w:val="32"/>
          <w:lang w:val="en-US" w:eastAsia="zh-CN"/>
        </w:rPr>
        <w:t>3.</w:t>
      </w:r>
      <w:r>
        <w:rPr>
          <w:rFonts w:hint="eastAsia" w:ascii="仿宋" w:hAnsi="仿宋" w:eastAsia="仿宋"/>
          <w:sz w:val="32"/>
          <w:szCs w:val="32"/>
        </w:rPr>
        <w:t>在县政府统一领导下,会同有关部门组织实施重大的国情国力普查;负责组织协调各乡镇、各部门的统计调查、社会经济调查、社会监测;审查和审批各乡镇、各部门统计调查计划、调查方案;组织全县统计报表的管理工作。</w:t>
      </w:r>
    </w:p>
    <w:p>
      <w:pPr>
        <w:spacing w:line="360" w:lineRule="auto"/>
        <w:ind w:firstLine="640" w:firstLineChars="200"/>
        <w:rPr>
          <w:rFonts w:hint="eastAsia" w:ascii="仿宋" w:hAnsi="仿宋" w:eastAsia="仿宋"/>
          <w:sz w:val="32"/>
          <w:szCs w:val="32"/>
        </w:rPr>
      </w:pPr>
      <w:r>
        <w:rPr>
          <w:rFonts w:hint="eastAsia" w:ascii="仿宋" w:hAnsi="仿宋" w:eastAsia="仿宋"/>
          <w:sz w:val="32"/>
          <w:szCs w:val="32"/>
          <w:lang w:val="en-US" w:eastAsia="zh-CN"/>
        </w:rPr>
        <w:t>4.</w:t>
      </w:r>
      <w:r>
        <w:rPr>
          <w:rFonts w:hint="eastAsia" w:ascii="仿宋" w:hAnsi="仿宋" w:eastAsia="仿宋"/>
          <w:sz w:val="32"/>
          <w:szCs w:val="32"/>
        </w:rPr>
        <w:t>组织实施农林牧渔业、工业、建筑业、批发和零售业、住宿和餐饮业等国民经济行业以及能源、投资、人口、收入、科技社会发展基本情况、环境基本状况等领域的统计调查,建立</w:t>
      </w:r>
      <w:r>
        <w:rPr>
          <w:rFonts w:hint="eastAsia" w:ascii="仿宋" w:hAnsi="仿宋" w:eastAsia="仿宋"/>
          <w:sz w:val="32"/>
          <w:szCs w:val="32"/>
          <w:lang w:eastAsia="zh-CN"/>
        </w:rPr>
        <w:t>健全</w:t>
      </w:r>
      <w:r>
        <w:rPr>
          <w:rFonts w:hint="eastAsia" w:ascii="仿宋" w:hAnsi="仿宋" w:eastAsia="仿宋"/>
          <w:sz w:val="32"/>
          <w:szCs w:val="32"/>
        </w:rPr>
        <w:t>全县经济社会发展监测评价制度及指标体系,对重点区域和重要领域实施监测评价,牵头综合整理和提供全县基本统计资料。</w:t>
      </w:r>
    </w:p>
    <w:p>
      <w:pPr>
        <w:spacing w:line="360" w:lineRule="auto"/>
        <w:ind w:firstLine="640" w:firstLineChars="200"/>
        <w:rPr>
          <w:rFonts w:hint="eastAsia" w:ascii="仿宋" w:hAnsi="仿宋" w:eastAsia="仿宋"/>
          <w:sz w:val="32"/>
          <w:szCs w:val="32"/>
        </w:rPr>
      </w:pPr>
      <w:r>
        <w:rPr>
          <w:rFonts w:hint="eastAsia" w:ascii="仿宋" w:hAnsi="仿宋" w:eastAsia="仿宋"/>
          <w:sz w:val="32"/>
          <w:szCs w:val="32"/>
          <w:lang w:val="en-US" w:eastAsia="zh-CN"/>
        </w:rPr>
        <w:t>5.</w:t>
      </w:r>
      <w:r>
        <w:rPr>
          <w:rFonts w:hint="eastAsia" w:ascii="仿宋" w:hAnsi="仿宋" w:eastAsia="仿宋"/>
          <w:sz w:val="32"/>
          <w:szCs w:val="32"/>
        </w:rPr>
        <w:t>建立健全全县统计数据质量审核、监控和评估制度,依法对全县各单位、各部门重要统计数据进行审核、监控和评估,组织指导统计基层基础建设。</w:t>
      </w:r>
    </w:p>
    <w:p>
      <w:pPr>
        <w:spacing w:line="360" w:lineRule="auto"/>
        <w:ind w:firstLine="640" w:firstLineChars="200"/>
        <w:rPr>
          <w:rFonts w:hint="eastAsia" w:ascii="仿宋" w:hAnsi="仿宋" w:eastAsia="仿宋"/>
          <w:sz w:val="32"/>
          <w:szCs w:val="32"/>
        </w:rPr>
      </w:pPr>
      <w:r>
        <w:rPr>
          <w:rFonts w:hint="eastAsia" w:ascii="仿宋" w:hAnsi="仿宋" w:eastAsia="仿宋"/>
          <w:sz w:val="32"/>
          <w:szCs w:val="32"/>
          <w:lang w:val="en-US" w:eastAsia="zh-CN"/>
        </w:rPr>
        <w:t>6.</w:t>
      </w:r>
      <w:r>
        <w:rPr>
          <w:rFonts w:hint="eastAsia" w:ascii="仿宋" w:hAnsi="仿宋" w:eastAsia="仿宋"/>
          <w:sz w:val="32"/>
          <w:szCs w:val="32"/>
        </w:rPr>
        <w:t>对国民经济、社会发展、科技进步和资源环境等情况进行统计分析和预测,定期发布全县经济社会发展情况的统计信息,向县委、县政府及有关部门提供统计咨询建议,向社会公众提供统计信息服务。</w:t>
      </w:r>
    </w:p>
    <w:p>
      <w:pPr>
        <w:spacing w:line="360" w:lineRule="auto"/>
        <w:ind w:firstLine="640" w:firstLineChars="200"/>
        <w:rPr>
          <w:rFonts w:hint="eastAsia" w:ascii="仿宋" w:hAnsi="仿宋" w:eastAsia="仿宋"/>
          <w:sz w:val="32"/>
          <w:szCs w:val="32"/>
        </w:rPr>
      </w:pPr>
      <w:r>
        <w:rPr>
          <w:rFonts w:hint="eastAsia" w:ascii="仿宋" w:hAnsi="仿宋" w:eastAsia="仿宋"/>
          <w:sz w:val="32"/>
          <w:szCs w:val="32"/>
          <w:lang w:val="en-US" w:eastAsia="zh-CN"/>
        </w:rPr>
        <w:t>7.</w:t>
      </w:r>
      <w:r>
        <w:rPr>
          <w:rFonts w:hint="eastAsia" w:ascii="仿宋" w:hAnsi="仿宋" w:eastAsia="仿宋"/>
          <w:sz w:val="32"/>
          <w:szCs w:val="32"/>
        </w:rPr>
        <w:t>建立健全全县统计数据库系统和统计信息自动化系统建立健</w:t>
      </w:r>
      <w:r>
        <w:rPr>
          <w:rFonts w:hint="eastAsia" w:ascii="仿宋" w:hAnsi="仿宋" w:eastAsia="仿宋"/>
          <w:sz w:val="32"/>
          <w:szCs w:val="32"/>
          <w:lang w:eastAsia="zh-CN"/>
        </w:rPr>
        <w:t>全</w:t>
      </w:r>
      <w:r>
        <w:rPr>
          <w:rFonts w:hint="eastAsia" w:ascii="仿宋" w:hAnsi="仿宋" w:eastAsia="仿宋"/>
          <w:sz w:val="32"/>
          <w:szCs w:val="32"/>
        </w:rPr>
        <w:t>统计信息共享制度,搞好统计信息化建设。人员概况。</w:t>
      </w:r>
    </w:p>
    <w:p>
      <w:pPr>
        <w:spacing w:line="360" w:lineRule="auto"/>
        <w:ind w:firstLine="640" w:firstLineChars="200"/>
        <w:rPr>
          <w:rFonts w:hint="default" w:ascii="Times New Roman" w:hAnsi="Times New Roman" w:eastAsia="楷体_GB2312" w:cs="Times New Roman"/>
          <w:b/>
          <w:bCs/>
          <w:color w:val="000000"/>
          <w:kern w:val="0"/>
          <w:szCs w:val="32"/>
          <w:highlight w:val="none"/>
          <w:shd w:val="clear" w:color="auto" w:fill="FFFFFF"/>
          <w:lang w:val="zh-CN"/>
        </w:rPr>
      </w:pPr>
      <w:r>
        <w:rPr>
          <w:rFonts w:hint="eastAsia" w:ascii="仿宋" w:hAnsi="仿宋" w:eastAsia="仿宋"/>
          <w:sz w:val="32"/>
          <w:szCs w:val="32"/>
          <w:lang w:val="en-US" w:eastAsia="zh-CN"/>
        </w:rPr>
        <w:t>8.承办县政府交办的其他事项。</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default" w:ascii="Times New Roman" w:hAnsi="Times New Roman" w:cs="Times New Roman"/>
          <w:szCs w:val="32"/>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bCs/>
          <w:color w:val="000000"/>
          <w:kern w:val="0"/>
          <w:sz w:val="32"/>
          <w:szCs w:val="32"/>
          <w:highlight w:val="none"/>
          <w:shd w:val="clear" w:color="auto" w:fill="FFFFFF"/>
          <w:lang w:val="zh-CN"/>
        </w:rPr>
        <w:t>）人员概况</w:t>
      </w:r>
      <w:r>
        <w:rPr>
          <w:rFonts w:hint="eastAsia" w:ascii="Times New Roman" w:hAnsi="Times New Roman" w:eastAsia="楷体_GB2312" w:cs="Times New Roman"/>
          <w:b/>
          <w:bCs/>
          <w:color w:val="000000"/>
          <w:kern w:val="0"/>
          <w:sz w:val="32"/>
          <w:szCs w:val="32"/>
          <w:highlight w:val="none"/>
          <w:shd w:val="clear" w:color="auto" w:fill="FFFFFF"/>
          <w:lang w:val="zh-CN"/>
        </w:rPr>
        <w:t>。</w:t>
      </w:r>
      <w:r>
        <w:rPr>
          <w:rFonts w:hint="default" w:ascii="Times New Roman" w:hAnsi="Times New Roman" w:eastAsia="仿宋_GB2312" w:cs="Times New Roman"/>
          <w:sz w:val="32"/>
          <w:szCs w:val="32"/>
          <w:highlight w:val="none"/>
          <w:lang w:val="en-US" w:eastAsia="zh-CN"/>
        </w:rPr>
        <w:t>截至</w:t>
      </w:r>
      <w:r>
        <w:rPr>
          <w:rFonts w:hint="eastAsia" w:ascii="Times New Roman" w:hAnsi="Times New Roman" w:eastAsia="仿宋_GB2312" w:cs="Times New Roman"/>
          <w:sz w:val="32"/>
          <w:szCs w:val="32"/>
          <w:highlight w:val="none"/>
          <w:lang w:val="en-US" w:eastAsia="zh-CN"/>
        </w:rPr>
        <w:t>202</w:t>
      </w:r>
      <w:r>
        <w:rPr>
          <w:rFonts w:hint="eastAsia" w:eastAsia="仿宋_GB2312" w:cs="Times New Roman"/>
          <w:sz w:val="32"/>
          <w:szCs w:val="32"/>
          <w:highlight w:val="none"/>
          <w:lang w:val="en-US" w:eastAsia="zh-CN"/>
        </w:rPr>
        <w:t>5</w:t>
      </w:r>
      <w:r>
        <w:rPr>
          <w:rFonts w:hint="default" w:ascii="Times New Roman" w:hAnsi="Times New Roman" w:eastAsia="仿宋_GB2312" w:cs="Times New Roman"/>
          <w:sz w:val="32"/>
          <w:szCs w:val="32"/>
          <w:highlight w:val="none"/>
          <w:lang w:val="en-US" w:eastAsia="zh-CN"/>
        </w:rPr>
        <w:t>年末，</w:t>
      </w:r>
      <w:r>
        <w:rPr>
          <w:rFonts w:hint="eastAsia" w:ascii="Times New Roman" w:hAnsi="Times New Roman" w:eastAsia="仿宋_GB2312" w:cs="Times New Roman"/>
          <w:sz w:val="32"/>
          <w:szCs w:val="32"/>
          <w:highlight w:val="none"/>
          <w:lang w:val="en-US" w:eastAsia="zh-CN"/>
        </w:rPr>
        <w:t>统计局</w:t>
      </w:r>
      <w:r>
        <w:rPr>
          <w:rFonts w:hint="default" w:ascii="Times New Roman" w:hAnsi="Times New Roman" w:eastAsia="仿宋_GB2312" w:cs="Times New Roman"/>
          <w:sz w:val="32"/>
          <w:szCs w:val="32"/>
          <w:highlight w:val="none"/>
          <w:lang w:val="en-US" w:eastAsia="zh-CN"/>
        </w:rPr>
        <w:t>年末实有</w:t>
      </w:r>
      <w:r>
        <w:rPr>
          <w:rFonts w:hint="eastAsia" w:ascii="Times New Roman" w:hAnsi="Times New Roman" w:eastAsia="仿宋_GB2312" w:cs="Times New Roman"/>
          <w:sz w:val="32"/>
          <w:szCs w:val="32"/>
          <w:highlight w:val="none"/>
          <w:lang w:val="en-US" w:eastAsia="zh-CN"/>
        </w:rPr>
        <w:t>在职人数</w:t>
      </w:r>
      <w:r>
        <w:rPr>
          <w:rFonts w:hint="eastAsia" w:eastAsia="仿宋_GB2312" w:cs="Times New Roman"/>
          <w:sz w:val="32"/>
          <w:szCs w:val="32"/>
          <w:highlight w:val="none"/>
          <w:lang w:val="en-US" w:eastAsia="zh-CN"/>
        </w:rPr>
        <w:t>14</w:t>
      </w:r>
      <w:r>
        <w:rPr>
          <w:rFonts w:hint="default" w:ascii="Times New Roman" w:hAnsi="Times New Roman" w:eastAsia="仿宋_GB2312" w:cs="Times New Roman"/>
          <w:sz w:val="32"/>
          <w:szCs w:val="32"/>
          <w:highlight w:val="none"/>
          <w:lang w:val="en-US" w:eastAsia="zh-CN"/>
        </w:rPr>
        <w:t>人</w:t>
      </w:r>
      <w:r>
        <w:rPr>
          <w:rFonts w:hint="eastAsia" w:ascii="Times New Roman" w:hAnsi="Times New Roman" w:eastAsia="仿宋_GB2312" w:cs="Times New Roman"/>
          <w:sz w:val="32"/>
          <w:szCs w:val="32"/>
          <w:highlight w:val="none"/>
          <w:lang w:val="en-US" w:eastAsia="zh-CN"/>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二、部门资金收支情况</w:t>
      </w:r>
    </w:p>
    <w:p>
      <w:pPr>
        <w:keepNext w:val="0"/>
        <w:keepLines w:val="0"/>
        <w:pageBreakBefore w:val="0"/>
        <w:widowControl/>
        <w:kinsoku/>
        <w:wordWrap/>
        <w:overflowPunct/>
        <w:topLinePunct w:val="0"/>
        <w:autoSpaceDE/>
        <w:autoSpaceDN/>
        <w:bidi w:val="0"/>
        <w:adjustRightInd w:val="0"/>
        <w:snapToGrid w:val="0"/>
        <w:spacing w:line="578" w:lineRule="exact"/>
        <w:ind w:firstLine="642" w:firstLineChars="200"/>
        <w:contextualSpacing/>
        <w:jc w:val="left"/>
        <w:textAlignment w:val="auto"/>
        <w:outlineLvl w:val="9"/>
        <w:rPr>
          <w:rFonts w:hint="default" w:ascii="Times New Roman" w:hAnsi="Times New Roman" w:eastAsia="楷体_GB2312" w:cs="Times New Roman"/>
          <w:b/>
          <w:bCs/>
          <w:color w:val="000000"/>
          <w:kern w:val="0"/>
          <w:szCs w:val="32"/>
          <w:highlight w:val="none"/>
          <w:shd w:val="clear" w:color="auto" w:fill="FFFFFF"/>
          <w:lang w:val="en-US"/>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收入情况</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仿宋_GB2312" w:cs="Times New Roman"/>
          <w:sz w:val="32"/>
          <w:szCs w:val="32"/>
          <w:lang w:val="en-US" w:eastAsia="zh-CN"/>
        </w:rPr>
        <w:t>202</w:t>
      </w:r>
      <w:r>
        <w:rPr>
          <w:rFonts w:hint="eastAsia" w:eastAsia="仿宋_GB2312" w:cs="Times New Roman"/>
          <w:sz w:val="32"/>
          <w:szCs w:val="32"/>
          <w:lang w:val="en-US" w:eastAsia="zh-CN"/>
        </w:rPr>
        <w:t>5</w:t>
      </w:r>
      <w:r>
        <w:rPr>
          <w:rFonts w:hint="eastAsia" w:ascii="Times New Roman" w:hAnsi="Times New Roman" w:eastAsia="仿宋_GB2312" w:cs="Times New Roman"/>
          <w:sz w:val="32"/>
          <w:szCs w:val="32"/>
          <w:lang w:val="en-US" w:eastAsia="zh-CN"/>
        </w:rPr>
        <w:t>年年初预算收入</w:t>
      </w:r>
      <w:r>
        <w:rPr>
          <w:rFonts w:hint="eastAsia" w:eastAsia="仿宋_GB2312" w:cs="Times New Roman"/>
          <w:sz w:val="32"/>
          <w:szCs w:val="32"/>
          <w:lang w:val="en-US" w:eastAsia="zh-CN"/>
        </w:rPr>
        <w:t>271.43万元</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highlight w:val="none"/>
          <w:lang w:val="en-US" w:eastAsia="zh-CN"/>
        </w:rPr>
        <w:t>执行期中追加收入</w:t>
      </w:r>
      <w:r>
        <w:rPr>
          <w:rFonts w:hint="eastAsia" w:eastAsia="仿宋_GB2312" w:cs="Times New Roman"/>
          <w:sz w:val="32"/>
          <w:szCs w:val="32"/>
          <w:highlight w:val="none"/>
          <w:lang w:val="en-US" w:eastAsia="zh-CN"/>
        </w:rPr>
        <w:t>231.40</w:t>
      </w:r>
      <w:r>
        <w:rPr>
          <w:rFonts w:hint="default" w:ascii="Times New Roman" w:hAnsi="Times New Roman" w:eastAsia="仿宋_GB2312" w:cs="Times New Roman"/>
          <w:sz w:val="32"/>
          <w:szCs w:val="32"/>
          <w:highlight w:val="none"/>
          <w:lang w:val="en-US" w:eastAsia="zh-CN"/>
        </w:rPr>
        <w:t>万元</w:t>
      </w:r>
      <w:r>
        <w:rPr>
          <w:rFonts w:hint="eastAsia" w:ascii="Times New Roman" w:hAnsi="Times New Roman" w:eastAsia="仿宋_GB2312" w:cs="Times New Roman"/>
          <w:sz w:val="32"/>
          <w:szCs w:val="32"/>
          <w:highlight w:val="none"/>
          <w:lang w:val="en-US" w:eastAsia="zh-CN"/>
        </w:rPr>
        <w:t>（含其他收入财政代管资金</w:t>
      </w:r>
      <w:r>
        <w:rPr>
          <w:rFonts w:hint="eastAsia" w:eastAsia="仿宋_GB2312" w:cs="Times New Roman"/>
          <w:sz w:val="32"/>
          <w:szCs w:val="32"/>
          <w:highlight w:val="none"/>
          <w:lang w:val="en-US" w:eastAsia="zh-CN"/>
        </w:rPr>
        <w:t>10.8</w:t>
      </w:r>
      <w:r>
        <w:rPr>
          <w:rFonts w:hint="eastAsia" w:ascii="Times New Roman" w:hAnsi="Times New Roman" w:eastAsia="仿宋_GB2312" w:cs="Times New Roman"/>
          <w:sz w:val="32"/>
          <w:szCs w:val="32"/>
          <w:highlight w:val="none"/>
          <w:lang w:val="en-US" w:eastAsia="zh-CN"/>
        </w:rPr>
        <w:t>万元）</w:t>
      </w:r>
      <w:r>
        <w:rPr>
          <w:rFonts w:hint="default" w:ascii="Times New Roman" w:hAnsi="Times New Roman" w:eastAsia="仿宋_GB2312" w:cs="Times New Roman"/>
          <w:sz w:val="32"/>
          <w:szCs w:val="32"/>
          <w:highlight w:val="none"/>
          <w:lang w:val="en-US" w:eastAsia="zh-CN"/>
        </w:rPr>
        <w:t>，全年实际收入</w:t>
      </w:r>
      <w:r>
        <w:rPr>
          <w:rFonts w:hint="eastAsia" w:eastAsia="仿宋_GB2312" w:cs="Times New Roman"/>
          <w:sz w:val="32"/>
          <w:szCs w:val="32"/>
          <w:highlight w:val="none"/>
          <w:lang w:val="en-US" w:eastAsia="zh-CN"/>
        </w:rPr>
        <w:t>502.83</w:t>
      </w:r>
      <w:r>
        <w:rPr>
          <w:rFonts w:hint="eastAsia" w:ascii="Times New Roman" w:hAnsi="Times New Roman" w:eastAsia="仿宋_GB2312" w:cs="Times New Roman"/>
          <w:sz w:val="32"/>
          <w:szCs w:val="32"/>
          <w:highlight w:val="none"/>
          <w:lang w:val="en-US" w:eastAsia="zh-CN"/>
        </w:rPr>
        <w:t>万元（含其他收入财政代管资金</w:t>
      </w:r>
      <w:r>
        <w:rPr>
          <w:rFonts w:hint="eastAsia" w:eastAsia="仿宋_GB2312" w:cs="Times New Roman"/>
          <w:sz w:val="32"/>
          <w:szCs w:val="32"/>
          <w:highlight w:val="none"/>
          <w:lang w:val="en-US" w:eastAsia="zh-CN"/>
        </w:rPr>
        <w:t>10.8</w:t>
      </w:r>
      <w:r>
        <w:rPr>
          <w:rFonts w:hint="eastAsia" w:ascii="Times New Roman" w:hAnsi="Times New Roman" w:eastAsia="仿宋_GB2312" w:cs="Times New Roman"/>
          <w:sz w:val="32"/>
          <w:szCs w:val="32"/>
          <w:highlight w:val="none"/>
          <w:lang w:val="en-US" w:eastAsia="zh-CN"/>
        </w:rPr>
        <w:t>万元）</w:t>
      </w:r>
      <w:r>
        <w:rPr>
          <w:rFonts w:hint="default" w:ascii="Times New Roman" w:hAnsi="Times New Roman" w:eastAsia="仿宋_GB2312" w:cs="Times New Roman"/>
          <w:sz w:val="32"/>
          <w:szCs w:val="32"/>
          <w:highlight w:val="none"/>
          <w:lang w:val="en-US" w:eastAsia="zh-CN"/>
        </w:rPr>
        <w:t>，本年度无财政应返还额度。</w:t>
      </w:r>
    </w:p>
    <w:p>
      <w:pPr>
        <w:keepNext w:val="0"/>
        <w:keepLines w:val="0"/>
        <w:pageBreakBefore w:val="0"/>
        <w:widowControl/>
        <w:kinsoku/>
        <w:wordWrap/>
        <w:overflowPunct/>
        <w:topLinePunct w:val="0"/>
        <w:autoSpaceDE/>
        <w:autoSpaceDN/>
        <w:bidi w:val="0"/>
        <w:adjustRightInd w:val="0"/>
        <w:snapToGrid w:val="0"/>
        <w:spacing w:line="578" w:lineRule="exact"/>
        <w:ind w:firstLine="642" w:firstLineChars="200"/>
        <w:contextualSpacing/>
        <w:jc w:val="left"/>
        <w:textAlignment w:val="auto"/>
        <w:outlineLvl w:val="9"/>
        <w:rPr>
          <w:rFonts w:hint="default" w:ascii="Times New Roman" w:hAnsi="Times New Roman" w:cs="Times New Roman"/>
          <w:szCs w:val="32"/>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二</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支出情况</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仿宋_GB2312" w:cs="Times New Roman"/>
          <w:sz w:val="32"/>
          <w:szCs w:val="32"/>
          <w:lang w:val="en-US" w:eastAsia="zh-CN"/>
        </w:rPr>
        <w:t>202</w:t>
      </w:r>
      <w:r>
        <w:rPr>
          <w:rFonts w:hint="eastAsia" w:eastAsia="仿宋_GB2312" w:cs="Times New Roman"/>
          <w:sz w:val="32"/>
          <w:szCs w:val="32"/>
          <w:lang w:val="en-US" w:eastAsia="zh-CN"/>
        </w:rPr>
        <w:t>5</w:t>
      </w:r>
      <w:r>
        <w:rPr>
          <w:rFonts w:hint="eastAsia" w:ascii="Times New Roman" w:hAnsi="Times New Roman" w:eastAsia="仿宋_GB2312" w:cs="Times New Roman"/>
          <w:sz w:val="32"/>
          <w:szCs w:val="32"/>
          <w:lang w:val="en-US" w:eastAsia="zh-CN"/>
        </w:rPr>
        <w:t>年年初预算支出</w:t>
      </w:r>
      <w:r>
        <w:rPr>
          <w:rFonts w:hint="eastAsia" w:eastAsia="仿宋_GB2312" w:cs="Times New Roman"/>
          <w:sz w:val="32"/>
          <w:szCs w:val="32"/>
          <w:lang w:val="en-US" w:eastAsia="zh-CN"/>
        </w:rPr>
        <w:t>271.43万元、其中基本支出271.43万元、年末</w:t>
      </w:r>
      <w:r>
        <w:rPr>
          <w:rFonts w:hint="eastAsia" w:ascii="Times New Roman" w:hAnsi="Times New Roman" w:eastAsia="仿宋_GB2312" w:cs="Times New Roman"/>
          <w:sz w:val="32"/>
          <w:szCs w:val="32"/>
          <w:lang w:val="en-US" w:eastAsia="zh-CN"/>
        </w:rPr>
        <w:t>决算报表支出</w:t>
      </w:r>
      <w:r>
        <w:rPr>
          <w:rFonts w:hint="eastAsia" w:eastAsia="仿宋_GB2312" w:cs="Times New Roman"/>
          <w:sz w:val="32"/>
          <w:szCs w:val="32"/>
          <w:lang w:val="en-US" w:eastAsia="zh-CN"/>
        </w:rPr>
        <w:t>497.86万元</w:t>
      </w:r>
      <w:r>
        <w:rPr>
          <w:rFonts w:hint="eastAsia" w:ascii="Times New Roman" w:hAnsi="Times New Roman" w:eastAsia="仿宋_GB2312" w:cs="Times New Roman"/>
          <w:sz w:val="32"/>
          <w:szCs w:val="32"/>
          <w:lang w:val="en-US" w:eastAsia="zh-CN"/>
        </w:rPr>
        <w:t>。</w:t>
      </w:r>
    </w:p>
    <w:p>
      <w:pPr>
        <w:keepNext w:val="0"/>
        <w:keepLines w:val="0"/>
        <w:pageBreakBefore w:val="0"/>
        <w:widowControl/>
        <w:kinsoku/>
        <w:wordWrap/>
        <w:overflowPunct/>
        <w:topLinePunct w:val="0"/>
        <w:autoSpaceDE/>
        <w:autoSpaceDN/>
        <w:bidi w:val="0"/>
        <w:adjustRightInd w:val="0"/>
        <w:snapToGrid w:val="0"/>
        <w:spacing w:line="578" w:lineRule="exact"/>
        <w:ind w:firstLine="642" w:firstLineChars="200"/>
        <w:contextualSpacing/>
        <w:jc w:val="left"/>
        <w:textAlignment w:val="auto"/>
        <w:outlineLvl w:val="9"/>
        <w:rPr>
          <w:rFonts w:hint="default" w:ascii="Times New Roman" w:hAnsi="Times New Roman" w:eastAsia="仿宋_GB2312" w:cs="Times New Roman"/>
          <w:b w:val="0"/>
          <w:bCs w:val="0"/>
          <w:color w:val="000000"/>
          <w:kern w:val="0"/>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bCs/>
          <w:color w:val="000000"/>
          <w:kern w:val="0"/>
          <w:sz w:val="32"/>
          <w:szCs w:val="32"/>
          <w:highlight w:val="none"/>
          <w:shd w:val="clear" w:color="auto" w:fill="FFFFFF"/>
          <w:lang w:val="zh-CN"/>
        </w:rPr>
        <w:t>）结余分配和结转结余情况</w:t>
      </w:r>
      <w:r>
        <w:rPr>
          <w:rFonts w:hint="eastAsia" w:ascii="Times New Roman" w:hAnsi="Times New Roman" w:eastAsia="楷体_GB2312" w:cs="Times New Roman"/>
          <w:b/>
          <w:bCs/>
          <w:color w:val="000000"/>
          <w:kern w:val="0"/>
          <w:sz w:val="32"/>
          <w:szCs w:val="32"/>
          <w:highlight w:val="none"/>
          <w:shd w:val="clear" w:color="auto" w:fill="FFFFFF"/>
          <w:lang w:val="zh-CN" w:eastAsia="zh-CN"/>
        </w:rPr>
        <w:t>。</w:t>
      </w:r>
      <w:r>
        <w:rPr>
          <w:rFonts w:hint="eastAsia" w:ascii="Times New Roman" w:hAnsi="Times New Roman" w:eastAsia="仿宋_GB2312" w:cs="Times New Roman"/>
          <w:sz w:val="32"/>
          <w:szCs w:val="32"/>
          <w:lang w:val="zh-CN" w:eastAsia="zh-CN"/>
        </w:rPr>
        <w:t>年初其他收入（上年末财政代管资金）结余</w:t>
      </w:r>
      <w:r>
        <w:rPr>
          <w:rFonts w:hint="eastAsia" w:ascii="Times New Roman" w:hAnsi="Times New Roman" w:eastAsia="仿宋_GB2312" w:cs="Times New Roman"/>
          <w:sz w:val="32"/>
          <w:szCs w:val="32"/>
          <w:lang w:val="en-US" w:eastAsia="zh-CN"/>
        </w:rPr>
        <w:t>0.03万元，202</w:t>
      </w:r>
      <w:r>
        <w:rPr>
          <w:rFonts w:hint="eastAsia" w:eastAsia="仿宋_GB2312" w:cs="Times New Roman"/>
          <w:sz w:val="32"/>
          <w:szCs w:val="32"/>
          <w:lang w:val="en-US" w:eastAsia="zh-CN"/>
        </w:rPr>
        <w:t>5</w:t>
      </w:r>
      <w:r>
        <w:rPr>
          <w:rFonts w:hint="eastAsia" w:ascii="Times New Roman" w:hAnsi="Times New Roman" w:eastAsia="仿宋_GB2312" w:cs="Times New Roman"/>
          <w:sz w:val="32"/>
          <w:szCs w:val="32"/>
          <w:lang w:val="en-US" w:eastAsia="zh-CN"/>
        </w:rPr>
        <w:t>年</w:t>
      </w:r>
      <w:r>
        <w:rPr>
          <w:rFonts w:hint="eastAsia" w:eastAsia="仿宋_GB2312" w:cs="Times New Roman"/>
          <w:sz w:val="32"/>
          <w:szCs w:val="32"/>
          <w:lang w:val="en-US" w:eastAsia="zh-CN"/>
        </w:rPr>
        <w:t>末</w:t>
      </w:r>
      <w:r>
        <w:rPr>
          <w:rFonts w:hint="eastAsia" w:ascii="Times New Roman" w:hAnsi="Times New Roman" w:eastAsia="仿宋_GB2312" w:cs="Times New Roman"/>
          <w:sz w:val="32"/>
          <w:szCs w:val="32"/>
          <w:lang w:val="en-US" w:eastAsia="zh-CN"/>
        </w:rPr>
        <w:t>决算报表</w:t>
      </w:r>
      <w:r>
        <w:rPr>
          <w:rFonts w:hint="default" w:ascii="Times New Roman" w:hAnsi="Times New Roman" w:eastAsia="仿宋_GB2312" w:cs="Times New Roman"/>
          <w:sz w:val="32"/>
          <w:szCs w:val="32"/>
          <w:lang w:val="en-US" w:eastAsia="zh-CN"/>
        </w:rPr>
        <w:t>结转结余</w:t>
      </w:r>
      <w:r>
        <w:rPr>
          <w:rFonts w:hint="eastAsia" w:eastAsia="仿宋_GB2312" w:cs="Times New Roman"/>
          <w:sz w:val="32"/>
          <w:szCs w:val="32"/>
          <w:lang w:val="en-US" w:eastAsia="zh-CN"/>
        </w:rPr>
        <w:t>5万元，其他收入（财政代管资金结余5万元）</w:t>
      </w:r>
      <w:r>
        <w:rPr>
          <w:rFonts w:hint="default" w:ascii="Times New Roman" w:hAnsi="Times New Roman" w:eastAsia="仿宋_GB2312" w:cs="Times New Roman"/>
          <w:sz w:val="32"/>
          <w:szCs w:val="32"/>
          <w:lang w:val="en-US" w:eastAsia="zh-CN"/>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三、部门预算绩效分析</w:t>
      </w:r>
    </w:p>
    <w:p>
      <w:pPr>
        <w:keepNext w:val="0"/>
        <w:keepLines w:val="0"/>
        <w:pageBreakBefore w:val="0"/>
        <w:widowControl/>
        <w:kinsoku/>
        <w:wordWrap/>
        <w:overflowPunct/>
        <w:topLinePunct w:val="0"/>
        <w:autoSpaceDE/>
        <w:autoSpaceDN/>
        <w:bidi w:val="0"/>
        <w:adjustRightInd w:val="0"/>
        <w:snapToGrid w:val="0"/>
        <w:spacing w:line="578" w:lineRule="exact"/>
        <w:ind w:firstLine="642" w:firstLineChars="200"/>
        <w:contextualSpacing/>
        <w:jc w:val="left"/>
        <w:textAlignment w:val="auto"/>
        <w:outlineLvl w:val="9"/>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部门预算</w:t>
      </w:r>
      <w:r>
        <w:rPr>
          <w:rFonts w:hint="default" w:ascii="Times New Roman" w:hAnsi="Times New Roman" w:eastAsia="楷体_GB2312" w:cs="Times New Roman"/>
          <w:b/>
          <w:bCs/>
          <w:color w:val="000000"/>
          <w:kern w:val="0"/>
          <w:sz w:val="32"/>
          <w:szCs w:val="32"/>
          <w:highlight w:val="none"/>
          <w:shd w:val="clear" w:color="auto" w:fill="FFFFFF"/>
          <w:lang w:val="zh-CN"/>
        </w:rPr>
        <w:t>总体绩效分析。</w:t>
      </w:r>
      <w:r>
        <w:rPr>
          <w:rFonts w:hint="default" w:ascii="Times New Roman" w:hAnsi="Times New Roman" w:eastAsia="仿宋_GB2312" w:cs="Times New Roman"/>
          <w:sz w:val="32"/>
          <w:szCs w:val="32"/>
          <w:highlight w:val="none"/>
          <w:lang w:val="en-US" w:eastAsia="zh-CN"/>
        </w:rPr>
        <w:t>按照预算绩效管理要求，本部门对</w:t>
      </w:r>
      <w:r>
        <w:rPr>
          <w:rFonts w:hint="eastAsia" w:ascii="Times New Roman" w:hAnsi="Times New Roman" w:eastAsia="仿宋_GB2312" w:cs="Times New Roman"/>
          <w:sz w:val="32"/>
          <w:szCs w:val="32"/>
          <w:highlight w:val="none"/>
          <w:lang w:val="en-US" w:eastAsia="zh-CN"/>
        </w:rPr>
        <w:t>202</w:t>
      </w:r>
      <w:r>
        <w:rPr>
          <w:rFonts w:hint="eastAsia" w:eastAsia="仿宋_GB2312" w:cs="Times New Roman"/>
          <w:sz w:val="32"/>
          <w:szCs w:val="32"/>
          <w:highlight w:val="none"/>
          <w:lang w:val="en-US" w:eastAsia="zh-CN"/>
        </w:rPr>
        <w:t>5</w:t>
      </w:r>
      <w:r>
        <w:rPr>
          <w:rFonts w:hint="default" w:ascii="Times New Roman" w:hAnsi="Times New Roman" w:eastAsia="仿宋_GB2312" w:cs="Times New Roman"/>
          <w:sz w:val="32"/>
          <w:szCs w:val="32"/>
          <w:highlight w:val="none"/>
          <w:lang w:val="en-US" w:eastAsia="zh-CN"/>
        </w:rPr>
        <w:t>年一般公共预算项目支出开展了绩效目标管理，共编制绩效目标覆盖率达到100%。制定了</w:t>
      </w:r>
      <w:r>
        <w:rPr>
          <w:rFonts w:hint="eastAsia" w:ascii="Times New Roman" w:hAnsi="Times New Roman" w:eastAsia="仿宋_GB2312" w:cs="Times New Roman"/>
          <w:sz w:val="32"/>
          <w:szCs w:val="32"/>
          <w:highlight w:val="none"/>
          <w:lang w:val="en-US" w:eastAsia="zh-CN"/>
        </w:rPr>
        <w:t>202</w:t>
      </w:r>
      <w:r>
        <w:rPr>
          <w:rFonts w:hint="eastAsia" w:eastAsia="仿宋_GB2312" w:cs="Times New Roman"/>
          <w:sz w:val="32"/>
          <w:szCs w:val="32"/>
          <w:highlight w:val="none"/>
          <w:lang w:val="en-US" w:eastAsia="zh-CN"/>
        </w:rPr>
        <w:t>5</w:t>
      </w:r>
      <w:r>
        <w:rPr>
          <w:rFonts w:hint="default" w:ascii="Times New Roman" w:hAnsi="Times New Roman" w:eastAsia="仿宋_GB2312" w:cs="Times New Roman"/>
          <w:sz w:val="32"/>
          <w:szCs w:val="32"/>
          <w:highlight w:val="none"/>
          <w:lang w:val="en-US" w:eastAsia="zh-CN"/>
        </w:rPr>
        <w:t>年整体目标：在县委、县政府的正确领导下，在</w:t>
      </w:r>
      <w:r>
        <w:rPr>
          <w:rFonts w:hint="eastAsia" w:ascii="Times New Roman" w:hAnsi="Times New Roman" w:eastAsia="仿宋_GB2312" w:cs="Times New Roman"/>
          <w:sz w:val="32"/>
          <w:szCs w:val="32"/>
          <w:highlight w:val="none"/>
          <w:lang w:val="en-US" w:eastAsia="zh-CN"/>
        </w:rPr>
        <w:t>州统计局、国家统计局阿坝调查队</w:t>
      </w:r>
      <w:r>
        <w:rPr>
          <w:rFonts w:hint="default" w:ascii="Times New Roman" w:hAnsi="Times New Roman" w:eastAsia="仿宋_GB2312" w:cs="Times New Roman"/>
          <w:sz w:val="32"/>
          <w:szCs w:val="32"/>
          <w:highlight w:val="none"/>
          <w:lang w:val="en-US" w:eastAsia="zh-CN"/>
        </w:rPr>
        <w:t>的指导下，</w:t>
      </w:r>
      <w:r>
        <w:rPr>
          <w:rFonts w:hint="eastAsia" w:eastAsia="仿宋_GB2312" w:cs="Times New Roman"/>
          <w:sz w:val="32"/>
          <w:szCs w:val="32"/>
          <w:highlight w:val="none"/>
          <w:lang w:val="en-US" w:eastAsia="zh-CN"/>
        </w:rPr>
        <w:t>深入</w:t>
      </w:r>
      <w:r>
        <w:rPr>
          <w:rFonts w:hint="default" w:ascii="Times New Roman" w:hAnsi="Times New Roman" w:eastAsia="仿宋_GB2312" w:cs="Times New Roman"/>
          <w:sz w:val="32"/>
          <w:szCs w:val="32"/>
          <w:highlight w:val="none"/>
          <w:lang w:val="en-US" w:eastAsia="zh-CN"/>
        </w:rPr>
        <w:t>学习习近平总书记系列</w:t>
      </w:r>
      <w:r>
        <w:rPr>
          <w:rFonts w:hint="eastAsia" w:eastAsia="仿宋_GB2312" w:cs="Times New Roman"/>
          <w:sz w:val="32"/>
          <w:szCs w:val="32"/>
          <w:highlight w:val="none"/>
          <w:lang w:val="en-US" w:eastAsia="zh-CN"/>
        </w:rPr>
        <w:t>重要</w:t>
      </w:r>
      <w:r>
        <w:rPr>
          <w:rFonts w:hint="default" w:ascii="Times New Roman" w:hAnsi="Times New Roman" w:eastAsia="仿宋_GB2312" w:cs="Times New Roman"/>
          <w:sz w:val="32"/>
          <w:szCs w:val="32"/>
          <w:highlight w:val="none"/>
          <w:lang w:val="en-US" w:eastAsia="zh-CN"/>
        </w:rPr>
        <w:t>讲话精神，紧紧围绕目标任务，较好地完成了各项工作任务。</w:t>
      </w:r>
    </w:p>
    <w:p>
      <w:pPr>
        <w:pStyle w:val="7"/>
        <w:keepNext w:val="0"/>
        <w:keepLines w:val="0"/>
        <w:pageBreakBefore w:val="0"/>
        <w:widowControl w:val="0"/>
        <w:numPr>
          <w:ilvl w:val="0"/>
          <w:numId w:val="0"/>
        </w:numPr>
        <w:kinsoku/>
        <w:wordWrap/>
        <w:overflowPunct/>
        <w:topLinePunct w:val="0"/>
        <w:autoSpaceDN/>
        <w:bidi w:val="0"/>
        <w:adjustRightInd/>
        <w:snapToGrid/>
        <w:spacing w:before="0" w:beforeAutospacing="0" w:after="0" w:line="540" w:lineRule="exact"/>
        <w:ind w:firstLine="640" w:firstLineChars="200"/>
        <w:jc w:val="left"/>
        <w:textAlignment w:val="auto"/>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zh-CN" w:eastAsia="zh-CN" w:bidi="ar-SA"/>
        </w:rPr>
        <w:t>履职效能。</w:t>
      </w:r>
    </w:p>
    <w:p>
      <w:pPr>
        <w:pStyle w:val="7"/>
        <w:keepNext w:val="0"/>
        <w:keepLines w:val="0"/>
        <w:pageBreakBefore w:val="0"/>
        <w:widowControl w:val="0"/>
        <w:numPr>
          <w:ilvl w:val="0"/>
          <w:numId w:val="0"/>
        </w:numPr>
        <w:kinsoku/>
        <w:wordWrap/>
        <w:overflowPunct/>
        <w:topLinePunct w:val="0"/>
        <w:autoSpaceDN/>
        <w:bidi w:val="0"/>
        <w:adjustRightInd/>
        <w:snapToGrid/>
        <w:spacing w:before="0" w:beforeAutospacing="0" w:after="0" w:line="540" w:lineRule="exact"/>
        <w:ind w:firstLine="642" w:firstLineChars="200"/>
        <w:jc w:val="left"/>
        <w:textAlignment w:val="auto"/>
        <w:rPr>
          <w:rFonts w:hint="eastAsia" w:ascii="Times New Roman" w:hAnsi="Times New Roman" w:eastAsia="仿宋_GB2312"/>
          <w:sz w:val="32"/>
          <w:szCs w:val="32"/>
        </w:rPr>
      </w:pPr>
      <w:r>
        <w:rPr>
          <w:rFonts w:hint="eastAsia" w:ascii="仿宋_GB2312" w:hAnsi="楷体" w:eastAsia="仿宋_GB2312" w:cs="Times New Roman"/>
          <w:b/>
          <w:kern w:val="0"/>
          <w:sz w:val="32"/>
          <w:szCs w:val="32"/>
          <w:highlight w:val="none"/>
          <w:lang w:val="zh-CN" w:eastAsia="zh-CN" w:bidi="ar-SA"/>
        </w:rPr>
        <w:t>经济指标完成情况：</w:t>
      </w:r>
      <w:r>
        <w:rPr>
          <w:rFonts w:hint="eastAsia" w:ascii="Times New Roman" w:hAnsi="Times New Roman" w:eastAsia="仿宋_GB2312"/>
          <w:sz w:val="32"/>
          <w:szCs w:val="32"/>
          <w:highlight w:val="none"/>
        </w:rPr>
        <w:t>2025年</w:t>
      </w:r>
      <w:r>
        <w:rPr>
          <w:rFonts w:hint="eastAsia" w:ascii="Times New Roman" w:hAnsi="Times New Roman"/>
          <w:sz w:val="32"/>
          <w:szCs w:val="32"/>
          <w:highlight w:val="none"/>
          <w:lang w:eastAsia="zh-CN"/>
        </w:rPr>
        <w:t>全年，</w:t>
      </w:r>
      <w:r>
        <w:rPr>
          <w:rFonts w:hint="eastAsia" w:ascii="Times New Roman" w:hAnsi="Times New Roman" w:eastAsia="仿宋_GB2312"/>
          <w:sz w:val="32"/>
          <w:szCs w:val="32"/>
          <w:highlight w:val="none"/>
        </w:rPr>
        <w:t>全县地区生产总值预计实现241282万元，按可比价计算同比增长6</w:t>
      </w:r>
      <w:r>
        <w:rPr>
          <w:rFonts w:hint="eastAsia" w:ascii="Times New Roman"/>
          <w:sz w:val="32"/>
          <w:szCs w:val="32"/>
          <w:highlight w:val="none"/>
          <w:lang w:val="en-US" w:eastAsia="zh-CN"/>
        </w:rPr>
        <w:t>.3</w:t>
      </w:r>
      <w:r>
        <w:rPr>
          <w:rFonts w:hint="eastAsia" w:ascii="Times New Roman" w:hAnsi="Times New Roman" w:eastAsia="仿宋_GB2312"/>
          <w:sz w:val="32"/>
          <w:szCs w:val="32"/>
          <w:highlight w:val="none"/>
        </w:rPr>
        <w:t>%。分产业看：第一产业增加值52507万元，增长5%；第二产业增加值22778万元，增长8.9%；第三产业增加值165997万元，增长6.3%。全社会固定资产投资增长71.9%；地方公共财政收入完成13776万元，同比增长8.4%；规上工业增加值同比增长14.8%；社会消费品零售总额实现29058万元，增长7.5%；城镇居民</w:t>
      </w:r>
      <w:r>
        <w:rPr>
          <w:rFonts w:hint="eastAsia" w:ascii="Times New Roman" w:hAnsi="Times New Roman" w:eastAsia="仿宋_GB2312"/>
          <w:sz w:val="32"/>
          <w:szCs w:val="32"/>
        </w:rPr>
        <w:t>人均可支配收入实现44733元，增长4.6%；农村居民人均可支配收入实现19192元，增长6.0%。</w:t>
      </w:r>
    </w:p>
    <w:p>
      <w:pPr>
        <w:keepNext w:val="0"/>
        <w:keepLines w:val="0"/>
        <w:pageBreakBefore w:val="0"/>
        <w:kinsoku/>
        <w:wordWrap/>
        <w:overflowPunct/>
        <w:topLinePunct w:val="0"/>
        <w:autoSpaceDN/>
        <w:bidi w:val="0"/>
        <w:adjustRightInd/>
        <w:snapToGrid/>
        <w:spacing w:line="540" w:lineRule="exact"/>
        <w:ind w:firstLine="642" w:firstLineChars="200"/>
        <w:textAlignment w:val="auto"/>
        <w:rPr>
          <w:rFonts w:hint="eastAsia" w:ascii="仿宋_GB2312" w:hAnsi="仿宋" w:eastAsia="仿宋_GB2312"/>
          <w:sz w:val="32"/>
          <w:szCs w:val="32"/>
        </w:rPr>
      </w:pPr>
      <w:r>
        <w:rPr>
          <w:rFonts w:hint="eastAsia" w:ascii="仿宋_GB2312" w:hAnsi="楷体" w:eastAsia="仿宋_GB2312"/>
          <w:b/>
          <w:kern w:val="0"/>
          <w:sz w:val="32"/>
          <w:szCs w:val="32"/>
        </w:rPr>
        <w:t>圆满完成各项统计业务工作。</w:t>
      </w:r>
      <w:r>
        <w:rPr>
          <w:rFonts w:hint="eastAsia" w:ascii="仿宋_GB2312" w:eastAsia="仿宋_GB2312"/>
          <w:sz w:val="32"/>
          <w:szCs w:val="32"/>
        </w:rPr>
        <w:t>严格按照国家统计制度要求，高质量、高标准地全面完成了</w:t>
      </w:r>
      <w:r>
        <w:rPr>
          <w:rFonts w:hint="eastAsia" w:ascii="仿宋_GB2312" w:eastAsia="仿宋_GB2312"/>
          <w:sz w:val="32"/>
          <w:szCs w:val="32"/>
          <w:lang w:eastAsia="zh-CN"/>
        </w:rPr>
        <w:t>月度、季度、年度</w:t>
      </w:r>
      <w:r>
        <w:rPr>
          <w:rFonts w:hint="eastAsia" w:ascii="仿宋_GB2312" w:eastAsia="仿宋_GB2312"/>
          <w:sz w:val="32"/>
          <w:szCs w:val="32"/>
        </w:rPr>
        <w:t>2</w:t>
      </w:r>
      <w:r>
        <w:rPr>
          <w:rFonts w:hint="eastAsia" w:ascii="仿宋_GB2312" w:eastAsia="仿宋_GB2312"/>
          <w:sz w:val="32"/>
          <w:szCs w:val="32"/>
          <w:lang w:val="en-US" w:eastAsia="zh-CN"/>
        </w:rPr>
        <w:t>0多</w:t>
      </w:r>
      <w:r>
        <w:rPr>
          <w:rFonts w:hint="eastAsia" w:ascii="仿宋_GB2312" w:eastAsia="仿宋_GB2312"/>
          <w:sz w:val="32"/>
          <w:szCs w:val="32"/>
        </w:rPr>
        <w:t>套常规统计报表任务</w:t>
      </w:r>
      <w:r>
        <w:rPr>
          <w:rFonts w:hint="eastAsia" w:ascii="仿宋_GB2312" w:eastAsia="仿宋_GB2312"/>
          <w:sz w:val="32"/>
          <w:szCs w:val="32"/>
          <w:lang w:eastAsia="zh-CN"/>
        </w:rPr>
        <w:t>；</w:t>
      </w:r>
      <w:r>
        <w:rPr>
          <w:rFonts w:hint="eastAsia" w:ascii="仿宋" w:hAnsi="仿宋" w:eastAsia="仿宋" w:cs="仿宋"/>
          <w:sz w:val="32"/>
          <w:szCs w:val="32"/>
        </w:rPr>
        <w:t>加大培训力度</w:t>
      </w:r>
      <w:r>
        <w:rPr>
          <w:rFonts w:hint="eastAsia" w:ascii="仿宋" w:hAnsi="仿宋" w:eastAsia="仿宋" w:cs="仿宋"/>
          <w:sz w:val="32"/>
          <w:szCs w:val="32"/>
          <w:lang w:eastAsia="zh-CN"/>
        </w:rPr>
        <w:t>，</w:t>
      </w:r>
      <w:r>
        <w:rPr>
          <w:rFonts w:hint="eastAsia" w:ascii="仿宋" w:hAnsi="仿宋" w:eastAsia="仿宋" w:cs="仿宋"/>
          <w:sz w:val="32"/>
          <w:szCs w:val="32"/>
        </w:rPr>
        <w:t>按照分级负责、分层实施原则，通过专业专题培训等有效提高基层统计人员的业务水平和统计法治意识</w:t>
      </w:r>
      <w:r>
        <w:rPr>
          <w:rFonts w:hint="eastAsia" w:ascii="仿宋" w:hAnsi="仿宋" w:eastAsia="仿宋" w:cs="仿宋"/>
          <w:sz w:val="32"/>
          <w:szCs w:val="32"/>
          <w:lang w:eastAsia="zh-CN"/>
        </w:rPr>
        <w:t>。</w:t>
      </w:r>
      <w:r>
        <w:rPr>
          <w:rFonts w:hint="eastAsia" w:ascii="仿宋" w:hAnsi="仿宋" w:eastAsia="仿宋" w:cs="仿宋"/>
          <w:sz w:val="32"/>
          <w:szCs w:val="32"/>
        </w:rPr>
        <w:t>截至目前，开展专项统计业务培训</w:t>
      </w:r>
      <w:r>
        <w:rPr>
          <w:rFonts w:hint="eastAsia" w:ascii="仿宋" w:hAnsi="仿宋" w:eastAsia="仿宋" w:cs="仿宋"/>
          <w:sz w:val="32"/>
          <w:szCs w:val="32"/>
          <w:lang w:val="en-US" w:eastAsia="zh-CN"/>
        </w:rPr>
        <w:t>8</w:t>
      </w:r>
      <w:r>
        <w:rPr>
          <w:rFonts w:hint="eastAsia" w:ascii="仿宋" w:hAnsi="仿宋" w:eastAsia="仿宋" w:cs="仿宋"/>
          <w:sz w:val="32"/>
          <w:szCs w:val="32"/>
        </w:rPr>
        <w:t>场、覆盖</w:t>
      </w:r>
      <w:r>
        <w:rPr>
          <w:rFonts w:hint="eastAsia" w:ascii="仿宋" w:hAnsi="仿宋" w:eastAsia="仿宋" w:cs="仿宋"/>
          <w:sz w:val="32"/>
          <w:szCs w:val="32"/>
          <w:lang w:val="en-US" w:eastAsia="zh-CN"/>
        </w:rPr>
        <w:t>200余</w:t>
      </w:r>
      <w:r>
        <w:rPr>
          <w:rFonts w:hint="eastAsia" w:ascii="仿宋" w:hAnsi="仿宋" w:eastAsia="仿宋" w:cs="仿宋"/>
          <w:sz w:val="32"/>
          <w:szCs w:val="32"/>
        </w:rPr>
        <w:t>人次，对全县各乡镇样本点和样方开展业务指导和随访</w:t>
      </w:r>
      <w:r>
        <w:rPr>
          <w:rFonts w:hint="eastAsia" w:ascii="仿宋" w:hAnsi="仿宋" w:eastAsia="仿宋" w:cs="仿宋"/>
          <w:sz w:val="32"/>
          <w:szCs w:val="32"/>
          <w:lang w:val="en-US" w:eastAsia="zh-CN"/>
        </w:rPr>
        <w:t>10余</w:t>
      </w:r>
      <w:r>
        <w:rPr>
          <w:rFonts w:hint="eastAsia" w:ascii="仿宋" w:hAnsi="仿宋" w:eastAsia="仿宋" w:cs="仿宋"/>
          <w:sz w:val="32"/>
          <w:szCs w:val="32"/>
        </w:rPr>
        <w:t>次，有效夯实基层统计基础。</w:t>
      </w:r>
      <w:r>
        <w:rPr>
          <w:rFonts w:hint="eastAsia" w:ascii="仿宋" w:hAnsi="仿宋" w:eastAsia="仿宋" w:cs="仿宋"/>
          <w:sz w:val="32"/>
          <w:szCs w:val="32"/>
          <w:lang w:val="en-US" w:eastAsia="zh-CN"/>
        </w:rPr>
        <w:t>主动对接发改</w:t>
      </w:r>
      <w:r>
        <w:rPr>
          <w:rFonts w:hint="eastAsia" w:ascii="仿宋" w:hAnsi="仿宋" w:eastAsia="仿宋" w:cs="仿宋"/>
          <w:sz w:val="32"/>
          <w:szCs w:val="32"/>
        </w:rPr>
        <w:t>、经信、</w:t>
      </w:r>
      <w:r>
        <w:rPr>
          <w:rFonts w:hint="eastAsia" w:ascii="仿宋" w:hAnsi="仿宋" w:eastAsia="仿宋" w:cs="仿宋"/>
          <w:sz w:val="32"/>
          <w:szCs w:val="32"/>
          <w:lang w:eastAsia="zh-CN"/>
        </w:rPr>
        <w:t>住建</w:t>
      </w:r>
      <w:r>
        <w:rPr>
          <w:rFonts w:hint="eastAsia" w:ascii="仿宋" w:hAnsi="仿宋" w:eastAsia="仿宋" w:cs="仿宋"/>
          <w:sz w:val="32"/>
          <w:szCs w:val="32"/>
        </w:rPr>
        <w:t>等部门，加强对固定资产投资、规上工业、</w:t>
      </w:r>
      <w:r>
        <w:rPr>
          <w:rFonts w:hint="eastAsia" w:ascii="仿宋" w:hAnsi="仿宋" w:eastAsia="仿宋" w:cs="仿宋"/>
          <w:sz w:val="32"/>
          <w:szCs w:val="32"/>
          <w:lang w:eastAsia="zh-CN"/>
        </w:rPr>
        <w:t>建筑业产值、</w:t>
      </w:r>
      <w:r>
        <w:rPr>
          <w:rFonts w:hint="eastAsia" w:ascii="仿宋" w:hAnsi="仿宋" w:eastAsia="仿宋" w:cs="仿宋"/>
          <w:sz w:val="32"/>
          <w:szCs w:val="32"/>
        </w:rPr>
        <w:t>消费市场等重点领域的统计监测。定期撰写经济运行分析报告，为党政领导和社会各界提供全方位的数据服务。截至目前，</w:t>
      </w:r>
      <w:r>
        <w:rPr>
          <w:rFonts w:hint="eastAsia" w:ascii="仿宋_GB2312" w:eastAsia="仿宋_GB2312"/>
          <w:sz w:val="32"/>
          <w:szCs w:val="32"/>
        </w:rPr>
        <w:t>共编印《壤塘县国民经济季度手册》</w:t>
      </w:r>
      <w:r>
        <w:rPr>
          <w:rFonts w:hint="eastAsia" w:ascii="仿宋_GB2312" w:eastAsia="仿宋_GB2312"/>
          <w:sz w:val="32"/>
          <w:szCs w:val="32"/>
          <w:lang w:val="en-US" w:eastAsia="zh-CN"/>
        </w:rPr>
        <w:t>2</w:t>
      </w:r>
      <w:r>
        <w:rPr>
          <w:rFonts w:hint="eastAsia" w:ascii="仿宋_GB2312" w:eastAsia="仿宋_GB2312"/>
          <w:sz w:val="32"/>
          <w:szCs w:val="32"/>
        </w:rPr>
        <w:t>期、《领导干部经济工作手册》</w:t>
      </w:r>
      <w:r>
        <w:rPr>
          <w:rFonts w:hint="eastAsia" w:ascii="仿宋_GB2312" w:eastAsia="仿宋_GB2312"/>
          <w:sz w:val="32"/>
          <w:szCs w:val="32"/>
          <w:lang w:val="en-US" w:eastAsia="zh-CN"/>
        </w:rPr>
        <w:t>1</w:t>
      </w:r>
      <w:r>
        <w:rPr>
          <w:rFonts w:hint="eastAsia" w:ascii="仿宋_GB2312" w:eastAsia="仿宋_GB2312"/>
          <w:sz w:val="32"/>
          <w:szCs w:val="32"/>
        </w:rPr>
        <w:t>期；</w:t>
      </w:r>
      <w:r>
        <w:rPr>
          <w:rStyle w:val="39"/>
          <w:rFonts w:hint="eastAsia" w:ascii="仿宋_GB2312" w:hAnsi="Verdana" w:eastAsia="仿宋_GB2312"/>
          <w:sz w:val="32"/>
          <w:szCs w:val="32"/>
        </w:rPr>
        <w:t>撰写季度</w:t>
      </w:r>
      <w:r>
        <w:rPr>
          <w:rStyle w:val="39"/>
          <w:rFonts w:hint="eastAsia" w:ascii="仿宋_GB2312" w:hAnsi="Verdana" w:eastAsia="仿宋_GB2312"/>
          <w:sz w:val="32"/>
          <w:szCs w:val="32"/>
          <w:lang w:eastAsia="zh-CN"/>
        </w:rPr>
        <w:t>、半年</w:t>
      </w:r>
      <w:r>
        <w:rPr>
          <w:rStyle w:val="39"/>
          <w:rFonts w:hint="eastAsia" w:ascii="仿宋_GB2312" w:hAnsi="Verdana" w:eastAsia="仿宋_GB2312"/>
          <w:sz w:val="32"/>
          <w:szCs w:val="32"/>
        </w:rPr>
        <w:t>经济形势预测分析</w:t>
      </w:r>
      <w:r>
        <w:rPr>
          <w:rStyle w:val="39"/>
          <w:rFonts w:hint="eastAsia" w:ascii="仿宋_GB2312" w:hAnsi="Verdana" w:eastAsia="仿宋_GB2312"/>
          <w:sz w:val="32"/>
          <w:szCs w:val="32"/>
          <w:lang w:val="en-US" w:eastAsia="zh-CN"/>
        </w:rPr>
        <w:t>1</w:t>
      </w:r>
      <w:r>
        <w:rPr>
          <w:rStyle w:val="39"/>
          <w:rFonts w:hint="eastAsia" w:ascii="仿宋_GB2312" w:hAnsi="Verdana" w:eastAsia="仿宋_GB2312"/>
          <w:sz w:val="32"/>
          <w:szCs w:val="32"/>
        </w:rPr>
        <w:t>0余篇；</w:t>
      </w:r>
      <w:r>
        <w:rPr>
          <w:rStyle w:val="39"/>
          <w:rFonts w:hint="eastAsia" w:ascii="仿宋_GB2312" w:hAnsi="Verdana" w:eastAsia="仿宋_GB2312"/>
          <w:sz w:val="32"/>
          <w:szCs w:val="32"/>
          <w:lang w:val="en-US" w:eastAsia="zh-CN"/>
        </w:rPr>
        <w:t>发布</w:t>
      </w:r>
      <w:r>
        <w:rPr>
          <w:rFonts w:hint="eastAsia" w:ascii="仿宋_GB2312" w:hAnsi="仿宋_GB2312" w:eastAsia="仿宋_GB2312" w:cs="仿宋_GB2312"/>
          <w:color w:val="auto"/>
          <w:sz w:val="32"/>
          <w:szCs w:val="32"/>
        </w:rPr>
        <w:t>《壤塘县国民经济和社会发展统计公报》</w:t>
      </w:r>
      <w:r>
        <w:rPr>
          <w:rFonts w:hint="eastAsia" w:ascii="仿宋_GB2312" w:hAnsi="仿宋_GB2312" w:eastAsia="仿宋_GB2312" w:cs="仿宋_GB2312"/>
          <w:color w:val="auto"/>
          <w:sz w:val="32"/>
          <w:szCs w:val="32"/>
          <w:lang w:val="en-US" w:eastAsia="zh-CN"/>
        </w:rPr>
        <w:t>1期；</w:t>
      </w:r>
      <w:r>
        <w:rPr>
          <w:rFonts w:hint="eastAsia" w:ascii="仿宋_GB2312" w:eastAsia="仿宋_GB2312"/>
          <w:sz w:val="32"/>
          <w:szCs w:val="32"/>
        </w:rPr>
        <w:t>为县委县政府重要会议、重要汇报材料和各部门提供统计数据</w:t>
      </w:r>
      <w:r>
        <w:rPr>
          <w:rFonts w:hint="eastAsia" w:ascii="仿宋_GB2312" w:eastAsia="仿宋_GB2312"/>
          <w:sz w:val="32"/>
          <w:szCs w:val="32"/>
          <w:lang w:val="en-US" w:eastAsia="zh-CN"/>
        </w:rPr>
        <w:t>2</w:t>
      </w:r>
      <w:r>
        <w:rPr>
          <w:rFonts w:hint="eastAsia" w:ascii="仿宋_GB2312" w:eastAsia="仿宋_GB2312"/>
          <w:sz w:val="32"/>
          <w:szCs w:val="32"/>
        </w:rPr>
        <w:t>00余次</w:t>
      </w:r>
      <w:r>
        <w:rPr>
          <w:rFonts w:hint="eastAsia" w:ascii="仿宋_GB2312" w:hAnsi="仿宋" w:eastAsia="仿宋_GB2312"/>
          <w:sz w:val="32"/>
          <w:szCs w:val="32"/>
        </w:rPr>
        <w:t>。</w:t>
      </w:r>
    </w:p>
    <w:p>
      <w:pPr>
        <w:keepNext w:val="0"/>
        <w:keepLines w:val="0"/>
        <w:pageBreakBefore w:val="0"/>
        <w:widowControl w:val="0"/>
        <w:kinsoku/>
        <w:wordWrap/>
        <w:overflowPunct/>
        <w:topLinePunct w:val="0"/>
        <w:autoSpaceDE/>
        <w:autoSpaceDN/>
        <w:bidi w:val="0"/>
        <w:adjustRightInd/>
        <w:snapToGrid/>
        <w:spacing w:line="540" w:lineRule="exact"/>
        <w:ind w:firstLine="642" w:firstLineChars="200"/>
        <w:textAlignment w:val="auto"/>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sz w:val="32"/>
          <w:szCs w:val="32"/>
          <w:lang w:val="en-US" w:eastAsia="zh-CN"/>
        </w:rPr>
        <w:t>加强升规入统工作。</w:t>
      </w:r>
      <w:r>
        <w:rPr>
          <w:rFonts w:hint="eastAsia" w:ascii="仿宋_GB2312" w:hAnsi="仿宋_GB2312" w:eastAsia="仿宋_GB2312" w:cs="仿宋_GB2312"/>
          <w:kern w:val="2"/>
          <w:sz w:val="32"/>
          <w:szCs w:val="32"/>
          <w:lang w:val="en-US" w:eastAsia="zh-CN" w:bidi="ar-SA"/>
        </w:rPr>
        <w:t>积极与县经信局协同配合，抓好升规入统工作，已完成新升规限额以上商贸企业2户。</w:t>
      </w:r>
    </w:p>
    <w:p>
      <w:pPr>
        <w:keepNext w:val="0"/>
        <w:keepLines w:val="0"/>
        <w:pageBreakBefore w:val="0"/>
        <w:kinsoku/>
        <w:wordWrap/>
        <w:overflowPunct/>
        <w:topLinePunct w:val="0"/>
        <w:autoSpaceDN/>
        <w:bidi w:val="0"/>
        <w:adjustRightInd/>
        <w:snapToGrid/>
        <w:spacing w:line="540" w:lineRule="exact"/>
        <w:ind w:firstLine="642"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000000"/>
          <w:sz w:val="32"/>
          <w:szCs w:val="32"/>
          <w:lang w:val="en-US" w:eastAsia="zh-CN"/>
        </w:rPr>
        <w:t>强抓</w:t>
      </w:r>
      <w:r>
        <w:rPr>
          <w:rFonts w:hint="eastAsia" w:ascii="仿宋_GB2312" w:hAnsi="仿宋_GB2312" w:eastAsia="仿宋_GB2312" w:cs="仿宋_GB2312"/>
          <w:b/>
          <w:bCs/>
          <w:color w:val="000000"/>
          <w:sz w:val="32"/>
          <w:szCs w:val="32"/>
          <w:lang w:eastAsia="zh-CN"/>
        </w:rPr>
        <w:t>住户调查工作。</w:t>
      </w:r>
      <w:r>
        <w:rPr>
          <w:rFonts w:hint="eastAsia" w:ascii="仿宋_GB2312" w:hAnsi="仿宋_GB2312" w:eastAsia="仿宋_GB2312" w:cs="仿宋_GB2312"/>
          <w:b w:val="0"/>
          <w:bCs w:val="0"/>
          <w:color w:val="000000"/>
          <w:sz w:val="32"/>
          <w:szCs w:val="32"/>
          <w:lang w:val="en-US" w:eastAsia="zh-CN"/>
        </w:rPr>
        <w:t>定期</w:t>
      </w:r>
      <w:r>
        <w:rPr>
          <w:rFonts w:hint="eastAsia" w:ascii="仿宋_GB2312" w:hAnsi="仿宋_GB2312" w:eastAsia="仿宋_GB2312" w:cs="仿宋_GB2312"/>
          <w:b w:val="0"/>
          <w:bCs w:val="0"/>
          <w:color w:val="auto"/>
          <w:sz w:val="32"/>
          <w:szCs w:val="32"/>
          <w:lang w:val="en-US" w:eastAsia="zh-CN"/>
        </w:rPr>
        <w:t>召</w:t>
      </w:r>
      <w:r>
        <w:rPr>
          <w:rFonts w:hint="eastAsia" w:ascii="仿宋_GB2312" w:hAnsi="仿宋_GB2312" w:eastAsia="仿宋_GB2312" w:cs="仿宋_GB2312"/>
          <w:color w:val="auto"/>
          <w:sz w:val="32"/>
          <w:szCs w:val="32"/>
          <w:lang w:val="en-US" w:eastAsia="zh-CN"/>
        </w:rPr>
        <w:t>开住户调查业务培训会、年中工作推进会，联合县人社局、科农局深入调查点检查指导工作4次，全覆盖到15个调查点开展业务培训，以夯实基层基础工作，提升辅调员业务水平。对150户进行电话抽查，提升电话回访质量。今年以来电子记账户由89户增加至95户，电子记账率由59.3%提高至63.3%。</w:t>
      </w:r>
    </w:p>
    <w:p>
      <w:pPr>
        <w:keepNext w:val="0"/>
        <w:keepLines w:val="0"/>
        <w:pageBreakBefore w:val="0"/>
        <w:kinsoku/>
        <w:wordWrap/>
        <w:overflowPunct/>
        <w:topLinePunct w:val="0"/>
        <w:autoSpaceDN/>
        <w:bidi w:val="0"/>
        <w:adjustRightInd/>
        <w:snapToGrid/>
        <w:spacing w:line="540" w:lineRule="exact"/>
        <w:ind w:firstLine="642"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有序推进普查</w:t>
      </w:r>
      <w:r>
        <w:rPr>
          <w:rFonts w:hint="eastAsia" w:ascii="仿宋_GB2312" w:hAnsi="仿宋_GB2312" w:eastAsia="仿宋_GB2312" w:cs="仿宋_GB2312"/>
          <w:b/>
          <w:bCs/>
          <w:sz w:val="32"/>
          <w:szCs w:val="32"/>
          <w:lang w:eastAsia="zh-CN"/>
        </w:rPr>
        <w:t>工作。</w:t>
      </w:r>
      <w:r>
        <w:rPr>
          <w:rFonts w:hint="eastAsia" w:ascii="仿宋_GB2312" w:hAnsi="仿宋_GB2312" w:eastAsia="仿宋_GB2312" w:cs="仿宋_GB2312"/>
          <w:sz w:val="32"/>
          <w:szCs w:val="32"/>
          <w:lang w:val="en-US" w:eastAsia="zh-CN"/>
        </w:rPr>
        <w:t>完成</w:t>
      </w:r>
      <w:r>
        <w:rPr>
          <w:rFonts w:hint="eastAsia" w:ascii="仿宋_GB2312" w:hAnsi="仿宋_GB2312" w:eastAsia="仿宋_GB2312" w:cs="仿宋_GB2312"/>
          <w:b w:val="0"/>
          <w:bCs w:val="0"/>
          <w:sz w:val="32"/>
          <w:szCs w:val="32"/>
          <w:lang w:val="en-US" w:eastAsia="zh-CN"/>
        </w:rPr>
        <w:t>全国1%人口抽样调查</w:t>
      </w:r>
      <w:r>
        <w:rPr>
          <w:rFonts w:hint="eastAsia" w:ascii="仿宋_GB2312" w:hAnsi="仿宋_GB2312" w:eastAsia="仿宋_GB2312" w:cs="仿宋_GB2312"/>
          <w:sz w:val="32"/>
          <w:szCs w:val="32"/>
          <w:lang w:val="en-US" w:eastAsia="zh-CN"/>
        </w:rPr>
        <w:t>马甲、水杯、毛巾、背包等入户礼品购置及发放，制作藏汉双语短视频1期，落实普查指导员、普查员30余名。完成调查培训工作、样本抽查工作，于11月1日正式开展入户调查工作。完成我县第五次全国经济普查公报的草拟,进入资料编印阶段。</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en-US" w:eastAsia="zh-CN" w:bidi="ar-SA"/>
        </w:rPr>
        <w:t>2.</w:t>
      </w:r>
      <w:r>
        <w:rPr>
          <w:rFonts w:hint="default" w:ascii="Times New Roman" w:hAnsi="Times New Roman" w:eastAsia="仿宋_GB2312" w:cs="仿宋_GB2312"/>
          <w:color w:val="auto"/>
          <w:kern w:val="2"/>
          <w:sz w:val="32"/>
          <w:szCs w:val="32"/>
          <w:highlight w:val="none"/>
          <w:lang w:val="zh-CN" w:eastAsia="zh-CN" w:bidi="ar-SA"/>
        </w:rPr>
        <w:t>预算管理</w:t>
      </w:r>
      <w:r>
        <w:rPr>
          <w:rFonts w:hint="eastAsia" w:ascii="Times New Roman" w:hAnsi="Times New Roman" w:eastAsia="仿宋_GB2312" w:cs="仿宋_GB2312"/>
          <w:color w:val="auto"/>
          <w:kern w:val="2"/>
          <w:sz w:val="32"/>
          <w:szCs w:val="32"/>
          <w:highlight w:val="none"/>
          <w:lang w:val="zh-CN" w:eastAsia="zh-CN" w:bidi="ar-SA"/>
        </w:rPr>
        <w:t>。</w:t>
      </w:r>
      <w:r>
        <w:rPr>
          <w:rFonts w:hint="eastAsia" w:ascii="仿宋" w:hAnsi="仿宋" w:eastAsia="仿宋" w:cs="仿宋_GB2312"/>
          <w:color w:val="auto"/>
          <w:kern w:val="2"/>
          <w:sz w:val="32"/>
          <w:szCs w:val="32"/>
          <w:lang w:val="en-US" w:eastAsia="zh-CN" w:bidi="ar-SA"/>
        </w:rPr>
        <w:t>2025</w:t>
      </w:r>
      <w:r>
        <w:rPr>
          <w:rFonts w:hint="default" w:ascii="仿宋" w:hAnsi="仿宋" w:eastAsia="仿宋" w:cs="仿宋_GB2312"/>
          <w:color w:val="auto"/>
          <w:kern w:val="2"/>
          <w:sz w:val="32"/>
          <w:szCs w:val="32"/>
          <w:lang w:val="en-US" w:eastAsia="zh-CN" w:bidi="ar-SA"/>
        </w:rPr>
        <w:t>年</w:t>
      </w:r>
      <w:r>
        <w:rPr>
          <w:rFonts w:hint="eastAsia" w:ascii="仿宋" w:hAnsi="仿宋" w:eastAsia="仿宋" w:cs="仿宋_GB2312"/>
          <w:color w:val="auto"/>
          <w:kern w:val="2"/>
          <w:sz w:val="32"/>
          <w:szCs w:val="32"/>
          <w:lang w:val="en-US" w:eastAsia="zh-CN" w:bidi="ar-SA"/>
        </w:rPr>
        <w:t>年初</w:t>
      </w:r>
      <w:r>
        <w:rPr>
          <w:rFonts w:hint="default" w:ascii="仿宋" w:hAnsi="仿宋" w:eastAsia="仿宋" w:cs="仿宋_GB2312"/>
          <w:color w:val="auto"/>
          <w:kern w:val="2"/>
          <w:sz w:val="32"/>
          <w:szCs w:val="32"/>
          <w:lang w:val="en-US" w:eastAsia="zh-CN" w:bidi="ar-SA"/>
        </w:rPr>
        <w:t>财政下达壤塘县</w:t>
      </w:r>
      <w:r>
        <w:rPr>
          <w:rFonts w:hint="eastAsia" w:ascii="仿宋" w:hAnsi="仿宋" w:eastAsia="仿宋" w:cs="仿宋_GB2312"/>
          <w:color w:val="auto"/>
          <w:kern w:val="2"/>
          <w:sz w:val="32"/>
          <w:szCs w:val="32"/>
          <w:lang w:val="en-US" w:eastAsia="zh-CN" w:bidi="ar-SA"/>
        </w:rPr>
        <w:t>统计局</w:t>
      </w:r>
      <w:r>
        <w:rPr>
          <w:rFonts w:hint="default" w:ascii="仿宋" w:hAnsi="仿宋" w:eastAsia="仿宋" w:cs="仿宋_GB2312"/>
          <w:color w:val="auto"/>
          <w:kern w:val="2"/>
          <w:sz w:val="32"/>
          <w:szCs w:val="32"/>
          <w:lang w:val="en-US" w:eastAsia="zh-CN" w:bidi="ar-SA"/>
        </w:rPr>
        <w:t>年初预算收入</w:t>
      </w:r>
      <w:r>
        <w:rPr>
          <w:rFonts w:hint="eastAsia" w:ascii="仿宋" w:hAnsi="仿宋" w:eastAsia="仿宋" w:cs="仿宋_GB2312"/>
          <w:color w:val="auto"/>
          <w:kern w:val="2"/>
          <w:sz w:val="32"/>
          <w:szCs w:val="32"/>
          <w:lang w:val="en-US" w:eastAsia="zh-CN" w:bidi="ar-SA"/>
        </w:rPr>
        <w:t>271.43</w:t>
      </w:r>
      <w:r>
        <w:rPr>
          <w:rFonts w:hint="default" w:ascii="仿宋" w:hAnsi="仿宋" w:eastAsia="仿宋" w:cs="仿宋_GB2312"/>
          <w:color w:val="auto"/>
          <w:kern w:val="2"/>
          <w:sz w:val="32"/>
          <w:szCs w:val="32"/>
          <w:lang w:val="en-US" w:eastAsia="zh-CN" w:bidi="ar-SA"/>
        </w:rPr>
        <w:t>万元，执行期中追加收入</w:t>
      </w:r>
      <w:r>
        <w:rPr>
          <w:rFonts w:hint="eastAsia" w:ascii="仿宋" w:hAnsi="仿宋" w:eastAsia="仿宋" w:cs="仿宋_GB2312"/>
          <w:color w:val="auto"/>
          <w:kern w:val="2"/>
          <w:sz w:val="32"/>
          <w:szCs w:val="32"/>
          <w:lang w:val="en-US" w:eastAsia="zh-CN" w:bidi="ar-SA"/>
        </w:rPr>
        <w:t>231.4</w:t>
      </w:r>
      <w:r>
        <w:rPr>
          <w:rFonts w:hint="default" w:ascii="仿宋" w:hAnsi="仿宋" w:eastAsia="仿宋" w:cs="仿宋_GB2312"/>
          <w:color w:val="auto"/>
          <w:kern w:val="2"/>
          <w:sz w:val="32"/>
          <w:szCs w:val="32"/>
          <w:lang w:val="en-US" w:eastAsia="zh-CN" w:bidi="ar-SA"/>
        </w:rPr>
        <w:t>万元</w:t>
      </w:r>
      <w:r>
        <w:rPr>
          <w:rFonts w:hint="eastAsia" w:ascii="仿宋" w:hAnsi="仿宋" w:eastAsia="仿宋" w:cs="仿宋_GB2312"/>
          <w:color w:val="auto"/>
          <w:kern w:val="2"/>
          <w:sz w:val="32"/>
          <w:szCs w:val="32"/>
          <w:lang w:val="en-US" w:eastAsia="zh-CN" w:bidi="ar-SA"/>
        </w:rPr>
        <w:t>（含其他收入财政代管资金10.8万元）</w:t>
      </w:r>
      <w:r>
        <w:rPr>
          <w:rFonts w:hint="default" w:ascii="仿宋" w:hAnsi="仿宋" w:eastAsia="仿宋" w:cs="仿宋_GB2312"/>
          <w:color w:val="auto"/>
          <w:kern w:val="2"/>
          <w:sz w:val="32"/>
          <w:szCs w:val="32"/>
          <w:lang w:val="en-US" w:eastAsia="zh-CN" w:bidi="ar-SA"/>
        </w:rPr>
        <w:t>，全年实际收入</w:t>
      </w:r>
      <w:r>
        <w:rPr>
          <w:rFonts w:hint="eastAsia" w:ascii="仿宋" w:hAnsi="仿宋" w:eastAsia="仿宋" w:cs="仿宋_GB2312"/>
          <w:color w:val="auto"/>
          <w:kern w:val="2"/>
          <w:sz w:val="32"/>
          <w:szCs w:val="32"/>
          <w:lang w:val="en-US" w:eastAsia="zh-CN" w:bidi="ar-SA"/>
        </w:rPr>
        <w:t>502.83万元（含其他收入财政代管资金10.8万元）</w:t>
      </w:r>
      <w:r>
        <w:rPr>
          <w:rFonts w:hint="default" w:ascii="仿宋" w:hAnsi="仿宋" w:eastAsia="仿宋" w:cs="仿宋_GB2312"/>
          <w:color w:val="auto"/>
          <w:kern w:val="2"/>
          <w:sz w:val="32"/>
          <w:szCs w:val="32"/>
          <w:lang w:val="en-US" w:eastAsia="zh-CN" w:bidi="ar-SA"/>
        </w:rPr>
        <w:t>，年末结转结余</w:t>
      </w:r>
      <w:r>
        <w:rPr>
          <w:rFonts w:hint="eastAsia" w:ascii="仿宋" w:hAnsi="仿宋" w:eastAsia="仿宋" w:cs="仿宋_GB2312"/>
          <w:color w:val="auto"/>
          <w:kern w:val="2"/>
          <w:sz w:val="32"/>
          <w:szCs w:val="32"/>
          <w:lang w:val="en-US" w:eastAsia="zh-CN" w:bidi="ar-SA"/>
        </w:rPr>
        <w:t>5万元（主要是财政代管资金结余5万元）</w:t>
      </w:r>
      <w:r>
        <w:rPr>
          <w:rFonts w:hint="default" w:ascii="仿宋" w:hAnsi="仿宋" w:eastAsia="仿宋" w:cs="仿宋_GB2312"/>
          <w:color w:val="auto"/>
          <w:kern w:val="2"/>
          <w:sz w:val="32"/>
          <w:szCs w:val="32"/>
          <w:lang w:val="en-US" w:eastAsia="zh-CN" w:bidi="ar-SA"/>
        </w:rPr>
        <w:t>，</w:t>
      </w:r>
      <w:r>
        <w:rPr>
          <w:rFonts w:hint="eastAsia" w:ascii="仿宋" w:hAnsi="仿宋" w:eastAsia="仿宋" w:cs="仿宋_GB2312"/>
          <w:color w:val="auto"/>
          <w:kern w:val="2"/>
          <w:sz w:val="32"/>
          <w:szCs w:val="32"/>
          <w:lang w:val="en-US" w:eastAsia="zh-CN" w:bidi="ar-SA"/>
        </w:rPr>
        <w:t>执行中追加的金额主要是特定目标类项目追加。</w:t>
      </w:r>
      <w:r>
        <w:rPr>
          <w:rFonts w:hint="default" w:ascii="仿宋" w:hAnsi="仿宋" w:eastAsia="仿宋" w:cs="仿宋_GB2312"/>
          <w:color w:val="auto"/>
          <w:kern w:val="2"/>
          <w:sz w:val="32"/>
          <w:szCs w:val="32"/>
          <w:lang w:val="en-US" w:eastAsia="zh-CN" w:bidi="ar-SA"/>
        </w:rPr>
        <w:t>预算编制准确率较高。</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3.</w:t>
      </w:r>
      <w:r>
        <w:rPr>
          <w:rFonts w:hint="default" w:ascii="Times New Roman" w:hAnsi="Times New Roman" w:eastAsia="仿宋_GB2312" w:cs="仿宋_GB2312"/>
          <w:color w:val="auto"/>
          <w:kern w:val="2"/>
          <w:sz w:val="32"/>
          <w:szCs w:val="32"/>
          <w:highlight w:val="none"/>
          <w:lang w:val="zh-CN" w:eastAsia="zh-CN" w:bidi="ar-SA"/>
        </w:rPr>
        <w:t>财务管理</w:t>
      </w:r>
      <w:r>
        <w:rPr>
          <w:rFonts w:hint="eastAsia" w:ascii="Times New Roman" w:hAnsi="Times New Roman" w:eastAsia="仿宋_GB2312" w:cs="仿宋_GB2312"/>
          <w:color w:val="auto"/>
          <w:kern w:val="2"/>
          <w:sz w:val="32"/>
          <w:szCs w:val="32"/>
          <w:highlight w:val="none"/>
          <w:lang w:val="zh-CN" w:eastAsia="zh-CN" w:bidi="ar-SA"/>
        </w:rPr>
        <w:t>。围绕财务管理制度、财务岗位设置、资金使用规范</w:t>
      </w:r>
      <w:r>
        <w:rPr>
          <w:rFonts w:hint="default" w:ascii="Times New Roman" w:hAnsi="Times New Roman" w:eastAsia="仿宋_GB2312" w:cs="仿宋_GB2312"/>
          <w:color w:val="auto"/>
          <w:kern w:val="2"/>
          <w:sz w:val="32"/>
          <w:szCs w:val="32"/>
          <w:highlight w:val="none"/>
          <w:lang w:val="zh-CN" w:eastAsia="zh-CN" w:bidi="ar-SA"/>
        </w:rPr>
        <w:t>进行绩效分析</w:t>
      </w:r>
      <w:r>
        <w:rPr>
          <w:rFonts w:hint="eastAsia" w:ascii="Times New Roman" w:hAnsi="Times New Roman" w:eastAsia="仿宋_GB2312" w:cs="仿宋_GB2312"/>
          <w:color w:val="auto"/>
          <w:kern w:val="2"/>
          <w:sz w:val="32"/>
          <w:szCs w:val="32"/>
          <w:highlight w:val="none"/>
          <w:lang w:val="zh-CN" w:eastAsia="zh-CN" w:bidi="ar-SA"/>
        </w:rPr>
        <w:t>。</w:t>
      </w:r>
    </w:p>
    <w:p>
      <w:pPr>
        <w:pStyle w:val="9"/>
        <w:keepNext w:val="0"/>
        <w:keepLines w:val="0"/>
        <w:pageBreakBefore w:val="0"/>
        <w:numPr>
          <w:ilvl w:val="0"/>
          <w:numId w:val="0"/>
        </w:numPr>
        <w:kinsoku/>
        <w:wordWrap/>
        <w:overflowPunct/>
        <w:topLinePunct w:val="0"/>
        <w:autoSpaceDE/>
        <w:autoSpaceDN/>
        <w:bidi w:val="0"/>
        <w:spacing w:line="560" w:lineRule="exact"/>
        <w:ind w:firstLine="640" w:firstLineChars="20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4.</w:t>
      </w:r>
      <w:r>
        <w:rPr>
          <w:rFonts w:hint="default" w:ascii="Times New Roman" w:hAnsi="Times New Roman" w:eastAsia="仿宋_GB2312" w:cs="仿宋_GB2312"/>
          <w:color w:val="auto"/>
          <w:kern w:val="2"/>
          <w:sz w:val="32"/>
          <w:szCs w:val="32"/>
          <w:highlight w:val="none"/>
          <w:lang w:val="zh-CN" w:eastAsia="zh-CN" w:bidi="ar-SA"/>
        </w:rPr>
        <w:t>资产管理</w:t>
      </w:r>
      <w:r>
        <w:rPr>
          <w:rFonts w:hint="eastAsia" w:ascii="Times New Roman" w:hAnsi="Times New Roman" w:eastAsia="仿宋_GB2312" w:cs="仿宋_GB2312"/>
          <w:color w:val="auto"/>
          <w:kern w:val="2"/>
          <w:sz w:val="32"/>
          <w:szCs w:val="32"/>
          <w:highlight w:val="none"/>
          <w:lang w:val="zh-CN" w:eastAsia="zh-CN" w:bidi="ar-SA"/>
        </w:rPr>
        <w:t>。</w:t>
      </w:r>
      <w:r>
        <w:rPr>
          <w:rFonts w:hint="default" w:ascii="仿宋" w:hAnsi="仿宋" w:eastAsia="仿宋" w:cs="仿宋_GB2312"/>
          <w:color w:val="auto"/>
          <w:kern w:val="2"/>
          <w:sz w:val="32"/>
          <w:szCs w:val="32"/>
          <w:lang w:val="en-US" w:eastAsia="zh-CN" w:bidi="ar-SA"/>
        </w:rPr>
        <w:t>截</w:t>
      </w:r>
      <w:r>
        <w:rPr>
          <w:rFonts w:hint="eastAsia" w:ascii="仿宋" w:hAnsi="仿宋" w:eastAsia="仿宋" w:cs="仿宋_GB2312"/>
          <w:color w:val="auto"/>
          <w:kern w:val="2"/>
          <w:sz w:val="32"/>
          <w:szCs w:val="32"/>
          <w:lang w:val="en-US" w:eastAsia="zh-CN" w:bidi="ar-SA"/>
        </w:rPr>
        <w:t>至2025</w:t>
      </w:r>
      <w:r>
        <w:rPr>
          <w:rFonts w:hint="default" w:ascii="仿宋" w:hAnsi="仿宋" w:eastAsia="仿宋" w:cs="仿宋_GB2312"/>
          <w:color w:val="auto"/>
          <w:kern w:val="2"/>
          <w:sz w:val="32"/>
          <w:szCs w:val="32"/>
          <w:lang w:val="en-US" w:eastAsia="zh-CN" w:bidi="ar-SA"/>
        </w:rPr>
        <w:t>年12月31日，壤塘县</w:t>
      </w:r>
      <w:r>
        <w:rPr>
          <w:rFonts w:hint="eastAsia" w:ascii="仿宋" w:hAnsi="仿宋" w:eastAsia="仿宋" w:cs="仿宋_GB2312"/>
          <w:color w:val="auto"/>
          <w:kern w:val="2"/>
          <w:sz w:val="32"/>
          <w:szCs w:val="32"/>
          <w:lang w:val="en-US" w:eastAsia="zh-CN" w:bidi="ar-SA"/>
        </w:rPr>
        <w:t>统计局</w:t>
      </w:r>
      <w:r>
        <w:rPr>
          <w:rFonts w:hint="default" w:ascii="仿宋" w:hAnsi="仿宋" w:eastAsia="仿宋" w:cs="仿宋_GB2312"/>
          <w:color w:val="auto"/>
          <w:kern w:val="2"/>
          <w:sz w:val="32"/>
          <w:szCs w:val="32"/>
          <w:lang w:val="en-US" w:eastAsia="zh-CN" w:bidi="ar-SA"/>
        </w:rPr>
        <w:t>《行政单位资产管理系统》固定资产总计</w:t>
      </w:r>
      <w:r>
        <w:rPr>
          <w:rFonts w:hint="eastAsia" w:ascii="仿宋" w:hAnsi="仿宋" w:eastAsia="仿宋" w:cs="仿宋_GB2312"/>
          <w:color w:val="auto"/>
          <w:kern w:val="2"/>
          <w:sz w:val="32"/>
          <w:szCs w:val="32"/>
          <w:lang w:val="en-US" w:eastAsia="zh-CN" w:bidi="ar-SA"/>
        </w:rPr>
        <w:t>176.97</w:t>
      </w:r>
      <w:r>
        <w:rPr>
          <w:rFonts w:hint="default" w:ascii="仿宋" w:hAnsi="仿宋" w:eastAsia="仿宋" w:cs="仿宋_GB2312"/>
          <w:color w:val="auto"/>
          <w:kern w:val="2"/>
          <w:sz w:val="32"/>
          <w:szCs w:val="32"/>
          <w:lang w:val="en-US" w:eastAsia="zh-CN" w:bidi="ar-SA"/>
        </w:rPr>
        <w:t>万元，在用的固定资产总计</w:t>
      </w:r>
      <w:r>
        <w:rPr>
          <w:rFonts w:hint="eastAsia" w:ascii="仿宋" w:hAnsi="仿宋" w:eastAsia="仿宋" w:cs="仿宋_GB2312"/>
          <w:color w:val="auto"/>
          <w:kern w:val="2"/>
          <w:sz w:val="32"/>
          <w:szCs w:val="32"/>
          <w:lang w:val="en-US" w:eastAsia="zh-CN" w:bidi="ar-SA"/>
        </w:rPr>
        <w:t>119.98</w:t>
      </w:r>
      <w:r>
        <w:rPr>
          <w:rFonts w:hint="default" w:ascii="仿宋" w:hAnsi="仿宋" w:eastAsia="仿宋" w:cs="仿宋_GB2312"/>
          <w:color w:val="auto"/>
          <w:kern w:val="2"/>
          <w:sz w:val="32"/>
          <w:szCs w:val="32"/>
          <w:lang w:val="en-US" w:eastAsia="zh-CN" w:bidi="ar-SA"/>
        </w:rPr>
        <w:t>万元，固定资产在用率</w:t>
      </w:r>
      <w:r>
        <w:rPr>
          <w:rFonts w:hint="eastAsia" w:ascii="仿宋" w:hAnsi="仿宋" w:eastAsia="仿宋" w:cs="仿宋_GB2312"/>
          <w:color w:val="auto"/>
          <w:kern w:val="2"/>
          <w:sz w:val="32"/>
          <w:szCs w:val="32"/>
          <w:lang w:val="en-US" w:eastAsia="zh-CN" w:bidi="ar-SA"/>
        </w:rPr>
        <w:t>67.8</w:t>
      </w:r>
      <w:r>
        <w:rPr>
          <w:rFonts w:hint="default" w:ascii="仿宋" w:hAnsi="仿宋" w:eastAsia="仿宋" w:cs="仿宋_GB2312"/>
          <w:color w:val="auto"/>
          <w:kern w:val="2"/>
          <w:sz w:val="32"/>
          <w:szCs w:val="32"/>
          <w:lang w:val="en-US" w:eastAsia="zh-CN" w:bidi="ar-SA"/>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2"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rPr>
        <w:t>（二）部门预算项目绩效分析。</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en-US" w:eastAsia="zh-CN" w:bidi="ar-SA"/>
        </w:rPr>
        <w:t>常年项目绩效分析。</w:t>
      </w:r>
      <w:r>
        <w:rPr>
          <w:rFonts w:hint="default" w:ascii="Times New Roman" w:hAnsi="Times New Roman" w:eastAsia="仿宋_GB2312" w:cs="仿宋_GB2312"/>
          <w:color w:val="auto"/>
          <w:kern w:val="2"/>
          <w:sz w:val="32"/>
          <w:szCs w:val="32"/>
          <w:highlight w:val="none"/>
          <w:lang w:val="zh-CN" w:eastAsia="zh-CN" w:bidi="ar-SA"/>
        </w:rPr>
        <w:t>该类项目总数</w:t>
      </w:r>
      <w:r>
        <w:rPr>
          <w:rFonts w:hint="eastAsia" w:eastAsia="仿宋_GB2312" w:cs="仿宋_GB2312"/>
          <w:color w:val="auto"/>
          <w:kern w:val="2"/>
          <w:sz w:val="32"/>
          <w:szCs w:val="32"/>
          <w:highlight w:val="none"/>
          <w:lang w:val="en-US" w:eastAsia="zh-CN" w:bidi="ar-SA"/>
        </w:rPr>
        <w:t>5</w:t>
      </w:r>
      <w:r>
        <w:rPr>
          <w:rFonts w:hint="default" w:ascii="Times New Roman" w:hAnsi="Times New Roman" w:eastAsia="仿宋_GB2312" w:cs="仿宋_GB2312"/>
          <w:color w:val="auto"/>
          <w:kern w:val="2"/>
          <w:sz w:val="32"/>
          <w:szCs w:val="32"/>
          <w:highlight w:val="none"/>
          <w:lang w:val="zh-CN" w:eastAsia="zh-CN" w:bidi="ar-SA"/>
        </w:rPr>
        <w:t>个，涉及预算总金额</w:t>
      </w:r>
      <w:r>
        <w:rPr>
          <w:rFonts w:hint="eastAsia" w:eastAsia="仿宋_GB2312" w:cs="仿宋_GB2312"/>
          <w:color w:val="auto"/>
          <w:kern w:val="2"/>
          <w:sz w:val="32"/>
          <w:szCs w:val="32"/>
          <w:highlight w:val="none"/>
          <w:lang w:val="en-US" w:eastAsia="zh-CN" w:bidi="ar-SA"/>
        </w:rPr>
        <w:t>138.94</w:t>
      </w:r>
      <w:r>
        <w:rPr>
          <w:rFonts w:hint="default" w:ascii="Times New Roman" w:hAnsi="Times New Roman" w:eastAsia="仿宋_GB2312" w:cs="仿宋_GB2312"/>
          <w:color w:val="auto"/>
          <w:kern w:val="2"/>
          <w:sz w:val="32"/>
          <w:szCs w:val="32"/>
          <w:highlight w:val="none"/>
          <w:lang w:val="zh-CN" w:eastAsia="zh-CN" w:bidi="ar-SA"/>
        </w:rPr>
        <w:t>万元，1</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1</w:t>
      </w:r>
      <w:r>
        <w:rPr>
          <w:rFonts w:hint="default" w:ascii="Times New Roman" w:hAnsi="Times New Roman" w:eastAsia="仿宋_GB2312" w:cs="仿宋_GB2312"/>
          <w:color w:val="auto"/>
          <w:kern w:val="2"/>
          <w:sz w:val="32"/>
          <w:szCs w:val="32"/>
          <w:highlight w:val="none"/>
          <w:lang w:val="en-US" w:eastAsia="zh-CN" w:bidi="ar-SA"/>
        </w:rPr>
        <w:t>2</w:t>
      </w:r>
      <w:r>
        <w:rPr>
          <w:rFonts w:hint="default" w:ascii="Times New Roman" w:hAnsi="Times New Roman" w:eastAsia="仿宋_GB2312" w:cs="仿宋_GB2312"/>
          <w:color w:val="auto"/>
          <w:kern w:val="2"/>
          <w:sz w:val="32"/>
          <w:szCs w:val="32"/>
          <w:highlight w:val="none"/>
          <w:lang w:val="zh-CN" w:eastAsia="zh-CN" w:bidi="ar-SA"/>
        </w:rPr>
        <w:t>月预算执行总体进度为</w:t>
      </w:r>
      <w:r>
        <w:rPr>
          <w:rFonts w:hint="eastAsia" w:eastAsia="仿宋_GB2312" w:cs="仿宋_GB2312"/>
          <w:color w:val="auto"/>
          <w:kern w:val="2"/>
          <w:sz w:val="32"/>
          <w:szCs w:val="32"/>
          <w:highlight w:val="none"/>
          <w:lang w:val="en-US" w:eastAsia="zh-CN" w:bidi="ar-SA"/>
        </w:rPr>
        <w:t>91.9</w:t>
      </w:r>
      <w:r>
        <w:rPr>
          <w:rFonts w:hint="default" w:ascii="Times New Roman" w:hAnsi="Times New Roman" w:eastAsia="仿宋_GB2312" w:cs="仿宋_GB2312"/>
          <w:color w:val="auto"/>
          <w:kern w:val="2"/>
          <w:sz w:val="32"/>
          <w:szCs w:val="32"/>
          <w:highlight w:val="none"/>
          <w:lang w:val="zh-CN" w:eastAsia="zh-CN" w:bidi="ar-SA"/>
        </w:rPr>
        <w:t>%，其中：预算结余率大于</w:t>
      </w:r>
      <w:r>
        <w:rPr>
          <w:rFonts w:hint="default" w:ascii="Times New Roman" w:hAnsi="Times New Roman" w:eastAsia="仿宋_GB2312" w:cs="仿宋_GB2312"/>
          <w:color w:val="auto"/>
          <w:kern w:val="2"/>
          <w:sz w:val="32"/>
          <w:szCs w:val="32"/>
          <w:highlight w:val="none"/>
          <w:lang w:val="en-US" w:eastAsia="zh-CN" w:bidi="ar-SA"/>
        </w:rPr>
        <w:t>10%</w:t>
      </w:r>
      <w:r>
        <w:rPr>
          <w:rFonts w:hint="default" w:ascii="Times New Roman" w:hAnsi="Times New Roman" w:eastAsia="仿宋_GB2312" w:cs="仿宋_GB2312"/>
          <w:color w:val="auto"/>
          <w:kern w:val="2"/>
          <w:sz w:val="32"/>
          <w:szCs w:val="32"/>
          <w:highlight w:val="none"/>
          <w:lang w:val="zh-CN" w:eastAsia="zh-CN" w:bidi="ar-SA"/>
        </w:rPr>
        <w:t>的项目共计</w:t>
      </w:r>
      <w:r>
        <w:rPr>
          <w:rFonts w:hint="eastAsia" w:eastAsia="仿宋_GB2312" w:cs="仿宋_GB2312"/>
          <w:color w:val="auto"/>
          <w:kern w:val="2"/>
          <w:sz w:val="32"/>
          <w:szCs w:val="32"/>
          <w:highlight w:val="none"/>
          <w:lang w:val="en-US" w:eastAsia="zh-CN" w:bidi="ar-SA"/>
        </w:rPr>
        <w:t>1</w:t>
      </w:r>
      <w:r>
        <w:rPr>
          <w:rFonts w:hint="default" w:ascii="Times New Roman" w:hAnsi="Times New Roman" w:eastAsia="仿宋_GB2312" w:cs="仿宋_GB2312"/>
          <w:color w:val="auto"/>
          <w:kern w:val="2"/>
          <w:sz w:val="32"/>
          <w:szCs w:val="32"/>
          <w:highlight w:val="none"/>
          <w:lang w:val="zh-CN" w:eastAsia="zh-CN" w:bidi="ar-SA"/>
        </w:rPr>
        <w:t>个。</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en-US" w:eastAsia="zh-CN" w:bidi="ar-SA"/>
        </w:rPr>
        <w:t>阶段</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en-US" w:eastAsia="zh-CN" w:bidi="ar-SA"/>
        </w:rPr>
        <w:t>一次性</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en-US" w:eastAsia="zh-CN" w:bidi="ar-SA"/>
        </w:rPr>
        <w:t>项目绩效分析。</w:t>
      </w:r>
      <w:r>
        <w:rPr>
          <w:rFonts w:hint="default" w:ascii="Times New Roman" w:hAnsi="Times New Roman" w:eastAsia="仿宋_GB2312" w:cs="仿宋_GB2312"/>
          <w:color w:val="auto"/>
          <w:kern w:val="2"/>
          <w:sz w:val="32"/>
          <w:szCs w:val="32"/>
          <w:highlight w:val="none"/>
          <w:lang w:val="zh-CN" w:eastAsia="zh-CN" w:bidi="ar-SA"/>
        </w:rPr>
        <w:t>该类项目总数</w:t>
      </w:r>
      <w:r>
        <w:rPr>
          <w:rFonts w:hint="eastAsia" w:eastAsia="仿宋_GB2312" w:cs="仿宋_GB2312"/>
          <w:color w:val="auto"/>
          <w:kern w:val="2"/>
          <w:sz w:val="32"/>
          <w:szCs w:val="32"/>
          <w:highlight w:val="none"/>
          <w:lang w:val="en-US" w:eastAsia="zh-CN" w:bidi="ar-SA"/>
        </w:rPr>
        <w:t>4</w:t>
      </w:r>
      <w:r>
        <w:rPr>
          <w:rFonts w:hint="default" w:ascii="Times New Roman" w:hAnsi="Times New Roman" w:eastAsia="仿宋_GB2312" w:cs="仿宋_GB2312"/>
          <w:color w:val="auto"/>
          <w:kern w:val="2"/>
          <w:sz w:val="32"/>
          <w:szCs w:val="32"/>
          <w:highlight w:val="none"/>
          <w:lang w:val="zh-CN" w:eastAsia="zh-CN" w:bidi="ar-SA"/>
        </w:rPr>
        <w:t>个，涉及预算总金额</w:t>
      </w:r>
      <w:r>
        <w:rPr>
          <w:rFonts w:hint="eastAsia" w:eastAsia="仿宋_GB2312" w:cs="仿宋_GB2312"/>
          <w:color w:val="auto"/>
          <w:kern w:val="2"/>
          <w:sz w:val="32"/>
          <w:szCs w:val="32"/>
          <w:highlight w:val="none"/>
          <w:lang w:val="en-US" w:eastAsia="zh-CN" w:bidi="ar-SA"/>
        </w:rPr>
        <w:t>12.11</w:t>
      </w:r>
      <w:r>
        <w:rPr>
          <w:rFonts w:hint="default" w:ascii="Times New Roman" w:hAnsi="Times New Roman" w:eastAsia="仿宋_GB2312" w:cs="仿宋_GB2312"/>
          <w:color w:val="auto"/>
          <w:kern w:val="2"/>
          <w:sz w:val="32"/>
          <w:szCs w:val="32"/>
          <w:highlight w:val="none"/>
          <w:lang w:val="zh-CN" w:eastAsia="zh-CN" w:bidi="ar-SA"/>
        </w:rPr>
        <w:t>万元，1</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1</w:t>
      </w:r>
      <w:r>
        <w:rPr>
          <w:rFonts w:hint="default" w:ascii="Times New Roman" w:hAnsi="Times New Roman" w:eastAsia="仿宋_GB2312" w:cs="仿宋_GB2312"/>
          <w:color w:val="auto"/>
          <w:kern w:val="2"/>
          <w:sz w:val="32"/>
          <w:szCs w:val="32"/>
          <w:highlight w:val="none"/>
          <w:lang w:val="en-US" w:eastAsia="zh-CN" w:bidi="ar-SA"/>
        </w:rPr>
        <w:t>2</w:t>
      </w:r>
      <w:r>
        <w:rPr>
          <w:rFonts w:hint="default" w:ascii="Times New Roman" w:hAnsi="Times New Roman" w:eastAsia="仿宋_GB2312" w:cs="仿宋_GB2312"/>
          <w:color w:val="auto"/>
          <w:kern w:val="2"/>
          <w:sz w:val="32"/>
          <w:szCs w:val="32"/>
          <w:highlight w:val="none"/>
          <w:lang w:val="zh-CN" w:eastAsia="zh-CN" w:bidi="ar-SA"/>
        </w:rPr>
        <w:t>月预算执行总体进度为</w:t>
      </w:r>
      <w:r>
        <w:rPr>
          <w:rFonts w:hint="eastAsia" w:eastAsia="仿宋_GB2312" w:cs="仿宋_GB2312"/>
          <w:color w:val="auto"/>
          <w:kern w:val="2"/>
          <w:sz w:val="32"/>
          <w:szCs w:val="32"/>
          <w:highlight w:val="none"/>
          <w:lang w:val="en-US" w:eastAsia="zh-CN" w:bidi="ar-SA"/>
        </w:rPr>
        <w:t>98.9</w:t>
      </w:r>
      <w:r>
        <w:rPr>
          <w:rFonts w:hint="default" w:ascii="Times New Roman" w:hAnsi="Times New Roman" w:eastAsia="仿宋_GB2312" w:cs="仿宋_GB2312"/>
          <w:color w:val="auto"/>
          <w:kern w:val="2"/>
          <w:sz w:val="32"/>
          <w:szCs w:val="32"/>
          <w:highlight w:val="none"/>
          <w:lang w:val="zh-CN" w:eastAsia="zh-CN" w:bidi="ar-SA"/>
        </w:rPr>
        <w:t>%，其中：预算结余率大于</w:t>
      </w:r>
      <w:r>
        <w:rPr>
          <w:rFonts w:hint="default" w:ascii="Times New Roman" w:hAnsi="Times New Roman" w:eastAsia="仿宋_GB2312" w:cs="仿宋_GB2312"/>
          <w:color w:val="auto"/>
          <w:kern w:val="2"/>
          <w:sz w:val="32"/>
          <w:szCs w:val="32"/>
          <w:highlight w:val="none"/>
          <w:lang w:val="en-US" w:eastAsia="zh-CN" w:bidi="ar-SA"/>
        </w:rPr>
        <w:t>10%</w:t>
      </w:r>
      <w:r>
        <w:rPr>
          <w:rFonts w:hint="default" w:ascii="Times New Roman" w:hAnsi="Times New Roman" w:eastAsia="仿宋_GB2312" w:cs="仿宋_GB2312"/>
          <w:color w:val="auto"/>
          <w:kern w:val="2"/>
          <w:sz w:val="32"/>
          <w:szCs w:val="32"/>
          <w:highlight w:val="none"/>
          <w:lang w:val="zh-CN" w:eastAsia="zh-CN" w:bidi="ar-SA"/>
        </w:rPr>
        <w:t>的项目共计</w:t>
      </w:r>
      <w:r>
        <w:rPr>
          <w:rFonts w:hint="eastAsia" w:eastAsia="仿宋_GB2312" w:cs="仿宋_GB2312"/>
          <w:color w:val="auto"/>
          <w:kern w:val="2"/>
          <w:sz w:val="32"/>
          <w:szCs w:val="32"/>
          <w:highlight w:val="none"/>
          <w:lang w:val="en-US" w:eastAsia="zh-CN" w:bidi="ar-SA"/>
        </w:rPr>
        <w:t>0</w:t>
      </w:r>
      <w:r>
        <w:rPr>
          <w:rFonts w:hint="default" w:ascii="Times New Roman" w:hAnsi="Times New Roman" w:eastAsia="仿宋_GB2312" w:cs="仿宋_GB2312"/>
          <w:color w:val="auto"/>
          <w:kern w:val="2"/>
          <w:sz w:val="32"/>
          <w:szCs w:val="32"/>
          <w:highlight w:val="none"/>
          <w:lang w:val="zh-CN" w:eastAsia="zh-CN" w:bidi="ar-SA"/>
        </w:rPr>
        <w:t>个。</w:t>
      </w:r>
    </w:p>
    <w:p>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sz w:val="32"/>
          <w:szCs w:val="32"/>
          <w:highlight w:val="none"/>
          <w:lang w:val="zh-CN" w:eastAsia="zh-CN"/>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zh-CN" w:eastAsia="zh-CN" w:bidi="ar-SA"/>
        </w:rPr>
        <w:t>项目决策。</w:t>
      </w:r>
      <w:r>
        <w:rPr>
          <w:rFonts w:hint="eastAsia" w:ascii="Times New Roman" w:hAnsi="Times New Roman" w:eastAsia="仿宋_GB2312" w:cs="Times New Roman"/>
          <w:sz w:val="32"/>
          <w:szCs w:val="32"/>
          <w:highlight w:val="none"/>
          <w:lang w:val="en-US" w:eastAsia="zh-CN"/>
        </w:rPr>
        <w:t>202</w:t>
      </w:r>
      <w:r>
        <w:rPr>
          <w:rFonts w:hint="eastAsia" w:eastAsia="仿宋_GB2312" w:cs="Times New Roman"/>
          <w:sz w:val="32"/>
          <w:szCs w:val="32"/>
          <w:highlight w:val="none"/>
          <w:lang w:val="en-US" w:eastAsia="zh-CN"/>
        </w:rPr>
        <w:t>5</w:t>
      </w:r>
      <w:r>
        <w:rPr>
          <w:rFonts w:hint="eastAsia" w:ascii="Times New Roman" w:hAnsi="Times New Roman" w:eastAsia="仿宋_GB2312" w:cs="Times New Roman"/>
          <w:sz w:val="32"/>
          <w:szCs w:val="32"/>
          <w:highlight w:val="none"/>
          <w:lang w:val="en-US" w:eastAsia="zh-CN"/>
        </w:rPr>
        <w:t>年统计局常年预算项目主要是：城乡一体化住户调查、劳动力调查、统计内网运行维护、首席统计师与协统员制度、统计工作运转经费以上</w:t>
      </w:r>
      <w:r>
        <w:rPr>
          <w:rFonts w:hint="eastAsia" w:eastAsia="仿宋_GB2312" w:cs="Times New Roman"/>
          <w:sz w:val="32"/>
          <w:szCs w:val="32"/>
          <w:highlight w:val="none"/>
          <w:lang w:val="en-US" w:eastAsia="zh-CN"/>
        </w:rPr>
        <w:t>5</w:t>
      </w:r>
      <w:r>
        <w:rPr>
          <w:rFonts w:hint="eastAsia" w:ascii="Times New Roman" w:hAnsi="Times New Roman" w:eastAsia="仿宋_GB2312" w:cs="Times New Roman"/>
          <w:sz w:val="32"/>
          <w:szCs w:val="32"/>
          <w:highlight w:val="none"/>
          <w:lang w:val="en-US" w:eastAsia="zh-CN"/>
        </w:rPr>
        <w:t>个项目，项目设置主要是在统计抽样调查、全面调查、各项普查以及在日常统计工作中所需要的项目资金安排。设置以上项目主要目标就是能够准确、完整、高质量的完成各项统计报表工作，及时发布统计数据，为政府决策提供依据。</w:t>
      </w:r>
    </w:p>
    <w:p>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sz w:val="32"/>
          <w:szCs w:val="32"/>
          <w:highlight w:val="none"/>
          <w:lang w:val="zh-CN" w:eastAsia="zh-CN"/>
        </w:rPr>
      </w:pPr>
      <w:r>
        <w:rPr>
          <w:rFonts w:hint="eastAsia" w:ascii="Times New Roman" w:hAnsi="Times New Roman" w:eastAsia="仿宋_GB2312" w:cs="仿宋_GB2312"/>
          <w:color w:val="auto"/>
          <w:kern w:val="2"/>
          <w:sz w:val="32"/>
          <w:szCs w:val="32"/>
          <w:highlight w:val="none"/>
          <w:lang w:val="en-US" w:eastAsia="zh-CN" w:bidi="ar-SA"/>
        </w:rPr>
        <w:t>2.项目执行</w:t>
      </w:r>
      <w:r>
        <w:rPr>
          <w:rFonts w:hint="eastAsia" w:ascii="Times New Roman" w:hAnsi="Times New Roman" w:eastAsia="仿宋_GB2312" w:cs="仿宋_GB2312"/>
          <w:color w:val="auto"/>
          <w:kern w:val="2"/>
          <w:sz w:val="32"/>
          <w:szCs w:val="32"/>
          <w:highlight w:val="none"/>
          <w:lang w:val="zh-CN" w:eastAsia="zh-CN" w:bidi="ar-SA"/>
        </w:rPr>
        <w:t>。</w:t>
      </w:r>
      <w:r>
        <w:rPr>
          <w:rFonts w:hint="eastAsia" w:ascii="Times New Roman" w:hAnsi="Times New Roman" w:eastAsia="仿宋_GB2312" w:cs="Times New Roman"/>
          <w:sz w:val="32"/>
          <w:szCs w:val="32"/>
          <w:highlight w:val="none"/>
          <w:lang w:val="en-US" w:eastAsia="zh-CN"/>
        </w:rPr>
        <w:t>202</w:t>
      </w:r>
      <w:r>
        <w:rPr>
          <w:rFonts w:hint="eastAsia" w:eastAsia="仿宋_GB2312" w:cs="Times New Roman"/>
          <w:sz w:val="32"/>
          <w:szCs w:val="32"/>
          <w:highlight w:val="none"/>
          <w:lang w:val="en-US" w:eastAsia="zh-CN"/>
        </w:rPr>
        <w:t>5</w:t>
      </w:r>
      <w:r>
        <w:rPr>
          <w:rFonts w:hint="eastAsia" w:ascii="Times New Roman" w:hAnsi="Times New Roman" w:eastAsia="仿宋_GB2312" w:cs="Times New Roman"/>
          <w:sz w:val="32"/>
          <w:szCs w:val="32"/>
          <w:highlight w:val="none"/>
          <w:lang w:val="en-US" w:eastAsia="zh-CN"/>
        </w:rPr>
        <w:t>年项目常年以上</w:t>
      </w:r>
      <w:r>
        <w:rPr>
          <w:rFonts w:hint="eastAsia" w:eastAsia="仿宋_GB2312" w:cs="Times New Roman"/>
          <w:sz w:val="32"/>
          <w:szCs w:val="32"/>
          <w:highlight w:val="none"/>
          <w:lang w:val="en-US" w:eastAsia="zh-CN"/>
        </w:rPr>
        <w:t>5个</w:t>
      </w:r>
      <w:r>
        <w:rPr>
          <w:rFonts w:hint="eastAsia" w:ascii="Times New Roman" w:hAnsi="Times New Roman" w:eastAsia="仿宋_GB2312" w:cs="Times New Roman"/>
          <w:sz w:val="32"/>
          <w:szCs w:val="32"/>
          <w:highlight w:val="none"/>
          <w:lang w:val="en-US" w:eastAsia="zh-CN"/>
        </w:rPr>
        <w:t>项目下拨资金</w:t>
      </w:r>
      <w:r>
        <w:rPr>
          <w:rFonts w:hint="eastAsia" w:eastAsia="仿宋_GB2312" w:cs="Times New Roman"/>
          <w:sz w:val="32"/>
          <w:szCs w:val="32"/>
          <w:highlight w:val="none"/>
          <w:lang w:val="en-US" w:eastAsia="zh-CN"/>
        </w:rPr>
        <w:t>151.12</w:t>
      </w:r>
      <w:r>
        <w:rPr>
          <w:rFonts w:hint="eastAsia" w:ascii="Times New Roman" w:hAnsi="Times New Roman" w:eastAsia="仿宋_GB2312" w:cs="Times New Roman"/>
          <w:sz w:val="32"/>
          <w:szCs w:val="32"/>
          <w:highlight w:val="none"/>
          <w:lang w:val="en-US" w:eastAsia="zh-CN"/>
        </w:rPr>
        <w:t>万元，执行资金</w:t>
      </w:r>
      <w:r>
        <w:rPr>
          <w:rFonts w:hint="eastAsia" w:eastAsia="仿宋_GB2312" w:cs="Times New Roman"/>
          <w:sz w:val="32"/>
          <w:szCs w:val="32"/>
          <w:highlight w:val="none"/>
          <w:lang w:val="en-US" w:eastAsia="zh-CN"/>
        </w:rPr>
        <w:t>138.94</w:t>
      </w:r>
      <w:r>
        <w:rPr>
          <w:rFonts w:hint="eastAsia" w:ascii="Times New Roman" w:hAnsi="Times New Roman" w:eastAsia="仿宋_GB2312" w:cs="Times New Roman"/>
          <w:sz w:val="32"/>
          <w:szCs w:val="32"/>
          <w:highlight w:val="none"/>
          <w:lang w:val="en-US" w:eastAsia="zh-CN"/>
        </w:rPr>
        <w:t>万元，执行率9</w:t>
      </w:r>
      <w:r>
        <w:rPr>
          <w:rFonts w:hint="eastAsia" w:eastAsia="仿宋_GB2312" w:cs="Times New Roman"/>
          <w:sz w:val="32"/>
          <w:szCs w:val="32"/>
          <w:highlight w:val="none"/>
          <w:lang w:val="en-US" w:eastAsia="zh-CN"/>
        </w:rPr>
        <w:t>1.9</w:t>
      </w:r>
      <w:r>
        <w:rPr>
          <w:rFonts w:hint="eastAsia" w:ascii="Times New Roman" w:hAnsi="Times New Roman" w:eastAsia="仿宋_GB2312" w:cs="Times New Roman"/>
          <w:sz w:val="32"/>
          <w:szCs w:val="32"/>
          <w:highlight w:val="no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ascii="Times New Roman" w:hAnsi="Times New Roman" w:eastAsia="仿宋_GB2312" w:cs="Times New Roman"/>
          <w:sz w:val="32"/>
          <w:szCs w:val="32"/>
          <w:highlight w:val="none"/>
          <w:lang w:val="en-US" w:eastAsia="zh-CN"/>
        </w:rPr>
      </w:pPr>
      <w:r>
        <w:rPr>
          <w:rFonts w:hint="eastAsia" w:ascii="Times New Roman" w:hAnsi="Times New Roman"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zh-CN" w:eastAsia="zh-CN" w:bidi="ar-SA"/>
        </w:rPr>
        <w:t>目标实现。</w:t>
      </w:r>
      <w:r>
        <w:rPr>
          <w:rFonts w:hint="eastAsia" w:ascii="Times New Roman" w:hAnsi="Times New Roman" w:eastAsia="仿宋_GB2312" w:cs="Times New Roman"/>
          <w:sz w:val="32"/>
          <w:szCs w:val="32"/>
          <w:highlight w:val="none"/>
          <w:lang w:val="en-US" w:eastAsia="zh-CN"/>
        </w:rPr>
        <w:t>202</w:t>
      </w:r>
      <w:r>
        <w:rPr>
          <w:rFonts w:hint="eastAsia" w:eastAsia="仿宋_GB2312" w:cs="Times New Roman"/>
          <w:sz w:val="32"/>
          <w:szCs w:val="32"/>
          <w:highlight w:val="none"/>
          <w:lang w:val="en-US" w:eastAsia="zh-CN"/>
        </w:rPr>
        <w:t>5</w:t>
      </w:r>
      <w:r>
        <w:rPr>
          <w:rFonts w:hint="eastAsia" w:ascii="Times New Roman" w:hAnsi="Times New Roman" w:eastAsia="仿宋_GB2312" w:cs="Times New Roman"/>
          <w:sz w:val="32"/>
          <w:szCs w:val="32"/>
          <w:highlight w:val="none"/>
          <w:lang w:val="en-US" w:eastAsia="zh-CN"/>
        </w:rPr>
        <w:t>年圆满完成了各项统计调查、普查以及报表工作，各项目预算资金持续支出，部分项目资金本着节约原则略有结余，年末财政收回。</w:t>
      </w:r>
    </w:p>
    <w:p>
      <w:pPr>
        <w:pStyle w:val="38"/>
        <w:keepNext w:val="0"/>
        <w:keepLines w:val="0"/>
        <w:pageBreakBefore w:val="0"/>
        <w:kinsoku/>
        <w:wordWrap/>
        <w:overflowPunct/>
        <w:topLinePunct w:val="0"/>
        <w:autoSpaceDE/>
        <w:autoSpaceDN/>
        <w:bidi w:val="0"/>
        <w:spacing w:line="560" w:lineRule="exact"/>
        <w:ind w:left="0" w:leftChars="0" w:firstLine="642" w:firstLineChars="200"/>
        <w:jc w:val="both"/>
        <w:rPr>
          <w:rFonts w:hint="eastAsia" w:ascii="Times New Roman" w:hAnsi="Times New Roman" w:eastAsia="楷体_GB2312" w:cs="Times New Roman"/>
          <w:b/>
          <w:bCs/>
          <w:color w:val="000000"/>
          <w:kern w:val="0"/>
          <w:sz w:val="32"/>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w:t>
      </w:r>
      <w:r>
        <w:rPr>
          <w:rFonts w:hint="eastAsia" w:ascii="Times New Roman" w:hAnsi="Times New Roman" w:eastAsia="楷体_GB2312" w:cs="Times New Roman"/>
          <w:b/>
          <w:bCs/>
          <w:color w:val="000000"/>
          <w:kern w:val="0"/>
          <w:sz w:val="32"/>
          <w:szCs w:val="32"/>
          <w:highlight w:val="none"/>
          <w:shd w:val="clear" w:color="auto" w:fill="FFFFFF"/>
          <w:lang w:val="en-US" w:eastAsia="zh-CN"/>
        </w:rPr>
        <w:t>三</w:t>
      </w:r>
      <w:r>
        <w:rPr>
          <w:rFonts w:hint="default" w:ascii="Times New Roman" w:hAnsi="Times New Roman" w:eastAsia="楷体_GB2312" w:cs="Times New Roman"/>
          <w:b/>
          <w:bCs/>
          <w:color w:val="000000"/>
          <w:kern w:val="0"/>
          <w:sz w:val="32"/>
          <w:szCs w:val="32"/>
          <w:highlight w:val="none"/>
          <w:shd w:val="clear" w:color="auto" w:fill="FFFFFF"/>
          <w:lang w:val="zh-CN" w:eastAsia="zh-CN"/>
        </w:rPr>
        <w:t>）绩效结果应用情况</w:t>
      </w:r>
      <w:r>
        <w:rPr>
          <w:rFonts w:hint="eastAsia" w:ascii="Times New Roman" w:hAnsi="Times New Roman" w:eastAsia="楷体_GB2312" w:cs="Times New Roman"/>
          <w:b/>
          <w:bCs/>
          <w:color w:val="000000"/>
          <w:kern w:val="0"/>
          <w:sz w:val="32"/>
          <w:szCs w:val="32"/>
          <w:highlight w:val="none"/>
          <w:shd w:val="clear" w:color="auto" w:fill="FFFFFF"/>
          <w:lang w:val="zh-CN" w:eastAsia="zh-CN"/>
        </w:rPr>
        <w:t>。</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Times New Roman"/>
          <w:sz w:val="32"/>
          <w:szCs w:val="32"/>
          <w:highlight w:val="none"/>
          <w:lang w:val="en-US" w:eastAsia="zh-CN"/>
        </w:rPr>
        <w:t>我单位严格按照要求对本单位202</w:t>
      </w:r>
      <w:r>
        <w:rPr>
          <w:rFonts w:hint="eastAsia" w:ascii="Times New Roman" w:hAnsi="Times New Roman" w:eastAsia="仿宋_GB2312" w:cs="Times New Roman"/>
          <w:sz w:val="32"/>
          <w:szCs w:val="32"/>
          <w:highlight w:val="none"/>
          <w:lang w:val="en-US" w:eastAsia="zh-CN"/>
        </w:rPr>
        <w:t>5</w:t>
      </w:r>
      <w:r>
        <w:rPr>
          <w:rFonts w:hint="default" w:ascii="Times New Roman" w:hAnsi="Times New Roman" w:eastAsia="仿宋_GB2312" w:cs="Times New Roman"/>
          <w:sz w:val="32"/>
          <w:szCs w:val="32"/>
          <w:highlight w:val="none"/>
          <w:lang w:val="en-US" w:eastAsia="zh-CN"/>
        </w:rPr>
        <w:t>年度部门整体运行情况进行了自评，自评得分</w:t>
      </w:r>
      <w:r>
        <w:rPr>
          <w:rFonts w:hint="eastAsia" w:ascii="Times New Roman" w:hAnsi="Times New Roman" w:eastAsia="仿宋_GB2312" w:cs="Times New Roman"/>
          <w:sz w:val="32"/>
          <w:szCs w:val="32"/>
          <w:highlight w:val="none"/>
          <w:lang w:val="en-US" w:eastAsia="zh-CN"/>
        </w:rPr>
        <w:t>93</w:t>
      </w:r>
      <w:r>
        <w:rPr>
          <w:rFonts w:hint="default" w:ascii="Times New Roman" w:hAnsi="Times New Roman" w:eastAsia="仿宋_GB2312" w:cs="Times New Roman"/>
          <w:sz w:val="32"/>
          <w:szCs w:val="32"/>
          <w:highlight w:val="none"/>
          <w:lang w:val="en-US" w:eastAsia="zh-CN"/>
        </w:rPr>
        <w:t>分。202</w:t>
      </w:r>
      <w:r>
        <w:rPr>
          <w:rFonts w:hint="eastAsia" w:ascii="Times New Roman" w:hAnsi="Times New Roman" w:eastAsia="仿宋_GB2312" w:cs="Times New Roman"/>
          <w:sz w:val="32"/>
          <w:szCs w:val="32"/>
          <w:highlight w:val="none"/>
          <w:lang w:val="en-US" w:eastAsia="zh-CN"/>
        </w:rPr>
        <w:t>5</w:t>
      </w:r>
      <w:r>
        <w:rPr>
          <w:rFonts w:hint="default" w:ascii="Times New Roman" w:hAnsi="Times New Roman" w:eastAsia="仿宋_GB2312" w:cs="Times New Roman"/>
          <w:sz w:val="32"/>
          <w:szCs w:val="32"/>
          <w:highlight w:val="none"/>
          <w:lang w:val="en-US" w:eastAsia="zh-CN"/>
        </w:rPr>
        <w:t>年我单位</w:t>
      </w:r>
      <w:r>
        <w:rPr>
          <w:rFonts w:hint="default" w:ascii="Times New Roman" w:hAnsi="Times New Roman" w:eastAsia="仿宋_GB2312" w:cs="Times New Roman"/>
          <w:sz w:val="32"/>
          <w:szCs w:val="32"/>
          <w:highlight w:val="none"/>
          <w:lang w:val="zh-CN" w:eastAsia="zh-CN"/>
        </w:rPr>
        <w:t>评价结果完成满意度高。</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default" w:ascii="Times New Roman" w:hAnsi="Times New Roman" w:eastAsia="黑体" w:cs="Times New Roman"/>
          <w:color w:val="000000"/>
          <w:kern w:val="0"/>
          <w:sz w:val="32"/>
          <w:szCs w:val="32"/>
          <w:highlight w:val="none"/>
          <w:shd w:val="clear" w:color="auto" w:fill="FFFFFF"/>
          <w:lang w:val="zh-CN" w:eastAsia="zh-CN"/>
        </w:rPr>
        <w:t>四、</w:t>
      </w:r>
      <w:r>
        <w:rPr>
          <w:rFonts w:hint="default" w:ascii="Times New Roman" w:hAnsi="Times New Roman" w:eastAsia="黑体" w:cs="Times New Roman"/>
          <w:color w:val="000000"/>
          <w:kern w:val="0"/>
          <w:sz w:val="32"/>
          <w:szCs w:val="32"/>
          <w:highlight w:val="none"/>
          <w:shd w:val="clear" w:color="auto" w:fill="FFFFFF"/>
          <w:lang w:val="zh-CN"/>
        </w:rPr>
        <w:t>评价结论及建议</w:t>
      </w:r>
    </w:p>
    <w:p>
      <w:pPr>
        <w:keepNext w:val="0"/>
        <w:keepLines w:val="0"/>
        <w:pageBreakBefore w:val="0"/>
        <w:widowControl/>
        <w:kinsoku/>
        <w:wordWrap/>
        <w:overflowPunct/>
        <w:topLinePunct w:val="0"/>
        <w:autoSpaceDE/>
        <w:autoSpaceDN/>
        <w:bidi w:val="0"/>
        <w:adjustRightInd w:val="0"/>
        <w:snapToGrid w:val="0"/>
        <w:spacing w:line="560" w:lineRule="exact"/>
        <w:ind w:firstLine="642" w:firstLineChars="200"/>
        <w:contextualSpacing/>
        <w:jc w:val="left"/>
        <w:textAlignment w:val="auto"/>
        <w:rPr>
          <w:rFonts w:hint="default" w:ascii="Times New Roman" w:hAnsi="Times New Roman" w:eastAsia="楷体_GB2312" w:cs="Times New Roman"/>
          <w:b/>
          <w:bCs/>
          <w:color w:val="000000"/>
          <w:kern w:val="0"/>
          <w:sz w:val="32"/>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（一）评价结论。</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1、整体支出绩效优良</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我</w:t>
      </w:r>
      <w:r>
        <w:rPr>
          <w:rFonts w:hint="eastAsia" w:ascii="Times New Roman" w:hAnsi="Times New Roman" w:eastAsia="仿宋_GB2312" w:cs="Times New Roman"/>
          <w:sz w:val="32"/>
          <w:szCs w:val="32"/>
          <w:lang w:val="en-US" w:eastAsia="zh-CN"/>
        </w:rPr>
        <w:t>单位</w:t>
      </w:r>
      <w:r>
        <w:rPr>
          <w:rFonts w:hint="default" w:ascii="Times New Roman" w:hAnsi="Times New Roman" w:eastAsia="仿宋_GB2312" w:cs="Times New Roman"/>
          <w:sz w:val="32"/>
          <w:szCs w:val="32"/>
          <w:lang w:val="en-US" w:eastAsia="zh-CN"/>
        </w:rPr>
        <w:t>在202</w:t>
      </w:r>
      <w:r>
        <w:rPr>
          <w:rFonts w:hint="eastAsia"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lang w:val="en-US" w:eastAsia="zh-CN"/>
        </w:rPr>
        <w:t>年度的整体支出绩效表现优良。我们严格按照预算计划执行各项支出，未出现超预算或违规使用资金的情况。同时，在保障部门正常运转和完成既定任务的基础上，我们注重资金使用的效益，通过优化资源配置、提高资金使用效率等措施，实现了较高的支出效益。</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2、绩效目标完成情况良好</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在绩效目标方面，我</w:t>
      </w:r>
      <w:r>
        <w:rPr>
          <w:rFonts w:hint="eastAsia" w:ascii="Times New Roman" w:hAnsi="Times New Roman" w:eastAsia="仿宋_GB2312" w:cs="Times New Roman"/>
          <w:sz w:val="32"/>
          <w:szCs w:val="32"/>
          <w:lang w:val="en-US" w:eastAsia="zh-CN"/>
        </w:rPr>
        <w:t>单位</w:t>
      </w:r>
      <w:r>
        <w:rPr>
          <w:rFonts w:hint="default" w:ascii="Times New Roman" w:hAnsi="Times New Roman" w:eastAsia="仿宋_GB2312" w:cs="Times New Roman"/>
          <w:sz w:val="32"/>
          <w:szCs w:val="32"/>
          <w:lang w:val="en-US" w:eastAsia="zh-CN"/>
        </w:rPr>
        <w:t>各项任务均按计划完成，并取得了显著成效。通过数据对比和分析，部门绩效目标完成情况良好，不仅达到了预期效果，某些方面</w:t>
      </w:r>
      <w:r>
        <w:rPr>
          <w:rFonts w:hint="eastAsia" w:eastAsia="仿宋_GB2312" w:cs="Times New Roman"/>
          <w:sz w:val="32"/>
          <w:szCs w:val="32"/>
          <w:lang w:val="en-US" w:eastAsia="zh-CN"/>
        </w:rPr>
        <w:t>还</w:t>
      </w:r>
      <w:r>
        <w:rPr>
          <w:rFonts w:hint="default" w:ascii="Times New Roman" w:hAnsi="Times New Roman" w:eastAsia="仿宋_GB2312" w:cs="Times New Roman"/>
          <w:sz w:val="32"/>
          <w:szCs w:val="32"/>
          <w:lang w:val="en-US" w:eastAsia="zh-CN"/>
        </w:rPr>
        <w:t>超出了预期目标。这充分说明在预算编制、执行和管理方面具有较高的专业水平和能力。</w:t>
      </w:r>
    </w:p>
    <w:p>
      <w:pPr>
        <w:pStyle w:val="38"/>
        <w:keepNext w:val="0"/>
        <w:keepLines w:val="0"/>
        <w:pageBreakBefore w:val="0"/>
        <w:numPr>
          <w:ilvl w:val="0"/>
          <w:numId w:val="3"/>
        </w:numPr>
        <w:kinsoku/>
        <w:wordWrap/>
        <w:overflowPunct/>
        <w:topLinePunct w:val="0"/>
        <w:autoSpaceDE/>
        <w:autoSpaceDN/>
        <w:bidi w:val="0"/>
        <w:spacing w:line="560" w:lineRule="exact"/>
        <w:ind w:left="0" w:leftChars="0" w:firstLine="642" w:firstLineChars="200"/>
        <w:jc w:val="both"/>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存在问题。</w:t>
      </w:r>
    </w:p>
    <w:p>
      <w:pPr>
        <w:pStyle w:val="38"/>
        <w:keepNext w:val="0"/>
        <w:keepLines w:val="0"/>
        <w:pageBreakBefore w:val="0"/>
        <w:kinsoku/>
        <w:wordWrap/>
        <w:overflowPunct/>
        <w:topLinePunct w:val="0"/>
        <w:autoSpaceDE/>
        <w:autoSpaceDN/>
        <w:bidi w:val="0"/>
        <w:spacing w:line="560" w:lineRule="exact"/>
        <w:ind w:firstLine="31680"/>
        <w:textAlignment w:val="auto"/>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仿宋_GB2312" w:cs="Times New Roman"/>
          <w:sz w:val="32"/>
          <w:szCs w:val="32"/>
        </w:rPr>
        <w:t>预算编制不够精确，存在中期</w:t>
      </w:r>
      <w:r>
        <w:rPr>
          <w:rFonts w:hint="eastAsia" w:ascii="Times New Roman" w:hAnsi="Times New Roman" w:eastAsia="仿宋_GB2312" w:cs="Times New Roman"/>
          <w:sz w:val="32"/>
          <w:szCs w:val="32"/>
          <w:lang w:eastAsia="zh-CN"/>
        </w:rPr>
        <w:t>追加</w:t>
      </w:r>
      <w:r>
        <w:rPr>
          <w:rFonts w:hint="default" w:ascii="Times New Roman" w:hAnsi="Times New Roman" w:eastAsia="仿宋_GB2312" w:cs="Times New Roman"/>
          <w:sz w:val="32"/>
          <w:szCs w:val="32"/>
        </w:rPr>
        <w:t>资金的情况。</w:t>
      </w:r>
    </w:p>
    <w:p>
      <w:pPr>
        <w:keepNext w:val="0"/>
        <w:keepLines w:val="0"/>
        <w:pageBreakBefore w:val="0"/>
        <w:numPr>
          <w:ilvl w:val="0"/>
          <w:numId w:val="3"/>
        </w:numPr>
        <w:kinsoku/>
        <w:wordWrap/>
        <w:overflowPunct/>
        <w:topLinePunct w:val="0"/>
        <w:autoSpaceDE/>
        <w:autoSpaceDN/>
        <w:bidi w:val="0"/>
        <w:spacing w:line="560" w:lineRule="exact"/>
        <w:ind w:left="0" w:leftChars="0" w:firstLine="642" w:firstLineChars="200"/>
        <w:textAlignment w:val="auto"/>
        <w:rPr>
          <w:rFonts w:hint="default" w:ascii="Times New Roman" w:hAnsi="Times New Roman" w:eastAsia="楷体_GB2312" w:cs="Times New Roman"/>
          <w:b/>
          <w:bCs/>
          <w:color w:val="000000"/>
          <w:kern w:val="0"/>
          <w:sz w:val="32"/>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改进建议。</w:t>
      </w:r>
    </w:p>
    <w:p>
      <w:pPr>
        <w:keepNext w:val="0"/>
        <w:keepLines w:val="0"/>
        <w:pageBreakBefore w:val="0"/>
        <w:numPr>
          <w:ilvl w:val="0"/>
          <w:numId w:val="0"/>
        </w:numPr>
        <w:kinsoku/>
        <w:wordWrap/>
        <w:overflowPunct/>
        <w:topLinePunct w:val="0"/>
        <w:autoSpaceDE/>
        <w:autoSpaceDN/>
        <w:bidi w:val="0"/>
        <w:spacing w:line="560" w:lineRule="exact"/>
        <w:ind w:leftChars="200" w:firstLine="642"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重视绩效管理，切实履行好职责。</w:t>
      </w:r>
      <w:r>
        <w:rPr>
          <w:rFonts w:hint="default" w:ascii="Times New Roman" w:hAnsi="Times New Roman" w:eastAsia="仿宋_GB2312" w:cs="Times New Roman"/>
          <w:sz w:val="32"/>
          <w:szCs w:val="32"/>
        </w:rPr>
        <w:t>努力提升工作绩效，围绕</w:t>
      </w:r>
      <w:r>
        <w:rPr>
          <w:rFonts w:hint="eastAsia" w:ascii="Times New Roman" w:hAnsi="Times New Roman" w:eastAsia="仿宋_GB2312" w:cs="Times New Roman"/>
          <w:sz w:val="32"/>
          <w:szCs w:val="32"/>
          <w:lang w:eastAsia="zh-CN"/>
        </w:rPr>
        <w:t>预算</w:t>
      </w:r>
      <w:r>
        <w:rPr>
          <w:rFonts w:hint="default" w:ascii="Times New Roman" w:hAnsi="Times New Roman" w:eastAsia="仿宋_GB2312" w:cs="Times New Roman"/>
          <w:sz w:val="32"/>
          <w:szCs w:val="32"/>
        </w:rPr>
        <w:t>项目计划安排，合理使用财政资金，</w:t>
      </w:r>
      <w:r>
        <w:rPr>
          <w:rFonts w:hint="eastAsia" w:ascii="Times New Roman" w:hAnsi="Times New Roman" w:eastAsia="仿宋_GB2312" w:cs="Times New Roman"/>
          <w:sz w:val="32"/>
          <w:szCs w:val="32"/>
          <w:lang w:eastAsia="zh-CN"/>
        </w:rPr>
        <w:t>及时完成各项工作</w:t>
      </w:r>
      <w:r>
        <w:rPr>
          <w:rFonts w:hint="default" w:ascii="Times New Roman" w:hAnsi="Times New Roman" w:eastAsia="仿宋_GB2312" w:cs="Times New Roman"/>
          <w:sz w:val="32"/>
          <w:szCs w:val="32"/>
        </w:rPr>
        <w:t>。</w:t>
      </w:r>
    </w:p>
    <w:p>
      <w:pPr>
        <w:pStyle w:val="9"/>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u w:val="none"/>
          <w:lang w:val="zh-CN" w:eastAsia="zh-CN" w:bidi="ar"/>
        </w:rPr>
      </w:pPr>
    </w:p>
    <w:p>
      <w:pPr>
        <w:pStyle w:val="9"/>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u w:val="none"/>
          <w:lang w:val="zh-CN" w:eastAsia="zh-CN" w:bidi="ar"/>
        </w:rPr>
      </w:pPr>
    </w:p>
    <w:p>
      <w:pPr>
        <w:pStyle w:val="9"/>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u w:val="none"/>
          <w:lang w:val="zh-CN" w:eastAsia="zh-CN" w:bidi="ar"/>
        </w:rPr>
      </w:pPr>
    </w:p>
    <w:p>
      <w:pPr>
        <w:pStyle w:val="9"/>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u w:val="none"/>
          <w:lang w:val="zh-CN" w:eastAsia="zh-CN" w:bidi="ar"/>
        </w:rPr>
      </w:pPr>
    </w:p>
    <w:p>
      <w:pPr>
        <w:pStyle w:val="9"/>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u w:val="none"/>
          <w:lang w:val="zh-CN" w:eastAsia="zh-CN" w:bidi="ar"/>
        </w:rPr>
      </w:pPr>
    </w:p>
    <w:p>
      <w:pPr>
        <w:pStyle w:val="9"/>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u w:val="none"/>
          <w:lang w:val="zh-CN" w:eastAsia="zh-CN" w:bidi="ar"/>
        </w:rPr>
      </w:pPr>
    </w:p>
    <w:p>
      <w:pPr>
        <w:pStyle w:val="9"/>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u w:val="none"/>
          <w:lang w:val="zh-CN" w:eastAsia="zh-CN" w:bidi="ar"/>
        </w:rPr>
      </w:pPr>
    </w:p>
    <w:p>
      <w:pPr>
        <w:pStyle w:val="9"/>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u w:val="none"/>
          <w:lang w:val="zh-CN" w:eastAsia="zh-CN" w:bidi="ar"/>
        </w:rPr>
      </w:pPr>
    </w:p>
    <w:p>
      <w:pPr>
        <w:pStyle w:val="9"/>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u w:val="none"/>
          <w:lang w:val="zh-CN" w:eastAsia="zh-CN" w:bidi="ar"/>
        </w:rPr>
      </w:pPr>
    </w:p>
    <w:p>
      <w:pPr>
        <w:pStyle w:val="9"/>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u w:val="none"/>
          <w:lang w:val="zh-CN" w:eastAsia="zh-CN" w:bidi="ar"/>
        </w:rPr>
      </w:pPr>
    </w:p>
    <w:p>
      <w:pPr>
        <w:pStyle w:val="9"/>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u w:val="none"/>
          <w:lang w:val="zh-CN" w:eastAsia="zh-CN" w:bidi="ar"/>
        </w:rPr>
      </w:pPr>
      <w:r>
        <w:rPr>
          <w:rFonts w:hint="eastAsia" w:ascii="Times New Roman" w:hAnsi="Times New Roman" w:eastAsia="仿宋_GB2312" w:cs="Times New Roman"/>
          <w:kern w:val="2"/>
          <w:sz w:val="32"/>
          <w:szCs w:val="32"/>
          <w:u w:val="none"/>
          <w:lang w:val="zh-CN" w:eastAsia="zh-CN" w:bidi="ar"/>
        </w:rPr>
        <w:t>附表：</w:t>
      </w:r>
      <w:r>
        <w:rPr>
          <w:rFonts w:hint="eastAsia" w:ascii="Times New Roman" w:hAnsi="Times New Roman" w:eastAsia="仿宋_GB2312" w:cs="Times New Roman"/>
          <w:kern w:val="2"/>
          <w:sz w:val="32"/>
          <w:szCs w:val="32"/>
          <w:u w:val="none"/>
          <w:lang w:val="en-US" w:eastAsia="zh-CN" w:bidi="ar"/>
        </w:rPr>
        <w:t>部门预算项目支出绩效自评表（</w:t>
      </w:r>
      <w:r>
        <w:rPr>
          <w:rFonts w:hint="eastAsia" w:ascii="Times New Roman" w:eastAsia="仿宋_GB2312" w:cs="Times New Roman"/>
          <w:kern w:val="2"/>
          <w:sz w:val="32"/>
          <w:szCs w:val="32"/>
          <w:u w:val="none"/>
          <w:lang w:val="en-US" w:eastAsia="zh-CN" w:bidi="ar"/>
        </w:rPr>
        <w:t>2025年度</w:t>
      </w:r>
      <w:r>
        <w:rPr>
          <w:rFonts w:hint="eastAsia" w:ascii="Times New Roman" w:hAnsi="Times New Roman" w:eastAsia="仿宋_GB2312" w:cs="Times New Roman"/>
          <w:kern w:val="2"/>
          <w:sz w:val="32"/>
          <w:szCs w:val="32"/>
          <w:u w:val="none"/>
          <w:lang w:val="en-US" w:eastAsia="zh-CN" w:bidi="ar"/>
        </w:rPr>
        <w:t>）</w:t>
      </w:r>
    </w:p>
    <w:p>
      <w:pPr>
        <w:pStyle w:val="9"/>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仿宋_GB2312"/>
          <w:b w:val="0"/>
          <w:bCs w:val="0"/>
          <w:kern w:val="0"/>
          <w:position w:val="0"/>
          <w:sz w:val="32"/>
          <w:szCs w:val="32"/>
          <w:highlight w:val="none"/>
          <w:lang w:val="en-US" w:eastAsia="zh-CN" w:bidi="ar-SA"/>
        </w:rPr>
      </w:pPr>
    </w:p>
    <w:tbl>
      <w:tblPr>
        <w:tblStyle w:val="17"/>
        <w:tblW w:w="8883"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76"/>
        <w:gridCol w:w="155"/>
        <w:gridCol w:w="754"/>
        <w:gridCol w:w="129"/>
        <w:gridCol w:w="580"/>
        <w:gridCol w:w="117"/>
        <w:gridCol w:w="1850"/>
        <w:gridCol w:w="526"/>
        <w:gridCol w:w="15"/>
        <w:gridCol w:w="679"/>
        <w:gridCol w:w="16"/>
        <w:gridCol w:w="396"/>
        <w:gridCol w:w="59"/>
        <w:gridCol w:w="732"/>
        <w:gridCol w:w="57"/>
        <w:gridCol w:w="492"/>
        <w:gridCol w:w="51"/>
        <w:gridCol w:w="490"/>
        <w:gridCol w:w="36"/>
        <w:gridCol w:w="11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8883" w:type="dxa"/>
            <w:gridSpan w:val="2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7" w:hRule="atLeast"/>
        </w:trPr>
        <w:tc>
          <w:tcPr>
            <w:tcW w:w="148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396"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51323021T000000057635-壤塘县城乡一体化住户调查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148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30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壤塘县统计局</w:t>
            </w:r>
          </w:p>
        </w:tc>
        <w:tc>
          <w:tcPr>
            <w:tcW w:w="791" w:type="dxa"/>
            <w:gridSpan w:val="2"/>
            <w:tcBorders>
              <w:top w:val="nil"/>
              <w:left w:val="nil"/>
              <w:bottom w:val="nil"/>
              <w:right w:val="nil"/>
            </w:tcBorders>
            <w:shd w:val="clear" w:color="auto" w:fill="auto"/>
            <w:vAlign w:val="center"/>
          </w:tcPr>
          <w:p>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29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壤塘县统计局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00" w:hRule="atLeast"/>
        </w:trPr>
        <w:tc>
          <w:tcPr>
            <w:tcW w:w="57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91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30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088"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57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91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30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2025年圆满完成了我县居民的收入、支出、消费、社会活动情况调查，为国家提供指导农村工作，国民经济</w:t>
            </w:r>
            <w:r>
              <w:rPr>
                <w:rFonts w:hint="eastAsia" w:ascii="宋体" w:hAnsi="宋体" w:cs="宋体"/>
                <w:i w:val="0"/>
                <w:iCs w:val="0"/>
                <w:color w:val="000000"/>
                <w:kern w:val="0"/>
                <w:sz w:val="18"/>
                <w:szCs w:val="18"/>
                <w:u w:val="none"/>
                <w:lang w:val="en-US" w:eastAsia="zh-CN" w:bidi="ar"/>
              </w:rPr>
              <w:t>和社会</w:t>
            </w:r>
            <w:r>
              <w:rPr>
                <w:rFonts w:ascii="宋体" w:hAnsi="宋体" w:eastAsia="宋体" w:cs="宋体"/>
                <w:i w:val="0"/>
                <w:iCs w:val="0"/>
                <w:color w:val="000000"/>
                <w:kern w:val="0"/>
                <w:sz w:val="18"/>
                <w:szCs w:val="18"/>
                <w:u w:val="none"/>
                <w:lang w:val="en-US" w:eastAsia="zh-CN" w:bidi="ar"/>
              </w:rPr>
              <w:t>发展计划。</w:t>
            </w:r>
          </w:p>
        </w:tc>
        <w:tc>
          <w:tcPr>
            <w:tcW w:w="3088"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按季度完成3名编码人员工资、保险劳务费支付，完成记账户、辅调员补助发放，完成差旅费、培训费支付。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57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396"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持续开展住户调查项目，该项目主要包括编码人员工资、保险、记账户、辅调员记账补助发放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57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7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63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7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5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700" w:hRule="atLeast"/>
        </w:trPr>
        <w:tc>
          <w:tcPr>
            <w:tcW w:w="57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7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108.66</w:t>
            </w:r>
          </w:p>
        </w:tc>
        <w:tc>
          <w:tcPr>
            <w:tcW w:w="163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101.07</w:t>
            </w:r>
          </w:p>
        </w:tc>
        <w:tc>
          <w:tcPr>
            <w:tcW w:w="7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93.02%</w:t>
            </w:r>
          </w:p>
        </w:tc>
        <w:tc>
          <w:tcPr>
            <w:tcW w:w="5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57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7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108.66</w:t>
            </w:r>
          </w:p>
        </w:tc>
        <w:tc>
          <w:tcPr>
            <w:tcW w:w="163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101.07</w:t>
            </w:r>
          </w:p>
        </w:tc>
        <w:tc>
          <w:tcPr>
            <w:tcW w:w="7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93.02%</w:t>
            </w:r>
          </w:p>
        </w:tc>
        <w:tc>
          <w:tcPr>
            <w:tcW w:w="5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57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7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3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57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7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3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700" w:hRule="atLeast"/>
        </w:trPr>
        <w:tc>
          <w:tcPr>
            <w:tcW w:w="57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7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96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63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7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57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7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3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5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57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7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每月完成150户记账户记账工作</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w:t>
            </w:r>
          </w:p>
        </w:tc>
        <w:tc>
          <w:tcPr>
            <w:tcW w:w="3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户</w:t>
            </w:r>
          </w:p>
        </w:tc>
        <w:tc>
          <w:tcPr>
            <w:tcW w:w="7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57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7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按照州定目标每月住户记账工作的完成度</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3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5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52" w:hRule="atLeast"/>
        </w:trPr>
        <w:tc>
          <w:tcPr>
            <w:tcW w:w="57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7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按月份及时准确上报记账户当月收支情况，及时准确反映全县人均收入及支出</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3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5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57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7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1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住户调查工作的持续性开展</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3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57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7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全县抽样调查对农村居民、城镇居民的收入、支出的统计</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57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7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政府以及上级部门对于住户调查工作的满意度</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93</w:t>
            </w:r>
          </w:p>
        </w:tc>
        <w:tc>
          <w:tcPr>
            <w:tcW w:w="3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52" w:hRule="atLeast"/>
        </w:trPr>
        <w:tc>
          <w:tcPr>
            <w:tcW w:w="57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7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开展此项调查工作所使用的各项经费</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110</w:t>
            </w:r>
          </w:p>
        </w:tc>
        <w:tc>
          <w:tcPr>
            <w:tcW w:w="3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7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586"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5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307"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项目自评96分，圆满完成了住户调查2025年工作。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5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307"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调查户记账积极性不高，存在少记、漏记现象。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633" w:hRule="atLeast"/>
        </w:trPr>
        <w:tc>
          <w:tcPr>
            <w:tcW w:w="5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307"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提高记账户补助，采取考核的方式发放记账补助。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470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项目负责人：刘环娇</w:t>
            </w:r>
          </w:p>
        </w:tc>
        <w:tc>
          <w:tcPr>
            <w:tcW w:w="4180"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财务负责人：余波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576" w:type="dxa"/>
            <w:gridSpan w:val="2"/>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11" w:type="dxa"/>
            <w:gridSpan w:val="2"/>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09" w:type="dxa"/>
            <w:gridSpan w:val="2"/>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967"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696" w:type="dxa"/>
            <w:gridSpan w:val="2"/>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396" w:type="dxa"/>
            <w:gridSpan w:val="3"/>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91" w:type="dxa"/>
            <w:gridSpan w:val="2"/>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49" w:type="dxa"/>
            <w:gridSpan w:val="2"/>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40" w:type="dxa"/>
            <w:gridSpan w:val="2"/>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08"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576" w:type="dxa"/>
            <w:gridSpan w:val="2"/>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11" w:type="dxa"/>
            <w:gridSpan w:val="2"/>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09" w:type="dxa"/>
            <w:gridSpan w:val="2"/>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967"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696" w:type="dxa"/>
            <w:gridSpan w:val="2"/>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396" w:type="dxa"/>
            <w:gridSpan w:val="3"/>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91" w:type="dxa"/>
            <w:gridSpan w:val="2"/>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49" w:type="dxa"/>
            <w:gridSpan w:val="2"/>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40" w:type="dxa"/>
            <w:gridSpan w:val="2"/>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08"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904" w:hRule="atLeast"/>
        </w:trPr>
        <w:tc>
          <w:tcPr>
            <w:tcW w:w="8883" w:type="dxa"/>
            <w:gridSpan w:val="2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533" w:type="dxa"/>
            <w:gridSpan w:val="1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51323021T000000057653-统计内网运行维护费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38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壤塘县统计局</w:t>
            </w:r>
          </w:p>
        </w:tc>
        <w:tc>
          <w:tcPr>
            <w:tcW w:w="795" w:type="dxa"/>
            <w:gridSpan w:val="2"/>
            <w:tcBorders>
              <w:top w:val="nil"/>
              <w:left w:val="nil"/>
              <w:bottom w:val="nil"/>
              <w:right w:val="nil"/>
            </w:tcBorders>
            <w:shd w:val="clear" w:color="auto" w:fill="auto"/>
            <w:vAlign w:val="center"/>
          </w:tcPr>
          <w:p>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35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壤塘县统计局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4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94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38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15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708" w:hRule="atLeast"/>
        </w:trPr>
        <w:tc>
          <w:tcPr>
            <w:tcW w:w="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94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38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按照与电信局签订的合同支付统计内网运行费</w:t>
            </w:r>
          </w:p>
        </w:tc>
        <w:tc>
          <w:tcPr>
            <w:tcW w:w="315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完成内网费用支付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9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533" w:type="dxa"/>
            <w:gridSpan w:val="1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为了保证我局网上业务处理安全而顺利的进行，并确保按时完成统计报表工作，提高我局的工作质量，并为</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县委</w:t>
            </w:r>
            <w:r>
              <w:rPr>
                <w:rFonts w:hint="eastAsia" w:ascii="宋体" w:hAnsi="宋体" w:cs="宋体"/>
                <w:i w:val="0"/>
                <w:iCs w:val="0"/>
                <w:color w:val="000000"/>
                <w:kern w:val="0"/>
                <w:sz w:val="18"/>
                <w:szCs w:val="18"/>
                <w:u w:val="none"/>
                <w:lang w:val="en-US" w:eastAsia="zh-CN" w:bidi="ar"/>
              </w:rPr>
              <w:t>县</w:t>
            </w:r>
            <w:r>
              <w:rPr>
                <w:rFonts w:ascii="宋体" w:hAnsi="宋体" w:eastAsia="宋体" w:cs="宋体"/>
                <w:i w:val="0"/>
                <w:iCs w:val="0"/>
                <w:color w:val="000000"/>
                <w:kern w:val="0"/>
                <w:sz w:val="18"/>
                <w:szCs w:val="18"/>
                <w:u w:val="none"/>
                <w:lang w:val="en-US" w:eastAsia="zh-CN" w:bidi="ar"/>
              </w:rPr>
              <w:t>政府</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及各部门提供快捷的服务，每年需要开展一次网络维护。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4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9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72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56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7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5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2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72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5.24</w:t>
            </w:r>
          </w:p>
        </w:tc>
        <w:tc>
          <w:tcPr>
            <w:tcW w:w="156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4.54</w:t>
            </w:r>
          </w:p>
        </w:tc>
        <w:tc>
          <w:tcPr>
            <w:tcW w:w="7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86.71%</w:t>
            </w:r>
          </w:p>
        </w:tc>
        <w:tc>
          <w:tcPr>
            <w:tcW w:w="5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124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700" w:hRule="atLeast"/>
        </w:trPr>
        <w:tc>
          <w:tcPr>
            <w:tcW w:w="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72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5.24</w:t>
            </w:r>
          </w:p>
        </w:tc>
        <w:tc>
          <w:tcPr>
            <w:tcW w:w="156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4.54</w:t>
            </w:r>
          </w:p>
        </w:tc>
        <w:tc>
          <w:tcPr>
            <w:tcW w:w="7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86.71%</w:t>
            </w:r>
          </w:p>
        </w:tc>
        <w:tc>
          <w:tcPr>
            <w:tcW w:w="5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4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72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56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4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72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56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4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72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2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56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7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4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600" w:hRule="atLeast"/>
        </w:trPr>
        <w:tc>
          <w:tcPr>
            <w:tcW w:w="4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9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72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6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3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5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2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72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网络维护的及时率</w:t>
            </w:r>
          </w:p>
        </w:tc>
        <w:tc>
          <w:tcPr>
            <w:tcW w:w="5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3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5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w:t>
            </w:r>
          </w:p>
        </w:tc>
        <w:tc>
          <w:tcPr>
            <w:tcW w:w="12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72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网络维护的稳定率</w:t>
            </w:r>
          </w:p>
        </w:tc>
        <w:tc>
          <w:tcPr>
            <w:tcW w:w="5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3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5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w:t>
            </w:r>
          </w:p>
        </w:tc>
        <w:tc>
          <w:tcPr>
            <w:tcW w:w="12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72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2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各项统计业务报表的持续性</w:t>
            </w:r>
          </w:p>
        </w:tc>
        <w:tc>
          <w:tcPr>
            <w:tcW w:w="5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3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2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600" w:hRule="atLeast"/>
        </w:trPr>
        <w:tc>
          <w:tcPr>
            <w:tcW w:w="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72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2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对</w:t>
            </w:r>
            <w:r>
              <w:rPr>
                <w:rFonts w:hint="eastAsia" w:ascii="宋体" w:hAnsi="宋体" w:cs="宋体"/>
                <w:i w:val="0"/>
                <w:iCs w:val="0"/>
                <w:color w:val="000000"/>
                <w:kern w:val="0"/>
                <w:sz w:val="18"/>
                <w:szCs w:val="18"/>
                <w:u w:val="none"/>
                <w:lang w:val="en-US" w:eastAsia="zh-CN" w:bidi="ar"/>
              </w:rPr>
              <w:t>县域经济</w:t>
            </w:r>
            <w:r>
              <w:rPr>
                <w:rFonts w:ascii="宋体" w:hAnsi="宋体" w:eastAsia="宋体" w:cs="宋体"/>
                <w:i w:val="0"/>
                <w:iCs w:val="0"/>
                <w:color w:val="000000"/>
                <w:kern w:val="0"/>
                <w:sz w:val="18"/>
                <w:szCs w:val="18"/>
                <w:u w:val="none"/>
                <w:lang w:val="en-US" w:eastAsia="zh-CN" w:bidi="ar"/>
              </w:rPr>
              <w:t>发展指标进行统计，及时为县政府决策部署提供依据</w:t>
            </w:r>
          </w:p>
        </w:tc>
        <w:tc>
          <w:tcPr>
            <w:tcW w:w="5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3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2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72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网络维护提高了我局工作效率，保障我局工作正常运转</w:t>
            </w:r>
          </w:p>
        </w:tc>
        <w:tc>
          <w:tcPr>
            <w:tcW w:w="5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3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92</w:t>
            </w:r>
          </w:p>
        </w:tc>
        <w:tc>
          <w:tcPr>
            <w:tcW w:w="5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5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12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72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我局工作人员对于网络维护的满意度</w:t>
            </w:r>
          </w:p>
        </w:tc>
        <w:tc>
          <w:tcPr>
            <w:tcW w:w="5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3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85</w:t>
            </w:r>
          </w:p>
        </w:tc>
        <w:tc>
          <w:tcPr>
            <w:tcW w:w="5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2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72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每年支付统计内网运行维护费</w:t>
            </w:r>
          </w:p>
        </w:tc>
        <w:tc>
          <w:tcPr>
            <w:tcW w:w="5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52400</w:t>
            </w:r>
          </w:p>
        </w:tc>
        <w:tc>
          <w:tcPr>
            <w:tcW w:w="3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7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2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6" w:hRule="atLeast"/>
        </w:trPr>
        <w:tc>
          <w:tcPr>
            <w:tcW w:w="6528"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94</w:t>
            </w:r>
          </w:p>
        </w:tc>
        <w:tc>
          <w:tcPr>
            <w:tcW w:w="12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478" w:type="dxa"/>
            <w:gridSpan w:val="1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项目自评94分，内网的稳定，各专业都能及时准确的完成各类统计报表的报送。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478" w:type="dxa"/>
            <w:gridSpan w:val="1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网络维护不及时，影响各专业报表进度。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478" w:type="dxa"/>
            <w:gridSpan w:val="1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与电信公司沟通协调，持续改进单位网络运行情况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6" w:hRule="atLeast"/>
        </w:trPr>
        <w:tc>
          <w:tcPr>
            <w:tcW w:w="471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项目负责人：钟林</w:t>
            </w:r>
          </w:p>
        </w:tc>
        <w:tc>
          <w:tcPr>
            <w:tcW w:w="4164"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财务负责人：余波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4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45" w:type="dxa"/>
            <w:gridSpan w:val="2"/>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23" w:type="dxa"/>
            <w:gridSpan w:val="2"/>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2091" w:type="dxa"/>
            <w:gridSpan w:val="2"/>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55" w:type="dxa"/>
            <w:gridSpan w:val="2"/>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699" w:type="dxa"/>
            <w:gridSpan w:val="2"/>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31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95" w:type="dxa"/>
            <w:gridSpan w:val="2"/>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55" w:type="dxa"/>
            <w:gridSpan w:val="2"/>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55" w:type="dxa"/>
            <w:gridSpan w:val="2"/>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45" w:type="dxa"/>
            <w:gridSpan w:val="2"/>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bl>
    <w:p>
      <w:pPr>
        <w:pStyle w:val="9"/>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eastAsia="仿宋_GB2312" w:cs="仿宋_GB2312"/>
          <w:b w:val="0"/>
          <w:bCs w:val="0"/>
          <w:kern w:val="0"/>
          <w:position w:val="0"/>
          <w:sz w:val="32"/>
          <w:szCs w:val="32"/>
          <w:highlight w:val="none"/>
          <w:lang w:val="zh-CN" w:eastAsia="zh-CN" w:bidi="ar-SA"/>
        </w:rPr>
      </w:pPr>
    </w:p>
    <w:p>
      <w:pPr>
        <w:pStyle w:val="9"/>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eastAsia="仿宋_GB2312" w:cs="仿宋_GB2312"/>
          <w:b w:val="0"/>
          <w:bCs w:val="0"/>
          <w:kern w:val="0"/>
          <w:position w:val="0"/>
          <w:sz w:val="32"/>
          <w:szCs w:val="32"/>
          <w:highlight w:val="none"/>
          <w:lang w:val="zh-CN" w:eastAsia="zh-CN" w:bidi="ar-SA"/>
        </w:rPr>
      </w:pPr>
    </w:p>
    <w:tbl>
      <w:tblPr>
        <w:tblStyle w:val="17"/>
        <w:tblW w:w="888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76"/>
        <w:gridCol w:w="914"/>
        <w:gridCol w:w="711"/>
        <w:gridCol w:w="1965"/>
        <w:gridCol w:w="542"/>
        <w:gridCol w:w="681"/>
        <w:gridCol w:w="396"/>
        <w:gridCol w:w="792"/>
        <w:gridCol w:w="549"/>
        <w:gridCol w:w="542"/>
        <w:gridCol w:w="121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8883"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53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51323022T000000314994-第五次全国经济普查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3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壤塘县统计局</w:t>
            </w:r>
          </w:p>
        </w:tc>
        <w:tc>
          <w:tcPr>
            <w:tcW w:w="795"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3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壤塘县统计局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4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9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3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15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9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3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完成全国第五次经济普查单位清查、普查宣传、前期培训等工作、完成经济普查正式普查，数据审核以及课题研究、资料开展数据应用等工作。</w:t>
            </w:r>
          </w:p>
        </w:tc>
        <w:tc>
          <w:tcPr>
            <w:tcW w:w="315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完成全国第五次经济普查课题研究、数据资料开发应用费的支付。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53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为了全面掌握我县第二产业、第三产业的发展规模、结构和效益等情况，建立健全基本单位名录库及其数据库系统。为国家研究制定国民经济和社会发展规划和提高决策和管理水平奠定基础而进行全面调查。主要从单位基本属性、从业人员、财务状况、生产经营情况、生产能力、能源消耗、科技活动等情况开展调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4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56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3.50</w:t>
            </w:r>
          </w:p>
        </w:tc>
        <w:tc>
          <w:tcPr>
            <w:tcW w:w="156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3.36</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96.14%</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2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3.50</w:t>
            </w:r>
          </w:p>
        </w:tc>
        <w:tc>
          <w:tcPr>
            <w:tcW w:w="156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3.36</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96.14%</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56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56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56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3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按时完成11个乡镇涉及的普查对象</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w:t>
            </w:r>
          </w:p>
        </w:tc>
        <w:tc>
          <w:tcPr>
            <w:tcW w:w="3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及时完成后续资料开发应用工作</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3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按要求进行全国第五次经济普查，及时开展各类工作</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全国第五次经济普查前期清查、宣传工作的完成情况</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全国第五次经济普查工作的社会覆盖率</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可持续影响指标</w:t>
            </w:r>
          </w:p>
        </w:tc>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全国经济普查工作的持续性</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3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52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97</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47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项目自评97分， 按时完成单位清查工作、谋划提前入户登记工作、做好普查宣传工作完成正式普查，数据审核工作、课题研究、资料开发应用。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47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存在的问题1.普查对象对经济普查中涉及经济指标方面的数据有顾虑，如实申报数据有难度；2.部分企业、合作社无健全的财务制度、财务报表，对数据的准确性有影响；3.普查宣传形式还不够多，宣传范围还不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47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加强经济普查的宣传力度；2.做好数据审核工作。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471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项目负责人：查鑫成</w:t>
            </w:r>
          </w:p>
        </w:tc>
        <w:tc>
          <w:tcPr>
            <w:tcW w:w="416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财务负责人：余波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4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4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23"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209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5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699"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31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9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5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55" w:type="dxa"/>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4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bl>
    <w:p>
      <w:pPr>
        <w:pStyle w:val="9"/>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eastAsia="仿宋_GB2312" w:cs="仿宋_GB2312"/>
          <w:b w:val="0"/>
          <w:bCs w:val="0"/>
          <w:kern w:val="0"/>
          <w:position w:val="0"/>
          <w:sz w:val="32"/>
          <w:szCs w:val="32"/>
          <w:highlight w:val="none"/>
          <w:lang w:val="zh-CN" w:eastAsia="zh-CN" w:bidi="ar-SA"/>
        </w:rPr>
      </w:pPr>
    </w:p>
    <w:p>
      <w:pPr>
        <w:pStyle w:val="9"/>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eastAsia="仿宋_GB2312" w:cs="仿宋_GB2312"/>
          <w:b w:val="0"/>
          <w:bCs w:val="0"/>
          <w:kern w:val="0"/>
          <w:position w:val="0"/>
          <w:sz w:val="32"/>
          <w:szCs w:val="32"/>
          <w:highlight w:val="none"/>
          <w:lang w:val="zh-CN" w:eastAsia="zh-CN" w:bidi="ar-SA"/>
        </w:rPr>
      </w:pPr>
    </w:p>
    <w:tbl>
      <w:tblPr>
        <w:tblStyle w:val="17"/>
        <w:tblW w:w="888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76"/>
        <w:gridCol w:w="913"/>
        <w:gridCol w:w="710"/>
        <w:gridCol w:w="1961"/>
        <w:gridCol w:w="541"/>
        <w:gridCol w:w="688"/>
        <w:gridCol w:w="396"/>
        <w:gridCol w:w="792"/>
        <w:gridCol w:w="549"/>
        <w:gridCol w:w="542"/>
        <w:gridCol w:w="121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8883"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53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51323022T000000315038-劳动力调查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3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壤塘县统计局</w:t>
            </w:r>
          </w:p>
        </w:tc>
        <w:tc>
          <w:tcPr>
            <w:tcW w:w="795"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3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壤塘县统计局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4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9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3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15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9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3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按月完成劳动力调查核户、入户访问等工作。</w:t>
            </w:r>
          </w:p>
        </w:tc>
        <w:tc>
          <w:tcPr>
            <w:tcW w:w="315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按月完成劳动力调查核户、入户访问等工作。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53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按要求完成劳动力调查各项工作，为及时、准确地反映我县城乡劳动力资源、就业和失业人口总量、结合分布情况，为政府准确判断就业形势，制定和调整就业政策，改善宏观调控，加强就业服务提供依据。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4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56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2.78</w:t>
            </w:r>
          </w:p>
        </w:tc>
        <w:tc>
          <w:tcPr>
            <w:tcW w:w="156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2.77</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99.37%</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2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2.78</w:t>
            </w:r>
          </w:p>
        </w:tc>
        <w:tc>
          <w:tcPr>
            <w:tcW w:w="156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2.77</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99.37%</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56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56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56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4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3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按照上级业务部门要求，高质量完成每月的调查、编码、验收工作。</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3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按月份及时完成入户指标采集录入，按时进行编码验收，上报数据</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每月需入户开展调查工作</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32</w:t>
            </w:r>
          </w:p>
        </w:tc>
        <w:tc>
          <w:tcPr>
            <w:tcW w:w="3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户</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可持续影响指标</w:t>
            </w:r>
          </w:p>
        </w:tc>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劳动力调查对于我县制定就业优先政策的强化率</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3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此次调查对于我县就业失业统计的覆盖率</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3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调查户对于调查的满意度</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3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2025年完成劳动力调查需要支付的调查经费。</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2.78</w:t>
            </w:r>
          </w:p>
        </w:tc>
        <w:tc>
          <w:tcPr>
            <w:tcW w:w="3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52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47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项目95分，按照上级业务部门要求，按月及时完成入户核查、数据采集录入、审核编码验收上报工作。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47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存在的问题目前我县劳动力调查是省点抽样调查，主要是岗木达镇祥塘社区和华龙社区两个调查点，调查点较小，存在重复调查。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47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按照上级业务部门要求，及时更新 样本框。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471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项目负责人：达热基</w:t>
            </w:r>
          </w:p>
        </w:tc>
        <w:tc>
          <w:tcPr>
            <w:tcW w:w="416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财务负责人：余波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4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4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23"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209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5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699"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31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9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5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55" w:type="dxa"/>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4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bl>
    <w:p>
      <w:pPr>
        <w:pStyle w:val="9"/>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cs="Times New Roman"/>
          <w:sz w:val="32"/>
          <w:szCs w:val="32"/>
          <w:highlight w:val="yellow"/>
          <w:lang w:val="zh-CN" w:eastAsia="zh-CN"/>
        </w:rPr>
      </w:pPr>
    </w:p>
    <w:tbl>
      <w:tblPr>
        <w:tblStyle w:val="17"/>
        <w:tblW w:w="888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76"/>
        <w:gridCol w:w="907"/>
        <w:gridCol w:w="708"/>
        <w:gridCol w:w="1943"/>
        <w:gridCol w:w="538"/>
        <w:gridCol w:w="677"/>
        <w:gridCol w:w="396"/>
        <w:gridCol w:w="846"/>
        <w:gridCol w:w="548"/>
        <w:gridCol w:w="538"/>
        <w:gridCol w:w="120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8883"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53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51323024T000010365484-首席统计师与协统员制度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3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壤塘县统计局</w:t>
            </w:r>
          </w:p>
        </w:tc>
        <w:tc>
          <w:tcPr>
            <w:tcW w:w="795"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3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壤塘县统计局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4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9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3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15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9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3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完成协统员制度项目资金支付</w:t>
            </w:r>
          </w:p>
        </w:tc>
        <w:tc>
          <w:tcPr>
            <w:tcW w:w="315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完成协统员配备4人，工资、保险等资金支付22.56万元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53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根据阿府办发{2023}18号文件、壤府办发{2023}5号文件要求，在壤塘县统计局建立首席统计师和协统员制度。首席统计师在符合条件</w:t>
            </w:r>
            <w:r>
              <w:rPr>
                <w:rFonts w:hint="eastAsia" w:ascii="宋体" w:hAnsi="宋体" w:cs="宋体"/>
                <w:i w:val="0"/>
                <w:iCs w:val="0"/>
                <w:color w:val="000000"/>
                <w:kern w:val="0"/>
                <w:sz w:val="18"/>
                <w:szCs w:val="18"/>
                <w:u w:val="none"/>
                <w:lang w:val="en-US" w:eastAsia="zh-CN" w:bidi="ar"/>
              </w:rPr>
              <w:t>的</w:t>
            </w:r>
            <w:r>
              <w:rPr>
                <w:rFonts w:ascii="宋体" w:hAnsi="宋体" w:eastAsia="宋体" w:cs="宋体"/>
                <w:i w:val="0"/>
                <w:iCs w:val="0"/>
                <w:color w:val="000000"/>
                <w:kern w:val="0"/>
                <w:sz w:val="18"/>
                <w:szCs w:val="18"/>
                <w:u w:val="none"/>
                <w:lang w:val="en-US" w:eastAsia="zh-CN" w:bidi="ar"/>
              </w:rPr>
              <w:t>班子成员中推荐产生，协统员需要</w:t>
            </w:r>
            <w:r>
              <w:rPr>
                <w:rFonts w:hint="eastAsia" w:ascii="宋体" w:hAnsi="宋体" w:cs="宋体"/>
                <w:i w:val="0"/>
                <w:iCs w:val="0"/>
                <w:color w:val="000000"/>
                <w:kern w:val="0"/>
                <w:sz w:val="18"/>
                <w:szCs w:val="18"/>
                <w:u w:val="none"/>
                <w:lang w:val="en-US" w:eastAsia="zh-CN" w:bidi="ar"/>
              </w:rPr>
              <w:t>在</w:t>
            </w:r>
            <w:r>
              <w:rPr>
                <w:rFonts w:ascii="宋体" w:hAnsi="宋体" w:eastAsia="宋体" w:cs="宋体"/>
                <w:i w:val="0"/>
                <w:iCs w:val="0"/>
                <w:color w:val="000000"/>
                <w:kern w:val="0"/>
                <w:sz w:val="18"/>
                <w:szCs w:val="18"/>
                <w:u w:val="none"/>
                <w:lang w:val="en-US" w:eastAsia="zh-CN" w:bidi="ar"/>
              </w:rPr>
              <w:t>统计部门的统一组织下开展工作，协统员的工资保险以及办公经费列入预算编制。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4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56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22.56</w:t>
            </w:r>
          </w:p>
        </w:tc>
        <w:tc>
          <w:tcPr>
            <w:tcW w:w="156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22.56</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2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22.56</w:t>
            </w:r>
          </w:p>
        </w:tc>
        <w:tc>
          <w:tcPr>
            <w:tcW w:w="156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22.56</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56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56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56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4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3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单位4名协统员的使用、工资、保险的发放</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严格按照统计业务工作，保证数据质量</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按要求完成各项工作任务</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统计数据形成统计公报对外提供使用，为政府决策提供依据</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3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统计工作、统计数据发布是一项连续、可持续发展的工作</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3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上级主管部门、本级政府对统计工作的满意度指示</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3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按照节约原则严格按照预算预算资金</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52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47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项目98分，按照政府已经上级业务部门要求，完成协统员与首席统计师配备。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47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协统员在日常工作中对统计制度了解学习不足，开展工作存在难度。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47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加强协统员的培训、管理。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471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项目负责人：赵勇</w:t>
            </w:r>
          </w:p>
        </w:tc>
        <w:tc>
          <w:tcPr>
            <w:tcW w:w="416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财务负责人：余波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4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4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23"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209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5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699"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31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9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5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55" w:type="dxa"/>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4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bl>
    <w:p>
      <w:pPr>
        <w:pStyle w:val="7"/>
        <w:rPr>
          <w:rFonts w:hint="eastAsia" w:ascii="Times New Roman" w:hAnsi="Times New Roman" w:cs="宋体"/>
          <w:color w:val="FF0000"/>
          <w:kern w:val="0"/>
          <w:sz w:val="32"/>
          <w:szCs w:val="32"/>
          <w:highlight w:val="yellow"/>
          <w:shd w:val="clear" w:color="auto" w:fill="FFFFFF"/>
          <w:lang w:val="zh-CN"/>
        </w:rPr>
      </w:pPr>
    </w:p>
    <w:p>
      <w:pPr>
        <w:pStyle w:val="5"/>
        <w:rPr>
          <w:rFonts w:hint="eastAsia"/>
          <w:lang w:val="zh-CN"/>
        </w:rPr>
      </w:pPr>
    </w:p>
    <w:p>
      <w:pPr>
        <w:pStyle w:val="5"/>
        <w:rPr>
          <w:rFonts w:hint="eastAsia" w:ascii="Times New Roman" w:hAnsi="Times New Roman" w:cs="宋体"/>
          <w:color w:val="FF0000"/>
          <w:kern w:val="0"/>
          <w:sz w:val="32"/>
          <w:szCs w:val="32"/>
          <w:highlight w:val="yellow"/>
          <w:shd w:val="clear" w:color="auto" w:fill="FFFFFF"/>
          <w:lang w:val="zh-CN"/>
        </w:rPr>
      </w:pPr>
    </w:p>
    <w:tbl>
      <w:tblPr>
        <w:tblStyle w:val="17"/>
        <w:tblW w:w="888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76"/>
        <w:gridCol w:w="914"/>
        <w:gridCol w:w="711"/>
        <w:gridCol w:w="1965"/>
        <w:gridCol w:w="542"/>
        <w:gridCol w:w="681"/>
        <w:gridCol w:w="396"/>
        <w:gridCol w:w="792"/>
        <w:gridCol w:w="549"/>
        <w:gridCol w:w="542"/>
        <w:gridCol w:w="121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8883"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53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51323025T000012690313-全国1%人口抽样调查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3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壤塘县统计局</w:t>
            </w:r>
          </w:p>
        </w:tc>
        <w:tc>
          <w:tcPr>
            <w:tcW w:w="795"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3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壤塘县统计局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9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3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15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9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3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我县共抽取8个乡镇，10个调查小区，400户，严格按照上级业务部门要求在2025年内完成抽样调查工作。</w:t>
            </w:r>
          </w:p>
        </w:tc>
        <w:tc>
          <w:tcPr>
            <w:tcW w:w="315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圆满完成小区划分、建筑物标绘、两员选聘培训、入户登记、数据审核验收等全流程工作。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40" w:hRule="atLeast"/>
        </w:trPr>
        <w:tc>
          <w:tcPr>
            <w:tcW w:w="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53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国务院办公厅印发了《关于开展2025年全国1%人口抽样调查的通知》，决定于2025年开展全国1%人口抽样调查。本次调查的内容主要是人口和住户的基本情况，包括姓名、公民身份号码、性别、年龄、民族、受教育程度、行业、职业、迁移流动、婚姻、生育、死亡、住房情况等。调查指标总体上与以往的人口普查、1%人口抽样调查保持衔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4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56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56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99.60%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2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56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99.60%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56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56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56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4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3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对抽中的样本量的全面调查</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w:t>
            </w:r>
          </w:p>
        </w:tc>
        <w:tc>
          <w:tcPr>
            <w:tcW w:w="3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户</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严格按照上级业务部门要求，按时完成抽样调查的各项工作</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严格按照上级业务部门要求，完成抽样调查的数据审核、验收工作</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3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按照节约原则完成抽样调查的各项工作</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3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全国1%人口抽样调查工作的持续性开展</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3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当地</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县委</w:t>
            </w:r>
            <w:r>
              <w:rPr>
                <w:rFonts w:hint="eastAsia" w:ascii="宋体" w:hAnsi="宋体" w:cs="宋体"/>
                <w:i w:val="0"/>
                <w:iCs w:val="0"/>
                <w:color w:val="000000"/>
                <w:kern w:val="0"/>
                <w:sz w:val="18"/>
                <w:szCs w:val="18"/>
                <w:u w:val="none"/>
                <w:lang w:val="en-US" w:eastAsia="zh-CN" w:bidi="ar"/>
              </w:rPr>
              <w:t>县</w:t>
            </w:r>
            <w:r>
              <w:rPr>
                <w:rFonts w:ascii="宋体" w:hAnsi="宋体" w:eastAsia="宋体" w:cs="宋体"/>
                <w:i w:val="0"/>
                <w:iCs w:val="0"/>
                <w:color w:val="000000"/>
                <w:kern w:val="0"/>
                <w:sz w:val="18"/>
                <w:szCs w:val="18"/>
                <w:u w:val="none"/>
                <w:lang w:val="en-US" w:eastAsia="zh-CN" w:bidi="ar"/>
              </w:rPr>
              <w:t>政府</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对抽样调查结果的满意度</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3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完成抽样调查工作需要的各项经费</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52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47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项目95分，圆满完成小区划分、建筑物标绘、两员选聘培训、入户登记、数据审核验收等全流程工作。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47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入户登记难度较大，群众配合度不均；基层调查队伍稳定性不足；数据核查协同效能有待提升；软件行业赋码存在短板。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47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优化宣传方式，提升群众配合度；健全队伍机制，稳定基层力量；深化部门联动，强化数据赋能；优化软件行业赋码功能。</w:t>
            </w:r>
            <w:bookmarkStart w:id="65" w:name="_GoBack"/>
            <w:bookmarkEnd w:id="65"/>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471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项目负责人：王杰</w:t>
            </w:r>
          </w:p>
        </w:tc>
        <w:tc>
          <w:tcPr>
            <w:tcW w:w="416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财务负责人：余波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4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23"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209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5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699"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31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9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5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55" w:type="dxa"/>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4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bl>
    <w:p>
      <w:pPr>
        <w:rPr>
          <w:rFonts w:hint="eastAsia"/>
          <w:lang w:val="zh-CN"/>
        </w:rPr>
      </w:pPr>
    </w:p>
    <w:p>
      <w:pPr>
        <w:pStyle w:val="5"/>
        <w:rPr>
          <w:rFonts w:hint="eastAsia"/>
          <w:lang w:val="zh-CN"/>
        </w:rPr>
      </w:pPr>
    </w:p>
    <w:p>
      <w:pPr>
        <w:rPr>
          <w:rFonts w:hint="eastAsia" w:ascii="Times New Roman" w:hAnsi="Times New Roman" w:eastAsia="黑体" w:cs="黑体"/>
          <w:color w:val="auto"/>
          <w:kern w:val="0"/>
          <w:sz w:val="32"/>
          <w:szCs w:val="32"/>
          <w:highlight w:val="none"/>
          <w:shd w:val="clear" w:color="auto" w:fill="FFFFFF"/>
          <w:lang w:val="zh-CN"/>
        </w:rPr>
      </w:pPr>
      <w:r>
        <w:rPr>
          <w:rFonts w:hint="eastAsia" w:ascii="Times New Roman" w:hAnsi="Times New Roman" w:eastAsia="黑体" w:cs="黑体"/>
          <w:color w:val="auto"/>
          <w:kern w:val="0"/>
          <w:sz w:val="32"/>
          <w:szCs w:val="32"/>
          <w:highlight w:val="none"/>
          <w:shd w:val="clear" w:color="auto" w:fill="FFFFFF"/>
          <w:lang w:val="zh-CN"/>
        </w:rPr>
        <w:br w:type="page"/>
      </w:r>
    </w:p>
    <w:p>
      <w:pPr>
        <w:pStyle w:val="7"/>
        <w:rPr>
          <w:rFonts w:hint="eastAsia"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kern w:val="0"/>
          <w:sz w:val="32"/>
          <w:szCs w:val="32"/>
          <w:highlight w:val="none"/>
          <w:shd w:val="clear" w:color="auto" w:fill="FFFFFF"/>
          <w:lang w:val="zh-CN"/>
        </w:rPr>
        <w:t>附件</w:t>
      </w:r>
      <w:r>
        <w:rPr>
          <w:rFonts w:hint="eastAsia" w:ascii="Times New Roman" w:hAnsi="Times New Roman" w:eastAsia="黑体" w:cs="黑体"/>
          <w:color w:val="auto"/>
          <w:kern w:val="0"/>
          <w:sz w:val="32"/>
          <w:szCs w:val="32"/>
          <w:highlight w:val="none"/>
          <w:shd w:val="clear" w:color="auto" w:fill="FFFFFF"/>
          <w:lang w:val="en-US" w:eastAsia="zh-CN"/>
        </w:rPr>
        <w:t>2</w:t>
      </w:r>
    </w:p>
    <w:p>
      <w:pPr>
        <w:pStyle w:val="36"/>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p>
    <w:p>
      <w:pPr>
        <w:pStyle w:val="36"/>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r>
        <w:rPr>
          <w:rFonts w:hint="eastAsia" w:ascii="Times New Roman" w:hAnsi="Times New Roman" w:eastAsia="方正小标宋简体" w:cs="方正小标宋简体"/>
          <w:color w:val="auto"/>
          <w:kern w:val="2"/>
          <w:sz w:val="44"/>
          <w:szCs w:val="44"/>
          <w:highlight w:val="none"/>
          <w:lang w:val="en-US" w:eastAsia="zh-CN"/>
        </w:rPr>
        <w:t>专项预算项目绩效评价报告范本</w:t>
      </w:r>
    </w:p>
    <w:p>
      <w:pPr>
        <w:pStyle w:val="36"/>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ascii="Times New Roman" w:hAnsi="Times New Roman"/>
          <w:color w:val="auto"/>
          <w:kern w:val="2"/>
          <w:sz w:val="32"/>
          <w:szCs w:val="32"/>
          <w:highlight w:val="none"/>
        </w:rPr>
      </w:pP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ascii="Times New Roman" w:hAnsi="Times New Roman" w:eastAsia="黑体"/>
          <w:sz w:val="32"/>
          <w:szCs w:val="32"/>
          <w:highlight w:val="none"/>
          <w:lang w:val="zh-CN"/>
        </w:rPr>
      </w:pPr>
      <w:r>
        <w:rPr>
          <w:rFonts w:hint="eastAsia" w:ascii="Times New Roman" w:hAnsi="Times New Roman" w:eastAsia="黑体"/>
          <w:sz w:val="32"/>
          <w:szCs w:val="32"/>
          <w:highlight w:val="none"/>
        </w:rPr>
        <w:t>一、</w:t>
      </w:r>
      <w:r>
        <w:rPr>
          <w:rFonts w:hint="eastAsia" w:ascii="Times New Roman" w:hAnsi="Times New Roman" w:eastAsia="黑体"/>
          <w:sz w:val="32"/>
          <w:szCs w:val="32"/>
          <w:highlight w:val="none"/>
          <w:lang w:val="zh-CN"/>
        </w:rPr>
        <w:t>项目概况</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2" w:firstLineChars="200"/>
        <w:contextualSpacing/>
        <w:jc w:val="left"/>
        <w:textAlignment w:val="auto"/>
        <w:rPr>
          <w:rFonts w:hint="eastAsia" w:ascii="Times New Roman" w:hAnsi="Times New Roman" w:eastAsia="仿宋_GB2312" w:cs="仿宋_GB2312"/>
          <w:color w:val="auto"/>
          <w:kern w:val="0"/>
          <w:sz w:val="32"/>
          <w:szCs w:val="32"/>
          <w:highlight w:val="none"/>
          <w:u w:val="none"/>
          <w:shd w:val="clear" w:color="auto" w:fill="FFFFFF"/>
          <w:lang w:val="zh-CN"/>
        </w:rPr>
      </w:pPr>
      <w:r>
        <w:rPr>
          <w:rFonts w:hint="eastAsia" w:ascii="Times New Roman" w:hAnsi="Times New Roman" w:eastAsia="楷体_GB2312"/>
          <w:b/>
          <w:color w:val="auto"/>
          <w:sz w:val="32"/>
          <w:szCs w:val="32"/>
          <w:highlight w:val="none"/>
          <w:u w:val="none"/>
          <w:lang w:val="zh-CN"/>
        </w:rPr>
        <w:t>（一）设立背景及基本情况。</w:t>
      </w:r>
      <w:r>
        <w:rPr>
          <w:rFonts w:hint="eastAsia" w:ascii="Times New Roman" w:hAnsi="Times New Roman" w:eastAsia="仿宋_GB2312" w:cs="仿宋_GB2312"/>
          <w:b w:val="0"/>
          <w:bCs w:val="0"/>
          <w:kern w:val="0"/>
          <w:position w:val="0"/>
          <w:sz w:val="32"/>
          <w:szCs w:val="32"/>
          <w:highlight w:val="none"/>
          <w:lang w:val="en-US" w:eastAsia="zh-CN" w:bidi="ar-SA"/>
        </w:rPr>
        <w:t>项目设立原因及背景，</w:t>
      </w:r>
      <w:r>
        <w:rPr>
          <w:rFonts w:hint="eastAsia" w:ascii="Times New Roman" w:hAnsi="Times New Roman" w:eastAsia="仿宋_GB2312" w:cs="仿宋_GB2312"/>
          <w:b w:val="0"/>
          <w:bCs w:val="0"/>
          <w:kern w:val="0"/>
          <w:position w:val="0"/>
          <w:sz w:val="32"/>
          <w:szCs w:val="32"/>
          <w:highlight w:val="none"/>
          <w:lang w:val="zh-CN" w:eastAsia="zh-CN" w:bidi="ar-SA"/>
        </w:rPr>
        <w:t>项目立项、资金申报的依据，项目主要内容</w:t>
      </w:r>
      <w:r>
        <w:rPr>
          <w:rFonts w:hint="eastAsia" w:ascii="Times New Roman" w:hAnsi="Times New Roman" w:eastAsia="仿宋_GB2312" w:cs="仿宋_GB2312"/>
          <w:b w:val="0"/>
          <w:bCs w:val="0"/>
          <w:kern w:val="0"/>
          <w:position w:val="0"/>
          <w:sz w:val="32"/>
          <w:szCs w:val="32"/>
          <w:highlight w:val="none"/>
          <w:lang w:val="en-US" w:eastAsia="zh-CN" w:bidi="ar-SA"/>
        </w:rPr>
        <w:t>。</w:t>
      </w:r>
      <w:r>
        <w:rPr>
          <w:rFonts w:hint="eastAsia" w:ascii="Times New Roman" w:hAnsi="Times New Roman" w:eastAsia="仿宋_GB2312" w:cs="仿宋_GB2312"/>
          <w:b w:val="0"/>
          <w:bCs w:val="0"/>
          <w:kern w:val="0"/>
          <w:position w:val="0"/>
          <w:sz w:val="32"/>
          <w:szCs w:val="32"/>
          <w:highlight w:val="none"/>
          <w:lang w:val="zh-CN" w:eastAsia="zh-CN" w:bidi="ar-SA"/>
        </w:rPr>
        <w:t>主管部门职能</w:t>
      </w:r>
      <w:r>
        <w:rPr>
          <w:rFonts w:hint="eastAsia" w:ascii="Times New Roman" w:hAnsi="Times New Roman" w:eastAsia="仿宋_GB2312" w:cs="仿宋_GB2312"/>
          <w:color w:val="auto"/>
          <w:kern w:val="0"/>
          <w:sz w:val="32"/>
          <w:szCs w:val="32"/>
          <w:highlight w:val="none"/>
          <w:u w:val="none"/>
          <w:shd w:val="clear" w:color="auto" w:fill="FFFFFF"/>
          <w:lang w:val="zh-CN"/>
        </w:rPr>
        <w:t>。</w:t>
      </w:r>
    </w:p>
    <w:p>
      <w:pPr>
        <w:keepNext w:val="0"/>
        <w:keepLines w:val="0"/>
        <w:pageBreakBefore w:val="0"/>
        <w:kinsoku/>
        <w:wordWrap/>
        <w:overflowPunct/>
        <w:topLinePunct w:val="0"/>
        <w:autoSpaceDE/>
        <w:autoSpaceDN/>
        <w:bidi w:val="0"/>
        <w:adjustRightInd w:val="0"/>
        <w:snapToGrid w:val="0"/>
        <w:spacing w:line="578" w:lineRule="exact"/>
        <w:ind w:left="0" w:leftChars="0" w:firstLine="642" w:firstLineChars="200"/>
        <w:textAlignment w:val="auto"/>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b/>
          <w:color w:val="auto"/>
          <w:sz w:val="32"/>
          <w:szCs w:val="32"/>
          <w:highlight w:val="none"/>
          <w:u w:val="none"/>
          <w:lang w:val="zh-CN"/>
        </w:rPr>
        <w:t>（</w:t>
      </w:r>
      <w:r>
        <w:rPr>
          <w:rFonts w:hint="eastAsia" w:ascii="Times New Roman" w:hAnsi="Times New Roman" w:eastAsia="楷体_GB2312" w:cs="Times New Roman"/>
          <w:b/>
          <w:color w:val="auto"/>
          <w:sz w:val="32"/>
          <w:szCs w:val="32"/>
          <w:highlight w:val="none"/>
          <w:u w:val="none"/>
          <w:lang w:val="zh-CN"/>
        </w:rPr>
        <w:t>二）</w:t>
      </w:r>
      <w:r>
        <w:rPr>
          <w:rFonts w:hint="default" w:ascii="Times New Roman" w:hAnsi="Times New Roman" w:eastAsia="楷体_GB2312" w:cs="Times New Roman"/>
          <w:b/>
          <w:color w:val="auto"/>
          <w:sz w:val="32"/>
          <w:szCs w:val="32"/>
          <w:highlight w:val="none"/>
          <w:u w:val="none"/>
          <w:lang w:val="en-US" w:eastAsia="zh-CN"/>
        </w:rPr>
        <w:t>实施目的及支持方向</w:t>
      </w:r>
      <w:r>
        <w:rPr>
          <w:rFonts w:hint="eastAsia" w:ascii="Times New Roman" w:hAnsi="Times New Roman" w:eastAsia="楷体_GB2312" w:cs="Times New Roman"/>
          <w:b/>
          <w:color w:val="auto"/>
          <w:sz w:val="32"/>
          <w:szCs w:val="32"/>
          <w:highlight w:val="none"/>
          <w:u w:val="none"/>
          <w:lang w:val="en-US" w:eastAsia="zh-CN"/>
        </w:rPr>
        <w:t>。</w:t>
      </w:r>
      <w:r>
        <w:rPr>
          <w:rFonts w:hint="eastAsia" w:ascii="Times New Roman" w:hAnsi="Times New Roman" w:eastAsia="仿宋_GB2312" w:cs="仿宋_GB2312"/>
          <w:b w:val="0"/>
          <w:bCs w:val="0"/>
          <w:kern w:val="0"/>
          <w:position w:val="0"/>
          <w:sz w:val="32"/>
          <w:szCs w:val="32"/>
          <w:highlight w:val="none"/>
          <w:lang w:val="en-US" w:eastAsia="zh-CN" w:bidi="ar-SA"/>
        </w:rPr>
        <w:t>项目资金</w:t>
      </w:r>
      <w:r>
        <w:rPr>
          <w:rFonts w:hint="eastAsia" w:ascii="Times New Roman" w:hAnsi="Times New Roman" w:eastAsia="仿宋_GB2312" w:cs="仿宋_GB2312"/>
          <w:b w:val="0"/>
          <w:bCs w:val="0"/>
          <w:kern w:val="0"/>
          <w:position w:val="0"/>
          <w:sz w:val="32"/>
          <w:szCs w:val="32"/>
          <w:highlight w:val="none"/>
          <w:lang w:val="zh-CN" w:eastAsia="zh-CN" w:bidi="ar-SA"/>
        </w:rPr>
        <w:t>管理办法制定情况，项目实施目的和主要工作任务，项目支持方向。</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2" w:firstLineChars="200"/>
        <w:contextualSpacing/>
        <w:jc w:val="left"/>
        <w:textAlignment w:val="auto"/>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cs="Times New Roman"/>
          <w:b/>
          <w:color w:val="auto"/>
          <w:sz w:val="32"/>
          <w:szCs w:val="32"/>
          <w:highlight w:val="none"/>
          <w:u w:val="none"/>
          <w:lang w:val="zh-CN" w:eastAsia="zh-CN"/>
        </w:rPr>
        <w:t>（三）</w:t>
      </w:r>
      <w:r>
        <w:rPr>
          <w:rFonts w:hint="default" w:ascii="Times New Roman" w:hAnsi="Times New Roman" w:eastAsia="楷体_GB2312" w:cs="Times New Roman"/>
          <w:b/>
          <w:color w:val="auto"/>
          <w:sz w:val="32"/>
          <w:szCs w:val="32"/>
          <w:highlight w:val="none"/>
          <w:u w:val="none"/>
          <w:lang w:val="en-US" w:eastAsia="zh-CN"/>
        </w:rPr>
        <w:t>预算安排及分配管理</w:t>
      </w:r>
      <w:r>
        <w:rPr>
          <w:rFonts w:hint="eastAsia" w:ascii="Times New Roman" w:hAnsi="Times New Roman" w:eastAsia="楷体_GB2312" w:cs="Times New Roman"/>
          <w:b/>
          <w:color w:val="auto"/>
          <w:sz w:val="32"/>
          <w:szCs w:val="32"/>
          <w:highlight w:val="none"/>
          <w:u w:val="none"/>
          <w:lang w:val="zh-CN" w:eastAsia="zh-CN"/>
        </w:rPr>
        <w:t>。</w:t>
      </w:r>
      <w:r>
        <w:rPr>
          <w:rFonts w:hint="eastAsia" w:ascii="Times New Roman" w:hAnsi="Times New Roman" w:eastAsia="仿宋_GB2312" w:cs="仿宋_GB2312"/>
          <w:b w:val="0"/>
          <w:bCs w:val="0"/>
          <w:kern w:val="0"/>
          <w:position w:val="0"/>
          <w:sz w:val="32"/>
          <w:szCs w:val="32"/>
          <w:highlight w:val="none"/>
          <w:lang w:val="zh-CN" w:eastAsia="zh-CN" w:bidi="ar-SA"/>
        </w:rPr>
        <w:t>项目预算安排情况，项目资金分配原则及考虑因素，项目资金分配情况。</w:t>
      </w:r>
    </w:p>
    <w:p>
      <w:pPr>
        <w:keepNext w:val="0"/>
        <w:keepLines w:val="0"/>
        <w:pageBreakBefore w:val="0"/>
        <w:kinsoku/>
        <w:wordWrap/>
        <w:overflowPunct/>
        <w:topLinePunct w:val="0"/>
        <w:autoSpaceDE/>
        <w:autoSpaceDN/>
        <w:bidi w:val="0"/>
        <w:adjustRightInd w:val="0"/>
        <w:snapToGrid w:val="0"/>
        <w:spacing w:line="578" w:lineRule="exact"/>
        <w:ind w:left="0" w:leftChars="0" w:firstLine="642" w:firstLineChars="200"/>
        <w:textAlignment w:val="auto"/>
        <w:rPr>
          <w:rFonts w:hint="default"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cs="Times New Roman"/>
          <w:b/>
          <w:color w:val="auto"/>
          <w:sz w:val="32"/>
          <w:szCs w:val="32"/>
          <w:highlight w:val="none"/>
          <w:u w:val="none"/>
          <w:lang w:val="zh-CN" w:eastAsia="zh-CN"/>
        </w:rPr>
        <w:t>（四）项目绩效目标设置。</w:t>
      </w:r>
      <w:r>
        <w:rPr>
          <w:rFonts w:hint="eastAsia" w:ascii="Times New Roman" w:hAnsi="Times New Roman" w:eastAsia="仿宋_GB2312" w:cs="仿宋_GB2312"/>
          <w:b w:val="0"/>
          <w:bCs w:val="0"/>
          <w:kern w:val="0"/>
          <w:position w:val="0"/>
          <w:sz w:val="32"/>
          <w:szCs w:val="32"/>
          <w:highlight w:val="none"/>
          <w:lang w:val="zh-CN" w:eastAsia="zh-CN" w:bidi="ar-SA"/>
        </w:rPr>
        <w:t>项目整体、区域和具体绩效目标设置情况，项目自评工作开展情况。</w:t>
      </w: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eastAsia" w:ascii="Times New Roman" w:hAnsi="Times New Roman" w:eastAsia="黑体"/>
          <w:sz w:val="32"/>
          <w:szCs w:val="32"/>
          <w:highlight w:val="none"/>
          <w:lang w:eastAsia="zh-CN"/>
        </w:rPr>
      </w:pPr>
      <w:r>
        <w:rPr>
          <w:rFonts w:hint="eastAsia" w:ascii="Times New Roman" w:hAnsi="Times New Roman" w:eastAsia="黑体"/>
          <w:sz w:val="32"/>
          <w:szCs w:val="32"/>
          <w:highlight w:val="none"/>
        </w:rPr>
        <w:t>二、</w:t>
      </w:r>
      <w:r>
        <w:rPr>
          <w:rFonts w:hint="eastAsia" w:ascii="Times New Roman" w:hAnsi="Times New Roman" w:eastAsia="黑体"/>
          <w:sz w:val="32"/>
          <w:szCs w:val="32"/>
          <w:highlight w:val="none"/>
          <w:lang w:eastAsia="zh-CN"/>
        </w:rPr>
        <w:t>评价实施</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b/>
          <w:color w:val="auto"/>
          <w:sz w:val="32"/>
          <w:szCs w:val="32"/>
          <w:highlight w:val="none"/>
          <w:u w:val="none"/>
          <w:lang w:val="zh-CN"/>
        </w:rPr>
        <w:t>（一）评价目的。</w:t>
      </w:r>
      <w:r>
        <w:rPr>
          <w:rFonts w:hint="eastAsia" w:ascii="Times New Roman" w:hAnsi="Times New Roman" w:eastAsia="仿宋_GB2312" w:cs="仿宋_GB2312"/>
          <w:b w:val="0"/>
          <w:bCs w:val="0"/>
          <w:kern w:val="0"/>
          <w:position w:val="0"/>
          <w:sz w:val="32"/>
          <w:szCs w:val="32"/>
          <w:highlight w:val="none"/>
          <w:lang w:val="zh-CN" w:eastAsia="zh-CN" w:bidi="ar-SA"/>
        </w:rPr>
        <w:t>通过项目绩效自评要实现的目的。</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2" w:firstLineChars="20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b/>
          <w:color w:val="auto"/>
          <w:sz w:val="32"/>
          <w:szCs w:val="32"/>
          <w:highlight w:val="none"/>
          <w:u w:val="none"/>
          <w:lang w:val="zh-CN"/>
        </w:rPr>
        <w:t>（二）预设问题及评价重点。</w:t>
      </w:r>
      <w:r>
        <w:rPr>
          <w:rFonts w:hint="eastAsia" w:ascii="Times New Roman" w:hAnsi="Times New Roman" w:eastAsia="仿宋_GB2312" w:cs="仿宋_GB2312"/>
          <w:b w:val="0"/>
          <w:bCs w:val="0"/>
          <w:kern w:val="0"/>
          <w:position w:val="0"/>
          <w:sz w:val="32"/>
          <w:szCs w:val="32"/>
          <w:highlight w:val="none"/>
          <w:lang w:val="zh-CN" w:eastAsia="zh-CN" w:bidi="ar-SA"/>
        </w:rPr>
        <w:t>按照绩效评价指标体系，对资金支出使用全过程及其实施效果进行综合评价和判断。</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2" w:firstLineChars="20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b/>
          <w:color w:val="auto"/>
          <w:sz w:val="32"/>
          <w:szCs w:val="32"/>
          <w:highlight w:val="none"/>
          <w:u w:val="none"/>
          <w:lang w:val="zh-CN" w:eastAsia="zh-CN"/>
        </w:rPr>
        <w:t>（三）评价选点。</w:t>
      </w:r>
      <w:r>
        <w:rPr>
          <w:rFonts w:hint="eastAsia" w:ascii="Times New Roman" w:hAnsi="Times New Roman" w:eastAsia="仿宋_GB2312" w:cs="仿宋_GB2312"/>
          <w:b w:val="0"/>
          <w:bCs w:val="0"/>
          <w:kern w:val="0"/>
          <w:position w:val="0"/>
          <w:sz w:val="32"/>
          <w:szCs w:val="32"/>
          <w:highlight w:val="none"/>
          <w:lang w:val="zh-CN" w:eastAsia="zh-CN" w:bidi="ar-SA"/>
        </w:rPr>
        <w:t>项目绩效自评所抽样点位情况。每个专项预算项目应选取专项资金分配涉及市县总数的20%、总计不超过20个的市县点位进行实地踏勘，且点位清单应作为自评附表。</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b/>
          <w:color w:val="auto"/>
          <w:sz w:val="32"/>
          <w:szCs w:val="32"/>
          <w:highlight w:val="none"/>
          <w:u w:val="none"/>
          <w:lang w:val="zh-CN"/>
        </w:rPr>
        <w:t>（四）评价方法。</w:t>
      </w:r>
      <w:r>
        <w:rPr>
          <w:rFonts w:hint="eastAsia" w:ascii="Times New Roman" w:hAnsi="Times New Roman" w:eastAsia="仿宋_GB2312" w:cs="仿宋_GB2312"/>
          <w:b w:val="0"/>
          <w:bCs w:val="0"/>
          <w:kern w:val="0"/>
          <w:position w:val="0"/>
          <w:sz w:val="32"/>
          <w:szCs w:val="32"/>
          <w:highlight w:val="none"/>
          <w:lang w:val="zh-CN" w:eastAsia="zh-CN" w:bidi="ar-SA"/>
        </w:rPr>
        <w:t>根据项目情况和评价重点，用来收集相关材料和开展具体评价的方法。包括：采用成本效益分析法、标杆管理法、案卷研究法、单位自评法、</w:t>
      </w:r>
      <w:r>
        <w:rPr>
          <w:rFonts w:hint="eastAsia" w:eastAsia="仿宋_GB2312" w:cs="仿宋_GB2312"/>
          <w:b w:val="0"/>
          <w:bCs w:val="0"/>
          <w:kern w:val="0"/>
          <w:position w:val="0"/>
          <w:sz w:val="32"/>
          <w:szCs w:val="32"/>
          <w:highlight w:val="none"/>
          <w:lang w:val="zh-CN" w:eastAsia="zh-CN" w:bidi="ar-SA"/>
        </w:rPr>
        <w:t>实地勘查法</w:t>
      </w:r>
      <w:r>
        <w:rPr>
          <w:rFonts w:hint="eastAsia" w:ascii="Times New Roman" w:hAnsi="Times New Roman" w:eastAsia="仿宋_GB2312" w:cs="仿宋_GB2312"/>
          <w:b w:val="0"/>
          <w:bCs w:val="0"/>
          <w:kern w:val="0"/>
          <w:position w:val="0"/>
          <w:sz w:val="32"/>
          <w:szCs w:val="32"/>
          <w:highlight w:val="none"/>
          <w:lang w:val="zh-CN" w:eastAsia="zh-CN" w:bidi="ar-SA"/>
        </w:rPr>
        <w:t>、问卷调查法、座谈调研法等多种方法。</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bCs/>
          <w:lang w:eastAsia="zh-CN"/>
        </w:rPr>
      </w:pPr>
      <w:r>
        <w:rPr>
          <w:rFonts w:hint="eastAsia" w:ascii="Times New Roman" w:hAnsi="Times New Roman" w:eastAsia="楷体_GB2312"/>
          <w:b/>
          <w:color w:val="auto"/>
          <w:sz w:val="32"/>
          <w:szCs w:val="32"/>
          <w:highlight w:val="none"/>
          <w:u w:val="none"/>
          <w:lang w:val="zh-CN"/>
        </w:rPr>
        <w:t>（五）评价组织。</w:t>
      </w:r>
      <w:r>
        <w:rPr>
          <w:rFonts w:hint="eastAsia" w:ascii="Times New Roman" w:hAnsi="Times New Roman" w:eastAsia="仿宋_GB2312" w:cs="仿宋_GB2312"/>
          <w:b w:val="0"/>
          <w:bCs w:val="0"/>
          <w:kern w:val="0"/>
          <w:position w:val="0"/>
          <w:sz w:val="32"/>
          <w:szCs w:val="32"/>
          <w:highlight w:val="none"/>
          <w:lang w:val="zh-CN" w:eastAsia="zh-CN" w:bidi="ar-SA"/>
        </w:rPr>
        <w:t>评价组人员构成和职责分工。</w:t>
      </w:r>
    </w:p>
    <w:p>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ascii="Times New Roman" w:hAnsi="Times New Roman"/>
          <w:color w:val="auto"/>
          <w:sz w:val="32"/>
          <w:szCs w:val="32"/>
          <w:highlight w:val="none"/>
          <w:u w:val="none"/>
          <w:lang w:val="zh-CN"/>
        </w:rPr>
      </w:pPr>
      <w:r>
        <w:rPr>
          <w:rFonts w:hint="eastAsia" w:ascii="Times New Roman" w:hAnsi="Times New Roman" w:eastAsia="黑体"/>
          <w:color w:val="auto"/>
          <w:sz w:val="32"/>
          <w:szCs w:val="32"/>
          <w:highlight w:val="none"/>
          <w:u w:val="none"/>
        </w:rPr>
        <w:t>三、</w:t>
      </w:r>
      <w:r>
        <w:rPr>
          <w:rFonts w:hint="eastAsia" w:ascii="Times New Roman" w:hAnsi="Times New Roman" w:eastAsia="黑体"/>
          <w:color w:val="auto"/>
          <w:sz w:val="32"/>
          <w:szCs w:val="32"/>
          <w:highlight w:val="none"/>
          <w:u w:val="none"/>
          <w:lang w:eastAsia="zh-CN"/>
        </w:rPr>
        <w:t>绩效分析</w:t>
      </w:r>
      <w:r>
        <w:rPr>
          <w:rFonts w:hint="eastAsia" w:ascii="Times New Roman" w:hAnsi="Times New Roman"/>
          <w:color w:val="auto"/>
          <w:sz w:val="32"/>
          <w:szCs w:val="32"/>
          <w:highlight w:val="none"/>
          <w:u w:val="none"/>
          <w:lang w:val="zh-CN"/>
        </w:rPr>
        <w:tab/>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default" w:ascii="Times New Roman" w:hAnsi="Times New Roman" w:eastAsia="仿宋_GB2312" w:cs="仿宋_GB2312"/>
          <w:b w:val="0"/>
          <w:bCs w:val="0"/>
          <w:kern w:val="0"/>
          <w:position w:val="0"/>
          <w:sz w:val="32"/>
          <w:szCs w:val="32"/>
          <w:highlight w:val="none"/>
          <w:lang w:val="zh-CN" w:eastAsia="zh-CN" w:bidi="ar-SA"/>
        </w:rPr>
        <w:t>根据</w:t>
      </w:r>
      <w:r>
        <w:rPr>
          <w:rFonts w:hint="eastAsia" w:ascii="Times New Roman" w:hAnsi="Times New Roman" w:eastAsia="仿宋_GB2312" w:cs="仿宋_GB2312"/>
          <w:b w:val="0"/>
          <w:bCs w:val="0"/>
          <w:kern w:val="0"/>
          <w:position w:val="0"/>
          <w:sz w:val="32"/>
          <w:szCs w:val="32"/>
          <w:highlight w:val="none"/>
          <w:lang w:val="zh-CN" w:eastAsia="zh-CN" w:bidi="ar-SA"/>
        </w:rPr>
        <w:t>项目</w:t>
      </w:r>
      <w:r>
        <w:rPr>
          <w:rFonts w:hint="default" w:ascii="Times New Roman" w:hAnsi="Times New Roman" w:eastAsia="仿宋_GB2312" w:cs="仿宋_GB2312"/>
          <w:b w:val="0"/>
          <w:bCs w:val="0"/>
          <w:kern w:val="0"/>
          <w:position w:val="0"/>
          <w:sz w:val="32"/>
          <w:szCs w:val="32"/>
          <w:highlight w:val="none"/>
          <w:lang w:val="zh-CN" w:eastAsia="zh-CN" w:bidi="ar-SA"/>
        </w:rPr>
        <w:t>预算绩效评价指标体系</w:t>
      </w:r>
      <w:r>
        <w:rPr>
          <w:rFonts w:hint="eastAsia" w:ascii="Times New Roman" w:hAnsi="Times New Roman" w:eastAsia="仿宋_GB2312" w:cs="仿宋_GB2312"/>
          <w:b w:val="0"/>
          <w:bCs w:val="0"/>
          <w:kern w:val="0"/>
          <w:position w:val="0"/>
          <w:sz w:val="32"/>
          <w:szCs w:val="32"/>
          <w:highlight w:val="none"/>
          <w:lang w:val="zh-CN" w:eastAsia="zh-CN" w:bidi="ar-SA"/>
        </w:rPr>
        <w:t>通用指标、专用指标、个性指标</w:t>
      </w:r>
      <w:r>
        <w:rPr>
          <w:rFonts w:hint="default" w:ascii="Times New Roman" w:hAnsi="Times New Roman" w:eastAsia="仿宋_GB2312" w:cs="仿宋_GB2312"/>
          <w:b w:val="0"/>
          <w:bCs w:val="0"/>
          <w:kern w:val="0"/>
          <w:position w:val="0"/>
          <w:sz w:val="32"/>
          <w:szCs w:val="32"/>
          <w:highlight w:val="none"/>
          <w:lang w:val="zh-CN" w:eastAsia="zh-CN" w:bidi="ar-SA"/>
        </w:rPr>
        <w:t>涉及</w:t>
      </w:r>
      <w:r>
        <w:rPr>
          <w:rFonts w:hint="eastAsia" w:ascii="Times New Roman" w:hAnsi="Times New Roman" w:eastAsia="仿宋_GB2312" w:cs="仿宋_GB2312"/>
          <w:b w:val="0"/>
          <w:bCs w:val="0"/>
          <w:kern w:val="0"/>
          <w:position w:val="0"/>
          <w:sz w:val="32"/>
          <w:szCs w:val="32"/>
          <w:highlight w:val="none"/>
          <w:lang w:val="zh-CN" w:eastAsia="zh-CN" w:bidi="ar-SA"/>
        </w:rPr>
        <w:t>二、三级</w:t>
      </w:r>
      <w:r>
        <w:rPr>
          <w:rFonts w:hint="default" w:ascii="Times New Roman" w:hAnsi="Times New Roman" w:eastAsia="仿宋_GB2312" w:cs="仿宋_GB2312"/>
          <w:b w:val="0"/>
          <w:bCs w:val="0"/>
          <w:kern w:val="0"/>
          <w:position w:val="0"/>
          <w:sz w:val="32"/>
          <w:szCs w:val="32"/>
          <w:highlight w:val="none"/>
          <w:lang w:val="zh-CN" w:eastAsia="zh-CN" w:bidi="ar-SA"/>
        </w:rPr>
        <w:t>指标进行</w:t>
      </w:r>
      <w:r>
        <w:rPr>
          <w:rFonts w:hint="eastAsia" w:ascii="Times New Roman" w:hAnsi="Times New Roman" w:eastAsia="仿宋_GB2312" w:cs="仿宋_GB2312"/>
          <w:b w:val="0"/>
          <w:bCs w:val="0"/>
          <w:kern w:val="0"/>
          <w:position w:val="0"/>
          <w:sz w:val="32"/>
          <w:szCs w:val="32"/>
          <w:highlight w:val="none"/>
          <w:lang w:val="zh-CN" w:eastAsia="zh-CN" w:bidi="ar-SA"/>
        </w:rPr>
        <w:t>逐项</w:t>
      </w:r>
      <w:r>
        <w:rPr>
          <w:rFonts w:hint="default" w:ascii="Times New Roman" w:hAnsi="Times New Roman" w:eastAsia="仿宋_GB2312" w:cs="仿宋_GB2312"/>
          <w:b w:val="0"/>
          <w:bCs w:val="0"/>
          <w:kern w:val="0"/>
          <w:position w:val="0"/>
          <w:sz w:val="32"/>
          <w:szCs w:val="32"/>
          <w:highlight w:val="none"/>
          <w:lang w:val="zh-CN" w:eastAsia="zh-CN" w:bidi="ar-SA"/>
        </w:rPr>
        <w:t>绩效分析</w:t>
      </w:r>
      <w:r>
        <w:rPr>
          <w:rFonts w:hint="eastAsia" w:ascii="Times New Roman" w:hAnsi="Times New Roman" w:eastAsia="仿宋_GB2312" w:cs="仿宋_GB2312"/>
          <w:b w:val="0"/>
          <w:bCs w:val="0"/>
          <w:kern w:val="0"/>
          <w:position w:val="0"/>
          <w:sz w:val="32"/>
          <w:szCs w:val="32"/>
          <w:highlight w:val="none"/>
          <w:lang w:val="zh-CN" w:eastAsia="zh-CN" w:bidi="ar-SA"/>
        </w:rPr>
        <w:t>并评分</w:t>
      </w:r>
      <w:r>
        <w:rPr>
          <w:rFonts w:hint="eastAsia" w:ascii="Times New Roman" w:hAnsi="Times New Roman" w:eastAsia="仿宋_GB2312" w:cs="仿宋_GB2312"/>
          <w:b w:val="0"/>
          <w:bCs w:val="0"/>
          <w:kern w:val="0"/>
          <w:position w:val="0"/>
          <w:sz w:val="32"/>
          <w:szCs w:val="32"/>
          <w:highlight w:val="none"/>
          <w:lang w:val="en-US" w:eastAsia="zh-CN" w:bidi="ar-SA"/>
        </w:rPr>
        <w:t>。</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Times New Roman" w:hAnsi="Times New Roman" w:eastAsia="楷体_GB2312" w:cs="Times New Roman"/>
          <w:b/>
          <w:color w:val="auto"/>
          <w:sz w:val="32"/>
          <w:szCs w:val="32"/>
          <w:highlight w:val="none"/>
          <w:u w:val="none"/>
          <w:lang w:val="en-US" w:eastAsia="zh-CN"/>
        </w:rPr>
      </w:pPr>
      <w:r>
        <w:rPr>
          <w:rFonts w:hint="eastAsia" w:ascii="Times New Roman" w:hAnsi="Times New Roman" w:eastAsia="楷体_GB2312" w:cs="Times New Roman"/>
          <w:b/>
          <w:color w:val="auto"/>
          <w:sz w:val="32"/>
          <w:szCs w:val="32"/>
          <w:highlight w:val="none"/>
          <w:u w:val="none"/>
          <w:lang w:val="zh-CN"/>
        </w:rPr>
        <w:t>（一）</w:t>
      </w:r>
      <w:r>
        <w:rPr>
          <w:rFonts w:hint="eastAsia" w:ascii="Times New Roman" w:hAnsi="Times New Roman"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1.</w:t>
      </w:r>
      <w:r>
        <w:rPr>
          <w:rFonts w:hint="eastAsia" w:ascii="Times New Roman" w:hAnsi="Times New Roman" w:eastAsia="仿宋_GB2312" w:cs="仿宋_GB2312"/>
          <w:b w:val="0"/>
          <w:bCs w:val="0"/>
          <w:kern w:val="0"/>
          <w:position w:val="0"/>
          <w:sz w:val="32"/>
          <w:szCs w:val="32"/>
          <w:highlight w:val="none"/>
          <w:lang w:val="zh-CN" w:eastAsia="zh-CN" w:bidi="ar-SA"/>
        </w:rPr>
        <w:t>项目决策。围绕决策程序、规划论证、资金投向进行绩效分析。</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2.</w:t>
      </w:r>
      <w:r>
        <w:rPr>
          <w:rFonts w:hint="eastAsia" w:ascii="Times New Roman" w:hAnsi="Times New Roman" w:eastAsia="仿宋_GB2312" w:cs="仿宋_GB2312"/>
          <w:b w:val="0"/>
          <w:bCs w:val="0"/>
          <w:kern w:val="0"/>
          <w:position w:val="0"/>
          <w:sz w:val="32"/>
          <w:szCs w:val="32"/>
          <w:highlight w:val="none"/>
          <w:lang w:val="zh-CN" w:eastAsia="zh-CN" w:bidi="ar-SA"/>
        </w:rPr>
        <w:t>项目管理。围绕制度办法、分配管理、绩效监管进行绩效分析。</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3.项目实施。</w:t>
      </w:r>
      <w:r>
        <w:rPr>
          <w:rFonts w:hint="eastAsia" w:ascii="Times New Roman" w:hAnsi="Times New Roman" w:eastAsia="仿宋_GB2312" w:cs="仿宋_GB2312"/>
          <w:b w:val="0"/>
          <w:bCs w:val="0"/>
          <w:kern w:val="0"/>
          <w:position w:val="0"/>
          <w:sz w:val="32"/>
          <w:szCs w:val="32"/>
          <w:highlight w:val="none"/>
          <w:lang w:val="zh-CN" w:eastAsia="zh-CN" w:bidi="ar-SA"/>
        </w:rPr>
        <w:t>围绕预算执行、资金使用进行绩效分析。</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4.项目结果。围绕</w:t>
      </w:r>
      <w:r>
        <w:rPr>
          <w:rFonts w:hint="eastAsia" w:ascii="Times New Roman" w:hAnsi="Times New Roman" w:eastAsia="仿宋_GB2312" w:cs="仿宋_GB2312"/>
          <w:b w:val="0"/>
          <w:bCs w:val="0"/>
          <w:kern w:val="0"/>
          <w:position w:val="0"/>
          <w:sz w:val="32"/>
          <w:szCs w:val="32"/>
          <w:highlight w:val="none"/>
          <w:lang w:val="zh-CN" w:eastAsia="zh-CN" w:bidi="ar-SA"/>
        </w:rPr>
        <w:t>目标完成、完成时效进行绩效分析。</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cs="Times New Roman"/>
          <w:b/>
          <w:color w:val="auto"/>
          <w:sz w:val="32"/>
          <w:szCs w:val="32"/>
          <w:highlight w:val="none"/>
          <w:u w:val="none"/>
          <w:lang w:val="zh-CN"/>
        </w:rPr>
        <w:t>（二）</w:t>
      </w:r>
      <w:r>
        <w:rPr>
          <w:rFonts w:hint="eastAsia" w:ascii="Times New Roman" w:hAnsi="Times New Roman"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r>
        <w:rPr>
          <w:rFonts w:hint="eastAsia" w:ascii="Times New Roman" w:hAnsi="Times New Roman" w:eastAsia="仿宋_GB2312" w:cs="仿宋_GB2312"/>
          <w:b w:val="0"/>
          <w:bCs w:val="0"/>
          <w:kern w:val="0"/>
          <w:position w:val="0"/>
          <w:sz w:val="32"/>
          <w:szCs w:val="32"/>
          <w:highlight w:val="none"/>
          <w:lang w:val="zh-CN" w:eastAsia="zh-CN" w:bidi="ar-SA"/>
        </w:rPr>
        <w:t>根据</w:t>
      </w:r>
      <w:r>
        <w:rPr>
          <w:rFonts w:hint="eastAsia" w:ascii="Times New Roman" w:hAnsi="Times New Roman" w:eastAsia="仿宋_GB2312" w:cs="仿宋_GB2312"/>
          <w:b w:val="0"/>
          <w:bCs w:val="0"/>
          <w:kern w:val="0"/>
          <w:position w:val="0"/>
          <w:sz w:val="32"/>
          <w:szCs w:val="32"/>
          <w:highlight w:val="none"/>
          <w:lang w:val="en-US" w:eastAsia="zh-CN" w:bidi="ar-SA"/>
        </w:rPr>
        <w:t>专项预算项目资金支持对象选择所属指标进行绩效分析。支持对象</w:t>
      </w:r>
      <w:r>
        <w:rPr>
          <w:rFonts w:hint="eastAsia" w:ascii="Times New Roman" w:hAnsi="Times New Roman" w:eastAsia="仿宋_GB2312" w:cs="仿宋_GB2312"/>
          <w:b w:val="0"/>
          <w:bCs w:val="0"/>
          <w:kern w:val="0"/>
          <w:position w:val="0"/>
          <w:sz w:val="32"/>
          <w:szCs w:val="32"/>
          <w:highlight w:val="none"/>
          <w:lang w:val="zh-CN" w:eastAsia="zh-CN" w:bidi="ar-SA"/>
        </w:rPr>
        <w:t>包括产业发展、民生保障、基础设施、行政运转等方面。</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1.产业发展。围绕符合性、成长性、经济性进行绩效分析。</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2.</w:t>
      </w:r>
      <w:r>
        <w:rPr>
          <w:rFonts w:hint="eastAsia" w:ascii="Times New Roman" w:hAnsi="Times New Roman" w:eastAsia="仿宋_GB2312" w:cs="仿宋_GB2312"/>
          <w:b w:val="0"/>
          <w:bCs w:val="0"/>
          <w:kern w:val="0"/>
          <w:position w:val="0"/>
          <w:sz w:val="32"/>
          <w:szCs w:val="32"/>
          <w:highlight w:val="none"/>
          <w:lang w:val="zh-CN" w:eastAsia="zh-CN" w:bidi="ar-SA"/>
        </w:rPr>
        <w:t>民生保障。</w:t>
      </w:r>
      <w:r>
        <w:rPr>
          <w:rFonts w:hint="eastAsia" w:ascii="Times New Roman" w:hAnsi="Times New Roman" w:eastAsia="仿宋_GB2312" w:cs="仿宋_GB2312"/>
          <w:b w:val="0"/>
          <w:bCs w:val="0"/>
          <w:kern w:val="0"/>
          <w:position w:val="0"/>
          <w:sz w:val="32"/>
          <w:szCs w:val="32"/>
          <w:highlight w:val="none"/>
          <w:lang w:val="en-US" w:eastAsia="zh-CN" w:bidi="ar-SA"/>
        </w:rPr>
        <w:t>围绕区域均衡性、对象精准性、标准合理性、群众满意度进行绩效分析。</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3.基础设施。在建项目围绕工程进度和资金拨付进行绩效分析；建成项目围绕项目验收、功能实现、后续管护进行</w:t>
      </w:r>
      <w:r>
        <w:rPr>
          <w:rFonts w:hint="eastAsia" w:ascii="Times New Roman" w:hAnsi="Times New Roman" w:eastAsia="仿宋_GB2312" w:cs="仿宋_GB2312"/>
          <w:b w:val="0"/>
          <w:bCs w:val="0"/>
          <w:kern w:val="0"/>
          <w:position w:val="0"/>
          <w:sz w:val="32"/>
          <w:szCs w:val="32"/>
          <w:highlight w:val="none"/>
          <w:lang w:val="zh-CN" w:eastAsia="zh-CN" w:bidi="ar-SA"/>
        </w:rPr>
        <w:t>绩效分析。</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4.</w:t>
      </w:r>
      <w:r>
        <w:rPr>
          <w:rFonts w:hint="eastAsia" w:ascii="Times New Roman" w:hAnsi="Times New Roman" w:eastAsia="仿宋_GB2312" w:cs="仿宋_GB2312"/>
          <w:b w:val="0"/>
          <w:bCs w:val="0"/>
          <w:kern w:val="0"/>
          <w:position w:val="0"/>
          <w:sz w:val="32"/>
          <w:szCs w:val="32"/>
          <w:highlight w:val="none"/>
          <w:lang w:val="zh-CN" w:eastAsia="zh-CN" w:bidi="ar-SA"/>
        </w:rPr>
        <w:t>行政运转。围绕用途合规性、程序合规性、标准合规性进行绩效分析。</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楷体_GB2312" w:cs="Times New Roman"/>
          <w:b/>
          <w:color w:val="auto"/>
          <w:sz w:val="32"/>
          <w:szCs w:val="32"/>
          <w:highlight w:val="none"/>
          <w:u w:val="none"/>
          <w:lang w:val="zh-CN"/>
        </w:rPr>
        <w:t>（三）</w:t>
      </w:r>
      <w:r>
        <w:rPr>
          <w:rFonts w:hint="eastAsia" w:ascii="Times New Roman" w:hAnsi="Times New Roman"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r>
        <w:rPr>
          <w:rFonts w:hint="eastAsia" w:ascii="Times New Roman" w:hAnsi="Times New Roman" w:eastAsia="仿宋_GB2312" w:cs="仿宋_GB2312"/>
          <w:b w:val="0"/>
          <w:bCs w:val="0"/>
          <w:kern w:val="0"/>
          <w:position w:val="0"/>
          <w:sz w:val="32"/>
          <w:szCs w:val="32"/>
          <w:highlight w:val="none"/>
          <w:lang w:val="zh-CN" w:eastAsia="zh-CN" w:bidi="ar-SA"/>
        </w:rPr>
        <w:t>根据项目个性自行设定部分指标，反映该项指标执行完成情况。</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黑体" w:hAnsi="黑体" w:eastAsia="黑体" w:cs="黑体"/>
          <w:b w:val="0"/>
          <w:bCs w:val="0"/>
          <w:kern w:val="0"/>
          <w:position w:val="0"/>
          <w:sz w:val="32"/>
          <w:szCs w:val="32"/>
          <w:highlight w:val="none"/>
          <w:lang w:val="en-US" w:eastAsia="zh-CN" w:bidi="ar-SA"/>
        </w:rPr>
      </w:pPr>
      <w:r>
        <w:rPr>
          <w:rFonts w:hint="eastAsia" w:ascii="黑体" w:hAnsi="黑体" w:eastAsia="黑体" w:cs="黑体"/>
          <w:b w:val="0"/>
          <w:bCs w:val="0"/>
          <w:kern w:val="0"/>
          <w:position w:val="0"/>
          <w:sz w:val="32"/>
          <w:szCs w:val="32"/>
          <w:highlight w:val="none"/>
          <w:lang w:val="en-US" w:eastAsia="zh-CN" w:bidi="ar-SA"/>
        </w:rPr>
        <w:t>四、评价结论</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简要阐述专项预算项目绩效自评总体结论，包含评价总分、</w:t>
      </w:r>
      <w:r>
        <w:rPr>
          <w:rFonts w:hint="eastAsia" w:ascii="Times New Roman" w:hAnsi="Times New Roman" w:eastAsia="仿宋_GB2312" w:cs="仿宋_GB2312"/>
          <w:b w:val="0"/>
          <w:bCs w:val="0"/>
          <w:kern w:val="0"/>
          <w:position w:val="0"/>
          <w:sz w:val="32"/>
          <w:szCs w:val="32"/>
          <w:highlight w:val="none"/>
          <w:lang w:val="zh-CN" w:eastAsia="zh-CN" w:bidi="ar-SA"/>
        </w:rPr>
        <w:t>项目实施情况。</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黑体" w:hAnsi="黑体" w:eastAsia="黑体" w:cs="黑体"/>
          <w:b w:val="0"/>
          <w:bCs w:val="0"/>
          <w:kern w:val="0"/>
          <w:position w:val="0"/>
          <w:sz w:val="32"/>
          <w:szCs w:val="32"/>
          <w:highlight w:val="none"/>
          <w:lang w:val="en-US" w:eastAsia="zh-CN" w:bidi="ar-SA"/>
        </w:rPr>
      </w:pPr>
      <w:r>
        <w:rPr>
          <w:rFonts w:hint="eastAsia" w:ascii="黑体" w:hAnsi="黑体" w:eastAsia="黑体" w:cs="黑体"/>
          <w:b w:val="0"/>
          <w:bCs w:val="0"/>
          <w:kern w:val="0"/>
          <w:position w:val="0"/>
          <w:sz w:val="32"/>
          <w:szCs w:val="32"/>
          <w:highlight w:val="none"/>
          <w:lang w:val="en-US" w:eastAsia="zh-CN" w:bidi="ar-SA"/>
        </w:rPr>
        <w:t>五、存在主要问题</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简要阐述专项预算项目绩效自评发现的主要问题。</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黑体" w:hAnsi="黑体" w:eastAsia="黑体" w:cs="黑体"/>
          <w:b w:val="0"/>
          <w:bCs w:val="0"/>
          <w:kern w:val="0"/>
          <w:position w:val="0"/>
          <w:sz w:val="32"/>
          <w:szCs w:val="32"/>
          <w:highlight w:val="none"/>
          <w:lang w:val="zh-CN" w:eastAsia="zh-CN" w:bidi="ar-SA"/>
        </w:rPr>
      </w:pPr>
      <w:r>
        <w:rPr>
          <w:rFonts w:hint="eastAsia" w:ascii="黑体" w:hAnsi="黑体" w:eastAsia="黑体" w:cs="黑体"/>
          <w:b w:val="0"/>
          <w:bCs w:val="0"/>
          <w:kern w:val="0"/>
          <w:position w:val="0"/>
          <w:sz w:val="32"/>
          <w:szCs w:val="32"/>
          <w:highlight w:val="none"/>
          <w:lang w:val="zh-CN" w:eastAsia="zh-CN" w:bidi="ar-SA"/>
        </w:rPr>
        <w:t>六、改进建议</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简要阐述专项预算项目在</w:t>
      </w:r>
      <w:r>
        <w:rPr>
          <w:rFonts w:hint="eastAsia" w:ascii="Times New Roman" w:hAnsi="Times New Roman" w:eastAsia="仿宋_GB2312" w:cs="仿宋_GB2312"/>
          <w:b w:val="0"/>
          <w:bCs w:val="0"/>
          <w:kern w:val="0"/>
          <w:position w:val="0"/>
          <w:sz w:val="32"/>
          <w:szCs w:val="32"/>
          <w:highlight w:val="none"/>
          <w:lang w:val="en" w:eastAsia="zh-CN" w:bidi="ar-SA"/>
        </w:rPr>
        <w:t>预算安排、完善政策、改进管理等方面的</w:t>
      </w:r>
      <w:r>
        <w:rPr>
          <w:rFonts w:hint="eastAsia" w:ascii="Times New Roman" w:hAnsi="Times New Roman" w:eastAsia="仿宋_GB2312" w:cs="仿宋_GB2312"/>
          <w:b w:val="0"/>
          <w:bCs w:val="0"/>
          <w:kern w:val="0"/>
          <w:position w:val="0"/>
          <w:sz w:val="32"/>
          <w:szCs w:val="32"/>
          <w:highlight w:val="none"/>
          <w:lang w:val="en-US" w:eastAsia="zh-CN" w:bidi="ar-SA"/>
        </w:rPr>
        <w:t>措施</w:t>
      </w:r>
      <w:r>
        <w:rPr>
          <w:rFonts w:hint="eastAsia" w:ascii="Times New Roman" w:hAnsi="Times New Roman" w:eastAsia="仿宋_GB2312" w:cs="仿宋_GB2312"/>
          <w:b w:val="0"/>
          <w:bCs w:val="0"/>
          <w:kern w:val="0"/>
          <w:position w:val="0"/>
          <w:sz w:val="32"/>
          <w:szCs w:val="32"/>
          <w:highlight w:val="none"/>
          <w:lang w:val="en" w:eastAsia="zh-CN" w:bidi="ar-SA"/>
        </w:rPr>
        <w:t>建议，其中</w:t>
      </w:r>
      <w:r>
        <w:rPr>
          <w:rFonts w:hint="eastAsia" w:eastAsia="仿宋_GB2312" w:cs="仿宋_GB2312"/>
          <w:b w:val="0"/>
          <w:bCs w:val="0"/>
          <w:kern w:val="0"/>
          <w:position w:val="0"/>
          <w:sz w:val="32"/>
          <w:szCs w:val="32"/>
          <w:highlight w:val="none"/>
          <w:lang w:val="en-US" w:eastAsia="zh-CN" w:bidi="ar-SA"/>
        </w:rPr>
        <w:t>必须对评价</w:t>
      </w:r>
      <w:r>
        <w:rPr>
          <w:rFonts w:hint="eastAsia" w:ascii="Times New Roman" w:hAnsi="Times New Roman" w:eastAsia="仿宋_GB2312" w:cs="仿宋_GB2312"/>
          <w:b w:val="0"/>
          <w:bCs w:val="0"/>
          <w:kern w:val="0"/>
          <w:position w:val="0"/>
          <w:sz w:val="32"/>
          <w:szCs w:val="32"/>
          <w:highlight w:val="none"/>
          <w:lang w:val="en-US" w:eastAsia="zh-CN" w:bidi="ar-SA"/>
        </w:rPr>
        <w:t>发现的主要问题一一提出措施建议。</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bCs/>
          <w:kern w:val="0"/>
          <w:position w:val="0"/>
          <w:sz w:val="32"/>
          <w:szCs w:val="32"/>
          <w:highlight w:val="none"/>
          <w:lang w:val="en-US" w:eastAsia="zh-CN" w:bidi="ar-SA"/>
        </w:rPr>
      </w:pPr>
      <w:r>
        <w:rPr>
          <w:rFonts w:hint="eastAsia" w:ascii="Times New Roman" w:hAnsi="Times New Roman" w:eastAsia="仿宋_GB2312" w:cs="仿宋_GB2312"/>
          <w:b/>
          <w:bCs/>
          <w:kern w:val="0"/>
          <w:position w:val="0"/>
          <w:sz w:val="32"/>
          <w:szCs w:val="32"/>
          <w:highlight w:val="none"/>
          <w:lang w:val="en-US" w:eastAsia="zh-CN" w:bidi="ar-SA"/>
        </w:rPr>
        <w:t>（</w:t>
      </w:r>
      <w:r>
        <w:rPr>
          <w:rFonts w:hint="eastAsia" w:eastAsia="仿宋_GB2312" w:cs="仿宋_GB2312"/>
          <w:b/>
          <w:bCs/>
          <w:kern w:val="0"/>
          <w:position w:val="0"/>
          <w:sz w:val="32"/>
          <w:szCs w:val="32"/>
          <w:highlight w:val="none"/>
          <w:lang w:val="en-US" w:eastAsia="zh-CN" w:bidi="ar-SA"/>
        </w:rPr>
        <w:t>注：</w:t>
      </w:r>
      <w:r>
        <w:rPr>
          <w:rFonts w:hint="eastAsia" w:ascii="Times New Roman" w:hAnsi="Times New Roman" w:eastAsia="仿宋_GB2312" w:cs="仿宋_GB2312"/>
          <w:b/>
          <w:bCs/>
          <w:kern w:val="0"/>
          <w:position w:val="0"/>
          <w:sz w:val="32"/>
          <w:szCs w:val="32"/>
          <w:highlight w:val="none"/>
          <w:lang w:val="en-US" w:eastAsia="zh-CN" w:bidi="ar-SA"/>
        </w:rPr>
        <w:t>以上绩效自评报告，除涉密敏感内容外，原则上都应予以公开）</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bookmarkStart w:id="51" w:name="_Toc15396618"/>
      <w:r>
        <w:rPr>
          <w:rFonts w:hint="eastAsia" w:ascii="Times New Roman" w:hAnsi="Times New Roman" w:eastAsia="仿宋_GB2312" w:cs="仿宋_GB2312"/>
          <w:b w:val="0"/>
          <w:bCs w:val="0"/>
          <w:kern w:val="0"/>
          <w:position w:val="0"/>
          <w:sz w:val="32"/>
          <w:szCs w:val="32"/>
          <w:highlight w:val="none"/>
          <w:lang w:val="en-US" w:eastAsia="zh-CN" w:bidi="ar-SA"/>
        </w:rPr>
        <w:br w:type="page"/>
      </w:r>
    </w:p>
    <w:p>
      <w:pPr>
        <w:widowControl/>
        <w:jc w:val="center"/>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30"/>
          <w:rFonts w:hint="eastAsia" w:ascii="Times New Roman" w:hAnsi="Times New Roman" w:eastAsia="黑体"/>
          <w:b w:val="0"/>
          <w:color w:val="auto"/>
          <w:highlight w:val="none"/>
        </w:rPr>
        <w:t>五部分 附表</w:t>
      </w:r>
      <w:bookmarkEnd w:id="49"/>
      <w:bookmarkEnd w:id="51"/>
      <w:bookmarkStart w:id="52" w:name="_Toc15396619"/>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52"/>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3" w:name="_Toc15396620"/>
      <w:r>
        <w:rPr>
          <w:rFonts w:hint="eastAsia" w:ascii="Times New Roman" w:hAnsi="Times New Roman" w:eastAsia="仿宋_GB2312" w:cs="仿宋_GB2312"/>
          <w:color w:val="auto"/>
          <w:sz w:val="32"/>
          <w:szCs w:val="32"/>
          <w:highlight w:val="none"/>
        </w:rPr>
        <w:t>二、收入决算表</w:t>
      </w:r>
      <w:bookmarkEnd w:id="53"/>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4" w:name="_Toc15396621"/>
      <w:r>
        <w:rPr>
          <w:rFonts w:hint="eastAsia" w:ascii="Times New Roman" w:hAnsi="Times New Roman" w:eastAsia="仿宋_GB2312" w:cs="仿宋_GB2312"/>
          <w:color w:val="auto"/>
          <w:sz w:val="32"/>
          <w:szCs w:val="32"/>
          <w:highlight w:val="none"/>
        </w:rPr>
        <w:t>三、支出决算表</w:t>
      </w:r>
      <w:bookmarkEnd w:id="54"/>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5" w:name="_Toc15396622"/>
      <w:r>
        <w:rPr>
          <w:rFonts w:hint="eastAsia" w:ascii="Times New Roman" w:hAnsi="Times New Roman" w:eastAsia="仿宋_GB2312" w:cs="仿宋_GB2312"/>
          <w:color w:val="auto"/>
          <w:sz w:val="32"/>
          <w:szCs w:val="32"/>
          <w:highlight w:val="none"/>
        </w:rPr>
        <w:t>四、财政拨款收入支出决算总表</w:t>
      </w:r>
      <w:bookmarkEnd w:id="55"/>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6" w:name="_Toc15396623"/>
      <w:r>
        <w:rPr>
          <w:rFonts w:hint="eastAsia" w:ascii="Times New Roman" w:hAnsi="Times New Roman" w:eastAsia="仿宋_GB2312" w:cs="仿宋_GB2312"/>
          <w:color w:val="auto"/>
          <w:sz w:val="32"/>
          <w:szCs w:val="32"/>
          <w:highlight w:val="none"/>
        </w:rPr>
        <w:t>五、财政拨款支出决算明细表</w:t>
      </w:r>
      <w:bookmarkEnd w:id="56"/>
      <w:bookmarkStart w:id="57" w:name="_Toc15396624"/>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57"/>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8" w:name="_Toc15396625"/>
      <w:r>
        <w:rPr>
          <w:rFonts w:hint="eastAsia" w:ascii="Times New Roman" w:hAnsi="Times New Roman" w:eastAsia="仿宋_GB2312" w:cs="仿宋_GB2312"/>
          <w:color w:val="auto"/>
          <w:sz w:val="32"/>
          <w:szCs w:val="32"/>
          <w:highlight w:val="none"/>
        </w:rPr>
        <w:t>七、一般公共预算财政拨款支出决算明细表</w:t>
      </w:r>
      <w:bookmarkEnd w:id="58"/>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9" w:name="_Toc15396626"/>
      <w:r>
        <w:rPr>
          <w:rFonts w:hint="eastAsia" w:ascii="Times New Roman" w:hAnsi="Times New Roman" w:eastAsia="仿宋_GB2312" w:cs="仿宋_GB2312"/>
          <w:color w:val="auto"/>
          <w:sz w:val="32"/>
          <w:szCs w:val="32"/>
          <w:highlight w:val="none"/>
        </w:rPr>
        <w:t>八、一般公共预算财政拨款基本支出决算表</w:t>
      </w:r>
      <w:bookmarkEnd w:id="59"/>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0" w:name="_Toc15396627"/>
      <w:r>
        <w:rPr>
          <w:rFonts w:hint="eastAsia" w:ascii="Times New Roman" w:hAnsi="Times New Roman" w:eastAsia="仿宋_GB2312" w:cs="仿宋_GB2312"/>
          <w:color w:val="auto"/>
          <w:sz w:val="32"/>
          <w:szCs w:val="32"/>
          <w:highlight w:val="none"/>
        </w:rPr>
        <w:t>九、一般公共预算财政拨款项目支出决算表</w:t>
      </w:r>
      <w:bookmarkEnd w:id="60"/>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1" w:name="_Toc15396628"/>
      <w:r>
        <w:rPr>
          <w:rFonts w:hint="eastAsia" w:ascii="Times New Roman" w:hAnsi="Times New Roman" w:eastAsia="仿宋_GB2312" w:cs="仿宋_GB2312"/>
          <w:color w:val="auto"/>
          <w:sz w:val="32"/>
          <w:szCs w:val="32"/>
          <w:highlight w:val="none"/>
        </w:rPr>
        <w:t>十、</w:t>
      </w:r>
      <w:bookmarkEnd w:id="61"/>
      <w:r>
        <w:rPr>
          <w:rFonts w:hint="eastAsia" w:ascii="Times New Roman" w:hAnsi="Times New Roman" w:eastAsia="仿宋_GB2312" w:cs="仿宋_GB2312"/>
          <w:color w:val="auto"/>
          <w:sz w:val="32"/>
          <w:szCs w:val="32"/>
          <w:highlight w:val="none"/>
        </w:rPr>
        <w:t>政府性基金预算财政拨款收入支出决算表</w:t>
      </w:r>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2" w:name="_Toc15396629"/>
      <w:r>
        <w:rPr>
          <w:rFonts w:hint="eastAsia" w:ascii="Times New Roman" w:hAnsi="Times New Roman" w:eastAsia="仿宋_GB2312" w:cs="仿宋_GB2312"/>
          <w:color w:val="auto"/>
          <w:sz w:val="32"/>
          <w:szCs w:val="32"/>
          <w:highlight w:val="none"/>
        </w:rPr>
        <w:t>十一、</w:t>
      </w:r>
      <w:bookmarkEnd w:id="62"/>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3" w:name="_Toc15396630"/>
      <w:r>
        <w:rPr>
          <w:rFonts w:hint="eastAsia" w:ascii="Times New Roman" w:hAnsi="Times New Roman" w:eastAsia="仿宋_GB2312" w:cs="仿宋_GB2312"/>
          <w:color w:val="auto"/>
          <w:sz w:val="32"/>
          <w:szCs w:val="32"/>
          <w:highlight w:val="none"/>
        </w:rPr>
        <w:t>十二、</w:t>
      </w:r>
      <w:bookmarkEnd w:id="63"/>
      <w:r>
        <w:rPr>
          <w:rFonts w:hint="eastAsia" w:ascii="Times New Roman" w:hAnsi="Times New Roman" w:eastAsia="仿宋_GB2312" w:cs="仿宋_GB2312"/>
          <w:color w:val="auto"/>
          <w:sz w:val="32"/>
          <w:szCs w:val="32"/>
          <w:highlight w:val="none"/>
          <w:lang w:eastAsia="zh-CN"/>
        </w:rPr>
        <w:t>国有资本经营预算财政拨款支出决算表</w:t>
      </w:r>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64" w:name="_Toc15396631"/>
      <w:r>
        <w:rPr>
          <w:rFonts w:hint="eastAsia" w:ascii="Times New Roman" w:hAnsi="Times New Roman" w:eastAsia="仿宋_GB2312" w:cs="仿宋_GB2312"/>
          <w:color w:val="auto"/>
          <w:sz w:val="32"/>
          <w:szCs w:val="32"/>
          <w:highlight w:val="none"/>
        </w:rPr>
        <w:t>十三、</w:t>
      </w:r>
      <w:bookmarkEnd w:id="64"/>
      <w:r>
        <w:rPr>
          <w:rFonts w:hint="eastAsia" w:ascii="Times New Roman" w:hAnsi="Times New Roman" w:eastAsia="仿宋_GB2312" w:cs="仿宋_GB2312"/>
          <w:color w:val="auto"/>
          <w:sz w:val="32"/>
          <w:szCs w:val="32"/>
          <w:highlight w:val="none"/>
          <w:lang w:eastAsia="zh-CN"/>
        </w:rPr>
        <w:t>财政拨款“三公”经费支出决算表</w:t>
      </w:r>
    </w:p>
    <w:p>
      <w:pPr>
        <w:rPr>
          <w:rFonts w:hint="eastAsia" w:ascii="Times New Roman" w:hAnsi="Times New Roman"/>
          <w:lang w:eastAsia="zh-CN"/>
        </w:rPr>
      </w:pPr>
    </w:p>
    <w:sectPr>
      <w:footerReference r:id="rId8" w:type="first"/>
      <w:footerReference r:id="rId7"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Cambria">
    <w:altName w:val="Noto Sans Syriac Eastern"/>
    <w:panose1 w:val="02040503050406030204"/>
    <w:charset w:val="00"/>
    <w:family w:val="roman"/>
    <w:pitch w:val="default"/>
    <w:sig w:usb0="00000000" w:usb1="00000000" w:usb2="00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仿宋"/>
    <w:panose1 w:val="00000000000000000000"/>
    <w:charset w:val="00"/>
    <w:family w:val="roman"/>
    <w:pitch w:val="default"/>
    <w:sig w:usb0="00000000" w:usb1="00000000" w:usb2="00000000" w:usb3="00000000" w:csb0="00000000" w:csb1="00000000"/>
  </w:font>
  <w:font w:name="方正小标宋简体">
    <w:panose1 w:val="02000000000000000000"/>
    <w:charset w:val="86"/>
    <w:family w:val="script"/>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方正小标宋_GBK">
    <w:panose1 w:val="03000502000000000000"/>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Verdana">
    <w:altName w:val="DejaVu Sans"/>
    <w:panose1 w:val="020B0604030504040204"/>
    <w:charset w:val="00"/>
    <w:family w:val="swiss"/>
    <w:pitch w:val="default"/>
    <w:sig w:usb0="00000000" w:usb1="00000000" w:usb2="00000010" w:usb3="00000000" w:csb0="2000019F" w:csb1="00000000"/>
  </w:font>
  <w:font w:name="微软雅黑">
    <w:altName w:val="黑体"/>
    <w:panose1 w:val="020B0503020204020204"/>
    <w:charset w:val="86"/>
    <w:family w:val="auto"/>
    <w:pitch w:val="default"/>
    <w:sig w:usb0="00000000" w:usb1="00000000" w:usb2="00000016" w:usb3="00000000" w:csb0="0004001F"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x5e1zjECAABhBAAADgAAAAAAAAABACAAAAA1&#10;AQAAZHJzL2Uyb0RvYy54bWxQSwUGAAAAAAYABgBZAQAA2AUAAAAA&#10;">
              <v:fill on="f" focussize="0,0"/>
              <v:stroke on="f" weight="0.5pt"/>
              <v:imagedata o:title=""/>
              <o:lock v:ext="edit" aspectratio="f"/>
              <v:textbox inset="0mm,0mm,0mm,0mm" style="mso-fit-shape-to-text:t;">
                <w:txbxContent>
                  <w:p>
                    <w:pPr>
                      <w:pStyle w:val="12"/>
                    </w:pPr>
                    <w:r>
                      <w:fldChar w:fldCharType="begin"/>
                    </w:r>
                    <w:r>
                      <w:instrText xml:space="preserve"> PAGE  \* MERGEFORMAT </w:instrText>
                    </w:r>
                    <w:r>
                      <w:fldChar w:fldCharType="separate"/>
                    </w:r>
                    <w:r>
                      <w:t>1</w:t>
                    </w:r>
                    <w:r>
                      <w:fldChar w:fldCharType="end"/>
                    </w:r>
                  </w:p>
                </w:txbxContent>
              </v:textbox>
            </v:shape>
          </w:pict>
        </mc:Fallback>
      </mc:AlternateContent>
    </w:r>
  </w:p>
  <w:p>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FgAAAGRycy9QSwECFAAUAAAACACHTuJAs0lY7tAAAAAFAQAADwAAAAAAAAABACAAAAA4AAAA&#10;ZHJzL2Rvd25yZXYueG1sUEsBAhQAFAAAAAgAh07iQAKVIPQyAgAAYQQAAA4AAAAAAAAAAQAgAAAA&#10;NQEAAGRycy9lMm9Eb2MueG1sUEsFBgAAAAAGAAYAWQEAANkFAAAAAA==&#10;">
              <v:fill on="f" focussize="0,0"/>
              <v:stroke on="f" weight="0.5pt"/>
              <v:imagedata o:title=""/>
              <o:lock v:ext="edit" aspectratio="f"/>
              <v:textbox inset="0mm,0mm,0mm,0mm" style="mso-fit-shape-to-text:t;">
                <w:txbxContent>
                  <w:p>
                    <w:pPr>
                      <w:pStyle w:val="1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cen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qaivlTECAABjBAAADgAAAAAAAAABACAAAAA1&#10;AQAAZHJzL2Uyb0RvYy54bWxQSwUGAAAAAAYABgBZAQAA2AUAAAAA&#10;">
              <v:fill on="f" focussize="0,0"/>
              <v:stroke on="f" weight="0.5pt"/>
              <v:imagedata o:title=""/>
              <o:lock v:ext="edit" aspectratio="f"/>
              <v:textbox inset="0mm,0mm,0mm,0mm" style="mso-fit-shape-to-text:t;">
                <w:txbxContent>
                  <w:p>
                    <w:pPr>
                      <w:pStyle w:val="12"/>
                    </w:pPr>
                    <w:r>
                      <w:fldChar w:fldCharType="begin"/>
                    </w:r>
                    <w:r>
                      <w:instrText xml:space="preserve"> PAGE  \* MERGEFORMAT </w:instrText>
                    </w:r>
                    <w:r>
                      <w:fldChar w:fldCharType="separate"/>
                    </w:r>
                    <w:r>
                      <w:t>1</w:t>
                    </w:r>
                    <w:r>
                      <w:fldChar w:fldCharType="end"/>
                    </w:r>
                  </w:p>
                </w:txbxContent>
              </v:textbox>
            </v:shape>
          </w:pict>
        </mc:Fallback>
      </mc:AlternateContent>
    </w:r>
  </w:p>
  <w:p>
    <w:pPr>
      <w:pStyle w:val="12"/>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MIkSXjECAABhBAAADgAAAAAAAAABACAAAAA1&#10;AQAAZHJzL2Uyb0RvYy54bWxQSwUGAAAAAAYABgBZAQAA2AUAAAAA&#10;">
              <v:fill on="f" focussize="0,0"/>
              <v:stroke on="f" weight="0.5pt"/>
              <v:imagedata o:title=""/>
              <o:lock v:ext="edit" aspectratio="f"/>
              <v:textbox inset="0mm,0mm,0mm,0mm" style="mso-fit-shape-to-text:t;">
                <w:txbxContent>
                  <w:p>
                    <w:pPr>
                      <w:pStyle w:val="1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F16B9D"/>
    <w:multiLevelType w:val="singleLevel"/>
    <w:tmpl w:val="8BF16B9D"/>
    <w:lvl w:ilvl="0" w:tentative="0">
      <w:start w:val="1"/>
      <w:numFmt w:val="chineseCounting"/>
      <w:suff w:val="nothing"/>
      <w:lvlText w:val="%1、"/>
      <w:lvlJc w:val="left"/>
      <w:rPr>
        <w:rFonts w:hint="eastAsia"/>
      </w:rPr>
    </w:lvl>
  </w:abstractNum>
  <w:abstractNum w:abstractNumId="1">
    <w:nsid w:val="D3FA0241"/>
    <w:multiLevelType w:val="singleLevel"/>
    <w:tmpl w:val="D3FA0241"/>
    <w:lvl w:ilvl="0" w:tentative="0">
      <w:start w:val="2"/>
      <w:numFmt w:val="chineseCounting"/>
      <w:suff w:val="nothing"/>
      <w:lvlText w:val="（%1）"/>
      <w:lvlJc w:val="left"/>
      <w:rPr>
        <w:rFonts w:hint="eastAsia"/>
      </w:rPr>
    </w:lvl>
  </w:abstractNum>
  <w:abstractNum w:abstractNumId="2">
    <w:nsid w:val="5D5D2D36"/>
    <w:multiLevelType w:val="singleLevel"/>
    <w:tmpl w:val="5D5D2D36"/>
    <w:lvl w:ilvl="0" w:tentative="0">
      <w:start w:val="1"/>
      <w:numFmt w:val="chineseCounting"/>
      <w:suff w:val="nothing"/>
      <w:lvlText w:val="%1、"/>
      <w:lvlJc w:val="left"/>
      <w:rPr>
        <w:rFonts w:hint="eastAsi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UxMTI3ZWIxZDVjNzcwZjFmMjM3ZGMzY2I4NDljYTM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23EB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626CA"/>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0351AA"/>
    <w:rsid w:val="013600A7"/>
    <w:rsid w:val="015975B8"/>
    <w:rsid w:val="01F34FCD"/>
    <w:rsid w:val="01FC0B85"/>
    <w:rsid w:val="02317B1B"/>
    <w:rsid w:val="02FEBE30"/>
    <w:rsid w:val="0314369E"/>
    <w:rsid w:val="03A327BF"/>
    <w:rsid w:val="03C144BC"/>
    <w:rsid w:val="042751F8"/>
    <w:rsid w:val="047214F5"/>
    <w:rsid w:val="056C665D"/>
    <w:rsid w:val="05F577DF"/>
    <w:rsid w:val="06197A31"/>
    <w:rsid w:val="061A5BB6"/>
    <w:rsid w:val="061E35DE"/>
    <w:rsid w:val="063302DF"/>
    <w:rsid w:val="066E0107"/>
    <w:rsid w:val="06FB62C0"/>
    <w:rsid w:val="07391925"/>
    <w:rsid w:val="07996F6E"/>
    <w:rsid w:val="07DFD8BA"/>
    <w:rsid w:val="08DB07E4"/>
    <w:rsid w:val="09867E8F"/>
    <w:rsid w:val="09CC068F"/>
    <w:rsid w:val="0A2032A3"/>
    <w:rsid w:val="0A661AC0"/>
    <w:rsid w:val="0B1412DE"/>
    <w:rsid w:val="0C25289C"/>
    <w:rsid w:val="0C3A4C9D"/>
    <w:rsid w:val="0C6C4794"/>
    <w:rsid w:val="0CA8290A"/>
    <w:rsid w:val="0CE91DE9"/>
    <w:rsid w:val="0D35B1ED"/>
    <w:rsid w:val="0D796A77"/>
    <w:rsid w:val="0D985869"/>
    <w:rsid w:val="0DE07E2B"/>
    <w:rsid w:val="0E7923CB"/>
    <w:rsid w:val="0F98263C"/>
    <w:rsid w:val="101860EC"/>
    <w:rsid w:val="1040267F"/>
    <w:rsid w:val="10C055FF"/>
    <w:rsid w:val="11772AA4"/>
    <w:rsid w:val="118107EC"/>
    <w:rsid w:val="11B45205"/>
    <w:rsid w:val="11EE7F0A"/>
    <w:rsid w:val="12070D49"/>
    <w:rsid w:val="121B142F"/>
    <w:rsid w:val="12F74B7B"/>
    <w:rsid w:val="13636796"/>
    <w:rsid w:val="13800258"/>
    <w:rsid w:val="13BC2C0C"/>
    <w:rsid w:val="13D037EB"/>
    <w:rsid w:val="13D50BC4"/>
    <w:rsid w:val="13D604FC"/>
    <w:rsid w:val="13F07810"/>
    <w:rsid w:val="14022904"/>
    <w:rsid w:val="14053A3E"/>
    <w:rsid w:val="14123C2A"/>
    <w:rsid w:val="142B66F1"/>
    <w:rsid w:val="146705D2"/>
    <w:rsid w:val="1471082C"/>
    <w:rsid w:val="152F2A07"/>
    <w:rsid w:val="1582093B"/>
    <w:rsid w:val="164A7928"/>
    <w:rsid w:val="165E0673"/>
    <w:rsid w:val="16BB723D"/>
    <w:rsid w:val="171B2DF6"/>
    <w:rsid w:val="17320EE8"/>
    <w:rsid w:val="17936FC2"/>
    <w:rsid w:val="17B9248C"/>
    <w:rsid w:val="186504BB"/>
    <w:rsid w:val="18B05E11"/>
    <w:rsid w:val="19061883"/>
    <w:rsid w:val="1938089F"/>
    <w:rsid w:val="19395765"/>
    <w:rsid w:val="195E346D"/>
    <w:rsid w:val="1962557A"/>
    <w:rsid w:val="19A445FC"/>
    <w:rsid w:val="19D83892"/>
    <w:rsid w:val="19FA6126"/>
    <w:rsid w:val="1A9175DA"/>
    <w:rsid w:val="1AFC0863"/>
    <w:rsid w:val="1B7D550C"/>
    <w:rsid w:val="1BE8440E"/>
    <w:rsid w:val="1C2F4C4D"/>
    <w:rsid w:val="1CF368EC"/>
    <w:rsid w:val="1D155CEE"/>
    <w:rsid w:val="1D783852"/>
    <w:rsid w:val="1DD41F50"/>
    <w:rsid w:val="1DE32193"/>
    <w:rsid w:val="1E0839A8"/>
    <w:rsid w:val="1E740ACF"/>
    <w:rsid w:val="1FF35744"/>
    <w:rsid w:val="1FF6BC77"/>
    <w:rsid w:val="21962A9E"/>
    <w:rsid w:val="21AE7C77"/>
    <w:rsid w:val="227F6D14"/>
    <w:rsid w:val="22BC3C41"/>
    <w:rsid w:val="23860B96"/>
    <w:rsid w:val="23E629DD"/>
    <w:rsid w:val="23FA1FE5"/>
    <w:rsid w:val="240371BF"/>
    <w:rsid w:val="2543028D"/>
    <w:rsid w:val="257302A1"/>
    <w:rsid w:val="259E6787"/>
    <w:rsid w:val="25E305D9"/>
    <w:rsid w:val="260F557C"/>
    <w:rsid w:val="269E36E7"/>
    <w:rsid w:val="271D597F"/>
    <w:rsid w:val="27475541"/>
    <w:rsid w:val="27C546B8"/>
    <w:rsid w:val="280506A4"/>
    <w:rsid w:val="281408E2"/>
    <w:rsid w:val="2908648D"/>
    <w:rsid w:val="299C31FE"/>
    <w:rsid w:val="29FD04D3"/>
    <w:rsid w:val="2A0D5DD4"/>
    <w:rsid w:val="2A5F5641"/>
    <w:rsid w:val="2BFF7BC6"/>
    <w:rsid w:val="2C567FD4"/>
    <w:rsid w:val="2C8A61B5"/>
    <w:rsid w:val="2CFC0B7C"/>
    <w:rsid w:val="2D2E01CF"/>
    <w:rsid w:val="2DC85380"/>
    <w:rsid w:val="2DF04E50"/>
    <w:rsid w:val="2E9545B0"/>
    <w:rsid w:val="2F040D46"/>
    <w:rsid w:val="2FAE5751"/>
    <w:rsid w:val="2FB1A395"/>
    <w:rsid w:val="2FD9A7D8"/>
    <w:rsid w:val="30030473"/>
    <w:rsid w:val="30E90E7B"/>
    <w:rsid w:val="31490108"/>
    <w:rsid w:val="3187717E"/>
    <w:rsid w:val="319F7F4E"/>
    <w:rsid w:val="321B2544"/>
    <w:rsid w:val="327B402A"/>
    <w:rsid w:val="32BD75B1"/>
    <w:rsid w:val="32D61E6F"/>
    <w:rsid w:val="3304709D"/>
    <w:rsid w:val="332C05CF"/>
    <w:rsid w:val="33AA1331"/>
    <w:rsid w:val="33EC443C"/>
    <w:rsid w:val="34281836"/>
    <w:rsid w:val="349D6851"/>
    <w:rsid w:val="34FB1108"/>
    <w:rsid w:val="35066A3B"/>
    <w:rsid w:val="354627E0"/>
    <w:rsid w:val="35507CB7"/>
    <w:rsid w:val="35BA6CAF"/>
    <w:rsid w:val="35DE1766"/>
    <w:rsid w:val="3602505C"/>
    <w:rsid w:val="362C3132"/>
    <w:rsid w:val="364D14C1"/>
    <w:rsid w:val="36586B29"/>
    <w:rsid w:val="367E2916"/>
    <w:rsid w:val="368315AB"/>
    <w:rsid w:val="36AA5135"/>
    <w:rsid w:val="36BE0DA7"/>
    <w:rsid w:val="36FD6787"/>
    <w:rsid w:val="376B6AA6"/>
    <w:rsid w:val="376D39B2"/>
    <w:rsid w:val="37E16F03"/>
    <w:rsid w:val="37F53A3B"/>
    <w:rsid w:val="38123949"/>
    <w:rsid w:val="389B6C89"/>
    <w:rsid w:val="38D469F0"/>
    <w:rsid w:val="393B0C7E"/>
    <w:rsid w:val="39576E3C"/>
    <w:rsid w:val="39627CCD"/>
    <w:rsid w:val="397BAF1F"/>
    <w:rsid w:val="39B871FB"/>
    <w:rsid w:val="3A32515D"/>
    <w:rsid w:val="3AB79AF3"/>
    <w:rsid w:val="3AD07104"/>
    <w:rsid w:val="3AD15000"/>
    <w:rsid w:val="3B251346"/>
    <w:rsid w:val="3B7EF35A"/>
    <w:rsid w:val="3B9FDB6C"/>
    <w:rsid w:val="3BB80364"/>
    <w:rsid w:val="3BE06932"/>
    <w:rsid w:val="3BF5BC2F"/>
    <w:rsid w:val="3C371806"/>
    <w:rsid w:val="3C53567F"/>
    <w:rsid w:val="3CA408E8"/>
    <w:rsid w:val="3CEBA265"/>
    <w:rsid w:val="3D7031B1"/>
    <w:rsid w:val="3D98207C"/>
    <w:rsid w:val="3D9B0D99"/>
    <w:rsid w:val="3DEE7CF3"/>
    <w:rsid w:val="3DF02244"/>
    <w:rsid w:val="3DF97B88"/>
    <w:rsid w:val="3E3F6B1A"/>
    <w:rsid w:val="3E78745D"/>
    <w:rsid w:val="3EF46ABF"/>
    <w:rsid w:val="3FF4CAE0"/>
    <w:rsid w:val="3FF7B227"/>
    <w:rsid w:val="406A0748"/>
    <w:rsid w:val="40886B89"/>
    <w:rsid w:val="408B6047"/>
    <w:rsid w:val="40E54C45"/>
    <w:rsid w:val="421477AC"/>
    <w:rsid w:val="42312C1E"/>
    <w:rsid w:val="43382A89"/>
    <w:rsid w:val="43A407DF"/>
    <w:rsid w:val="44515BEA"/>
    <w:rsid w:val="44DC1567"/>
    <w:rsid w:val="44E268DA"/>
    <w:rsid w:val="452B1BA6"/>
    <w:rsid w:val="453F7E5B"/>
    <w:rsid w:val="45815C6A"/>
    <w:rsid w:val="471D19C3"/>
    <w:rsid w:val="473C332E"/>
    <w:rsid w:val="477325EF"/>
    <w:rsid w:val="483E6865"/>
    <w:rsid w:val="486A6C7A"/>
    <w:rsid w:val="48BB79BB"/>
    <w:rsid w:val="48F84300"/>
    <w:rsid w:val="49176D9B"/>
    <w:rsid w:val="49C275E8"/>
    <w:rsid w:val="4A627F82"/>
    <w:rsid w:val="4AC8308B"/>
    <w:rsid w:val="4B0E749A"/>
    <w:rsid w:val="4B27013B"/>
    <w:rsid w:val="4B4F25DA"/>
    <w:rsid w:val="4BDA0CFB"/>
    <w:rsid w:val="4BE068DB"/>
    <w:rsid w:val="4C0C2447"/>
    <w:rsid w:val="4D3C0CCC"/>
    <w:rsid w:val="4D577224"/>
    <w:rsid w:val="4DBF1CEB"/>
    <w:rsid w:val="4DF03E97"/>
    <w:rsid w:val="4E027201"/>
    <w:rsid w:val="4EAB630A"/>
    <w:rsid w:val="4EC05A55"/>
    <w:rsid w:val="4ECE2238"/>
    <w:rsid w:val="4EE47996"/>
    <w:rsid w:val="4F18038A"/>
    <w:rsid w:val="4F3F77D3"/>
    <w:rsid w:val="4F833267"/>
    <w:rsid w:val="4F9E670C"/>
    <w:rsid w:val="4FB539A7"/>
    <w:rsid w:val="4FCB3036"/>
    <w:rsid w:val="4FE9BD67"/>
    <w:rsid w:val="4FFB052F"/>
    <w:rsid w:val="4FFC0D0F"/>
    <w:rsid w:val="5235587D"/>
    <w:rsid w:val="53083A92"/>
    <w:rsid w:val="532450B8"/>
    <w:rsid w:val="53717009"/>
    <w:rsid w:val="537E6D0A"/>
    <w:rsid w:val="538F1360"/>
    <w:rsid w:val="53AF27A2"/>
    <w:rsid w:val="53F74C96"/>
    <w:rsid w:val="548440AB"/>
    <w:rsid w:val="548F07A8"/>
    <w:rsid w:val="54EC7E07"/>
    <w:rsid w:val="5563538C"/>
    <w:rsid w:val="55644DFF"/>
    <w:rsid w:val="55C53951"/>
    <w:rsid w:val="564E5B90"/>
    <w:rsid w:val="56E47B74"/>
    <w:rsid w:val="57014E5D"/>
    <w:rsid w:val="574458B3"/>
    <w:rsid w:val="57B47A99"/>
    <w:rsid w:val="57BC5AB4"/>
    <w:rsid w:val="57BD3DD4"/>
    <w:rsid w:val="58246325"/>
    <w:rsid w:val="589E6E07"/>
    <w:rsid w:val="58B54151"/>
    <w:rsid w:val="58D81BED"/>
    <w:rsid w:val="58EA204C"/>
    <w:rsid w:val="59011144"/>
    <w:rsid w:val="596A5729"/>
    <w:rsid w:val="59E62C29"/>
    <w:rsid w:val="59ED2C09"/>
    <w:rsid w:val="5AF52B0F"/>
    <w:rsid w:val="5AF92295"/>
    <w:rsid w:val="5BDD79E6"/>
    <w:rsid w:val="5BF561CA"/>
    <w:rsid w:val="5BFF5DFC"/>
    <w:rsid w:val="5CD71FC4"/>
    <w:rsid w:val="5D1F11B5"/>
    <w:rsid w:val="5D333574"/>
    <w:rsid w:val="5D7D010A"/>
    <w:rsid w:val="5D924A61"/>
    <w:rsid w:val="5D93396B"/>
    <w:rsid w:val="5DAE1B18"/>
    <w:rsid w:val="5DE2706F"/>
    <w:rsid w:val="5DE7D9E5"/>
    <w:rsid w:val="5E98312C"/>
    <w:rsid w:val="5ECEC941"/>
    <w:rsid w:val="5F493CB7"/>
    <w:rsid w:val="5F942D12"/>
    <w:rsid w:val="5FBE161C"/>
    <w:rsid w:val="5FBF9FF3"/>
    <w:rsid w:val="5FCD4E2C"/>
    <w:rsid w:val="5FD15F49"/>
    <w:rsid w:val="5FEF394A"/>
    <w:rsid w:val="5FF67715"/>
    <w:rsid w:val="603E7A7A"/>
    <w:rsid w:val="60B259E3"/>
    <w:rsid w:val="61A73671"/>
    <w:rsid w:val="62511342"/>
    <w:rsid w:val="6294694F"/>
    <w:rsid w:val="62BF3928"/>
    <w:rsid w:val="63534C92"/>
    <w:rsid w:val="641E0DFC"/>
    <w:rsid w:val="647F5392"/>
    <w:rsid w:val="64D41D06"/>
    <w:rsid w:val="65113AC4"/>
    <w:rsid w:val="6548793A"/>
    <w:rsid w:val="6555561D"/>
    <w:rsid w:val="65AC4B11"/>
    <w:rsid w:val="65EC1148"/>
    <w:rsid w:val="664B1D71"/>
    <w:rsid w:val="668C5290"/>
    <w:rsid w:val="66A433DB"/>
    <w:rsid w:val="673D77EB"/>
    <w:rsid w:val="678C32CE"/>
    <w:rsid w:val="67AA3209"/>
    <w:rsid w:val="67C6054C"/>
    <w:rsid w:val="67D143D7"/>
    <w:rsid w:val="67DF6AF4"/>
    <w:rsid w:val="681C4F0D"/>
    <w:rsid w:val="68EE5F59"/>
    <w:rsid w:val="69046D0F"/>
    <w:rsid w:val="697274F4"/>
    <w:rsid w:val="698D0931"/>
    <w:rsid w:val="6A993CED"/>
    <w:rsid w:val="6AE111A6"/>
    <w:rsid w:val="6B053271"/>
    <w:rsid w:val="6B8E2845"/>
    <w:rsid w:val="6BCE6674"/>
    <w:rsid w:val="6C203A58"/>
    <w:rsid w:val="6C4A05C8"/>
    <w:rsid w:val="6C8742B8"/>
    <w:rsid w:val="6C8A170F"/>
    <w:rsid w:val="6CB54609"/>
    <w:rsid w:val="6D140F40"/>
    <w:rsid w:val="6DB8248D"/>
    <w:rsid w:val="6DBC5F7C"/>
    <w:rsid w:val="6DBE3230"/>
    <w:rsid w:val="6DBF5E93"/>
    <w:rsid w:val="6DFF077E"/>
    <w:rsid w:val="6E015460"/>
    <w:rsid w:val="6E193EB1"/>
    <w:rsid w:val="6E7E3605"/>
    <w:rsid w:val="6E7FDCC7"/>
    <w:rsid w:val="6EC01A4C"/>
    <w:rsid w:val="6ED6A62E"/>
    <w:rsid w:val="6EE00B15"/>
    <w:rsid w:val="6F4D355C"/>
    <w:rsid w:val="6F544B20"/>
    <w:rsid w:val="6F5C0A2B"/>
    <w:rsid w:val="6F6FB3EB"/>
    <w:rsid w:val="6F784160"/>
    <w:rsid w:val="6F8731EA"/>
    <w:rsid w:val="6FB03AF9"/>
    <w:rsid w:val="6FB50DC7"/>
    <w:rsid w:val="6FCE6052"/>
    <w:rsid w:val="6FD57C00"/>
    <w:rsid w:val="6FEFFFD8"/>
    <w:rsid w:val="6FF5CC65"/>
    <w:rsid w:val="6FFB47EC"/>
    <w:rsid w:val="6FFF034A"/>
    <w:rsid w:val="70496804"/>
    <w:rsid w:val="70972B53"/>
    <w:rsid w:val="712A28F1"/>
    <w:rsid w:val="715C0E4B"/>
    <w:rsid w:val="71904266"/>
    <w:rsid w:val="71F736F4"/>
    <w:rsid w:val="72233669"/>
    <w:rsid w:val="722602C3"/>
    <w:rsid w:val="72734D90"/>
    <w:rsid w:val="73224AB6"/>
    <w:rsid w:val="7332FE48"/>
    <w:rsid w:val="733D0B73"/>
    <w:rsid w:val="73A14D27"/>
    <w:rsid w:val="73A66718"/>
    <w:rsid w:val="73AB61DA"/>
    <w:rsid w:val="73AD73D5"/>
    <w:rsid w:val="73B6EB34"/>
    <w:rsid w:val="73BB6668"/>
    <w:rsid w:val="73FA497D"/>
    <w:rsid w:val="744731E5"/>
    <w:rsid w:val="74527205"/>
    <w:rsid w:val="746A3BEA"/>
    <w:rsid w:val="74BBD01D"/>
    <w:rsid w:val="74ED5379"/>
    <w:rsid w:val="74FC2395"/>
    <w:rsid w:val="75D237F5"/>
    <w:rsid w:val="75D9228C"/>
    <w:rsid w:val="75DEEEC2"/>
    <w:rsid w:val="75EA640D"/>
    <w:rsid w:val="76233E38"/>
    <w:rsid w:val="76B24BBF"/>
    <w:rsid w:val="76E3355F"/>
    <w:rsid w:val="76FF5125"/>
    <w:rsid w:val="77207389"/>
    <w:rsid w:val="776F6FFA"/>
    <w:rsid w:val="77705DAD"/>
    <w:rsid w:val="778769C8"/>
    <w:rsid w:val="77DC22F5"/>
    <w:rsid w:val="786C7F30"/>
    <w:rsid w:val="79086DAD"/>
    <w:rsid w:val="791F3958"/>
    <w:rsid w:val="79974F09"/>
    <w:rsid w:val="79D7FD79"/>
    <w:rsid w:val="79EE5BA4"/>
    <w:rsid w:val="79F53F55"/>
    <w:rsid w:val="7A291E51"/>
    <w:rsid w:val="7A894339"/>
    <w:rsid w:val="7A971CAF"/>
    <w:rsid w:val="7ADD4692"/>
    <w:rsid w:val="7AFF7572"/>
    <w:rsid w:val="7B080750"/>
    <w:rsid w:val="7B6C7DFB"/>
    <w:rsid w:val="7BBFBED0"/>
    <w:rsid w:val="7BC3E394"/>
    <w:rsid w:val="7C16681D"/>
    <w:rsid w:val="7C1F3737"/>
    <w:rsid w:val="7CBFC87B"/>
    <w:rsid w:val="7CFE0F48"/>
    <w:rsid w:val="7D7EC23E"/>
    <w:rsid w:val="7D916348"/>
    <w:rsid w:val="7E196EF9"/>
    <w:rsid w:val="7E8ADEBF"/>
    <w:rsid w:val="7EA36676"/>
    <w:rsid w:val="7EA47CF8"/>
    <w:rsid w:val="7EC97423"/>
    <w:rsid w:val="7EEF11D3"/>
    <w:rsid w:val="7F0971A6"/>
    <w:rsid w:val="7F1255AA"/>
    <w:rsid w:val="7F1EC74F"/>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qFormat="1" w:uiPriority="99" w:semiHidden="0"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0" w:semiHidden="0"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0"/>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3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4"/>
    <w:unhideWhenUsed/>
    <w:qFormat/>
    <w:uiPriority w:val="9"/>
    <w:pPr>
      <w:keepNext/>
      <w:keepLines/>
      <w:spacing w:before="260" w:after="260" w:line="416" w:lineRule="auto"/>
      <w:outlineLvl w:val="2"/>
    </w:pPr>
    <w:rPr>
      <w:b/>
      <w:bCs/>
      <w:sz w:val="32"/>
      <w:szCs w:val="32"/>
    </w:rPr>
  </w:style>
  <w:style w:type="character" w:default="1" w:styleId="18">
    <w:name w:val="Default Paragraph Font"/>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5">
    <w:name w:val="index 8"/>
    <w:basedOn w:val="1"/>
    <w:next w:val="1"/>
    <w:unhideWhenUsed/>
    <w:qFormat/>
    <w:uiPriority w:val="99"/>
    <w:pPr>
      <w:ind w:left="2940"/>
    </w:pPr>
  </w:style>
  <w:style w:type="paragraph" w:styleId="6">
    <w:name w:val="Normal Indent"/>
    <w:basedOn w:val="1"/>
    <w:unhideWhenUsed/>
    <w:qFormat/>
    <w:uiPriority w:val="0"/>
    <w:pPr>
      <w:ind w:firstLine="420" w:firstLineChars="200"/>
    </w:pPr>
  </w:style>
  <w:style w:type="paragraph" w:styleId="7">
    <w:name w:val="Body Text"/>
    <w:basedOn w:val="1"/>
    <w:next w:val="5"/>
    <w:link w:val="27"/>
    <w:qFormat/>
    <w:uiPriority w:val="99"/>
    <w:pPr>
      <w:spacing w:beforeLines="30"/>
    </w:pPr>
    <w:rPr>
      <w:rFonts w:ascii="仿宋_GB2312" w:eastAsia="仿宋_GB2312"/>
      <w:kern w:val="0"/>
      <w:sz w:val="30"/>
    </w:rPr>
  </w:style>
  <w:style w:type="paragraph" w:styleId="8">
    <w:name w:val="Body Text Indent"/>
    <w:basedOn w:val="1"/>
    <w:next w:val="9"/>
    <w:qFormat/>
    <w:uiPriority w:val="0"/>
    <w:pPr>
      <w:spacing w:after="120"/>
      <w:ind w:leftChars="200"/>
    </w:pPr>
    <w:rPr>
      <w:rFonts w:ascii="仿宋_GB2312"/>
      <w:szCs w:val="32"/>
    </w:rPr>
  </w:style>
  <w:style w:type="paragraph" w:styleId="9">
    <w:name w:val="Body Text First Indent 2"/>
    <w:basedOn w:val="8"/>
    <w:unhideWhenUsed/>
    <w:qFormat/>
    <w:uiPriority w:val="99"/>
    <w:pPr>
      <w:ind w:firstLine="420" w:firstLineChars="200"/>
    </w:pPr>
  </w:style>
  <w:style w:type="paragraph" w:styleId="10">
    <w:name w:val="toc 3"/>
    <w:basedOn w:val="1"/>
    <w:next w:val="1"/>
    <w:unhideWhenUsed/>
    <w:qFormat/>
    <w:uiPriority w:val="39"/>
    <w:pPr>
      <w:tabs>
        <w:tab w:val="right" w:leader="dot" w:pos="8296"/>
      </w:tabs>
      <w:ind w:left="840" w:leftChars="400"/>
    </w:pPr>
  </w:style>
  <w:style w:type="paragraph" w:styleId="11">
    <w:name w:val="Balloon Text"/>
    <w:basedOn w:val="1"/>
    <w:link w:val="33"/>
    <w:semiHidden/>
    <w:unhideWhenUsed/>
    <w:qFormat/>
    <w:uiPriority w:val="99"/>
    <w:rPr>
      <w:sz w:val="18"/>
      <w:szCs w:val="18"/>
    </w:rPr>
  </w:style>
  <w:style w:type="paragraph" w:styleId="12">
    <w:name w:val="footer"/>
    <w:basedOn w:val="1"/>
    <w:link w:val="25"/>
    <w:qFormat/>
    <w:uiPriority w:val="99"/>
    <w:pPr>
      <w:tabs>
        <w:tab w:val="center" w:pos="4153"/>
        <w:tab w:val="right" w:pos="8306"/>
      </w:tabs>
      <w:snapToGrid w:val="0"/>
      <w:jc w:val="left"/>
    </w:pPr>
    <w:rPr>
      <w:rFonts w:ascii="Calibri" w:hAnsi="Calibri"/>
      <w:kern w:val="0"/>
      <w:sz w:val="18"/>
      <w:szCs w:val="18"/>
    </w:rPr>
  </w:style>
  <w:style w:type="paragraph" w:styleId="13">
    <w:name w:val="header"/>
    <w:basedOn w:val="1"/>
    <w:link w:val="23"/>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4">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5">
    <w:name w:val="footnote text"/>
    <w:basedOn w:val="1"/>
    <w:next w:val="9"/>
    <w:semiHidden/>
    <w:qFormat/>
    <w:uiPriority w:val="0"/>
    <w:pPr>
      <w:snapToGrid w:val="0"/>
      <w:jc w:val="left"/>
    </w:pPr>
    <w:rPr>
      <w:sz w:val="18"/>
      <w:szCs w:val="18"/>
    </w:rPr>
  </w:style>
  <w:style w:type="paragraph" w:styleId="16">
    <w:name w:val="toc 2"/>
    <w:basedOn w:val="1"/>
    <w:next w:val="1"/>
    <w:unhideWhenUsed/>
    <w:qFormat/>
    <w:uiPriority w:val="39"/>
    <w:pPr>
      <w:tabs>
        <w:tab w:val="right" w:leader="dot" w:pos="8296"/>
      </w:tabs>
      <w:ind w:left="420" w:leftChars="200"/>
    </w:pPr>
  </w:style>
  <w:style w:type="character" w:styleId="19">
    <w:name w:val="Strong"/>
    <w:basedOn w:val="18"/>
    <w:qFormat/>
    <w:uiPriority w:val="99"/>
    <w:rPr>
      <w:b/>
    </w:rPr>
  </w:style>
  <w:style w:type="character" w:styleId="20">
    <w:name w:val="Hyperlink"/>
    <w:basedOn w:val="18"/>
    <w:unhideWhenUsed/>
    <w:qFormat/>
    <w:uiPriority w:val="99"/>
    <w:rPr>
      <w:color w:val="0000FF" w:themeColor="hyperlink"/>
      <w:u w:val="single"/>
      <w14:textFill>
        <w14:solidFill>
          <w14:schemeClr w14:val="hlink"/>
        </w14:solidFill>
      </w14:textFill>
    </w:rPr>
  </w:style>
  <w:style w:type="paragraph" w:customStyle="1" w:styleId="21">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2">
    <w:name w:val="Header Char"/>
    <w:basedOn w:val="18"/>
    <w:semiHidden/>
    <w:qFormat/>
    <w:uiPriority w:val="99"/>
    <w:rPr>
      <w:rFonts w:ascii="Times New Roman" w:hAnsi="Times New Roman"/>
      <w:sz w:val="18"/>
      <w:szCs w:val="18"/>
    </w:rPr>
  </w:style>
  <w:style w:type="character" w:customStyle="1" w:styleId="23">
    <w:name w:val="页眉 Char"/>
    <w:link w:val="13"/>
    <w:semiHidden/>
    <w:qFormat/>
    <w:locked/>
    <w:uiPriority w:val="99"/>
    <w:rPr>
      <w:sz w:val="18"/>
    </w:rPr>
  </w:style>
  <w:style w:type="character" w:customStyle="1" w:styleId="24">
    <w:name w:val="Footer Char"/>
    <w:basedOn w:val="18"/>
    <w:semiHidden/>
    <w:qFormat/>
    <w:uiPriority w:val="99"/>
    <w:rPr>
      <w:rFonts w:ascii="Times New Roman" w:hAnsi="Times New Roman"/>
      <w:sz w:val="18"/>
      <w:szCs w:val="18"/>
    </w:rPr>
  </w:style>
  <w:style w:type="character" w:customStyle="1" w:styleId="25">
    <w:name w:val="页脚 Char"/>
    <w:link w:val="12"/>
    <w:qFormat/>
    <w:locked/>
    <w:uiPriority w:val="99"/>
    <w:rPr>
      <w:sz w:val="18"/>
    </w:rPr>
  </w:style>
  <w:style w:type="character" w:customStyle="1" w:styleId="26">
    <w:name w:val="Body Text Char"/>
    <w:basedOn w:val="18"/>
    <w:semiHidden/>
    <w:qFormat/>
    <w:uiPriority w:val="99"/>
    <w:rPr>
      <w:rFonts w:ascii="Times New Roman" w:hAnsi="Times New Roman"/>
      <w:szCs w:val="24"/>
    </w:rPr>
  </w:style>
  <w:style w:type="character" w:customStyle="1" w:styleId="27">
    <w:name w:val="正文文本 Char"/>
    <w:link w:val="7"/>
    <w:qFormat/>
    <w:locked/>
    <w:uiPriority w:val="99"/>
    <w:rPr>
      <w:rFonts w:ascii="仿宋_GB2312" w:hAnsi="Times New Roman" w:eastAsia="仿宋_GB2312"/>
      <w:sz w:val="24"/>
    </w:rPr>
  </w:style>
  <w:style w:type="paragraph" w:customStyle="1" w:styleId="28">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9">
    <w:name w:val="List Paragraph"/>
    <w:basedOn w:val="1"/>
    <w:qFormat/>
    <w:uiPriority w:val="34"/>
    <w:pPr>
      <w:ind w:firstLine="420" w:firstLineChars="200"/>
    </w:pPr>
  </w:style>
  <w:style w:type="character" w:customStyle="1" w:styleId="30">
    <w:name w:val="标题 1 Char"/>
    <w:basedOn w:val="18"/>
    <w:link w:val="2"/>
    <w:qFormat/>
    <w:uiPriority w:val="9"/>
    <w:rPr>
      <w:rFonts w:ascii="Times New Roman" w:hAnsi="Times New Roman"/>
      <w:b/>
      <w:bCs/>
      <w:kern w:val="44"/>
      <w:sz w:val="44"/>
      <w:szCs w:val="44"/>
    </w:rPr>
  </w:style>
  <w:style w:type="character" w:customStyle="1" w:styleId="31">
    <w:name w:val="标题 2 Char"/>
    <w:basedOn w:val="18"/>
    <w:link w:val="3"/>
    <w:qFormat/>
    <w:uiPriority w:val="9"/>
    <w:rPr>
      <w:rFonts w:asciiTheme="majorHAnsi" w:hAnsiTheme="majorHAnsi" w:eastAsiaTheme="majorEastAsia" w:cstheme="majorBidi"/>
      <w:b/>
      <w:bCs/>
      <w:kern w:val="2"/>
      <w:sz w:val="32"/>
      <w:szCs w:val="32"/>
    </w:rPr>
  </w:style>
  <w:style w:type="paragraph" w:customStyle="1" w:styleId="32">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3">
    <w:name w:val="批注框文本 Char"/>
    <w:basedOn w:val="18"/>
    <w:link w:val="11"/>
    <w:semiHidden/>
    <w:qFormat/>
    <w:uiPriority w:val="99"/>
    <w:rPr>
      <w:rFonts w:ascii="Times New Roman" w:hAnsi="Times New Roman"/>
      <w:kern w:val="2"/>
      <w:sz w:val="18"/>
      <w:szCs w:val="18"/>
    </w:rPr>
  </w:style>
  <w:style w:type="character" w:customStyle="1" w:styleId="34">
    <w:name w:val="标题 3 Char"/>
    <w:basedOn w:val="18"/>
    <w:link w:val="4"/>
    <w:qFormat/>
    <w:uiPriority w:val="9"/>
    <w:rPr>
      <w:rFonts w:ascii="Times New Roman" w:hAnsi="Times New Roman"/>
      <w:b/>
      <w:bCs/>
      <w:kern w:val="2"/>
      <w:sz w:val="32"/>
      <w:szCs w:val="32"/>
    </w:rPr>
  </w:style>
  <w:style w:type="paragraph" w:customStyle="1" w:styleId="35">
    <w:name w:val="TOC Heading"/>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6">
    <w:name w:val="四号正文"/>
    <w:basedOn w:val="1"/>
    <w:qFormat/>
    <w:uiPriority w:val="0"/>
    <w:pPr>
      <w:spacing w:line="360" w:lineRule="auto"/>
    </w:pPr>
    <w:rPr>
      <w:rFonts w:ascii="??" w:hAnsi="??" w:eastAsia="宋体"/>
      <w:color w:val="000000"/>
      <w:kern w:val="0"/>
      <w:sz w:val="28"/>
      <w:szCs w:val="21"/>
      <w:lang w:val="zh-CN" w:eastAsia="zh-CN"/>
    </w:rPr>
  </w:style>
  <w:style w:type="character" w:customStyle="1" w:styleId="37">
    <w:name w:val="NormalCharacter"/>
    <w:semiHidden/>
    <w:qFormat/>
    <w:uiPriority w:val="0"/>
    <w:rPr>
      <w:kern w:val="2"/>
      <w:sz w:val="21"/>
      <w:szCs w:val="24"/>
      <w:lang w:val="en-US" w:eastAsia="zh-CN" w:bidi="ar-SA"/>
    </w:rPr>
  </w:style>
  <w:style w:type="paragraph" w:customStyle="1" w:styleId="38">
    <w:name w:val="列出段落1"/>
    <w:basedOn w:val="1"/>
    <w:qFormat/>
    <w:uiPriority w:val="34"/>
    <w:pPr>
      <w:ind w:firstLine="420" w:firstLineChars="200"/>
    </w:pPr>
    <w:rPr>
      <w:rFonts w:ascii="Calibri" w:hAnsi="Calibri"/>
      <w:szCs w:val="22"/>
    </w:rPr>
  </w:style>
  <w:style w:type="character" w:customStyle="1" w:styleId="39">
    <w:name w:val="ca-2"/>
    <w:qFormat/>
    <w:uiPriority w:val="0"/>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chart" Target="charts/chart7.xml"/><Relationship Id="rId15" Type="http://schemas.openxmlformats.org/officeDocument/2006/relationships/chart" Target="charts/chart6.xml"/><Relationship Id="rId14" Type="http://schemas.openxmlformats.org/officeDocument/2006/relationships/chart" Target="charts/chart5.xml"/><Relationship Id="rId13" Type="http://schemas.openxmlformats.org/officeDocument/2006/relationships/chart" Target="charts/chart4.xml"/><Relationship Id="rId12" Type="http://schemas.openxmlformats.org/officeDocument/2006/relationships/chart" Target="charts/chart3.xml"/><Relationship Id="rId11" Type="http://schemas.openxmlformats.org/officeDocument/2006/relationships/chart" Target="charts/chart2.xml"/><Relationship Id="rId10" Type="http://schemas.openxmlformats.org/officeDocument/2006/relationships/chart" Target="charts/chart1.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oleObject" Target="&#22270;&#34920;%20&#22312;%202025&#24180;&#24230;&#37096;&#38376;&#20915;&#31639;&#20998;&#26512;&#25253;&#21578;&#65288;&#24635;&#20307;&#65289;.doc"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F:\&#26700;&#38754;\&#38468;&#20214;&#65306;2026&#24180;&#19977;&#39033;&#28165;&#29702;&#24773;&#20917;&#34920;.xls"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file:///F:\&#26700;&#38754;\&#38468;&#20214;&#65306;2026&#24180;&#19977;&#39033;&#28165;&#29702;&#24773;&#20917;&#34920;.xl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F:\&#26700;&#38754;\&#38468;&#20214;&#65306;2026&#24180;&#19977;&#39033;&#28165;&#29702;&#24773;&#20917;&#34920;.xls" TargetMode="External"/></Relationships>
</file>

<file path=word/charts/_rels/chart5.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F:\&#26700;&#38754;\&#38468;&#20214;&#65306;2026&#24180;&#19977;&#39033;&#28165;&#29702;&#24773;&#20917;&#34920;.xls"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file:///F:\&#26700;&#38754;\&#38468;&#20214;&#65306;2026&#24180;&#19977;&#39033;&#28165;&#29702;&#24773;&#20917;&#34920;.xls"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D:\2026&#24180;&#65306;&#24037;&#36164;&#12289;&#20445;&#38505;&#20197;&#21450;&#36130;&#21153;&#36164;&#26009;\2025&#24180;&#20915;&#31639;&#20844;&#24320;\2025&#24180;&#32479;&#35745;&#23616;&#20915;&#31639;&#20844;&#24320;&#22270;%20%20%20%20%20%20%20%20%20%20%20%20%20%20%20%20&#25991;&#23383;&#35828;&#26126;&#37324;&#38754;&#30340;&#22270;%20%20.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defTabSz="914400">
              <a:defRPr lang="zh-CN" sz="1400" b="0" i="0" u="none" strike="noStrike" kern="1200" spc="0" baseline="0">
                <a:solidFill>
                  <a:srgbClr val="595959">
                    <a:lumMod val="65000"/>
                    <a:lumOff val="35000"/>
                  </a:srgbClr>
                </a:solidFill>
                <a:latin typeface="+mn-lt"/>
                <a:ea typeface="+mn-ea"/>
                <a:cs typeface="+mn-cs"/>
              </a:defRPr>
            </a:pPr>
            <a:r>
              <a:rPr lang="zh-CN" sz="1400" b="0" i="0" u="none" strike="noStrike" kern="1200" spc="0" baseline="0">
                <a:solidFill>
                  <a:srgbClr val="595959">
                    <a:lumMod val="65000"/>
                    <a:lumOff val="35000"/>
                  </a:srgbClr>
                </a:solidFill>
                <a:latin typeface="+mn-lt"/>
                <a:ea typeface="+mn-ea"/>
                <a:cs typeface="+mn-cs"/>
              </a:rPr>
              <a:t>收入支出预算</a:t>
            </a:r>
            <a:endParaRPr lang="zh-CN" sz="1400" b="0" i="0" u="none" strike="noStrike" kern="1200" spc="0" baseline="0">
              <a:solidFill>
                <a:srgbClr val="595959">
                  <a:lumMod val="65000"/>
                  <a:lumOff val="35000"/>
                </a:srgbClr>
              </a:solidFill>
              <a:latin typeface="+mn-lt"/>
              <a:ea typeface="+mn-ea"/>
              <a:cs typeface="+mn-cs"/>
            </a:endParaRPr>
          </a:p>
        </c:rich>
      </c:tx>
      <c:layout/>
      <c:overlay val="0"/>
    </c:title>
    <c:autoTitleDeleted val="0"/>
    <c:plotArea>
      <c:layout/>
      <c:barChart>
        <c:barDir val="col"/>
        <c:grouping val="clustered"/>
        <c:varyColors val="0"/>
        <c:ser>
          <c:idx val="0"/>
          <c:order val="0"/>
          <c:tx>
            <c:strRef>
              <c:f>'[图表 在 2025年度部门决算分析报告（总体）.doc]Sheet1'!$B$3</c:f>
              <c:strCache>
                <c:ptCount val="1"/>
                <c:pt idx="0">
                  <c:v>2024</c:v>
                </c:pt>
              </c:strCache>
            </c:strRef>
          </c:tx>
          <c:spPr>
            <a:solidFill>
              <a:srgbClr val="4F81BD">
                <a:alpha val="100000"/>
              </a:srgbClr>
            </a:solidFill>
            <a:ln w="3175">
              <a:noFill/>
            </a:ln>
          </c:spPr>
          <c:invertIfNegative val="0"/>
          <c:dLbls>
            <c:delete val="1"/>
          </c:dLbls>
          <c:cat>
            <c:strRef>
              <c:f>'[图表 在 2025年度部门决算分析报告（总体）.doc]Sheet1'!$C$2:$D$2</c:f>
              <c:strCache>
                <c:ptCount val="2"/>
                <c:pt idx="0">
                  <c:v>预算收入</c:v>
                </c:pt>
                <c:pt idx="1">
                  <c:v>预算支出</c:v>
                </c:pt>
              </c:strCache>
            </c:strRef>
          </c:cat>
          <c:val>
            <c:numRef>
              <c:f>[00faf3871]Sheet1!$C$3:$D$3</c:f>
              <c:numCache>
                <c:formatCode>General</c:formatCode>
                <c:ptCount val="2"/>
                <c:pt idx="0">
                  <c:v>485</c:v>
                </c:pt>
                <c:pt idx="1">
                  <c:v>485</c:v>
                </c:pt>
              </c:numCache>
            </c:numRef>
          </c:val>
        </c:ser>
        <c:ser>
          <c:idx val="1"/>
          <c:order val="1"/>
          <c:tx>
            <c:strRef>
              <c:f>'[图表 在 2025年度部门决算分析报告（总体）.doc]Sheet1'!$B$4</c:f>
              <c:strCache>
                <c:ptCount val="1"/>
                <c:pt idx="0">
                  <c:v>2025</c:v>
                </c:pt>
              </c:strCache>
            </c:strRef>
          </c:tx>
          <c:spPr>
            <a:solidFill>
              <a:srgbClr val="C0504D">
                <a:alpha val="100000"/>
              </a:srgbClr>
            </a:solidFill>
            <a:ln w="3175">
              <a:noFill/>
            </a:ln>
          </c:spPr>
          <c:invertIfNegative val="0"/>
          <c:dLbls>
            <c:delete val="1"/>
          </c:dLbls>
          <c:cat>
            <c:strRef>
              <c:f>'[图表 在 2025年度部门决算分析报告（总体）.doc]Sheet1'!$C$2:$D$2</c:f>
              <c:strCache>
                <c:ptCount val="2"/>
                <c:pt idx="0">
                  <c:v>预算收入</c:v>
                </c:pt>
                <c:pt idx="1">
                  <c:v>预算支出</c:v>
                </c:pt>
              </c:strCache>
            </c:strRef>
          </c:cat>
          <c:val>
            <c:numRef>
              <c:f>'[图表 在 2025年度部门决算分析报告（总体）.doc]Sheet1'!$C$4:$D$4</c:f>
              <c:numCache>
                <c:formatCode>General</c:formatCode>
                <c:ptCount val="2"/>
                <c:pt idx="0">
                  <c:v>492</c:v>
                </c:pt>
                <c:pt idx="1">
                  <c:v>492</c:v>
                </c:pt>
              </c:numCache>
            </c:numRef>
          </c:val>
        </c:ser>
        <c:dLbls>
          <c:showLegendKey val="0"/>
          <c:showVal val="0"/>
          <c:showCatName val="0"/>
          <c:showSerName val="0"/>
          <c:showPercent val="0"/>
          <c:showBubbleSize val="0"/>
        </c:dLbls>
        <c:gapWidth val="219"/>
        <c:overlap val="-27"/>
        <c:axId val="987773558"/>
        <c:axId val="659521208"/>
      </c:barChart>
      <c:catAx>
        <c:axId val="987773558"/>
        <c:scaling>
          <c:orientation val="minMax"/>
        </c:scaling>
        <c:delete val="0"/>
        <c:axPos val="b"/>
        <c:majorTickMark val="none"/>
        <c:minorTickMark val="none"/>
        <c:tickLblPos val="nextTo"/>
        <c:spPr>
          <a:noFill/>
          <a:ln w="9525" cap="flat" cmpd="sng" algn="ctr">
            <a:solidFill>
              <a:srgbClr val="D9D9D9">
                <a:lumMod val="15000"/>
                <a:lumOff val="85000"/>
              </a:srgbClr>
            </a:solidFill>
            <a:prstDash val="solid"/>
            <a:round/>
          </a:ln>
          <a:effectLst/>
        </c:spPr>
        <c:txPr>
          <a:bodyPr rot="-60000000" spcFirstLastPara="1"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crossAx val="659521208"/>
        <c:crosses val="autoZero"/>
        <c:auto val="1"/>
        <c:lblAlgn val="ctr"/>
        <c:lblOffset val="100"/>
        <c:noMultiLvlLbl val="0"/>
      </c:catAx>
      <c:valAx>
        <c:axId val="659521208"/>
        <c:scaling>
          <c:orientation val="minMax"/>
        </c:scaling>
        <c:delete val="0"/>
        <c:axPos val="l"/>
        <c:majorGridlines>
          <c:spPr>
            <a:ln w="9525" cap="flat" cmpd="sng" algn="ctr">
              <a:solidFill>
                <a:srgbClr val="D9D9D9">
                  <a:lumMod val="15000"/>
                  <a:lumOff val="85000"/>
                </a:srgbClr>
              </a:solidFill>
              <a:prstDash val="solid"/>
              <a:round/>
            </a:ln>
            <a:effectLst/>
          </c:spPr>
        </c:majorGridlines>
        <c:numFmt formatCode="General" sourceLinked="1"/>
        <c:majorTickMark val="none"/>
        <c:minorTickMark val="none"/>
        <c:tickLblPos val="nextTo"/>
        <c:spPr>
          <a:ln w="3175" cap="flat" cmpd="sng" algn="ctr">
            <a:noFill/>
            <a:prstDash val="dash"/>
            <a:round/>
          </a:ln>
        </c:spPr>
        <c:txPr>
          <a:bodyPr rot="-60000000" spcFirstLastPara="1"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crossAx val="987773558"/>
        <c:crosses val="autoZero"/>
        <c:crossBetween val="between"/>
      </c:valAx>
      <c:spPr>
        <a:noFill/>
        <a:ln w="3175">
          <a:noFill/>
        </a:ln>
      </c:spPr>
    </c:plotArea>
    <c:legend>
      <c:legendPos val="b"/>
      <c:layout/>
      <c:overlay val="0"/>
      <c:spPr>
        <a:noFill/>
        <a:ln w="3175">
          <a:noFill/>
        </a:ln>
      </c:spPr>
      <c:txPr>
        <a:bodyPr rot="0" spcFirstLastPara="1"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legend>
    <c:plotVisOnly val="1"/>
    <c:dispBlanksAs val="gap"/>
    <c:showDLblsOverMax val="0"/>
  </c:chart>
  <c:spPr>
    <a:solidFill>
      <a:srgbClr val="FFFFFF"/>
    </a:solidFill>
    <a:ln w="9525" cap="flat" cmpd="sng" algn="ctr">
      <a:solidFill>
        <a:srgbClr val="D9D9D9">
          <a:lumMod val="15000"/>
          <a:lumOff val="85000"/>
        </a:srgbClr>
      </a:solidFill>
      <a:prstDash val="solid"/>
      <a:round/>
    </a:ln>
    <a:effectLst/>
  </c:spPr>
  <c:txPr>
    <a:bodyPr wrap="square"/>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收入决算结构图</a:t>
            </a:r>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'[附件：2026年三项清理情况表.xls]Sheet2'!$A$1:$A$3</c:f>
              <c:strCache>
                <c:ptCount val="3"/>
                <c:pt idx="0">
                  <c:v>收入决算结构图</c:v>
                </c:pt>
                <c:pt idx="1">
                  <c:v>一般公共预算财政拨款收入</c:v>
                </c:pt>
                <c:pt idx="2">
                  <c:v>其他收入（财政代管资金）</c:v>
                </c:pt>
              </c:strCache>
            </c:strRef>
          </c:cat>
          <c:val>
            <c:numRef>
              <c:f>'[附件：2026年三项清理情况表.xls]Sheet2'!$B$1:$B$3</c:f>
              <c:numCache>
                <c:formatCode>General</c:formatCode>
                <c:ptCount val="3"/>
                <c:pt idx="1" c:formatCode="0.00%">
                  <c:v>0.978</c:v>
                </c:pt>
                <c:pt idx="2" c:formatCode="0.00%">
                  <c:v>0.022</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egendEntry>
        <c:idx val="0"/>
        <c:delete val="1"/>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支出决算结构图</a:t>
            </a:r>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'[附件：2026年三项清理情况表.xls]Sheet3'!$A$2:$A$3</c:f>
              <c:strCache>
                <c:ptCount val="2"/>
                <c:pt idx="0">
                  <c:v>基本支出</c:v>
                </c:pt>
                <c:pt idx="1">
                  <c:v>项目支出</c:v>
                </c:pt>
              </c:strCache>
            </c:strRef>
          </c:cat>
          <c:val>
            <c:numRef>
              <c:f>'[附件：2026年三项清理情况表.xls]Sheet3'!$B$2:$B$3</c:f>
              <c:numCache>
                <c:formatCode>0.00%</c:formatCode>
                <c:ptCount val="2"/>
                <c:pt idx="0">
                  <c:v>0.6909</c:v>
                </c:pt>
                <c:pt idx="1">
                  <c:v>0.3091</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sz="1400" b="0" i="0" u="none" strike="noStrike" kern="1200" spc="0" baseline="0">
                <a:solidFill>
                  <a:schemeClr val="tx1">
                    <a:lumMod val="65000"/>
                    <a:lumOff val="35000"/>
                  </a:schemeClr>
                </a:solidFill>
                <a:latin typeface="+mn-lt"/>
                <a:ea typeface="+mn-ea"/>
                <a:cs typeface="+mn-cs"/>
              </a:rPr>
              <a:t>财政拨款收、支决算总计变动情况</a:t>
            </a:r>
            <a:endParaRPr lang="zh-CN" sz="1400" b="0" i="0" u="none" strike="noStrike" kern="1200" spc="0" baseline="0">
              <a:solidFill>
                <a:schemeClr val="tx1">
                  <a:lumMod val="65000"/>
                  <a:lumOff val="35000"/>
                </a:schemeClr>
              </a:solidFill>
              <a:latin typeface="+mn-lt"/>
              <a:ea typeface="+mn-ea"/>
              <a:cs typeface="+mn-cs"/>
            </a:endParaRPr>
          </a:p>
        </c:rich>
      </c:tx>
      <c:layout/>
      <c:overlay val="0"/>
    </c:title>
    <c:autoTitleDeleted val="0"/>
    <c:plotArea>
      <c:layout/>
      <c:barChart>
        <c:barDir val="col"/>
        <c:grouping val="clustered"/>
        <c:varyColors val="0"/>
        <c:ser>
          <c:idx val="0"/>
          <c:order val="0"/>
          <c:tx>
            <c:strRef>
              <c:f>'[图表 在 2024年决算公开 定稿  （202610.9号政府网导出）.doc]Sheet1'!$B$3</c:f>
              <c:strCache>
                <c:ptCount val="1"/>
                <c:pt idx="0">
                  <c:v>2024</c:v>
                </c:pt>
              </c:strCache>
            </c:strRef>
          </c:tx>
          <c:spPr>
            <a:solidFill>
              <a:schemeClr val="accent1">
                <a:alpha val="100000"/>
              </a:schemeClr>
            </a:solidFill>
            <a:ln w="3175">
              <a:noFill/>
            </a:ln>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ext>
            </c:extLst>
          </c:dLbls>
          <c:cat>
            <c:strRef>
              <c:f>'[图表 在 2024年决算公开 定稿  （202610.9号政府网导出）.doc]Sheet1'!$C$2:$D$2</c:f>
              <c:strCache>
                <c:ptCount val="2"/>
                <c:pt idx="0">
                  <c:v>预算收入</c:v>
                </c:pt>
                <c:pt idx="1">
                  <c:v>预算支出</c:v>
                </c:pt>
              </c:strCache>
            </c:strRef>
          </c:cat>
          <c:val>
            <c:numRef>
              <c:f>'[图表 在 2024年决算公开 定稿  （202610.9号政府网导出）.doc]Sheet1'!$C$3:$D$3</c:f>
              <c:numCache>
                <c:formatCode>General</c:formatCode>
                <c:ptCount val="2"/>
                <c:pt idx="0">
                  <c:v>485.01</c:v>
                </c:pt>
                <c:pt idx="1">
                  <c:v>485.01</c:v>
                </c:pt>
              </c:numCache>
            </c:numRef>
          </c:val>
        </c:ser>
        <c:ser>
          <c:idx val="1"/>
          <c:order val="1"/>
          <c:tx>
            <c:strRef>
              <c:f>'[图表 在 2024年决算公开 定稿  （202610.9号政府网导出）.doc]Sheet1'!$B$4</c:f>
              <c:strCache>
                <c:ptCount val="1"/>
                <c:pt idx="0">
                  <c:v>2025</c:v>
                </c:pt>
              </c:strCache>
            </c:strRef>
          </c:tx>
          <c:spPr>
            <a:solidFill>
              <a:schemeClr val="accent2">
                <a:alpha val="100000"/>
              </a:schemeClr>
            </a:solidFill>
            <a:ln w="3175">
              <a:noFill/>
            </a:ln>
          </c:spPr>
          <c:invertIfNegative val="0"/>
          <c:dPt>
            <c:idx val="0"/>
            <c:invertIfNegative val="0"/>
            <c:bubble3D val="0"/>
            <c:spPr>
              <a:solidFill>
                <a:schemeClr val="accent6"/>
              </a:solidFill>
              <a:ln>
                <a:noFill/>
              </a:ln>
              <a:sp3d>
                <a:extrusionClr>
                  <a:srgbClr val="FFFFFF"/>
                </a:extrusionClr>
                <a:contourClr>
                  <a:srgbClr val="FFFFFF"/>
                </a:contourClr>
              </a:sp3d>
            </c:spPr>
          </c:dPt>
          <c:dPt>
            <c:idx val="1"/>
            <c:invertIfNegative val="0"/>
            <c:bubble3D val="0"/>
            <c:spPr>
              <a:solidFill>
                <a:schemeClr val="accent6"/>
              </a:solidFill>
              <a:ln>
                <a:noFill/>
              </a:ln>
              <a:sp3d>
                <a:extrusionClr>
                  <a:srgbClr val="FFFFFF"/>
                </a:extrusionClr>
                <a:contourClr>
                  <a:srgbClr val="FFFFFF"/>
                </a:contourClr>
              </a:sp3d>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ext>
            </c:extLst>
          </c:dLbls>
          <c:cat>
            <c:strRef>
              <c:f>'[图表 在 2024年决算公开 定稿  （202610.9号政府网导出）.doc]Sheet1'!$C$2:$D$2</c:f>
              <c:strCache>
                <c:ptCount val="2"/>
                <c:pt idx="0">
                  <c:v>预算收入</c:v>
                </c:pt>
                <c:pt idx="1">
                  <c:v>预算支出</c:v>
                </c:pt>
              </c:strCache>
            </c:strRef>
          </c:cat>
          <c:val>
            <c:numRef>
              <c:f>'[图表 在 2024年决算公开 定稿  （202610.9号政府网导出）.doc]Sheet1'!$C$4:$D$4</c:f>
              <c:numCache>
                <c:formatCode>General</c:formatCode>
                <c:ptCount val="2"/>
                <c:pt idx="0">
                  <c:v>492.03</c:v>
                </c:pt>
                <c:pt idx="1">
                  <c:v>492.03</c:v>
                </c:pt>
              </c:numCache>
            </c:numRef>
          </c:val>
        </c:ser>
        <c:dLbls>
          <c:showLegendKey val="0"/>
          <c:showVal val="0"/>
          <c:showCatName val="0"/>
          <c:showSerName val="0"/>
          <c:showPercent val="0"/>
          <c:showBubbleSize val="0"/>
        </c:dLbls>
        <c:gapWidth val="150"/>
        <c:overlap val="-25"/>
        <c:axId val="725595530"/>
        <c:axId val="605926087"/>
      </c:barChart>
      <c:catAx>
        <c:axId val="725595530"/>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05926087"/>
        <c:crosses val="autoZero"/>
        <c:auto val="1"/>
        <c:lblAlgn val="ctr"/>
        <c:lblOffset val="100"/>
        <c:noMultiLvlLbl val="0"/>
      </c:catAx>
      <c:valAx>
        <c:axId val="605926087"/>
        <c:scaling>
          <c:orientation val="minMax"/>
        </c:scaling>
        <c:delete val="1"/>
        <c:axPos val="l"/>
        <c:numFmt formatCode="General" sourceLinked="1"/>
        <c:majorTickMark val="none"/>
        <c:minorTickMark val="none"/>
        <c:tickLblPos val="nextTo"/>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25595530"/>
        <c:crosses val="autoZero"/>
        <c:crossBetween val="between"/>
      </c:valAx>
      <c:spPr>
        <a:noFill/>
        <a:ln w="3175">
          <a:noFill/>
        </a:ln>
      </c:spPr>
    </c:plotArea>
    <c:legend>
      <c:legendPos val="t"/>
      <c:layout/>
      <c:overlay val="0"/>
      <c:spPr>
        <a:noFill/>
        <a:ln w="3175">
          <a:noFill/>
        </a:ln>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一般公共预算财政拨款支出</a:t>
            </a:r>
          </a:p>
        </c:rich>
      </c:tx>
      <c:layout>
        <c:manualLayout>
          <c:xMode val="edge"/>
          <c:yMode val="edge"/>
          <c:x val="0.304342105263158"/>
          <c:y val="0.0416666666666667"/>
        </c:manualLayout>
      </c:layout>
      <c:overlay val="0"/>
      <c:spPr>
        <a:noFill/>
        <a:ln>
          <a:noFill/>
        </a:ln>
        <a:effectLst/>
      </c:spPr>
    </c:title>
    <c:autoTitleDeleted val="0"/>
    <c:plotArea>
      <c:layout/>
      <c:barChart>
        <c:barDir val="col"/>
        <c:grouping val="clustered"/>
        <c:varyColors val="0"/>
        <c:ser>
          <c:idx val="0"/>
          <c:order val="0"/>
          <c:tx>
            <c:strRef>
              <c:f>'[附件：2026年三项清理情况表.xls]Sheet5'!$B$1</c:f>
              <c:strCache>
                <c:ptCount val="1"/>
                <c:pt idx="0">
                  <c:v>一般公共预算财政拨款支出（万元）</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'[附件：2026年三项清理情况表.xls]Sheet5'!$A$2:$A$3</c:f>
              <c:strCache>
                <c:ptCount val="2"/>
                <c:pt idx="0">
                  <c:v>2024年</c:v>
                </c:pt>
                <c:pt idx="1">
                  <c:v>2025年</c:v>
                </c:pt>
              </c:strCache>
            </c:strRef>
          </c:cat>
          <c:val>
            <c:numRef>
              <c:f>'[附件：2026年三项清理情况表.xls]Sheet5'!$B$2:$B$3</c:f>
              <c:numCache>
                <c:formatCode>General</c:formatCode>
                <c:ptCount val="2"/>
                <c:pt idx="0">
                  <c:v>485.01</c:v>
                </c:pt>
                <c:pt idx="1">
                  <c:v>492.03</c:v>
                </c:pt>
              </c:numCache>
            </c:numRef>
          </c:val>
        </c:ser>
        <c:dLbls>
          <c:showLegendKey val="0"/>
          <c:showVal val="1"/>
          <c:showCatName val="0"/>
          <c:showSerName val="0"/>
          <c:showPercent val="0"/>
          <c:showBubbleSize val="0"/>
        </c:dLbls>
        <c:gapWidth val="150"/>
        <c:overlap val="-25"/>
        <c:axId val="888524544"/>
        <c:axId val="812902713"/>
      </c:barChart>
      <c:catAx>
        <c:axId val="888524544"/>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2902713"/>
        <c:crosses val="autoZero"/>
        <c:auto val="1"/>
        <c:lblAlgn val="ctr"/>
        <c:lblOffset val="100"/>
        <c:noMultiLvlLbl val="0"/>
      </c:catAx>
      <c:valAx>
        <c:axId val="812902713"/>
        <c:scaling>
          <c:orientation val="minMax"/>
        </c:scaling>
        <c:delete val="1"/>
        <c:axPos val="l"/>
        <c:numFmt formatCode="General" sourceLinked="1"/>
        <c:majorTickMark val="none"/>
        <c:minorTickMark val="none"/>
        <c:tickLblPos val="nextTo"/>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88524544"/>
        <c:crosses val="autoZero"/>
        <c:crossBetween val="between"/>
      </c:valAx>
      <c:spPr>
        <a:noFill/>
        <a:ln>
          <a:noFill/>
        </a:ln>
        <a:effectLst/>
      </c:spPr>
    </c:plotArea>
    <c:legend>
      <c:legendPos val="t"/>
      <c:layout>
        <c:manualLayout>
          <c:xMode val="edge"/>
          <c:yMode val="edge"/>
          <c:x val="0.338552631578947"/>
          <c:y val="0.146296296296296"/>
          <c:w val="0.406184210526316"/>
          <c:h val="0.0770833333333333"/>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一般公共预算财政拨款支出决算结构</a:t>
            </a:r>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multiLvlStrRef>
              <c:f>'[附件：2026年三项清理情况表.xls]Sheet6'!$A$1:$B$4</c:f>
              <c:multiLvlStrCache>
                <c:ptCount val="4"/>
                <c:lvl>
                  <c:pt idx="0">
                    <c:v>397.22万元</c:v>
                  </c:pt>
                  <c:pt idx="1">
                    <c:v>52.24万元</c:v>
                  </c:pt>
                  <c:pt idx="2">
                    <c:v>17.82万元</c:v>
                  </c:pt>
                  <c:pt idx="3">
                    <c:v>24.75万元</c:v>
                  </c:pt>
                </c:lvl>
                <c:lvl>
                  <c:pt idx="0">
                    <c:v>一般公共服务支出</c:v>
                  </c:pt>
                  <c:pt idx="1">
                    <c:v>社会保障和就业支出</c:v>
                  </c:pt>
                  <c:pt idx="2">
                    <c:v>卫生健康支出</c:v>
                  </c:pt>
                  <c:pt idx="3">
                    <c:v>住房保障支出</c:v>
                  </c:pt>
                </c:lvl>
              </c:multiLvlStrCache>
            </c:multiLvlStrRef>
          </c:cat>
          <c:val>
            <c:numRef>
              <c:f>'[附件：2026年三项清理情况表.xls]Sheet6'!$C$1:$C$4</c:f>
              <c:numCache>
                <c:formatCode>0.00%</c:formatCode>
                <c:ptCount val="4"/>
                <c:pt idx="0">
                  <c:v>0.807</c:v>
                </c:pt>
                <c:pt idx="1">
                  <c:v>0.106</c:v>
                </c:pt>
                <c:pt idx="2">
                  <c:v>0.036</c:v>
                </c:pt>
                <c:pt idx="3">
                  <c:v>0.051</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财政拨款“三公”经费支出结构</a:t>
            </a:r>
            <a:endParaRPr sz="1400" b="1" i="0" u="none" strike="noStrike" baseline="0">
              <a:solidFill>
                <a:srgbClr val="404040">
                  <a:alpha val="100000"/>
                </a:srgbClr>
              </a:solidFill>
              <a:latin typeface="宋体" panose="02010600030101010101" charset="-122"/>
              <a:ea typeface="宋体" panose="02010600030101010101" charset="-122"/>
              <a:cs typeface="宋体" panose="02010600030101010101" charset="-122"/>
            </a:endParaRPr>
          </a:p>
        </c:rich>
      </c:tx>
      <c:layout>
        <c:manualLayout>
          <c:xMode val="edge"/>
          <c:yMode val="edge"/>
          <c:x val="0.234868421052632"/>
          <c:y val="0.0891933815925543"/>
        </c:manualLayout>
      </c:layout>
      <c:overlay val="0"/>
      <c:spPr>
        <a:noFill/>
        <a:ln>
          <a:noFill/>
        </a:ln>
        <a:effectLst/>
      </c:spPr>
    </c:title>
    <c:autoTitleDeleted val="0"/>
    <c:plotArea>
      <c:layout/>
      <c:pieChart>
        <c:varyColors val="1"/>
        <c:ser>
          <c:idx val="0"/>
          <c:order val="0"/>
          <c:tx>
            <c:strRef>
              <c:f>'[2025年统计局决算公开图                文字说明里面的图  .xls]7'!$A$1</c:f>
              <c:strCache>
                <c:ptCount val="1"/>
                <c:pt idx="0">
                  <c:v>公务用车购置及运行维护费</c:v>
                </c:pt>
              </c:strCache>
            </c:strRef>
          </c:tx>
          <c:explosion val="0"/>
          <c:dPt>
            <c:idx val="0"/>
            <c:bubble3D val="0"/>
            <c:explosion val="0"/>
            <c:spPr>
              <a:solidFill>
                <a:schemeClr val="accent1"/>
              </a:solidFill>
              <a:ln>
                <a:solidFill>
                  <a:schemeClr val="bg1"/>
                </a:solidFill>
              </a:ln>
              <a:effectLst/>
            </c:spPr>
          </c:dPt>
          <c:dLbls>
            <c:dLbl>
              <c:idx val="0"/>
              <c:layout>
                <c:manualLayout>
                  <c:x val="0.00197308388291506"/>
                  <c:y val="-0.0558275499487652"/>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sz="1000" b="0" i="0" u="none" strike="noStrike" baseline="0">
                        <a:solidFill>
                          <a:srgbClr val="333333"/>
                        </a:solidFill>
                        <a:latin typeface="宋体" panose="02010600030101010101" charset="-122"/>
                        <a:ea typeface="宋体" panose="02010600030101010101" charset="-122"/>
                        <a:cs typeface="宋体" panose="02010600030101010101" charset="-122"/>
                      </a:rPr>
                      <a:t>公务用车购置及运行维护费</a:t>
                    </a:r>
                    <a:r>
                      <a:rPr lang="en-US" altLang="zh-CN" sz="1000" b="0" i="0" u="none" strike="noStrike" baseline="0">
                        <a:solidFill>
                          <a:srgbClr val="333333"/>
                        </a:solidFill>
                        <a:latin typeface="Calibri" panose="020F0502020204030204" pitchFamily="2" charset="0"/>
                        <a:ea typeface="Calibri" panose="020F0502020204030204" pitchFamily="2" charset="0"/>
                        <a:cs typeface="Calibri" panose="020F0502020204030204" pitchFamily="2" charset="0"/>
                      </a:rPr>
                      <a:t>4</a:t>
                    </a:r>
                    <a:r>
                      <a:rPr altLang="en-US" sz="1000" b="0" i="0" u="none" strike="noStrike" baseline="0">
                        <a:solidFill>
                          <a:srgbClr val="333333"/>
                        </a:solidFill>
                        <a:latin typeface="宋体" panose="02010600030101010101" charset="-122"/>
                        <a:ea typeface="宋体" panose="02010600030101010101" charset="-122"/>
                        <a:cs typeface="宋体" panose="02010600030101010101" charset="-122"/>
                      </a:rPr>
                      <a:t>万元</a:t>
                    </a:r>
                    <a:r>
                      <a:rPr sz="1000" b="0" i="0" u="none" strike="noStrike" baseline="0">
                        <a:solidFill>
                          <a:srgbClr val="333333"/>
                        </a:solidFill>
                        <a:latin typeface="宋体" panose="02010600030101010101" charset="-122"/>
                        <a:ea typeface="宋体" panose="02010600030101010101" charset="-122"/>
                        <a:cs typeface="宋体" panose="02010600030101010101" charset="-122"/>
                      </a:rPr>
                      <a:t>100%</a:t>
                    </a:r>
                    <a:endParaRPr sz="1200" b="0" i="0" u="none" strike="noStrike" baseline="0">
                      <a:solidFill>
                        <a:srgbClr val="000000"/>
                      </a:solidFill>
                      <a:latin typeface="宋体" panose="02010600030101010101" charset="-122"/>
                      <a:ea typeface="宋体" panose="02010600030101010101" charset="-122"/>
                      <a:cs typeface="宋体" panose="02010600030101010101" charset="-122"/>
                    </a:endParaRPr>
                  </a:p>
                </c:rich>
              </c:tx>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val>
            <c:numRef>
              <c:f>'[2025年统计局决算公开图                文字说明里面的图  .xls]7'!$B$1</c:f>
              <c:numCache>
                <c:formatCode>General</c:formatCode>
                <c:ptCount val="1"/>
                <c:pt idx="0">
                  <c:v>4</c:v>
                </c:pt>
              </c:numCache>
            </c:numRef>
          </c:val>
        </c:ser>
        <c:dLbls>
          <c:showLegendKey val="0"/>
          <c:showVal val="0"/>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39</Pages>
  <Words>16</Words>
  <Characters>19</Characters>
  <Lines>61</Lines>
  <Paragraphs>17</Paragraphs>
  <TotalTime>20</TotalTime>
  <ScaleCrop>false</ScaleCrop>
  <LinksUpToDate>false</LinksUpToDate>
  <CharactersWithSpaces>19</CharactersWithSpaces>
  <Application>WPS Office_11.8.2.1132_F1E327BC-269C-435d-A152-05C5408002CA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2020-08-09T01:49:00Z</dcterms:created>
  <dc:creator>曹颖</dc:creator>
  <cp:lastModifiedBy>user</cp:lastModifiedBy>
  <cp:lastPrinted>2026-10-20T10:32:00Z</cp:lastPrinted>
  <dcterms:modified xsi:type="dcterms:W3CDTF">2026-10-23T16:28:47Z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2052-11.8.2.1132</vt:lpwstr>
  </property>
  <property fmtid="{D5CDD505-2E9C-101B-9397-08002B2CF9AE}" pid="3" name="ICV">
    <vt:lpwstr>9C20405CF3C44461A8C3AE6B975882EC_13</vt:lpwstr>
  </property>
  <property fmtid="{D5CDD505-2E9C-101B-9397-08002B2CF9AE}" pid="4" name="KSOTemplateDocerSaveRecord">
    <vt:lpwstr>eyJoZGlkIjoiZjczMzk0NDcwNWVjY2RhYTA1YWI2YzRlMmU5MmYzNGEiLCJ1c2VySWQiOiIxMTczMjU0ODQ1In0=</vt:lpwstr>
  </property>
</Properties>
</file>