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96597"/>
      <w:bookmarkStart w:id="3" w:name="_Toc15378441"/>
      <w:bookmarkStart w:id="4" w:name="_Toc15377425"/>
      <w:bookmarkStart w:id="5" w:name="_Toc15377193"/>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96598"/>
      <w:bookmarkStart w:id="7" w:name="_Toc15377194"/>
      <w:bookmarkStart w:id="8" w:name="_Toc15396476"/>
      <w:bookmarkStart w:id="9" w:name="_Toc15377426"/>
      <w:bookmarkStart w:id="10" w:name="_Toc15378442"/>
      <w:r>
        <w:rPr>
          <w:rFonts w:hint="eastAsia" w:ascii="方正小标宋简体" w:hAnsi="宋体" w:eastAsia="方正小标宋简体"/>
          <w:color w:val="000000"/>
          <w:sz w:val="72"/>
          <w:szCs w:val="72"/>
        </w:rPr>
        <w:t>四川省阿坝州</w:t>
      </w:r>
      <w:r>
        <w:rPr>
          <w:rFonts w:hint="eastAsia" w:ascii="方正小标宋简体" w:hAnsi="宋体" w:eastAsia="方正小标宋简体"/>
          <w:color w:val="000000"/>
          <w:sz w:val="72"/>
          <w:szCs w:val="72"/>
          <w:lang w:eastAsia="zh-CN"/>
        </w:rPr>
        <w:t>壤塘县</w:t>
      </w:r>
    </w:p>
    <w:bookmarkEnd w:id="0"/>
    <w:p>
      <w:pPr>
        <w:adjustRightInd w:val="0"/>
        <w:snapToGrid w:val="0"/>
        <w:spacing w:line="360" w:lineRule="auto"/>
        <w:jc w:val="center"/>
        <w:outlineLvl w:val="0"/>
        <w:rPr>
          <w:rFonts w:ascii="方正小标宋简体" w:hAnsi="宋体" w:eastAsia="方正小标宋简体"/>
          <w:sz w:val="36"/>
          <w:szCs w:val="36"/>
        </w:rPr>
      </w:pPr>
      <w:bookmarkStart w:id="11" w:name="_Toc15306268"/>
      <w:r>
        <w:rPr>
          <w:rFonts w:hint="eastAsia" w:ascii="方正小标宋简体" w:hAnsi="宋体" w:eastAsia="方正小标宋简体"/>
          <w:color w:val="000000"/>
          <w:sz w:val="72"/>
          <w:szCs w:val="72"/>
          <w:lang w:eastAsia="zh-CN"/>
        </w:rPr>
        <w:t>审计局</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widowControl/>
        <w:jc w:val="center"/>
        <w:rPr>
          <w:rFonts w:hint="eastAsia" w:ascii="方正小标宋简体" w:hAnsi="宋体" w:eastAsia="方正小标宋简体"/>
          <w:sz w:val="36"/>
          <w:szCs w:val="36"/>
          <w:lang w:eastAsia="zh-CN"/>
        </w:rPr>
      </w:pPr>
      <w:r>
        <w:rPr>
          <w:rFonts w:hint="eastAsia" w:ascii="仿宋_GB2312" w:hAnsi="Calibri" w:eastAsia="仿宋_GB2312" w:cs="仿宋_GB2312"/>
          <w:sz w:val="32"/>
          <w:szCs w:val="32"/>
          <w:lang w:val="en-US" w:eastAsia="zh-CN"/>
        </w:rPr>
        <w:t xml:space="preserve"> </w:t>
      </w: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2"/>
      </w:pPr>
      <w:r>
        <w:rPr>
          <w:rFonts w:hint="eastAsia"/>
        </w:rPr>
        <w:t>公开时间：2020年</w:t>
      </w:r>
      <w:r>
        <w:rPr>
          <w:rFonts w:hint="eastAsia"/>
          <w:lang w:val="en-US" w:eastAsia="zh-CN"/>
        </w:rPr>
        <w:t>10</w:t>
      </w:r>
      <w:r>
        <w:rPr>
          <w:rFonts w:hint="eastAsia"/>
        </w:rPr>
        <w:t>月</w:t>
      </w:r>
      <w:r>
        <w:rPr>
          <w:rFonts w:hint="eastAsia"/>
          <w:lang w:val="en-US" w:eastAsia="zh-CN"/>
        </w:rPr>
        <w:t xml:space="preserve"> 20</w:t>
      </w:r>
      <w:r>
        <w:rPr>
          <w:rFonts w:hint="eastAsia"/>
        </w:rPr>
        <w:t>日</w:t>
      </w:r>
    </w:p>
    <w:p/>
    <w:p>
      <w:pPr>
        <w:pStyle w:val="12"/>
        <w:adjustRightInd w:val="0"/>
        <w:snapToGrid w:val="0"/>
        <w:spacing w:before="0" w:line="440" w:lineRule="exact"/>
        <w:jc w:val="left"/>
        <w:rPr>
          <w:rFonts w:hint="default" w:eastAsia="仿宋" w:cstheme="minorBidi"/>
          <w:sz w:val="24"/>
          <w:szCs w:val="24"/>
          <w:lang w:val="en-US" w:eastAsia="zh-CN"/>
        </w:rPr>
      </w:pPr>
      <w:r>
        <w:rPr>
          <w:rFonts w:hint="eastAsia"/>
          <w:sz w:val="24"/>
        </w:rPr>
        <w:t>第一部分</w:t>
      </w:r>
      <w:r>
        <w:rPr>
          <w:sz w:val="24"/>
        </w:rPr>
        <w:t xml:space="preserve"> </w:t>
      </w:r>
      <w:r>
        <w:rPr>
          <w:rFonts w:hint="eastAsia"/>
          <w:sz w:val="24"/>
        </w:rPr>
        <w:t>部门概况</w:t>
      </w:r>
      <w:r>
        <w:rPr>
          <w:rFonts w:hint="eastAsia"/>
          <w:sz w:val="24"/>
          <w:lang w:val="en-US" w:eastAsia="zh-CN"/>
        </w:rPr>
        <w:t>...............................................4</w:t>
      </w:r>
    </w:p>
    <w:p>
      <w:pPr>
        <w:pStyle w:val="13"/>
        <w:adjustRightInd w:val="0"/>
        <w:snapToGrid w:val="0"/>
        <w:spacing w:line="440" w:lineRule="exact"/>
        <w:jc w:val="left"/>
        <w:rPr>
          <w:rFonts w:hint="default" w:ascii="仿宋" w:hAnsi="仿宋" w:eastAsia="宋体"/>
          <w:sz w:val="24"/>
          <w:lang w:val="en-US" w:eastAsia="zh-CN"/>
        </w:rPr>
      </w:pPr>
      <w:r>
        <w:rPr>
          <w:rFonts w:hint="eastAsia"/>
          <w:sz w:val="24"/>
        </w:rPr>
        <w:t>一、基本职能及主要工作</w:t>
      </w:r>
      <w:r>
        <w:rPr>
          <w:rFonts w:hint="eastAsia"/>
          <w:sz w:val="24"/>
          <w:lang w:val="en-US" w:eastAsia="zh-CN"/>
        </w:rPr>
        <w:t>.............................................................................4</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二、机构设置</w:t>
      </w:r>
      <w:r>
        <w:rPr>
          <w:rFonts w:hint="eastAsia"/>
          <w:sz w:val="24"/>
          <w:lang w:val="en-US" w:eastAsia="zh-CN"/>
        </w:rPr>
        <w:t>.................................................................................................8</w:t>
      </w:r>
    </w:p>
    <w:p>
      <w:pPr>
        <w:pStyle w:val="12"/>
        <w:adjustRightInd w:val="0"/>
        <w:snapToGrid w:val="0"/>
        <w:spacing w:before="0" w:line="440" w:lineRule="exact"/>
        <w:jc w:val="left"/>
        <w:rPr>
          <w:rFonts w:hint="default" w:eastAsia="仿宋"/>
          <w:sz w:val="24"/>
          <w:szCs w:val="24"/>
          <w:lang w:val="en-US" w:eastAsia="zh-CN"/>
        </w:rPr>
      </w:pPr>
      <w:r>
        <w:rPr>
          <w:rFonts w:hint="eastAsia"/>
          <w:sz w:val="24"/>
        </w:rPr>
        <w:t>第二部分度部门决算情况说明</w:t>
      </w:r>
      <w:r>
        <w:rPr>
          <w:rFonts w:hint="eastAsia"/>
          <w:sz w:val="24"/>
          <w:lang w:val="en-US" w:eastAsia="zh-CN"/>
        </w:rPr>
        <w:t>..................................... 9</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一、收入支出决算总体情况说明</w:t>
      </w:r>
      <w:r>
        <w:rPr>
          <w:rFonts w:hint="eastAsia"/>
          <w:sz w:val="24"/>
          <w:lang w:val="en-US" w:eastAsia="zh-CN"/>
        </w:rPr>
        <w:t>................................................................9</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二、收入决算情况说明</w:t>
      </w:r>
      <w:r>
        <w:rPr>
          <w:rFonts w:hint="eastAsia"/>
          <w:sz w:val="24"/>
          <w:lang w:val="en-US" w:eastAsia="zh-CN"/>
        </w:rPr>
        <w:t>..............................................................................10</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三、支出决算情况说明</w:t>
      </w:r>
      <w:r>
        <w:rPr>
          <w:rFonts w:hint="eastAsia"/>
          <w:sz w:val="24"/>
          <w:lang w:val="en-US" w:eastAsia="zh-CN"/>
        </w:rPr>
        <w:t>..............................................................................11</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四、财政拨款收入支出决算总体情况说明</w:t>
      </w:r>
      <w:r>
        <w:rPr>
          <w:rFonts w:hint="eastAsia"/>
          <w:sz w:val="24"/>
          <w:lang w:val="en-US" w:eastAsia="zh-CN"/>
        </w:rPr>
        <w:t>...............................................12</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五、一般公共预算财政拨款支出决算情况说明</w:t>
      </w:r>
      <w:r>
        <w:rPr>
          <w:rFonts w:hint="eastAsia"/>
          <w:sz w:val="24"/>
          <w:lang w:val="en-US" w:eastAsia="zh-CN"/>
        </w:rPr>
        <w:t>.......................................13</w:t>
      </w:r>
    </w:p>
    <w:p>
      <w:pPr>
        <w:pStyle w:val="13"/>
        <w:adjustRightInd w:val="0"/>
        <w:snapToGrid w:val="0"/>
        <w:spacing w:line="440" w:lineRule="exact"/>
        <w:jc w:val="left"/>
        <w:rPr>
          <w:rFonts w:hint="eastAsia"/>
          <w:sz w:val="24"/>
          <w:lang w:val="en-US" w:eastAsia="zh-CN"/>
        </w:rPr>
      </w:pPr>
      <w:r>
        <w:rPr>
          <w:rFonts w:hint="eastAsia"/>
          <w:sz w:val="24"/>
        </w:rPr>
        <w:t>六、一般公共预算财政拨款支出决算情况说明</w:t>
      </w:r>
      <w:r>
        <w:rPr>
          <w:rFonts w:hint="eastAsia"/>
          <w:sz w:val="24"/>
          <w:lang w:val="en-US" w:eastAsia="zh-CN"/>
        </w:rPr>
        <w:t>.......................................16</w:t>
      </w:r>
    </w:p>
    <w:p>
      <w:pPr>
        <w:ind w:firstLine="960" w:firstLineChars="400"/>
        <w:rPr>
          <w:rFonts w:hint="eastAsia"/>
          <w:sz w:val="24"/>
          <w:lang w:val="en-US" w:eastAsia="zh-CN"/>
        </w:rPr>
      </w:pPr>
      <w:r>
        <w:rPr>
          <w:rFonts w:hint="eastAsia"/>
          <w:sz w:val="24"/>
          <w:lang w:eastAsia="zh-CN"/>
        </w:rPr>
        <w:t>（一）</w:t>
      </w:r>
      <w:r>
        <w:rPr>
          <w:rFonts w:hint="eastAsia"/>
          <w:sz w:val="24"/>
        </w:rPr>
        <w:t>一般公共预算财政拨款</w:t>
      </w:r>
      <w:r>
        <w:rPr>
          <w:rFonts w:hint="eastAsia"/>
          <w:sz w:val="24"/>
          <w:lang w:eastAsia="zh-CN"/>
        </w:rPr>
        <w:t>基本</w:t>
      </w:r>
      <w:r>
        <w:rPr>
          <w:rFonts w:hint="eastAsia"/>
          <w:sz w:val="24"/>
        </w:rPr>
        <w:t>支出决算情况说明</w:t>
      </w:r>
      <w:r>
        <w:rPr>
          <w:rFonts w:hint="eastAsia"/>
          <w:sz w:val="24"/>
          <w:lang w:val="en-US" w:eastAsia="zh-CN"/>
        </w:rPr>
        <w:t>...................16</w:t>
      </w:r>
    </w:p>
    <w:p>
      <w:pPr>
        <w:ind w:firstLine="960" w:firstLineChars="400"/>
        <w:rPr>
          <w:rFonts w:hint="eastAsia"/>
          <w:sz w:val="24"/>
          <w:lang w:val="en-US" w:eastAsia="zh-CN"/>
        </w:rPr>
      </w:pPr>
      <w:r>
        <w:rPr>
          <w:rFonts w:hint="eastAsia"/>
          <w:sz w:val="24"/>
          <w:lang w:eastAsia="zh-CN"/>
        </w:rPr>
        <w:t>（二）</w:t>
      </w:r>
      <w:r>
        <w:rPr>
          <w:rFonts w:hint="eastAsia"/>
          <w:sz w:val="24"/>
        </w:rPr>
        <w:t>一般公共预算财政拨款</w:t>
      </w:r>
      <w:r>
        <w:rPr>
          <w:rFonts w:hint="eastAsia"/>
          <w:sz w:val="24"/>
          <w:lang w:eastAsia="zh-CN"/>
        </w:rPr>
        <w:t>项目</w:t>
      </w:r>
      <w:r>
        <w:rPr>
          <w:rFonts w:hint="eastAsia"/>
          <w:sz w:val="24"/>
        </w:rPr>
        <w:t>支出决算情况说明</w:t>
      </w:r>
      <w:r>
        <w:rPr>
          <w:rFonts w:hint="eastAsia"/>
          <w:sz w:val="24"/>
          <w:lang w:val="en-US" w:eastAsia="zh-CN"/>
        </w:rPr>
        <w:t>...................17</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七、</w:t>
      </w:r>
      <w:r>
        <w:rPr>
          <w:sz w:val="24"/>
        </w:rPr>
        <w:t>“</w:t>
      </w:r>
      <w:r>
        <w:rPr>
          <w:rFonts w:hint="eastAsia"/>
          <w:sz w:val="24"/>
        </w:rPr>
        <w:t>三公”经费财政拨款支出决算情况说明</w:t>
      </w:r>
      <w:r>
        <w:rPr>
          <w:rFonts w:hint="eastAsia"/>
          <w:sz w:val="24"/>
          <w:lang w:val="en-US" w:eastAsia="zh-CN"/>
        </w:rPr>
        <w:t>...........................................17</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hint="eastAsia"/>
          <w:sz w:val="24"/>
          <w:lang w:val="en-US" w:eastAsia="zh-CN"/>
        </w:rPr>
        <w:t>.....................................................19</w:t>
      </w:r>
    </w:p>
    <w:p>
      <w:pPr>
        <w:pStyle w:val="13"/>
        <w:adjustRightInd w:val="0"/>
        <w:snapToGrid w:val="0"/>
        <w:spacing w:line="440" w:lineRule="exact"/>
        <w:ind w:leftChars="0"/>
        <w:jc w:val="left"/>
        <w:rPr>
          <w:rFonts w:hint="default" w:ascii="仿宋" w:hAnsi="仿宋" w:eastAsia="宋体"/>
          <w:sz w:val="24"/>
          <w:lang w:val="en-US" w:eastAsia="zh-CN"/>
        </w:rPr>
      </w:pPr>
      <w:r>
        <w:rPr>
          <w:rFonts w:hint="eastAsia" w:ascii="仿宋" w:hAnsi="仿宋" w:eastAsia="仿宋"/>
          <w:sz w:val="24"/>
        </w:rPr>
        <w:t>九、</w:t>
      </w:r>
      <w:r>
        <w:rPr>
          <w:sz w:val="24"/>
        </w:rPr>
        <w:t xml:space="preserve"> 国</w:t>
      </w:r>
      <w:r>
        <w:rPr>
          <w:rFonts w:hint="eastAsia"/>
          <w:sz w:val="24"/>
        </w:rPr>
        <w:t>有资本经营预算支出决算情况说明</w:t>
      </w:r>
      <w:r>
        <w:rPr>
          <w:rFonts w:hint="eastAsia"/>
          <w:sz w:val="24"/>
          <w:lang w:val="en-US" w:eastAsia="zh-CN"/>
        </w:rPr>
        <w:t>...............................................20</w:t>
      </w:r>
    </w:p>
    <w:p>
      <w:pPr>
        <w:adjustRightInd w:val="0"/>
        <w:snapToGrid w:val="0"/>
        <w:spacing w:line="440" w:lineRule="exact"/>
        <w:ind w:firstLine="480" w:firstLineChars="200"/>
        <w:jc w:val="left"/>
        <w:rPr>
          <w:rFonts w:ascii="仿宋" w:hAnsi="仿宋" w:eastAsia="仿宋" w:cstheme="minorBidi"/>
          <w:sz w:val="24"/>
        </w:rPr>
      </w:pPr>
      <w:r>
        <w:rPr>
          <w:rStyle w:val="16"/>
          <w:rFonts w:hint="eastAsia" w:ascii="仿宋" w:hAnsi="仿宋" w:eastAsia="仿宋"/>
          <w:color w:val="000000" w:themeColor="text1"/>
          <w:sz w:val="24"/>
          <w:u w:val="none"/>
        </w:rPr>
        <w:t>十、</w:t>
      </w:r>
      <w:r>
        <w:rPr>
          <w:rFonts w:hint="eastAsia"/>
          <w:sz w:val="24"/>
        </w:rPr>
        <w:t>其他重要事项的情况说明</w:t>
      </w:r>
      <w:r>
        <w:rPr>
          <w:rFonts w:hint="eastAsia"/>
          <w:sz w:val="24"/>
          <w:lang w:val="en-US" w:eastAsia="zh-CN"/>
        </w:rPr>
        <w:t>....................................................................20</w:t>
      </w:r>
      <w:r>
        <w:rPr>
          <w:rFonts w:ascii="仿宋" w:hAnsi="仿宋" w:eastAsia="仿宋"/>
          <w:sz w:val="24"/>
        </w:rPr>
        <w:tab/>
      </w:r>
    </w:p>
    <w:p>
      <w:pPr>
        <w:pStyle w:val="12"/>
        <w:adjustRightInd w:val="0"/>
        <w:snapToGrid w:val="0"/>
        <w:spacing w:before="0" w:line="440" w:lineRule="exact"/>
        <w:jc w:val="left"/>
        <w:rPr>
          <w:rFonts w:hint="default" w:cstheme="minorBidi"/>
          <w:sz w:val="24"/>
          <w:szCs w:val="24"/>
          <w:lang w:val="en-US"/>
        </w:rPr>
      </w:pPr>
      <w:r>
        <w:rPr>
          <w:rFonts w:hint="eastAsia"/>
          <w:sz w:val="24"/>
        </w:rPr>
        <w:t>第三部分</w:t>
      </w:r>
      <w:r>
        <w:rPr>
          <w:sz w:val="24"/>
        </w:rPr>
        <w:t xml:space="preserve"> </w:t>
      </w:r>
      <w:r>
        <w:rPr>
          <w:rFonts w:hint="eastAsia"/>
          <w:sz w:val="24"/>
        </w:rPr>
        <w:t>名词解释</w:t>
      </w:r>
      <w:r>
        <w:rPr>
          <w:rFonts w:hint="eastAsia" w:cstheme="minorBidi"/>
          <w:sz w:val="24"/>
          <w:szCs w:val="24"/>
          <w:lang w:val="en-US" w:eastAsia="zh-CN"/>
        </w:rPr>
        <w:t>.................................................25</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附件</w:t>
      </w:r>
      <w:r>
        <w:rPr>
          <w:sz w:val="24"/>
        </w:rPr>
        <w:t>1</w:t>
      </w:r>
      <w:r>
        <w:rPr>
          <w:rFonts w:hint="eastAsia"/>
          <w:sz w:val="24"/>
          <w:lang w:val="en-US" w:eastAsia="zh-CN"/>
        </w:rPr>
        <w:t>.................................................................................................................25</w:t>
      </w:r>
    </w:p>
    <w:p>
      <w:pPr>
        <w:pStyle w:val="12"/>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hint="eastAsia"/>
          <w:sz w:val="24"/>
          <w:lang w:val="en-US" w:eastAsia="zh-CN"/>
        </w:rPr>
        <w:t>....................................................36</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一、</w:t>
      </w:r>
      <w:r>
        <w:rPr>
          <w:rFonts w:hint="eastAsia"/>
          <w:sz w:val="24"/>
        </w:rPr>
        <w:t>收入支出决算总表</w:t>
      </w:r>
      <w:r>
        <w:rPr>
          <w:rFonts w:hint="eastAsia"/>
          <w:sz w:val="24"/>
          <w:lang w:val="en-US" w:eastAsia="zh-CN"/>
        </w:rPr>
        <w:t>....................................................................................36</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r>
        <w:rPr>
          <w:rFonts w:hint="eastAsia"/>
          <w:sz w:val="24"/>
          <w:lang w:val="en-US" w:eastAsia="zh-CN"/>
        </w:rPr>
        <w:t>................................................................................................36</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r>
        <w:rPr>
          <w:rFonts w:hint="eastAsia"/>
          <w:sz w:val="24"/>
          <w:lang w:val="en-US" w:eastAsia="zh-CN"/>
        </w:rPr>
        <w:t>................................................................................................36</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四、</w:t>
      </w:r>
      <w:r>
        <w:rPr>
          <w:rFonts w:hint="eastAsia"/>
          <w:sz w:val="24"/>
        </w:rPr>
        <w:t>财政拨款收入支出决算总表</w:t>
      </w:r>
      <w:r>
        <w:rPr>
          <w:rFonts w:hint="eastAsia"/>
          <w:sz w:val="24"/>
          <w:lang w:val="en-US" w:eastAsia="zh-CN"/>
        </w:rPr>
        <w:t>....................................................................36</w:t>
      </w:r>
    </w:p>
    <w:p>
      <w:pPr>
        <w:pStyle w:val="13"/>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t>五、财政拨款支出决算明细表</w:t>
      </w:r>
      <w:r>
        <w:rPr>
          <w:rFonts w:hint="eastAsia" w:ascii="仿宋" w:hAnsi="仿宋" w:eastAsia="仿宋"/>
          <w:sz w:val="24"/>
          <w:lang w:val="en-US" w:eastAsia="zh-CN"/>
        </w:rPr>
        <w:t>....................................36</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六、</w:t>
      </w:r>
      <w:r>
        <w:rPr>
          <w:rFonts w:hint="eastAsia"/>
          <w:sz w:val="24"/>
        </w:rPr>
        <w:t>一般公共预算财政拨款支出决算表</w:t>
      </w:r>
      <w:r>
        <w:rPr>
          <w:rFonts w:hint="eastAsia"/>
          <w:sz w:val="24"/>
          <w:lang w:val="en-US" w:eastAsia="zh-CN"/>
        </w:rPr>
        <w:t>.........................................................</w:t>
      </w:r>
      <w:r>
        <w:rPr>
          <w:rFonts w:hint="eastAsia" w:ascii="仿宋" w:hAnsi="仿宋" w:cstheme="minorBidi"/>
          <w:sz w:val="24"/>
          <w:lang w:val="en-US" w:eastAsia="zh-CN"/>
        </w:rPr>
        <w:t>36</w:t>
      </w:r>
      <w:r>
        <w:rPr>
          <w:rFonts w:hint="eastAsia" w:ascii="仿宋" w:hAnsi="仿宋" w:eastAsia="仿宋"/>
          <w:sz w:val="24"/>
        </w:rPr>
        <w:t>七、</w:t>
      </w:r>
      <w:r>
        <w:rPr>
          <w:rFonts w:hint="eastAsia"/>
          <w:sz w:val="24"/>
        </w:rPr>
        <w:t>一般公共预算财政拨款支出决算明细表</w:t>
      </w:r>
      <w:r>
        <w:rPr>
          <w:rFonts w:hint="eastAsia"/>
          <w:sz w:val="24"/>
          <w:lang w:val="en-US" w:eastAsia="zh-CN"/>
        </w:rPr>
        <w:t>.................................................36</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八、</w:t>
      </w:r>
      <w:r>
        <w:rPr>
          <w:rFonts w:hint="eastAsia"/>
          <w:sz w:val="24"/>
        </w:rPr>
        <w:t>一般公共预算财政拨款基本支出决算表</w:t>
      </w:r>
      <w:r>
        <w:rPr>
          <w:rFonts w:hint="eastAsia"/>
          <w:sz w:val="24"/>
          <w:lang w:val="en-US" w:eastAsia="zh-CN"/>
        </w:rPr>
        <w:t>..................................................36</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九、</w:t>
      </w:r>
      <w:r>
        <w:rPr>
          <w:rFonts w:hint="eastAsia"/>
          <w:sz w:val="24"/>
        </w:rPr>
        <w:t>一般公共预算财政拨款项目支出决算表</w:t>
      </w:r>
      <w:r>
        <w:rPr>
          <w:rFonts w:hint="eastAsia"/>
          <w:sz w:val="24"/>
          <w:lang w:val="en-US" w:eastAsia="zh-CN"/>
        </w:rPr>
        <w:t>...................................................36</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w:t>
      </w:r>
      <w:r>
        <w:rPr>
          <w:rFonts w:hint="eastAsia"/>
          <w:sz w:val="24"/>
        </w:rPr>
        <w:t>一般公共预算财政拨款“三公”经费支出决算表</w:t>
      </w:r>
      <w:r>
        <w:rPr>
          <w:rFonts w:hint="eastAsia"/>
          <w:sz w:val="24"/>
          <w:lang w:val="en-US" w:eastAsia="zh-CN"/>
        </w:rPr>
        <w:t>...................................36</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十一、</w:t>
      </w:r>
      <w:r>
        <w:rPr>
          <w:rFonts w:hint="eastAsia"/>
          <w:sz w:val="24"/>
        </w:rPr>
        <w:t>政府性基金预算财政拨款收入支出决算表</w:t>
      </w:r>
      <w:r>
        <w:rPr>
          <w:rFonts w:hint="eastAsia"/>
          <w:sz w:val="24"/>
          <w:lang w:val="en-US" w:eastAsia="zh-CN"/>
        </w:rPr>
        <w:t>............................................36</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十二、</w:t>
      </w:r>
      <w:r>
        <w:rPr>
          <w:rFonts w:hint="eastAsia"/>
          <w:sz w:val="24"/>
        </w:rPr>
        <w:t>政府性基金预算财政拨款“三公”经费支出决算表</w:t>
      </w:r>
      <w:r>
        <w:rPr>
          <w:rFonts w:hint="eastAsia"/>
          <w:sz w:val="24"/>
          <w:lang w:val="en-US" w:eastAsia="zh-CN"/>
        </w:rPr>
        <w:t>............................</w:t>
      </w:r>
      <w:r>
        <w:rPr>
          <w:rFonts w:hint="eastAsia" w:ascii="仿宋" w:hAnsi="仿宋" w:cstheme="minorBidi"/>
          <w:sz w:val="24"/>
          <w:lang w:val="en-US" w:eastAsia="zh-CN"/>
        </w:rPr>
        <w:t>36</w:t>
      </w:r>
      <w:r>
        <w:rPr>
          <w:rFonts w:hint="eastAsia" w:ascii="仿宋" w:hAnsi="仿宋" w:eastAsia="仿宋"/>
          <w:sz w:val="24"/>
        </w:rPr>
        <w:t>十三、</w:t>
      </w:r>
      <w:r>
        <w:rPr>
          <w:rFonts w:hint="eastAsia"/>
          <w:sz w:val="24"/>
        </w:rPr>
        <w:t>国有资本经营预算支出决算表</w:t>
      </w:r>
      <w:r>
        <w:rPr>
          <w:rFonts w:hint="eastAsia"/>
          <w:sz w:val="24"/>
          <w:lang w:val="en-US" w:eastAsia="zh-CN"/>
        </w:rPr>
        <w:t>................................................................36</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6"/>
          <w:rFonts w:ascii="黑体" w:hAnsi="黑体" w:eastAsia="黑体"/>
          <w:b/>
          <w:bCs w:val="0"/>
        </w:rPr>
      </w:pPr>
      <w:r>
        <w:rPr>
          <w:rFonts w:hint="eastAsia" w:ascii="黑体" w:hAnsi="黑体" w:eastAsia="黑体"/>
          <w:b w:val="0"/>
        </w:rPr>
        <w:t xml:space="preserve">第一部分 </w:t>
      </w:r>
      <w:r>
        <w:rPr>
          <w:rStyle w:val="26"/>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4"/>
        <w:rPr>
          <w:rStyle w:val="27"/>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7"/>
          <w:rFonts w:hint="eastAsia" w:ascii="黑体" w:hAnsi="黑体" w:eastAsia="黑体"/>
          <w:b w:val="0"/>
          <w:bCs w:val="0"/>
        </w:rPr>
        <w:t>本职能及主要工作</w:t>
      </w:r>
      <w:bookmarkEnd w:id="14"/>
      <w:bookmarkEnd w:id="15"/>
    </w:p>
    <w:p>
      <w:pPr>
        <w:pStyle w:val="6"/>
        <w:adjustRightInd w:val="0"/>
        <w:snapToGrid w:val="0"/>
        <w:spacing w:before="93" w:line="600" w:lineRule="exact"/>
        <w:ind w:firstLine="675" w:firstLineChars="210"/>
        <w:outlineLvl w:val="2"/>
        <w:rPr>
          <w:rFonts w:hint="eastAsia" w:ascii="仿宋" w:hAnsi="仿宋" w:eastAsia="仿宋"/>
          <w:bCs/>
          <w:color w:val="000000"/>
          <w:sz w:val="32"/>
          <w:szCs w:val="32"/>
        </w:rPr>
      </w:pPr>
      <w:bookmarkStart w:id="16" w:name="_Toc15378445"/>
      <w:bookmarkStart w:id="17" w:name="_Toc15377198"/>
      <w:r>
        <w:rPr>
          <w:rFonts w:hint="eastAsia" w:ascii="楷体" w:hAnsi="楷体" w:eastAsia="楷体" w:cs="楷体"/>
          <w:b/>
          <w:bCs w:val="0"/>
          <w:color w:val="000000"/>
          <w:sz w:val="32"/>
          <w:szCs w:val="32"/>
        </w:rPr>
        <w:t>（一）</w:t>
      </w:r>
      <w:r>
        <w:rPr>
          <w:rFonts w:hint="eastAsia" w:ascii="楷体" w:hAnsi="楷体" w:eastAsia="楷体" w:cs="楷体"/>
          <w:b/>
          <w:bCs w:val="0"/>
          <w:color w:val="000000"/>
          <w:sz w:val="32"/>
          <w:szCs w:val="32"/>
          <w:lang w:eastAsia="zh-CN"/>
        </w:rPr>
        <w:t>部门职能简介</w:t>
      </w:r>
      <w:bookmarkEnd w:id="16"/>
      <w:bookmarkEnd w:id="17"/>
    </w:p>
    <w:p>
      <w:pPr>
        <w:widowControl/>
        <w:spacing w:line="560" w:lineRule="exact"/>
        <w:ind w:firstLine="640"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sz w:val="32"/>
          <w:szCs w:val="32"/>
          <w:lang w:eastAsia="zh-CN"/>
        </w:rPr>
        <w:t>根据中共壤塘县委办公室、壤塘县人民政府办公室批准的《壤塘县审计局职能配置、内设机构和人员编制规定》（壤委办〔201</w:t>
      </w:r>
      <w:r>
        <w:rPr>
          <w:rFonts w:hint="eastAsia" w:ascii="仿宋_GB2312" w:hAnsi="Calibri" w:eastAsia="仿宋_GB2312" w:cs="仿宋_GB2312"/>
          <w:sz w:val="32"/>
          <w:szCs w:val="32"/>
          <w:lang w:val="en-US" w:eastAsia="zh-CN"/>
        </w:rPr>
        <w:t>9</w:t>
      </w:r>
      <w:r>
        <w:rPr>
          <w:rFonts w:hint="eastAsia" w:ascii="仿宋_GB2312" w:hAnsi="Calibri" w:eastAsia="仿宋_GB2312" w:cs="仿宋_GB2312"/>
          <w:sz w:val="32"/>
          <w:szCs w:val="32"/>
          <w:lang w:eastAsia="zh-CN"/>
        </w:rPr>
        <w:t>〕</w:t>
      </w:r>
      <w:r>
        <w:rPr>
          <w:rFonts w:hint="eastAsia" w:ascii="仿宋_GB2312" w:hAnsi="Calibri" w:eastAsia="仿宋_GB2312" w:cs="仿宋_GB2312"/>
          <w:sz w:val="32"/>
          <w:szCs w:val="32"/>
          <w:lang w:val="en-US" w:eastAsia="zh-CN"/>
        </w:rPr>
        <w:t>39</w:t>
      </w:r>
      <w:r>
        <w:rPr>
          <w:rFonts w:hint="eastAsia" w:ascii="仿宋_GB2312" w:hAnsi="Calibri" w:eastAsia="仿宋_GB2312" w:cs="仿宋_GB2312"/>
          <w:sz w:val="32"/>
          <w:szCs w:val="32"/>
          <w:lang w:eastAsia="zh-CN"/>
        </w:rPr>
        <w:t>号）及中共壤塘县委机构编制委员会办公室批准的《壤塘县审计局所属事业单位的设置、职责和编制事项方案》（壤编办〔201</w:t>
      </w:r>
      <w:r>
        <w:rPr>
          <w:rFonts w:hint="eastAsia" w:ascii="仿宋_GB2312" w:hAnsi="Calibri" w:eastAsia="仿宋_GB2312" w:cs="仿宋_GB2312"/>
          <w:sz w:val="32"/>
          <w:szCs w:val="32"/>
          <w:lang w:val="en-US" w:eastAsia="zh-CN"/>
        </w:rPr>
        <w:t>9</w:t>
      </w:r>
      <w:r>
        <w:rPr>
          <w:rFonts w:hint="eastAsia" w:ascii="仿宋_GB2312" w:hAnsi="Calibri" w:eastAsia="仿宋_GB2312" w:cs="仿宋_GB2312"/>
          <w:sz w:val="32"/>
          <w:szCs w:val="32"/>
          <w:lang w:eastAsia="zh-CN"/>
        </w:rPr>
        <w:t>〕</w:t>
      </w:r>
      <w:r>
        <w:rPr>
          <w:rFonts w:hint="eastAsia" w:ascii="仿宋_GB2312" w:hAnsi="Calibri" w:eastAsia="仿宋_GB2312" w:cs="仿宋_GB2312"/>
          <w:sz w:val="32"/>
          <w:szCs w:val="32"/>
          <w:lang w:val="en-US" w:eastAsia="zh-CN"/>
        </w:rPr>
        <w:t>64</w:t>
      </w:r>
      <w:r>
        <w:rPr>
          <w:rFonts w:hint="eastAsia" w:ascii="仿宋_GB2312" w:hAnsi="Calibri" w:eastAsia="仿宋_GB2312" w:cs="仿宋_GB2312"/>
          <w:sz w:val="32"/>
          <w:szCs w:val="32"/>
          <w:lang w:eastAsia="zh-CN"/>
        </w:rPr>
        <w:t>号）的规定，县审计局为县政府工作部门。主要职责是：</w:t>
      </w:r>
    </w:p>
    <w:p>
      <w:pPr>
        <w:widowControl/>
        <w:spacing w:line="560" w:lineRule="exact"/>
        <w:ind w:firstLine="643"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b/>
          <w:bCs/>
          <w:sz w:val="32"/>
          <w:szCs w:val="32"/>
          <w:lang w:val="en-US" w:eastAsia="zh-CN"/>
        </w:rPr>
        <w:t>1、</w:t>
      </w:r>
      <w:r>
        <w:rPr>
          <w:rFonts w:hint="eastAsia" w:ascii="仿宋_GB2312" w:hAnsi="Calibri" w:eastAsia="仿宋_GB2312" w:cs="仿宋_GB2312"/>
          <w:sz w:val="32"/>
          <w:szCs w:val="32"/>
          <w:lang w:eastAsia="zh-CN"/>
        </w:rPr>
        <w:t>主管全县审计工作。负责对县级财政收支和法律法规规定属于审计监督范围的财务收支的真实、合法和效益进行审计监督，对公共资金、国有资产、国有资源和领导干部履行经济责任情况实行审计全覆盖，对领导干部实行自然资源资产离任审计，对国家和省、州、县有关重大政策措施贯彻落实情况进行跟踪审计。对审计、专项审计调查和核查社会审计机构相关审计报告的结果承担责任，并负有督促被审计单位整改的责任。</w:t>
      </w:r>
    </w:p>
    <w:p>
      <w:pPr>
        <w:widowControl/>
        <w:spacing w:line="560" w:lineRule="exact"/>
        <w:ind w:firstLine="643"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b/>
          <w:bCs/>
          <w:sz w:val="32"/>
          <w:szCs w:val="32"/>
          <w:lang w:val="en-US" w:eastAsia="zh-CN"/>
        </w:rPr>
        <w:t>2、</w:t>
      </w:r>
      <w:r>
        <w:rPr>
          <w:rFonts w:hint="eastAsia" w:ascii="仿宋_GB2312" w:hAnsi="Calibri" w:eastAsia="仿宋_GB2312" w:cs="仿宋_GB2312"/>
          <w:sz w:val="32"/>
          <w:szCs w:val="32"/>
          <w:lang w:eastAsia="zh-CN"/>
        </w:rPr>
        <w:t>贯彻执行国家和省、州有关审计工作的方针政策和法律法规。拟订本县审计业务规章制度，制定并组织实施审计工作发展规划、专业领域审计工作规划和年度审计计划，对直接审计、调查和核查的事项依法进行审计评价，依法出具审计报告，做出审计决定或提出审计意见和建议。</w:t>
      </w:r>
    </w:p>
    <w:p>
      <w:pPr>
        <w:widowControl/>
        <w:spacing w:line="560" w:lineRule="exact"/>
        <w:ind w:firstLine="643"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b/>
          <w:bCs/>
          <w:sz w:val="32"/>
          <w:szCs w:val="32"/>
          <w:lang w:val="en-US" w:eastAsia="zh-CN"/>
        </w:rPr>
        <w:t>3、</w:t>
      </w:r>
      <w:r>
        <w:rPr>
          <w:rFonts w:hint="eastAsia" w:ascii="仿宋_GB2312" w:hAnsi="Calibri" w:eastAsia="仿宋_GB2312" w:cs="仿宋_GB2312"/>
          <w:sz w:val="32"/>
          <w:szCs w:val="32"/>
          <w:lang w:eastAsia="zh-CN"/>
        </w:rPr>
        <w:t>向县委审计委员会、县人民政府和阿坝州审计局提出年度县本级预算执行和其他财政收支情况的审计报告，受县人民政府委托向县人大常委会提出县本级预算执行和其他财政收支情况的审计工作报告；向县人民政府提出政府投资工程项目投资管理和财务收支情况的审计结果报告，受县人民政府委托向县人大常委会提出政府投资工程项目投资管理和财务收支情况的审计工作报告；向县人民政府和州审计局报告对其他事项的审计和专项审计调查情况及结果，依法向社会公布审计结果。</w:t>
      </w:r>
    </w:p>
    <w:p>
      <w:pPr>
        <w:widowControl/>
        <w:spacing w:line="560" w:lineRule="exact"/>
        <w:ind w:firstLine="643"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b/>
          <w:bCs/>
          <w:sz w:val="32"/>
          <w:szCs w:val="32"/>
          <w:lang w:val="en-US" w:eastAsia="zh-CN"/>
        </w:rPr>
        <w:t>4、</w:t>
      </w:r>
      <w:r>
        <w:rPr>
          <w:rFonts w:hint="eastAsia" w:ascii="仿宋_GB2312" w:hAnsi="Calibri" w:eastAsia="仿宋_GB2312" w:cs="仿宋_GB2312"/>
          <w:sz w:val="32"/>
          <w:szCs w:val="32"/>
          <w:lang w:eastAsia="zh-CN"/>
        </w:rPr>
        <w:t>直接审计下列事项，出具审计报告，在法定职权范围内作出审计决定，包括国家和省、州、县有关重大政策措施贯彻落实情况。县级预算执行情况和其他财政收支，县直各部门（含直属单位）预算执行情况、决算草案和其他财政收支。各乡（镇）政府预算执行情况、决算草案和其他财政收支，县级财政转移支付资金。使用县级财政资金的事业单位（含直属单位）和社会团体的财务收支。县级政府投资和以县级政府投资为主的建设项目的预算执行情况和决算，县级重大公共工程项目的资金管理使用和建设运营情况。自然资源管理、污染防治和生态保护与修复情况。县属国有企业和地方金融机构，县属国有资本占控股或主导地位的企业的资产、负债和损益。有关社会保障基金、社会捐赠资金、安全生产和职业健康财政资金以及其他基金、资金的财务收支。上级审计机关授权审计的驻县单位和直属企事业单位的财务收支和经济效益，以及国际组织和外国政府贷款、援助项目的财务收支。法律法规规定应由县审计局审计的其他事项。</w:t>
      </w:r>
    </w:p>
    <w:p>
      <w:pPr>
        <w:widowControl/>
        <w:spacing w:line="560" w:lineRule="exact"/>
        <w:ind w:firstLine="643"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b/>
          <w:bCs/>
          <w:sz w:val="32"/>
          <w:szCs w:val="32"/>
          <w:lang w:val="en-US" w:eastAsia="zh-CN"/>
        </w:rPr>
        <w:t>5、</w:t>
      </w:r>
      <w:r>
        <w:rPr>
          <w:rFonts w:hint="eastAsia" w:ascii="仿宋_GB2312" w:hAnsi="Calibri" w:eastAsia="仿宋_GB2312" w:cs="仿宋_GB2312"/>
          <w:sz w:val="32"/>
          <w:szCs w:val="32"/>
          <w:lang w:eastAsia="zh-CN"/>
        </w:rPr>
        <w:t>加强重大项目稽查，监督重大建设项目资金安全，提高投资效益。</w:t>
      </w:r>
    </w:p>
    <w:p>
      <w:pPr>
        <w:widowControl/>
        <w:spacing w:line="560" w:lineRule="exact"/>
        <w:ind w:firstLine="643"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b/>
          <w:bCs/>
          <w:sz w:val="32"/>
          <w:szCs w:val="32"/>
          <w:lang w:val="en-US" w:eastAsia="zh-CN"/>
        </w:rPr>
        <w:t>6、</w:t>
      </w:r>
      <w:r>
        <w:rPr>
          <w:rFonts w:hint="eastAsia" w:ascii="仿宋_GB2312" w:hAnsi="Calibri" w:eastAsia="仿宋_GB2312" w:cs="仿宋_GB2312"/>
          <w:sz w:val="32"/>
          <w:szCs w:val="32"/>
          <w:lang w:eastAsia="zh-CN"/>
        </w:rPr>
        <w:t>按规定对县管党政主要领导干部及其他单位主要负责人实施经济责任审计和自然资源资产离任审计。</w:t>
      </w:r>
    </w:p>
    <w:p>
      <w:pPr>
        <w:widowControl/>
        <w:spacing w:line="560" w:lineRule="exact"/>
        <w:ind w:firstLine="643"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b/>
          <w:bCs/>
          <w:sz w:val="32"/>
          <w:szCs w:val="32"/>
          <w:lang w:val="en-US" w:eastAsia="zh-CN"/>
        </w:rPr>
        <w:t>7、</w:t>
      </w:r>
      <w:r>
        <w:rPr>
          <w:rFonts w:hint="eastAsia" w:ascii="仿宋_GB2312" w:hAnsi="Calibri" w:eastAsia="仿宋_GB2312" w:cs="仿宋_GB2312"/>
          <w:sz w:val="32"/>
          <w:szCs w:val="32"/>
          <w:lang w:eastAsia="zh-CN"/>
        </w:rPr>
        <w:t>组织实施对国家财经法律法规、规章、政策和宏观调控措施执行情况、财政预算管理及国有资产管理使用等与县级财政收支有关的特定事项进行专项审计调查。</w:t>
      </w:r>
    </w:p>
    <w:p>
      <w:pPr>
        <w:widowControl/>
        <w:spacing w:line="560" w:lineRule="exact"/>
        <w:ind w:firstLine="643"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b/>
          <w:bCs/>
          <w:sz w:val="32"/>
          <w:szCs w:val="32"/>
          <w:lang w:val="en-US" w:eastAsia="zh-CN"/>
        </w:rPr>
        <w:t>8、</w:t>
      </w:r>
      <w:r>
        <w:rPr>
          <w:rFonts w:hint="eastAsia" w:ascii="仿宋_GB2312" w:hAnsi="Calibri" w:eastAsia="仿宋_GB2312" w:cs="仿宋_GB2312"/>
          <w:sz w:val="32"/>
          <w:szCs w:val="32"/>
          <w:lang w:eastAsia="zh-CN"/>
        </w:rPr>
        <w:t>依法检查审计决定执行情况，督促整改审计查出的问题，依法办理被审计单位对审计决定提请行政复议、行政诉讼或县政府裁决中的有关事项，协助配合有关部门查处相关重大案件。</w:t>
      </w:r>
    </w:p>
    <w:p>
      <w:pPr>
        <w:widowControl/>
        <w:spacing w:line="560" w:lineRule="exact"/>
        <w:ind w:firstLine="643"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b/>
          <w:bCs/>
          <w:sz w:val="32"/>
          <w:szCs w:val="32"/>
          <w:lang w:val="en-US" w:eastAsia="zh-CN"/>
        </w:rPr>
        <w:t>9、</w:t>
      </w:r>
      <w:r>
        <w:rPr>
          <w:rFonts w:hint="eastAsia" w:ascii="仿宋_GB2312" w:hAnsi="Calibri" w:eastAsia="仿宋_GB2312" w:cs="仿宋_GB2312"/>
          <w:sz w:val="32"/>
          <w:szCs w:val="32"/>
          <w:lang w:eastAsia="zh-CN"/>
        </w:rPr>
        <w:t>指导和监督内部审计工作，核查社会审计机构对依法属于审计监督对象的单位出具的相关审计报告。</w:t>
      </w:r>
    </w:p>
    <w:p>
      <w:pPr>
        <w:widowControl/>
        <w:spacing w:line="560" w:lineRule="exact"/>
        <w:ind w:firstLine="643"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b/>
          <w:bCs/>
          <w:sz w:val="32"/>
          <w:szCs w:val="32"/>
          <w:lang w:val="en-US" w:eastAsia="zh-CN"/>
        </w:rPr>
        <w:t>10、</w:t>
      </w:r>
      <w:r>
        <w:rPr>
          <w:rFonts w:hint="eastAsia" w:ascii="仿宋_GB2312" w:hAnsi="Calibri" w:eastAsia="仿宋_GB2312" w:cs="仿宋_GB2312"/>
          <w:sz w:val="32"/>
          <w:szCs w:val="32"/>
          <w:lang w:eastAsia="zh-CN"/>
        </w:rPr>
        <w:t xml:space="preserve">组织实施审计信息化建设规划、制度，强化审计数据采集、管理和使用。 </w:t>
      </w:r>
    </w:p>
    <w:p>
      <w:pPr>
        <w:widowControl/>
        <w:spacing w:line="560" w:lineRule="exact"/>
        <w:ind w:firstLine="643"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b/>
          <w:bCs/>
          <w:sz w:val="32"/>
          <w:szCs w:val="32"/>
          <w:lang w:val="en-US" w:eastAsia="zh-CN"/>
        </w:rPr>
        <w:t>11、</w:t>
      </w:r>
      <w:r>
        <w:rPr>
          <w:rFonts w:hint="eastAsia" w:ascii="仿宋_GB2312" w:hAnsi="Calibri" w:eastAsia="仿宋_GB2312" w:cs="仿宋_GB2312"/>
          <w:sz w:val="32"/>
          <w:szCs w:val="32"/>
          <w:lang w:eastAsia="zh-CN"/>
        </w:rPr>
        <w:t>负责职责范围内的安全生产和职业健康、生态环境保护、审批服务便民化等工作。</w:t>
      </w:r>
    </w:p>
    <w:p>
      <w:pPr>
        <w:widowControl/>
        <w:spacing w:line="560" w:lineRule="exact"/>
        <w:ind w:firstLine="643"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b/>
          <w:bCs/>
          <w:sz w:val="32"/>
          <w:szCs w:val="32"/>
          <w:lang w:val="en-US" w:eastAsia="zh-CN"/>
        </w:rPr>
        <w:t>12、</w:t>
      </w:r>
      <w:r>
        <w:rPr>
          <w:rFonts w:hint="eastAsia" w:ascii="仿宋_GB2312" w:hAnsi="Calibri" w:eastAsia="仿宋_GB2312" w:cs="仿宋_GB2312"/>
          <w:sz w:val="32"/>
          <w:szCs w:val="32"/>
          <w:lang w:eastAsia="zh-CN"/>
        </w:rPr>
        <w:t>完成县委和县政府交办的其他任务。</w:t>
      </w:r>
    </w:p>
    <w:p>
      <w:pPr>
        <w:widowControl/>
        <w:spacing w:line="560" w:lineRule="exact"/>
        <w:ind w:firstLine="643"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b/>
          <w:bCs/>
          <w:sz w:val="32"/>
          <w:szCs w:val="32"/>
          <w:lang w:val="en-US" w:eastAsia="zh-CN"/>
        </w:rPr>
        <w:t>13、</w:t>
      </w:r>
      <w:r>
        <w:rPr>
          <w:rFonts w:hint="eastAsia" w:ascii="仿宋_GB2312" w:hAnsi="Calibri" w:eastAsia="仿宋_GB2312" w:cs="仿宋_GB2312"/>
          <w:sz w:val="32"/>
          <w:szCs w:val="32"/>
          <w:lang w:eastAsia="zh-CN"/>
        </w:rPr>
        <w:t>职能转变。进一步完善审计管理体制，加强全县审计工作统筹，明晰县审计机关职能定位，理顺内部职责关系，优化审计资源配置，充实加强一线审计力量，构建集中统一、全面覆盖、权威高效的审计监督体系。优化审计工作机制，坚持科技强审，完善业务流程，改进工作方式，加强与有关部门的沟通协调，充分调动内部审计和社会审计力量，增强监督合力。</w:t>
      </w:r>
    </w:p>
    <w:p>
      <w:pPr>
        <w:spacing w:line="560" w:lineRule="exact"/>
        <w:ind w:firstLine="643" w:firstLineChars="200"/>
        <w:rPr>
          <w:rFonts w:ascii="楷体" w:hAnsi="楷体" w:eastAsia="楷体"/>
          <w:b/>
          <w:bCs/>
          <w:sz w:val="32"/>
          <w:szCs w:val="32"/>
        </w:rPr>
      </w:pPr>
      <w:r>
        <w:rPr>
          <w:rFonts w:hint="eastAsia" w:ascii="楷体" w:hAnsi="楷体" w:eastAsia="楷体" w:cs="楷体"/>
          <w:b/>
          <w:bCs/>
          <w:sz w:val="32"/>
          <w:szCs w:val="32"/>
        </w:rPr>
        <w:t>主要工作任务</w:t>
      </w:r>
    </w:p>
    <w:p>
      <w:pPr>
        <w:widowControl/>
        <w:spacing w:line="560" w:lineRule="exact"/>
        <w:ind w:firstLine="640"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sz w:val="32"/>
          <w:szCs w:val="32"/>
          <w:lang w:eastAsia="zh-CN"/>
        </w:rPr>
        <w:t>20</w:t>
      </w:r>
      <w:r>
        <w:rPr>
          <w:rFonts w:hint="eastAsia" w:ascii="仿宋_GB2312" w:hAnsi="Calibri" w:eastAsia="仿宋_GB2312" w:cs="仿宋_GB2312"/>
          <w:sz w:val="32"/>
          <w:szCs w:val="32"/>
          <w:lang w:val="en-US" w:eastAsia="zh-CN"/>
        </w:rPr>
        <w:t>20</w:t>
      </w:r>
      <w:r>
        <w:rPr>
          <w:rFonts w:hint="eastAsia" w:ascii="仿宋_GB2312" w:hAnsi="Calibri" w:eastAsia="仿宋_GB2312" w:cs="仿宋_GB2312"/>
          <w:sz w:val="32"/>
          <w:szCs w:val="32"/>
          <w:lang w:eastAsia="zh-CN"/>
        </w:rPr>
        <w:t>年主要工作任务是：</w:t>
      </w:r>
    </w:p>
    <w:p>
      <w:pPr>
        <w:widowControl/>
        <w:spacing w:line="560" w:lineRule="exact"/>
        <w:ind w:firstLine="643"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b/>
          <w:bCs/>
          <w:sz w:val="32"/>
          <w:szCs w:val="32"/>
          <w:lang w:eastAsia="zh-CN"/>
        </w:rPr>
        <w:t>1、</w:t>
      </w:r>
      <w:r>
        <w:rPr>
          <w:rFonts w:hint="eastAsia" w:ascii="仿宋_GB2312" w:hAnsi="Calibri" w:eastAsia="仿宋_GB2312" w:cs="仿宋_GB2312"/>
          <w:sz w:val="32"/>
          <w:szCs w:val="32"/>
          <w:lang w:eastAsia="zh-CN"/>
        </w:rPr>
        <w:t>201</w:t>
      </w:r>
      <w:r>
        <w:rPr>
          <w:rFonts w:hint="eastAsia" w:ascii="仿宋_GB2312" w:hAnsi="Calibri" w:eastAsia="仿宋_GB2312" w:cs="仿宋_GB2312"/>
          <w:sz w:val="32"/>
          <w:szCs w:val="32"/>
          <w:lang w:val="en-US" w:eastAsia="zh-CN"/>
        </w:rPr>
        <w:t>9</w:t>
      </w:r>
      <w:r>
        <w:rPr>
          <w:rFonts w:hint="eastAsia" w:ascii="仿宋_GB2312" w:hAnsi="Calibri" w:eastAsia="仿宋_GB2312" w:cs="仿宋_GB2312"/>
          <w:sz w:val="32"/>
          <w:szCs w:val="32"/>
          <w:lang w:eastAsia="zh-CN"/>
        </w:rPr>
        <w:t>年县级财政预算执行情况和其他财政收支；</w:t>
      </w:r>
    </w:p>
    <w:p>
      <w:pPr>
        <w:widowControl/>
        <w:spacing w:line="560" w:lineRule="exact"/>
        <w:ind w:firstLine="643"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b/>
          <w:bCs/>
          <w:sz w:val="32"/>
          <w:szCs w:val="32"/>
          <w:lang w:eastAsia="zh-CN"/>
        </w:rPr>
        <w:t>2、</w:t>
      </w:r>
      <w:r>
        <w:rPr>
          <w:rFonts w:hint="eastAsia" w:ascii="仿宋_GB2312" w:hAnsi="Calibri" w:eastAsia="仿宋_GB2312" w:cs="仿宋_GB2312"/>
          <w:sz w:val="32"/>
          <w:szCs w:val="32"/>
          <w:lang w:eastAsia="zh-CN"/>
        </w:rPr>
        <w:t>县级各部门财务收支、县人民政府有关部门管理和受县人民政府委托由社会团体管理的社会保障基金、环境保护资金、社会捐赠资金及其他有关基金、资金的财务收支；</w:t>
      </w:r>
    </w:p>
    <w:p>
      <w:pPr>
        <w:widowControl/>
        <w:spacing w:line="560" w:lineRule="exact"/>
        <w:ind w:firstLine="643"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b/>
          <w:bCs/>
          <w:sz w:val="32"/>
          <w:szCs w:val="32"/>
          <w:lang w:eastAsia="zh-CN"/>
        </w:rPr>
        <w:t>3、</w:t>
      </w:r>
      <w:r>
        <w:rPr>
          <w:rFonts w:hint="eastAsia" w:ascii="仿宋_GB2312" w:hAnsi="Calibri" w:eastAsia="仿宋_GB2312" w:cs="仿宋_GB2312"/>
          <w:sz w:val="32"/>
          <w:szCs w:val="32"/>
          <w:lang w:eastAsia="zh-CN"/>
        </w:rPr>
        <w:t>组织实施对贯彻执行国家财经方针政策和区域经济调控措施情况的行业审计、专项审计和审计调查，农业专项资金、资源能源和生态环境保护资金、扶贫开发和大中型水库移民资金等；</w:t>
      </w:r>
    </w:p>
    <w:p>
      <w:pPr>
        <w:widowControl/>
        <w:spacing w:line="560" w:lineRule="exact"/>
        <w:ind w:firstLine="643"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b/>
          <w:bCs/>
          <w:sz w:val="32"/>
          <w:szCs w:val="32"/>
          <w:lang w:eastAsia="zh-CN"/>
        </w:rPr>
        <w:t>4、</w:t>
      </w:r>
      <w:r>
        <w:rPr>
          <w:rFonts w:hint="eastAsia" w:ascii="仿宋_GB2312" w:hAnsi="Calibri" w:eastAsia="仿宋_GB2312" w:cs="仿宋_GB2312"/>
          <w:sz w:val="32"/>
          <w:szCs w:val="32"/>
          <w:lang w:eastAsia="zh-CN"/>
        </w:rPr>
        <w:t>对县级党政机关及乡镇主要领导干部进行任期经济责任审计；</w:t>
      </w:r>
    </w:p>
    <w:p>
      <w:pPr>
        <w:widowControl/>
        <w:spacing w:line="560" w:lineRule="exact"/>
        <w:ind w:firstLine="643"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b/>
          <w:bCs/>
          <w:sz w:val="32"/>
          <w:szCs w:val="32"/>
          <w:lang w:eastAsia="zh-CN"/>
        </w:rPr>
        <w:t>5、</w:t>
      </w:r>
      <w:r>
        <w:rPr>
          <w:rFonts w:hint="eastAsia" w:ascii="仿宋_GB2312" w:hAnsi="Calibri" w:eastAsia="仿宋_GB2312" w:cs="仿宋_GB2312"/>
          <w:sz w:val="32"/>
          <w:szCs w:val="32"/>
          <w:lang w:eastAsia="zh-CN"/>
        </w:rPr>
        <w:t>负责审计壤塘县政府投资和以县政府投资为主的建设项目的预算执行情况和结（决）算、县管国家重大工程项目资金的筹集、使用情况；组织对县管其他国家建设项目的审计监督；开展相关专项审计调查；组织协调对社会审计机构出具的属于审计机关审计监督对象的单位的相关审计报告核查工作；负责对县内对投资较大、建设周期较长或者关系国计民生的重点建设项目全程跟踪审计监督等。</w:t>
      </w:r>
    </w:p>
    <w:p>
      <w:pPr>
        <w:widowControl/>
        <w:spacing w:line="560" w:lineRule="exact"/>
        <w:ind w:firstLine="643"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b/>
          <w:bCs/>
          <w:sz w:val="32"/>
          <w:szCs w:val="32"/>
          <w:lang w:eastAsia="zh-CN"/>
        </w:rPr>
        <w:t>6、</w:t>
      </w:r>
      <w:r>
        <w:rPr>
          <w:rFonts w:hint="eastAsia" w:ascii="仿宋_GB2312" w:hAnsi="Calibri" w:eastAsia="仿宋_GB2312" w:cs="仿宋_GB2312"/>
          <w:sz w:val="32"/>
          <w:szCs w:val="32"/>
          <w:lang w:eastAsia="zh-CN"/>
        </w:rPr>
        <w:t>承办县政府交办的其他事项。</w:t>
      </w:r>
    </w:p>
    <w:p>
      <w:pPr>
        <w:pStyle w:val="6"/>
        <w:adjustRightInd w:val="0"/>
        <w:snapToGrid w:val="0"/>
        <w:spacing w:before="93" w:line="600" w:lineRule="exact"/>
        <w:ind w:firstLine="675" w:firstLineChars="210"/>
        <w:outlineLvl w:val="2"/>
        <w:rPr>
          <w:rFonts w:hint="eastAsia" w:ascii="楷体" w:hAnsi="楷体" w:eastAsia="楷体" w:cs="楷体"/>
          <w:b/>
          <w:bCs w:val="0"/>
          <w:color w:val="000000"/>
          <w:sz w:val="32"/>
          <w:szCs w:val="32"/>
        </w:rPr>
      </w:pPr>
      <w:bookmarkStart w:id="18" w:name="_Toc15377199"/>
      <w:bookmarkStart w:id="19" w:name="_Toc15378446"/>
      <w:r>
        <w:rPr>
          <w:rFonts w:hint="eastAsia" w:ascii="楷体" w:hAnsi="楷体" w:eastAsia="楷体" w:cs="楷体"/>
          <w:b/>
          <w:bCs w:val="0"/>
          <w:color w:val="000000"/>
          <w:sz w:val="32"/>
          <w:szCs w:val="32"/>
        </w:rPr>
        <w:t>（二）2019年重点工作完成情况。</w:t>
      </w:r>
      <w:bookmarkEnd w:id="18"/>
      <w:bookmarkEnd w:id="19"/>
    </w:p>
    <w:p>
      <w:pPr>
        <w:widowControl/>
        <w:spacing w:line="560" w:lineRule="exact"/>
        <w:ind w:firstLine="640"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sz w:val="32"/>
          <w:szCs w:val="32"/>
          <w:lang w:eastAsia="zh-CN"/>
        </w:rPr>
        <w:t xml:space="preserve">完成年内计划审计项目及县政府临时交办的其他事宜，其中：每个季度重大政策跟踪审计；半年一次“三公经费”审计；本级预算执行审计；部门预算执行审计；经济责任审计；固定资产投资审计；自然资源审计；扶贫审计；财政专项资金审计；投资结算审计等项目审计。以及完成了审计局日常事务、办公室党建、党风廉政建设及财务日常事务。 </w:t>
      </w:r>
    </w:p>
    <w:p>
      <w:pPr>
        <w:pStyle w:val="4"/>
        <w:ind w:firstLine="640" w:firstLineChars="200"/>
        <w:rPr>
          <w:rStyle w:val="27"/>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7"/>
          <w:rFonts w:hint="eastAsia" w:ascii="黑体" w:hAnsi="黑体" w:eastAsia="黑体"/>
          <w:b w:val="0"/>
          <w:bCs w:val="0"/>
        </w:rPr>
        <w:t>构设置</w:t>
      </w:r>
      <w:bookmarkEnd w:id="20"/>
      <w:bookmarkEnd w:id="21"/>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本部门机构</w:t>
      </w:r>
    </w:p>
    <w:p>
      <w:pPr>
        <w:widowControl/>
        <w:spacing w:line="560" w:lineRule="exact"/>
        <w:ind w:firstLine="640"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sz w:val="32"/>
          <w:szCs w:val="32"/>
          <w:lang w:eastAsia="zh-CN"/>
        </w:rPr>
        <w:t>壤塘县审计局属一级预算单位，其中行政单位1个。下设股所级事业单位壤塘县投资审计中心及壤塘县审计事务服务中心。其中内设机构三股一办，即：综合办、财政金融和行政事业审计股、经济责任审计股、固定资产和经贸审计股。</w:t>
      </w:r>
    </w:p>
    <w:p>
      <w:pPr>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人员情况</w:t>
      </w:r>
    </w:p>
    <w:p>
      <w:pPr>
        <w:spacing w:line="560" w:lineRule="exact"/>
        <w:ind w:firstLine="640" w:firstLineChars="200"/>
        <w:rPr>
          <w:rFonts w:ascii="仿宋" w:hAnsi="仿宋" w:eastAsia="仿宋"/>
          <w:sz w:val="32"/>
          <w:szCs w:val="32"/>
        </w:rPr>
      </w:pPr>
      <w:r>
        <w:rPr>
          <w:rFonts w:hint="eastAsia" w:ascii="仿宋_GB2312" w:hAnsi="Calibri" w:eastAsia="仿宋_GB2312" w:cs="仿宋_GB2312"/>
          <w:sz w:val="32"/>
          <w:szCs w:val="32"/>
          <w:lang w:eastAsia="zh-CN"/>
        </w:rPr>
        <w:t>总编制1</w:t>
      </w:r>
      <w:r>
        <w:rPr>
          <w:rFonts w:hint="eastAsia" w:ascii="仿宋_GB2312" w:hAnsi="Calibri" w:eastAsia="仿宋_GB2312" w:cs="仿宋_GB2312"/>
          <w:sz w:val="32"/>
          <w:szCs w:val="32"/>
          <w:lang w:val="en-US" w:eastAsia="zh-CN"/>
        </w:rPr>
        <w:t>5</w:t>
      </w:r>
      <w:r>
        <w:rPr>
          <w:rFonts w:hint="eastAsia" w:ascii="仿宋_GB2312" w:hAnsi="Calibri" w:eastAsia="仿宋_GB2312" w:cs="仿宋_GB2312"/>
          <w:sz w:val="32"/>
          <w:szCs w:val="32"/>
          <w:lang w:eastAsia="zh-CN"/>
        </w:rPr>
        <w:t>名,其中:行政编制7名,机关工勤人员编制1  名，事业编制</w:t>
      </w:r>
      <w:r>
        <w:rPr>
          <w:rFonts w:hint="eastAsia" w:ascii="仿宋_GB2312" w:hAnsi="Calibri" w:eastAsia="仿宋_GB2312" w:cs="仿宋_GB2312"/>
          <w:sz w:val="32"/>
          <w:szCs w:val="32"/>
          <w:lang w:val="en-US" w:eastAsia="zh-CN"/>
        </w:rPr>
        <w:t>7</w:t>
      </w:r>
      <w:r>
        <w:rPr>
          <w:rFonts w:hint="eastAsia" w:ascii="仿宋_GB2312" w:hAnsi="Calibri" w:eastAsia="仿宋_GB2312" w:cs="仿宋_GB2312"/>
          <w:sz w:val="32"/>
          <w:szCs w:val="32"/>
          <w:lang w:eastAsia="zh-CN"/>
        </w:rPr>
        <w:t>名(投资审计中心</w:t>
      </w:r>
      <w:r>
        <w:rPr>
          <w:rFonts w:hint="eastAsia" w:ascii="仿宋_GB2312" w:hAnsi="Calibri" w:eastAsia="仿宋_GB2312" w:cs="仿宋_GB2312"/>
          <w:sz w:val="32"/>
          <w:szCs w:val="32"/>
          <w:lang w:val="en-US" w:eastAsia="zh-CN"/>
        </w:rPr>
        <w:t>3名、审计事务服务中心4名</w:t>
      </w:r>
      <w:r>
        <w:rPr>
          <w:rFonts w:hint="eastAsia" w:ascii="仿宋_GB2312" w:hAnsi="Calibri" w:eastAsia="仿宋_GB2312" w:cs="仿宋_GB2312"/>
          <w:sz w:val="32"/>
          <w:szCs w:val="32"/>
          <w:lang w:eastAsia="zh-CN"/>
        </w:rPr>
        <w:t>)。在职人员总数1</w:t>
      </w:r>
      <w:r>
        <w:rPr>
          <w:rFonts w:hint="eastAsia" w:ascii="仿宋_GB2312" w:hAnsi="Calibri" w:eastAsia="仿宋_GB2312" w:cs="仿宋_GB2312"/>
          <w:sz w:val="32"/>
          <w:szCs w:val="32"/>
          <w:lang w:val="en-US" w:eastAsia="zh-CN"/>
        </w:rPr>
        <w:t>3</w:t>
      </w:r>
      <w:r>
        <w:rPr>
          <w:rFonts w:hint="eastAsia" w:ascii="仿宋_GB2312" w:hAnsi="Calibri" w:eastAsia="仿宋_GB2312" w:cs="仿宋_GB2312"/>
          <w:sz w:val="32"/>
          <w:szCs w:val="32"/>
          <w:lang w:eastAsia="zh-CN"/>
        </w:rPr>
        <w:t>名，其中：行政人员6名、行政工勤人员1名、事业人员5名。编外长期聘用投资审计人员1名，退休人员4人，遗属人员2人。</w:t>
      </w:r>
    </w:p>
    <w:p>
      <w:pPr>
        <w:pStyle w:val="6"/>
        <w:adjustRightInd w:val="0"/>
        <w:snapToGrid w:val="0"/>
        <w:spacing w:before="93" w:line="600" w:lineRule="exact"/>
        <w:ind w:firstLine="1120" w:firstLineChars="350"/>
        <w:rPr>
          <w:rFonts w:ascii="仿宋" w:hAnsi="仿宋" w:eastAsia="仿宋" w:cs="Times New Roman"/>
          <w:color w:val="000000"/>
          <w:sz w:val="32"/>
          <w:szCs w:val="32"/>
        </w:rPr>
      </w:pPr>
    </w:p>
    <w:p>
      <w:pPr>
        <w:widowControl/>
        <w:jc w:val="left"/>
        <w:rPr>
          <w:rFonts w:ascii="仿宋" w:hAnsi="仿宋" w:eastAsia="仿宋"/>
          <w:color w:val="000000"/>
          <w:kern w:val="0"/>
          <w:sz w:val="32"/>
          <w:szCs w:val="32"/>
        </w:rPr>
      </w:pPr>
    </w:p>
    <w:p>
      <w:pPr>
        <w:pStyle w:val="3"/>
        <w:ind w:right="440"/>
        <w:jc w:val="right"/>
        <w:rPr>
          <w:rStyle w:val="26"/>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6"/>
          <w:rFonts w:hint="eastAsia" w:ascii="黑体" w:hAnsi="黑体" w:eastAsia="黑体"/>
          <w:b w:val="0"/>
          <w:bCs w:val="0"/>
        </w:rPr>
        <w:t>2019年度部门决算情况说明</w:t>
      </w:r>
      <w:bookmarkEnd w:id="22"/>
      <w:bookmarkEnd w:id="23"/>
    </w:p>
    <w:p/>
    <w:p>
      <w:pPr>
        <w:pStyle w:val="25"/>
        <w:numPr>
          <w:ilvl w:val="0"/>
          <w:numId w:val="1"/>
        </w:numPr>
        <w:spacing w:line="600" w:lineRule="exact"/>
        <w:ind w:firstLineChars="0"/>
        <w:outlineLvl w:val="1"/>
        <w:rPr>
          <w:rStyle w:val="27"/>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4"/>
      <w:bookmarkEnd w:id="25"/>
    </w:p>
    <w:p>
      <w:pPr>
        <w:widowControl/>
        <w:spacing w:line="560" w:lineRule="exact"/>
        <w:ind w:firstLine="640"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sz w:val="32"/>
          <w:szCs w:val="32"/>
          <w:lang w:eastAsia="zh-CN"/>
        </w:rPr>
        <w:t>201</w:t>
      </w:r>
      <w:r>
        <w:rPr>
          <w:rFonts w:hint="eastAsia" w:ascii="仿宋_GB2312" w:hAnsi="Calibri" w:eastAsia="仿宋_GB2312" w:cs="仿宋_GB2312"/>
          <w:sz w:val="32"/>
          <w:szCs w:val="32"/>
          <w:lang w:val="en-US" w:eastAsia="zh-CN"/>
        </w:rPr>
        <w:t>9</w:t>
      </w:r>
      <w:r>
        <w:rPr>
          <w:rFonts w:hint="eastAsia" w:ascii="仿宋_GB2312" w:hAnsi="Calibri" w:eastAsia="仿宋_GB2312" w:cs="仿宋_GB2312"/>
          <w:sz w:val="32"/>
          <w:szCs w:val="32"/>
          <w:lang w:eastAsia="zh-CN"/>
        </w:rPr>
        <w:t>年年初结转和结余</w:t>
      </w:r>
      <w:r>
        <w:rPr>
          <w:rFonts w:hint="eastAsia" w:ascii="仿宋_GB2312" w:hAnsi="Calibri" w:eastAsia="仿宋_GB2312" w:cs="仿宋_GB2312"/>
          <w:sz w:val="32"/>
          <w:szCs w:val="32"/>
          <w:lang w:val="en-US" w:eastAsia="zh-CN"/>
        </w:rPr>
        <w:t>10.26</w:t>
      </w:r>
      <w:r>
        <w:rPr>
          <w:rFonts w:hint="eastAsia" w:ascii="仿宋_GB2312" w:hAnsi="Calibri" w:eastAsia="仿宋_GB2312" w:cs="仿宋_GB2312"/>
          <w:sz w:val="32"/>
          <w:szCs w:val="32"/>
          <w:lang w:eastAsia="zh-CN"/>
        </w:rPr>
        <w:t>万元，201</w:t>
      </w:r>
      <w:r>
        <w:rPr>
          <w:rFonts w:hint="eastAsia" w:ascii="仿宋_GB2312" w:hAnsi="Calibri" w:eastAsia="仿宋_GB2312" w:cs="仿宋_GB2312"/>
          <w:sz w:val="32"/>
          <w:szCs w:val="32"/>
          <w:lang w:val="en-US" w:eastAsia="zh-CN"/>
        </w:rPr>
        <w:t>9</w:t>
      </w:r>
      <w:r>
        <w:rPr>
          <w:rFonts w:hint="eastAsia" w:ascii="仿宋_GB2312" w:hAnsi="Calibri" w:eastAsia="仿宋_GB2312" w:cs="仿宋_GB2312"/>
          <w:sz w:val="32"/>
          <w:szCs w:val="32"/>
          <w:lang w:eastAsia="zh-CN"/>
        </w:rPr>
        <w:t>年本年收入决算总额为</w:t>
      </w:r>
      <w:r>
        <w:rPr>
          <w:rFonts w:hint="eastAsia" w:ascii="仿宋_GB2312" w:hAnsi="Calibri" w:eastAsia="仿宋_GB2312" w:cs="仿宋_GB2312"/>
          <w:sz w:val="32"/>
          <w:szCs w:val="32"/>
          <w:lang w:val="en-US" w:eastAsia="zh-CN"/>
        </w:rPr>
        <w:t>404.39</w:t>
      </w:r>
      <w:r>
        <w:rPr>
          <w:rFonts w:hint="eastAsia" w:ascii="仿宋_GB2312" w:hAnsi="Calibri" w:eastAsia="仿宋_GB2312" w:cs="仿宋_GB2312"/>
          <w:sz w:val="32"/>
          <w:szCs w:val="32"/>
          <w:lang w:eastAsia="zh-CN"/>
        </w:rPr>
        <w:t>万元，其中：一般公共预算财政拨款收入</w:t>
      </w:r>
      <w:r>
        <w:rPr>
          <w:rFonts w:hint="eastAsia" w:ascii="仿宋_GB2312" w:hAnsi="Calibri" w:eastAsia="仿宋_GB2312" w:cs="仿宋_GB2312"/>
          <w:sz w:val="32"/>
          <w:szCs w:val="32"/>
          <w:lang w:val="en-US" w:eastAsia="zh-CN"/>
        </w:rPr>
        <w:t>404.39</w:t>
      </w:r>
      <w:r>
        <w:rPr>
          <w:rFonts w:hint="eastAsia" w:ascii="仿宋_GB2312" w:hAnsi="Calibri" w:eastAsia="仿宋_GB2312" w:cs="仿宋_GB2312"/>
          <w:sz w:val="32"/>
          <w:szCs w:val="32"/>
          <w:lang w:eastAsia="zh-CN"/>
        </w:rPr>
        <w:t>万元。与201</w:t>
      </w:r>
      <w:r>
        <w:rPr>
          <w:rFonts w:hint="eastAsia" w:ascii="仿宋_GB2312" w:hAnsi="Calibri" w:eastAsia="仿宋_GB2312" w:cs="仿宋_GB2312"/>
          <w:sz w:val="32"/>
          <w:szCs w:val="32"/>
          <w:lang w:val="en-US" w:eastAsia="zh-CN"/>
        </w:rPr>
        <w:t>8</w:t>
      </w:r>
      <w:r>
        <w:rPr>
          <w:rFonts w:hint="eastAsia" w:ascii="仿宋_GB2312" w:hAnsi="Calibri" w:eastAsia="仿宋_GB2312" w:cs="仿宋_GB2312"/>
          <w:sz w:val="32"/>
          <w:szCs w:val="32"/>
          <w:lang w:eastAsia="zh-CN"/>
        </w:rPr>
        <w:t>年相比，本年收入增加</w:t>
      </w:r>
      <w:r>
        <w:rPr>
          <w:rFonts w:hint="eastAsia" w:ascii="仿宋_GB2312" w:hAnsi="Calibri" w:eastAsia="仿宋_GB2312" w:cs="仿宋_GB2312"/>
          <w:sz w:val="32"/>
          <w:szCs w:val="32"/>
          <w:lang w:val="en-US" w:eastAsia="zh-CN"/>
        </w:rPr>
        <w:t>164.97</w:t>
      </w:r>
      <w:r>
        <w:rPr>
          <w:rFonts w:hint="eastAsia" w:ascii="仿宋_GB2312" w:hAnsi="Calibri" w:eastAsia="仿宋_GB2312" w:cs="仿宋_GB2312"/>
          <w:sz w:val="32"/>
          <w:szCs w:val="32"/>
          <w:lang w:eastAsia="zh-CN"/>
        </w:rPr>
        <w:t>万元，增长</w:t>
      </w:r>
      <w:r>
        <w:rPr>
          <w:rFonts w:hint="eastAsia" w:ascii="仿宋_GB2312" w:hAnsi="Calibri" w:eastAsia="仿宋_GB2312" w:cs="仿宋_GB2312"/>
          <w:sz w:val="32"/>
          <w:szCs w:val="32"/>
          <w:lang w:val="en-US" w:eastAsia="zh-CN"/>
        </w:rPr>
        <w:t>68.90</w:t>
      </w:r>
      <w:r>
        <w:rPr>
          <w:rFonts w:hint="eastAsia" w:ascii="仿宋_GB2312" w:hAnsi="Calibri" w:eastAsia="仿宋_GB2312" w:cs="仿宋_GB2312"/>
          <w:sz w:val="32"/>
          <w:szCs w:val="32"/>
          <w:lang w:eastAsia="zh-CN"/>
        </w:rPr>
        <w:t>%。主要变动原因是我县</w:t>
      </w:r>
      <w:r>
        <w:rPr>
          <w:rFonts w:hint="eastAsia" w:ascii="仿宋_GB2312" w:hAnsi="Calibri" w:eastAsia="仿宋_GB2312" w:cs="仿宋_GB2312"/>
          <w:sz w:val="32"/>
          <w:szCs w:val="32"/>
          <w:lang w:val="en-US" w:eastAsia="zh-CN"/>
        </w:rPr>
        <w:t>2018-2019年工程项目审计费由我局统一支付，</w:t>
      </w:r>
      <w:r>
        <w:rPr>
          <w:rFonts w:hint="eastAsia" w:ascii="仿宋_GB2312" w:hAnsi="Calibri" w:eastAsia="仿宋_GB2312" w:cs="仿宋_GB2312"/>
          <w:sz w:val="32"/>
          <w:szCs w:val="32"/>
          <w:lang w:eastAsia="zh-CN"/>
        </w:rPr>
        <w:t>以及201</w:t>
      </w:r>
      <w:r>
        <w:rPr>
          <w:rFonts w:hint="eastAsia" w:ascii="仿宋_GB2312" w:hAnsi="Calibri" w:eastAsia="仿宋_GB2312" w:cs="仿宋_GB2312"/>
          <w:sz w:val="32"/>
          <w:szCs w:val="32"/>
          <w:lang w:val="en-US" w:eastAsia="zh-CN"/>
        </w:rPr>
        <w:t>9</w:t>
      </w:r>
      <w:r>
        <w:rPr>
          <w:rFonts w:hint="eastAsia" w:ascii="仿宋_GB2312" w:hAnsi="Calibri" w:eastAsia="仿宋_GB2312" w:cs="仿宋_GB2312"/>
          <w:sz w:val="32"/>
          <w:szCs w:val="32"/>
          <w:lang w:eastAsia="zh-CN"/>
        </w:rPr>
        <w:t>年工资调整等。</w:t>
      </w:r>
    </w:p>
    <w:p>
      <w:pPr>
        <w:widowControl/>
        <w:spacing w:line="560" w:lineRule="exact"/>
        <w:ind w:firstLine="640" w:firstLineChars="200"/>
        <w:jc w:val="left"/>
        <w:rPr>
          <w:rFonts w:ascii="仿宋" w:hAnsi="仿宋" w:eastAsia="仿宋"/>
          <w:color w:val="000000"/>
          <w:sz w:val="32"/>
          <w:szCs w:val="32"/>
        </w:rPr>
      </w:pPr>
      <w:r>
        <w:rPr>
          <w:rFonts w:hint="eastAsia" w:ascii="仿宋_GB2312" w:hAnsi="Calibri" w:eastAsia="仿宋_GB2312" w:cs="仿宋_GB2312"/>
          <w:sz w:val="32"/>
          <w:szCs w:val="32"/>
          <w:lang w:eastAsia="zh-CN"/>
        </w:rPr>
        <w:t>201</w:t>
      </w:r>
      <w:r>
        <w:rPr>
          <w:rFonts w:hint="eastAsia" w:ascii="仿宋_GB2312" w:hAnsi="Calibri" w:eastAsia="仿宋_GB2312" w:cs="仿宋_GB2312"/>
          <w:sz w:val="32"/>
          <w:szCs w:val="32"/>
          <w:lang w:val="en-US" w:eastAsia="zh-CN"/>
        </w:rPr>
        <w:t>9</w:t>
      </w:r>
      <w:r>
        <w:rPr>
          <w:rFonts w:hint="eastAsia" w:ascii="仿宋_GB2312" w:hAnsi="Calibri" w:eastAsia="仿宋_GB2312" w:cs="仿宋_GB2312"/>
          <w:sz w:val="32"/>
          <w:szCs w:val="32"/>
          <w:lang w:eastAsia="zh-CN"/>
        </w:rPr>
        <w:t>年本年支出决算总额为</w:t>
      </w:r>
      <w:r>
        <w:rPr>
          <w:rFonts w:hint="eastAsia" w:ascii="仿宋_GB2312" w:hAnsi="Calibri" w:eastAsia="仿宋_GB2312" w:cs="仿宋_GB2312"/>
          <w:sz w:val="32"/>
          <w:szCs w:val="32"/>
          <w:lang w:val="en-US" w:eastAsia="zh-CN"/>
        </w:rPr>
        <w:t>407.85</w:t>
      </w:r>
      <w:r>
        <w:rPr>
          <w:rFonts w:hint="eastAsia" w:ascii="仿宋_GB2312" w:hAnsi="Calibri" w:eastAsia="仿宋_GB2312" w:cs="仿宋_GB2312"/>
          <w:sz w:val="32"/>
          <w:szCs w:val="32"/>
          <w:lang w:eastAsia="zh-CN"/>
        </w:rPr>
        <w:t>万元，其中：基本支出</w:t>
      </w:r>
      <w:r>
        <w:rPr>
          <w:rFonts w:hint="eastAsia" w:ascii="仿宋_GB2312" w:hAnsi="Calibri" w:eastAsia="仿宋_GB2312" w:cs="仿宋_GB2312"/>
          <w:sz w:val="32"/>
          <w:szCs w:val="32"/>
          <w:lang w:val="en-US" w:eastAsia="zh-CN"/>
        </w:rPr>
        <w:t>249.9</w:t>
      </w:r>
      <w:r>
        <w:rPr>
          <w:rFonts w:hint="eastAsia" w:ascii="仿宋_GB2312" w:hAnsi="Calibri" w:eastAsia="仿宋_GB2312" w:cs="仿宋_GB2312"/>
          <w:sz w:val="32"/>
          <w:szCs w:val="32"/>
          <w:lang w:eastAsia="zh-CN"/>
        </w:rPr>
        <w:t>万元、项目支出</w:t>
      </w:r>
      <w:r>
        <w:rPr>
          <w:rFonts w:hint="eastAsia" w:ascii="仿宋_GB2312" w:hAnsi="Calibri" w:eastAsia="仿宋_GB2312" w:cs="仿宋_GB2312"/>
          <w:sz w:val="32"/>
          <w:szCs w:val="32"/>
          <w:lang w:val="en-US" w:eastAsia="zh-CN"/>
        </w:rPr>
        <w:t>157.96</w:t>
      </w:r>
      <w:r>
        <w:rPr>
          <w:rFonts w:hint="eastAsia" w:ascii="仿宋_GB2312" w:hAnsi="Calibri" w:eastAsia="仿宋_GB2312" w:cs="仿宋_GB2312"/>
          <w:sz w:val="32"/>
          <w:szCs w:val="32"/>
          <w:lang w:eastAsia="zh-CN"/>
        </w:rPr>
        <w:t>万元。与201</w:t>
      </w:r>
      <w:r>
        <w:rPr>
          <w:rFonts w:hint="eastAsia" w:ascii="仿宋_GB2312" w:hAnsi="Calibri" w:eastAsia="仿宋_GB2312" w:cs="仿宋_GB2312"/>
          <w:sz w:val="32"/>
          <w:szCs w:val="32"/>
          <w:lang w:val="en-US" w:eastAsia="zh-CN"/>
        </w:rPr>
        <w:t>8</w:t>
      </w:r>
      <w:r>
        <w:rPr>
          <w:rFonts w:hint="eastAsia" w:ascii="仿宋_GB2312" w:hAnsi="Calibri" w:eastAsia="仿宋_GB2312" w:cs="仿宋_GB2312"/>
          <w:sz w:val="32"/>
          <w:szCs w:val="32"/>
          <w:lang w:eastAsia="zh-CN"/>
        </w:rPr>
        <w:t>年相比，支出总计增加</w:t>
      </w:r>
      <w:r>
        <w:rPr>
          <w:rFonts w:hint="eastAsia" w:ascii="仿宋_GB2312" w:hAnsi="Calibri" w:eastAsia="仿宋_GB2312" w:cs="仿宋_GB2312"/>
          <w:sz w:val="32"/>
          <w:szCs w:val="32"/>
          <w:lang w:val="en-US" w:eastAsia="zh-CN"/>
        </w:rPr>
        <w:t>109.74</w:t>
      </w:r>
      <w:r>
        <w:rPr>
          <w:rFonts w:hint="eastAsia" w:ascii="仿宋_GB2312" w:hAnsi="Calibri" w:eastAsia="仿宋_GB2312" w:cs="仿宋_GB2312"/>
          <w:sz w:val="32"/>
          <w:szCs w:val="32"/>
          <w:lang w:eastAsia="zh-CN"/>
        </w:rPr>
        <w:t>万元，增长</w:t>
      </w:r>
      <w:r>
        <w:rPr>
          <w:rFonts w:hint="eastAsia" w:ascii="仿宋_GB2312" w:hAnsi="Calibri" w:eastAsia="仿宋_GB2312" w:cs="仿宋_GB2312"/>
          <w:sz w:val="32"/>
          <w:szCs w:val="32"/>
          <w:lang w:val="en-US" w:eastAsia="zh-CN"/>
        </w:rPr>
        <w:t>36.81</w:t>
      </w:r>
      <w:r>
        <w:rPr>
          <w:rFonts w:hint="eastAsia" w:ascii="仿宋_GB2312" w:hAnsi="Calibri" w:eastAsia="仿宋_GB2312" w:cs="仿宋_GB2312"/>
          <w:sz w:val="32"/>
          <w:szCs w:val="32"/>
          <w:lang w:eastAsia="zh-CN"/>
        </w:rPr>
        <w:t>%。主要变动原因是我县</w:t>
      </w:r>
      <w:r>
        <w:rPr>
          <w:rFonts w:hint="eastAsia" w:ascii="仿宋_GB2312" w:hAnsi="Calibri" w:eastAsia="仿宋_GB2312" w:cs="仿宋_GB2312"/>
          <w:sz w:val="32"/>
          <w:szCs w:val="32"/>
          <w:lang w:val="en-US" w:eastAsia="zh-CN"/>
        </w:rPr>
        <w:t>2018-2019年工程项目审计费由我局统一支付</w:t>
      </w:r>
      <w:r>
        <w:rPr>
          <w:rFonts w:hint="eastAsia" w:ascii="仿宋_GB2312" w:hAnsi="Calibri" w:eastAsia="仿宋_GB2312" w:cs="仿宋_GB2312"/>
          <w:sz w:val="32"/>
          <w:szCs w:val="32"/>
          <w:lang w:eastAsia="zh-CN"/>
        </w:rPr>
        <w:t>，以及201</w:t>
      </w:r>
      <w:r>
        <w:rPr>
          <w:rFonts w:hint="eastAsia" w:ascii="仿宋_GB2312" w:hAnsi="Calibri" w:eastAsia="仿宋_GB2312" w:cs="仿宋_GB2312"/>
          <w:sz w:val="32"/>
          <w:szCs w:val="32"/>
          <w:lang w:val="en-US" w:eastAsia="zh-CN"/>
        </w:rPr>
        <w:t>9</w:t>
      </w:r>
      <w:r>
        <w:rPr>
          <w:rFonts w:hint="eastAsia" w:ascii="仿宋_GB2312" w:hAnsi="Calibri" w:eastAsia="仿宋_GB2312" w:cs="仿宋_GB2312"/>
          <w:sz w:val="32"/>
          <w:szCs w:val="32"/>
          <w:lang w:eastAsia="zh-CN"/>
        </w:rPr>
        <w:t>年工资调整等。201</w:t>
      </w:r>
      <w:r>
        <w:rPr>
          <w:rFonts w:hint="eastAsia" w:ascii="仿宋_GB2312" w:hAnsi="Calibri" w:eastAsia="仿宋_GB2312" w:cs="仿宋_GB2312"/>
          <w:sz w:val="32"/>
          <w:szCs w:val="32"/>
          <w:lang w:val="en-US" w:eastAsia="zh-CN"/>
        </w:rPr>
        <w:t>9</w:t>
      </w:r>
      <w:r>
        <w:rPr>
          <w:rFonts w:hint="eastAsia" w:ascii="仿宋_GB2312" w:hAnsi="Calibri" w:eastAsia="仿宋_GB2312" w:cs="仿宋_GB2312"/>
          <w:sz w:val="32"/>
          <w:szCs w:val="32"/>
          <w:lang w:eastAsia="zh-CN"/>
        </w:rPr>
        <w:t>年年末结转和结余</w:t>
      </w:r>
      <w:r>
        <w:rPr>
          <w:rFonts w:hint="eastAsia" w:ascii="仿宋_GB2312" w:hAnsi="Calibri" w:eastAsia="仿宋_GB2312" w:cs="仿宋_GB2312"/>
          <w:sz w:val="32"/>
          <w:szCs w:val="32"/>
          <w:lang w:val="en-US" w:eastAsia="zh-CN"/>
        </w:rPr>
        <w:t>6.81</w:t>
      </w:r>
      <w:r>
        <w:rPr>
          <w:rFonts w:hint="eastAsia" w:ascii="仿宋_GB2312" w:hAnsi="Calibri" w:eastAsia="仿宋_GB2312" w:cs="仿宋_GB2312"/>
          <w:sz w:val="32"/>
          <w:szCs w:val="32"/>
          <w:lang w:eastAsia="zh-CN"/>
        </w:rPr>
        <w:t>万元。</w:t>
      </w:r>
    </w:p>
    <w:p>
      <w:pPr>
        <w:pStyle w:val="2"/>
      </w:pPr>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pStyle w:val="2"/>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drawing>
          <wp:inline distT="0" distB="0" distL="114300" distR="114300">
            <wp:extent cx="5080000" cy="3810000"/>
            <wp:effectExtent l="4445" t="4445" r="20955" b="1460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pPr>
    </w:p>
    <w:p>
      <w:pPr>
        <w:pStyle w:val="25"/>
        <w:numPr>
          <w:ilvl w:val="0"/>
          <w:numId w:val="1"/>
        </w:numPr>
        <w:spacing w:line="600" w:lineRule="exact"/>
        <w:ind w:firstLineChars="0"/>
        <w:outlineLvl w:val="1"/>
        <w:rPr>
          <w:rStyle w:val="27"/>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7"/>
          <w:rFonts w:hint="eastAsia" w:ascii="黑体" w:hAnsi="黑体" w:eastAsia="黑体"/>
          <w:b w:val="0"/>
        </w:rPr>
        <w:t>入决算情况说明</w:t>
      </w:r>
      <w:bookmarkEnd w:id="26"/>
      <w:bookmarkEnd w:id="27"/>
    </w:p>
    <w:p>
      <w:pPr>
        <w:widowControl/>
        <w:spacing w:line="560" w:lineRule="exact"/>
        <w:ind w:firstLine="640"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sz w:val="32"/>
          <w:szCs w:val="32"/>
          <w:lang w:eastAsia="zh-CN"/>
        </w:rPr>
        <w:t>2019年本年收入合计</w:t>
      </w:r>
      <w:r>
        <w:rPr>
          <w:rFonts w:hint="eastAsia" w:ascii="仿宋_GB2312" w:hAnsi="Calibri" w:eastAsia="仿宋_GB2312" w:cs="仿宋_GB2312"/>
          <w:sz w:val="32"/>
          <w:szCs w:val="32"/>
          <w:lang w:val="en-US" w:eastAsia="zh-CN"/>
        </w:rPr>
        <w:t>404.39</w:t>
      </w:r>
      <w:r>
        <w:rPr>
          <w:rFonts w:hint="eastAsia" w:ascii="仿宋_GB2312" w:hAnsi="Calibri" w:eastAsia="仿宋_GB2312" w:cs="仿宋_GB2312"/>
          <w:sz w:val="32"/>
          <w:szCs w:val="32"/>
          <w:lang w:eastAsia="zh-CN"/>
        </w:rPr>
        <w:t>万元，其中：一般公共预算财政拨款收入</w:t>
      </w:r>
      <w:r>
        <w:rPr>
          <w:rFonts w:hint="eastAsia" w:ascii="仿宋_GB2312" w:hAnsi="Calibri" w:eastAsia="仿宋_GB2312" w:cs="仿宋_GB2312"/>
          <w:sz w:val="32"/>
          <w:szCs w:val="32"/>
          <w:lang w:val="en-US" w:eastAsia="zh-CN"/>
        </w:rPr>
        <w:t>404.39</w:t>
      </w:r>
      <w:r>
        <w:rPr>
          <w:rFonts w:hint="eastAsia" w:ascii="仿宋_GB2312" w:hAnsi="Calibri" w:eastAsia="仿宋_GB2312" w:cs="仿宋_GB2312"/>
          <w:sz w:val="32"/>
          <w:szCs w:val="32"/>
          <w:lang w:eastAsia="zh-CN"/>
        </w:rPr>
        <w:t>万元，占</w:t>
      </w:r>
      <w:r>
        <w:rPr>
          <w:rFonts w:hint="eastAsia" w:ascii="仿宋_GB2312" w:hAnsi="Calibri" w:eastAsia="仿宋_GB2312" w:cs="仿宋_GB2312"/>
          <w:sz w:val="32"/>
          <w:szCs w:val="32"/>
          <w:lang w:val="en-US" w:eastAsia="zh-CN"/>
        </w:rPr>
        <w:t>100</w:t>
      </w:r>
      <w:r>
        <w:rPr>
          <w:rFonts w:hint="eastAsia" w:ascii="仿宋_GB2312" w:hAnsi="Calibri" w:eastAsia="仿宋_GB2312" w:cs="仿宋_GB2312"/>
          <w:sz w:val="32"/>
          <w:szCs w:val="32"/>
          <w:lang w:eastAsia="zh-CN"/>
        </w:rPr>
        <w:t>%。</w:t>
      </w:r>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pStyle w:val="2"/>
        <w:rPr>
          <w:rFonts w:hint="eastAsia" w:ascii="仿宋" w:hAnsi="仿宋" w:eastAsia="仿宋"/>
          <w:color w:val="000000" w:themeColor="text1"/>
          <w:sz w:val="32"/>
          <w:szCs w:val="32"/>
        </w:rPr>
      </w:pPr>
    </w:p>
    <w:p>
      <w:pPr>
        <w:rPr>
          <w:rFonts w:hint="eastAsia" w:ascii="仿宋" w:hAnsi="仿宋" w:eastAsia="仿宋"/>
          <w:color w:val="000000" w:themeColor="text1"/>
          <w:sz w:val="32"/>
          <w:szCs w:val="32"/>
        </w:rPr>
      </w:pPr>
    </w:p>
    <w:p>
      <w:pPr>
        <w:pStyle w:val="2"/>
        <w:rPr>
          <w:rFonts w:hint="eastAsia" w:ascii="仿宋" w:hAnsi="仿宋" w:eastAsia="仿宋"/>
          <w:color w:val="000000" w:themeColor="text1"/>
          <w:sz w:val="32"/>
          <w:szCs w:val="32"/>
        </w:rPr>
      </w:pPr>
    </w:p>
    <w:p>
      <w:pPr>
        <w:rPr>
          <w:rFonts w:hint="eastAsia" w:ascii="仿宋" w:hAnsi="仿宋" w:eastAsia="仿宋"/>
          <w:color w:val="000000" w:themeColor="text1"/>
          <w:sz w:val="32"/>
          <w:szCs w:val="32"/>
        </w:rPr>
      </w:pPr>
    </w:p>
    <w:p>
      <w:pPr>
        <w:pStyle w:val="2"/>
        <w:rPr>
          <w:rFonts w:hint="eastAsia" w:eastAsia="仿宋"/>
          <w:lang w:val="en-US" w:eastAsia="zh-CN"/>
        </w:rPr>
      </w:pPr>
      <w:r>
        <w:rPr>
          <w:rFonts w:hint="eastAsia" w:ascii="仿宋" w:hAnsi="仿宋" w:eastAsia="仿宋"/>
          <w:color w:val="000000" w:themeColor="text1"/>
          <w:sz w:val="32"/>
          <w:szCs w:val="32"/>
          <w:lang w:val="en-US" w:eastAsia="zh-CN"/>
        </w:rPr>
        <w:t xml:space="preserve">                                          </w:t>
      </w:r>
    </w:p>
    <w:p>
      <w:pPr>
        <w:pStyle w:val="2"/>
        <w:rPr>
          <w:rFonts w:hint="eastAsia" w:eastAsia="仿宋"/>
          <w:lang w:eastAsia="zh-CN"/>
        </w:rPr>
      </w:pPr>
      <w:r>
        <w:rPr>
          <w:rFonts w:hint="eastAsia" w:eastAsia="仿宋"/>
          <w:lang w:eastAsia="zh-CN"/>
        </w:rPr>
        <w:drawing>
          <wp:inline distT="0" distB="0" distL="114300" distR="114300">
            <wp:extent cx="5080000" cy="38100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rPr>
          <w:rFonts w:hint="eastAsia" w:eastAsia="仿宋"/>
          <w:lang w:eastAsia="zh-CN"/>
        </w:rPr>
      </w:pPr>
    </w:p>
    <w:p>
      <w:pPr>
        <w:pStyle w:val="2"/>
      </w:pPr>
    </w:p>
    <w:p>
      <w:pPr>
        <w:pStyle w:val="25"/>
        <w:numPr>
          <w:ilvl w:val="0"/>
          <w:numId w:val="1"/>
        </w:numPr>
        <w:spacing w:line="600" w:lineRule="exact"/>
        <w:ind w:firstLineChars="0"/>
        <w:outlineLvl w:val="1"/>
        <w:rPr>
          <w:rStyle w:val="27"/>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7"/>
          <w:rFonts w:hint="eastAsia" w:ascii="黑体" w:hAnsi="黑体" w:eastAsia="黑体"/>
          <w:b w:val="0"/>
        </w:rPr>
        <w:t>出决算情况说明</w:t>
      </w:r>
      <w:bookmarkEnd w:id="28"/>
      <w:bookmarkEnd w:id="29"/>
    </w:p>
    <w:p>
      <w:pPr>
        <w:widowControl/>
        <w:spacing w:line="560" w:lineRule="exact"/>
        <w:ind w:firstLine="640"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sz w:val="32"/>
          <w:szCs w:val="32"/>
          <w:lang w:eastAsia="zh-CN"/>
        </w:rPr>
        <w:t>2019年本年支出合计</w:t>
      </w:r>
      <w:r>
        <w:rPr>
          <w:rFonts w:hint="eastAsia" w:ascii="仿宋_GB2312" w:hAnsi="Calibri" w:eastAsia="仿宋_GB2312" w:cs="仿宋_GB2312"/>
          <w:sz w:val="32"/>
          <w:szCs w:val="32"/>
          <w:lang w:val="en-US" w:eastAsia="zh-CN"/>
        </w:rPr>
        <w:t>407.86</w:t>
      </w:r>
      <w:r>
        <w:rPr>
          <w:rFonts w:hint="eastAsia" w:ascii="仿宋_GB2312" w:hAnsi="Calibri" w:eastAsia="仿宋_GB2312" w:cs="仿宋_GB2312"/>
          <w:sz w:val="32"/>
          <w:szCs w:val="32"/>
          <w:lang w:eastAsia="zh-CN"/>
        </w:rPr>
        <w:t>万元，其中：基本支出</w:t>
      </w:r>
      <w:r>
        <w:rPr>
          <w:rFonts w:hint="eastAsia" w:ascii="仿宋_GB2312" w:hAnsi="Calibri" w:eastAsia="仿宋_GB2312" w:cs="仿宋_GB2312"/>
          <w:sz w:val="32"/>
          <w:szCs w:val="32"/>
          <w:lang w:val="en-US" w:eastAsia="zh-CN"/>
        </w:rPr>
        <w:t>249.90</w:t>
      </w:r>
      <w:r>
        <w:rPr>
          <w:rFonts w:hint="eastAsia" w:ascii="仿宋_GB2312" w:hAnsi="Calibri" w:eastAsia="仿宋_GB2312" w:cs="仿宋_GB2312"/>
          <w:sz w:val="32"/>
          <w:szCs w:val="32"/>
          <w:lang w:eastAsia="zh-CN"/>
        </w:rPr>
        <w:t>万元，占</w:t>
      </w:r>
      <w:r>
        <w:rPr>
          <w:rFonts w:hint="eastAsia" w:ascii="仿宋_GB2312" w:hAnsi="Calibri" w:eastAsia="仿宋_GB2312" w:cs="仿宋_GB2312"/>
          <w:sz w:val="32"/>
          <w:szCs w:val="32"/>
          <w:lang w:val="en-US" w:eastAsia="zh-CN"/>
        </w:rPr>
        <w:t>61.27</w:t>
      </w:r>
      <w:r>
        <w:rPr>
          <w:rFonts w:hint="eastAsia" w:ascii="仿宋_GB2312" w:hAnsi="Calibri" w:eastAsia="仿宋_GB2312" w:cs="仿宋_GB2312"/>
          <w:sz w:val="32"/>
          <w:szCs w:val="32"/>
          <w:lang w:eastAsia="zh-CN"/>
        </w:rPr>
        <w:t>%；项目支出</w:t>
      </w:r>
      <w:r>
        <w:rPr>
          <w:rFonts w:hint="eastAsia" w:ascii="仿宋_GB2312" w:hAnsi="Calibri" w:eastAsia="仿宋_GB2312" w:cs="仿宋_GB2312"/>
          <w:sz w:val="32"/>
          <w:szCs w:val="32"/>
          <w:lang w:val="en-US" w:eastAsia="zh-CN"/>
        </w:rPr>
        <w:t>157.96</w:t>
      </w:r>
      <w:r>
        <w:rPr>
          <w:rFonts w:hint="eastAsia" w:ascii="仿宋_GB2312" w:hAnsi="Calibri" w:eastAsia="仿宋_GB2312" w:cs="仿宋_GB2312"/>
          <w:sz w:val="32"/>
          <w:szCs w:val="32"/>
          <w:lang w:eastAsia="zh-CN"/>
        </w:rPr>
        <w:t>万元，占</w:t>
      </w:r>
      <w:r>
        <w:rPr>
          <w:rFonts w:hint="eastAsia" w:ascii="仿宋_GB2312" w:hAnsi="Calibri" w:eastAsia="仿宋_GB2312" w:cs="仿宋_GB2312"/>
          <w:sz w:val="32"/>
          <w:szCs w:val="32"/>
          <w:lang w:val="en-US" w:eastAsia="zh-CN"/>
        </w:rPr>
        <w:t>38.73</w:t>
      </w:r>
      <w:r>
        <w:rPr>
          <w:rFonts w:hint="eastAsia" w:ascii="仿宋_GB2312" w:hAnsi="Calibri" w:eastAsia="仿宋_GB2312" w:cs="仿宋_GB2312"/>
          <w:sz w:val="32"/>
          <w:szCs w:val="32"/>
          <w:lang w:eastAsia="zh-CN"/>
        </w:rPr>
        <w:t>%。</w:t>
      </w:r>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pStyle w:val="2"/>
        <w:rPr>
          <w:rFonts w:hint="eastAsia" w:eastAsia="宋体"/>
          <w:lang w:eastAsia="zh-CN"/>
        </w:rPr>
      </w:pPr>
      <w:r>
        <w:rPr>
          <w:rFonts w:hint="eastAsia" w:eastAsia="宋体"/>
          <w:lang w:eastAsia="zh-CN"/>
        </w:rPr>
        <w:drawing>
          <wp:inline distT="0" distB="0" distL="114300" distR="114300">
            <wp:extent cx="5080000" cy="3810000"/>
            <wp:effectExtent l="4445" t="4445" r="2095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7"/>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30"/>
      <w:bookmarkEnd w:id="31"/>
    </w:p>
    <w:p>
      <w:pPr>
        <w:widowControl/>
        <w:spacing w:line="560" w:lineRule="exact"/>
        <w:ind w:firstLine="640"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sz w:val="32"/>
          <w:szCs w:val="32"/>
          <w:lang w:eastAsia="zh-CN"/>
        </w:rPr>
        <w:t>201</w:t>
      </w:r>
      <w:r>
        <w:rPr>
          <w:rFonts w:hint="eastAsia" w:ascii="仿宋_GB2312" w:hAnsi="Calibri" w:eastAsia="仿宋_GB2312" w:cs="仿宋_GB2312"/>
          <w:sz w:val="32"/>
          <w:szCs w:val="32"/>
          <w:lang w:val="en-US" w:eastAsia="zh-CN"/>
        </w:rPr>
        <w:t>9</w:t>
      </w:r>
      <w:r>
        <w:rPr>
          <w:rFonts w:hint="eastAsia" w:ascii="仿宋_GB2312" w:hAnsi="Calibri" w:eastAsia="仿宋_GB2312" w:cs="仿宋_GB2312"/>
          <w:sz w:val="32"/>
          <w:szCs w:val="32"/>
          <w:lang w:eastAsia="zh-CN"/>
        </w:rPr>
        <w:t>年年初财政拨款结转和结余</w:t>
      </w:r>
      <w:r>
        <w:rPr>
          <w:rFonts w:hint="eastAsia" w:ascii="仿宋_GB2312" w:hAnsi="Calibri" w:eastAsia="仿宋_GB2312" w:cs="仿宋_GB2312"/>
          <w:sz w:val="32"/>
          <w:szCs w:val="32"/>
          <w:lang w:val="en-US" w:eastAsia="zh-CN"/>
        </w:rPr>
        <w:t>10.12</w:t>
      </w:r>
      <w:r>
        <w:rPr>
          <w:rFonts w:hint="eastAsia" w:ascii="仿宋_GB2312" w:hAnsi="Calibri" w:eastAsia="仿宋_GB2312" w:cs="仿宋_GB2312"/>
          <w:sz w:val="32"/>
          <w:szCs w:val="32"/>
          <w:lang w:eastAsia="zh-CN"/>
        </w:rPr>
        <w:t>万元，201</w:t>
      </w:r>
      <w:r>
        <w:rPr>
          <w:rFonts w:hint="eastAsia" w:ascii="仿宋_GB2312" w:hAnsi="Calibri" w:eastAsia="仿宋_GB2312" w:cs="仿宋_GB2312"/>
          <w:sz w:val="32"/>
          <w:szCs w:val="32"/>
          <w:lang w:val="en-US" w:eastAsia="zh-CN"/>
        </w:rPr>
        <w:t>9</w:t>
      </w:r>
      <w:r>
        <w:rPr>
          <w:rFonts w:hint="eastAsia" w:ascii="仿宋_GB2312" w:hAnsi="Calibri" w:eastAsia="仿宋_GB2312" w:cs="仿宋_GB2312"/>
          <w:sz w:val="32"/>
          <w:szCs w:val="32"/>
          <w:lang w:eastAsia="zh-CN"/>
        </w:rPr>
        <w:t>年财政拨款收入决算总计</w:t>
      </w:r>
      <w:r>
        <w:rPr>
          <w:rFonts w:hint="eastAsia" w:ascii="仿宋_GB2312" w:hAnsi="Calibri" w:eastAsia="仿宋_GB2312" w:cs="仿宋_GB2312"/>
          <w:sz w:val="32"/>
          <w:szCs w:val="32"/>
          <w:lang w:val="en-US" w:eastAsia="zh-CN"/>
        </w:rPr>
        <w:t>404.39</w:t>
      </w:r>
      <w:r>
        <w:rPr>
          <w:rFonts w:hint="eastAsia" w:ascii="仿宋_GB2312" w:hAnsi="Calibri" w:eastAsia="仿宋_GB2312" w:cs="仿宋_GB2312"/>
          <w:sz w:val="32"/>
          <w:szCs w:val="32"/>
          <w:lang w:eastAsia="zh-CN"/>
        </w:rPr>
        <w:t>万元，其中：一般公共预算财政拨款</w:t>
      </w:r>
      <w:r>
        <w:rPr>
          <w:rFonts w:hint="eastAsia" w:ascii="仿宋_GB2312" w:hAnsi="Calibri" w:eastAsia="仿宋_GB2312" w:cs="仿宋_GB2312"/>
          <w:sz w:val="32"/>
          <w:szCs w:val="32"/>
          <w:lang w:val="en-US" w:eastAsia="zh-CN"/>
        </w:rPr>
        <w:t>404.39</w:t>
      </w:r>
      <w:r>
        <w:rPr>
          <w:rFonts w:hint="eastAsia" w:ascii="仿宋_GB2312" w:hAnsi="Calibri" w:eastAsia="仿宋_GB2312" w:cs="仿宋_GB2312"/>
          <w:sz w:val="32"/>
          <w:szCs w:val="32"/>
          <w:lang w:eastAsia="zh-CN"/>
        </w:rPr>
        <w:t>万元。与201</w:t>
      </w:r>
      <w:r>
        <w:rPr>
          <w:rFonts w:hint="eastAsia" w:ascii="仿宋_GB2312" w:hAnsi="Calibri" w:eastAsia="仿宋_GB2312" w:cs="仿宋_GB2312"/>
          <w:sz w:val="32"/>
          <w:szCs w:val="32"/>
          <w:lang w:val="en-US" w:eastAsia="zh-CN"/>
        </w:rPr>
        <w:t>8</w:t>
      </w:r>
      <w:r>
        <w:rPr>
          <w:rFonts w:hint="eastAsia" w:ascii="仿宋_GB2312" w:hAnsi="Calibri" w:eastAsia="仿宋_GB2312" w:cs="仿宋_GB2312"/>
          <w:sz w:val="32"/>
          <w:szCs w:val="32"/>
          <w:lang w:eastAsia="zh-CN"/>
        </w:rPr>
        <w:t>年相比，财政拨款收入增加</w:t>
      </w:r>
      <w:r>
        <w:rPr>
          <w:rFonts w:hint="eastAsia" w:ascii="仿宋_GB2312" w:hAnsi="Calibri" w:eastAsia="仿宋_GB2312" w:cs="仿宋_GB2312"/>
          <w:sz w:val="32"/>
          <w:szCs w:val="32"/>
          <w:lang w:val="en-US" w:eastAsia="zh-CN"/>
        </w:rPr>
        <w:t>164.98</w:t>
      </w:r>
      <w:r>
        <w:rPr>
          <w:rFonts w:hint="eastAsia" w:ascii="仿宋_GB2312" w:hAnsi="Calibri" w:eastAsia="仿宋_GB2312" w:cs="仿宋_GB2312"/>
          <w:sz w:val="32"/>
          <w:szCs w:val="32"/>
          <w:lang w:eastAsia="zh-CN"/>
        </w:rPr>
        <w:t>万元，增长</w:t>
      </w:r>
      <w:r>
        <w:rPr>
          <w:rFonts w:hint="eastAsia" w:ascii="仿宋_GB2312" w:hAnsi="Calibri" w:eastAsia="仿宋_GB2312" w:cs="仿宋_GB2312"/>
          <w:sz w:val="32"/>
          <w:szCs w:val="32"/>
          <w:lang w:val="en-US" w:eastAsia="zh-CN"/>
        </w:rPr>
        <w:t>68.91</w:t>
      </w:r>
      <w:r>
        <w:rPr>
          <w:rFonts w:hint="eastAsia" w:ascii="仿宋_GB2312" w:hAnsi="Calibri" w:eastAsia="仿宋_GB2312" w:cs="仿宋_GB2312"/>
          <w:sz w:val="32"/>
          <w:szCs w:val="32"/>
          <w:lang w:eastAsia="zh-CN"/>
        </w:rPr>
        <w:t>%。主要变动原因是我县</w:t>
      </w:r>
      <w:r>
        <w:rPr>
          <w:rFonts w:hint="eastAsia" w:ascii="仿宋_GB2312" w:hAnsi="Calibri" w:eastAsia="仿宋_GB2312" w:cs="仿宋_GB2312"/>
          <w:sz w:val="32"/>
          <w:szCs w:val="32"/>
          <w:lang w:val="en-US" w:eastAsia="zh-CN"/>
        </w:rPr>
        <w:t>2018-2019年工程项目审计费由我局统一支付</w:t>
      </w:r>
      <w:r>
        <w:rPr>
          <w:rFonts w:hint="eastAsia" w:ascii="仿宋_GB2312" w:hAnsi="Calibri" w:eastAsia="仿宋_GB2312" w:cs="仿宋_GB2312"/>
          <w:sz w:val="32"/>
          <w:szCs w:val="32"/>
          <w:lang w:eastAsia="zh-CN"/>
        </w:rPr>
        <w:t>，以及201</w:t>
      </w:r>
      <w:r>
        <w:rPr>
          <w:rFonts w:hint="eastAsia" w:ascii="仿宋_GB2312" w:hAnsi="Calibri" w:eastAsia="仿宋_GB2312" w:cs="仿宋_GB2312"/>
          <w:sz w:val="32"/>
          <w:szCs w:val="32"/>
          <w:lang w:val="en-US" w:eastAsia="zh-CN"/>
        </w:rPr>
        <w:t>9</w:t>
      </w:r>
      <w:r>
        <w:rPr>
          <w:rFonts w:hint="eastAsia" w:ascii="仿宋_GB2312" w:hAnsi="Calibri" w:eastAsia="仿宋_GB2312" w:cs="仿宋_GB2312"/>
          <w:sz w:val="32"/>
          <w:szCs w:val="32"/>
          <w:lang w:eastAsia="zh-CN"/>
        </w:rPr>
        <w:t>年工资调整等。</w:t>
      </w:r>
    </w:p>
    <w:p>
      <w:pPr>
        <w:widowControl/>
        <w:spacing w:line="560" w:lineRule="exact"/>
        <w:ind w:firstLine="640" w:firstLineChars="200"/>
        <w:jc w:val="left"/>
        <w:rPr>
          <w:rFonts w:ascii="仿宋" w:hAnsi="仿宋" w:eastAsia="仿宋"/>
          <w:color w:val="000000"/>
          <w:sz w:val="32"/>
          <w:szCs w:val="32"/>
        </w:rPr>
      </w:pPr>
      <w:r>
        <w:rPr>
          <w:rFonts w:hint="eastAsia" w:ascii="仿宋_GB2312" w:hAnsi="Calibri" w:eastAsia="仿宋_GB2312" w:cs="仿宋_GB2312"/>
          <w:sz w:val="32"/>
          <w:szCs w:val="32"/>
          <w:lang w:eastAsia="zh-CN"/>
        </w:rPr>
        <w:t>201</w:t>
      </w:r>
      <w:r>
        <w:rPr>
          <w:rFonts w:hint="eastAsia" w:ascii="仿宋_GB2312" w:hAnsi="Calibri" w:eastAsia="仿宋_GB2312" w:cs="仿宋_GB2312"/>
          <w:sz w:val="32"/>
          <w:szCs w:val="32"/>
          <w:lang w:val="en-US" w:eastAsia="zh-CN"/>
        </w:rPr>
        <w:t>9</w:t>
      </w:r>
      <w:r>
        <w:rPr>
          <w:rFonts w:hint="eastAsia" w:ascii="仿宋_GB2312" w:hAnsi="Calibri" w:eastAsia="仿宋_GB2312" w:cs="仿宋_GB2312"/>
          <w:sz w:val="32"/>
          <w:szCs w:val="32"/>
          <w:lang w:eastAsia="zh-CN"/>
        </w:rPr>
        <w:t>年财政拨款支出决算总计</w:t>
      </w:r>
      <w:r>
        <w:rPr>
          <w:rFonts w:hint="eastAsia" w:ascii="仿宋_GB2312" w:hAnsi="Calibri" w:eastAsia="仿宋_GB2312" w:cs="仿宋_GB2312"/>
          <w:sz w:val="32"/>
          <w:szCs w:val="32"/>
          <w:lang w:val="en-US" w:eastAsia="zh-CN"/>
        </w:rPr>
        <w:t>407.71</w:t>
      </w:r>
      <w:r>
        <w:rPr>
          <w:rFonts w:hint="eastAsia" w:ascii="仿宋_GB2312" w:hAnsi="Calibri" w:eastAsia="仿宋_GB2312" w:cs="仿宋_GB2312"/>
          <w:sz w:val="32"/>
          <w:szCs w:val="32"/>
          <w:lang w:eastAsia="zh-CN"/>
        </w:rPr>
        <w:t>万元，其中：一般公共服务支出</w:t>
      </w:r>
      <w:r>
        <w:rPr>
          <w:rFonts w:hint="eastAsia" w:ascii="仿宋_GB2312" w:hAnsi="Calibri" w:eastAsia="仿宋_GB2312" w:cs="仿宋_GB2312"/>
          <w:sz w:val="32"/>
          <w:szCs w:val="32"/>
          <w:lang w:val="en-US" w:eastAsia="zh-CN"/>
        </w:rPr>
        <w:t>341.60</w:t>
      </w:r>
      <w:r>
        <w:rPr>
          <w:rFonts w:hint="eastAsia" w:ascii="仿宋_GB2312" w:hAnsi="Calibri" w:eastAsia="仿宋_GB2312" w:cs="仿宋_GB2312"/>
          <w:sz w:val="32"/>
          <w:szCs w:val="32"/>
          <w:lang w:eastAsia="zh-CN"/>
        </w:rPr>
        <w:t>万元；社会保障和就业支出</w:t>
      </w:r>
      <w:r>
        <w:rPr>
          <w:rFonts w:hint="eastAsia" w:ascii="仿宋_GB2312" w:hAnsi="Calibri" w:eastAsia="仿宋_GB2312" w:cs="仿宋_GB2312"/>
          <w:sz w:val="32"/>
          <w:szCs w:val="32"/>
          <w:lang w:val="en-US" w:eastAsia="zh-CN"/>
        </w:rPr>
        <w:t>34.59</w:t>
      </w:r>
      <w:r>
        <w:rPr>
          <w:rFonts w:hint="eastAsia" w:ascii="仿宋_GB2312" w:hAnsi="Calibri" w:eastAsia="仿宋_GB2312" w:cs="仿宋_GB2312"/>
          <w:sz w:val="32"/>
          <w:szCs w:val="32"/>
          <w:lang w:eastAsia="zh-CN"/>
        </w:rPr>
        <w:t>万元；卫生健康支出</w:t>
      </w:r>
      <w:r>
        <w:rPr>
          <w:rFonts w:hint="eastAsia" w:ascii="仿宋_GB2312" w:hAnsi="Calibri" w:eastAsia="仿宋_GB2312" w:cs="仿宋_GB2312"/>
          <w:sz w:val="32"/>
          <w:szCs w:val="32"/>
          <w:lang w:val="en-US" w:eastAsia="zh-CN"/>
        </w:rPr>
        <w:t>11.14</w:t>
      </w:r>
      <w:r>
        <w:rPr>
          <w:rFonts w:hint="eastAsia" w:ascii="仿宋_GB2312" w:hAnsi="Calibri" w:eastAsia="仿宋_GB2312" w:cs="仿宋_GB2312"/>
          <w:sz w:val="32"/>
          <w:szCs w:val="32"/>
          <w:lang w:eastAsia="zh-CN"/>
        </w:rPr>
        <w:t>万元；农林水支出</w:t>
      </w:r>
      <w:r>
        <w:rPr>
          <w:rFonts w:hint="eastAsia" w:ascii="仿宋_GB2312" w:hAnsi="Calibri" w:eastAsia="仿宋_GB2312" w:cs="仿宋_GB2312"/>
          <w:sz w:val="32"/>
          <w:szCs w:val="32"/>
          <w:lang w:val="en-US" w:eastAsia="zh-CN"/>
        </w:rPr>
        <w:t>1.20万元；</w:t>
      </w:r>
      <w:r>
        <w:rPr>
          <w:rFonts w:hint="eastAsia" w:ascii="仿宋_GB2312" w:hAnsi="Calibri" w:eastAsia="仿宋_GB2312" w:cs="仿宋_GB2312"/>
          <w:sz w:val="32"/>
          <w:szCs w:val="32"/>
          <w:lang w:eastAsia="zh-CN"/>
        </w:rPr>
        <w:t>住房保障支出</w:t>
      </w:r>
      <w:r>
        <w:rPr>
          <w:rFonts w:hint="eastAsia" w:ascii="仿宋_GB2312" w:hAnsi="Calibri" w:eastAsia="仿宋_GB2312" w:cs="仿宋_GB2312"/>
          <w:sz w:val="32"/>
          <w:szCs w:val="32"/>
          <w:lang w:val="en-US" w:eastAsia="zh-CN"/>
        </w:rPr>
        <w:t>19.18</w:t>
      </w:r>
      <w:r>
        <w:rPr>
          <w:rFonts w:hint="eastAsia" w:ascii="仿宋_GB2312" w:hAnsi="Calibri" w:eastAsia="仿宋_GB2312" w:cs="仿宋_GB2312"/>
          <w:sz w:val="32"/>
          <w:szCs w:val="32"/>
          <w:lang w:eastAsia="zh-CN"/>
        </w:rPr>
        <w:t>万元。与201</w:t>
      </w:r>
      <w:r>
        <w:rPr>
          <w:rFonts w:hint="eastAsia" w:ascii="仿宋_GB2312" w:hAnsi="Calibri" w:eastAsia="仿宋_GB2312" w:cs="仿宋_GB2312"/>
          <w:sz w:val="32"/>
          <w:szCs w:val="32"/>
          <w:lang w:val="en-US" w:eastAsia="zh-CN"/>
        </w:rPr>
        <w:t>8</w:t>
      </w:r>
      <w:r>
        <w:rPr>
          <w:rFonts w:hint="eastAsia" w:ascii="仿宋_GB2312" w:hAnsi="Calibri" w:eastAsia="仿宋_GB2312" w:cs="仿宋_GB2312"/>
          <w:sz w:val="32"/>
          <w:szCs w:val="32"/>
          <w:lang w:eastAsia="zh-CN"/>
        </w:rPr>
        <w:t>年相比，财政拨款支出增加</w:t>
      </w:r>
      <w:r>
        <w:rPr>
          <w:rFonts w:hint="eastAsia" w:ascii="仿宋_GB2312" w:hAnsi="Calibri" w:eastAsia="仿宋_GB2312" w:cs="仿宋_GB2312"/>
          <w:sz w:val="32"/>
          <w:szCs w:val="32"/>
          <w:lang w:val="en-US" w:eastAsia="zh-CN"/>
        </w:rPr>
        <w:t>109.70</w:t>
      </w:r>
      <w:r>
        <w:rPr>
          <w:rFonts w:hint="eastAsia" w:ascii="仿宋_GB2312" w:hAnsi="Calibri" w:eastAsia="仿宋_GB2312" w:cs="仿宋_GB2312"/>
          <w:sz w:val="32"/>
          <w:szCs w:val="32"/>
          <w:lang w:eastAsia="zh-CN"/>
        </w:rPr>
        <w:t>万元，增长</w:t>
      </w:r>
      <w:r>
        <w:rPr>
          <w:rFonts w:hint="eastAsia" w:ascii="仿宋_GB2312" w:hAnsi="Calibri" w:eastAsia="仿宋_GB2312" w:cs="仿宋_GB2312"/>
          <w:sz w:val="32"/>
          <w:szCs w:val="32"/>
          <w:lang w:val="en-US" w:eastAsia="zh-CN"/>
        </w:rPr>
        <w:t>36.81</w:t>
      </w:r>
      <w:r>
        <w:rPr>
          <w:rFonts w:hint="eastAsia" w:ascii="仿宋_GB2312" w:hAnsi="Calibri" w:eastAsia="仿宋_GB2312" w:cs="仿宋_GB2312"/>
          <w:sz w:val="32"/>
          <w:szCs w:val="32"/>
          <w:lang w:eastAsia="zh-CN"/>
        </w:rPr>
        <w:t>%。主要变动原因是我县</w:t>
      </w:r>
      <w:r>
        <w:rPr>
          <w:rFonts w:hint="eastAsia" w:ascii="仿宋_GB2312" w:hAnsi="Calibri" w:eastAsia="仿宋_GB2312" w:cs="仿宋_GB2312"/>
          <w:sz w:val="32"/>
          <w:szCs w:val="32"/>
          <w:lang w:val="en-US" w:eastAsia="zh-CN"/>
        </w:rPr>
        <w:t>2018-2019年工程项目审计费由我局统一支付</w:t>
      </w:r>
      <w:r>
        <w:rPr>
          <w:rFonts w:hint="eastAsia" w:ascii="仿宋_GB2312" w:hAnsi="Calibri" w:eastAsia="仿宋_GB2312" w:cs="仿宋_GB2312"/>
          <w:sz w:val="32"/>
          <w:szCs w:val="32"/>
          <w:lang w:eastAsia="zh-CN"/>
        </w:rPr>
        <w:t>，以及201</w:t>
      </w:r>
      <w:r>
        <w:rPr>
          <w:rFonts w:hint="eastAsia" w:ascii="仿宋_GB2312" w:hAnsi="Calibri" w:eastAsia="仿宋_GB2312" w:cs="仿宋_GB2312"/>
          <w:sz w:val="32"/>
          <w:szCs w:val="32"/>
          <w:lang w:val="en-US" w:eastAsia="zh-CN"/>
        </w:rPr>
        <w:t>9</w:t>
      </w:r>
      <w:r>
        <w:rPr>
          <w:rFonts w:hint="eastAsia" w:ascii="仿宋_GB2312" w:hAnsi="Calibri" w:eastAsia="仿宋_GB2312" w:cs="仿宋_GB2312"/>
          <w:sz w:val="32"/>
          <w:szCs w:val="32"/>
          <w:lang w:eastAsia="zh-CN"/>
        </w:rPr>
        <w:t>年工资调整等。201</w:t>
      </w:r>
      <w:r>
        <w:rPr>
          <w:rFonts w:hint="eastAsia" w:ascii="仿宋_GB2312" w:hAnsi="Calibri" w:eastAsia="仿宋_GB2312" w:cs="仿宋_GB2312"/>
          <w:sz w:val="32"/>
          <w:szCs w:val="32"/>
          <w:lang w:val="en-US" w:eastAsia="zh-CN"/>
        </w:rPr>
        <w:t>9</w:t>
      </w:r>
      <w:r>
        <w:rPr>
          <w:rFonts w:hint="eastAsia" w:ascii="仿宋_GB2312" w:hAnsi="Calibri" w:eastAsia="仿宋_GB2312" w:cs="仿宋_GB2312"/>
          <w:sz w:val="32"/>
          <w:szCs w:val="32"/>
          <w:lang w:eastAsia="zh-CN"/>
        </w:rPr>
        <w:t>年年末财政拨款结转和结余</w:t>
      </w:r>
      <w:r>
        <w:rPr>
          <w:rFonts w:hint="eastAsia" w:ascii="仿宋_GB2312" w:hAnsi="Calibri" w:eastAsia="仿宋_GB2312" w:cs="仿宋_GB2312"/>
          <w:sz w:val="32"/>
          <w:szCs w:val="32"/>
          <w:lang w:val="en-US" w:eastAsia="zh-CN"/>
        </w:rPr>
        <w:t>6.80</w:t>
      </w:r>
      <w:r>
        <w:rPr>
          <w:rFonts w:hint="eastAsia" w:ascii="仿宋_GB2312" w:hAnsi="Calibri" w:eastAsia="仿宋_GB2312" w:cs="仿宋_GB2312"/>
          <w:sz w:val="32"/>
          <w:szCs w:val="32"/>
          <w:lang w:eastAsia="zh-CN"/>
        </w:rPr>
        <w:t>万元。</w:t>
      </w:r>
    </w:p>
    <w:p>
      <w:pPr>
        <w:spacing w:line="600" w:lineRule="exact"/>
        <w:ind w:firstLine="640" w:firstLineChars="200"/>
        <w:rPr>
          <w:rFonts w:ascii="仿宋" w:hAnsi="仿宋" w:eastAsia="仿宋"/>
          <w:b/>
          <w:color w:val="00B050"/>
          <w:sz w:val="32"/>
          <w:szCs w:val="32"/>
        </w:rPr>
      </w:pPr>
      <w:r>
        <w:rPr>
          <w:rFonts w:hint="eastAsia" w:ascii="仿宋" w:hAnsi="仿宋" w:eastAsia="仿宋"/>
          <w:color w:val="000000" w:themeColor="text1"/>
          <w:sz w:val="32"/>
          <w:szCs w:val="32"/>
        </w:rPr>
        <w:t>（图4：财政拨款收、支决算总计变动情况）（柱状图）</w:t>
      </w:r>
    </w:p>
    <w:p>
      <w:pPr>
        <w:rPr>
          <w:rFonts w:hint="eastAsia" w:ascii="仿宋" w:hAnsi="仿宋" w:eastAsia="仿宋"/>
          <w:b/>
          <w:color w:val="00B050"/>
          <w:sz w:val="32"/>
          <w:szCs w:val="32"/>
          <w:lang w:eastAsia="zh-CN"/>
        </w:rPr>
      </w:pPr>
    </w:p>
    <w:p>
      <w:pPr>
        <w:pStyle w:val="2"/>
        <w:rPr>
          <w:rFonts w:hint="eastAsia" w:ascii="仿宋" w:hAnsi="仿宋" w:eastAsia="仿宋"/>
          <w:b/>
          <w:color w:val="00B050"/>
          <w:sz w:val="32"/>
          <w:szCs w:val="32"/>
          <w:lang w:eastAsia="zh-CN"/>
        </w:rPr>
      </w:pPr>
    </w:p>
    <w:p>
      <w:pPr>
        <w:rPr>
          <w:rFonts w:hint="eastAsia" w:ascii="仿宋" w:hAnsi="仿宋" w:eastAsia="仿宋"/>
          <w:b/>
          <w:color w:val="00B050"/>
          <w:sz w:val="32"/>
          <w:szCs w:val="32"/>
          <w:lang w:eastAsia="zh-CN"/>
        </w:rPr>
      </w:pPr>
      <w:r>
        <w:rPr>
          <w:rFonts w:hint="eastAsia" w:ascii="仿宋" w:hAnsi="仿宋" w:eastAsia="仿宋"/>
          <w:b/>
          <w:color w:val="00B050"/>
          <w:sz w:val="32"/>
          <w:szCs w:val="32"/>
          <w:lang w:eastAsia="zh-CN"/>
        </w:rPr>
        <w:drawing>
          <wp:inline distT="0" distB="0" distL="114300" distR="114300">
            <wp:extent cx="5080000" cy="3810000"/>
            <wp:effectExtent l="4445" t="4445" r="2095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pPr>
    </w:p>
    <w:p>
      <w:pPr>
        <w:spacing w:line="600" w:lineRule="exact"/>
        <w:ind w:firstLine="640" w:firstLineChars="200"/>
        <w:outlineLvl w:val="1"/>
        <w:rPr>
          <w:rStyle w:val="27"/>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hint="eastAsia" w:ascii="楷体" w:hAnsi="楷体" w:eastAsia="楷体" w:cs="楷体"/>
          <w:b/>
          <w:color w:val="000000"/>
          <w:sz w:val="32"/>
          <w:szCs w:val="32"/>
        </w:rPr>
      </w:pPr>
      <w:bookmarkStart w:id="34" w:name="_Toc15377210"/>
      <w:r>
        <w:rPr>
          <w:rFonts w:hint="eastAsia" w:ascii="楷体" w:hAnsi="楷体" w:eastAsia="楷体" w:cs="楷体"/>
          <w:b/>
          <w:color w:val="000000"/>
          <w:sz w:val="32"/>
          <w:szCs w:val="32"/>
        </w:rPr>
        <w:t>（一）一般公共预算财政拨款支出决算总体情况</w:t>
      </w:r>
      <w:bookmarkEnd w:id="34"/>
    </w:p>
    <w:p>
      <w:pPr>
        <w:widowControl/>
        <w:spacing w:line="560" w:lineRule="exact"/>
        <w:ind w:firstLine="640"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sz w:val="32"/>
          <w:szCs w:val="32"/>
          <w:lang w:eastAsia="zh-CN"/>
        </w:rPr>
        <w:t>2019年一般公共预算财政拨款支出</w:t>
      </w:r>
      <w:r>
        <w:rPr>
          <w:rFonts w:hint="eastAsia" w:ascii="仿宋_GB2312" w:hAnsi="Calibri" w:eastAsia="仿宋_GB2312" w:cs="仿宋_GB2312"/>
          <w:sz w:val="32"/>
          <w:szCs w:val="32"/>
          <w:lang w:val="en-US" w:eastAsia="zh-CN"/>
        </w:rPr>
        <w:t>407.72</w:t>
      </w:r>
      <w:r>
        <w:rPr>
          <w:rFonts w:hint="eastAsia" w:ascii="仿宋_GB2312" w:hAnsi="Calibri" w:eastAsia="仿宋_GB2312" w:cs="仿宋_GB2312"/>
          <w:sz w:val="32"/>
          <w:szCs w:val="32"/>
          <w:lang w:eastAsia="zh-CN"/>
        </w:rPr>
        <w:t>万元，占本年支出合计的</w:t>
      </w:r>
      <w:r>
        <w:rPr>
          <w:rFonts w:hint="eastAsia" w:ascii="仿宋_GB2312" w:hAnsi="Calibri" w:eastAsia="仿宋_GB2312" w:cs="仿宋_GB2312"/>
          <w:sz w:val="32"/>
          <w:szCs w:val="32"/>
          <w:lang w:val="en-US" w:eastAsia="zh-CN"/>
        </w:rPr>
        <w:t>100</w:t>
      </w:r>
      <w:r>
        <w:rPr>
          <w:rFonts w:hint="eastAsia" w:ascii="仿宋_GB2312" w:hAnsi="Calibri" w:eastAsia="仿宋_GB2312" w:cs="仿宋_GB2312"/>
          <w:sz w:val="32"/>
          <w:szCs w:val="32"/>
          <w:lang w:eastAsia="zh-CN"/>
        </w:rPr>
        <w:t>%。与2018年相比，一般公共预算财政拨款增加</w:t>
      </w:r>
      <w:r>
        <w:rPr>
          <w:rFonts w:hint="eastAsia" w:ascii="仿宋_GB2312" w:hAnsi="Calibri" w:eastAsia="仿宋_GB2312" w:cs="仿宋_GB2312"/>
          <w:sz w:val="32"/>
          <w:szCs w:val="32"/>
          <w:lang w:val="en-US" w:eastAsia="zh-CN"/>
        </w:rPr>
        <w:t>109.69</w:t>
      </w:r>
      <w:r>
        <w:rPr>
          <w:rFonts w:hint="eastAsia" w:ascii="仿宋_GB2312" w:hAnsi="Calibri" w:eastAsia="仿宋_GB2312" w:cs="仿宋_GB2312"/>
          <w:sz w:val="32"/>
          <w:szCs w:val="32"/>
          <w:lang w:eastAsia="zh-CN"/>
        </w:rPr>
        <w:t>万元，增长</w:t>
      </w:r>
      <w:r>
        <w:rPr>
          <w:rFonts w:hint="eastAsia" w:ascii="仿宋_GB2312" w:hAnsi="Calibri" w:eastAsia="仿宋_GB2312" w:cs="仿宋_GB2312"/>
          <w:sz w:val="32"/>
          <w:szCs w:val="32"/>
          <w:lang w:val="en-US" w:eastAsia="zh-CN"/>
        </w:rPr>
        <w:t>36.81</w:t>
      </w:r>
      <w:r>
        <w:rPr>
          <w:rFonts w:hint="eastAsia" w:ascii="仿宋_GB2312" w:hAnsi="Calibri" w:eastAsia="仿宋_GB2312" w:cs="仿宋_GB2312"/>
          <w:sz w:val="32"/>
          <w:szCs w:val="32"/>
          <w:lang w:eastAsia="zh-CN"/>
        </w:rPr>
        <w:t>%。主要变动原因是我县</w:t>
      </w:r>
      <w:r>
        <w:rPr>
          <w:rFonts w:hint="eastAsia" w:ascii="仿宋_GB2312" w:hAnsi="Calibri" w:eastAsia="仿宋_GB2312" w:cs="仿宋_GB2312"/>
          <w:sz w:val="32"/>
          <w:szCs w:val="32"/>
          <w:lang w:val="en-US" w:eastAsia="zh-CN"/>
        </w:rPr>
        <w:t>2018-2019年工程项目审计费由我局统一支付</w:t>
      </w:r>
      <w:r>
        <w:rPr>
          <w:rFonts w:hint="eastAsia" w:ascii="仿宋_GB2312" w:hAnsi="Calibri" w:eastAsia="仿宋_GB2312" w:cs="仿宋_GB2312"/>
          <w:sz w:val="32"/>
          <w:szCs w:val="32"/>
          <w:lang w:eastAsia="zh-CN"/>
        </w:rPr>
        <w:t>，以及201</w:t>
      </w:r>
      <w:r>
        <w:rPr>
          <w:rFonts w:hint="eastAsia" w:ascii="仿宋_GB2312" w:hAnsi="Calibri" w:eastAsia="仿宋_GB2312" w:cs="仿宋_GB2312"/>
          <w:sz w:val="32"/>
          <w:szCs w:val="32"/>
          <w:lang w:val="en-US" w:eastAsia="zh-CN"/>
        </w:rPr>
        <w:t>9</w:t>
      </w:r>
      <w:r>
        <w:rPr>
          <w:rFonts w:hint="eastAsia" w:ascii="仿宋_GB2312" w:hAnsi="Calibri" w:eastAsia="仿宋_GB2312" w:cs="仿宋_GB2312"/>
          <w:sz w:val="32"/>
          <w:szCs w:val="32"/>
          <w:lang w:eastAsia="zh-CN"/>
        </w:rPr>
        <w:t>年工资调整等。</w:t>
      </w:r>
    </w:p>
    <w:p>
      <w:pPr>
        <w:spacing w:line="600" w:lineRule="exact"/>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rPr>
          <w:rFonts w:ascii="仿宋" w:hAnsi="仿宋" w:eastAsia="仿宋"/>
          <w:color w:val="000000" w:themeColor="text1"/>
          <w:sz w:val="32"/>
          <w:szCs w:val="32"/>
        </w:rPr>
      </w:pPr>
      <w:r>
        <w:rPr>
          <w:rFonts w:hint="eastAsia" w:ascii="仿宋" w:hAnsi="仿宋" w:eastAsia="仿宋"/>
          <w:color w:val="000000" w:themeColor="text1"/>
          <w:sz w:val="32"/>
          <w:szCs w:val="32"/>
          <w:lang w:eastAsia="zh-CN"/>
        </w:rPr>
        <w:drawing>
          <wp:inline distT="0" distB="0" distL="114300" distR="114300">
            <wp:extent cx="5080000" cy="3810000"/>
            <wp:effectExtent l="4445" t="4445" r="20955" b="1460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楷体" w:hAnsi="楷体" w:eastAsia="楷体" w:cs="楷体"/>
          <w:b/>
          <w:color w:val="000000"/>
          <w:sz w:val="32"/>
          <w:szCs w:val="32"/>
        </w:rPr>
        <w:t>（二）一般公共预算财政拨款支出决算结构情况</w:t>
      </w:r>
      <w:bookmarkEnd w:id="35"/>
    </w:p>
    <w:p>
      <w:pPr>
        <w:widowControl/>
        <w:spacing w:line="560" w:lineRule="exact"/>
        <w:ind w:firstLine="640" w:firstLineChars="200"/>
        <w:jc w:val="left"/>
        <w:rPr>
          <w:rFonts w:hint="eastAsia" w:ascii="仿宋_GB2312" w:hAnsi="Calibri" w:eastAsia="仿宋_GB2312" w:cs="仿宋_GB2312"/>
          <w:sz w:val="32"/>
          <w:szCs w:val="32"/>
          <w:lang w:eastAsia="zh-CN"/>
        </w:rPr>
      </w:pPr>
      <w:r>
        <w:rPr>
          <w:rFonts w:hint="eastAsia" w:ascii="仿宋_GB2312" w:hAnsi="Calibri" w:eastAsia="仿宋_GB2312" w:cs="仿宋_GB2312"/>
          <w:sz w:val="32"/>
          <w:szCs w:val="32"/>
          <w:lang w:eastAsia="zh-CN"/>
        </w:rPr>
        <w:t>2019年一般公共预算财政拨款支出</w:t>
      </w:r>
      <w:r>
        <w:rPr>
          <w:rFonts w:hint="eastAsia" w:ascii="仿宋_GB2312" w:hAnsi="Calibri" w:eastAsia="仿宋_GB2312" w:cs="仿宋_GB2312"/>
          <w:sz w:val="32"/>
          <w:szCs w:val="32"/>
          <w:lang w:val="en-US" w:eastAsia="zh-CN"/>
        </w:rPr>
        <w:t>407.72</w:t>
      </w:r>
      <w:r>
        <w:rPr>
          <w:rFonts w:hint="eastAsia" w:ascii="仿宋_GB2312" w:hAnsi="Calibri" w:eastAsia="仿宋_GB2312" w:cs="仿宋_GB2312"/>
          <w:sz w:val="32"/>
          <w:szCs w:val="32"/>
          <w:lang w:eastAsia="zh-CN"/>
        </w:rPr>
        <w:t>万元，主要用于以下方面:</w:t>
      </w:r>
      <w:r>
        <w:rPr>
          <w:rFonts w:hint="eastAsia" w:ascii="仿宋_GB2312" w:hAnsi="Calibri" w:eastAsia="仿宋_GB2312" w:cs="仿宋_GB2312"/>
          <w:b/>
          <w:bCs/>
          <w:sz w:val="32"/>
          <w:szCs w:val="32"/>
          <w:lang w:eastAsia="zh-CN"/>
        </w:rPr>
        <w:t>一般公共服务（</w:t>
      </w:r>
      <w:r>
        <w:rPr>
          <w:rFonts w:hint="eastAsia" w:ascii="仿宋_GB2312" w:hAnsi="Calibri" w:eastAsia="仿宋_GB2312" w:cs="仿宋_GB2312"/>
          <w:b/>
          <w:bCs/>
          <w:sz w:val="32"/>
          <w:szCs w:val="32"/>
          <w:lang w:val="en-US" w:eastAsia="zh-CN"/>
        </w:rPr>
        <w:t>201</w:t>
      </w:r>
      <w:r>
        <w:rPr>
          <w:rFonts w:hint="eastAsia" w:ascii="仿宋_GB2312" w:hAnsi="Calibri" w:eastAsia="仿宋_GB2312" w:cs="仿宋_GB2312"/>
          <w:b/>
          <w:bCs/>
          <w:sz w:val="32"/>
          <w:szCs w:val="32"/>
          <w:lang w:eastAsia="zh-CN"/>
        </w:rPr>
        <w:t>）</w:t>
      </w:r>
      <w:r>
        <w:rPr>
          <w:rFonts w:hint="eastAsia" w:ascii="仿宋_GB2312" w:hAnsi="Calibri" w:eastAsia="仿宋_GB2312" w:cs="仿宋_GB2312"/>
          <w:sz w:val="32"/>
          <w:szCs w:val="32"/>
          <w:lang w:eastAsia="zh-CN"/>
        </w:rPr>
        <w:t>支出</w:t>
      </w:r>
      <w:r>
        <w:rPr>
          <w:rFonts w:hint="eastAsia" w:ascii="仿宋_GB2312" w:hAnsi="Calibri" w:eastAsia="仿宋_GB2312" w:cs="仿宋_GB2312"/>
          <w:sz w:val="32"/>
          <w:szCs w:val="32"/>
          <w:lang w:val="en-US" w:eastAsia="zh-CN"/>
        </w:rPr>
        <w:t>341.61</w:t>
      </w:r>
      <w:r>
        <w:rPr>
          <w:rFonts w:hint="eastAsia" w:ascii="仿宋_GB2312" w:hAnsi="Calibri" w:eastAsia="仿宋_GB2312" w:cs="仿宋_GB2312"/>
          <w:sz w:val="32"/>
          <w:szCs w:val="32"/>
          <w:lang w:eastAsia="zh-CN"/>
        </w:rPr>
        <w:t>万元，占</w:t>
      </w:r>
      <w:r>
        <w:rPr>
          <w:rFonts w:hint="eastAsia" w:ascii="仿宋_GB2312" w:hAnsi="Calibri" w:eastAsia="仿宋_GB2312" w:cs="仿宋_GB2312"/>
          <w:sz w:val="32"/>
          <w:szCs w:val="32"/>
          <w:lang w:val="en-US" w:eastAsia="zh-CN"/>
        </w:rPr>
        <w:t>83.79</w:t>
      </w:r>
      <w:r>
        <w:rPr>
          <w:rFonts w:hint="eastAsia" w:ascii="仿宋_GB2312" w:hAnsi="Calibri" w:eastAsia="仿宋_GB2312" w:cs="仿宋_GB2312"/>
          <w:sz w:val="32"/>
          <w:szCs w:val="32"/>
          <w:lang w:eastAsia="zh-CN"/>
        </w:rPr>
        <w:t>%；</w:t>
      </w:r>
      <w:r>
        <w:rPr>
          <w:rFonts w:hint="eastAsia" w:ascii="仿宋_GB2312" w:hAnsi="Calibri" w:eastAsia="仿宋_GB2312" w:cs="仿宋_GB2312"/>
          <w:b/>
          <w:bCs/>
          <w:sz w:val="32"/>
          <w:szCs w:val="32"/>
          <w:lang w:eastAsia="zh-CN"/>
        </w:rPr>
        <w:t>社会保障和就业（</w:t>
      </w:r>
      <w:r>
        <w:rPr>
          <w:rFonts w:hint="eastAsia" w:ascii="仿宋_GB2312" w:hAnsi="Calibri" w:eastAsia="仿宋_GB2312" w:cs="仿宋_GB2312"/>
          <w:b/>
          <w:bCs/>
          <w:sz w:val="32"/>
          <w:szCs w:val="32"/>
          <w:lang w:val="en-US" w:eastAsia="zh-CN"/>
        </w:rPr>
        <w:t>208</w:t>
      </w:r>
      <w:r>
        <w:rPr>
          <w:rFonts w:hint="eastAsia" w:ascii="仿宋_GB2312" w:hAnsi="Calibri" w:eastAsia="仿宋_GB2312" w:cs="仿宋_GB2312"/>
          <w:b/>
          <w:bCs/>
          <w:sz w:val="32"/>
          <w:szCs w:val="32"/>
          <w:lang w:eastAsia="zh-CN"/>
        </w:rPr>
        <w:t>）</w:t>
      </w:r>
      <w:r>
        <w:rPr>
          <w:rFonts w:hint="eastAsia" w:ascii="仿宋_GB2312" w:hAnsi="Calibri" w:eastAsia="仿宋_GB2312" w:cs="仿宋_GB2312"/>
          <w:sz w:val="32"/>
          <w:szCs w:val="32"/>
          <w:lang w:eastAsia="zh-CN"/>
        </w:rPr>
        <w:t>支出</w:t>
      </w:r>
      <w:r>
        <w:rPr>
          <w:rFonts w:hint="eastAsia" w:ascii="仿宋_GB2312" w:hAnsi="Calibri" w:eastAsia="仿宋_GB2312" w:cs="仿宋_GB2312"/>
          <w:sz w:val="32"/>
          <w:szCs w:val="32"/>
          <w:lang w:val="en-US" w:eastAsia="zh-CN"/>
        </w:rPr>
        <w:t>34.59</w:t>
      </w:r>
      <w:r>
        <w:rPr>
          <w:rFonts w:hint="eastAsia" w:ascii="仿宋_GB2312" w:hAnsi="Calibri" w:eastAsia="仿宋_GB2312" w:cs="仿宋_GB2312"/>
          <w:sz w:val="32"/>
          <w:szCs w:val="32"/>
          <w:lang w:eastAsia="zh-CN"/>
        </w:rPr>
        <w:t>万元，占</w:t>
      </w:r>
      <w:r>
        <w:rPr>
          <w:rFonts w:hint="eastAsia" w:ascii="仿宋_GB2312" w:hAnsi="Calibri" w:eastAsia="仿宋_GB2312" w:cs="仿宋_GB2312"/>
          <w:sz w:val="32"/>
          <w:szCs w:val="32"/>
          <w:lang w:val="en-US" w:eastAsia="zh-CN"/>
        </w:rPr>
        <w:t>8.48</w:t>
      </w:r>
      <w:r>
        <w:rPr>
          <w:rFonts w:hint="eastAsia" w:ascii="仿宋_GB2312" w:hAnsi="Calibri" w:eastAsia="仿宋_GB2312" w:cs="仿宋_GB2312"/>
          <w:sz w:val="32"/>
          <w:szCs w:val="32"/>
          <w:lang w:eastAsia="zh-CN"/>
        </w:rPr>
        <w:t>%；</w:t>
      </w:r>
      <w:r>
        <w:rPr>
          <w:rFonts w:hint="eastAsia" w:ascii="仿宋_GB2312" w:hAnsi="Calibri" w:eastAsia="仿宋_GB2312" w:cs="仿宋_GB2312"/>
          <w:b/>
          <w:bCs/>
          <w:sz w:val="32"/>
          <w:szCs w:val="32"/>
          <w:lang w:eastAsia="zh-CN"/>
        </w:rPr>
        <w:t>卫生健康（</w:t>
      </w:r>
      <w:r>
        <w:rPr>
          <w:rFonts w:hint="eastAsia" w:ascii="仿宋_GB2312" w:hAnsi="Calibri" w:eastAsia="仿宋_GB2312" w:cs="仿宋_GB2312"/>
          <w:b/>
          <w:bCs/>
          <w:sz w:val="32"/>
          <w:szCs w:val="32"/>
          <w:lang w:val="en-US" w:eastAsia="zh-CN"/>
        </w:rPr>
        <w:t>210</w:t>
      </w:r>
      <w:r>
        <w:rPr>
          <w:rFonts w:hint="eastAsia" w:ascii="仿宋_GB2312" w:hAnsi="Calibri" w:eastAsia="仿宋_GB2312" w:cs="仿宋_GB2312"/>
          <w:b/>
          <w:bCs/>
          <w:sz w:val="32"/>
          <w:szCs w:val="32"/>
          <w:lang w:eastAsia="zh-CN"/>
        </w:rPr>
        <w:t>）</w:t>
      </w:r>
      <w:r>
        <w:rPr>
          <w:rFonts w:hint="eastAsia" w:ascii="仿宋_GB2312" w:hAnsi="Calibri" w:eastAsia="仿宋_GB2312" w:cs="仿宋_GB2312"/>
          <w:sz w:val="32"/>
          <w:szCs w:val="32"/>
          <w:lang w:eastAsia="zh-CN"/>
        </w:rPr>
        <w:t>支出</w:t>
      </w:r>
      <w:r>
        <w:rPr>
          <w:rFonts w:hint="eastAsia" w:ascii="仿宋_GB2312" w:hAnsi="Calibri" w:eastAsia="仿宋_GB2312" w:cs="仿宋_GB2312"/>
          <w:sz w:val="32"/>
          <w:szCs w:val="32"/>
          <w:lang w:val="en-US" w:eastAsia="zh-CN"/>
        </w:rPr>
        <w:t>11.14</w:t>
      </w:r>
      <w:r>
        <w:rPr>
          <w:rFonts w:hint="eastAsia" w:ascii="仿宋_GB2312" w:hAnsi="Calibri" w:eastAsia="仿宋_GB2312" w:cs="仿宋_GB2312"/>
          <w:sz w:val="32"/>
          <w:szCs w:val="32"/>
          <w:lang w:eastAsia="zh-CN"/>
        </w:rPr>
        <w:t>万元，占</w:t>
      </w:r>
      <w:r>
        <w:rPr>
          <w:rFonts w:hint="eastAsia" w:ascii="仿宋_GB2312" w:hAnsi="Calibri" w:eastAsia="仿宋_GB2312" w:cs="仿宋_GB2312"/>
          <w:sz w:val="32"/>
          <w:szCs w:val="32"/>
          <w:lang w:val="en-US" w:eastAsia="zh-CN"/>
        </w:rPr>
        <w:t>2.73</w:t>
      </w:r>
      <w:r>
        <w:rPr>
          <w:rFonts w:hint="eastAsia" w:ascii="仿宋_GB2312" w:hAnsi="Calibri" w:eastAsia="仿宋_GB2312" w:cs="仿宋_GB2312"/>
          <w:sz w:val="32"/>
          <w:szCs w:val="32"/>
          <w:lang w:eastAsia="zh-CN"/>
        </w:rPr>
        <w:t>%；</w:t>
      </w:r>
      <w:r>
        <w:rPr>
          <w:rFonts w:hint="eastAsia" w:ascii="仿宋_GB2312" w:hAnsi="Calibri" w:eastAsia="仿宋_GB2312" w:cs="仿宋_GB2312"/>
          <w:b/>
          <w:bCs/>
          <w:sz w:val="32"/>
          <w:szCs w:val="32"/>
          <w:lang w:eastAsia="zh-CN"/>
        </w:rPr>
        <w:t>农林水（</w:t>
      </w:r>
      <w:r>
        <w:rPr>
          <w:rFonts w:hint="eastAsia" w:ascii="仿宋_GB2312" w:hAnsi="Calibri" w:eastAsia="仿宋_GB2312" w:cs="仿宋_GB2312"/>
          <w:b/>
          <w:bCs/>
          <w:sz w:val="32"/>
          <w:szCs w:val="32"/>
          <w:lang w:val="en-US" w:eastAsia="zh-CN"/>
        </w:rPr>
        <w:t>213</w:t>
      </w:r>
      <w:r>
        <w:rPr>
          <w:rFonts w:hint="eastAsia" w:ascii="仿宋_GB2312" w:hAnsi="Calibri" w:eastAsia="仿宋_GB2312" w:cs="仿宋_GB2312"/>
          <w:b/>
          <w:bCs/>
          <w:sz w:val="32"/>
          <w:szCs w:val="32"/>
          <w:lang w:eastAsia="zh-CN"/>
        </w:rPr>
        <w:t>）</w:t>
      </w:r>
      <w:r>
        <w:rPr>
          <w:rFonts w:hint="eastAsia" w:ascii="仿宋_GB2312" w:hAnsi="Calibri" w:eastAsia="仿宋_GB2312" w:cs="仿宋_GB2312"/>
          <w:sz w:val="32"/>
          <w:szCs w:val="32"/>
          <w:lang w:eastAsia="zh-CN"/>
        </w:rPr>
        <w:t>支出</w:t>
      </w:r>
      <w:r>
        <w:rPr>
          <w:rFonts w:hint="eastAsia" w:ascii="仿宋_GB2312" w:hAnsi="Calibri" w:eastAsia="仿宋_GB2312" w:cs="仿宋_GB2312"/>
          <w:sz w:val="32"/>
          <w:szCs w:val="32"/>
          <w:lang w:val="en-US" w:eastAsia="zh-CN"/>
        </w:rPr>
        <w:t>1.20万元，占0.3%；</w:t>
      </w:r>
      <w:r>
        <w:rPr>
          <w:rFonts w:hint="eastAsia" w:ascii="仿宋_GB2312" w:hAnsi="Calibri" w:eastAsia="仿宋_GB2312" w:cs="仿宋_GB2312"/>
          <w:b/>
          <w:bCs/>
          <w:sz w:val="32"/>
          <w:szCs w:val="32"/>
          <w:lang w:eastAsia="zh-CN"/>
        </w:rPr>
        <w:t>住房保障（</w:t>
      </w:r>
      <w:r>
        <w:rPr>
          <w:rFonts w:hint="eastAsia" w:ascii="仿宋_GB2312" w:hAnsi="Calibri" w:eastAsia="仿宋_GB2312" w:cs="仿宋_GB2312"/>
          <w:b/>
          <w:bCs/>
          <w:sz w:val="32"/>
          <w:szCs w:val="32"/>
          <w:lang w:val="en-US" w:eastAsia="zh-CN"/>
        </w:rPr>
        <w:t>221</w:t>
      </w:r>
      <w:r>
        <w:rPr>
          <w:rFonts w:hint="eastAsia" w:ascii="仿宋_GB2312" w:hAnsi="Calibri" w:eastAsia="仿宋_GB2312" w:cs="仿宋_GB2312"/>
          <w:b/>
          <w:bCs/>
          <w:sz w:val="32"/>
          <w:szCs w:val="32"/>
          <w:lang w:eastAsia="zh-CN"/>
        </w:rPr>
        <w:t>）</w:t>
      </w:r>
      <w:r>
        <w:rPr>
          <w:rFonts w:hint="eastAsia" w:ascii="仿宋_GB2312" w:hAnsi="Calibri" w:eastAsia="仿宋_GB2312" w:cs="仿宋_GB2312"/>
          <w:sz w:val="32"/>
          <w:szCs w:val="32"/>
          <w:lang w:eastAsia="zh-CN"/>
        </w:rPr>
        <w:t>支出</w:t>
      </w:r>
      <w:r>
        <w:rPr>
          <w:rFonts w:hint="eastAsia" w:ascii="仿宋_GB2312" w:hAnsi="Calibri" w:eastAsia="仿宋_GB2312" w:cs="仿宋_GB2312"/>
          <w:sz w:val="32"/>
          <w:szCs w:val="32"/>
          <w:lang w:val="en-US" w:eastAsia="zh-CN"/>
        </w:rPr>
        <w:t>19.18</w:t>
      </w:r>
      <w:r>
        <w:rPr>
          <w:rFonts w:hint="eastAsia" w:ascii="仿宋_GB2312" w:hAnsi="Calibri" w:eastAsia="仿宋_GB2312" w:cs="仿宋_GB2312"/>
          <w:sz w:val="32"/>
          <w:szCs w:val="32"/>
          <w:lang w:eastAsia="zh-CN"/>
        </w:rPr>
        <w:t>万元，占</w:t>
      </w:r>
      <w:r>
        <w:rPr>
          <w:rFonts w:hint="eastAsia" w:ascii="仿宋_GB2312" w:hAnsi="Calibri" w:eastAsia="仿宋_GB2312" w:cs="仿宋_GB2312"/>
          <w:sz w:val="32"/>
          <w:szCs w:val="32"/>
          <w:lang w:val="en-US" w:eastAsia="zh-CN"/>
        </w:rPr>
        <w:t>4.70</w:t>
      </w:r>
      <w:r>
        <w:rPr>
          <w:rFonts w:hint="eastAsia" w:ascii="仿宋_GB2312" w:hAnsi="Calibri" w:eastAsia="仿宋_GB2312" w:cs="仿宋_GB2312"/>
          <w:sz w:val="32"/>
          <w:szCs w:val="32"/>
          <w:lang w:eastAsia="zh-CN"/>
        </w:rPr>
        <w:t>%。</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pStyle w:val="2"/>
        <w:rPr>
          <w:rFonts w:hint="eastAsia" w:ascii="仿宋" w:hAnsi="仿宋" w:eastAsia="仿宋"/>
          <w:color w:val="000000"/>
          <w:sz w:val="32"/>
          <w:szCs w:val="32"/>
        </w:rPr>
      </w:pPr>
    </w:p>
    <w:p>
      <w:pPr>
        <w:rPr>
          <w:rFonts w:hint="eastAsia" w:ascii="仿宋" w:hAnsi="仿宋" w:eastAsia="仿宋"/>
          <w:color w:val="000000"/>
          <w:sz w:val="32"/>
          <w:szCs w:val="32"/>
        </w:rPr>
      </w:pPr>
    </w:p>
    <w:p>
      <w:pPr>
        <w:pStyle w:val="2"/>
        <w:rPr>
          <w:rFonts w:hint="eastAsia" w:eastAsia="宋体"/>
          <w:lang w:eastAsia="zh-CN"/>
        </w:rPr>
      </w:pPr>
      <w:r>
        <w:rPr>
          <w:rFonts w:hint="eastAsia" w:eastAsia="宋体"/>
          <w:lang w:eastAsia="zh-CN"/>
        </w:rPr>
        <w:drawing>
          <wp:inline distT="0" distB="0" distL="114300" distR="114300">
            <wp:extent cx="5070475" cy="3420745"/>
            <wp:effectExtent l="4445" t="4445" r="11430" b="2286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rPr>
          <w:rFonts w:hint="eastAsia"/>
          <w:lang w:eastAsia="zh-CN"/>
        </w:rPr>
      </w:pPr>
    </w:p>
    <w:p>
      <w:pPr>
        <w:rPr>
          <w:rFonts w:hint="eastAsia"/>
          <w:lang w:eastAsia="zh-CN"/>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楷体" w:hAnsi="楷体" w:eastAsia="楷体" w:cs="楷体"/>
          <w:b/>
          <w:color w:val="000000"/>
          <w:sz w:val="32"/>
          <w:szCs w:val="32"/>
        </w:rPr>
        <w:t>（三）一般公共预算财政拨款支出决算具体情况</w:t>
      </w:r>
      <w:bookmarkEnd w:id="36"/>
    </w:p>
    <w:p>
      <w:pPr>
        <w:spacing w:line="600" w:lineRule="exact"/>
        <w:ind w:firstLine="640" w:firstLineChars="200"/>
        <w:outlineLvl w:val="2"/>
        <w:rPr>
          <w:rFonts w:ascii="仿宋" w:hAnsi="仿宋" w:eastAsia="仿宋"/>
          <w:b w:val="0"/>
          <w:bCs/>
          <w:color w:val="FF0000"/>
          <w:sz w:val="32"/>
          <w:szCs w:val="32"/>
        </w:rPr>
      </w:pPr>
      <w:bookmarkStart w:id="37" w:name="_Toc15377213"/>
      <w:bookmarkStart w:id="38" w:name="_Toc15377444"/>
      <w:bookmarkStart w:id="39" w:name="_Toc15378460"/>
      <w:r>
        <w:rPr>
          <w:rFonts w:hint="eastAsia" w:ascii="仿宋_GB2312" w:hAnsi="Calibri" w:eastAsia="仿宋_GB2312" w:cs="仿宋_GB2312"/>
          <w:sz w:val="32"/>
          <w:szCs w:val="32"/>
          <w:lang w:eastAsia="zh-CN"/>
        </w:rPr>
        <w:t>2019年一般公共预算支出决算数为</w:t>
      </w:r>
      <w:r>
        <w:rPr>
          <w:rFonts w:hint="eastAsia" w:ascii="仿宋_GB2312" w:hAnsi="Calibri" w:eastAsia="仿宋_GB2312" w:cs="仿宋_GB2312"/>
          <w:sz w:val="32"/>
          <w:szCs w:val="32"/>
          <w:lang w:val="en-US" w:eastAsia="zh-CN"/>
        </w:rPr>
        <w:t>407.72</w:t>
      </w:r>
      <w:r>
        <w:rPr>
          <w:rFonts w:hint="eastAsia" w:ascii="仿宋_GB2312" w:hAnsi="Calibri" w:eastAsia="仿宋_GB2312" w:cs="仿宋_GB2312"/>
          <w:sz w:val="32"/>
          <w:szCs w:val="32"/>
          <w:lang w:eastAsia="zh-CN"/>
        </w:rPr>
        <w:t>，完成预算</w:t>
      </w:r>
      <w:r>
        <w:rPr>
          <w:rFonts w:hint="eastAsia" w:ascii="仿宋_GB2312" w:hAnsi="Calibri" w:eastAsia="仿宋_GB2312" w:cs="仿宋_GB2312"/>
          <w:sz w:val="32"/>
          <w:szCs w:val="32"/>
          <w:lang w:val="en-US" w:eastAsia="zh-CN"/>
        </w:rPr>
        <w:t>98.36</w:t>
      </w:r>
      <w:r>
        <w:rPr>
          <w:rFonts w:hint="eastAsia" w:ascii="仿宋_GB2312" w:hAnsi="Calibri" w:eastAsia="仿宋_GB2312" w:cs="仿宋_GB2312"/>
          <w:sz w:val="32"/>
          <w:szCs w:val="32"/>
          <w:lang w:eastAsia="zh-CN"/>
        </w:rPr>
        <w:t>%。其中：</w:t>
      </w:r>
      <w:bookmarkEnd w:id="37"/>
      <w:bookmarkEnd w:id="38"/>
      <w:bookmarkEnd w:id="39"/>
    </w:p>
    <w:p>
      <w:pPr>
        <w:spacing w:line="600" w:lineRule="exact"/>
        <w:ind w:firstLine="643" w:firstLineChars="200"/>
        <w:rPr>
          <w:rFonts w:hint="eastAsia" w:ascii="仿宋_GB2312" w:hAnsi="Calibri" w:eastAsia="仿宋_GB2312" w:cs="仿宋_GB2312"/>
          <w:sz w:val="32"/>
          <w:szCs w:val="32"/>
          <w:lang w:eastAsia="zh-CN"/>
        </w:rPr>
      </w:pPr>
      <w:r>
        <w:rPr>
          <w:rFonts w:hint="eastAsia" w:ascii="仿宋_GB2312" w:hAnsi="宋体" w:eastAsia="仿宋_GB2312" w:cs="宋体"/>
          <w:b/>
          <w:bCs/>
          <w:color w:val="000000"/>
          <w:kern w:val="0"/>
          <w:sz w:val="32"/>
          <w:szCs w:val="32"/>
          <w:shd w:val="clear" w:color="auto" w:fill="FFFFFF"/>
          <w:lang w:val="zh-CN"/>
        </w:rPr>
        <w:t>1.一般公共服务</w:t>
      </w:r>
      <w:r>
        <w:rPr>
          <w:rFonts w:hint="eastAsia" w:ascii="仿宋_GB2312" w:hAnsi="宋体" w:eastAsia="仿宋_GB2312" w:cs="宋体"/>
          <w:b/>
          <w:bCs/>
          <w:color w:val="000000"/>
          <w:kern w:val="0"/>
          <w:sz w:val="32"/>
          <w:szCs w:val="32"/>
          <w:shd w:val="clear" w:color="auto" w:fill="FFFFFF"/>
          <w:lang w:val="zh-CN" w:eastAsia="zh-CN"/>
        </w:rPr>
        <w:t>支出</w:t>
      </w:r>
      <w:r>
        <w:rPr>
          <w:rFonts w:hint="eastAsia" w:ascii="仿宋_GB2312" w:hAnsi="宋体" w:eastAsia="仿宋_GB2312" w:cs="宋体"/>
          <w:b/>
          <w:bCs/>
          <w:color w:val="000000"/>
          <w:kern w:val="0"/>
          <w:sz w:val="32"/>
          <w:szCs w:val="32"/>
          <w:shd w:val="clear" w:color="auto" w:fill="FFFFFF"/>
          <w:lang w:val="zh-CN"/>
        </w:rPr>
        <w:t>（</w:t>
      </w:r>
      <w:r>
        <w:rPr>
          <w:rFonts w:hint="eastAsia" w:ascii="仿宋_GB2312" w:hAnsi="宋体" w:eastAsia="仿宋_GB2312" w:cs="宋体"/>
          <w:b/>
          <w:bCs/>
          <w:color w:val="000000"/>
          <w:kern w:val="0"/>
          <w:sz w:val="32"/>
          <w:szCs w:val="32"/>
          <w:shd w:val="clear" w:color="auto" w:fill="FFFFFF"/>
          <w:lang w:val="en-US" w:eastAsia="zh-CN"/>
        </w:rPr>
        <w:t>201</w:t>
      </w:r>
      <w:r>
        <w:rPr>
          <w:rFonts w:hint="eastAsia" w:ascii="仿宋_GB2312" w:hAnsi="宋体" w:eastAsia="仿宋_GB2312" w:cs="宋体"/>
          <w:b/>
          <w:bCs/>
          <w:color w:val="000000"/>
          <w:kern w:val="0"/>
          <w:sz w:val="32"/>
          <w:szCs w:val="32"/>
          <w:shd w:val="clear" w:color="auto" w:fill="FFFFFF"/>
          <w:lang w:val="zh-CN"/>
        </w:rPr>
        <w:t>）:</w:t>
      </w:r>
      <w:r>
        <w:rPr>
          <w:rStyle w:val="15"/>
          <w:rFonts w:ascii="仿宋" w:hAnsi="仿宋" w:eastAsia="仿宋"/>
          <w:b w:val="0"/>
          <w:bCs/>
          <w:color w:val="000000"/>
          <w:sz w:val="32"/>
          <w:szCs w:val="32"/>
        </w:rPr>
        <w:t xml:space="preserve"> </w:t>
      </w:r>
      <w:r>
        <w:rPr>
          <w:rFonts w:hint="eastAsia" w:ascii="仿宋_GB2312" w:hAnsi="Calibri" w:eastAsia="仿宋_GB2312" w:cs="仿宋_GB2312"/>
          <w:sz w:val="32"/>
          <w:szCs w:val="32"/>
          <w:lang w:eastAsia="zh-CN"/>
        </w:rPr>
        <w:t>支出决算为</w:t>
      </w:r>
      <w:r>
        <w:rPr>
          <w:rFonts w:hint="eastAsia" w:ascii="仿宋_GB2312" w:hAnsi="Calibri" w:eastAsia="仿宋_GB2312" w:cs="仿宋_GB2312"/>
          <w:sz w:val="32"/>
          <w:szCs w:val="32"/>
          <w:lang w:val="en-US" w:eastAsia="zh-CN"/>
        </w:rPr>
        <w:t>341.60</w:t>
      </w:r>
      <w:r>
        <w:rPr>
          <w:rFonts w:hint="eastAsia" w:ascii="仿宋_GB2312" w:hAnsi="Calibri" w:eastAsia="仿宋_GB2312" w:cs="仿宋_GB2312"/>
          <w:sz w:val="32"/>
          <w:szCs w:val="32"/>
          <w:lang w:eastAsia="zh-CN"/>
        </w:rPr>
        <w:t>万元，完成预算</w:t>
      </w:r>
      <w:r>
        <w:rPr>
          <w:rFonts w:hint="eastAsia" w:ascii="仿宋_GB2312" w:hAnsi="Calibri" w:eastAsia="仿宋_GB2312" w:cs="仿宋_GB2312"/>
          <w:sz w:val="32"/>
          <w:szCs w:val="32"/>
          <w:lang w:val="en-US" w:eastAsia="zh-CN"/>
        </w:rPr>
        <w:t>98.05</w:t>
      </w:r>
      <w:r>
        <w:rPr>
          <w:rFonts w:hint="eastAsia" w:ascii="仿宋_GB2312" w:hAnsi="Calibri" w:eastAsia="仿宋_GB2312" w:cs="仿宋_GB2312"/>
          <w:sz w:val="32"/>
          <w:szCs w:val="32"/>
          <w:lang w:eastAsia="zh-CN"/>
        </w:rPr>
        <w:t>%，决算数小于预算数的主要原因是我局中央专项资金使用期为两年。其中：</w:t>
      </w:r>
      <w:r>
        <w:rPr>
          <w:rFonts w:hint="eastAsia" w:ascii="仿宋_GB2312" w:hAnsi="Calibri" w:eastAsia="仿宋_GB2312" w:cs="仿宋_GB2312"/>
          <w:b/>
          <w:bCs/>
          <w:sz w:val="32"/>
          <w:szCs w:val="32"/>
          <w:lang w:eastAsia="zh-CN"/>
        </w:rPr>
        <w:t>行政运行（2010801）</w:t>
      </w:r>
      <w:r>
        <w:rPr>
          <w:rFonts w:hint="eastAsia" w:ascii="仿宋_GB2312" w:hAnsi="Calibri" w:eastAsia="仿宋_GB2312" w:cs="仿宋_GB2312"/>
          <w:sz w:val="32"/>
          <w:szCs w:val="32"/>
          <w:lang w:eastAsia="zh-CN"/>
        </w:rPr>
        <w:t>支出决算为</w:t>
      </w:r>
      <w:r>
        <w:rPr>
          <w:rFonts w:hint="eastAsia" w:ascii="仿宋_GB2312" w:hAnsi="Calibri" w:eastAsia="仿宋_GB2312" w:cs="仿宋_GB2312"/>
          <w:sz w:val="32"/>
          <w:szCs w:val="32"/>
          <w:lang w:val="en-US" w:eastAsia="zh-CN"/>
        </w:rPr>
        <w:t>184.98</w:t>
      </w:r>
      <w:r>
        <w:rPr>
          <w:rFonts w:hint="eastAsia" w:ascii="仿宋_GB2312" w:hAnsi="Calibri" w:eastAsia="仿宋_GB2312" w:cs="仿宋_GB2312"/>
          <w:sz w:val="32"/>
          <w:szCs w:val="32"/>
          <w:lang w:eastAsia="zh-CN"/>
        </w:rPr>
        <w:t>万元，完成预算100%，决算数与预算数持平；</w:t>
      </w:r>
      <w:r>
        <w:rPr>
          <w:rFonts w:hint="eastAsia" w:ascii="仿宋_GB2312" w:hAnsi="Calibri" w:eastAsia="仿宋_GB2312" w:cs="仿宋_GB2312"/>
          <w:b/>
          <w:bCs/>
          <w:sz w:val="32"/>
          <w:szCs w:val="32"/>
          <w:lang w:eastAsia="zh-CN"/>
        </w:rPr>
        <w:t>一般行政管理事务（2010802）</w:t>
      </w:r>
      <w:r>
        <w:rPr>
          <w:rFonts w:hint="eastAsia" w:ascii="仿宋_GB2312" w:hAnsi="Calibri" w:eastAsia="仿宋_GB2312" w:cs="仿宋_GB2312"/>
          <w:sz w:val="32"/>
          <w:szCs w:val="32"/>
          <w:lang w:eastAsia="zh-CN"/>
        </w:rPr>
        <w:t>支出决算为</w:t>
      </w:r>
      <w:r>
        <w:rPr>
          <w:rFonts w:hint="eastAsia" w:ascii="仿宋_GB2312" w:hAnsi="Calibri" w:eastAsia="仿宋_GB2312" w:cs="仿宋_GB2312"/>
          <w:sz w:val="32"/>
          <w:szCs w:val="32"/>
          <w:lang w:val="en-US" w:eastAsia="zh-CN"/>
        </w:rPr>
        <w:t>12.44</w:t>
      </w:r>
      <w:r>
        <w:rPr>
          <w:rFonts w:hint="eastAsia" w:ascii="仿宋_GB2312" w:hAnsi="Calibri" w:eastAsia="仿宋_GB2312" w:cs="仿宋_GB2312"/>
          <w:sz w:val="32"/>
          <w:szCs w:val="32"/>
          <w:lang w:eastAsia="zh-CN"/>
        </w:rPr>
        <w:t>万元，完成预算</w:t>
      </w:r>
      <w:r>
        <w:rPr>
          <w:rFonts w:hint="eastAsia" w:ascii="仿宋_GB2312" w:hAnsi="Calibri" w:eastAsia="仿宋_GB2312" w:cs="仿宋_GB2312"/>
          <w:sz w:val="32"/>
          <w:szCs w:val="32"/>
          <w:lang w:val="en-US" w:eastAsia="zh-CN"/>
        </w:rPr>
        <w:t>64.66</w:t>
      </w:r>
      <w:r>
        <w:rPr>
          <w:rFonts w:hint="eastAsia" w:ascii="仿宋_GB2312" w:hAnsi="Calibri" w:eastAsia="仿宋_GB2312" w:cs="仿宋_GB2312"/>
          <w:sz w:val="32"/>
          <w:szCs w:val="32"/>
          <w:lang w:eastAsia="zh-CN"/>
        </w:rPr>
        <w:t>%，决算数小于预算数的主要原因是我局中央专项资金使用期为两年；</w:t>
      </w:r>
      <w:r>
        <w:rPr>
          <w:rFonts w:hint="eastAsia" w:ascii="仿宋_GB2312" w:hAnsi="Calibri" w:eastAsia="仿宋_GB2312" w:cs="仿宋_GB2312"/>
          <w:b/>
          <w:bCs/>
          <w:sz w:val="32"/>
          <w:szCs w:val="32"/>
          <w:lang w:eastAsia="zh-CN"/>
        </w:rPr>
        <w:t>审计业务（2010804）</w:t>
      </w:r>
      <w:r>
        <w:rPr>
          <w:rFonts w:hint="eastAsia" w:ascii="仿宋_GB2312" w:hAnsi="Calibri" w:eastAsia="仿宋_GB2312" w:cs="仿宋_GB2312"/>
          <w:sz w:val="32"/>
          <w:szCs w:val="32"/>
          <w:lang w:eastAsia="zh-CN"/>
        </w:rPr>
        <w:t>支出决算为</w:t>
      </w:r>
      <w:r>
        <w:rPr>
          <w:rFonts w:hint="eastAsia" w:ascii="仿宋_GB2312" w:hAnsi="Calibri" w:eastAsia="仿宋_GB2312" w:cs="仿宋_GB2312"/>
          <w:sz w:val="32"/>
          <w:szCs w:val="32"/>
          <w:lang w:val="en-US" w:eastAsia="zh-CN"/>
        </w:rPr>
        <w:t>144.18</w:t>
      </w:r>
      <w:r>
        <w:rPr>
          <w:rFonts w:hint="eastAsia" w:ascii="仿宋_GB2312" w:hAnsi="Calibri" w:eastAsia="仿宋_GB2312" w:cs="仿宋_GB2312"/>
          <w:sz w:val="32"/>
          <w:szCs w:val="32"/>
          <w:lang w:eastAsia="zh-CN"/>
        </w:rPr>
        <w:t>万元，完成预算</w:t>
      </w:r>
      <w:r>
        <w:rPr>
          <w:rFonts w:hint="eastAsia" w:ascii="仿宋_GB2312" w:hAnsi="Calibri" w:eastAsia="仿宋_GB2312" w:cs="仿宋_GB2312"/>
          <w:sz w:val="32"/>
          <w:szCs w:val="32"/>
          <w:lang w:val="en-US" w:eastAsia="zh-CN"/>
        </w:rPr>
        <w:t>100</w:t>
      </w:r>
      <w:r>
        <w:rPr>
          <w:rFonts w:hint="eastAsia" w:ascii="仿宋_GB2312" w:hAnsi="Calibri" w:eastAsia="仿宋_GB2312" w:cs="仿宋_GB2312"/>
          <w:sz w:val="32"/>
          <w:szCs w:val="32"/>
          <w:lang w:eastAsia="zh-CN"/>
        </w:rPr>
        <w:t>%，决算数与预算数持平。</w:t>
      </w:r>
    </w:p>
    <w:p>
      <w:pPr>
        <w:spacing w:line="600" w:lineRule="exact"/>
        <w:ind w:firstLine="643" w:firstLineChars="200"/>
        <w:rPr>
          <w:rFonts w:hint="eastAsia" w:ascii="仿宋_GB2312" w:hAnsi="Calibri" w:eastAsia="仿宋_GB2312" w:cs="仿宋_GB2312"/>
          <w:sz w:val="32"/>
          <w:szCs w:val="32"/>
          <w:lang w:eastAsia="zh-CN"/>
        </w:rPr>
      </w:pPr>
      <w:r>
        <w:rPr>
          <w:rFonts w:hint="eastAsia" w:ascii="仿宋_GB2312" w:hAnsi="宋体" w:eastAsia="仿宋_GB2312" w:cs="宋体"/>
          <w:b/>
          <w:bCs/>
          <w:color w:val="000000"/>
          <w:kern w:val="0"/>
          <w:sz w:val="32"/>
          <w:szCs w:val="32"/>
          <w:shd w:val="clear" w:color="auto" w:fill="FFFFFF"/>
          <w:lang w:val="en-US" w:eastAsia="zh-CN"/>
        </w:rPr>
        <w:t>2</w:t>
      </w:r>
      <w:r>
        <w:rPr>
          <w:rFonts w:hint="eastAsia" w:ascii="仿宋_GB2312" w:hAnsi="宋体" w:eastAsia="仿宋_GB2312" w:cs="宋体"/>
          <w:b/>
          <w:bCs/>
          <w:color w:val="000000"/>
          <w:kern w:val="0"/>
          <w:sz w:val="32"/>
          <w:szCs w:val="32"/>
          <w:shd w:val="clear" w:color="auto" w:fill="FFFFFF"/>
          <w:lang w:val="zh-CN"/>
        </w:rPr>
        <w:t>.社会保障和就业</w:t>
      </w:r>
      <w:r>
        <w:rPr>
          <w:rFonts w:hint="eastAsia" w:ascii="仿宋_GB2312" w:hAnsi="宋体" w:eastAsia="仿宋_GB2312" w:cs="宋体"/>
          <w:b/>
          <w:bCs/>
          <w:color w:val="000000"/>
          <w:kern w:val="0"/>
          <w:sz w:val="32"/>
          <w:szCs w:val="32"/>
          <w:shd w:val="clear" w:color="auto" w:fill="FFFFFF"/>
          <w:lang w:val="zh-CN" w:eastAsia="zh-CN"/>
        </w:rPr>
        <w:t>支出</w:t>
      </w:r>
      <w:r>
        <w:rPr>
          <w:rFonts w:hint="eastAsia" w:ascii="仿宋_GB2312" w:hAnsi="宋体" w:eastAsia="仿宋_GB2312" w:cs="宋体"/>
          <w:b/>
          <w:bCs/>
          <w:color w:val="000000"/>
          <w:kern w:val="0"/>
          <w:sz w:val="32"/>
          <w:szCs w:val="32"/>
          <w:shd w:val="clear" w:color="auto" w:fill="FFFFFF"/>
          <w:lang w:val="zh-CN"/>
        </w:rPr>
        <w:t>（</w:t>
      </w:r>
      <w:r>
        <w:rPr>
          <w:rFonts w:hint="eastAsia" w:ascii="仿宋_GB2312" w:hAnsi="宋体" w:eastAsia="仿宋_GB2312" w:cs="宋体"/>
          <w:b/>
          <w:bCs/>
          <w:color w:val="000000"/>
          <w:kern w:val="0"/>
          <w:sz w:val="32"/>
          <w:szCs w:val="32"/>
          <w:shd w:val="clear" w:color="auto" w:fill="FFFFFF"/>
          <w:lang w:val="en-US" w:eastAsia="zh-CN"/>
        </w:rPr>
        <w:t>208</w:t>
      </w:r>
      <w:r>
        <w:rPr>
          <w:rFonts w:hint="eastAsia" w:ascii="仿宋_GB2312" w:hAnsi="宋体" w:eastAsia="仿宋_GB2312" w:cs="宋体"/>
          <w:b/>
          <w:bCs/>
          <w:color w:val="000000"/>
          <w:kern w:val="0"/>
          <w:sz w:val="32"/>
          <w:szCs w:val="32"/>
          <w:shd w:val="clear" w:color="auto" w:fill="FFFFFF"/>
          <w:lang w:val="zh-CN"/>
        </w:rPr>
        <w:t xml:space="preserve">）: </w:t>
      </w:r>
      <w:r>
        <w:rPr>
          <w:rFonts w:hint="eastAsia" w:ascii="仿宋_GB2312" w:hAnsi="Calibri" w:eastAsia="仿宋_GB2312" w:cs="仿宋_GB2312"/>
          <w:sz w:val="32"/>
          <w:szCs w:val="32"/>
          <w:lang w:eastAsia="zh-CN"/>
        </w:rPr>
        <w:t>支出决算为</w:t>
      </w:r>
      <w:r>
        <w:rPr>
          <w:rFonts w:hint="eastAsia" w:ascii="仿宋_GB2312" w:hAnsi="Calibri" w:eastAsia="仿宋_GB2312" w:cs="仿宋_GB2312"/>
          <w:sz w:val="32"/>
          <w:szCs w:val="32"/>
          <w:lang w:val="en-US" w:eastAsia="zh-CN"/>
        </w:rPr>
        <w:t>34.59</w:t>
      </w:r>
      <w:r>
        <w:rPr>
          <w:rFonts w:hint="eastAsia" w:ascii="仿宋_GB2312" w:hAnsi="Calibri" w:eastAsia="仿宋_GB2312" w:cs="仿宋_GB2312"/>
          <w:sz w:val="32"/>
          <w:szCs w:val="32"/>
          <w:lang w:eastAsia="zh-CN"/>
        </w:rPr>
        <w:t>万元，完成预算100%，决算数与预算数持平。其中：</w:t>
      </w:r>
      <w:r>
        <w:rPr>
          <w:rFonts w:hint="eastAsia" w:ascii="仿宋_GB2312" w:hAnsi="Calibri" w:eastAsia="仿宋_GB2312" w:cs="仿宋_GB2312"/>
          <w:b/>
          <w:bCs/>
          <w:sz w:val="32"/>
          <w:szCs w:val="32"/>
          <w:lang w:eastAsia="zh-CN"/>
        </w:rPr>
        <w:t>机关事业单位基本养老保险缴费支出（2080505）</w:t>
      </w:r>
      <w:r>
        <w:rPr>
          <w:rFonts w:hint="eastAsia" w:ascii="仿宋_GB2312" w:hAnsi="Calibri" w:eastAsia="仿宋_GB2312" w:cs="仿宋_GB2312"/>
          <w:sz w:val="32"/>
          <w:szCs w:val="32"/>
          <w:lang w:eastAsia="zh-CN"/>
        </w:rPr>
        <w:t>决算为</w:t>
      </w:r>
      <w:r>
        <w:rPr>
          <w:rFonts w:hint="eastAsia" w:ascii="仿宋_GB2312" w:hAnsi="Calibri" w:eastAsia="仿宋_GB2312" w:cs="仿宋_GB2312"/>
          <w:sz w:val="32"/>
          <w:szCs w:val="32"/>
          <w:lang w:val="en-US" w:eastAsia="zh-CN"/>
        </w:rPr>
        <w:t>23.59</w:t>
      </w:r>
      <w:r>
        <w:rPr>
          <w:rFonts w:hint="eastAsia" w:ascii="仿宋_GB2312" w:hAnsi="Calibri" w:eastAsia="仿宋_GB2312" w:cs="仿宋_GB2312"/>
          <w:sz w:val="32"/>
          <w:szCs w:val="32"/>
          <w:lang w:eastAsia="zh-CN"/>
        </w:rPr>
        <w:t>万元，完成预算100%，决算数与预算数持平；</w:t>
      </w:r>
      <w:r>
        <w:rPr>
          <w:rFonts w:hint="eastAsia" w:ascii="仿宋_GB2312" w:hAnsi="Calibri" w:eastAsia="仿宋_GB2312" w:cs="仿宋_GB2312"/>
          <w:b/>
          <w:bCs/>
          <w:sz w:val="32"/>
          <w:szCs w:val="32"/>
          <w:lang w:eastAsia="zh-CN"/>
        </w:rPr>
        <w:t>机关事业单位职业年金缴费支出（2080506）</w:t>
      </w:r>
      <w:r>
        <w:rPr>
          <w:rFonts w:hint="eastAsia" w:ascii="仿宋_GB2312" w:hAnsi="Calibri" w:eastAsia="仿宋_GB2312" w:cs="仿宋_GB2312"/>
          <w:sz w:val="32"/>
          <w:szCs w:val="32"/>
          <w:lang w:eastAsia="zh-CN"/>
        </w:rPr>
        <w:t>决算为</w:t>
      </w:r>
      <w:r>
        <w:rPr>
          <w:rFonts w:hint="eastAsia" w:ascii="仿宋_GB2312" w:hAnsi="Calibri" w:eastAsia="仿宋_GB2312" w:cs="仿宋_GB2312"/>
          <w:sz w:val="32"/>
          <w:szCs w:val="32"/>
          <w:lang w:val="en-US" w:eastAsia="zh-CN"/>
        </w:rPr>
        <w:t>11.00</w:t>
      </w:r>
      <w:r>
        <w:rPr>
          <w:rFonts w:hint="eastAsia" w:ascii="仿宋_GB2312" w:hAnsi="Calibri" w:eastAsia="仿宋_GB2312" w:cs="仿宋_GB2312"/>
          <w:sz w:val="32"/>
          <w:szCs w:val="32"/>
          <w:lang w:eastAsia="zh-CN"/>
        </w:rPr>
        <w:t>万元，完成预算数100%，决算数与预算数持平。</w:t>
      </w:r>
    </w:p>
    <w:p>
      <w:pPr>
        <w:spacing w:line="600" w:lineRule="exact"/>
        <w:ind w:firstLine="643" w:firstLineChars="200"/>
        <w:rPr>
          <w:rFonts w:hint="eastAsia" w:ascii="仿宋_GB2312" w:hAnsi="Calibri" w:eastAsia="仿宋_GB2312" w:cs="仿宋_GB2312"/>
          <w:sz w:val="32"/>
          <w:szCs w:val="32"/>
          <w:lang w:eastAsia="zh-CN"/>
        </w:rPr>
      </w:pPr>
      <w:r>
        <w:rPr>
          <w:rFonts w:hint="eastAsia" w:ascii="仿宋_GB2312" w:hAnsi="宋体" w:eastAsia="仿宋_GB2312" w:cs="宋体"/>
          <w:b/>
          <w:bCs/>
          <w:color w:val="000000"/>
          <w:kern w:val="0"/>
          <w:sz w:val="32"/>
          <w:szCs w:val="32"/>
          <w:shd w:val="clear" w:color="auto" w:fill="FFFFFF"/>
          <w:lang w:val="en-US" w:eastAsia="zh-CN"/>
        </w:rPr>
        <w:t>3</w:t>
      </w:r>
      <w:r>
        <w:rPr>
          <w:rFonts w:hint="eastAsia" w:ascii="仿宋_GB2312" w:hAnsi="宋体" w:eastAsia="仿宋_GB2312" w:cs="宋体"/>
          <w:b/>
          <w:bCs/>
          <w:color w:val="000000"/>
          <w:kern w:val="0"/>
          <w:sz w:val="32"/>
          <w:szCs w:val="32"/>
          <w:shd w:val="clear" w:color="auto" w:fill="FFFFFF"/>
          <w:lang w:val="zh-CN"/>
        </w:rPr>
        <w:t>.卫生健康</w:t>
      </w:r>
      <w:r>
        <w:rPr>
          <w:rFonts w:hint="eastAsia" w:ascii="仿宋_GB2312" w:hAnsi="宋体" w:eastAsia="仿宋_GB2312" w:cs="宋体"/>
          <w:b/>
          <w:bCs/>
          <w:color w:val="000000"/>
          <w:kern w:val="0"/>
          <w:sz w:val="32"/>
          <w:szCs w:val="32"/>
          <w:shd w:val="clear" w:color="auto" w:fill="FFFFFF"/>
          <w:lang w:val="zh-CN" w:eastAsia="zh-CN"/>
        </w:rPr>
        <w:t>支出</w:t>
      </w:r>
      <w:r>
        <w:rPr>
          <w:rFonts w:hint="eastAsia" w:ascii="仿宋_GB2312" w:hAnsi="宋体" w:eastAsia="仿宋_GB2312" w:cs="宋体"/>
          <w:b/>
          <w:bCs/>
          <w:color w:val="000000"/>
          <w:kern w:val="0"/>
          <w:sz w:val="32"/>
          <w:szCs w:val="32"/>
          <w:shd w:val="clear" w:color="auto" w:fill="FFFFFF"/>
          <w:lang w:val="zh-CN"/>
        </w:rPr>
        <w:t>（</w:t>
      </w:r>
      <w:r>
        <w:rPr>
          <w:rFonts w:hint="eastAsia" w:ascii="仿宋_GB2312" w:hAnsi="宋体" w:eastAsia="仿宋_GB2312" w:cs="宋体"/>
          <w:b/>
          <w:bCs/>
          <w:color w:val="000000"/>
          <w:kern w:val="0"/>
          <w:sz w:val="32"/>
          <w:szCs w:val="32"/>
          <w:shd w:val="clear" w:color="auto" w:fill="FFFFFF"/>
          <w:lang w:val="en-US" w:eastAsia="zh-CN"/>
        </w:rPr>
        <w:t>210</w:t>
      </w:r>
      <w:r>
        <w:rPr>
          <w:rFonts w:hint="eastAsia" w:ascii="仿宋_GB2312" w:hAnsi="宋体" w:eastAsia="仿宋_GB2312" w:cs="宋体"/>
          <w:b/>
          <w:bCs/>
          <w:color w:val="000000"/>
          <w:kern w:val="0"/>
          <w:sz w:val="32"/>
          <w:szCs w:val="32"/>
          <w:shd w:val="clear" w:color="auto" w:fill="FFFFFF"/>
          <w:lang w:val="zh-CN"/>
        </w:rPr>
        <w:t>）:</w:t>
      </w:r>
      <w:r>
        <w:rPr>
          <w:rFonts w:hint="eastAsia" w:ascii="仿宋_GB2312" w:hAnsi="Calibri" w:eastAsia="仿宋_GB2312" w:cs="仿宋_GB2312"/>
          <w:sz w:val="32"/>
          <w:szCs w:val="32"/>
          <w:lang w:eastAsia="zh-CN"/>
        </w:rPr>
        <w:t>支出决算为</w:t>
      </w:r>
      <w:r>
        <w:rPr>
          <w:rFonts w:hint="eastAsia" w:ascii="仿宋_GB2312" w:hAnsi="Calibri" w:eastAsia="仿宋_GB2312" w:cs="仿宋_GB2312"/>
          <w:sz w:val="32"/>
          <w:szCs w:val="32"/>
          <w:lang w:val="en-US" w:eastAsia="zh-CN"/>
        </w:rPr>
        <w:t>11.14万元，完成预算100%，决算数与预算数持平。其中：</w:t>
      </w:r>
      <w:r>
        <w:rPr>
          <w:rFonts w:hint="eastAsia" w:ascii="仿宋_GB2312" w:hAnsi="Calibri" w:eastAsia="仿宋_GB2312" w:cs="仿宋_GB2312"/>
          <w:b/>
          <w:bCs/>
          <w:sz w:val="32"/>
          <w:szCs w:val="32"/>
          <w:lang w:val="en-US" w:eastAsia="zh-CN"/>
        </w:rPr>
        <w:t>行政单位医疗（2101101）</w:t>
      </w:r>
      <w:r>
        <w:rPr>
          <w:rFonts w:hint="eastAsia" w:ascii="仿宋_GB2312" w:hAnsi="Calibri" w:eastAsia="仿宋_GB2312" w:cs="仿宋_GB2312"/>
          <w:sz w:val="32"/>
          <w:szCs w:val="32"/>
          <w:lang w:val="en-US" w:eastAsia="zh-CN"/>
        </w:rPr>
        <w:t>支出决算为11.14万元，</w:t>
      </w:r>
      <w:r>
        <w:rPr>
          <w:rFonts w:hint="eastAsia" w:ascii="仿宋_GB2312" w:hAnsi="Calibri" w:eastAsia="仿宋_GB2312" w:cs="仿宋_GB2312"/>
          <w:sz w:val="32"/>
          <w:szCs w:val="32"/>
          <w:lang w:eastAsia="zh-CN"/>
        </w:rPr>
        <w:t>完成预算数100%，决算数与预算数持平。</w:t>
      </w:r>
    </w:p>
    <w:p>
      <w:pPr>
        <w:spacing w:line="600" w:lineRule="exact"/>
        <w:ind w:firstLine="640"/>
        <w:rPr>
          <w:rFonts w:hint="eastAsia" w:ascii="仿宋_GB2312" w:hAnsi="Calibri" w:eastAsia="仿宋_GB2312" w:cs="仿宋_GB2312"/>
          <w:sz w:val="32"/>
          <w:szCs w:val="32"/>
          <w:lang w:val="en-US" w:eastAsia="zh-CN"/>
        </w:rPr>
      </w:pPr>
      <w:r>
        <w:rPr>
          <w:rFonts w:hint="eastAsia" w:ascii="仿宋_GB2312" w:hAnsi="宋体" w:eastAsia="仿宋_GB2312" w:cs="宋体"/>
          <w:b/>
          <w:bCs/>
          <w:color w:val="000000"/>
          <w:kern w:val="0"/>
          <w:sz w:val="32"/>
          <w:szCs w:val="32"/>
          <w:shd w:val="clear" w:color="auto" w:fill="FFFFFF"/>
          <w:lang w:val="en-US" w:eastAsia="zh-CN"/>
        </w:rPr>
        <w:t>4</w:t>
      </w:r>
      <w:r>
        <w:rPr>
          <w:rFonts w:hint="eastAsia" w:ascii="仿宋_GB2312" w:hAnsi="宋体" w:eastAsia="仿宋_GB2312" w:cs="宋体"/>
          <w:b/>
          <w:bCs/>
          <w:color w:val="000000"/>
          <w:kern w:val="0"/>
          <w:sz w:val="32"/>
          <w:szCs w:val="32"/>
          <w:shd w:val="clear" w:color="auto" w:fill="FFFFFF"/>
          <w:lang w:val="zh-CN"/>
        </w:rPr>
        <w:t>.农林水支出（213）:</w:t>
      </w:r>
      <w:r>
        <w:rPr>
          <w:rFonts w:hint="eastAsia" w:ascii="仿宋_GB2312" w:hAnsi="Calibri" w:eastAsia="仿宋_GB2312" w:cs="仿宋_GB2312"/>
          <w:sz w:val="32"/>
          <w:szCs w:val="32"/>
          <w:lang w:val="en-US" w:eastAsia="zh-CN"/>
        </w:rPr>
        <w:t>支出决算为1.2万元，完成预算100%，决算数与预算持平。其中：</w:t>
      </w:r>
      <w:r>
        <w:rPr>
          <w:rFonts w:hint="eastAsia" w:ascii="仿宋_GB2312" w:hAnsi="Calibri" w:eastAsia="仿宋_GB2312" w:cs="仿宋_GB2312"/>
          <w:b/>
          <w:bCs/>
          <w:sz w:val="32"/>
          <w:szCs w:val="32"/>
          <w:lang w:val="en-US" w:eastAsia="zh-CN"/>
        </w:rPr>
        <w:t>其他扶贫支出（2130599）</w:t>
      </w:r>
      <w:r>
        <w:rPr>
          <w:rFonts w:hint="eastAsia" w:ascii="仿宋_GB2312" w:hAnsi="Calibri" w:eastAsia="仿宋_GB2312" w:cs="仿宋_GB2312"/>
          <w:sz w:val="32"/>
          <w:szCs w:val="32"/>
          <w:lang w:val="en-US" w:eastAsia="zh-CN"/>
        </w:rPr>
        <w:t>决算为1.2万元，完成预算100%，决算数与预算数持平。（注：其他扶贫支出科目全部用于脱贫攻坚基础设施建设的审计费）</w:t>
      </w:r>
    </w:p>
    <w:p>
      <w:pPr>
        <w:spacing w:line="600" w:lineRule="exact"/>
        <w:ind w:firstLine="643" w:firstLineChars="200"/>
        <w:rPr>
          <w:rFonts w:hint="eastAsia" w:ascii="仿宋_GB2312" w:hAnsi="Calibri" w:eastAsia="仿宋_GB2312" w:cs="仿宋_GB2312"/>
          <w:sz w:val="32"/>
          <w:szCs w:val="32"/>
          <w:lang w:val="en-US" w:eastAsia="zh-CN"/>
        </w:rPr>
      </w:pPr>
      <w:r>
        <w:rPr>
          <w:rFonts w:hint="eastAsia" w:ascii="仿宋_GB2312" w:hAnsi="宋体" w:eastAsia="仿宋_GB2312" w:cs="宋体"/>
          <w:b/>
          <w:bCs/>
          <w:color w:val="000000"/>
          <w:kern w:val="0"/>
          <w:sz w:val="32"/>
          <w:szCs w:val="32"/>
          <w:shd w:val="clear" w:color="auto" w:fill="FFFFFF"/>
          <w:lang w:val="zh-CN"/>
        </w:rPr>
        <w:t>5.住房保障支出（221）:</w:t>
      </w:r>
      <w:r>
        <w:rPr>
          <w:rFonts w:hint="eastAsia" w:ascii="仿宋_GB2312" w:hAnsi="Calibri" w:eastAsia="仿宋_GB2312" w:cs="仿宋_GB2312"/>
          <w:sz w:val="32"/>
          <w:szCs w:val="32"/>
          <w:lang w:val="en-US" w:eastAsia="zh-CN"/>
        </w:rPr>
        <w:t>支出决算为19.18万元，完成预算100%，决算数与预算数持平。其中：</w:t>
      </w:r>
      <w:r>
        <w:rPr>
          <w:rFonts w:hint="eastAsia" w:ascii="仿宋_GB2312" w:hAnsi="Calibri" w:eastAsia="仿宋_GB2312" w:cs="仿宋_GB2312"/>
          <w:b/>
          <w:bCs/>
          <w:sz w:val="32"/>
          <w:szCs w:val="32"/>
          <w:lang w:val="en-US" w:eastAsia="zh-CN"/>
        </w:rPr>
        <w:t>住房公积金（2210201）</w:t>
      </w:r>
      <w:r>
        <w:rPr>
          <w:rFonts w:hint="eastAsia" w:ascii="仿宋_GB2312" w:hAnsi="Calibri" w:eastAsia="仿宋_GB2312" w:cs="仿宋_GB2312"/>
          <w:sz w:val="32"/>
          <w:szCs w:val="32"/>
          <w:lang w:val="en-US" w:eastAsia="zh-CN"/>
        </w:rPr>
        <w:t xml:space="preserve">支出决算为19.18万元，完成预算100%，决算数与预算数持平。 </w:t>
      </w:r>
    </w:p>
    <w:p>
      <w:pPr>
        <w:tabs>
          <w:tab w:val="right" w:pos="8306"/>
        </w:tabs>
        <w:spacing w:line="600" w:lineRule="exact"/>
        <w:ind w:firstLine="640"/>
        <w:outlineLvl w:val="1"/>
        <w:rPr>
          <w:rStyle w:val="32"/>
          <w:rFonts w:ascii="黑体" w:hAnsi="黑体" w:eastAsia="黑体" w:cs="Times New Roman"/>
          <w:b w:val="0"/>
          <w:bCs w:val="0"/>
        </w:rPr>
      </w:pPr>
      <w:r>
        <w:rPr>
          <w:rFonts w:hint="eastAsia" w:ascii="黑体" w:eastAsia="黑体" w:cs="黑体"/>
          <w:color w:val="000000"/>
          <w:sz w:val="32"/>
          <w:szCs w:val="32"/>
        </w:rPr>
        <w:t>六</w:t>
      </w:r>
      <w:r>
        <w:rPr>
          <w:rFonts w:hint="eastAsia" w:ascii="黑体" w:eastAsia="黑体" w:cs="黑体"/>
          <w:b/>
          <w:bCs/>
          <w:color w:val="000000"/>
          <w:sz w:val="32"/>
          <w:szCs w:val="32"/>
        </w:rPr>
        <w:t>、</w:t>
      </w:r>
      <w:r>
        <w:rPr>
          <w:rFonts w:hint="eastAsia" w:ascii="黑体" w:hAnsi="黑体" w:eastAsia="黑体" w:cs="黑体"/>
          <w:b/>
          <w:bCs/>
          <w:color w:val="000000"/>
          <w:sz w:val="32"/>
          <w:szCs w:val="32"/>
        </w:rPr>
        <w:t>一</w:t>
      </w:r>
      <w:r>
        <w:rPr>
          <w:rStyle w:val="32"/>
          <w:rFonts w:hint="eastAsia" w:ascii="黑体" w:hAnsi="黑体" w:eastAsia="黑体" w:cs="黑体"/>
          <w:b w:val="0"/>
          <w:bCs w:val="0"/>
        </w:rPr>
        <w:t>般公共预算财政拨款支出决算情况说明</w:t>
      </w:r>
    </w:p>
    <w:p>
      <w:pPr>
        <w:spacing w:line="60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2019年一般公共预算财政拨款支出407.71万元，其中基本支出249.89万元、项目支出157.81万元。</w:t>
      </w:r>
    </w:p>
    <w:p>
      <w:pPr>
        <w:tabs>
          <w:tab w:val="right" w:pos="8306"/>
        </w:tabs>
        <w:spacing w:line="600" w:lineRule="exact"/>
        <w:ind w:firstLine="640"/>
        <w:outlineLvl w:val="1"/>
        <w:rPr>
          <w:rStyle w:val="32"/>
        </w:rPr>
      </w:pPr>
      <w:r>
        <w:rPr>
          <w:rStyle w:val="32"/>
          <w:rFonts w:hint="eastAsia" w:ascii="楷体" w:hAnsi="楷体" w:eastAsia="楷体" w:cs="楷体"/>
          <w:b/>
          <w:bCs/>
        </w:rPr>
        <w:t>（一）</w:t>
      </w:r>
      <w:r>
        <w:rPr>
          <w:rFonts w:hint="eastAsia" w:ascii="楷体" w:hAnsi="楷体" w:eastAsia="楷体" w:cs="楷体"/>
          <w:b/>
          <w:bCs/>
          <w:color w:val="000000"/>
          <w:sz w:val="32"/>
          <w:szCs w:val="32"/>
        </w:rPr>
        <w:t>一</w:t>
      </w:r>
      <w:r>
        <w:rPr>
          <w:rStyle w:val="32"/>
          <w:rFonts w:hint="eastAsia" w:ascii="楷体" w:hAnsi="楷体" w:eastAsia="楷体" w:cs="楷体"/>
          <w:b/>
          <w:bCs/>
        </w:rPr>
        <w:t>般公共预算财政拨款基本支出决算情况说明</w:t>
      </w:r>
      <w:r>
        <w:rPr>
          <w:rStyle w:val="32"/>
          <w:rFonts w:ascii="黑体" w:hAnsi="黑体" w:eastAsia="黑体" w:cs="Times New Roman"/>
          <w:b w:val="0"/>
          <w:bCs w:val="0"/>
        </w:rPr>
        <w:tab/>
      </w:r>
    </w:p>
    <w:p>
      <w:pPr>
        <w:spacing w:line="60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2019年一般公共预算财政拨款基本支出249.89万元，其中：</w:t>
      </w:r>
    </w:p>
    <w:p>
      <w:pPr>
        <w:spacing w:line="600" w:lineRule="exact"/>
        <w:ind w:firstLine="643"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b/>
          <w:bCs/>
          <w:sz w:val="32"/>
          <w:szCs w:val="32"/>
          <w:lang w:val="zh-CN" w:eastAsia="zh-CN"/>
        </w:rPr>
        <w:t>1.人员经费</w:t>
      </w:r>
      <w:r>
        <w:rPr>
          <w:rFonts w:hint="eastAsia" w:ascii="仿宋_GB2312" w:hAnsi="Calibri" w:eastAsia="仿宋_GB2312" w:cs="仿宋_GB2312"/>
          <w:b/>
          <w:bCs/>
          <w:sz w:val="32"/>
          <w:szCs w:val="32"/>
          <w:lang w:val="en-US" w:eastAsia="zh-CN"/>
        </w:rPr>
        <w:t>238.13</w:t>
      </w:r>
      <w:r>
        <w:rPr>
          <w:rFonts w:hint="eastAsia" w:ascii="仿宋_GB2312" w:hAnsi="Calibri" w:eastAsia="仿宋_GB2312" w:cs="仿宋_GB2312"/>
          <w:b/>
          <w:bCs/>
          <w:sz w:val="32"/>
          <w:szCs w:val="32"/>
          <w:lang w:val="zh-CN" w:eastAsia="zh-CN"/>
        </w:rPr>
        <w:t>万元，</w:t>
      </w:r>
      <w:r>
        <w:rPr>
          <w:rFonts w:hint="eastAsia" w:ascii="仿宋_GB2312" w:hAnsi="Calibri" w:eastAsia="仿宋_GB2312" w:cs="仿宋_GB2312"/>
          <w:sz w:val="32"/>
          <w:szCs w:val="32"/>
          <w:lang w:val="en-US" w:eastAsia="zh-CN"/>
        </w:rPr>
        <w:t>其中：基本工资45.63万元、津贴补贴87.64万元、奖金35.40万元、机关事业单位基本养老保险缴费23.59万元、职业年金缴费11万元、职工基本医疗保险缴费11.14万元、其他社会保障缴费2.52万元、住房公积金19.18万元、生活补助1.50万元、医疗费补助0.54万元。</w:t>
      </w:r>
      <w:r>
        <w:rPr>
          <w:rFonts w:hint="eastAsia" w:ascii="仿宋_GB2312" w:hAnsi="Calibri" w:eastAsia="仿宋_GB2312" w:cs="仿宋_GB2312"/>
          <w:sz w:val="32"/>
          <w:szCs w:val="32"/>
          <w:lang w:val="en-US" w:eastAsia="zh-CN"/>
        </w:rPr>
        <w:br w:type="textWrapping"/>
      </w:r>
      <w:r>
        <w:rPr>
          <w:rFonts w:hint="eastAsia" w:ascii="仿宋_GB2312" w:hAnsi="Calibri" w:eastAsia="仿宋_GB2312" w:cs="仿宋_GB2312"/>
          <w:sz w:val="32"/>
          <w:szCs w:val="32"/>
          <w:lang w:val="en-US" w:eastAsia="zh-CN"/>
        </w:rPr>
        <w:t>　　</w:t>
      </w:r>
      <w:r>
        <w:rPr>
          <w:rFonts w:hint="eastAsia" w:ascii="仿宋_GB2312" w:hAnsi="Calibri" w:eastAsia="仿宋_GB2312" w:cs="仿宋_GB2312"/>
          <w:b/>
          <w:bCs/>
          <w:sz w:val="32"/>
          <w:szCs w:val="32"/>
          <w:lang w:val="zh-CN" w:eastAsia="zh-CN"/>
        </w:rPr>
        <w:t>2.公用经费</w:t>
      </w:r>
      <w:r>
        <w:rPr>
          <w:rFonts w:hint="eastAsia" w:ascii="仿宋_GB2312" w:hAnsi="Calibri" w:eastAsia="仿宋_GB2312" w:cs="仿宋_GB2312"/>
          <w:b/>
          <w:bCs/>
          <w:sz w:val="32"/>
          <w:szCs w:val="32"/>
          <w:lang w:val="en-US" w:eastAsia="zh-CN"/>
        </w:rPr>
        <w:t>11.76</w:t>
      </w:r>
      <w:r>
        <w:rPr>
          <w:rFonts w:hint="eastAsia" w:ascii="仿宋_GB2312" w:hAnsi="Calibri" w:eastAsia="仿宋_GB2312" w:cs="仿宋_GB2312"/>
          <w:b/>
          <w:bCs/>
          <w:sz w:val="32"/>
          <w:szCs w:val="32"/>
          <w:lang w:val="zh-CN" w:eastAsia="zh-CN"/>
        </w:rPr>
        <w:t>万元，</w:t>
      </w:r>
      <w:r>
        <w:rPr>
          <w:rFonts w:hint="eastAsia" w:ascii="仿宋_GB2312" w:hAnsi="Calibri" w:eastAsia="仿宋_GB2312" w:cs="仿宋_GB2312"/>
          <w:sz w:val="32"/>
          <w:szCs w:val="32"/>
          <w:lang w:val="en-US" w:eastAsia="zh-CN"/>
        </w:rPr>
        <w:t>其中：办公费3.69万元、水费0.03万元、电费0.35万元、邮电费1.61万元、物业管理费0.59万元、差旅费0.50万元、维修（护）费0.85万元、公务接待费0.14万元、公务用车运行维护费4万元。</w:t>
      </w:r>
    </w:p>
    <w:p>
      <w:pPr>
        <w:tabs>
          <w:tab w:val="right" w:pos="8306"/>
        </w:tabs>
        <w:spacing w:line="600" w:lineRule="exact"/>
        <w:ind w:firstLine="640"/>
        <w:outlineLvl w:val="1"/>
        <w:rPr>
          <w:rStyle w:val="32"/>
        </w:rPr>
      </w:pPr>
      <w:r>
        <w:rPr>
          <w:rStyle w:val="32"/>
          <w:rFonts w:hint="eastAsia" w:ascii="楷体" w:hAnsi="楷体" w:eastAsia="楷体" w:cs="楷体"/>
          <w:b/>
          <w:bCs/>
        </w:rPr>
        <w:t>（二）</w:t>
      </w:r>
      <w:r>
        <w:rPr>
          <w:rFonts w:hint="eastAsia" w:ascii="楷体" w:hAnsi="楷体" w:eastAsia="楷体" w:cs="楷体"/>
          <w:b/>
          <w:bCs/>
          <w:color w:val="000000"/>
          <w:sz w:val="32"/>
          <w:szCs w:val="32"/>
        </w:rPr>
        <w:t>一</w:t>
      </w:r>
      <w:r>
        <w:rPr>
          <w:rStyle w:val="32"/>
          <w:rFonts w:hint="eastAsia" w:ascii="楷体" w:hAnsi="楷体" w:eastAsia="楷体" w:cs="楷体"/>
          <w:b/>
          <w:bCs/>
        </w:rPr>
        <w:t>般公共预算财政拨款项目支出决算情况说明</w:t>
      </w:r>
      <w:r>
        <w:rPr>
          <w:rStyle w:val="32"/>
          <w:rFonts w:ascii="黑体" w:hAnsi="黑体" w:eastAsia="黑体" w:cs="Times New Roman"/>
          <w:b w:val="0"/>
          <w:bCs w:val="0"/>
        </w:rPr>
        <w:tab/>
      </w:r>
    </w:p>
    <w:p>
      <w:pPr>
        <w:spacing w:line="60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2019年一般公共预算财政拨款项目支出157.81万元，其中：</w:t>
      </w:r>
      <w:bookmarkStart w:id="71" w:name="_GoBack"/>
      <w:bookmarkEnd w:id="71"/>
      <w:r>
        <w:rPr>
          <w:rFonts w:hint="eastAsia" w:ascii="仿宋_GB2312" w:hAnsi="Calibri" w:eastAsia="仿宋_GB2312" w:cs="仿宋_GB2312"/>
          <w:sz w:val="32"/>
          <w:szCs w:val="32"/>
          <w:lang w:val="en-US" w:eastAsia="zh-CN"/>
        </w:rPr>
        <w:br w:type="textWrapping"/>
      </w:r>
      <w:r>
        <w:rPr>
          <w:rFonts w:hint="eastAsia" w:ascii="仿宋_GB2312" w:hAnsi="Calibri" w:eastAsia="仿宋_GB2312" w:cs="仿宋_GB2312"/>
          <w:sz w:val="32"/>
          <w:szCs w:val="32"/>
          <w:lang w:val="en-US" w:eastAsia="zh-CN"/>
        </w:rPr>
        <w:t>　　</w:t>
      </w:r>
      <w:r>
        <w:rPr>
          <w:rFonts w:hint="eastAsia" w:ascii="仿宋_GB2312" w:hAnsi="Calibri" w:eastAsia="仿宋_GB2312" w:cs="仿宋_GB2312"/>
          <w:b/>
          <w:bCs/>
          <w:sz w:val="32"/>
          <w:szCs w:val="32"/>
          <w:lang w:val="en-US" w:eastAsia="zh-CN"/>
        </w:rPr>
        <w:t>公用经费157.81万元，</w:t>
      </w:r>
      <w:r>
        <w:rPr>
          <w:rFonts w:hint="eastAsia" w:ascii="仿宋_GB2312" w:hAnsi="Calibri" w:eastAsia="仿宋_GB2312" w:cs="仿宋_GB2312"/>
          <w:sz w:val="32"/>
          <w:szCs w:val="32"/>
          <w:lang w:val="en-US" w:eastAsia="zh-CN"/>
        </w:rPr>
        <w:t>其中：办公费6.34万元、差旅费24.67万元、租赁费2万元、劳务费9.92万元、委托业务费110.37万元、工会经费2.50万元、公务用车运行维护费2.02万元。</w:t>
      </w:r>
    </w:p>
    <w:p>
      <w:pPr>
        <w:spacing w:line="600" w:lineRule="exact"/>
        <w:ind w:firstLine="640"/>
        <w:outlineLvl w:val="1"/>
        <w:rPr>
          <w:rStyle w:val="27"/>
          <w:rFonts w:ascii="黑体" w:hAnsi="黑体" w:eastAsia="黑体"/>
          <w:b w:val="0"/>
        </w:rPr>
      </w:pPr>
      <w:bookmarkStart w:id="40" w:name="_Toc15377215"/>
      <w:bookmarkStart w:id="41" w:name="_Toc15396609"/>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40"/>
      <w:bookmarkEnd w:id="41"/>
    </w:p>
    <w:p>
      <w:pPr>
        <w:spacing w:line="600" w:lineRule="exact"/>
        <w:ind w:firstLine="640"/>
        <w:outlineLvl w:val="2"/>
        <w:rPr>
          <w:rFonts w:hint="eastAsia" w:ascii="楷体" w:hAnsi="楷体" w:eastAsia="楷体" w:cs="楷体"/>
          <w:b/>
          <w:color w:val="000000"/>
          <w:sz w:val="32"/>
          <w:szCs w:val="32"/>
        </w:rPr>
      </w:pPr>
      <w:bookmarkStart w:id="42" w:name="_Toc15377216"/>
      <w:r>
        <w:rPr>
          <w:rFonts w:hint="eastAsia" w:ascii="楷体" w:hAnsi="楷体" w:eastAsia="楷体" w:cs="楷体"/>
          <w:b/>
          <w:color w:val="000000"/>
          <w:sz w:val="32"/>
          <w:szCs w:val="32"/>
        </w:rPr>
        <w:t>（一）“三公”经费财政拨款支出决算总体情况说明</w:t>
      </w:r>
      <w:bookmarkEnd w:id="42"/>
    </w:p>
    <w:p>
      <w:pPr>
        <w:spacing w:line="600" w:lineRule="exact"/>
        <w:ind w:firstLine="640"/>
        <w:rPr>
          <w:rFonts w:ascii="仿宋" w:hAnsi="仿宋" w:eastAsia="仿宋"/>
          <w:color w:val="000000"/>
          <w:sz w:val="32"/>
          <w:szCs w:val="32"/>
        </w:rPr>
      </w:pPr>
      <w:r>
        <w:rPr>
          <w:rFonts w:hint="eastAsia" w:ascii="仿宋_GB2312" w:hAnsi="Calibri" w:eastAsia="仿宋_GB2312" w:cs="仿宋_GB2312"/>
          <w:sz w:val="32"/>
          <w:szCs w:val="32"/>
          <w:lang w:val="en-US" w:eastAsia="zh-CN"/>
        </w:rPr>
        <w:t>2019年“三公”经费财政拨款支出决算为6.16万元，完成预算100%，决算数预算数持平的主要原因是我局严格厉行节约规定。</w:t>
      </w:r>
    </w:p>
    <w:p>
      <w:pPr>
        <w:spacing w:line="600" w:lineRule="exact"/>
        <w:ind w:firstLine="640"/>
        <w:outlineLvl w:val="2"/>
        <w:rPr>
          <w:rFonts w:hint="eastAsia" w:ascii="楷体" w:hAnsi="楷体" w:eastAsia="楷体" w:cs="楷体"/>
          <w:b/>
          <w:color w:val="000000"/>
          <w:sz w:val="32"/>
          <w:szCs w:val="32"/>
        </w:rPr>
      </w:pPr>
      <w:bookmarkStart w:id="43" w:name="_Toc15377217"/>
      <w:r>
        <w:rPr>
          <w:rFonts w:hint="eastAsia" w:ascii="楷体" w:hAnsi="楷体" w:eastAsia="楷体" w:cs="楷体"/>
          <w:b/>
          <w:color w:val="000000"/>
          <w:sz w:val="32"/>
          <w:szCs w:val="32"/>
        </w:rPr>
        <w:t>（二）“三公”经费财政拨款支出决算具体情况说明</w:t>
      </w:r>
      <w:bookmarkEnd w:id="43"/>
    </w:p>
    <w:p>
      <w:pPr>
        <w:spacing w:line="60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2019年“三公”经费财政拨款支出决算中，因公出国（境）费支出决算0万元，占100%；公务用车购置及运行维护费支出决算6.02万元，占97.73%；公务接待费支出决算0.14万元，占2.27%。具体情况如下：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pStyle w:val="2"/>
        <w:rPr>
          <w:rFonts w:hint="eastAsia" w:ascii="仿宋" w:hAnsi="仿宋" w:eastAsia="仿宋"/>
          <w:color w:val="000000"/>
          <w:sz w:val="32"/>
          <w:szCs w:val="32"/>
        </w:rPr>
      </w:pPr>
    </w:p>
    <w:p>
      <w:pPr>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rPr>
          <w:rFonts w:hint="eastAsia" w:ascii="仿宋" w:hAnsi="仿宋" w:eastAsia="仿宋"/>
          <w:color w:val="000000"/>
          <w:sz w:val="32"/>
          <w:szCs w:val="32"/>
        </w:rPr>
      </w:pPr>
    </w:p>
    <w:p/>
    <w:p>
      <w:pPr>
        <w:spacing w:line="600" w:lineRule="exact"/>
        <w:ind w:firstLine="643"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b/>
          <w:bCs/>
          <w:sz w:val="32"/>
          <w:szCs w:val="32"/>
          <w:lang w:val="zh-CN" w:eastAsia="zh-CN"/>
        </w:rPr>
        <w:t>1.因公出国（境）经费支出</w:t>
      </w:r>
      <w:r>
        <w:rPr>
          <w:rFonts w:hint="eastAsia" w:ascii="仿宋_GB2312" w:hAnsi="Calibri" w:eastAsia="仿宋_GB2312" w:cs="仿宋_GB2312"/>
          <w:b/>
          <w:bCs/>
          <w:sz w:val="32"/>
          <w:szCs w:val="32"/>
          <w:lang w:val="en-US" w:eastAsia="zh-CN"/>
        </w:rPr>
        <w:t>0万元，</w:t>
      </w:r>
      <w:r>
        <w:rPr>
          <w:rFonts w:hint="eastAsia" w:ascii="仿宋_GB2312" w:hAnsi="Calibri" w:eastAsia="仿宋_GB2312" w:cs="仿宋_GB2312"/>
          <w:sz w:val="32"/>
          <w:szCs w:val="32"/>
          <w:lang w:val="en-US" w:eastAsia="zh-CN"/>
        </w:rPr>
        <w:t>完成预算100%。全年安排因公出国（境）团组0次，出国（境）0人。因公出国（境）支出决算于2018年持平。主要原因是我局2018年和2019年都无因公出国（境）事项。</w:t>
      </w:r>
    </w:p>
    <w:p>
      <w:pPr>
        <w:spacing w:line="600" w:lineRule="exact"/>
        <w:ind w:firstLine="643"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b/>
          <w:bCs/>
          <w:sz w:val="32"/>
          <w:szCs w:val="32"/>
          <w:lang w:val="zh-CN" w:eastAsia="zh-CN"/>
        </w:rPr>
        <w:t>2.公务用车购置及运行维护费</w:t>
      </w:r>
      <w:r>
        <w:rPr>
          <w:rFonts w:hint="eastAsia" w:ascii="仿宋_GB2312" w:hAnsi="Calibri" w:eastAsia="仿宋_GB2312" w:cs="仿宋_GB2312"/>
          <w:b/>
          <w:bCs/>
          <w:i w:val="0"/>
          <w:iCs w:val="0"/>
          <w:sz w:val="32"/>
          <w:szCs w:val="32"/>
          <w:lang w:val="zh-CN" w:eastAsia="zh-CN"/>
        </w:rPr>
        <w:t>支出</w:t>
      </w:r>
      <w:r>
        <w:rPr>
          <w:rFonts w:hint="eastAsia" w:ascii="仿宋_GB2312" w:hAnsi="Calibri" w:eastAsia="仿宋_GB2312" w:cs="仿宋_GB2312"/>
          <w:b/>
          <w:bCs/>
          <w:i w:val="0"/>
          <w:iCs w:val="0"/>
          <w:sz w:val="32"/>
          <w:szCs w:val="32"/>
          <w:lang w:val="en-US" w:eastAsia="zh-CN"/>
        </w:rPr>
        <w:t>6.02万元,</w:t>
      </w:r>
      <w:r>
        <w:rPr>
          <w:rFonts w:hint="eastAsia" w:ascii="仿宋_GB2312" w:hAnsi="Calibri" w:eastAsia="仿宋_GB2312" w:cs="仿宋_GB2312"/>
          <w:sz w:val="32"/>
          <w:szCs w:val="32"/>
          <w:lang w:val="en-US" w:eastAsia="zh-CN"/>
        </w:rPr>
        <w:t>完成预算100%。公务用车购置及运行维护费支出决算比2018年增加1.69万元，增长39.03%。主要原因是我局车辆老化，维修费用增加、脱贫攻坚检查增多、下乡油费增加以及购买车辆保险等费用增加。</w:t>
      </w:r>
    </w:p>
    <w:p>
      <w:pPr>
        <w:spacing w:line="60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其中：</w:t>
      </w:r>
      <w:r>
        <w:rPr>
          <w:rFonts w:hint="eastAsia" w:ascii="仿宋_GB2312" w:hAnsi="Calibri" w:eastAsia="仿宋_GB2312" w:cs="仿宋_GB2312"/>
          <w:b/>
          <w:bCs/>
          <w:sz w:val="32"/>
          <w:szCs w:val="32"/>
          <w:lang w:val="en-US" w:eastAsia="zh-CN"/>
        </w:rPr>
        <w:t>（1）公务用车购置支出0万元。</w:t>
      </w:r>
      <w:r>
        <w:rPr>
          <w:rFonts w:hint="eastAsia" w:ascii="仿宋_GB2312" w:hAnsi="Calibri" w:eastAsia="仿宋_GB2312" w:cs="仿宋_GB2312"/>
          <w:sz w:val="32"/>
          <w:szCs w:val="32"/>
          <w:lang w:val="en-US" w:eastAsia="zh-CN"/>
        </w:rPr>
        <w:t>全年按规定更新购置公务用车0辆，金额0元。截至2019年12月底，单位共有公务用车1辆，其中：越野车1辆。</w:t>
      </w:r>
    </w:p>
    <w:p>
      <w:pPr>
        <w:spacing w:line="600" w:lineRule="exact"/>
        <w:ind w:firstLine="643"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b/>
          <w:bCs/>
          <w:sz w:val="32"/>
          <w:szCs w:val="32"/>
          <w:lang w:val="en-US" w:eastAsia="zh-CN"/>
        </w:rPr>
        <w:t>（2）公务用车运行维护费支出6.02万元。</w:t>
      </w:r>
      <w:r>
        <w:rPr>
          <w:rFonts w:hint="eastAsia" w:ascii="仿宋_GB2312" w:hAnsi="Calibri" w:eastAsia="仿宋_GB2312" w:cs="仿宋_GB2312"/>
          <w:sz w:val="32"/>
          <w:szCs w:val="32"/>
          <w:lang w:val="en-US" w:eastAsia="zh-CN"/>
        </w:rPr>
        <w:t>主要用于要用于人员出差、下乡、车辆年检、车辆维修等所需的公务用车燃料费、维修费、过路过桥费、保险费、停车费、洗车费等支出。</w:t>
      </w:r>
    </w:p>
    <w:p>
      <w:pPr>
        <w:spacing w:line="600" w:lineRule="exact"/>
        <w:ind w:firstLine="643"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b/>
          <w:bCs/>
          <w:sz w:val="32"/>
          <w:szCs w:val="32"/>
          <w:lang w:val="zh-CN" w:eastAsia="zh-CN"/>
        </w:rPr>
        <w:t>3.公务接待费支出</w:t>
      </w:r>
      <w:r>
        <w:rPr>
          <w:rFonts w:hint="eastAsia" w:ascii="仿宋_GB2312" w:hAnsi="Calibri" w:eastAsia="仿宋_GB2312" w:cs="仿宋_GB2312"/>
          <w:b/>
          <w:bCs/>
          <w:sz w:val="32"/>
          <w:szCs w:val="32"/>
          <w:lang w:val="en-US" w:eastAsia="zh-CN"/>
        </w:rPr>
        <w:t>0.14万元，</w:t>
      </w:r>
      <w:r>
        <w:rPr>
          <w:rFonts w:hint="eastAsia" w:ascii="仿宋_GB2312" w:hAnsi="Calibri" w:eastAsia="仿宋_GB2312" w:cs="仿宋_GB2312"/>
          <w:sz w:val="32"/>
          <w:szCs w:val="32"/>
          <w:lang w:val="en-US" w:eastAsia="zh-CN"/>
        </w:rPr>
        <w:t>完成预算100%。公务接待费支出决算比2018年减少0.15万元，下降51.72%。主要原因是2019年我局接待次数及接待人次减少。</w:t>
      </w:r>
    </w:p>
    <w:p>
      <w:pPr>
        <w:spacing w:line="60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其中：</w:t>
      </w:r>
      <w:r>
        <w:rPr>
          <w:rFonts w:hint="eastAsia" w:ascii="仿宋_GB2312" w:hAnsi="Calibri" w:eastAsia="仿宋_GB2312" w:cs="仿宋_GB2312"/>
          <w:b/>
          <w:bCs/>
          <w:sz w:val="32"/>
          <w:szCs w:val="32"/>
          <w:lang w:val="en-US" w:eastAsia="zh-CN"/>
        </w:rPr>
        <w:t>（1）国内公务接待支出0.14万元，</w:t>
      </w:r>
      <w:r>
        <w:rPr>
          <w:rFonts w:hint="eastAsia" w:ascii="仿宋_GB2312" w:hAnsi="Calibri" w:eastAsia="仿宋_GB2312" w:cs="仿宋_GB2312"/>
          <w:sz w:val="32"/>
          <w:szCs w:val="32"/>
          <w:lang w:val="en-US" w:eastAsia="zh-CN"/>
        </w:rPr>
        <w:t>主要用于执行公务、开展业务活动开支用餐费。国内公务接待2批次，10人次（不包括陪同人员），共计支出0.14万元，具体内容包括：梓潼县慰问援藏干部接待支出0.09万元、扶贫资金及一卡通审计接待支出0.05万元。</w:t>
      </w:r>
    </w:p>
    <w:p>
      <w:pPr>
        <w:spacing w:line="600" w:lineRule="exact"/>
        <w:ind w:firstLine="643"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b/>
          <w:bCs/>
          <w:sz w:val="32"/>
          <w:szCs w:val="32"/>
          <w:lang w:val="en-US" w:eastAsia="zh-CN"/>
        </w:rPr>
        <w:t>（2）外事接待支出0万元，</w:t>
      </w:r>
      <w:r>
        <w:rPr>
          <w:rFonts w:hint="eastAsia" w:ascii="仿宋_GB2312" w:hAnsi="Calibri" w:eastAsia="仿宋_GB2312" w:cs="仿宋_GB2312"/>
          <w:sz w:val="32"/>
          <w:szCs w:val="32"/>
          <w:lang w:val="en-US" w:eastAsia="zh-CN"/>
        </w:rPr>
        <w:t>外事接待0批次，0人，共计支出0万元，2019年我局无外事接待事项。</w:t>
      </w:r>
      <w:bookmarkStart w:id="44" w:name="_Toc15377218"/>
      <w:bookmarkStart w:id="45" w:name="_Toc15396610"/>
    </w:p>
    <w:p>
      <w:pPr>
        <w:spacing w:line="600" w:lineRule="exact"/>
        <w:ind w:firstLine="640"/>
        <w:outlineLvl w:val="1"/>
        <w:rPr>
          <w:rStyle w:val="27"/>
          <w:rFonts w:ascii="黑体" w:hAnsi="黑体" w:eastAsia="黑体"/>
        </w:rPr>
      </w:pPr>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44"/>
      <w:bookmarkEnd w:id="45"/>
    </w:p>
    <w:p>
      <w:pPr>
        <w:spacing w:line="60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2019年政府性基金预算拨款支出0万元。</w:t>
      </w:r>
    </w:p>
    <w:p>
      <w:pPr>
        <w:numPr>
          <w:ilvl w:val="0"/>
          <w:numId w:val="2"/>
        </w:numPr>
        <w:spacing w:line="600" w:lineRule="exact"/>
        <w:ind w:firstLine="640"/>
        <w:outlineLvl w:val="1"/>
        <w:rPr>
          <w:rStyle w:val="27"/>
          <w:rFonts w:ascii="黑体" w:hAnsi="黑体" w:eastAsia="黑体"/>
          <w:b w:val="0"/>
        </w:rPr>
      </w:pPr>
      <w:bookmarkStart w:id="46" w:name="_Toc15396611"/>
      <w:bookmarkStart w:id="47" w:name="_Toc15377219"/>
      <w:r>
        <w:rPr>
          <w:rStyle w:val="27"/>
          <w:rFonts w:hint="eastAsia" w:ascii="黑体" w:hAnsi="黑体" w:eastAsia="黑体"/>
          <w:b w:val="0"/>
        </w:rPr>
        <w:t>国有资本经营预算支出决算情况说明</w:t>
      </w:r>
      <w:bookmarkEnd w:id="46"/>
      <w:bookmarkEnd w:id="47"/>
    </w:p>
    <w:p>
      <w:pPr>
        <w:spacing w:line="600" w:lineRule="exact"/>
        <w:ind w:firstLine="640"/>
        <w:rPr>
          <w:rFonts w:ascii="方正小标宋简体" w:hAnsi="方正小标宋简体" w:eastAsia="方正小标宋简体" w:cs="方正小标宋简体"/>
          <w:sz w:val="44"/>
          <w:szCs w:val="44"/>
        </w:rPr>
      </w:pPr>
      <w:r>
        <w:rPr>
          <w:rFonts w:hint="eastAsia" w:ascii="仿宋_GB2312" w:hAnsi="Calibri" w:eastAsia="仿宋_GB2312" w:cs="仿宋_GB2312"/>
          <w:sz w:val="32"/>
          <w:szCs w:val="32"/>
          <w:lang w:val="en-US" w:eastAsia="zh-CN"/>
        </w:rPr>
        <w:t>2019年国有资本经营预算拨款支出0万元。</w:t>
      </w:r>
    </w:p>
    <w:p>
      <w:pPr>
        <w:spacing w:line="600" w:lineRule="exact"/>
        <w:ind w:firstLine="800" w:firstLineChars="250"/>
        <w:outlineLvl w:val="1"/>
        <w:rPr>
          <w:rStyle w:val="27"/>
          <w:rFonts w:ascii="黑体" w:hAnsi="黑体" w:eastAsia="黑体"/>
        </w:rPr>
      </w:pPr>
      <w:bookmarkStart w:id="48" w:name="_Toc15396612"/>
      <w:bookmarkStart w:id="49" w:name="_Toc15377221"/>
      <w:r>
        <w:rPr>
          <w:rFonts w:hint="eastAsia" w:ascii="黑体" w:hAnsi="黑体" w:eastAsia="黑体"/>
          <w:color w:val="000000"/>
          <w:sz w:val="32"/>
          <w:szCs w:val="32"/>
        </w:rPr>
        <w:t>十</w:t>
      </w:r>
      <w:r>
        <w:rPr>
          <w:rStyle w:val="27"/>
          <w:rFonts w:hint="eastAsia" w:ascii="黑体" w:hAnsi="黑体" w:eastAsia="黑体"/>
        </w:rPr>
        <w:t>、</w:t>
      </w:r>
      <w:r>
        <w:rPr>
          <w:rStyle w:val="27"/>
          <w:rFonts w:hint="eastAsia" w:ascii="黑体" w:hAnsi="黑体" w:eastAsia="黑体"/>
          <w:b w:val="0"/>
        </w:rPr>
        <w:t>其他重要事项的情况说明</w:t>
      </w:r>
      <w:bookmarkEnd w:id="48"/>
      <w:bookmarkEnd w:id="49"/>
    </w:p>
    <w:p>
      <w:pPr>
        <w:spacing w:line="600" w:lineRule="exact"/>
        <w:ind w:firstLine="643" w:firstLineChars="200"/>
        <w:outlineLvl w:val="2"/>
        <w:rPr>
          <w:rFonts w:hint="eastAsia" w:ascii="楷体" w:hAnsi="楷体" w:eastAsia="楷体" w:cs="楷体"/>
          <w:b/>
          <w:bCs w:val="0"/>
          <w:color w:val="000000"/>
          <w:sz w:val="32"/>
          <w:szCs w:val="32"/>
        </w:rPr>
      </w:pPr>
      <w:bookmarkStart w:id="50" w:name="_Toc15377222"/>
      <w:r>
        <w:rPr>
          <w:rFonts w:hint="eastAsia" w:ascii="楷体" w:hAnsi="楷体" w:eastAsia="楷体" w:cs="楷体"/>
          <w:b/>
          <w:bCs w:val="0"/>
          <w:color w:val="000000"/>
          <w:sz w:val="32"/>
          <w:szCs w:val="32"/>
        </w:rPr>
        <w:t>（一）机关运行经费支出情况</w:t>
      </w:r>
      <w:bookmarkEnd w:id="50"/>
    </w:p>
    <w:p>
      <w:pPr>
        <w:spacing w:line="60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2019年，壤塘县审计局机关运行经费支出11.76万元，比2018年减少1.34万元，下降10.23%。主要原因是我单位下派一名第一书记、一名驻村工作人员，将该两名职工公用经费转入所在乡镇。</w:t>
      </w:r>
    </w:p>
    <w:p>
      <w:pPr>
        <w:autoSpaceDE w:val="0"/>
        <w:autoSpaceDN w:val="0"/>
        <w:adjustRightInd w:val="0"/>
        <w:spacing w:line="600" w:lineRule="exact"/>
        <w:ind w:firstLine="643" w:firstLineChars="200"/>
        <w:jc w:val="left"/>
        <w:outlineLvl w:val="2"/>
        <w:rPr>
          <w:rFonts w:hint="eastAsia" w:ascii="楷体" w:hAnsi="楷体" w:eastAsia="楷体" w:cs="楷体"/>
          <w:b/>
          <w:color w:val="000000"/>
          <w:sz w:val="32"/>
          <w:szCs w:val="32"/>
        </w:rPr>
      </w:pPr>
      <w:bookmarkStart w:id="51" w:name="_Toc15377223"/>
      <w:r>
        <w:rPr>
          <w:rFonts w:hint="eastAsia" w:ascii="楷体" w:hAnsi="楷体" w:eastAsia="楷体" w:cs="楷体"/>
          <w:b/>
          <w:color w:val="000000"/>
          <w:sz w:val="32"/>
          <w:szCs w:val="32"/>
        </w:rPr>
        <w:t>（二）政府采购支出情况</w:t>
      </w:r>
      <w:bookmarkEnd w:id="51"/>
    </w:p>
    <w:p>
      <w:pPr>
        <w:spacing w:line="60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2019年，壤塘县审计局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spacing w:line="60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 xml:space="preserve">   2019年，壤塘县审计局政府采购支出总额0万元，主要原因是2019年我局无政府采购项目。</w:t>
      </w:r>
    </w:p>
    <w:p>
      <w:pPr>
        <w:autoSpaceDE w:val="0"/>
        <w:autoSpaceDN w:val="0"/>
        <w:adjustRightInd w:val="0"/>
        <w:spacing w:line="600" w:lineRule="exact"/>
        <w:ind w:firstLine="643" w:firstLineChars="200"/>
        <w:jc w:val="left"/>
        <w:outlineLvl w:val="2"/>
        <w:rPr>
          <w:rFonts w:hint="eastAsia" w:ascii="楷体" w:hAnsi="楷体" w:eastAsia="楷体" w:cs="楷体"/>
          <w:b/>
          <w:color w:val="000000"/>
          <w:sz w:val="32"/>
          <w:szCs w:val="32"/>
        </w:rPr>
      </w:pPr>
      <w:bookmarkStart w:id="52" w:name="_Toc15377224"/>
      <w:r>
        <w:rPr>
          <w:rFonts w:hint="eastAsia" w:ascii="楷体" w:hAnsi="楷体" w:eastAsia="楷体" w:cs="楷体"/>
          <w:b/>
          <w:color w:val="000000"/>
          <w:sz w:val="32"/>
          <w:szCs w:val="32"/>
        </w:rPr>
        <w:t>（三）国有资产占有使用情况</w:t>
      </w:r>
      <w:bookmarkEnd w:id="52"/>
    </w:p>
    <w:p>
      <w:pPr>
        <w:spacing w:line="60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截至2019年12月31日，壤塘县审计局共有车辆1辆，其中：其他用车1辆（越野车1辆），其他用车主要是用于我局人员公务出差、下乡、车辆年检、车辆维修等事项。单价50万元以上通用设备0台（套），单价100万元以上专用设备0台（套）。</w:t>
      </w:r>
    </w:p>
    <w:p>
      <w:pPr>
        <w:autoSpaceDE w:val="0"/>
        <w:autoSpaceDN w:val="0"/>
        <w:adjustRightInd w:val="0"/>
        <w:spacing w:line="600" w:lineRule="exact"/>
        <w:ind w:firstLine="643" w:firstLineChars="200"/>
        <w:jc w:val="left"/>
        <w:outlineLvl w:val="2"/>
        <w:rPr>
          <w:rFonts w:hint="eastAsia" w:ascii="楷体" w:hAnsi="楷体" w:eastAsia="楷体" w:cs="楷体"/>
          <w:b/>
          <w:color w:val="000000"/>
          <w:sz w:val="32"/>
          <w:szCs w:val="32"/>
        </w:rPr>
      </w:pPr>
      <w:r>
        <w:rPr>
          <w:rFonts w:hint="eastAsia" w:ascii="楷体" w:hAnsi="楷体" w:eastAsia="楷体" w:cs="楷体"/>
          <w:b/>
          <w:color w:val="000000"/>
          <w:sz w:val="32"/>
          <w:szCs w:val="32"/>
        </w:rPr>
        <w:t>（四）预算绩效管理情况</w:t>
      </w:r>
    </w:p>
    <w:p>
      <w:pPr>
        <w:spacing w:line="60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根据预算绩效管理要求，本部门（壤塘县审计局）在年初预算编制阶段，组织对“一般行政事务管理&lt;2018-2019年中央及省对地方审计机关的经费补助&gt;”、“审计业务&lt;审计局审计事务、项目结算审计审计费、跟踪审计费等支出&gt;”、“其他扶贫支出&lt;2017年扶贫项目基础设施建设审计费（25个项目）&gt;”项目开展了预算事前绩效评估，对3个项目编制了绩效目标，预算执行过程中，选取1个项目开展绩效监控，年终执行完毕后，对1个项目开展了绩效目标完成情况自评。</w:t>
      </w:r>
    </w:p>
    <w:p>
      <w:pPr>
        <w:spacing w:line="60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本部门按要求对2019年部门整体支出开展绩效自评，从评价情况来看较好完成了年初预算安排。本部门还自行组织了1个项目支出绩效评价，从评价情况来看项目资金基本按照预算安排完成。因我局专项资金预算均为运转类资金，因此采用的绩效评价均为自评，以及选择一个项目开展自评。</w:t>
      </w:r>
    </w:p>
    <w:p>
      <w:pPr>
        <w:spacing w:line="600" w:lineRule="exact"/>
        <w:ind w:firstLine="643" w:firstLineChars="200"/>
        <w:rPr>
          <w:rFonts w:hint="eastAsia" w:ascii="仿宋_GB2312" w:hAnsi="Calibri" w:eastAsia="仿宋_GB2312" w:cs="仿宋_GB2312"/>
          <w:sz w:val="32"/>
          <w:szCs w:val="32"/>
          <w:lang w:val="en-US" w:eastAsia="zh-CN"/>
        </w:rPr>
      </w:pPr>
      <w:r>
        <w:rPr>
          <w:rFonts w:hint="eastAsia" w:ascii="仿宋_GB2312" w:hAnsi="宋体" w:eastAsia="仿宋_GB2312" w:cs="宋体"/>
          <w:b/>
          <w:bCs/>
          <w:color w:val="000000"/>
          <w:kern w:val="0"/>
          <w:sz w:val="32"/>
          <w:szCs w:val="32"/>
          <w:shd w:val="clear" w:color="auto" w:fill="FFFFFF"/>
          <w:lang w:val="en-US" w:eastAsia="zh-CN"/>
        </w:rPr>
        <w:t>1.</w:t>
      </w:r>
      <w:r>
        <w:rPr>
          <w:rFonts w:hint="eastAsia" w:ascii="仿宋_GB2312" w:hAnsi="宋体" w:eastAsia="仿宋_GB2312" w:cs="宋体"/>
          <w:b/>
          <w:bCs/>
          <w:color w:val="000000"/>
          <w:kern w:val="0"/>
          <w:sz w:val="32"/>
          <w:szCs w:val="32"/>
          <w:shd w:val="clear" w:color="auto" w:fill="FFFFFF"/>
          <w:lang w:val="zh-CN"/>
        </w:rPr>
        <w:t>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Calibri" w:eastAsia="仿宋_GB2312" w:cs="仿宋_GB2312"/>
          <w:sz w:val="32"/>
          <w:szCs w:val="32"/>
          <w:lang w:val="en-US" w:eastAsia="zh-CN"/>
        </w:rPr>
        <w:t>本部门在2019年度部门决算中反映“一般行政事务管理”、“审计业务”、“其他扶贫支出”等3个项目绩效目标实际完成情况。</w:t>
      </w:r>
    </w:p>
    <w:p>
      <w:pPr>
        <w:spacing w:line="60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1）“一般行政事务管理”项目绩效目标完成情况综述。项目全年预算数19.24万元，执行数为12.44万元，完成预算的64.66%。通过项目实施，保障了审计后勤工作开展，发现的主要问题：经费留存较少，为保障经费在下一年能有结存，尽可能的少使用该笔资金。下一步改进措施：厉行节约，合理安排经费支出。</w:t>
      </w:r>
    </w:p>
    <w:p>
      <w:pPr>
        <w:spacing w:line="60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2）“审计业务”项目绩效目标完成情况综述。项目全年预算数144.18万元，执行数为144.18万元，完成预算的100%。通过项目实施，保障了全县工程项目审计审计费以及财政审计、专项审计、经济责任审计、投资审计等审计项目的经费支出，</w:t>
      </w:r>
      <w:r>
        <w:rPr>
          <w:rFonts w:hint="eastAsia" w:ascii="仿宋_GB2312" w:hAnsi="Calibri" w:eastAsia="仿宋_GB2312" w:cs="仿宋_GB2312"/>
          <w:color w:val="auto"/>
          <w:sz w:val="32"/>
          <w:szCs w:val="32"/>
          <w:lang w:val="en-US" w:eastAsia="zh-CN"/>
        </w:rPr>
        <w:t>发现的主要问题：审计中介公司不及时履行报账手续，导致审计费不能按进度支付。下一步改进措施：提高审计项目完成效率，督促审计中介公司及时履行报账程序</w:t>
      </w:r>
      <w:r>
        <w:rPr>
          <w:rFonts w:hint="eastAsia" w:ascii="仿宋_GB2312" w:hAnsi="Calibri" w:eastAsia="仿宋_GB2312" w:cs="仿宋_GB2312"/>
          <w:sz w:val="32"/>
          <w:szCs w:val="32"/>
          <w:lang w:val="en-US" w:eastAsia="zh-CN"/>
        </w:rPr>
        <w:t>。</w:t>
      </w:r>
    </w:p>
    <w:p>
      <w:pPr>
        <w:spacing w:line="60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3）“其他扶贫支出”项目绩效目标完成情况综述。项目全年预算数1.20万元，执行数为1.20万元，完成预算的100%。通过项目实施，保障了我县2017年脱贫攻坚基础设施项目审计费的资金，发现的主要问题：审计中介公司报账资料不齐全，导致该项目审计费支付时限长。下一步改进措施：提高审计项目完成效率，督促审计中介公司及时完成报账程序。</w:t>
      </w:r>
    </w:p>
    <w:p>
      <w:pPr>
        <w:spacing w:line="580" w:lineRule="exact"/>
        <w:ind w:firstLine="640" w:firstLineChars="200"/>
        <w:rPr>
          <w:rFonts w:ascii="仿宋_GB2312" w:hAnsi="仿宋_GB2312" w:eastAsia="仿宋_GB2312" w:cs="仿宋_GB2312"/>
          <w:sz w:val="32"/>
          <w:szCs w:val="32"/>
        </w:rPr>
      </w:pPr>
    </w:p>
    <w:tbl>
      <w:tblPr>
        <w:tblStyle w:val="17"/>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390"/>
        <w:gridCol w:w="1367"/>
        <w:gridCol w:w="1251"/>
        <w:gridCol w:w="2166"/>
        <w:gridCol w:w="2394"/>
        <w:gridCol w:w="2392"/>
      </w:tblGrid>
      <w:tr>
        <w:tblPrEx>
          <w:tblLayout w:type="fixed"/>
          <w:tblCellMar>
            <w:top w:w="0" w:type="dxa"/>
            <w:left w:w="0" w:type="dxa"/>
            <w:bottom w:w="0" w:type="dxa"/>
            <w:right w:w="0" w:type="dxa"/>
          </w:tblCellMar>
        </w:tblPrEx>
        <w:trPr>
          <w:trHeight w:val="1143"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trHeight w:val="276" w:hRule="atLeast"/>
          <w:jc w:val="center"/>
        </w:trPr>
        <w:tc>
          <w:tcPr>
            <w:tcW w:w="30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695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审计业务费</w:t>
            </w:r>
          </w:p>
        </w:tc>
      </w:tr>
      <w:tr>
        <w:tblPrEx>
          <w:tblLayout w:type="fixed"/>
          <w:tblCellMar>
            <w:top w:w="0" w:type="dxa"/>
            <w:left w:w="0" w:type="dxa"/>
            <w:bottom w:w="0" w:type="dxa"/>
            <w:right w:w="0" w:type="dxa"/>
          </w:tblCellMar>
        </w:tblPrEx>
        <w:trPr>
          <w:trHeight w:val="276" w:hRule="atLeast"/>
          <w:jc w:val="center"/>
        </w:trPr>
        <w:tc>
          <w:tcPr>
            <w:tcW w:w="30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695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61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144.18万元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144.18万元</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61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144.18万元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144.18万元</w:t>
            </w:r>
          </w:p>
        </w:tc>
      </w:tr>
      <w:tr>
        <w:tblPrEx>
          <w:tblLayout w:type="fixed"/>
          <w:tblCellMar>
            <w:top w:w="0" w:type="dxa"/>
            <w:left w:w="0" w:type="dxa"/>
            <w:bottom w:w="0" w:type="dxa"/>
            <w:right w:w="0" w:type="dxa"/>
          </w:tblCellMar>
        </w:tblPrEx>
        <w:trPr>
          <w:trHeight w:val="148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61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rPr>
              <w:t>2019年度完成：</w:t>
            </w:r>
            <w:r>
              <w:rPr>
                <w:rFonts w:hint="eastAsia" w:ascii="宋体" w:hAnsi="宋体" w:cs="宋体"/>
                <w:color w:val="000000"/>
                <w:kern w:val="0"/>
                <w:sz w:val="24"/>
              </w:rPr>
              <w:t>每个季度重大政策跟踪审计；半年一次“三公经费”审计；本级预算执行审计；</w:t>
            </w:r>
            <w:r>
              <w:rPr>
                <w:rFonts w:hint="eastAsia" w:ascii="宋体" w:hAnsi="宋体" w:cs="宋体"/>
                <w:color w:val="000000"/>
                <w:kern w:val="0"/>
                <w:sz w:val="24"/>
                <w:lang w:eastAsia="zh-CN"/>
              </w:rPr>
              <w:t>部门预算执行审计</w:t>
            </w:r>
            <w:r>
              <w:rPr>
                <w:rFonts w:hint="eastAsia" w:ascii="宋体" w:hAnsi="宋体" w:cs="宋体"/>
                <w:color w:val="000000"/>
                <w:kern w:val="0"/>
                <w:sz w:val="24"/>
              </w:rPr>
              <w:t>；经济责任审计；固定资产投资审计；自然资源审计；扶贫审计；财政专项</w:t>
            </w:r>
            <w:r>
              <w:rPr>
                <w:rFonts w:hint="eastAsia" w:ascii="宋体" w:hAnsi="宋体" w:cs="宋体"/>
                <w:color w:val="000000"/>
                <w:kern w:val="0"/>
                <w:sz w:val="24"/>
                <w:lang w:eastAsia="zh-CN"/>
              </w:rPr>
              <w:t>资金</w:t>
            </w:r>
            <w:r>
              <w:rPr>
                <w:rFonts w:hint="eastAsia" w:ascii="宋体" w:hAnsi="宋体" w:cs="宋体"/>
                <w:color w:val="000000"/>
                <w:kern w:val="0"/>
                <w:sz w:val="24"/>
              </w:rPr>
              <w:t>审计；投资结算审计等项目审计。以及完成了审计局日常事务</w:t>
            </w:r>
            <w:r>
              <w:rPr>
                <w:rFonts w:hint="eastAsia" w:ascii="宋体" w:hAnsi="宋体" w:cs="宋体"/>
                <w:color w:val="000000"/>
                <w:kern w:val="0"/>
                <w:sz w:val="24"/>
                <w:lang w:eastAsia="zh-CN"/>
              </w:rPr>
              <w:t>、</w:t>
            </w:r>
            <w:r>
              <w:rPr>
                <w:rFonts w:hint="eastAsia" w:ascii="宋体" w:hAnsi="宋体" w:cs="宋体"/>
                <w:color w:val="000000"/>
                <w:kern w:val="0"/>
                <w:sz w:val="24"/>
              </w:rPr>
              <w:t>办公室党建</w:t>
            </w:r>
            <w:r>
              <w:rPr>
                <w:rFonts w:hint="eastAsia" w:ascii="宋体" w:hAnsi="宋体" w:cs="宋体"/>
                <w:color w:val="000000"/>
                <w:kern w:val="0"/>
                <w:sz w:val="24"/>
                <w:lang w:eastAsia="zh-CN"/>
              </w:rPr>
              <w:t>、</w:t>
            </w:r>
            <w:r>
              <w:rPr>
                <w:rFonts w:hint="eastAsia" w:ascii="宋体" w:hAnsi="宋体" w:cs="宋体"/>
                <w:color w:val="000000"/>
                <w:kern w:val="0"/>
                <w:sz w:val="24"/>
              </w:rPr>
              <w:t>党风廉政建设</w:t>
            </w:r>
            <w:r>
              <w:rPr>
                <w:rFonts w:hint="eastAsia" w:ascii="宋体" w:hAnsi="宋体" w:cs="宋体"/>
                <w:color w:val="000000"/>
                <w:kern w:val="0"/>
                <w:sz w:val="24"/>
                <w:lang w:eastAsia="zh-CN"/>
              </w:rPr>
              <w:t>及财务日常事务</w:t>
            </w:r>
            <w:r>
              <w:rPr>
                <w:rFonts w:hint="eastAsia" w:ascii="宋体" w:hAnsi="宋体" w:cs="宋体"/>
                <w:color w:val="000000"/>
                <w:kern w:val="0"/>
                <w:sz w:val="24"/>
              </w:rPr>
              <w:t xml:space="preserve">。 </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kern w:val="0"/>
                <w:sz w:val="24"/>
                <w:lang w:val="en-US" w:eastAsia="zh-CN"/>
              </w:rPr>
              <w:t>2019年度完成：</w:t>
            </w:r>
            <w:r>
              <w:rPr>
                <w:rFonts w:hint="eastAsia" w:ascii="宋体" w:hAnsi="宋体" w:cs="宋体"/>
                <w:color w:val="000000"/>
                <w:kern w:val="0"/>
                <w:sz w:val="24"/>
              </w:rPr>
              <w:t>每个季度重大政策跟踪审计；半年一次“三公经费”审计；本级预算执行审计；</w:t>
            </w:r>
            <w:r>
              <w:rPr>
                <w:rFonts w:hint="eastAsia" w:ascii="宋体" w:hAnsi="宋体" w:cs="宋体"/>
                <w:color w:val="000000"/>
                <w:kern w:val="0"/>
                <w:sz w:val="24"/>
                <w:lang w:eastAsia="zh-CN"/>
              </w:rPr>
              <w:t>部门预算执行审计</w:t>
            </w:r>
            <w:r>
              <w:rPr>
                <w:rFonts w:hint="eastAsia" w:ascii="宋体" w:hAnsi="宋体" w:cs="宋体"/>
                <w:color w:val="000000"/>
                <w:kern w:val="0"/>
                <w:sz w:val="24"/>
              </w:rPr>
              <w:t>；经济责任审计；固定资产投资审计；自然资源审计；扶贫审计；财政专项</w:t>
            </w:r>
            <w:r>
              <w:rPr>
                <w:rFonts w:hint="eastAsia" w:ascii="宋体" w:hAnsi="宋体" w:cs="宋体"/>
                <w:color w:val="000000"/>
                <w:kern w:val="0"/>
                <w:sz w:val="24"/>
                <w:lang w:eastAsia="zh-CN"/>
              </w:rPr>
              <w:t>资金</w:t>
            </w:r>
            <w:r>
              <w:rPr>
                <w:rFonts w:hint="eastAsia" w:ascii="宋体" w:hAnsi="宋体" w:cs="宋体"/>
                <w:color w:val="000000"/>
                <w:kern w:val="0"/>
                <w:sz w:val="24"/>
              </w:rPr>
              <w:t>审计；投资结算审计等项目审计。以及完成了审计局日常事务</w:t>
            </w:r>
            <w:r>
              <w:rPr>
                <w:rFonts w:hint="eastAsia" w:ascii="宋体" w:hAnsi="宋体" w:cs="宋体"/>
                <w:color w:val="000000"/>
                <w:kern w:val="0"/>
                <w:sz w:val="24"/>
                <w:lang w:eastAsia="zh-CN"/>
              </w:rPr>
              <w:t>、</w:t>
            </w:r>
            <w:r>
              <w:rPr>
                <w:rFonts w:hint="eastAsia" w:ascii="宋体" w:hAnsi="宋体" w:cs="宋体"/>
                <w:color w:val="000000"/>
                <w:kern w:val="0"/>
                <w:sz w:val="24"/>
              </w:rPr>
              <w:t>办公室党建</w:t>
            </w:r>
            <w:r>
              <w:rPr>
                <w:rFonts w:hint="eastAsia" w:ascii="宋体" w:hAnsi="宋体" w:cs="宋体"/>
                <w:color w:val="000000"/>
                <w:kern w:val="0"/>
                <w:sz w:val="24"/>
                <w:lang w:eastAsia="zh-CN"/>
              </w:rPr>
              <w:t>、</w:t>
            </w:r>
            <w:r>
              <w:rPr>
                <w:rFonts w:hint="eastAsia" w:ascii="宋体" w:hAnsi="宋体" w:cs="宋体"/>
                <w:color w:val="000000"/>
                <w:kern w:val="0"/>
                <w:sz w:val="24"/>
              </w:rPr>
              <w:t>党风廉政建设</w:t>
            </w:r>
            <w:r>
              <w:rPr>
                <w:rFonts w:hint="eastAsia" w:ascii="宋体" w:hAnsi="宋体" w:cs="宋体"/>
                <w:color w:val="000000"/>
                <w:kern w:val="0"/>
                <w:sz w:val="24"/>
                <w:lang w:eastAsia="zh-CN"/>
              </w:rPr>
              <w:t>及财务日常事务</w:t>
            </w:r>
            <w:r>
              <w:rPr>
                <w:rFonts w:hint="eastAsia" w:ascii="宋体" w:hAnsi="宋体" w:cs="宋体"/>
                <w:color w:val="000000"/>
                <w:kern w:val="0"/>
                <w:sz w:val="24"/>
              </w:rPr>
              <w:t>。</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2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审计项目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eastAsia="zh-CN"/>
              </w:rPr>
              <w:t>财政财务收支审计</w:t>
            </w:r>
            <w:r>
              <w:rPr>
                <w:rFonts w:hint="eastAsia" w:ascii="宋体" w:hAnsi="宋体" w:cs="宋体"/>
                <w:color w:val="000000"/>
                <w:sz w:val="24"/>
                <w:lang w:val="en-US" w:eastAsia="zh-CN"/>
              </w:rPr>
              <w:t>13个项目；经济责任审计4个；自然资源审计1个；项目结算审计251项目。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完成了财政财务收支审计</w:t>
            </w:r>
            <w:r>
              <w:rPr>
                <w:rFonts w:hint="eastAsia" w:ascii="宋体" w:hAnsi="宋体" w:cs="宋体"/>
                <w:color w:val="000000"/>
                <w:sz w:val="24"/>
                <w:lang w:val="en-US" w:eastAsia="zh-CN"/>
              </w:rPr>
              <w:t>13个项目；经济责任审计4个；自然资源审计1个；项目结算审计251项目。</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2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质量指标</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审计项目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cs="宋体"/>
                <w:sz w:val="24"/>
                <w:szCs w:val="24"/>
              </w:rPr>
              <w:t>审计发现的问题、处理处罚情况、审计建议</w:t>
            </w:r>
            <w:r>
              <w:rPr>
                <w:rFonts w:hint="eastAsia" w:ascii="宋体" w:cs="宋体"/>
                <w:sz w:val="24"/>
                <w:szCs w:val="24"/>
                <w:lang w:eastAsia="zh-CN"/>
              </w:rPr>
              <w:t>；结算项目审计的审减金额。</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cs="宋体"/>
                <w:sz w:val="24"/>
                <w:szCs w:val="24"/>
              </w:rPr>
              <w:t>根据审计发现问题，并出具审计报告及审计决定，提出处理处罚及审计建议</w:t>
            </w:r>
            <w:r>
              <w:rPr>
                <w:rFonts w:hint="eastAsia" w:ascii="宋体" w:cs="宋体"/>
                <w:sz w:val="24"/>
                <w:szCs w:val="24"/>
                <w:lang w:eastAsia="zh-CN"/>
              </w:rPr>
              <w:t>；结算项目审减金额为我县财政节约资金。</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2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时效性</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审计时间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cs="宋体"/>
                <w:sz w:val="24"/>
                <w:szCs w:val="24"/>
              </w:rPr>
              <w:t>当年</w:t>
            </w:r>
            <w:r>
              <w:rPr>
                <w:rFonts w:ascii="宋体" w:cs="宋体"/>
                <w:sz w:val="24"/>
                <w:szCs w:val="24"/>
              </w:rPr>
              <w:t>12</w:t>
            </w:r>
            <w:r>
              <w:rPr>
                <w:rFonts w:hint="eastAsia" w:ascii="宋体" w:cs="宋体"/>
                <w:sz w:val="24"/>
                <w:szCs w:val="24"/>
              </w:rPr>
              <w:t>月底前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cs="宋体"/>
                <w:sz w:val="24"/>
                <w:szCs w:val="24"/>
              </w:rPr>
              <w:t>12</w:t>
            </w:r>
            <w:r>
              <w:rPr>
                <w:rFonts w:hint="eastAsia" w:ascii="宋体" w:cs="宋体"/>
                <w:sz w:val="24"/>
                <w:szCs w:val="24"/>
              </w:rPr>
              <w:t>月底前完成</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2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满意度</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组织工作满意度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cs="宋体"/>
                <w:sz w:val="24"/>
                <w:szCs w:val="24"/>
              </w:rPr>
              <w:t>〉</w:t>
            </w:r>
            <w:r>
              <w:rPr>
                <w:rFonts w:ascii="宋体" w:cs="宋体"/>
                <w:sz w:val="24"/>
                <w:szCs w:val="24"/>
              </w:rPr>
              <w:t>97%</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cs="宋体"/>
                <w:sz w:val="24"/>
                <w:szCs w:val="24"/>
              </w:rPr>
              <w:t>〉</w:t>
            </w:r>
            <w:r>
              <w:rPr>
                <w:rFonts w:ascii="宋体" w:cs="宋体"/>
                <w:sz w:val="24"/>
                <w:szCs w:val="24"/>
              </w:rPr>
              <w:t>97%</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widowControl/>
        <w:adjustRightInd w:val="0"/>
        <w:snapToGrid w:val="0"/>
        <w:spacing w:line="580" w:lineRule="exact"/>
        <w:ind w:firstLine="643" w:firstLineChars="200"/>
        <w:contextualSpacing/>
        <w:jc w:val="left"/>
        <w:rPr>
          <w:rFonts w:hint="eastAsia"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2.部门绩效评价结果</w:t>
      </w:r>
    </w:p>
    <w:p>
      <w:pPr>
        <w:spacing w:line="60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本部门按要求对2019年部门整体支出绩效评价情况开展自评，《壤塘县审计局部2019年部门整体支出绩效评价报告》见附件（附件1）。</w:t>
      </w:r>
    </w:p>
    <w:p>
      <w:pPr>
        <w:spacing w:line="60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本部门不涉及建设项目及资金，项目资金均为专项公用经费资金，因此无项目绩效评价报告。</w:t>
      </w:r>
    </w:p>
    <w:p>
      <w:pPr>
        <w:autoSpaceDE w:val="0"/>
        <w:autoSpaceDN w:val="0"/>
        <w:adjustRightInd w:val="0"/>
        <w:spacing w:line="600" w:lineRule="exact"/>
        <w:ind w:firstLine="643" w:firstLineChars="200"/>
        <w:jc w:val="left"/>
        <w:outlineLvl w:val="2"/>
        <w:rPr>
          <w:rFonts w:hint="eastAsia" w:ascii="楷体" w:hAnsi="楷体" w:eastAsia="楷体" w:cs="楷体"/>
          <w:b/>
          <w:color w:val="000000"/>
          <w:sz w:val="32"/>
          <w:szCs w:val="32"/>
          <w:lang w:eastAsia="zh-CN"/>
        </w:rPr>
      </w:pPr>
      <w:r>
        <w:rPr>
          <w:rFonts w:hint="eastAsia" w:ascii="楷体" w:hAnsi="楷体" w:eastAsia="楷体" w:cs="楷体"/>
          <w:b/>
          <w:color w:val="000000"/>
          <w:sz w:val="32"/>
          <w:szCs w:val="32"/>
        </w:rPr>
        <w:t>（</w:t>
      </w:r>
      <w:r>
        <w:rPr>
          <w:rFonts w:hint="eastAsia" w:ascii="楷体" w:hAnsi="楷体" w:eastAsia="楷体" w:cs="楷体"/>
          <w:b/>
          <w:color w:val="000000"/>
          <w:sz w:val="32"/>
          <w:szCs w:val="32"/>
          <w:lang w:eastAsia="zh-CN"/>
        </w:rPr>
        <w:t>五</w:t>
      </w:r>
      <w:r>
        <w:rPr>
          <w:rFonts w:hint="eastAsia" w:ascii="楷体" w:hAnsi="楷体" w:eastAsia="楷体" w:cs="楷体"/>
          <w:b/>
          <w:color w:val="000000"/>
          <w:sz w:val="32"/>
          <w:szCs w:val="32"/>
        </w:rPr>
        <w:t>）</w:t>
      </w:r>
      <w:r>
        <w:rPr>
          <w:rFonts w:hint="eastAsia" w:ascii="楷体" w:hAnsi="楷体" w:eastAsia="楷体" w:cs="楷体"/>
          <w:b/>
          <w:color w:val="000000"/>
          <w:sz w:val="32"/>
          <w:szCs w:val="32"/>
          <w:lang w:eastAsia="zh-CN"/>
        </w:rPr>
        <w:t>其他需说明的情况</w:t>
      </w:r>
    </w:p>
    <w:p>
      <w:pPr>
        <w:spacing w:line="60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2019年决算公开报表及公开编制说明的金额均以万元为单位，因此与账面数据及决算报送数据存在小数点第二位收舍差的情况。</w:t>
      </w:r>
    </w:p>
    <w:p>
      <w:pPr>
        <w:pStyle w:val="2"/>
        <w:rPr>
          <w:rFonts w:hint="eastAsia" w:ascii="仿宋" w:hAnsi="仿宋" w:eastAsia="仿宋" w:cs="仿宋"/>
          <w:color w:val="000000"/>
          <w:sz w:val="32"/>
          <w:szCs w:val="32"/>
        </w:rPr>
      </w:pPr>
    </w:p>
    <w:p>
      <w:pPr>
        <w:rPr>
          <w:rFonts w:hint="eastAsia" w:ascii="仿宋" w:hAnsi="仿宋" w:eastAsia="仿宋" w:cs="仿宋"/>
          <w:color w:val="000000"/>
          <w:sz w:val="32"/>
          <w:szCs w:val="32"/>
        </w:rPr>
      </w:pPr>
    </w:p>
    <w:p>
      <w:pPr>
        <w:pStyle w:val="2"/>
        <w:rPr>
          <w:rFonts w:hint="eastAsia" w:ascii="仿宋" w:hAnsi="仿宋" w:eastAsia="仿宋" w:cs="仿宋"/>
          <w:color w:val="000000"/>
          <w:sz w:val="32"/>
          <w:szCs w:val="32"/>
        </w:rPr>
      </w:pPr>
    </w:p>
    <w:p>
      <w:pPr>
        <w:rPr>
          <w:rFonts w:hint="eastAsia" w:ascii="仿宋" w:hAnsi="仿宋" w:eastAsia="仿宋" w:cs="仿宋"/>
          <w:color w:val="000000"/>
          <w:sz w:val="32"/>
          <w:szCs w:val="32"/>
        </w:rPr>
      </w:pPr>
    </w:p>
    <w:p>
      <w:pPr>
        <w:pStyle w:val="2"/>
        <w:rPr>
          <w:rFonts w:hint="eastAsia" w:ascii="仿宋" w:hAnsi="仿宋" w:eastAsia="仿宋" w:cs="仿宋"/>
          <w:color w:val="000000"/>
          <w:sz w:val="32"/>
          <w:szCs w:val="32"/>
        </w:rPr>
      </w:pPr>
    </w:p>
    <w:p>
      <w:pPr>
        <w:rPr>
          <w:rFonts w:hint="eastAsia" w:ascii="仿宋" w:hAnsi="仿宋" w:eastAsia="仿宋" w:cs="仿宋"/>
          <w:color w:val="000000"/>
          <w:sz w:val="32"/>
          <w:szCs w:val="32"/>
        </w:rPr>
      </w:pPr>
    </w:p>
    <w:p>
      <w:pPr>
        <w:pStyle w:val="2"/>
        <w:rPr>
          <w:rFonts w:hint="eastAsia" w:ascii="仿宋" w:hAnsi="仿宋" w:eastAsia="仿宋" w:cs="仿宋"/>
          <w:color w:val="000000"/>
          <w:sz w:val="32"/>
          <w:szCs w:val="32"/>
        </w:rPr>
      </w:pPr>
    </w:p>
    <w:p>
      <w:pPr>
        <w:rPr>
          <w:rFonts w:hint="eastAsia" w:ascii="仿宋" w:hAnsi="仿宋" w:eastAsia="仿宋" w:cs="仿宋"/>
          <w:color w:val="000000"/>
          <w:sz w:val="32"/>
          <w:szCs w:val="32"/>
        </w:rPr>
      </w:pPr>
    </w:p>
    <w:p>
      <w:pPr>
        <w:pStyle w:val="2"/>
        <w:rPr>
          <w:rFonts w:hint="eastAsia" w:ascii="仿宋" w:hAnsi="仿宋" w:eastAsia="仿宋" w:cs="仿宋"/>
          <w:color w:val="000000"/>
          <w:sz w:val="32"/>
          <w:szCs w:val="32"/>
        </w:rPr>
      </w:pPr>
    </w:p>
    <w:p>
      <w:pPr>
        <w:rPr>
          <w:rFonts w:hint="eastAsia" w:ascii="仿宋" w:hAnsi="仿宋" w:eastAsia="仿宋" w:cs="仿宋"/>
          <w:color w:val="000000"/>
          <w:sz w:val="32"/>
          <w:szCs w:val="32"/>
        </w:rPr>
      </w:pPr>
    </w:p>
    <w:p>
      <w:pPr>
        <w:pStyle w:val="2"/>
        <w:rPr>
          <w:rFonts w:hint="eastAsia" w:ascii="仿宋" w:hAnsi="仿宋" w:eastAsia="仿宋" w:cs="仿宋"/>
          <w:color w:val="000000"/>
          <w:sz w:val="32"/>
          <w:szCs w:val="32"/>
        </w:rPr>
      </w:pPr>
    </w:p>
    <w:p>
      <w:pPr>
        <w:rPr>
          <w:rFonts w:hint="eastAsia" w:ascii="仿宋" w:hAnsi="仿宋" w:eastAsia="仿宋" w:cs="仿宋"/>
          <w:color w:val="000000"/>
          <w:sz w:val="32"/>
          <w:szCs w:val="32"/>
        </w:rPr>
      </w:pPr>
    </w:p>
    <w:p>
      <w:pPr>
        <w:pStyle w:val="2"/>
        <w:rPr>
          <w:rFonts w:hint="eastAsia" w:ascii="仿宋" w:hAnsi="仿宋" w:eastAsia="仿宋" w:cs="仿宋"/>
          <w:color w:val="000000"/>
          <w:sz w:val="32"/>
          <w:szCs w:val="32"/>
        </w:rPr>
      </w:pPr>
    </w:p>
    <w:p/>
    <w:p>
      <w:pPr>
        <w:widowControl/>
        <w:jc w:val="left"/>
        <w:rPr>
          <w:rFonts w:ascii="仿宋_GB2312" w:eastAsia="仿宋_GB2312"/>
          <w:b/>
          <w:color w:val="000000"/>
          <w:sz w:val="32"/>
          <w:szCs w:val="32"/>
        </w:rPr>
      </w:pPr>
    </w:p>
    <w:p>
      <w:pPr>
        <w:numPr>
          <w:ilvl w:val="0"/>
          <w:numId w:val="3"/>
        </w:numPr>
        <w:spacing w:line="600" w:lineRule="exact"/>
        <w:ind w:firstLine="660" w:firstLineChars="150"/>
        <w:jc w:val="center"/>
        <w:outlineLvl w:val="0"/>
        <w:rPr>
          <w:rStyle w:val="26"/>
          <w:rFonts w:ascii="黑体" w:hAnsi="黑体" w:eastAsia="黑体"/>
          <w:b w:val="0"/>
        </w:rPr>
      </w:pPr>
      <w:bookmarkStart w:id="53" w:name="_Toc15396613"/>
      <w:bookmarkStart w:id="54" w:name="_Toc15377225"/>
      <w:r>
        <w:rPr>
          <w:rFonts w:hint="eastAsia" w:ascii="黑体" w:hAnsi="黑体" w:eastAsia="黑体"/>
          <w:color w:val="000000"/>
          <w:sz w:val="44"/>
          <w:szCs w:val="44"/>
        </w:rPr>
        <w:t>名</w:t>
      </w:r>
      <w:r>
        <w:rPr>
          <w:rStyle w:val="26"/>
          <w:rFonts w:hint="eastAsia" w:ascii="黑体" w:hAnsi="黑体" w:eastAsia="黑体"/>
          <w:b w:val="0"/>
        </w:rPr>
        <w:t>词解释</w:t>
      </w:r>
      <w:bookmarkEnd w:id="53"/>
      <w:bookmarkEnd w:id="54"/>
    </w:p>
    <w:p>
      <w:pPr>
        <w:spacing w:line="600" w:lineRule="exact"/>
        <w:jc w:val="left"/>
        <w:rPr>
          <w:rFonts w:ascii="宋体"/>
          <w:b/>
          <w:color w:val="000000"/>
          <w:sz w:val="44"/>
          <w:szCs w:val="44"/>
        </w:rPr>
      </w:pPr>
    </w:p>
    <w:p>
      <w:pPr>
        <w:pStyle w:val="24"/>
        <w:spacing w:line="560" w:lineRule="exact"/>
        <w:ind w:firstLine="640" w:firstLineChars="200"/>
        <w:rPr>
          <w:rFonts w:hint="eastAsia" w:ascii="仿宋_GB2312" w:hAnsi="Calibri" w:eastAsia="仿宋_GB2312" w:cs="仿宋_GB2312"/>
          <w:kern w:val="2"/>
          <w:sz w:val="32"/>
          <w:szCs w:val="32"/>
          <w:lang w:val="en-US" w:eastAsia="zh-CN" w:bidi="ar-SA"/>
        </w:rPr>
      </w:pPr>
      <w:bookmarkStart w:id="55" w:name="_Toc15377226"/>
      <w:r>
        <w:rPr>
          <w:rFonts w:hint="eastAsia" w:ascii="仿宋_GB2312" w:hAnsi="Calibri" w:eastAsia="仿宋_GB2312" w:cs="仿宋_GB2312"/>
          <w:kern w:val="2"/>
          <w:sz w:val="32"/>
          <w:szCs w:val="32"/>
          <w:lang w:val="en-US" w:eastAsia="zh-CN" w:bidi="ar-SA"/>
        </w:rPr>
        <w:t>1.财政拨款收入：指单位从同级财政部门取得的财政预算资金。</w:t>
      </w:r>
    </w:p>
    <w:p>
      <w:pPr>
        <w:pStyle w:val="24"/>
        <w:spacing w:line="560" w:lineRule="exact"/>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2.事业收入：指事业单位开展专业业务活动及辅助活动取得的收入。</w:t>
      </w:r>
    </w:p>
    <w:p>
      <w:pPr>
        <w:pStyle w:val="24"/>
        <w:spacing w:line="560" w:lineRule="exact"/>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3.经营收入：指事业单位在专业业务活动及其辅助活动之外开展非独立核算经营活动取得的收入。</w:t>
      </w:r>
    </w:p>
    <w:p>
      <w:pPr>
        <w:pStyle w:val="24"/>
        <w:spacing w:line="560" w:lineRule="exact"/>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4.其他收入：指单位取得的除上述收入以外的各项收入。</w:t>
      </w:r>
    </w:p>
    <w:p>
      <w:pPr>
        <w:pStyle w:val="24"/>
        <w:spacing w:line="560" w:lineRule="exact"/>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4"/>
        <w:spacing w:line="560" w:lineRule="exact"/>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6.年初结转和结余：指以前年度尚未完成、结转到本年按有关规定继续使用的资金。</w:t>
      </w:r>
    </w:p>
    <w:p>
      <w:pPr>
        <w:pStyle w:val="24"/>
        <w:spacing w:line="560" w:lineRule="exact"/>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7.结余分配：指事业单位按照事业单位会计制度的规定从非财政补助结余中分配的事业基金和职工福利基金等。</w:t>
      </w:r>
    </w:p>
    <w:p>
      <w:pPr>
        <w:pStyle w:val="24"/>
        <w:spacing w:line="560" w:lineRule="exact"/>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8、年末结转和结余：指单位按有关规定结转到下年或以后年度继续使用的资金。</w:t>
      </w:r>
    </w:p>
    <w:p>
      <w:pPr>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9.一般公共服务支出（201）：指政府提供一般公共服务的支出。</w:t>
      </w:r>
    </w:p>
    <w:p>
      <w:pPr>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10.审计事务（20108）：指政府审计方面的支出。</w:t>
      </w:r>
    </w:p>
    <w:p>
      <w:pPr>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11.行政运行（2010801）：指行政范围（包括实行公务员管理的事业单位）的基本支出。</w:t>
      </w:r>
    </w:p>
    <w:p>
      <w:pPr>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12.一般行政管理事务（2010802）：指行政单位（包括实行公务员管理的事业单位）未单独设置项级科目的其他项目支出。</w:t>
      </w:r>
    </w:p>
    <w:p>
      <w:pPr>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13.审计业务（2010804）：指各级审计机构的审计、专项审计调查、聘请社会审计组织人员及技术专家等方面的支出。</w:t>
      </w:r>
    </w:p>
    <w:p>
      <w:pPr>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14.民族事务（20123）：指用于民族事务管理方面的支出。</w:t>
      </w:r>
    </w:p>
    <w:p>
      <w:pPr>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15.其他民政事务支出（2012399）：指上述项目以外其他用于民族事务方面的支出。</w:t>
      </w:r>
    </w:p>
    <w:p>
      <w:pPr>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16.社会保障和就业支出（208）：指政府在社会保障与就业方面的支出。</w:t>
      </w:r>
    </w:p>
    <w:p>
      <w:pPr>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17.行政事业单位离退休（20805）：指用于行政事业单位离退休方面的支出。</w:t>
      </w:r>
    </w:p>
    <w:p>
      <w:pPr>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18.机关事业单位基本养老保险缴费支出（2080505）：指机关事业单位实施养老保险制度由单位缴纳的基本养老保险支出。</w:t>
      </w:r>
    </w:p>
    <w:p>
      <w:pPr>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19.机关事业单位职业年金缴费支出（2080506）：指机关事业单位实施养老保险制度由单位实施缴纳的职业年金支出。</w:t>
      </w:r>
    </w:p>
    <w:p>
      <w:pPr>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20.医疗卫生与计划生育支出（210）：指政府医疗卫生与计划生育管理方面的支出。</w:t>
      </w:r>
    </w:p>
    <w:p>
      <w:pPr>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21.行政事业单位医疗（21011）：指行政事业单位医疗方面的支出。</w:t>
      </w:r>
    </w:p>
    <w:p>
      <w:pPr>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22.行政单位医疗（2101101）：指财政部门集中安排的行政单位基本医疗保险缴费经费，未参加医疗保险的行政单位的公费医疗经费，按国家规定享受离休人员、红军老战士待遇人员的医疗经费。</w:t>
      </w:r>
    </w:p>
    <w:p>
      <w:pPr>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23.农林水支出（213）：指政府农林水事务支出。</w:t>
      </w:r>
    </w:p>
    <w:p>
      <w:pPr>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24.扶贫（21305）：指用于农村（包括国有农场、国有林场）扶贫开发等方面的支出。</w:t>
      </w:r>
    </w:p>
    <w:p>
      <w:pPr>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25.其他扶贫支出（2130599）：指除上述项目以外其他用于扶贫方面的支出。</w:t>
      </w:r>
    </w:p>
    <w:p>
      <w:pPr>
        <w:ind w:firstLine="645"/>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26.住房保障支出（221）：指政府用于住房方面的支出。</w:t>
      </w:r>
    </w:p>
    <w:p>
      <w:pPr>
        <w:ind w:firstLine="645"/>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27.住房改革支出（22102）：指行政事业单位用财政拨款资金和其他资金等安排的住房改革支出。</w:t>
      </w:r>
    </w:p>
    <w:p>
      <w:pPr>
        <w:ind w:firstLine="645"/>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28.住房公积金（2210201）：指行政事业单位按人力资源和社会保障部、财政部规定的基本工资和津贴补贴以及规定比例为职工缴纳的住房公积金。</w:t>
      </w:r>
    </w:p>
    <w:p>
      <w:pPr>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29.基本支出：指为保障机构正常运转、完成日常工作任务而发生的人员支出和公用支出。</w:t>
      </w:r>
    </w:p>
    <w:p>
      <w:pPr>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30.项目支出：指在基本支出之外为完成特定行政任务和事业发展目标所发生的支出。</w:t>
      </w:r>
    </w:p>
    <w:p>
      <w:pPr>
        <w:pStyle w:val="24"/>
        <w:spacing w:line="560" w:lineRule="exact"/>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31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hint="eastAsia" w:ascii="仿宋_GB2312" w:hAnsi="Calibri" w:eastAsia="仿宋_GB2312" w:cs="仿宋_GB2312"/>
          <w:kern w:val="2"/>
          <w:sz w:val="32"/>
          <w:szCs w:val="32"/>
          <w:lang w:val="en-US" w:eastAsia="zh-CN" w:bidi="ar-SA"/>
        </w:rPr>
      </w:pPr>
      <w:r>
        <w:rPr>
          <w:rFonts w:hint="eastAsia" w:ascii="仿宋_GB2312" w:hAnsi="Calibri" w:eastAsia="仿宋_GB2312" w:cs="仿宋_GB2312"/>
          <w:kern w:val="2"/>
          <w:sz w:val="32"/>
          <w:szCs w:val="32"/>
          <w:lang w:val="en-US" w:eastAsia="zh-CN" w:bidi="ar-SA"/>
        </w:rPr>
        <w:t>32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6"/>
          <w:rFonts w:ascii="黑体" w:hAnsi="黑体" w:eastAsia="黑体"/>
          <w:b w:val="0"/>
        </w:rPr>
      </w:pPr>
      <w:r>
        <w:rPr>
          <w:rFonts w:ascii="宋体"/>
          <w:b/>
          <w:color w:val="000000"/>
          <w:sz w:val="44"/>
          <w:szCs w:val="44"/>
        </w:rPr>
        <w:br w:type="page"/>
      </w:r>
      <w:bookmarkStart w:id="56" w:name="_Toc15396614"/>
      <w:r>
        <w:rPr>
          <w:rFonts w:hint="eastAsia" w:ascii="黑体" w:hAnsi="黑体" w:eastAsia="黑体"/>
          <w:color w:val="000000"/>
          <w:sz w:val="44"/>
          <w:szCs w:val="44"/>
        </w:rPr>
        <w:t>第</w:t>
      </w:r>
      <w:r>
        <w:rPr>
          <w:rStyle w:val="26"/>
          <w:rFonts w:hint="eastAsia" w:ascii="黑体" w:hAnsi="黑体" w:eastAsia="黑体"/>
          <w:b w:val="0"/>
        </w:rPr>
        <w:t>四部分 附件</w:t>
      </w:r>
      <w:bookmarkEnd w:id="56"/>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rPr>
      </w:pPr>
      <w:r>
        <w:rPr>
          <w:rFonts w:hint="eastAsia" w:ascii="方正小标宋简体" w:hAnsi="宋体" w:eastAsia="方正小标宋简体"/>
          <w:color w:val="000000"/>
          <w:kern w:val="0"/>
          <w:sz w:val="40"/>
          <w:szCs w:val="44"/>
          <w:lang w:eastAsia="zh-CN"/>
        </w:rPr>
        <w:t>壤塘县审计局</w:t>
      </w:r>
      <w:r>
        <w:rPr>
          <w:rFonts w:ascii="方正小标宋简体" w:hAnsi="宋体" w:eastAsia="方正小标宋简体"/>
          <w:color w:val="000000"/>
          <w:kern w:val="0"/>
          <w:sz w:val="40"/>
          <w:szCs w:val="44"/>
        </w:rPr>
        <w:t>2019年部门</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spacing w:line="580" w:lineRule="exact"/>
        <w:ind w:firstLine="643" w:firstLineChars="200"/>
        <w:rPr>
          <w:rFonts w:ascii="楷体" w:hAnsi="楷体" w:eastAsia="楷体"/>
          <w:b/>
          <w:bCs/>
          <w:sz w:val="32"/>
          <w:szCs w:val="32"/>
        </w:rPr>
      </w:pPr>
      <w:r>
        <w:rPr>
          <w:rFonts w:hint="eastAsia" w:ascii="楷体" w:hAnsi="楷体" w:eastAsia="楷体" w:cs="楷体"/>
          <w:b/>
          <w:bCs/>
          <w:sz w:val="32"/>
          <w:szCs w:val="32"/>
        </w:rPr>
        <w:t>（一）机构组成</w:t>
      </w:r>
    </w:p>
    <w:p>
      <w:pPr>
        <w:spacing w:line="60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壤塘县审计局为壤塘县政府工作部门，属一级预算单位，所需经费全部由财政拨款解决。2019年壤塘县审计局设4个内设机构（三股一办）及股所级事业单位（投资审计中心、审计事务服务中心），即：综合办、财政金融和行政事业审计股、经济责任审计股、固定资产和经贸审计股、壤塘县投资审计中心、壤塘县审计事务服务中心。</w:t>
      </w:r>
    </w:p>
    <w:p>
      <w:pPr>
        <w:spacing w:line="580" w:lineRule="exact"/>
        <w:ind w:firstLine="643" w:firstLineChars="200"/>
        <w:rPr>
          <w:rFonts w:ascii="楷体" w:hAnsi="楷体" w:eastAsia="楷体"/>
          <w:b/>
          <w:bCs/>
          <w:sz w:val="32"/>
          <w:szCs w:val="32"/>
        </w:rPr>
      </w:pPr>
      <w:r>
        <w:rPr>
          <w:rFonts w:hint="eastAsia" w:ascii="楷体" w:hAnsi="楷体" w:eastAsia="楷体" w:cs="楷体"/>
          <w:b/>
          <w:bCs/>
          <w:sz w:val="32"/>
          <w:szCs w:val="32"/>
        </w:rPr>
        <w:t>（二）机构职能</w:t>
      </w:r>
    </w:p>
    <w:p>
      <w:pPr>
        <w:spacing w:line="60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根据中共壤塘县委办公室、壤塘县人民政府办公室批准的《壤塘县审计局职能配置、内设机构和人员编制规定》（壤委办〔2019〕39号）及中共壤塘县委机构编制委员会办公室批准的《壤塘县审计局所属事业单位的设置、职责和编制事项方案》（壤编办〔2019〕64号）的规定，县审计局为县政府工作部门。主要职责是：</w:t>
      </w:r>
    </w:p>
    <w:p>
      <w:pPr>
        <w:spacing w:line="600" w:lineRule="exact"/>
        <w:ind w:firstLine="643"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b/>
          <w:bCs/>
          <w:sz w:val="32"/>
          <w:szCs w:val="32"/>
          <w:lang w:val="en-US" w:eastAsia="zh-CN"/>
        </w:rPr>
        <w:t>1、</w:t>
      </w:r>
      <w:r>
        <w:rPr>
          <w:rFonts w:hint="eastAsia" w:ascii="仿宋_GB2312" w:hAnsi="Calibri" w:eastAsia="仿宋_GB2312" w:cs="仿宋_GB2312"/>
          <w:sz w:val="32"/>
          <w:szCs w:val="32"/>
          <w:lang w:val="en-US" w:eastAsia="zh-CN"/>
        </w:rPr>
        <w:t>主管全县审计工作。负责对县级财政收支和法律法规规定属于审计监督范围的财务收支的真实、合法和效益进行审计监督，对公共资金、国有资产、国有资源和领导干部履行经济责任情况实行审计全覆盖，对领导干部实行自然资源资产离任审计，对国家和省、州、县有关重大政策措施贯彻落实情况进行跟踪审计。对审计、专项审计调查和核查社会审计机构相关审计报告的结果承担责任，并负有督促被审计单位整改的责任。</w:t>
      </w:r>
    </w:p>
    <w:p>
      <w:pPr>
        <w:spacing w:line="600" w:lineRule="exact"/>
        <w:ind w:firstLine="643"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b/>
          <w:bCs/>
          <w:sz w:val="32"/>
          <w:szCs w:val="32"/>
          <w:lang w:val="en-US" w:eastAsia="zh-CN"/>
        </w:rPr>
        <w:t>2、</w:t>
      </w:r>
      <w:r>
        <w:rPr>
          <w:rFonts w:hint="eastAsia" w:ascii="仿宋_GB2312" w:hAnsi="Calibri" w:eastAsia="仿宋_GB2312" w:cs="仿宋_GB2312"/>
          <w:sz w:val="32"/>
          <w:szCs w:val="32"/>
          <w:lang w:val="en-US" w:eastAsia="zh-CN"/>
        </w:rPr>
        <w:t>贯彻执行国家和省、州有关审计工作的方针政策和法律法规。拟订本县审计业务规章制度，制定并组织实施审计工作发展规划、专业领域审计工作规划和年度审计计划，对直接审计、调查和核查的事项依法进行审计评价，依法出具审计报告，做出审计决定或提出审计意见和建议。</w:t>
      </w:r>
    </w:p>
    <w:p>
      <w:pPr>
        <w:spacing w:line="600" w:lineRule="exact"/>
        <w:ind w:firstLine="643"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b/>
          <w:bCs/>
          <w:sz w:val="32"/>
          <w:szCs w:val="32"/>
          <w:lang w:val="en-US" w:eastAsia="zh-CN"/>
        </w:rPr>
        <w:t>3、</w:t>
      </w:r>
      <w:r>
        <w:rPr>
          <w:rFonts w:hint="eastAsia" w:ascii="仿宋_GB2312" w:hAnsi="Calibri" w:eastAsia="仿宋_GB2312" w:cs="仿宋_GB2312"/>
          <w:sz w:val="32"/>
          <w:szCs w:val="32"/>
          <w:lang w:val="en-US" w:eastAsia="zh-CN"/>
        </w:rPr>
        <w:t>向县委审计委员会、县人民政府和阿坝州审计局提出年度县本级预算执行和其他财政收支情况的审计报告，受县人民政府委托向县人大常委会提出县本级预算执行和其他财政收支情况的审计工作报告；向县人民政府提出政府投资工程项目投资管理和财务收支情况的审计结果报告，受县人民政府委托向县人大常委会提出政府投资工程项目投资管理和财务收支情况的审计工作报告；向县人民政府和州审计局报告对其他事项的审计和专项审计调查情况及结果，依法向社会公布审计结果。</w:t>
      </w:r>
    </w:p>
    <w:p>
      <w:pPr>
        <w:spacing w:line="600" w:lineRule="exact"/>
        <w:ind w:firstLine="643"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b/>
          <w:bCs/>
          <w:sz w:val="32"/>
          <w:szCs w:val="32"/>
          <w:lang w:val="en-US" w:eastAsia="zh-CN"/>
        </w:rPr>
        <w:t>4、</w:t>
      </w:r>
      <w:r>
        <w:rPr>
          <w:rFonts w:hint="eastAsia" w:ascii="仿宋_GB2312" w:hAnsi="Calibri" w:eastAsia="仿宋_GB2312" w:cs="仿宋_GB2312"/>
          <w:sz w:val="32"/>
          <w:szCs w:val="32"/>
          <w:lang w:val="en-US" w:eastAsia="zh-CN"/>
        </w:rPr>
        <w:t>直接审计下列事项，出具审计报告，在法定职权范围内作出审计决定，包括国家和省、州、县有关重大政策措施贯彻落实情况。县级预算执行情况和其他财政收支，县直各部门（含直属单位）预算执行情况、决算草案和其他财政收支。各乡（镇）政府预算执行情况、决算草案和其他财政收支，县级财政转移支付资金。使用县级财政资金的事业单位（含直属单位）和社会团体的财务收支。县级政府投资和以县级政府投资为主的建设项目的预算执行情况和决算，县级重大公共工程项目的资金管理使用和建设运营情况。自然资源管理、污染防治和生态保护与修复情况。县属国有企业和地方金融机构，县属国有资本占控股或主导地位的企业的资产、负债和损益。有关社会保障基金、社会捐赠资金、安全生产和职业健康财政资金以及其他基金、资金的财务收支。上级审计机关授权审计的驻县单位和直属企事业单位的财务收支和经济效益，以及国际组织和外国政府贷款、援助项目的财务收支。法律法规规定应由县审计局审计的其他事项。</w:t>
      </w:r>
    </w:p>
    <w:p>
      <w:pPr>
        <w:spacing w:line="600" w:lineRule="exact"/>
        <w:ind w:firstLine="643"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b/>
          <w:bCs/>
          <w:sz w:val="32"/>
          <w:szCs w:val="32"/>
          <w:lang w:val="en-US" w:eastAsia="zh-CN"/>
        </w:rPr>
        <w:t>5、</w:t>
      </w:r>
      <w:r>
        <w:rPr>
          <w:rFonts w:hint="eastAsia" w:ascii="仿宋_GB2312" w:hAnsi="Calibri" w:eastAsia="仿宋_GB2312" w:cs="仿宋_GB2312"/>
          <w:sz w:val="32"/>
          <w:szCs w:val="32"/>
          <w:lang w:val="en-US" w:eastAsia="zh-CN"/>
        </w:rPr>
        <w:t>加强重大项目稽查，监督重大建设项目资金安全，提高投资效益。</w:t>
      </w:r>
    </w:p>
    <w:p>
      <w:pPr>
        <w:spacing w:line="600" w:lineRule="exact"/>
        <w:ind w:firstLine="643"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b/>
          <w:bCs/>
          <w:sz w:val="32"/>
          <w:szCs w:val="32"/>
          <w:lang w:val="en-US" w:eastAsia="zh-CN"/>
        </w:rPr>
        <w:t>6、</w:t>
      </w:r>
      <w:r>
        <w:rPr>
          <w:rFonts w:hint="eastAsia" w:ascii="仿宋_GB2312" w:hAnsi="Calibri" w:eastAsia="仿宋_GB2312" w:cs="仿宋_GB2312"/>
          <w:sz w:val="32"/>
          <w:szCs w:val="32"/>
          <w:lang w:val="en-US" w:eastAsia="zh-CN"/>
        </w:rPr>
        <w:t>按规定对县管党政主要领导干部及其他单位主要负责人实施经济责任审计和自然资源资产离任审计。</w:t>
      </w:r>
    </w:p>
    <w:p>
      <w:pPr>
        <w:spacing w:line="600" w:lineRule="exact"/>
        <w:ind w:firstLine="643"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b/>
          <w:bCs/>
          <w:sz w:val="32"/>
          <w:szCs w:val="32"/>
          <w:lang w:val="en-US" w:eastAsia="zh-CN"/>
        </w:rPr>
        <w:t>7、</w:t>
      </w:r>
      <w:r>
        <w:rPr>
          <w:rFonts w:hint="eastAsia" w:ascii="仿宋_GB2312" w:hAnsi="Calibri" w:eastAsia="仿宋_GB2312" w:cs="仿宋_GB2312"/>
          <w:sz w:val="32"/>
          <w:szCs w:val="32"/>
          <w:lang w:val="en-US" w:eastAsia="zh-CN"/>
        </w:rPr>
        <w:t>组织实施对国家财经法律法规、规章、政策和宏观调控措施执行情况、财政预算管理及国有资产管理使用等与县级财政收支有关的特定事项进行专项审计调查。</w:t>
      </w:r>
    </w:p>
    <w:p>
      <w:pPr>
        <w:spacing w:line="600" w:lineRule="exact"/>
        <w:ind w:firstLine="643"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b/>
          <w:bCs/>
          <w:sz w:val="32"/>
          <w:szCs w:val="32"/>
          <w:lang w:val="en-US" w:eastAsia="zh-CN"/>
        </w:rPr>
        <w:t>8、</w:t>
      </w:r>
      <w:r>
        <w:rPr>
          <w:rFonts w:hint="eastAsia" w:ascii="仿宋_GB2312" w:hAnsi="Calibri" w:eastAsia="仿宋_GB2312" w:cs="仿宋_GB2312"/>
          <w:sz w:val="32"/>
          <w:szCs w:val="32"/>
          <w:lang w:val="en-US" w:eastAsia="zh-CN"/>
        </w:rPr>
        <w:t>依法检查审计决定执行情况，督促整改审计查出的问题，依法办理被审计单位对审计决定提请行政复议、行政诉讼或县政府裁决中的有关事项，协助配合有关部门查处相关重大案件。</w:t>
      </w:r>
    </w:p>
    <w:p>
      <w:pPr>
        <w:spacing w:line="600" w:lineRule="exact"/>
        <w:ind w:firstLine="643"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b/>
          <w:bCs/>
          <w:sz w:val="32"/>
          <w:szCs w:val="32"/>
          <w:lang w:val="en-US" w:eastAsia="zh-CN"/>
        </w:rPr>
        <w:t>9、</w:t>
      </w:r>
      <w:r>
        <w:rPr>
          <w:rFonts w:hint="eastAsia" w:ascii="仿宋_GB2312" w:hAnsi="Calibri" w:eastAsia="仿宋_GB2312" w:cs="仿宋_GB2312"/>
          <w:sz w:val="32"/>
          <w:szCs w:val="32"/>
          <w:lang w:val="en-US" w:eastAsia="zh-CN"/>
        </w:rPr>
        <w:t>指导和监督内部审计工作，核查社会审计机构对依法属于审计监督对象的单位出具的相关审计报告。</w:t>
      </w:r>
    </w:p>
    <w:p>
      <w:pPr>
        <w:spacing w:line="600" w:lineRule="exact"/>
        <w:ind w:firstLine="643"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b/>
          <w:bCs/>
          <w:sz w:val="32"/>
          <w:szCs w:val="32"/>
          <w:lang w:val="en-US" w:eastAsia="zh-CN"/>
        </w:rPr>
        <w:t>10、</w:t>
      </w:r>
      <w:r>
        <w:rPr>
          <w:rFonts w:hint="eastAsia" w:ascii="仿宋_GB2312" w:hAnsi="Calibri" w:eastAsia="仿宋_GB2312" w:cs="仿宋_GB2312"/>
          <w:sz w:val="32"/>
          <w:szCs w:val="32"/>
          <w:lang w:val="en-US" w:eastAsia="zh-CN"/>
        </w:rPr>
        <w:t xml:space="preserve">组织实施审计信息化建设规划、制度，强化审计数据采集、管理和使用。 </w:t>
      </w:r>
    </w:p>
    <w:p>
      <w:pPr>
        <w:spacing w:line="600" w:lineRule="exact"/>
        <w:ind w:firstLine="643"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b/>
          <w:bCs/>
          <w:sz w:val="32"/>
          <w:szCs w:val="32"/>
          <w:lang w:val="en-US" w:eastAsia="zh-CN"/>
        </w:rPr>
        <w:t>11、</w:t>
      </w:r>
      <w:r>
        <w:rPr>
          <w:rFonts w:hint="eastAsia" w:ascii="仿宋_GB2312" w:hAnsi="Calibri" w:eastAsia="仿宋_GB2312" w:cs="仿宋_GB2312"/>
          <w:sz w:val="32"/>
          <w:szCs w:val="32"/>
          <w:lang w:val="en-US" w:eastAsia="zh-CN"/>
        </w:rPr>
        <w:t>负责职责范围内的安全生产和职业健康、生态环境保护、审批服务便民化等工作。</w:t>
      </w:r>
    </w:p>
    <w:p>
      <w:pPr>
        <w:spacing w:line="600" w:lineRule="exact"/>
        <w:ind w:firstLine="643"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b/>
          <w:bCs/>
          <w:sz w:val="32"/>
          <w:szCs w:val="32"/>
          <w:lang w:val="en-US" w:eastAsia="zh-CN"/>
        </w:rPr>
        <w:t>12、</w:t>
      </w:r>
      <w:r>
        <w:rPr>
          <w:rFonts w:hint="eastAsia" w:ascii="仿宋_GB2312" w:hAnsi="Calibri" w:eastAsia="仿宋_GB2312" w:cs="仿宋_GB2312"/>
          <w:sz w:val="32"/>
          <w:szCs w:val="32"/>
          <w:lang w:val="en-US" w:eastAsia="zh-CN"/>
        </w:rPr>
        <w:t>完成县委和县政府交办的其他任务。</w:t>
      </w:r>
    </w:p>
    <w:p>
      <w:pPr>
        <w:spacing w:line="600" w:lineRule="exact"/>
        <w:ind w:firstLine="643"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b/>
          <w:bCs/>
          <w:sz w:val="32"/>
          <w:szCs w:val="32"/>
          <w:lang w:val="en-US" w:eastAsia="zh-CN"/>
        </w:rPr>
        <w:t>13、</w:t>
      </w:r>
      <w:r>
        <w:rPr>
          <w:rFonts w:hint="eastAsia" w:ascii="仿宋_GB2312" w:hAnsi="Calibri" w:eastAsia="仿宋_GB2312" w:cs="仿宋_GB2312"/>
          <w:sz w:val="32"/>
          <w:szCs w:val="32"/>
          <w:lang w:val="en-US" w:eastAsia="zh-CN"/>
        </w:rPr>
        <w:t>职能转变。进一步完善审计管理体制，加强全县审计工作统筹，明晰县审计机关职能定位，理顺内部职责关系，优化审计资源配置，充实加强一线审计力量，构建集中统一、全面覆盖、权威高效的审计监督体系。优化审计工作机制，坚持科技强审，完善业务流程，改进工作方式，加强与有关部门的沟通协调，充分调动内部审计和社会审计力量，增强监督合力。</w:t>
      </w:r>
    </w:p>
    <w:p>
      <w:pPr>
        <w:spacing w:line="580" w:lineRule="exact"/>
        <w:ind w:firstLine="643" w:firstLineChars="200"/>
        <w:rPr>
          <w:rFonts w:ascii="楷体" w:hAnsi="楷体" w:eastAsia="楷体"/>
          <w:b/>
          <w:bCs/>
          <w:sz w:val="32"/>
          <w:szCs w:val="32"/>
        </w:rPr>
      </w:pPr>
      <w:r>
        <w:rPr>
          <w:rFonts w:hint="eastAsia" w:ascii="楷体" w:hAnsi="楷体" w:eastAsia="楷体" w:cs="楷体"/>
          <w:b/>
          <w:bCs/>
          <w:sz w:val="32"/>
          <w:szCs w:val="32"/>
        </w:rPr>
        <w:t>（三）人员概况</w:t>
      </w:r>
    </w:p>
    <w:p>
      <w:pPr>
        <w:spacing w:line="600" w:lineRule="exact"/>
        <w:ind w:firstLine="640" w:firstLineChars="200"/>
        <w:rPr>
          <w:rFonts w:hint="eastAsia" w:ascii="仿宋_GB2312" w:hAnsi="Calibri" w:eastAsia="仿宋_GB2312" w:cs="仿宋_GB2312"/>
          <w:sz w:val="32"/>
          <w:szCs w:val="32"/>
          <w:lang w:val="zh-CN" w:eastAsia="zh-CN"/>
        </w:rPr>
      </w:pPr>
      <w:r>
        <w:rPr>
          <w:rFonts w:hint="eastAsia" w:ascii="仿宋_GB2312" w:hAnsi="Calibri" w:eastAsia="仿宋_GB2312" w:cs="仿宋_GB2312"/>
          <w:sz w:val="32"/>
          <w:szCs w:val="32"/>
          <w:lang w:val="en-US" w:eastAsia="zh-CN"/>
        </w:rPr>
        <w:t>壤塘县审计局总编制15名,其中:行政编制7名,机关工勤人员编制1名，事业编制7名(投资审计中心3名、审计事务服务中心4名)。在职人员总数13名，其中：行政人员6名、行政工勤人员1名、事业人员5名。编外长期聘用投资审计人员1名，退休人员4人，遗属人员2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3" w:firstLineChars="200"/>
        <w:contextualSpacing/>
        <w:jc w:val="left"/>
        <w:rPr>
          <w:rFonts w:hint="eastAsia" w:ascii="楷体" w:hAnsi="楷体" w:eastAsia="楷体" w:cs="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（一）部门财政资金收入情况</w:t>
      </w:r>
    </w:p>
    <w:p>
      <w:pPr>
        <w:pStyle w:val="2"/>
        <w:ind w:firstLine="640" w:firstLineChars="200"/>
        <w:rPr>
          <w:rFonts w:hint="eastAsia" w:ascii="仿宋_GB2312" w:hAnsi="Calibri" w:eastAsia="仿宋_GB2312" w:cs="仿宋_GB2312"/>
          <w:kern w:val="2"/>
          <w:sz w:val="32"/>
          <w:szCs w:val="32"/>
          <w:lang w:val="zh-CN" w:eastAsia="zh-CN" w:bidi="ar-SA"/>
        </w:rPr>
      </w:pPr>
      <w:r>
        <w:rPr>
          <w:rFonts w:hint="eastAsia" w:ascii="仿宋_GB2312" w:hAnsi="Calibri" w:eastAsia="仿宋_GB2312" w:cs="仿宋_GB2312"/>
          <w:kern w:val="2"/>
          <w:sz w:val="32"/>
          <w:szCs w:val="32"/>
          <w:lang w:val="en-US" w:eastAsia="zh-CN" w:bidi="ar-SA"/>
        </w:rPr>
        <w:t>2019年年初结转和结余资金10.26万元。本年度一般公共预算财政拨款收入404.39万元，其中：一般公共服务支出339.49万元，社会保障和就业支出34.59万元，卫生健康支出11.14万元，住房保障支出19.18万元。</w:t>
      </w:r>
    </w:p>
    <w:p>
      <w:pPr>
        <w:widowControl/>
        <w:numPr>
          <w:ilvl w:val="0"/>
          <w:numId w:val="4"/>
        </w:numPr>
        <w:adjustRightInd w:val="0"/>
        <w:snapToGrid w:val="0"/>
        <w:spacing w:line="580" w:lineRule="exact"/>
        <w:ind w:firstLine="643" w:firstLineChars="200"/>
        <w:contextualSpacing/>
        <w:jc w:val="left"/>
        <w:rPr>
          <w:rFonts w:hint="eastAsia" w:ascii="楷体" w:hAnsi="楷体" w:eastAsia="楷体" w:cs="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部门财政资金支出情况</w:t>
      </w:r>
    </w:p>
    <w:p>
      <w:pPr>
        <w:spacing w:line="600" w:lineRule="exact"/>
        <w:ind w:firstLine="640" w:firstLineChars="200"/>
        <w:rPr>
          <w:rFonts w:hint="eastAsia" w:ascii="仿宋_GB2312" w:hAnsi="Calibri" w:eastAsia="仿宋_GB2312" w:cs="仿宋_GB2312"/>
          <w:sz w:val="32"/>
          <w:szCs w:val="32"/>
          <w:lang w:val="zh-CN" w:eastAsia="zh-CN"/>
        </w:rPr>
      </w:pPr>
      <w:r>
        <w:rPr>
          <w:rFonts w:hint="eastAsia" w:ascii="仿宋_GB2312" w:hAnsi="Calibri" w:eastAsia="仿宋_GB2312" w:cs="仿宋_GB2312"/>
          <w:sz w:val="32"/>
          <w:szCs w:val="32"/>
          <w:lang w:val="en-US" w:eastAsia="zh-CN"/>
        </w:rPr>
        <w:t>2019年本年支出407.86万元，其中：一般公共服务支出341.75万元，社会保障和就业支出34.59万元，卫生健康支出11.14万元，农林水支出1.20万元，住房保障支出19.18万元。本年年末财政拨款结转和结余6.81万元。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3" w:firstLineChars="200"/>
        <w:contextualSpacing/>
        <w:jc w:val="left"/>
        <w:rPr>
          <w:rFonts w:hint="eastAsia" w:ascii="楷体" w:hAnsi="楷体" w:eastAsia="楷体" w:cs="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（一）部门预算管理</w:t>
      </w:r>
    </w:p>
    <w:p>
      <w:pPr>
        <w:spacing w:line="600" w:lineRule="exact"/>
        <w:ind w:firstLine="640" w:firstLineChars="200"/>
        <w:rPr>
          <w:rFonts w:hint="eastAsia" w:ascii="仿宋_GB2312" w:hAnsi="Calibri" w:eastAsia="仿宋_GB2312" w:cs="仿宋_GB2312"/>
          <w:sz w:val="32"/>
          <w:szCs w:val="32"/>
          <w:lang w:val="zh-CN" w:eastAsia="zh-CN"/>
        </w:rPr>
      </w:pPr>
      <w:r>
        <w:rPr>
          <w:rFonts w:hint="eastAsia" w:ascii="仿宋_GB2312" w:hAnsi="Calibri" w:eastAsia="仿宋_GB2312" w:cs="仿宋_GB2312"/>
          <w:sz w:val="32"/>
          <w:szCs w:val="32"/>
          <w:lang w:val="en-US" w:eastAsia="zh-CN"/>
        </w:rPr>
        <w:t>我局严格按照预算编制的基本要求和时间节点认真编制2019部门预算及2019年部门决算。在预算编制中进一步夯实预算编制基础，及时更新相关基础数据，严格控制“三公”经费预算及支出，预算编制及决算编制做到了及时、完整、准确、合理、高效。</w:t>
      </w:r>
    </w:p>
    <w:p>
      <w:pPr>
        <w:spacing w:line="580" w:lineRule="exact"/>
        <w:ind w:firstLine="643" w:firstLineChars="200"/>
        <w:rPr>
          <w:rFonts w:ascii="楷体" w:hAnsi="楷体" w:eastAsia="楷体"/>
          <w:b/>
          <w:bCs/>
          <w:sz w:val="32"/>
          <w:szCs w:val="32"/>
        </w:rPr>
      </w:pPr>
      <w:r>
        <w:rPr>
          <w:rFonts w:hint="eastAsia" w:ascii="楷体" w:hAnsi="楷体" w:eastAsia="楷体" w:cs="楷体"/>
          <w:b/>
          <w:bCs/>
          <w:sz w:val="32"/>
          <w:szCs w:val="32"/>
        </w:rPr>
        <w:t>（二）专项预算管理</w:t>
      </w:r>
    </w:p>
    <w:p>
      <w:pPr>
        <w:spacing w:line="60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2019年我局专项公用经费预算项目严格按照项目支出规定预算，预算程序严密、规划合理、结果符合、分配科学、分配及时，由于我局项目支出完全是公用经费因此严格执行预算管理。</w:t>
      </w:r>
    </w:p>
    <w:p>
      <w:pPr>
        <w:spacing w:line="580" w:lineRule="exact"/>
        <w:ind w:firstLine="643" w:firstLineChars="200"/>
        <w:rPr>
          <w:rFonts w:ascii="楷体" w:hAnsi="楷体" w:eastAsia="楷体"/>
          <w:b/>
          <w:bCs/>
          <w:sz w:val="32"/>
          <w:szCs w:val="32"/>
        </w:rPr>
      </w:pPr>
      <w:r>
        <w:rPr>
          <w:rFonts w:hint="eastAsia" w:ascii="楷体" w:hAnsi="楷体" w:eastAsia="楷体" w:cs="楷体"/>
          <w:b/>
          <w:bCs/>
          <w:sz w:val="32"/>
          <w:szCs w:val="32"/>
        </w:rPr>
        <w:t>（三）执行管理情况</w:t>
      </w:r>
    </w:p>
    <w:p>
      <w:pPr>
        <w:spacing w:line="580" w:lineRule="exact"/>
        <w:ind w:firstLine="640" w:firstLineChars="200"/>
        <w:rPr>
          <w:rFonts w:ascii="仿宋" w:hAnsi="仿宋" w:eastAsia="仿宋"/>
          <w:sz w:val="32"/>
          <w:szCs w:val="32"/>
        </w:rPr>
      </w:pPr>
      <w:r>
        <w:rPr>
          <w:rFonts w:hint="eastAsia" w:ascii="仿宋_GB2312" w:hAnsi="Calibri" w:eastAsia="仿宋_GB2312" w:cs="仿宋_GB2312"/>
          <w:sz w:val="32"/>
          <w:szCs w:val="32"/>
          <w:lang w:val="en-US" w:eastAsia="zh-CN"/>
        </w:rPr>
        <w:t>我局严格按照《预算法》及其相关规定、严格执行预算管理。全年预算按照计划执行，在保障单位的正常运行基础上合理使用预算经费，贯彻落实中央八项规定、省委十项规定及其实施细则和州委州政府八条意见，严控“三公”经费，厉行节约，合理安排经费支出。</w:t>
      </w:r>
    </w:p>
    <w:p>
      <w:pPr>
        <w:spacing w:line="580" w:lineRule="exact"/>
        <w:ind w:firstLine="643" w:firstLineChars="200"/>
        <w:rPr>
          <w:rFonts w:ascii="楷体" w:hAnsi="楷体" w:eastAsia="楷体"/>
          <w:b/>
          <w:bCs/>
          <w:sz w:val="32"/>
          <w:szCs w:val="32"/>
        </w:rPr>
      </w:pPr>
      <w:r>
        <w:rPr>
          <w:rFonts w:hint="eastAsia" w:ascii="楷体" w:hAnsi="楷体" w:eastAsia="楷体" w:cs="楷体"/>
          <w:b/>
          <w:bCs/>
          <w:sz w:val="32"/>
          <w:szCs w:val="32"/>
        </w:rPr>
        <w:t>（三）结果应用情况</w:t>
      </w:r>
    </w:p>
    <w:p>
      <w:pPr>
        <w:spacing w:line="600" w:lineRule="exact"/>
        <w:ind w:firstLine="640" w:firstLineChars="200"/>
        <w:rPr>
          <w:rFonts w:hint="eastAsia" w:ascii="仿宋_GB2312" w:hAnsi="Calibri" w:eastAsia="仿宋_GB2312" w:cs="仿宋_GB2312"/>
          <w:sz w:val="32"/>
          <w:szCs w:val="32"/>
          <w:lang w:val="zh-CN" w:eastAsia="zh-CN"/>
        </w:rPr>
      </w:pPr>
      <w:r>
        <w:rPr>
          <w:rFonts w:hint="eastAsia" w:ascii="仿宋_GB2312" w:hAnsi="Calibri" w:eastAsia="仿宋_GB2312" w:cs="仿宋_GB2312"/>
          <w:sz w:val="32"/>
          <w:szCs w:val="32"/>
          <w:lang w:val="en-US" w:eastAsia="zh-CN"/>
        </w:rPr>
        <w:t>我局在县委、县政府和州审计局的坚强领导下，坚持以习近平新时代中国特色社会主义思想武装头脑、指导实践、推动工作，牢固树立依法审计理念、科学审计、大数据审计、创新审计、精准发力，在科学谋划、依法履职、队伍建设等方面持续发力，克服人少事多的诸多问题，将各项工作合理安排、稳步推进、成效明显。</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spacing w:line="580" w:lineRule="exact"/>
        <w:ind w:firstLine="643" w:firstLineChars="200"/>
        <w:rPr>
          <w:rFonts w:ascii="楷体" w:hAnsi="楷体" w:eastAsia="楷体"/>
          <w:b/>
          <w:bCs/>
          <w:sz w:val="32"/>
          <w:szCs w:val="32"/>
        </w:rPr>
      </w:pPr>
      <w:r>
        <w:rPr>
          <w:rFonts w:hint="eastAsia" w:ascii="楷体" w:hAnsi="楷体" w:eastAsia="楷体" w:cs="楷体"/>
          <w:b/>
          <w:bCs/>
          <w:sz w:val="32"/>
          <w:szCs w:val="32"/>
        </w:rPr>
        <w:t>（一）评价结论</w:t>
      </w:r>
    </w:p>
    <w:p>
      <w:pPr>
        <w:spacing w:line="600" w:lineRule="exact"/>
        <w:ind w:firstLine="640" w:firstLineChars="200"/>
        <w:rPr>
          <w:rFonts w:hint="eastAsia" w:ascii="仿宋_GB2312" w:hAnsi="Calibri" w:eastAsia="仿宋_GB2312" w:cs="仿宋_GB2312"/>
          <w:sz w:val="32"/>
          <w:szCs w:val="32"/>
          <w:lang w:val="en-US" w:eastAsia="zh-CN"/>
        </w:rPr>
      </w:pPr>
      <w:r>
        <w:rPr>
          <w:rFonts w:hint="eastAsia" w:ascii="仿宋_GB2312" w:hAnsi="Calibri" w:eastAsia="仿宋_GB2312" w:cs="仿宋_GB2312"/>
          <w:sz w:val="32"/>
          <w:szCs w:val="32"/>
          <w:lang w:val="en-US" w:eastAsia="zh-CN"/>
        </w:rPr>
        <w:t>加强预算管理，不断完善内部控制制度，预算执行达到预期效果，保障了本单位的正常运转，降低了行政运行成本，促进了社会和谐稳定，充分发挥了财政资金的经济效益、社会效益。并认真完成了2019年部门决算工作及2019年部门预算工作。严格按照财政制度、财经纪律，合理安排和使用预算经费，提升财政资金使用效率。</w:t>
      </w:r>
    </w:p>
    <w:p>
      <w:pPr>
        <w:spacing w:line="580" w:lineRule="exact"/>
        <w:ind w:firstLine="643" w:firstLineChars="200"/>
        <w:rPr>
          <w:rFonts w:ascii="楷体" w:hAnsi="楷体" w:eastAsia="楷体"/>
          <w:b/>
          <w:bCs/>
          <w:sz w:val="32"/>
          <w:szCs w:val="32"/>
        </w:rPr>
      </w:pPr>
      <w:r>
        <w:rPr>
          <w:rFonts w:hint="eastAsia" w:ascii="楷体" w:hAnsi="楷体" w:eastAsia="楷体" w:cs="楷体"/>
          <w:b/>
          <w:bCs/>
          <w:sz w:val="32"/>
          <w:szCs w:val="32"/>
        </w:rPr>
        <w:t>（二）存在问题</w:t>
      </w:r>
    </w:p>
    <w:p>
      <w:pPr>
        <w:spacing w:line="580" w:lineRule="exact"/>
        <w:ind w:firstLine="640" w:firstLineChars="200"/>
        <w:rPr>
          <w:rFonts w:ascii="仿宋" w:hAnsi="仿宋" w:eastAsia="仿宋"/>
          <w:sz w:val="32"/>
          <w:szCs w:val="32"/>
        </w:rPr>
      </w:pPr>
      <w:r>
        <w:rPr>
          <w:rFonts w:hint="eastAsia" w:ascii="仿宋_GB2312" w:hAnsi="Calibri" w:eastAsia="仿宋_GB2312" w:cs="仿宋_GB2312"/>
          <w:sz w:val="32"/>
          <w:szCs w:val="32"/>
          <w:lang w:val="en-US" w:eastAsia="zh-CN"/>
        </w:rPr>
        <w:t>我局在编制部门预算时，严格根据本单位职能职责和年度工作计划进行编制。整体预算绩效管理存在以下两个问题：一是因本部门整体支出预算资金的安排及使用上有不可预见性；二是单位对部门支出整体绩效评价指标无法量化，因此我局整体绩效评价的指标比较粗。</w:t>
      </w:r>
    </w:p>
    <w:p>
      <w:pPr>
        <w:spacing w:line="580" w:lineRule="exact"/>
        <w:ind w:firstLine="643" w:firstLineChars="200"/>
        <w:rPr>
          <w:rFonts w:ascii="楷体" w:hAnsi="楷体" w:eastAsia="楷体"/>
          <w:b/>
          <w:bCs/>
          <w:sz w:val="32"/>
          <w:szCs w:val="32"/>
        </w:rPr>
      </w:pPr>
      <w:r>
        <w:rPr>
          <w:rFonts w:hint="eastAsia" w:ascii="楷体" w:hAnsi="楷体" w:eastAsia="楷体" w:cs="楷体"/>
          <w:b/>
          <w:bCs/>
          <w:sz w:val="32"/>
          <w:szCs w:val="32"/>
        </w:rPr>
        <w:t>（三）改进建议</w:t>
      </w:r>
    </w:p>
    <w:p>
      <w:pPr>
        <w:spacing w:line="560" w:lineRule="exact"/>
        <w:ind w:firstLine="643" w:firstLineChars="200"/>
        <w:rPr>
          <w:rFonts w:hint="eastAsia" w:ascii="仿宋_GB2312" w:hAnsi="Calibri" w:eastAsia="仿宋_GB2312" w:cs="仿宋_GB2312"/>
          <w:sz w:val="32"/>
          <w:szCs w:val="32"/>
          <w:lang w:val="en-US" w:eastAsia="zh-CN"/>
        </w:rPr>
      </w:pPr>
      <w:r>
        <w:rPr>
          <w:rFonts w:hint="eastAsia" w:ascii="仿宋_GB2312" w:hAnsi="仿宋_GB2312" w:eastAsia="仿宋_GB2312" w:cs="仿宋_GB2312"/>
          <w:b/>
          <w:bCs/>
          <w:sz w:val="32"/>
          <w:szCs w:val="32"/>
        </w:rPr>
        <w:t>一是重视绩效管理，切实履行好职责。</w:t>
      </w:r>
      <w:r>
        <w:rPr>
          <w:rFonts w:hint="eastAsia" w:ascii="仿宋_GB2312" w:hAnsi="Calibri" w:eastAsia="仿宋_GB2312" w:cs="仿宋_GB2312"/>
          <w:sz w:val="32"/>
          <w:szCs w:val="32"/>
          <w:lang w:val="en-US" w:eastAsia="zh-CN"/>
        </w:rPr>
        <w:t>努力提升工作绩效，围绕审计项目计划安排，合理使用财政资金，让审计监督职责发挥作用。</w:t>
      </w:r>
    </w:p>
    <w:p>
      <w:pPr>
        <w:spacing w:line="560" w:lineRule="exact"/>
        <w:ind w:firstLine="643" w:firstLineChars="200"/>
        <w:rPr>
          <w:rFonts w:hint="eastAsia" w:ascii="仿宋_GB2312" w:hAnsi="Calibri" w:eastAsia="仿宋_GB2312" w:cs="仿宋_GB2312"/>
          <w:sz w:val="32"/>
          <w:szCs w:val="32"/>
          <w:lang w:val="en-US" w:eastAsia="zh-CN"/>
        </w:rPr>
      </w:pPr>
      <w:r>
        <w:rPr>
          <w:rFonts w:hint="eastAsia" w:ascii="仿宋_GB2312" w:hAnsi="仿宋_GB2312" w:eastAsia="仿宋_GB2312" w:cs="仿宋_GB2312"/>
          <w:b/>
          <w:bCs/>
          <w:sz w:val="32"/>
          <w:szCs w:val="32"/>
        </w:rPr>
        <w:t>二是建立长效机制。</w:t>
      </w:r>
      <w:r>
        <w:rPr>
          <w:rFonts w:hint="eastAsia" w:ascii="仿宋_GB2312" w:hAnsi="Calibri" w:eastAsia="仿宋_GB2312" w:cs="仿宋_GB2312"/>
          <w:sz w:val="32"/>
          <w:szCs w:val="32"/>
          <w:lang w:val="en-US" w:eastAsia="zh-CN"/>
        </w:rPr>
        <w:t>把绩效评价作为部门内控的日常工作，建立绩效评价管理工作考核长效机制。科学设定绩效目标，加强预算执行管理。</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600" w:lineRule="exact"/>
        <w:jc w:val="center"/>
        <w:outlineLvl w:val="0"/>
        <w:rPr>
          <w:rStyle w:val="26"/>
          <w:rFonts w:ascii="黑体" w:hAnsi="黑体" w:eastAsia="黑体"/>
          <w:b w:val="0"/>
        </w:rPr>
      </w:pPr>
    </w:p>
    <w:p>
      <w:pPr>
        <w:rPr>
          <w:rStyle w:val="26"/>
          <w:rFonts w:ascii="黑体" w:hAnsi="黑体" w:eastAsia="黑体"/>
          <w:b w:val="0"/>
        </w:rPr>
      </w:pPr>
    </w:p>
    <w:p>
      <w:pPr>
        <w:pStyle w:val="2"/>
        <w:rPr>
          <w:rStyle w:val="26"/>
          <w:rFonts w:ascii="黑体" w:hAnsi="黑体" w:eastAsia="黑体"/>
          <w:b w:val="0"/>
        </w:rPr>
      </w:pPr>
    </w:p>
    <w:p/>
    <w:p>
      <w:pPr>
        <w:pStyle w:val="2"/>
        <w:rPr>
          <w:rStyle w:val="26"/>
          <w:rFonts w:ascii="黑体" w:hAnsi="黑体" w:eastAsia="黑体"/>
          <w:b w:val="0"/>
        </w:rPr>
      </w:pPr>
    </w:p>
    <w:p>
      <w:pPr>
        <w:rPr>
          <w:rStyle w:val="26"/>
          <w:rFonts w:ascii="黑体" w:hAnsi="黑体" w:eastAsia="黑体"/>
          <w:b w:val="0"/>
        </w:rPr>
      </w:pPr>
    </w:p>
    <w:p>
      <w:pPr>
        <w:pStyle w:val="2"/>
        <w:rPr>
          <w:rStyle w:val="26"/>
          <w:rFonts w:ascii="黑体" w:hAnsi="黑体" w:eastAsia="黑体"/>
          <w:b w:val="0"/>
        </w:rPr>
      </w:pPr>
    </w:p>
    <w:p>
      <w:pPr>
        <w:rPr>
          <w:rStyle w:val="26"/>
          <w:rFonts w:ascii="黑体" w:hAnsi="黑体" w:eastAsia="黑体"/>
          <w:b w:val="0"/>
        </w:rPr>
      </w:pPr>
    </w:p>
    <w:p>
      <w:pPr>
        <w:pStyle w:val="2"/>
        <w:rPr>
          <w:rStyle w:val="26"/>
          <w:rFonts w:ascii="黑体" w:hAnsi="黑体" w:eastAsia="黑体"/>
          <w:b w:val="0"/>
        </w:rPr>
      </w:pPr>
    </w:p>
    <w:p>
      <w:pPr>
        <w:rPr>
          <w:rStyle w:val="26"/>
          <w:rFonts w:ascii="黑体" w:hAnsi="黑体" w:eastAsia="黑体"/>
          <w:b w:val="0"/>
        </w:rPr>
      </w:pPr>
    </w:p>
    <w:p>
      <w:pPr>
        <w:pStyle w:val="2"/>
        <w:rPr>
          <w:rStyle w:val="26"/>
          <w:rFonts w:ascii="黑体" w:hAnsi="黑体" w:eastAsia="黑体"/>
          <w:b w:val="0"/>
        </w:rPr>
      </w:pPr>
    </w:p>
    <w:p>
      <w:pPr>
        <w:rPr>
          <w:rStyle w:val="26"/>
          <w:rFonts w:ascii="黑体" w:hAnsi="黑体" w:eastAsia="黑体"/>
          <w:b w:val="0"/>
        </w:rPr>
      </w:pPr>
    </w:p>
    <w:p>
      <w:pPr>
        <w:pStyle w:val="2"/>
      </w:pPr>
    </w:p>
    <w:p>
      <w:pPr>
        <w:spacing w:line="600" w:lineRule="exact"/>
        <w:jc w:val="center"/>
        <w:outlineLvl w:val="0"/>
        <w:rPr>
          <w:rStyle w:val="26"/>
          <w:rFonts w:ascii="黑体" w:hAnsi="黑体" w:eastAsia="黑体"/>
          <w:b w:val="0"/>
        </w:rPr>
      </w:pPr>
      <w:bookmarkStart w:id="57" w:name="_Toc15396618"/>
      <w:r>
        <w:rPr>
          <w:rFonts w:hint="eastAsia" w:ascii="黑体" w:hAnsi="黑体" w:eastAsia="黑体"/>
          <w:color w:val="000000"/>
          <w:sz w:val="44"/>
          <w:szCs w:val="44"/>
        </w:rPr>
        <w:t>第</w:t>
      </w:r>
      <w:r>
        <w:rPr>
          <w:rStyle w:val="26"/>
          <w:rFonts w:hint="eastAsia" w:ascii="黑体" w:hAnsi="黑体" w:eastAsia="黑体"/>
          <w:b w:val="0"/>
        </w:rPr>
        <w:t>五部分 附表</w:t>
      </w:r>
      <w:bookmarkEnd w:id="55"/>
      <w:bookmarkEnd w:id="57"/>
    </w:p>
    <w:p>
      <w:pPr>
        <w:spacing w:line="600" w:lineRule="exact"/>
        <w:jc w:val="center"/>
        <w:outlineLvl w:val="0"/>
        <w:rPr>
          <w:rFonts w:ascii="仿宋" w:hAnsi="仿宋" w:eastAsia="仿宋"/>
          <w:b/>
          <w:color w:val="000000"/>
          <w:sz w:val="44"/>
          <w:szCs w:val="44"/>
        </w:rPr>
      </w:pPr>
    </w:p>
    <w:p>
      <w:pPr>
        <w:pStyle w:val="4"/>
        <w:rPr>
          <w:rFonts w:ascii="仿宋" w:hAnsi="仿宋" w:eastAsia="仿宋"/>
          <w:color w:val="000000"/>
        </w:rPr>
      </w:pPr>
      <w:bookmarkStart w:id="58" w:name="_Toc15396619"/>
      <w:r>
        <w:rPr>
          <w:rFonts w:hint="eastAsia" w:ascii="仿宋" w:hAnsi="仿宋" w:eastAsia="仿宋"/>
          <w:b w:val="0"/>
          <w:color w:val="000000"/>
        </w:rPr>
        <w:t>一、收</w:t>
      </w:r>
      <w:r>
        <w:rPr>
          <w:rStyle w:val="27"/>
          <w:rFonts w:hint="eastAsia" w:ascii="仿宋" w:hAnsi="仿宋" w:eastAsia="仿宋"/>
          <w:b w:val="0"/>
          <w:bCs w:val="0"/>
        </w:rPr>
        <w:t>入支出决算总表</w:t>
      </w:r>
      <w:bookmarkEnd w:id="58"/>
    </w:p>
    <w:p>
      <w:pPr>
        <w:pStyle w:val="4"/>
        <w:rPr>
          <w:rFonts w:ascii="仿宋" w:hAnsi="仿宋" w:eastAsia="仿宋"/>
          <w:color w:val="000000"/>
        </w:rPr>
      </w:pPr>
      <w:bookmarkStart w:id="59" w:name="_Toc15396620"/>
      <w:r>
        <w:rPr>
          <w:rFonts w:hint="eastAsia" w:ascii="仿宋" w:hAnsi="仿宋" w:eastAsia="仿宋"/>
          <w:b w:val="0"/>
          <w:color w:val="000000"/>
        </w:rPr>
        <w:t>二、收</w:t>
      </w:r>
      <w:r>
        <w:rPr>
          <w:rStyle w:val="27"/>
          <w:rFonts w:hint="eastAsia" w:ascii="仿宋" w:hAnsi="仿宋" w:eastAsia="仿宋"/>
          <w:b w:val="0"/>
          <w:bCs w:val="0"/>
        </w:rPr>
        <w:t>入决算表</w:t>
      </w:r>
      <w:bookmarkEnd w:id="59"/>
    </w:p>
    <w:p>
      <w:pPr>
        <w:pStyle w:val="4"/>
        <w:rPr>
          <w:rFonts w:ascii="仿宋" w:hAnsi="仿宋" w:eastAsia="仿宋"/>
          <w:color w:val="000000"/>
        </w:rPr>
      </w:pPr>
      <w:bookmarkStart w:id="60" w:name="_Toc15396621"/>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出决算表</w:t>
      </w:r>
      <w:bookmarkEnd w:id="60"/>
    </w:p>
    <w:p>
      <w:pPr>
        <w:pStyle w:val="4"/>
        <w:rPr>
          <w:rFonts w:ascii="仿宋" w:hAnsi="仿宋" w:eastAsia="仿宋"/>
          <w:b w:val="0"/>
          <w:color w:val="000000"/>
        </w:rPr>
      </w:pPr>
      <w:bookmarkStart w:id="61" w:name="_Toc15396622"/>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61"/>
    </w:p>
    <w:p>
      <w:pPr>
        <w:pStyle w:val="4"/>
        <w:rPr>
          <w:rStyle w:val="27"/>
          <w:rFonts w:ascii="仿宋" w:hAnsi="仿宋" w:eastAsia="仿宋"/>
          <w:b w:val="0"/>
          <w:bCs w:val="0"/>
        </w:rPr>
      </w:pPr>
      <w:bookmarkStart w:id="62" w:name="_Toc15396623"/>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w:t>
      </w:r>
      <w:bookmarkEnd w:id="62"/>
      <w:bookmarkStart w:id="63" w:name="_Toc15396624"/>
    </w:p>
    <w:p>
      <w:pPr>
        <w:pStyle w:val="4"/>
        <w:rPr>
          <w:rFonts w:ascii="仿宋" w:hAnsi="仿宋" w:eastAsia="仿宋"/>
          <w:color w:val="000000"/>
        </w:rPr>
      </w:pPr>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63"/>
    </w:p>
    <w:p>
      <w:pPr>
        <w:pStyle w:val="4"/>
        <w:rPr>
          <w:rFonts w:ascii="仿宋" w:hAnsi="仿宋" w:eastAsia="仿宋"/>
          <w:color w:val="000000"/>
        </w:rPr>
      </w:pPr>
      <w:bookmarkStart w:id="64" w:name="_Toc15396625"/>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64"/>
    </w:p>
    <w:p>
      <w:pPr>
        <w:pStyle w:val="4"/>
        <w:rPr>
          <w:rFonts w:ascii="仿宋" w:hAnsi="仿宋" w:eastAsia="仿宋"/>
          <w:color w:val="000000"/>
        </w:rPr>
      </w:pPr>
      <w:bookmarkStart w:id="65" w:name="_Toc15396626"/>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65"/>
    </w:p>
    <w:p>
      <w:pPr>
        <w:pStyle w:val="4"/>
        <w:rPr>
          <w:rFonts w:ascii="仿宋" w:hAnsi="仿宋" w:eastAsia="仿宋"/>
          <w:color w:val="000000"/>
        </w:rPr>
      </w:pPr>
      <w:bookmarkStart w:id="66" w:name="_Toc15396627"/>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66"/>
    </w:p>
    <w:p>
      <w:pPr>
        <w:pStyle w:val="4"/>
        <w:rPr>
          <w:rFonts w:ascii="仿宋" w:hAnsi="仿宋" w:eastAsia="仿宋"/>
          <w:color w:val="000000"/>
        </w:rPr>
      </w:pPr>
      <w:bookmarkStart w:id="67" w:name="_Toc15396628"/>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67"/>
    </w:p>
    <w:p>
      <w:pPr>
        <w:pStyle w:val="4"/>
        <w:rPr>
          <w:rFonts w:ascii="仿宋" w:hAnsi="仿宋" w:eastAsia="仿宋"/>
          <w:color w:val="000000"/>
        </w:rPr>
      </w:pPr>
      <w:bookmarkStart w:id="68" w:name="_Toc15396629"/>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68"/>
    </w:p>
    <w:p>
      <w:pPr>
        <w:pStyle w:val="4"/>
        <w:rPr>
          <w:rFonts w:ascii="仿宋" w:hAnsi="仿宋" w:eastAsia="仿宋"/>
          <w:color w:val="000000"/>
        </w:rPr>
      </w:pPr>
      <w:bookmarkStart w:id="69" w:name="_Toc15396630"/>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府性基金预算财政拨款“三公”经费支出决算表</w:t>
      </w:r>
      <w:bookmarkEnd w:id="69"/>
    </w:p>
    <w:p>
      <w:pPr>
        <w:pStyle w:val="4"/>
        <w:rPr>
          <w:rFonts w:ascii="仿宋" w:hAnsi="仿宋" w:eastAsia="仿宋"/>
          <w:color w:val="000000" w:themeColor="text1"/>
        </w:rPr>
      </w:pPr>
      <w:bookmarkStart w:id="70" w:name="_Toc15396631"/>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有资本经营预算支出决算表</w:t>
      </w:r>
      <w:bookmarkEnd w:id="7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5E5664"/>
    <w:multiLevelType w:val="singleLevel"/>
    <w:tmpl w:val="B45E5664"/>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0534"/>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E35D9C"/>
    <w:rsid w:val="026C2FDA"/>
    <w:rsid w:val="030A7029"/>
    <w:rsid w:val="034A7DED"/>
    <w:rsid w:val="03BE6250"/>
    <w:rsid w:val="040F31DE"/>
    <w:rsid w:val="04611FC4"/>
    <w:rsid w:val="04C1486C"/>
    <w:rsid w:val="05FC3326"/>
    <w:rsid w:val="06B31E7F"/>
    <w:rsid w:val="07290E8A"/>
    <w:rsid w:val="074366CD"/>
    <w:rsid w:val="07976894"/>
    <w:rsid w:val="07AC309A"/>
    <w:rsid w:val="081022A8"/>
    <w:rsid w:val="086D6817"/>
    <w:rsid w:val="08837B46"/>
    <w:rsid w:val="088C6CF1"/>
    <w:rsid w:val="08F4778F"/>
    <w:rsid w:val="09783895"/>
    <w:rsid w:val="0A444054"/>
    <w:rsid w:val="0BBA6309"/>
    <w:rsid w:val="0BBD7842"/>
    <w:rsid w:val="0C976B98"/>
    <w:rsid w:val="0CD615EB"/>
    <w:rsid w:val="0D1D75EC"/>
    <w:rsid w:val="0D432CA1"/>
    <w:rsid w:val="0DD82AD9"/>
    <w:rsid w:val="0E396E51"/>
    <w:rsid w:val="0F753C0E"/>
    <w:rsid w:val="0FF637DC"/>
    <w:rsid w:val="10C055FF"/>
    <w:rsid w:val="10EC506D"/>
    <w:rsid w:val="112226E2"/>
    <w:rsid w:val="11552894"/>
    <w:rsid w:val="11B74A68"/>
    <w:rsid w:val="120312E1"/>
    <w:rsid w:val="121E7617"/>
    <w:rsid w:val="124C1002"/>
    <w:rsid w:val="12CD05DE"/>
    <w:rsid w:val="131C7DA5"/>
    <w:rsid w:val="13231FFF"/>
    <w:rsid w:val="13A60AD9"/>
    <w:rsid w:val="13F83D77"/>
    <w:rsid w:val="141406B7"/>
    <w:rsid w:val="146B7952"/>
    <w:rsid w:val="147C2BB8"/>
    <w:rsid w:val="14D048D3"/>
    <w:rsid w:val="1520184C"/>
    <w:rsid w:val="152560D4"/>
    <w:rsid w:val="156C65C4"/>
    <w:rsid w:val="16A75047"/>
    <w:rsid w:val="16BB723D"/>
    <w:rsid w:val="16BD1F0D"/>
    <w:rsid w:val="18944062"/>
    <w:rsid w:val="18CD2B19"/>
    <w:rsid w:val="1A8362A7"/>
    <w:rsid w:val="1A92544E"/>
    <w:rsid w:val="1B02238F"/>
    <w:rsid w:val="1B204E0B"/>
    <w:rsid w:val="1B3B0D5F"/>
    <w:rsid w:val="1B450F95"/>
    <w:rsid w:val="1B6406B6"/>
    <w:rsid w:val="1B7F0299"/>
    <w:rsid w:val="1CFB0D4D"/>
    <w:rsid w:val="1D6F514C"/>
    <w:rsid w:val="1D73602E"/>
    <w:rsid w:val="1E120F9F"/>
    <w:rsid w:val="1E3E039E"/>
    <w:rsid w:val="1E6E39D0"/>
    <w:rsid w:val="1EE544C9"/>
    <w:rsid w:val="1F0E2F33"/>
    <w:rsid w:val="1F6A2AD2"/>
    <w:rsid w:val="1F894D2A"/>
    <w:rsid w:val="1FF5544E"/>
    <w:rsid w:val="20145C90"/>
    <w:rsid w:val="20222FB7"/>
    <w:rsid w:val="211A5ACA"/>
    <w:rsid w:val="211D46C8"/>
    <w:rsid w:val="216876E5"/>
    <w:rsid w:val="223F19A2"/>
    <w:rsid w:val="225063F3"/>
    <w:rsid w:val="228B5B12"/>
    <w:rsid w:val="22E33A7B"/>
    <w:rsid w:val="23DF379F"/>
    <w:rsid w:val="240371BF"/>
    <w:rsid w:val="241A31DD"/>
    <w:rsid w:val="24390F23"/>
    <w:rsid w:val="24416967"/>
    <w:rsid w:val="24705307"/>
    <w:rsid w:val="2510580D"/>
    <w:rsid w:val="261D2BDC"/>
    <w:rsid w:val="26427B30"/>
    <w:rsid w:val="265359BC"/>
    <w:rsid w:val="28DB44D1"/>
    <w:rsid w:val="292955A4"/>
    <w:rsid w:val="29325A7F"/>
    <w:rsid w:val="299B02F7"/>
    <w:rsid w:val="29BB7E6C"/>
    <w:rsid w:val="29FD04D3"/>
    <w:rsid w:val="2B2A6992"/>
    <w:rsid w:val="2B7C06C8"/>
    <w:rsid w:val="2BA47F8F"/>
    <w:rsid w:val="2BA90FF7"/>
    <w:rsid w:val="2BCA73CF"/>
    <w:rsid w:val="2BFC1B5A"/>
    <w:rsid w:val="2C7C0BAA"/>
    <w:rsid w:val="2C8F3770"/>
    <w:rsid w:val="2CF37EC0"/>
    <w:rsid w:val="2E3920F2"/>
    <w:rsid w:val="2E4419AB"/>
    <w:rsid w:val="2F046ABE"/>
    <w:rsid w:val="2F534B58"/>
    <w:rsid w:val="2F5A0B64"/>
    <w:rsid w:val="30214ACA"/>
    <w:rsid w:val="30435BD7"/>
    <w:rsid w:val="30A45BEE"/>
    <w:rsid w:val="319F7F4E"/>
    <w:rsid w:val="32041FF0"/>
    <w:rsid w:val="320752D0"/>
    <w:rsid w:val="32875E18"/>
    <w:rsid w:val="32DC588B"/>
    <w:rsid w:val="334D5C46"/>
    <w:rsid w:val="33CD29BE"/>
    <w:rsid w:val="34593B0D"/>
    <w:rsid w:val="347A661D"/>
    <w:rsid w:val="34886F8F"/>
    <w:rsid w:val="35587249"/>
    <w:rsid w:val="35B62CC9"/>
    <w:rsid w:val="36EB19AE"/>
    <w:rsid w:val="37E96041"/>
    <w:rsid w:val="38AE08A5"/>
    <w:rsid w:val="38F46489"/>
    <w:rsid w:val="39254D68"/>
    <w:rsid w:val="39283A7E"/>
    <w:rsid w:val="39BD5F2B"/>
    <w:rsid w:val="3A544FA4"/>
    <w:rsid w:val="3B9670C5"/>
    <w:rsid w:val="3C863B32"/>
    <w:rsid w:val="3CB3781F"/>
    <w:rsid w:val="3CD32535"/>
    <w:rsid w:val="3D3A6BF7"/>
    <w:rsid w:val="3D882DC4"/>
    <w:rsid w:val="3DE157BB"/>
    <w:rsid w:val="3F361C8B"/>
    <w:rsid w:val="3F8F253A"/>
    <w:rsid w:val="3F963A84"/>
    <w:rsid w:val="406B66DE"/>
    <w:rsid w:val="4095352A"/>
    <w:rsid w:val="40BE1F44"/>
    <w:rsid w:val="418578C2"/>
    <w:rsid w:val="41AC205A"/>
    <w:rsid w:val="41B67995"/>
    <w:rsid w:val="41BC2F77"/>
    <w:rsid w:val="41CB5D8A"/>
    <w:rsid w:val="41E02179"/>
    <w:rsid w:val="42701516"/>
    <w:rsid w:val="42DE45E5"/>
    <w:rsid w:val="43C418DE"/>
    <w:rsid w:val="44CC481F"/>
    <w:rsid w:val="44E43864"/>
    <w:rsid w:val="45B81600"/>
    <w:rsid w:val="45E4213A"/>
    <w:rsid w:val="466E72FA"/>
    <w:rsid w:val="46CC0087"/>
    <w:rsid w:val="473A1919"/>
    <w:rsid w:val="47C94C74"/>
    <w:rsid w:val="47F0011C"/>
    <w:rsid w:val="47F62701"/>
    <w:rsid w:val="487C39A8"/>
    <w:rsid w:val="48F16606"/>
    <w:rsid w:val="48F54A80"/>
    <w:rsid w:val="4A051356"/>
    <w:rsid w:val="4A736B4E"/>
    <w:rsid w:val="4A8D3636"/>
    <w:rsid w:val="4C551E21"/>
    <w:rsid w:val="4CF85FA2"/>
    <w:rsid w:val="4D7313DC"/>
    <w:rsid w:val="4DDA4A12"/>
    <w:rsid w:val="4DFB24B3"/>
    <w:rsid w:val="4E2545E3"/>
    <w:rsid w:val="4ECE2238"/>
    <w:rsid w:val="4F813084"/>
    <w:rsid w:val="50146077"/>
    <w:rsid w:val="50A11D03"/>
    <w:rsid w:val="511C6E40"/>
    <w:rsid w:val="51B20814"/>
    <w:rsid w:val="51FC54EC"/>
    <w:rsid w:val="524C1A9F"/>
    <w:rsid w:val="52A803D4"/>
    <w:rsid w:val="52EE5B32"/>
    <w:rsid w:val="53032D4A"/>
    <w:rsid w:val="546C683D"/>
    <w:rsid w:val="54DC2E53"/>
    <w:rsid w:val="55554329"/>
    <w:rsid w:val="555F7418"/>
    <w:rsid w:val="55D479F3"/>
    <w:rsid w:val="56C91751"/>
    <w:rsid w:val="5797099D"/>
    <w:rsid w:val="588F0D0B"/>
    <w:rsid w:val="58C321E4"/>
    <w:rsid w:val="58C87628"/>
    <w:rsid w:val="59EF67A0"/>
    <w:rsid w:val="5A5B7F9F"/>
    <w:rsid w:val="5A9D1AD3"/>
    <w:rsid w:val="5BA46446"/>
    <w:rsid w:val="5BC2768E"/>
    <w:rsid w:val="5BE7583B"/>
    <w:rsid w:val="5BE9022A"/>
    <w:rsid w:val="5C8728D2"/>
    <w:rsid w:val="5CA27C3B"/>
    <w:rsid w:val="5CBD030D"/>
    <w:rsid w:val="5DBD7BFB"/>
    <w:rsid w:val="5DF42DE0"/>
    <w:rsid w:val="5F112DD2"/>
    <w:rsid w:val="5F487257"/>
    <w:rsid w:val="5F663956"/>
    <w:rsid w:val="608F1374"/>
    <w:rsid w:val="60AB5F0E"/>
    <w:rsid w:val="61566B6A"/>
    <w:rsid w:val="616007C2"/>
    <w:rsid w:val="61A97B60"/>
    <w:rsid w:val="61B64089"/>
    <w:rsid w:val="61BD78C7"/>
    <w:rsid w:val="62B65923"/>
    <w:rsid w:val="638C5654"/>
    <w:rsid w:val="63A73F5B"/>
    <w:rsid w:val="6414422A"/>
    <w:rsid w:val="64830865"/>
    <w:rsid w:val="652D7059"/>
    <w:rsid w:val="653956CD"/>
    <w:rsid w:val="6558129A"/>
    <w:rsid w:val="65720264"/>
    <w:rsid w:val="66B86A30"/>
    <w:rsid w:val="67267E38"/>
    <w:rsid w:val="686B47AB"/>
    <w:rsid w:val="68B229FB"/>
    <w:rsid w:val="68FE0F55"/>
    <w:rsid w:val="6925116F"/>
    <w:rsid w:val="694657DB"/>
    <w:rsid w:val="697322E4"/>
    <w:rsid w:val="69EE7897"/>
    <w:rsid w:val="6A390286"/>
    <w:rsid w:val="6A5D13C9"/>
    <w:rsid w:val="6AAC18C1"/>
    <w:rsid w:val="6B3B0D5A"/>
    <w:rsid w:val="6C1C5B85"/>
    <w:rsid w:val="6D2A4AB6"/>
    <w:rsid w:val="6D941B1B"/>
    <w:rsid w:val="6DFD2FE5"/>
    <w:rsid w:val="6E217DA7"/>
    <w:rsid w:val="6E613322"/>
    <w:rsid w:val="6E6D6DBE"/>
    <w:rsid w:val="70B74BB5"/>
    <w:rsid w:val="70FB2656"/>
    <w:rsid w:val="710E0D79"/>
    <w:rsid w:val="718E1B91"/>
    <w:rsid w:val="725551E7"/>
    <w:rsid w:val="72734D90"/>
    <w:rsid w:val="72D80869"/>
    <w:rsid w:val="731416E2"/>
    <w:rsid w:val="73CC75F9"/>
    <w:rsid w:val="74E24E27"/>
    <w:rsid w:val="759646B3"/>
    <w:rsid w:val="767A3350"/>
    <w:rsid w:val="76BB2467"/>
    <w:rsid w:val="76C65719"/>
    <w:rsid w:val="77BF4AEC"/>
    <w:rsid w:val="77F36B4A"/>
    <w:rsid w:val="78415CEE"/>
    <w:rsid w:val="785A6E03"/>
    <w:rsid w:val="78A414CD"/>
    <w:rsid w:val="79125396"/>
    <w:rsid w:val="79B16B8C"/>
    <w:rsid w:val="79F50000"/>
    <w:rsid w:val="7AD414D4"/>
    <w:rsid w:val="7B6F67D7"/>
    <w:rsid w:val="7BDC4633"/>
    <w:rsid w:val="7BF05225"/>
    <w:rsid w:val="7C434A70"/>
    <w:rsid w:val="7C543056"/>
    <w:rsid w:val="7C716FFB"/>
    <w:rsid w:val="7C75664E"/>
    <w:rsid w:val="7D5856D2"/>
    <w:rsid w:val="7E1E024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99"/>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Body Text Indent"/>
    <w:basedOn w:val="1"/>
    <w:qFormat/>
    <w:uiPriority w:val="99"/>
    <w:pPr>
      <w:spacing w:after="120"/>
      <w:ind w:left="420" w:left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字符"/>
    <w:link w:val="11"/>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字符"/>
    <w:link w:val="10"/>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字符"/>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字符"/>
    <w:basedOn w:val="14"/>
    <w:link w:val="3"/>
    <w:qFormat/>
    <w:uiPriority w:val="9"/>
    <w:rPr>
      <w:rFonts w:ascii="Times New Roman" w:hAnsi="Times New Roman"/>
      <w:b/>
      <w:bCs/>
      <w:kern w:val="44"/>
      <w:sz w:val="44"/>
      <w:szCs w:val="44"/>
    </w:rPr>
  </w:style>
  <w:style w:type="character" w:customStyle="1" w:styleId="27">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字符"/>
    <w:basedOn w:val="14"/>
    <w:link w:val="9"/>
    <w:semiHidden/>
    <w:qFormat/>
    <w:uiPriority w:val="99"/>
    <w:rPr>
      <w:rFonts w:ascii="Times New Roman" w:hAnsi="Times New Roman"/>
      <w:kern w:val="2"/>
      <w:sz w:val="18"/>
      <w:szCs w:val="18"/>
    </w:rPr>
  </w:style>
  <w:style w:type="character" w:customStyle="1" w:styleId="30">
    <w:name w:val="标题 3 字符"/>
    <w:basedOn w:val="14"/>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Heading 2 Char"/>
    <w:basedOn w:val="14"/>
    <w:link w:val="4"/>
    <w:qFormat/>
    <w:locked/>
    <w:uiPriority w:val="99"/>
    <w:rPr>
      <w:rFonts w:ascii="Cambria" w:hAnsi="Cambria" w:eastAsia="宋体" w:cs="Cambria"/>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收、支决算变动                                 </a:t>
            </a:r>
            <a:r>
              <a:rPr sz="900"/>
              <a:t>单位：万元</a:t>
            </a:r>
            <a:endParaRPr sz="900"/>
          </a:p>
        </c:rich>
      </c:tx>
      <c:layout>
        <c:manualLayout>
          <c:xMode val="edge"/>
          <c:yMode val="edge"/>
          <c:x val="0.2180625"/>
          <c:y val="0.03"/>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一般公共预算财政拨款收入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2019年本年收入</c:v>
                </c:pt>
                <c:pt idx="1">
                  <c:v>2019年本年支出</c:v>
                </c:pt>
                <c:pt idx="2">
                  <c:v>2018年本年收入</c:v>
                </c:pt>
                <c:pt idx="3">
                  <c:v>2018本年支出</c:v>
                </c:pt>
              </c:strCache>
            </c:strRef>
          </c:cat>
          <c:val>
            <c:numRef>
              <c:f>Sheet1!$B$2:$B$5</c:f>
              <c:numCache>
                <c:formatCode>General</c:formatCode>
                <c:ptCount val="4"/>
                <c:pt idx="0">
                  <c:v>404.39</c:v>
                </c:pt>
                <c:pt idx="2">
                  <c:v>239.41</c:v>
                </c:pt>
              </c:numCache>
            </c:numRef>
          </c:val>
        </c:ser>
        <c:ser>
          <c:idx val="1"/>
          <c:order val="1"/>
          <c:tx>
            <c:strRef>
              <c:f>Sheet1!$C$1</c:f>
              <c:strCache>
                <c:ptCount val="1"/>
                <c:pt idx="0">
                  <c:v>一般公共服务支出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2019年本年收入</c:v>
                </c:pt>
                <c:pt idx="1">
                  <c:v>2019年本年支出</c:v>
                </c:pt>
                <c:pt idx="2">
                  <c:v>2018年本年收入</c:v>
                </c:pt>
                <c:pt idx="3">
                  <c:v>2018本年支出</c:v>
                </c:pt>
              </c:strCache>
            </c:strRef>
          </c:cat>
          <c:val>
            <c:numRef>
              <c:f>Sheet1!$C$2:$C$5</c:f>
              <c:numCache>
                <c:formatCode>General</c:formatCode>
                <c:ptCount val="4"/>
                <c:pt idx="1">
                  <c:v>341.74</c:v>
                </c:pt>
                <c:pt idx="3">
                  <c:v>227.1</c:v>
                </c:pt>
              </c:numCache>
            </c:numRef>
          </c:val>
        </c:ser>
        <c:ser>
          <c:idx val="2"/>
          <c:order val="2"/>
          <c:tx>
            <c:strRef>
              <c:f>Sheet1!$D$1</c:f>
              <c:strCache>
                <c:ptCount val="1"/>
                <c:pt idx="0">
                  <c:v>社会保障和就业支出</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2019年本年收入</c:v>
                </c:pt>
                <c:pt idx="1">
                  <c:v>2019年本年支出</c:v>
                </c:pt>
                <c:pt idx="2">
                  <c:v>2018年本年收入</c:v>
                </c:pt>
                <c:pt idx="3">
                  <c:v>2018本年支出</c:v>
                </c:pt>
              </c:strCache>
            </c:strRef>
          </c:cat>
          <c:val>
            <c:numRef>
              <c:f>Sheet1!$D$2:$D$5</c:f>
              <c:numCache>
                <c:formatCode>General</c:formatCode>
                <c:ptCount val="4"/>
                <c:pt idx="1">
                  <c:v>34.59</c:v>
                </c:pt>
                <c:pt idx="3">
                  <c:v>30.22</c:v>
                </c:pt>
              </c:numCache>
            </c:numRef>
          </c:val>
        </c:ser>
        <c:ser>
          <c:idx val="3"/>
          <c:order val="3"/>
          <c:tx>
            <c:strRef>
              <c:f>Sheet1!$E$1</c:f>
              <c:strCache>
                <c:ptCount val="1"/>
                <c:pt idx="0">
                  <c:v>卫生健康支出</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2019年本年收入</c:v>
                </c:pt>
                <c:pt idx="1">
                  <c:v>2019年本年支出</c:v>
                </c:pt>
                <c:pt idx="2">
                  <c:v>2018年本年收入</c:v>
                </c:pt>
                <c:pt idx="3">
                  <c:v>2018本年支出</c:v>
                </c:pt>
              </c:strCache>
            </c:strRef>
          </c:cat>
          <c:val>
            <c:numRef>
              <c:f>Sheet1!$E$2:$E$5</c:f>
              <c:numCache>
                <c:formatCode>General</c:formatCode>
                <c:ptCount val="4"/>
                <c:pt idx="1">
                  <c:v>11.14</c:v>
                </c:pt>
                <c:pt idx="3">
                  <c:v>7.14</c:v>
                </c:pt>
              </c:numCache>
            </c:numRef>
          </c:val>
        </c:ser>
        <c:ser>
          <c:idx val="4"/>
          <c:order val="4"/>
          <c:tx>
            <c:strRef>
              <c:f>Sheet1!$F$1</c:f>
              <c:strCache>
                <c:ptCount val="1"/>
                <c:pt idx="0">
                  <c:v>农林水支出</c:v>
                </c:pt>
              </c:strCache>
            </c:strRef>
          </c:tx>
          <c:spPr>
            <a:solidFill>
              <a:schemeClr val="accent5"/>
            </a:solidFill>
            <a:ln>
              <a:noFill/>
            </a:ln>
            <a:effectLst>
              <a:outerShdw blurRad="50800" dist="114300" dir="5400000" algn="ctr" rotWithShape="0">
                <a:srgbClr val="000000">
                  <a:alpha val="43000"/>
                </a:srgbClr>
              </a:outerShdw>
            </a:effectLst>
          </c:spPr>
          <c:invertIfNegative val="0"/>
          <c:dLbls>
            <c:delete val="1"/>
          </c:dLbls>
          <c:cat>
            <c:strRef>
              <c:f>Sheet1!$A$2:$A$5</c:f>
              <c:strCache>
                <c:ptCount val="4"/>
                <c:pt idx="0">
                  <c:v>2019年本年收入</c:v>
                </c:pt>
                <c:pt idx="1">
                  <c:v>2019年本年支出</c:v>
                </c:pt>
                <c:pt idx="2">
                  <c:v>2018年本年收入</c:v>
                </c:pt>
                <c:pt idx="3">
                  <c:v>2018本年支出</c:v>
                </c:pt>
              </c:strCache>
            </c:strRef>
          </c:cat>
          <c:val>
            <c:numRef>
              <c:f>Sheet1!$F$2:$F$5</c:f>
              <c:numCache>
                <c:formatCode>General</c:formatCode>
                <c:ptCount val="4"/>
                <c:pt idx="1">
                  <c:v>1.2</c:v>
                </c:pt>
                <c:pt idx="3">
                  <c:v>18.62</c:v>
                </c:pt>
              </c:numCache>
            </c:numRef>
          </c:val>
        </c:ser>
        <c:ser>
          <c:idx val="5"/>
          <c:order val="5"/>
          <c:tx>
            <c:strRef>
              <c:f>Sheet1!$G$1</c:f>
              <c:strCache>
                <c:ptCount val="1"/>
                <c:pt idx="0">
                  <c:v>住房保障支出</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2019年本年收入</c:v>
                </c:pt>
                <c:pt idx="1">
                  <c:v>2019年本年支出</c:v>
                </c:pt>
                <c:pt idx="2">
                  <c:v>2018年本年收入</c:v>
                </c:pt>
                <c:pt idx="3">
                  <c:v>2018本年支出</c:v>
                </c:pt>
              </c:strCache>
            </c:strRef>
          </c:cat>
          <c:val>
            <c:numRef>
              <c:f>Sheet1!$G$2:$G$5</c:f>
              <c:numCache>
                <c:formatCode>General</c:formatCode>
                <c:ptCount val="4"/>
                <c:pt idx="1">
                  <c:v>19.18</c:v>
                </c:pt>
                <c:pt idx="3">
                  <c:v>15.03</c:v>
                </c:pt>
              </c:numCache>
            </c:numRef>
          </c:val>
        </c:ser>
        <c:ser>
          <c:idx val="6"/>
          <c:order val="6"/>
          <c:tx>
            <c:strRef>
              <c:f>Sheet1!$H$1</c:f>
              <c:strCache>
                <c:ptCount val="1"/>
                <c:pt idx="0">
                  <c:v>其他收入</c:v>
                </c:pt>
              </c:strCache>
            </c:strRef>
          </c:tx>
          <c:spPr>
            <a:solidFill>
              <a:schemeClr val="accent1">
                <a:lumMod val="60000"/>
              </a:schemeClr>
            </a:solidFill>
            <a:ln>
              <a:noFill/>
            </a:ln>
            <a:effectLst/>
          </c:spPr>
          <c:invertIfNegative val="0"/>
          <c:dLbls>
            <c:delete val="1"/>
          </c:dLbls>
          <c:cat>
            <c:strRef>
              <c:f>Sheet1!$A$2:$A$5</c:f>
              <c:strCache>
                <c:ptCount val="4"/>
                <c:pt idx="0">
                  <c:v>2019年本年收入</c:v>
                </c:pt>
                <c:pt idx="1">
                  <c:v>2019年本年支出</c:v>
                </c:pt>
                <c:pt idx="2">
                  <c:v>2018年本年收入</c:v>
                </c:pt>
                <c:pt idx="3">
                  <c:v>2018本年支出</c:v>
                </c:pt>
              </c:strCache>
            </c:strRef>
          </c:cat>
          <c:val>
            <c:numRef>
              <c:f>Sheet1!$H$2:$H$5</c:f>
              <c:numCache>
                <c:formatCode>General</c:formatCode>
                <c:ptCount val="4"/>
                <c:pt idx="2">
                  <c:v>0.01</c:v>
                </c:pt>
              </c:numCache>
            </c:numRef>
          </c:val>
        </c:ser>
        <c:dLbls>
          <c:showLegendKey val="0"/>
          <c:showVal val="0"/>
          <c:showCatName val="0"/>
          <c:showSerName val="0"/>
          <c:showPercent val="0"/>
          <c:showBubbleSize val="0"/>
        </c:dLbls>
        <c:gapWidth val="219"/>
        <c:overlap val="-27"/>
        <c:axId val="10200136"/>
        <c:axId val="254689539"/>
      </c:barChart>
      <c:catAx>
        <c:axId val="102001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4689539"/>
        <c:crosses val="autoZero"/>
        <c:auto val="1"/>
        <c:lblAlgn val="ctr"/>
        <c:lblOffset val="100"/>
        <c:noMultiLvlLbl val="0"/>
      </c:catAx>
      <c:valAx>
        <c:axId val="2546895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00136"/>
        <c:crosses val="autoZero"/>
        <c:crossBetween val="between"/>
      </c:valAx>
      <c:spPr>
        <a:noFill/>
        <a:ln>
          <a:noFill/>
        </a:ln>
        <a:effectLst/>
      </c:spPr>
    </c:plotArea>
    <c:legend>
      <c:legendPos val="r"/>
      <c:layout>
        <c:manualLayout>
          <c:xMode val="edge"/>
          <c:yMode val="edge"/>
          <c:x val="0.682"/>
          <c:y val="0.1625"/>
          <c:w val="0.30675"/>
          <c:h val="0.530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       2019年本年收入                              </a:t>
            </a:r>
            <a:r>
              <a:rPr sz="900"/>
              <a:t>单位：万元</a:t>
            </a:r>
            <a:endParaRPr sz="900"/>
          </a:p>
        </c:rich>
      </c:tx>
      <c:layout>
        <c:manualLayout>
          <c:xMode val="edge"/>
          <c:yMode val="edge"/>
          <c:x val="0.20825"/>
          <c:y val="0.03"/>
        </c:manualLayout>
      </c:layout>
      <c:overlay val="0"/>
      <c:spPr>
        <a:noFill/>
        <a:ln>
          <a:noFill/>
        </a:ln>
        <a:effectLst/>
      </c:spPr>
    </c:title>
    <c:autoTitleDeleted val="0"/>
    <c:plotArea>
      <c:layout/>
      <c:pieChart>
        <c:varyColors val="1"/>
        <c:ser>
          <c:idx val="0"/>
          <c:order val="0"/>
          <c:tx>
            <c:strRef>
              <c:f>Sheet1!$B$1</c:f>
              <c:strCache>
                <c:ptCount val="1"/>
                <c:pt idx="0">
                  <c:v>2019年本年收入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Sheet1!$B$2:$B$8</c:f>
              <c:numCache>
                <c:formatCode>General</c:formatCode>
                <c:ptCount val="7"/>
                <c:pt idx="0">
                  <c:v>404.39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  2019年本年支出                                     </a:t>
            </a:r>
            <a:r>
              <a:rPr sz="900">
                <a:latin typeface="仿宋" panose="02010609060101010101" pitchFamily="3" charset="-122"/>
                <a:ea typeface="仿宋" panose="02010609060101010101" pitchFamily="3" charset="-122"/>
              </a:rPr>
              <a:t>单位：万元</a:t>
            </a:r>
            <a:endParaRPr sz="900">
              <a:latin typeface="仿宋" panose="02010609060101010101" pitchFamily="3" charset="-122"/>
              <a:ea typeface="仿宋" panose="02010609060101010101" pitchFamily="3" charset="-122"/>
            </a:endParaRPr>
          </a:p>
        </c:rich>
      </c:tx>
      <c:layout>
        <c:manualLayout>
          <c:xMode val="edge"/>
          <c:yMode val="edge"/>
          <c:x val="0.22975"/>
          <c:y val="0.015"/>
        </c:manualLayout>
      </c:layout>
      <c:overlay val="0"/>
      <c:spPr>
        <a:noFill/>
        <a:ln>
          <a:noFill/>
        </a:ln>
        <a:effectLst/>
      </c:spPr>
    </c:title>
    <c:autoTitleDeleted val="0"/>
    <c:plotArea>
      <c:layout/>
      <c:pieChart>
        <c:varyColors val="1"/>
        <c:ser>
          <c:idx val="0"/>
          <c:order val="0"/>
          <c:tx>
            <c:strRef>
              <c:f>Sheet1!$B$1</c:f>
              <c:strCache>
                <c:ptCount val="1"/>
                <c:pt idx="0">
                  <c:v>2019年本年支出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1"/>
              <c:layout>
                <c:manualLayout>
                  <c:x val="0.211694110113348"/>
                  <c:y val="0.099540698991045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non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249.9</c:v>
                </c:pt>
                <c:pt idx="1">
                  <c:v>157.96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财政拨款收、支决算变动表                       </a:t>
            </a:r>
            <a:r>
              <a:rPr sz="900"/>
              <a:t>单位：万元</a:t>
            </a:r>
            <a:endParaRPr sz="900"/>
          </a:p>
        </c:rich>
      </c:tx>
      <c:layout>
        <c:manualLayout>
          <c:xMode val="edge"/>
          <c:yMode val="edge"/>
          <c:x val="0.1361875"/>
          <c:y val="0.0225"/>
        </c:manualLayout>
      </c:layout>
      <c:overlay val="0"/>
      <c:spPr>
        <a:noFill/>
        <a:ln>
          <a:noFill/>
        </a:ln>
        <a:effectLst/>
      </c:spPr>
    </c:title>
    <c:autoTitleDeleted val="0"/>
    <c:plotArea>
      <c:layout>
        <c:manualLayout>
          <c:layoutTarget val="inner"/>
          <c:xMode val="edge"/>
          <c:yMode val="edge"/>
          <c:x val="0.067325"/>
          <c:y val="0.1275"/>
          <c:w val="0.628425"/>
          <c:h val="0.7919"/>
        </c:manualLayout>
      </c:layout>
      <c:barChart>
        <c:barDir val="col"/>
        <c:grouping val="clustered"/>
        <c:varyColors val="0"/>
        <c:ser>
          <c:idx val="0"/>
          <c:order val="0"/>
          <c:tx>
            <c:strRef>
              <c:f>Sheet1!$B$1</c:f>
              <c:strCache>
                <c:ptCount val="1"/>
                <c:pt idx="0">
                  <c:v>一般公共预算财政拨款</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2019年财政拨款收入</c:v>
                </c:pt>
                <c:pt idx="1">
                  <c:v>2019年财政拨款支出</c:v>
                </c:pt>
              </c:strCache>
            </c:strRef>
          </c:cat>
          <c:val>
            <c:numRef>
              <c:f>Sheet1!$B$2:$B$3</c:f>
              <c:numCache>
                <c:formatCode>General</c:formatCode>
                <c:ptCount val="2"/>
                <c:pt idx="0">
                  <c:v>404.39</c:v>
                </c:pt>
              </c:numCache>
            </c:numRef>
          </c:val>
        </c:ser>
        <c:ser>
          <c:idx val="1"/>
          <c:order val="1"/>
          <c:tx>
            <c:strRef>
              <c:f>Sheet1!$C$1</c:f>
              <c:strCache>
                <c:ptCount val="1"/>
                <c:pt idx="0">
                  <c:v>一般公共服务支出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2019年财政拨款收入</c:v>
                </c:pt>
                <c:pt idx="1">
                  <c:v>2019年财政拨款支出</c:v>
                </c:pt>
              </c:strCache>
            </c:strRef>
          </c:cat>
          <c:val>
            <c:numRef>
              <c:f>Sheet1!$C$2:$C$3</c:f>
              <c:numCache>
                <c:formatCode>General</c:formatCode>
                <c:ptCount val="2"/>
                <c:pt idx="1">
                  <c:v>341.6</c:v>
                </c:pt>
              </c:numCache>
            </c:numRef>
          </c:val>
        </c:ser>
        <c:ser>
          <c:idx val="2"/>
          <c:order val="2"/>
          <c:tx>
            <c:strRef>
              <c:f>Sheet1!$D$1</c:f>
              <c:strCache>
                <c:ptCount val="1"/>
                <c:pt idx="0">
                  <c:v>社会保障和就业支出</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2019年财政拨款收入</c:v>
                </c:pt>
                <c:pt idx="1">
                  <c:v>2019年财政拨款支出</c:v>
                </c:pt>
              </c:strCache>
            </c:strRef>
          </c:cat>
          <c:val>
            <c:numRef>
              <c:f>Sheet1!$D$2:$D$3</c:f>
              <c:numCache>
                <c:formatCode>General</c:formatCode>
                <c:ptCount val="2"/>
                <c:pt idx="1">
                  <c:v>34.59</c:v>
                </c:pt>
              </c:numCache>
            </c:numRef>
          </c:val>
        </c:ser>
        <c:ser>
          <c:idx val="3"/>
          <c:order val="3"/>
          <c:tx>
            <c:strRef>
              <c:f>Sheet1!$E$1</c:f>
              <c:strCache>
                <c:ptCount val="1"/>
                <c:pt idx="0">
                  <c:v>卫生健康支出</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2019年财政拨款收入</c:v>
                </c:pt>
                <c:pt idx="1">
                  <c:v>2019年财政拨款支出</c:v>
                </c:pt>
              </c:strCache>
            </c:strRef>
          </c:cat>
          <c:val>
            <c:numRef>
              <c:f>Sheet1!$E$2:$E$3</c:f>
              <c:numCache>
                <c:formatCode>General</c:formatCode>
                <c:ptCount val="2"/>
                <c:pt idx="1">
                  <c:v>11.14</c:v>
                </c:pt>
              </c:numCache>
            </c:numRef>
          </c:val>
        </c:ser>
        <c:ser>
          <c:idx val="4"/>
          <c:order val="4"/>
          <c:tx>
            <c:strRef>
              <c:f>Sheet1!$F$1</c:f>
              <c:strCache>
                <c:ptCount val="1"/>
                <c:pt idx="0">
                  <c:v>农林水支出</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2019年财政拨款收入</c:v>
                </c:pt>
                <c:pt idx="1">
                  <c:v>2019年财政拨款支出</c:v>
                </c:pt>
              </c:strCache>
            </c:strRef>
          </c:cat>
          <c:val>
            <c:numRef>
              <c:f>Sheet1!$F$2:$F$3</c:f>
              <c:numCache>
                <c:formatCode>General</c:formatCode>
                <c:ptCount val="2"/>
                <c:pt idx="1">
                  <c:v>1.2</c:v>
                </c:pt>
              </c:numCache>
            </c:numRef>
          </c:val>
        </c:ser>
        <c:ser>
          <c:idx val="5"/>
          <c:order val="5"/>
          <c:tx>
            <c:strRef>
              <c:f>Sheet1!$G$1</c:f>
              <c:strCache>
                <c:ptCount val="1"/>
                <c:pt idx="0">
                  <c:v>住房保障支出</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2019年财政拨款收入</c:v>
                </c:pt>
                <c:pt idx="1">
                  <c:v>2019年财政拨款支出</c:v>
                </c:pt>
              </c:strCache>
            </c:strRef>
          </c:cat>
          <c:val>
            <c:numRef>
              <c:f>Sheet1!$G$2:$G$3</c:f>
              <c:numCache>
                <c:formatCode>General</c:formatCode>
                <c:ptCount val="2"/>
                <c:pt idx="1">
                  <c:v>19.18</c:v>
                </c:pt>
              </c:numCache>
            </c:numRef>
          </c:val>
        </c:ser>
        <c:dLbls>
          <c:showLegendKey val="0"/>
          <c:showVal val="0"/>
          <c:showCatName val="0"/>
          <c:showSerName val="0"/>
          <c:showPercent val="0"/>
          <c:showBubbleSize val="0"/>
        </c:dLbls>
        <c:gapWidth val="219"/>
        <c:overlap val="-27"/>
        <c:axId val="46104657"/>
        <c:axId val="558111716"/>
        <c:extLst>
          <c:ext xmlns:c15="http://schemas.microsoft.com/office/drawing/2012/chart" uri="{02D57815-91ED-43cb-92C2-25804820EDAC}">
            <c15:filteredBarSeries>
              <c15:ser>
                <c:idx val="6"/>
                <c:order val="6"/>
                <c:tx>
                  <c:strRef>
                    <c:extLst>
                      <c:ext uri="{02D57815-91ED-43cb-92C2-25804820EDAC}">
                        <c15:formulaRef>
                          <c15:sqref>Sheet1!#REF!</c15:sqref>
                        </c15:formulaRef>
                      </c:ext>
                    </c:extLst>
                    <c:strCache>
                      <c:ptCount val="1"/>
                      <c:pt idx="0">
                        <c:v/>
                      </c:pt>
                    </c:strCache>
                  </c:strRef>
                </c:tx>
                <c:spPr>
                  <a:solidFill>
                    <a:schemeClr val="accent1">
                      <a:lumMod val="60000"/>
                    </a:schemeClr>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2019年财政拨款收入</c:v>
                      </c:pt>
                      <c:pt idx="1">
                        <c:v>2019年财政拨款支出</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4610465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8111716"/>
        <c:crosses val="autoZero"/>
        <c:auto val="1"/>
        <c:lblAlgn val="ctr"/>
        <c:lblOffset val="100"/>
        <c:noMultiLvlLbl val="0"/>
      </c:catAx>
      <c:valAx>
        <c:axId val="5581117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104657"/>
        <c:crosses val="autoZero"/>
        <c:crossBetween val="between"/>
      </c:valAx>
      <c:spPr>
        <a:noFill/>
        <a:ln>
          <a:noFill/>
        </a:ln>
        <a:effectLst/>
      </c:spPr>
    </c:plotArea>
    <c:legend>
      <c:legendPos val="r"/>
      <c:layout>
        <c:manualLayout>
          <c:xMode val="edge"/>
          <c:yMode val="edge"/>
          <c:x val="0.7195"/>
          <c:y val="0.38808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             </a:t>
            </a:r>
            <a:r>
              <a:rPr sz="900"/>
              <a:t>单位：万元</a:t>
            </a:r>
            <a:endParaRPr sz="900"/>
          </a:p>
        </c:rich>
      </c:tx>
      <c:layout>
        <c:manualLayout>
          <c:xMode val="edge"/>
          <c:yMode val="edge"/>
          <c:x val="0.146625"/>
          <c:y val="0.0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一般公共服务支出</c:v>
                </c:pt>
                <c:pt idx="1">
                  <c:v>社会保障和就业支出</c:v>
                </c:pt>
                <c:pt idx="2">
                  <c:v>卫生健康支出</c:v>
                </c:pt>
                <c:pt idx="3">
                  <c:v>农林水支出</c:v>
                </c:pt>
                <c:pt idx="4">
                  <c:v>住房保障支出</c:v>
                </c:pt>
              </c:strCache>
            </c:strRef>
          </c:cat>
          <c:val>
            <c:numRef>
              <c:f>Sheet1!$B$2:$B$6</c:f>
              <c:numCache>
                <c:formatCode>General</c:formatCode>
                <c:ptCount val="5"/>
                <c:pt idx="0">
                  <c:v>184.99</c:v>
                </c:pt>
                <c:pt idx="1">
                  <c:v>34.59</c:v>
                </c:pt>
                <c:pt idx="2">
                  <c:v>11.14</c:v>
                </c:pt>
                <c:pt idx="4">
                  <c:v>19.18</c:v>
                </c:pt>
              </c:numCache>
            </c:numRef>
          </c:val>
        </c:ser>
        <c:ser>
          <c:idx val="1"/>
          <c:order val="1"/>
          <c:tx>
            <c:strRef>
              <c:f>Sheet1!$C$1</c:f>
              <c:strCache>
                <c:ptCount val="1"/>
                <c:pt idx="0">
                  <c:v>项目支出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一般公共服务支出</c:v>
                </c:pt>
                <c:pt idx="1">
                  <c:v>社会保障和就业支出</c:v>
                </c:pt>
                <c:pt idx="2">
                  <c:v>卫生健康支出</c:v>
                </c:pt>
                <c:pt idx="3">
                  <c:v>农林水支出</c:v>
                </c:pt>
                <c:pt idx="4">
                  <c:v>住房保障支出</c:v>
                </c:pt>
              </c:strCache>
            </c:strRef>
          </c:cat>
          <c:val>
            <c:numRef>
              <c:f>Sheet1!$C$2:$C$6</c:f>
              <c:numCache>
                <c:formatCode>General</c:formatCode>
                <c:ptCount val="5"/>
                <c:pt idx="0">
                  <c:v>156.62</c:v>
                </c:pt>
                <c:pt idx="3">
                  <c:v>1.2</c:v>
                </c:pt>
              </c:numCache>
            </c:numRef>
          </c:val>
        </c:ser>
        <c:dLbls>
          <c:showLegendKey val="0"/>
          <c:showVal val="1"/>
          <c:showCatName val="0"/>
          <c:showSerName val="0"/>
          <c:showPercent val="0"/>
          <c:showBubbleSize val="0"/>
        </c:dLbls>
        <c:gapWidth val="219"/>
        <c:overlap val="-27"/>
        <c:axId val="736049617"/>
        <c:axId val="532929660"/>
      </c:barChart>
      <c:catAx>
        <c:axId val="73604961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2929660"/>
        <c:crosses val="autoZero"/>
        <c:auto val="1"/>
        <c:lblAlgn val="ctr"/>
        <c:lblOffset val="100"/>
        <c:noMultiLvlLbl val="0"/>
      </c:catAx>
      <c:valAx>
        <c:axId val="5329296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6049617"/>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                  </a:t>
            </a:r>
            <a:r>
              <a:rPr sz="900"/>
              <a:t>单位：万元</a:t>
            </a:r>
            <a:endParaRPr sz="900"/>
          </a:p>
        </c:rich>
      </c:tx>
      <c:layout>
        <c:manualLayout>
          <c:xMode val="edge"/>
          <c:yMode val="edge"/>
          <c:x val="0.1335"/>
          <c:y val="0.01"/>
        </c:manualLayout>
      </c:layout>
      <c:overlay val="0"/>
      <c:spPr>
        <a:noFill/>
        <a:ln>
          <a:noFill/>
        </a:ln>
        <a:effectLst/>
      </c:spPr>
    </c:title>
    <c:autoTitleDeleted val="0"/>
    <c:plotArea>
      <c:layout/>
      <c:pieChart>
        <c:varyColors val="1"/>
        <c:ser>
          <c:idx val="0"/>
          <c:order val="0"/>
          <c:tx>
            <c:strRef>
              <c:f>Sheet1!$B$1</c:f>
              <c:strCache>
                <c:ptCount val="1"/>
                <c:pt idx="0">
                  <c:v>2019年一般公共预算财政拨款支出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1"/>
              <c:layout/>
              <c:dLblPos val="ctr"/>
              <c:showLegendKey val="0"/>
              <c:showVal val="0"/>
              <c:showCatName val="0"/>
              <c:showSerName val="0"/>
              <c:showPercent val="1"/>
              <c:showBubbleSize val="0"/>
              <c:separator>
</c:separator>
              <c:extLst>
                <c:ext xmlns:c15="http://schemas.microsoft.com/office/drawing/2012/chart" uri="{CE6537A1-D6FC-4f65-9D91-7224C49458BB}">
                  <c15:layout>
                    <c:manualLayout>
                      <c:w val="0.208"/>
                      <c:h val="0.133166666666667"/>
                    </c:manualLayout>
                  </c15:layout>
                </c:ext>
              </c:extLst>
            </c:dLbl>
            <c:dLbl>
              <c:idx val="2"/>
              <c:layout/>
              <c:dLblPos val="ctr"/>
              <c:showLegendKey val="0"/>
              <c:showVal val="0"/>
              <c:showCatName val="0"/>
              <c:showSerName val="0"/>
              <c:showPercent val="1"/>
              <c:showBubbleSize val="0"/>
              <c:separator>
</c:separator>
              <c:extLst>
                <c:ext xmlns:c15="http://schemas.microsoft.com/office/drawing/2012/chart" uri="{CE6537A1-D6FC-4f65-9D91-7224C49458BB}">
                  <c15:layout>
                    <c:manualLayout>
                      <c:w val="0.096125"/>
                      <c:h val="0.0443333333333333"/>
                    </c:manualLayout>
                  </c15:layout>
                </c:ext>
              </c:extLst>
            </c:dLbl>
            <c:dLbl>
              <c:idx val="3"/>
              <c:layout>
                <c:manualLayout>
                  <c:x val="0.0122804993049556"/>
                  <c:y val="-0.005038255630578"/>
                </c:manualLayout>
              </c:layout>
              <c:dLblPos val="bestFit"/>
              <c:showLegendKey val="0"/>
              <c:showVal val="0"/>
              <c:showCatName val="0"/>
              <c:showSerName val="0"/>
              <c:showPercent val="1"/>
              <c:showBubbleSize val="0"/>
              <c:separator>
</c:separator>
              <c:extLst>
                <c:ext xmlns:c15="http://schemas.microsoft.com/office/drawing/2012/chart" uri="{CE6537A1-D6FC-4f65-9D91-7224C49458BB}">
                  <c15:layout/>
                </c:ext>
              </c:extLst>
            </c:dLbl>
            <c:dLbl>
              <c:idx val="4"/>
              <c:layout>
                <c:manualLayout>
                  <c:x val="0.0196134770270856"/>
                  <c:y val="0.106408459598247"/>
                </c:manualLayout>
              </c:layout>
              <c:dLblPos val="bestFit"/>
              <c:showLegendKey val="0"/>
              <c:showVal val="0"/>
              <c:showCatName val="0"/>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一般公共服务支出</c:v>
                </c:pt>
                <c:pt idx="1">
                  <c:v>社会保障和就业支出</c:v>
                </c:pt>
                <c:pt idx="2">
                  <c:v>卫生健康支出</c:v>
                </c:pt>
                <c:pt idx="3">
                  <c:v>农林水支出</c:v>
                </c:pt>
                <c:pt idx="4">
                  <c:v>住房保障支出</c:v>
                </c:pt>
              </c:strCache>
            </c:strRef>
          </c:cat>
          <c:val>
            <c:numRef>
              <c:f>Sheet1!$B$2:$B$6</c:f>
              <c:numCache>
                <c:formatCode>General</c:formatCode>
                <c:ptCount val="5"/>
                <c:pt idx="0">
                  <c:v>341.61</c:v>
                </c:pt>
                <c:pt idx="1">
                  <c:v>34.59</c:v>
                </c:pt>
                <c:pt idx="2">
                  <c:v>11.14</c:v>
                </c:pt>
                <c:pt idx="3">
                  <c:v>1.2</c:v>
                </c:pt>
                <c:pt idx="4">
                  <c:v>19.18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                   </a:t>
            </a:r>
            <a:r>
              <a:rPr sz="900"/>
              <a:t>         单位：万元</a:t>
            </a:r>
            <a:endParaRPr sz="900"/>
          </a:p>
        </c:rich>
      </c:tx>
      <c:layout>
        <c:manualLayout>
          <c:xMode val="edge"/>
          <c:yMode val="edge"/>
          <c:x val="0.222875"/>
          <c:y val="0.02"/>
        </c:manualLayout>
      </c:layout>
      <c:overlay val="0"/>
      <c:spPr>
        <a:noFill/>
        <a:ln>
          <a:noFill/>
        </a:ln>
        <a:effectLst/>
      </c:spPr>
    </c:title>
    <c:autoTitleDeleted val="0"/>
    <c:plotArea>
      <c:layout>
        <c:manualLayout>
          <c:layoutTarget val="inner"/>
          <c:xMode val="edge"/>
          <c:yMode val="edge"/>
          <c:x val="0.20925"/>
          <c:y val="0.125"/>
          <c:w val="0.57025"/>
          <c:h val="0.760333333333333"/>
        </c:manualLayout>
      </c:layout>
      <c:pieChart>
        <c:varyColors val="1"/>
        <c:ser>
          <c:idx val="0"/>
          <c:order val="0"/>
          <c:tx>
            <c:strRef>
              <c:f>Sheet1!$B$1</c:f>
              <c:strCache>
                <c:ptCount val="1"/>
                <c:pt idx="0">
                  <c:v>三公经费</c:v>
                </c:pt>
              </c:strCache>
            </c:strRef>
          </c:tx>
          <c:spPr/>
          <c:explosion val="0"/>
          <c:dPt>
            <c:idx val="0"/>
            <c:bubble3D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Lbls>
            <c:dLbl>
              <c:idx val="1"/>
              <c:layout>
                <c:manualLayout>
                  <c:x val="0.0044667522982229"/>
                  <c:y val="0.107821952540689"/>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070875"/>
                      <c:h val="0.0513333333333333"/>
                    </c:manualLayout>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公务用车运行维护费</c:v>
                </c:pt>
                <c:pt idx="1">
                  <c:v>公务接待费</c:v>
                </c:pt>
              </c:strCache>
            </c:strRef>
          </c:cat>
          <c:val>
            <c:numRef>
              <c:f>Sheet1!$B$2:$B$3</c:f>
              <c:numCache>
                <c:formatCode>General</c:formatCode>
                <c:ptCount val="2"/>
                <c:pt idx="0">
                  <c:v>6.02</c:v>
                </c:pt>
                <c:pt idx="1">
                  <c:v>0.14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57"/>
          <c:y val="0.2522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7320</Characters>
  <Lines>61</Lines>
  <Paragraphs>17</Paragraphs>
  <TotalTime>9</TotalTime>
  <ScaleCrop>false</ScaleCrop>
  <LinksUpToDate>false</LinksUpToDate>
  <CharactersWithSpaces>8587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2020-10-20T06:52:00Z</cp:lastPrinted>
  <dcterms:modified xsi:type="dcterms:W3CDTF">2020-10-22T06:23:29Z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