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bookmarkStart w:id="94" w:name="_GoBack"/>
      <w:bookmarkEnd w:id="94"/>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阿坝州壤塘县2025年度</w:t>
      </w:r>
      <w:r>
        <w:rPr>
          <w:rFonts w:hint="eastAsia" w:ascii="Times New Roman" w:eastAsia="方正小标宋简体" w:cs="Times New Roman"/>
          <w:color w:val="auto"/>
          <w:kern w:val="2"/>
          <w:sz w:val="44"/>
          <w:szCs w:val="44"/>
          <w:highlight w:val="none"/>
          <w:lang w:val="en-US" w:eastAsia="zh-CN" w:bidi="ar-SA"/>
        </w:rPr>
        <w:t>文化广播电视体育和旅游局部门</w:t>
      </w:r>
      <w:r>
        <w:rPr>
          <w:rFonts w:hint="eastAsia" w:ascii="Times New Roman" w:hAnsi="Times New Roman" w:eastAsia="方正小标宋简体" w:cs="Times New Roman"/>
          <w:color w:val="auto"/>
          <w:kern w:val="2"/>
          <w:sz w:val="44"/>
          <w:szCs w:val="44"/>
          <w:highlight w:val="none"/>
          <w:lang w:val="en-US" w:eastAsia="zh-CN" w:bidi="ar-SA"/>
        </w:rPr>
        <w:t>决算公开</w:t>
      </w: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16 </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147474995"/>
        <w15:color w:val="DBDBDB"/>
        <w:docPartObj>
          <w:docPartGallery w:val="Table of Contents"/>
          <w:docPartUnique/>
        </w:docPartObj>
      </w:sdtPr>
      <w:sdtEndPr>
        <w:rPr>
          <w:rFonts w:ascii="宋体" w:hAnsi="宋体" w:eastAsia="宋体" w:cs="Times New Roman"/>
          <w:b/>
          <w:kern w:val="2"/>
          <w:sz w:val="21"/>
          <w:szCs w:val="24"/>
          <w:lang w:val="en-US" w:eastAsia="zh-CN" w:bidi="ar-SA"/>
        </w:rPr>
      </w:sdtEndPr>
      <w:sdtContent>
        <w:p>
          <w:pPr>
            <w:spacing w:before="0" w:beforeLines="0" w:after="0" w:afterLines="0" w:line="240" w:lineRule="auto"/>
            <w:ind w:left="0" w:leftChars="0" w:right="0" w:rightChars="0" w:firstLine="0" w:firstLineChars="0"/>
            <w:jc w:val="center"/>
          </w:pPr>
          <w:bookmarkStart w:id="0" w:name="_Toc15377196"/>
          <w:bookmarkStart w:id="1" w:name="_Toc15396599"/>
          <w:r>
            <w:rPr>
              <w:rFonts w:ascii="宋体" w:hAnsi="宋体" w:eastAsia="宋体"/>
              <w:sz w:val="21"/>
            </w:rPr>
            <w:t>目录</w:t>
          </w:r>
        </w:p>
        <w:p>
          <w:pPr>
            <w:pStyle w:val="36"/>
            <w:tabs>
              <w:tab w:val="right" w:leader="dot" w:pos="8306"/>
            </w:tabs>
            <w:rPr>
              <w:b/>
            </w:rPr>
          </w:pPr>
          <w:r>
            <w:fldChar w:fldCharType="begin"/>
          </w:r>
          <w:r>
            <w:instrText xml:space="preserve">TOC \o "1-2" \h \u </w:instrText>
          </w:r>
          <w:r>
            <w:fldChar w:fldCharType="separate"/>
          </w:r>
          <w:r>
            <w:rPr>
              <w:b/>
            </w:rPr>
            <w:fldChar w:fldCharType="begin"/>
          </w:r>
          <w:r>
            <w:rPr>
              <w:b/>
            </w:rPr>
            <w:instrText xml:space="preserve"> HYPERLINK \l _Toc7190 </w:instrText>
          </w:r>
          <w:r>
            <w:rPr>
              <w:b/>
            </w:rPr>
            <w:fldChar w:fldCharType="separate"/>
          </w:r>
          <w:r>
            <w:rPr>
              <w:rFonts w:hint="eastAsia" w:ascii="Times New Roman" w:hAnsi="Times New Roman" w:eastAsia="方正小标宋简体" w:cs="方正小标宋简体"/>
              <w:b/>
              <w:highlight w:val="none"/>
            </w:rPr>
            <w:t>第一部分</w:t>
          </w:r>
          <w:r>
            <w:rPr>
              <w:rFonts w:hint="eastAsia" w:ascii="Times New Roman" w:hAnsi="Times New Roman" w:eastAsia="方正小标宋简体" w:cs="方正小标宋简体"/>
              <w:b/>
              <w:highlight w:val="none"/>
              <w:lang w:val="en-US" w:eastAsia="zh-CN"/>
            </w:rPr>
            <w:t xml:space="preserve"> </w:t>
          </w:r>
          <w:r>
            <w:rPr>
              <w:rFonts w:hint="eastAsia" w:ascii="Times New Roman" w:hAnsi="Times New Roman" w:eastAsia="方正小标宋简体" w:cs="方正小标宋简体"/>
              <w:b/>
              <w:highlight w:val="none"/>
            </w:rPr>
            <w:t xml:space="preserve"> </w:t>
          </w:r>
          <w:r>
            <w:rPr>
              <w:rFonts w:hint="eastAsia" w:ascii="Times New Roman" w:hAnsi="Times New Roman" w:eastAsia="方正小标宋简体" w:cs="方正小标宋简体"/>
              <w:b/>
              <w:bCs w:val="0"/>
              <w:highlight w:val="none"/>
            </w:rPr>
            <w:t>部门概况</w:t>
          </w:r>
          <w:r>
            <w:rPr>
              <w:b/>
            </w:rPr>
            <w:tab/>
          </w:r>
          <w:r>
            <w:rPr>
              <w:b/>
            </w:rPr>
            <w:fldChar w:fldCharType="begin"/>
          </w:r>
          <w:r>
            <w:rPr>
              <w:b/>
            </w:rPr>
            <w:instrText xml:space="preserve"> PAGEREF _Toc7190 </w:instrText>
          </w:r>
          <w:r>
            <w:rPr>
              <w:b/>
            </w:rPr>
            <w:fldChar w:fldCharType="separate"/>
          </w:r>
          <w:r>
            <w:rPr>
              <w:b/>
            </w:rPr>
            <w:t>3</w:t>
          </w:r>
          <w:r>
            <w:rPr>
              <w:b/>
            </w:rPr>
            <w:fldChar w:fldCharType="end"/>
          </w:r>
          <w:r>
            <w:rPr>
              <w:b/>
            </w:rPr>
            <w:fldChar w:fldCharType="end"/>
          </w:r>
        </w:p>
        <w:p>
          <w:pPr>
            <w:pStyle w:val="37"/>
            <w:tabs>
              <w:tab w:val="right" w:leader="dot" w:pos="8306"/>
            </w:tabs>
          </w:pPr>
          <w:r>
            <w:fldChar w:fldCharType="begin"/>
          </w:r>
          <w:r>
            <w:instrText xml:space="preserve"> HYPERLINK \l _Toc16245 </w:instrText>
          </w:r>
          <w:r>
            <w:fldChar w:fldCharType="separate"/>
          </w:r>
          <w:r>
            <w:rPr>
              <w:rFonts w:hint="eastAsia" w:ascii="Times New Roman" w:hAnsi="Times New Roman" w:eastAsia="黑体"/>
              <w:lang w:eastAsia="zh-CN"/>
            </w:rPr>
            <w:t xml:space="preserve">一、 </w:t>
          </w:r>
          <w:r>
            <w:rPr>
              <w:rFonts w:hint="eastAsia" w:ascii="Times New Roman" w:hAnsi="Times New Roman" w:eastAsia="黑体"/>
              <w:highlight w:val="none"/>
              <w:lang w:eastAsia="zh-CN"/>
            </w:rPr>
            <w:t>部门职责</w:t>
          </w:r>
          <w:r>
            <w:tab/>
          </w:r>
          <w:r>
            <w:fldChar w:fldCharType="begin"/>
          </w:r>
          <w:r>
            <w:instrText xml:space="preserve"> PAGEREF _Toc16245 </w:instrText>
          </w:r>
          <w:r>
            <w:fldChar w:fldCharType="separate"/>
          </w:r>
          <w:r>
            <w:t>3</w:t>
          </w:r>
          <w:r>
            <w:fldChar w:fldCharType="end"/>
          </w:r>
          <w:r>
            <w:fldChar w:fldCharType="end"/>
          </w:r>
        </w:p>
        <w:p>
          <w:pPr>
            <w:pStyle w:val="37"/>
            <w:tabs>
              <w:tab w:val="right" w:leader="dot" w:pos="8306"/>
            </w:tabs>
          </w:pPr>
          <w:r>
            <w:fldChar w:fldCharType="begin"/>
          </w:r>
          <w:r>
            <w:instrText xml:space="preserve"> HYPERLINK \l _Toc7301 </w:instrText>
          </w:r>
          <w: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_Toc7301 </w:instrText>
          </w:r>
          <w:r>
            <w:fldChar w:fldCharType="separate"/>
          </w:r>
          <w:r>
            <w:t>5</w:t>
          </w:r>
          <w:r>
            <w:fldChar w:fldCharType="end"/>
          </w:r>
          <w:r>
            <w:fldChar w:fldCharType="end"/>
          </w:r>
        </w:p>
        <w:p>
          <w:pPr>
            <w:pStyle w:val="36"/>
            <w:tabs>
              <w:tab w:val="right" w:leader="dot" w:pos="8306"/>
            </w:tabs>
            <w:rPr>
              <w:b/>
            </w:rPr>
          </w:pPr>
          <w:r>
            <w:rPr>
              <w:b/>
            </w:rPr>
            <w:fldChar w:fldCharType="begin"/>
          </w:r>
          <w:r>
            <w:rPr>
              <w:b/>
            </w:rPr>
            <w:instrText xml:space="preserve"> HYPERLINK \l _Toc15869 </w:instrText>
          </w:r>
          <w:r>
            <w:rPr>
              <w:b/>
            </w:rPr>
            <w:fldChar w:fldCharType="separate"/>
          </w:r>
          <w:r>
            <w:rPr>
              <w:rFonts w:hint="eastAsia" w:ascii="Times New Roman" w:hAnsi="Times New Roman" w:eastAsia="方正小标宋简体" w:cs="方正小标宋简体"/>
              <w:b/>
              <w:highlight w:val="none"/>
            </w:rPr>
            <w:t>第二部分</w:t>
          </w:r>
          <w:r>
            <w:rPr>
              <w:rFonts w:hint="eastAsia" w:ascii="Times New Roman" w:hAnsi="Times New Roman" w:eastAsia="方正小标宋简体" w:cs="方正小标宋简体"/>
              <w:b/>
              <w:highlight w:val="none"/>
              <w:lang w:val="en-US" w:eastAsia="zh-CN"/>
            </w:rPr>
            <w:t xml:space="preserve"> </w:t>
          </w:r>
          <w:r>
            <w:rPr>
              <w:rFonts w:hint="eastAsia" w:ascii="Times New Roman" w:hAnsi="Times New Roman" w:eastAsia="方正小标宋简体" w:cs="方正小标宋简体"/>
              <w:b/>
              <w:highlight w:val="none"/>
            </w:rPr>
            <w:t xml:space="preserve"> </w:t>
          </w:r>
          <w:r>
            <w:rPr>
              <w:rFonts w:hint="eastAsia" w:eastAsia="方正小标宋简体" w:cs="方正小标宋简体"/>
              <w:b/>
              <w:highlight w:val="none"/>
              <w:lang w:val="en-US" w:eastAsia="zh-CN"/>
            </w:rPr>
            <w:t>2025年度</w:t>
          </w:r>
          <w:r>
            <w:rPr>
              <w:rFonts w:hint="eastAsia" w:ascii="Times New Roman" w:hAnsi="Times New Roman" w:eastAsia="方正小标宋简体" w:cs="方正小标宋简体"/>
              <w:b/>
              <w:highlight w:val="none"/>
            </w:rPr>
            <w:t>部门决算情况说明</w:t>
          </w:r>
          <w:r>
            <w:rPr>
              <w:b/>
            </w:rPr>
            <w:tab/>
          </w:r>
          <w:r>
            <w:rPr>
              <w:b/>
            </w:rPr>
            <w:fldChar w:fldCharType="begin"/>
          </w:r>
          <w:r>
            <w:rPr>
              <w:b/>
            </w:rPr>
            <w:instrText xml:space="preserve"> PAGEREF _Toc15869 </w:instrText>
          </w:r>
          <w:r>
            <w:rPr>
              <w:b/>
            </w:rPr>
            <w:fldChar w:fldCharType="separate"/>
          </w:r>
          <w:r>
            <w:rPr>
              <w:b/>
            </w:rPr>
            <w:t>6</w:t>
          </w:r>
          <w:r>
            <w:rPr>
              <w:b/>
            </w:rPr>
            <w:fldChar w:fldCharType="end"/>
          </w:r>
          <w:r>
            <w:rPr>
              <w:b/>
            </w:rPr>
            <w:fldChar w:fldCharType="end"/>
          </w:r>
        </w:p>
        <w:p>
          <w:pPr>
            <w:pStyle w:val="37"/>
            <w:tabs>
              <w:tab w:val="right" w:leader="dot" w:pos="8306"/>
            </w:tabs>
          </w:pPr>
          <w:r>
            <w:fldChar w:fldCharType="begin"/>
          </w:r>
          <w:r>
            <w:instrText xml:space="preserve"> HYPERLINK \l _Toc17680 </w:instrText>
          </w:r>
          <w: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_Toc17680 </w:instrText>
          </w:r>
          <w:r>
            <w:fldChar w:fldCharType="separate"/>
          </w:r>
          <w:r>
            <w:t>6</w:t>
          </w:r>
          <w:r>
            <w:fldChar w:fldCharType="end"/>
          </w:r>
          <w:r>
            <w:fldChar w:fldCharType="end"/>
          </w:r>
        </w:p>
        <w:p>
          <w:pPr>
            <w:pStyle w:val="37"/>
            <w:tabs>
              <w:tab w:val="right" w:leader="dot" w:pos="8306"/>
            </w:tabs>
          </w:pPr>
          <w:r>
            <w:fldChar w:fldCharType="begin"/>
          </w:r>
          <w:r>
            <w:instrText xml:space="preserve"> HYPERLINK \l _Toc11299 </w:instrText>
          </w:r>
          <w: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_Toc11299 </w:instrText>
          </w:r>
          <w:r>
            <w:fldChar w:fldCharType="separate"/>
          </w:r>
          <w:r>
            <w:t>6</w:t>
          </w:r>
          <w:r>
            <w:fldChar w:fldCharType="end"/>
          </w:r>
          <w:r>
            <w:fldChar w:fldCharType="end"/>
          </w:r>
        </w:p>
        <w:p>
          <w:pPr>
            <w:pStyle w:val="37"/>
            <w:tabs>
              <w:tab w:val="right" w:leader="dot" w:pos="8306"/>
            </w:tabs>
          </w:pPr>
          <w:r>
            <w:fldChar w:fldCharType="begin"/>
          </w:r>
          <w:r>
            <w:instrText xml:space="preserve"> HYPERLINK \l _Toc3190 </w:instrText>
          </w:r>
          <w: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_Toc3190 </w:instrText>
          </w:r>
          <w:r>
            <w:fldChar w:fldCharType="separate"/>
          </w:r>
          <w:r>
            <w:t>7</w:t>
          </w:r>
          <w:r>
            <w:fldChar w:fldCharType="end"/>
          </w:r>
          <w:r>
            <w:fldChar w:fldCharType="end"/>
          </w:r>
        </w:p>
        <w:p>
          <w:pPr>
            <w:pStyle w:val="37"/>
            <w:tabs>
              <w:tab w:val="right" w:leader="dot" w:pos="8306"/>
            </w:tabs>
          </w:pPr>
          <w:r>
            <w:fldChar w:fldCharType="begin"/>
          </w:r>
          <w:r>
            <w:instrText xml:space="preserve"> HYPERLINK \l _Toc26112 </w:instrText>
          </w:r>
          <w: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_Toc26112 </w:instrText>
          </w:r>
          <w:r>
            <w:fldChar w:fldCharType="separate"/>
          </w:r>
          <w:r>
            <w:t>7</w:t>
          </w:r>
          <w:r>
            <w:fldChar w:fldCharType="end"/>
          </w:r>
          <w:r>
            <w:fldChar w:fldCharType="end"/>
          </w:r>
        </w:p>
        <w:p>
          <w:pPr>
            <w:pStyle w:val="37"/>
            <w:tabs>
              <w:tab w:val="right" w:leader="dot" w:pos="8306"/>
            </w:tabs>
          </w:pPr>
          <w:r>
            <w:fldChar w:fldCharType="begin"/>
          </w:r>
          <w:r>
            <w:instrText xml:space="preserve"> HYPERLINK \l _Toc21785 </w:instrText>
          </w:r>
          <w: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_Toc21785 </w:instrText>
          </w:r>
          <w:r>
            <w:fldChar w:fldCharType="separate"/>
          </w:r>
          <w:r>
            <w:t>8</w:t>
          </w:r>
          <w:r>
            <w:fldChar w:fldCharType="end"/>
          </w:r>
          <w:r>
            <w:fldChar w:fldCharType="end"/>
          </w:r>
        </w:p>
        <w:p>
          <w:pPr>
            <w:pStyle w:val="37"/>
            <w:tabs>
              <w:tab w:val="right" w:leader="dot" w:pos="8306"/>
            </w:tabs>
          </w:pPr>
          <w:r>
            <w:fldChar w:fldCharType="begin"/>
          </w:r>
          <w:r>
            <w:instrText xml:space="preserve"> HYPERLINK \l _Toc21851 </w:instrText>
          </w:r>
          <w: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_Toc21851 </w:instrText>
          </w:r>
          <w:r>
            <w:fldChar w:fldCharType="separate"/>
          </w:r>
          <w:r>
            <w:t>12</w:t>
          </w:r>
          <w:r>
            <w:fldChar w:fldCharType="end"/>
          </w:r>
          <w:r>
            <w:fldChar w:fldCharType="end"/>
          </w:r>
        </w:p>
        <w:p>
          <w:pPr>
            <w:pStyle w:val="37"/>
            <w:tabs>
              <w:tab w:val="right" w:leader="dot" w:pos="8306"/>
            </w:tabs>
          </w:pPr>
          <w:r>
            <w:fldChar w:fldCharType="begin"/>
          </w:r>
          <w:r>
            <w:instrText xml:space="preserve"> HYPERLINK \l _Toc27230 </w:instrText>
          </w:r>
          <w: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_Toc27230 </w:instrText>
          </w:r>
          <w:r>
            <w:fldChar w:fldCharType="separate"/>
          </w:r>
          <w:r>
            <w:t>13</w:t>
          </w:r>
          <w:r>
            <w:fldChar w:fldCharType="end"/>
          </w:r>
          <w:r>
            <w:fldChar w:fldCharType="end"/>
          </w:r>
        </w:p>
        <w:p>
          <w:pPr>
            <w:pStyle w:val="37"/>
            <w:tabs>
              <w:tab w:val="right" w:leader="dot" w:pos="8306"/>
            </w:tabs>
          </w:pPr>
          <w:r>
            <w:fldChar w:fldCharType="begin"/>
          </w:r>
          <w:r>
            <w:instrText xml:space="preserve"> HYPERLINK \l _Toc11945 </w:instrText>
          </w:r>
          <w: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_Toc11945 </w:instrText>
          </w:r>
          <w:r>
            <w:fldChar w:fldCharType="separate"/>
          </w:r>
          <w:r>
            <w:t>14</w:t>
          </w:r>
          <w:r>
            <w:fldChar w:fldCharType="end"/>
          </w:r>
          <w:r>
            <w:fldChar w:fldCharType="end"/>
          </w:r>
        </w:p>
        <w:p>
          <w:pPr>
            <w:pStyle w:val="37"/>
            <w:tabs>
              <w:tab w:val="right" w:leader="dot" w:pos="8306"/>
            </w:tabs>
          </w:pPr>
          <w:r>
            <w:fldChar w:fldCharType="begin"/>
          </w:r>
          <w:r>
            <w:instrText xml:space="preserve"> HYPERLINK \l _Toc18877 </w:instrText>
          </w:r>
          <w: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_Toc18877 </w:instrText>
          </w:r>
          <w:r>
            <w:fldChar w:fldCharType="separate"/>
          </w:r>
          <w:r>
            <w:t>14</w:t>
          </w:r>
          <w:r>
            <w:fldChar w:fldCharType="end"/>
          </w:r>
          <w:r>
            <w:fldChar w:fldCharType="end"/>
          </w:r>
        </w:p>
        <w:p>
          <w:pPr>
            <w:pStyle w:val="37"/>
            <w:tabs>
              <w:tab w:val="right" w:leader="dot" w:pos="8306"/>
            </w:tabs>
          </w:pPr>
          <w:r>
            <w:fldChar w:fldCharType="begin"/>
          </w:r>
          <w:r>
            <w:instrText xml:space="preserve"> HYPERLINK \l _Toc10963 </w:instrText>
          </w:r>
          <w: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_Toc10963 </w:instrText>
          </w:r>
          <w:r>
            <w:fldChar w:fldCharType="separate"/>
          </w:r>
          <w:r>
            <w:t>15</w:t>
          </w:r>
          <w:r>
            <w:fldChar w:fldCharType="end"/>
          </w:r>
          <w:r>
            <w:fldChar w:fldCharType="end"/>
          </w:r>
        </w:p>
        <w:p>
          <w:pPr>
            <w:pStyle w:val="36"/>
            <w:tabs>
              <w:tab w:val="right" w:leader="dot" w:pos="8306"/>
            </w:tabs>
            <w:rPr>
              <w:b/>
            </w:rPr>
          </w:pPr>
          <w:r>
            <w:rPr>
              <w:b/>
            </w:rPr>
            <w:fldChar w:fldCharType="begin"/>
          </w:r>
          <w:r>
            <w:rPr>
              <w:b/>
            </w:rPr>
            <w:instrText xml:space="preserve"> HYPERLINK \l _Toc29196 </w:instrText>
          </w:r>
          <w:r>
            <w:rPr>
              <w:b/>
            </w:rPr>
            <w:fldChar w:fldCharType="separate"/>
          </w:r>
          <w:r>
            <w:rPr>
              <w:rFonts w:hint="eastAsia" w:ascii="Times New Roman" w:hAnsi="Times New Roman" w:eastAsia="黑体"/>
              <w:b/>
              <w:szCs w:val="44"/>
              <w:highlight w:val="none"/>
            </w:rPr>
            <w:t>第</w:t>
          </w:r>
          <w:r>
            <w:rPr>
              <w:rFonts w:hint="eastAsia" w:eastAsia="黑体"/>
              <w:b/>
              <w:szCs w:val="44"/>
              <w:highlight w:val="none"/>
              <w:lang w:eastAsia="zh-CN"/>
            </w:rPr>
            <w:t>三</w:t>
          </w:r>
          <w:r>
            <w:rPr>
              <w:rFonts w:hint="eastAsia" w:ascii="Times New Roman" w:hAnsi="Times New Roman" w:eastAsia="黑体"/>
              <w:b/>
              <w:szCs w:val="44"/>
              <w:highlight w:val="none"/>
            </w:rPr>
            <w:t>部分</w:t>
          </w:r>
          <w:r>
            <w:rPr>
              <w:rFonts w:hint="eastAsia" w:ascii="Times New Roman" w:hAnsi="Times New Roman" w:eastAsia="黑体"/>
              <w:b/>
              <w:szCs w:val="44"/>
              <w:highlight w:val="none"/>
              <w:lang w:val="en-US" w:eastAsia="zh-CN"/>
            </w:rPr>
            <w:t xml:space="preserve"> </w:t>
          </w:r>
          <w:r>
            <w:rPr>
              <w:rFonts w:hint="eastAsia" w:eastAsia="黑体"/>
              <w:b/>
              <w:szCs w:val="44"/>
              <w:highlight w:val="none"/>
              <w:lang w:val="en-US" w:eastAsia="zh-CN"/>
            </w:rPr>
            <w:t xml:space="preserve"> </w:t>
          </w:r>
          <w:r>
            <w:rPr>
              <w:rFonts w:hint="eastAsia" w:ascii="Times New Roman" w:hAnsi="Times New Roman" w:eastAsia="黑体"/>
              <w:b/>
              <w:szCs w:val="44"/>
              <w:highlight w:val="none"/>
            </w:rPr>
            <w:t>名词解释</w:t>
          </w:r>
          <w:r>
            <w:rPr>
              <w:b/>
            </w:rPr>
            <w:tab/>
          </w:r>
          <w:r>
            <w:rPr>
              <w:b/>
            </w:rPr>
            <w:fldChar w:fldCharType="begin"/>
          </w:r>
          <w:r>
            <w:rPr>
              <w:b/>
            </w:rPr>
            <w:instrText xml:space="preserve"> PAGEREF _Toc29196 </w:instrText>
          </w:r>
          <w:r>
            <w:rPr>
              <w:b/>
            </w:rPr>
            <w:fldChar w:fldCharType="separate"/>
          </w:r>
          <w:r>
            <w:rPr>
              <w:b/>
            </w:rPr>
            <w:t>16</w:t>
          </w:r>
          <w:r>
            <w:rPr>
              <w:b/>
            </w:rPr>
            <w:fldChar w:fldCharType="end"/>
          </w:r>
          <w:r>
            <w:rPr>
              <w:b/>
            </w:rPr>
            <w:fldChar w:fldCharType="end"/>
          </w:r>
        </w:p>
        <w:p>
          <w:pPr>
            <w:pStyle w:val="36"/>
            <w:tabs>
              <w:tab w:val="right" w:leader="dot" w:pos="8306"/>
            </w:tabs>
            <w:rPr>
              <w:b/>
            </w:rPr>
          </w:pPr>
          <w:r>
            <w:rPr>
              <w:b/>
            </w:rPr>
            <w:fldChar w:fldCharType="begin"/>
          </w:r>
          <w:r>
            <w:rPr>
              <w:b/>
            </w:rPr>
            <w:instrText xml:space="preserve"> HYPERLINK \l _Toc6305 </w:instrText>
          </w:r>
          <w:r>
            <w:rPr>
              <w:b/>
            </w:rPr>
            <w:fldChar w:fldCharType="separate"/>
          </w:r>
          <w:r>
            <w:rPr>
              <w:rFonts w:hint="eastAsia" w:ascii="Times New Roman" w:hAnsi="Times New Roman" w:eastAsia="黑体"/>
              <w:b/>
              <w:szCs w:val="44"/>
              <w:highlight w:val="none"/>
            </w:rPr>
            <w:t>第四部分</w:t>
          </w:r>
          <w:r>
            <w:rPr>
              <w:rFonts w:hint="eastAsia" w:ascii="Times New Roman" w:hAnsi="Times New Roman" w:eastAsia="黑体"/>
              <w:b/>
              <w:szCs w:val="44"/>
              <w:highlight w:val="none"/>
              <w:lang w:val="en-US" w:eastAsia="zh-CN"/>
            </w:rPr>
            <w:t xml:space="preserve"> </w:t>
          </w:r>
          <w:r>
            <w:rPr>
              <w:rFonts w:hint="eastAsia" w:ascii="Times New Roman" w:hAnsi="Times New Roman" w:eastAsia="黑体"/>
              <w:b/>
              <w:szCs w:val="44"/>
              <w:highlight w:val="none"/>
            </w:rPr>
            <w:t xml:space="preserve"> 附件</w:t>
          </w:r>
          <w:r>
            <w:rPr>
              <w:b/>
            </w:rPr>
            <w:tab/>
          </w:r>
          <w:r>
            <w:rPr>
              <w:b/>
            </w:rPr>
            <w:fldChar w:fldCharType="begin"/>
          </w:r>
          <w:r>
            <w:rPr>
              <w:b/>
            </w:rPr>
            <w:instrText xml:space="preserve"> PAGEREF _Toc6305 </w:instrText>
          </w:r>
          <w:r>
            <w:rPr>
              <w:b/>
            </w:rPr>
            <w:fldChar w:fldCharType="separate"/>
          </w:r>
          <w:r>
            <w:rPr>
              <w:b/>
            </w:rPr>
            <w:t>22</w:t>
          </w:r>
          <w:r>
            <w:rPr>
              <w:b/>
            </w:rPr>
            <w:fldChar w:fldCharType="end"/>
          </w:r>
          <w:r>
            <w:rPr>
              <w:b/>
            </w:rPr>
            <w:fldChar w:fldCharType="end"/>
          </w:r>
        </w:p>
        <w:p>
          <w:pPr>
            <w:pStyle w:val="36"/>
            <w:tabs>
              <w:tab w:val="right" w:leader="dot" w:pos="8306"/>
            </w:tabs>
            <w:rPr>
              <w:b/>
            </w:rPr>
          </w:pPr>
          <w:r>
            <w:rPr>
              <w:b/>
            </w:rPr>
            <w:fldChar w:fldCharType="begin"/>
          </w:r>
          <w:r>
            <w:rPr>
              <w:b/>
            </w:rPr>
            <w:instrText xml:space="preserve"> HYPERLINK \l _Toc8261 </w:instrText>
          </w:r>
          <w:r>
            <w:rPr>
              <w:b/>
            </w:rPr>
            <w:fldChar w:fldCharType="separate"/>
          </w:r>
          <w:r>
            <w:rPr>
              <w:rFonts w:hint="eastAsia" w:ascii="Times New Roman" w:hAnsi="Times New Roman" w:eastAsia="黑体"/>
              <w:b/>
              <w:szCs w:val="44"/>
              <w:highlight w:val="none"/>
            </w:rPr>
            <w:t>第</w:t>
          </w:r>
          <w:r>
            <w:rPr>
              <w:rFonts w:hint="eastAsia" w:ascii="Times New Roman" w:hAnsi="Times New Roman" w:eastAsia="黑体"/>
              <w:b/>
              <w:highlight w:val="none"/>
            </w:rPr>
            <w:t>五部分 附表</w:t>
          </w:r>
          <w:r>
            <w:rPr>
              <w:b/>
            </w:rPr>
            <w:tab/>
          </w:r>
          <w:r>
            <w:rPr>
              <w:b/>
            </w:rPr>
            <w:fldChar w:fldCharType="begin"/>
          </w:r>
          <w:r>
            <w:rPr>
              <w:b/>
            </w:rPr>
            <w:instrText xml:space="preserve"> PAGEREF _Toc8261 </w:instrText>
          </w:r>
          <w:r>
            <w:rPr>
              <w:b/>
            </w:rPr>
            <w:fldChar w:fldCharType="separate"/>
          </w:r>
          <w:r>
            <w:rPr>
              <w:b/>
            </w:rPr>
            <w:t>40</w:t>
          </w:r>
          <w:r>
            <w:rPr>
              <w:b/>
            </w:rPr>
            <w:fldChar w:fldCharType="end"/>
          </w:r>
          <w:r>
            <w:rPr>
              <w:b/>
            </w:rPr>
            <w:fldChar w:fldCharType="end"/>
          </w:r>
        </w:p>
        <w:p>
          <w:pPr>
            <w:pStyle w:val="37"/>
            <w:tabs>
              <w:tab w:val="right" w:leader="dot" w:pos="8306"/>
            </w:tabs>
          </w:pPr>
          <w:r>
            <w:fldChar w:fldCharType="begin"/>
          </w:r>
          <w:r>
            <w:instrText xml:space="preserve"> HYPERLINK \l _Toc31093 </w:instrText>
          </w:r>
          <w:r>
            <w:fldChar w:fldCharType="separate"/>
          </w:r>
          <w:r>
            <w:rPr>
              <w:rFonts w:hint="eastAsia" w:ascii="Times New Roman" w:hAnsi="Times New Roman" w:eastAsia="黑体"/>
              <w:highlight w:val="none"/>
              <w:lang w:eastAsia="zh-CN"/>
            </w:rPr>
            <w:t>一、收入支出决算总表</w:t>
          </w:r>
          <w:r>
            <w:tab/>
          </w:r>
          <w:r>
            <w:fldChar w:fldCharType="begin"/>
          </w:r>
          <w:r>
            <w:instrText xml:space="preserve"> PAGEREF _Toc31093 </w:instrText>
          </w:r>
          <w:r>
            <w:fldChar w:fldCharType="separate"/>
          </w:r>
          <w:r>
            <w:t>40</w:t>
          </w:r>
          <w:r>
            <w:fldChar w:fldCharType="end"/>
          </w:r>
          <w:r>
            <w:fldChar w:fldCharType="end"/>
          </w:r>
        </w:p>
        <w:p>
          <w:pPr>
            <w:pStyle w:val="37"/>
            <w:tabs>
              <w:tab w:val="right" w:leader="dot" w:pos="8306"/>
            </w:tabs>
          </w:pPr>
          <w:r>
            <w:fldChar w:fldCharType="begin"/>
          </w:r>
          <w:r>
            <w:instrText xml:space="preserve"> HYPERLINK \l _Toc18538 </w:instrText>
          </w:r>
          <w:r>
            <w:fldChar w:fldCharType="separate"/>
          </w:r>
          <w:r>
            <w:rPr>
              <w:rFonts w:hint="eastAsia" w:ascii="Times New Roman" w:hAnsi="Times New Roman" w:eastAsia="黑体"/>
              <w:highlight w:val="none"/>
              <w:lang w:eastAsia="zh-CN"/>
            </w:rPr>
            <w:t>二、收入决算表</w:t>
          </w:r>
          <w:r>
            <w:tab/>
          </w:r>
          <w:r>
            <w:fldChar w:fldCharType="begin"/>
          </w:r>
          <w:r>
            <w:instrText xml:space="preserve"> PAGEREF _Toc18538 </w:instrText>
          </w:r>
          <w:r>
            <w:fldChar w:fldCharType="separate"/>
          </w:r>
          <w:r>
            <w:t>40</w:t>
          </w:r>
          <w:r>
            <w:fldChar w:fldCharType="end"/>
          </w:r>
          <w:r>
            <w:fldChar w:fldCharType="end"/>
          </w:r>
        </w:p>
        <w:p>
          <w:pPr>
            <w:pStyle w:val="37"/>
            <w:tabs>
              <w:tab w:val="right" w:leader="dot" w:pos="8306"/>
            </w:tabs>
          </w:pPr>
          <w:r>
            <w:fldChar w:fldCharType="begin"/>
          </w:r>
          <w:r>
            <w:instrText xml:space="preserve"> HYPERLINK \l _Toc25579 </w:instrText>
          </w:r>
          <w:r>
            <w:fldChar w:fldCharType="separate"/>
          </w:r>
          <w:r>
            <w:rPr>
              <w:rFonts w:hint="eastAsia" w:ascii="Times New Roman" w:hAnsi="Times New Roman" w:eastAsia="黑体"/>
              <w:highlight w:val="none"/>
              <w:lang w:eastAsia="zh-CN"/>
            </w:rPr>
            <w:t>三、支出决算表</w:t>
          </w:r>
          <w:r>
            <w:tab/>
          </w:r>
          <w:r>
            <w:fldChar w:fldCharType="begin"/>
          </w:r>
          <w:r>
            <w:instrText xml:space="preserve"> PAGEREF _Toc25579 </w:instrText>
          </w:r>
          <w:r>
            <w:fldChar w:fldCharType="separate"/>
          </w:r>
          <w:r>
            <w:t>40</w:t>
          </w:r>
          <w:r>
            <w:fldChar w:fldCharType="end"/>
          </w:r>
          <w:r>
            <w:fldChar w:fldCharType="end"/>
          </w:r>
        </w:p>
        <w:p>
          <w:pPr>
            <w:pStyle w:val="37"/>
            <w:tabs>
              <w:tab w:val="right" w:leader="dot" w:pos="8306"/>
            </w:tabs>
          </w:pPr>
          <w:r>
            <w:fldChar w:fldCharType="begin"/>
          </w:r>
          <w:r>
            <w:instrText xml:space="preserve"> HYPERLINK \l _Toc28792 </w:instrText>
          </w:r>
          <w:r>
            <w:fldChar w:fldCharType="separate"/>
          </w:r>
          <w:r>
            <w:rPr>
              <w:rFonts w:hint="eastAsia" w:ascii="Times New Roman" w:hAnsi="Times New Roman" w:eastAsia="黑体"/>
              <w:highlight w:val="none"/>
              <w:lang w:eastAsia="zh-CN"/>
            </w:rPr>
            <w:t>四、财政拨款收入支出决算总表</w:t>
          </w:r>
          <w:r>
            <w:tab/>
          </w:r>
          <w:r>
            <w:fldChar w:fldCharType="begin"/>
          </w:r>
          <w:r>
            <w:instrText xml:space="preserve"> PAGEREF _Toc28792 </w:instrText>
          </w:r>
          <w:r>
            <w:fldChar w:fldCharType="separate"/>
          </w:r>
          <w:r>
            <w:t>40</w:t>
          </w:r>
          <w:r>
            <w:fldChar w:fldCharType="end"/>
          </w:r>
          <w:r>
            <w:fldChar w:fldCharType="end"/>
          </w:r>
        </w:p>
        <w:p>
          <w:pPr>
            <w:pStyle w:val="37"/>
            <w:tabs>
              <w:tab w:val="right" w:leader="dot" w:pos="8306"/>
            </w:tabs>
          </w:pPr>
          <w:r>
            <w:fldChar w:fldCharType="begin"/>
          </w:r>
          <w:r>
            <w:instrText xml:space="preserve"> HYPERLINK \l _Toc1301 </w:instrText>
          </w:r>
          <w:r>
            <w:fldChar w:fldCharType="separate"/>
          </w:r>
          <w:r>
            <w:rPr>
              <w:rFonts w:hint="eastAsia" w:ascii="Times New Roman" w:hAnsi="Times New Roman" w:eastAsia="黑体"/>
              <w:highlight w:val="none"/>
              <w:lang w:eastAsia="zh-CN"/>
            </w:rPr>
            <w:t>五、财政拨款支出决算明细表</w:t>
          </w:r>
          <w:r>
            <w:tab/>
          </w:r>
          <w:r>
            <w:fldChar w:fldCharType="begin"/>
          </w:r>
          <w:r>
            <w:instrText xml:space="preserve"> PAGEREF _Toc1301 </w:instrText>
          </w:r>
          <w:r>
            <w:fldChar w:fldCharType="separate"/>
          </w:r>
          <w:r>
            <w:t>40</w:t>
          </w:r>
          <w:r>
            <w:fldChar w:fldCharType="end"/>
          </w:r>
          <w:r>
            <w:fldChar w:fldCharType="end"/>
          </w:r>
        </w:p>
        <w:p>
          <w:pPr>
            <w:pStyle w:val="37"/>
            <w:tabs>
              <w:tab w:val="right" w:leader="dot" w:pos="8306"/>
            </w:tabs>
          </w:pPr>
          <w:r>
            <w:fldChar w:fldCharType="begin"/>
          </w:r>
          <w:r>
            <w:instrText xml:space="preserve"> HYPERLINK \l _Toc21029 </w:instrText>
          </w:r>
          <w:r>
            <w:fldChar w:fldCharType="separate"/>
          </w:r>
          <w:r>
            <w:rPr>
              <w:rFonts w:hint="eastAsia" w:ascii="Times New Roman" w:hAnsi="Times New Roman" w:eastAsia="黑体"/>
              <w:highlight w:val="none"/>
              <w:lang w:eastAsia="zh-CN"/>
            </w:rPr>
            <w:t>六、一般公共预算财政拨款支出决算表</w:t>
          </w:r>
          <w:r>
            <w:tab/>
          </w:r>
          <w:r>
            <w:fldChar w:fldCharType="begin"/>
          </w:r>
          <w:r>
            <w:instrText xml:space="preserve"> PAGEREF _Toc21029 </w:instrText>
          </w:r>
          <w:r>
            <w:fldChar w:fldCharType="separate"/>
          </w:r>
          <w:r>
            <w:t>40</w:t>
          </w:r>
          <w:r>
            <w:fldChar w:fldCharType="end"/>
          </w:r>
          <w:r>
            <w:fldChar w:fldCharType="end"/>
          </w:r>
        </w:p>
        <w:p>
          <w:pPr>
            <w:pStyle w:val="37"/>
            <w:tabs>
              <w:tab w:val="right" w:leader="dot" w:pos="8306"/>
            </w:tabs>
          </w:pPr>
          <w:r>
            <w:fldChar w:fldCharType="begin"/>
          </w:r>
          <w:r>
            <w:instrText xml:space="preserve"> HYPERLINK \l _Toc23853 </w:instrText>
          </w:r>
          <w:r>
            <w:fldChar w:fldCharType="separate"/>
          </w:r>
          <w:r>
            <w:rPr>
              <w:rFonts w:hint="eastAsia" w:ascii="Times New Roman" w:hAnsi="Times New Roman" w:eastAsia="黑体"/>
              <w:highlight w:val="none"/>
              <w:lang w:eastAsia="zh-CN"/>
            </w:rPr>
            <w:t>七、一般公共预算财政拨款支出决算明细表</w:t>
          </w:r>
          <w:r>
            <w:tab/>
          </w:r>
          <w:r>
            <w:fldChar w:fldCharType="begin"/>
          </w:r>
          <w:r>
            <w:instrText xml:space="preserve"> PAGEREF _Toc23853 </w:instrText>
          </w:r>
          <w:r>
            <w:fldChar w:fldCharType="separate"/>
          </w:r>
          <w:r>
            <w:t>40</w:t>
          </w:r>
          <w:r>
            <w:fldChar w:fldCharType="end"/>
          </w:r>
          <w:r>
            <w:fldChar w:fldCharType="end"/>
          </w:r>
        </w:p>
        <w:p>
          <w:pPr>
            <w:pStyle w:val="37"/>
            <w:tabs>
              <w:tab w:val="right" w:leader="dot" w:pos="8306"/>
            </w:tabs>
          </w:pPr>
          <w:r>
            <w:fldChar w:fldCharType="begin"/>
          </w:r>
          <w:r>
            <w:instrText xml:space="preserve"> HYPERLINK \l _Toc27806 </w:instrText>
          </w:r>
          <w:r>
            <w:fldChar w:fldCharType="separate"/>
          </w:r>
          <w:r>
            <w:rPr>
              <w:rFonts w:hint="eastAsia" w:ascii="Times New Roman" w:hAnsi="Times New Roman" w:eastAsia="黑体"/>
              <w:highlight w:val="none"/>
              <w:lang w:eastAsia="zh-CN"/>
            </w:rPr>
            <w:t>八、一般公共预算财政拨款基本支出决算表</w:t>
          </w:r>
          <w:r>
            <w:tab/>
          </w:r>
          <w:r>
            <w:fldChar w:fldCharType="begin"/>
          </w:r>
          <w:r>
            <w:instrText xml:space="preserve"> PAGEREF _Toc27806 </w:instrText>
          </w:r>
          <w:r>
            <w:fldChar w:fldCharType="separate"/>
          </w:r>
          <w:r>
            <w:t>40</w:t>
          </w:r>
          <w:r>
            <w:fldChar w:fldCharType="end"/>
          </w:r>
          <w:r>
            <w:fldChar w:fldCharType="end"/>
          </w:r>
        </w:p>
        <w:p>
          <w:pPr>
            <w:pStyle w:val="37"/>
            <w:tabs>
              <w:tab w:val="right" w:leader="dot" w:pos="8306"/>
            </w:tabs>
          </w:pPr>
          <w:r>
            <w:fldChar w:fldCharType="begin"/>
          </w:r>
          <w:r>
            <w:instrText xml:space="preserve"> HYPERLINK \l _Toc22306 </w:instrText>
          </w:r>
          <w:r>
            <w:fldChar w:fldCharType="separate"/>
          </w:r>
          <w:r>
            <w:rPr>
              <w:rFonts w:hint="eastAsia" w:ascii="Times New Roman" w:hAnsi="Times New Roman" w:eastAsia="黑体"/>
              <w:highlight w:val="none"/>
              <w:lang w:eastAsia="zh-CN"/>
            </w:rPr>
            <w:t>九、一般公共预算财政拨款项目支出决算表</w:t>
          </w:r>
          <w:r>
            <w:tab/>
          </w:r>
          <w:r>
            <w:fldChar w:fldCharType="begin"/>
          </w:r>
          <w:r>
            <w:instrText xml:space="preserve"> PAGEREF _Toc22306 </w:instrText>
          </w:r>
          <w:r>
            <w:fldChar w:fldCharType="separate"/>
          </w:r>
          <w:r>
            <w:t>40</w:t>
          </w:r>
          <w:r>
            <w:fldChar w:fldCharType="end"/>
          </w:r>
          <w:r>
            <w:fldChar w:fldCharType="end"/>
          </w:r>
        </w:p>
        <w:p>
          <w:pPr>
            <w:pStyle w:val="37"/>
            <w:tabs>
              <w:tab w:val="right" w:leader="dot" w:pos="8306"/>
            </w:tabs>
          </w:pPr>
          <w:r>
            <w:fldChar w:fldCharType="begin"/>
          </w:r>
          <w:r>
            <w:instrText xml:space="preserve"> HYPERLINK \l _Toc3518 </w:instrText>
          </w:r>
          <w:r>
            <w:fldChar w:fldCharType="separate"/>
          </w:r>
          <w:r>
            <w:rPr>
              <w:rFonts w:hint="eastAsia" w:ascii="Times New Roman" w:hAnsi="Times New Roman" w:eastAsia="黑体"/>
              <w:highlight w:val="none"/>
              <w:lang w:eastAsia="zh-CN"/>
            </w:rPr>
            <w:t>十、政府性基金预算财政拨款收入支出决算表</w:t>
          </w:r>
          <w:r>
            <w:tab/>
          </w:r>
          <w:r>
            <w:fldChar w:fldCharType="begin"/>
          </w:r>
          <w:r>
            <w:instrText xml:space="preserve"> PAGEREF _Toc3518 </w:instrText>
          </w:r>
          <w:r>
            <w:fldChar w:fldCharType="separate"/>
          </w:r>
          <w:r>
            <w:t>40</w:t>
          </w:r>
          <w:r>
            <w:fldChar w:fldCharType="end"/>
          </w:r>
          <w:r>
            <w:fldChar w:fldCharType="end"/>
          </w:r>
        </w:p>
        <w:p>
          <w:pPr>
            <w:pStyle w:val="37"/>
            <w:tabs>
              <w:tab w:val="right" w:leader="dot" w:pos="8306"/>
            </w:tabs>
          </w:pPr>
          <w:r>
            <w:fldChar w:fldCharType="begin"/>
          </w:r>
          <w:r>
            <w:instrText xml:space="preserve"> HYPERLINK \l _Toc1381 </w:instrText>
          </w:r>
          <w:r>
            <w:fldChar w:fldCharType="separate"/>
          </w:r>
          <w:r>
            <w:rPr>
              <w:rFonts w:hint="eastAsia" w:ascii="Times New Roman" w:hAnsi="Times New Roman" w:eastAsia="黑体"/>
              <w:highlight w:val="none"/>
              <w:lang w:eastAsia="zh-CN"/>
            </w:rPr>
            <w:t>十一、国有资本经营预算财政拨款收入支出决算表</w:t>
          </w:r>
          <w:r>
            <w:tab/>
          </w:r>
          <w:r>
            <w:fldChar w:fldCharType="begin"/>
          </w:r>
          <w:r>
            <w:instrText xml:space="preserve"> PAGEREF _Toc1381 </w:instrText>
          </w:r>
          <w:r>
            <w:fldChar w:fldCharType="separate"/>
          </w:r>
          <w:r>
            <w:t>40</w:t>
          </w:r>
          <w:r>
            <w:fldChar w:fldCharType="end"/>
          </w:r>
          <w:r>
            <w:fldChar w:fldCharType="end"/>
          </w:r>
        </w:p>
        <w:p>
          <w:pPr>
            <w:pStyle w:val="37"/>
            <w:tabs>
              <w:tab w:val="right" w:leader="dot" w:pos="8306"/>
            </w:tabs>
          </w:pPr>
          <w:r>
            <w:fldChar w:fldCharType="begin"/>
          </w:r>
          <w:r>
            <w:instrText xml:space="preserve"> HYPERLINK \l _Toc4652 </w:instrText>
          </w:r>
          <w:r>
            <w:fldChar w:fldCharType="separate"/>
          </w:r>
          <w:r>
            <w:rPr>
              <w:rFonts w:hint="eastAsia" w:ascii="Times New Roman" w:hAnsi="Times New Roman" w:eastAsia="黑体"/>
              <w:highlight w:val="none"/>
              <w:lang w:eastAsia="zh-CN"/>
            </w:rPr>
            <w:t>十二、国有资本经营预算财政拨款支出决算表</w:t>
          </w:r>
          <w:r>
            <w:tab/>
          </w:r>
          <w:r>
            <w:fldChar w:fldCharType="begin"/>
          </w:r>
          <w:r>
            <w:instrText xml:space="preserve"> PAGEREF _Toc4652 </w:instrText>
          </w:r>
          <w:r>
            <w:fldChar w:fldCharType="separate"/>
          </w:r>
          <w:r>
            <w:t>40</w:t>
          </w:r>
          <w:r>
            <w:fldChar w:fldCharType="end"/>
          </w:r>
          <w:r>
            <w:fldChar w:fldCharType="end"/>
          </w:r>
        </w:p>
        <w:p>
          <w:pPr>
            <w:pStyle w:val="37"/>
            <w:tabs>
              <w:tab w:val="right" w:leader="dot" w:pos="8306"/>
            </w:tabs>
          </w:pPr>
          <w:r>
            <w:fldChar w:fldCharType="begin"/>
          </w:r>
          <w:r>
            <w:instrText xml:space="preserve"> HYPERLINK \l _Toc32273 </w:instrText>
          </w:r>
          <w:r>
            <w:fldChar w:fldCharType="separate"/>
          </w:r>
          <w:r>
            <w:rPr>
              <w:rFonts w:hint="eastAsia" w:ascii="Times New Roman" w:hAnsi="Times New Roman" w:eastAsia="黑体"/>
              <w:highlight w:val="none"/>
              <w:lang w:eastAsia="zh-CN"/>
            </w:rPr>
            <w:t>十三、财政拨款“三公”经费支出决算表</w:t>
          </w:r>
          <w:r>
            <w:tab/>
          </w:r>
          <w:r>
            <w:fldChar w:fldCharType="begin"/>
          </w:r>
          <w:r>
            <w:instrText xml:space="preserve"> PAGEREF _Toc32273 </w:instrText>
          </w:r>
          <w:r>
            <w:fldChar w:fldCharType="separate"/>
          </w:r>
          <w:r>
            <w:t>40</w:t>
          </w:r>
          <w:r>
            <w:fldChar w:fldCharType="end"/>
          </w:r>
          <w:r>
            <w:fldChar w:fldCharType="end"/>
          </w:r>
        </w:p>
        <w:p>
          <w:r>
            <w:rPr>
              <w:b/>
            </w:rPr>
            <w:fldChar w:fldCharType="end"/>
          </w:r>
        </w:p>
      </w:sdtContent>
    </w:sdt>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r>
        <w:rPr>
          <w:rFonts w:hint="eastAsia" w:ascii="Times New Roman" w:hAnsi="Times New Roman" w:eastAsia="仿宋_GB2312" w:cs="仿宋_GB2312"/>
          <w:b/>
          <w:color w:val="auto"/>
          <w:sz w:val="32"/>
          <w:szCs w:val="32"/>
          <w:highlight w:val="none"/>
        </w:rPr>
        <w:br w:type="page"/>
      </w:r>
    </w:p>
    <w:p>
      <w:pPr>
        <w:pStyle w:val="3"/>
        <w:jc w:val="center"/>
        <w:rPr>
          <w:rStyle w:val="29"/>
          <w:rFonts w:hint="eastAsia" w:ascii="Times New Roman" w:hAnsi="Times New Roman" w:eastAsia="方正小标宋简体" w:cs="方正小标宋简体"/>
          <w:b/>
          <w:bCs w:val="0"/>
          <w:color w:val="auto"/>
          <w:highlight w:val="none"/>
        </w:rPr>
      </w:pPr>
      <w:bookmarkStart w:id="2" w:name="_Toc7190"/>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0"/>
      <w:bookmarkEnd w:id="1"/>
      <w:bookmarkEnd w:id="2"/>
    </w:p>
    <w:p>
      <w:pPr>
        <w:widowControl/>
        <w:jc w:val="left"/>
        <w:rPr>
          <w:rFonts w:ascii="Times New Roman" w:hAnsi="Times New Roman" w:eastAsia="黑体"/>
          <w:color w:val="auto"/>
          <w:sz w:val="32"/>
          <w:szCs w:val="32"/>
          <w:highlight w:val="none"/>
        </w:rPr>
      </w:pPr>
    </w:p>
    <w:p>
      <w:pPr>
        <w:pStyle w:val="4"/>
        <w:numPr>
          <w:ilvl w:val="0"/>
          <w:numId w:val="1"/>
        </w:numPr>
        <w:rPr>
          <w:rFonts w:hint="eastAsia" w:ascii="Times New Roman" w:hAnsi="Times New Roman" w:eastAsia="黑体"/>
          <w:b w:val="0"/>
          <w:color w:val="auto"/>
          <w:highlight w:val="none"/>
          <w:lang w:eastAsia="zh-CN"/>
        </w:rPr>
      </w:pPr>
      <w:bookmarkStart w:id="3" w:name="_Toc16245"/>
      <w:r>
        <w:rPr>
          <w:rFonts w:hint="eastAsia" w:ascii="Times New Roman" w:hAnsi="Times New Roman" w:eastAsia="黑体"/>
          <w:b w:val="0"/>
          <w:color w:val="auto"/>
          <w:highlight w:val="none"/>
          <w:lang w:eastAsia="zh-CN"/>
        </w:rPr>
        <w:t>部门职责</w:t>
      </w:r>
      <w:bookmarkEnd w:id="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z w:val="32"/>
          <w:szCs w:val="32"/>
          <w:lang w:val="en-US" w:eastAsia="zh-CN"/>
        </w:rPr>
      </w:pPr>
      <w:bookmarkStart w:id="4" w:name="_Toc15377199"/>
      <w:bookmarkStart w:id="5" w:name="_Toc15378446"/>
      <w:r>
        <w:rPr>
          <w:rFonts w:hint="eastAsia" w:ascii="仿宋" w:hAnsi="仿宋" w:eastAsia="仿宋" w:cs="Times New Roman"/>
          <w:sz w:val="32"/>
          <w:szCs w:val="32"/>
          <w:lang w:val="en-US" w:eastAsia="zh-CN"/>
        </w:rPr>
        <w:t>（一）贯彻落实党和国家关于文化、体育、旅游的方针政策和省委、州委、县委的决策部署，拟订文化、体育和旅游政策措施，起草文化、体育和旅游地方性法规、规章草案，负责本部门依法行政工作。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（二）组织推动全县文化、体育事业产业和旅游业发展，推进文化、体育和旅游产业融合发展，促进文化、体育和旅游与相关产业融合发展。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三）指导管理文艺事业，把握正确的创作导向，推动文化艺术创作生产，扶持体现社会主义核心价值观、具有导向性代表性示范性的文化艺术作品，推动各门类艺术、各艺术品种发展，推动中华优秀传统文化和壤塘本地特色文化传承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（四）负责公共文化、体育事业发展，推进全县公共文化服务体系建设和旅游公共服务建设，深入实施惠民工程，统筹推进文化、体育、旅游基本公共服务标准化、均等化。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（五）推进文化、体育和旅游科技创新，推进文化、体育和旅游行业信息化、标准化建设。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六）负责非物质文化遗产保护工作，推动非物质文化遗产的保护、传承、普及、弘扬和振兴，履行文物行政督察职能，负责世界文化遗产保护和管理监督工作，组织开展世界文化与自然遗产、历史文化名城（镇、村）申报和监督管理工作，负责推动完善文物和博物馆公共服务体系建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七）推动全县群众体育、竞技体育和青少年（学校）体育工作发展规划实施，推行全民健身计划，推动建立和完善全民健身公共服务体系，指导和开展群众性体育活动，研究和指导体育训练和运动员队伍建设，统筹组织全县综合性运动会、参加州级以上体育竞赛和综合性运动会，指导各级各类体育学校的建设和青少年业余训练及相关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八）指导全县文化、体育、旅游市场发展，对全县文化、体育、旅游市场依法进行行业监管，推进文化、体育、旅游行业信用体系建设，依法规范文化、体育、旅游市场秩序。统筹全县文化、文物、体育、旅游市场综合行政执法，组织查处全县性、跨区域文化、文物、体育、旅游等市场的违法行为，督查督办大案要案，维护市场秩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九）负责管理、组织文化、体育和旅游对外及对港澳台交流合作与宣传推广工作，组织实施全县文化、体育和旅游资源的普查、保护与利用，管理全县性重大文化、体育和旅游活动，组织全县重点文化、体育和旅游设施建设，组织实施全县文化、体育和旅游整体形象推广，促进文化、体育、旅游产业市场推广和对外合作交流，制定文化体育和旅游市场开发战略并组织实施，推进全域旅游。强化文化、体育和旅游要素配置，统筹整合形成文化、体育和旅游发展新优势，着力打造具有地方民族特色的文化、体育和旅游品牌，推进文化、体育和旅游融合发展，巩固旅游业的战略性支柱产业地位，推动旅游业向主导产业发展，提升壤塘文化软实力，建设文化强县，努力开创文化、体育和旅游工作新局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十）负责文化、体育和旅游系统及市场安全生产工作的综合协调与监督管理，依法履行行业职业健康监管职责，承担职责范围内生态环境保护、审批服务便民化等工作，承担文化、体育、旅游行业意识形态工作，负责机关节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（十一）完成上级交办的其他任务。</w:t>
      </w:r>
    </w:p>
    <w:bookmarkEnd w:id="4"/>
    <w:bookmarkEnd w:id="5"/>
    <w:p>
      <w:pPr>
        <w:numPr>
          <w:ilvl w:val="0"/>
          <w:numId w:val="0"/>
        </w:numPr>
        <w:rPr>
          <w:rFonts w:hint="eastAsia"/>
          <w:lang w:eastAsia="zh-CN"/>
        </w:rPr>
      </w:pPr>
    </w:p>
    <w:p>
      <w:pPr>
        <w:pStyle w:val="4"/>
        <w:rPr>
          <w:rStyle w:val="30"/>
          <w:rFonts w:ascii="Times New Roman" w:hAnsi="Times New Roman"/>
          <w:b w:val="0"/>
          <w:bCs w:val="0"/>
          <w:color w:val="auto"/>
          <w:highlight w:val="none"/>
        </w:rPr>
      </w:pPr>
      <w:bookmarkStart w:id="6" w:name="_Toc15396601"/>
      <w:bookmarkStart w:id="7" w:name="_Toc15377200"/>
      <w:bookmarkStart w:id="8" w:name="_Toc7301"/>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6"/>
      <w:bookmarkEnd w:id="7"/>
      <w:bookmarkEnd w:id="8"/>
    </w:p>
    <w:p>
      <w:pPr>
        <w:ind w:firstLine="800" w:firstLineChars="250"/>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壤塘县文化广播电视体育和旅游局</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pPr>
        <w:pStyle w:val="6"/>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rFonts w:hint="eastAsia" w:ascii="Times New Roman" w:cs="仿宋_GB2312"/>
          <w:color w:val="auto"/>
          <w:sz w:val="32"/>
          <w:szCs w:val="32"/>
          <w:highlight w:val="none"/>
          <w:lang w:eastAsia="zh-CN"/>
        </w:rPr>
        <w:t>壤塘县文化广播电视体育和旅游局2025年度</w:t>
      </w:r>
      <w:r>
        <w:rPr>
          <w:rFonts w:hint="eastAsia" w:ascii="Times New Roman" w:hAnsi="Times New Roman" w:eastAsia="仿宋_GB2312" w:cs="仿宋_GB2312"/>
          <w:color w:val="auto"/>
          <w:sz w:val="32"/>
          <w:szCs w:val="32"/>
          <w:highlight w:val="none"/>
        </w:rPr>
        <w:t>部门决算编制范围的二级预算单位包括：</w:t>
      </w:r>
    </w:p>
    <w:p>
      <w:pPr>
        <w:pStyle w:val="6"/>
        <w:numPr>
          <w:ilvl w:val="0"/>
          <w:numId w:val="2"/>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eastAsia="zh-CN"/>
        </w:rPr>
        <w:t>壤塘县文化广播电视体育和旅游局</w:t>
      </w:r>
    </w:p>
    <w:p>
      <w:pPr>
        <w:pStyle w:val="6"/>
        <w:numPr>
          <w:ilvl w:val="0"/>
          <w:numId w:val="2"/>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r>
        <w:rPr>
          <w:rFonts w:hint="eastAsia" w:ascii="仿宋" w:hAnsi="仿宋" w:eastAsia="仿宋"/>
          <w:color w:val="000000"/>
          <w:sz w:val="32"/>
          <w:szCs w:val="32"/>
          <w:lang w:eastAsia="zh-CN"/>
        </w:rPr>
        <w:t>壤巴拉文化研究中心</w:t>
      </w:r>
      <w:r>
        <w:rPr>
          <w:rFonts w:hint="eastAsia" w:ascii="仿宋" w:hAnsi="仿宋" w:eastAsia="仿宋"/>
          <w:color w:val="000000"/>
          <w:sz w:val="32"/>
          <w:szCs w:val="32"/>
          <w:lang w:val="en-US" w:eastAsia="zh-CN"/>
        </w:rPr>
        <w:t xml:space="preserve">                                                                                                                                                                                                                                                                                                                                                                                                                                                                                                                                                                                                                                                                                                                                                                                                                                                                                                                                                                                                                                                                                                                                                                                                                                                                                                                                                                                                                                                                                                                                                                                                                                                                                                                                                                                                                                                                                                                                                                                                                                                                                                                                                                                                                                                                                                                                                                                                                                                                                                                                                                                                                                                                  </w:t>
      </w:r>
    </w:p>
    <w:p>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3"/>
        <w:jc w:val="center"/>
        <w:rPr>
          <w:rFonts w:hint="eastAsia" w:ascii="Times New Roman" w:hAnsi="Times New Roman" w:eastAsia="方正小标宋简体" w:cs="方正小标宋简体"/>
          <w:b w:val="0"/>
          <w:color w:val="auto"/>
          <w:highlight w:val="none"/>
        </w:rPr>
      </w:pPr>
      <w:bookmarkStart w:id="9" w:name="_Toc15396602"/>
      <w:bookmarkStart w:id="10" w:name="_Toc15869"/>
      <w:bookmarkStart w:id="11"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9"/>
      <w:bookmarkEnd w:id="10"/>
      <w:bookmarkEnd w:id="11"/>
    </w:p>
    <w:p>
      <w:pPr>
        <w:rPr>
          <w:rFonts w:ascii="Times New Roman" w:hAnsi="Times New Roman"/>
          <w:color w:val="auto"/>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2" w:name="_Toc15377205"/>
      <w:bookmarkStart w:id="13" w:name="_Toc17680"/>
      <w:bookmarkStart w:id="14"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2"/>
      <w:bookmarkEnd w:id="13"/>
      <w:bookmarkEnd w:id="14"/>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olor w:val="000000"/>
          <w:sz w:val="32"/>
          <w:szCs w:val="32"/>
          <w:lang w:eastAsia="zh-CN"/>
        </w:rPr>
      </w:pPr>
      <w:bookmarkStart w:id="15" w:name="_Toc27923"/>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均为6480.70</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2760.71</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74.21</w:t>
      </w:r>
      <w:r>
        <w:rPr>
          <w:rFonts w:hint="eastAsia" w:ascii="Times New Roman" w:hAnsi="Times New Roman" w:eastAsia="仿宋_GB2312" w:cs="仿宋_GB2312"/>
          <w:color w:val="auto"/>
          <w:sz w:val="32"/>
          <w:szCs w:val="32"/>
          <w:highlight w:val="none"/>
        </w:rPr>
        <w:t>%。主要变动原因是</w:t>
      </w:r>
      <w:r>
        <w:rPr>
          <w:rFonts w:hint="eastAsia" w:ascii="仿宋" w:hAnsi="仿宋" w:eastAsia="仿宋"/>
          <w:color w:val="000000"/>
          <w:sz w:val="32"/>
          <w:szCs w:val="32"/>
        </w:rPr>
        <w:t>本年度新增壤塘县岗木达镇章光村农旅</w:t>
      </w:r>
      <w:r>
        <w:rPr>
          <w:rFonts w:hint="eastAsia" w:ascii="仿宋" w:hAnsi="仿宋" w:eastAsia="仿宋"/>
          <w:color w:val="000000"/>
          <w:sz w:val="32"/>
          <w:szCs w:val="32"/>
          <w:lang w:val="en-US" w:eastAsia="zh-CN"/>
        </w:rPr>
        <w:t xml:space="preserve">                                                         </w:t>
      </w:r>
      <w:r>
        <w:rPr>
          <w:rFonts w:hint="eastAsia" w:ascii="仿宋" w:hAnsi="仿宋" w:eastAsia="仿宋"/>
          <w:color w:val="000000"/>
          <w:sz w:val="32"/>
          <w:szCs w:val="32"/>
        </w:rPr>
        <w:t>融合发展项目、“</w:t>
      </w:r>
      <w:r>
        <w:rPr>
          <w:rFonts w:hint="eastAsia" w:ascii="仿宋" w:hAnsi="仿宋" w:eastAsia="仿宋"/>
          <w:color w:val="000000"/>
          <w:sz w:val="32"/>
          <w:szCs w:val="32"/>
          <w:lang w:eastAsia="zh-CN"/>
        </w:rPr>
        <w:t>壤塘县吾伊乡克久旅游基础设施建设项目”</w:t>
      </w:r>
      <w:r>
        <w:rPr>
          <w:rFonts w:hint="eastAsia" w:ascii="仿宋" w:hAnsi="仿宋" w:eastAsia="仿宋"/>
          <w:color w:val="000000"/>
          <w:sz w:val="32"/>
          <w:szCs w:val="32"/>
        </w:rPr>
        <w:t>等项目资金收支，故本年收支增加</w:t>
      </w:r>
      <w:r>
        <w:rPr>
          <w:rFonts w:hint="eastAsia" w:ascii="仿宋" w:hAnsi="仿宋" w:eastAsia="仿宋"/>
          <w:color w:val="000000"/>
          <w:sz w:val="32"/>
          <w:szCs w:val="32"/>
          <w:lang w:eastAsia="zh-CN"/>
        </w:rPr>
        <w:t>。</w:t>
      </w:r>
      <w:bookmarkEnd w:id="15"/>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bookmarkStart w:id="16" w:name="_Toc32327"/>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bookmarkEnd w:id="16"/>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drawing>
          <wp:inline distT="0" distB="0" distL="114300" distR="114300">
            <wp:extent cx="3592195" cy="1811020"/>
            <wp:effectExtent l="4445" t="4445" r="22860" b="13335"/>
            <wp:docPr id="1055"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7" w:name="_Toc15396604"/>
      <w:bookmarkStart w:id="18" w:name="_Toc15377206"/>
      <w:bookmarkStart w:id="19" w:name="_Toc11299"/>
      <w:r>
        <w:rPr>
          <w:rFonts w:hint="eastAsia" w:ascii="Times New Roman" w:hAnsi="Times New Roman" w:eastAsia="黑体"/>
          <w:color w:val="auto"/>
          <w:sz w:val="32"/>
          <w:szCs w:val="32"/>
          <w:highlight w:val="none"/>
          <w:lang w:eastAsia="zh-CN"/>
        </w:rPr>
        <w:t>二、收入决算情况说明</w:t>
      </w:r>
      <w:bookmarkEnd w:id="17"/>
      <w:bookmarkEnd w:id="18"/>
      <w:bookmarkEnd w:id="19"/>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bookmarkStart w:id="20" w:name="_Toc18073"/>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本年收入合计6480.70万元，其中：一般公共预算财政拨款收入</w:t>
      </w:r>
      <w:r>
        <w:rPr>
          <w:rFonts w:hint="eastAsia" w:eastAsia="仿宋_GB2312" w:cs="仿宋_GB2312"/>
          <w:sz w:val="32"/>
          <w:szCs w:val="32"/>
        </w:rPr>
        <w:t>5837.7</w:t>
      </w:r>
      <w:r>
        <w:rPr>
          <w:rFonts w:hint="eastAsia" w:eastAsia="仿宋_GB2312" w:cs="仿宋_GB2312"/>
          <w:sz w:val="32"/>
          <w:szCs w:val="32"/>
          <w:lang w:val="en-US" w:eastAsia="zh-CN"/>
        </w:rPr>
        <w:t xml:space="preserve"> </w:t>
      </w:r>
      <w:r>
        <w:rPr>
          <w:rFonts w:hint="eastAsia" w:eastAsia="仿宋_GB2312" w:cs="仿宋_GB2312"/>
          <w:sz w:val="32"/>
          <w:szCs w:val="32"/>
        </w:rPr>
        <w:t>9</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90.08</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eastAsia="仿宋_GB2312" w:cs="仿宋_GB2312"/>
          <w:sz w:val="32"/>
          <w:szCs w:val="32"/>
        </w:rPr>
        <w:t>642.91</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9.92</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bookmarkEnd w:id="20"/>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21" w:name="_Toc29128"/>
      <w:r>
        <w:rPr>
          <w:rFonts w:hint="eastAsia" w:ascii="Times New Roman" w:hAnsi="Times New Roman" w:eastAsia="仿宋_GB2312" w:cs="仿宋_GB2312"/>
          <w:color w:val="auto"/>
          <w:sz w:val="32"/>
          <w:szCs w:val="32"/>
          <w:highlight w:val="none"/>
          <w:lang w:eastAsia="zh-CN"/>
        </w:rPr>
        <w:t>（图2：收入决算结构图）（饼状图）</w:t>
      </w:r>
      <w:bookmarkEnd w:id="21"/>
    </w:p>
    <w:p>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286250" cy="2133600"/>
            <wp:effectExtent l="4445" t="4445" r="14605" b="14605"/>
            <wp:docPr id="2" name="图表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2" w:name="_Toc15396605"/>
      <w:bookmarkStart w:id="23" w:name="_Toc15377207"/>
      <w:bookmarkStart w:id="24" w:name="_Toc3190"/>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2"/>
      <w:bookmarkEnd w:id="23"/>
      <w:bookmarkEnd w:id="24"/>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25" w:name="_Toc1007"/>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 w:hAnsi="仿宋" w:eastAsia="仿宋" w:cs="Times New Roman"/>
          <w:sz w:val="32"/>
          <w:szCs w:val="32"/>
          <w:lang w:val="en-US" w:eastAsia="zh-CN"/>
        </w:rPr>
        <w:t>6480.70</w:t>
      </w:r>
      <w:r>
        <w:rPr>
          <w:rFonts w:hint="eastAsia" w:ascii="Times New Roman" w:hAnsi="Times New Roman" w:eastAsia="仿宋_GB2312" w:cs="仿宋_GB2312"/>
          <w:color w:val="auto"/>
          <w:sz w:val="32"/>
          <w:szCs w:val="32"/>
          <w:highlight w:val="none"/>
          <w:lang w:eastAsia="zh-CN"/>
        </w:rPr>
        <w:t>万元，其中：基本支出</w:t>
      </w:r>
      <w:r>
        <w:rPr>
          <w:rFonts w:hint="eastAsia" w:ascii="仿宋" w:hAnsi="仿宋" w:eastAsia="仿宋" w:cs="Times New Roman"/>
          <w:sz w:val="32"/>
          <w:szCs w:val="32"/>
          <w:lang w:val="en-US" w:eastAsia="zh-CN"/>
        </w:rPr>
        <w:t>966.81</w:t>
      </w:r>
      <w:r>
        <w:rPr>
          <w:rFonts w:hint="eastAsia" w:ascii="Times New Roman" w:hAnsi="Times New Roman" w:eastAsia="仿宋_GB2312" w:cs="仿宋_GB2312"/>
          <w:color w:val="auto"/>
          <w:sz w:val="32"/>
          <w:szCs w:val="32"/>
          <w:highlight w:val="none"/>
          <w:lang w:eastAsia="zh-CN"/>
        </w:rPr>
        <w:t>万元，占</w:t>
      </w:r>
      <w:r>
        <w:rPr>
          <w:rFonts w:hint="eastAsia" w:ascii="仿宋" w:hAnsi="仿宋" w:eastAsia="仿宋" w:cs="Times New Roman"/>
          <w:sz w:val="32"/>
          <w:szCs w:val="32"/>
          <w:lang w:val="en-US" w:eastAsia="zh-CN"/>
        </w:rPr>
        <w:t>14.92</w:t>
      </w:r>
      <w:r>
        <w:rPr>
          <w:rFonts w:hint="eastAsia" w:ascii="Times New Roman" w:hAnsi="Times New Roman" w:eastAsia="仿宋_GB2312" w:cs="仿宋_GB2312"/>
          <w:color w:val="auto"/>
          <w:sz w:val="32"/>
          <w:szCs w:val="32"/>
          <w:highlight w:val="none"/>
          <w:lang w:eastAsia="zh-CN"/>
        </w:rPr>
        <w:t>%；项目支出</w:t>
      </w:r>
      <w:r>
        <w:rPr>
          <w:rFonts w:hint="eastAsia" w:ascii="仿宋" w:hAnsi="仿宋" w:eastAsia="仿宋" w:cs="Times New Roman"/>
          <w:sz w:val="32"/>
          <w:szCs w:val="32"/>
          <w:lang w:val="en-US" w:eastAsia="zh-CN"/>
        </w:rPr>
        <w:t>5513.89</w:t>
      </w:r>
      <w:r>
        <w:rPr>
          <w:rFonts w:hint="eastAsia" w:ascii="Times New Roman" w:hAnsi="Times New Roman" w:eastAsia="仿宋_GB2312" w:cs="仿宋_GB2312"/>
          <w:color w:val="auto"/>
          <w:sz w:val="32"/>
          <w:szCs w:val="32"/>
          <w:highlight w:val="none"/>
          <w:lang w:eastAsia="zh-CN"/>
        </w:rPr>
        <w:t>万元，占</w:t>
      </w:r>
      <w:r>
        <w:rPr>
          <w:rFonts w:hint="eastAsia" w:ascii="仿宋" w:hAnsi="仿宋" w:eastAsia="仿宋" w:cs="Times New Roman"/>
          <w:sz w:val="32"/>
          <w:szCs w:val="32"/>
          <w:lang w:val="en-US" w:eastAsia="zh-CN"/>
        </w:rPr>
        <w:t>85.08</w:t>
      </w:r>
      <w:r>
        <w:rPr>
          <w:rFonts w:hint="eastAsia" w:ascii="Times New Roman" w:hAnsi="Times New Roman" w:eastAsia="仿宋_GB2312" w:cs="仿宋_GB2312"/>
          <w:color w:val="auto"/>
          <w:sz w:val="32"/>
          <w:szCs w:val="32"/>
          <w:highlight w:val="none"/>
          <w:lang w:eastAsia="zh-CN"/>
        </w:rPr>
        <w:t>%。</w:t>
      </w:r>
      <w:bookmarkEnd w:id="25"/>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26" w:name="_Toc12904"/>
      <w:r>
        <w:rPr>
          <w:rFonts w:hint="eastAsia" w:ascii="Times New Roman" w:hAnsi="Times New Roman" w:eastAsia="仿宋_GB2312" w:cs="仿宋_GB2312"/>
          <w:color w:val="auto"/>
          <w:sz w:val="32"/>
          <w:szCs w:val="32"/>
          <w:highlight w:val="none"/>
          <w:lang w:eastAsia="zh-CN"/>
        </w:rPr>
        <w:t>（图3：支出决算结构图）（饼状图）</w:t>
      </w:r>
      <w:bookmarkEnd w:id="26"/>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3176270" cy="2112645"/>
            <wp:effectExtent l="4445" t="4445" r="19685" b="16510"/>
            <wp:docPr id="106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spacing w:line="600" w:lineRule="exact"/>
        <w:ind w:firstLine="640" w:firstLineChars="200"/>
        <w:outlineLvl w:val="1"/>
        <w:rPr>
          <w:rStyle w:val="30"/>
          <w:rFonts w:ascii="Times New Roman" w:hAnsi="Times New Roman" w:eastAsia="黑体"/>
          <w:b w:val="0"/>
          <w:color w:val="auto"/>
          <w:highlight w:val="none"/>
        </w:rPr>
      </w:pPr>
      <w:bookmarkStart w:id="27" w:name="_Toc26112"/>
      <w:bookmarkStart w:id="28" w:name="_Toc15396606"/>
      <w:bookmarkStart w:id="29"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7"/>
      <w:bookmarkEnd w:id="28"/>
      <w:bookmarkEnd w:id="2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 w:hAnsi="仿宋" w:eastAsia="仿宋" w:cs="Times New Roman"/>
          <w:sz w:val="32"/>
          <w:szCs w:val="32"/>
          <w:lang w:val="en-US" w:eastAsia="zh-CN"/>
        </w:rPr>
        <w:t>6480.70</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sz w:val="32"/>
          <w:szCs w:val="32"/>
          <w:highlight w:val="none"/>
          <w:lang w:val="en-US" w:eastAsia="zh-CN"/>
        </w:rPr>
        <w:t>2760.71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74.21</w:t>
      </w:r>
      <w:r>
        <w:rPr>
          <w:rFonts w:hint="eastAsia" w:ascii="Times New Roman" w:hAnsi="Times New Roman" w:eastAsia="仿宋_GB2312" w:cs="仿宋_GB2312"/>
          <w:color w:val="auto"/>
          <w:kern w:val="2"/>
          <w:sz w:val="32"/>
          <w:szCs w:val="32"/>
          <w:highlight w:val="none"/>
          <w:lang w:val="en-US" w:eastAsia="zh-CN" w:bidi="ar-SA"/>
        </w:rPr>
        <w:t>%。主要变动原因</w:t>
      </w:r>
      <w:r>
        <w:rPr>
          <w:rFonts w:hint="eastAsia" w:ascii="Times New Roman" w:hAnsi="Times New Roman" w:eastAsia="仿宋_GB2312" w:cs="仿宋_GB2312"/>
          <w:color w:val="auto"/>
          <w:sz w:val="32"/>
          <w:szCs w:val="32"/>
          <w:highlight w:val="none"/>
        </w:rPr>
        <w:t>是</w:t>
      </w:r>
      <w:r>
        <w:rPr>
          <w:rFonts w:hint="eastAsia" w:ascii="仿宋" w:hAnsi="仿宋" w:eastAsia="仿宋"/>
          <w:color w:val="000000"/>
          <w:sz w:val="32"/>
          <w:szCs w:val="32"/>
        </w:rPr>
        <w:t>本年度新增壤塘县岗木达镇章光村农旅融合发展项目、“</w:t>
      </w:r>
      <w:r>
        <w:rPr>
          <w:rFonts w:hint="eastAsia" w:ascii="仿宋" w:hAnsi="仿宋" w:eastAsia="仿宋"/>
          <w:color w:val="000000"/>
          <w:sz w:val="32"/>
          <w:szCs w:val="32"/>
          <w:lang w:eastAsia="zh-CN"/>
        </w:rPr>
        <w:t>壤塘县吾伊乡克久旅游基础设施建设项目”</w:t>
      </w:r>
      <w:r>
        <w:rPr>
          <w:rFonts w:hint="eastAsia" w:ascii="仿宋" w:hAnsi="仿宋" w:eastAsia="仿宋"/>
          <w:color w:val="000000"/>
          <w:sz w:val="32"/>
          <w:szCs w:val="32"/>
        </w:rPr>
        <w:t>等项目资金收支，故本年收支增加</w:t>
      </w:r>
      <w:r>
        <w:rPr>
          <w:rFonts w:hint="eastAsia" w:ascii="仿宋" w:hAnsi="仿宋" w:eastAsia="仿宋"/>
          <w:color w:val="000000"/>
          <w:sz w:val="32"/>
          <w:szCs w:val="32"/>
          <w:lang w:eastAsia="zh-CN"/>
        </w:rPr>
        <w:t>。</w:t>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outlineLvl w:val="9"/>
        <w:rPr>
          <w:rFonts w:hint="eastAsia" w:ascii="Times New Roman" w:hAnsi="Times New Roman" w:eastAsia="黑体"/>
          <w:color w:val="auto"/>
          <w:sz w:val="32"/>
          <w:szCs w:val="32"/>
          <w:highlight w:val="none"/>
        </w:rPr>
      </w:pPr>
      <w:bookmarkStart w:id="30" w:name="_Toc15377209"/>
      <w:bookmarkStart w:id="31" w:name="_Toc15396607"/>
    </w:p>
    <w:p>
      <w:pPr>
        <w:spacing w:line="600" w:lineRule="exact"/>
        <w:ind w:firstLine="640" w:firstLineChars="200"/>
        <w:outlineLvl w:val="9"/>
        <w:rPr>
          <w:rFonts w:hint="eastAsia" w:ascii="Times New Roman" w:hAnsi="Times New Roman" w:eastAsia="黑体"/>
          <w:color w:val="auto"/>
          <w:sz w:val="32"/>
          <w:szCs w:val="32"/>
          <w:highlight w:val="none"/>
        </w:rPr>
      </w:pPr>
    </w:p>
    <w:p>
      <w:pPr>
        <w:spacing w:line="600" w:lineRule="exact"/>
        <w:ind w:firstLine="640" w:firstLineChars="200"/>
        <w:outlineLvl w:val="9"/>
        <w:rPr>
          <w:rFonts w:hint="eastAsia" w:ascii="Times New Roman" w:hAnsi="Times New Roman" w:eastAsia="黑体"/>
          <w:color w:val="auto"/>
          <w:sz w:val="32"/>
          <w:szCs w:val="32"/>
          <w:highlight w:val="none"/>
        </w:rPr>
      </w:pPr>
    </w:p>
    <w:p>
      <w:pPr>
        <w:spacing w:line="600" w:lineRule="exact"/>
        <w:ind w:firstLine="640" w:firstLineChars="200"/>
        <w:outlineLvl w:val="9"/>
        <w:rPr>
          <w:rFonts w:hint="eastAsia" w:ascii="Times New Roman" w:hAnsi="Times New Roman" w:eastAsia="黑体"/>
          <w:color w:val="auto"/>
          <w:sz w:val="32"/>
          <w:szCs w:val="32"/>
          <w:highlight w:val="none"/>
        </w:rPr>
      </w:pPr>
    </w:p>
    <w:p>
      <w:pPr>
        <w:spacing w:line="600" w:lineRule="exact"/>
        <w:ind w:firstLine="420" w:firstLineChars="200"/>
        <w:outlineLvl w:val="9"/>
        <w:rPr>
          <w:rFonts w:hint="eastAsia" w:ascii="Times New Roman" w:hAnsi="Times New Roman" w:eastAsia="黑体"/>
          <w:color w:val="auto"/>
          <w:sz w:val="32"/>
          <w:szCs w:val="32"/>
          <w:highlight w:val="none"/>
        </w:rPr>
      </w:pPr>
      <w:r>
        <w:drawing>
          <wp:anchor distT="0" distB="0" distL="114300" distR="114300" simplePos="0" relativeHeight="251659264" behindDoc="0" locked="0" layoutInCell="1" allowOverlap="1">
            <wp:simplePos x="0" y="0"/>
            <wp:positionH relativeFrom="column">
              <wp:posOffset>271145</wp:posOffset>
            </wp:positionH>
            <wp:positionV relativeFrom="paragraph">
              <wp:posOffset>-1519555</wp:posOffset>
            </wp:positionV>
            <wp:extent cx="3592195" cy="1811020"/>
            <wp:effectExtent l="4445" t="4445" r="22860" b="13335"/>
            <wp:wrapSquare wrapText="bothSides"/>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spacing w:line="600" w:lineRule="exact"/>
        <w:ind w:firstLine="640" w:firstLineChars="200"/>
        <w:outlineLvl w:val="1"/>
        <w:rPr>
          <w:rStyle w:val="30"/>
          <w:rFonts w:ascii="Times New Roman" w:hAnsi="Times New Roman" w:eastAsia="黑体"/>
          <w:b w:val="0"/>
          <w:color w:val="auto"/>
          <w:highlight w:val="none"/>
        </w:rPr>
      </w:pPr>
      <w:bookmarkStart w:id="32" w:name="_Toc21785"/>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30"/>
      <w:bookmarkEnd w:id="31"/>
      <w:bookmarkEnd w:id="32"/>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3"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一般公共预算财政拨款支出5837.79万元，占本年支出合计的</w:t>
      </w:r>
      <w:r>
        <w:rPr>
          <w:rFonts w:hint="eastAsia" w:eastAsia="仿宋_GB2312" w:cs="仿宋_GB2312"/>
          <w:color w:val="auto"/>
          <w:sz w:val="32"/>
          <w:szCs w:val="32"/>
          <w:highlight w:val="none"/>
          <w:lang w:val="en-US" w:eastAsia="zh-CN"/>
        </w:rPr>
        <w:t>90.08</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2117.8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56.93</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 w:hAnsi="仿宋" w:eastAsia="仿宋"/>
          <w:color w:val="000000"/>
          <w:sz w:val="32"/>
          <w:szCs w:val="32"/>
        </w:rPr>
        <w:t>本年度新增壤塘县岗木达镇章光村农旅融合发展项目、“</w:t>
      </w:r>
      <w:r>
        <w:rPr>
          <w:rFonts w:hint="eastAsia" w:ascii="仿宋" w:hAnsi="仿宋" w:eastAsia="仿宋"/>
          <w:color w:val="000000"/>
          <w:sz w:val="32"/>
          <w:szCs w:val="32"/>
          <w:lang w:eastAsia="zh-CN"/>
        </w:rPr>
        <w:t>壤塘县吾伊乡克久旅游基础设施建设项目”</w:t>
      </w:r>
      <w:r>
        <w:rPr>
          <w:rFonts w:hint="eastAsia" w:ascii="仿宋" w:hAnsi="仿宋" w:eastAsia="仿宋"/>
          <w:color w:val="000000"/>
          <w:sz w:val="32"/>
          <w:szCs w:val="32"/>
        </w:rPr>
        <w:t>等项目资金收支，故本年收支增加</w:t>
      </w:r>
      <w:r>
        <w:rPr>
          <w:rFonts w:hint="eastAsia" w:ascii="仿宋" w:hAnsi="仿宋" w:eastAsia="仿宋"/>
          <w:color w:val="000000"/>
          <w:sz w:val="32"/>
          <w:szCs w:val="32"/>
          <w:lang w:eastAsia="zh-CN"/>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3677920" cy="1811020"/>
            <wp:effectExtent l="4445" t="4445" r="13335" b="13335"/>
            <wp:docPr id="5"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rPr>
          <w:rFonts w:hint="eastAsia"/>
          <w:lang w:val="en-US" w:eastAsia="zh-CN"/>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4"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一般公共预算财政拨款支出5837.79万元，主要用于以下方面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；文化旅游体育与传媒支出3012.2万元，占</w:t>
      </w:r>
      <w:r>
        <w:rPr>
          <w:rFonts w:hint="eastAsia" w:eastAsia="仿宋_GB2312" w:cs="仿宋_GB2312"/>
          <w:color w:val="auto"/>
          <w:kern w:val="2"/>
          <w:sz w:val="32"/>
          <w:szCs w:val="32"/>
          <w:highlight w:val="none"/>
          <w:lang w:val="en-US" w:eastAsia="zh-CN" w:bidi="ar-SA"/>
        </w:rPr>
        <w:t>51.6</w:t>
      </w:r>
      <w:r>
        <w:rPr>
          <w:rFonts w:hint="eastAsia" w:ascii="Times New Roman" w:hAnsi="Times New Roman" w:eastAsia="仿宋_GB2312" w:cs="仿宋_GB2312"/>
          <w:color w:val="auto"/>
          <w:kern w:val="2"/>
          <w:sz w:val="32"/>
          <w:szCs w:val="32"/>
          <w:highlight w:val="none"/>
          <w:lang w:val="en-US" w:eastAsia="zh-CN" w:bidi="ar-SA"/>
        </w:rPr>
        <w:t>%；社会保障和就业支出2084.77万元，占</w:t>
      </w:r>
      <w:r>
        <w:rPr>
          <w:rFonts w:hint="eastAsia" w:eastAsia="仿宋_GB2312" w:cs="仿宋_GB2312"/>
          <w:color w:val="auto"/>
          <w:kern w:val="2"/>
          <w:sz w:val="32"/>
          <w:szCs w:val="32"/>
          <w:highlight w:val="none"/>
          <w:lang w:val="en-US" w:eastAsia="zh-CN" w:bidi="ar-SA"/>
        </w:rPr>
        <w:t>35.71</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49.9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0.85</w:t>
      </w:r>
      <w:r>
        <w:rPr>
          <w:rFonts w:hint="eastAsia" w:ascii="Times New Roman" w:hAnsi="Times New Roman" w:eastAsia="仿宋_GB2312" w:cs="仿宋_GB2312"/>
          <w:color w:val="auto"/>
          <w:kern w:val="2"/>
          <w:sz w:val="32"/>
          <w:szCs w:val="32"/>
          <w:highlight w:val="none"/>
          <w:lang w:val="en-US" w:eastAsia="zh-CN" w:bidi="ar-SA"/>
        </w:rPr>
        <w:t>%；城乡社区支出</w:t>
      </w:r>
      <w:r>
        <w:rPr>
          <w:rFonts w:hint="eastAsia" w:eastAsia="仿宋_GB2312" w:cs="仿宋_GB2312"/>
          <w:color w:val="auto"/>
          <w:kern w:val="2"/>
          <w:sz w:val="32"/>
          <w:szCs w:val="32"/>
          <w:highlight w:val="none"/>
          <w:lang w:val="en-US" w:eastAsia="zh-CN" w:bidi="ar-SA"/>
        </w:rPr>
        <w:t>30万元，占0.51%；农林水支出593.85万元，占10.17%；</w:t>
      </w:r>
      <w:r>
        <w:rPr>
          <w:rFonts w:hint="eastAsia" w:ascii="Times New Roman" w:hAnsi="Times New Roman" w:eastAsia="仿宋_GB2312" w:cs="仿宋_GB2312"/>
          <w:color w:val="auto"/>
          <w:kern w:val="2"/>
          <w:sz w:val="32"/>
          <w:szCs w:val="32"/>
          <w:highlight w:val="none"/>
          <w:lang w:val="en-US" w:eastAsia="zh-CN" w:bidi="ar-SA"/>
        </w:rPr>
        <w:t>住房保障支出67.07万元，占</w:t>
      </w:r>
      <w:r>
        <w:rPr>
          <w:rFonts w:hint="eastAsia" w:eastAsia="仿宋_GB2312" w:cs="仿宋_GB2312"/>
          <w:color w:val="auto"/>
          <w:kern w:val="2"/>
          <w:sz w:val="32"/>
          <w:szCs w:val="32"/>
          <w:highlight w:val="none"/>
          <w:lang w:val="en-US" w:eastAsia="zh-CN" w:bidi="ar-SA"/>
        </w:rPr>
        <w:t>1.15</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105910" cy="2269490"/>
            <wp:effectExtent l="4445" t="4445" r="23495" b="12065"/>
            <wp:docPr id="1056"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2"/>
        <w:rPr>
          <w:rFonts w:hint="eastAsia"/>
          <w:lang w:val="en-US" w:eastAsia="zh-CN"/>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5"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6" w:name="_Toc15377213"/>
      <w:bookmarkStart w:id="37" w:name="_Toc15378460"/>
      <w:bookmarkStart w:id="38"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一般公共预算支出决算数为5837.79，完成预算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6"/>
      <w:bookmarkEnd w:id="37"/>
      <w:bookmarkEnd w:id="38"/>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1.文化旅游体育与传媒（类）文化和旅游（款）行政运行（项）：支出决算为307.13万元，完成预算100%。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2.文化旅游体育与传媒（类）文化和旅游（款）一般行政管理事务（项）：支出决算为70.72万元，完成预算100%。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3.文化旅游体育与传媒（类）文化和旅游（款）图书馆（项）：支出决算为81.50万元，完成预算100%。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4.文化旅游体育与传媒（类）文化和旅游（款）艺术表演团体（项）：支出决算为309.07万元，完成预算100%。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5.文化旅游体育与传媒（类）文化和旅游（款）文化活动（项）：支出决算为133.82万元，完成预算100%。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6.文化旅游体育与传媒（类）文化和旅游（款）群众文化（项）：支出决算为133.22万元，完成预算100%。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7.文化旅游体育与传媒（类）文化和旅游（款）文化创作与保护（项）：支出决算为25.04万元，完成预算100%。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8.文化旅游体育与传媒（类）文化和旅游（款）旅游宣传（项）：支出决算为265.51万元，完成预算100%。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9.文化旅游体育与传媒（类）文化和旅游（款）其他文化和旅游支出（项）：支出决算为508.13万元，完成预算100%。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10.文化旅游体育与传媒（类）文物（款）文物保护（项）：支出决算为254.82万元，完成预算100%。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11.文化旅游体育与传媒（类）体育（款）体育竞赛（项）：支出决算为146.07万元，完成预算100%。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12.文化旅游体育与传媒（类）体育（款）体育场馆（项）：支出决算为15.00万元，完成预算100%。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13.文化旅游体育与传媒（类）体育（款）群众体育（项）：支出决算为256.21万元，完成预算100%。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14.文化旅游体育与传媒（类）广播电视（款）其他广播电视支出（项）：支出决算为105.76万元，完成预算100%。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15.文化旅游体育与传媒（类）其他文化旅游体育与传媒支出（款）其他文化旅游体育与传媒支出（项）：支出决算为400.20万元，完成预算100%。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16.社会保障和就业（类）行政事业单位养老支出（款）机关事业单位基本养老保险缴费支出（项）：支出决算为92.72万元，完成预算100%。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17.社会保障和就业（类）行政事业单位养老支出（款）机关事业单位职业年金缴费支出（项）：支出决算为60.56万元，完成预算100%。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18.社会保障和就业（类）其他社会保障和就业支出（款）其他社会保障和就业支出（项）：支出决算为1931.49万元，完成预算100%。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19.卫生健康（类）行政事业单位医疗（款）行政单位医疗（项）：支出决算为23.18万元，完成预算100%。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20.卫生健康（类）行政事业单位医疗（款）事业单位医疗（项）：支出决算为16.97万元，完成预算100%。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21.卫生健康（类）行政事业单位医疗（款）公务员医疗补助（项）：支出决算为5.14万元，完成预算100%。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22.卫生健康（类）行政事业单位医疗（款）其他行政事业单位医疗支出（项）：支出决算为4.62万元，完成预算100%。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23.城乡社区（类）城乡社区公共设施（款）其他城乡社区公共设施支出（项）：支出决算为30.00万元，完成预算100%。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24.农林水（类）巩固拓展脱贫攻坚成果衔接乡村振兴（款）农村基础设施建设（项）：支出决算为55.75万元，完成预算100%。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25.农林水（类）巩固拓展脱贫攻坚成果衔接乡村振兴（款）生产发展（项）：支出决算为593.85万元，完成预算100%。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26.住房保障（类）住房改革支出（款）住房公积金（项）：支出决算为67.07万元，完成预算100%。</w:t>
      </w:r>
    </w:p>
    <w:p>
      <w:pPr>
        <w:tabs>
          <w:tab w:val="right" w:pos="8306"/>
        </w:tabs>
        <w:spacing w:line="600" w:lineRule="exact"/>
        <w:ind w:firstLine="640"/>
        <w:outlineLvl w:val="1"/>
        <w:rPr>
          <w:rStyle w:val="30"/>
          <w:rFonts w:ascii="Times New Roman" w:hAnsi="Times New Roman"/>
          <w:color w:val="auto"/>
          <w:highlight w:val="none"/>
        </w:rPr>
      </w:pPr>
      <w:bookmarkStart w:id="39" w:name="_Toc21851"/>
      <w:bookmarkStart w:id="40" w:name="_Toc15377214"/>
      <w:bookmarkStart w:id="41"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9"/>
      <w:bookmarkEnd w:id="40"/>
      <w:bookmarkEnd w:id="41"/>
      <w:r>
        <w:rPr>
          <w:rStyle w:val="30"/>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一般公共预算财政拨款基本支出966.81万元，其中：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879.61</w:t>
      </w:r>
      <w:r>
        <w:rPr>
          <w:rFonts w:hint="eastAsia" w:ascii="Times New Roman" w:hAnsi="Times New Roman" w:eastAsia="仿宋_GB2312" w:cs="仿宋_GB2312"/>
          <w:color w:val="auto"/>
          <w:kern w:val="2"/>
          <w:sz w:val="32"/>
          <w:szCs w:val="32"/>
          <w:highlight w:val="none"/>
          <w:lang w:val="en-US" w:eastAsia="zh-CN" w:bidi="ar-SA"/>
        </w:rPr>
        <w:t>万元，主要包括：</w:t>
      </w:r>
      <w:r>
        <w:rPr>
          <w:rFonts w:hint="eastAsia" w:eastAsia="仿宋_GB2312" w:cs="仿宋_GB2312"/>
          <w:color w:val="auto"/>
          <w:kern w:val="2"/>
          <w:sz w:val="32"/>
          <w:szCs w:val="32"/>
          <w:highlight w:val="none"/>
          <w:lang w:val="en-US" w:eastAsia="zh-CN" w:bidi="ar-SA"/>
        </w:rPr>
        <w:t>基本</w:t>
      </w:r>
      <w:r>
        <w:rPr>
          <w:rFonts w:hint="eastAsia" w:ascii="Times New Roman" w:hAnsi="Times New Roman" w:eastAsia="仿宋_GB2312" w:cs="仿宋_GB2312"/>
          <w:color w:val="auto"/>
          <w:kern w:val="2"/>
          <w:sz w:val="32"/>
          <w:szCs w:val="32"/>
          <w:highlight w:val="none"/>
          <w:lang w:val="en-US" w:eastAsia="zh-CN" w:bidi="ar-SA"/>
        </w:rPr>
        <w:t>工资、津贴补贴、奖金、伙食补助费、绩效工资、机关事业单位基本养老保险缴费、职业年金缴费、职工基本医疗保险缴费、公务员医疗补助缴费、其他社会保障缴费、住房公积金、医疗费、其他工资福利支出、离休费、抚恤金、生活补助、医疗费补助、奖励金、其他对个人和家庭的补助支出。</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87.2</w:t>
      </w:r>
      <w:r>
        <w:rPr>
          <w:rFonts w:hint="eastAsia" w:ascii="Times New Roman" w:hAnsi="Times New Roman" w:eastAsia="仿宋_GB2312" w:cs="仿宋_GB2312"/>
          <w:color w:val="auto"/>
          <w:kern w:val="2"/>
          <w:sz w:val="32"/>
          <w:szCs w:val="32"/>
          <w:highlight w:val="none"/>
          <w:lang w:val="en-US" w:eastAsia="zh-CN" w:bidi="ar-SA"/>
        </w:rPr>
        <w:t>万元，主要包括：办公费、印刷费、手续费、水费、电费、邮电费、取暖费、物业管理费、差旅费、因公出国（境）费用、维修（护）费、租赁费、会议费、培训费、公务接待费、劳务费、委托业务费、工会经费、福利费、公务用车运行维护费、其他交通费、税金及附加费用、其他商品和服务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outlineLvl w:val="1"/>
        <w:rPr>
          <w:rStyle w:val="30"/>
          <w:rFonts w:ascii="Times New Roman" w:hAnsi="Times New Roman" w:eastAsia="黑体"/>
          <w:b w:val="0"/>
          <w:color w:val="auto"/>
          <w:highlight w:val="none"/>
        </w:rPr>
      </w:pPr>
      <w:bookmarkStart w:id="42" w:name="_Toc27230"/>
      <w:bookmarkStart w:id="43" w:name="_Toc15396609"/>
      <w:bookmarkStart w:id="44"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42"/>
      <w:bookmarkEnd w:id="43"/>
      <w:bookmarkEnd w:id="44"/>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5"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7.99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99.875</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102.46</w:t>
      </w:r>
      <w:r>
        <w:rPr>
          <w:rFonts w:hint="eastAsia" w:ascii="Times New Roman" w:hAnsi="Times New Roman" w:eastAsia="仿宋_GB2312" w:cs="仿宋_GB2312"/>
          <w:color w:val="auto"/>
          <w:kern w:val="2"/>
          <w:sz w:val="32"/>
          <w:szCs w:val="32"/>
          <w:highlight w:val="none"/>
          <w:lang w:val="en-US" w:eastAsia="zh-CN" w:bidi="ar-SA"/>
        </w:rPr>
        <w:t>%。决算数</w:t>
      </w:r>
      <w:r>
        <w:rPr>
          <w:rFonts w:hint="eastAsia" w:eastAsia="仿宋_GB2312" w:cs="仿宋_GB2312"/>
          <w:color w:val="auto"/>
          <w:kern w:val="2"/>
          <w:sz w:val="32"/>
          <w:szCs w:val="32"/>
          <w:highlight w:val="none"/>
          <w:lang w:val="en-US" w:eastAsia="zh-CN" w:bidi="ar-SA"/>
        </w:rPr>
        <w:t>小于</w:t>
      </w:r>
      <w:r>
        <w:rPr>
          <w:rFonts w:hint="eastAsia" w:ascii="Times New Roman" w:hAnsi="Times New Roman" w:eastAsia="仿宋_GB2312" w:cs="仿宋_GB2312"/>
          <w:color w:val="auto"/>
          <w:kern w:val="2"/>
          <w:sz w:val="32"/>
          <w:szCs w:val="32"/>
          <w:highlight w:val="none"/>
          <w:lang w:val="en-US" w:eastAsia="zh-CN" w:bidi="ar-SA"/>
        </w:rPr>
        <w:t>预算数的主要原因是</w:t>
      </w:r>
      <w:r>
        <w:rPr>
          <w:rFonts w:hint="eastAsia" w:eastAsia="仿宋_GB2312" w:cs="仿宋_GB2312"/>
          <w:color w:val="auto"/>
          <w:kern w:val="2"/>
          <w:sz w:val="32"/>
          <w:szCs w:val="32"/>
          <w:highlight w:val="none"/>
          <w:lang w:val="en-US" w:eastAsia="zh-CN" w:bidi="ar-SA"/>
        </w:rPr>
        <w:t>用于公务用车</w:t>
      </w:r>
      <w:r>
        <w:rPr>
          <w:rFonts w:hint="eastAsia" w:ascii="Times New Roman" w:hAnsi="Times New Roman" w:eastAsia="仿宋_GB2312" w:cs="仿宋_GB2312"/>
          <w:color w:val="auto"/>
          <w:kern w:val="2"/>
          <w:sz w:val="32"/>
          <w:szCs w:val="32"/>
          <w:highlight w:val="none"/>
          <w:lang w:val="en-US" w:eastAsia="zh-CN" w:bidi="ar-SA"/>
        </w:rPr>
        <w:t>运行维护费支出未达8万元。</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6"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7.99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rPr>
          <w:rFonts w:hint="eastAsia"/>
          <w:lang w:val="en-US" w:eastAsia="zh-CN"/>
        </w:rPr>
      </w:pPr>
      <w:r>
        <w:drawing>
          <wp:inline distT="0" distB="0" distL="114300" distR="114300">
            <wp:extent cx="4219575" cy="2494915"/>
            <wp:effectExtent l="4445" t="4445" r="5080" b="15240"/>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7.99</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99.875</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102.46</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本年活动增加，公务用车</w:t>
      </w:r>
      <w:r>
        <w:rPr>
          <w:rFonts w:hint="eastAsia" w:ascii="Times New Roman" w:hAnsi="Times New Roman" w:eastAsia="仿宋_GB2312" w:cs="仿宋_GB2312"/>
          <w:color w:val="auto"/>
          <w:kern w:val="2"/>
          <w:sz w:val="32"/>
          <w:szCs w:val="32"/>
          <w:highlight w:val="none"/>
          <w:lang w:val="en-US" w:eastAsia="zh-CN" w:bidi="ar-SA"/>
        </w:rPr>
        <w:t>运行维护费增加。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辆，其中：越野车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7.99</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驾驶员送领导及其他人员开展工作</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7" w:name="_Toc15377218"/>
      <w:bookmarkStart w:id="48" w:name="_Toc15396610"/>
    </w:p>
    <w:p>
      <w:pPr>
        <w:spacing w:line="600" w:lineRule="exact"/>
        <w:ind w:firstLine="640"/>
        <w:outlineLvl w:val="1"/>
        <w:rPr>
          <w:rStyle w:val="30"/>
          <w:rFonts w:ascii="Times New Roman" w:hAnsi="Times New Roman" w:eastAsia="黑体"/>
          <w:color w:val="auto"/>
          <w:highlight w:val="none"/>
        </w:rPr>
      </w:pPr>
      <w:bookmarkStart w:id="49" w:name="_Toc11945"/>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7"/>
      <w:bookmarkEnd w:id="48"/>
      <w:bookmarkEnd w:id="49"/>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政府性基金预算财政拨款支出642.91万元，占本年支出合计的</w:t>
      </w:r>
      <w:r>
        <w:rPr>
          <w:rFonts w:hint="eastAsia" w:eastAsia="仿宋_GB2312" w:cs="仿宋_GB2312"/>
          <w:color w:val="auto"/>
          <w:kern w:val="2"/>
          <w:sz w:val="32"/>
          <w:szCs w:val="32"/>
          <w:highlight w:val="none"/>
          <w:lang w:val="en-US" w:eastAsia="zh-CN" w:bidi="ar-SA"/>
        </w:rPr>
        <w:t>9.92</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年度相比，政府性基金预算财政拨款支出增加642.91万元，增长</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增加</w:t>
      </w:r>
      <w:r>
        <w:rPr>
          <w:rFonts w:hint="eastAsia" w:ascii="Times New Roman" w:hAnsi="Times New Roman" w:eastAsia="仿宋_GB2312" w:cs="仿宋_GB2312"/>
          <w:color w:val="auto"/>
          <w:kern w:val="2"/>
          <w:sz w:val="32"/>
          <w:szCs w:val="32"/>
          <w:highlight w:val="none"/>
          <w:lang w:val="en-US" w:eastAsia="zh-CN" w:bidi="ar-SA"/>
        </w:rPr>
        <w:t>2023年壤塘县吾伊乡克久旅游基础建设项目</w:t>
      </w:r>
      <w:r>
        <w:rPr>
          <w:rFonts w:hint="eastAsia" w:eastAsia="仿宋_GB2312" w:cs="仿宋_GB2312"/>
          <w:color w:val="auto"/>
          <w:kern w:val="2"/>
          <w:sz w:val="32"/>
          <w:szCs w:val="32"/>
          <w:highlight w:val="none"/>
          <w:lang w:val="en-US" w:eastAsia="zh-CN" w:bidi="ar-SA"/>
        </w:rPr>
        <w:t>及彩票公益金支出。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50" w:name="_Toc15396611"/>
      <w:bookmarkStart w:id="51" w:name="_Toc18877"/>
      <w:bookmarkStart w:id="52"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50"/>
      <w:bookmarkEnd w:id="51"/>
      <w:bookmarkEnd w:id="5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年度相比，国有资本经营预算财政拨款支出与上年持平。</w:t>
      </w:r>
    </w:p>
    <w:p>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53" w:name="_Toc15396612"/>
      <w:bookmarkStart w:id="54" w:name="_Toc15377221"/>
      <w:bookmarkStart w:id="55" w:name="_Toc10963"/>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53"/>
      <w:bookmarkEnd w:id="54"/>
      <w:bookmarkEnd w:id="55"/>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6" w:name="_Toc15377222"/>
      <w:r>
        <w:rPr>
          <w:rFonts w:hint="eastAsia" w:ascii="Times New Roman" w:hAnsi="Times New Roman" w:eastAsia="楷体_GB2312" w:cs="楷体_GB2312"/>
          <w:b/>
          <w:color w:val="auto"/>
          <w:sz w:val="32"/>
          <w:szCs w:val="32"/>
          <w:highlight w:val="none"/>
        </w:rPr>
        <w:t>（一）机关运行经费支出情况</w:t>
      </w:r>
      <w:bookmarkEnd w:id="56"/>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壤塘县文化广播电视体育和旅游局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30.9</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8.2</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20.93</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 xml:space="preserve">机关运行所需经费减少。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7" w:name="_Toc15377223"/>
      <w:r>
        <w:rPr>
          <w:rFonts w:hint="eastAsia" w:ascii="Times New Roman" w:hAnsi="Times New Roman" w:eastAsia="楷体_GB2312" w:cs="楷体_GB2312"/>
          <w:b/>
          <w:color w:val="auto"/>
          <w:sz w:val="32"/>
          <w:szCs w:val="32"/>
          <w:highlight w:val="none"/>
        </w:rPr>
        <w:t>（二）政府采购支出情况</w:t>
      </w:r>
      <w:bookmarkEnd w:id="5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壤塘县文化广播电视体育和旅游局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469.7</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38.1</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431.6</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2025年壤巴拉北京行活动</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eastAsia="仿宋_GB2312" w:cs="仿宋_GB2312"/>
          <w:color w:val="auto"/>
          <w:kern w:val="2"/>
          <w:sz w:val="32"/>
          <w:szCs w:val="32"/>
          <w:highlight w:val="none"/>
          <w:lang w:val="en-US" w:eastAsia="zh-CN" w:bidi="ar-SA"/>
        </w:rPr>
        <w:t>38.1</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1.88</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38.1</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1.88</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8" w:name="_Toc15377224"/>
      <w:r>
        <w:rPr>
          <w:rFonts w:hint="eastAsia" w:ascii="Times New Roman" w:hAnsi="Times New Roman" w:eastAsia="楷体_GB2312" w:cs="楷体_GB2312"/>
          <w:b/>
          <w:color w:val="auto"/>
          <w:sz w:val="32"/>
          <w:szCs w:val="32"/>
          <w:highlight w:val="none"/>
        </w:rPr>
        <w:t>（三）国有资产占有使用情况</w:t>
      </w:r>
      <w:bookmarkEnd w:id="5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截至</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壤塘县文化广播电视体育和旅游局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单位日常开展使用。</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壤塘县文化广播电视体育和旅游局</w:t>
      </w:r>
      <w:r>
        <w:rPr>
          <w:rFonts w:hint="eastAsia" w:ascii="Times New Roman" w:hAnsi="Times New Roman" w:eastAsia="仿宋_GB2312" w:cs="仿宋_GB2312"/>
          <w:color w:val="auto"/>
          <w:kern w:val="2"/>
          <w:sz w:val="32"/>
          <w:szCs w:val="32"/>
          <w:highlight w:val="none"/>
          <w:lang w:val="en-US" w:eastAsia="zh-CN" w:bidi="ar-SA"/>
        </w:rPr>
        <w:t>在2025年度，组织对壤塘县岗木达镇章光村农旅融合发展项目等</w:t>
      </w:r>
      <w:r>
        <w:rPr>
          <w:rFonts w:hint="eastAsia" w:eastAsia="仿宋_GB2312" w:cs="仿宋_GB2312"/>
          <w:color w:val="auto"/>
          <w:kern w:val="2"/>
          <w:sz w:val="32"/>
          <w:szCs w:val="32"/>
          <w:highlight w:val="none"/>
          <w:lang w:val="en-US" w:eastAsia="zh-CN" w:bidi="ar-SA"/>
        </w:rPr>
        <w:t>三</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1038</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壤塘</w:t>
      </w:r>
      <w:r>
        <w:rPr>
          <w:rFonts w:hint="eastAsia" w:ascii="Times New Roman" w:hAnsi="Times New Roman" w:eastAsia="仿宋_GB2312" w:cs="仿宋_GB2312"/>
          <w:color w:val="auto"/>
          <w:kern w:val="2"/>
          <w:sz w:val="32"/>
          <w:szCs w:val="32"/>
          <w:highlight w:val="none"/>
          <w:lang w:val="en-US" w:eastAsia="zh-CN" w:bidi="ar-SA"/>
        </w:rPr>
        <w:t>县岗木达镇章光村农旅融合发展项目3个项目编制了绩效目标，预算执行过程中，选取</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组织对2025年度一般公共预算、政府性基金预算全面开展绩效自评，形成</w:t>
      </w:r>
      <w:r>
        <w:rPr>
          <w:rFonts w:hint="eastAsia" w:eastAsia="仿宋_GB2312" w:cs="仿宋_GB2312"/>
          <w:color w:val="auto"/>
          <w:kern w:val="2"/>
          <w:sz w:val="32"/>
          <w:szCs w:val="32"/>
          <w:highlight w:val="none"/>
          <w:lang w:val="en-US" w:eastAsia="zh-CN" w:bidi="ar-SA"/>
        </w:rPr>
        <w:t>壤塘县文化广播电视体育和旅游局</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部门预算（含部门预算项目）绩效自评报告）、专项预算项目绩效自评报告，其中，</w:t>
      </w:r>
      <w:r>
        <w:rPr>
          <w:rFonts w:hint="eastAsia" w:eastAsia="仿宋_GB2312" w:cs="仿宋_GB2312"/>
          <w:color w:val="auto"/>
          <w:kern w:val="2"/>
          <w:sz w:val="32"/>
          <w:szCs w:val="32"/>
          <w:highlight w:val="none"/>
          <w:lang w:val="en-US" w:eastAsia="zh-CN" w:bidi="ar-SA"/>
        </w:rPr>
        <w:t>壤塘县文化广播电视体育和旅游局</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部门预算（含部门预算项目）绩效自评得分为</w:t>
      </w:r>
      <w:r>
        <w:rPr>
          <w:rFonts w:hint="eastAsia" w:eastAsia="仿宋_GB2312" w:cs="仿宋_GB2312"/>
          <w:color w:val="auto"/>
          <w:kern w:val="2"/>
          <w:sz w:val="32"/>
          <w:szCs w:val="32"/>
          <w:highlight w:val="none"/>
          <w:lang w:val="en-US" w:eastAsia="zh-CN" w:bidi="ar-SA"/>
        </w:rPr>
        <w:t>87</w:t>
      </w:r>
      <w:r>
        <w:rPr>
          <w:rFonts w:hint="eastAsia" w:ascii="Times New Roman" w:hAnsi="Times New Roman" w:eastAsia="仿宋_GB2312" w:cs="仿宋_GB2312"/>
          <w:color w:val="auto"/>
          <w:kern w:val="2"/>
          <w:sz w:val="32"/>
          <w:szCs w:val="32"/>
          <w:highlight w:val="none"/>
          <w:lang w:val="en-US" w:eastAsia="zh-CN" w:bidi="ar-SA"/>
        </w:rPr>
        <w:t>分；</w:t>
      </w:r>
      <w:r>
        <w:rPr>
          <w:rFonts w:hint="eastAsia" w:eastAsia="仿宋_GB2312" w:cs="仿宋_GB2312"/>
          <w:color w:val="auto"/>
          <w:kern w:val="2"/>
          <w:sz w:val="32"/>
          <w:szCs w:val="32"/>
          <w:highlight w:val="none"/>
          <w:lang w:val="en-US" w:eastAsia="zh-CN" w:bidi="ar-SA"/>
        </w:rPr>
        <w:t>壤塘县文化广播电视体育和旅游局</w:t>
      </w:r>
      <w:r>
        <w:rPr>
          <w:rFonts w:hint="eastAsia" w:ascii="Times New Roman" w:hAnsi="Times New Roman" w:eastAsia="仿宋_GB2312" w:cs="仿宋_GB2312"/>
          <w:color w:val="auto"/>
          <w:kern w:val="2"/>
          <w:sz w:val="32"/>
          <w:szCs w:val="32"/>
          <w:highlight w:val="none"/>
          <w:lang w:val="en-US" w:eastAsia="zh-CN" w:bidi="ar-SA"/>
        </w:rPr>
        <w:t>专项预算项目绩效自评</w:t>
      </w:r>
      <w:r>
        <w:rPr>
          <w:rFonts w:hint="eastAsia" w:eastAsia="仿宋_GB2312" w:cs="仿宋_GB2312"/>
          <w:color w:val="auto"/>
          <w:kern w:val="2"/>
          <w:sz w:val="32"/>
          <w:szCs w:val="32"/>
          <w:highlight w:val="none"/>
          <w:lang w:val="en-US" w:eastAsia="zh-CN" w:bidi="ar-SA"/>
        </w:rPr>
        <w:t>选取壤塘</w:t>
      </w:r>
      <w:r>
        <w:rPr>
          <w:rFonts w:hint="eastAsia" w:ascii="Times New Roman" w:hAnsi="Times New Roman" w:eastAsia="仿宋_GB2312" w:cs="仿宋_GB2312"/>
          <w:color w:val="auto"/>
          <w:kern w:val="2"/>
          <w:sz w:val="32"/>
          <w:szCs w:val="32"/>
          <w:highlight w:val="none"/>
          <w:lang w:val="en-US" w:eastAsia="zh-CN" w:bidi="ar-SA"/>
        </w:rPr>
        <w:t>县岗木达镇章光村农旅融合发展项</w:t>
      </w:r>
      <w:r>
        <w:rPr>
          <w:rFonts w:hint="eastAsia" w:eastAsia="仿宋_GB2312" w:cs="仿宋_GB2312"/>
          <w:color w:val="auto"/>
          <w:kern w:val="2"/>
          <w:sz w:val="32"/>
          <w:szCs w:val="32"/>
          <w:highlight w:val="none"/>
          <w:lang w:val="en-US" w:eastAsia="zh-CN" w:bidi="ar-SA"/>
        </w:rPr>
        <w:t>目</w:t>
      </w:r>
      <w:r>
        <w:rPr>
          <w:rFonts w:hint="eastAsia" w:ascii="Times New Roman" w:hAnsi="Times New Roman" w:eastAsia="仿宋_GB2312" w:cs="仿宋_GB2312"/>
          <w:color w:val="auto"/>
          <w:kern w:val="2"/>
          <w:sz w:val="32"/>
          <w:szCs w:val="32"/>
          <w:highlight w:val="none"/>
          <w:lang w:val="en-US" w:eastAsia="zh-CN" w:bidi="ar-SA"/>
        </w:rPr>
        <w:t>得分为</w:t>
      </w:r>
      <w:r>
        <w:rPr>
          <w:rFonts w:hint="eastAsia" w:eastAsia="仿宋_GB2312" w:cs="仿宋_GB2312"/>
          <w:color w:val="auto"/>
          <w:kern w:val="2"/>
          <w:sz w:val="32"/>
          <w:szCs w:val="32"/>
          <w:highlight w:val="none"/>
          <w:lang w:val="en-US" w:eastAsia="zh-CN" w:bidi="ar-SA"/>
        </w:rPr>
        <w:t>94</w:t>
      </w:r>
      <w:r>
        <w:rPr>
          <w:rFonts w:hint="eastAsia" w:ascii="Times New Roman" w:hAnsi="Times New Roman" w:eastAsia="仿宋_GB2312" w:cs="仿宋_GB2312"/>
          <w:color w:val="auto"/>
          <w:kern w:val="2"/>
          <w:sz w:val="32"/>
          <w:szCs w:val="32"/>
          <w:highlight w:val="none"/>
          <w:lang w:val="en-US" w:eastAsia="zh-CN" w:bidi="ar-SA"/>
        </w:rPr>
        <w:t>分，绩效自评报告详见附件。</w:t>
      </w: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9" w:name="_Toc15377225"/>
      <w:bookmarkStart w:id="60" w:name="_Toc15396613"/>
      <w:bookmarkStart w:id="61" w:name="_Toc29196"/>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9"/>
      <w:bookmarkEnd w:id="60"/>
      <w:bookmarkEnd w:id="61"/>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2.使用非财政拨款结余（含专用结余）：指事业单位使用以前年度积累的非财政拨款结余弥补当年收支差额的金额。</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3.年初结转和结余：指以前年度尚未完成、结转到本年按有关规定继续使用的资金。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4.结余分配：指事业单位按照会计制度规定缴纳的所得税、提取的专用结余以及转入非财政拨款结余的金额等。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5.年末结转和结余：指单位按有关规定结转到下年或以后年度继续使用的资金。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6.文化旅游体育与传媒（类）文化和旅游（款）行政运行（项）：指本单位行政机构正常运转、开展日常行政管理工作的基本支出，包括人员经费、公用经费等。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7.文化旅游体育与传媒（类）文化和旅游（款）一般行政管理事务（项）：指本单位未单独设置项级科目的其他项目支出。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8.文化旅游体育与传媒（类）文化和旅游（款）图书馆（项）：指用于图书馆运行维护、文献采购、读者服务、阅读推广等公共图书馆方面的支出。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9.文化旅游体育与传媒（类）文化和旅游（款）艺术表演团体（项）：指用于艺术表演团体业务开展、剧目创作、演出保障等方面的支出。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10.文化旅游体育与传媒（类）文化和旅游（款）文化活动（项）：指用于开展群众文化展演、展览、文化下乡、文艺赛事等公益性文化活动的支出。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11.文化旅游体育与传媒（类）文化和旅游（款）群众文化（项）：指用于文化馆、文化站业务运转、基层群众文化服务、群众文艺辅导等方面的支出。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12.文化旅游体育与传媒（类）文化和旅游（款）文化创作与保护（项）：指用于非遗保护、文艺作品创作、地方文化资源挖掘保护等方面的支出。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13.文化旅游体育与传媒（类）文化和旅游（款）旅游宣传（项）：指用于旅游品牌打造、文旅宣传推广、旅游推介活动、文旅资源包装宣传等支出。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14.文化旅游体育与传媒（类）文化和旅游（款）其他文化和旅游支出（项）：指除上述项目以外其他用于文化和旅游方面的支出。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15.文化旅游体育与传媒（类）文物（款）文物保护（项）：指用于文物保护修缮、文物安全巡查、文物普查、文物展示利用等文物保护相关支出。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16.文化旅游体育与传媒（类）体育（款）体育竞赛（项）：指用于各类体育赛事组织举办、赛事保障等方面的支出。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17.文化旅游体育与传媒（类）体育（款）体育场馆（项）：指用于公共体育场馆运行维护、场馆设施修缮等方面的支出。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18.文化旅游体育与传媒（类）体育（款）群众体育（项）：指用于全民健身推广、群众体育活动开展、社会体育指导等方面支出。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19.文化旅游体育与传媒（类）广播电视（款）其他广播电视支出（项）：指除上述项目以外其他用于广播电视方面的支出。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20.文化旅游体育与传媒（类）其他文化旅游体育与传媒支出（款）其他文化旅游体育与传媒支出（项）：指除上述项目以外其他用于文化旅游体育与传媒方面的支出。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21.社会保障和就业（类）行政事业单位养老支出（款）机关事业单位基本养老保险缴费支出（项）：指单位为在职职工缴纳的基本养老保险单位缴费部分支出。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22.社会保障和就业（类）行政事业单位养老支出（款）机关事业单位职业年金缴费支出（项）：指单位为在职职工缴纳的职业年金单位缴费部分支出。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23.社会保障和就业（类）其他社会保障和就业支出（款）其他社会保障和就业支出（项）：指除上述项目以外其他用于社会保障和就业方面的支出。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24.卫生健康（类）行政事业单位医疗（款）行政单位医疗（项）：指财政部门安排的行政单位在职及离退休人员基本医疗保险缴费经费。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25.卫生健康（类）行政事业单位医疗（款）事业单位医疗（项）：指财政部门安排的事业单位在职人员基本医疗保险缴费经费。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26.卫生健康（类）行政事业单位医疗（款）公务员医疗补助（项）：指财政安排用于公务员医疗补助的经费支出。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27.卫生健康（类）其他行政事业单位医疗支出（款）其他行政事业单位医疗支出（项）：指除上述项目以外其他行政事业单位医疗方面的支出。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28.城乡社区（类）城乡社区公共设施（款）其他城乡社区公共设施支出（项）：指用于城乡社区公共设施建设、维护，除专门项级科目以外的社区公共设施相关支出。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29.农林水（类）</w:t>
      </w:r>
      <w:r>
        <w:rPr>
          <w:rFonts w:hint="eastAsia" w:eastAsia="仿宋_GB2312" w:cs="仿宋_GB2312"/>
          <w:color w:val="auto"/>
          <w:kern w:val="2"/>
          <w:sz w:val="32"/>
          <w:szCs w:val="32"/>
          <w:highlight w:val="none"/>
          <w:lang w:val="en-US" w:eastAsia="zh-CN" w:bidi="ar-SA"/>
        </w:rPr>
        <w:t>巩固拓展脱贫攻坚成果</w:t>
      </w:r>
      <w:r>
        <w:rPr>
          <w:rFonts w:hint="eastAsia" w:ascii="Times New Roman" w:hAnsi="Times New Roman" w:eastAsia="仿宋_GB2312" w:cs="仿宋_GB2312"/>
          <w:color w:val="auto"/>
          <w:kern w:val="2"/>
          <w:sz w:val="32"/>
          <w:szCs w:val="32"/>
          <w:highlight w:val="none"/>
          <w:lang w:val="en-US" w:eastAsia="zh-CN" w:bidi="ar-SA"/>
        </w:rPr>
        <w:t>衔接乡村振兴（款）农村基础设施建设（项）：指用于农村公共服务设施、人居环境整治、乡村基础设施建设运维方面的支出。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30.农林水（类）</w:t>
      </w:r>
      <w:r>
        <w:rPr>
          <w:rFonts w:hint="eastAsia" w:eastAsia="仿宋_GB2312" w:cs="仿宋_GB2312"/>
          <w:color w:val="auto"/>
          <w:kern w:val="2"/>
          <w:sz w:val="32"/>
          <w:szCs w:val="32"/>
          <w:highlight w:val="none"/>
          <w:lang w:val="en-US" w:eastAsia="zh-CN" w:bidi="ar-SA"/>
        </w:rPr>
        <w:t>巩固拓展脱贫攻坚成果</w:t>
      </w:r>
      <w:r>
        <w:rPr>
          <w:rFonts w:hint="eastAsia" w:ascii="Times New Roman" w:hAnsi="Times New Roman" w:eastAsia="仿宋_GB2312" w:cs="仿宋_GB2312"/>
          <w:color w:val="auto"/>
          <w:kern w:val="2"/>
          <w:sz w:val="32"/>
          <w:szCs w:val="32"/>
          <w:highlight w:val="none"/>
          <w:lang w:val="en-US" w:eastAsia="zh-CN" w:bidi="ar-SA"/>
        </w:rPr>
        <w:t>衔接乡村振兴（款）生产发展（项）：指用于乡村产业发展、集体经济扶持、农牧产业配套建设等乡村振兴产业发展相关支出。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31.住房保障（类）住房改革支出（款）住房公积金（项）：指按国家规定为在职职工缴纳的住房公积金单位配套部分支出。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33.项目支出：指在基本支出之外为完成特定行政任务和事业发展目标所发生的支出。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34.经营支出：指事业单位在专业业务活动及其辅助活动之外开展非独立核算经营活动发生的支出。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35.“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36.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outlineLvl w:val="0"/>
        <w:rPr>
          <w:rStyle w:val="29"/>
          <w:rFonts w:hint="eastAsia" w:ascii="Times New Roman" w:hAnsi="Times New Roman" w:eastAsia="黑体"/>
          <w:b w:val="0"/>
          <w:color w:val="auto"/>
          <w:highlight w:val="none"/>
          <w:lang w:eastAsia="zh-CN"/>
        </w:rPr>
      </w:pPr>
      <w:bookmarkStart w:id="62"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63" w:name="_Toc6305"/>
      <w:bookmarkStart w:id="64"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3"/>
      <w:bookmarkEnd w:id="64"/>
    </w:p>
    <w:p>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bookmarkStart w:id="65" w:name="_Toc15639"/>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65"/>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eastAsia" w:eastAsia="方正小标宋简体" w:cs="Times New Roman"/>
          <w:b w:val="0"/>
          <w:bCs/>
          <w:sz w:val="44"/>
          <w:szCs w:val="44"/>
          <w:highlight w:val="none"/>
          <w:shd w:val="clear" w:color="auto" w:fill="FFFFFF"/>
          <w:lang w:eastAsia="zh-CN"/>
        </w:rPr>
        <w:t>壤塘县文化广播电视体育和旅游局</w:t>
      </w: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p>
    <w:p>
      <w:pPr>
        <w:pStyle w:val="2"/>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  内设综合办公室、文化旅游股、广电体育股。</w:t>
      </w:r>
    </w:p>
    <w:p>
      <w:pPr>
        <w:spacing w:line="560" w:lineRule="exact"/>
        <w:ind w:firstLine="642" w:firstLineChars="200"/>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1</w:t>
      </w:r>
      <w:r>
        <w:rPr>
          <w:rFonts w:hint="eastAsia" w:ascii="仿宋" w:hAnsi="仿宋" w:eastAsia="仿宋" w:cs="仿宋"/>
          <w:sz w:val="32"/>
          <w:szCs w:val="32"/>
        </w:rPr>
        <w:t>）贯彻落实党和国家关于文化、体育、旅游的方针政策和省委、州委、县委的决策部署，拟订文化、体育和旅游政策措施，起草文化、体育和旅游地方性法规、规章草案，负责本部门依法行政工作。</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2</w:t>
      </w:r>
      <w:r>
        <w:rPr>
          <w:rFonts w:hint="eastAsia" w:ascii="仿宋" w:hAnsi="仿宋" w:eastAsia="仿宋" w:cs="仿宋"/>
          <w:sz w:val="32"/>
          <w:szCs w:val="32"/>
        </w:rPr>
        <w:t>）组织推动全县文化、体育事业产业和旅游业发展，</w:t>
      </w:r>
      <w:r>
        <w:rPr>
          <w:rFonts w:hint="eastAsia" w:ascii="仿宋" w:hAnsi="仿宋" w:eastAsia="仿宋" w:cs="仿宋"/>
          <w:sz w:val="32"/>
          <w:szCs w:val="32"/>
          <w:lang w:eastAsia="zh-CN"/>
        </w:rPr>
        <w:t>推进</w:t>
      </w:r>
      <w:r>
        <w:rPr>
          <w:rFonts w:hint="eastAsia" w:ascii="仿宋" w:hAnsi="仿宋" w:eastAsia="仿宋" w:cs="仿宋"/>
          <w:sz w:val="32"/>
          <w:szCs w:val="32"/>
        </w:rPr>
        <w:t>文化、体育和旅游产业融合发展，促进文化、体育和旅游与相关产业融合发展。</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3</w:t>
      </w:r>
      <w:r>
        <w:rPr>
          <w:rFonts w:hint="eastAsia" w:ascii="仿宋" w:hAnsi="仿宋" w:eastAsia="仿宋" w:cs="仿宋"/>
          <w:sz w:val="32"/>
          <w:szCs w:val="32"/>
        </w:rPr>
        <w:t>）指导管理文艺事业，把握正确的创作导向，推动文化艺术创作生产，扶持体现社会主义核心价值观、具有导向性代表性示范性的文化艺术作品，推动各门类艺术、各艺术品种发展，推动中华优秀传统文化和壤塘本地特色文化传承发展。</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4</w:t>
      </w:r>
      <w:r>
        <w:rPr>
          <w:rFonts w:hint="eastAsia" w:ascii="仿宋" w:hAnsi="仿宋" w:eastAsia="仿宋" w:cs="仿宋"/>
          <w:sz w:val="32"/>
          <w:szCs w:val="32"/>
        </w:rPr>
        <w:t>）负责公共文化、体育事业发展，推进全县</w:t>
      </w:r>
      <w:r>
        <w:rPr>
          <w:rFonts w:hint="eastAsia" w:ascii="仿宋" w:hAnsi="仿宋" w:eastAsia="仿宋" w:cs="仿宋"/>
          <w:sz w:val="32"/>
          <w:szCs w:val="32"/>
          <w:lang w:eastAsia="zh-CN"/>
        </w:rPr>
        <w:t>公共文化服务体系</w:t>
      </w:r>
      <w:r>
        <w:rPr>
          <w:rFonts w:hint="eastAsia" w:ascii="仿宋" w:hAnsi="仿宋" w:eastAsia="仿宋" w:cs="仿宋"/>
          <w:sz w:val="32"/>
          <w:szCs w:val="32"/>
        </w:rPr>
        <w:t>建设和旅游公共服务建设，深入实施惠民工程，统筹推进文化、体育、旅游基本公共服务标准化、均等化。</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5</w:t>
      </w:r>
      <w:r>
        <w:rPr>
          <w:rFonts w:hint="eastAsia" w:ascii="仿宋" w:hAnsi="仿宋" w:eastAsia="仿宋" w:cs="仿宋"/>
          <w:sz w:val="32"/>
          <w:szCs w:val="32"/>
        </w:rPr>
        <w:t>）推进文化、体育和旅游科技创新，推进文化、体育和旅游行业信息化、标准化建设。</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6</w:t>
      </w:r>
      <w:r>
        <w:rPr>
          <w:rFonts w:hint="eastAsia" w:ascii="仿宋" w:hAnsi="仿宋" w:eastAsia="仿宋" w:cs="仿宋"/>
          <w:sz w:val="32"/>
          <w:szCs w:val="32"/>
        </w:rPr>
        <w:t>）负责非物质文化遗产保护工作，推动非物质文化遗产的保护、传承、普及、弘扬和振兴，履行文物行政督察职能，负责世界文化遗产保护和管理监督工作，组织开展世界文化与自然遗产、历史文化名城（镇、村）申报和监督管理工作，负责推动完善文物和博物馆公共服务体系建设。</w:t>
      </w:r>
    </w:p>
    <w:p>
      <w:pPr>
        <w:spacing w:line="560" w:lineRule="exact"/>
        <w:ind w:firstLine="640" w:firstLineChars="200"/>
        <w:rPr>
          <w:rFonts w:hint="eastAsia" w:ascii="仿宋" w:hAnsi="仿宋" w:eastAsia="仿宋" w:cs="仿宋"/>
          <w:color w:val="000000"/>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7</w:t>
      </w:r>
      <w:r>
        <w:rPr>
          <w:rFonts w:hint="eastAsia" w:ascii="仿宋" w:hAnsi="仿宋" w:eastAsia="仿宋" w:cs="仿宋"/>
          <w:sz w:val="32"/>
          <w:szCs w:val="32"/>
        </w:rPr>
        <w:t>）推动全县群众体育、竞技体育和青少年（学校）体育工作发展规划实施，推行全民健身计划，推动建立和</w:t>
      </w:r>
      <w:r>
        <w:rPr>
          <w:rFonts w:hint="eastAsia" w:ascii="仿宋" w:hAnsi="仿宋" w:eastAsia="仿宋" w:cs="仿宋"/>
          <w:sz w:val="32"/>
          <w:szCs w:val="32"/>
          <w:lang w:eastAsia="zh-CN"/>
        </w:rPr>
        <w:t>完善全民健身公共服务体系</w:t>
      </w:r>
      <w:r>
        <w:rPr>
          <w:rFonts w:hint="eastAsia" w:ascii="仿宋" w:hAnsi="仿宋" w:eastAsia="仿宋" w:cs="仿宋"/>
          <w:sz w:val="32"/>
          <w:szCs w:val="32"/>
        </w:rPr>
        <w:t>，指导和开展群众性体育活动，研究和指导体育训练和运动员队伍建设，统筹组织全县综合性运动会、参加州级以上体育竞赛和综合性运动会，指导各级各类体育学校的建设和青少年业余训练及相关活动。</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8</w:t>
      </w:r>
      <w:r>
        <w:rPr>
          <w:rFonts w:hint="eastAsia" w:ascii="仿宋" w:hAnsi="仿宋" w:eastAsia="仿宋" w:cs="仿宋"/>
          <w:sz w:val="32"/>
          <w:szCs w:val="32"/>
        </w:rPr>
        <w:t>）指导全县文化、体育、旅游市场发展，对全县文化、体育、旅游市场依法进行行业监管，推进文化、体育、旅游行业信用体系建设，依法规范文化、体育、旅游市场</w:t>
      </w:r>
      <w:r>
        <w:rPr>
          <w:rFonts w:hint="eastAsia" w:ascii="仿宋" w:hAnsi="仿宋" w:eastAsia="仿宋" w:cs="仿宋"/>
          <w:sz w:val="32"/>
          <w:szCs w:val="32"/>
          <w:lang w:eastAsia="zh-CN"/>
        </w:rPr>
        <w:t>秩序</w:t>
      </w:r>
      <w:r>
        <w:rPr>
          <w:rFonts w:hint="eastAsia" w:ascii="仿宋" w:hAnsi="仿宋" w:eastAsia="仿宋" w:cs="仿宋"/>
          <w:sz w:val="32"/>
          <w:szCs w:val="32"/>
        </w:rPr>
        <w:t>。统筹全县文化、文物、体育、旅游市场综合行政执法，组织查处全县性、跨区域文化、文物、体育、旅游等市场的违法行为，</w:t>
      </w:r>
      <w:r>
        <w:rPr>
          <w:rFonts w:hint="eastAsia" w:ascii="仿宋" w:hAnsi="仿宋" w:eastAsia="仿宋" w:cs="仿宋"/>
          <w:sz w:val="32"/>
          <w:szCs w:val="32"/>
          <w:lang w:eastAsia="zh-CN"/>
        </w:rPr>
        <w:t>督查督办</w:t>
      </w:r>
      <w:r>
        <w:rPr>
          <w:rFonts w:hint="eastAsia" w:ascii="仿宋" w:hAnsi="仿宋" w:eastAsia="仿宋" w:cs="仿宋"/>
          <w:sz w:val="32"/>
          <w:szCs w:val="32"/>
        </w:rPr>
        <w:t>大案要案，维护市场秩序。</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9</w:t>
      </w:r>
      <w:r>
        <w:rPr>
          <w:rFonts w:hint="eastAsia" w:ascii="仿宋" w:hAnsi="仿宋" w:eastAsia="仿宋" w:cs="仿宋"/>
          <w:sz w:val="32"/>
          <w:szCs w:val="32"/>
        </w:rPr>
        <w:t>）负责管理、组织文化、体育和旅游对外及对港澳台交流合作与宣传推广工作，组织实施全县文化、体育和旅游资源的普查、保护与利用，管理全县性重大文化、体育和旅游活动，组织全县重点文化、体育和旅游设施建设，组织实施全县文化、体育和旅游整体形象推广，促进文化、体育、旅游产业市场推广和对外合作交流，制定文化体育和旅游市场开发战略并组织实施，推进全域旅游。强化文化、体育和旅游要素配置，统筹整合形成文化、体育和旅游发展新优势，着力打造具有地方民族特色的文化、体育和旅游品牌，推进文化、体育和旅游融合发展，巩固旅游业的战略性支柱产业地位，推动旅游业向主导产业发展，提升壤塘文化软实力，建设文化强县，努力开创文化、体育和旅游工作新局面。</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10</w:t>
      </w:r>
      <w:r>
        <w:rPr>
          <w:rFonts w:hint="eastAsia" w:ascii="仿宋" w:hAnsi="仿宋" w:eastAsia="仿宋" w:cs="仿宋"/>
          <w:sz w:val="32"/>
          <w:szCs w:val="32"/>
        </w:rPr>
        <w:t>）负责文化、体育和旅游系统及市场安全生产工作的综合协调与监督管理，依法履行行业职业健康监管职责，承担职责范围内生态环境保护、审批服务便民化等工作，承担文化、体育、旅游行业意识形态工作，负责机关节能。</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仿宋" w:hAnsi="仿宋" w:eastAsia="仿宋" w:cs="仿宋"/>
          <w:sz w:val="32"/>
          <w:szCs w:val="32"/>
        </w:rPr>
        <w:t>（</w:t>
      </w:r>
      <w:r>
        <w:rPr>
          <w:rFonts w:hint="eastAsia" w:ascii="仿宋" w:hAnsi="仿宋" w:eastAsia="仿宋" w:cs="仿宋"/>
          <w:sz w:val="32"/>
          <w:szCs w:val="32"/>
          <w:lang w:val="en-US" w:eastAsia="zh-CN"/>
        </w:rPr>
        <w:t>11</w:t>
      </w:r>
      <w:r>
        <w:rPr>
          <w:rFonts w:hint="eastAsia" w:ascii="仿宋" w:hAnsi="仿宋" w:eastAsia="仿宋" w:cs="仿宋"/>
          <w:sz w:val="32"/>
          <w:szCs w:val="32"/>
        </w:rPr>
        <w:t>）完成上级交办的其他任务</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cs="Times New Roman"/>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w:t>
      </w:r>
      <w:r>
        <w:rPr>
          <w:rFonts w:hint="eastAsia" w:ascii="仿宋" w:hAnsi="仿宋" w:eastAsia="仿宋" w:cs="仿宋"/>
          <w:color w:val="000000"/>
          <w:kern w:val="0"/>
          <w:sz w:val="32"/>
          <w:szCs w:val="32"/>
          <w:shd w:val="clear" w:color="auto" w:fill="FFFFFF"/>
          <w:lang w:val="zh-CN"/>
        </w:rPr>
        <w:t>县文体旅游局行政编制</w:t>
      </w:r>
      <w:r>
        <w:rPr>
          <w:rFonts w:hint="eastAsia" w:ascii="仿宋" w:hAnsi="仿宋" w:eastAsia="仿宋" w:cs="仿宋"/>
          <w:color w:val="000000"/>
          <w:kern w:val="0"/>
          <w:sz w:val="32"/>
          <w:szCs w:val="32"/>
          <w:shd w:val="clear" w:color="auto" w:fill="FFFFFF"/>
          <w:lang w:val="en-US" w:eastAsia="zh-CN"/>
        </w:rPr>
        <w:t>6名。其中：局长1名，副局长2名；股级领导职数3名。机关工勤人员事业编制2名。</w:t>
      </w:r>
      <w:r>
        <w:rPr>
          <w:rFonts w:hint="default" w:ascii="Times New Roman" w:hAnsi="Times New Roman" w:eastAsia="仿宋_GB2312" w:cs="Times New Roman"/>
          <w:sz w:val="32"/>
          <w:szCs w:val="32"/>
          <w:lang w:val="en-US" w:eastAsia="zh-CN"/>
        </w:rPr>
        <w:t>年末实有人</w:t>
      </w:r>
      <w:r>
        <w:rPr>
          <w:rFonts w:hint="eastAsia" w:eastAsia="仿宋_GB2312" w:cs="Times New Roman"/>
          <w:sz w:val="32"/>
          <w:szCs w:val="32"/>
          <w:lang w:val="en-US" w:eastAsia="zh-CN"/>
        </w:rPr>
        <w:t>数为40人</w:t>
      </w:r>
      <w:r>
        <w:rPr>
          <w:rFonts w:hint="eastAsia" w:ascii="Times New Roman" w:hAnsi="Times New Roman" w:eastAsia="仿宋_GB2312" w:cs="Times New Roman"/>
          <w:sz w:val="32"/>
          <w:szCs w:val="32"/>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eastAsia" w:ascii="仿宋" w:hAnsi="仿宋" w:eastAsia="仿宋" w:cs="仿宋"/>
          <w:sz w:val="32"/>
          <w:szCs w:val="32"/>
        </w:rPr>
        <w:t>按照综合预算的原则，</w:t>
      </w:r>
      <w:r>
        <w:rPr>
          <w:rFonts w:hint="eastAsia" w:ascii="仿宋" w:hAnsi="仿宋" w:eastAsia="仿宋" w:cs="仿宋"/>
          <w:sz w:val="32"/>
          <w:szCs w:val="32"/>
          <w:lang w:eastAsia="zh-CN"/>
        </w:rPr>
        <w:t>壤塘县文化体育和旅游局</w:t>
      </w:r>
      <w:r>
        <w:rPr>
          <w:rFonts w:hint="eastAsia" w:ascii="仿宋" w:hAnsi="仿宋" w:eastAsia="仿宋" w:cs="仿宋"/>
          <w:sz w:val="32"/>
          <w:szCs w:val="32"/>
        </w:rPr>
        <w:t>所有收入和支出均纳入部门预算管理。收入包括：</w:t>
      </w:r>
      <w:r>
        <w:rPr>
          <w:rFonts w:hint="eastAsia" w:ascii="Times New Roman" w:hAnsi="Times New Roman" w:eastAsia="仿宋_GB2312" w:cs="仿宋_GB2312"/>
          <w:color w:val="auto"/>
          <w:sz w:val="32"/>
          <w:szCs w:val="32"/>
          <w:highlight w:val="none"/>
          <w:lang w:eastAsia="zh-CN"/>
        </w:rPr>
        <w:t>一般公共预算财政拨款收入</w:t>
      </w:r>
      <w:r>
        <w:rPr>
          <w:rFonts w:hint="eastAsia" w:eastAsia="仿宋_GB2312" w:cs="仿宋_GB2312"/>
          <w:sz w:val="32"/>
          <w:szCs w:val="32"/>
        </w:rPr>
        <w:t>5837.79</w:t>
      </w:r>
      <w:r>
        <w:rPr>
          <w:rFonts w:hint="eastAsia" w:ascii="Times New Roman" w:hAnsi="Times New Roman" w:eastAsia="仿宋_GB2312" w:cs="仿宋_GB2312"/>
          <w:color w:val="auto"/>
          <w:sz w:val="32"/>
          <w:szCs w:val="32"/>
          <w:highlight w:val="none"/>
          <w:lang w:eastAsia="zh-CN"/>
        </w:rPr>
        <w:t>万元，政府性基金预算财政拨款收入</w:t>
      </w:r>
      <w:r>
        <w:rPr>
          <w:rFonts w:hint="eastAsia" w:eastAsia="仿宋_GB2312" w:cs="仿宋_GB2312"/>
          <w:sz w:val="32"/>
          <w:szCs w:val="32"/>
        </w:rPr>
        <w:t>642.91</w:t>
      </w:r>
      <w:r>
        <w:rPr>
          <w:rFonts w:hint="eastAsia" w:ascii="Times New Roman" w:hAnsi="Times New Roman" w:eastAsia="仿宋_GB2312" w:cs="仿宋_GB2312"/>
          <w:color w:val="auto"/>
          <w:sz w:val="32"/>
          <w:szCs w:val="32"/>
          <w:highlight w:val="none"/>
          <w:lang w:eastAsia="zh-CN"/>
        </w:rPr>
        <w:t>万元。</w:t>
      </w:r>
    </w:p>
    <w:p>
      <w:pPr>
        <w:keepNext w:val="0"/>
        <w:keepLines w:val="0"/>
        <w:pageBreakBefore w:val="0"/>
        <w:widowControl/>
        <w:numPr>
          <w:ilvl w:val="0"/>
          <w:numId w:val="3"/>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szCs w:val="32"/>
          <w:lang w:val="zh-CN" w:eastAsia="zh-CN"/>
        </w:rPr>
      </w:pPr>
      <w:r>
        <w:rPr>
          <w:rFonts w:hint="eastAsia" w:eastAsia="仿宋_GB2312" w:cs="仿宋_GB2312"/>
          <w:color w:val="auto"/>
          <w:kern w:val="2"/>
          <w:sz w:val="32"/>
          <w:szCs w:val="32"/>
          <w:highlight w:val="none"/>
          <w:lang w:val="en-US" w:eastAsia="zh-CN" w:bidi="ar-SA"/>
        </w:rPr>
        <w:t>壤塘县文化广播电视体育和旅游局</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年年初预算支出</w:t>
      </w:r>
      <w:r>
        <w:rPr>
          <w:rFonts w:hint="eastAsia" w:eastAsia="仿宋_GB2312" w:cs="Times New Roman"/>
          <w:sz w:val="32"/>
          <w:szCs w:val="32"/>
          <w:lang w:val="en-US" w:eastAsia="zh-CN"/>
        </w:rPr>
        <w:t>包括：</w:t>
      </w:r>
      <w:r>
        <w:rPr>
          <w:rFonts w:hint="eastAsia" w:ascii="Times New Roman" w:hAnsi="Times New Roman" w:eastAsia="仿宋_GB2312" w:cs="仿宋_GB2312"/>
          <w:color w:val="auto"/>
          <w:sz w:val="32"/>
          <w:szCs w:val="32"/>
          <w:highlight w:val="none"/>
          <w:lang w:eastAsia="zh-CN"/>
        </w:rPr>
        <w:t>一般公共预算财政拨款支出</w:t>
      </w:r>
      <w:r>
        <w:rPr>
          <w:rFonts w:hint="eastAsia" w:eastAsia="仿宋_GB2312" w:cs="仿宋_GB2312"/>
          <w:sz w:val="32"/>
          <w:szCs w:val="32"/>
        </w:rPr>
        <w:t>5837.79</w:t>
      </w:r>
      <w:r>
        <w:rPr>
          <w:rFonts w:hint="eastAsia" w:ascii="Times New Roman" w:hAnsi="Times New Roman" w:eastAsia="仿宋_GB2312" w:cs="仿宋_GB2312"/>
          <w:color w:val="auto"/>
          <w:sz w:val="32"/>
          <w:szCs w:val="32"/>
          <w:highlight w:val="none"/>
          <w:lang w:eastAsia="zh-CN"/>
        </w:rPr>
        <w:t>万元，政府性基金预算财政拨款支出</w:t>
      </w:r>
      <w:r>
        <w:rPr>
          <w:rFonts w:hint="eastAsia" w:eastAsia="仿宋_GB2312" w:cs="仿宋_GB2312"/>
          <w:sz w:val="32"/>
          <w:szCs w:val="32"/>
        </w:rPr>
        <w:t>642.91</w:t>
      </w:r>
      <w:r>
        <w:rPr>
          <w:rFonts w:hint="eastAsia" w:ascii="Times New Roman" w:hAnsi="Times New Roman" w:eastAsia="仿宋_GB2312" w:cs="仿宋_GB2312"/>
          <w:color w:val="auto"/>
          <w:sz w:val="32"/>
          <w:szCs w:val="32"/>
          <w:highlight w:val="none"/>
          <w:lang w:eastAsia="zh-CN"/>
        </w:rPr>
        <w:t>万元。</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eastAsia="仿宋_GB2312" w:cs="仿宋_GB2312"/>
          <w:color w:val="auto"/>
          <w:kern w:val="2"/>
          <w:sz w:val="32"/>
          <w:szCs w:val="32"/>
          <w:highlight w:val="none"/>
          <w:lang w:val="en-US" w:eastAsia="zh-CN" w:bidi="ar-SA"/>
        </w:rPr>
        <w:t>壤塘县文化广播电视体育和旅游局</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w:t>
      </w:r>
      <w:r>
        <w:rPr>
          <w:rFonts w:hint="default" w:ascii="Times New Roman" w:hAnsi="Times New Roman" w:eastAsia="仿宋_GB2312" w:cs="Times New Roman"/>
          <w:sz w:val="32"/>
          <w:szCs w:val="32"/>
          <w:lang w:val="en-US" w:eastAsia="zh-CN"/>
        </w:rPr>
        <w:t>结转</w:t>
      </w:r>
      <w:r>
        <w:rPr>
          <w:rFonts w:hint="eastAsia" w:eastAsia="仿宋_GB2312" w:cs="Times New Roman"/>
          <w:sz w:val="32"/>
          <w:szCs w:val="32"/>
          <w:lang w:val="en-US" w:eastAsia="zh-CN"/>
        </w:rPr>
        <w:t>代管资金128万元。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黑体" w:hAnsi="黑体" w:eastAsia="黑体" w:cs="黑体"/>
          <w:b w:val="0"/>
          <w:bCs/>
          <w:sz w:val="32"/>
          <w:szCs w:val="32"/>
          <w:shd w:val="clear" w:color="auto" w:fill="FFFFFF"/>
        </w:rPr>
        <w:t>三、部门预算绩效分析</w:t>
      </w:r>
      <w:r>
        <w:rPr>
          <w:rFonts w:hint="eastAsia" w:ascii="仿宋_GB2312" w:hAnsi="仿宋_GB2312" w:eastAsia="仿宋_GB2312" w:cs="仿宋_GB2312"/>
          <w:b w:val="0"/>
          <w:bCs/>
          <w:sz w:val="32"/>
          <w:szCs w:val="32"/>
          <w:shd w:val="clear" w:color="auto" w:fill="FFFFFF"/>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ascii="楷体_GB2312" w:hAnsi="楷体_GB2312" w:eastAsia="楷体_GB2312" w:cs="楷体_GB2312"/>
          <w:b/>
          <w:bCs w:val="0"/>
          <w:sz w:val="32"/>
          <w:szCs w:val="32"/>
          <w:shd w:val="clear" w:color="auto" w:fill="FFFFFF"/>
        </w:rPr>
      </w:pPr>
      <w:r>
        <w:rPr>
          <w:rFonts w:hint="eastAsia" w:ascii="楷体_GB2312" w:hAnsi="楷体_GB2312" w:eastAsia="楷体_GB2312" w:cs="楷体_GB2312"/>
          <w:b/>
          <w:bCs w:val="0"/>
          <w:sz w:val="32"/>
          <w:szCs w:val="32"/>
          <w:shd w:val="clear" w:color="auto" w:fill="FFFFFF"/>
        </w:rPr>
        <w:t>（一）部门预算总体绩效分析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本次部门整体总体绩效指标总分</w:t>
      </w:r>
      <w:r>
        <w:rPr>
          <w:rFonts w:hint="eastAsia" w:ascii="仿宋_GB2312" w:hAnsi="仿宋_GB2312" w:cs="仿宋_GB2312"/>
          <w:b w:val="0"/>
          <w:bCs/>
          <w:sz w:val="32"/>
          <w:szCs w:val="32"/>
          <w:shd w:val="clear" w:color="auto" w:fill="FFFFFF"/>
          <w:lang w:val="en-US" w:eastAsia="zh-CN"/>
        </w:rPr>
        <w:t>65</w:t>
      </w:r>
      <w:r>
        <w:rPr>
          <w:rFonts w:hint="eastAsia" w:ascii="仿宋_GB2312" w:hAnsi="仿宋_GB2312" w:eastAsia="仿宋_GB2312" w:cs="仿宋_GB2312"/>
          <w:b w:val="0"/>
          <w:bCs/>
          <w:sz w:val="32"/>
          <w:szCs w:val="32"/>
          <w:shd w:val="clear" w:color="auto" w:fill="FFFFFF"/>
        </w:rPr>
        <w:t>分，自评得分</w:t>
      </w:r>
      <w:r>
        <w:rPr>
          <w:rFonts w:hint="eastAsia" w:ascii="仿宋_GB2312" w:hAnsi="仿宋_GB2312" w:cs="仿宋_GB2312"/>
          <w:b w:val="0"/>
          <w:bCs/>
          <w:sz w:val="32"/>
          <w:szCs w:val="32"/>
          <w:shd w:val="clear" w:color="auto" w:fill="FFFFFF"/>
          <w:lang w:val="en-US" w:eastAsia="zh-CN"/>
        </w:rPr>
        <w:t>61</w:t>
      </w:r>
      <w:r>
        <w:rPr>
          <w:rFonts w:hint="eastAsia" w:ascii="仿宋_GB2312" w:hAnsi="仿宋_GB2312" w:eastAsia="仿宋_GB2312" w:cs="仿宋_GB2312"/>
          <w:b w:val="0"/>
          <w:bCs/>
          <w:sz w:val="32"/>
          <w:szCs w:val="32"/>
          <w:shd w:val="clear" w:color="auto" w:fill="FFFFFF"/>
        </w:rPr>
        <w:t>分。对照履职效能、预算管理、财务管理、资产管理、采购管理指标逐项分析如下：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1. 履职效能（15分，自评</w:t>
      </w:r>
      <w:r>
        <w:rPr>
          <w:rFonts w:hint="eastAsia" w:ascii="仿宋_GB2312" w:hAnsi="仿宋_GB2312" w:cs="仿宋_GB2312"/>
          <w:b w:val="0"/>
          <w:bCs/>
          <w:sz w:val="32"/>
          <w:szCs w:val="32"/>
          <w:shd w:val="clear" w:color="auto" w:fill="FFFFFF"/>
          <w:lang w:val="en-US" w:eastAsia="zh-CN"/>
        </w:rPr>
        <w:t>14</w:t>
      </w:r>
      <w:r>
        <w:rPr>
          <w:rFonts w:hint="eastAsia" w:ascii="仿宋_GB2312" w:hAnsi="仿宋_GB2312" w:eastAsia="仿宋_GB2312" w:cs="仿宋_GB2312"/>
          <w:b w:val="0"/>
          <w:bCs/>
          <w:sz w:val="32"/>
          <w:szCs w:val="32"/>
          <w:shd w:val="clear" w:color="auto" w:fill="FFFFFF"/>
        </w:rPr>
        <w:t>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结合部门核心工作职责，选取非遗保护传承、文旅品牌推广、公共文化服务、全民健身与广电服务、文旅行业治理五项核心履职目标开展绩效分析。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2025年度，本部门全面落实年度工作任务，常态化开展非遗普查保护、传承人管理、非遗展示交流活动；有序开展文旅资源宣传推介、品牌打造提升；全覆盖开展送戏下乡、公益放映、场馆免费开放等文化惠民服务；扎实推进公共体育设施管护、群众性体育赛事活动、广播电视安全播出保障；持续强化文旅市场巡查监管、</w:t>
      </w:r>
      <w:r>
        <w:rPr>
          <w:rFonts w:hint="eastAsia" w:ascii="仿宋_GB2312" w:hAnsi="仿宋_GB2312" w:eastAsia="仿宋_GB2312" w:cs="仿宋_GB2312"/>
          <w:b w:val="0"/>
          <w:bCs/>
          <w:sz w:val="32"/>
          <w:szCs w:val="32"/>
          <w:shd w:val="clear" w:color="auto" w:fill="FFFFFF"/>
          <w:lang w:eastAsia="zh-CN"/>
        </w:rPr>
        <w:t>安全生产专项整治</w:t>
      </w:r>
      <w:r>
        <w:rPr>
          <w:rFonts w:hint="eastAsia" w:ascii="仿宋_GB2312" w:hAnsi="仿宋_GB2312" w:eastAsia="仿宋_GB2312" w:cs="仿宋_GB2312"/>
          <w:b w:val="0"/>
          <w:bCs/>
          <w:sz w:val="32"/>
          <w:szCs w:val="32"/>
          <w:shd w:val="clear" w:color="auto" w:fill="FFFFFF"/>
        </w:rPr>
        <w:t>。年度核心履职目标基本全部完成，公共服务供给持续优化，行业发展态势平稳，履职效能总体良好。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2. 预算管理（25分，自评</w:t>
      </w:r>
      <w:r>
        <w:rPr>
          <w:rFonts w:hint="eastAsia" w:ascii="仿宋_GB2312" w:hAnsi="仿宋_GB2312" w:cs="仿宋_GB2312"/>
          <w:b w:val="0"/>
          <w:bCs/>
          <w:sz w:val="32"/>
          <w:szCs w:val="32"/>
          <w:shd w:val="clear" w:color="auto" w:fill="FFFFFF"/>
          <w:lang w:val="en-US" w:eastAsia="zh-CN"/>
        </w:rPr>
        <w:t>23</w:t>
      </w:r>
      <w:r>
        <w:rPr>
          <w:rFonts w:hint="eastAsia" w:ascii="仿宋_GB2312" w:hAnsi="仿宋_GB2312" w:eastAsia="仿宋_GB2312" w:cs="仿宋_GB2312"/>
          <w:b w:val="0"/>
          <w:bCs/>
          <w:sz w:val="32"/>
          <w:szCs w:val="32"/>
          <w:shd w:val="clear" w:color="auto" w:fill="FFFFFF"/>
        </w:rPr>
        <w:t>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一是预算编制质量：严格按照财政部门统一部署及时间节点完成年度部门预算编制，预算编报内容完整、项目清晰、格式规范，贴合部门年度工作实际。但部分专项项目预算测算较为粗放，精细化、精准化程度仍有提升空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二是单位收入统筹：全面统筹部门各项财政拨款、专项补助及其他收入，收入管理规范，做到应统尽统，无隐瞒、漏报、迟报收入情况。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三是支出执行管理：常态化开展预算执行调度分析，按月跟踪支出进度，及时督促滞后项目推进，全年预算执行总体平稳有序。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四是预算年终结余：年末结转结余资金规模可控，无大额资金沉淀、无长期闲置资金，结余管控规范。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五是严控一般性支出：严格落实过紧日子要求，从严管控</w:t>
      </w:r>
      <w:r>
        <w:rPr>
          <w:rFonts w:hint="eastAsia" w:ascii="仿宋_GB2312" w:hAnsi="仿宋_GB2312" w:eastAsia="仿宋_GB2312" w:cs="仿宋_GB2312"/>
          <w:b w:val="0"/>
          <w:bCs/>
          <w:sz w:val="32"/>
          <w:szCs w:val="32"/>
          <w:shd w:val="clear" w:color="auto" w:fill="FFFFFF"/>
          <w:lang w:eastAsia="zh-CN"/>
        </w:rPr>
        <w:t>“三公”经费</w:t>
      </w:r>
      <w:r>
        <w:rPr>
          <w:rFonts w:hint="eastAsia" w:ascii="仿宋_GB2312" w:hAnsi="仿宋_GB2312" w:eastAsia="仿宋_GB2312" w:cs="仿宋_GB2312"/>
          <w:b w:val="0"/>
          <w:bCs/>
          <w:sz w:val="32"/>
          <w:szCs w:val="32"/>
          <w:shd w:val="clear" w:color="auto" w:fill="FFFFFF"/>
        </w:rPr>
        <w:t>、会议费、培训费、办公耗材、公务差旅等一般性支出，一般性支出总体实现压减目标。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六是预决算公开：严格按照政务公开要求，按时、依规、完整公开部门预决算及绩效相关信息，公开内容真实规范。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3. 财务管理（10分，自评</w:t>
      </w:r>
      <w:r>
        <w:rPr>
          <w:rFonts w:hint="eastAsia" w:ascii="仿宋_GB2312" w:hAnsi="仿宋_GB2312" w:cs="仿宋_GB2312"/>
          <w:b w:val="0"/>
          <w:bCs/>
          <w:sz w:val="32"/>
          <w:szCs w:val="32"/>
          <w:shd w:val="clear" w:color="auto" w:fill="FFFFFF"/>
          <w:lang w:val="en-US" w:eastAsia="zh-CN"/>
        </w:rPr>
        <w:t>10</w:t>
      </w:r>
      <w:r>
        <w:rPr>
          <w:rFonts w:hint="eastAsia" w:ascii="仿宋_GB2312" w:hAnsi="仿宋_GB2312" w:eastAsia="仿宋_GB2312" w:cs="仿宋_GB2312"/>
          <w:b w:val="0"/>
          <w:bCs/>
          <w:sz w:val="32"/>
          <w:szCs w:val="32"/>
          <w:shd w:val="clear" w:color="auto" w:fill="FFFFFF"/>
        </w:rPr>
        <w:t>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本部门财务管理制度健全完善，严格执行《</w:t>
      </w:r>
      <w:r>
        <w:rPr>
          <w:rFonts w:hint="eastAsia" w:ascii="仿宋_GB2312" w:hAnsi="仿宋_GB2312" w:eastAsia="仿宋_GB2312" w:cs="仿宋_GB2312"/>
          <w:b w:val="0"/>
          <w:bCs/>
          <w:sz w:val="32"/>
          <w:szCs w:val="32"/>
          <w:shd w:val="clear" w:color="auto" w:fill="FFFFFF"/>
          <w:lang w:eastAsia="zh-CN"/>
        </w:rPr>
        <w:t>中华人民共和国预算法</w:t>
      </w:r>
      <w:r>
        <w:rPr>
          <w:rFonts w:hint="eastAsia" w:ascii="仿宋_GB2312" w:hAnsi="仿宋_GB2312" w:eastAsia="仿宋_GB2312" w:cs="仿宋_GB2312"/>
          <w:b w:val="0"/>
          <w:bCs/>
          <w:sz w:val="32"/>
          <w:szCs w:val="32"/>
          <w:shd w:val="clear" w:color="auto" w:fill="FFFFFF"/>
        </w:rPr>
        <w:t>》《政府会计制度》等财经法规；财务岗位设置合规，会计、出纳岗位分设、权责分离；资金拨付、费用报销、账务核算、票据审核全程规范，严格执行专款专用，无挤占、挪用、截留资金及虚列支出等违规情况，资金使用合法合规、安全规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4. 资产管理（9分，自评</w:t>
      </w:r>
      <w:r>
        <w:rPr>
          <w:rFonts w:hint="eastAsia" w:ascii="仿宋_GB2312" w:hAnsi="仿宋_GB2312" w:cs="仿宋_GB2312"/>
          <w:b w:val="0"/>
          <w:bCs/>
          <w:sz w:val="32"/>
          <w:szCs w:val="32"/>
          <w:shd w:val="clear" w:color="auto" w:fill="FFFFFF"/>
          <w:lang w:val="en-US" w:eastAsia="zh-CN"/>
        </w:rPr>
        <w:t>8</w:t>
      </w:r>
      <w:r>
        <w:rPr>
          <w:rFonts w:hint="eastAsia" w:ascii="仿宋_GB2312" w:hAnsi="仿宋_GB2312" w:eastAsia="仿宋_GB2312" w:cs="仿宋_GB2312"/>
          <w:b w:val="0"/>
          <w:bCs/>
          <w:sz w:val="32"/>
          <w:szCs w:val="32"/>
          <w:shd w:val="clear" w:color="auto" w:fill="FFFFFF"/>
        </w:rPr>
        <w:t>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部门资产管理制度完善，资产台账登记完整，资产购置、领用、处置流程规范。全年人均资产变化平稳合理，无异常增减变动；在用办公设备、文体设备、广电设备总体使用率较高；常态化开展闲置资产清查梳理，积极推进存量资产盘活。存在少量老旧基层文体设施使用率不高、盘活力度不足的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5. 采购管理（6分，自评</w:t>
      </w:r>
      <w:r>
        <w:rPr>
          <w:rFonts w:hint="eastAsia" w:ascii="仿宋_GB2312" w:hAnsi="仿宋_GB2312" w:cs="仿宋_GB2312"/>
          <w:b w:val="0"/>
          <w:bCs/>
          <w:sz w:val="32"/>
          <w:szCs w:val="32"/>
          <w:shd w:val="clear" w:color="auto" w:fill="FFFFFF"/>
          <w:lang w:val="en-US" w:eastAsia="zh-CN"/>
        </w:rPr>
        <w:t>6</w:t>
      </w:r>
      <w:r>
        <w:rPr>
          <w:rFonts w:hint="eastAsia" w:ascii="仿宋_GB2312" w:hAnsi="仿宋_GB2312" w:eastAsia="仿宋_GB2312" w:cs="仿宋_GB2312"/>
          <w:b w:val="0"/>
          <w:bCs/>
          <w:sz w:val="32"/>
          <w:szCs w:val="32"/>
          <w:shd w:val="clear" w:color="auto" w:fill="FFFFFF"/>
        </w:rPr>
        <w:t>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严格执行政府采购法律法规及扶持中小企业发展政策，采购项目全部依法依规开展，采购流程公开透明、程序合规；全年政府采购执行率</w:t>
      </w:r>
      <w:r>
        <w:rPr>
          <w:rFonts w:hint="eastAsia" w:ascii="仿宋_GB2312" w:hAnsi="仿宋_GB2312" w:cs="仿宋_GB2312"/>
          <w:b w:val="0"/>
          <w:bCs/>
          <w:sz w:val="32"/>
          <w:szCs w:val="32"/>
          <w:shd w:val="clear" w:color="auto" w:fill="FFFFFF"/>
          <w:lang w:val="en-US" w:eastAsia="zh-CN"/>
        </w:rPr>
        <w:t>95</w:t>
      </w:r>
      <w:r>
        <w:rPr>
          <w:rFonts w:hint="eastAsia" w:ascii="仿宋_GB2312" w:hAnsi="仿宋_GB2312" w:eastAsia="仿宋_GB2312" w:cs="仿宋_GB2312"/>
          <w:b w:val="0"/>
          <w:bCs/>
          <w:sz w:val="32"/>
          <w:szCs w:val="32"/>
          <w:shd w:val="clear" w:color="auto" w:fill="FFFFFF"/>
        </w:rPr>
        <w:t>%，采购资金及时足额支付，全面落实政府采购各项管理要求。</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ascii="楷体_GB2312" w:hAnsi="楷体_GB2312" w:eastAsia="楷体_GB2312" w:cs="楷体_GB2312"/>
          <w:b/>
          <w:bCs w:val="0"/>
          <w:sz w:val="32"/>
          <w:szCs w:val="32"/>
          <w:shd w:val="clear" w:color="auto" w:fill="FFFFFF"/>
        </w:rPr>
      </w:pPr>
      <w:r>
        <w:rPr>
          <w:rFonts w:hint="eastAsia" w:ascii="楷体_GB2312" w:hAnsi="楷体_GB2312" w:eastAsia="楷体_GB2312" w:cs="楷体_GB2312"/>
          <w:b/>
          <w:bCs w:val="0"/>
          <w:sz w:val="32"/>
          <w:szCs w:val="32"/>
          <w:shd w:val="clear" w:color="auto" w:fill="FFFFFF"/>
        </w:rPr>
        <w:t>（二）部门预算项目绩效分析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本次项目绩效指标总分35分，自评得分</w:t>
      </w:r>
      <w:r>
        <w:rPr>
          <w:rFonts w:hint="eastAsia" w:ascii="仿宋_GB2312" w:hAnsi="仿宋_GB2312" w:cs="仿宋_GB2312"/>
          <w:b w:val="0"/>
          <w:bCs/>
          <w:sz w:val="32"/>
          <w:szCs w:val="32"/>
          <w:shd w:val="clear" w:color="auto" w:fill="FFFFFF"/>
          <w:lang w:val="en-US" w:eastAsia="zh-CN"/>
        </w:rPr>
        <w:t>33</w:t>
      </w:r>
      <w:r>
        <w:rPr>
          <w:rFonts w:hint="eastAsia" w:ascii="仿宋_GB2312" w:hAnsi="仿宋_GB2312" w:eastAsia="仿宋_GB2312" w:cs="仿宋_GB2312"/>
          <w:b w:val="0"/>
          <w:bCs/>
          <w:sz w:val="32"/>
          <w:szCs w:val="32"/>
          <w:shd w:val="clear" w:color="auto" w:fill="FFFFFF"/>
        </w:rPr>
        <w:t>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常年项目绩效分析：2025年度常年性项目共计</w:t>
      </w:r>
      <w:r>
        <w:rPr>
          <w:rFonts w:hint="eastAsia" w:ascii="仿宋_GB2312" w:hAnsi="仿宋_GB2312" w:cs="仿宋_GB2312"/>
          <w:b w:val="0"/>
          <w:bCs/>
          <w:sz w:val="32"/>
          <w:szCs w:val="32"/>
          <w:shd w:val="clear" w:color="auto" w:fill="FFFFFF"/>
          <w:lang w:val="en-US" w:eastAsia="zh-CN"/>
        </w:rPr>
        <w:t>36</w:t>
      </w:r>
      <w:r>
        <w:rPr>
          <w:rFonts w:hint="eastAsia" w:ascii="仿宋_GB2312" w:hAnsi="仿宋_GB2312" w:eastAsia="仿宋_GB2312" w:cs="仿宋_GB2312"/>
          <w:b w:val="0"/>
          <w:bCs/>
          <w:sz w:val="32"/>
          <w:szCs w:val="32"/>
          <w:shd w:val="clear" w:color="auto" w:fill="FFFFFF"/>
        </w:rPr>
        <w:t>个，涉及预算总金额</w:t>
      </w:r>
      <w:r>
        <w:rPr>
          <w:rFonts w:hint="eastAsia" w:ascii="仿宋_GB2312" w:hAnsi="仿宋_GB2312" w:cs="仿宋_GB2312"/>
          <w:b w:val="0"/>
          <w:bCs/>
          <w:sz w:val="32"/>
          <w:szCs w:val="32"/>
          <w:shd w:val="clear" w:color="auto" w:fill="FFFFFF"/>
          <w:lang w:val="en-US" w:eastAsia="zh-CN"/>
        </w:rPr>
        <w:t>5513.89</w:t>
      </w:r>
      <w:r>
        <w:rPr>
          <w:rFonts w:hint="eastAsia" w:ascii="仿宋_GB2312" w:hAnsi="仿宋_GB2312" w:eastAsia="仿宋_GB2312" w:cs="仿宋_GB2312"/>
          <w:b w:val="0"/>
          <w:bCs/>
          <w:sz w:val="32"/>
          <w:szCs w:val="32"/>
          <w:shd w:val="clear" w:color="auto" w:fill="FFFFFF"/>
        </w:rPr>
        <w:t>万元，1—12月预算执行总体进度</w:t>
      </w:r>
      <w:r>
        <w:rPr>
          <w:rFonts w:hint="eastAsia" w:ascii="仿宋_GB2312" w:hAnsi="仿宋_GB2312" w:cs="仿宋_GB2312"/>
          <w:b w:val="0"/>
          <w:bCs/>
          <w:sz w:val="32"/>
          <w:szCs w:val="32"/>
          <w:shd w:val="clear" w:color="auto" w:fill="FFFFFF"/>
          <w:lang w:val="en-US" w:eastAsia="zh-CN"/>
        </w:rPr>
        <w:t>100</w:t>
      </w:r>
      <w:r>
        <w:rPr>
          <w:rFonts w:hint="eastAsia" w:ascii="仿宋_GB2312" w:hAnsi="仿宋_GB2312" w:eastAsia="仿宋_GB2312" w:cs="仿宋_GB2312"/>
          <w:b w:val="0"/>
          <w:bCs/>
          <w:sz w:val="32"/>
          <w:szCs w:val="32"/>
          <w:shd w:val="clear" w:color="auto" w:fill="FFFFFF"/>
        </w:rPr>
        <w:t>%，其中预算结余率大于10%的项目共计</w:t>
      </w:r>
      <w:r>
        <w:rPr>
          <w:rFonts w:hint="eastAsia" w:ascii="仿宋_GB2312" w:hAnsi="仿宋_GB2312" w:cs="仿宋_GB2312"/>
          <w:b w:val="0"/>
          <w:bCs/>
          <w:sz w:val="32"/>
          <w:szCs w:val="32"/>
          <w:shd w:val="clear" w:color="auto" w:fill="FFFFFF"/>
          <w:lang w:val="en-US" w:eastAsia="zh-CN"/>
        </w:rPr>
        <w:t>0</w:t>
      </w:r>
      <w:r>
        <w:rPr>
          <w:rFonts w:hint="eastAsia" w:ascii="仿宋_GB2312" w:hAnsi="仿宋_GB2312" w:eastAsia="仿宋_GB2312" w:cs="仿宋_GB2312"/>
          <w:b w:val="0"/>
          <w:bCs/>
          <w:sz w:val="32"/>
          <w:szCs w:val="32"/>
          <w:shd w:val="clear" w:color="auto" w:fill="FFFFFF"/>
        </w:rPr>
        <w:t>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阶段（含一次性）项目绩效分析：2025年度阶段性、一次性项目共计</w:t>
      </w:r>
      <w:r>
        <w:rPr>
          <w:rFonts w:hint="eastAsia" w:ascii="仿宋_GB2312" w:hAnsi="仿宋_GB2312" w:cs="仿宋_GB2312"/>
          <w:b w:val="0"/>
          <w:bCs/>
          <w:sz w:val="32"/>
          <w:szCs w:val="32"/>
          <w:shd w:val="clear" w:color="auto" w:fill="FFFFFF"/>
          <w:lang w:val="en-US" w:eastAsia="zh-CN"/>
        </w:rPr>
        <w:t>27</w:t>
      </w:r>
      <w:r>
        <w:rPr>
          <w:rFonts w:hint="eastAsia" w:ascii="仿宋_GB2312" w:hAnsi="仿宋_GB2312" w:eastAsia="仿宋_GB2312" w:cs="仿宋_GB2312"/>
          <w:b w:val="0"/>
          <w:bCs/>
          <w:sz w:val="32"/>
          <w:szCs w:val="32"/>
          <w:shd w:val="clear" w:color="auto" w:fill="FFFFFF"/>
        </w:rPr>
        <w:t>个，涉及预算总金额</w:t>
      </w:r>
      <w:r>
        <w:rPr>
          <w:rFonts w:hint="eastAsia" w:ascii="仿宋_GB2312" w:hAnsi="仿宋_GB2312" w:cs="仿宋_GB2312"/>
          <w:b w:val="0"/>
          <w:bCs/>
          <w:sz w:val="32"/>
          <w:szCs w:val="32"/>
          <w:shd w:val="clear" w:color="auto" w:fill="FFFFFF"/>
          <w:lang w:val="en-US" w:eastAsia="zh-CN"/>
        </w:rPr>
        <w:t>4236.8</w:t>
      </w:r>
      <w:r>
        <w:rPr>
          <w:rFonts w:hint="eastAsia" w:ascii="仿宋_GB2312" w:hAnsi="仿宋_GB2312" w:eastAsia="仿宋_GB2312" w:cs="仿宋_GB2312"/>
          <w:b w:val="0"/>
          <w:bCs/>
          <w:sz w:val="32"/>
          <w:szCs w:val="32"/>
          <w:shd w:val="clear" w:color="auto" w:fill="FFFFFF"/>
        </w:rPr>
        <w:t>万元，1—12月预算执行总体进度</w:t>
      </w:r>
      <w:r>
        <w:rPr>
          <w:rFonts w:hint="eastAsia" w:ascii="仿宋_GB2312" w:hAnsi="仿宋_GB2312" w:cs="仿宋_GB2312"/>
          <w:b w:val="0"/>
          <w:bCs/>
          <w:sz w:val="32"/>
          <w:szCs w:val="32"/>
          <w:shd w:val="clear" w:color="auto" w:fill="FFFFFF"/>
          <w:lang w:val="en-US" w:eastAsia="zh-CN"/>
        </w:rPr>
        <w:t>100</w:t>
      </w:r>
      <w:r>
        <w:rPr>
          <w:rFonts w:hint="eastAsia" w:ascii="仿宋_GB2312" w:hAnsi="仿宋_GB2312" w:eastAsia="仿宋_GB2312" w:cs="仿宋_GB2312"/>
          <w:b w:val="0"/>
          <w:bCs/>
          <w:sz w:val="32"/>
          <w:szCs w:val="32"/>
          <w:shd w:val="clear" w:color="auto" w:fill="FFFFFF"/>
        </w:rPr>
        <w:t>%，其中预算结余率大于10%的项目共计</w:t>
      </w:r>
      <w:r>
        <w:rPr>
          <w:rFonts w:hint="eastAsia" w:ascii="仿宋_GB2312" w:hAnsi="仿宋_GB2312" w:cs="仿宋_GB2312"/>
          <w:b w:val="0"/>
          <w:bCs/>
          <w:sz w:val="32"/>
          <w:szCs w:val="32"/>
          <w:shd w:val="clear" w:color="auto" w:fill="FFFFFF"/>
          <w:lang w:val="en-US" w:eastAsia="zh-CN"/>
        </w:rPr>
        <w:t>0</w:t>
      </w:r>
      <w:r>
        <w:rPr>
          <w:rFonts w:hint="eastAsia" w:ascii="仿宋_GB2312" w:hAnsi="仿宋_GB2312" w:eastAsia="仿宋_GB2312" w:cs="仿宋_GB2312"/>
          <w:b w:val="0"/>
          <w:bCs/>
          <w:sz w:val="32"/>
          <w:szCs w:val="32"/>
          <w:shd w:val="clear" w:color="auto" w:fill="FFFFFF"/>
        </w:rPr>
        <w:t>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2025年度，本部门无政府性基金预算、国有资本经营预算安排项目，无地方政府债券资金安排项目。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1. 项目决策（12分，自评</w:t>
      </w:r>
      <w:r>
        <w:rPr>
          <w:rFonts w:hint="eastAsia" w:ascii="仿宋_GB2312" w:hAnsi="仿宋_GB2312" w:cs="仿宋_GB2312"/>
          <w:b w:val="0"/>
          <w:bCs/>
          <w:sz w:val="32"/>
          <w:szCs w:val="32"/>
          <w:shd w:val="clear" w:color="auto" w:fill="FFFFFF"/>
          <w:lang w:val="en-US" w:eastAsia="zh-CN"/>
        </w:rPr>
        <w:t>11</w:t>
      </w:r>
      <w:r>
        <w:rPr>
          <w:rFonts w:hint="eastAsia" w:ascii="仿宋_GB2312" w:hAnsi="仿宋_GB2312" w:eastAsia="仿宋_GB2312" w:cs="仿宋_GB2312"/>
          <w:b w:val="0"/>
          <w:bCs/>
          <w:sz w:val="32"/>
          <w:szCs w:val="32"/>
          <w:shd w:val="clear" w:color="auto" w:fill="FFFFFF"/>
        </w:rPr>
        <w:t>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所有预算项目立项均严格履行集体研究、可行性研判、逐级申报审批程序，决策程序规范完整。项目绩效目标设置贴合年度工作任务，指标设置相对完整、量化清晰，与项目工作量、资金规模基本匹配。所有项目均在规定时限内完成预算管理一体化系统项目入库，入库管理规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2. 项目执行（12分，自评</w:t>
      </w:r>
      <w:r>
        <w:rPr>
          <w:rFonts w:hint="eastAsia" w:ascii="仿宋_GB2312" w:hAnsi="仿宋_GB2312" w:cs="仿宋_GB2312"/>
          <w:b w:val="0"/>
          <w:bCs/>
          <w:sz w:val="32"/>
          <w:szCs w:val="32"/>
          <w:shd w:val="clear" w:color="auto" w:fill="FFFFFF"/>
          <w:lang w:val="en-US" w:eastAsia="zh-CN"/>
        </w:rPr>
        <w:t>11</w:t>
      </w:r>
      <w:r>
        <w:rPr>
          <w:rFonts w:hint="eastAsia" w:ascii="仿宋_GB2312" w:hAnsi="仿宋_GB2312" w:eastAsia="仿宋_GB2312" w:cs="仿宋_GB2312"/>
          <w:b w:val="0"/>
          <w:bCs/>
          <w:sz w:val="32"/>
          <w:szCs w:val="32"/>
          <w:shd w:val="clear" w:color="auto" w:fill="FFFFFF"/>
        </w:rPr>
        <w:t>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各项目实际实施内容、资金列支方向与绩效目标设定方向保持一致，执行同向性良好；项目确需调整的，严格按财政审批流程报备调整，无擅自变更项目内容、用途情况。全年多数项目执行进度良好、资金拨付及时，受高原气候、施工周期等客观因素影响，个别项目执行进度略有滞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3. 目标实现（11分，自评</w:t>
      </w:r>
      <w:r>
        <w:rPr>
          <w:rFonts w:hint="eastAsia" w:ascii="仿宋_GB2312" w:hAnsi="仿宋_GB2312" w:cs="仿宋_GB2312"/>
          <w:b w:val="0"/>
          <w:bCs/>
          <w:sz w:val="32"/>
          <w:szCs w:val="32"/>
          <w:shd w:val="clear" w:color="auto" w:fill="FFFFFF"/>
          <w:lang w:val="en-US" w:eastAsia="zh-CN"/>
        </w:rPr>
        <w:t>11</w:t>
      </w:r>
      <w:r>
        <w:rPr>
          <w:rFonts w:hint="eastAsia" w:ascii="仿宋_GB2312" w:hAnsi="仿宋_GB2312" w:eastAsia="仿宋_GB2312" w:cs="仿宋_GB2312"/>
          <w:b w:val="0"/>
          <w:bCs/>
          <w:sz w:val="32"/>
          <w:szCs w:val="32"/>
          <w:shd w:val="clear" w:color="auto" w:fill="FFFFFF"/>
        </w:rPr>
        <w:t>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年度项目产出指标总体完成较好，大部分数量指标按期达标，绩效目标整体偏离度较小。通过实施非遗保护、文旅宣传、文化惠民、设施运维等项目，有效提升了公共文化服务水平、擦亮本土文旅品牌、丰富群众文体生活，项目社会效益、公共效益明显，整体实现年度预期绩效效果。</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ascii="楷体_GB2312" w:hAnsi="楷体_GB2312" w:eastAsia="楷体_GB2312" w:cs="楷体_GB2312"/>
          <w:b/>
          <w:bCs w:val="0"/>
          <w:sz w:val="32"/>
          <w:szCs w:val="32"/>
          <w:shd w:val="clear" w:color="auto" w:fill="FFFFFF"/>
        </w:rPr>
      </w:pPr>
      <w:r>
        <w:rPr>
          <w:rFonts w:hint="eastAsia" w:ascii="楷体_GB2312" w:hAnsi="楷体_GB2312" w:eastAsia="楷体_GB2312" w:cs="楷体_GB2312"/>
          <w:b/>
          <w:bCs w:val="0"/>
          <w:sz w:val="32"/>
          <w:szCs w:val="32"/>
          <w:shd w:val="clear" w:color="auto" w:fill="FFFFFF"/>
        </w:rPr>
        <w:t>（三）绩效</w:t>
      </w:r>
      <w:r>
        <w:rPr>
          <w:rFonts w:hint="eastAsia" w:ascii="楷体_GB2312" w:hAnsi="楷体_GB2312" w:eastAsia="楷体_GB2312" w:cs="楷体_GB2312"/>
          <w:b/>
          <w:bCs w:val="0"/>
          <w:sz w:val="32"/>
          <w:szCs w:val="32"/>
          <w:shd w:val="clear" w:color="auto" w:fill="FFFFFF"/>
          <w:lang w:eastAsia="zh-CN"/>
        </w:rPr>
        <w:t>评价</w:t>
      </w:r>
      <w:r>
        <w:rPr>
          <w:rFonts w:hint="eastAsia" w:ascii="楷体_GB2312" w:hAnsi="楷体_GB2312" w:eastAsia="楷体_GB2312" w:cs="楷体_GB2312"/>
          <w:b/>
          <w:bCs w:val="0"/>
          <w:sz w:val="32"/>
          <w:szCs w:val="32"/>
          <w:shd w:val="clear" w:color="auto" w:fill="FFFFFF"/>
        </w:rPr>
        <w:t>结果应用情况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1. 内部应用情况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本部门建立绩效评价结果与预算编制、资金分配、项目管理、内部考核联动机制。将年度绩效自评结果作为下一年度预算申报、资金优先保障的重要依据，对绩效完成较好的项目优先保障预算，对执行偏弱、绩效一般的项目从严优化、压减调整。同时将绩效完成情况纳入科室及工作人员年度考核，强化全员绩效管理意识，以绩效倒逼业务管理提质增效，形成“评价—分析—整改—提升”的闭环管理模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2. 信息公开情况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严格落实财政信息公开、政务公开相关要求，坚持依法公开、真实公开、及时公开。在壤塘县人民政府官网政务公开专栏，按时公开2025年度部门预算绩效自评报告、整体绩效目标、项目绩效评价等相关资料，公开内容全面完整，主动接受财政监督、审计监督及社会公众监督，保障绩效工作透明化、规范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3. 整改反馈情况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针对年度绩效自评排查发现的短板弱项，建立问题清单、责任清单、整改清单，逐项明确整改责任科室、整改措施、整改时限，实行台账式管理、销号式整改。定期开展整改督导，跟踪整改进度、核验整改成效，及时汇总整改成果，确保所有绩效问题整改落地见效，切实将绩效评价成果转化为管理提升成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sz w:val="32"/>
          <w:szCs w:val="32"/>
          <w:shd w:val="clear" w:color="auto" w:fill="FFFFFF"/>
        </w:rPr>
      </w:pPr>
      <w:r>
        <w:rPr>
          <w:rFonts w:hint="eastAsia" w:ascii="黑体" w:hAnsi="黑体" w:eastAsia="黑体" w:cs="黑体"/>
          <w:b w:val="0"/>
          <w:bCs/>
          <w:sz w:val="32"/>
          <w:szCs w:val="32"/>
          <w:shd w:val="clear" w:color="auto" w:fill="FFFFFF"/>
        </w:rPr>
        <w:t>四、评价结论及建议</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ascii="楷体_GB2312" w:hAnsi="楷体_GB2312" w:eastAsia="楷体_GB2312" w:cs="楷体_GB2312"/>
          <w:b/>
          <w:bCs w:val="0"/>
          <w:sz w:val="32"/>
          <w:szCs w:val="32"/>
          <w:shd w:val="clear" w:color="auto" w:fill="FFFFFF"/>
        </w:rPr>
      </w:pPr>
      <w:r>
        <w:rPr>
          <w:rFonts w:hint="eastAsia" w:ascii="楷体_GB2312" w:hAnsi="楷体_GB2312" w:eastAsia="楷体_GB2312" w:cs="楷体_GB2312"/>
          <w:b/>
          <w:bCs w:val="0"/>
          <w:sz w:val="32"/>
          <w:szCs w:val="32"/>
          <w:shd w:val="clear" w:color="auto" w:fill="FFFFFF"/>
        </w:rPr>
        <w:t>（一）评价结论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2025年度，壤塘县文化广播电视体育和旅游局部门预算绩效自评综合得分</w:t>
      </w:r>
      <w:r>
        <w:rPr>
          <w:rFonts w:hint="eastAsia" w:ascii="仿宋_GB2312" w:hAnsi="仿宋_GB2312" w:cs="仿宋_GB2312"/>
          <w:b w:val="0"/>
          <w:bCs/>
          <w:sz w:val="32"/>
          <w:szCs w:val="32"/>
          <w:shd w:val="clear" w:color="auto" w:fill="FFFFFF"/>
          <w:lang w:val="en-US" w:eastAsia="zh-CN"/>
        </w:rPr>
        <w:t>94</w:t>
      </w:r>
      <w:r>
        <w:rPr>
          <w:rFonts w:hint="eastAsia" w:ascii="仿宋_GB2312" w:hAnsi="仿宋_GB2312" w:eastAsia="仿宋_GB2312" w:cs="仿宋_GB2312"/>
          <w:b w:val="0"/>
          <w:bCs/>
          <w:sz w:val="32"/>
          <w:szCs w:val="32"/>
          <w:shd w:val="clear" w:color="auto" w:fill="FFFFFF"/>
        </w:rPr>
        <w:t>分，绩效评价等级为</w:t>
      </w:r>
      <w:r>
        <w:rPr>
          <w:rFonts w:hint="eastAsia" w:ascii="仿宋_GB2312" w:hAnsi="仿宋_GB2312" w:cs="仿宋_GB2312"/>
          <w:b w:val="0"/>
          <w:bCs/>
          <w:sz w:val="32"/>
          <w:szCs w:val="32"/>
          <w:shd w:val="clear" w:color="auto" w:fill="FFFFFF"/>
          <w:lang w:eastAsia="zh-CN"/>
        </w:rPr>
        <w:t>优</w:t>
      </w:r>
      <w:r>
        <w:rPr>
          <w:rFonts w:hint="eastAsia" w:ascii="仿宋_GB2312" w:hAnsi="仿宋_GB2312" w:eastAsia="仿宋_GB2312" w:cs="仿宋_GB2312"/>
          <w:b w:val="0"/>
          <w:bCs/>
          <w:sz w:val="32"/>
          <w:szCs w:val="32"/>
          <w:shd w:val="clear" w:color="auto" w:fill="FFFFFF"/>
        </w:rPr>
        <w:t>。总体来看，2025年度部门预算收支管理规范有序，预算编制、执行、监管整体可控，财务、资产、采购管理合规到位；部门履职总体到位，重点项目有序推进，绩效目标基本实现，财政资金运行安全规范，资金使用整体效益良好，圆满完成2025年度部门各项工作及预算绩效目标任务。</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ascii="楷体_GB2312" w:hAnsi="楷体_GB2312" w:eastAsia="楷体_GB2312" w:cs="楷体_GB2312"/>
          <w:b/>
          <w:bCs w:val="0"/>
          <w:sz w:val="32"/>
          <w:szCs w:val="32"/>
          <w:shd w:val="clear" w:color="auto" w:fill="FFFFFF"/>
        </w:rPr>
      </w:pPr>
      <w:r>
        <w:rPr>
          <w:rFonts w:hint="eastAsia" w:ascii="楷体_GB2312" w:hAnsi="楷体_GB2312" w:eastAsia="楷体_GB2312" w:cs="楷体_GB2312"/>
          <w:b/>
          <w:bCs w:val="0"/>
          <w:sz w:val="32"/>
          <w:szCs w:val="32"/>
          <w:shd w:val="clear" w:color="auto" w:fill="FFFFFF"/>
        </w:rPr>
        <w:t>（二）存在问题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1. 预算编制精细化水平有待提升，部分专项项目前期调研测算不够细致，预算与实际执行匹配度不足，存在少量资金结余情况。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2. 项目执行进度不均衡，受高原气候、施工条件、地域环境等客观因素影响，个别项目年度执行进度偏慢。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3. 资产管理质效有待提升，部分老旧文体、广电基层设施利用率不高，存量资产盘活力度不足。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4. 文旅产业转化能力偏弱，非遗文创产业化、市场化程度不高，文旅融合产业链条较短，绩效长效效益挖掘不足。</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ascii="楷体_GB2312" w:hAnsi="楷体_GB2312" w:eastAsia="楷体_GB2312" w:cs="楷体_GB2312"/>
          <w:b/>
          <w:bCs w:val="0"/>
          <w:sz w:val="32"/>
          <w:szCs w:val="32"/>
          <w:shd w:val="clear" w:color="auto" w:fill="FFFFFF"/>
        </w:rPr>
      </w:pPr>
      <w:r>
        <w:rPr>
          <w:rFonts w:hint="eastAsia" w:ascii="楷体_GB2312" w:hAnsi="楷体_GB2312" w:eastAsia="楷体_GB2312" w:cs="楷体_GB2312"/>
          <w:b/>
          <w:bCs w:val="0"/>
          <w:sz w:val="32"/>
          <w:szCs w:val="32"/>
          <w:shd w:val="clear" w:color="auto" w:fill="FFFFFF"/>
        </w:rPr>
        <w:t>（三）改进建议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1. 精准优化预算编制，提升资金配置效益。针对预算编制精细化不足问题，结合历年执行数据、行业标准、市场价格细化项目测算，提高预算编制科学性、精准度；强化预算执行动态监控，定期分析执行差异，严控资金结余沉淀；持续深化绩效与预算联动机制，以绩效结果指导次年预算安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2. 细化项目全过程管控，均衡推进项目实施。针对项目进度不均衡问题，提前结合高原季节特点谋划年度项目实施计划，错峰合理安排施工及工作时序；建立项目台账清单化管理，压实项目责任，常态化开展进度督查、难题协调，保障项目按期保质完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3. 强化资产精细管理，加大存量资产盘活力度。针对资产利用率不高问题，常态化开展资产清查盘点，建立闲置低效资产台账，通过升级改造、统筹调剂、合理利用等方式盘活存量资产；健全资产使用、管护、处置全流程管理制度，全面提升资产使用效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4. 深化文旅融合发展，放大长效绩效效益。针对文旅产业转化偏弱问题，持续深耕本土壤巴拉文化IP，加大文创产品研发推广力度，延伸文旅产业链条；健全文旅品牌长效宣传机制，持续提升公共文化服务品质与文旅产业综合效益，全面提升部门整体履职绩效水平。</w:t>
      </w: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tbl>
      <w:tblPr>
        <w:tblStyle w:val="16"/>
        <w:tblW w:w="9480" w:type="dxa"/>
        <w:tblInd w:w="0" w:type="dxa"/>
        <w:shd w:val="clear" w:color="auto" w:fill="auto"/>
        <w:tblLayout w:type="autofit"/>
        <w:tblCellMar>
          <w:top w:w="0" w:type="dxa"/>
          <w:left w:w="0" w:type="dxa"/>
          <w:bottom w:w="0" w:type="dxa"/>
          <w:right w:w="0" w:type="dxa"/>
        </w:tblCellMar>
      </w:tblPr>
      <w:tblGrid>
        <w:gridCol w:w="458"/>
        <w:gridCol w:w="1380"/>
        <w:gridCol w:w="1192"/>
        <w:gridCol w:w="1521"/>
        <w:gridCol w:w="350"/>
        <w:gridCol w:w="1127"/>
        <w:gridCol w:w="352"/>
        <w:gridCol w:w="733"/>
        <w:gridCol w:w="338"/>
        <w:gridCol w:w="305"/>
        <w:gridCol w:w="1724"/>
      </w:tblGrid>
      <w:tr>
        <w:tblPrEx>
          <w:tblCellMar>
            <w:top w:w="0" w:type="dxa"/>
            <w:left w:w="0" w:type="dxa"/>
            <w:bottom w:w="0" w:type="dxa"/>
            <w:right w:w="0" w:type="dxa"/>
          </w:tblCellMar>
        </w:tblPrEx>
        <w:trPr>
          <w:trHeight w:val="946" w:hRule="atLeast"/>
        </w:trPr>
        <w:tc>
          <w:tcPr>
            <w:tcW w:w="9480"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shd w:val="clear" w:color="auto" w:fill="auto"/>
          <w:tblCellMar>
            <w:top w:w="0" w:type="dxa"/>
            <w:left w:w="0" w:type="dxa"/>
            <w:bottom w:w="0" w:type="dxa"/>
            <w:right w:w="0" w:type="dxa"/>
          </w:tblCellMar>
        </w:tblPrEx>
        <w:trPr>
          <w:trHeight w:val="360" w:hRule="atLeast"/>
        </w:trPr>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642"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壤塘县文化广播电视体育和旅游局年度项目支出</w:t>
            </w:r>
          </w:p>
        </w:tc>
      </w:tr>
      <w:tr>
        <w:tblPrEx>
          <w:shd w:val="clear" w:color="auto" w:fill="auto"/>
          <w:tblCellMar>
            <w:top w:w="0" w:type="dxa"/>
            <w:left w:w="0" w:type="dxa"/>
            <w:bottom w:w="0" w:type="dxa"/>
            <w:right w:w="0" w:type="dxa"/>
          </w:tblCellMar>
        </w:tblPrEx>
        <w:trPr>
          <w:trHeight w:val="669" w:hRule="atLeast"/>
        </w:trPr>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54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壤塘县委宣传部</w:t>
            </w:r>
          </w:p>
        </w:tc>
        <w:tc>
          <w:tcPr>
            <w:tcW w:w="733"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壤塘县文化广播电视体育和旅游局</w:t>
            </w:r>
          </w:p>
        </w:tc>
      </w:tr>
      <w:tr>
        <w:tblPrEx>
          <w:tblCellMar>
            <w:top w:w="0" w:type="dxa"/>
            <w:left w:w="0" w:type="dxa"/>
            <w:bottom w:w="0" w:type="dxa"/>
            <w:right w:w="0" w:type="dxa"/>
          </w:tblCellMar>
        </w:tblPrEx>
        <w:trPr>
          <w:trHeight w:val="360" w:hRule="atLeast"/>
        </w:trPr>
        <w:tc>
          <w:tcPr>
            <w:tcW w:w="4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54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10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CellMar>
            <w:top w:w="0" w:type="dxa"/>
            <w:left w:w="0" w:type="dxa"/>
            <w:bottom w:w="0" w:type="dxa"/>
            <w:right w:w="0" w:type="dxa"/>
          </w:tblCellMar>
        </w:tblPrEx>
        <w:trPr>
          <w:trHeight w:val="1265" w:hRule="atLeast"/>
        </w:trPr>
        <w:tc>
          <w:tcPr>
            <w:tcW w:w="4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54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 完成棒托寺菩提塔修缮项目主体工程；2. 开展非遗文化普查与保护工作；3. 组织2场文旅宣传活动，提升县域文旅影响力；4. 保障公共文化服务设施正常运行。</w:t>
            </w:r>
          </w:p>
        </w:tc>
        <w:tc>
          <w:tcPr>
            <w:tcW w:w="310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本年度项目按计划推进，菩提塔修缮工程主体完工，非遗普查完成阶段性成果，文旅宣传活动顺利开展，公共文化设施运行正常，年度目标基本达成。</w:t>
            </w:r>
          </w:p>
        </w:tc>
      </w:tr>
      <w:tr>
        <w:tblPrEx>
          <w:tblCellMar>
            <w:top w:w="0" w:type="dxa"/>
            <w:left w:w="0" w:type="dxa"/>
            <w:bottom w:w="0" w:type="dxa"/>
            <w:right w:w="0" w:type="dxa"/>
          </w:tblCellMar>
        </w:tblPrEx>
        <w:trPr>
          <w:trHeight w:val="738" w:hRule="atLeast"/>
        </w:trPr>
        <w:tc>
          <w:tcPr>
            <w:tcW w:w="4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642"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项目按预算批复执行，资金主要用于文物修缮、非遗保护、文旅宣传和设施运维。严格按照政府采购流程开展工程及服务采购，按进度拨付资金，过程中强化监督检查，确保项目实施合规、高效。</w:t>
            </w:r>
          </w:p>
        </w:tc>
      </w:tr>
      <w:tr>
        <w:tblPrEx>
          <w:tblCellMar>
            <w:top w:w="0" w:type="dxa"/>
            <w:left w:w="0" w:type="dxa"/>
            <w:bottom w:w="0" w:type="dxa"/>
            <w:right w:w="0" w:type="dxa"/>
          </w:tblCellMar>
        </w:tblPrEx>
        <w:trPr>
          <w:trHeight w:val="645" w:hRule="atLeast"/>
        </w:trPr>
        <w:tc>
          <w:tcPr>
            <w:tcW w:w="4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182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7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CellMar>
            <w:top w:w="0" w:type="dxa"/>
            <w:left w:w="0" w:type="dxa"/>
            <w:bottom w:w="0" w:type="dxa"/>
            <w:right w:w="0" w:type="dxa"/>
          </w:tblCellMar>
        </w:tblPrEx>
        <w:trPr>
          <w:trHeight w:val="394" w:hRule="atLeast"/>
        </w:trPr>
        <w:tc>
          <w:tcPr>
            <w:tcW w:w="4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254.82</w:t>
            </w:r>
          </w:p>
        </w:tc>
        <w:tc>
          <w:tcPr>
            <w:tcW w:w="1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254.82</w:t>
            </w:r>
          </w:p>
        </w:tc>
        <w:tc>
          <w:tcPr>
            <w:tcW w:w="182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254.82</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72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w:t>
            </w:r>
          </w:p>
        </w:tc>
      </w:tr>
      <w:tr>
        <w:tblPrEx>
          <w:tblCellMar>
            <w:top w:w="0" w:type="dxa"/>
            <w:left w:w="0" w:type="dxa"/>
            <w:bottom w:w="0" w:type="dxa"/>
            <w:right w:w="0" w:type="dxa"/>
          </w:tblCellMar>
        </w:tblPrEx>
        <w:trPr>
          <w:trHeight w:val="439" w:hRule="atLeast"/>
        </w:trPr>
        <w:tc>
          <w:tcPr>
            <w:tcW w:w="4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254.82</w:t>
            </w:r>
          </w:p>
        </w:tc>
        <w:tc>
          <w:tcPr>
            <w:tcW w:w="1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254.82</w:t>
            </w:r>
          </w:p>
        </w:tc>
        <w:tc>
          <w:tcPr>
            <w:tcW w:w="182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254.82</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7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55" w:hRule="atLeast"/>
        </w:trPr>
        <w:tc>
          <w:tcPr>
            <w:tcW w:w="4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2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7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409" w:hRule="atLeast"/>
        </w:trPr>
        <w:tc>
          <w:tcPr>
            <w:tcW w:w="4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2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7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1265" w:hRule="atLeast"/>
        </w:trPr>
        <w:tc>
          <w:tcPr>
            <w:tcW w:w="4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82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7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CellMar>
            <w:top w:w="0" w:type="dxa"/>
            <w:left w:w="0" w:type="dxa"/>
            <w:bottom w:w="0" w:type="dxa"/>
            <w:right w:w="0" w:type="dxa"/>
          </w:tblCellMar>
        </w:tblPrEx>
        <w:trPr>
          <w:trHeight w:val="1265" w:hRule="atLeast"/>
        </w:trPr>
        <w:tc>
          <w:tcPr>
            <w:tcW w:w="458"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1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3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7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CellMar>
            <w:top w:w="0" w:type="dxa"/>
            <w:left w:w="0" w:type="dxa"/>
            <w:bottom w:w="0" w:type="dxa"/>
            <w:right w:w="0" w:type="dxa"/>
          </w:tblCellMar>
        </w:tblPrEx>
        <w:trPr>
          <w:trHeight w:val="645" w:hRule="atLeast"/>
        </w:trPr>
        <w:tc>
          <w:tcPr>
            <w:tcW w:w="45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19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1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修缮工程完成率</w:t>
            </w:r>
          </w:p>
        </w:tc>
        <w:tc>
          <w:tcPr>
            <w:tcW w:w="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3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7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CellMar>
            <w:top w:w="0" w:type="dxa"/>
            <w:left w:w="0" w:type="dxa"/>
            <w:bottom w:w="0" w:type="dxa"/>
            <w:right w:w="0" w:type="dxa"/>
          </w:tblCellMar>
        </w:tblPrEx>
        <w:trPr>
          <w:trHeight w:val="645" w:hRule="atLeast"/>
        </w:trPr>
        <w:tc>
          <w:tcPr>
            <w:tcW w:w="45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非遗普查完成数</w:t>
            </w:r>
          </w:p>
        </w:tc>
        <w:tc>
          <w:tcPr>
            <w:tcW w:w="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≥5项</w:t>
            </w:r>
          </w:p>
        </w:tc>
        <w:tc>
          <w:tcPr>
            <w:tcW w:w="3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6项</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7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CellMar>
            <w:top w:w="0" w:type="dxa"/>
            <w:left w:w="0" w:type="dxa"/>
            <w:bottom w:w="0" w:type="dxa"/>
            <w:right w:w="0" w:type="dxa"/>
          </w:tblCellMar>
        </w:tblPrEx>
        <w:trPr>
          <w:trHeight w:val="645" w:hRule="atLeast"/>
        </w:trPr>
        <w:tc>
          <w:tcPr>
            <w:tcW w:w="45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文旅宣传活动场次</w:t>
            </w:r>
          </w:p>
        </w:tc>
        <w:tc>
          <w:tcPr>
            <w:tcW w:w="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≥2场</w:t>
            </w:r>
          </w:p>
        </w:tc>
        <w:tc>
          <w:tcPr>
            <w:tcW w:w="3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场</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2场</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7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CellMar>
            <w:top w:w="0" w:type="dxa"/>
            <w:left w:w="0" w:type="dxa"/>
            <w:bottom w:w="0" w:type="dxa"/>
            <w:right w:w="0" w:type="dxa"/>
          </w:tblCellMar>
        </w:tblPrEx>
        <w:trPr>
          <w:trHeight w:val="645" w:hRule="atLeast"/>
        </w:trPr>
        <w:tc>
          <w:tcPr>
            <w:tcW w:w="45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19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1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工程验收合格率</w:t>
            </w:r>
          </w:p>
        </w:tc>
        <w:tc>
          <w:tcPr>
            <w:tcW w:w="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3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7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CellMar>
            <w:top w:w="0" w:type="dxa"/>
            <w:left w:w="0" w:type="dxa"/>
            <w:bottom w:w="0" w:type="dxa"/>
            <w:right w:w="0" w:type="dxa"/>
          </w:tblCellMar>
        </w:tblPrEx>
        <w:trPr>
          <w:trHeight w:val="645" w:hRule="atLeast"/>
        </w:trPr>
        <w:tc>
          <w:tcPr>
            <w:tcW w:w="45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19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普查成果合格率</w:t>
            </w:r>
          </w:p>
        </w:tc>
        <w:tc>
          <w:tcPr>
            <w:tcW w:w="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3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7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CellMar>
            <w:top w:w="0" w:type="dxa"/>
            <w:left w:w="0" w:type="dxa"/>
            <w:bottom w:w="0" w:type="dxa"/>
            <w:right w:w="0" w:type="dxa"/>
          </w:tblCellMar>
        </w:tblPrEx>
        <w:trPr>
          <w:trHeight w:val="669" w:hRule="atLeast"/>
        </w:trPr>
        <w:tc>
          <w:tcPr>
            <w:tcW w:w="45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1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项目按期完成率</w:t>
            </w:r>
          </w:p>
        </w:tc>
        <w:tc>
          <w:tcPr>
            <w:tcW w:w="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3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17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个别环节受天气影响略有延误，已整改</w:t>
            </w:r>
          </w:p>
        </w:tc>
      </w:tr>
      <w:tr>
        <w:tblPrEx>
          <w:shd w:val="clear" w:color="auto" w:fill="auto"/>
          <w:tblCellMar>
            <w:top w:w="0" w:type="dxa"/>
            <w:left w:w="0" w:type="dxa"/>
            <w:bottom w:w="0" w:type="dxa"/>
            <w:right w:w="0" w:type="dxa"/>
          </w:tblCellMar>
        </w:tblPrEx>
        <w:trPr>
          <w:trHeight w:val="645" w:hRule="atLeast"/>
        </w:trPr>
        <w:tc>
          <w:tcPr>
            <w:tcW w:w="45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1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群众文化满意度</w:t>
            </w:r>
          </w:p>
        </w:tc>
        <w:tc>
          <w:tcPr>
            <w:tcW w:w="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3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≥92%</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7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CellMar>
            <w:top w:w="0" w:type="dxa"/>
            <w:left w:w="0" w:type="dxa"/>
            <w:bottom w:w="0" w:type="dxa"/>
            <w:right w:w="0" w:type="dxa"/>
          </w:tblCellMar>
        </w:tblPrEx>
        <w:trPr>
          <w:trHeight w:val="645" w:hRule="atLeast"/>
        </w:trPr>
        <w:tc>
          <w:tcPr>
            <w:tcW w:w="45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可持续影响指标</w:t>
            </w:r>
          </w:p>
        </w:tc>
        <w:tc>
          <w:tcPr>
            <w:tcW w:w="1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文化遗产保护延续性</w:t>
            </w:r>
          </w:p>
        </w:tc>
        <w:tc>
          <w:tcPr>
            <w:tcW w:w="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11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持续改善</w:t>
            </w:r>
          </w:p>
        </w:tc>
        <w:tc>
          <w:tcPr>
            <w:tcW w:w="3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7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CellMar>
            <w:top w:w="0" w:type="dxa"/>
            <w:left w:w="0" w:type="dxa"/>
            <w:bottom w:w="0" w:type="dxa"/>
            <w:right w:w="0" w:type="dxa"/>
          </w:tblCellMar>
        </w:tblPrEx>
        <w:trPr>
          <w:trHeight w:val="645" w:hRule="atLeast"/>
        </w:trPr>
        <w:tc>
          <w:tcPr>
            <w:tcW w:w="45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1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1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群众满意度</w:t>
            </w:r>
          </w:p>
        </w:tc>
        <w:tc>
          <w:tcPr>
            <w:tcW w:w="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3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≥92%</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7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CellMar>
            <w:top w:w="0" w:type="dxa"/>
            <w:left w:w="0" w:type="dxa"/>
            <w:bottom w:w="0" w:type="dxa"/>
            <w:right w:w="0" w:type="dxa"/>
          </w:tblCellMar>
        </w:tblPrEx>
        <w:trPr>
          <w:trHeight w:val="360" w:hRule="atLeast"/>
        </w:trPr>
        <w:tc>
          <w:tcPr>
            <w:tcW w:w="7113"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89</w:t>
            </w:r>
          </w:p>
        </w:tc>
        <w:tc>
          <w:tcPr>
            <w:tcW w:w="17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669"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9022"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本项目自评总分98分（预算执行9分+绩效指标89分），等级为优。项目严格按照预算和绩效目标实施，资金使用合规，工程和服务质量达标，取得了较好的文物保护、文化传承和文旅宣传成效，达到了预期目标。</w:t>
            </w:r>
          </w:p>
        </w:tc>
      </w:tr>
      <w:tr>
        <w:tblPrEx>
          <w:tblCellMar>
            <w:top w:w="0" w:type="dxa"/>
            <w:left w:w="0" w:type="dxa"/>
            <w:bottom w:w="0" w:type="dxa"/>
            <w:right w:w="0" w:type="dxa"/>
          </w:tblCellMar>
        </w:tblPrEx>
        <w:trPr>
          <w:trHeight w:val="1022"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9022"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 个别环节受高原天气影响，进度略有延误；</w:t>
            </w:r>
            <w:r>
              <w:rPr>
                <w:rFonts w:hint="eastAsia" w:ascii="微软雅黑" w:hAnsi="微软雅黑" w:eastAsia="微软雅黑" w:cs="微软雅黑"/>
                <w:i/>
                <w:color w:val="000000"/>
                <w:kern w:val="0"/>
                <w:sz w:val="16"/>
                <w:szCs w:val="16"/>
                <w:u w:val="none"/>
                <w:lang w:val="en-US" w:eastAsia="zh-CN" w:bidi="ar"/>
              </w:rPr>
              <w:br w:type="textWrapping"/>
            </w:r>
            <w:r>
              <w:rPr>
                <w:rFonts w:hint="eastAsia" w:ascii="微软雅黑" w:hAnsi="微软雅黑" w:eastAsia="微软雅黑" w:cs="微软雅黑"/>
                <w:i/>
                <w:color w:val="000000"/>
                <w:kern w:val="0"/>
                <w:sz w:val="16"/>
                <w:szCs w:val="16"/>
                <w:u w:val="none"/>
                <w:lang w:val="en-US" w:eastAsia="zh-CN" w:bidi="ar"/>
              </w:rPr>
              <w:t>2. 项目资金执行率未达100%，尾款支付流程需进一步优化；</w:t>
            </w:r>
            <w:r>
              <w:rPr>
                <w:rFonts w:hint="eastAsia" w:ascii="微软雅黑" w:hAnsi="微软雅黑" w:eastAsia="微软雅黑" w:cs="微软雅黑"/>
                <w:i/>
                <w:color w:val="000000"/>
                <w:kern w:val="0"/>
                <w:sz w:val="16"/>
                <w:szCs w:val="16"/>
                <w:u w:val="none"/>
                <w:lang w:val="en-US" w:eastAsia="zh-CN" w:bidi="ar"/>
              </w:rPr>
              <w:br w:type="textWrapping"/>
            </w:r>
            <w:r>
              <w:rPr>
                <w:rFonts w:hint="eastAsia" w:ascii="微软雅黑" w:hAnsi="微软雅黑" w:eastAsia="微软雅黑" w:cs="微软雅黑"/>
                <w:i/>
                <w:color w:val="000000"/>
                <w:kern w:val="0"/>
                <w:sz w:val="16"/>
                <w:szCs w:val="16"/>
                <w:u w:val="none"/>
                <w:lang w:val="en-US" w:eastAsia="zh-CN" w:bidi="ar"/>
              </w:rPr>
              <w:t>3. 文旅宣传活动形式仍需创新，影响力有待提升。</w:t>
            </w:r>
          </w:p>
        </w:tc>
      </w:tr>
      <w:tr>
        <w:tblPrEx>
          <w:shd w:val="clear" w:color="auto" w:fill="auto"/>
          <w:tblCellMar>
            <w:top w:w="0" w:type="dxa"/>
            <w:left w:w="0" w:type="dxa"/>
            <w:bottom w:w="0" w:type="dxa"/>
            <w:right w:w="0" w:type="dxa"/>
          </w:tblCellMar>
        </w:tblPrEx>
        <w:trPr>
          <w:trHeight w:val="978"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9022"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 提前制定高原施工计划，避开恶劣天气，保障项目按期完成；</w:t>
            </w:r>
            <w:r>
              <w:rPr>
                <w:rFonts w:hint="eastAsia" w:ascii="微软雅黑" w:hAnsi="微软雅黑" w:eastAsia="微软雅黑" w:cs="微软雅黑"/>
                <w:i/>
                <w:color w:val="000000"/>
                <w:kern w:val="0"/>
                <w:sz w:val="16"/>
                <w:szCs w:val="16"/>
                <w:u w:val="none"/>
                <w:lang w:val="en-US" w:eastAsia="zh-CN" w:bidi="ar"/>
              </w:rPr>
              <w:br w:type="textWrapping"/>
            </w:r>
            <w:r>
              <w:rPr>
                <w:rFonts w:hint="eastAsia" w:ascii="微软雅黑" w:hAnsi="微软雅黑" w:eastAsia="微软雅黑" w:cs="微软雅黑"/>
                <w:i/>
                <w:color w:val="000000"/>
                <w:kern w:val="0"/>
                <w:sz w:val="16"/>
                <w:szCs w:val="16"/>
                <w:u w:val="none"/>
                <w:lang w:val="en-US" w:eastAsia="zh-CN" w:bidi="ar"/>
              </w:rPr>
              <w:t>2. 优化资金拨付流程，加强与审计、财政部门沟通，提高资金执行效率；</w:t>
            </w:r>
            <w:r>
              <w:rPr>
                <w:rFonts w:hint="eastAsia" w:ascii="微软雅黑" w:hAnsi="微软雅黑" w:eastAsia="微软雅黑" w:cs="微软雅黑"/>
                <w:i/>
                <w:color w:val="000000"/>
                <w:kern w:val="0"/>
                <w:sz w:val="16"/>
                <w:szCs w:val="16"/>
                <w:u w:val="none"/>
                <w:lang w:val="en-US" w:eastAsia="zh-CN" w:bidi="ar"/>
              </w:rPr>
              <w:br w:type="textWrapping"/>
            </w:r>
            <w:r>
              <w:rPr>
                <w:rFonts w:hint="eastAsia" w:ascii="微软雅黑" w:hAnsi="微软雅黑" w:eastAsia="微软雅黑" w:cs="微软雅黑"/>
                <w:i/>
                <w:color w:val="000000"/>
                <w:kern w:val="0"/>
                <w:sz w:val="16"/>
                <w:szCs w:val="16"/>
                <w:u w:val="none"/>
                <w:lang w:val="en-US" w:eastAsia="zh-CN" w:bidi="ar"/>
              </w:rPr>
              <w:t>3. 结合壤塘县特色文化资源，创新宣传形式，扩大活动覆盖面，提升文旅品牌影响力。</w:t>
            </w:r>
          </w:p>
        </w:tc>
      </w:tr>
      <w:tr>
        <w:tblPrEx>
          <w:tblCellMar>
            <w:top w:w="0" w:type="dxa"/>
            <w:left w:w="0" w:type="dxa"/>
            <w:bottom w:w="0" w:type="dxa"/>
            <w:right w:w="0" w:type="dxa"/>
          </w:tblCellMar>
        </w:tblPrEx>
        <w:trPr>
          <w:trHeight w:val="380" w:hRule="atLeast"/>
        </w:trPr>
        <w:tc>
          <w:tcPr>
            <w:tcW w:w="4901"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项目负责人：林忠润</w:t>
            </w:r>
          </w:p>
        </w:tc>
        <w:tc>
          <w:tcPr>
            <w:tcW w:w="457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黑体" w:hAnsi="黑体" w:eastAsia="黑体" w:cs="黑体"/>
                <w:i w:val="0"/>
                <w:color w:val="000000"/>
                <w:sz w:val="18"/>
                <w:szCs w:val="18"/>
                <w:u w:val="none"/>
                <w:lang w:val="en-US"/>
              </w:rPr>
            </w:pPr>
            <w:r>
              <w:rPr>
                <w:rFonts w:hint="eastAsia" w:ascii="黑体" w:hAnsi="黑体" w:eastAsia="黑体" w:cs="黑体"/>
                <w:i w:val="0"/>
                <w:color w:val="000000"/>
                <w:kern w:val="0"/>
                <w:sz w:val="18"/>
                <w:szCs w:val="18"/>
                <w:u w:val="none"/>
                <w:lang w:val="en-US" w:eastAsia="zh-CN" w:bidi="ar"/>
              </w:rPr>
              <w:t>财务负责人：雷佳</w:t>
            </w:r>
          </w:p>
        </w:tc>
      </w:tr>
    </w:tbl>
    <w:p>
      <w:pPr>
        <w:rPr>
          <w:rFonts w:hint="eastAsia" w:ascii="Times New Roman" w:hAnsi="Times New Roman" w:eastAsia="黑体" w:cs="黑体"/>
          <w:color w:val="auto"/>
          <w:kern w:val="0"/>
          <w:sz w:val="32"/>
          <w:szCs w:val="32"/>
          <w:highlight w:val="none"/>
          <w:shd w:val="clear" w:color="auto" w:fill="FFFFFF"/>
          <w:lang w:val="zh-CN"/>
        </w:rPr>
      </w:pPr>
    </w:p>
    <w:p>
      <w:pPr>
        <w:pStyle w:val="6"/>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壤塘县岗木达镇章光村农旅融合发展项目专项预算绩效自评报告</w:t>
      </w:r>
    </w:p>
    <w:p>
      <w:pPr>
        <w:pStyle w:val="35"/>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eastAsia"/>
          <w:lang w:val="en-US" w:eastAsia="zh-CN"/>
        </w:rPr>
      </w:pPr>
      <w:r>
        <w:rPr>
          <w:rFonts w:hint="eastAsia" w:ascii="Times New Roman" w:hAnsi="Times New Roman" w:eastAsia="黑体"/>
          <w:sz w:val="32"/>
          <w:szCs w:val="32"/>
          <w:highlight w:val="none"/>
          <w:lang w:val="en-US" w:eastAsia="zh-CN"/>
        </w:rPr>
        <w:t>一、项目概况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lang w:val="en-US" w:eastAsia="zh-CN"/>
        </w:rPr>
      </w:pPr>
      <w:r>
        <w:rPr>
          <w:rFonts w:hint="eastAsia" w:ascii="Times New Roman" w:hAnsi="Times New Roman" w:eastAsia="楷体_GB2312"/>
          <w:b/>
          <w:color w:val="auto"/>
          <w:sz w:val="32"/>
          <w:szCs w:val="32"/>
          <w:highlight w:val="none"/>
          <w:u w:val="none"/>
          <w:lang w:val="en-US" w:eastAsia="zh-CN"/>
        </w:rPr>
        <w:t>（一）设立背景及基本情况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为深入推进乡村振兴战略落地实施，立足岗木达镇章光村资源禀赋，补齐乡村旅游基础设施短板，激活村级文旅发展动能，推动农旅融合产业高质量发展，实施壤塘县岗木达镇章光村农旅融合发展项目。项目严格按照立项审批流程完成项目立项、资金申报等工作。项目主要建设内容包含改造及新建道路、停车场共计1890.93㎡，修建园路栈道1069.05㎡，配套建设森林木屋及附属设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lang w:val="en-US" w:eastAsia="zh-CN"/>
        </w:rPr>
      </w:pPr>
      <w:r>
        <w:rPr>
          <w:rFonts w:hint="eastAsia" w:ascii="Times New Roman" w:hAnsi="Times New Roman" w:eastAsia="仿宋_GB2312" w:cs="仿宋_GB2312"/>
          <w:b w:val="0"/>
          <w:bCs w:val="0"/>
          <w:kern w:val="0"/>
          <w:position w:val="0"/>
          <w:sz w:val="32"/>
          <w:szCs w:val="32"/>
          <w:highlight w:val="none"/>
          <w:lang w:val="en-US" w:eastAsia="zh-CN" w:bidi="ar-SA"/>
        </w:rPr>
        <w:t>本项目主管部门为壤塘县住房和城乡建设局，负责项目统筹监管、业务指导；实施单位为壤塘县文化广播电视体育和旅游局，承担项目建设推进、资金使用管理、绩效目标落地等主体责任。</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b/>
          <w:color w:val="auto"/>
          <w:sz w:val="32"/>
          <w:szCs w:val="32"/>
          <w:highlight w:val="none"/>
          <w:u w:val="none"/>
          <w:lang w:val="en-US" w:eastAsia="zh-CN"/>
        </w:rPr>
        <w:t>（二）实施目的及支持方向</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楷体_GB2312"/>
          <w:b/>
          <w:color w:val="auto"/>
          <w:sz w:val="32"/>
          <w:szCs w:val="32"/>
          <w:highlight w:val="none"/>
          <w:u w:val="none"/>
          <w:lang w:val="en-US" w:eastAsia="zh-CN"/>
        </w:rPr>
      </w:pPr>
      <w:r>
        <w:rPr>
          <w:rFonts w:hint="eastAsia" w:ascii="Times New Roman" w:hAnsi="Times New Roman" w:eastAsia="仿宋_GB2312" w:cs="仿宋_GB2312"/>
          <w:b w:val="0"/>
          <w:bCs w:val="0"/>
          <w:kern w:val="0"/>
          <w:position w:val="0"/>
          <w:sz w:val="32"/>
          <w:szCs w:val="32"/>
          <w:highlight w:val="none"/>
          <w:lang w:val="en-US" w:eastAsia="zh-CN" w:bidi="ar-SA"/>
        </w:rPr>
        <w:t>为规范专项资金管理，切实提高资金使用效益，严格落实财政专项资金相关管理规定，强化项目全流程管控。本项目实施核心目的是完善章光村乡村旅游基础设施，改善乡村文旅硬件条件，培育村级农旅融合产业；拓宽群众增收渠道，带动村集体经济增收、实现群众就地就业，推动巩固拓展脱贫攻坚成果同乡村振兴有效衔接。项目支持方向重点为村级农旅基础设施建设、乡村旅游配套设施提质改造。</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lang w:val="en-US" w:eastAsia="zh-CN"/>
        </w:rPr>
      </w:pPr>
      <w:r>
        <w:rPr>
          <w:rFonts w:hint="eastAsia" w:ascii="Times New Roman" w:hAnsi="Times New Roman" w:eastAsia="楷体_GB2312"/>
          <w:b/>
          <w:color w:val="auto"/>
          <w:sz w:val="32"/>
          <w:szCs w:val="32"/>
          <w:highlight w:val="none"/>
          <w:u w:val="none"/>
          <w:lang w:val="en-US" w:eastAsia="zh-CN"/>
        </w:rPr>
        <w:t>（三）预算安排及分配管理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lang w:val="en-US" w:eastAsia="zh-CN"/>
        </w:rPr>
      </w:pPr>
      <w:r>
        <w:rPr>
          <w:rFonts w:hint="eastAsia" w:ascii="Times New Roman" w:hAnsi="Times New Roman" w:eastAsia="仿宋_GB2312" w:cs="仿宋_GB2312"/>
          <w:b w:val="0"/>
          <w:bCs w:val="0"/>
          <w:kern w:val="0"/>
          <w:position w:val="0"/>
          <w:sz w:val="32"/>
          <w:szCs w:val="32"/>
          <w:highlight w:val="none"/>
          <w:lang w:val="en-US" w:eastAsia="zh-CN" w:bidi="ar-SA"/>
        </w:rPr>
        <w:t>本年度项目年度资金总预算410万元，资金全部为本年财政拨款，无其他资金投入。资金分配坚持专款专用、精准使用原则，紧紧围绕项目建设内容，综合考虑工程施工量、材料价格、施工时序等因素合理调度拨付资金，全年资金实际执行数380.31万元，预算执行率92.76%，资金主要用于道路及停车场改造新建、园路栈道修建、森林木屋及附属设施建设相关工程费用。</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Times New Roman" w:hAnsi="Times New Roman" w:eastAsia="楷体_GB2312"/>
          <w:b/>
          <w:color w:val="auto"/>
          <w:sz w:val="32"/>
          <w:szCs w:val="32"/>
          <w:highlight w:val="none"/>
          <w:u w:val="none"/>
          <w:lang w:val="en-US" w:eastAsia="zh-CN"/>
        </w:rPr>
      </w:pPr>
      <w:r>
        <w:rPr>
          <w:rFonts w:hint="eastAsia" w:ascii="Times New Roman" w:hAnsi="Times New Roman" w:eastAsia="楷体_GB2312"/>
          <w:b/>
          <w:color w:val="auto"/>
          <w:sz w:val="32"/>
          <w:szCs w:val="32"/>
          <w:highlight w:val="none"/>
          <w:u w:val="none"/>
          <w:lang w:val="en-US" w:eastAsia="zh-CN"/>
        </w:rPr>
        <w:t>（四）项目绩效目标设置</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lang w:val="en-US" w:eastAsia="zh-CN"/>
        </w:rPr>
      </w:pPr>
      <w:r>
        <w:rPr>
          <w:rFonts w:hint="eastAsia" w:ascii="Times New Roman" w:hAnsi="Times New Roman" w:eastAsia="仿宋_GB2312" w:cs="仿宋_GB2312"/>
          <w:b w:val="0"/>
          <w:bCs w:val="0"/>
          <w:kern w:val="0"/>
          <w:position w:val="0"/>
          <w:sz w:val="32"/>
          <w:szCs w:val="32"/>
          <w:highlight w:val="none"/>
          <w:lang w:val="en-US" w:eastAsia="zh-CN" w:bidi="ar-SA"/>
        </w:rPr>
        <w:t>项目年初科学设置总体绩效目标，一是完成改造道路、停车场1890.93㎡；二是完成修建园路栈道1069.05㎡；三是建成森林木屋及附属设施，同步细化设置产出、效益、满意度三级绩效指标体系，量化工程建设数量、质量、时效、成本、经济效益、社会效益、生态效益、可持续影响、服务对象满意度指标目标值。为扎实做好绩效自评工作，实施单位组织专人开展资料归集核查、现场核实，对照年初绩效目标逐项核查全年实际完成情况，客观开展项目自评打分。</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eastAsia"/>
          <w:lang w:val="en-US" w:eastAsia="zh-CN"/>
        </w:rPr>
      </w:pPr>
      <w:r>
        <w:rPr>
          <w:rFonts w:hint="eastAsia" w:ascii="Times New Roman" w:hAnsi="Times New Roman" w:eastAsia="黑体"/>
          <w:sz w:val="32"/>
          <w:szCs w:val="32"/>
          <w:highlight w:val="none"/>
          <w:lang w:val="en-US" w:eastAsia="zh-CN"/>
        </w:rPr>
        <w:t>二、评价实施</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lang w:val="en-US" w:eastAsia="zh-CN"/>
        </w:rPr>
      </w:pPr>
      <w:r>
        <w:rPr>
          <w:rFonts w:hint="eastAsia" w:ascii="Times New Roman" w:hAnsi="Times New Roman" w:eastAsia="楷体_GB2312"/>
          <w:b/>
          <w:color w:val="auto"/>
          <w:sz w:val="32"/>
          <w:szCs w:val="32"/>
          <w:highlight w:val="none"/>
          <w:u w:val="none"/>
          <w:lang w:val="en-US" w:eastAsia="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lang w:val="en-US" w:eastAsia="zh-CN"/>
        </w:rPr>
      </w:pPr>
      <w:r>
        <w:rPr>
          <w:rFonts w:hint="eastAsia" w:ascii="Times New Roman" w:hAnsi="Times New Roman" w:eastAsia="仿宋_GB2312" w:cs="仿宋_GB2312"/>
          <w:b w:val="0"/>
          <w:bCs w:val="0"/>
          <w:kern w:val="0"/>
          <w:position w:val="0"/>
          <w:sz w:val="32"/>
          <w:szCs w:val="32"/>
          <w:highlight w:val="none"/>
          <w:lang w:val="en-US" w:eastAsia="zh-CN" w:bidi="ar-SA"/>
        </w:rPr>
        <w:t>本次绩效自评，旨在核实项目预算资金使用的规范性、合理性、效益性，核查各项绩效目标落地完成情况，客观查摆项目实施、资金执行、工程推进过程中存在短板弱项；强化财政资金闭环管理意识，为后续项目实施、预算编制、资金调度、项目管护提供依据，充分发挥财政资金效能。</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lang w:val="en-US" w:eastAsia="zh-CN"/>
        </w:rPr>
      </w:pPr>
      <w:r>
        <w:rPr>
          <w:rFonts w:hint="eastAsia" w:ascii="Times New Roman" w:hAnsi="Times New Roman" w:eastAsia="楷体_GB2312"/>
          <w:b/>
          <w:color w:val="auto"/>
          <w:sz w:val="32"/>
          <w:szCs w:val="32"/>
          <w:highlight w:val="none"/>
          <w:u w:val="none"/>
          <w:lang w:val="en-US" w:eastAsia="zh-CN"/>
        </w:rPr>
        <w:t>（二）预设问题及评价重点</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lang w:val="en-US" w:eastAsia="zh-CN"/>
        </w:rPr>
      </w:pPr>
      <w:r>
        <w:rPr>
          <w:rFonts w:hint="eastAsia" w:ascii="Times New Roman" w:hAnsi="Times New Roman" w:eastAsia="仿宋_GB2312" w:cs="仿宋_GB2312"/>
          <w:b w:val="0"/>
          <w:bCs w:val="0"/>
          <w:kern w:val="0"/>
          <w:position w:val="0"/>
          <w:sz w:val="32"/>
          <w:szCs w:val="32"/>
          <w:highlight w:val="none"/>
          <w:lang w:val="en-US" w:eastAsia="zh-CN" w:bidi="ar-SA"/>
        </w:rPr>
        <w:t>本次自评严格对照项目绩效指标体系，以财政资金支出使用全过程管控、项目工程实施成效作为核心评价重点，重点核查项目决策程序合规性、工程建设任务完成质量、项目时效管控、专项资金拨付使用、项目实施产生经济社会效益、群众满意度落实等情况，对各项指标目标值和全年实际完成情况逐项比对，综合开展绩效判断。</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lang w:val="en-US" w:eastAsia="zh-CN"/>
        </w:rPr>
      </w:pPr>
      <w:r>
        <w:rPr>
          <w:rFonts w:hint="eastAsia" w:ascii="Times New Roman" w:hAnsi="Times New Roman" w:eastAsia="楷体_GB2312"/>
          <w:b/>
          <w:color w:val="auto"/>
          <w:sz w:val="32"/>
          <w:szCs w:val="32"/>
          <w:highlight w:val="none"/>
          <w:u w:val="none"/>
          <w:lang w:val="en-US" w:eastAsia="zh-CN"/>
        </w:rPr>
        <w:t>（三）评价选点</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lang w:val="en-US" w:eastAsia="zh-CN"/>
        </w:rPr>
      </w:pPr>
      <w:r>
        <w:rPr>
          <w:rFonts w:hint="eastAsia" w:ascii="Times New Roman" w:hAnsi="Times New Roman" w:eastAsia="仿宋_GB2312" w:cs="仿宋_GB2312"/>
          <w:b w:val="0"/>
          <w:bCs w:val="0"/>
          <w:kern w:val="0"/>
          <w:position w:val="0"/>
          <w:sz w:val="32"/>
          <w:szCs w:val="32"/>
          <w:highlight w:val="none"/>
          <w:lang w:val="en-US" w:eastAsia="zh-CN" w:bidi="ar-SA"/>
        </w:rPr>
        <w:t>本项目实施点位仅壤塘县岗木达镇章光村项目施工现场，自评工作组将该点位作为实地踏勘点位，实地核查工程实体完成情况，点位清单作为自评附表归档。现场实地核实</w:t>
      </w:r>
      <w:r>
        <w:rPr>
          <w:rFonts w:hint="eastAsia" w:eastAsia="仿宋_GB2312" w:cs="仿宋_GB2312"/>
          <w:b w:val="0"/>
          <w:bCs w:val="0"/>
          <w:kern w:val="0"/>
          <w:position w:val="0"/>
          <w:sz w:val="32"/>
          <w:szCs w:val="32"/>
          <w:highlight w:val="none"/>
          <w:lang w:val="en-US" w:eastAsia="zh-CN" w:bidi="ar-SA"/>
        </w:rPr>
        <w:t>工程</w:t>
      </w:r>
      <w:r>
        <w:rPr>
          <w:rFonts w:hint="eastAsia" w:ascii="Times New Roman" w:hAnsi="Times New Roman" w:eastAsia="仿宋_GB2312" w:cs="仿宋_GB2312"/>
          <w:b w:val="0"/>
          <w:bCs w:val="0"/>
          <w:kern w:val="0"/>
          <w:position w:val="0"/>
          <w:sz w:val="32"/>
          <w:szCs w:val="32"/>
          <w:highlight w:val="none"/>
          <w:lang w:val="en-US" w:eastAsia="zh-CN" w:bidi="ar-SA"/>
        </w:rPr>
        <w:t>完成情况、工程质量现状，走访村内群众了解项目建设诉求与意见。</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lang w:val="en-US" w:eastAsia="zh-CN"/>
        </w:rPr>
      </w:pPr>
      <w:r>
        <w:rPr>
          <w:rFonts w:hint="eastAsia" w:ascii="Times New Roman" w:hAnsi="Times New Roman" w:eastAsia="楷体_GB2312"/>
          <w:b/>
          <w:color w:val="auto"/>
          <w:sz w:val="32"/>
          <w:szCs w:val="32"/>
          <w:highlight w:val="none"/>
          <w:u w:val="none"/>
          <w:lang w:val="en-US" w:eastAsia="zh-CN"/>
        </w:rPr>
        <w:t>（四）评价方法</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本次自评综合运用案卷研究法、实地勘察法、座谈调研法、问卷调查法、单位自评法开展评价工作。案卷研究：查阅项目立项资料、合同资料、资金拨付凭证、施工资料等档案材料；实地勘察：赴章光村项目现场实地核验道路、停车场、栈道、森林木屋建设完成情况；座谈调研：和施工方、村“两委”开展座谈，了解项目建设存在堵点难点；问卷调查：面向农牧民、参与项目群众、游客开展满意度问卷调查；单位自评：业务、财务工作人员对照绩效目标表逐项开展指标自评打分。</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lang w:val="en-US" w:eastAsia="zh-CN"/>
        </w:rPr>
      </w:pPr>
      <w:r>
        <w:rPr>
          <w:rFonts w:hint="eastAsia" w:ascii="Times New Roman" w:hAnsi="Times New Roman" w:eastAsia="楷体_GB2312"/>
          <w:b/>
          <w:color w:val="auto"/>
          <w:sz w:val="32"/>
          <w:szCs w:val="32"/>
          <w:highlight w:val="none"/>
          <w:u w:val="none"/>
          <w:lang w:val="en-US" w:eastAsia="zh-CN"/>
        </w:rPr>
        <w:t>（五）评价组织</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成立项目绩效自评工作组，明确工作职责分工：文旅局业务岗主要负责项目实施情况核实、产出指标、效益指标资料收集核对；财务岗负责项目预算下达、资金拨付执行、资金使用合规性核查；工作组共同开展综合研判，据实完成指标打分，撰写自评材料。</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eastAsia" w:ascii="Times New Roman" w:hAnsi="Times New Roman" w:eastAsia="黑体"/>
          <w:sz w:val="32"/>
          <w:szCs w:val="32"/>
          <w:highlight w:val="none"/>
          <w:lang w:val="en-US" w:eastAsia="zh-CN"/>
        </w:rPr>
      </w:pPr>
      <w:r>
        <w:rPr>
          <w:rFonts w:hint="eastAsia" w:ascii="Times New Roman" w:hAnsi="Times New Roman" w:eastAsia="黑体"/>
          <w:sz w:val="32"/>
          <w:szCs w:val="32"/>
          <w:highlight w:val="none"/>
          <w:lang w:val="en-US" w:eastAsia="zh-CN"/>
        </w:rPr>
        <w:t>三、绩效分析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lang w:val="en-US" w:eastAsia="zh-CN"/>
        </w:rPr>
      </w:pPr>
      <w:r>
        <w:rPr>
          <w:rFonts w:hint="eastAsia" w:ascii="Times New Roman" w:hAnsi="Times New Roman" w:eastAsia="仿宋_GB2312" w:cs="仿宋_GB2312"/>
          <w:b w:val="0"/>
          <w:bCs w:val="0"/>
          <w:kern w:val="0"/>
          <w:position w:val="0"/>
          <w:sz w:val="32"/>
          <w:szCs w:val="32"/>
          <w:highlight w:val="none"/>
          <w:lang w:val="en-US" w:eastAsia="zh-CN" w:bidi="ar-SA"/>
        </w:rPr>
        <w:t>本次绩效评价严格按照设定绩效指标体系逐项开展绩效分析，项目总分设置100分，自评得分94分。</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lang w:val="en-US" w:eastAsia="zh-CN"/>
        </w:rPr>
      </w:pPr>
      <w:r>
        <w:rPr>
          <w:rFonts w:hint="eastAsia" w:ascii="Times New Roman" w:hAnsi="Times New Roman" w:eastAsia="楷体_GB2312"/>
          <w:b/>
          <w:color w:val="auto"/>
          <w:sz w:val="32"/>
          <w:szCs w:val="32"/>
          <w:highlight w:val="none"/>
          <w:u w:val="none"/>
          <w:lang w:val="en-US" w:eastAsia="zh-CN"/>
        </w:rPr>
        <w:t>（一）通用指标绩效分析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 项目决策：项目立项论证充分、决策程序规范，资金投向精准聚焦章光村农旅基础设施短板，项目建设内容符合县域乡村振兴、文旅产业发展规划要求，项目决策科学合理。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 项目管理：项目严格执行专项资金管理制度，落实资金分配、使用管理相关要求，全程开展绩效监管，对工程实施进度、资金拨付进度动态跟踪管控，项目管理整体规范。</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 项目实施：项目年度预算资金410万元，全年执行380.31万元，预算执行率92.76%，资金拨付审批流程规范，资金使用严格专款专用，未发生挤占挪用资金情况；项目主体工程建设任务均按质量要求完工。</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lang w:val="en-US" w:eastAsia="zh-CN"/>
        </w:rPr>
      </w:pPr>
      <w:r>
        <w:rPr>
          <w:rFonts w:hint="eastAsia" w:ascii="Times New Roman" w:hAnsi="Times New Roman" w:eastAsia="仿宋_GB2312" w:cs="仿宋_GB2312"/>
          <w:b w:val="0"/>
          <w:bCs w:val="0"/>
          <w:kern w:val="0"/>
          <w:position w:val="0"/>
          <w:sz w:val="32"/>
          <w:szCs w:val="32"/>
          <w:highlight w:val="none"/>
          <w:lang w:val="en-US" w:eastAsia="zh-CN" w:bidi="ar-SA"/>
        </w:rPr>
        <w:t>4. 项目结果：项目年度三大建设任务全部完成，改造新建道路停车场≥1890.93㎡、园路栈道≥1069.05㎡，完成森林木屋建设；各项工程质量达标率≥90%，工程质量可控。但受施工材料运送不及时因素影响，项目建设工期延后，按期达标率只达到80%，时效指标未完全达成目标，存在进度管控短板。</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lang w:val="en-US" w:eastAsia="zh-CN"/>
        </w:rPr>
      </w:pPr>
      <w:r>
        <w:rPr>
          <w:rFonts w:hint="eastAsia" w:ascii="Times New Roman" w:hAnsi="Times New Roman" w:eastAsia="楷体_GB2312"/>
          <w:b/>
          <w:color w:val="auto"/>
          <w:sz w:val="32"/>
          <w:szCs w:val="32"/>
          <w:highlight w:val="none"/>
          <w:u w:val="none"/>
          <w:lang w:val="en-US" w:eastAsia="zh-CN"/>
        </w:rPr>
        <w:t>（二）专用指标绩效分析（基础设施类项目）</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楷体_GB2312"/>
          <w:b/>
          <w:color w:val="auto"/>
          <w:sz w:val="32"/>
          <w:szCs w:val="32"/>
          <w:highlight w:val="none"/>
          <w:u w:val="none"/>
          <w:lang w:val="en-US" w:eastAsia="zh-CN"/>
        </w:rPr>
      </w:pPr>
      <w:r>
        <w:rPr>
          <w:rFonts w:hint="eastAsia" w:ascii="Times New Roman" w:hAnsi="Times New Roman" w:eastAsia="仿宋_GB2312" w:cs="仿宋_GB2312"/>
          <w:b w:val="0"/>
          <w:bCs w:val="0"/>
          <w:kern w:val="0"/>
          <w:position w:val="0"/>
          <w:sz w:val="32"/>
          <w:szCs w:val="32"/>
          <w:highlight w:val="none"/>
          <w:lang w:val="en-US" w:eastAsia="zh-CN" w:bidi="ar-SA"/>
        </w:rPr>
        <w:t>本项目属于乡村文旅基础设施建设项目，重点围绕工程进度、资金拨付、项目功能实现开展评价。项目建设</w:t>
      </w:r>
      <w:r>
        <w:rPr>
          <w:rFonts w:hint="eastAsia" w:eastAsia="仿宋_GB2312" w:cs="仿宋_GB2312"/>
          <w:b w:val="0"/>
          <w:bCs w:val="0"/>
          <w:kern w:val="0"/>
          <w:position w:val="0"/>
          <w:sz w:val="32"/>
          <w:szCs w:val="32"/>
          <w:highlight w:val="none"/>
          <w:lang w:val="en-US" w:eastAsia="zh-CN" w:bidi="ar-SA"/>
        </w:rPr>
        <w:t>工程</w:t>
      </w:r>
      <w:r>
        <w:rPr>
          <w:rFonts w:hint="eastAsia" w:ascii="Times New Roman" w:hAnsi="Times New Roman" w:eastAsia="仿宋_GB2312" w:cs="仿宋_GB2312"/>
          <w:b w:val="0"/>
          <w:bCs w:val="0"/>
          <w:kern w:val="0"/>
          <w:position w:val="0"/>
          <w:sz w:val="32"/>
          <w:szCs w:val="32"/>
          <w:highlight w:val="none"/>
          <w:lang w:val="en-US" w:eastAsia="zh-CN" w:bidi="ar-SA"/>
        </w:rPr>
        <w:t>全部落地，各项工程质量指标达标；资金根据工程进度有序拨付，资金执行情况良好。项目建成投用后，乡村旅游基础设施功能落地生效，具备开展乡村旅游基础硬件条件，可支撑景点接待、文旅运营，项目建成后同步谋划后续管护机制，保障设施长效运行。项目产业带动效果达标，实现村集体经济增收、吸纳本地群众就业。</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lang w:val="en-US" w:eastAsia="zh-CN"/>
        </w:rPr>
      </w:pPr>
      <w:r>
        <w:rPr>
          <w:rFonts w:hint="eastAsia" w:ascii="Times New Roman" w:hAnsi="Times New Roman" w:eastAsia="楷体_GB2312"/>
          <w:b/>
          <w:color w:val="auto"/>
          <w:sz w:val="32"/>
          <w:szCs w:val="32"/>
          <w:highlight w:val="none"/>
          <w:u w:val="none"/>
          <w:lang w:val="en-US" w:eastAsia="zh-CN"/>
        </w:rPr>
        <w:t>（三）个性指标绩效分析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lang w:val="en-US" w:eastAsia="zh-CN"/>
        </w:rPr>
      </w:pPr>
      <w:r>
        <w:rPr>
          <w:rFonts w:hint="eastAsia" w:ascii="Times New Roman" w:hAnsi="Times New Roman" w:eastAsia="仿宋_GB2312" w:cs="仿宋_GB2312"/>
          <w:b w:val="0"/>
          <w:bCs w:val="0"/>
          <w:kern w:val="0"/>
          <w:position w:val="0"/>
          <w:sz w:val="32"/>
          <w:szCs w:val="32"/>
          <w:highlight w:val="none"/>
          <w:lang w:val="en-US" w:eastAsia="zh-CN" w:bidi="ar-SA"/>
        </w:rPr>
        <w:t>结合农旅项目特点设置生态效益指标、可持续影响个性指标。项目实施全过程严守生态底线，未发生环境污染和生态破坏事件，群众生态环保意识稳步提升；旅游基础设施使用年限、乡村旅游点位运营周期均可达到2年以上，项目具备长效可持续运营基础。服务对象各项满意度指标均达到95%以上，群众认可度较高。</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eastAsia"/>
          <w:lang w:val="en-US" w:eastAsia="zh-CN"/>
        </w:rPr>
      </w:pPr>
      <w:r>
        <w:rPr>
          <w:rFonts w:hint="eastAsia" w:ascii="Times New Roman" w:hAnsi="Times New Roman" w:eastAsia="黑体"/>
          <w:sz w:val="32"/>
          <w:szCs w:val="32"/>
          <w:highlight w:val="none"/>
          <w:lang w:val="en-US" w:eastAsia="zh-CN"/>
        </w:rPr>
        <w:t>四、评价结论</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lang w:val="en-US" w:eastAsia="zh-CN"/>
        </w:rPr>
      </w:pPr>
      <w:r>
        <w:rPr>
          <w:rFonts w:hint="eastAsia" w:ascii="Times New Roman" w:hAnsi="Times New Roman" w:eastAsia="仿宋_GB2312" w:cs="仿宋_GB2312"/>
          <w:b w:val="0"/>
          <w:bCs w:val="0"/>
          <w:kern w:val="0"/>
          <w:position w:val="0"/>
          <w:sz w:val="32"/>
          <w:szCs w:val="32"/>
          <w:highlight w:val="none"/>
          <w:lang w:val="en-US" w:eastAsia="zh-CN" w:bidi="ar-SA"/>
        </w:rPr>
        <w:t>壤塘县岗木达镇章光村农旅融合发展项目绩效自评总分94分。项目立项程序规范，财政资金管理较为规范，资金执行率92.76%；项目年度主要建设任务全部完工，道路停车场、园路栈道、森林木屋建设</w:t>
      </w:r>
      <w:r>
        <w:rPr>
          <w:rFonts w:hint="eastAsia" w:eastAsia="仿宋_GB2312" w:cs="仿宋_GB2312"/>
          <w:b w:val="0"/>
          <w:bCs w:val="0"/>
          <w:kern w:val="0"/>
          <w:position w:val="0"/>
          <w:sz w:val="32"/>
          <w:szCs w:val="32"/>
          <w:highlight w:val="none"/>
          <w:lang w:val="en-US" w:eastAsia="zh-CN" w:bidi="ar-SA"/>
        </w:rPr>
        <w:t>工程</w:t>
      </w:r>
      <w:r>
        <w:rPr>
          <w:rFonts w:hint="eastAsia" w:ascii="Times New Roman" w:hAnsi="Times New Roman" w:eastAsia="仿宋_GB2312" w:cs="仿宋_GB2312"/>
          <w:b w:val="0"/>
          <w:bCs w:val="0"/>
          <w:kern w:val="0"/>
          <w:position w:val="0"/>
          <w:sz w:val="32"/>
          <w:szCs w:val="32"/>
          <w:highlight w:val="none"/>
          <w:lang w:val="en-US" w:eastAsia="zh-CN" w:bidi="ar-SA"/>
        </w:rPr>
        <w:t>、工程质量均达到年初设定目标；项目效益指标全面完成，能够带动村集体经济增收、吸纳群众就地就业、接待游客，生态风险可控，农牧民、群众、游客满意度较高。存在项目建设时效管控不足，受施工材料运送滞后影响工期延后，项目按期达标率未实现年度目标，项目建设时序管控仍需要进一步提质。整体来看，项目绩效目标总体完成较好，财政资金效益有效发挥。</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eastAsia"/>
          <w:lang w:val="en-US" w:eastAsia="zh-CN"/>
        </w:rPr>
      </w:pPr>
      <w:r>
        <w:rPr>
          <w:rFonts w:hint="eastAsia" w:ascii="Times New Roman" w:hAnsi="Times New Roman" w:eastAsia="黑体"/>
          <w:sz w:val="32"/>
          <w:szCs w:val="32"/>
          <w:highlight w:val="none"/>
          <w:lang w:val="en-US" w:eastAsia="zh-CN"/>
        </w:rPr>
        <w:t>五、存在主要问题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 工程进度管控有待加强：项目实施期间，受地理条件制约，施工材料运送不及时，造成项目建设周期延后，项目建设按期达标率仅80%，时效指标未完成既定目标，工程施工时序统筹还有短板。</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 资金未完全执行到位：年度预算资金410万元，全年执行数380.31万元，还有部分资金当年未拨付执行完毕，预算执行还有提升空间。</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lang w:val="en-US" w:eastAsia="zh-CN"/>
        </w:rPr>
      </w:pPr>
      <w:r>
        <w:rPr>
          <w:rFonts w:hint="eastAsia" w:ascii="Times New Roman" w:hAnsi="Times New Roman" w:eastAsia="仿宋_GB2312" w:cs="仿宋_GB2312"/>
          <w:b w:val="0"/>
          <w:bCs w:val="0"/>
          <w:kern w:val="0"/>
          <w:position w:val="0"/>
          <w:sz w:val="32"/>
          <w:szCs w:val="32"/>
          <w:highlight w:val="none"/>
          <w:lang w:val="en-US" w:eastAsia="zh-CN" w:bidi="ar-SA"/>
        </w:rPr>
        <w:t>3. 项目建成运营管护机制有待细化完善：当前重点完成硬件工程建设，后续农旅项目运营方案、基础设施常态化管护机制还需进一步细化落地，持续释放项目效益。</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eastAsia" w:ascii="Times New Roman" w:hAnsi="Times New Roman" w:eastAsia="黑体"/>
          <w:sz w:val="32"/>
          <w:szCs w:val="32"/>
          <w:highlight w:val="none"/>
          <w:lang w:val="en-US" w:eastAsia="zh-CN"/>
        </w:rPr>
      </w:pPr>
      <w:r>
        <w:rPr>
          <w:rFonts w:hint="eastAsia" w:ascii="Times New Roman" w:hAnsi="Times New Roman" w:eastAsia="黑体"/>
          <w:sz w:val="32"/>
          <w:szCs w:val="32"/>
          <w:highlight w:val="none"/>
          <w:lang w:val="en-US" w:eastAsia="zh-CN"/>
        </w:rPr>
        <w:t>六、改进建议</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 强化项目施工全流程进度管控：后续实施项目要提前谋划物资保供方案，充分考虑高原地区交通运输、物资运送周期，督促施工单位提前备料，紧盯关键节点倒排工期，动态跟踪施工进度，严防材料供应滞后延误工期，保障项目按期完工。</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 加快资金执行调度力度：严格对照项目施工进度，按程序加快资金拨付进度，强化业务岗和财务岗联动，做好资金执行研判，稳步提升预算执行效率，最大限度发挥财政资金使用效益。</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 健全建成设施运营管护机制：项目建成之后落实管护主体，明确道路、栈道、森林木屋管护责任；加快推进农旅项目运营策划，激活章光村乡村旅游功能，持续发挥项目经济效益、社会效益，巩固绩效成果。</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66"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outlineLvl w:val="0"/>
        <w:rPr>
          <w:rFonts w:hint="eastAsia" w:ascii="Times New Roman" w:hAnsi="Times New Roman" w:eastAsia="仿宋"/>
          <w:b w:val="0"/>
          <w:color w:val="auto"/>
          <w:highlight w:val="none"/>
        </w:rPr>
      </w:pPr>
      <w:bookmarkStart w:id="67" w:name="_Toc8261"/>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62"/>
      <w:bookmarkEnd w:id="66"/>
      <w:bookmarkEnd w:id="67"/>
      <w:bookmarkStart w:id="68"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4"/>
        <w:numPr>
          <w:ilvl w:val="0"/>
          <w:numId w:val="0"/>
        </w:numPr>
        <w:rPr>
          <w:rFonts w:hint="eastAsia" w:ascii="Times New Roman" w:hAnsi="Times New Roman" w:eastAsia="黑体"/>
          <w:b w:val="0"/>
          <w:color w:val="auto"/>
          <w:highlight w:val="none"/>
          <w:lang w:eastAsia="zh-CN"/>
        </w:rPr>
      </w:pPr>
      <w:bookmarkStart w:id="69" w:name="_Toc31093"/>
      <w:r>
        <w:rPr>
          <w:rFonts w:hint="eastAsia" w:ascii="Times New Roman" w:hAnsi="Times New Roman" w:eastAsia="黑体"/>
          <w:b w:val="0"/>
          <w:color w:val="auto"/>
          <w:highlight w:val="none"/>
          <w:lang w:eastAsia="zh-CN"/>
        </w:rPr>
        <w:t>一、收入支出决算总表</w:t>
      </w:r>
      <w:bookmarkEnd w:id="68"/>
      <w:bookmarkEnd w:id="69"/>
    </w:p>
    <w:p>
      <w:pPr>
        <w:pStyle w:val="4"/>
        <w:numPr>
          <w:ilvl w:val="0"/>
          <w:numId w:val="0"/>
        </w:numPr>
        <w:rPr>
          <w:rFonts w:hint="eastAsia" w:ascii="Times New Roman" w:hAnsi="Times New Roman" w:eastAsia="黑体"/>
          <w:b w:val="0"/>
          <w:color w:val="auto"/>
          <w:highlight w:val="none"/>
          <w:lang w:eastAsia="zh-CN"/>
        </w:rPr>
      </w:pPr>
      <w:bookmarkStart w:id="70" w:name="_Toc18538"/>
      <w:bookmarkStart w:id="71" w:name="_Toc15396620"/>
      <w:r>
        <w:rPr>
          <w:rFonts w:hint="eastAsia" w:ascii="Times New Roman" w:hAnsi="Times New Roman" w:eastAsia="黑体"/>
          <w:b w:val="0"/>
          <w:color w:val="auto"/>
          <w:highlight w:val="none"/>
          <w:lang w:eastAsia="zh-CN"/>
        </w:rPr>
        <w:t>二、收入决算表</w:t>
      </w:r>
      <w:bookmarkEnd w:id="70"/>
      <w:bookmarkEnd w:id="71"/>
    </w:p>
    <w:p>
      <w:pPr>
        <w:pStyle w:val="4"/>
        <w:numPr>
          <w:ilvl w:val="0"/>
          <w:numId w:val="0"/>
        </w:numPr>
        <w:rPr>
          <w:rFonts w:hint="eastAsia" w:ascii="Times New Roman" w:hAnsi="Times New Roman" w:eastAsia="黑体"/>
          <w:b w:val="0"/>
          <w:color w:val="auto"/>
          <w:highlight w:val="none"/>
          <w:lang w:eastAsia="zh-CN"/>
        </w:rPr>
      </w:pPr>
      <w:bookmarkStart w:id="72" w:name="_Toc25579"/>
      <w:bookmarkStart w:id="73" w:name="_Toc15396621"/>
      <w:r>
        <w:rPr>
          <w:rFonts w:hint="eastAsia" w:ascii="Times New Roman" w:hAnsi="Times New Roman" w:eastAsia="黑体"/>
          <w:b w:val="0"/>
          <w:color w:val="auto"/>
          <w:highlight w:val="none"/>
          <w:lang w:eastAsia="zh-CN"/>
        </w:rPr>
        <w:t>三、支出决算表</w:t>
      </w:r>
      <w:bookmarkEnd w:id="72"/>
      <w:bookmarkEnd w:id="73"/>
    </w:p>
    <w:p>
      <w:pPr>
        <w:pStyle w:val="4"/>
        <w:numPr>
          <w:ilvl w:val="0"/>
          <w:numId w:val="0"/>
        </w:numPr>
        <w:rPr>
          <w:rFonts w:hint="eastAsia" w:ascii="Times New Roman" w:hAnsi="Times New Roman" w:eastAsia="黑体"/>
          <w:b w:val="0"/>
          <w:color w:val="auto"/>
          <w:highlight w:val="none"/>
          <w:lang w:eastAsia="zh-CN"/>
        </w:rPr>
      </w:pPr>
      <w:bookmarkStart w:id="74" w:name="_Toc15396622"/>
      <w:bookmarkStart w:id="75" w:name="_Toc28792"/>
      <w:r>
        <w:rPr>
          <w:rFonts w:hint="eastAsia" w:ascii="Times New Roman" w:hAnsi="Times New Roman" w:eastAsia="黑体"/>
          <w:b w:val="0"/>
          <w:color w:val="auto"/>
          <w:highlight w:val="none"/>
          <w:lang w:eastAsia="zh-CN"/>
        </w:rPr>
        <w:t>四、财政拨款收入支出决算总表</w:t>
      </w:r>
      <w:bookmarkEnd w:id="74"/>
      <w:bookmarkEnd w:id="75"/>
    </w:p>
    <w:p>
      <w:pPr>
        <w:pStyle w:val="4"/>
        <w:numPr>
          <w:ilvl w:val="0"/>
          <w:numId w:val="0"/>
        </w:numPr>
        <w:rPr>
          <w:rFonts w:hint="eastAsia" w:ascii="Times New Roman" w:hAnsi="Times New Roman" w:eastAsia="黑体"/>
          <w:b w:val="0"/>
          <w:color w:val="auto"/>
          <w:highlight w:val="none"/>
          <w:lang w:eastAsia="zh-CN"/>
        </w:rPr>
      </w:pPr>
      <w:bookmarkStart w:id="76" w:name="_Toc15396623"/>
      <w:bookmarkStart w:id="77" w:name="_Toc1301"/>
      <w:r>
        <w:rPr>
          <w:rFonts w:hint="eastAsia" w:ascii="Times New Roman" w:hAnsi="Times New Roman" w:eastAsia="黑体"/>
          <w:b w:val="0"/>
          <w:color w:val="auto"/>
          <w:highlight w:val="none"/>
          <w:lang w:eastAsia="zh-CN"/>
        </w:rPr>
        <w:t>五、财政拨款支出决算明细表</w:t>
      </w:r>
      <w:bookmarkEnd w:id="76"/>
      <w:bookmarkEnd w:id="77"/>
      <w:bookmarkStart w:id="78" w:name="_Toc15396624"/>
    </w:p>
    <w:p>
      <w:pPr>
        <w:pStyle w:val="4"/>
        <w:numPr>
          <w:ilvl w:val="0"/>
          <w:numId w:val="0"/>
        </w:numPr>
        <w:rPr>
          <w:rFonts w:hint="eastAsia" w:ascii="Times New Roman" w:hAnsi="Times New Roman" w:eastAsia="黑体"/>
          <w:b w:val="0"/>
          <w:color w:val="auto"/>
          <w:highlight w:val="none"/>
          <w:lang w:eastAsia="zh-CN"/>
        </w:rPr>
      </w:pPr>
      <w:bookmarkStart w:id="79" w:name="_Toc21029"/>
      <w:r>
        <w:rPr>
          <w:rFonts w:hint="eastAsia" w:ascii="Times New Roman" w:hAnsi="Times New Roman" w:eastAsia="黑体"/>
          <w:b w:val="0"/>
          <w:color w:val="auto"/>
          <w:highlight w:val="none"/>
          <w:lang w:eastAsia="zh-CN"/>
        </w:rPr>
        <w:t>六、一般公共预算财政拨款支出决算表</w:t>
      </w:r>
      <w:bookmarkEnd w:id="78"/>
      <w:bookmarkEnd w:id="79"/>
    </w:p>
    <w:p>
      <w:pPr>
        <w:pStyle w:val="4"/>
        <w:numPr>
          <w:ilvl w:val="0"/>
          <w:numId w:val="0"/>
        </w:numPr>
        <w:rPr>
          <w:rFonts w:hint="eastAsia" w:ascii="Times New Roman" w:hAnsi="Times New Roman" w:eastAsia="黑体"/>
          <w:b w:val="0"/>
          <w:color w:val="auto"/>
          <w:highlight w:val="none"/>
          <w:lang w:eastAsia="zh-CN"/>
        </w:rPr>
      </w:pPr>
      <w:bookmarkStart w:id="80" w:name="_Toc23853"/>
      <w:bookmarkStart w:id="81" w:name="_Toc15396625"/>
      <w:r>
        <w:rPr>
          <w:rFonts w:hint="eastAsia" w:ascii="Times New Roman" w:hAnsi="Times New Roman" w:eastAsia="黑体"/>
          <w:b w:val="0"/>
          <w:color w:val="auto"/>
          <w:highlight w:val="none"/>
          <w:lang w:eastAsia="zh-CN"/>
        </w:rPr>
        <w:t>七、一般公共预算财政拨款支出决算明细表</w:t>
      </w:r>
      <w:bookmarkEnd w:id="80"/>
      <w:bookmarkEnd w:id="81"/>
    </w:p>
    <w:p>
      <w:pPr>
        <w:pStyle w:val="4"/>
        <w:numPr>
          <w:ilvl w:val="0"/>
          <w:numId w:val="0"/>
        </w:numPr>
        <w:rPr>
          <w:rFonts w:hint="eastAsia" w:ascii="Times New Roman" w:hAnsi="Times New Roman" w:eastAsia="黑体"/>
          <w:b w:val="0"/>
          <w:color w:val="auto"/>
          <w:highlight w:val="none"/>
          <w:lang w:eastAsia="zh-CN"/>
        </w:rPr>
      </w:pPr>
      <w:bookmarkStart w:id="82" w:name="_Toc15396626"/>
      <w:bookmarkStart w:id="83" w:name="_Toc27806"/>
      <w:r>
        <w:rPr>
          <w:rFonts w:hint="eastAsia" w:ascii="Times New Roman" w:hAnsi="Times New Roman" w:eastAsia="黑体"/>
          <w:b w:val="0"/>
          <w:color w:val="auto"/>
          <w:highlight w:val="none"/>
          <w:lang w:eastAsia="zh-CN"/>
        </w:rPr>
        <w:t>八、一般公共预算财政拨款基本支出决算表</w:t>
      </w:r>
      <w:bookmarkEnd w:id="82"/>
      <w:bookmarkEnd w:id="83"/>
    </w:p>
    <w:p>
      <w:pPr>
        <w:pStyle w:val="4"/>
        <w:numPr>
          <w:ilvl w:val="0"/>
          <w:numId w:val="0"/>
        </w:numPr>
        <w:rPr>
          <w:rFonts w:hint="eastAsia" w:ascii="Times New Roman" w:hAnsi="Times New Roman" w:eastAsia="黑体"/>
          <w:b w:val="0"/>
          <w:color w:val="auto"/>
          <w:highlight w:val="none"/>
          <w:lang w:eastAsia="zh-CN"/>
        </w:rPr>
      </w:pPr>
      <w:bookmarkStart w:id="84" w:name="_Toc15396627"/>
      <w:bookmarkStart w:id="85" w:name="_Toc22306"/>
      <w:r>
        <w:rPr>
          <w:rFonts w:hint="eastAsia" w:ascii="Times New Roman" w:hAnsi="Times New Roman" w:eastAsia="黑体"/>
          <w:b w:val="0"/>
          <w:color w:val="auto"/>
          <w:highlight w:val="none"/>
          <w:lang w:eastAsia="zh-CN"/>
        </w:rPr>
        <w:t>九、一般公共预算财政拨款项目支出决算表</w:t>
      </w:r>
      <w:bookmarkEnd w:id="84"/>
      <w:bookmarkEnd w:id="85"/>
    </w:p>
    <w:p>
      <w:pPr>
        <w:pStyle w:val="4"/>
        <w:numPr>
          <w:ilvl w:val="0"/>
          <w:numId w:val="0"/>
        </w:numPr>
        <w:rPr>
          <w:rFonts w:hint="eastAsia" w:ascii="Times New Roman" w:hAnsi="Times New Roman" w:eastAsia="黑体"/>
          <w:b w:val="0"/>
          <w:color w:val="auto"/>
          <w:highlight w:val="none"/>
          <w:lang w:eastAsia="zh-CN"/>
        </w:rPr>
      </w:pPr>
      <w:bookmarkStart w:id="86" w:name="_Toc15396628"/>
      <w:bookmarkStart w:id="87" w:name="_Toc3518"/>
      <w:r>
        <w:rPr>
          <w:rFonts w:hint="eastAsia" w:ascii="Times New Roman" w:hAnsi="Times New Roman" w:eastAsia="黑体"/>
          <w:b w:val="0"/>
          <w:color w:val="auto"/>
          <w:highlight w:val="none"/>
          <w:lang w:eastAsia="zh-CN"/>
        </w:rPr>
        <w:t>十、</w:t>
      </w:r>
      <w:bookmarkEnd w:id="86"/>
      <w:r>
        <w:rPr>
          <w:rFonts w:hint="eastAsia" w:ascii="Times New Roman" w:hAnsi="Times New Roman" w:eastAsia="黑体"/>
          <w:b w:val="0"/>
          <w:color w:val="auto"/>
          <w:highlight w:val="none"/>
          <w:lang w:eastAsia="zh-CN"/>
        </w:rPr>
        <w:t>政府性基金预算财政拨款收入支出决算表</w:t>
      </w:r>
      <w:bookmarkEnd w:id="87"/>
    </w:p>
    <w:p>
      <w:pPr>
        <w:pStyle w:val="4"/>
        <w:numPr>
          <w:ilvl w:val="0"/>
          <w:numId w:val="0"/>
        </w:numPr>
        <w:rPr>
          <w:rFonts w:hint="eastAsia" w:ascii="Times New Roman" w:hAnsi="Times New Roman" w:eastAsia="黑体"/>
          <w:b w:val="0"/>
          <w:color w:val="auto"/>
          <w:highlight w:val="none"/>
          <w:lang w:eastAsia="zh-CN"/>
        </w:rPr>
      </w:pPr>
      <w:bookmarkStart w:id="88" w:name="_Toc15396629"/>
      <w:bookmarkStart w:id="89" w:name="_Toc1381"/>
      <w:r>
        <w:rPr>
          <w:rFonts w:hint="eastAsia" w:ascii="Times New Roman" w:hAnsi="Times New Roman" w:eastAsia="黑体"/>
          <w:b w:val="0"/>
          <w:color w:val="auto"/>
          <w:highlight w:val="none"/>
          <w:lang w:eastAsia="zh-CN"/>
        </w:rPr>
        <w:t>十一、</w:t>
      </w:r>
      <w:bookmarkEnd w:id="88"/>
      <w:r>
        <w:rPr>
          <w:rFonts w:hint="eastAsia" w:ascii="Times New Roman" w:hAnsi="Times New Roman" w:eastAsia="黑体"/>
          <w:b w:val="0"/>
          <w:color w:val="auto"/>
          <w:highlight w:val="none"/>
          <w:lang w:eastAsia="zh-CN"/>
        </w:rPr>
        <w:t>国有资本经营预算财政拨款收入支出决算表</w:t>
      </w:r>
      <w:bookmarkEnd w:id="89"/>
    </w:p>
    <w:p>
      <w:pPr>
        <w:pStyle w:val="4"/>
        <w:numPr>
          <w:ilvl w:val="0"/>
          <w:numId w:val="0"/>
        </w:numPr>
        <w:rPr>
          <w:rFonts w:hint="eastAsia" w:ascii="Times New Roman" w:hAnsi="Times New Roman" w:eastAsia="黑体"/>
          <w:b w:val="0"/>
          <w:color w:val="auto"/>
          <w:highlight w:val="none"/>
          <w:lang w:eastAsia="zh-CN"/>
        </w:rPr>
      </w:pPr>
      <w:bookmarkStart w:id="90" w:name="_Toc15396630"/>
      <w:bookmarkStart w:id="91" w:name="_Toc4652"/>
      <w:r>
        <w:rPr>
          <w:rFonts w:hint="eastAsia" w:ascii="Times New Roman" w:hAnsi="Times New Roman" w:eastAsia="黑体"/>
          <w:b w:val="0"/>
          <w:color w:val="auto"/>
          <w:highlight w:val="none"/>
          <w:lang w:eastAsia="zh-CN"/>
        </w:rPr>
        <w:t>十二、</w:t>
      </w:r>
      <w:bookmarkEnd w:id="90"/>
      <w:r>
        <w:rPr>
          <w:rFonts w:hint="eastAsia" w:ascii="Times New Roman" w:hAnsi="Times New Roman" w:eastAsia="黑体"/>
          <w:b w:val="0"/>
          <w:color w:val="auto"/>
          <w:highlight w:val="none"/>
          <w:lang w:eastAsia="zh-CN"/>
        </w:rPr>
        <w:t>国有资本经营预算财政拨款支出决算表</w:t>
      </w:r>
      <w:bookmarkEnd w:id="91"/>
    </w:p>
    <w:p>
      <w:pPr>
        <w:pStyle w:val="4"/>
        <w:numPr>
          <w:ilvl w:val="0"/>
          <w:numId w:val="0"/>
        </w:numPr>
        <w:rPr>
          <w:rFonts w:hint="eastAsia" w:ascii="Times New Roman" w:hAnsi="Times New Roman" w:eastAsia="黑体"/>
          <w:b w:val="0"/>
          <w:color w:val="auto"/>
          <w:highlight w:val="none"/>
          <w:lang w:eastAsia="zh-CN"/>
        </w:rPr>
      </w:pPr>
      <w:bookmarkStart w:id="92" w:name="_Toc15396631"/>
      <w:bookmarkStart w:id="93" w:name="_Toc32273"/>
      <w:r>
        <w:rPr>
          <w:rFonts w:hint="eastAsia" w:ascii="Times New Roman" w:hAnsi="Times New Roman" w:eastAsia="黑体"/>
          <w:b w:val="0"/>
          <w:color w:val="auto"/>
          <w:highlight w:val="none"/>
          <w:lang w:eastAsia="zh-CN"/>
        </w:rPr>
        <w:t>十三、</w:t>
      </w:r>
      <w:bookmarkEnd w:id="92"/>
      <w:r>
        <w:rPr>
          <w:rFonts w:hint="eastAsia" w:ascii="Times New Roman" w:hAnsi="Times New Roman" w:eastAsia="黑体"/>
          <w:b w:val="0"/>
          <w:color w:val="auto"/>
          <w:highlight w:val="none"/>
          <w:lang w:eastAsia="zh-CN"/>
        </w:rPr>
        <w:t>财政拨款“三公”经费支出决算表</w:t>
      </w:r>
      <w:bookmarkEnd w:id="93"/>
    </w:p>
    <w:p>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黑体_GBK">
    <w:panose1 w:val="02000000000000000000"/>
    <w:charset w:val="86"/>
    <w:family w:val="auto"/>
    <w:pitch w:val="default"/>
    <w:sig w:usb0="A00002BF" w:usb1="38CF7CFA" w:usb2="00082016" w:usb3="00000000" w:csb0="00040001" w:csb1="00000000"/>
  </w:font>
  <w:font w:name="文泉驿正黑">
    <w:panose1 w:val="02000603000000000000"/>
    <w:charset w:val="86"/>
    <w:family w:val="auto"/>
    <w:pitch w:val="default"/>
    <w:sig w:usb0="900002BF" w:usb1="2BDF7DFB" w:usb2="00000036" w:usb3="00000000" w:csb0="603E000D" w:csb1="D2D70000"/>
  </w:font>
  <w:font w:name="方正仿宋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595E0F"/>
    <w:multiLevelType w:val="singleLevel"/>
    <w:tmpl w:val="08595E0F"/>
    <w:lvl w:ilvl="0" w:tentative="0">
      <w:start w:val="2"/>
      <w:numFmt w:val="chineseCounting"/>
      <w:suff w:val="nothing"/>
      <w:lvlText w:val="（%1）"/>
      <w:lvlJc w:val="left"/>
      <w:rPr>
        <w:rFonts w:hint="eastAsia"/>
      </w:rPr>
    </w:lvl>
  </w:abstractNum>
  <w:abstractNum w:abstractNumId="1">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abstractNum w:abstractNumId="2">
    <w:nsid w:val="78CF46BE"/>
    <w:multiLevelType w:val="singleLevel"/>
    <w:tmpl w:val="78CF46BE"/>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3B140B4"/>
    <w:rsid w:val="061E35DE"/>
    <w:rsid w:val="066E0107"/>
    <w:rsid w:val="07996F6E"/>
    <w:rsid w:val="07DFD8BA"/>
    <w:rsid w:val="08DB07E4"/>
    <w:rsid w:val="09867E8F"/>
    <w:rsid w:val="0993380B"/>
    <w:rsid w:val="0A2032A3"/>
    <w:rsid w:val="0C6C4794"/>
    <w:rsid w:val="0CA8290A"/>
    <w:rsid w:val="0D35B1ED"/>
    <w:rsid w:val="0DE07E2B"/>
    <w:rsid w:val="0F98263C"/>
    <w:rsid w:val="0FA96D03"/>
    <w:rsid w:val="0FC73910"/>
    <w:rsid w:val="101860EC"/>
    <w:rsid w:val="10C055FF"/>
    <w:rsid w:val="116C34CD"/>
    <w:rsid w:val="11772AA4"/>
    <w:rsid w:val="118107EC"/>
    <w:rsid w:val="12070D49"/>
    <w:rsid w:val="13D50BC4"/>
    <w:rsid w:val="14022904"/>
    <w:rsid w:val="151C5E23"/>
    <w:rsid w:val="152F2A07"/>
    <w:rsid w:val="165E0673"/>
    <w:rsid w:val="16BB723D"/>
    <w:rsid w:val="186504BB"/>
    <w:rsid w:val="18D93BD7"/>
    <w:rsid w:val="1938089F"/>
    <w:rsid w:val="19A445FC"/>
    <w:rsid w:val="1B7D550C"/>
    <w:rsid w:val="1BE8440E"/>
    <w:rsid w:val="1D155CEE"/>
    <w:rsid w:val="1E53615B"/>
    <w:rsid w:val="1E740ACF"/>
    <w:rsid w:val="1FF35744"/>
    <w:rsid w:val="1FF6BC77"/>
    <w:rsid w:val="213B120F"/>
    <w:rsid w:val="21962A9E"/>
    <w:rsid w:val="21AE7C77"/>
    <w:rsid w:val="22BC3C41"/>
    <w:rsid w:val="236B3D2B"/>
    <w:rsid w:val="23860B96"/>
    <w:rsid w:val="23DE2C8B"/>
    <w:rsid w:val="240371BF"/>
    <w:rsid w:val="260F557C"/>
    <w:rsid w:val="281408E2"/>
    <w:rsid w:val="28FB5BCB"/>
    <w:rsid w:val="29FD04D3"/>
    <w:rsid w:val="2BFF7BC6"/>
    <w:rsid w:val="2C8A61B5"/>
    <w:rsid w:val="2D2E01CF"/>
    <w:rsid w:val="2D7B5664"/>
    <w:rsid w:val="2DF04E50"/>
    <w:rsid w:val="2E9545B0"/>
    <w:rsid w:val="2F040D46"/>
    <w:rsid w:val="2FAE5751"/>
    <w:rsid w:val="2FB1A395"/>
    <w:rsid w:val="2FD9A7D8"/>
    <w:rsid w:val="319F7F4E"/>
    <w:rsid w:val="31D51D39"/>
    <w:rsid w:val="321B2544"/>
    <w:rsid w:val="32A54A27"/>
    <w:rsid w:val="3304709D"/>
    <w:rsid w:val="33065D8E"/>
    <w:rsid w:val="33AF28E1"/>
    <w:rsid w:val="34281836"/>
    <w:rsid w:val="349D6851"/>
    <w:rsid w:val="35521BA0"/>
    <w:rsid w:val="35BA6CAF"/>
    <w:rsid w:val="364D14C1"/>
    <w:rsid w:val="36770F5B"/>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40291A"/>
    <w:rsid w:val="3D98207C"/>
    <w:rsid w:val="3D9B0D99"/>
    <w:rsid w:val="3DEE7CF3"/>
    <w:rsid w:val="3DF02244"/>
    <w:rsid w:val="3DF97B88"/>
    <w:rsid w:val="3E78745D"/>
    <w:rsid w:val="3FEA2D7B"/>
    <w:rsid w:val="3FF4CAE0"/>
    <w:rsid w:val="3FF7B227"/>
    <w:rsid w:val="40E54C45"/>
    <w:rsid w:val="43A407DF"/>
    <w:rsid w:val="44515BEA"/>
    <w:rsid w:val="44E268DA"/>
    <w:rsid w:val="453F7E5B"/>
    <w:rsid w:val="458C3D74"/>
    <w:rsid w:val="486A6C7A"/>
    <w:rsid w:val="489A3224"/>
    <w:rsid w:val="49176D9B"/>
    <w:rsid w:val="4A627F82"/>
    <w:rsid w:val="4B0E749A"/>
    <w:rsid w:val="4B4F25DA"/>
    <w:rsid w:val="4B9B0B79"/>
    <w:rsid w:val="4BA428A9"/>
    <w:rsid w:val="4BDA0CFB"/>
    <w:rsid w:val="4BE068DB"/>
    <w:rsid w:val="4D103FB3"/>
    <w:rsid w:val="4D3C0CCC"/>
    <w:rsid w:val="4D577224"/>
    <w:rsid w:val="4DBF1CEB"/>
    <w:rsid w:val="4E027201"/>
    <w:rsid w:val="4EAB630A"/>
    <w:rsid w:val="4ECE2238"/>
    <w:rsid w:val="4F833267"/>
    <w:rsid w:val="4FE9BD67"/>
    <w:rsid w:val="4FFB052F"/>
    <w:rsid w:val="50E05527"/>
    <w:rsid w:val="52640A05"/>
    <w:rsid w:val="52811792"/>
    <w:rsid w:val="53083A92"/>
    <w:rsid w:val="537E6D0A"/>
    <w:rsid w:val="53AF27A2"/>
    <w:rsid w:val="53F74C96"/>
    <w:rsid w:val="541C0C08"/>
    <w:rsid w:val="56E47B74"/>
    <w:rsid w:val="579565F1"/>
    <w:rsid w:val="57BD3DD4"/>
    <w:rsid w:val="57CA6A71"/>
    <w:rsid w:val="57EE2C55"/>
    <w:rsid w:val="5A63385D"/>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05A6513"/>
    <w:rsid w:val="62BF3928"/>
    <w:rsid w:val="647F5392"/>
    <w:rsid w:val="64D8659E"/>
    <w:rsid w:val="664B1D71"/>
    <w:rsid w:val="67AA3209"/>
    <w:rsid w:val="67B11FAC"/>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323265"/>
    <w:rsid w:val="75DEEEC2"/>
    <w:rsid w:val="75E21F9B"/>
    <w:rsid w:val="764530B5"/>
    <w:rsid w:val="76E3355F"/>
    <w:rsid w:val="76FF5125"/>
    <w:rsid w:val="77584FA4"/>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2724DD"/>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99E0A77"/>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widowControl w:val="0"/>
      <w:ind w:left="400" w:leftChars="200" w:hanging="200" w:hangingChars="200"/>
      <w:jc w:val="both"/>
    </w:pPr>
    <w:rPr>
      <w:rFonts w:ascii="Calibri" w:hAnsi="Calibri" w:eastAsia="宋体" w:cs="Times New Roman"/>
      <w:kern w:val="2"/>
      <w:sz w:val="21"/>
      <w:szCs w:val="24"/>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WPSOffice手动目录 1"/>
    <w:qFormat/>
    <w:uiPriority w:val="0"/>
    <w:pPr>
      <w:ind w:leftChars="0"/>
    </w:pPr>
    <w:rPr>
      <w:rFonts w:asciiTheme="minorHAnsi" w:hAnsiTheme="minorHAnsi" w:eastAsiaTheme="minorEastAsia" w:cstheme="minorBidi"/>
      <w:sz w:val="20"/>
      <w:szCs w:val="20"/>
    </w:rPr>
  </w:style>
  <w:style w:type="paragraph" w:customStyle="1" w:styleId="37">
    <w:name w:val="WPSOffice手动目录 2"/>
    <w:qFormat/>
    <w:uiPriority w:val="0"/>
    <w:pPr>
      <w:ind w:leftChars="2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F:\&#20915;&#31639;&#20998;&#26512;&#22270;&#3492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20915;&#31639;&#20998;&#26512;&#22270;&#349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20915;&#31639;&#20998;&#26512;&#22270;&#3492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20915;&#31639;&#20998;&#26512;&#22270;&#3492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20915;&#31639;&#20998;&#26512;&#22270;&#3492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20915;&#31639;&#20998;&#26512;&#22270;&#34920;.xls"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F:\&#20915;&#31639;&#20998;&#26512;&#22270;&#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100" b="1" i="0" u="none" strike="noStrike" kern="1200" baseline="0">
                <a:solidFill>
                  <a:schemeClr val="tx1">
                    <a:lumMod val="75000"/>
                    <a:lumOff val="25000"/>
                  </a:schemeClr>
                </a:solidFill>
                <a:latin typeface="+mn-lt"/>
                <a:ea typeface="+mn-ea"/>
                <a:cs typeface="+mn-cs"/>
              </a:defRPr>
            </a:pPr>
            <a:r>
              <a:rPr lang="en-US" altLang="zh-CN" sz="1100" b="1" i="0" u="none" strike="noStrike" kern="1200" baseline="0">
                <a:solidFill>
                  <a:schemeClr val="tx1">
                    <a:lumMod val="75000"/>
                    <a:lumOff val="25000"/>
                  </a:schemeClr>
                </a:solidFill>
                <a:latin typeface="+mn-lt"/>
                <a:ea typeface="+mn-ea"/>
                <a:cs typeface="+mn-cs"/>
              </a:rPr>
              <a:t>收入、支出决算总计变动情况图</a:t>
            </a:r>
            <a:endParaRPr lang="en-US" altLang="zh-CN" sz="1100" b="1" i="0" u="none" strike="noStrike" kern="1200" baseline="0">
              <a:solidFill>
                <a:schemeClr val="tx1">
                  <a:lumMod val="75000"/>
                  <a:lumOff val="25000"/>
                </a:schemeClr>
              </a:solidFill>
              <a:latin typeface="+mn-lt"/>
              <a:ea typeface="+mn-ea"/>
              <a:cs typeface="+mn-cs"/>
            </a:endParaRPr>
          </a:p>
        </c:rich>
      </c:tx>
      <c:layout/>
      <c:overlay val="0"/>
      <c:spPr>
        <a:noFill/>
        <a:ln>
          <a:noFill/>
        </a:ln>
        <a:effectLst/>
      </c:spPr>
    </c:title>
    <c:autoTitleDeleted val="0"/>
    <c:plotArea>
      <c:layout/>
      <c:barChart>
        <c:barDir val="col"/>
        <c:grouping val="clustered"/>
        <c:varyColors val="0"/>
        <c:ser>
          <c:idx val="0"/>
          <c:order val="0"/>
          <c:tx>
            <c:strRef>
              <c:f>'[决算分析图表.xls]1'!$C$2</c:f>
              <c:strCache>
                <c:ptCount val="1"/>
                <c:pt idx="0">
                  <c:v>2024年</c:v>
                </c:pt>
              </c:strCache>
            </c:strRef>
          </c:tx>
          <c:spPr>
            <a:solidFill>
              <a:schemeClr val="accent1"/>
            </a:solidFill>
            <a:ln>
              <a:noFill/>
            </a:ln>
            <a:effectLst/>
          </c:spPr>
          <c:invertIfNegative val="0"/>
          <c:dLbls>
            <c:delete val="1"/>
          </c:dLbls>
          <c:cat>
            <c:strRef>
              <c:f>'[决算分析图表.xls]1'!$D$1:$E$1</c:f>
              <c:strCache>
                <c:ptCount val="2"/>
                <c:pt idx="0">
                  <c:v>收入</c:v>
                </c:pt>
                <c:pt idx="1">
                  <c:v>支出</c:v>
                </c:pt>
              </c:strCache>
            </c:strRef>
          </c:cat>
          <c:val>
            <c:numRef>
              <c:f>'[决算分析图表.xls]1'!$D$2:$E$2</c:f>
              <c:numCache>
                <c:formatCode>General</c:formatCode>
                <c:ptCount val="2"/>
                <c:pt idx="0">
                  <c:v>3719.9888</c:v>
                </c:pt>
                <c:pt idx="1">
                  <c:v>3719.9888</c:v>
                </c:pt>
              </c:numCache>
            </c:numRef>
          </c:val>
        </c:ser>
        <c:ser>
          <c:idx val="1"/>
          <c:order val="1"/>
          <c:tx>
            <c:strRef>
              <c:f>'[决算分析图表.xls]1'!$C$3</c:f>
              <c:strCache>
                <c:ptCount val="1"/>
                <c:pt idx="0">
                  <c:v>2025年</c:v>
                </c:pt>
              </c:strCache>
            </c:strRef>
          </c:tx>
          <c:spPr>
            <a:solidFill>
              <a:schemeClr val="accent2"/>
            </a:solidFill>
            <a:ln>
              <a:noFill/>
            </a:ln>
            <a:effectLst/>
          </c:spPr>
          <c:invertIfNegative val="0"/>
          <c:dLbls>
            <c:delete val="1"/>
          </c:dLbls>
          <c:cat>
            <c:strRef>
              <c:f>'[决算分析图表.xls]1'!$D$1:$E$1</c:f>
              <c:strCache>
                <c:ptCount val="2"/>
                <c:pt idx="0">
                  <c:v>收入</c:v>
                </c:pt>
                <c:pt idx="1">
                  <c:v>支出</c:v>
                </c:pt>
              </c:strCache>
            </c:strRef>
          </c:cat>
          <c:val>
            <c:numRef>
              <c:f>'[决算分析图表.xls]1'!$D$3:$E$3</c:f>
              <c:numCache>
                <c:formatCode>General</c:formatCode>
                <c:ptCount val="2"/>
                <c:pt idx="0">
                  <c:v>6480.7</c:v>
                </c:pt>
                <c:pt idx="1">
                  <c:v>6480.7</c:v>
                </c:pt>
              </c:numCache>
            </c:numRef>
          </c:val>
        </c:ser>
        <c:dLbls>
          <c:showLegendKey val="0"/>
          <c:showVal val="0"/>
          <c:showCatName val="0"/>
          <c:showSerName val="0"/>
          <c:showPercent val="0"/>
          <c:showBubbleSize val="0"/>
        </c:dLbls>
        <c:gapWidth val="246"/>
        <c:overlap val="-28"/>
        <c:axId val="963488519"/>
        <c:axId val="536570095"/>
      </c:barChart>
      <c:catAx>
        <c:axId val="963488519"/>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6570095"/>
        <c:crosses val="autoZero"/>
        <c:auto val="1"/>
        <c:lblAlgn val="ctr"/>
        <c:lblOffset val="100"/>
        <c:noMultiLvlLbl val="0"/>
      </c:catAx>
      <c:valAx>
        <c:axId val="536570095"/>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3488519"/>
        <c:crosses val="autoZero"/>
        <c:crossBetween val="between"/>
      </c:valAx>
      <c:spPr>
        <a:noFill/>
        <a:ln>
          <a:noFill/>
        </a:ln>
        <a:effectLst/>
      </c:spPr>
    </c:plotArea>
    <c:legend>
      <c:legendPos val="b"/>
      <c:layout>
        <c:manualLayout>
          <c:xMode val="edge"/>
          <c:yMode val="edge"/>
          <c:x val="0.34775"/>
          <c:y val="0.8185"/>
          <c:w val="0.304"/>
          <c:h val="0.133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rgbClr val="404040">
                    <a:lumMod val="75000"/>
                    <a:lumOff val="25000"/>
                  </a:srgb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'[决算分析图表.xls]1'!$B$33</c:f>
              <c:strCache>
                <c:ptCount val="1"/>
                <c:pt idx="0">
                  <c:v>本年收入结构图</c:v>
                </c:pt>
              </c:strCache>
            </c:strRef>
          </c:tx>
          <c:explosion val="0"/>
          <c:dPt>
            <c:idx val="0"/>
            <c:bubble3D val="0"/>
            <c:explosion val="0"/>
            <c:spPr>
              <a:solidFill>
                <a:srgbClr val="4F81BD"/>
              </a:solidFill>
              <a:ln>
                <a:solidFill>
                  <a:srgbClr val="FFFFFF"/>
                </a:solidFill>
              </a:ln>
              <a:effectLst/>
            </c:spPr>
          </c:dPt>
          <c:dPt>
            <c:idx val="1"/>
            <c:bubble3D val="0"/>
            <c:explosion val="0"/>
          </c:dPt>
          <c:dLbls>
            <c:delete val="1"/>
          </c:dLbls>
          <c:cat>
            <c:strRef>
              <c:f>'[决算分析图表.xls]1'!$C$32:$D$32</c:f>
              <c:strCache>
                <c:ptCount val="2"/>
                <c:pt idx="0">
                  <c:v>一般公共预算财政拨款收入</c:v>
                </c:pt>
                <c:pt idx="1">
                  <c:v>政府性基金预算财政拨款</c:v>
                </c:pt>
              </c:strCache>
            </c:strRef>
          </c:cat>
          <c:val>
            <c:numRef>
              <c:f>'[决算分析图表.xls]1'!$C$33:$D$33</c:f>
              <c:numCache>
                <c:formatCode>General</c:formatCode>
                <c:ptCount val="2"/>
                <c:pt idx="0">
                  <c:v>5837.79</c:v>
                </c:pt>
                <c:pt idx="1" c:formatCode="#,##0.00">
                  <c:v>642.91</c:v>
                </c:pt>
              </c:numCache>
            </c:numRef>
          </c:val>
        </c:ser>
        <c:dLbls>
          <c:showLegendKey val="0"/>
          <c:showVal val="0"/>
          <c:showCatName val="0"/>
          <c:showSerName val="0"/>
          <c:showPercent val="0"/>
          <c:showBubbleSize val="0"/>
          <c:showLeaderLines val="0"/>
        </c:dLbls>
        <c:firstSliceAng val="0"/>
      </c:pieChart>
      <c:spPr>
        <a:noFill/>
        <a:ln>
          <a:noFill/>
        </a:ln>
        <a:effectLst/>
      </c:spPr>
    </c:plotArea>
    <c:legend>
      <c:legendPos val="t"/>
      <c:layout>
        <c:manualLayout>
          <c:xMode val="edge"/>
          <c:yMode val="edge"/>
          <c:x val="0.278317757009346"/>
          <c:y val="0.210591514400743"/>
          <c:w val="0.480373831775701"/>
          <c:h val="0.16258903685351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tx>
            <c:strRef>
              <c:f>'[决算分析图表.xls]1'!$B$111</c:f>
              <c:strCache>
                <c:ptCount val="1"/>
                <c:pt idx="0">
                  <c:v>财政拨款支出结构图</c:v>
                </c:pt>
              </c:strCache>
            </c:strRef>
          </c:tx>
          <c:explosion val="0"/>
          <c:dPt>
            <c:idx val="0"/>
            <c:bubble3D val="0"/>
            <c:explosion val="0"/>
            <c:spPr>
              <a:solidFill>
                <a:schemeClr val="accent1"/>
              </a:solidFill>
              <a:ln>
                <a:solidFill>
                  <a:schemeClr val="bg1"/>
                </a:solidFill>
              </a:ln>
              <a:effectLst/>
            </c:spPr>
          </c:dPt>
          <c:dPt>
            <c:idx val="1"/>
            <c:bubble3D val="0"/>
            <c:explosion val="0"/>
            <c:spPr>
              <a:solidFill>
                <a:schemeClr val="accent2"/>
              </a:solidFill>
              <a:ln>
                <a:solidFill>
                  <a:schemeClr val="bg1"/>
                </a:solidFill>
              </a:ln>
              <a:effectLst/>
            </c:spPr>
          </c:dPt>
          <c:dLbls>
            <c:delete val="1"/>
          </c:dLbls>
          <c:cat>
            <c:strRef>
              <c:f>'[决算分析图表.xls]1'!$C$110:$D$110</c:f>
              <c:strCache>
                <c:ptCount val="2"/>
                <c:pt idx="0">
                  <c:v>基本支出</c:v>
                </c:pt>
                <c:pt idx="1">
                  <c:v>项目支出</c:v>
                </c:pt>
              </c:strCache>
            </c:strRef>
          </c:cat>
          <c:val>
            <c:numRef>
              <c:f>'[决算分析图表.xls]1'!$C$111:$D$111</c:f>
              <c:numCache>
                <c:formatCode>#,##0.00</c:formatCode>
                <c:ptCount val="2"/>
                <c:pt idx="0">
                  <c:v>9668115.84</c:v>
                </c:pt>
                <c:pt idx="1">
                  <c:v>55138903.95</c:v>
                </c:pt>
              </c:numCache>
            </c:numRef>
          </c:val>
        </c:ser>
        <c:dLbls>
          <c:showLegendKey val="0"/>
          <c:showVal val="0"/>
          <c:showCatName val="0"/>
          <c:showSerName val="0"/>
          <c:showPercent val="0"/>
          <c:showBubbleSize val="0"/>
          <c:showLeaderLines val="0"/>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100" b="1" i="0" u="none" strike="noStrike" kern="1200" baseline="0">
                <a:solidFill>
                  <a:schemeClr val="tx1">
                    <a:lumMod val="75000"/>
                    <a:lumOff val="25000"/>
                  </a:schemeClr>
                </a:solidFill>
                <a:latin typeface="+mn-lt"/>
                <a:ea typeface="+mn-ea"/>
                <a:cs typeface="+mn-cs"/>
              </a:defRPr>
            </a:pPr>
            <a:r>
              <a:rPr altLang="en-US" sz="1100" b="1" i="0" u="none" strike="noStrike" kern="1200" baseline="0">
                <a:solidFill>
                  <a:schemeClr val="tx1">
                    <a:lumMod val="75000"/>
                    <a:lumOff val="25000"/>
                  </a:schemeClr>
                </a:solidFill>
                <a:latin typeface="+mn-lt"/>
                <a:ea typeface="+mn-ea"/>
                <a:cs typeface="+mn-cs"/>
              </a:rPr>
              <a:t>财政拨款</a:t>
            </a:r>
            <a:r>
              <a:rPr lang="en-US" altLang="zh-CN" sz="1100" b="1" i="0" u="none" strike="noStrike" kern="1200" baseline="0">
                <a:solidFill>
                  <a:schemeClr val="tx1">
                    <a:lumMod val="75000"/>
                    <a:lumOff val="25000"/>
                  </a:schemeClr>
                </a:solidFill>
                <a:latin typeface="+mn-lt"/>
                <a:ea typeface="+mn-ea"/>
                <a:cs typeface="+mn-cs"/>
              </a:rPr>
              <a:t>收、支决算总计变动情况图</a:t>
            </a:r>
            <a:endParaRPr lang="en-US" altLang="zh-CN" sz="1100" b="1" i="0" u="none" strike="noStrike" kern="1200" baseline="0">
              <a:solidFill>
                <a:schemeClr val="tx1">
                  <a:lumMod val="75000"/>
                  <a:lumOff val="25000"/>
                </a:schemeClr>
              </a:solidFill>
              <a:latin typeface="+mn-lt"/>
              <a:ea typeface="+mn-ea"/>
              <a:cs typeface="+mn-cs"/>
            </a:endParaRPr>
          </a:p>
        </c:rich>
      </c:tx>
      <c:layout>
        <c:manualLayout>
          <c:xMode val="edge"/>
          <c:yMode val="edge"/>
          <c:x val="0.221937422662188"/>
          <c:y val="0.0473352033660589"/>
        </c:manualLayout>
      </c:layout>
      <c:overlay val="0"/>
      <c:spPr>
        <a:noFill/>
        <a:ln>
          <a:noFill/>
        </a:ln>
        <a:effectLst/>
      </c:spPr>
    </c:title>
    <c:autoTitleDeleted val="0"/>
    <c:plotArea>
      <c:layout/>
      <c:barChart>
        <c:barDir val="col"/>
        <c:grouping val="clustered"/>
        <c:varyColors val="0"/>
        <c:ser>
          <c:idx val="0"/>
          <c:order val="0"/>
          <c:tx>
            <c:strRef>
              <c:f>'[决算分析图表.xls]1'!$C$2</c:f>
              <c:strCache>
                <c:ptCount val="1"/>
                <c:pt idx="0">
                  <c:v>2024年</c:v>
                </c:pt>
              </c:strCache>
            </c:strRef>
          </c:tx>
          <c:spPr>
            <a:solidFill>
              <a:schemeClr val="accent1"/>
            </a:solidFill>
            <a:ln>
              <a:noFill/>
            </a:ln>
            <a:effectLst/>
          </c:spPr>
          <c:invertIfNegative val="0"/>
          <c:dLbls>
            <c:delete val="1"/>
          </c:dLbls>
          <c:cat>
            <c:strRef>
              <c:f>'[决算分析图表.xls]1'!$D$1:$E$1</c:f>
              <c:strCache>
                <c:ptCount val="2"/>
                <c:pt idx="0">
                  <c:v>收入</c:v>
                </c:pt>
                <c:pt idx="1">
                  <c:v>支出</c:v>
                </c:pt>
              </c:strCache>
            </c:strRef>
          </c:cat>
          <c:val>
            <c:numRef>
              <c:f>'[决算分析图表.xls]1'!$D$2:$E$2</c:f>
              <c:numCache>
                <c:formatCode>General</c:formatCode>
                <c:ptCount val="2"/>
                <c:pt idx="0">
                  <c:v>3719.9888</c:v>
                </c:pt>
                <c:pt idx="1">
                  <c:v>3719.9888</c:v>
                </c:pt>
              </c:numCache>
            </c:numRef>
          </c:val>
        </c:ser>
        <c:ser>
          <c:idx val="1"/>
          <c:order val="1"/>
          <c:tx>
            <c:strRef>
              <c:f>'[决算分析图表.xls]1'!$C$3</c:f>
              <c:strCache>
                <c:ptCount val="1"/>
                <c:pt idx="0">
                  <c:v>2025年</c:v>
                </c:pt>
              </c:strCache>
            </c:strRef>
          </c:tx>
          <c:spPr>
            <a:solidFill>
              <a:schemeClr val="accent2"/>
            </a:solidFill>
            <a:ln>
              <a:noFill/>
            </a:ln>
            <a:effectLst/>
          </c:spPr>
          <c:invertIfNegative val="0"/>
          <c:dLbls>
            <c:delete val="1"/>
          </c:dLbls>
          <c:cat>
            <c:strRef>
              <c:f>'[决算分析图表.xls]1'!$D$1:$E$1</c:f>
              <c:strCache>
                <c:ptCount val="2"/>
                <c:pt idx="0">
                  <c:v>收入</c:v>
                </c:pt>
                <c:pt idx="1">
                  <c:v>支出</c:v>
                </c:pt>
              </c:strCache>
            </c:strRef>
          </c:cat>
          <c:val>
            <c:numRef>
              <c:f>'[决算分析图表.xls]1'!$D$3:$E$3</c:f>
              <c:numCache>
                <c:formatCode>General</c:formatCode>
                <c:ptCount val="2"/>
                <c:pt idx="0">
                  <c:v>6480.7</c:v>
                </c:pt>
                <c:pt idx="1">
                  <c:v>6480.7</c:v>
                </c:pt>
              </c:numCache>
            </c:numRef>
          </c:val>
        </c:ser>
        <c:dLbls>
          <c:showLegendKey val="0"/>
          <c:showVal val="0"/>
          <c:showCatName val="0"/>
          <c:showSerName val="0"/>
          <c:showPercent val="0"/>
          <c:showBubbleSize val="0"/>
        </c:dLbls>
        <c:gapWidth val="246"/>
        <c:overlap val="-28"/>
        <c:axId val="963488519"/>
        <c:axId val="536570095"/>
      </c:barChart>
      <c:catAx>
        <c:axId val="963488519"/>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6570095"/>
        <c:crosses val="autoZero"/>
        <c:auto val="1"/>
        <c:lblAlgn val="ctr"/>
        <c:lblOffset val="100"/>
        <c:noMultiLvlLbl val="0"/>
      </c:catAx>
      <c:valAx>
        <c:axId val="536570095"/>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3488519"/>
        <c:crosses val="autoZero"/>
        <c:crossBetween val="between"/>
      </c:valAx>
      <c:spPr>
        <a:noFill/>
        <a:ln>
          <a:noFill/>
        </a:ln>
        <a:effectLst/>
      </c:spPr>
    </c:plotArea>
    <c:legend>
      <c:legendPos val="b"/>
      <c:layout>
        <c:manualLayout>
          <c:xMode val="edge"/>
          <c:yMode val="edge"/>
          <c:x val="0.34775"/>
          <c:y val="0.8185"/>
          <c:w val="0.304"/>
          <c:h val="0.133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100" b="1" i="0" u="none" strike="noStrike" kern="1200" baseline="0">
                <a:solidFill>
                  <a:schemeClr val="tx1">
                    <a:lumMod val="75000"/>
                    <a:lumOff val="25000"/>
                  </a:schemeClr>
                </a:solidFill>
                <a:latin typeface="+mn-lt"/>
                <a:ea typeface="+mn-ea"/>
                <a:cs typeface="+mn-cs"/>
              </a:defRPr>
            </a:pPr>
            <a:r>
              <a:rPr lang="en-US" altLang="zh-CN" sz="1100" b="1" i="0" u="none" strike="noStrike" kern="1200" baseline="0">
                <a:solidFill>
                  <a:schemeClr val="tx1">
                    <a:lumMod val="75000"/>
                    <a:lumOff val="25000"/>
                  </a:schemeClr>
                </a:solidFill>
                <a:latin typeface="+mn-lt"/>
                <a:ea typeface="+mn-ea"/>
                <a:cs typeface="+mn-cs"/>
              </a:rPr>
              <a:t>一般公共预算财政拨款支出决算变动情况</a:t>
            </a:r>
            <a:endParaRPr lang="en-US" altLang="zh-CN" sz="1100" b="1" i="0" u="none" strike="noStrike" kern="1200" baseline="0">
              <a:solidFill>
                <a:schemeClr val="tx1">
                  <a:lumMod val="75000"/>
                  <a:lumOff val="25000"/>
                </a:schemeClr>
              </a:solidFill>
              <a:latin typeface="+mn-lt"/>
              <a:ea typeface="+mn-ea"/>
              <a:cs typeface="+mn-cs"/>
            </a:endParaRPr>
          </a:p>
        </c:rich>
      </c:tx>
      <c:layout/>
      <c:overlay val="0"/>
      <c:spPr>
        <a:noFill/>
        <a:ln>
          <a:noFill/>
        </a:ln>
        <a:effectLst/>
      </c:spPr>
    </c:title>
    <c:autoTitleDeleted val="0"/>
    <c:plotArea>
      <c:layout/>
      <c:barChart>
        <c:barDir val="col"/>
        <c:grouping val="clustered"/>
        <c:varyColors val="0"/>
        <c:ser>
          <c:idx val="0"/>
          <c:order val="0"/>
          <c:tx>
            <c:strRef>
              <c:f>'[决算分析图表.xls]1'!$C$2</c:f>
              <c:strCache>
                <c:ptCount val="1"/>
                <c:pt idx="0">
                  <c:v/>
                </c:pt>
              </c:strCache>
            </c:strRef>
          </c:tx>
          <c:spPr>
            <a:solidFill>
              <a:schemeClr val="accent1"/>
            </a:solidFill>
            <a:ln>
              <a:noFill/>
            </a:ln>
            <a:effectLst/>
          </c:spPr>
          <c:invertIfNegative val="0"/>
          <c:dLbls>
            <c:delete val="1"/>
          </c:dLbls>
          <c:cat>
            <c:numRef>
              <c:f>'[决算分析图表.xls]1'!$D$1:$E$1</c:f>
              <c:numCache>
                <c:formatCode>General</c:formatCode>
                <c:ptCount val="2"/>
                <c:pt idx="0">
                  <c:v>2024</c:v>
                </c:pt>
                <c:pt idx="1">
                  <c:v>2025</c:v>
                </c:pt>
              </c:numCache>
            </c:numRef>
          </c:cat>
          <c:val>
            <c:numRef>
              <c:f>'[决算分析图表.xls]1'!$D$2:$E$2</c:f>
              <c:numCache>
                <c:formatCode>General</c:formatCode>
                <c:ptCount val="2"/>
                <c:pt idx="0">
                  <c:v>3719.98</c:v>
                </c:pt>
                <c:pt idx="1">
                  <c:v>5837.79</c:v>
                </c:pt>
              </c:numCache>
            </c:numRef>
          </c:val>
        </c:ser>
        <c:dLbls>
          <c:showLegendKey val="0"/>
          <c:showVal val="0"/>
          <c:showCatName val="0"/>
          <c:showSerName val="0"/>
          <c:showPercent val="0"/>
          <c:showBubbleSize val="0"/>
        </c:dLbls>
        <c:gapWidth val="246"/>
        <c:overlap val="-28"/>
        <c:axId val="963488519"/>
        <c:axId val="536570095"/>
      </c:barChart>
      <c:catAx>
        <c:axId val="963488519"/>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6570095"/>
        <c:crosses val="autoZero"/>
        <c:auto val="1"/>
        <c:lblAlgn val="ctr"/>
        <c:lblOffset val="100"/>
        <c:noMultiLvlLbl val="0"/>
      </c:catAx>
      <c:valAx>
        <c:axId val="536570095"/>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348851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一般公共预算财政拨款支出决算结构图</a:t>
            </a:r>
          </a:p>
        </c:rich>
      </c:tx>
      <c:layout>
        <c:manualLayout>
          <c:xMode val="edge"/>
          <c:yMode val="edge"/>
          <c:x val="0.130952380952381"/>
          <c:y val="0.0624306326304107"/>
        </c:manualLayout>
      </c:layout>
      <c:overlay val="0"/>
      <c:spPr>
        <a:noFill/>
        <a:ln>
          <a:noFill/>
        </a:ln>
        <a:effectLst/>
      </c:spPr>
    </c:title>
    <c:autoTitleDeleted val="0"/>
    <c:plotArea>
      <c:layout/>
      <c:pieChart>
        <c:varyColors val="1"/>
        <c:ser>
          <c:idx val="0"/>
          <c:order val="0"/>
          <c:tx>
            <c:strRef>
              <c:f>'[决算分析图表.xls]1'!$A$17</c:f>
              <c:strCache>
                <c:ptCount val="1"/>
                <c:pt idx="0">
                  <c:v>本年支出结构图</c:v>
                </c:pt>
              </c:strCache>
            </c:strRef>
          </c:tx>
          <c:explosion val="0"/>
          <c:dPt>
            <c:idx val="0"/>
            <c:bubble3D val="0"/>
            <c:explosion val="0"/>
            <c:spPr>
              <a:solidFill>
                <a:schemeClr val="accent1"/>
              </a:solidFill>
              <a:ln>
                <a:solidFill>
                  <a:schemeClr val="bg1"/>
                </a:solidFill>
              </a:ln>
              <a:effectLst/>
            </c:spPr>
          </c:dPt>
          <c:dPt>
            <c:idx val="1"/>
            <c:bubble3D val="0"/>
            <c:explosion val="0"/>
            <c:spPr>
              <a:solidFill>
                <a:schemeClr val="accent2"/>
              </a:solidFill>
              <a:ln>
                <a:solidFill>
                  <a:schemeClr val="bg1"/>
                </a:solidFill>
              </a:ln>
              <a:effectLst/>
            </c:spPr>
          </c:dPt>
          <c:dPt>
            <c:idx val="2"/>
            <c:bubble3D val="0"/>
            <c:explosion val="0"/>
            <c:spPr>
              <a:solidFill>
                <a:schemeClr val="accent3"/>
              </a:solidFill>
              <a:ln>
                <a:solidFill>
                  <a:schemeClr val="bg1"/>
                </a:solidFill>
              </a:ln>
              <a:effectLst/>
            </c:spPr>
          </c:dPt>
          <c:dPt>
            <c:idx val="3"/>
            <c:bubble3D val="0"/>
            <c:explosion val="0"/>
            <c:spPr>
              <a:solidFill>
                <a:schemeClr val="accent4"/>
              </a:solidFill>
              <a:ln>
                <a:solidFill>
                  <a:schemeClr val="bg1"/>
                </a:solidFill>
              </a:ln>
              <a:effectLst/>
            </c:spPr>
          </c:dPt>
          <c:dPt>
            <c:idx val="4"/>
            <c:bubble3D val="0"/>
          </c:dPt>
          <c:dPt>
            <c:idx val="5"/>
            <c:bubble3D val="0"/>
          </c:dPt>
          <c:dLbls>
            <c:delete val="1"/>
          </c:dLbls>
          <c:cat>
            <c:strRef>
              <c:f>'[决算分析图表.xls]1'!$C$16:$H$16</c:f>
              <c:strCache>
                <c:ptCount val="6"/>
                <c:pt idx="0">
                  <c:v>文化旅游体育与传媒支出</c:v>
                </c:pt>
                <c:pt idx="1">
                  <c:v>社会保障和就业支出</c:v>
                </c:pt>
                <c:pt idx="2">
                  <c:v>卫生健康支出</c:v>
                </c:pt>
                <c:pt idx="3">
                  <c:v>住房保障支出</c:v>
                </c:pt>
                <c:pt idx="4">
                  <c:v>城乡社区支出</c:v>
                </c:pt>
                <c:pt idx="5">
                  <c:v>农林水支出</c:v>
                </c:pt>
              </c:strCache>
            </c:strRef>
          </c:cat>
          <c:val>
            <c:numRef>
              <c:f>'[决算分析图表.xls]1'!$C$17:$H$17</c:f>
              <c:numCache>
                <c:formatCode>0.00_ </c:formatCode>
                <c:ptCount val="6"/>
                <c:pt idx="0">
                  <c:v>3012.2</c:v>
                </c:pt>
                <c:pt idx="1">
                  <c:v>2084.77</c:v>
                </c:pt>
                <c:pt idx="2">
                  <c:v>49.9</c:v>
                </c:pt>
                <c:pt idx="3">
                  <c:v>67.07</c:v>
                </c:pt>
                <c:pt idx="4">
                  <c:v>30</c:v>
                </c:pt>
                <c:pt idx="5">
                  <c:v>593.85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0981709059731352"/>
          <c:y val="0.718115124153499"/>
          <c:w val="0.80365818805373"/>
          <c:h val="0.24802483069977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'[决算分析图表.xls]1'!$I$118</c:f>
              <c:strCache>
                <c:ptCount val="1"/>
                <c:pt idx="0">
                  <c:v>财政拨款“三公”经费支出结构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elete val="1"/>
          </c:dLbls>
          <c:cat>
            <c:strRef>
              <c:f>'[决算分析图表.xls]1'!$J$117:$L$117</c:f>
              <c:strCache>
                <c:ptCount val="3"/>
                <c:pt idx="0">
                  <c:v>因公出国（境）费支出</c:v>
                </c:pt>
                <c:pt idx="1">
                  <c:v>公务用车购置及运行维护费支出</c:v>
                </c:pt>
                <c:pt idx="2">
                  <c:v>公务接待费支出</c:v>
                </c:pt>
              </c:strCache>
            </c:strRef>
          </c:cat>
          <c:val>
            <c:numRef>
              <c:f>'[决算分析图表.xls]1'!$J$118:$L$118</c:f>
              <c:numCache>
                <c:formatCode>General</c:formatCode>
                <c:ptCount val="3"/>
                <c:pt idx="0">
                  <c:v>0</c:v>
                </c:pt>
                <c:pt idx="1">
                  <c:v>7.99</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40</Pages>
  <Words>1299</Words>
  <Characters>7410</Characters>
  <Lines>61</Lines>
  <Paragraphs>17</Paragraphs>
  <TotalTime>359</TotalTime>
  <ScaleCrop>false</ScaleCrop>
  <LinksUpToDate>false</LinksUpToDate>
  <CharactersWithSpaces>8692</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user</cp:lastModifiedBy>
  <cp:lastPrinted>2026-10-23T00:03:00Z</cp:lastPrinted>
  <dcterms:modified xsi:type="dcterms:W3CDTF">2026-10-23T11:43:18Z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9C20405CF3C44461A8C3AE6B975882EC_13</vt:lpwstr>
  </property>
</Properties>
</file>