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1742E">
      <w:pPr>
        <w:spacing w:line="600" w:lineRule="exact"/>
        <w:jc w:val="center"/>
        <w:outlineLvl w:val="9"/>
        <w:rPr>
          <w:rFonts w:ascii="方正小标宋简体" w:hAnsi="宋体" w:eastAsia="方正小标宋简体"/>
          <w:color w:val="auto"/>
          <w:sz w:val="72"/>
          <w:szCs w:val="72"/>
          <w:highlight w:val="none"/>
        </w:rPr>
      </w:pPr>
      <w:bookmarkStart w:id="0" w:name="_Toc15396475"/>
      <w:bookmarkStart w:id="1" w:name="_Toc15377425"/>
      <w:bookmarkStart w:id="2" w:name="_Toc15396597"/>
      <w:bookmarkStart w:id="3" w:name="_Toc15377193"/>
      <w:bookmarkStart w:id="4" w:name="_Toc15378441"/>
      <w:bookmarkStart w:id="5" w:name="_Toc15306267"/>
    </w:p>
    <w:p w14:paraId="7B26AB25">
      <w:pPr>
        <w:spacing w:line="600" w:lineRule="exact"/>
        <w:jc w:val="center"/>
        <w:outlineLvl w:val="9"/>
        <w:rPr>
          <w:rFonts w:ascii="方正小标宋简体" w:hAnsi="宋体" w:eastAsia="方正小标宋简体"/>
          <w:color w:val="auto"/>
          <w:sz w:val="72"/>
          <w:szCs w:val="72"/>
          <w:highlight w:val="none"/>
        </w:rPr>
      </w:pPr>
    </w:p>
    <w:p w14:paraId="2A75CE90">
      <w:pPr>
        <w:spacing w:line="600" w:lineRule="exact"/>
        <w:jc w:val="center"/>
        <w:outlineLvl w:val="9"/>
        <w:rPr>
          <w:rFonts w:ascii="方正小标宋简体" w:hAnsi="宋体" w:eastAsia="方正小标宋简体"/>
          <w:color w:val="auto"/>
          <w:sz w:val="72"/>
          <w:szCs w:val="72"/>
          <w:highlight w:val="none"/>
        </w:rPr>
      </w:pPr>
    </w:p>
    <w:p w14:paraId="19BD10C4">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bookmarkStart w:id="123" w:name="_GoBack"/>
      <w:bookmarkStart w:id="6" w:name="_Toc3600"/>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22</w:t>
      </w:r>
      <w:r>
        <w:rPr>
          <w:rFonts w:hint="eastAsia" w:ascii="方正小标宋简体" w:hAnsi="方正小标宋简体" w:eastAsia="方正小标宋简体" w:cs="方正小标宋简体"/>
          <w:color w:val="auto"/>
          <w:sz w:val="72"/>
          <w:szCs w:val="72"/>
          <w:highlight w:val="none"/>
        </w:rPr>
        <w:t>年度</w:t>
      </w:r>
      <w:bookmarkEnd w:id="0"/>
      <w:bookmarkEnd w:id="1"/>
      <w:bookmarkEnd w:id="2"/>
      <w:bookmarkEnd w:id="3"/>
      <w:bookmarkEnd w:id="4"/>
      <w:bookmarkEnd w:id="6"/>
    </w:p>
    <w:p w14:paraId="19BAEFA6">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bookmarkStart w:id="7" w:name="_Toc15377194"/>
      <w:bookmarkStart w:id="8" w:name="_Toc15396476"/>
      <w:bookmarkStart w:id="9" w:name="_Toc15378442"/>
      <w:bookmarkStart w:id="10" w:name="_Toc18417"/>
      <w:bookmarkStart w:id="11" w:name="_Toc15377426"/>
      <w:bookmarkStart w:id="12" w:name="_Toc15396598"/>
      <w:r>
        <w:rPr>
          <w:rFonts w:hint="eastAsia" w:ascii="方正小标宋简体" w:hAnsi="方正小标宋简体" w:eastAsia="方正小标宋简体" w:cs="方正小标宋简体"/>
          <w:color w:val="auto"/>
          <w:sz w:val="72"/>
          <w:szCs w:val="72"/>
          <w:highlight w:val="none"/>
        </w:rPr>
        <w:t>四川省</w:t>
      </w:r>
      <w:bookmarkEnd w:id="5"/>
      <w:bookmarkStart w:id="13" w:name="_Toc15306268"/>
      <w:r>
        <w:rPr>
          <w:rFonts w:hint="eastAsia" w:ascii="方正小标宋简体" w:hAnsi="方正小标宋简体" w:eastAsia="方正小标宋简体" w:cs="方正小标宋简体"/>
          <w:color w:val="auto"/>
          <w:sz w:val="72"/>
          <w:szCs w:val="72"/>
          <w:highlight w:val="none"/>
          <w:lang w:val="en-US" w:eastAsia="zh-CN"/>
        </w:rPr>
        <w:t>阿坝州壤塘县文化体育和旅游局</w:t>
      </w:r>
      <w:r>
        <w:rPr>
          <w:rFonts w:hint="eastAsia" w:ascii="方正小标宋简体" w:hAnsi="方正小标宋简体" w:eastAsia="方正小标宋简体" w:cs="方正小标宋简体"/>
          <w:color w:val="auto"/>
          <w:sz w:val="72"/>
          <w:szCs w:val="72"/>
          <w:highlight w:val="none"/>
        </w:rPr>
        <w:t>部门决算</w:t>
      </w:r>
      <w:bookmarkEnd w:id="7"/>
      <w:bookmarkEnd w:id="8"/>
      <w:bookmarkEnd w:id="9"/>
      <w:bookmarkEnd w:id="10"/>
      <w:bookmarkEnd w:id="11"/>
      <w:bookmarkEnd w:id="12"/>
      <w:bookmarkEnd w:id="13"/>
    </w:p>
    <w:bookmarkEnd w:id="123"/>
    <w:p w14:paraId="2DCB869B">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442C989A">
      <w:pPr>
        <w:widowControl/>
        <w:jc w:val="center"/>
        <w:rPr>
          <w:rFonts w:ascii="黑体" w:hAnsi="黑体" w:eastAsia="黑体" w:cstheme="minorBidi"/>
          <w:color w:val="auto"/>
          <w:sz w:val="28"/>
          <w:szCs w:val="28"/>
          <w:highlight w:val="none"/>
        </w:rPr>
      </w:pPr>
    </w:p>
    <w:p w14:paraId="5AADB520">
      <w:pPr>
        <w:pStyle w:val="14"/>
        <w:rPr>
          <w:color w:val="auto"/>
          <w:highlight w:val="none"/>
        </w:rPr>
      </w:pPr>
      <w:r>
        <w:rPr>
          <w:rFonts w:hint="eastAsia"/>
          <w:color w:val="auto"/>
          <w:highlight w:val="none"/>
        </w:rPr>
        <w:t>公开时间：20</w:t>
      </w:r>
      <w:r>
        <w:rPr>
          <w:rFonts w:hint="eastAsia"/>
          <w:color w:val="auto"/>
          <w:highlight w:val="none"/>
          <w:lang w:val="en-US" w:eastAsia="zh-CN"/>
        </w:rPr>
        <w:t>23</w:t>
      </w:r>
      <w:r>
        <w:rPr>
          <w:rFonts w:hint="eastAsia"/>
          <w:color w:val="auto"/>
          <w:highlight w:val="none"/>
        </w:rPr>
        <w:t>年</w:t>
      </w:r>
      <w:r>
        <w:rPr>
          <w:rFonts w:hint="eastAsia"/>
          <w:color w:val="auto"/>
          <w:highlight w:val="none"/>
          <w:lang w:val="en-US" w:eastAsia="zh-CN"/>
        </w:rPr>
        <w:t>8</w:t>
      </w:r>
      <w:r>
        <w:rPr>
          <w:rFonts w:hint="eastAsia"/>
          <w:color w:val="auto"/>
          <w:highlight w:val="none"/>
        </w:rPr>
        <w:t>月</w:t>
      </w:r>
      <w:r>
        <w:rPr>
          <w:rFonts w:hint="eastAsia"/>
          <w:color w:val="auto"/>
          <w:highlight w:val="none"/>
          <w:lang w:val="en-US" w:eastAsia="zh-CN"/>
        </w:rPr>
        <w:t>25</w:t>
      </w:r>
      <w:r>
        <w:rPr>
          <w:rFonts w:hint="eastAsia"/>
          <w:color w:val="auto"/>
          <w:highlight w:val="none"/>
        </w:rPr>
        <w:t>日</w:t>
      </w:r>
    </w:p>
    <w:sdt>
      <w:sdtPr>
        <w:rPr>
          <w:rFonts w:ascii="宋体" w:hAnsi="宋体" w:eastAsia="宋体" w:cs="Times New Roman"/>
          <w:kern w:val="2"/>
          <w:sz w:val="21"/>
          <w:szCs w:val="24"/>
          <w:lang w:val="en-US" w:eastAsia="zh-CN" w:bidi="ar-SA"/>
        </w:rPr>
        <w:id w:val="147453238"/>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71FA2B18">
          <w:pPr>
            <w:spacing w:before="0" w:beforeLines="0" w:after="0" w:afterLines="0" w:line="240" w:lineRule="auto"/>
            <w:ind w:left="0" w:leftChars="0" w:right="0" w:rightChars="0" w:firstLine="0" w:firstLineChars="0"/>
            <w:jc w:val="center"/>
          </w:pPr>
          <w:bookmarkStart w:id="14" w:name="_Toc15377196"/>
          <w:bookmarkStart w:id="15" w:name="_Toc15396599"/>
        </w:p>
        <w:p w14:paraId="1754A337">
          <w:pPr>
            <w:pStyle w:val="42"/>
            <w:tabs>
              <w:tab w:val="right" w:leader="dot" w:pos="8306"/>
            </w:tabs>
            <w:rPr>
              <w:b/>
            </w:rPr>
          </w:pPr>
          <w:r>
            <w:fldChar w:fldCharType="begin"/>
          </w:r>
          <w:r>
            <w:instrText xml:space="preserve">TOC \o "1-2" \h \u </w:instrText>
          </w:r>
          <w:r>
            <w:fldChar w:fldCharType="separate"/>
          </w:r>
        </w:p>
        <w:p w14:paraId="6380770A">
          <w:pPr>
            <w:pStyle w:val="42"/>
            <w:tabs>
              <w:tab w:val="right" w:leader="dot" w:pos="8306"/>
            </w:tabs>
            <w:rPr>
              <w:b/>
            </w:rPr>
          </w:pPr>
          <w:r>
            <w:rPr>
              <w:b/>
            </w:rPr>
            <w:fldChar w:fldCharType="begin"/>
          </w:r>
          <w:r>
            <w:rPr>
              <w:b/>
            </w:rPr>
            <w:instrText xml:space="preserve"> HYPERLINK \l _Toc18797 </w:instrText>
          </w:r>
          <w:r>
            <w:rPr>
              <w:b/>
            </w:rPr>
            <w:fldChar w:fldCharType="separate"/>
          </w:r>
          <w:r>
            <w:rPr>
              <w:rFonts w:hint="eastAsia" w:ascii="黑体" w:hAnsi="黑体" w:eastAsia="黑体"/>
              <w:b/>
              <w:highlight w:val="none"/>
            </w:rPr>
            <w:t xml:space="preserve">第一部分 </w:t>
          </w:r>
          <w:r>
            <w:rPr>
              <w:rFonts w:hint="eastAsia" w:ascii="黑体" w:hAnsi="黑体" w:eastAsia="黑体"/>
              <w:b/>
              <w:bCs w:val="0"/>
              <w:highlight w:val="none"/>
            </w:rPr>
            <w:t>部门概况</w:t>
          </w:r>
          <w:r>
            <w:rPr>
              <w:b/>
            </w:rPr>
            <w:tab/>
          </w:r>
          <w:r>
            <w:rPr>
              <w:b/>
            </w:rPr>
            <w:fldChar w:fldCharType="begin"/>
          </w:r>
          <w:r>
            <w:rPr>
              <w:b/>
            </w:rPr>
            <w:instrText xml:space="preserve"> PAGEREF _Toc18797 </w:instrText>
          </w:r>
          <w:r>
            <w:rPr>
              <w:b/>
            </w:rPr>
            <w:fldChar w:fldCharType="separate"/>
          </w:r>
          <w:r>
            <w:rPr>
              <w:b/>
            </w:rPr>
            <w:t>3</w:t>
          </w:r>
          <w:r>
            <w:rPr>
              <w:b/>
            </w:rPr>
            <w:fldChar w:fldCharType="end"/>
          </w:r>
          <w:r>
            <w:rPr>
              <w:b/>
            </w:rPr>
            <w:fldChar w:fldCharType="end"/>
          </w:r>
        </w:p>
        <w:p w14:paraId="1C074084">
          <w:pPr>
            <w:pStyle w:val="43"/>
            <w:tabs>
              <w:tab w:val="right" w:leader="dot" w:pos="8306"/>
            </w:tabs>
          </w:pPr>
          <w:r>
            <w:fldChar w:fldCharType="begin"/>
          </w:r>
          <w:r>
            <w:instrText xml:space="preserve"> HYPERLINK \l _Toc16208 </w:instrText>
          </w:r>
          <w:r>
            <w:fldChar w:fldCharType="separate"/>
          </w:r>
          <w:r>
            <w:rPr>
              <w:rFonts w:hint="eastAsia" w:ascii="黑体" w:hAnsi="黑体" w:eastAsia="黑体"/>
              <w:lang w:eastAsia="zh-CN"/>
            </w:rPr>
            <w:t>一、部门职责</w:t>
          </w:r>
          <w:r>
            <w:tab/>
          </w:r>
          <w:r>
            <w:fldChar w:fldCharType="begin"/>
          </w:r>
          <w:r>
            <w:instrText xml:space="preserve"> PAGEREF _Toc16208 </w:instrText>
          </w:r>
          <w:r>
            <w:fldChar w:fldCharType="separate"/>
          </w:r>
          <w:r>
            <w:t>3</w:t>
          </w:r>
          <w:r>
            <w:fldChar w:fldCharType="end"/>
          </w:r>
          <w:r>
            <w:fldChar w:fldCharType="end"/>
          </w:r>
        </w:p>
        <w:p w14:paraId="168E6875">
          <w:pPr>
            <w:pStyle w:val="43"/>
            <w:tabs>
              <w:tab w:val="right" w:leader="dot" w:pos="8306"/>
            </w:tabs>
          </w:pPr>
          <w:r>
            <w:fldChar w:fldCharType="begin"/>
          </w:r>
          <w:r>
            <w:instrText xml:space="preserve"> HYPERLINK \l _Toc20578 </w:instrText>
          </w:r>
          <w:r>
            <w:fldChar w:fldCharType="separate"/>
          </w:r>
          <w:r>
            <w:rPr>
              <w:rFonts w:hint="eastAsia" w:ascii="黑体" w:eastAsia="黑体"/>
              <w:highlight w:val="none"/>
            </w:rPr>
            <w:t>二、</w:t>
          </w:r>
          <w:r>
            <w:rPr>
              <w:rFonts w:hint="eastAsia" w:ascii="黑体" w:hAnsi="黑体" w:eastAsia="黑体"/>
              <w:highlight w:val="none"/>
            </w:rPr>
            <w:t>机</w:t>
          </w:r>
          <w:r>
            <w:rPr>
              <w:rFonts w:hint="eastAsia" w:ascii="黑体" w:hAnsi="黑体" w:eastAsia="黑体"/>
              <w:bCs w:val="0"/>
              <w:highlight w:val="none"/>
            </w:rPr>
            <w:t>构设置</w:t>
          </w:r>
          <w:r>
            <w:tab/>
          </w:r>
          <w:r>
            <w:fldChar w:fldCharType="begin"/>
          </w:r>
          <w:r>
            <w:instrText xml:space="preserve"> PAGEREF _Toc20578 </w:instrText>
          </w:r>
          <w:r>
            <w:fldChar w:fldCharType="separate"/>
          </w:r>
          <w:r>
            <w:t>10</w:t>
          </w:r>
          <w:r>
            <w:fldChar w:fldCharType="end"/>
          </w:r>
          <w:r>
            <w:fldChar w:fldCharType="end"/>
          </w:r>
        </w:p>
        <w:p w14:paraId="2F529C2D">
          <w:pPr>
            <w:pStyle w:val="42"/>
            <w:tabs>
              <w:tab w:val="right" w:leader="dot" w:pos="8306"/>
            </w:tabs>
            <w:rPr>
              <w:b/>
            </w:rPr>
          </w:pPr>
          <w:r>
            <w:rPr>
              <w:b/>
            </w:rPr>
            <w:fldChar w:fldCharType="begin"/>
          </w:r>
          <w:r>
            <w:rPr>
              <w:b/>
            </w:rPr>
            <w:instrText xml:space="preserve"> HYPERLINK \l _Toc20667 </w:instrText>
          </w:r>
          <w:r>
            <w:rPr>
              <w:b/>
            </w:rPr>
            <w:fldChar w:fldCharType="separate"/>
          </w:r>
          <w:r>
            <w:rPr>
              <w:rFonts w:hint="eastAsia" w:ascii="黑体" w:hAnsi="黑体" w:eastAsia="黑体"/>
              <w:b/>
              <w:bCs/>
              <w:highlight w:val="none"/>
            </w:rPr>
            <w:t xml:space="preserve">第二部分 </w:t>
          </w:r>
          <w:r>
            <w:rPr>
              <w:rFonts w:hint="eastAsia" w:ascii="黑体" w:hAnsi="黑体" w:eastAsia="黑体"/>
              <w:b/>
              <w:bCs/>
              <w:highlight w:val="none"/>
              <w:lang w:val="en-US" w:eastAsia="zh-CN"/>
            </w:rPr>
            <w:t>2022年度</w:t>
          </w:r>
          <w:r>
            <w:rPr>
              <w:rFonts w:hint="eastAsia" w:ascii="黑体" w:hAnsi="黑体" w:eastAsia="黑体"/>
              <w:b/>
              <w:bCs/>
              <w:highlight w:val="none"/>
            </w:rPr>
            <w:t>部门决算情况说明</w:t>
          </w:r>
          <w:r>
            <w:rPr>
              <w:b/>
            </w:rPr>
            <w:tab/>
          </w:r>
          <w:r>
            <w:rPr>
              <w:b/>
            </w:rPr>
            <w:fldChar w:fldCharType="begin"/>
          </w:r>
          <w:r>
            <w:rPr>
              <w:b/>
            </w:rPr>
            <w:instrText xml:space="preserve"> PAGEREF _Toc20667 </w:instrText>
          </w:r>
          <w:r>
            <w:rPr>
              <w:b/>
            </w:rPr>
            <w:fldChar w:fldCharType="separate"/>
          </w:r>
          <w:r>
            <w:rPr>
              <w:b/>
            </w:rPr>
            <w:t>12</w:t>
          </w:r>
          <w:r>
            <w:rPr>
              <w:b/>
            </w:rPr>
            <w:fldChar w:fldCharType="end"/>
          </w:r>
          <w:r>
            <w:rPr>
              <w:b/>
            </w:rPr>
            <w:fldChar w:fldCharType="end"/>
          </w:r>
        </w:p>
        <w:p w14:paraId="517E4BA9">
          <w:pPr>
            <w:pStyle w:val="43"/>
            <w:tabs>
              <w:tab w:val="right" w:leader="dot" w:pos="8306"/>
            </w:tabs>
          </w:pPr>
          <w:r>
            <w:fldChar w:fldCharType="begin"/>
          </w:r>
          <w:r>
            <w:instrText xml:space="preserve"> HYPERLINK \l _Toc13622 </w:instrText>
          </w:r>
          <w:r>
            <w:fldChar w:fldCharType="separate"/>
          </w:r>
          <w:r>
            <w:rPr>
              <w:rFonts w:hint="default" w:ascii="黑体" w:hAnsi="黑体" w:eastAsia="黑体"/>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fldChar w:fldCharType="begin"/>
          </w:r>
          <w:r>
            <w:instrText xml:space="preserve"> PAGEREF _Toc13622 </w:instrText>
          </w:r>
          <w:r>
            <w:fldChar w:fldCharType="separate"/>
          </w:r>
          <w:r>
            <w:t>12</w:t>
          </w:r>
          <w:r>
            <w:fldChar w:fldCharType="end"/>
          </w:r>
          <w:r>
            <w:fldChar w:fldCharType="end"/>
          </w:r>
        </w:p>
        <w:p w14:paraId="426CB60A">
          <w:pPr>
            <w:pStyle w:val="43"/>
            <w:tabs>
              <w:tab w:val="right" w:leader="dot" w:pos="8306"/>
            </w:tabs>
          </w:pPr>
          <w:r>
            <w:fldChar w:fldCharType="begin"/>
          </w:r>
          <w:r>
            <w:instrText xml:space="preserve"> HYPERLINK \l _Toc2400 </w:instrText>
          </w:r>
          <w:r>
            <w:fldChar w:fldCharType="separate"/>
          </w:r>
          <w:r>
            <w:rPr>
              <w:rFonts w:hint="default" w:ascii="黑体" w:hAnsi="黑体" w:eastAsia="黑体"/>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tab/>
          </w:r>
          <w:r>
            <w:fldChar w:fldCharType="begin"/>
          </w:r>
          <w:r>
            <w:instrText xml:space="preserve"> PAGEREF _Toc2400 </w:instrText>
          </w:r>
          <w:r>
            <w:fldChar w:fldCharType="separate"/>
          </w:r>
          <w:r>
            <w:t>13</w:t>
          </w:r>
          <w:r>
            <w:fldChar w:fldCharType="end"/>
          </w:r>
          <w:r>
            <w:fldChar w:fldCharType="end"/>
          </w:r>
        </w:p>
        <w:p w14:paraId="037A0C07">
          <w:pPr>
            <w:pStyle w:val="43"/>
            <w:tabs>
              <w:tab w:val="right" w:leader="dot" w:pos="8306"/>
            </w:tabs>
          </w:pPr>
          <w:r>
            <w:fldChar w:fldCharType="begin"/>
          </w:r>
          <w:r>
            <w:instrText xml:space="preserve"> HYPERLINK \l _Toc27114 </w:instrText>
          </w:r>
          <w:r>
            <w:fldChar w:fldCharType="separate"/>
          </w:r>
          <w:r>
            <w:rPr>
              <w:rFonts w:hint="default" w:ascii="黑体" w:hAnsi="黑体" w:eastAsia="黑体"/>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tab/>
          </w:r>
          <w:r>
            <w:fldChar w:fldCharType="begin"/>
          </w:r>
          <w:r>
            <w:instrText xml:space="preserve"> PAGEREF _Toc27114 </w:instrText>
          </w:r>
          <w:r>
            <w:fldChar w:fldCharType="separate"/>
          </w:r>
          <w:r>
            <w:t>14</w:t>
          </w:r>
          <w:r>
            <w:fldChar w:fldCharType="end"/>
          </w:r>
          <w:r>
            <w:fldChar w:fldCharType="end"/>
          </w:r>
        </w:p>
        <w:p w14:paraId="725FA9DA">
          <w:pPr>
            <w:pStyle w:val="43"/>
            <w:tabs>
              <w:tab w:val="right" w:leader="dot" w:pos="8306"/>
            </w:tabs>
          </w:pPr>
          <w:r>
            <w:fldChar w:fldCharType="begin"/>
          </w:r>
          <w:r>
            <w:instrText xml:space="preserve"> HYPERLINK \l _Toc27295 </w:instrText>
          </w:r>
          <w: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fldChar w:fldCharType="begin"/>
          </w:r>
          <w:r>
            <w:instrText xml:space="preserve"> PAGEREF _Toc27295 </w:instrText>
          </w:r>
          <w:r>
            <w:fldChar w:fldCharType="separate"/>
          </w:r>
          <w:r>
            <w:t>15</w:t>
          </w:r>
          <w:r>
            <w:fldChar w:fldCharType="end"/>
          </w:r>
          <w:r>
            <w:fldChar w:fldCharType="end"/>
          </w:r>
        </w:p>
        <w:p w14:paraId="52ADFD73">
          <w:pPr>
            <w:pStyle w:val="43"/>
            <w:tabs>
              <w:tab w:val="right" w:leader="dot" w:pos="8306"/>
            </w:tabs>
          </w:pPr>
          <w:r>
            <w:fldChar w:fldCharType="begin"/>
          </w:r>
          <w:r>
            <w:instrText xml:space="preserve"> HYPERLINK \l _Toc15596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fldChar w:fldCharType="begin"/>
          </w:r>
          <w:r>
            <w:instrText xml:space="preserve"> PAGEREF _Toc15596 </w:instrText>
          </w:r>
          <w:r>
            <w:fldChar w:fldCharType="separate"/>
          </w:r>
          <w:r>
            <w:t>16</w:t>
          </w:r>
          <w:r>
            <w:fldChar w:fldCharType="end"/>
          </w:r>
          <w:r>
            <w:fldChar w:fldCharType="end"/>
          </w:r>
        </w:p>
        <w:p w14:paraId="1C715282">
          <w:pPr>
            <w:pStyle w:val="43"/>
            <w:tabs>
              <w:tab w:val="right" w:leader="dot" w:pos="8306"/>
            </w:tabs>
          </w:pPr>
          <w:r>
            <w:fldChar w:fldCharType="begin"/>
          </w:r>
          <w:r>
            <w:instrText xml:space="preserve"> HYPERLINK \l _Toc31901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fldChar w:fldCharType="begin"/>
          </w:r>
          <w:r>
            <w:instrText xml:space="preserve"> PAGEREF _Toc31901 </w:instrText>
          </w:r>
          <w:r>
            <w:fldChar w:fldCharType="separate"/>
          </w:r>
          <w:r>
            <w:t>23</w:t>
          </w:r>
          <w:r>
            <w:fldChar w:fldCharType="end"/>
          </w:r>
          <w:r>
            <w:fldChar w:fldCharType="end"/>
          </w:r>
        </w:p>
        <w:p w14:paraId="375D8376">
          <w:pPr>
            <w:pStyle w:val="43"/>
            <w:tabs>
              <w:tab w:val="right" w:leader="dot" w:pos="8306"/>
            </w:tabs>
          </w:pPr>
          <w:r>
            <w:fldChar w:fldCharType="begin"/>
          </w:r>
          <w:r>
            <w:instrText xml:space="preserve"> HYPERLINK \l _Toc6446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fldChar w:fldCharType="begin"/>
          </w:r>
          <w:r>
            <w:instrText xml:space="preserve"> PAGEREF _Toc6446 </w:instrText>
          </w:r>
          <w:r>
            <w:fldChar w:fldCharType="separate"/>
          </w:r>
          <w:r>
            <w:t>23</w:t>
          </w:r>
          <w:r>
            <w:fldChar w:fldCharType="end"/>
          </w:r>
          <w:r>
            <w:fldChar w:fldCharType="end"/>
          </w:r>
        </w:p>
        <w:p w14:paraId="221F8131">
          <w:pPr>
            <w:pStyle w:val="43"/>
            <w:tabs>
              <w:tab w:val="right" w:leader="dot" w:pos="8306"/>
            </w:tabs>
          </w:pPr>
          <w:r>
            <w:fldChar w:fldCharType="begin"/>
          </w:r>
          <w:r>
            <w:instrText xml:space="preserve"> HYPERLINK \l _Toc29246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fldChar w:fldCharType="begin"/>
          </w:r>
          <w:r>
            <w:instrText xml:space="preserve"> PAGEREF _Toc29246 </w:instrText>
          </w:r>
          <w:r>
            <w:fldChar w:fldCharType="separate"/>
          </w:r>
          <w:r>
            <w:t>25</w:t>
          </w:r>
          <w:r>
            <w:fldChar w:fldCharType="end"/>
          </w:r>
          <w:r>
            <w:fldChar w:fldCharType="end"/>
          </w:r>
        </w:p>
        <w:p w14:paraId="74B9562A">
          <w:pPr>
            <w:pStyle w:val="43"/>
            <w:tabs>
              <w:tab w:val="right" w:leader="dot" w:pos="8306"/>
            </w:tabs>
          </w:pPr>
          <w:r>
            <w:fldChar w:fldCharType="begin"/>
          </w:r>
          <w:r>
            <w:instrText xml:space="preserve"> HYPERLINK \l _Toc21942 </w:instrText>
          </w:r>
          <w: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fldChar w:fldCharType="begin"/>
          </w:r>
          <w:r>
            <w:instrText xml:space="preserve"> PAGEREF _Toc21942 </w:instrText>
          </w:r>
          <w:r>
            <w:fldChar w:fldCharType="separate"/>
          </w:r>
          <w:r>
            <w:t>25</w:t>
          </w:r>
          <w:r>
            <w:fldChar w:fldCharType="end"/>
          </w:r>
          <w:r>
            <w:fldChar w:fldCharType="end"/>
          </w:r>
        </w:p>
        <w:p w14:paraId="55355A63">
          <w:pPr>
            <w:pStyle w:val="43"/>
            <w:tabs>
              <w:tab w:val="right" w:leader="dot" w:pos="8306"/>
            </w:tabs>
          </w:pPr>
          <w:r>
            <w:fldChar w:fldCharType="begin"/>
          </w:r>
          <w:r>
            <w:instrText xml:space="preserve"> HYPERLINK \l _Toc11904 </w:instrText>
          </w:r>
          <w: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fldChar w:fldCharType="begin"/>
          </w:r>
          <w:r>
            <w:instrText xml:space="preserve"> PAGEREF _Toc11904 </w:instrText>
          </w:r>
          <w:r>
            <w:fldChar w:fldCharType="separate"/>
          </w:r>
          <w:r>
            <w:t>25</w:t>
          </w:r>
          <w:r>
            <w:fldChar w:fldCharType="end"/>
          </w:r>
          <w:r>
            <w:fldChar w:fldCharType="end"/>
          </w:r>
        </w:p>
        <w:p w14:paraId="3366222D">
          <w:pPr>
            <w:pStyle w:val="42"/>
            <w:tabs>
              <w:tab w:val="right" w:leader="dot" w:pos="8306"/>
            </w:tabs>
            <w:rPr>
              <w:b/>
            </w:rPr>
          </w:pPr>
          <w:r>
            <w:rPr>
              <w:b/>
            </w:rPr>
            <w:fldChar w:fldCharType="begin"/>
          </w:r>
          <w:r>
            <w:rPr>
              <w:b/>
            </w:rPr>
            <w:instrText xml:space="preserve"> HYPERLINK \l _Toc27901 </w:instrText>
          </w:r>
          <w:r>
            <w:rPr>
              <w:b/>
            </w:rPr>
            <w:fldChar w:fldCharType="separate"/>
          </w:r>
          <w:r>
            <w:rPr>
              <w:rFonts w:hint="eastAsia" w:ascii="黑体" w:hAnsi="黑体" w:eastAsia="黑体"/>
              <w:b/>
            </w:rPr>
            <w:t xml:space="preserve">第三部分 </w:t>
          </w:r>
          <w:r>
            <w:rPr>
              <w:rFonts w:hint="eastAsia" w:ascii="黑体" w:hAnsi="黑体" w:eastAsia="黑体"/>
              <w:b/>
              <w:szCs w:val="44"/>
              <w:highlight w:val="none"/>
            </w:rPr>
            <w:t>名</w:t>
          </w:r>
          <w:r>
            <w:rPr>
              <w:rFonts w:hint="eastAsia" w:ascii="黑体" w:hAnsi="黑体" w:eastAsia="黑体"/>
              <w:b/>
              <w:highlight w:val="none"/>
            </w:rPr>
            <w:t>词解释</w:t>
          </w:r>
          <w:r>
            <w:rPr>
              <w:b/>
            </w:rPr>
            <w:tab/>
          </w:r>
          <w:r>
            <w:rPr>
              <w:b/>
            </w:rPr>
            <w:fldChar w:fldCharType="begin"/>
          </w:r>
          <w:r>
            <w:rPr>
              <w:b/>
            </w:rPr>
            <w:instrText xml:space="preserve"> PAGEREF _Toc27901 </w:instrText>
          </w:r>
          <w:r>
            <w:rPr>
              <w:b/>
            </w:rPr>
            <w:fldChar w:fldCharType="separate"/>
          </w:r>
          <w:r>
            <w:rPr>
              <w:b/>
            </w:rPr>
            <w:t>27</w:t>
          </w:r>
          <w:r>
            <w:rPr>
              <w:b/>
            </w:rPr>
            <w:fldChar w:fldCharType="end"/>
          </w:r>
          <w:r>
            <w:rPr>
              <w:b/>
            </w:rPr>
            <w:fldChar w:fldCharType="end"/>
          </w:r>
        </w:p>
        <w:p w14:paraId="6722DDAA">
          <w:pPr>
            <w:pStyle w:val="42"/>
            <w:tabs>
              <w:tab w:val="right" w:leader="dot" w:pos="8306"/>
            </w:tabs>
            <w:rPr>
              <w:b/>
            </w:rPr>
          </w:pPr>
          <w:r>
            <w:rPr>
              <w:b/>
            </w:rPr>
            <w:fldChar w:fldCharType="begin"/>
          </w:r>
          <w:r>
            <w:rPr>
              <w:b/>
            </w:rPr>
            <w:instrText xml:space="preserve"> HYPERLINK \l _Toc8102 </w:instrText>
          </w:r>
          <w:r>
            <w:rPr>
              <w:b/>
            </w:rPr>
            <w:fldChar w:fldCharType="separate"/>
          </w:r>
          <w:r>
            <w:rPr>
              <w:rFonts w:hint="eastAsia" w:ascii="黑体" w:hAnsi="黑体" w:eastAsia="黑体"/>
              <w:b/>
              <w:szCs w:val="44"/>
              <w:highlight w:val="none"/>
            </w:rPr>
            <w:t>第</w:t>
          </w:r>
          <w:r>
            <w:rPr>
              <w:rFonts w:hint="eastAsia" w:ascii="黑体" w:hAnsi="黑体" w:eastAsia="黑体"/>
              <w:b/>
              <w:highlight w:val="none"/>
            </w:rPr>
            <w:t>四部分 附件</w:t>
          </w:r>
          <w:r>
            <w:rPr>
              <w:b/>
            </w:rPr>
            <w:tab/>
          </w:r>
          <w:r>
            <w:rPr>
              <w:b/>
            </w:rPr>
            <w:fldChar w:fldCharType="begin"/>
          </w:r>
          <w:r>
            <w:rPr>
              <w:b/>
            </w:rPr>
            <w:instrText xml:space="preserve"> PAGEREF _Toc8102 </w:instrText>
          </w:r>
          <w:r>
            <w:rPr>
              <w:b/>
            </w:rPr>
            <w:fldChar w:fldCharType="separate"/>
          </w:r>
          <w:r>
            <w:rPr>
              <w:b/>
            </w:rPr>
            <w:t>33</w:t>
          </w:r>
          <w:r>
            <w:rPr>
              <w:b/>
            </w:rPr>
            <w:fldChar w:fldCharType="end"/>
          </w:r>
          <w:r>
            <w:rPr>
              <w:b/>
            </w:rPr>
            <w:fldChar w:fldCharType="end"/>
          </w:r>
        </w:p>
        <w:p w14:paraId="295E1DCE">
          <w:pPr>
            <w:pStyle w:val="42"/>
            <w:tabs>
              <w:tab w:val="right" w:leader="dot" w:pos="8306"/>
            </w:tabs>
            <w:rPr>
              <w:b/>
            </w:rPr>
          </w:pPr>
          <w:r>
            <w:rPr>
              <w:b/>
            </w:rPr>
            <w:fldChar w:fldCharType="begin"/>
          </w:r>
          <w:r>
            <w:rPr>
              <w:b/>
            </w:rPr>
            <w:instrText xml:space="preserve"> HYPERLINK \l _Toc9017 </w:instrText>
          </w:r>
          <w:r>
            <w:rPr>
              <w:b/>
            </w:rPr>
            <w:fldChar w:fldCharType="separate"/>
          </w:r>
          <w:r>
            <w:rPr>
              <w:rFonts w:hint="eastAsia" w:ascii="黑体" w:hAnsi="黑体" w:eastAsia="黑体" w:cs="黑体"/>
              <w:b/>
              <w:szCs w:val="32"/>
              <w:highlight w:val="none"/>
            </w:rPr>
            <w:t>附件</w:t>
          </w:r>
          <w:r>
            <w:rPr>
              <w:b/>
            </w:rPr>
            <w:tab/>
          </w:r>
          <w:r>
            <w:rPr>
              <w:b/>
            </w:rPr>
            <w:fldChar w:fldCharType="begin"/>
          </w:r>
          <w:r>
            <w:rPr>
              <w:b/>
            </w:rPr>
            <w:instrText xml:space="preserve"> PAGEREF _Toc9017 </w:instrText>
          </w:r>
          <w:r>
            <w:rPr>
              <w:b/>
            </w:rPr>
            <w:fldChar w:fldCharType="separate"/>
          </w:r>
          <w:r>
            <w:rPr>
              <w:b/>
            </w:rPr>
            <w:t>33</w:t>
          </w:r>
          <w:r>
            <w:rPr>
              <w:b/>
            </w:rPr>
            <w:fldChar w:fldCharType="end"/>
          </w:r>
          <w:r>
            <w:rPr>
              <w:b/>
            </w:rPr>
            <w:fldChar w:fldCharType="end"/>
          </w:r>
        </w:p>
        <w:p w14:paraId="790E7123">
          <w:pPr>
            <w:pStyle w:val="42"/>
            <w:tabs>
              <w:tab w:val="right" w:leader="dot" w:pos="8306"/>
            </w:tabs>
            <w:rPr>
              <w:b/>
            </w:rPr>
          </w:pPr>
          <w:r>
            <w:rPr>
              <w:b/>
            </w:rPr>
            <w:fldChar w:fldCharType="begin"/>
          </w:r>
          <w:r>
            <w:rPr>
              <w:b/>
            </w:rPr>
            <w:instrText xml:space="preserve"> HYPERLINK \l _Toc21512 </w:instrText>
          </w:r>
          <w:r>
            <w:rPr>
              <w:b/>
            </w:rPr>
            <w:fldChar w:fldCharType="separate"/>
          </w:r>
          <w:r>
            <w:rPr>
              <w:rFonts w:hint="eastAsia" w:ascii="黑体" w:hAnsi="黑体" w:eastAsia="黑体"/>
              <w:b/>
              <w:szCs w:val="44"/>
              <w:highlight w:val="none"/>
            </w:rPr>
            <w:t>第</w:t>
          </w:r>
          <w:r>
            <w:rPr>
              <w:rFonts w:hint="eastAsia" w:ascii="黑体" w:hAnsi="黑体" w:eastAsia="黑体"/>
              <w:b/>
              <w:highlight w:val="none"/>
            </w:rPr>
            <w:t>五部分 附表</w:t>
          </w:r>
          <w:r>
            <w:rPr>
              <w:b/>
            </w:rPr>
            <w:tab/>
          </w:r>
          <w:r>
            <w:rPr>
              <w:b/>
            </w:rPr>
            <w:fldChar w:fldCharType="begin"/>
          </w:r>
          <w:r>
            <w:rPr>
              <w:b/>
            </w:rPr>
            <w:instrText xml:space="preserve"> PAGEREF _Toc21512 </w:instrText>
          </w:r>
          <w:r>
            <w:rPr>
              <w:b/>
            </w:rPr>
            <w:fldChar w:fldCharType="separate"/>
          </w:r>
          <w:r>
            <w:rPr>
              <w:b/>
            </w:rPr>
            <w:t>45</w:t>
          </w:r>
          <w:r>
            <w:rPr>
              <w:b/>
            </w:rPr>
            <w:fldChar w:fldCharType="end"/>
          </w:r>
          <w:r>
            <w:rPr>
              <w:b/>
            </w:rPr>
            <w:fldChar w:fldCharType="end"/>
          </w:r>
        </w:p>
        <w:p w14:paraId="5428BE88">
          <w:pPr>
            <w:pStyle w:val="43"/>
            <w:tabs>
              <w:tab w:val="right" w:leader="dot" w:pos="8306"/>
            </w:tabs>
          </w:pPr>
          <w:r>
            <w:fldChar w:fldCharType="begin"/>
          </w:r>
          <w:r>
            <w:instrText xml:space="preserve"> HYPERLINK \l _Toc9336 </w:instrText>
          </w:r>
          <w: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fldChar w:fldCharType="begin"/>
          </w:r>
          <w:r>
            <w:instrText xml:space="preserve"> PAGEREF _Toc9336 </w:instrText>
          </w:r>
          <w:r>
            <w:fldChar w:fldCharType="separate"/>
          </w:r>
          <w:r>
            <w:t>45</w:t>
          </w:r>
          <w:r>
            <w:fldChar w:fldCharType="end"/>
          </w:r>
          <w:r>
            <w:fldChar w:fldCharType="end"/>
          </w:r>
        </w:p>
        <w:p w14:paraId="56859E96">
          <w:pPr>
            <w:pStyle w:val="43"/>
            <w:tabs>
              <w:tab w:val="right" w:leader="dot" w:pos="8306"/>
            </w:tabs>
          </w:pPr>
          <w:r>
            <w:fldChar w:fldCharType="begin"/>
          </w:r>
          <w:r>
            <w:instrText xml:space="preserve"> HYPERLINK \l _Toc2628 </w:instrText>
          </w:r>
          <w: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fldChar w:fldCharType="begin"/>
          </w:r>
          <w:r>
            <w:instrText xml:space="preserve"> PAGEREF _Toc2628 </w:instrText>
          </w:r>
          <w:r>
            <w:fldChar w:fldCharType="separate"/>
          </w:r>
          <w:r>
            <w:t>45</w:t>
          </w:r>
          <w:r>
            <w:fldChar w:fldCharType="end"/>
          </w:r>
          <w:r>
            <w:fldChar w:fldCharType="end"/>
          </w:r>
        </w:p>
        <w:p w14:paraId="12C67E24">
          <w:pPr>
            <w:pStyle w:val="43"/>
            <w:tabs>
              <w:tab w:val="right" w:leader="dot" w:pos="8306"/>
            </w:tabs>
          </w:pPr>
          <w:r>
            <w:fldChar w:fldCharType="begin"/>
          </w:r>
          <w:r>
            <w:instrText xml:space="preserve"> HYPERLINK \l _Toc5244 </w:instrText>
          </w:r>
          <w: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fldChar w:fldCharType="begin"/>
          </w:r>
          <w:r>
            <w:instrText xml:space="preserve"> PAGEREF _Toc5244 </w:instrText>
          </w:r>
          <w:r>
            <w:fldChar w:fldCharType="separate"/>
          </w:r>
          <w:r>
            <w:t>45</w:t>
          </w:r>
          <w:r>
            <w:fldChar w:fldCharType="end"/>
          </w:r>
          <w:r>
            <w:fldChar w:fldCharType="end"/>
          </w:r>
        </w:p>
        <w:p w14:paraId="15C82101">
          <w:pPr>
            <w:pStyle w:val="43"/>
            <w:tabs>
              <w:tab w:val="right" w:leader="dot" w:pos="8306"/>
            </w:tabs>
          </w:pPr>
          <w:r>
            <w:fldChar w:fldCharType="begin"/>
          </w:r>
          <w:r>
            <w:instrText xml:space="preserve"> HYPERLINK \l _Toc16426 </w:instrText>
          </w:r>
          <w: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fldChar w:fldCharType="begin"/>
          </w:r>
          <w:r>
            <w:instrText xml:space="preserve"> PAGEREF _Toc16426 </w:instrText>
          </w:r>
          <w:r>
            <w:fldChar w:fldCharType="separate"/>
          </w:r>
          <w:r>
            <w:t>45</w:t>
          </w:r>
          <w:r>
            <w:fldChar w:fldCharType="end"/>
          </w:r>
          <w:r>
            <w:fldChar w:fldCharType="end"/>
          </w:r>
        </w:p>
        <w:p w14:paraId="1AB52BC8">
          <w:pPr>
            <w:pStyle w:val="43"/>
            <w:tabs>
              <w:tab w:val="right" w:leader="dot" w:pos="8306"/>
            </w:tabs>
          </w:pPr>
          <w:r>
            <w:fldChar w:fldCharType="begin"/>
          </w:r>
          <w:r>
            <w:instrText xml:space="preserve"> HYPERLINK \l _Toc9867 </w:instrText>
          </w:r>
          <w: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fldChar w:fldCharType="begin"/>
          </w:r>
          <w:r>
            <w:instrText xml:space="preserve"> PAGEREF _Toc9867 </w:instrText>
          </w:r>
          <w:r>
            <w:fldChar w:fldCharType="separate"/>
          </w:r>
          <w:r>
            <w:t>45</w:t>
          </w:r>
          <w:r>
            <w:fldChar w:fldCharType="end"/>
          </w:r>
          <w:r>
            <w:fldChar w:fldCharType="end"/>
          </w:r>
        </w:p>
        <w:p w14:paraId="6A750DCB">
          <w:pPr>
            <w:pStyle w:val="43"/>
            <w:tabs>
              <w:tab w:val="right" w:leader="dot" w:pos="8306"/>
            </w:tabs>
          </w:pPr>
          <w:r>
            <w:fldChar w:fldCharType="begin"/>
          </w:r>
          <w:r>
            <w:instrText xml:space="preserve"> HYPERLINK \l _Toc7642 </w:instrText>
          </w:r>
          <w: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fldChar w:fldCharType="begin"/>
          </w:r>
          <w:r>
            <w:instrText xml:space="preserve"> PAGEREF _Toc7642 </w:instrText>
          </w:r>
          <w:r>
            <w:fldChar w:fldCharType="separate"/>
          </w:r>
          <w:r>
            <w:t>45</w:t>
          </w:r>
          <w:r>
            <w:fldChar w:fldCharType="end"/>
          </w:r>
          <w:r>
            <w:fldChar w:fldCharType="end"/>
          </w:r>
        </w:p>
        <w:p w14:paraId="0C1A0D40">
          <w:pPr>
            <w:pStyle w:val="43"/>
            <w:tabs>
              <w:tab w:val="right" w:leader="dot" w:pos="8306"/>
            </w:tabs>
          </w:pPr>
          <w:r>
            <w:fldChar w:fldCharType="begin"/>
          </w:r>
          <w:r>
            <w:instrText xml:space="preserve"> HYPERLINK \l _Toc17543 </w:instrText>
          </w:r>
          <w: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fldChar w:fldCharType="begin"/>
          </w:r>
          <w:r>
            <w:instrText xml:space="preserve"> PAGEREF _Toc17543 </w:instrText>
          </w:r>
          <w:r>
            <w:fldChar w:fldCharType="separate"/>
          </w:r>
          <w:r>
            <w:t>45</w:t>
          </w:r>
          <w:r>
            <w:fldChar w:fldCharType="end"/>
          </w:r>
          <w:r>
            <w:fldChar w:fldCharType="end"/>
          </w:r>
        </w:p>
        <w:p w14:paraId="4D288367">
          <w:pPr>
            <w:pStyle w:val="43"/>
            <w:tabs>
              <w:tab w:val="right" w:leader="dot" w:pos="8306"/>
            </w:tabs>
          </w:pPr>
          <w:r>
            <w:fldChar w:fldCharType="begin"/>
          </w:r>
          <w:r>
            <w:instrText xml:space="preserve"> HYPERLINK \l _Toc18149 </w:instrText>
          </w:r>
          <w: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fldChar w:fldCharType="begin"/>
          </w:r>
          <w:r>
            <w:instrText xml:space="preserve"> PAGEREF _Toc18149 </w:instrText>
          </w:r>
          <w:r>
            <w:fldChar w:fldCharType="separate"/>
          </w:r>
          <w:r>
            <w:t>45</w:t>
          </w:r>
          <w:r>
            <w:fldChar w:fldCharType="end"/>
          </w:r>
          <w:r>
            <w:fldChar w:fldCharType="end"/>
          </w:r>
        </w:p>
        <w:p w14:paraId="3FCE779D">
          <w:pPr>
            <w:pStyle w:val="43"/>
            <w:tabs>
              <w:tab w:val="right" w:leader="dot" w:pos="8306"/>
            </w:tabs>
          </w:pPr>
          <w:r>
            <w:fldChar w:fldCharType="begin"/>
          </w:r>
          <w:r>
            <w:instrText xml:space="preserve"> HYPERLINK \l _Toc18446 </w:instrText>
          </w:r>
          <w: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fldChar w:fldCharType="begin"/>
          </w:r>
          <w:r>
            <w:instrText xml:space="preserve"> PAGEREF _Toc18446 </w:instrText>
          </w:r>
          <w:r>
            <w:fldChar w:fldCharType="separate"/>
          </w:r>
          <w:r>
            <w:t>45</w:t>
          </w:r>
          <w:r>
            <w:fldChar w:fldCharType="end"/>
          </w:r>
          <w:r>
            <w:fldChar w:fldCharType="end"/>
          </w:r>
        </w:p>
        <w:p w14:paraId="1D1D06DB">
          <w:pPr>
            <w:pStyle w:val="43"/>
            <w:tabs>
              <w:tab w:val="right" w:leader="dot" w:pos="8306"/>
            </w:tabs>
          </w:pPr>
          <w:r>
            <w:fldChar w:fldCharType="begin"/>
          </w:r>
          <w:r>
            <w:instrText xml:space="preserve"> HYPERLINK \l _Toc10614 </w:instrText>
          </w:r>
          <w: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fldChar w:fldCharType="begin"/>
          </w:r>
          <w:r>
            <w:instrText xml:space="preserve"> PAGEREF _Toc10614 </w:instrText>
          </w:r>
          <w:r>
            <w:fldChar w:fldCharType="separate"/>
          </w:r>
          <w:r>
            <w:t>45</w:t>
          </w:r>
          <w:r>
            <w:fldChar w:fldCharType="end"/>
          </w:r>
          <w:r>
            <w:fldChar w:fldCharType="end"/>
          </w:r>
        </w:p>
        <w:p w14:paraId="61ACD7D4">
          <w:pPr>
            <w:pStyle w:val="43"/>
            <w:tabs>
              <w:tab w:val="right" w:leader="dot" w:pos="8306"/>
            </w:tabs>
          </w:pPr>
          <w:r>
            <w:fldChar w:fldCharType="begin"/>
          </w:r>
          <w:r>
            <w:instrText xml:space="preserve"> HYPERLINK \l _Toc7551 </w:instrText>
          </w:r>
          <w: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fldChar w:fldCharType="begin"/>
          </w:r>
          <w:r>
            <w:instrText xml:space="preserve"> PAGEREF _Toc7551 </w:instrText>
          </w:r>
          <w:r>
            <w:fldChar w:fldCharType="separate"/>
          </w:r>
          <w:r>
            <w:t>45</w:t>
          </w:r>
          <w:r>
            <w:fldChar w:fldCharType="end"/>
          </w:r>
          <w:r>
            <w:fldChar w:fldCharType="end"/>
          </w:r>
        </w:p>
        <w:p w14:paraId="77AB7FB4">
          <w:pPr>
            <w:pStyle w:val="43"/>
            <w:tabs>
              <w:tab w:val="right" w:leader="dot" w:pos="8306"/>
            </w:tabs>
          </w:pPr>
          <w:r>
            <w:fldChar w:fldCharType="begin"/>
          </w:r>
          <w:r>
            <w:instrText xml:space="preserve"> HYPERLINK \l _Toc25554 </w:instrText>
          </w:r>
          <w: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fldChar w:fldCharType="begin"/>
          </w:r>
          <w:r>
            <w:instrText xml:space="preserve"> PAGEREF _Toc25554 </w:instrText>
          </w:r>
          <w:r>
            <w:fldChar w:fldCharType="separate"/>
          </w:r>
          <w:r>
            <w:t>45</w:t>
          </w:r>
          <w:r>
            <w:fldChar w:fldCharType="end"/>
          </w:r>
          <w:r>
            <w:fldChar w:fldCharType="end"/>
          </w:r>
        </w:p>
        <w:p w14:paraId="792AC241">
          <w:pPr>
            <w:pStyle w:val="43"/>
            <w:tabs>
              <w:tab w:val="right" w:leader="dot" w:pos="8306"/>
            </w:tabs>
          </w:pPr>
          <w:r>
            <w:fldChar w:fldCharType="begin"/>
          </w:r>
          <w:r>
            <w:instrText xml:space="preserve"> HYPERLINK \l _Toc10243 </w:instrText>
          </w:r>
          <w: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fldChar w:fldCharType="begin"/>
          </w:r>
          <w:r>
            <w:instrText xml:space="preserve"> PAGEREF _Toc10243 </w:instrText>
          </w:r>
          <w:r>
            <w:fldChar w:fldCharType="separate"/>
          </w:r>
          <w:r>
            <w:t>45</w:t>
          </w:r>
          <w:r>
            <w:fldChar w:fldCharType="end"/>
          </w:r>
          <w:r>
            <w:fldChar w:fldCharType="end"/>
          </w:r>
        </w:p>
        <w:p w14:paraId="77653280">
          <w:r>
            <w:rPr>
              <w:b/>
            </w:rPr>
            <w:fldChar w:fldCharType="end"/>
          </w:r>
        </w:p>
      </w:sdtContent>
    </w:sdt>
    <w:p w14:paraId="360E4F41">
      <w:pPr>
        <w:widowControl/>
        <w:spacing w:line="440" w:lineRule="exact"/>
        <w:jc w:val="left"/>
        <w:rPr>
          <w:rFonts w:ascii="仿宋" w:hAnsi="仿宋" w:eastAsia="仿宋"/>
          <w:bCs/>
          <w:color w:val="auto"/>
          <w:kern w:val="44"/>
          <w:sz w:val="24"/>
          <w:highlight w:val="none"/>
        </w:rPr>
      </w:pPr>
      <w:r>
        <w:rPr>
          <w:rFonts w:ascii="仿宋" w:hAnsi="仿宋" w:eastAsia="仿宋"/>
          <w:b/>
          <w:color w:val="auto"/>
          <w:sz w:val="24"/>
          <w:highlight w:val="none"/>
        </w:rPr>
        <w:br w:type="page"/>
      </w:r>
    </w:p>
    <w:p w14:paraId="7662A850">
      <w:pPr>
        <w:pStyle w:val="4"/>
        <w:jc w:val="center"/>
        <w:rPr>
          <w:rStyle w:val="32"/>
          <w:rFonts w:ascii="黑体" w:hAnsi="黑体" w:eastAsia="黑体"/>
          <w:b/>
          <w:bCs w:val="0"/>
          <w:color w:val="auto"/>
          <w:highlight w:val="none"/>
        </w:rPr>
      </w:pPr>
      <w:bookmarkStart w:id="16" w:name="_Toc18797"/>
      <w:r>
        <w:rPr>
          <w:rFonts w:hint="eastAsia" w:ascii="黑体" w:hAnsi="黑体" w:eastAsia="黑体"/>
          <w:b w:val="0"/>
          <w:color w:val="auto"/>
          <w:highlight w:val="none"/>
        </w:rPr>
        <w:t xml:space="preserve">第一部分 </w:t>
      </w:r>
      <w:r>
        <w:rPr>
          <w:rStyle w:val="32"/>
          <w:rFonts w:hint="eastAsia" w:ascii="黑体" w:hAnsi="黑体" w:eastAsia="黑体"/>
          <w:b w:val="0"/>
          <w:bCs w:val="0"/>
          <w:color w:val="auto"/>
          <w:highlight w:val="none"/>
        </w:rPr>
        <w:t>部门概况</w:t>
      </w:r>
      <w:bookmarkEnd w:id="14"/>
      <w:bookmarkEnd w:id="15"/>
      <w:bookmarkEnd w:id="16"/>
    </w:p>
    <w:p w14:paraId="18FB4100">
      <w:pPr>
        <w:widowControl/>
        <w:jc w:val="left"/>
        <w:rPr>
          <w:rFonts w:ascii="黑体" w:eastAsia="黑体"/>
          <w:color w:val="auto"/>
          <w:sz w:val="32"/>
          <w:szCs w:val="32"/>
          <w:highlight w:val="none"/>
        </w:rPr>
      </w:pPr>
    </w:p>
    <w:p w14:paraId="6218003F">
      <w:pPr>
        <w:pStyle w:val="5"/>
        <w:numPr>
          <w:ilvl w:val="0"/>
          <w:numId w:val="1"/>
        </w:numPr>
        <w:rPr>
          <w:rFonts w:hint="eastAsia" w:ascii="黑体" w:hAnsi="黑体" w:eastAsia="黑体"/>
          <w:b w:val="0"/>
          <w:color w:val="auto"/>
          <w:highlight w:val="none"/>
          <w:lang w:eastAsia="zh-CN"/>
        </w:rPr>
      </w:pPr>
      <w:bookmarkStart w:id="17" w:name="_Toc16208"/>
      <w:r>
        <w:rPr>
          <w:rFonts w:hint="eastAsia" w:ascii="黑体" w:hAnsi="黑体" w:eastAsia="黑体"/>
          <w:b w:val="0"/>
          <w:color w:val="auto"/>
          <w:highlight w:val="none"/>
          <w:lang w:eastAsia="zh-CN"/>
        </w:rPr>
        <w:t>部门职责</w:t>
      </w:r>
      <w:bookmarkEnd w:id="17"/>
    </w:p>
    <w:p w14:paraId="32A92EB8">
      <w:pPr>
        <w:pStyle w:val="2"/>
        <w:adjustRightInd w:val="0"/>
        <w:snapToGrid w:val="0"/>
        <w:spacing w:before="93" w:line="600" w:lineRule="exact"/>
        <w:ind w:firstLine="675" w:firstLineChars="210"/>
        <w:outlineLvl w:val="2"/>
        <w:rPr>
          <w:rFonts w:hint="eastAsia" w:ascii="仿宋" w:hAnsi="仿宋" w:eastAsia="仿宋"/>
          <w:color w:val="000000"/>
          <w:sz w:val="32"/>
          <w:szCs w:val="32"/>
          <w:lang w:val="en-US" w:eastAsia="zh-CN"/>
        </w:rPr>
      </w:pPr>
      <w:bookmarkStart w:id="18" w:name="_Toc79163603"/>
      <w:bookmarkStart w:id="19" w:name="_Toc15377198"/>
      <w:bookmarkStart w:id="20" w:name="_Toc15378445"/>
      <w:bookmarkStart w:id="21" w:name="_Toc79163853"/>
      <w:r>
        <w:rPr>
          <w:rFonts w:hint="eastAsia" w:ascii="仿宋" w:hAnsi="仿宋" w:eastAsia="仿宋"/>
          <w:b/>
          <w:bCs w:val="0"/>
          <w:color w:val="000000"/>
          <w:sz w:val="32"/>
          <w:szCs w:val="32"/>
        </w:rPr>
        <w:t>（一）主要职能</w:t>
      </w:r>
      <w:r>
        <w:rPr>
          <w:rFonts w:hint="eastAsia" w:ascii="仿宋" w:hAnsi="仿宋" w:eastAsia="仿宋"/>
          <w:bCs/>
          <w:color w:val="000000"/>
          <w:sz w:val="32"/>
          <w:szCs w:val="32"/>
        </w:rPr>
        <w:t>。</w:t>
      </w:r>
      <w:bookmarkEnd w:id="18"/>
      <w:bookmarkEnd w:id="19"/>
      <w:bookmarkEnd w:id="20"/>
      <w:bookmarkEnd w:id="21"/>
    </w:p>
    <w:p w14:paraId="388F8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2" w:name="_Toc6037"/>
      <w:r>
        <w:rPr>
          <w:rFonts w:hint="eastAsia" w:ascii="仿宋" w:hAnsi="仿宋" w:eastAsia="仿宋"/>
          <w:color w:val="000000"/>
          <w:sz w:val="32"/>
          <w:szCs w:val="32"/>
          <w:lang w:val="en-US" w:eastAsia="zh-CN"/>
        </w:rPr>
        <w:t>（一）贯彻落实党和国家关于文化、体育、旅游的方针政策和省委、州委、县委的决策部署，拟订文化、体育和旅游政策措施，起草文化、体育和旅游地方性法规、规章草案，负责本部门依法行政工作。</w:t>
      </w:r>
      <w:bookmarkEnd w:id="22"/>
    </w:p>
    <w:p w14:paraId="50739E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3" w:name="_Toc9769"/>
      <w:r>
        <w:rPr>
          <w:rFonts w:hint="eastAsia" w:ascii="仿宋" w:hAnsi="仿宋" w:eastAsia="仿宋"/>
          <w:color w:val="000000"/>
          <w:sz w:val="32"/>
          <w:szCs w:val="32"/>
          <w:lang w:val="en-US" w:eastAsia="zh-CN"/>
        </w:rPr>
        <w:t>（二）组织推动全县文化、体育事业产业和旅游业发展，拟推进文化、体育和旅游产业融合发展，促进文化、体育和旅游与相关产业融合发展。</w:t>
      </w:r>
      <w:bookmarkEnd w:id="23"/>
    </w:p>
    <w:p w14:paraId="2D348C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4" w:name="_Toc9400"/>
      <w:r>
        <w:rPr>
          <w:rFonts w:hint="eastAsia" w:ascii="仿宋" w:hAnsi="仿宋" w:eastAsia="仿宋"/>
          <w:color w:val="000000"/>
          <w:sz w:val="32"/>
          <w:szCs w:val="32"/>
          <w:lang w:val="en-US" w:eastAsia="zh-CN"/>
        </w:rPr>
        <w:t>（三）指导管理文艺事业，把握正确的创作导向，推动文化艺术创作生产，扶持体现社会主义核心价值观、具有导向性代表性示范性的文化艺术作品，推动各门类艺术、各艺术品种发展，推动中华优秀传统文化和壤塘本地特色文化传承发展。</w:t>
      </w:r>
      <w:bookmarkEnd w:id="24"/>
    </w:p>
    <w:p w14:paraId="14C3DA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5" w:name="_Toc6360"/>
      <w:r>
        <w:rPr>
          <w:rFonts w:hint="eastAsia" w:ascii="仿宋" w:hAnsi="仿宋" w:eastAsia="仿宋"/>
          <w:color w:val="000000"/>
          <w:sz w:val="32"/>
          <w:szCs w:val="32"/>
          <w:lang w:val="en-US" w:eastAsia="zh-CN"/>
        </w:rPr>
        <w:t>（四）负责公共文化、体育事业发展，推进全县公共文化体育服务体系建设和旅游公共服务建设，深入实施惠民工程，统筹推进文化、体育、旅游基本公共服务标准化、均等化。</w:t>
      </w:r>
      <w:bookmarkEnd w:id="25"/>
    </w:p>
    <w:p w14:paraId="62824C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6" w:name="_Toc24835"/>
      <w:r>
        <w:rPr>
          <w:rFonts w:hint="eastAsia" w:ascii="仿宋" w:hAnsi="仿宋" w:eastAsia="仿宋"/>
          <w:color w:val="000000"/>
          <w:sz w:val="32"/>
          <w:szCs w:val="32"/>
          <w:lang w:val="en-US" w:eastAsia="zh-CN"/>
        </w:rPr>
        <w:t>（五）推进文化、体育和旅游科技创新，推进文化、体育和旅游行业信息化、标准化建设。</w:t>
      </w:r>
      <w:bookmarkEnd w:id="26"/>
    </w:p>
    <w:p w14:paraId="76D1A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7" w:name="_Toc32529"/>
      <w:r>
        <w:rPr>
          <w:rFonts w:hint="eastAsia" w:ascii="仿宋" w:hAnsi="仿宋" w:eastAsia="仿宋"/>
          <w:color w:val="000000"/>
          <w:sz w:val="32"/>
          <w:szCs w:val="32"/>
          <w:lang w:val="en-US" w:eastAsia="zh-CN"/>
        </w:rPr>
        <w:t>（六）负责非物质文化遗产保护工作，推动非物质文化遗产的保护、传承、普及、弘扬和振兴，履行文物行政督察职能，负责世界文化遗产保护和管理监督工作，组织开展世界文化与自然遗产、历史文化名城（镇、村）申报和监督管理工作，负责推动完善文物和博物馆公共服务体系建设。</w:t>
      </w:r>
      <w:bookmarkEnd w:id="27"/>
    </w:p>
    <w:p w14:paraId="12F02D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8" w:name="_Toc21676"/>
      <w:r>
        <w:rPr>
          <w:rFonts w:hint="eastAsia" w:ascii="仿宋" w:hAnsi="仿宋" w:eastAsia="仿宋"/>
          <w:color w:val="000000"/>
          <w:sz w:val="32"/>
          <w:szCs w:val="32"/>
          <w:lang w:val="en-US" w:eastAsia="zh-CN"/>
        </w:rPr>
        <w:t>（七）推动全县群众体育、竞技体育和青少年（学校）体育工作发展规划实施，推行全民健身计划，推动建立和完善全民健身服务体系，指导和开展群众性体育活动，研究和指导体育训练和运动员队伍建设，统筹组织全县综合性运动会、参加州级以上体育竞赛和综合性运动会，指导各级各类体育学校的建设和青少年业余训练及相关活动。</w:t>
      </w:r>
      <w:bookmarkEnd w:id="28"/>
    </w:p>
    <w:p w14:paraId="40A996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29" w:name="_Toc19000"/>
      <w:r>
        <w:rPr>
          <w:rFonts w:hint="eastAsia" w:ascii="仿宋" w:hAnsi="仿宋" w:eastAsia="仿宋"/>
          <w:color w:val="000000"/>
          <w:sz w:val="32"/>
          <w:szCs w:val="32"/>
          <w:lang w:val="en-US" w:eastAsia="zh-CN"/>
        </w:rPr>
        <w:t>（八）指导全县文化、体育、旅游市场发展，对全县文化、体育、旅游市场依法进行行业监管，推进文化、体育、旅游行业信用体系建设，依法规范文化、体育、旅游市场。统筹全县文化、文物、体育、旅游市场综合行政执法，组织查处全县性、跨区域文化、文物、体育、旅游等市场的违法行为，督察督办大案要案，维护市场秩序。</w:t>
      </w:r>
      <w:bookmarkEnd w:id="29"/>
    </w:p>
    <w:p w14:paraId="325119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30" w:name="_Toc13672"/>
      <w:r>
        <w:rPr>
          <w:rFonts w:hint="eastAsia" w:ascii="仿宋" w:hAnsi="仿宋" w:eastAsia="仿宋"/>
          <w:color w:val="000000"/>
          <w:sz w:val="32"/>
          <w:szCs w:val="32"/>
          <w:lang w:val="en-US" w:eastAsia="zh-CN"/>
        </w:rPr>
        <w:t>（九）负责管理、组织文化、体育和旅游对外及对港澳台交流合作与宣传推广工作，组织实施全县文化、体育和旅游资源的普查、保护与利用，管理全县性重大文化、体育和旅游活动，组织全县重点文化、体育和旅游设施建设，组织实施全县文化、体育和旅游整体形象推广，促进文化、体育、旅游产业市场推广和对外合作交流，制定文化体育和旅游市场开发战略并组织实施，推进全域旅游。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壤塘文化软实力，建设文化强县，努力开创文化、体育和旅游工作新局面。</w:t>
      </w:r>
      <w:bookmarkEnd w:id="30"/>
    </w:p>
    <w:p w14:paraId="16AE1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000000"/>
          <w:sz w:val="32"/>
          <w:szCs w:val="32"/>
          <w:lang w:val="en-US" w:eastAsia="zh-CN"/>
        </w:rPr>
      </w:pPr>
      <w:bookmarkStart w:id="31" w:name="_Toc17296"/>
      <w:r>
        <w:rPr>
          <w:rFonts w:hint="eastAsia" w:ascii="仿宋" w:hAnsi="仿宋" w:eastAsia="仿宋"/>
          <w:color w:val="000000"/>
          <w:sz w:val="32"/>
          <w:szCs w:val="32"/>
          <w:lang w:val="en-US" w:eastAsia="zh-CN"/>
        </w:rPr>
        <w:t>（十）负责文化、体育和旅游系统及市场安全生产工作的综合协调与监督管理，依法履行行业职业健康监管职责，承担职责范围内生态环境保护、审批服务便民化等工作，承担文化、体育、旅游行业意识形态工作，负责机关节能。</w:t>
      </w:r>
      <w:bookmarkEnd w:id="31"/>
    </w:p>
    <w:p w14:paraId="7D09508A">
      <w:pPr>
        <w:ind w:firstLine="800" w:firstLineChars="25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（十一）完成上级交办的其他任务。</w:t>
      </w:r>
    </w:p>
    <w:p w14:paraId="7BFBE3CC">
      <w:pPr>
        <w:pStyle w:val="2"/>
        <w:adjustRightInd w:val="0"/>
        <w:snapToGrid w:val="0"/>
        <w:spacing w:before="93" w:line="600" w:lineRule="exact"/>
        <w:ind w:firstLine="675" w:firstLineChars="210"/>
        <w:outlineLvl w:val="2"/>
        <w:rPr>
          <w:rFonts w:hint="eastAsia" w:ascii="仿宋" w:hAnsi="仿宋" w:eastAsia="仿宋"/>
          <w:bCs/>
          <w:color w:val="000000"/>
          <w:sz w:val="32"/>
          <w:szCs w:val="32"/>
        </w:rPr>
      </w:pPr>
      <w:bookmarkStart w:id="32" w:name="_Toc79163854"/>
      <w:bookmarkStart w:id="33" w:name="_Toc15378446"/>
      <w:bookmarkStart w:id="34" w:name="_Toc79163604"/>
      <w:bookmarkStart w:id="35" w:name="_Toc15377199"/>
      <w:r>
        <w:rPr>
          <w:rFonts w:hint="eastAsia" w:ascii="仿宋" w:hAnsi="仿宋" w:eastAsia="仿宋"/>
          <w:b/>
          <w:bCs w:val="0"/>
          <w:color w:val="000000"/>
          <w:sz w:val="32"/>
          <w:szCs w:val="32"/>
        </w:rPr>
        <w:t>（二）</w:t>
      </w:r>
      <w:r>
        <w:rPr>
          <w:rFonts w:ascii="仿宋" w:hAnsi="仿宋" w:eastAsia="仿宋"/>
          <w:b/>
          <w:bCs w:val="0"/>
          <w:color w:val="000000"/>
          <w:sz w:val="32"/>
          <w:szCs w:val="32"/>
        </w:rPr>
        <w:t>202</w:t>
      </w:r>
      <w:r>
        <w:rPr>
          <w:rFonts w:hint="eastAsia" w:ascii="仿宋" w:hAnsi="仿宋" w:eastAsia="仿宋"/>
          <w:b/>
          <w:bCs w:val="0"/>
          <w:color w:val="000000"/>
          <w:sz w:val="32"/>
          <w:szCs w:val="32"/>
        </w:rPr>
        <w:t>1年重点工作完成情况</w:t>
      </w:r>
      <w:r>
        <w:rPr>
          <w:rFonts w:hint="eastAsia" w:ascii="仿宋" w:hAnsi="仿宋" w:eastAsia="仿宋"/>
          <w:bCs/>
          <w:color w:val="000000"/>
          <w:sz w:val="32"/>
          <w:szCs w:val="32"/>
        </w:rPr>
        <w:t>。</w:t>
      </w:r>
      <w:bookmarkEnd w:id="32"/>
      <w:bookmarkEnd w:id="33"/>
      <w:bookmarkEnd w:id="34"/>
      <w:bookmarkEnd w:id="35"/>
    </w:p>
    <w:p w14:paraId="3C862FF9">
      <w:pPr>
        <w:ind w:firstLine="800" w:firstLineChars="250"/>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一）加强基层党建，落实党风廉政。一是贯彻落实2022年党史学习要求，利用职工大会、局务会、党组会等方式组织全局干部职工开展了政策教育、红色历史解读以及党建学习，结合当前国家形式，讲解我国大政方针，进一步激发全局干部职工的爱国、爱党热情，并结合党的二十大精神，引领全局干部职工深入开展学习活动，加强党建学习，提高政治意识；持续巩固“不忘初心、牢记使命”主题教育和</w:t>
      </w:r>
      <w:r>
        <w:rPr>
          <w:rFonts w:hint="eastAsia"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党史学习教育</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成果；截至目前，开展党史教育学习10余次。二是认真履行“一岗双责”，组织全体党员干部及非党干部职工开展组织生活会，开诚布公，一针见血，不顾忌、不回避、不绕弯。三是坚持集体领导的原则,凡是涉及重要事项均召开支部委员会集体研究讨论决定。四是抓好党费收缴工作，有力的保证了党费收缴的及时性和严肃性。五是加强对党员干部的思想政治工作，开展谈心活动3次等。六是落实党带群团工作，加强团的组织建设、思想建设、作风建设和制度建设。七是</w:t>
      </w:r>
      <w:r>
        <w:rPr>
          <w:rFonts w:hint="eastAsia"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落实全面从严治党</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坚决履行党风廉政建设主体责任，与各班子成员、股室长签订了《党风廉政责任书》等，认真落实“党政同责、一岗双责”及“中央八项”等相关规定。八是强化廉政问责，督促班子成员及干部职工加强教育、管控、提醒，防范廉政风险。九是认真深刻学习领会《廉政准则》，“八荣八耻”内容，贯彻执行《中国共产党纪律处分条例》、《中国共产党党内监督条例（试行）》。十是切实加强对党风廉政建设和反腐倡廉工作的组织领导，及时研究党风廉政建设和反腐倡廉工作，并将党风廉政建设纳入县文化体育和旅游局管理总体工作之中，依靠干部群众支持和积极参与的反腐领导体制和工作机制，形成反腐倡廉整体合力。十一是为贯彻落实学习党的二十大精神，将党的二十大精神贯彻到文体旅工作之中，组织干部职工加强党的二十大精神学习，撰写了学习党的二十大心得体会。</w:t>
      </w:r>
    </w:p>
    <w:p w14:paraId="502CDAB7">
      <w:pPr>
        <w:bidi w:val="0"/>
        <w:spacing w:line="560" w:lineRule="exact"/>
        <w:ind w:firstLine="6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（二）突出文旅特色，抓出工作成效。2022年以来，我局大力实施文旅深度融合发展，激发市场活力，提升服务功能，促进文旅工作持续向好发展。成功创建3A级旅游景区2个。分别为</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壤塘县日斯满巴碉房旅游景区、森工记忆博物馆旅游景区。</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同时，为真正做到旅游发展与社会经济相结合，成功将</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茸木达村、加斯满村申报为第二批阿坝州特色文化和旅游名村，将壤巴拉非遗创业园申报为四川省“金熊猫”先进集体。</w:t>
      </w:r>
    </w:p>
    <w:p w14:paraId="7376E367">
      <w:pPr>
        <w:adjustRightInd/>
        <w:snapToGrid/>
        <w:spacing w:line="560" w:lineRule="exact"/>
        <w:ind w:firstLine="640" w:firstLineChars="2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（三）</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优化市场环境，提升服务能级</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一是拓展队伍，强化学习，开展各类学法普法工作，重点学习《中华人民共和国行政处罚法》、《娱乐场所管理办法》、</w:t>
      </w:r>
      <w:r>
        <w:rPr>
          <w:rFonts w:hint="eastAsia"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《互联网上网服务营业场所管理条例》</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等法律法规。二是扎实开展各类专项执法行动，开展日常综合执法检查190次，出动检查人员450余人次，利用各主题教育日活动开展宣传活动6次，发放各类宣传手册600余份，收缴盗版光碟、非法出版物110余份。三是针对我局领域内安全隐患风险点巡查排查与扫黑除恶、扫黄打非、疫情防控、安全生产、禁毒、等工作相结合，加大对本县文旅市场的监督力度。四是在疫情及二十大召开期间持续开展专项执法检查工作，对县域内7家打字复印店的规模、经营范围、印刷设备和印刷能力、遵守法律等方面进行摸底调查，做到“知底”。</w:t>
      </w:r>
    </w:p>
    <w:p w14:paraId="3A29C2E3">
      <w:pPr>
        <w:adjustRightInd/>
        <w:snapToGrid/>
        <w:spacing w:line="560" w:lineRule="exact"/>
        <w:ind w:left="0" w:leftChars="0" w:firstLine="640" w:firstLineChars="2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（四）强化品牌建设，提升产业质量。</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坚持以高质量发展为目标，以文旅融合为主题，不断丰富文化旅游产品、完善旅游基础设施配套、提升旅游服务品质，全力推进全域旅游创建工作取得成效。截至目前，我县共接待旅游人次为53万人次；旅游收入为3.6亿元。在积极创建A级景区的同时。在全域旅游创建过程中召开县级工作调度会10余次，专班工作会10余次，接待州上督导组检查2次，并根据州督导组检查问题清单进行整改，完善国道317、国道227沿线及景区导视系统、全域旅游创建硬件、软件资料，包括各景区景点的宣传手册、宣传海报，全域全景图、志愿者岗亭、旅游行业人员培训、全域旅游创建氛围营造等；开通智慧旅游系统，在全县区域内开通76个摄像头，景区景点内设置开通27个无线WIFI。</w:t>
      </w:r>
    </w:p>
    <w:p w14:paraId="4349DCE1">
      <w:pPr>
        <w:adjustRightInd/>
        <w:snapToGrid/>
        <w:spacing w:line="560" w:lineRule="exact"/>
        <w:ind w:left="0" w:leftChars="0" w:firstLine="640" w:firstLineChars="2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（五）突出项目带动，培育产业支撑。围绕文化旅游产业链，2022年</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新建项目1个，壤塘县上南天路瞭望台配套设施建设项目，正在开展前期准备工作，还未立项；积极推进“6ˑ10地震”受灾统计及灾后重建项目申报，目前正与县发改及上级文旅部门对接。</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在建项目共2个，</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2022年壤塘县乡村振兴旅游产业发展吾伊乡克久驿站建设项目已完成驿站主体一、二楼钢结构已完工，抗化柱完成80%。资金拨付：276万元；2022年壤塘县文化旅游宣传推介项目正在挂网招标（绵阳援建壤塘十周年宣传片制作服务采购项目）。</w:t>
      </w:r>
    </w:p>
    <w:p w14:paraId="2059C3EC">
      <w:pPr>
        <w:bidi w:val="0"/>
        <w:spacing w:line="560" w:lineRule="exact"/>
        <w:ind w:firstLine="6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（六）加强文物保护，科学利用资源。</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开展了长江流域文物资源调查工作，以及革命文物查托红军疗伤盐水池保护项目、日斯满巴碉房防雷工程</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项目的维修保护工作，拟定了</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措尔机寺活佛住宅维修保护项目计划和棒托寺菩提塔修缮保护设计方案，</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成功开展国际博物馆日和文化自然遗产日活动。积极推进壤塘县博物馆建设，展陈项目方案待审中。</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按照“保护为先、抢救第一、合理利用、加强管理”的文物保护工作方针积极开展各类文物检查，确保了壤塘县辖区内无文物安全事故及文物法人违法案件发生。</w:t>
      </w:r>
    </w:p>
    <w:p w14:paraId="7CEE9355">
      <w:pPr>
        <w:bidi w:val="0"/>
        <w:spacing w:line="560" w:lineRule="exact"/>
        <w:ind w:firstLine="6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（七）完善公共服务，推进文体惠民。全力推进基层综合性文化服务中心建设，对全县基层综合性文化服务中心提档升级。积极推进文图两馆总分馆制建设，积极推进图书馆评估定级各项工作，</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深化全民阅读送书进校园，开展了“弘扬雷锋精神，推进全民阅读”志愿服务活动及社会主义核心价值观主题教育活动</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。广泛开展了“送文化下乡”“送戏下乡”等多场文化惠民活动，成功举办“喜迎二十大 奋进壤巴拉”壤塘县2022年文化旅游节系列活动，积极参加各类文艺展演以及</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“净土阿坝 2022年阿坝州第三届群文新创文艺作品大赛”等活动</w:t>
      </w:r>
      <w:r>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。不断提升我县文艺水平，</w:t>
      </w: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完成歌曲《伊里瓦》的歌词初稿，赴黑水县拍摄完成了阿坝州九大品牌歌曲《大冰川》MV、完成歌曲《壤塘赞歌》歌词的初稿以及《红军在壤塘》情景剧剧本、音乐MIDI编曲录音、舞台编排和排练，同时《红军路过我的家乡》的作词编曲、《疫情防控小知识》藏语宣传歌曲的作曲、作词与录制同步完成。创作“一台戏、一首红歌”，完善红军长征三过壤塘重要节点、红色文化元素规划设计，将宗科红色文化村纳入2023年乡村振兴有效衔接项目。</w:t>
      </w:r>
    </w:p>
    <w:p w14:paraId="004C58A6">
      <w:pPr>
        <w:widowControl/>
        <w:snapToGrid/>
        <w:spacing w:line="560" w:lineRule="exact"/>
        <w:ind w:firstLine="640" w:firstLineChars="200"/>
        <w:jc w:val="both"/>
        <w:rPr>
          <w:rFonts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pP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八）加强非遗保护，共推产业发展。依托富集的生态、非遗、民俗文化资源，通过多种途径不断探索“文化+扶贫”“文化+产业”“文化+治理”的发展路径。今年。开展全县藏香产品普查，收集整理7个传习所28项藏香产品信息，召开“壤巴拉”藏香系列产品分类及定标专题座谈会。并顺利完成了2022年壤塘县文化旅游节成都行的非遗产品展览、活态展览、非遗大讲堂。大力扶持传习所工坊扩建，在擦擦、宗科石刻、卓珍唐卡、色玛藏茶4个传习所开展产业工坊建设。成功申报第六批省级非遗代表性目录7项、壤塘县第五批非遗传承人90人、9项州级社科联课题。持续加强与州中职校“校地合作”，持续推进传习所评星定级，完成了2021年度国家、省、州级非遗传承人活动评估工作，其中国家1人、省级7人、州级14人。通过康巴卫视拍摄壤巴拉非遗系列、向巴访谈节目藏区青年女画师、阿坝州非遗村寨、阿坝州“给非遗安个家”的系列视频等宣传壤巴拉非遗文化。通过输出学员到浙江温州学习观摩、非遗传承人等到各学院开展讲座、参加非遗大展等形式对外学习交流，展现壤塘非遗魅力。</w:t>
      </w:r>
    </w:p>
    <w:p w14:paraId="0E0AD4A5">
      <w:pPr>
        <w:pStyle w:val="2"/>
        <w:rPr>
          <w:rFonts w:hint="eastAsia"/>
          <w:lang w:eastAsia="zh-CN"/>
        </w:rPr>
      </w:pPr>
      <w:r>
        <w:rPr>
          <w:rFonts w:hint="default" w:ascii="仿宋_GB2312" w:hAnsi="仿宋_GB2312" w:eastAsia="仿宋_GB2312" w:cs="仿宋_GB2312"/>
          <w:b w:val="0"/>
          <w:bCs w:val="0"/>
          <w:i w:val="0"/>
          <w:iCs w:val="0"/>
          <w:color w:val="auto"/>
          <w:kern w:val="2"/>
          <w:sz w:val="32"/>
          <w:szCs w:val="32"/>
          <w:highlight w:val="none"/>
          <w:shd w:val="clear" w:color="auto" w:fill="FFFFFF"/>
          <w:vertAlign w:val="baseline"/>
          <w:lang w:val="en-US" w:eastAsia="zh-CN"/>
        </w:rPr>
        <w:t>（九）狠抓意识形态，强化舆情管理。实行一把手负总责，班子成员各负其责，定期分析研判意识形态领域情况。狠抓学习，将意识形态工作纳入党课学习的重要内容，及时传达学习党中央和上级党委关于意识形态工作的决策部署及指示精神。牢牢掌控网络意识形态主导权，亲自抓网络意识形态安全，及时公开“三重一大”相关信息，按照舆情应急预案积极并及时做好重要节点和敏感时期的舆论监管。</w:t>
      </w:r>
    </w:p>
    <w:p w14:paraId="70939CFF">
      <w:pPr>
        <w:pStyle w:val="5"/>
        <w:rPr>
          <w:rStyle w:val="33"/>
          <w:b w:val="0"/>
          <w:bCs w:val="0"/>
          <w:color w:val="auto"/>
          <w:highlight w:val="none"/>
        </w:rPr>
      </w:pPr>
      <w:bookmarkStart w:id="36" w:name="_Toc20578"/>
      <w:bookmarkStart w:id="37" w:name="_Toc15396601"/>
      <w:bookmarkStart w:id="38" w:name="_Toc15377200"/>
      <w:r>
        <w:rPr>
          <w:rFonts w:hint="eastAsia" w:ascii="黑体" w:eastAsia="黑体"/>
          <w:b w:val="0"/>
          <w:color w:val="auto"/>
          <w:highlight w:val="none"/>
        </w:rPr>
        <w:t>二、</w:t>
      </w:r>
      <w:r>
        <w:rPr>
          <w:rFonts w:hint="eastAsia" w:ascii="黑体" w:hAnsi="黑体" w:eastAsia="黑体"/>
          <w:b w:val="0"/>
          <w:color w:val="auto"/>
          <w:highlight w:val="none"/>
        </w:rPr>
        <w:t>机</w:t>
      </w:r>
      <w:r>
        <w:rPr>
          <w:rStyle w:val="33"/>
          <w:rFonts w:hint="eastAsia" w:ascii="黑体" w:hAnsi="黑体" w:eastAsia="黑体"/>
          <w:b w:val="0"/>
          <w:bCs w:val="0"/>
          <w:color w:val="auto"/>
          <w:highlight w:val="none"/>
        </w:rPr>
        <w:t>构设置</w:t>
      </w:r>
      <w:bookmarkEnd w:id="36"/>
      <w:bookmarkEnd w:id="37"/>
      <w:bookmarkEnd w:id="38"/>
    </w:p>
    <w:p w14:paraId="0FE6BD8D">
      <w:pPr>
        <w:ind w:firstLine="800" w:firstLineChars="25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壤塘县文化体育和旅游局</w:t>
      </w:r>
      <w:r>
        <w:rPr>
          <w:rFonts w:hint="eastAsia" w:ascii="仿宋" w:hAnsi="仿宋" w:eastAsia="仿宋"/>
          <w:color w:val="000000" w:themeColor="text1"/>
          <w:sz w:val="32"/>
          <w:szCs w:val="32"/>
          <w14:textFill>
            <w14:solidFill>
              <w14:schemeClr w14:val="tx1"/>
            </w14:solidFill>
          </w14:textFill>
        </w:rPr>
        <w:t>属一级预算单位，下属二级预算单位</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个，其中：行政单位</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个；参照公务员法管理的事业单位</w:t>
      </w: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个</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旅游资源开发中心</w:t>
      </w:r>
      <w:r>
        <w:rPr>
          <w:rFonts w:hint="eastAsia" w:ascii="仿宋" w:hAnsi="仿宋" w:eastAsia="仿宋"/>
          <w:color w:val="000000" w:themeColor="text1"/>
          <w:sz w:val="32"/>
          <w:szCs w:val="32"/>
          <w14:textFill>
            <w14:solidFill>
              <w14:schemeClr w14:val="tx1"/>
            </w14:solidFill>
          </w14:textFill>
        </w:rPr>
        <w:t>；其他事业单位</w:t>
      </w:r>
      <w:r>
        <w:rPr>
          <w:rFonts w:hint="eastAsia" w:ascii="仿宋" w:hAnsi="仿宋" w:eastAsia="仿宋"/>
          <w:color w:val="000000" w:themeColor="text1"/>
          <w:sz w:val="32"/>
          <w:szCs w:val="32"/>
          <w:lang w:val="en-US" w:eastAsia="zh-CN"/>
          <w14:textFill>
            <w14:solidFill>
              <w14:schemeClr w14:val="tx1"/>
            </w14:solidFill>
          </w14:textFill>
        </w:rPr>
        <w:t>4</w:t>
      </w:r>
      <w:r>
        <w:rPr>
          <w:rFonts w:hint="eastAsia" w:ascii="仿宋" w:hAnsi="仿宋" w:eastAsia="仿宋"/>
          <w:color w:val="000000" w:themeColor="text1"/>
          <w:sz w:val="32"/>
          <w:szCs w:val="32"/>
          <w14:textFill>
            <w14:solidFill>
              <w14:schemeClr w14:val="tx1"/>
            </w14:solidFill>
          </w14:textFill>
        </w:rPr>
        <w:t>个</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分别是：</w:t>
      </w:r>
      <w:r>
        <w:rPr>
          <w:rFonts w:hint="eastAsia" w:ascii="仿宋" w:hAnsi="仿宋" w:eastAsia="仿宋"/>
          <w:color w:val="000000" w:themeColor="text1"/>
          <w:sz w:val="32"/>
          <w:szCs w:val="32"/>
          <w:lang w:eastAsia="zh-CN"/>
          <w14:textFill>
            <w14:solidFill>
              <w14:schemeClr w14:val="tx1"/>
            </w14:solidFill>
          </w14:textFill>
        </w:rPr>
        <w:t>图书馆、文化馆、文管所、业余体校，</w:t>
      </w:r>
      <w:r>
        <w:rPr>
          <w:rFonts w:hint="eastAsia" w:ascii="仿宋" w:hAnsi="仿宋" w:eastAsia="仿宋"/>
          <w:color w:val="000000" w:themeColor="text1"/>
          <w:sz w:val="32"/>
          <w:szCs w:val="32"/>
          <w:lang w:val="en-US" w:eastAsia="zh-CN"/>
          <w14:textFill>
            <w14:solidFill>
              <w14:schemeClr w14:val="tx1"/>
            </w14:solidFill>
          </w14:textFill>
        </w:rPr>
        <w:t>以及1个公益一类正科级事业机构：</w:t>
      </w:r>
      <w:r>
        <w:rPr>
          <w:rFonts w:hint="eastAsia" w:ascii="仿宋" w:hAnsi="仿宋" w:eastAsia="仿宋"/>
          <w:color w:val="000000" w:themeColor="text1"/>
          <w:sz w:val="32"/>
          <w:szCs w:val="32"/>
          <w:lang w:eastAsia="zh-CN"/>
          <w14:textFill>
            <w14:solidFill>
              <w14:schemeClr w14:val="tx1"/>
            </w14:solidFill>
          </w14:textFill>
        </w:rPr>
        <w:t>壤巴拉文化研究中心。</w:t>
      </w:r>
    </w:p>
    <w:p w14:paraId="258F02D5">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14:paraId="6CD6A130">
      <w:pPr>
        <w:pStyle w:val="4"/>
        <w:ind w:right="440"/>
        <w:jc w:val="center"/>
        <w:rPr>
          <w:rStyle w:val="32"/>
          <w:rFonts w:ascii="黑体" w:hAnsi="黑体" w:eastAsia="黑体"/>
          <w:b w:val="0"/>
          <w:bCs/>
          <w:color w:val="auto"/>
          <w:highlight w:val="none"/>
        </w:rPr>
      </w:pPr>
      <w:bookmarkStart w:id="39" w:name="_Toc15377204"/>
      <w:bookmarkStart w:id="40" w:name="_Toc15396602"/>
      <w:bookmarkStart w:id="41" w:name="_Toc20667"/>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2022年度</w:t>
      </w:r>
      <w:r>
        <w:rPr>
          <w:rStyle w:val="32"/>
          <w:rFonts w:hint="eastAsia" w:ascii="黑体" w:hAnsi="黑体" w:eastAsia="黑体"/>
          <w:b w:val="0"/>
          <w:bCs/>
          <w:color w:val="auto"/>
          <w:highlight w:val="none"/>
        </w:rPr>
        <w:t>部门决算情况说明</w:t>
      </w:r>
      <w:bookmarkEnd w:id="39"/>
      <w:bookmarkEnd w:id="40"/>
      <w:bookmarkEnd w:id="41"/>
    </w:p>
    <w:p w14:paraId="79D27B0F">
      <w:pPr>
        <w:rPr>
          <w:color w:val="auto"/>
          <w:highlight w:val="none"/>
        </w:rPr>
      </w:pPr>
    </w:p>
    <w:p w14:paraId="11340D1A">
      <w:pPr>
        <w:pStyle w:val="31"/>
        <w:numPr>
          <w:ilvl w:val="0"/>
          <w:numId w:val="2"/>
        </w:numPr>
        <w:spacing w:line="600" w:lineRule="exact"/>
        <w:ind w:firstLineChars="0"/>
        <w:outlineLvl w:val="1"/>
        <w:rPr>
          <w:rStyle w:val="33"/>
          <w:rFonts w:ascii="黑体" w:hAnsi="黑体" w:eastAsia="黑体"/>
          <w:b w:val="0"/>
          <w:color w:val="auto"/>
          <w:highlight w:val="none"/>
        </w:rPr>
      </w:pPr>
      <w:bookmarkStart w:id="42" w:name="_Toc15377205"/>
      <w:bookmarkStart w:id="43" w:name="_Toc15396603"/>
      <w:bookmarkStart w:id="44" w:name="_Toc13622"/>
      <w:r>
        <w:rPr>
          <w:rFonts w:hint="eastAsia" w:ascii="黑体" w:hAnsi="黑体" w:eastAsia="黑体"/>
          <w:color w:val="auto"/>
          <w:sz w:val="32"/>
          <w:szCs w:val="32"/>
          <w:highlight w:val="none"/>
        </w:rPr>
        <w:t>收</w:t>
      </w:r>
      <w:r>
        <w:rPr>
          <w:rStyle w:val="33"/>
          <w:rFonts w:hint="eastAsia" w:ascii="黑体" w:hAnsi="黑体" w:eastAsia="黑体"/>
          <w:b w:val="0"/>
          <w:color w:val="auto"/>
          <w:highlight w:val="none"/>
        </w:rPr>
        <w:t>入支出决算总体情况说明</w:t>
      </w:r>
      <w:bookmarkEnd w:id="42"/>
      <w:bookmarkEnd w:id="43"/>
      <w:bookmarkEnd w:id="44"/>
    </w:p>
    <w:p w14:paraId="7C67BB6B">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年度收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3444.75</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1223.18</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55.06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w:t>
      </w:r>
      <w:r>
        <w:rPr>
          <w:rFonts w:hint="eastAsia" w:ascii="仿宋" w:hAnsi="仿宋" w:eastAsia="仿宋"/>
          <w:color w:val="auto"/>
          <w:sz w:val="32"/>
          <w:szCs w:val="32"/>
          <w:highlight w:val="none"/>
          <w:lang w:eastAsia="zh-CN"/>
        </w:rPr>
        <w:t>变动原因</w:t>
      </w:r>
      <w:r>
        <w:rPr>
          <w:rFonts w:hint="eastAsia" w:ascii="仿宋" w:hAnsi="仿宋" w:eastAsia="仿宋"/>
          <w:color w:val="auto"/>
          <w:sz w:val="32"/>
          <w:szCs w:val="32"/>
          <w:highlight w:val="none"/>
          <w:lang w:val="en-US" w:eastAsia="zh-CN"/>
        </w:rPr>
        <w:t>当年项目增加，收入增加</w:t>
      </w:r>
      <w:r>
        <w:rPr>
          <w:rFonts w:hint="eastAsia" w:ascii="仿宋" w:hAnsi="仿宋" w:eastAsia="仿宋"/>
          <w:color w:val="auto"/>
          <w:sz w:val="32"/>
          <w:szCs w:val="32"/>
          <w:highlight w:val="none"/>
          <w:lang w:eastAsia="zh-CN"/>
        </w:rPr>
        <w:t>。</w:t>
      </w:r>
    </w:p>
    <w:p w14:paraId="50C07B05">
      <w:pPr>
        <w:pStyle w:val="2"/>
        <w:ind w:firstLine="640" w:firstLineChars="200"/>
        <w:rPr>
          <w:rFonts w:hint="eastAsia"/>
          <w:lang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5416.05</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1128.28</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26.31</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w:t>
      </w:r>
      <w:r>
        <w:rPr>
          <w:rFonts w:hint="eastAsia" w:ascii="仿宋" w:hAnsi="仿宋" w:eastAsia="仿宋"/>
          <w:color w:val="auto"/>
          <w:sz w:val="32"/>
          <w:szCs w:val="32"/>
          <w:highlight w:val="none"/>
          <w:lang w:eastAsia="zh-CN"/>
        </w:rPr>
        <w:t>变动原因</w:t>
      </w:r>
      <w:r>
        <w:rPr>
          <w:rFonts w:hint="eastAsia" w:ascii="仿宋" w:hAnsi="仿宋" w:eastAsia="仿宋"/>
          <w:color w:val="auto"/>
          <w:sz w:val="32"/>
          <w:szCs w:val="32"/>
          <w:highlight w:val="none"/>
          <w:lang w:val="en-US" w:eastAsia="zh-CN"/>
        </w:rPr>
        <w:t>当年项目增加，收入增加</w:t>
      </w:r>
    </w:p>
    <w:p w14:paraId="4CC3F25C">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14:paraId="4A16CB36">
      <w:pPr>
        <w:spacing w:line="600" w:lineRule="exact"/>
        <w:ind w:firstLine="640" w:firstLineChars="200"/>
        <w:jc w:val="left"/>
        <w:rPr>
          <w:rFonts w:ascii="仿宋_GB2312" w:eastAsia="仿宋_GB2312"/>
          <w:color w:val="auto"/>
          <w:sz w:val="32"/>
          <w:szCs w:val="32"/>
          <w:highlight w:val="none"/>
        </w:rPr>
      </w:pPr>
    </w:p>
    <w:p w14:paraId="17C23730">
      <w:pPr>
        <w:pStyle w:val="2"/>
        <w:rPr>
          <w:rFonts w:hint="eastAsia" w:eastAsia="仿宋_GB2312"/>
          <w:lang w:eastAsia="zh-CN"/>
        </w:rPr>
      </w:pPr>
      <w:r>
        <w:rPr>
          <w:rFonts w:hint="eastAsia" w:eastAsia="仿宋_GB2312"/>
          <w:lang w:eastAsia="zh-CN"/>
        </w:rPr>
        <w:drawing>
          <wp:inline distT="0" distB="0" distL="114300" distR="114300">
            <wp:extent cx="5256530" cy="2988310"/>
            <wp:effectExtent l="5080" t="4445" r="1143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AED74C8">
      <w:pPr>
        <w:pStyle w:val="3"/>
        <w:ind w:left="0" w:leftChars="0" w:firstLine="0" w:firstLineChars="0"/>
        <w:jc w:val="left"/>
        <w:rPr>
          <w:rFonts w:hint="eastAsia"/>
          <w:lang w:eastAsia="zh-CN"/>
        </w:rPr>
      </w:pPr>
      <w:r>
        <w:rPr>
          <w:rFonts w:hint="eastAsia"/>
          <w:lang w:eastAsia="zh-CN"/>
        </w:rPr>
        <w:drawing>
          <wp:inline distT="0" distB="0" distL="114300" distR="114300">
            <wp:extent cx="5256530" cy="2988310"/>
            <wp:effectExtent l="5080" t="4445" r="11430"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8393E27">
      <w:pPr>
        <w:pStyle w:val="31"/>
        <w:numPr>
          <w:ilvl w:val="0"/>
          <w:numId w:val="2"/>
        </w:numPr>
        <w:spacing w:line="600" w:lineRule="exact"/>
        <w:ind w:firstLineChars="0"/>
        <w:outlineLvl w:val="1"/>
        <w:rPr>
          <w:rStyle w:val="33"/>
          <w:rFonts w:ascii="黑体" w:hAnsi="黑体" w:eastAsia="黑体"/>
          <w:b w:val="0"/>
          <w:color w:val="auto"/>
          <w:highlight w:val="none"/>
        </w:rPr>
      </w:pPr>
      <w:bookmarkStart w:id="45" w:name="_Toc15396604"/>
      <w:bookmarkStart w:id="46" w:name="_Toc15377206"/>
      <w:bookmarkStart w:id="47" w:name="_Toc2400"/>
      <w:r>
        <w:rPr>
          <w:rFonts w:hint="eastAsia" w:ascii="黑体" w:hAnsi="黑体" w:eastAsia="黑体"/>
          <w:color w:val="auto"/>
          <w:sz w:val="32"/>
          <w:szCs w:val="32"/>
          <w:highlight w:val="none"/>
        </w:rPr>
        <w:t>收</w:t>
      </w:r>
      <w:r>
        <w:rPr>
          <w:rStyle w:val="33"/>
          <w:rFonts w:hint="eastAsia" w:ascii="黑体" w:hAnsi="黑体" w:eastAsia="黑体"/>
          <w:b w:val="0"/>
          <w:color w:val="auto"/>
          <w:highlight w:val="none"/>
        </w:rPr>
        <w:t>入决算情况说明</w:t>
      </w:r>
      <w:bookmarkEnd w:id="45"/>
      <w:bookmarkEnd w:id="46"/>
      <w:bookmarkEnd w:id="47"/>
    </w:p>
    <w:p w14:paraId="075AD351">
      <w:pPr>
        <w:spacing w:line="600" w:lineRule="exact"/>
        <w:ind w:firstLine="640" w:firstLineChars="200"/>
        <w:outlineLvl w:val="1"/>
        <w:rPr>
          <w:rFonts w:ascii="仿宋" w:hAnsi="仿宋" w:eastAsia="仿宋"/>
          <w:color w:val="auto"/>
          <w:sz w:val="32"/>
          <w:szCs w:val="32"/>
          <w:highlight w:val="none"/>
        </w:rPr>
      </w:pPr>
      <w:bookmarkStart w:id="48" w:name="_Toc12671"/>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3444.75</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3438.09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99.83</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6.66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0.17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8"/>
    </w:p>
    <w:p w14:paraId="78DDC885">
      <w:pPr>
        <w:spacing w:line="600" w:lineRule="exact"/>
        <w:ind w:firstLine="643" w:firstLineChars="200"/>
        <w:outlineLvl w:val="1"/>
        <w:rPr>
          <w:rFonts w:ascii="仿宋" w:hAnsi="仿宋" w:eastAsia="仿宋"/>
          <w:b/>
          <w:color w:val="auto"/>
          <w:sz w:val="32"/>
          <w:szCs w:val="32"/>
          <w:highlight w:val="none"/>
        </w:rPr>
      </w:pPr>
      <w:bookmarkStart w:id="49" w:name="_Toc3836"/>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bookmarkEnd w:id="49"/>
    </w:p>
    <w:p w14:paraId="60677D18">
      <w:pPr>
        <w:spacing w:line="600" w:lineRule="exact"/>
        <w:ind w:firstLine="640" w:firstLineChars="200"/>
        <w:outlineLvl w:val="9"/>
        <w:rPr>
          <w:rFonts w:ascii="仿宋" w:hAnsi="仿宋" w:eastAsia="仿宋"/>
          <w:color w:val="auto"/>
          <w:sz w:val="32"/>
          <w:szCs w:val="32"/>
          <w:highlight w:val="none"/>
        </w:rPr>
      </w:pPr>
    </w:p>
    <w:p w14:paraId="1658E872">
      <w:pPr>
        <w:pStyle w:val="2"/>
        <w:rPr>
          <w:rFonts w:hint="eastAsia" w:eastAsia="仿宋"/>
          <w:lang w:eastAsia="zh-CN"/>
        </w:rPr>
      </w:pPr>
      <w:r>
        <w:rPr>
          <w:rFonts w:hint="eastAsia" w:eastAsia="仿宋"/>
          <w:lang w:eastAsia="zh-CN"/>
        </w:rPr>
        <w:drawing>
          <wp:inline distT="0" distB="0" distL="114300" distR="114300">
            <wp:extent cx="5256530" cy="2988310"/>
            <wp:effectExtent l="5080" t="4445" r="11430"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1E1588">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（图2：收入决算结构图）（饼状图）</w:t>
      </w:r>
    </w:p>
    <w:p w14:paraId="03902BC6">
      <w:pPr>
        <w:spacing w:line="600" w:lineRule="exact"/>
        <w:ind w:firstLine="640" w:firstLineChars="200"/>
        <w:rPr>
          <w:rFonts w:ascii="仿宋_GB2312" w:eastAsia="仿宋_GB2312"/>
          <w:color w:val="auto"/>
          <w:sz w:val="32"/>
          <w:szCs w:val="32"/>
          <w:highlight w:val="none"/>
        </w:rPr>
      </w:pPr>
    </w:p>
    <w:p w14:paraId="1AD088BD">
      <w:pPr>
        <w:pStyle w:val="31"/>
        <w:numPr>
          <w:ilvl w:val="0"/>
          <w:numId w:val="2"/>
        </w:numPr>
        <w:spacing w:line="600" w:lineRule="exact"/>
        <w:ind w:firstLineChars="0"/>
        <w:outlineLvl w:val="1"/>
        <w:rPr>
          <w:rStyle w:val="33"/>
          <w:rFonts w:ascii="黑体" w:hAnsi="黑体" w:eastAsia="黑体"/>
          <w:b w:val="0"/>
          <w:color w:val="auto"/>
          <w:highlight w:val="none"/>
        </w:rPr>
      </w:pPr>
      <w:bookmarkStart w:id="50" w:name="_Toc15377207"/>
      <w:bookmarkStart w:id="51" w:name="_Toc27114"/>
      <w:bookmarkStart w:id="52" w:name="_Toc15396605"/>
      <w:r>
        <w:rPr>
          <w:rFonts w:hint="eastAsia" w:ascii="黑体" w:hAnsi="黑体" w:eastAsia="黑体"/>
          <w:color w:val="auto"/>
          <w:sz w:val="32"/>
          <w:szCs w:val="32"/>
          <w:highlight w:val="none"/>
        </w:rPr>
        <w:t>支</w:t>
      </w:r>
      <w:r>
        <w:rPr>
          <w:rStyle w:val="33"/>
          <w:rFonts w:hint="eastAsia" w:ascii="黑体" w:hAnsi="黑体" w:eastAsia="黑体"/>
          <w:b w:val="0"/>
          <w:color w:val="auto"/>
          <w:highlight w:val="none"/>
        </w:rPr>
        <w:t>出决算情况说明</w:t>
      </w:r>
      <w:bookmarkEnd w:id="50"/>
      <w:bookmarkEnd w:id="51"/>
      <w:bookmarkEnd w:id="52"/>
    </w:p>
    <w:p w14:paraId="0149DE1A">
      <w:pPr>
        <w:spacing w:line="600" w:lineRule="exact"/>
        <w:ind w:firstLine="640" w:firstLineChars="200"/>
        <w:outlineLvl w:val="1"/>
        <w:rPr>
          <w:rFonts w:ascii="仿宋" w:hAnsi="仿宋" w:eastAsia="仿宋"/>
          <w:color w:val="auto"/>
          <w:sz w:val="32"/>
          <w:szCs w:val="32"/>
          <w:highlight w:val="none"/>
        </w:rPr>
      </w:pPr>
      <w:bookmarkStart w:id="53" w:name="_Toc24606"/>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5416.05</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971.25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17.93</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4444.8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82.07</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53"/>
    </w:p>
    <w:p w14:paraId="5DE3E14B">
      <w:pPr>
        <w:spacing w:line="600" w:lineRule="exact"/>
        <w:ind w:firstLine="643" w:firstLineChars="200"/>
        <w:outlineLvl w:val="1"/>
        <w:rPr>
          <w:rFonts w:ascii="仿宋" w:hAnsi="仿宋" w:eastAsia="仿宋"/>
          <w:b/>
          <w:color w:val="auto"/>
          <w:sz w:val="32"/>
          <w:szCs w:val="32"/>
          <w:highlight w:val="none"/>
        </w:rPr>
      </w:pPr>
      <w:bookmarkStart w:id="54" w:name="_Toc1277"/>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bookmarkEnd w:id="54"/>
    </w:p>
    <w:p w14:paraId="7DED7640">
      <w:pPr>
        <w:spacing w:line="600" w:lineRule="exact"/>
        <w:ind w:firstLine="640"/>
        <w:rPr>
          <w:rFonts w:ascii="仿宋" w:hAnsi="仿宋" w:eastAsia="仿宋"/>
          <w:color w:val="auto"/>
          <w:sz w:val="32"/>
          <w:szCs w:val="32"/>
          <w:highlight w:val="none"/>
          <w:shd w:val="pct10" w:color="auto" w:fill="FFFFFF"/>
        </w:rPr>
      </w:pPr>
    </w:p>
    <w:p w14:paraId="57A4461A">
      <w:pPr>
        <w:pStyle w:val="2"/>
        <w:rPr>
          <w:rFonts w:hint="eastAsia" w:eastAsia="仿宋"/>
          <w:lang w:eastAsia="zh-CN"/>
        </w:rPr>
      </w:pPr>
      <w:r>
        <w:rPr>
          <w:rFonts w:hint="eastAsia" w:eastAsia="仿宋"/>
          <w:lang w:eastAsia="zh-CN"/>
        </w:rPr>
        <w:drawing>
          <wp:inline distT="0" distB="0" distL="114300" distR="114300">
            <wp:extent cx="5256530" cy="2988310"/>
            <wp:effectExtent l="5080" t="4445" r="1143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6251E0F">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14:paraId="051F988E">
      <w:pPr>
        <w:spacing w:line="600" w:lineRule="exact"/>
        <w:ind w:firstLine="640" w:firstLineChars="200"/>
        <w:rPr>
          <w:rFonts w:ascii="仿宋_GB2312" w:eastAsia="仿宋_GB2312"/>
          <w:color w:val="auto"/>
          <w:sz w:val="32"/>
          <w:szCs w:val="32"/>
          <w:highlight w:val="none"/>
        </w:rPr>
      </w:pPr>
    </w:p>
    <w:p w14:paraId="25AFB546">
      <w:pPr>
        <w:spacing w:line="600" w:lineRule="exact"/>
        <w:ind w:firstLine="640" w:firstLineChars="200"/>
        <w:outlineLvl w:val="1"/>
        <w:rPr>
          <w:rStyle w:val="33"/>
          <w:rFonts w:ascii="黑体" w:hAnsi="黑体" w:eastAsia="黑体"/>
          <w:b w:val="0"/>
          <w:color w:val="auto"/>
          <w:highlight w:val="none"/>
        </w:rPr>
      </w:pPr>
      <w:bookmarkStart w:id="55" w:name="_Toc15377208"/>
      <w:bookmarkStart w:id="56" w:name="_Toc15396606"/>
      <w:bookmarkStart w:id="57" w:name="_Toc27295"/>
      <w:r>
        <w:rPr>
          <w:rFonts w:hint="eastAsia" w:ascii="黑体" w:hAnsi="黑体" w:eastAsia="黑体"/>
          <w:color w:val="auto"/>
          <w:sz w:val="32"/>
          <w:szCs w:val="32"/>
          <w:highlight w:val="none"/>
        </w:rPr>
        <w:t>四、财</w:t>
      </w:r>
      <w:r>
        <w:rPr>
          <w:rStyle w:val="33"/>
          <w:rFonts w:hint="eastAsia" w:ascii="黑体" w:hAnsi="黑体" w:eastAsia="黑体"/>
          <w:b w:val="0"/>
          <w:color w:val="auto"/>
          <w:highlight w:val="none"/>
        </w:rPr>
        <w:t>政拨款收入支出决算总体情况说明</w:t>
      </w:r>
      <w:bookmarkEnd w:id="55"/>
      <w:bookmarkEnd w:id="56"/>
      <w:bookmarkEnd w:id="57"/>
    </w:p>
    <w:p w14:paraId="7C3FA0E2">
      <w:pPr>
        <w:spacing w:line="600" w:lineRule="exact"/>
        <w:ind w:firstLine="640"/>
        <w:rPr>
          <w:rFonts w:hint="eastAsia" w:ascii="仿宋" w:hAnsi="仿宋" w:eastAsia="仿宋"/>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年财政拨款收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3438.09</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年相比，财政拨款收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1217.52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54.83</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w:t>
      </w:r>
      <w:r>
        <w:rPr>
          <w:rFonts w:hint="eastAsia" w:ascii="仿宋" w:hAnsi="仿宋" w:eastAsia="仿宋"/>
          <w:color w:val="auto"/>
          <w:sz w:val="32"/>
          <w:szCs w:val="32"/>
          <w:highlight w:val="none"/>
          <w:lang w:eastAsia="zh-CN"/>
        </w:rPr>
        <w:t>变动原因</w:t>
      </w:r>
      <w:r>
        <w:rPr>
          <w:rFonts w:hint="eastAsia" w:ascii="仿宋" w:hAnsi="仿宋" w:eastAsia="仿宋"/>
          <w:color w:val="auto"/>
          <w:sz w:val="32"/>
          <w:szCs w:val="32"/>
          <w:highlight w:val="none"/>
          <w:lang w:val="en-US" w:eastAsia="zh-CN"/>
        </w:rPr>
        <w:t>项目增加，收入增加。</w:t>
      </w:r>
    </w:p>
    <w:p w14:paraId="7C011AA5">
      <w:pPr>
        <w:pStyle w:val="2"/>
        <w:ind w:firstLine="640" w:firstLineChars="200"/>
        <w:rPr>
          <w:rFonts w:hint="default"/>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年财政拨款</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5409.39</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年相比，财政拨款</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1121.62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26.16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w:t>
      </w:r>
      <w:r>
        <w:rPr>
          <w:rFonts w:hint="eastAsia" w:ascii="仿宋" w:hAnsi="仿宋" w:eastAsia="仿宋"/>
          <w:color w:val="auto"/>
          <w:sz w:val="32"/>
          <w:szCs w:val="32"/>
          <w:highlight w:val="none"/>
          <w:lang w:eastAsia="zh-CN"/>
        </w:rPr>
        <w:t>变动原因</w:t>
      </w:r>
      <w:r>
        <w:rPr>
          <w:rFonts w:hint="eastAsia" w:ascii="仿宋" w:hAnsi="仿宋" w:eastAsia="仿宋"/>
          <w:color w:val="auto"/>
          <w:sz w:val="32"/>
          <w:szCs w:val="32"/>
          <w:highlight w:val="none"/>
          <w:lang w:val="en-US" w:eastAsia="zh-CN"/>
        </w:rPr>
        <w:t>项目增加，支出增加。</w:t>
      </w:r>
    </w:p>
    <w:p w14:paraId="23288285">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14:paraId="0A7E6B2D">
      <w:pPr>
        <w:spacing w:line="600" w:lineRule="exact"/>
        <w:rPr>
          <w:rFonts w:ascii="仿宋" w:hAnsi="仿宋" w:eastAsia="仿宋"/>
          <w:color w:val="auto"/>
          <w:sz w:val="32"/>
          <w:szCs w:val="32"/>
          <w:highlight w:val="none"/>
        </w:rPr>
      </w:pPr>
    </w:p>
    <w:p w14:paraId="5DF7AA3C">
      <w:pPr>
        <w:pStyle w:val="2"/>
        <w:rPr>
          <w:rFonts w:hint="eastAsia" w:eastAsia="仿宋"/>
          <w:lang w:eastAsia="zh-CN"/>
        </w:rPr>
      </w:pPr>
      <w:r>
        <w:rPr>
          <w:rFonts w:hint="eastAsia" w:eastAsia="仿宋"/>
          <w:lang w:eastAsia="zh-CN"/>
        </w:rPr>
        <w:drawing>
          <wp:inline distT="0" distB="0" distL="114300" distR="114300">
            <wp:extent cx="5256530" cy="2988310"/>
            <wp:effectExtent l="5080" t="4445" r="1143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4BFB7E">
      <w:pPr>
        <w:pStyle w:val="3"/>
        <w:ind w:left="0" w:leftChars="0" w:firstLine="0" w:firstLineChars="0"/>
        <w:jc w:val="left"/>
        <w:rPr>
          <w:rFonts w:hint="eastAsia"/>
          <w:lang w:eastAsia="zh-CN"/>
        </w:rPr>
      </w:pPr>
      <w:r>
        <w:rPr>
          <w:rFonts w:hint="eastAsia"/>
          <w:lang w:eastAsia="zh-CN"/>
        </w:rPr>
        <w:drawing>
          <wp:inline distT="0" distB="0" distL="114300" distR="114300">
            <wp:extent cx="5256530" cy="2988310"/>
            <wp:effectExtent l="5080" t="4445" r="1143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645C57">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30D63BEB">
      <w:pPr>
        <w:spacing w:line="600" w:lineRule="exact"/>
        <w:ind w:firstLine="640"/>
        <w:rPr>
          <w:rFonts w:ascii="仿宋" w:hAnsi="仿宋" w:eastAsia="仿宋"/>
          <w:b/>
          <w:color w:val="auto"/>
          <w:sz w:val="32"/>
          <w:szCs w:val="32"/>
          <w:highlight w:val="none"/>
        </w:rPr>
      </w:pPr>
    </w:p>
    <w:p w14:paraId="5FE6E7E2">
      <w:pPr>
        <w:spacing w:line="600" w:lineRule="exact"/>
        <w:ind w:firstLine="640" w:firstLineChars="200"/>
        <w:outlineLvl w:val="1"/>
        <w:rPr>
          <w:rStyle w:val="33"/>
          <w:rFonts w:ascii="黑体" w:hAnsi="黑体" w:eastAsia="黑体"/>
          <w:b w:val="0"/>
          <w:color w:val="auto"/>
          <w:highlight w:val="none"/>
        </w:rPr>
      </w:pPr>
      <w:bookmarkStart w:id="58" w:name="_Toc15596"/>
      <w:bookmarkStart w:id="59" w:name="_Toc15396607"/>
      <w:bookmarkStart w:id="60" w:name="_Toc15377209"/>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3"/>
          <w:rFonts w:hint="eastAsia" w:ascii="黑体" w:hAnsi="黑体" w:eastAsia="黑体"/>
          <w:b w:val="0"/>
          <w:color w:val="auto"/>
          <w:highlight w:val="none"/>
        </w:rPr>
        <w:t>般公共预算财政拨款支出决算情况说明</w:t>
      </w:r>
      <w:bookmarkEnd w:id="58"/>
      <w:bookmarkEnd w:id="59"/>
      <w:bookmarkEnd w:id="60"/>
    </w:p>
    <w:p w14:paraId="58DF98A7">
      <w:pPr>
        <w:spacing w:line="600" w:lineRule="exact"/>
        <w:ind w:firstLine="643" w:firstLineChars="200"/>
        <w:outlineLvl w:val="2"/>
        <w:rPr>
          <w:rFonts w:ascii="仿宋" w:hAnsi="仿宋" w:eastAsia="仿宋"/>
          <w:b/>
          <w:color w:val="auto"/>
          <w:sz w:val="32"/>
          <w:szCs w:val="32"/>
          <w:highlight w:val="none"/>
        </w:rPr>
      </w:pPr>
      <w:bookmarkStart w:id="61" w:name="_Toc15377210"/>
      <w:r>
        <w:rPr>
          <w:rFonts w:hint="eastAsia" w:ascii="仿宋" w:hAnsi="仿宋" w:eastAsia="仿宋"/>
          <w:b/>
          <w:color w:val="auto"/>
          <w:sz w:val="32"/>
          <w:szCs w:val="32"/>
          <w:highlight w:val="none"/>
        </w:rPr>
        <w:t>（一）一般公共预算财政拨款支出决算总体情况</w:t>
      </w:r>
      <w:bookmarkEnd w:id="61"/>
    </w:p>
    <w:p w14:paraId="7B6EF58E">
      <w:pPr>
        <w:pStyle w:val="2"/>
        <w:ind w:firstLine="640" w:firstLineChars="200"/>
        <w:rPr>
          <w:rFonts w:hint="default"/>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5409.36</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99.88</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总计增加</w:t>
      </w:r>
      <w:r>
        <w:rPr>
          <w:rFonts w:hint="eastAsia" w:ascii="仿宋" w:hAnsi="仿宋" w:eastAsia="仿宋"/>
          <w:color w:val="auto"/>
          <w:sz w:val="32"/>
          <w:szCs w:val="32"/>
          <w:highlight w:val="none"/>
          <w:lang w:val="en-US" w:eastAsia="zh-CN"/>
        </w:rPr>
        <w:t>1121.62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26.16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w:t>
      </w:r>
      <w:r>
        <w:rPr>
          <w:rFonts w:hint="eastAsia" w:ascii="仿宋" w:hAnsi="仿宋" w:eastAsia="仿宋"/>
          <w:color w:val="auto"/>
          <w:sz w:val="32"/>
          <w:szCs w:val="32"/>
          <w:highlight w:val="none"/>
          <w:lang w:eastAsia="zh-CN"/>
        </w:rPr>
        <w:t>变动原因</w:t>
      </w:r>
      <w:r>
        <w:rPr>
          <w:rFonts w:hint="eastAsia" w:ascii="仿宋" w:hAnsi="仿宋" w:eastAsia="仿宋"/>
          <w:color w:val="auto"/>
          <w:sz w:val="32"/>
          <w:szCs w:val="32"/>
          <w:highlight w:val="none"/>
          <w:lang w:val="en-US" w:eastAsia="zh-CN"/>
        </w:rPr>
        <w:t>项目增加，支出增加。</w:t>
      </w:r>
    </w:p>
    <w:p w14:paraId="7A58D5AA">
      <w:pPr>
        <w:spacing w:line="600" w:lineRule="exact"/>
        <w:ind w:firstLine="640" w:firstLineChars="200"/>
        <w:rPr>
          <w:rFonts w:ascii="仿宋" w:hAnsi="仿宋" w:eastAsia="仿宋"/>
          <w:color w:val="auto"/>
          <w:sz w:val="32"/>
          <w:szCs w:val="32"/>
          <w:highlight w:val="none"/>
        </w:rPr>
      </w:pPr>
    </w:p>
    <w:p w14:paraId="7C959E2F">
      <w:pPr>
        <w:pStyle w:val="2"/>
      </w:pPr>
      <w:r>
        <w:rPr>
          <w:rFonts w:hint="eastAsia"/>
          <w:lang w:eastAsia="zh-CN"/>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28A81D">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14:paraId="57DFABE5">
      <w:pPr>
        <w:spacing w:line="600" w:lineRule="exact"/>
        <w:ind w:firstLine="640" w:firstLineChars="200"/>
        <w:rPr>
          <w:rFonts w:ascii="仿宋" w:hAnsi="仿宋" w:eastAsia="仿宋"/>
          <w:color w:val="auto"/>
          <w:sz w:val="32"/>
          <w:szCs w:val="32"/>
          <w:highlight w:val="none"/>
        </w:rPr>
      </w:pPr>
    </w:p>
    <w:p w14:paraId="50EFE86F">
      <w:pPr>
        <w:spacing w:line="600" w:lineRule="exact"/>
        <w:ind w:firstLine="643" w:firstLineChars="200"/>
        <w:outlineLvl w:val="2"/>
        <w:rPr>
          <w:rFonts w:ascii="仿宋" w:hAnsi="仿宋" w:eastAsia="仿宋"/>
          <w:b/>
          <w:color w:val="auto"/>
          <w:sz w:val="32"/>
          <w:szCs w:val="32"/>
          <w:highlight w:val="none"/>
        </w:rPr>
      </w:pPr>
      <w:bookmarkStart w:id="62" w:name="_Toc15377211"/>
      <w:r>
        <w:rPr>
          <w:rFonts w:hint="eastAsia" w:ascii="仿宋" w:hAnsi="仿宋" w:eastAsia="仿宋"/>
          <w:b/>
          <w:color w:val="auto"/>
          <w:sz w:val="32"/>
          <w:szCs w:val="32"/>
          <w:highlight w:val="none"/>
        </w:rPr>
        <w:t>（二）一般公共预算财政拨款支出决算结构情况</w:t>
      </w:r>
      <w:bookmarkEnd w:id="62"/>
    </w:p>
    <w:p w14:paraId="2C059110">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5409.39</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科学技术</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color w:val="auto"/>
          <w:sz w:val="32"/>
          <w:szCs w:val="32"/>
          <w:highlight w:val="none"/>
          <w:lang w:val="en-US" w:eastAsia="zh-CN"/>
        </w:rPr>
        <w:t>0.53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占0.01%</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b w:val="0"/>
          <w:bCs w:val="0"/>
          <w:color w:val="auto"/>
          <w:sz w:val="32"/>
          <w:szCs w:val="32"/>
          <w:highlight w:val="none"/>
          <w:lang w:val="en-US" w:eastAsia="zh-CN"/>
        </w:rPr>
        <w:t>3279.33</w:t>
      </w:r>
      <w:r>
        <w:rPr>
          <w:rFonts w:hint="eastAsia" w:ascii="仿宋" w:hAnsi="仿宋" w:eastAsia="仿宋"/>
          <w:b w:val="0"/>
          <w:bCs w:val="0"/>
          <w:color w:val="auto"/>
          <w:sz w:val="32"/>
          <w:szCs w:val="32"/>
          <w:highlight w:val="none"/>
        </w:rPr>
        <w:t>万元</w:t>
      </w:r>
      <w:r>
        <w:rPr>
          <w:rFonts w:hint="eastAsia" w:ascii="仿宋" w:hAnsi="仿宋" w:eastAsia="仿宋"/>
          <w:b/>
          <w:bCs/>
          <w:color w:val="auto"/>
          <w:sz w:val="32"/>
          <w:szCs w:val="32"/>
          <w:highlight w:val="none"/>
        </w:rPr>
        <w:t>，</w:t>
      </w:r>
      <w:r>
        <w:rPr>
          <w:rFonts w:hint="eastAsia" w:ascii="仿宋" w:hAnsi="仿宋" w:eastAsia="仿宋"/>
          <w:b w:val="0"/>
          <w:bCs w:val="0"/>
          <w:color w:val="auto"/>
          <w:sz w:val="32"/>
          <w:szCs w:val="32"/>
          <w:highlight w:val="none"/>
        </w:rPr>
        <w:t>占</w:t>
      </w:r>
      <w:r>
        <w:rPr>
          <w:rFonts w:hint="eastAsia" w:ascii="仿宋" w:hAnsi="仿宋" w:eastAsia="仿宋"/>
          <w:b w:val="0"/>
          <w:bCs w:val="0"/>
          <w:color w:val="auto"/>
          <w:sz w:val="32"/>
          <w:szCs w:val="32"/>
          <w:highlight w:val="none"/>
          <w:lang w:val="en-US" w:eastAsia="zh-CN"/>
        </w:rPr>
        <w:t>60.62</w:t>
      </w:r>
      <w:r>
        <w:rPr>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color w:val="auto"/>
          <w:sz w:val="32"/>
          <w:szCs w:val="32"/>
          <w:highlight w:val="none"/>
          <w:lang w:val="en-US" w:eastAsia="zh-CN"/>
        </w:rPr>
        <w:t>111.51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2.06%</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color w:val="auto"/>
          <w:sz w:val="32"/>
          <w:szCs w:val="32"/>
          <w:highlight w:val="none"/>
          <w:lang w:val="en-US" w:eastAsia="zh-CN"/>
        </w:rPr>
        <w:t>44.77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0.83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color w:val="auto"/>
          <w:sz w:val="32"/>
          <w:szCs w:val="32"/>
          <w:highlight w:val="none"/>
          <w:lang w:val="en-US" w:eastAsia="zh-CN"/>
        </w:rPr>
        <w:t>66.47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lang w:val="en-US" w:eastAsia="zh-CN"/>
        </w:rPr>
        <w:t>农林水支出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b w:val="0"/>
          <w:bCs w:val="0"/>
          <w:color w:val="auto"/>
          <w:sz w:val="32"/>
          <w:szCs w:val="32"/>
          <w:highlight w:val="none"/>
          <w:lang w:val="en-US" w:eastAsia="zh-CN"/>
        </w:rPr>
        <w:t>1896.28万元，占35.06%；</w:t>
      </w:r>
      <w:r>
        <w:rPr>
          <w:rFonts w:hint="eastAsia" w:ascii="仿宋" w:hAnsi="仿宋" w:eastAsia="仿宋"/>
          <w:b/>
          <w:bCs/>
          <w:color w:val="auto"/>
          <w:sz w:val="32"/>
          <w:szCs w:val="32"/>
          <w:highlight w:val="none"/>
          <w:lang w:val="en-US" w:eastAsia="zh-CN"/>
        </w:rPr>
        <w:t>其他支出</w:t>
      </w:r>
      <w:r>
        <w:rPr>
          <w:rFonts w:hint="eastAsia" w:ascii="仿宋" w:hAnsi="仿宋" w:eastAsia="仿宋"/>
          <w:b/>
          <w:bCs/>
          <w:color w:val="auto"/>
          <w:sz w:val="32"/>
          <w:szCs w:val="32"/>
          <w:highlight w:val="none"/>
          <w:lang w:eastAsia="zh-CN"/>
        </w:rPr>
        <w:t>（</w:t>
      </w:r>
      <w:r>
        <w:rPr>
          <w:rFonts w:hint="eastAsia" w:ascii="仿宋" w:hAnsi="仿宋" w:eastAsia="仿宋"/>
          <w:b/>
          <w:bCs/>
          <w:color w:val="auto"/>
          <w:sz w:val="32"/>
          <w:szCs w:val="32"/>
          <w:highlight w:val="none"/>
          <w:lang w:val="en-US" w:eastAsia="zh-CN"/>
        </w:rPr>
        <w:t>类</w:t>
      </w:r>
      <w:r>
        <w:rPr>
          <w:rFonts w:hint="eastAsia" w:ascii="仿宋" w:hAnsi="仿宋" w:eastAsia="仿宋"/>
          <w:b/>
          <w:bCs/>
          <w:color w:val="auto"/>
          <w:sz w:val="32"/>
          <w:szCs w:val="32"/>
          <w:highlight w:val="none"/>
          <w:lang w:eastAsia="zh-CN"/>
        </w:rPr>
        <w:t>）</w:t>
      </w:r>
      <w:r>
        <w:rPr>
          <w:rFonts w:hint="eastAsia" w:ascii="仿宋" w:hAnsi="仿宋" w:eastAsia="仿宋"/>
          <w:b w:val="0"/>
          <w:bCs w:val="0"/>
          <w:color w:val="auto"/>
          <w:sz w:val="32"/>
          <w:szCs w:val="32"/>
          <w:highlight w:val="none"/>
          <w:lang w:val="en-US" w:eastAsia="zh-CN"/>
        </w:rPr>
        <w:t>10.50，占0.19%</w:t>
      </w:r>
      <w:r>
        <w:rPr>
          <w:rFonts w:hint="eastAsia" w:ascii="仿宋" w:hAnsi="仿宋" w:eastAsia="仿宋"/>
          <w:color w:val="auto"/>
          <w:sz w:val="32"/>
          <w:szCs w:val="32"/>
          <w:highlight w:val="none"/>
        </w:rPr>
        <w:t>。</w:t>
      </w:r>
    </w:p>
    <w:p w14:paraId="2ADDF76D">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14:paraId="133EA719">
      <w:pPr>
        <w:spacing w:line="600" w:lineRule="exact"/>
        <w:ind w:firstLine="640"/>
        <w:rPr>
          <w:rFonts w:ascii="仿宋" w:hAnsi="仿宋" w:eastAsia="仿宋"/>
          <w:color w:val="auto"/>
          <w:sz w:val="32"/>
          <w:szCs w:val="32"/>
          <w:highlight w:val="none"/>
        </w:rPr>
      </w:pPr>
    </w:p>
    <w:p w14:paraId="63C7467A">
      <w:pPr>
        <w:pStyle w:val="2"/>
        <w:rPr>
          <w:rFonts w:hint="eastAsia" w:eastAsia="仿宋"/>
          <w:lang w:eastAsia="zh-CN"/>
        </w:rPr>
      </w:pPr>
      <w:r>
        <w:rPr>
          <w:rFonts w:hint="eastAsia" w:eastAsia="仿宋"/>
          <w:lang w:eastAsia="zh-CN"/>
        </w:rPr>
        <w:drawing>
          <wp:inline distT="0" distB="0" distL="114300" distR="114300">
            <wp:extent cx="5256530" cy="2988310"/>
            <wp:effectExtent l="5080" t="4445" r="11430"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23E8FB">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546E6892">
      <w:pPr>
        <w:spacing w:line="600" w:lineRule="exact"/>
        <w:ind w:firstLine="640" w:firstLineChars="200"/>
        <w:rPr>
          <w:rFonts w:ascii="仿宋" w:hAnsi="仿宋" w:eastAsia="仿宋"/>
          <w:color w:val="auto"/>
          <w:sz w:val="32"/>
          <w:szCs w:val="32"/>
          <w:highlight w:val="none"/>
        </w:rPr>
      </w:pPr>
    </w:p>
    <w:p w14:paraId="0A86E7C7">
      <w:pPr>
        <w:spacing w:line="600" w:lineRule="exact"/>
        <w:ind w:firstLine="643" w:firstLineChars="200"/>
        <w:outlineLvl w:val="2"/>
        <w:rPr>
          <w:rFonts w:ascii="仿宋" w:hAnsi="仿宋" w:eastAsia="仿宋"/>
          <w:b/>
          <w:color w:val="auto"/>
          <w:sz w:val="32"/>
          <w:szCs w:val="32"/>
          <w:highlight w:val="none"/>
        </w:rPr>
      </w:pPr>
      <w:bookmarkStart w:id="63" w:name="_Toc15377212"/>
      <w:r>
        <w:rPr>
          <w:rFonts w:hint="eastAsia" w:ascii="仿宋" w:hAnsi="仿宋" w:eastAsia="仿宋"/>
          <w:b/>
          <w:color w:val="auto"/>
          <w:sz w:val="32"/>
          <w:szCs w:val="32"/>
          <w:highlight w:val="none"/>
        </w:rPr>
        <w:t>（三）一般公共预算财政拨款支出决算具体情况</w:t>
      </w:r>
      <w:bookmarkEnd w:id="63"/>
    </w:p>
    <w:p w14:paraId="642613D2">
      <w:pPr>
        <w:spacing w:line="600" w:lineRule="exact"/>
        <w:ind w:firstLine="643" w:firstLineChars="200"/>
        <w:outlineLvl w:val="2"/>
        <w:rPr>
          <w:rFonts w:ascii="仿宋" w:hAnsi="仿宋" w:eastAsia="仿宋"/>
          <w:b/>
          <w:color w:val="auto"/>
          <w:sz w:val="32"/>
          <w:szCs w:val="32"/>
          <w:highlight w:val="none"/>
        </w:rPr>
      </w:pPr>
      <w:bookmarkStart w:id="64" w:name="_Toc15377444"/>
      <w:bookmarkStart w:id="65" w:name="_Toc15378460"/>
      <w:bookmarkStart w:id="66" w:name="_Toc15377213"/>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22</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5409.39万元</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bookmarkEnd w:id="64"/>
      <w:bookmarkEnd w:id="65"/>
      <w:bookmarkEnd w:id="66"/>
    </w:p>
    <w:p w14:paraId="356143B1">
      <w:pPr>
        <w:spacing w:line="600" w:lineRule="exact"/>
        <w:ind w:firstLine="643" w:firstLineChars="200"/>
        <w:rPr>
          <w:rFonts w:ascii="仿宋" w:hAnsi="仿宋" w:eastAsia="仿宋"/>
          <w:b/>
          <w:color w:val="auto"/>
          <w:sz w:val="32"/>
          <w:szCs w:val="32"/>
          <w:highlight w:val="none"/>
        </w:rPr>
      </w:pPr>
      <w:r>
        <w:rPr>
          <w:rStyle w:val="20"/>
          <w:rFonts w:hint="eastAsia" w:ascii="仿宋" w:hAnsi="仿宋" w:eastAsia="仿宋"/>
          <w:bCs/>
          <w:color w:val="auto"/>
          <w:sz w:val="32"/>
          <w:szCs w:val="32"/>
          <w:highlight w:val="none"/>
          <w:lang w:val="en-US" w:eastAsia="zh-CN"/>
        </w:rPr>
        <w:t>1</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科学技术</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技术研究与开发</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其他技术研究与开发支出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0.53</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6B32A22">
      <w:pPr>
        <w:spacing w:line="600" w:lineRule="exact"/>
        <w:ind w:firstLine="643" w:firstLineChars="200"/>
        <w:rPr>
          <w:rFonts w:ascii="仿宋" w:hAnsi="仿宋" w:eastAsia="仿宋"/>
          <w:b/>
          <w:color w:val="auto"/>
          <w:sz w:val="32"/>
          <w:szCs w:val="32"/>
          <w:highlight w:val="none"/>
        </w:rPr>
      </w:pPr>
      <w:r>
        <w:rPr>
          <w:rStyle w:val="20"/>
          <w:rFonts w:hint="eastAsia" w:ascii="仿宋" w:hAnsi="仿宋" w:eastAsia="仿宋"/>
          <w:bCs/>
          <w:color w:val="auto"/>
          <w:sz w:val="32"/>
          <w:szCs w:val="32"/>
          <w:highlight w:val="none"/>
          <w:lang w:val="en-US" w:eastAsia="zh-CN"/>
        </w:rPr>
        <w:t>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（类）文化和旅游（款）图书馆（项）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15.36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3909DE7F">
      <w:pPr>
        <w:spacing w:line="600" w:lineRule="exact"/>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（类）文化和旅游（款）艺术表演团体（项）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207.61</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9F303F4">
      <w:pPr>
        <w:spacing w:line="600" w:lineRule="exact"/>
        <w:ind w:firstLine="643" w:firstLineChars="200"/>
        <w:rPr>
          <w:rStyle w:val="20"/>
          <w:rFonts w:hint="eastAsia" w:ascii="仿宋" w:hAnsi="仿宋" w:eastAsia="仿宋"/>
          <w:b w:val="0"/>
          <w:bCs/>
          <w:color w:val="auto"/>
          <w:sz w:val="32"/>
          <w:szCs w:val="32"/>
          <w:highlight w:val="none"/>
        </w:rPr>
      </w:pPr>
      <w:r>
        <w:rPr>
          <w:rStyle w:val="20"/>
          <w:rFonts w:ascii="仿宋" w:hAnsi="仿宋" w:eastAsia="仿宋"/>
          <w:bCs/>
          <w:color w:val="auto"/>
          <w:sz w:val="32"/>
          <w:szCs w:val="32"/>
          <w:highlight w:val="none"/>
        </w:rPr>
        <w:t>4.</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（类）文化和旅游（款）文化活动（项）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75.54</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CC3A2E9">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5</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（类）文化和旅游（款）群众文化（项）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508.92</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68A21C8E">
      <w:pPr>
        <w:pStyle w:val="3"/>
        <w:ind w:left="0" w:leftChars="0" w:firstLine="643" w:firstLineChars="200"/>
        <w:jc w:val="left"/>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6</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（类）文化和旅游（款）文化创作与保护（项）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13.67</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53E4C527">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7</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（类）文化和旅游（款）旅游宣传（项）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206.53</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56A447C7">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8</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（类）文化和旅游（款）其他文化和旅游支出（项）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1274.51</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D0D3353">
      <w:pPr>
        <w:pStyle w:val="3"/>
        <w:ind w:left="0" w:leftChars="0" w:firstLine="643" w:firstLineChars="200"/>
        <w:jc w:val="left"/>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9</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文物</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文物保护</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14.21</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9105245">
      <w:pPr>
        <w:pStyle w:val="3"/>
        <w:ind w:left="0" w:leftChars="0" w:firstLine="643" w:firstLineChars="200"/>
        <w:jc w:val="left"/>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文物</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博物馆</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366.10</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F50D082">
      <w:pPr>
        <w:ind w:firstLine="643" w:firstLineChars="200"/>
        <w:jc w:val="left"/>
        <w:rPr>
          <w:rFonts w:hint="eastAsia"/>
        </w:rPr>
      </w:pPr>
      <w:r>
        <w:rPr>
          <w:rStyle w:val="20"/>
          <w:rFonts w:hint="eastAsia" w:ascii="仿宋" w:hAnsi="仿宋" w:eastAsia="仿宋"/>
          <w:bCs/>
          <w:color w:val="auto"/>
          <w:sz w:val="32"/>
          <w:szCs w:val="32"/>
          <w:highlight w:val="none"/>
          <w:lang w:val="en-US" w:eastAsia="zh-CN"/>
        </w:rPr>
        <w:t>11</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体育</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体育竞赛</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58.82</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436E5173">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体育</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体育场馆</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10</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4F2C51EE">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13</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体育</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群众体育</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239.58</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4FC891DB">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w:t>
      </w:r>
      <w:r>
        <w:rPr>
          <w:rStyle w:val="20"/>
          <w:rFonts w:ascii="仿宋" w:hAnsi="仿宋" w:eastAsia="仿宋"/>
          <w:bCs/>
          <w:color w:val="auto"/>
          <w:sz w:val="32"/>
          <w:szCs w:val="32"/>
          <w:highlight w:val="none"/>
        </w:rPr>
        <w:t>4.</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体育</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其他体育支出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86.50</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A642B8E">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15</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新闻出版电影</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其他新闻出版电影支出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0.18</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F944341">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16</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广播电视</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其他广播电视支出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4.79</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9F4BB3E">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17</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其他文</w:t>
      </w:r>
      <w:r>
        <w:rPr>
          <w:rStyle w:val="20"/>
          <w:rFonts w:hint="eastAsia" w:ascii="仿宋" w:hAnsi="仿宋" w:eastAsia="仿宋"/>
          <w:bCs/>
          <w:color w:val="auto"/>
          <w:sz w:val="32"/>
          <w:szCs w:val="32"/>
          <w:highlight w:val="none"/>
        </w:rPr>
        <w:t>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文化产业发展专项支出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60</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14E699EE">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18</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文化旅游体育与传媒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其他文</w:t>
      </w:r>
      <w:r>
        <w:rPr>
          <w:rStyle w:val="20"/>
          <w:rFonts w:hint="eastAsia" w:ascii="仿宋" w:hAnsi="仿宋" w:eastAsia="仿宋"/>
          <w:bCs/>
          <w:color w:val="auto"/>
          <w:sz w:val="32"/>
          <w:szCs w:val="32"/>
          <w:highlight w:val="none"/>
        </w:rPr>
        <w:t>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其他文</w:t>
      </w:r>
      <w:r>
        <w:rPr>
          <w:rStyle w:val="20"/>
          <w:rFonts w:hint="eastAsia" w:ascii="仿宋" w:hAnsi="仿宋" w:eastAsia="仿宋"/>
          <w:bCs/>
          <w:color w:val="auto"/>
          <w:sz w:val="32"/>
          <w:szCs w:val="32"/>
          <w:highlight w:val="none"/>
        </w:rPr>
        <w:t>化旅游体育与传媒</w:t>
      </w:r>
      <w:r>
        <w:rPr>
          <w:rStyle w:val="20"/>
          <w:rFonts w:hint="eastAsia" w:ascii="仿宋" w:hAnsi="仿宋" w:eastAsia="仿宋"/>
          <w:bCs/>
          <w:color w:val="auto"/>
          <w:sz w:val="32"/>
          <w:szCs w:val="32"/>
          <w:highlight w:val="none"/>
          <w:lang w:val="en-US" w:eastAsia="zh-CN"/>
        </w:rPr>
        <w:t>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137.01</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7B01F42">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19</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社会保障和就业支出（类）</w:t>
      </w:r>
      <w:r>
        <w:rPr>
          <w:rStyle w:val="20"/>
          <w:rFonts w:hint="eastAsia" w:ascii="仿宋" w:hAnsi="仿宋" w:eastAsia="仿宋"/>
          <w:bCs/>
          <w:color w:val="auto"/>
          <w:sz w:val="32"/>
          <w:szCs w:val="32"/>
          <w:highlight w:val="none"/>
          <w:lang w:val="en-US" w:eastAsia="zh-CN"/>
        </w:rPr>
        <w:t>行政事业单位养老支出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机关事业单位基本养老保险缴费支出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74.28</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646425B0">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社会保障和就业支出（类）</w:t>
      </w:r>
      <w:r>
        <w:rPr>
          <w:rStyle w:val="20"/>
          <w:rFonts w:hint="eastAsia" w:ascii="仿宋" w:hAnsi="仿宋" w:eastAsia="仿宋"/>
          <w:bCs/>
          <w:color w:val="auto"/>
          <w:sz w:val="32"/>
          <w:szCs w:val="32"/>
          <w:highlight w:val="none"/>
          <w:lang w:val="en-US" w:eastAsia="zh-CN"/>
        </w:rPr>
        <w:t>行政事业单位养老支出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机关事业单位职业年金缴费支出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37.23</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455A174">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21</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卫生健康支出（类）</w:t>
      </w:r>
      <w:r>
        <w:rPr>
          <w:rStyle w:val="20"/>
          <w:rFonts w:hint="eastAsia" w:ascii="仿宋" w:hAnsi="仿宋" w:eastAsia="仿宋"/>
          <w:bCs/>
          <w:color w:val="auto"/>
          <w:sz w:val="32"/>
          <w:szCs w:val="32"/>
          <w:highlight w:val="none"/>
          <w:lang w:val="en-US" w:eastAsia="zh-CN"/>
        </w:rPr>
        <w:t>行政事业单位医疗</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行政单位医疗</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21.89</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10E3C793">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卫生健康支出（类）</w:t>
      </w:r>
      <w:r>
        <w:rPr>
          <w:rStyle w:val="20"/>
          <w:rFonts w:hint="eastAsia" w:ascii="仿宋" w:hAnsi="仿宋" w:eastAsia="仿宋"/>
          <w:bCs/>
          <w:color w:val="auto"/>
          <w:sz w:val="32"/>
          <w:szCs w:val="32"/>
          <w:highlight w:val="none"/>
          <w:lang w:val="en-US" w:eastAsia="zh-CN"/>
        </w:rPr>
        <w:t>行政事业单位医疗</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事业单位医疗</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13.02</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86618A5">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23</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卫生健康支出（类）</w:t>
      </w:r>
      <w:r>
        <w:rPr>
          <w:rStyle w:val="20"/>
          <w:rFonts w:hint="eastAsia" w:ascii="仿宋" w:hAnsi="仿宋" w:eastAsia="仿宋"/>
          <w:bCs/>
          <w:color w:val="auto"/>
          <w:sz w:val="32"/>
          <w:szCs w:val="32"/>
          <w:highlight w:val="none"/>
          <w:lang w:val="en-US" w:eastAsia="zh-CN"/>
        </w:rPr>
        <w:t>行政事业单位医疗</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公务员医疗补助</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5.09</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DC34A62">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w:t>
      </w:r>
      <w:r>
        <w:rPr>
          <w:rStyle w:val="20"/>
          <w:rFonts w:ascii="仿宋" w:hAnsi="仿宋" w:eastAsia="仿宋"/>
          <w:bCs/>
          <w:color w:val="auto"/>
          <w:sz w:val="32"/>
          <w:szCs w:val="32"/>
          <w:highlight w:val="none"/>
        </w:rPr>
        <w:t>4.</w:t>
      </w:r>
      <w:r>
        <w:rPr>
          <w:rStyle w:val="20"/>
          <w:rFonts w:hint="eastAsia" w:ascii="仿宋" w:hAnsi="仿宋" w:eastAsia="仿宋"/>
          <w:bCs/>
          <w:color w:val="auto"/>
          <w:sz w:val="32"/>
          <w:szCs w:val="32"/>
          <w:highlight w:val="none"/>
        </w:rPr>
        <w:t>卫生健康支出（类）</w:t>
      </w:r>
      <w:r>
        <w:rPr>
          <w:rStyle w:val="20"/>
          <w:rFonts w:hint="eastAsia" w:ascii="仿宋" w:hAnsi="仿宋" w:eastAsia="仿宋"/>
          <w:bCs/>
          <w:color w:val="auto"/>
          <w:sz w:val="32"/>
          <w:szCs w:val="32"/>
          <w:highlight w:val="none"/>
          <w:lang w:val="en-US" w:eastAsia="zh-CN"/>
        </w:rPr>
        <w:t>行政事业单位医疗</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其他行政事业单位医疗支出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4.76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55D02B6E">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25</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农林水支出（类）</w:t>
      </w:r>
      <w:r>
        <w:rPr>
          <w:rStyle w:val="20"/>
          <w:rFonts w:hint="eastAsia" w:ascii="仿宋" w:hAnsi="仿宋" w:eastAsia="仿宋"/>
          <w:bCs/>
          <w:color w:val="auto"/>
          <w:sz w:val="32"/>
          <w:szCs w:val="32"/>
          <w:highlight w:val="none"/>
          <w:lang w:val="en-US" w:eastAsia="zh-CN"/>
        </w:rPr>
        <w:t>巩固脱贫衔接乡村振兴</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农村基础设施建设</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57.44</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A6CAC65">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26</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农林水支出（类）</w:t>
      </w:r>
      <w:r>
        <w:rPr>
          <w:rStyle w:val="20"/>
          <w:rFonts w:hint="eastAsia" w:ascii="仿宋" w:hAnsi="仿宋" w:eastAsia="仿宋"/>
          <w:bCs/>
          <w:color w:val="auto"/>
          <w:sz w:val="32"/>
          <w:szCs w:val="32"/>
          <w:highlight w:val="none"/>
          <w:lang w:val="en-US" w:eastAsia="zh-CN"/>
        </w:rPr>
        <w:t>巩固脱贫衔接乡村振兴</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生产发展</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1376.49</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9878DA9">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27</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农林水支出（类）</w:t>
      </w:r>
      <w:r>
        <w:rPr>
          <w:rStyle w:val="20"/>
          <w:rFonts w:hint="eastAsia" w:ascii="仿宋" w:hAnsi="仿宋" w:eastAsia="仿宋"/>
          <w:bCs/>
          <w:color w:val="auto"/>
          <w:sz w:val="32"/>
          <w:szCs w:val="32"/>
          <w:highlight w:val="none"/>
          <w:lang w:val="en-US" w:eastAsia="zh-CN"/>
        </w:rPr>
        <w:t>巩固脱贫衔接乡村振兴</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其他巩固脱贫衔接乡村振兴支出</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385.64</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302893C">
      <w:pPr>
        <w:pStyle w:val="2"/>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28</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农林水支出（类）</w:t>
      </w:r>
      <w:r>
        <w:rPr>
          <w:rStyle w:val="20"/>
          <w:rFonts w:hint="eastAsia" w:ascii="仿宋" w:hAnsi="仿宋" w:eastAsia="仿宋"/>
          <w:bCs/>
          <w:color w:val="auto"/>
          <w:sz w:val="32"/>
          <w:szCs w:val="32"/>
          <w:highlight w:val="none"/>
          <w:lang w:val="en-US" w:eastAsia="zh-CN"/>
        </w:rPr>
        <w:t>其他</w:t>
      </w:r>
      <w:r>
        <w:rPr>
          <w:rStyle w:val="20"/>
          <w:rFonts w:hint="eastAsia" w:ascii="仿宋" w:hAnsi="仿宋" w:eastAsia="仿宋"/>
          <w:bCs/>
          <w:color w:val="auto"/>
          <w:sz w:val="32"/>
          <w:szCs w:val="32"/>
          <w:highlight w:val="none"/>
        </w:rPr>
        <w:t>农林水支出（款）</w:t>
      </w:r>
      <w:r>
        <w:rPr>
          <w:rStyle w:val="20"/>
          <w:rFonts w:hint="eastAsia" w:ascii="仿宋" w:hAnsi="仿宋" w:eastAsia="仿宋"/>
          <w:bCs/>
          <w:color w:val="auto"/>
          <w:sz w:val="32"/>
          <w:szCs w:val="32"/>
          <w:highlight w:val="none"/>
          <w:lang w:val="en-US" w:eastAsia="zh-CN"/>
        </w:rPr>
        <w:t>其他</w:t>
      </w:r>
      <w:r>
        <w:rPr>
          <w:rStyle w:val="20"/>
          <w:rFonts w:hint="eastAsia" w:ascii="仿宋" w:hAnsi="仿宋" w:eastAsia="仿宋"/>
          <w:bCs/>
          <w:color w:val="auto"/>
          <w:sz w:val="32"/>
          <w:szCs w:val="32"/>
          <w:highlight w:val="none"/>
        </w:rPr>
        <w:t>农林水支出（项）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76.71</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03F51FFB">
      <w:pPr>
        <w:pStyle w:val="3"/>
        <w:ind w:left="0" w:leftChars="0"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29</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住房保障支出（类）</w:t>
      </w:r>
      <w:r>
        <w:rPr>
          <w:rStyle w:val="20"/>
          <w:rFonts w:hint="eastAsia" w:ascii="仿宋" w:hAnsi="仿宋" w:eastAsia="仿宋"/>
          <w:bCs/>
          <w:color w:val="auto"/>
          <w:sz w:val="32"/>
          <w:szCs w:val="32"/>
          <w:highlight w:val="none"/>
          <w:lang w:val="en-US" w:eastAsia="zh-CN"/>
        </w:rPr>
        <w:t>住房改革支出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住房公积金</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64.02</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EEF6AAF">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住房保障支出（类）</w:t>
      </w:r>
      <w:r>
        <w:rPr>
          <w:rStyle w:val="20"/>
          <w:rFonts w:hint="eastAsia" w:ascii="仿宋" w:hAnsi="仿宋" w:eastAsia="仿宋"/>
          <w:bCs/>
          <w:color w:val="auto"/>
          <w:sz w:val="32"/>
          <w:szCs w:val="32"/>
          <w:highlight w:val="none"/>
          <w:lang w:val="en-US" w:eastAsia="zh-CN"/>
        </w:rPr>
        <w:t>住房改革支出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购房补贴</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2.45</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70B5BE21">
      <w:pPr>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31</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lang w:val="en-US" w:eastAsia="zh-CN"/>
        </w:rPr>
        <w:t>其他</w:t>
      </w:r>
      <w:r>
        <w:rPr>
          <w:rStyle w:val="20"/>
          <w:rFonts w:hint="eastAsia" w:ascii="仿宋" w:hAnsi="仿宋" w:eastAsia="仿宋"/>
          <w:bCs/>
          <w:color w:val="auto"/>
          <w:sz w:val="32"/>
          <w:szCs w:val="32"/>
          <w:highlight w:val="none"/>
        </w:rPr>
        <w:t>支出（类）</w:t>
      </w:r>
      <w:r>
        <w:rPr>
          <w:rStyle w:val="20"/>
          <w:rFonts w:hint="eastAsia" w:ascii="仿宋" w:hAnsi="仿宋" w:eastAsia="仿宋"/>
          <w:bCs/>
          <w:color w:val="auto"/>
          <w:sz w:val="32"/>
          <w:szCs w:val="32"/>
          <w:highlight w:val="none"/>
          <w:lang w:val="en-US" w:eastAsia="zh-CN"/>
        </w:rPr>
        <w:t>其他支出</w:t>
      </w:r>
      <w:r>
        <w:rPr>
          <w:rStyle w:val="20"/>
          <w:rFonts w:hint="eastAsia" w:ascii="仿宋" w:hAnsi="仿宋" w:eastAsia="仿宋"/>
          <w:bCs/>
          <w:color w:val="auto"/>
          <w:sz w:val="32"/>
          <w:szCs w:val="32"/>
          <w:highlight w:val="none"/>
        </w:rPr>
        <w:t>（款）</w:t>
      </w:r>
      <w:r>
        <w:rPr>
          <w:rStyle w:val="20"/>
          <w:rFonts w:hint="eastAsia" w:ascii="仿宋" w:hAnsi="仿宋" w:eastAsia="仿宋"/>
          <w:bCs/>
          <w:color w:val="auto"/>
          <w:sz w:val="32"/>
          <w:szCs w:val="32"/>
          <w:highlight w:val="none"/>
          <w:lang w:val="en-US" w:eastAsia="zh-CN"/>
        </w:rPr>
        <w:t>其他补贴</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10.50</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D5B1191">
      <w:pPr>
        <w:pStyle w:val="2"/>
        <w:rPr>
          <w:rFonts w:hint="eastAsia"/>
        </w:rPr>
      </w:pPr>
    </w:p>
    <w:p w14:paraId="62970416">
      <w:pPr>
        <w:pStyle w:val="3"/>
        <w:ind w:left="0" w:leftChars="0" w:firstLine="643" w:firstLineChars="200"/>
        <w:jc w:val="left"/>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1-1表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w:t>
      </w:r>
      <w:r>
        <w:rPr>
          <w:rFonts w:hint="eastAsia" w:ascii="仿宋" w:hAnsi="仿宋" w:eastAsia="仿宋"/>
          <w:b/>
          <w:color w:val="auto"/>
          <w:sz w:val="32"/>
          <w:szCs w:val="32"/>
          <w:highlight w:val="none"/>
        </w:rPr>
        <w:t>全部功能分类科目</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至项级。上述“预算”口径为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数。增减变动原因为决算数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和</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比较，与预算数持平可以不写原因。）</w:t>
      </w:r>
    </w:p>
    <w:p w14:paraId="139BA8B5">
      <w:pPr>
        <w:spacing w:line="600" w:lineRule="exact"/>
        <w:ind w:firstLine="640"/>
        <w:rPr>
          <w:rFonts w:ascii="仿宋" w:hAnsi="仿宋" w:eastAsia="仿宋"/>
          <w:b/>
          <w:color w:val="auto"/>
          <w:sz w:val="32"/>
          <w:szCs w:val="32"/>
          <w:highlight w:val="none"/>
        </w:rPr>
      </w:pPr>
    </w:p>
    <w:p w14:paraId="4E63B34E">
      <w:pPr>
        <w:tabs>
          <w:tab w:val="right" w:pos="8306"/>
        </w:tabs>
        <w:spacing w:line="600" w:lineRule="exact"/>
        <w:ind w:firstLine="640"/>
        <w:outlineLvl w:val="1"/>
        <w:rPr>
          <w:rStyle w:val="33"/>
          <w:color w:val="auto"/>
          <w:highlight w:val="none"/>
        </w:rPr>
      </w:pPr>
      <w:bookmarkStart w:id="67" w:name="_Toc15396608"/>
      <w:bookmarkStart w:id="68" w:name="_Toc31901"/>
      <w:bookmarkStart w:id="69"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3"/>
          <w:rFonts w:hint="eastAsia" w:ascii="黑体" w:hAnsi="黑体" w:eastAsia="黑体"/>
          <w:b w:val="0"/>
          <w:color w:val="auto"/>
          <w:highlight w:val="none"/>
        </w:rPr>
        <w:t>般公共预算财政拨款基本支出决算情况说明</w:t>
      </w:r>
      <w:bookmarkEnd w:id="67"/>
      <w:bookmarkEnd w:id="68"/>
      <w:bookmarkEnd w:id="69"/>
      <w:r>
        <w:rPr>
          <w:rStyle w:val="33"/>
          <w:rFonts w:ascii="黑体" w:hAnsi="黑体" w:eastAsia="黑体"/>
          <w:b w:val="0"/>
          <w:color w:val="auto"/>
          <w:highlight w:val="none"/>
        </w:rPr>
        <w:tab/>
      </w:r>
    </w:p>
    <w:p w14:paraId="3E0ED19C">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971.25</w:t>
      </w:r>
      <w:r>
        <w:rPr>
          <w:rFonts w:hint="eastAsia" w:ascii="仿宋" w:hAnsi="仿宋" w:eastAsia="仿宋"/>
          <w:color w:val="auto"/>
          <w:sz w:val="32"/>
          <w:szCs w:val="32"/>
          <w:highlight w:val="none"/>
        </w:rPr>
        <w:t>万元，其中：</w:t>
      </w:r>
    </w:p>
    <w:p w14:paraId="60639311">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894.75</w:t>
      </w:r>
      <w:r>
        <w:rPr>
          <w:rFonts w:hint="eastAsia" w:ascii="仿宋" w:hAnsi="仿宋" w:eastAsia="仿宋"/>
          <w:color w:val="auto"/>
          <w:sz w:val="32"/>
          <w:szCs w:val="32"/>
          <w:highlight w:val="none"/>
        </w:rPr>
        <w:t>万元，主要包括：基本工资、津贴补贴、奖金、绩效工资、机关事业单位基本养老保险缴费、职业年金缴费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职工基本医疗保险缴费</w:t>
      </w:r>
      <w:r>
        <w:rPr>
          <w:rFonts w:hint="eastAsia" w:ascii="仿宋" w:hAnsi="仿宋" w:eastAsia="仿宋"/>
          <w:color w:val="auto"/>
          <w:sz w:val="32"/>
          <w:szCs w:val="32"/>
          <w:highlight w:val="none"/>
        </w:rPr>
        <w:t>、其他社会保障缴费、生活补助、医疗费补助、奖励金、住房公积金。</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76.50</w:t>
      </w:r>
      <w:r>
        <w:rPr>
          <w:rFonts w:hint="eastAsia" w:ascii="仿宋" w:hAnsi="仿宋" w:eastAsia="仿宋"/>
          <w:color w:val="auto"/>
          <w:sz w:val="32"/>
          <w:szCs w:val="32"/>
          <w:highlight w:val="none"/>
        </w:rPr>
        <w:t>万元，主要包括：办公费、印刷费、手续费、水费、电费、取暖费、差旅费、维修（护）费、公务接待费、劳务费、公务用车运行维护费、办公设备购置、专用设备购置、信息网络及软件购置更新、其他资本性支出等。</w:t>
      </w:r>
    </w:p>
    <w:p w14:paraId="415A40E2">
      <w:pPr>
        <w:spacing w:line="600" w:lineRule="exact"/>
        <w:ind w:firstLine="645"/>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14:paraId="27F9368F">
      <w:pPr>
        <w:spacing w:line="600" w:lineRule="exact"/>
        <w:ind w:firstLine="640"/>
        <w:rPr>
          <w:rFonts w:ascii="仿宋" w:hAnsi="仿宋" w:eastAsia="仿宋"/>
          <w:b/>
          <w:color w:val="auto"/>
          <w:sz w:val="32"/>
          <w:szCs w:val="32"/>
          <w:highlight w:val="none"/>
        </w:rPr>
      </w:pPr>
    </w:p>
    <w:p w14:paraId="6A726754">
      <w:pPr>
        <w:spacing w:line="600" w:lineRule="exact"/>
        <w:ind w:firstLine="640"/>
        <w:outlineLvl w:val="1"/>
        <w:rPr>
          <w:rStyle w:val="33"/>
          <w:rFonts w:ascii="黑体" w:hAnsi="黑体" w:eastAsia="黑体"/>
          <w:b w:val="0"/>
          <w:color w:val="auto"/>
          <w:highlight w:val="none"/>
        </w:rPr>
      </w:pPr>
      <w:bookmarkStart w:id="70" w:name="_Toc15396609"/>
      <w:bookmarkStart w:id="71" w:name="_Toc6446"/>
      <w:bookmarkStart w:id="72" w:name="_Toc15377215"/>
      <w:r>
        <w:rPr>
          <w:rFonts w:hint="eastAsia" w:ascii="黑体" w:eastAsia="黑体"/>
          <w:color w:val="auto"/>
          <w:sz w:val="32"/>
          <w:szCs w:val="32"/>
          <w:highlight w:val="none"/>
        </w:rPr>
        <w:t>七、</w:t>
      </w:r>
      <w:r>
        <w:rPr>
          <w:rStyle w:val="33"/>
          <w:rFonts w:hint="eastAsia" w:ascii="黑体" w:hAnsi="黑体" w:eastAsia="黑体"/>
          <w:b w:val="0"/>
          <w:color w:val="auto"/>
          <w:highlight w:val="none"/>
        </w:rPr>
        <w:t>财政拨款</w:t>
      </w:r>
      <w:r>
        <w:rPr>
          <w:rStyle w:val="33"/>
          <w:rFonts w:hint="eastAsia" w:ascii="黑体" w:hAnsi="黑体" w:eastAsia="黑体"/>
          <w:color w:val="auto"/>
          <w:highlight w:val="none"/>
        </w:rPr>
        <w:t>“</w:t>
      </w:r>
      <w:r>
        <w:rPr>
          <w:rStyle w:val="33"/>
          <w:rFonts w:hint="eastAsia" w:ascii="黑体" w:hAnsi="黑体" w:eastAsia="黑体"/>
          <w:b w:val="0"/>
          <w:color w:val="auto"/>
          <w:highlight w:val="none"/>
        </w:rPr>
        <w:t>三公”经费支出决算情况说明</w:t>
      </w:r>
      <w:bookmarkEnd w:id="70"/>
      <w:bookmarkEnd w:id="71"/>
      <w:bookmarkEnd w:id="72"/>
    </w:p>
    <w:p w14:paraId="6A0793EE">
      <w:pPr>
        <w:spacing w:line="600" w:lineRule="exact"/>
        <w:ind w:firstLine="640"/>
        <w:outlineLvl w:val="2"/>
        <w:rPr>
          <w:rFonts w:ascii="仿宋" w:hAnsi="仿宋" w:eastAsia="仿宋"/>
          <w:b/>
          <w:color w:val="auto"/>
          <w:sz w:val="32"/>
          <w:szCs w:val="32"/>
          <w:highlight w:val="none"/>
        </w:rPr>
      </w:pPr>
      <w:bookmarkStart w:id="73" w:name="_Toc15377216"/>
      <w:r>
        <w:rPr>
          <w:rFonts w:hint="eastAsia" w:ascii="仿宋" w:hAnsi="仿宋" w:eastAsia="仿宋"/>
          <w:b/>
          <w:color w:val="auto"/>
          <w:sz w:val="32"/>
          <w:szCs w:val="32"/>
          <w:highlight w:val="none"/>
        </w:rPr>
        <w:t>（一）“三公”经费财政拨款支出决算总体情况说明</w:t>
      </w:r>
      <w:bookmarkEnd w:id="73"/>
    </w:p>
    <w:p w14:paraId="20AE8377">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11.27</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较上年增加</w:t>
      </w:r>
      <w:r>
        <w:rPr>
          <w:rFonts w:hint="eastAsia" w:ascii="仿宋" w:hAnsi="仿宋" w:eastAsia="仿宋"/>
          <w:color w:val="auto"/>
          <w:sz w:val="32"/>
          <w:szCs w:val="32"/>
          <w:highlight w:val="none"/>
          <w:lang w:val="en-US" w:eastAsia="zh-CN"/>
        </w:rPr>
        <w:t>0.75万元，增长7.14%。</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val="en-US" w:eastAsia="zh-CN"/>
        </w:rPr>
        <w:t>当年项目增加，收入增加</w:t>
      </w:r>
      <w:r>
        <w:rPr>
          <w:rFonts w:hint="eastAsia" w:ascii="仿宋" w:hAnsi="仿宋" w:eastAsia="仿宋"/>
          <w:color w:val="auto"/>
          <w:sz w:val="32"/>
          <w:szCs w:val="32"/>
          <w:highlight w:val="none"/>
        </w:rPr>
        <w:t>。</w:t>
      </w:r>
    </w:p>
    <w:p w14:paraId="05F435AB">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14:paraId="0DE85023">
      <w:pPr>
        <w:spacing w:line="600" w:lineRule="exact"/>
        <w:ind w:firstLine="640"/>
        <w:outlineLvl w:val="2"/>
        <w:rPr>
          <w:rFonts w:ascii="仿宋" w:hAnsi="仿宋" w:eastAsia="仿宋"/>
          <w:b/>
          <w:color w:val="auto"/>
          <w:sz w:val="32"/>
          <w:szCs w:val="32"/>
          <w:highlight w:val="none"/>
        </w:rPr>
      </w:pPr>
      <w:bookmarkStart w:id="74" w:name="_Toc15377217"/>
      <w:r>
        <w:rPr>
          <w:rFonts w:hint="eastAsia" w:ascii="仿宋" w:hAnsi="仿宋" w:eastAsia="仿宋"/>
          <w:b/>
          <w:color w:val="auto"/>
          <w:sz w:val="32"/>
          <w:szCs w:val="32"/>
          <w:highlight w:val="none"/>
        </w:rPr>
        <w:t>（二）“三公”经费财政拨款支出决算具体情况说明</w:t>
      </w:r>
      <w:bookmarkEnd w:id="74"/>
    </w:p>
    <w:p w14:paraId="14A66274">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11.15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98.93</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0.11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1.07</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434E2D11">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（图7：“三公”经费财政拨款支出结构）（饼状图）</w:t>
      </w:r>
    </w:p>
    <w:p w14:paraId="0A385C16">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当年无因公出国境费</w:t>
      </w:r>
      <w:r>
        <w:rPr>
          <w:rFonts w:hint="eastAsia" w:ascii="仿宋_GB2312" w:eastAsia="仿宋_GB2312"/>
          <w:color w:val="auto"/>
          <w:sz w:val="32"/>
          <w:szCs w:val="32"/>
          <w:highlight w:val="none"/>
        </w:rPr>
        <w:t>。</w:t>
      </w:r>
    </w:p>
    <w:p w14:paraId="2A84B35A">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11.15</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当年无公务用车购置费</w:t>
      </w:r>
      <w:r>
        <w:rPr>
          <w:rFonts w:hint="eastAsia" w:ascii="仿宋_GB2312" w:eastAsia="仿宋_GB2312"/>
          <w:color w:val="auto"/>
          <w:sz w:val="32"/>
          <w:szCs w:val="32"/>
          <w:highlight w:val="none"/>
        </w:rPr>
        <w:t>。</w:t>
      </w:r>
    </w:p>
    <w:p w14:paraId="2CECEE09">
      <w:pPr>
        <w:spacing w:line="600" w:lineRule="exact"/>
        <w:ind w:firstLine="640" w:firstLineChars="200"/>
        <w:rPr>
          <w:rFonts w:ascii="仿宋_GB2312" w:eastAsia="仿宋_GB2312"/>
          <w:b/>
          <w:color w:val="000000" w:themeColor="text1"/>
          <w:sz w:val="32"/>
          <w:szCs w:val="32"/>
          <w:highlight w:val="none"/>
          <w14:textFill>
            <w14:solidFill>
              <w14:schemeClr w14:val="tx1"/>
            </w14:solidFill>
          </w14:textFill>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w:t>
      </w:r>
      <w:r>
        <w:rPr>
          <w:rFonts w:hint="eastAsia" w:ascii="仿宋_GB2312" w:eastAsia="仿宋_GB2312"/>
          <w:color w:val="000000" w:themeColor="text1"/>
          <w:sz w:val="32"/>
          <w:szCs w:val="32"/>
          <w:highlight w:val="none"/>
          <w14:textFill>
            <w14:solidFill>
              <w14:schemeClr w14:val="tx1"/>
            </w14:solidFill>
          </w14:textFill>
        </w:rPr>
        <w:t>单位共有公务用车</w:t>
      </w:r>
      <w:r>
        <w:rPr>
          <w:rFonts w:hint="eastAsia" w:ascii="仿宋_GB2312" w:eastAsia="仿宋_GB2312"/>
          <w:color w:val="000000" w:themeColor="text1"/>
          <w:sz w:val="32"/>
          <w:szCs w:val="32"/>
          <w:highlight w:val="none"/>
          <w:lang w:val="en-US" w:eastAsia="zh-CN"/>
          <w14:textFill>
            <w14:solidFill>
              <w14:schemeClr w14:val="tx1"/>
            </w14:solidFill>
          </w14:textFill>
        </w:rPr>
        <w:t>2</w:t>
      </w:r>
      <w:r>
        <w:rPr>
          <w:rFonts w:hint="eastAsia" w:ascii="仿宋_GB2312" w:eastAsia="仿宋_GB2312"/>
          <w:color w:val="000000" w:themeColor="text1"/>
          <w:sz w:val="32"/>
          <w:szCs w:val="32"/>
          <w:highlight w:val="none"/>
          <w14:textFill>
            <w14:solidFill>
              <w14:schemeClr w14:val="tx1"/>
            </w14:solidFill>
          </w14:textFill>
        </w:rPr>
        <w:t>辆，其中：轿车</w:t>
      </w:r>
      <w:r>
        <w:rPr>
          <w:rFonts w:hint="eastAsia" w:ascii="仿宋_GB2312" w:eastAsia="仿宋_GB2312"/>
          <w:color w:val="000000" w:themeColor="text1"/>
          <w:sz w:val="32"/>
          <w:szCs w:val="32"/>
          <w:highlight w:val="none"/>
          <w:lang w:val="en-US" w:eastAsia="zh-CN"/>
          <w14:textFill>
            <w14:solidFill>
              <w14:schemeClr w14:val="tx1"/>
            </w14:solidFill>
          </w14:textFill>
        </w:rPr>
        <w:t>0</w:t>
      </w:r>
      <w:r>
        <w:rPr>
          <w:rFonts w:hint="eastAsia" w:ascii="仿宋_GB2312" w:eastAsia="仿宋_GB2312"/>
          <w:color w:val="000000" w:themeColor="text1"/>
          <w:sz w:val="32"/>
          <w:szCs w:val="32"/>
          <w:highlight w:val="none"/>
          <w14:textFill>
            <w14:solidFill>
              <w14:schemeClr w14:val="tx1"/>
            </w14:solidFill>
          </w14:textFill>
        </w:rPr>
        <w:t>辆、越野车</w:t>
      </w:r>
      <w:r>
        <w:rPr>
          <w:rFonts w:hint="eastAsia" w:ascii="仿宋_GB2312" w:eastAsia="仿宋_GB2312"/>
          <w:color w:val="000000" w:themeColor="text1"/>
          <w:sz w:val="32"/>
          <w:szCs w:val="32"/>
          <w:highlight w:val="none"/>
          <w:lang w:val="en-US" w:eastAsia="zh-CN"/>
          <w14:textFill>
            <w14:solidFill>
              <w14:schemeClr w14:val="tx1"/>
            </w14:solidFill>
          </w14:textFill>
        </w:rPr>
        <w:t>2</w:t>
      </w:r>
      <w:r>
        <w:rPr>
          <w:rFonts w:hint="eastAsia" w:ascii="仿宋_GB2312" w:eastAsia="仿宋_GB2312"/>
          <w:color w:val="000000" w:themeColor="text1"/>
          <w:sz w:val="32"/>
          <w:szCs w:val="32"/>
          <w:highlight w:val="none"/>
          <w14:textFill>
            <w14:solidFill>
              <w14:schemeClr w14:val="tx1"/>
            </w14:solidFill>
          </w14:textFill>
        </w:rPr>
        <w:t>辆、载客汽车</w:t>
      </w:r>
      <w:r>
        <w:rPr>
          <w:rFonts w:hint="eastAsia" w:ascii="仿宋_GB2312" w:eastAsia="仿宋_GB2312"/>
          <w:color w:val="000000" w:themeColor="text1"/>
          <w:sz w:val="32"/>
          <w:szCs w:val="32"/>
          <w:highlight w:val="none"/>
          <w:lang w:val="en-US" w:eastAsia="zh-CN"/>
          <w14:textFill>
            <w14:solidFill>
              <w14:schemeClr w14:val="tx1"/>
            </w14:solidFill>
          </w14:textFill>
        </w:rPr>
        <w:t>0</w:t>
      </w:r>
      <w:r>
        <w:rPr>
          <w:rFonts w:hint="eastAsia" w:ascii="仿宋_GB2312" w:eastAsia="仿宋_GB2312"/>
          <w:color w:val="000000" w:themeColor="text1"/>
          <w:sz w:val="32"/>
          <w:szCs w:val="32"/>
          <w:highlight w:val="none"/>
          <w14:textFill>
            <w14:solidFill>
              <w14:schemeClr w14:val="tx1"/>
            </w14:solidFill>
          </w14:textFill>
        </w:rPr>
        <w:t>辆。</w:t>
      </w:r>
    </w:p>
    <w:p w14:paraId="28DDF012">
      <w:pPr>
        <w:spacing w:line="600" w:lineRule="exact"/>
        <w:ind w:firstLine="640"/>
        <w:rPr>
          <w:rFonts w:ascii="仿宋_GB2312" w:eastAsia="仿宋_GB2312"/>
          <w:color w:val="000000"/>
          <w:sz w:val="32"/>
          <w:szCs w:val="32"/>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11.15</w:t>
      </w:r>
      <w:r>
        <w:rPr>
          <w:rFonts w:hint="eastAsia" w:ascii="仿宋_GB2312" w:eastAsia="仿宋_GB2312"/>
          <w:color w:val="auto"/>
          <w:sz w:val="32"/>
          <w:szCs w:val="32"/>
          <w:highlight w:val="none"/>
        </w:rPr>
        <w:t>万元。</w:t>
      </w:r>
      <w:r>
        <w:rPr>
          <w:rFonts w:hint="eastAsia" w:ascii="仿宋_GB2312" w:eastAsia="仿宋_GB2312"/>
          <w:color w:val="000000"/>
          <w:sz w:val="32"/>
          <w:szCs w:val="32"/>
        </w:rPr>
        <w:t>主要用于</w:t>
      </w:r>
      <w:r>
        <w:rPr>
          <w:rFonts w:hint="eastAsia" w:ascii="仿宋_GB2312" w:eastAsia="仿宋_GB2312"/>
          <w:color w:val="000000"/>
          <w:sz w:val="32"/>
          <w:szCs w:val="32"/>
          <w:lang w:val="en-US" w:eastAsia="zh-CN"/>
        </w:rPr>
        <w:t>公车下乡出差</w:t>
      </w:r>
      <w:r>
        <w:rPr>
          <w:rFonts w:hint="eastAsia" w:ascii="仿宋_GB2312" w:eastAsia="仿宋_GB2312"/>
          <w:color w:val="000000"/>
          <w:sz w:val="32"/>
          <w:szCs w:val="32"/>
        </w:rPr>
        <w:t>等所需的公务用车燃料费、维修费、过路过桥费、保险费等支出。</w:t>
      </w:r>
    </w:p>
    <w:p w14:paraId="5504AA37">
      <w:pPr>
        <w:spacing w:line="600" w:lineRule="exact"/>
        <w:ind w:firstLine="640"/>
        <w:rPr>
          <w:rFonts w:ascii="仿宋_GB2312" w:eastAsia="仿宋_GB2312"/>
          <w:color w:val="000000" w:themeColor="text1"/>
          <w:sz w:val="32"/>
          <w:szCs w:val="32"/>
          <w:highlight w:val="none"/>
          <w14:textFill>
            <w14:solidFill>
              <w14:schemeClr w14:val="tx1"/>
            </w14:solidFill>
          </w14:textFill>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0.11</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年减少</w:t>
      </w:r>
      <w:r>
        <w:rPr>
          <w:rFonts w:hint="eastAsia" w:ascii="仿宋_GB2312" w:eastAsia="仿宋_GB2312"/>
          <w:color w:val="auto"/>
          <w:sz w:val="32"/>
          <w:szCs w:val="32"/>
          <w:highlight w:val="none"/>
          <w:lang w:val="en-US" w:eastAsia="zh-CN"/>
        </w:rPr>
        <w:t>0.40</w:t>
      </w:r>
      <w:r>
        <w:rPr>
          <w:rFonts w:hint="eastAsia" w:ascii="仿宋_GB2312" w:eastAsia="仿宋_GB2312"/>
          <w:color w:val="auto"/>
          <w:sz w:val="32"/>
          <w:szCs w:val="32"/>
          <w:highlight w:val="none"/>
        </w:rPr>
        <w:t>万元，下降</w:t>
      </w:r>
      <w:r>
        <w:rPr>
          <w:rFonts w:hint="eastAsia" w:ascii="仿宋_GB2312" w:eastAsia="仿宋_GB2312"/>
          <w:color w:val="auto"/>
          <w:sz w:val="32"/>
          <w:szCs w:val="32"/>
          <w:highlight w:val="none"/>
          <w:lang w:val="en-US" w:eastAsia="zh-CN"/>
        </w:rPr>
        <w:t>78.09</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_GB2312" w:eastAsia="仿宋_GB2312"/>
          <w:color w:val="000000" w:themeColor="text1"/>
          <w:sz w:val="32"/>
          <w:szCs w:val="32"/>
          <w:highlight w:val="none"/>
          <w14:textFill>
            <w14:solidFill>
              <w14:schemeClr w14:val="tx1"/>
            </w14:solidFill>
          </w14:textFill>
        </w:rPr>
        <w:t>主要原因是</w:t>
      </w:r>
      <w:r>
        <w:rPr>
          <w:rFonts w:hint="eastAsia" w:ascii="仿宋_GB2312" w:eastAsia="仿宋_GB2312"/>
          <w:color w:val="000000" w:themeColor="text1"/>
          <w:sz w:val="32"/>
          <w:szCs w:val="32"/>
          <w:highlight w:val="none"/>
          <w:lang w:val="en-US" w:eastAsia="zh-CN"/>
          <w14:textFill>
            <w14:solidFill>
              <w14:schemeClr w14:val="tx1"/>
            </w14:solidFill>
          </w14:textFill>
        </w:rPr>
        <w:t>公务接待减少</w:t>
      </w:r>
      <w:r>
        <w:rPr>
          <w:rFonts w:hint="eastAsia" w:ascii="仿宋_GB2312" w:eastAsia="仿宋_GB2312"/>
          <w:color w:val="000000" w:themeColor="text1"/>
          <w:sz w:val="32"/>
          <w:szCs w:val="32"/>
          <w:highlight w:val="none"/>
          <w14:textFill>
            <w14:solidFill>
              <w14:schemeClr w14:val="tx1"/>
            </w14:solidFill>
          </w14:textFill>
        </w:rPr>
        <w:t>。其中：</w:t>
      </w:r>
    </w:p>
    <w:p w14:paraId="0BD04209">
      <w:pPr>
        <w:spacing w:line="600" w:lineRule="exact"/>
        <w:ind w:firstLine="640"/>
        <w:rPr>
          <w:rFonts w:ascii="黑体" w:eastAsia="黑体"/>
          <w:color w:val="auto"/>
          <w:sz w:val="32"/>
          <w:szCs w:val="32"/>
          <w:highlight w:val="none"/>
        </w:rPr>
      </w:pPr>
      <w:r>
        <w:rPr>
          <w:rFonts w:hint="eastAsia" w:ascii="仿宋" w:hAnsi="仿宋" w:eastAsia="仿宋"/>
          <w:b/>
          <w:color w:val="000000" w:themeColor="text1"/>
          <w:sz w:val="32"/>
          <w:szCs w:val="32"/>
          <w:highlight w:val="none"/>
          <w14:textFill>
            <w14:solidFill>
              <w14:schemeClr w14:val="tx1"/>
            </w14:solidFill>
          </w14:textFill>
        </w:rPr>
        <w:t>国内公务接待支出</w:t>
      </w:r>
      <w:r>
        <w:rPr>
          <w:rFonts w:hint="eastAsia" w:ascii="仿宋" w:hAnsi="仿宋" w:eastAsia="仿宋"/>
          <w:color w:val="000000" w:themeColor="text1"/>
          <w:sz w:val="32"/>
          <w:szCs w:val="32"/>
          <w:highlight w:val="none"/>
          <w:lang w:val="en-US" w:eastAsia="zh-CN"/>
          <w14:textFill>
            <w14:solidFill>
              <w14:schemeClr w14:val="tx1"/>
            </w14:solidFill>
          </w14:textFill>
        </w:rPr>
        <w:t>0.11</w:t>
      </w:r>
      <w:r>
        <w:rPr>
          <w:rFonts w:hint="eastAsia" w:ascii="仿宋_GB2312" w:eastAsia="仿宋_GB2312"/>
          <w:color w:val="000000" w:themeColor="text1"/>
          <w:sz w:val="32"/>
          <w:szCs w:val="32"/>
          <w:highlight w:val="none"/>
          <w14:textFill>
            <w14:solidFill>
              <w14:schemeClr w14:val="tx1"/>
            </w14:solidFill>
          </w14:textFill>
        </w:rPr>
        <w:t>万元，主要用于执行公务、开展业务活动开支的交通费、住宿费、用餐费等。</w:t>
      </w:r>
      <w:bookmarkStart w:id="75" w:name="_Toc15396610"/>
      <w:bookmarkStart w:id="76" w:name="_Toc15377218"/>
    </w:p>
    <w:p w14:paraId="4A7C1337">
      <w:pPr>
        <w:spacing w:line="600" w:lineRule="exact"/>
        <w:ind w:firstLine="640"/>
        <w:outlineLvl w:val="1"/>
        <w:rPr>
          <w:rStyle w:val="33"/>
          <w:rFonts w:ascii="黑体" w:hAnsi="黑体" w:eastAsia="黑体"/>
          <w:color w:val="auto"/>
          <w:highlight w:val="none"/>
        </w:rPr>
      </w:pPr>
      <w:bookmarkStart w:id="77" w:name="_Toc29246"/>
      <w:r>
        <w:rPr>
          <w:rFonts w:hint="eastAsia" w:ascii="黑体" w:eastAsia="黑体"/>
          <w:color w:val="auto"/>
          <w:sz w:val="32"/>
          <w:szCs w:val="32"/>
          <w:highlight w:val="none"/>
        </w:rPr>
        <w:t>八、</w:t>
      </w:r>
      <w:r>
        <w:rPr>
          <w:rStyle w:val="33"/>
          <w:rFonts w:hint="eastAsia" w:ascii="黑体" w:hAnsi="黑体" w:eastAsia="黑体"/>
          <w:b w:val="0"/>
          <w:color w:val="auto"/>
          <w:highlight w:val="none"/>
        </w:rPr>
        <w:t>政府性基金预算支出决算情况说明</w:t>
      </w:r>
      <w:bookmarkEnd w:id="75"/>
      <w:bookmarkEnd w:id="76"/>
      <w:bookmarkEnd w:id="77"/>
    </w:p>
    <w:p w14:paraId="47F31868">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6.66</w:t>
      </w:r>
      <w:r>
        <w:rPr>
          <w:rFonts w:hint="eastAsia" w:ascii="仿宋_GB2312" w:eastAsia="仿宋_GB2312"/>
          <w:color w:val="auto"/>
          <w:sz w:val="32"/>
          <w:szCs w:val="32"/>
          <w:highlight w:val="none"/>
        </w:rPr>
        <w:t>万元。</w:t>
      </w:r>
    </w:p>
    <w:p w14:paraId="50EFF07E">
      <w:pPr>
        <w:numPr>
          <w:ilvl w:val="0"/>
          <w:numId w:val="3"/>
        </w:numPr>
        <w:spacing w:line="600" w:lineRule="exact"/>
        <w:ind w:firstLine="640"/>
        <w:outlineLvl w:val="1"/>
        <w:rPr>
          <w:rStyle w:val="33"/>
          <w:rFonts w:ascii="黑体" w:hAnsi="黑体" w:eastAsia="黑体"/>
          <w:b w:val="0"/>
          <w:color w:val="auto"/>
          <w:highlight w:val="none"/>
        </w:rPr>
      </w:pPr>
      <w:bookmarkStart w:id="78" w:name="_Toc15377219"/>
      <w:bookmarkStart w:id="79" w:name="_Toc21942"/>
      <w:bookmarkStart w:id="80" w:name="_Toc15396611"/>
      <w:r>
        <w:rPr>
          <w:rStyle w:val="33"/>
          <w:rFonts w:hint="eastAsia" w:ascii="黑体" w:hAnsi="黑体" w:eastAsia="黑体"/>
          <w:b w:val="0"/>
          <w:color w:val="auto"/>
          <w:highlight w:val="none"/>
        </w:rPr>
        <w:t>国有资本经营预算支出决算情况说明</w:t>
      </w:r>
      <w:bookmarkEnd w:id="78"/>
      <w:bookmarkEnd w:id="79"/>
      <w:bookmarkEnd w:id="80"/>
    </w:p>
    <w:p w14:paraId="07693B89">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C523FEF">
      <w:pPr>
        <w:numPr>
          <w:ilvl w:val="0"/>
          <w:numId w:val="3"/>
        </w:numPr>
        <w:spacing w:line="600" w:lineRule="exact"/>
        <w:ind w:firstLine="640"/>
        <w:outlineLvl w:val="1"/>
        <w:rPr>
          <w:rStyle w:val="33"/>
          <w:rFonts w:hint="eastAsia" w:ascii="黑体" w:hAnsi="黑体" w:eastAsia="黑体"/>
          <w:b w:val="0"/>
          <w:color w:val="auto"/>
          <w:highlight w:val="none"/>
        </w:rPr>
      </w:pPr>
      <w:bookmarkStart w:id="81" w:name="_Toc11904"/>
      <w:bookmarkStart w:id="82" w:name="_Toc15396612"/>
      <w:bookmarkStart w:id="83" w:name="_Toc15377221"/>
      <w:r>
        <w:rPr>
          <w:rStyle w:val="33"/>
          <w:rFonts w:hint="eastAsia" w:ascii="黑体" w:hAnsi="黑体" w:eastAsia="黑体"/>
          <w:b w:val="0"/>
          <w:color w:val="auto"/>
          <w:highlight w:val="none"/>
        </w:rPr>
        <w:t>其他重要事项的情况说明</w:t>
      </w:r>
      <w:bookmarkEnd w:id="81"/>
      <w:bookmarkEnd w:id="82"/>
      <w:bookmarkEnd w:id="83"/>
    </w:p>
    <w:p w14:paraId="77E8C9BB">
      <w:pPr>
        <w:spacing w:line="600" w:lineRule="exact"/>
        <w:ind w:firstLine="643" w:firstLineChars="200"/>
        <w:outlineLvl w:val="2"/>
        <w:rPr>
          <w:rFonts w:ascii="仿宋" w:hAnsi="仿宋" w:eastAsia="仿宋"/>
          <w:color w:val="auto"/>
          <w:sz w:val="32"/>
          <w:szCs w:val="32"/>
          <w:highlight w:val="none"/>
        </w:rPr>
      </w:pPr>
      <w:bookmarkStart w:id="84" w:name="_Toc15377222"/>
      <w:r>
        <w:rPr>
          <w:rFonts w:hint="eastAsia" w:ascii="仿宋" w:hAnsi="仿宋" w:eastAsia="仿宋"/>
          <w:b/>
          <w:color w:val="auto"/>
          <w:sz w:val="32"/>
          <w:szCs w:val="32"/>
          <w:highlight w:val="none"/>
        </w:rPr>
        <w:t>（一）机关运行经费支出情况</w:t>
      </w:r>
      <w:bookmarkEnd w:id="84"/>
    </w:p>
    <w:p w14:paraId="0BD20644">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壤塘县文化体育和旅游局</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58.47</w:t>
      </w:r>
      <w:r>
        <w:rPr>
          <w:rFonts w:hint="eastAsia" w:ascii="仿宋_GB2312" w:eastAsia="仿宋_GB2312"/>
          <w:color w:val="auto"/>
          <w:sz w:val="32"/>
          <w:szCs w:val="32"/>
          <w:highlight w:val="none"/>
        </w:rPr>
        <w:t>万元，比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年增加</w:t>
      </w:r>
      <w:r>
        <w:rPr>
          <w:rFonts w:hint="eastAsia" w:ascii="仿宋_GB2312" w:eastAsia="仿宋_GB2312"/>
          <w:color w:val="auto"/>
          <w:sz w:val="32"/>
          <w:szCs w:val="32"/>
          <w:highlight w:val="none"/>
          <w:lang w:val="en-US" w:eastAsia="zh-CN"/>
        </w:rPr>
        <w:t>0.85</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1.47</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当年项目增加，支出增加</w:t>
      </w:r>
      <w:r>
        <w:rPr>
          <w:rFonts w:hint="eastAsia" w:ascii="仿宋_GB2312" w:eastAsia="仿宋_GB2312"/>
          <w:color w:val="auto"/>
          <w:sz w:val="32"/>
          <w:szCs w:val="32"/>
          <w:highlight w:val="none"/>
          <w:lang w:eastAsia="zh-CN"/>
        </w:rPr>
        <w:t>。</w:t>
      </w:r>
    </w:p>
    <w:p w14:paraId="3B74A46A">
      <w:pPr>
        <w:spacing w:line="600" w:lineRule="exact"/>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14:paraId="0C8F7695">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5" w:name="_Toc15377223"/>
      <w:r>
        <w:rPr>
          <w:rFonts w:hint="eastAsia" w:ascii="仿宋" w:hAnsi="仿宋" w:eastAsia="仿宋"/>
          <w:b/>
          <w:color w:val="auto"/>
          <w:sz w:val="32"/>
          <w:szCs w:val="32"/>
          <w:highlight w:val="none"/>
        </w:rPr>
        <w:t>（二）政府采购支出情况</w:t>
      </w:r>
      <w:bookmarkEnd w:id="85"/>
    </w:p>
    <w:p w14:paraId="61A34292">
      <w:pPr>
        <w:spacing w:line="60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壤塘县文化体育和旅游局</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466.80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421</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45.80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466.8</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5679577C">
      <w:pPr>
        <w:spacing w:line="600" w:lineRule="exact"/>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14:paraId="085A831F">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6" w:name="_Toc15377224"/>
      <w:r>
        <w:rPr>
          <w:rFonts w:hint="eastAsia" w:ascii="仿宋" w:hAnsi="仿宋" w:eastAsia="仿宋"/>
          <w:b/>
          <w:color w:val="auto"/>
          <w:sz w:val="32"/>
          <w:szCs w:val="32"/>
          <w:highlight w:val="none"/>
        </w:rPr>
        <w:t>（三）国有资产占有使用情况</w:t>
      </w:r>
      <w:bookmarkEnd w:id="86"/>
    </w:p>
    <w:p w14:paraId="71018DDC">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壤塘县文化体育和旅游局</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6F9EC604">
      <w:pPr>
        <w:autoSpaceDE w:val="0"/>
        <w:autoSpaceDN w:val="0"/>
        <w:adjustRightInd w:val="0"/>
        <w:spacing w:line="600" w:lineRule="exact"/>
        <w:ind w:firstLine="643" w:firstLineChars="200"/>
        <w:jc w:val="left"/>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14:paraId="11A4423E">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07D2A08F">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根据预算绩效管理要求，本部门在202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val="en-US" w:eastAsia="zh-CN"/>
        </w:rPr>
        <w:t>城南广场文化小品打造项目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个项目开展绩效监控。</w:t>
      </w:r>
    </w:p>
    <w:p w14:paraId="467BF1B1">
      <w:pPr>
        <w:widowControl/>
        <w:ind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组织对2022年度一般公共预算、政府性基金预算、国有资本经营预算、社会保险基金预算以及资本资产、债券资金等全面开展绩效自评，形成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highlight w:val="none"/>
          <w:lang w:val="en-US" w:eastAsia="zh-CN"/>
        </w:rPr>
        <w:t>壤塘县文化体育和旅游局</w:t>
      </w:r>
      <w:r>
        <w:rPr>
          <w:rFonts w:hint="eastAsia" w:ascii="仿宋_GB2312" w:hAnsi="仿宋_GB2312" w:eastAsia="仿宋_GB2312" w:cs="仿宋_GB2312"/>
          <w:color w:val="auto"/>
          <w:sz w:val="32"/>
          <w:szCs w:val="32"/>
          <w:highlight w:val="none"/>
        </w:rPr>
        <w:t>部门整体（含部门预算项目）绩效自评报告、</w:t>
      </w:r>
      <w:r>
        <w:rPr>
          <w:rFonts w:hint="eastAsia" w:ascii="仿宋_GB2312" w:hAnsi="仿宋_GB2312" w:eastAsia="仿宋_GB2312" w:cs="仿宋_GB2312"/>
          <w:color w:val="auto"/>
          <w:sz w:val="32"/>
          <w:szCs w:val="32"/>
          <w:highlight w:val="none"/>
          <w:lang w:val="en-US" w:eastAsia="zh-CN"/>
        </w:rPr>
        <w:t>城南广场文化小品打造项目</w:t>
      </w:r>
      <w:r>
        <w:rPr>
          <w:rFonts w:hint="eastAsia" w:ascii="仿宋_GB2312" w:hAnsi="仿宋_GB2312" w:eastAsia="仿宋_GB2312" w:cs="仿宋_GB2312"/>
          <w:color w:val="auto"/>
          <w:sz w:val="32"/>
          <w:szCs w:val="32"/>
          <w:highlight w:val="none"/>
        </w:rPr>
        <w:t>等专项预算项目绩效自评报告，自评得分为</w:t>
      </w:r>
      <w:r>
        <w:rPr>
          <w:rFonts w:hint="eastAsia" w:ascii="仿宋_GB2312" w:hAnsi="仿宋_GB2312" w:eastAsia="仿宋_GB2312" w:cs="仿宋_GB2312"/>
          <w:color w:val="auto"/>
          <w:sz w:val="32"/>
          <w:szCs w:val="32"/>
          <w:highlight w:val="none"/>
          <w:lang w:val="en-US" w:eastAsia="zh-CN"/>
        </w:rPr>
        <w:t>91</w:t>
      </w:r>
      <w:r>
        <w:rPr>
          <w:rFonts w:hint="eastAsia" w:ascii="仿宋_GB2312" w:hAnsi="仿宋_GB2312" w:eastAsia="仿宋_GB2312" w:cs="仿宋_GB2312"/>
          <w:color w:val="auto"/>
          <w:sz w:val="32"/>
          <w:szCs w:val="32"/>
          <w:highlight w:val="none"/>
        </w:rPr>
        <w:t>分，绩效自评综述：</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通过全面开展财政支出绩效评价，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我单位</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财政支出绩效理念</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，年度预算</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编制合理</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，切实发挥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了</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财政资金资源配置作用。</w:t>
      </w:r>
      <w:r>
        <w:rPr>
          <w:rFonts w:ascii="仿宋_GB2312" w:eastAsia="仿宋_GB2312"/>
          <w:b/>
          <w:color w:val="auto"/>
          <w:sz w:val="32"/>
          <w:szCs w:val="32"/>
          <w:highlight w:val="none"/>
        </w:rPr>
        <w:br w:type="page"/>
      </w:r>
    </w:p>
    <w:p w14:paraId="45B31678">
      <w:pPr>
        <w:numPr>
          <w:ilvl w:val="0"/>
          <w:numId w:val="4"/>
        </w:numPr>
        <w:spacing w:line="600" w:lineRule="exact"/>
        <w:ind w:firstLine="660" w:firstLineChars="150"/>
        <w:jc w:val="center"/>
        <w:outlineLvl w:val="0"/>
        <w:rPr>
          <w:rStyle w:val="32"/>
          <w:rFonts w:ascii="黑体" w:hAnsi="黑体" w:eastAsia="黑体"/>
          <w:b w:val="0"/>
          <w:color w:val="auto"/>
          <w:highlight w:val="none"/>
        </w:rPr>
      </w:pPr>
      <w:bookmarkStart w:id="87" w:name="_Toc15377225"/>
      <w:bookmarkStart w:id="88" w:name="_Toc15396613"/>
      <w:bookmarkStart w:id="89" w:name="_Toc27901"/>
      <w:r>
        <w:rPr>
          <w:rFonts w:hint="eastAsia" w:ascii="黑体" w:hAnsi="黑体" w:eastAsia="黑体"/>
          <w:color w:val="auto"/>
          <w:sz w:val="44"/>
          <w:szCs w:val="44"/>
          <w:highlight w:val="none"/>
        </w:rPr>
        <w:t>名</w:t>
      </w:r>
      <w:r>
        <w:rPr>
          <w:rStyle w:val="32"/>
          <w:rFonts w:hint="eastAsia" w:ascii="黑体" w:hAnsi="黑体" w:eastAsia="黑体"/>
          <w:b w:val="0"/>
          <w:color w:val="auto"/>
          <w:highlight w:val="none"/>
        </w:rPr>
        <w:t>词解释</w:t>
      </w:r>
      <w:bookmarkEnd w:id="87"/>
      <w:bookmarkEnd w:id="88"/>
      <w:bookmarkEnd w:id="89"/>
    </w:p>
    <w:p w14:paraId="52926551">
      <w:pPr>
        <w:spacing w:line="600" w:lineRule="exact"/>
        <w:jc w:val="left"/>
        <w:rPr>
          <w:rFonts w:ascii="宋体"/>
          <w:b/>
          <w:color w:val="auto"/>
          <w:sz w:val="44"/>
          <w:szCs w:val="44"/>
          <w:highlight w:val="none"/>
        </w:rPr>
      </w:pPr>
    </w:p>
    <w:p w14:paraId="294954F4">
      <w:pPr>
        <w:pStyle w:val="30"/>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23FAD0A1">
      <w:pPr>
        <w:pStyle w:val="30"/>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52DDF797">
      <w:pPr>
        <w:pStyle w:val="30"/>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30706E5D">
      <w:pPr>
        <w:pStyle w:val="30"/>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3F8E6FDC">
      <w:pPr>
        <w:pStyle w:val="30"/>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55E97E5F">
      <w:pPr>
        <w:pStyle w:val="30"/>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4BD6D6D4">
      <w:pPr>
        <w:pStyle w:val="30"/>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0E8787E3">
      <w:pPr>
        <w:pStyle w:val="30"/>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24B0459D">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9、</w:t>
      </w:r>
      <w:r>
        <w:rPr>
          <w:rStyle w:val="20"/>
          <w:rFonts w:hint="eastAsia" w:ascii="仿宋" w:hAnsi="仿宋" w:eastAsia="仿宋"/>
          <w:b w:val="0"/>
          <w:bCs w:val="0"/>
          <w:color w:val="auto"/>
          <w:sz w:val="32"/>
          <w:szCs w:val="32"/>
          <w:highlight w:val="none"/>
        </w:rPr>
        <w:t>科学技术</w:t>
      </w:r>
      <w:r>
        <w:rPr>
          <w:rStyle w:val="20"/>
          <w:rFonts w:hint="eastAsia" w:ascii="仿宋" w:hAnsi="仿宋" w:eastAsia="仿宋"/>
          <w:b w:val="0"/>
          <w:bCs w:val="0"/>
          <w:color w:val="auto"/>
          <w:sz w:val="32"/>
          <w:szCs w:val="32"/>
          <w:highlight w:val="none"/>
          <w:lang w:val="en-US" w:eastAsia="zh-CN"/>
        </w:rPr>
        <w:t>支出</w:t>
      </w:r>
      <w:r>
        <w:rPr>
          <w:rStyle w:val="20"/>
          <w:rFonts w:hint="eastAsia" w:ascii="仿宋" w:hAnsi="仿宋" w:eastAsia="仿宋"/>
          <w:b w:val="0"/>
          <w:bCs w:val="0"/>
          <w:color w:val="auto"/>
          <w:sz w:val="32"/>
          <w:szCs w:val="32"/>
          <w:highlight w:val="none"/>
        </w:rPr>
        <w:t>（类）</w:t>
      </w:r>
      <w:r>
        <w:rPr>
          <w:rStyle w:val="20"/>
          <w:rFonts w:hint="eastAsia" w:ascii="仿宋" w:hAnsi="仿宋" w:eastAsia="仿宋"/>
          <w:b w:val="0"/>
          <w:bCs w:val="0"/>
          <w:color w:val="auto"/>
          <w:sz w:val="32"/>
          <w:szCs w:val="32"/>
          <w:highlight w:val="none"/>
          <w:lang w:val="en-US" w:eastAsia="zh-CN"/>
        </w:rPr>
        <w:t>技术研究与开发</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其他技术研究与开发支出</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指反映除上述项目以外其他用于科技条件与服务方面的支出。</w:t>
      </w:r>
    </w:p>
    <w:p w14:paraId="43F2978D">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10、</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图书馆</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指反映图书馆的支出。</w:t>
      </w:r>
    </w:p>
    <w:p w14:paraId="7B6A98C7">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11、</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艺术表演团体</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指反映文化及其他主管的剧院（团）等艺术表演团体的支出。</w:t>
      </w:r>
    </w:p>
    <w:p w14:paraId="224DA975">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12、</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文化活动</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指反映举办大型文化艺术活动的支出。</w:t>
      </w:r>
    </w:p>
    <w:p w14:paraId="27D9C971">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13、</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群众文化</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指反映群众文化方面的支出，包括基层文化馆（站）、群众艺术馆支出等。</w:t>
      </w:r>
    </w:p>
    <w:p w14:paraId="218AE827">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14、</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文化创作与保护</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指反映鼓励文学、艺术创作和优秀传统文化保护方面的支出。</w:t>
      </w:r>
    </w:p>
    <w:p w14:paraId="6030FD85">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15、</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ascii="仿宋" w:hAnsi="仿宋" w:eastAsia="仿宋"/>
          <w:b w:val="0"/>
          <w:bCs w:val="0"/>
          <w:color w:val="auto"/>
          <w:sz w:val="32"/>
          <w:szCs w:val="32"/>
          <w:highlight w:val="none"/>
          <w:lang w:val="en-US" w:eastAsia="zh-CN"/>
        </w:rPr>
        <w:t>旅游宣传</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指反映在境内外开展各类旅游宣传促销活动的支出，包括驻外旅游机构宣传费、境外宣传促销费、境内宣传促销费、海外记者及旅行商接待费、旅游宣传品制作费及设备购置费等。</w:t>
      </w:r>
    </w:p>
    <w:p w14:paraId="3886CA38">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16、</w:t>
      </w:r>
      <w:r>
        <w:rPr>
          <w:rStyle w:val="20"/>
          <w:rFonts w:hint="eastAsia" w:ascii="仿宋" w:hAnsi="仿宋" w:eastAsia="仿宋"/>
          <w:b w:val="0"/>
          <w:bCs w:val="0"/>
          <w:color w:val="auto"/>
          <w:sz w:val="32"/>
          <w:szCs w:val="32"/>
          <w:highlight w:val="none"/>
        </w:rPr>
        <w:t>文化旅游体育与传媒支出（类）</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其他</w:t>
      </w:r>
      <w:r>
        <w:rPr>
          <w:rStyle w:val="20"/>
          <w:rFonts w:hint="eastAsia" w:ascii="仿宋" w:hAnsi="仿宋" w:eastAsia="仿宋"/>
          <w:b w:val="0"/>
          <w:bCs w:val="0"/>
          <w:color w:val="auto"/>
          <w:sz w:val="32"/>
          <w:szCs w:val="32"/>
          <w:highlight w:val="none"/>
          <w:lang w:val="en-US" w:eastAsia="zh-CN"/>
        </w:rPr>
        <w:t>文化和旅游</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指反映上述项目以外其他用于文化和旅游方面的支出。</w:t>
      </w:r>
    </w:p>
    <w:p w14:paraId="2932C721">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17、</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文物</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文物保护</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指反映考古发掘及文物保护方面的支出。</w:t>
      </w:r>
    </w:p>
    <w:p w14:paraId="396DE12D">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18、</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文物</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博物馆</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指反映文物系统及其他部门所属博物馆、纪念馆（室）的支出。</w:t>
      </w:r>
    </w:p>
    <w:p w14:paraId="2D015F24">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19、</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体育</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体育竞赛</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指反映综合性运动会及单项体育体育比赛的支出。</w:t>
      </w:r>
    </w:p>
    <w:p w14:paraId="75D3934E">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20、</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体育</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体育场馆</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指反映体育场馆建设及维护方面的支出。</w:t>
      </w:r>
    </w:p>
    <w:p w14:paraId="08B8CA30">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21、</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体育</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群众体育</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指反映业余体校和全民健身等群众体育活动方面的支出。</w:t>
      </w:r>
    </w:p>
    <w:p w14:paraId="67FAB142">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22、</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体育</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其他体育支出</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指反映除上述项目以外其他用于体育方面的支出。</w:t>
      </w:r>
    </w:p>
    <w:p w14:paraId="0073F5F8">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23、</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新闻出版电影</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其他新闻出版电影支出</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指反映除上述项目以外其他用于新闻出版电影方面的支出。</w:t>
      </w:r>
    </w:p>
    <w:p w14:paraId="5D8F2A7B">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24、</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广播电视</w:t>
      </w:r>
      <w:r>
        <w:rPr>
          <w:rStyle w:val="20"/>
          <w:rFonts w:hint="eastAsia" w:ascii="仿宋" w:hAnsi="仿宋" w:eastAsia="仿宋"/>
          <w:b w:val="0"/>
          <w:bCs w:val="0"/>
          <w:color w:val="auto"/>
          <w:sz w:val="32"/>
          <w:szCs w:val="32"/>
          <w:highlight w:val="none"/>
        </w:rPr>
        <w:t>（款）</w:t>
      </w:r>
      <w:r>
        <w:rPr>
          <w:rStyle w:val="20"/>
          <w:rFonts w:hint="eastAsia" w:hAnsi="仿宋"/>
          <w:b w:val="0"/>
          <w:bCs w:val="0"/>
          <w:color w:val="auto"/>
          <w:sz w:val="32"/>
          <w:szCs w:val="32"/>
          <w:highlight w:val="none"/>
          <w:lang w:val="en-US" w:eastAsia="zh-CN"/>
        </w:rPr>
        <w:t>其他广播电视支出</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指反映除上述项目以外其他用于广播电视方面的支出。</w:t>
      </w:r>
    </w:p>
    <w:p w14:paraId="3ED5FE7C">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25、</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其他</w:t>
      </w:r>
      <w:r>
        <w:rPr>
          <w:rStyle w:val="20"/>
          <w:rFonts w:hint="eastAsia" w:ascii="仿宋" w:hAnsi="仿宋" w:eastAsia="仿宋"/>
          <w:b w:val="0"/>
          <w:bCs w:val="0"/>
          <w:color w:val="auto"/>
          <w:sz w:val="32"/>
          <w:szCs w:val="32"/>
          <w:highlight w:val="none"/>
        </w:rPr>
        <w:t>文化旅游体育与传媒支出（款）</w:t>
      </w:r>
      <w:r>
        <w:rPr>
          <w:rStyle w:val="20"/>
          <w:rFonts w:hint="eastAsia" w:hAnsi="仿宋"/>
          <w:b w:val="0"/>
          <w:bCs w:val="0"/>
          <w:color w:val="auto"/>
          <w:sz w:val="32"/>
          <w:szCs w:val="32"/>
          <w:highlight w:val="none"/>
          <w:lang w:val="en-US" w:eastAsia="zh-CN"/>
        </w:rPr>
        <w:t>文化产业发展专项支出</w:t>
      </w:r>
      <w:r>
        <w:rPr>
          <w:rStyle w:val="20"/>
          <w:rFonts w:hint="eastAsia" w:ascii="仿宋" w:hAnsi="仿宋" w:eastAsia="仿宋"/>
          <w:b w:val="0"/>
          <w:bCs w:val="0"/>
          <w:color w:val="auto"/>
          <w:sz w:val="32"/>
          <w:szCs w:val="32"/>
          <w:highlight w:val="none"/>
        </w:rPr>
        <w:t>（项）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指反映支持文化产业发展专项支出。</w:t>
      </w:r>
    </w:p>
    <w:p w14:paraId="5AB8156A">
      <w:pPr>
        <w:pStyle w:val="30"/>
        <w:spacing w:line="560" w:lineRule="exact"/>
        <w:ind w:firstLine="640" w:firstLineChars="200"/>
        <w:rPr>
          <w:rStyle w:val="20"/>
          <w:rFonts w:hint="eastAsia" w:hAnsi="仿宋"/>
          <w:b w:val="0"/>
          <w:bCs w:val="0"/>
          <w:color w:val="auto"/>
          <w:sz w:val="32"/>
          <w:szCs w:val="32"/>
          <w:highlight w:val="none"/>
          <w:lang w:val="en-US" w:eastAsia="zh-CN"/>
        </w:rPr>
      </w:pPr>
      <w:r>
        <w:rPr>
          <w:rStyle w:val="20"/>
          <w:rFonts w:hint="eastAsia" w:hAnsi="仿宋"/>
          <w:b w:val="0"/>
          <w:bCs w:val="0"/>
          <w:color w:val="auto"/>
          <w:sz w:val="32"/>
          <w:szCs w:val="32"/>
          <w:highlight w:val="none"/>
          <w:lang w:val="en-US" w:eastAsia="zh-CN"/>
        </w:rPr>
        <w:t>26、</w:t>
      </w:r>
      <w:r>
        <w:rPr>
          <w:rStyle w:val="20"/>
          <w:rFonts w:hint="eastAsia" w:ascii="仿宋" w:hAnsi="仿宋" w:eastAsia="仿宋"/>
          <w:b w:val="0"/>
          <w:bCs w:val="0"/>
          <w:color w:val="auto"/>
          <w:sz w:val="32"/>
          <w:szCs w:val="32"/>
          <w:highlight w:val="none"/>
        </w:rPr>
        <w:t>文化旅游体育与传媒支出（类）</w:t>
      </w:r>
      <w:r>
        <w:rPr>
          <w:rStyle w:val="20"/>
          <w:rFonts w:hint="eastAsia" w:hAnsi="仿宋"/>
          <w:b w:val="0"/>
          <w:bCs w:val="0"/>
          <w:color w:val="auto"/>
          <w:sz w:val="32"/>
          <w:szCs w:val="32"/>
          <w:highlight w:val="none"/>
          <w:lang w:val="en-US" w:eastAsia="zh-CN"/>
        </w:rPr>
        <w:t>其他</w:t>
      </w:r>
      <w:r>
        <w:rPr>
          <w:rStyle w:val="20"/>
          <w:rFonts w:hint="eastAsia" w:ascii="仿宋" w:hAnsi="仿宋" w:eastAsia="仿宋"/>
          <w:b w:val="0"/>
          <w:bCs w:val="0"/>
          <w:color w:val="auto"/>
          <w:sz w:val="32"/>
          <w:szCs w:val="32"/>
          <w:highlight w:val="none"/>
        </w:rPr>
        <w:t>文化旅游体育与传媒支出（款）</w:t>
      </w:r>
      <w:r>
        <w:rPr>
          <w:rStyle w:val="20"/>
          <w:rFonts w:hint="eastAsia" w:hAnsi="仿宋"/>
          <w:b w:val="0"/>
          <w:bCs w:val="0"/>
          <w:color w:val="auto"/>
          <w:sz w:val="32"/>
          <w:szCs w:val="32"/>
          <w:highlight w:val="none"/>
          <w:lang w:val="en-US" w:eastAsia="zh-CN"/>
        </w:rPr>
        <w:t>其他</w:t>
      </w:r>
      <w:r>
        <w:rPr>
          <w:rStyle w:val="20"/>
          <w:rFonts w:hint="eastAsia" w:ascii="仿宋" w:hAnsi="仿宋" w:eastAsia="仿宋"/>
          <w:b w:val="0"/>
          <w:bCs w:val="0"/>
          <w:color w:val="auto"/>
          <w:sz w:val="32"/>
          <w:szCs w:val="32"/>
          <w:highlight w:val="none"/>
        </w:rPr>
        <w:t>文化旅游体育与传媒支出（项）</w:t>
      </w:r>
      <w:r>
        <w:rPr>
          <w:rStyle w:val="20"/>
          <w:rFonts w:ascii="仿宋" w:hAnsi="仿宋" w:eastAsia="仿宋"/>
          <w:b w:val="0"/>
          <w:bCs w:val="0"/>
          <w:color w:val="auto"/>
          <w:sz w:val="32"/>
          <w:szCs w:val="32"/>
          <w:highlight w:val="none"/>
        </w:rPr>
        <w:t>:</w:t>
      </w:r>
      <w:r>
        <w:rPr>
          <w:rStyle w:val="20"/>
          <w:rFonts w:hint="eastAsia" w:hAnsi="仿宋"/>
          <w:b w:val="0"/>
          <w:bCs w:val="0"/>
          <w:color w:val="auto"/>
          <w:sz w:val="32"/>
          <w:szCs w:val="32"/>
          <w:highlight w:val="none"/>
          <w:lang w:val="en-US" w:eastAsia="zh-CN"/>
        </w:rPr>
        <w:t>指反映除上述项目以外其他用于</w:t>
      </w:r>
      <w:r>
        <w:rPr>
          <w:rStyle w:val="20"/>
          <w:rFonts w:hint="eastAsia" w:ascii="仿宋" w:hAnsi="仿宋" w:eastAsia="仿宋"/>
          <w:b w:val="0"/>
          <w:bCs w:val="0"/>
          <w:color w:val="auto"/>
          <w:sz w:val="32"/>
          <w:szCs w:val="32"/>
          <w:highlight w:val="none"/>
        </w:rPr>
        <w:t>文化旅游体育与传媒</w:t>
      </w:r>
      <w:r>
        <w:rPr>
          <w:rStyle w:val="20"/>
          <w:rFonts w:hint="eastAsia" w:hAnsi="仿宋"/>
          <w:b w:val="0"/>
          <w:bCs w:val="0"/>
          <w:color w:val="auto"/>
          <w:sz w:val="32"/>
          <w:szCs w:val="32"/>
          <w:highlight w:val="none"/>
          <w:lang w:val="en-US" w:eastAsia="zh-CN"/>
        </w:rPr>
        <w:t>方面的支出。</w:t>
      </w:r>
    </w:p>
    <w:p w14:paraId="20EB3680">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27、</w:t>
      </w:r>
      <w:r>
        <w:rPr>
          <w:rFonts w:hint="eastAsia" w:ascii="仿宋_GB2312" w:eastAsia="仿宋_GB2312"/>
          <w:color w:val="000000"/>
          <w:sz w:val="32"/>
          <w:szCs w:val="32"/>
          <w:lang w:eastAsia="zh-CN"/>
        </w:rPr>
        <w:t>社会保障和就业</w:t>
      </w:r>
      <w:r>
        <w:rPr>
          <w:rFonts w:hint="eastAsia" w:ascii="仿宋_GB2312" w:eastAsia="仿宋_GB2312"/>
          <w:color w:val="000000"/>
          <w:sz w:val="32"/>
          <w:szCs w:val="32"/>
        </w:rPr>
        <w:t>（类）</w:t>
      </w:r>
      <w:r>
        <w:rPr>
          <w:rFonts w:hint="eastAsia" w:ascii="仿宋" w:eastAsia="仿宋" w:cs="仿宋"/>
          <w:color w:val="000000"/>
          <w:sz w:val="32"/>
          <w:szCs w:val="32"/>
          <w:lang w:eastAsia="zh-CN"/>
        </w:rPr>
        <w:t>行政事业单位</w:t>
      </w:r>
      <w:r>
        <w:rPr>
          <w:rFonts w:hint="eastAsia" w:ascii="仿宋" w:eastAsia="仿宋" w:cs="仿宋"/>
          <w:color w:val="000000"/>
          <w:sz w:val="32"/>
          <w:szCs w:val="32"/>
          <w:lang w:val="en-US" w:eastAsia="zh-CN"/>
        </w:rPr>
        <w:t>养老支出</w:t>
      </w:r>
      <w:r>
        <w:rPr>
          <w:rFonts w:hint="eastAsia" w:ascii="仿宋_GB2312" w:eastAsia="仿宋_GB2312"/>
          <w:color w:val="000000"/>
          <w:sz w:val="32"/>
          <w:szCs w:val="32"/>
        </w:rPr>
        <w:t>（款）</w:t>
      </w:r>
      <w:r>
        <w:rPr>
          <w:rFonts w:hint="eastAsia" w:ascii="仿宋_GB2312" w:eastAsia="仿宋_GB2312"/>
          <w:color w:val="000000"/>
          <w:sz w:val="32"/>
          <w:szCs w:val="32"/>
          <w:lang w:eastAsia="zh-CN"/>
        </w:rPr>
        <w:t>机关事业单位基本养老保险缴费支出</w:t>
      </w:r>
      <w:r>
        <w:rPr>
          <w:rFonts w:hint="eastAsia" w:ascii="仿宋_GB2312" w:eastAsia="仿宋_GB2312"/>
          <w:color w:val="000000"/>
          <w:sz w:val="32"/>
          <w:szCs w:val="32"/>
        </w:rPr>
        <w:t>（项）：指</w:t>
      </w:r>
      <w:r>
        <w:rPr>
          <w:rFonts w:hint="eastAsia" w:ascii="仿宋_GB2312" w:eastAsia="仿宋_GB2312"/>
          <w:color w:val="000000"/>
          <w:sz w:val="32"/>
          <w:szCs w:val="32"/>
          <w:lang w:eastAsia="zh-CN"/>
        </w:rPr>
        <w:t>由单位缴纳的基本养老保险费支出</w:t>
      </w:r>
      <w:r>
        <w:rPr>
          <w:rFonts w:hint="eastAsia" w:ascii="仿宋_GB2312" w:eastAsia="仿宋_GB2312"/>
          <w:color w:val="000000"/>
          <w:sz w:val="32"/>
          <w:szCs w:val="32"/>
        </w:rPr>
        <w:t>。</w:t>
      </w:r>
    </w:p>
    <w:p w14:paraId="6C71E8CC">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28、</w:t>
      </w:r>
      <w:r>
        <w:rPr>
          <w:rFonts w:hint="eastAsia" w:ascii="仿宋_GB2312" w:eastAsia="仿宋_GB2312"/>
          <w:color w:val="000000"/>
          <w:sz w:val="32"/>
          <w:szCs w:val="32"/>
        </w:rPr>
        <w:t>社会保</w:t>
      </w:r>
      <w:r>
        <w:rPr>
          <w:rFonts w:hint="eastAsia" w:ascii="仿宋_GB2312" w:eastAsia="仿宋_GB2312" w:cs="Times New Roman"/>
          <w:color w:val="000000"/>
          <w:sz w:val="32"/>
          <w:szCs w:val="32"/>
          <w:lang w:eastAsia="zh-CN"/>
        </w:rPr>
        <w:t>障和就业（类）</w:t>
      </w:r>
      <w:r>
        <w:rPr>
          <w:rFonts w:hint="eastAsia" w:ascii="仿宋" w:eastAsia="仿宋" w:cs="仿宋"/>
          <w:color w:val="000000"/>
          <w:sz w:val="32"/>
          <w:szCs w:val="32"/>
          <w:lang w:eastAsia="zh-CN"/>
        </w:rPr>
        <w:t>行政事业单位</w:t>
      </w:r>
      <w:r>
        <w:rPr>
          <w:rFonts w:hint="eastAsia" w:ascii="仿宋" w:eastAsia="仿宋" w:cs="仿宋"/>
          <w:color w:val="000000"/>
          <w:sz w:val="32"/>
          <w:szCs w:val="32"/>
          <w:lang w:val="en-US" w:eastAsia="zh-CN"/>
        </w:rPr>
        <w:t>养老支出</w:t>
      </w:r>
      <w:r>
        <w:rPr>
          <w:rFonts w:hint="eastAsia" w:ascii="仿宋_GB2312" w:eastAsia="仿宋_GB2312" w:cs="Times New Roman"/>
          <w:color w:val="000000"/>
          <w:sz w:val="32"/>
          <w:szCs w:val="32"/>
          <w:lang w:eastAsia="zh-CN"/>
        </w:rPr>
        <w:t>（款）</w:t>
      </w:r>
      <w:r>
        <w:rPr>
          <w:rFonts w:hint="eastAsia" w:ascii="仿宋_GB2312" w:eastAsia="仿宋_GB2312" w:cs="Times New Roman"/>
          <w:color w:val="000000"/>
          <w:sz w:val="32"/>
          <w:szCs w:val="32"/>
          <w:lang w:val="en-US" w:eastAsia="zh-CN"/>
        </w:rPr>
        <w:t>机关事业单位职业年金缴费支出</w:t>
      </w:r>
      <w:r>
        <w:rPr>
          <w:rFonts w:hint="eastAsia" w:ascii="仿宋_GB2312" w:eastAsia="仿宋_GB2312" w:cs="Times New Roman"/>
          <w:color w:val="000000"/>
          <w:sz w:val="32"/>
          <w:szCs w:val="32"/>
          <w:lang w:eastAsia="zh-CN"/>
        </w:rPr>
        <w:t>（项）：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机关事业单位实施养老保险制度由单位实际缴纳的职业年金</w:t>
      </w:r>
      <w:r>
        <w:rPr>
          <w:rFonts w:hint="eastAsia" w:ascii="仿宋_GB2312" w:eastAsia="仿宋_GB2312"/>
          <w:color w:val="000000"/>
          <w:sz w:val="32"/>
          <w:szCs w:val="32"/>
        </w:rPr>
        <w:t>。</w:t>
      </w:r>
    </w:p>
    <w:p w14:paraId="50780C76">
      <w:pPr>
        <w:pStyle w:val="30"/>
        <w:spacing w:line="560" w:lineRule="exact"/>
        <w:ind w:firstLine="640" w:firstLineChars="200"/>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29、</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（类）巩固脱贫攻坚衔接乡村振兴（款）其他巩固脱贫攻坚衔接乡村振兴（项）：指反映除上述项目以外其他用于巩固拓展脱贫攻坚成果同乡村振兴有效衔接方面的支出</w:t>
      </w:r>
      <w:r>
        <w:rPr>
          <w:rFonts w:hint="eastAsia" w:ascii="仿宋_GB2312" w:eastAsia="仿宋_GB2312" w:cs="Times New Roman"/>
          <w:color w:val="000000"/>
          <w:sz w:val="32"/>
          <w:szCs w:val="32"/>
          <w:lang w:eastAsia="zh-CN"/>
        </w:rPr>
        <w:t>。</w:t>
      </w:r>
    </w:p>
    <w:p w14:paraId="15CC487A">
      <w:pPr>
        <w:pStyle w:val="30"/>
        <w:spacing w:line="560" w:lineRule="exact"/>
        <w:ind w:firstLine="640" w:firstLineChars="200"/>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30、</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（类）巩固脱贫攻坚衔接乡村振兴（款）农村基础设施建设（项）：指反映农村欠发达地区乡村道路、住房、基本农田、水利设施、热门出饮水、生态环境保护等生活条件改善方面的支出</w:t>
      </w:r>
      <w:r>
        <w:rPr>
          <w:rFonts w:hint="eastAsia" w:ascii="仿宋_GB2312" w:eastAsia="仿宋_GB2312" w:cs="Times New Roman"/>
          <w:color w:val="000000"/>
          <w:sz w:val="32"/>
          <w:szCs w:val="32"/>
          <w:lang w:eastAsia="zh-CN"/>
        </w:rPr>
        <w:t>。</w:t>
      </w:r>
    </w:p>
    <w:p w14:paraId="2F7E9248">
      <w:pPr>
        <w:pStyle w:val="30"/>
        <w:spacing w:line="560" w:lineRule="exact"/>
        <w:ind w:firstLine="640" w:firstLineChars="200"/>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31、</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（类）巩固脱贫攻坚衔接乡村振兴（款）生产发展（项）：指反映农村欠发达地区发展种植业、养殖业、畜牧业、农副产品加工、林果地建设等生产发展项目以及相关技术推广等方面的支出</w:t>
      </w:r>
      <w:r>
        <w:rPr>
          <w:rFonts w:hint="eastAsia" w:ascii="仿宋_GB2312" w:eastAsia="仿宋_GB2312" w:cs="Times New Roman"/>
          <w:color w:val="000000"/>
          <w:sz w:val="32"/>
          <w:szCs w:val="32"/>
          <w:lang w:eastAsia="zh-CN"/>
        </w:rPr>
        <w:t>。</w:t>
      </w:r>
    </w:p>
    <w:p w14:paraId="04D391AA">
      <w:pPr>
        <w:ind w:firstLine="640" w:firstLineChars="200"/>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32、</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（类）其他农林水支出（款）其他农林水支出（项）：指反映化解债务支出以外其他用于农林水方面的支出</w:t>
      </w:r>
      <w:r>
        <w:rPr>
          <w:rFonts w:hint="eastAsia" w:ascii="仿宋_GB2312" w:eastAsia="仿宋_GB2312" w:cs="Times New Roman"/>
          <w:color w:val="000000"/>
          <w:sz w:val="32"/>
          <w:szCs w:val="32"/>
          <w:lang w:eastAsia="zh-CN"/>
        </w:rPr>
        <w:t>。</w:t>
      </w:r>
    </w:p>
    <w:p w14:paraId="39F28FB4">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33、卫生健康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行政单位医疗</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反映财政部门安排的行政单位（包括实行公务员管理的事业单位，下同）基本医疗保险缴费经费，未参加医疗保险的行政单位的公费医疗经费，按国家规定享受离休人员，红军老战士待遇的医疗经费</w:t>
      </w:r>
      <w:r>
        <w:rPr>
          <w:rFonts w:hint="eastAsia" w:ascii="仿宋_GB2312" w:eastAsia="仿宋_GB2312"/>
          <w:color w:val="auto"/>
          <w:sz w:val="32"/>
          <w:szCs w:val="32"/>
        </w:rPr>
        <w:t>。</w:t>
      </w:r>
    </w:p>
    <w:p w14:paraId="5D12C868">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34、卫生健康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事业单位医疗</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反映财政部门安排的事业单位基本医疗保险缴费经费，未参加医疗保险的事业单位的公费 医疗经费，按国家规定享受离休人员待遇的医疗经费</w:t>
      </w:r>
      <w:r>
        <w:rPr>
          <w:rFonts w:hint="eastAsia" w:ascii="仿宋_GB2312" w:eastAsia="仿宋_GB2312"/>
          <w:color w:val="auto"/>
          <w:sz w:val="32"/>
          <w:szCs w:val="32"/>
        </w:rPr>
        <w:t>。</w:t>
      </w:r>
    </w:p>
    <w:p w14:paraId="1CBB0DB4">
      <w:pPr>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35、卫生健康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公务员医疗补助</w:t>
      </w:r>
      <w:r>
        <w:rPr>
          <w:rFonts w:hint="eastAsia" w:ascii="仿宋_GB2312" w:eastAsia="仿宋_GB2312"/>
          <w:color w:val="auto"/>
          <w:sz w:val="32"/>
          <w:szCs w:val="32"/>
          <w:lang w:eastAsia="zh-CN"/>
        </w:rPr>
        <w:t>（</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反映财政部门安排的公务员医疗补助经费</w:t>
      </w:r>
      <w:r>
        <w:rPr>
          <w:rFonts w:hint="eastAsia" w:ascii="仿宋_GB2312" w:eastAsia="仿宋_GB2312"/>
          <w:color w:val="auto"/>
          <w:sz w:val="32"/>
          <w:szCs w:val="32"/>
        </w:rPr>
        <w:t>。</w:t>
      </w:r>
    </w:p>
    <w:p w14:paraId="6310E735">
      <w:pPr>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36、卫生健康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其他行政事业单位医疗</w:t>
      </w:r>
      <w:r>
        <w:rPr>
          <w:rFonts w:hint="eastAsia" w:ascii="仿宋_GB2312" w:eastAsia="仿宋_GB2312"/>
          <w:color w:val="auto"/>
          <w:sz w:val="32"/>
          <w:szCs w:val="32"/>
          <w:lang w:eastAsia="zh-CN"/>
        </w:rPr>
        <w:t>（</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反映除上述项目以外的其他用于行政事业单位医疗方面的支出。</w:t>
      </w:r>
    </w:p>
    <w:p w14:paraId="6FADCAFE">
      <w:pPr>
        <w:pStyle w:val="30"/>
        <w:spacing w:line="560" w:lineRule="exact"/>
        <w:ind w:firstLine="640" w:firstLineChars="200"/>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37、住房保障支出（类）住房改革支出（款）住房公积金（项）：指行政事业单位</w:t>
      </w:r>
      <w:r>
        <w:rPr>
          <w:rFonts w:hint="eastAsia" w:ascii="仿宋_GB2312" w:eastAsia="仿宋_GB2312" w:cs="Times New Roman"/>
          <w:color w:val="000000"/>
          <w:sz w:val="32"/>
          <w:szCs w:val="32"/>
          <w:lang w:eastAsia="zh-CN"/>
        </w:rPr>
        <w:t>安装工资比例为职工缴纳的住房公积金。</w:t>
      </w:r>
    </w:p>
    <w:p w14:paraId="6469775C">
      <w:pPr>
        <w:pStyle w:val="30"/>
        <w:spacing w:line="560" w:lineRule="exact"/>
        <w:ind w:firstLine="640" w:firstLineChars="200"/>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38、住房保障支出（类）住房改革支出（款）购房补贴（项）：指反映按房改政策规定，行政事业单位向符合条件职工（含离退休人员）、军队（含武警）向转役复员离退休人员发放的用于购买住房的补贴</w:t>
      </w:r>
      <w:r>
        <w:rPr>
          <w:rFonts w:hint="eastAsia" w:ascii="仿宋_GB2312" w:eastAsia="仿宋_GB2312" w:cs="Times New Roman"/>
          <w:color w:val="000000"/>
          <w:sz w:val="32"/>
          <w:szCs w:val="32"/>
          <w:lang w:eastAsia="zh-CN"/>
        </w:rPr>
        <w:t>。</w:t>
      </w:r>
    </w:p>
    <w:p w14:paraId="0AF7BDF8">
      <w:pPr>
        <w:pStyle w:val="30"/>
        <w:spacing w:line="560" w:lineRule="exact"/>
        <w:ind w:firstLine="640" w:firstLineChars="200"/>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39、其他支出（类）其他支出（款）其他支出（项）：指反映除上述项目以外其他不能划分到具体功能科目中的支出</w:t>
      </w:r>
      <w:r>
        <w:rPr>
          <w:rFonts w:hint="eastAsia" w:ascii="仿宋_GB2312" w:eastAsia="仿宋_GB2312" w:cs="Times New Roman"/>
          <w:color w:val="000000"/>
          <w:sz w:val="32"/>
          <w:szCs w:val="32"/>
          <w:lang w:eastAsia="zh-CN"/>
        </w:rPr>
        <w:t>。</w:t>
      </w:r>
    </w:p>
    <w:p w14:paraId="5D0F0C78">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（解释本部门决算报表中</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全部功能分类科目至项级，</w:t>
      </w:r>
      <w:r>
        <w:rPr>
          <w:rFonts w:hint="eastAsia" w:ascii="仿宋" w:hAnsi="仿宋" w:eastAsia="仿宋"/>
          <w:b/>
          <w:color w:val="auto"/>
          <w:sz w:val="32"/>
          <w:szCs w:val="32"/>
          <w:highlight w:val="none"/>
          <w:lang w:eastAsia="zh-CN"/>
        </w:rPr>
        <w:t>不涉及的科目请自行删除。</w:t>
      </w:r>
      <w:r>
        <w:rPr>
          <w:rFonts w:hint="eastAsia" w:ascii="仿宋" w:hAnsi="仿宋" w:eastAsia="仿宋"/>
          <w:b/>
          <w:color w:val="auto"/>
          <w:sz w:val="32"/>
          <w:szCs w:val="32"/>
          <w:highlight w:val="none"/>
        </w:rPr>
        <w:t>请参照《</w:t>
      </w:r>
      <w:r>
        <w:rPr>
          <w:rFonts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22</w:t>
      </w:r>
      <w:r>
        <w:rPr>
          <w:rFonts w:hint="eastAsia" w:ascii="仿宋" w:hAnsi="仿宋" w:eastAsia="仿宋"/>
          <w:b/>
          <w:color w:val="auto"/>
          <w:sz w:val="32"/>
          <w:szCs w:val="32"/>
          <w:highlight w:val="none"/>
        </w:rPr>
        <w:t>年政府收支分类科目》增减内容。）</w:t>
      </w:r>
    </w:p>
    <w:p w14:paraId="0543F4B5">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40、</w:t>
      </w:r>
      <w:r>
        <w:rPr>
          <w:rFonts w:hint="eastAsia" w:ascii="仿宋_GB2312" w:eastAsia="仿宋_GB2312"/>
          <w:color w:val="auto"/>
          <w:sz w:val="32"/>
          <w:szCs w:val="32"/>
          <w:highlight w:val="none"/>
        </w:rPr>
        <w:t>基本支出：指为保障机构正常运转、完成日常工作任务而发生的人员支出和公用支出。</w:t>
      </w:r>
    </w:p>
    <w:p w14:paraId="44874259">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41、</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6C4352FD">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42、</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3CACCE29">
      <w:pPr>
        <w:pStyle w:val="30"/>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43、</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14E441">
      <w:pPr>
        <w:pStyle w:val="30"/>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44、</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D8D65F">
      <w:pPr>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14:paraId="48CD33E4">
      <w:pPr>
        <w:spacing w:line="600" w:lineRule="exact"/>
        <w:jc w:val="center"/>
        <w:outlineLvl w:val="0"/>
        <w:rPr>
          <w:rStyle w:val="32"/>
          <w:rFonts w:hint="eastAsia" w:ascii="黑体" w:hAnsi="黑体" w:eastAsia="黑体"/>
          <w:b w:val="0"/>
          <w:color w:val="auto"/>
          <w:highlight w:val="none"/>
          <w:lang w:eastAsia="zh-CN"/>
        </w:rPr>
      </w:pPr>
      <w:bookmarkStart w:id="90" w:name="_Toc15377226"/>
      <w:r>
        <w:rPr>
          <w:rFonts w:ascii="宋体"/>
          <w:b/>
          <w:color w:val="auto"/>
          <w:sz w:val="44"/>
          <w:szCs w:val="44"/>
          <w:highlight w:val="none"/>
        </w:rPr>
        <w:br w:type="page"/>
      </w:r>
      <w:bookmarkStart w:id="91" w:name="_Toc8102"/>
      <w:bookmarkStart w:id="92" w:name="_Toc15396614"/>
      <w:r>
        <w:rPr>
          <w:rFonts w:hint="eastAsia" w:ascii="黑体" w:hAnsi="黑体" w:eastAsia="黑体"/>
          <w:color w:val="auto"/>
          <w:sz w:val="44"/>
          <w:szCs w:val="44"/>
          <w:highlight w:val="none"/>
        </w:rPr>
        <w:t>第</w:t>
      </w:r>
      <w:r>
        <w:rPr>
          <w:rStyle w:val="32"/>
          <w:rFonts w:hint="eastAsia" w:ascii="黑体" w:hAnsi="黑体" w:eastAsia="黑体"/>
          <w:b w:val="0"/>
          <w:color w:val="auto"/>
          <w:highlight w:val="none"/>
        </w:rPr>
        <w:t>四部分 附件</w:t>
      </w:r>
      <w:bookmarkEnd w:id="91"/>
      <w:bookmarkEnd w:id="92"/>
    </w:p>
    <w:p w14:paraId="7A384592">
      <w:pPr>
        <w:keepNext w:val="0"/>
        <w:keepLines w:val="0"/>
        <w:pageBreakBefore w:val="0"/>
        <w:kinsoku/>
        <w:wordWrap/>
        <w:overflowPunct/>
        <w:topLinePunct w:val="0"/>
        <w:autoSpaceDE/>
        <w:autoSpaceDN/>
        <w:bidi w:val="0"/>
        <w:spacing w:line="572" w:lineRule="exact"/>
        <w:jc w:val="left"/>
        <w:textAlignment w:val="auto"/>
        <w:outlineLvl w:val="0"/>
        <w:rPr>
          <w:rFonts w:ascii="方正小标宋简体" w:hAnsi="方正小标宋简体" w:eastAsia="方正小标宋简体" w:cs="方正小标宋简体"/>
          <w:color w:val="auto"/>
          <w:sz w:val="44"/>
          <w:szCs w:val="44"/>
          <w:highlight w:val="none"/>
        </w:rPr>
      </w:pPr>
      <w:bookmarkStart w:id="93" w:name="_Toc9017"/>
      <w:r>
        <w:rPr>
          <w:rFonts w:hint="eastAsia" w:ascii="黑体" w:hAnsi="黑体" w:eastAsia="黑体" w:cs="黑体"/>
          <w:color w:val="auto"/>
          <w:sz w:val="32"/>
          <w:szCs w:val="32"/>
          <w:highlight w:val="none"/>
        </w:rPr>
        <w:t>附件</w:t>
      </w:r>
      <w:bookmarkEnd w:id="93"/>
    </w:p>
    <w:p w14:paraId="1EB62421">
      <w:pPr>
        <w:widowControl/>
        <w:spacing w:line="560" w:lineRule="exact"/>
        <w:contextualSpacing/>
        <w:jc w:val="center"/>
        <w:rPr>
          <w:rFonts w:hint="eastAsia" w:ascii="方正小标宋_GBK" w:hAnsi="方正小标宋_GBK" w:eastAsia="方正小标宋_GBK" w:cs="方正小标宋_GBK"/>
          <w:b w:val="0"/>
          <w:bCs/>
          <w:sz w:val="44"/>
          <w:szCs w:val="44"/>
          <w:shd w:val="clear" w:color="auto" w:fill="FFFFFF"/>
          <w:lang w:val="en-US" w:eastAsia="zh-CN"/>
        </w:rPr>
      </w:pPr>
      <w:r>
        <w:rPr>
          <w:rFonts w:hint="eastAsia" w:ascii="方正小标宋_GBK" w:hAnsi="方正小标宋_GBK" w:eastAsia="方正小标宋_GBK" w:cs="方正小标宋_GBK"/>
          <w:b w:val="0"/>
          <w:bCs/>
          <w:sz w:val="44"/>
          <w:szCs w:val="44"/>
          <w:shd w:val="clear" w:color="auto" w:fill="FFFFFF"/>
          <w:lang w:val="en-US" w:eastAsia="zh-CN"/>
        </w:rPr>
        <w:t>壤塘县文化体育和旅游局</w:t>
      </w:r>
    </w:p>
    <w:p w14:paraId="707BB230">
      <w:pPr>
        <w:widowControl/>
        <w:spacing w:line="560" w:lineRule="exact"/>
        <w:contextualSpacing/>
        <w:jc w:val="center"/>
        <w:rPr>
          <w:rFonts w:hint="eastAsia" w:ascii="方正小标宋_GBK" w:hAnsi="方正小标宋_GBK" w:eastAsia="方正小标宋_GBK" w:cs="方正小标宋_GBK"/>
          <w:b w:val="0"/>
          <w:bCs/>
          <w:sz w:val="44"/>
          <w:szCs w:val="44"/>
          <w:shd w:val="clear" w:color="auto" w:fill="FFFFFF"/>
          <w:lang w:val="en-US" w:eastAsia="zh-CN"/>
        </w:rPr>
      </w:pPr>
      <w:r>
        <w:rPr>
          <w:rFonts w:hint="eastAsia" w:ascii="方正小标宋_GBK" w:hAnsi="方正小标宋_GBK" w:eastAsia="方正小标宋_GBK" w:cs="方正小标宋_GBK"/>
          <w:b w:val="0"/>
          <w:bCs/>
          <w:sz w:val="44"/>
          <w:szCs w:val="44"/>
          <w:shd w:val="clear" w:color="auto" w:fill="FFFFFF"/>
          <w:lang w:val="en-US" w:eastAsia="zh-CN"/>
        </w:rPr>
        <w:t>2022年部门整体支出绩效评价</w:t>
      </w:r>
    </w:p>
    <w:p w14:paraId="1A11C2AC">
      <w:pPr>
        <w:widowControl/>
        <w:spacing w:line="560" w:lineRule="exact"/>
        <w:contextualSpacing/>
        <w:jc w:val="center"/>
        <w:rPr>
          <w:rFonts w:hint="eastAsia" w:ascii="黑体" w:hAnsi="黑体" w:eastAsia="黑体" w:cs="黑体"/>
          <w:b w:val="0"/>
          <w:bCs w:val="0"/>
          <w:kern w:val="2"/>
          <w:sz w:val="32"/>
          <w:szCs w:val="32"/>
          <w:lang w:val="en-US" w:eastAsia="zh-CN" w:bidi="ar-SA"/>
        </w:rPr>
      </w:pPr>
      <w:r>
        <w:rPr>
          <w:rFonts w:hint="eastAsia" w:ascii="方正小标宋_GBK" w:hAnsi="方正小标宋_GBK" w:eastAsia="方正小标宋_GBK" w:cs="方正小标宋_GBK"/>
          <w:b w:val="0"/>
          <w:bCs/>
          <w:sz w:val="44"/>
          <w:szCs w:val="44"/>
          <w:shd w:val="clear" w:color="auto" w:fill="FFFFFF"/>
          <w:lang w:val="en-US" w:eastAsia="zh-CN"/>
        </w:rPr>
        <w:t>自评报告</w:t>
      </w:r>
    </w:p>
    <w:p w14:paraId="16D73B34">
      <w:pPr>
        <w:keepNext w:val="0"/>
        <w:keepLines w:val="0"/>
        <w:pageBreakBefore w:val="0"/>
        <w:widowControl/>
        <w:kinsoku/>
        <w:wordWrap/>
        <w:overflowPunct/>
        <w:topLinePunct w:val="0"/>
        <w:autoSpaceDE/>
        <w:autoSpaceDN/>
        <w:bidi w:val="0"/>
        <w:spacing w:line="560" w:lineRule="exact"/>
        <w:contextualSpacing/>
        <w:jc w:val="center"/>
        <w:textAlignment w:val="auto"/>
        <w:rPr>
          <w:rFonts w:ascii="宋体" w:hAnsi="宋体" w:eastAsia="宋体"/>
          <w:b/>
          <w:color w:val="auto"/>
          <w:sz w:val="32"/>
          <w:szCs w:val="32"/>
          <w:highlight w:val="none"/>
          <w:shd w:val="clear" w:color="auto" w:fill="FFFFFF"/>
        </w:rPr>
      </w:pPr>
    </w:p>
    <w:p w14:paraId="4201640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p>
    <w:p w14:paraId="312AEA70">
      <w:pPr>
        <w:widowControl/>
        <w:numPr>
          <w:ilvl w:val="0"/>
          <w:numId w:val="5"/>
        </w:numPr>
        <w:adjustRightInd w:val="0"/>
        <w:snapToGrid w:val="0"/>
        <w:spacing w:line="560" w:lineRule="exact"/>
        <w:ind w:firstLine="640" w:firstLineChars="200"/>
        <w:contextualSpacing/>
        <w:jc w:val="left"/>
        <w:rPr>
          <w:rFonts w:hint="eastAsia"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lang w:val="zh-CN"/>
        </w:rPr>
        <w:t>部门（单位）概况</w:t>
      </w:r>
    </w:p>
    <w:p w14:paraId="22001943">
      <w:pPr>
        <w:widowControl/>
        <w:adjustRightInd w:val="0"/>
        <w:snapToGrid w:val="0"/>
        <w:spacing w:line="560" w:lineRule="exact"/>
        <w:ind w:firstLine="640" w:firstLineChars="200"/>
        <w:contextualSpacing/>
        <w:jc w:val="left"/>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壤塘县文化体育和旅游局（简称县文体旅游局）是壤塘县人民政府工作部门，为正科级行政单位。</w:t>
      </w:r>
    </w:p>
    <w:p w14:paraId="09170B41">
      <w:pPr>
        <w:widowControl/>
        <w:numPr>
          <w:ilvl w:val="0"/>
          <w:numId w:val="6"/>
        </w:numPr>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机构组成</w:t>
      </w:r>
    </w:p>
    <w:p w14:paraId="1D0AE14F">
      <w:pPr>
        <w:widowControl w:val="0"/>
        <w:numPr>
          <w:ilvl w:val="0"/>
          <w:numId w:val="0"/>
        </w:numPr>
        <w:adjustRightInd w:val="0"/>
        <w:spacing w:line="480" w:lineRule="atLeast"/>
        <w:ind w:firstLine="640" w:firstLineChars="200"/>
        <w:jc w:val="both"/>
        <w:textAlignment w:val="baseline"/>
        <w:rPr>
          <w:rFonts w:hint="default" w:ascii="Arial" w:hAnsi="Arial" w:eastAsia="仿宋_GB2312" w:cs="Times New Roman"/>
          <w:kern w:val="0"/>
          <w:sz w:val="32"/>
          <w:szCs w:val="24"/>
          <w:lang w:val="en-US" w:eastAsia="zh-CN" w:bidi="ar-SA"/>
        </w:rPr>
      </w:pPr>
      <w:r>
        <w:rPr>
          <w:rFonts w:hint="eastAsia" w:ascii="Arial" w:hAnsi="Arial" w:eastAsia="仿宋_GB2312" w:cs="Times New Roman"/>
          <w:kern w:val="0"/>
          <w:sz w:val="32"/>
          <w:szCs w:val="24"/>
          <w:lang w:val="en-US" w:eastAsia="zh-CN" w:bidi="ar-SA"/>
        </w:rPr>
        <w:t>综合办、文化广电股、体育旅游股</w:t>
      </w:r>
    </w:p>
    <w:p w14:paraId="60F0897E">
      <w:pPr>
        <w:widowControl/>
        <w:numPr>
          <w:ilvl w:val="0"/>
          <w:numId w:val="7"/>
        </w:numPr>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14:paraId="1CE03BB3">
      <w:pPr>
        <w:spacing w:line="560" w:lineRule="exact"/>
        <w:ind w:firstLine="640" w:firstLineChars="200"/>
        <w:rPr>
          <w:rFonts w:ascii="仿宋" w:hAnsi="仿宋" w:eastAsia="仿宋" w:cs="Times New Roman"/>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）贯彻落实党和国家关于文化、体育、旅游的方针政策和省委、州委、县委的决策部署，拟订文化、体育和旅游政策措施，起草文化、体育和旅游地方性法规、规章草案，负责本部门依法行政工作。</w:t>
      </w:r>
    </w:p>
    <w:p w14:paraId="357EF37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）组织推动全县文化、体育事业产业和旅游业发展，拟推进文化、体育和旅游产业融合发展，促进文化、体育和旅游与相关产业融合发展。</w:t>
      </w:r>
    </w:p>
    <w:p w14:paraId="25C709E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指导管理文艺事业，把握正确的创作导向，推动文化艺术创作生产，扶持体现社会主义核心价值观、具有导向性代表性示范性的文化艺术作品，推动各门类艺术、各艺术品种发展，推动中华优秀传统文化和壤塘本地特色文化传承发展。</w:t>
      </w:r>
    </w:p>
    <w:p w14:paraId="553DF79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）负责公共文化、体育事业发展，推进全县公共文化体育服务体系建设和旅游公共服务建设，深入实施惠民工程，统筹推进文化、体育、旅游基本公共服务标准化、均等化。</w:t>
      </w:r>
    </w:p>
    <w:p w14:paraId="5338BF04">
      <w:pPr>
        <w:spacing w:line="560" w:lineRule="exact"/>
        <w:ind w:firstLine="640" w:firstLineChars="200"/>
        <w:rPr>
          <w:rFonts w:ascii="仿宋" w:hAnsi="仿宋" w:eastAsia="仿宋" w:cs="Times New Roman"/>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）推进文化、体育和旅游科技创新，推进文化、体育和旅游行业信息化、标准化建设。</w:t>
      </w:r>
    </w:p>
    <w:p w14:paraId="348E35D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负责非物质文化遗产保护工作，推动非物质文化遗产的保护、传承、普及、弘扬和振兴，履行文物行政督察职能，负责世界文化遗产保护和管理监督工作，组织开展世界文化与自然遗产、历史文化名城（镇、村）申报和监督管理工作，负责推动完善文物和博物馆公共服务体系建设。</w:t>
      </w:r>
    </w:p>
    <w:p w14:paraId="4F20DDA4">
      <w:pPr>
        <w:spacing w:line="560" w:lineRule="exact"/>
        <w:ind w:firstLine="640" w:firstLineChars="200"/>
        <w:rPr>
          <w:rFonts w:ascii="仿宋" w:hAnsi="仿宋" w:eastAsia="仿宋" w:cs="Times New Roman"/>
          <w:color w:val="00000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推动全县群众体育、竞技体育和青少年（学校）体育工作发展规划实施，推行全民健身计划，推动建立和完善全民健身服务体系，指导和开展群众性体育活动，研究和指导体育训练和运动员队伍建设，统筹组织全县综合性运动会、参加州级以上体育竞赛和综合性运动会，指导各级各类体育学校的建设和青少年业余训练及相关活动。</w:t>
      </w:r>
    </w:p>
    <w:p w14:paraId="0015769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指导全县文化、体育、旅游市场发展，对全县文化、体育、旅游市场依法进行行业监管，推进文化、体育、旅游行业信用体系建设，依法规范文化、体育、旅游市场。统筹全县文化、文物、体育、旅游市场综合行政执法，组织查处全县性、跨区域文化、文物、体育、旅游等市场的违法行为，督察督办大案要案，维护市场秩序。</w:t>
      </w:r>
    </w:p>
    <w:p w14:paraId="6B0947D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管理、组织文化、体育和旅游对外及对港澳台交流合作与宣传推广工作，组织实施全县文化、体育和旅游资源的普查、保护与利用，管理全县性重大文化、体育和旅游活动，组织全县重点文化、体育和旅游设施建设，组织实施全县文化、体育和旅游整体形象推广，促进文化、体育、旅游产业市场推广和对外合作交流，制定文化体育和旅游市场开发战略并组织实施，推进全域旅游。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壤塘文化软实力，建设文化强县，努力开创文化、体育和旅游工作新局面。</w:t>
      </w:r>
    </w:p>
    <w:p w14:paraId="7452EF7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负责文化、体育和旅游系统及市场安全生产工作的综合协调与监督管理，依法履行行业职业健康监管职责，承担职责范围内生态环境保护、审批服务便民化等工作，承担文化、体育、旅游行业意识形态工作，负责机关节能。</w:t>
      </w:r>
    </w:p>
    <w:p w14:paraId="257DE589">
      <w:pPr>
        <w:spacing w:line="560" w:lineRule="exact"/>
        <w:ind w:firstLine="640" w:firstLineChars="200"/>
        <w:rPr>
          <w:rFonts w:hint="eastAsia" w:ascii="仿宋_GB2312" w:hAnsi="宋体" w:eastAsia="仿宋_GB2312" w:cs="宋体"/>
          <w:color w:val="000000"/>
          <w:kern w:val="0"/>
          <w:sz w:val="32"/>
          <w:szCs w:val="32"/>
          <w:shd w:val="clear" w:color="auto" w:fill="FFFFFF"/>
          <w:lang w:val="zh-CN"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）完成上级交办的其他任务</w:t>
      </w:r>
      <w:r>
        <w:rPr>
          <w:rFonts w:hint="eastAsia" w:ascii="仿宋_GB2312" w:hAnsi="仿宋_GB2312" w:eastAsia="仿宋_GB2312" w:cs="仿宋_GB2312"/>
          <w:sz w:val="32"/>
          <w:szCs w:val="32"/>
          <w:lang w:eastAsia="zh-CN"/>
        </w:rPr>
        <w:t>。</w:t>
      </w:r>
    </w:p>
    <w:p w14:paraId="125E4A2C">
      <w:pPr>
        <w:widowControl/>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3B62C0CF">
      <w:pPr>
        <w:widowControl w:val="0"/>
        <w:adjustRightInd w:val="0"/>
        <w:spacing w:line="480" w:lineRule="atLeast"/>
        <w:ind w:firstLine="640" w:firstLineChars="200"/>
        <w:jc w:val="both"/>
        <w:textAlignment w:val="baseline"/>
        <w:rPr>
          <w:rFonts w:hint="default" w:ascii="Arial" w:hAnsi="Arial" w:eastAsia="仿宋_GB2312" w:cs="Times New Roman"/>
          <w:kern w:val="0"/>
          <w:sz w:val="32"/>
          <w:szCs w:val="24"/>
          <w:lang w:val="en-US" w:eastAsia="zh-CN" w:bidi="ar-SA"/>
        </w:rPr>
      </w:pPr>
      <w:r>
        <w:rPr>
          <w:rFonts w:hint="eastAsia" w:ascii="仿宋_GB2312" w:hAnsi="宋体" w:eastAsia="仿宋_GB2312" w:cs="宋体"/>
          <w:color w:val="000000"/>
          <w:kern w:val="0"/>
          <w:sz w:val="32"/>
          <w:szCs w:val="32"/>
          <w:shd w:val="clear" w:color="auto" w:fill="FFFFFF"/>
          <w:lang w:val="zh-CN" w:eastAsia="zh-CN" w:bidi="ar-SA"/>
        </w:rPr>
        <w:t>县文体旅游局行政编制</w:t>
      </w:r>
      <w:r>
        <w:rPr>
          <w:rFonts w:hint="eastAsia" w:ascii="仿宋_GB2312" w:hAnsi="宋体" w:eastAsia="仿宋_GB2312" w:cs="宋体"/>
          <w:color w:val="000000"/>
          <w:kern w:val="0"/>
          <w:sz w:val="32"/>
          <w:szCs w:val="32"/>
          <w:shd w:val="clear" w:color="auto" w:fill="FFFFFF"/>
          <w:lang w:val="en-US" w:eastAsia="zh-CN" w:bidi="ar-SA"/>
        </w:rPr>
        <w:t>6名。其中：局长1名，副局长2名；股级领导职数3名。机关工勤人员事业编制2名。</w:t>
      </w:r>
    </w:p>
    <w:p w14:paraId="7E8939D5">
      <w:pPr>
        <w:widowControl w:val="0"/>
        <w:numPr>
          <w:ilvl w:val="0"/>
          <w:numId w:val="0"/>
        </w:numPr>
        <w:ind w:firstLine="640" w:firstLineChars="200"/>
        <w:jc w:val="both"/>
        <w:rPr>
          <w:rFonts w:ascii="Calibri" w:hAnsi="Calibri" w:eastAsia="宋体" w:cs="Times New Roman"/>
          <w:kern w:val="2"/>
          <w:sz w:val="32"/>
          <w:szCs w:val="24"/>
          <w:lang w:val="zh-CN" w:eastAsia="zh-CN" w:bidi="ar-SA"/>
        </w:rPr>
      </w:pPr>
    </w:p>
    <w:p w14:paraId="7C2E4BD8">
      <w:pPr>
        <w:widowControl/>
        <w:numPr>
          <w:ilvl w:val="0"/>
          <w:numId w:val="8"/>
        </w:numPr>
        <w:adjustRightInd w:val="0"/>
        <w:snapToGrid w:val="0"/>
        <w:spacing w:line="56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lang w:eastAsia="zh-CN"/>
        </w:rPr>
        <w:t>预算管理</w:t>
      </w:r>
    </w:p>
    <w:p w14:paraId="07FB8B52">
      <w:pPr>
        <w:numPr>
          <w:ilvl w:val="0"/>
          <w:numId w:val="0"/>
        </w:numPr>
        <w:spacing w:line="360" w:lineRule="auto"/>
        <w:rPr>
          <w:rFonts w:ascii="Times New Roman" w:hAnsi="Times New Roman" w:eastAsia="仿宋_GB2312" w:cs="Times New Roman"/>
          <w:sz w:val="32"/>
        </w:rPr>
      </w:pPr>
      <w:r>
        <w:rPr>
          <w:rFonts w:hint="eastAsia" w:ascii="仿宋_GB2312" w:hAnsi="仿宋_GB2312" w:eastAsia="仿宋_GB2312" w:cs="仿宋_GB2312"/>
          <w:b/>
          <w:bCs/>
          <w:kern w:val="0"/>
          <w:sz w:val="32"/>
          <w:szCs w:val="32"/>
          <w:lang w:val="en-US" w:eastAsia="zh-CN"/>
        </w:rPr>
        <w:t xml:space="preserve">   （一）</w:t>
      </w:r>
      <w:r>
        <w:rPr>
          <w:rFonts w:hint="eastAsia" w:ascii="仿宋_GB2312" w:hAnsi="仿宋_GB2312" w:eastAsia="仿宋_GB2312" w:cs="仿宋_GB2312"/>
          <w:b/>
          <w:bCs/>
          <w:kern w:val="0"/>
          <w:sz w:val="32"/>
          <w:szCs w:val="32"/>
        </w:rPr>
        <w:t>预算编制情况</w:t>
      </w:r>
    </w:p>
    <w:p w14:paraId="72460516">
      <w:pPr>
        <w:snapToGrid w:val="0"/>
        <w:spacing w:line="520" w:lineRule="exact"/>
        <w:ind w:firstLine="320" w:firstLineChars="200"/>
        <w:rPr>
          <w:rFonts w:hint="eastAsia" w:ascii="仿宋_GB2312" w:hAnsi="仿宋_GB2312" w:eastAsia="仿宋_GB2312" w:cs="仿宋_GB2312"/>
          <w:sz w:val="32"/>
          <w:szCs w:val="32"/>
        </w:rPr>
      </w:pPr>
      <w:r>
        <w:rPr>
          <w:rFonts w:ascii="??" w:hAnsi="??" w:eastAsia="宋体" w:cs="??"/>
          <w:sz w:val="16"/>
          <w:szCs w:val="16"/>
        </w:rPr>
        <w:t xml:space="preserve"> </w:t>
      </w:r>
      <w:r>
        <w:rPr>
          <w:rFonts w:hint="eastAsia" w:ascii="??" w:hAnsi="??" w:eastAsia="宋体" w:cs="??"/>
          <w:sz w:val="16"/>
          <w:szCs w:val="16"/>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按照综合预算的原则，</w:t>
      </w:r>
      <w:r>
        <w:rPr>
          <w:rFonts w:hint="eastAsia" w:ascii="仿宋_GB2312" w:hAnsi="仿宋_GB2312" w:eastAsia="仿宋_GB2312" w:cs="仿宋_GB2312"/>
          <w:sz w:val="32"/>
          <w:szCs w:val="32"/>
          <w:lang w:eastAsia="zh-CN"/>
        </w:rPr>
        <w:t>壤塘县文化体育和旅游局</w:t>
      </w:r>
      <w:r>
        <w:rPr>
          <w:rFonts w:hint="eastAsia" w:ascii="仿宋_GB2312" w:hAnsi="仿宋_GB2312" w:eastAsia="仿宋_GB2312" w:cs="仿宋_GB2312"/>
          <w:sz w:val="32"/>
          <w:szCs w:val="32"/>
        </w:rPr>
        <w:t>所有收入和支出均纳入部门预算管理。收入包括：一般公共预算财政拨款收入</w:t>
      </w:r>
      <w:r>
        <w:rPr>
          <w:rFonts w:hint="eastAsia" w:ascii="仿宋_GB2312" w:hAnsi="仿宋_GB2312" w:eastAsia="仿宋_GB2312" w:cs="仿宋_GB2312"/>
          <w:sz w:val="32"/>
          <w:szCs w:val="32"/>
          <w:lang w:val="en-US" w:eastAsia="zh-CN"/>
        </w:rPr>
        <w:t>3438.09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99.83</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6.66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48B4F1D4">
      <w:pPr>
        <w:snapToGrid w:val="0"/>
        <w:spacing w:line="520" w:lineRule="exact"/>
        <w:ind w:firstLine="640" w:firstLineChars="200"/>
        <w:rPr>
          <w:rFonts w:ascii="楷体_GB2312" w:hAnsi="仿宋" w:eastAsia="楷体_GB2312" w:cs="Times New Roman"/>
          <w:b/>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kern w:val="0"/>
          <w:sz w:val="32"/>
          <w:szCs w:val="32"/>
          <w:lang w:val="en-US" w:eastAsia="zh-CN"/>
        </w:rPr>
        <w:t>（二）收入支出预算执行情况。</w:t>
      </w:r>
    </w:p>
    <w:p w14:paraId="5AA49366">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3444.75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3438.09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99.83</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6.66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20807C1B">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年本年支出合计</w:t>
      </w:r>
      <w:r>
        <w:rPr>
          <w:rFonts w:hint="eastAsia" w:ascii="仿宋_GB2312" w:hAnsi="仿宋_GB2312" w:eastAsia="仿宋_GB2312" w:cs="仿宋_GB2312"/>
          <w:sz w:val="32"/>
          <w:szCs w:val="32"/>
          <w:lang w:val="en-US" w:eastAsia="zh-CN"/>
        </w:rPr>
        <w:t>5416.05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971.25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17.93</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4444.8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82.07</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2C5BC787">
      <w:pPr>
        <w:widowControl/>
        <w:adjustRightInd w:val="0"/>
        <w:snapToGrid w:val="0"/>
        <w:spacing w:line="56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w:t>
      </w:r>
      <w:r>
        <w:rPr>
          <w:rFonts w:hint="eastAsia" w:ascii="黑体" w:hAnsi="宋体" w:eastAsia="黑体" w:cs="宋体"/>
          <w:color w:val="000000"/>
          <w:kern w:val="0"/>
          <w:sz w:val="32"/>
          <w:szCs w:val="32"/>
          <w:shd w:val="clear" w:color="auto" w:fill="FFFFFF"/>
          <w:lang w:val="en-US" w:eastAsia="zh-CN"/>
        </w:rPr>
        <w:t>整体预算绩效</w:t>
      </w:r>
      <w:r>
        <w:rPr>
          <w:rFonts w:hint="eastAsia" w:ascii="黑体" w:hAnsi="宋体" w:eastAsia="黑体" w:cs="宋体"/>
          <w:color w:val="000000"/>
          <w:kern w:val="0"/>
          <w:sz w:val="32"/>
          <w:szCs w:val="32"/>
          <w:shd w:val="clear" w:color="auto" w:fill="FFFFFF"/>
        </w:rPr>
        <w:t>管理情况</w:t>
      </w:r>
    </w:p>
    <w:p w14:paraId="48D421B5">
      <w:pPr>
        <w:widowControl/>
        <w:adjustRightInd w:val="0"/>
        <w:snapToGrid w:val="0"/>
        <w:spacing w:line="560" w:lineRule="exact"/>
        <w:ind w:firstLine="643" w:firstLineChars="200"/>
        <w:contextualSpacing/>
        <w:jc w:val="left"/>
        <w:rPr>
          <w:rFonts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（一）部门预算管理</w:t>
      </w:r>
    </w:p>
    <w:p w14:paraId="66227048">
      <w:pPr>
        <w:widowControl/>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包括部门绩效目标制定、目标完成、预算编制准确、支出控制、预算动态调整、执行进度、预算完成情况和违规记录等情况。</w:t>
      </w:r>
    </w:p>
    <w:p w14:paraId="04887AA3">
      <w:pPr>
        <w:widowControl w:val="0"/>
        <w:numPr>
          <w:ilvl w:val="0"/>
          <w:numId w:val="9"/>
        </w:numPr>
        <w:spacing w:line="560" w:lineRule="exact"/>
        <w:ind w:firstLine="643" w:firstLineChars="200"/>
        <w:jc w:val="both"/>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预算编制情况</w:t>
      </w:r>
    </w:p>
    <w:p w14:paraId="51AC540C">
      <w:pPr>
        <w:widowControl w:val="0"/>
        <w:numPr>
          <w:ilvl w:val="0"/>
          <w:numId w:val="0"/>
        </w:numPr>
        <w:spacing w:line="560" w:lineRule="exact"/>
        <w:ind w:firstLine="640" w:firstLineChars="200"/>
        <w:jc w:val="both"/>
        <w:rPr>
          <w:rFonts w:hint="eastAsia" w:ascii="仿宋_GB2312" w:hAnsi="宋体" w:eastAsia="仿宋_GB2312" w:cs="宋体"/>
          <w:color w:val="000000"/>
          <w:kern w:val="0"/>
          <w:sz w:val="32"/>
          <w:szCs w:val="32"/>
          <w:shd w:val="clear" w:color="auto" w:fill="FFFFFF"/>
          <w:lang w:val="en-US" w:eastAsia="zh-CN" w:bidi="ar-SA"/>
        </w:rPr>
      </w:pPr>
      <w:r>
        <w:rPr>
          <w:rFonts w:hint="eastAsia" w:ascii="仿宋_GB2312" w:hAnsi="宋体" w:eastAsia="仿宋_GB2312" w:cs="宋体"/>
          <w:color w:val="000000"/>
          <w:kern w:val="0"/>
          <w:sz w:val="32"/>
          <w:szCs w:val="32"/>
          <w:shd w:val="clear" w:color="auto" w:fill="FFFFFF"/>
          <w:lang w:val="en-US" w:eastAsia="zh-CN" w:bidi="ar-SA"/>
        </w:rPr>
        <w:t>收入年初预算数为</w:t>
      </w:r>
      <w:r>
        <w:rPr>
          <w:rFonts w:hint="eastAsia" w:ascii="仿宋_GB2312" w:hAnsi="仿宋_GB2312" w:eastAsia="宋体" w:cs="仿宋_GB2312"/>
          <w:kern w:val="2"/>
          <w:sz w:val="32"/>
          <w:szCs w:val="32"/>
          <w:lang w:val="en-US" w:eastAsia="zh-CN" w:bidi="ar-SA"/>
        </w:rPr>
        <w:t>330.63</w:t>
      </w:r>
      <w:r>
        <w:rPr>
          <w:rFonts w:hint="eastAsia" w:ascii="仿宋_GB2312" w:hAnsi="宋体" w:eastAsia="仿宋_GB2312" w:cs="宋体"/>
          <w:color w:val="000000"/>
          <w:kern w:val="0"/>
          <w:sz w:val="32"/>
          <w:szCs w:val="32"/>
          <w:shd w:val="clear" w:color="auto" w:fill="FFFFFF"/>
          <w:lang w:val="en-US" w:eastAsia="zh-CN" w:bidi="ar-SA"/>
        </w:rPr>
        <w:t>万元，收入预算决算数为3444.75万元。</w:t>
      </w:r>
    </w:p>
    <w:p w14:paraId="0A0EEFCB">
      <w:pPr>
        <w:widowControl w:val="0"/>
        <w:numPr>
          <w:ilvl w:val="0"/>
          <w:numId w:val="9"/>
        </w:numPr>
        <w:spacing w:line="560" w:lineRule="exact"/>
        <w:ind w:firstLine="643" w:firstLineChars="200"/>
        <w:jc w:val="both"/>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预算执行情况</w:t>
      </w:r>
    </w:p>
    <w:p w14:paraId="0B8228D3">
      <w:pPr>
        <w:widowControl w:val="0"/>
        <w:numPr>
          <w:ilvl w:val="0"/>
          <w:numId w:val="0"/>
        </w:numPr>
        <w:spacing w:line="560" w:lineRule="exact"/>
        <w:ind w:firstLine="640" w:firstLineChars="200"/>
        <w:jc w:val="both"/>
        <w:rPr>
          <w:rFonts w:hint="eastAsia" w:ascii="仿宋_GB2312" w:hAnsi="仿宋_GB2312" w:eastAsia="仿宋_GB2312" w:cs="仿宋_GB2312"/>
          <w:b/>
          <w:bCs/>
          <w:kern w:val="2"/>
          <w:sz w:val="32"/>
          <w:szCs w:val="32"/>
          <w:lang w:val="en-US" w:eastAsia="zh-CN" w:bidi="ar-SA"/>
        </w:rPr>
      </w:pPr>
      <w:r>
        <w:rPr>
          <w:rFonts w:hint="eastAsia" w:ascii="仿宋_GB2312" w:hAnsi="宋体" w:eastAsia="仿宋_GB2312" w:cs="宋体"/>
          <w:color w:val="000000"/>
          <w:kern w:val="0"/>
          <w:sz w:val="32"/>
          <w:szCs w:val="32"/>
          <w:shd w:val="clear" w:color="auto" w:fill="FFFFFF"/>
          <w:lang w:val="en-US" w:eastAsia="zh-CN" w:bidi="ar-SA"/>
        </w:rPr>
        <w:t>壤塘县文化体育和旅游局2022年财政拨款支出预算数为3107.78万元，本年支出决算数5416.05万元。</w:t>
      </w:r>
    </w:p>
    <w:p w14:paraId="2FBD99FA">
      <w:pPr>
        <w:widowControl w:val="0"/>
        <w:numPr>
          <w:ilvl w:val="0"/>
          <w:numId w:val="9"/>
        </w:numPr>
        <w:spacing w:line="560" w:lineRule="exact"/>
        <w:ind w:left="0" w:leftChars="0" w:firstLine="643" w:firstLineChars="200"/>
        <w:jc w:val="both"/>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目标制定</w:t>
      </w:r>
    </w:p>
    <w:p w14:paraId="2565D741">
      <w:pPr>
        <w:widowControl w:val="0"/>
        <w:numPr>
          <w:ilvl w:val="0"/>
          <w:numId w:val="0"/>
        </w:numPr>
        <w:spacing w:line="560" w:lineRule="exact"/>
        <w:ind w:firstLine="640" w:firstLineChars="200"/>
        <w:jc w:val="both"/>
        <w:rPr>
          <w:rFonts w:ascii="仿宋_GB2312" w:hAnsi="Calibri" w:eastAsia="仿宋_GB2312" w:cs="Times New Roman"/>
          <w:color w:val="0000FF"/>
          <w:kern w:val="0"/>
          <w:sz w:val="32"/>
          <w:szCs w:val="32"/>
          <w:lang w:val="zh-CN" w:eastAsia="zh-CN" w:bidi="ar-SA"/>
        </w:rPr>
      </w:pPr>
      <w:r>
        <w:rPr>
          <w:rFonts w:hint="eastAsia" w:ascii="仿宋_GB2312" w:hAnsi="Calibri" w:eastAsia="仿宋_GB2312" w:cs="Times New Roman"/>
          <w:color w:val="000000"/>
          <w:kern w:val="0"/>
          <w:sz w:val="32"/>
          <w:szCs w:val="32"/>
          <w:lang w:val="en-US" w:eastAsia="zh-CN" w:bidi="ar-SA"/>
        </w:rPr>
        <w:t>2022</w:t>
      </w:r>
      <w:r>
        <w:rPr>
          <w:rFonts w:hint="eastAsia" w:ascii="仿宋_GB2312" w:hAnsi="Calibri" w:eastAsia="仿宋_GB2312" w:cs="Times New Roman"/>
          <w:color w:val="000000"/>
          <w:kern w:val="0"/>
          <w:sz w:val="32"/>
          <w:szCs w:val="32"/>
          <w:lang w:val="zh-CN" w:eastAsia="zh-CN" w:bidi="ar-SA"/>
        </w:rPr>
        <w:t>年，我单位严格按照《预算法》、《阿坝州州级预算绩效目标管理办法》、《预算编制通知》等文件要求，完整编制部门整体绩效目标，合理量化项目绩效目标</w:t>
      </w:r>
      <w:bookmarkStart w:id="94" w:name="_Hlk20657734"/>
      <w:r>
        <w:rPr>
          <w:rFonts w:hint="eastAsia" w:ascii="仿宋_GB2312" w:hAnsi="Calibri" w:eastAsia="仿宋_GB2312" w:cs="Times New Roman"/>
          <w:color w:val="000000"/>
          <w:kern w:val="0"/>
          <w:sz w:val="32"/>
          <w:szCs w:val="32"/>
          <w:lang w:val="zh-CN" w:eastAsia="zh-CN" w:bidi="ar-SA"/>
        </w:rPr>
        <w:t>完整编制部门整体绩效目标，按时完成报送工作。</w:t>
      </w:r>
      <w:r>
        <w:rPr>
          <w:rFonts w:hint="eastAsia" w:ascii="仿宋_GB2312" w:hAnsi="Calibri" w:eastAsia="仿宋_GB2312" w:cs="Times New Roman"/>
          <w:color w:val="000000"/>
          <w:kern w:val="2"/>
          <w:sz w:val="32"/>
          <w:szCs w:val="32"/>
          <w:lang w:val="zh-CN" w:eastAsia="zh-CN" w:bidi="ar-SA"/>
        </w:rPr>
        <w:t>通过对预算编制、预算执行、综合管理、整体效益等方面进行全面分析评价，按照目标要求完成项目支出，保证公务正常运行。</w:t>
      </w:r>
    </w:p>
    <w:bookmarkEnd w:id="94"/>
    <w:p w14:paraId="5F483DA6">
      <w:pPr>
        <w:widowControl/>
        <w:numPr>
          <w:ilvl w:val="0"/>
          <w:numId w:val="9"/>
        </w:numPr>
        <w:adjustRightInd w:val="0"/>
        <w:snapToGrid w:val="0"/>
        <w:spacing w:line="560" w:lineRule="exact"/>
        <w:ind w:left="0" w:leftChars="0" w:firstLine="643" w:firstLineChars="200"/>
        <w:contextualSpacing/>
        <w:jc w:val="left"/>
        <w:rPr>
          <w:rFonts w:hint="eastAsia" w:ascii="仿宋_GB2312" w:hAnsi="仿宋_GB2312" w:eastAsia="仿宋_GB2312" w:cs="仿宋_GB2312"/>
          <w:b/>
          <w:bCs/>
          <w:kern w:val="0"/>
          <w:sz w:val="32"/>
          <w:szCs w:val="32"/>
          <w:lang w:val="zh-CN"/>
        </w:rPr>
      </w:pPr>
      <w:r>
        <w:rPr>
          <w:rFonts w:hint="eastAsia" w:ascii="仿宋_GB2312" w:hAnsi="仿宋_GB2312" w:eastAsia="仿宋_GB2312" w:cs="仿宋_GB2312"/>
          <w:b/>
          <w:bCs/>
          <w:kern w:val="0"/>
          <w:sz w:val="32"/>
          <w:szCs w:val="32"/>
          <w:lang w:val="zh-CN"/>
        </w:rPr>
        <w:t>目标完成情况</w:t>
      </w:r>
    </w:p>
    <w:p w14:paraId="082695FD">
      <w:pPr>
        <w:widowControl/>
        <w:numPr>
          <w:ilvl w:val="0"/>
          <w:numId w:val="0"/>
        </w:numPr>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rPr>
      </w:pPr>
      <w:r>
        <w:rPr>
          <w:rFonts w:hint="eastAsia" w:ascii="仿宋_GB2312" w:hAnsi="Times New Roman" w:eastAsia="仿宋_GB2312" w:cs="Times New Roman"/>
          <w:color w:val="000000"/>
          <w:sz w:val="32"/>
          <w:szCs w:val="32"/>
          <w:shd w:val="clear" w:color="auto" w:fill="FFFFFF"/>
          <w:lang w:val="zh-CN"/>
        </w:rPr>
        <w:t>评价结论：</w:t>
      </w:r>
      <w:r>
        <w:rPr>
          <w:rFonts w:hint="eastAsia" w:ascii="仿宋_GB2312" w:hAnsi="Times New Roman" w:eastAsia="仿宋_GB2312" w:cs="Times New Roman"/>
          <w:color w:val="000000"/>
          <w:sz w:val="32"/>
          <w:szCs w:val="32"/>
          <w:lang w:val="zh-CN"/>
        </w:rPr>
        <w:t>按照县政府的工作任务要求，结合我单位</w:t>
      </w:r>
      <w:r>
        <w:rPr>
          <w:rFonts w:hint="eastAsia" w:ascii="仿宋_GB2312" w:hAnsi="Times New Roman" w:eastAsia="仿宋_GB2312" w:cs="Times New Roman"/>
          <w:color w:val="000000"/>
          <w:sz w:val="32"/>
          <w:szCs w:val="32"/>
          <w:lang w:eastAsia="zh-CN"/>
        </w:rPr>
        <w:t>22</w:t>
      </w:r>
      <w:r>
        <w:rPr>
          <w:rFonts w:hint="eastAsia" w:ascii="仿宋_GB2312" w:hAnsi="Times New Roman" w:eastAsia="仿宋_GB2312" w:cs="Times New Roman"/>
          <w:color w:val="000000"/>
          <w:sz w:val="32"/>
          <w:szCs w:val="32"/>
          <w:lang w:val="zh-CN"/>
        </w:rPr>
        <w:t>年度工作开展实际，根据年初工作计划有序开展各项工作，进一步细化工作任务，按照工作计划和要求细致分工，是财政收支预算执行得到了良好的制度保障和实施效果。</w:t>
      </w:r>
      <w:r>
        <w:rPr>
          <w:rFonts w:hint="eastAsia" w:ascii="仿宋_GB2312" w:hAnsi="宋体" w:eastAsia="仿宋_GB2312" w:cs="宋体"/>
          <w:color w:val="000000"/>
          <w:kern w:val="0"/>
          <w:sz w:val="32"/>
          <w:szCs w:val="32"/>
          <w:shd w:val="clear" w:color="auto" w:fill="FFFFFF"/>
          <w:lang w:val="zh-CN"/>
        </w:rPr>
        <w:t>存在问题：</w:t>
      </w:r>
      <w:r>
        <w:rPr>
          <w:rFonts w:ascii="仿宋" w:hAnsi="仿宋" w:eastAsia="仿宋" w:cs="仿宋_GB2312"/>
          <w:sz w:val="32"/>
          <w:szCs w:val="32"/>
        </w:rPr>
        <w:t xml:space="preserve"> </w:t>
      </w:r>
      <w:r>
        <w:rPr>
          <w:rFonts w:hint="eastAsia" w:ascii="仿宋_GB2312" w:hAnsi="Calibri" w:eastAsia="仿宋_GB2312" w:cs="Times New Roman"/>
          <w:color w:val="000000"/>
          <w:kern w:val="0"/>
          <w:sz w:val="32"/>
          <w:szCs w:val="32"/>
          <w:lang w:val="zh-CN"/>
        </w:rPr>
        <w:t>（1）根据绩效评价工作要求，成立了工作领导小组，但是总体认识还不够，时间较为仓促，评价内容没有更进一步，更细致。评价内容局限于表面现象，没有深入分析。</w:t>
      </w:r>
      <w:r>
        <w:rPr>
          <w:rFonts w:hint="eastAsia" w:ascii="仿宋_GB2312" w:hAnsi="宋体" w:eastAsia="仿宋_GB2312" w:cs="宋体"/>
          <w:color w:val="000000"/>
          <w:kern w:val="0"/>
          <w:sz w:val="32"/>
          <w:szCs w:val="32"/>
          <w:shd w:val="clear" w:color="auto" w:fill="FFFFFF"/>
        </w:rPr>
        <w:t>（2）资金支付进度不及时，影响支付进度。（3）</w:t>
      </w:r>
      <w:r>
        <w:rPr>
          <w:rFonts w:hint="eastAsia" w:ascii="仿宋_GB2312" w:hAnsi="宋体" w:eastAsia="仿宋_GB2312" w:cs="宋体"/>
          <w:color w:val="000000"/>
          <w:kern w:val="0"/>
          <w:sz w:val="32"/>
          <w:szCs w:val="32"/>
          <w:shd w:val="clear" w:color="auto" w:fill="FFFFFF"/>
          <w:lang w:val="zh-CN"/>
        </w:rPr>
        <w:t>改进建议：</w:t>
      </w:r>
      <w:r>
        <w:rPr>
          <w:rFonts w:hint="eastAsia" w:ascii="仿宋_GB2312" w:hAnsi="Calibri" w:eastAsia="仿宋_GB2312" w:cs="Times New Roman"/>
          <w:color w:val="000000"/>
          <w:kern w:val="0"/>
          <w:sz w:val="32"/>
          <w:szCs w:val="32"/>
          <w:lang w:val="zh-CN"/>
        </w:rPr>
        <w:t>一是强化绩效理念，深入推进评价工作。把财政绩效评价作为转变政府职能、深化财政改革、促进科学理财的重要工作来抓，健全完善制度办法，切实加强组织领导，深入推进评价工作，提升整体绩效管理水平；</w:t>
      </w:r>
      <w:r>
        <w:rPr>
          <w:rFonts w:hint="eastAsia" w:ascii="仿宋_GB2312" w:hAnsi="Calibri" w:eastAsia="仿宋_GB2312" w:cs="Times New Roman"/>
          <w:color w:val="000000"/>
          <w:kern w:val="0"/>
          <w:sz w:val="32"/>
          <w:szCs w:val="32"/>
        </w:rPr>
        <w:t>二</w:t>
      </w:r>
      <w:r>
        <w:rPr>
          <w:rFonts w:hint="eastAsia" w:ascii="仿宋_GB2312" w:hAnsi="Calibri" w:eastAsia="仿宋_GB2312" w:cs="Times New Roman"/>
          <w:color w:val="000000"/>
          <w:kern w:val="0"/>
          <w:sz w:val="32"/>
          <w:szCs w:val="32"/>
          <w:lang w:val="zh-CN"/>
        </w:rPr>
        <w:t>是强化整改落实，构建长效机制。对发现的问题逐一整改，全面核查，举一反三，确保整改到位。对评价发现的问题，深入分析原因，采取措施尽快整改，主要领导亲自抓，组织专门力量，专人专项落实，立即整改，不得遗漏。</w:t>
      </w:r>
    </w:p>
    <w:p w14:paraId="346DC4F0">
      <w:pPr>
        <w:widowControl w:val="0"/>
        <w:spacing w:line="560" w:lineRule="exact"/>
        <w:ind w:left="640" w:firstLine="0" w:firstLineChars="0"/>
        <w:jc w:val="both"/>
        <w:rPr>
          <w:rFonts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5.支出控制</w:t>
      </w:r>
    </w:p>
    <w:p w14:paraId="414B53B9">
      <w:pPr>
        <w:widowControl w:val="0"/>
        <w:spacing w:line="560" w:lineRule="exact"/>
        <w:ind w:firstLine="640" w:firstLineChars="200"/>
        <w:jc w:val="both"/>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办公室负责单位内控评价与监督工作，具体职责如下：负责制定单位内部控制监督评价相关制度；负责制订内部控制评价方案；负责组织对单位年度内部控制工作自评工作；负责对本单位风险管理工作的实施情况和有效性进行监督和检查；负责对各个部门各业务流程的执行情况进行监督和检查。</w:t>
      </w:r>
    </w:p>
    <w:p w14:paraId="7CA8308B">
      <w:pPr>
        <w:widowControl w:val="0"/>
        <w:spacing w:line="560" w:lineRule="exact"/>
        <w:ind w:firstLine="640" w:firstLineChars="200"/>
        <w:jc w:val="both"/>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本单位制定的管理制度，包括不限于财务管理制度、采购管理制度、监控、监督措施执行有效，22年度单位财务人员按要求执行了监控职能。</w:t>
      </w:r>
    </w:p>
    <w:p w14:paraId="7C00F383">
      <w:pPr>
        <w:widowControl w:val="0"/>
        <w:spacing w:line="560" w:lineRule="exact"/>
        <w:ind w:left="640" w:firstLine="0" w:firstLineChars="0"/>
        <w:jc w:val="both"/>
        <w:rPr>
          <w:rFonts w:ascii="仿宋_GB2312" w:hAnsi="仿宋_GB2312" w:eastAsia="仿宋_GB2312" w:cs="仿宋_GB2312"/>
          <w:b/>
          <w:bCs/>
          <w:kern w:val="0"/>
          <w:sz w:val="32"/>
          <w:szCs w:val="32"/>
          <w:lang w:val="zh-CN" w:eastAsia="zh-CN" w:bidi="ar-SA"/>
        </w:rPr>
      </w:pPr>
      <w:r>
        <w:rPr>
          <w:rFonts w:hint="eastAsia" w:ascii="仿宋_GB2312" w:hAnsi="仿宋_GB2312" w:eastAsia="仿宋_GB2312" w:cs="仿宋_GB2312"/>
          <w:b/>
          <w:bCs/>
          <w:kern w:val="0"/>
          <w:sz w:val="32"/>
          <w:szCs w:val="32"/>
          <w:lang w:val="en-US" w:eastAsia="zh-CN" w:bidi="ar-SA"/>
        </w:rPr>
        <w:t>6</w:t>
      </w:r>
      <w:r>
        <w:rPr>
          <w:rFonts w:ascii="仿宋_GB2312" w:hAnsi="仿宋_GB2312" w:eastAsia="仿宋_GB2312" w:cs="仿宋_GB2312"/>
          <w:b/>
          <w:bCs/>
          <w:kern w:val="0"/>
          <w:sz w:val="32"/>
          <w:szCs w:val="32"/>
          <w:lang w:val="en-US" w:eastAsia="zh-CN" w:bidi="ar-SA"/>
        </w:rPr>
        <w:t>.</w:t>
      </w:r>
      <w:r>
        <w:rPr>
          <w:rFonts w:hint="eastAsia" w:ascii="仿宋_GB2312" w:hAnsi="仿宋_GB2312" w:eastAsia="仿宋_GB2312" w:cs="仿宋_GB2312"/>
          <w:b/>
          <w:bCs/>
          <w:kern w:val="0"/>
          <w:sz w:val="32"/>
          <w:szCs w:val="32"/>
          <w:lang w:val="zh-CN" w:eastAsia="zh-CN" w:bidi="ar-SA"/>
        </w:rPr>
        <w:t>违规记录</w:t>
      </w:r>
    </w:p>
    <w:p w14:paraId="064D3A4D">
      <w:pPr>
        <w:widowControl w:val="0"/>
        <w:spacing w:line="560" w:lineRule="exact"/>
        <w:ind w:left="0" w:leftChars="0" w:firstLine="640" w:firstLineChars="200"/>
        <w:jc w:val="both"/>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本年度无违规记录。</w:t>
      </w:r>
    </w:p>
    <w:p w14:paraId="1C6633D7">
      <w:pPr>
        <w:widowControl w:val="0"/>
        <w:spacing w:line="560" w:lineRule="exact"/>
        <w:ind w:left="0" w:leftChars="0" w:firstLine="640" w:firstLineChars="200"/>
        <w:jc w:val="both"/>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财务管理上，按照国家相关法律法规，制定了机关财务、公物购置使用、接待、会务、差旅等管理制度，并严格按照制度管理和执行，防范风险，保证财政资金的安全和高效运行。</w:t>
      </w:r>
    </w:p>
    <w:p w14:paraId="7B653A18">
      <w:pPr>
        <w:widowControl w:val="0"/>
        <w:spacing w:line="360" w:lineRule="auto"/>
        <w:ind w:firstLine="643" w:firstLineChars="200"/>
        <w:jc w:val="both"/>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（二）基础管理</w:t>
      </w:r>
    </w:p>
    <w:p w14:paraId="5E5C7954">
      <w:pPr>
        <w:widowControl w:val="0"/>
        <w:spacing w:line="360" w:lineRule="auto"/>
        <w:ind w:firstLine="643" w:firstLineChars="20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1、管理制度健全性</w:t>
      </w:r>
    </w:p>
    <w:p w14:paraId="3C2D0144">
      <w:pPr>
        <w:widowControl w:val="0"/>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县财政部《行政单位内部控制规范》要求，结合单位实际情况，在对单位主要经济活动及业务流程梳理分析的基础上，初步建立覆盖本单位经济活动的内部控制体系，形成一系列的内部管理制度。我局的内部控制建设制度适用于:预算管理、收支管理、政府采购管理、资产管理、建设项目管理、合同管理六大经济业务活动。相关管理制度合法、合规、完整，均得到了有效执行。</w:t>
      </w:r>
    </w:p>
    <w:p w14:paraId="7D99864B">
      <w:pPr>
        <w:widowControl w:val="0"/>
        <w:spacing w:line="360" w:lineRule="auto"/>
        <w:ind w:left="420" w:leftChars="200" w:firstLine="0" w:firstLineChars="0"/>
        <w:jc w:val="both"/>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2、财务管理以及资金使用合规性</w:t>
      </w:r>
    </w:p>
    <w:p w14:paraId="48DC191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资金使用过程中严格按照单位财务管理制度要求执行，资金使用的合规性体现在：</w:t>
      </w:r>
    </w:p>
    <w:p w14:paraId="7153E66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1.所有经费开支坚持财务审批制度，重大资金支出由局党组会研究决定。</w:t>
      </w:r>
    </w:p>
    <w:p w14:paraId="3FBE6B6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2.在报销经费时，经办人使用统一规范的</w:t>
      </w:r>
      <w:r>
        <w:rPr>
          <w:rFonts w:hint="eastAsia" w:ascii="仿宋_GB2312" w:hAnsi="仿宋_GB2312" w:eastAsia="仿宋_GB2312" w:cs="仿宋_GB2312"/>
          <w:sz w:val="32"/>
          <w:szCs w:val="32"/>
          <w:lang w:eastAsia="zh-CN"/>
        </w:rPr>
        <w:t>费用报销</w:t>
      </w:r>
      <w:r>
        <w:rPr>
          <w:rFonts w:hint="eastAsia" w:ascii="仿宋_GB2312" w:hAnsi="仿宋_GB2312" w:eastAsia="仿宋_GB2312" w:cs="仿宋_GB2312"/>
          <w:sz w:val="32"/>
          <w:szCs w:val="32"/>
        </w:rPr>
        <w:t>审批单，在审批单上写明报销日期</w:t>
      </w:r>
      <w:r>
        <w:rPr>
          <w:rFonts w:hint="eastAsia" w:ascii="仿宋_GB2312" w:hAnsi="仿宋_GB2312" w:eastAsia="仿宋_GB2312" w:cs="仿宋_GB2312"/>
          <w:sz w:val="32"/>
          <w:szCs w:val="32"/>
          <w:lang w:eastAsia="zh-CN"/>
        </w:rPr>
        <w:t>、单位（部门）、费用项目、</w:t>
      </w:r>
      <w:r>
        <w:rPr>
          <w:rFonts w:hint="eastAsia" w:ascii="仿宋_GB2312" w:hAnsi="仿宋_GB2312" w:eastAsia="仿宋_GB2312" w:cs="仿宋_GB2312"/>
          <w:sz w:val="32"/>
          <w:szCs w:val="32"/>
        </w:rPr>
        <w:t>用途、经办人员、科室负责人、金额、</w:t>
      </w:r>
      <w:r>
        <w:rPr>
          <w:rFonts w:hint="eastAsia" w:ascii="仿宋_GB2312" w:hAnsi="仿宋_GB2312" w:eastAsia="仿宋_GB2312" w:cs="仿宋_GB2312"/>
          <w:sz w:val="32"/>
          <w:szCs w:val="32"/>
          <w:lang w:eastAsia="zh-CN"/>
        </w:rPr>
        <w:t>财务审核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财务主管审核、单位负责人审核、</w:t>
      </w:r>
      <w:r>
        <w:rPr>
          <w:rFonts w:hint="eastAsia" w:ascii="仿宋_GB2312" w:hAnsi="仿宋_GB2312" w:eastAsia="仿宋_GB2312" w:cs="仿宋_GB2312"/>
          <w:sz w:val="32"/>
          <w:szCs w:val="32"/>
        </w:rPr>
        <w:t>单据张数等内容。</w:t>
      </w:r>
    </w:p>
    <w:p w14:paraId="6AA1E0D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3.费用报销审批程序  </w:t>
      </w:r>
    </w:p>
    <w:p w14:paraId="2F9CF72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经办人填写《</w:t>
      </w:r>
      <w:r>
        <w:rPr>
          <w:rFonts w:hint="eastAsia" w:ascii="仿宋_GB2312" w:hAnsi="仿宋_GB2312" w:eastAsia="仿宋_GB2312" w:cs="仿宋_GB2312"/>
          <w:sz w:val="32"/>
          <w:szCs w:val="32"/>
          <w:lang w:eastAsia="zh-CN"/>
        </w:rPr>
        <w:t>费用报销</w:t>
      </w:r>
      <w:r>
        <w:rPr>
          <w:rFonts w:hint="eastAsia" w:ascii="仿宋_GB2312" w:hAnsi="仿宋_GB2312" w:eastAsia="仿宋_GB2312" w:cs="仿宋_GB2312"/>
          <w:sz w:val="32"/>
          <w:szCs w:val="32"/>
        </w:rPr>
        <w:t>审批单》→由业务科室负责人确认签字→财务</w:t>
      </w:r>
      <w:r>
        <w:rPr>
          <w:rFonts w:hint="eastAsia" w:ascii="仿宋_GB2312" w:hAnsi="仿宋_GB2312" w:eastAsia="仿宋_GB2312" w:cs="仿宋_GB2312"/>
          <w:sz w:val="32"/>
          <w:szCs w:val="32"/>
          <w:lang w:eastAsia="zh-CN"/>
        </w:rPr>
        <w:t>审核</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分管领导</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确认签字→</w:t>
      </w:r>
      <w:r>
        <w:rPr>
          <w:rFonts w:hint="eastAsia" w:ascii="仿宋_GB2312" w:hAnsi="仿宋_GB2312" w:eastAsia="仿宋_GB2312" w:cs="仿宋_GB2312"/>
          <w:sz w:val="32"/>
          <w:szCs w:val="32"/>
          <w:lang w:eastAsia="zh-CN"/>
        </w:rPr>
        <w:t>单位负责人</w:t>
      </w:r>
      <w:r>
        <w:rPr>
          <w:rFonts w:hint="eastAsia" w:ascii="仿宋_GB2312" w:hAnsi="仿宋_GB2312" w:eastAsia="仿宋_GB2312" w:cs="仿宋_GB2312"/>
          <w:sz w:val="32"/>
          <w:szCs w:val="32"/>
        </w:rPr>
        <w:t>批准后，到出纳处办理支付手续。</w:t>
      </w:r>
    </w:p>
    <w:p w14:paraId="791AFAFE">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各个审批环节的具体职责：</w:t>
      </w:r>
    </w:p>
    <w:p w14:paraId="6954C17C">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业务科室负责人及其分管领导对其发生的支出用途及金额的真实性、准确性负责，并对其科室填写的</w:t>
      </w:r>
      <w:r>
        <w:rPr>
          <w:rFonts w:hint="eastAsia" w:ascii="仿宋_GB2312" w:hAnsi="仿宋_GB2312" w:eastAsia="仿宋_GB2312" w:cs="仿宋_GB2312"/>
          <w:sz w:val="32"/>
          <w:szCs w:val="32"/>
          <w:lang w:eastAsia="zh-CN"/>
        </w:rPr>
        <w:t>费用报销</w:t>
      </w:r>
      <w:r>
        <w:rPr>
          <w:rFonts w:hint="eastAsia" w:ascii="仿宋_GB2312" w:hAnsi="仿宋_GB2312" w:eastAsia="仿宋_GB2312" w:cs="仿宋_GB2312"/>
          <w:sz w:val="32"/>
          <w:szCs w:val="32"/>
        </w:rPr>
        <w:t>审批单内容、大小写金额、票据张数进行审核。</w:t>
      </w:r>
    </w:p>
    <w:p w14:paraId="2B4DF63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务对科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有权拒绝受理。</w:t>
      </w:r>
    </w:p>
    <w:p w14:paraId="749748A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各审批领导审查财务收支的真实性、合法性、必要性，并在报销凭证上明确签署报销意见。</w:t>
      </w:r>
    </w:p>
    <w:p w14:paraId="72F0DCA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出纳人员对已经审批后的支出票据必须进行复核（复核票据张数、金额、审批程序），对不符合规定的票据有权拒绝支付并立即向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领导报告。</w:t>
      </w:r>
    </w:p>
    <w:p w14:paraId="0CD727F7">
      <w:pPr>
        <w:widowControl w:val="0"/>
        <w:spacing w:line="360" w:lineRule="auto"/>
        <w:ind w:firstLine="643" w:firstLineChars="200"/>
        <w:jc w:val="both"/>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0"/>
          <w:sz w:val="32"/>
          <w:szCs w:val="32"/>
          <w:lang w:val="en-US" w:eastAsia="zh-CN" w:bidi="ar-SA"/>
        </w:rPr>
        <w:t>（三）行政成本</w:t>
      </w:r>
    </w:p>
    <w:p w14:paraId="0EE7C5B1">
      <w:pPr>
        <w:widowControl w:val="0"/>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公”经费控制。2022年“三公”经费财政拨款支出决算中，因公出国（境）费支出决算0万元，占0%；公务用车购置及运行维护费支出决算11.15万元，占98.93%；公务接待费支出决算0.11万元，占1.07%。未发生因公出国（境）费，2022年“三公”经费决算均未超过预算。</w:t>
      </w:r>
    </w:p>
    <w:p w14:paraId="3222B7ED">
      <w:pPr>
        <w:widowControl w:val="0"/>
        <w:spacing w:line="360" w:lineRule="auto"/>
        <w:ind w:firstLine="643" w:firstLineChars="200"/>
        <w:jc w:val="both"/>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（四）政府采购</w:t>
      </w:r>
    </w:p>
    <w:p w14:paraId="3C772675">
      <w:pPr>
        <w:widowControl w:val="0"/>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22年我局无政府采购。</w:t>
      </w:r>
    </w:p>
    <w:p w14:paraId="4633B388">
      <w:pPr>
        <w:numPr>
          <w:ilvl w:val="0"/>
          <w:numId w:val="0"/>
        </w:numPr>
        <w:snapToGrid w:val="0"/>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eastAsia="zh-CN"/>
        </w:rPr>
        <w:t>（</w:t>
      </w:r>
      <w:r>
        <w:rPr>
          <w:rFonts w:hint="eastAsia" w:ascii="仿宋_GB2312" w:hAnsi="仿宋_GB2312" w:eastAsia="仿宋_GB2312" w:cs="仿宋_GB2312"/>
          <w:b/>
          <w:bCs/>
          <w:kern w:val="0"/>
          <w:sz w:val="32"/>
          <w:szCs w:val="32"/>
          <w:lang w:val="en-US" w:eastAsia="zh-CN"/>
        </w:rPr>
        <w:t>五</w:t>
      </w:r>
      <w:r>
        <w:rPr>
          <w:rFonts w:hint="eastAsia" w:ascii="仿宋_GB2312" w:hAnsi="仿宋_GB2312" w:eastAsia="仿宋_GB2312" w:cs="仿宋_GB2312"/>
          <w:b/>
          <w:bCs/>
          <w:kern w:val="0"/>
          <w:sz w:val="32"/>
          <w:szCs w:val="32"/>
          <w:lang w:eastAsia="zh-CN"/>
        </w:rPr>
        <w:t>）</w:t>
      </w:r>
      <w:r>
        <w:rPr>
          <w:rFonts w:hint="eastAsia" w:ascii="仿宋_GB2312" w:hAnsi="仿宋_GB2312" w:eastAsia="仿宋_GB2312" w:cs="仿宋_GB2312"/>
          <w:b/>
          <w:bCs/>
          <w:kern w:val="0"/>
          <w:sz w:val="32"/>
          <w:szCs w:val="32"/>
        </w:rPr>
        <w:t xml:space="preserve">资产管理 </w:t>
      </w:r>
      <w:r>
        <w:rPr>
          <w:rFonts w:hint="eastAsia" w:ascii="仿宋_GB2312" w:hAnsi="仿宋_GB2312" w:eastAsia="仿宋_GB2312" w:cs="仿宋_GB2312"/>
          <w:b/>
          <w:bCs/>
          <w:sz w:val="32"/>
          <w:szCs w:val="32"/>
        </w:rPr>
        <w:t xml:space="preserve"> </w:t>
      </w:r>
    </w:p>
    <w:p w14:paraId="62A476EB">
      <w:pPr>
        <w:snapToGrid w:val="0"/>
        <w:spacing w:line="360" w:lineRule="auto"/>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固定资产在用率。我局固定资产合计1476.33万元，其中：通用设备244.65万元，专用设备435.07万元。</w:t>
      </w:r>
    </w:p>
    <w:p w14:paraId="00A4D2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我单位固定资产均在使用。不存在出租出借、对外投资等情况。</w:t>
      </w:r>
    </w:p>
    <w:p w14:paraId="4C200A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（六）信息公开</w:t>
      </w:r>
    </w:p>
    <w:p w14:paraId="7A2F18DD">
      <w:pPr>
        <w:widowControl w:val="0"/>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信息公开。我局已经按财政要求及时完成预算、决算、绩效等信息公开工作，信息公开在壤塘县政府门户网站中。</w:t>
      </w:r>
    </w:p>
    <w:p w14:paraId="6AA7565C">
      <w:pPr>
        <w:widowControl w:val="0"/>
        <w:spacing w:line="360" w:lineRule="auto"/>
        <w:ind w:firstLine="643" w:firstLineChars="200"/>
        <w:jc w:val="both"/>
        <w:rPr>
          <w:rFonts w:hint="eastAsia" w:ascii="楷体" w:hAnsi="楷体" w:eastAsia="楷体" w:cs="楷体"/>
          <w:b/>
          <w:bCs/>
          <w:color w:val="000000"/>
          <w:kern w:val="0"/>
          <w:sz w:val="32"/>
          <w:szCs w:val="32"/>
          <w:shd w:val="clear" w:color="auto" w:fill="FFFFFF"/>
          <w:lang w:val="zh-CN" w:eastAsia="zh-CN" w:bidi="ar-SA"/>
        </w:rPr>
      </w:pPr>
      <w:r>
        <w:rPr>
          <w:rFonts w:hint="eastAsia" w:ascii="楷体" w:hAnsi="楷体" w:eastAsia="楷体" w:cs="楷体"/>
          <w:b/>
          <w:bCs/>
          <w:color w:val="000000"/>
          <w:kern w:val="0"/>
          <w:sz w:val="32"/>
          <w:szCs w:val="32"/>
          <w:shd w:val="clear" w:color="auto" w:fill="FFFFFF"/>
          <w:lang w:val="zh-CN" w:eastAsia="zh-CN" w:bidi="ar-SA"/>
        </w:rPr>
        <w:t>（</w:t>
      </w:r>
      <w:r>
        <w:rPr>
          <w:rFonts w:hint="eastAsia" w:ascii="楷体" w:hAnsi="楷体" w:eastAsia="楷体" w:cs="楷体"/>
          <w:b/>
          <w:bCs/>
          <w:color w:val="000000"/>
          <w:kern w:val="0"/>
          <w:sz w:val="32"/>
          <w:szCs w:val="32"/>
          <w:shd w:val="clear" w:color="auto" w:fill="FFFFFF"/>
          <w:lang w:val="en-US" w:eastAsia="zh-CN" w:bidi="ar-SA"/>
        </w:rPr>
        <w:t>七</w:t>
      </w:r>
      <w:r>
        <w:rPr>
          <w:rFonts w:hint="eastAsia" w:ascii="楷体" w:hAnsi="楷体" w:eastAsia="楷体" w:cs="楷体"/>
          <w:b/>
          <w:bCs/>
          <w:color w:val="000000"/>
          <w:kern w:val="0"/>
          <w:sz w:val="32"/>
          <w:szCs w:val="32"/>
          <w:shd w:val="clear" w:color="auto" w:fill="FFFFFF"/>
          <w:lang w:val="zh-CN" w:eastAsia="zh-CN" w:bidi="ar-SA"/>
        </w:rPr>
        <w:t>）部门预算管理</w:t>
      </w:r>
    </w:p>
    <w:p w14:paraId="5D28FFB7">
      <w:pPr>
        <w:spacing w:line="600" w:lineRule="exact"/>
        <w:ind w:firstLine="640" w:firstLineChars="200"/>
        <w:rPr>
          <w:rFonts w:hint="eastAsia" w:ascii="Times New Roman" w:hAnsi="Times New Roman" w:eastAsia="仿宋_GB2312" w:cs="Times New Roman"/>
          <w:sz w:val="32"/>
          <w:lang w:val="zh-CN" w:eastAsia="zh-CN"/>
        </w:rPr>
      </w:pPr>
      <w:r>
        <w:rPr>
          <w:rFonts w:hint="eastAsia" w:ascii="仿宋_GB2312" w:hAnsi="Calibri" w:eastAsia="仿宋_GB2312" w:cs="仿宋_GB2312"/>
          <w:sz w:val="32"/>
          <w:szCs w:val="32"/>
          <w:lang w:val="en-US" w:eastAsia="zh-CN"/>
        </w:rPr>
        <w:t>我局严格按照预算编制的基本要求和时间节点认真编制22部门预算及22年部门决算。在预算编制中进一步夯实预算编制基础，及时更新相关基础数据，严格控制“三公”经费预算及支出，预算编制及决算编制做到了及时、完整、准确、合理、高效。</w:t>
      </w:r>
    </w:p>
    <w:p w14:paraId="3DDDCCA9">
      <w:pPr>
        <w:spacing w:line="580" w:lineRule="exact"/>
        <w:ind w:firstLine="643" w:firstLineChars="200"/>
        <w:rPr>
          <w:rFonts w:ascii="楷体" w:hAnsi="楷体" w:eastAsia="楷体" w:cs="Times New Roman"/>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八</w:t>
      </w:r>
      <w:r>
        <w:rPr>
          <w:rFonts w:hint="eastAsia" w:ascii="楷体" w:hAnsi="楷体" w:eastAsia="楷体" w:cs="楷体"/>
          <w:b/>
          <w:bCs/>
          <w:sz w:val="32"/>
          <w:szCs w:val="32"/>
        </w:rPr>
        <w:t>）专项预算管理</w:t>
      </w:r>
    </w:p>
    <w:p w14:paraId="5339A8DB">
      <w:pPr>
        <w:spacing w:line="600" w:lineRule="exact"/>
        <w:ind w:firstLine="640" w:firstLineChars="200"/>
        <w:rPr>
          <w:rFonts w:hint="eastAsia" w:ascii="仿宋_GB2312" w:hAnsi="Calibri" w:eastAsia="仿宋_GB2312" w:cs="仿宋_GB2312"/>
          <w:sz w:val="32"/>
          <w:szCs w:val="32"/>
          <w:lang w:val="en-US" w:eastAsia="zh-CN"/>
        </w:rPr>
      </w:pPr>
      <w:r>
        <w:rPr>
          <w:rFonts w:hint="eastAsia" w:ascii="仿宋_GB2312" w:hAnsi="Calibri" w:eastAsia="仿宋_GB2312" w:cs="仿宋_GB2312"/>
          <w:sz w:val="32"/>
          <w:szCs w:val="32"/>
          <w:lang w:val="en-US" w:eastAsia="zh-CN"/>
        </w:rPr>
        <w:t>22年我局专项公用经费预算项目严格按照项目支出规定预算，预算程序严密、规划合理、结果符合、分配科学、分配及时，我局项目支出严格执行预算管理。</w:t>
      </w:r>
    </w:p>
    <w:p w14:paraId="7676DE2B">
      <w:pPr>
        <w:spacing w:line="600" w:lineRule="exact"/>
        <w:ind w:firstLine="640" w:firstLineChars="200"/>
        <w:rPr>
          <w:rFonts w:hint="eastAsia" w:ascii="仿宋_GB2312" w:hAnsi="Calibri" w:eastAsia="仿宋_GB2312" w:cs="仿宋_GB2312"/>
          <w:sz w:val="32"/>
          <w:szCs w:val="32"/>
          <w:lang w:val="en-US" w:eastAsia="zh-CN"/>
        </w:rPr>
      </w:pPr>
      <w:r>
        <w:rPr>
          <w:rFonts w:hint="eastAsia" w:ascii="仿宋_GB2312" w:hAnsi="Calibri" w:eastAsia="仿宋_GB2312" w:cs="仿宋_GB2312"/>
          <w:sz w:val="32"/>
          <w:szCs w:val="32"/>
          <w:lang w:val="en-US" w:eastAsia="zh-CN"/>
        </w:rPr>
        <w:t>根据预算绩效管理要求，本部门（壤塘县文化体育和旅游局）在年初预算编制阶段，组织对“</w:t>
      </w:r>
      <w:r>
        <w:rPr>
          <w:rFonts w:hint="eastAsia" w:ascii="仿宋_GB2312" w:hAnsi="Times New Roman" w:eastAsia="仿宋_GB2312" w:cs="方正仿宋_GB2312"/>
          <w:sz w:val="32"/>
          <w:szCs w:val="32"/>
        </w:rPr>
        <w:t>城南广场文化小品打造项目</w:t>
      </w:r>
      <w:r>
        <w:rPr>
          <w:rFonts w:hint="eastAsia" w:ascii="仿宋_GB2312" w:hAnsi="Calibri" w:eastAsia="仿宋_GB2312" w:cs="仿宋_GB2312"/>
          <w:sz w:val="32"/>
          <w:szCs w:val="32"/>
          <w:lang w:val="en-US" w:eastAsia="zh-CN"/>
        </w:rPr>
        <w:t>”项目开展了预算事前绩效评估，对3个项目编制了绩效目标，预算执行过程中，选取1个项目开展绩效监控，年终执行完毕后，对1个项目开展了绩效目标完成情况自评。</w:t>
      </w:r>
    </w:p>
    <w:p w14:paraId="5B3CE5FB">
      <w:pPr>
        <w:spacing w:line="600" w:lineRule="exact"/>
        <w:ind w:firstLine="640" w:firstLineChars="200"/>
        <w:rPr>
          <w:rFonts w:hint="eastAsia" w:ascii="仿宋_GB2312" w:hAnsi="Calibri" w:eastAsia="仿宋_GB2312" w:cs="仿宋_GB2312"/>
          <w:sz w:val="32"/>
          <w:szCs w:val="32"/>
          <w:lang w:val="en-US" w:eastAsia="zh-CN"/>
        </w:rPr>
      </w:pPr>
      <w:r>
        <w:rPr>
          <w:rFonts w:hint="eastAsia" w:ascii="仿宋_GB2312" w:hAnsi="Calibri" w:eastAsia="仿宋_GB2312" w:cs="仿宋_GB2312"/>
          <w:sz w:val="32"/>
          <w:szCs w:val="32"/>
          <w:lang w:val="en-US" w:eastAsia="zh-CN"/>
        </w:rPr>
        <w:t>本部门按要求对22年部门整体支出开展绩效自评，从评价情况来看较好完成了年初预算安排，本部门还自行组织了1个项目支出绩效评价，从评价情况来看项目资金基本按照预算安排完成。因我局专项资金预算均为运转类资金，因此采用的绩效评价均为自评，以及选择一个项目开展自评。</w:t>
      </w:r>
    </w:p>
    <w:p w14:paraId="2839FCB2">
      <w:pPr>
        <w:numPr>
          <w:ilvl w:val="0"/>
          <w:numId w:val="0"/>
        </w:numPr>
        <w:spacing w:line="600" w:lineRule="exact"/>
        <w:ind w:firstLine="643" w:firstLineChars="200"/>
        <w:rPr>
          <w:rFonts w:hint="eastAsia"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w:t>
      </w:r>
      <w:r>
        <w:rPr>
          <w:rFonts w:hint="eastAsia" w:ascii="仿宋_GB2312" w:hAnsi="宋体" w:eastAsia="仿宋_GB2312" w:cs="宋体"/>
          <w:b/>
          <w:bCs/>
          <w:color w:val="000000"/>
          <w:kern w:val="0"/>
          <w:sz w:val="32"/>
          <w:szCs w:val="32"/>
          <w:shd w:val="clear" w:color="auto" w:fill="FFFFFF"/>
          <w:lang w:val="en-US" w:eastAsia="zh-CN"/>
        </w:rPr>
        <w:t>九</w:t>
      </w:r>
      <w:r>
        <w:rPr>
          <w:rFonts w:hint="eastAsia" w:ascii="仿宋_GB2312" w:hAnsi="宋体" w:eastAsia="仿宋_GB2312" w:cs="宋体"/>
          <w:b/>
          <w:bCs/>
          <w:color w:val="000000"/>
          <w:kern w:val="0"/>
          <w:sz w:val="32"/>
          <w:szCs w:val="32"/>
          <w:shd w:val="clear" w:color="auto" w:fill="FFFFFF"/>
          <w:lang w:val="zh-CN"/>
        </w:rPr>
        <w:t>）项目绩效目标完成情况</w:t>
      </w:r>
    </w:p>
    <w:p w14:paraId="7B628213">
      <w:pPr>
        <w:numPr>
          <w:ilvl w:val="0"/>
          <w:numId w:val="0"/>
        </w:numPr>
        <w:spacing w:line="600" w:lineRule="exact"/>
        <w:ind w:firstLine="640" w:firstLineChars="200"/>
        <w:rPr>
          <w:rFonts w:hint="eastAsia" w:ascii="仿宋_GB2312" w:hAnsi="Calibri" w:eastAsia="仿宋_GB2312" w:cs="仿宋_GB2312"/>
          <w:sz w:val="32"/>
          <w:szCs w:val="32"/>
          <w:lang w:val="en-US" w:eastAsia="zh-CN"/>
        </w:rPr>
      </w:pPr>
      <w:r>
        <w:rPr>
          <w:rFonts w:hint="eastAsia" w:ascii="仿宋_GB2312" w:hAnsi="Calibri" w:eastAsia="仿宋_GB2312" w:cs="仿宋_GB2312"/>
          <w:sz w:val="32"/>
          <w:szCs w:val="32"/>
          <w:lang w:val="en-US" w:eastAsia="zh-CN"/>
        </w:rPr>
        <w:t>本部门在22年度部门决算中反映“</w:t>
      </w:r>
      <w:r>
        <w:rPr>
          <w:rFonts w:hint="eastAsia" w:ascii="仿宋_GB2312" w:hAnsi="Times New Roman" w:eastAsia="仿宋_GB2312" w:cs="方正仿宋_GB2312"/>
          <w:sz w:val="32"/>
          <w:szCs w:val="32"/>
        </w:rPr>
        <w:t>城南广场文化小品打造项目</w:t>
      </w:r>
      <w:r>
        <w:rPr>
          <w:rFonts w:hint="eastAsia" w:ascii="仿宋_GB2312" w:hAnsi="Calibri" w:eastAsia="仿宋_GB2312" w:cs="仿宋_GB2312"/>
          <w:sz w:val="32"/>
          <w:szCs w:val="32"/>
          <w:lang w:val="en-US" w:eastAsia="zh-CN"/>
        </w:rPr>
        <w:t>”1个项目绩效目标实际完成情况。</w:t>
      </w:r>
    </w:p>
    <w:p w14:paraId="1534BEC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both"/>
        <w:textAlignment w:val="baseline"/>
        <w:rPr>
          <w:rFonts w:hint="default" w:ascii="仿宋_GB2312" w:hAnsi="Calibri" w:eastAsia="仿宋_GB2312" w:cs="仿宋_GB2312"/>
          <w:kern w:val="0"/>
          <w:sz w:val="32"/>
          <w:szCs w:val="32"/>
          <w:lang w:val="en-US" w:eastAsia="zh-CN" w:bidi="ar-SA"/>
        </w:rPr>
      </w:pPr>
      <w:r>
        <w:rPr>
          <w:rFonts w:hint="eastAsia" w:ascii="仿宋_GB2312" w:hAnsi="Calibri" w:eastAsia="仿宋_GB2312" w:cs="仿宋_GB2312"/>
          <w:kern w:val="0"/>
          <w:sz w:val="32"/>
          <w:szCs w:val="32"/>
          <w:lang w:val="en-US" w:eastAsia="zh-CN" w:bidi="ar-SA"/>
        </w:rPr>
        <w:t>“</w:t>
      </w:r>
      <w:r>
        <w:rPr>
          <w:rFonts w:hint="eastAsia" w:ascii="仿宋_GB2312" w:hAnsi="Arial" w:eastAsia="仿宋_GB2312" w:cs="方正仿宋_GB2312"/>
          <w:kern w:val="0"/>
          <w:sz w:val="32"/>
          <w:szCs w:val="32"/>
          <w:lang w:val="en-US" w:eastAsia="zh-CN" w:bidi="ar-SA"/>
        </w:rPr>
        <w:t>城南广场文化小品打造项目</w:t>
      </w:r>
      <w:r>
        <w:rPr>
          <w:rFonts w:hint="eastAsia" w:ascii="仿宋_GB2312" w:hAnsi="Calibri" w:eastAsia="仿宋_GB2312" w:cs="仿宋_GB2312"/>
          <w:kern w:val="0"/>
          <w:sz w:val="32"/>
          <w:szCs w:val="32"/>
          <w:lang w:val="en-US" w:eastAsia="zh-CN" w:bidi="ar-SA"/>
        </w:rPr>
        <w:t>”项目绩效目标完成情况综述。</w:t>
      </w:r>
      <w:r>
        <w:rPr>
          <w:rFonts w:hint="eastAsia" w:ascii="仿宋_GB2312" w:hAnsi="Arial" w:eastAsia="仿宋_GB2312" w:cs="方正仿宋_GB2312"/>
          <w:kern w:val="0"/>
          <w:sz w:val="32"/>
          <w:szCs w:val="32"/>
          <w:lang w:val="en-US" w:eastAsia="zh-CN" w:bidi="ar-SA"/>
        </w:rPr>
        <w:t>城南广场文化小品打造项目，总投资500万元，已完成项目工程量90%，正在进行安装调试。</w:t>
      </w:r>
    </w:p>
    <w:tbl>
      <w:tblPr>
        <w:tblStyle w:val="18"/>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251"/>
        <w:gridCol w:w="2166"/>
        <w:gridCol w:w="2394"/>
        <w:gridCol w:w="2392"/>
      </w:tblGrid>
      <w:tr w14:paraId="4A0D7F0A">
        <w:tblPrEx>
          <w:tblCellMar>
            <w:top w:w="0" w:type="dxa"/>
            <w:left w:w="0" w:type="dxa"/>
            <w:bottom w:w="0" w:type="dxa"/>
            <w:right w:w="0" w:type="dxa"/>
          </w:tblCellMar>
        </w:tblPrEx>
        <w:trPr>
          <w:trHeight w:val="1395" w:hRule="atLeast"/>
          <w:jc w:val="center"/>
        </w:trPr>
        <w:tc>
          <w:tcPr>
            <w:tcW w:w="9960" w:type="dxa"/>
            <w:gridSpan w:val="6"/>
            <w:tcBorders>
              <w:top w:val="nil"/>
              <w:left w:val="nil"/>
              <w:bottom w:val="nil"/>
              <w:right w:val="nil"/>
            </w:tcBorders>
            <w:tcMar>
              <w:top w:w="15" w:type="dxa"/>
              <w:left w:w="15" w:type="dxa"/>
              <w:right w:w="15" w:type="dxa"/>
            </w:tcMar>
            <w:vAlign w:val="center"/>
          </w:tcPr>
          <w:p w14:paraId="41A85BB7">
            <w:pPr>
              <w:widowControl/>
              <w:jc w:val="center"/>
              <w:textAlignment w:val="center"/>
              <w:rPr>
                <w:rFonts w:hint="eastAsia" w:ascii="宋体" w:hAnsi="宋体" w:eastAsia="仿宋_GB2312" w:cs="宋体"/>
                <w:b/>
                <w:bCs/>
                <w:color w:val="000000"/>
                <w:kern w:val="0"/>
                <w:sz w:val="36"/>
                <w:szCs w:val="36"/>
                <w:lang w:eastAsia="zh-CN"/>
              </w:rPr>
            </w:pPr>
            <w:r>
              <w:rPr>
                <w:rFonts w:hint="eastAsia" w:ascii="宋体" w:hAnsi="宋体" w:eastAsia="仿宋_GB2312" w:cs="宋体"/>
                <w:b/>
                <w:bCs/>
                <w:color w:val="000000"/>
                <w:kern w:val="0"/>
                <w:sz w:val="36"/>
                <w:szCs w:val="36"/>
              </w:rPr>
              <w:t>项目绩效目标完成情况表</w:t>
            </w:r>
          </w:p>
          <w:p w14:paraId="0B5EE0AC">
            <w:pPr>
              <w:widowControl/>
              <w:jc w:val="center"/>
              <w:textAlignment w:val="center"/>
              <w:rPr>
                <w:rFonts w:ascii="宋体" w:hAnsi="宋体" w:eastAsia="仿宋_GB2312" w:cs="宋体"/>
                <w:color w:val="000000"/>
                <w:sz w:val="36"/>
                <w:szCs w:val="36"/>
              </w:rPr>
            </w:pPr>
            <w:r>
              <w:rPr>
                <w:rFonts w:hint="eastAsia" w:ascii="宋体" w:hAnsi="宋体" w:eastAsia="仿宋_GB2312" w:cs="宋体"/>
                <w:color w:val="000000"/>
                <w:kern w:val="0"/>
                <w:sz w:val="36"/>
                <w:szCs w:val="36"/>
              </w:rPr>
              <w:t>(</w:t>
            </w:r>
            <w:r>
              <w:rPr>
                <w:rFonts w:hint="eastAsia" w:ascii="宋体" w:hAnsi="宋体" w:eastAsia="仿宋_GB2312" w:cs="宋体"/>
                <w:color w:val="000000"/>
                <w:kern w:val="0"/>
                <w:sz w:val="36"/>
                <w:szCs w:val="36"/>
                <w:lang w:eastAsia="zh-CN"/>
              </w:rPr>
              <w:t>22</w:t>
            </w:r>
            <w:r>
              <w:rPr>
                <w:rFonts w:hint="eastAsia" w:ascii="宋体" w:hAnsi="宋体" w:eastAsia="仿宋_GB2312" w:cs="宋体"/>
                <w:color w:val="000000"/>
                <w:kern w:val="0"/>
                <w:sz w:val="36"/>
                <w:szCs w:val="36"/>
              </w:rPr>
              <w:t>年度)</w:t>
            </w:r>
          </w:p>
        </w:tc>
      </w:tr>
      <w:tr w14:paraId="681A6BB7">
        <w:tblPrEx>
          <w:tblCellMar>
            <w:top w:w="0" w:type="dxa"/>
            <w:left w:w="0" w:type="dxa"/>
            <w:bottom w:w="0" w:type="dxa"/>
            <w:right w:w="0" w:type="dxa"/>
          </w:tblCellMar>
        </w:tblPrEx>
        <w:trPr>
          <w:trHeight w:val="276" w:hRule="atLeast"/>
          <w:jc w:val="center"/>
        </w:trPr>
        <w:tc>
          <w:tcPr>
            <w:tcW w:w="30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0F369">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项目名称</w:t>
            </w:r>
          </w:p>
        </w:tc>
        <w:tc>
          <w:tcPr>
            <w:tcW w:w="695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4B3A5D">
            <w:pPr>
              <w:keepNext w:val="0"/>
              <w:keepLines w:val="0"/>
              <w:pageBreakBefore w:val="0"/>
              <w:widowControl w:val="0"/>
              <w:kinsoku/>
              <w:wordWrap/>
              <w:overflowPunct/>
              <w:topLinePunct w:val="0"/>
              <w:autoSpaceDE/>
              <w:autoSpaceDN/>
              <w:bidi w:val="0"/>
              <w:adjustRightInd w:val="0"/>
              <w:snapToGrid/>
              <w:spacing w:line="560" w:lineRule="exact"/>
              <w:ind w:firstLine="1280" w:firstLineChars="400"/>
              <w:jc w:val="both"/>
              <w:textAlignment w:val="baseline"/>
              <w:rPr>
                <w:rFonts w:hint="eastAsia" w:ascii="宋体" w:hAnsi="宋体" w:eastAsia="宋体" w:cs="宋体"/>
                <w:color w:val="000000"/>
                <w:kern w:val="0"/>
                <w:sz w:val="24"/>
                <w:szCs w:val="24"/>
                <w:lang w:val="en-US" w:eastAsia="zh-CN" w:bidi="ar-SA"/>
              </w:rPr>
            </w:pPr>
            <w:r>
              <w:rPr>
                <w:rFonts w:hint="eastAsia" w:ascii="仿宋_GB2312" w:hAnsi="Arial" w:eastAsia="仿宋_GB2312" w:cs="方正仿宋_GB2312"/>
                <w:kern w:val="0"/>
                <w:sz w:val="32"/>
                <w:szCs w:val="32"/>
                <w:lang w:val="en-US" w:eastAsia="zh-CN" w:bidi="ar-SA"/>
              </w:rPr>
              <w:t>城南广场文化小品打造项目</w:t>
            </w:r>
          </w:p>
        </w:tc>
      </w:tr>
      <w:tr w14:paraId="6D348265">
        <w:tblPrEx>
          <w:tblCellMar>
            <w:top w:w="0" w:type="dxa"/>
            <w:left w:w="0" w:type="dxa"/>
            <w:bottom w:w="0" w:type="dxa"/>
            <w:right w:w="0" w:type="dxa"/>
          </w:tblCellMar>
        </w:tblPrEx>
        <w:trPr>
          <w:trHeight w:val="276" w:hRule="atLeast"/>
          <w:jc w:val="center"/>
        </w:trPr>
        <w:tc>
          <w:tcPr>
            <w:tcW w:w="30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AD502C">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预算单位</w:t>
            </w:r>
          </w:p>
        </w:tc>
        <w:tc>
          <w:tcPr>
            <w:tcW w:w="695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697BF">
            <w:pPr>
              <w:widowControl/>
              <w:jc w:val="center"/>
              <w:textAlignment w:val="center"/>
              <w:rPr>
                <w:rFonts w:hint="default" w:ascii="宋体" w:hAnsi="宋体" w:eastAsia="仿宋_GB2312" w:cs="宋体"/>
                <w:color w:val="000000"/>
                <w:sz w:val="24"/>
                <w:lang w:val="en-US" w:eastAsia="zh-CN"/>
              </w:rPr>
            </w:pPr>
            <w:r>
              <w:rPr>
                <w:rFonts w:hint="eastAsia" w:ascii="宋体" w:hAnsi="宋体" w:eastAsia="仿宋_GB2312" w:cs="宋体"/>
                <w:color w:val="000000"/>
                <w:sz w:val="24"/>
                <w:lang w:val="en-US" w:eastAsia="zh-CN"/>
              </w:rPr>
              <w:t>壤塘县文化体育和旅游局</w:t>
            </w:r>
          </w:p>
        </w:tc>
      </w:tr>
      <w:tr w14:paraId="09096842">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E57CA3">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预算执行情况(万元)</w:t>
            </w:r>
          </w:p>
        </w:tc>
        <w:tc>
          <w:tcPr>
            <w:tcW w:w="261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AAD85">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预算数:</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1E24A">
            <w:pPr>
              <w:widowControl/>
              <w:jc w:val="center"/>
              <w:textAlignment w:val="center"/>
              <w:rPr>
                <w:rFonts w:hint="eastAsia" w:ascii="宋体" w:hAnsi="宋体" w:eastAsia="宋体" w:cs="宋体"/>
                <w:color w:val="000000"/>
                <w:sz w:val="24"/>
                <w:lang w:val="en-US" w:eastAsia="zh-CN"/>
              </w:rPr>
            </w:pPr>
            <w:r>
              <w:rPr>
                <w:rFonts w:hint="eastAsia" w:ascii="宋体" w:hAnsi="宋体" w:eastAsia="仿宋_GB2312" w:cs="宋体"/>
                <w:color w:val="000000"/>
                <w:sz w:val="24"/>
                <w:lang w:val="en-US" w:eastAsia="zh-CN"/>
              </w:rPr>
              <w:t>500万元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4AA7F">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D507B7">
            <w:pPr>
              <w:widowControl/>
              <w:jc w:val="center"/>
              <w:textAlignment w:val="center"/>
              <w:rPr>
                <w:rFonts w:hint="eastAsia" w:ascii="宋体" w:hAnsi="宋体" w:eastAsia="宋体" w:cs="宋体"/>
                <w:color w:val="000000"/>
                <w:sz w:val="24"/>
                <w:lang w:val="en-US" w:eastAsia="zh-CN"/>
              </w:rPr>
            </w:pPr>
            <w:r>
              <w:rPr>
                <w:rFonts w:hint="eastAsia" w:ascii="宋体" w:hAnsi="宋体" w:eastAsia="仿宋_GB2312" w:cs="宋体"/>
                <w:color w:val="000000"/>
                <w:sz w:val="24"/>
                <w:lang w:val="en-US" w:eastAsia="zh-CN"/>
              </w:rPr>
              <w:t>286万元</w:t>
            </w:r>
          </w:p>
        </w:tc>
      </w:tr>
      <w:tr w14:paraId="18ED01A8">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E7D76C">
            <w:pPr>
              <w:jc w:val="center"/>
              <w:rPr>
                <w:rFonts w:ascii="宋体" w:hAnsi="宋体" w:eastAsia="仿宋_GB2312" w:cs="宋体"/>
                <w:color w:val="000000"/>
                <w:sz w:val="24"/>
              </w:rPr>
            </w:pPr>
          </w:p>
        </w:tc>
        <w:tc>
          <w:tcPr>
            <w:tcW w:w="261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E9D74">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其中-财政拨款:</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18157">
            <w:pPr>
              <w:widowControl/>
              <w:jc w:val="center"/>
              <w:textAlignment w:val="center"/>
              <w:rPr>
                <w:rFonts w:hint="eastAsia" w:ascii="宋体" w:hAnsi="宋体" w:eastAsia="宋体" w:cs="宋体"/>
                <w:color w:val="000000"/>
                <w:sz w:val="24"/>
                <w:lang w:val="en-US" w:eastAsia="zh-CN"/>
              </w:rPr>
            </w:pPr>
            <w:r>
              <w:rPr>
                <w:rFonts w:hint="eastAsia" w:ascii="宋体" w:hAnsi="宋体" w:eastAsia="仿宋_GB2312" w:cs="宋体"/>
                <w:color w:val="000000"/>
                <w:sz w:val="24"/>
                <w:lang w:val="en-US" w:eastAsia="zh-CN"/>
              </w:rPr>
              <w:t>286万元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2A6AF4">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61682F">
            <w:pPr>
              <w:widowControl/>
              <w:jc w:val="center"/>
              <w:textAlignment w:val="center"/>
              <w:rPr>
                <w:rFonts w:hint="eastAsia" w:ascii="宋体" w:hAnsi="宋体" w:eastAsia="宋体" w:cs="宋体"/>
                <w:color w:val="000000"/>
                <w:sz w:val="24"/>
                <w:lang w:val="en-US" w:eastAsia="zh-CN"/>
              </w:rPr>
            </w:pPr>
            <w:r>
              <w:rPr>
                <w:rFonts w:hint="eastAsia" w:ascii="宋体" w:hAnsi="宋体" w:eastAsia="仿宋_GB2312" w:cs="宋体"/>
                <w:color w:val="000000"/>
                <w:sz w:val="24"/>
                <w:lang w:val="en-US" w:eastAsia="zh-CN"/>
              </w:rPr>
              <w:t>0万元</w:t>
            </w:r>
          </w:p>
        </w:tc>
      </w:tr>
      <w:tr w14:paraId="58DDFEA4">
        <w:tblPrEx>
          <w:tblCellMar>
            <w:top w:w="0" w:type="dxa"/>
            <w:left w:w="0" w:type="dxa"/>
            <w:bottom w:w="0" w:type="dxa"/>
            <w:right w:w="0" w:type="dxa"/>
          </w:tblCellMar>
        </w:tblPrEx>
        <w:trPr>
          <w:trHeight w:val="1140"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03BDEE">
            <w:pPr>
              <w:jc w:val="center"/>
              <w:rPr>
                <w:rFonts w:ascii="宋体" w:hAnsi="宋体" w:eastAsia="仿宋_GB2312" w:cs="宋体"/>
                <w:color w:val="000000"/>
                <w:sz w:val="24"/>
              </w:rPr>
            </w:pPr>
          </w:p>
        </w:tc>
        <w:tc>
          <w:tcPr>
            <w:tcW w:w="261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40125">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其它资金:</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5226E4">
            <w:pPr>
              <w:widowControl/>
              <w:jc w:val="center"/>
              <w:textAlignment w:val="center"/>
              <w:rPr>
                <w:rFonts w:ascii="宋体" w:hAnsi="宋体" w:eastAsia="仿宋_GB2312"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0EB7AA">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64B81">
            <w:pPr>
              <w:jc w:val="center"/>
              <w:rPr>
                <w:rFonts w:ascii="宋体" w:hAnsi="宋体" w:eastAsia="仿宋_GB2312" w:cs="宋体"/>
                <w:color w:val="000000"/>
                <w:sz w:val="24"/>
              </w:rPr>
            </w:pPr>
          </w:p>
        </w:tc>
      </w:tr>
      <w:tr w14:paraId="44714B30">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AAE565">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5A2122">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4CD96E">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实际完成目标</w:t>
            </w:r>
          </w:p>
        </w:tc>
      </w:tr>
      <w:tr w14:paraId="399BCD96">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AC6B7B">
            <w:pPr>
              <w:jc w:val="center"/>
              <w:rPr>
                <w:rFonts w:ascii="宋体" w:hAnsi="宋体" w:eastAsia="仿宋_GB2312"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256360">
            <w:pPr>
              <w:widowControl/>
              <w:jc w:val="both"/>
              <w:textAlignment w:val="center"/>
              <w:rPr>
                <w:rFonts w:hint="default" w:ascii="宋体" w:hAnsi="宋体" w:eastAsia="宋体" w:cs="宋体"/>
                <w:color w:val="000000"/>
                <w:sz w:val="24"/>
                <w:lang w:val="en-US" w:eastAsia="zh-CN"/>
              </w:rPr>
            </w:pPr>
            <w:r>
              <w:rPr>
                <w:rFonts w:hint="eastAsia" w:ascii="仿宋_GB2312" w:hAnsi="Calibri" w:eastAsia="仿宋_GB2312" w:cs="仿宋_GB2312"/>
                <w:sz w:val="24"/>
                <w:szCs w:val="24"/>
                <w:lang w:val="en-US" w:eastAsia="zh-CN"/>
              </w:rPr>
              <w:t>22年度完成：基座安装、产品生产</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56E14">
            <w:pPr>
              <w:widowControl/>
              <w:jc w:val="left"/>
              <w:textAlignment w:val="center"/>
              <w:rPr>
                <w:rFonts w:hint="default" w:ascii="宋体" w:hAnsi="宋体" w:eastAsia="宋体" w:cs="宋体"/>
                <w:color w:val="000000"/>
                <w:sz w:val="24"/>
                <w:lang w:val="en-US" w:eastAsia="zh-CN"/>
              </w:rPr>
            </w:pPr>
            <w:r>
              <w:rPr>
                <w:rFonts w:hint="eastAsia" w:ascii="仿宋_GB2312" w:hAnsi="Calibri" w:eastAsia="仿宋_GB2312" w:cs="仿宋_GB2312"/>
                <w:sz w:val="24"/>
                <w:szCs w:val="24"/>
                <w:lang w:val="en-US" w:eastAsia="zh-CN"/>
              </w:rPr>
              <w:t>22年度完成：基座安装完成，产品开始生产，总共城区五个雕塑：完成总体进度80%。飘带雕塑进度：95%。石榴花总体进度：95%。少先队员总体进度：80%；牦牛雕塑进度：55%；跃马雕塑进度：75%。</w:t>
            </w:r>
          </w:p>
        </w:tc>
      </w:tr>
      <w:tr w14:paraId="04CD787C">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50AD8FA">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95328">
            <w:pPr>
              <w:widowControl/>
              <w:jc w:val="center"/>
              <w:textAlignment w:val="center"/>
              <w:rPr>
                <w:rFonts w:ascii="宋体" w:hAnsi="宋体" w:eastAsia="仿宋_GB2312" w:cs="宋体"/>
                <w:color w:val="000000"/>
                <w:sz w:val="24"/>
              </w:rPr>
            </w:pPr>
            <w:r>
              <w:rPr>
                <w:rFonts w:hint="eastAsia" w:ascii="仿宋_GB2312" w:hAnsi="Calibri" w:eastAsia="仿宋_GB2312" w:cs="仿宋_GB2312"/>
                <w:sz w:val="24"/>
                <w:szCs w:val="24"/>
                <w:lang w:val="en-US" w:eastAsia="zh-CN"/>
              </w:rPr>
              <w:t>一级指</w:t>
            </w:r>
            <w:r>
              <w:rPr>
                <w:rFonts w:hint="eastAsia" w:ascii="宋体" w:hAnsi="宋体" w:eastAsia="仿宋_GB2312" w:cs="宋体"/>
                <w:color w:val="000000"/>
                <w:kern w:val="0"/>
                <w:sz w:val="24"/>
              </w:rPr>
              <w:t>标</w:t>
            </w:r>
          </w:p>
        </w:tc>
        <w:tc>
          <w:tcPr>
            <w:tcW w:w="12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A24DE9">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二级指标</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D74B5A">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28139">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F7C357">
            <w:pPr>
              <w:widowControl/>
              <w:jc w:val="center"/>
              <w:textAlignment w:val="center"/>
              <w:rPr>
                <w:rFonts w:ascii="宋体" w:hAnsi="宋体" w:eastAsia="仿宋_GB2312" w:cs="宋体"/>
                <w:color w:val="000000"/>
                <w:sz w:val="24"/>
              </w:rPr>
            </w:pPr>
            <w:r>
              <w:rPr>
                <w:rFonts w:hint="eastAsia" w:ascii="仿宋_GB2312" w:hAnsi="Calibri" w:eastAsia="仿宋_GB2312" w:cs="仿宋_GB2312"/>
                <w:sz w:val="24"/>
                <w:szCs w:val="24"/>
                <w:lang w:val="en-US" w:eastAsia="zh-CN"/>
              </w:rPr>
              <w:t>实际完成指标值(包含数字及文字描述)</w:t>
            </w:r>
          </w:p>
        </w:tc>
      </w:tr>
      <w:tr w14:paraId="0B954CBB">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73B4647">
            <w:pPr>
              <w:widowControl/>
              <w:jc w:val="center"/>
              <w:textAlignment w:val="center"/>
              <w:rPr>
                <w:rFonts w:ascii="宋体" w:hAnsi="宋体" w:eastAsia="仿宋_GB2312"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743D97">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项目完成指标</w:t>
            </w:r>
          </w:p>
        </w:tc>
        <w:tc>
          <w:tcPr>
            <w:tcW w:w="12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AD9C2F">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val="en-US" w:eastAsia="zh-CN"/>
              </w:rPr>
              <w:t>质量</w:t>
            </w:r>
            <w:r>
              <w:rPr>
                <w:rFonts w:hint="eastAsia" w:ascii="宋体" w:hAnsi="宋体" w:eastAsia="仿宋_GB2312" w:cs="宋体"/>
                <w:color w:val="000000"/>
                <w:sz w:val="24"/>
                <w:lang w:eastAsia="zh-CN"/>
              </w:rPr>
              <w:t>指标</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496FBB">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val="en-US" w:eastAsia="zh-CN"/>
              </w:rPr>
              <w:t>文化小品打造项目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DDC2B2">
            <w:pPr>
              <w:widowControl/>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项目建设完工验收合格率＝100%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555491">
            <w:pPr>
              <w:widowControl/>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未完工未验收</w:t>
            </w:r>
          </w:p>
        </w:tc>
      </w:tr>
      <w:tr w14:paraId="56C5AB87">
        <w:tblPrEx>
          <w:tblCellMar>
            <w:top w:w="0" w:type="dxa"/>
            <w:left w:w="0" w:type="dxa"/>
            <w:bottom w:w="0" w:type="dxa"/>
            <w:right w:w="0" w:type="dxa"/>
          </w:tblCellMar>
        </w:tblPrEx>
        <w:trPr>
          <w:trHeight w:val="2395"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651F53E">
            <w:pPr>
              <w:widowControl/>
              <w:jc w:val="center"/>
              <w:textAlignment w:val="center"/>
              <w:rPr>
                <w:rFonts w:ascii="宋体" w:hAnsi="宋体" w:eastAsia="仿宋_GB2312"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974BC0">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项目完成指标</w:t>
            </w:r>
          </w:p>
        </w:tc>
        <w:tc>
          <w:tcPr>
            <w:tcW w:w="12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DFF10">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eastAsia="zh-CN"/>
              </w:rPr>
              <w:t>社会效益指标</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7389B">
            <w:pPr>
              <w:widowControl/>
              <w:jc w:val="center"/>
              <w:textAlignment w:val="center"/>
              <w:rPr>
                <w:rFonts w:hint="default" w:ascii="宋体" w:hAnsi="宋体" w:eastAsia="宋体" w:cs="宋体"/>
                <w:color w:val="000000"/>
                <w:sz w:val="24"/>
                <w:lang w:val="en-US" w:eastAsia="zh-CN"/>
              </w:rPr>
            </w:pPr>
            <w:r>
              <w:rPr>
                <w:rFonts w:hint="eastAsia" w:ascii="宋体" w:hAnsi="宋体" w:eastAsia="仿宋_GB2312" w:cs="宋体"/>
                <w:color w:val="000000"/>
                <w:sz w:val="24"/>
                <w:lang w:val="en-US" w:eastAsia="zh-CN"/>
              </w:rPr>
              <w:t>文化小品打造项目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70475">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带动增加就业人数≥5人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1E65F8">
            <w:pPr>
              <w:widowControl/>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未完工</w:t>
            </w:r>
          </w:p>
        </w:tc>
      </w:tr>
      <w:tr w14:paraId="3A0FE3CD">
        <w:tblPrEx>
          <w:tblCellMar>
            <w:top w:w="0" w:type="dxa"/>
            <w:left w:w="0" w:type="dxa"/>
            <w:bottom w:w="0" w:type="dxa"/>
            <w:right w:w="0" w:type="dxa"/>
          </w:tblCellMar>
        </w:tblPrEx>
        <w:trPr>
          <w:trHeight w:val="7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B282DAC">
            <w:pPr>
              <w:widowControl/>
              <w:jc w:val="center"/>
              <w:textAlignment w:val="center"/>
              <w:rPr>
                <w:rFonts w:ascii="宋体" w:hAnsi="宋体" w:eastAsia="仿宋_GB2312"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36F65E">
            <w:pPr>
              <w:widowControl/>
              <w:jc w:val="center"/>
              <w:textAlignment w:val="center"/>
              <w:rPr>
                <w:rFonts w:ascii="宋体" w:hAnsi="宋体" w:eastAsia="仿宋_GB2312" w:cs="宋体"/>
                <w:color w:val="000000"/>
                <w:sz w:val="24"/>
              </w:rPr>
            </w:pPr>
            <w:r>
              <w:rPr>
                <w:rFonts w:hint="eastAsia" w:ascii="宋体" w:hAnsi="宋体" w:eastAsia="仿宋_GB2312" w:cs="宋体"/>
                <w:color w:val="000000"/>
                <w:kern w:val="0"/>
                <w:sz w:val="24"/>
              </w:rPr>
              <w:t>项目完成指标</w:t>
            </w:r>
          </w:p>
        </w:tc>
        <w:tc>
          <w:tcPr>
            <w:tcW w:w="12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150ED">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eastAsia="zh-CN"/>
              </w:rPr>
              <w:t>时效性</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EB0F9D">
            <w:pPr>
              <w:widowControl/>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项目完成时间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D72A50">
            <w:pPr>
              <w:widowControl/>
              <w:jc w:val="center"/>
              <w:textAlignment w:val="center"/>
              <w:rPr>
                <w:rFonts w:ascii="宋体" w:hAnsi="宋体" w:eastAsia="仿宋_GB2312" w:cs="宋体"/>
                <w:color w:val="000000"/>
                <w:sz w:val="24"/>
              </w:rPr>
            </w:pPr>
            <w:r>
              <w:rPr>
                <w:rFonts w:hint="eastAsia" w:ascii="宋体" w:hAnsi="Times New Roman" w:eastAsia="仿宋_GB2312" w:cs="宋体"/>
                <w:sz w:val="24"/>
                <w:szCs w:val="24"/>
                <w:lang w:val="en-US" w:eastAsia="zh-CN"/>
              </w:rPr>
              <w:t>2022</w:t>
            </w:r>
            <w:r>
              <w:rPr>
                <w:rFonts w:hint="eastAsia" w:ascii="宋体" w:hAnsi="Times New Roman" w:eastAsia="仿宋_GB2312" w:cs="宋体"/>
                <w:sz w:val="24"/>
                <w:szCs w:val="24"/>
              </w:rPr>
              <w:t>年</w:t>
            </w:r>
            <w:r>
              <w:rPr>
                <w:rFonts w:hint="eastAsia" w:ascii="宋体" w:hAnsi="Times New Roman" w:eastAsia="仿宋_GB2312" w:cs="宋体"/>
                <w:sz w:val="24"/>
                <w:szCs w:val="24"/>
                <w:lang w:val="en-US" w:eastAsia="zh-CN"/>
              </w:rPr>
              <w:t>6</w:t>
            </w:r>
            <w:r>
              <w:rPr>
                <w:rFonts w:hint="eastAsia" w:ascii="宋体" w:hAnsi="Times New Roman" w:eastAsia="仿宋_GB2312" w:cs="宋体"/>
                <w:sz w:val="24"/>
                <w:szCs w:val="24"/>
              </w:rPr>
              <w:t>月底前</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A632B0">
            <w:pPr>
              <w:widowControl/>
              <w:jc w:val="center"/>
              <w:textAlignment w:val="center"/>
              <w:rPr>
                <w:rFonts w:hint="default" w:ascii="宋体" w:hAnsi="宋体" w:eastAsia="仿宋_GB2312" w:cs="宋体"/>
                <w:color w:val="000000"/>
                <w:sz w:val="24"/>
                <w:lang w:val="en-US" w:eastAsia="zh-CN"/>
              </w:rPr>
            </w:pPr>
            <w:r>
              <w:rPr>
                <w:rFonts w:hint="eastAsia" w:ascii="宋体" w:hAnsi="Times New Roman" w:eastAsia="仿宋_GB2312" w:cs="宋体"/>
                <w:sz w:val="24"/>
                <w:szCs w:val="24"/>
                <w:lang w:val="en-US" w:eastAsia="zh-CN"/>
              </w:rPr>
              <w:t>完成项目基础建设，基座已完成建设</w:t>
            </w:r>
          </w:p>
        </w:tc>
      </w:tr>
      <w:tr w14:paraId="3CA6407B">
        <w:tblPrEx>
          <w:tblCellMar>
            <w:top w:w="0" w:type="dxa"/>
            <w:left w:w="0" w:type="dxa"/>
            <w:bottom w:w="0" w:type="dxa"/>
            <w:right w:w="0" w:type="dxa"/>
          </w:tblCellMar>
        </w:tblPrEx>
        <w:trPr>
          <w:trHeight w:val="79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BC83929">
            <w:pPr>
              <w:widowControl/>
              <w:jc w:val="center"/>
              <w:textAlignment w:val="center"/>
              <w:rPr>
                <w:rFonts w:ascii="宋体" w:hAnsi="宋体" w:eastAsia="仿宋_GB2312"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3A774">
            <w:pPr>
              <w:widowControl/>
              <w:jc w:val="center"/>
              <w:textAlignment w:val="center"/>
              <w:rPr>
                <w:rFonts w:ascii="宋体" w:hAnsi="宋体" w:eastAsia="仿宋_GB2312" w:cs="宋体"/>
                <w:color w:val="000000"/>
                <w:kern w:val="0"/>
                <w:sz w:val="24"/>
              </w:rPr>
            </w:pPr>
            <w:r>
              <w:rPr>
                <w:rFonts w:hint="eastAsia" w:ascii="宋体" w:hAnsi="宋体" w:eastAsia="仿宋_GB2312" w:cs="宋体"/>
                <w:color w:val="000000"/>
                <w:kern w:val="0"/>
                <w:sz w:val="24"/>
              </w:rPr>
              <w:t>满意度指标</w:t>
            </w:r>
          </w:p>
        </w:tc>
        <w:tc>
          <w:tcPr>
            <w:tcW w:w="12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B7928D">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eastAsia="zh-CN"/>
              </w:rPr>
              <w:t>满意度</w:t>
            </w:r>
          </w:p>
        </w:tc>
        <w:tc>
          <w:tcPr>
            <w:tcW w:w="21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1D1E5C">
            <w:pPr>
              <w:widowControl/>
              <w:jc w:val="center"/>
              <w:textAlignment w:val="center"/>
              <w:rPr>
                <w:rFonts w:hint="eastAsia" w:ascii="宋体" w:hAnsi="宋体" w:eastAsia="宋体" w:cs="宋体"/>
                <w:color w:val="000000"/>
                <w:sz w:val="24"/>
                <w:lang w:eastAsia="zh-CN"/>
              </w:rPr>
            </w:pPr>
            <w:r>
              <w:rPr>
                <w:rFonts w:hint="eastAsia" w:ascii="宋体" w:hAnsi="宋体" w:eastAsia="仿宋_GB2312" w:cs="宋体"/>
                <w:color w:val="000000"/>
                <w:sz w:val="24"/>
                <w:lang w:eastAsia="zh-CN"/>
              </w:rPr>
              <w:t>组织工作满意度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76C854">
            <w:pPr>
              <w:widowControl/>
              <w:jc w:val="center"/>
              <w:textAlignment w:val="center"/>
              <w:rPr>
                <w:rFonts w:hint="eastAsia" w:ascii="宋体" w:hAnsi="宋体" w:eastAsia="宋体" w:cs="宋体"/>
                <w:color w:val="000000"/>
                <w:sz w:val="24"/>
                <w:lang w:val="en-US" w:eastAsia="zh-CN"/>
              </w:rPr>
            </w:pPr>
            <w:r>
              <w:rPr>
                <w:rFonts w:hint="eastAsia" w:ascii="宋体" w:hAnsi="Times New Roman" w:eastAsia="仿宋_GB2312" w:cs="宋体"/>
                <w:sz w:val="24"/>
                <w:szCs w:val="24"/>
              </w:rPr>
              <w:t>〉</w:t>
            </w:r>
            <w:r>
              <w:rPr>
                <w:rFonts w:hint="eastAsia" w:ascii="宋体" w:hAnsi="Times New Roman" w:eastAsia="仿宋_GB2312" w:cs="宋体"/>
                <w:sz w:val="24"/>
                <w:szCs w:val="24"/>
                <w:lang w:val="en-US" w:eastAsia="zh-CN"/>
              </w:rPr>
              <w:t>80</w:t>
            </w:r>
            <w:r>
              <w:rPr>
                <w:rFonts w:ascii="宋体" w:hAnsi="Times New Roman" w:eastAsia="仿宋_GB2312" w:cs="宋体"/>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93A09">
            <w:pPr>
              <w:widowControl/>
              <w:jc w:val="center"/>
              <w:textAlignment w:val="center"/>
              <w:rPr>
                <w:rFonts w:ascii="宋体" w:hAnsi="宋体" w:eastAsia="仿宋_GB2312" w:cs="宋体"/>
                <w:color w:val="000000"/>
                <w:sz w:val="24"/>
              </w:rPr>
            </w:pPr>
            <w:r>
              <w:rPr>
                <w:rFonts w:hint="eastAsia" w:ascii="宋体" w:hAnsi="Times New Roman" w:eastAsia="仿宋_GB2312" w:cs="宋体"/>
                <w:sz w:val="24"/>
                <w:szCs w:val="24"/>
              </w:rPr>
              <w:t>〉</w:t>
            </w:r>
            <w:r>
              <w:rPr>
                <w:rFonts w:hint="eastAsia" w:ascii="宋体" w:hAnsi="Times New Roman" w:eastAsia="仿宋_GB2312" w:cs="宋体"/>
                <w:sz w:val="24"/>
                <w:szCs w:val="24"/>
                <w:lang w:val="en-US" w:eastAsia="zh-CN"/>
              </w:rPr>
              <w:t>80</w:t>
            </w:r>
            <w:r>
              <w:rPr>
                <w:rFonts w:ascii="宋体" w:hAnsi="Times New Roman" w:eastAsia="仿宋_GB2312" w:cs="宋体"/>
                <w:sz w:val="24"/>
                <w:szCs w:val="24"/>
              </w:rPr>
              <w:t>%</w:t>
            </w:r>
          </w:p>
        </w:tc>
      </w:tr>
    </w:tbl>
    <w:p w14:paraId="16F5B7A3">
      <w:pPr>
        <w:widowControl w:val="0"/>
        <w:jc w:val="both"/>
        <w:rPr>
          <w:rFonts w:hint="eastAsia" w:ascii="Times New Roman" w:hAnsi="Times New Roman" w:eastAsia="仿宋_GB2312" w:cs="Times New Roman"/>
          <w:kern w:val="2"/>
          <w:sz w:val="32"/>
          <w:szCs w:val="24"/>
          <w:lang w:val="en-US" w:eastAsia="zh-CN" w:bidi="ar-SA"/>
        </w:rPr>
      </w:pPr>
    </w:p>
    <w:p w14:paraId="172C0927">
      <w:pPr>
        <w:spacing w:line="580" w:lineRule="exact"/>
        <w:ind w:firstLine="643" w:firstLineChars="200"/>
        <w:rPr>
          <w:rFonts w:ascii="楷体" w:hAnsi="楷体" w:eastAsia="楷体" w:cs="Times New Roman"/>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十</w:t>
      </w:r>
      <w:r>
        <w:rPr>
          <w:rFonts w:hint="eastAsia" w:ascii="楷体" w:hAnsi="楷体" w:eastAsia="楷体" w:cs="楷体"/>
          <w:b/>
          <w:bCs/>
          <w:sz w:val="32"/>
          <w:szCs w:val="32"/>
        </w:rPr>
        <w:t>）执行管理情况</w:t>
      </w:r>
    </w:p>
    <w:p w14:paraId="1BD3BE8E">
      <w:pPr>
        <w:spacing w:line="580" w:lineRule="exact"/>
        <w:ind w:firstLine="640" w:firstLineChars="200"/>
        <w:rPr>
          <w:rFonts w:hint="eastAsia" w:ascii="仿宋_GB2312" w:hAnsi="仿宋" w:eastAsia="仿宋_GB2312" w:cs="Times New Roman"/>
          <w:kern w:val="2"/>
          <w:sz w:val="32"/>
          <w:szCs w:val="32"/>
          <w:lang w:val="zh-CN" w:eastAsia="zh-CN" w:bidi="ar-SA"/>
        </w:rPr>
      </w:pPr>
      <w:r>
        <w:rPr>
          <w:rFonts w:hint="eastAsia" w:ascii="仿宋_GB2312" w:hAnsi="Calibri" w:eastAsia="仿宋_GB2312" w:cs="仿宋_GB2312"/>
          <w:sz w:val="32"/>
          <w:szCs w:val="32"/>
          <w:lang w:val="en-US" w:eastAsia="zh-CN"/>
        </w:rPr>
        <w:t>我局严格按照《预算法》及其相关规定、严格执行预算管理。全年预算按照计划执行，在保障单位的正常运行基础上合理使用预算经费，贯彻落实中央八项规定、省委十项规定及其实施细则和州委州政府八条意见，严控“三公”经费，厉行节约，合理安排经费支出。</w:t>
      </w:r>
    </w:p>
    <w:p w14:paraId="1F456895">
      <w:pPr>
        <w:widowControl/>
        <w:adjustRightInd w:val="0"/>
        <w:snapToGrid w:val="0"/>
        <w:spacing w:line="560" w:lineRule="exact"/>
        <w:ind w:firstLine="643" w:firstLineChars="200"/>
        <w:contextualSpacing/>
        <w:jc w:val="left"/>
        <w:rPr>
          <w:rFonts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w:t>
      </w:r>
      <w:r>
        <w:rPr>
          <w:rFonts w:hint="eastAsia" w:ascii="仿宋_GB2312" w:hAnsi="宋体" w:eastAsia="仿宋_GB2312" w:cs="宋体"/>
          <w:b/>
          <w:bCs/>
          <w:color w:val="000000"/>
          <w:kern w:val="0"/>
          <w:sz w:val="32"/>
          <w:szCs w:val="32"/>
          <w:shd w:val="clear" w:color="auto" w:fill="FFFFFF"/>
          <w:lang w:val="en-US" w:eastAsia="zh-CN"/>
        </w:rPr>
        <w:t>十一</w:t>
      </w:r>
      <w:r>
        <w:rPr>
          <w:rFonts w:hint="eastAsia" w:ascii="仿宋_GB2312" w:hAnsi="宋体" w:eastAsia="仿宋_GB2312" w:cs="宋体"/>
          <w:b/>
          <w:bCs/>
          <w:color w:val="000000"/>
          <w:kern w:val="0"/>
          <w:sz w:val="32"/>
          <w:szCs w:val="32"/>
          <w:shd w:val="clear" w:color="auto" w:fill="FFFFFF"/>
          <w:lang w:val="zh-CN"/>
        </w:rPr>
        <w:t>）结果应用情况</w:t>
      </w:r>
    </w:p>
    <w:p w14:paraId="1BA8808A">
      <w:pPr>
        <w:spacing w:line="600" w:lineRule="exact"/>
        <w:ind w:firstLine="640" w:firstLineChars="200"/>
        <w:rPr>
          <w:rFonts w:hint="eastAsia" w:ascii="仿宋_GB2312" w:hAnsi="仿宋_GB2312" w:eastAsia="仿宋_GB2312" w:cs="仿宋_GB2312"/>
          <w:sz w:val="32"/>
          <w:szCs w:val="32"/>
        </w:rPr>
      </w:pPr>
      <w:r>
        <w:rPr>
          <w:rFonts w:hint="eastAsia" w:ascii="仿宋_GB2312" w:hAnsi="Calibri" w:eastAsia="仿宋_GB2312" w:cs="仿宋_GB2312"/>
          <w:sz w:val="32"/>
          <w:szCs w:val="32"/>
          <w:lang w:val="en-US" w:eastAsia="zh-CN"/>
        </w:rPr>
        <w:t>我局在县委、县政府的坚强领导下，坚持以习近平新时代中国特色社会主义思想武装头脑、指导实践、推动工作，牢固树立依法履职、精准发力，在科学谋划、队伍建设等方面持续发力，克服人少事多的诸多问题，将各项工作合理安排、稳步推进、成效明显。</w:t>
      </w:r>
    </w:p>
    <w:p w14:paraId="6FDB7B98">
      <w:pPr>
        <w:widowControl/>
        <w:adjustRightInd w:val="0"/>
        <w:snapToGrid w:val="0"/>
        <w:spacing w:line="56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lang w:val="en-US" w:eastAsia="zh-CN"/>
        </w:rPr>
        <w:t>四、</w:t>
      </w:r>
      <w:r>
        <w:rPr>
          <w:rFonts w:hint="eastAsia" w:ascii="黑体" w:hAnsi="宋体" w:eastAsia="黑体" w:cs="宋体"/>
          <w:color w:val="000000"/>
          <w:kern w:val="0"/>
          <w:sz w:val="32"/>
          <w:szCs w:val="32"/>
          <w:shd w:val="clear" w:color="auto" w:fill="FFFFFF"/>
        </w:rPr>
        <w:t>评价结论及建议</w:t>
      </w:r>
    </w:p>
    <w:p w14:paraId="5DC9A167">
      <w:pPr>
        <w:widowControl/>
        <w:adjustRightInd w:val="0"/>
        <w:snapToGrid w:val="0"/>
        <w:spacing w:line="560" w:lineRule="exact"/>
        <w:ind w:firstLine="643" w:firstLineChars="200"/>
        <w:contextualSpacing/>
        <w:jc w:val="left"/>
        <w:rPr>
          <w:rFonts w:hint="eastAsia"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（一）评价结论</w:t>
      </w:r>
    </w:p>
    <w:p w14:paraId="1EE42DA8">
      <w:pPr>
        <w:widowControl/>
        <w:adjustRightInd w:val="0"/>
        <w:snapToGrid w:val="0"/>
        <w:spacing w:line="56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通过全面开展财政支出绩效评价，强化财政支出绩效理念，科学合理编制年度预算，切实发挥财政资金资源配置作用，逐步建立以科学理财为基础，以精细化管理为手段，以评价结果为导向，以实施过程为监管对象的预算管理体系。</w:t>
      </w:r>
    </w:p>
    <w:p w14:paraId="684A0A95">
      <w:pPr>
        <w:widowControl/>
        <w:numPr>
          <w:ilvl w:val="0"/>
          <w:numId w:val="0"/>
        </w:numPr>
        <w:adjustRightInd w:val="0"/>
        <w:snapToGrid w:val="0"/>
        <w:spacing w:line="560" w:lineRule="exact"/>
        <w:ind w:firstLine="643" w:firstLineChars="200"/>
        <w:contextualSpacing/>
        <w:jc w:val="left"/>
        <w:rPr>
          <w:rFonts w:hint="eastAsia"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（二）存在问题</w:t>
      </w:r>
    </w:p>
    <w:p w14:paraId="6570692A">
      <w:pPr>
        <w:widowControl/>
        <w:adjustRightInd w:val="0"/>
        <w:snapToGrid w:val="0"/>
        <w:spacing w:line="560" w:lineRule="exact"/>
        <w:ind w:firstLine="640" w:firstLineChars="200"/>
        <w:contextualSpacing/>
        <w:jc w:val="left"/>
        <w:rPr>
          <w:rFonts w:ascii="仿宋_GB2312" w:hAnsi="Times New Roman" w:eastAsia="仿宋_GB2312" w:cs="Times New Roman"/>
          <w:color w:val="000000"/>
          <w:sz w:val="32"/>
          <w:szCs w:val="32"/>
          <w:lang w:val="zh-CN"/>
        </w:rPr>
      </w:pPr>
      <w:r>
        <w:rPr>
          <w:rFonts w:hint="eastAsia" w:ascii="仿宋_GB2312" w:hAnsi="Times New Roman" w:eastAsia="仿宋_GB2312" w:cs="Times New Roman"/>
          <w:color w:val="000000"/>
          <w:sz w:val="32"/>
          <w:szCs w:val="32"/>
          <w:lang w:val="zh-CN"/>
        </w:rPr>
        <w:t>1.</w:t>
      </w:r>
      <w:r>
        <w:rPr>
          <w:rFonts w:ascii="仿宋_GB2312" w:hAnsi="Times New Roman" w:eastAsia="仿宋_GB2312" w:cs="Times New Roman"/>
          <w:color w:val="000000"/>
          <w:sz w:val="32"/>
          <w:szCs w:val="32"/>
          <w:lang w:val="zh-CN"/>
        </w:rPr>
        <w:t>根据绩效评价工作要求，成立了工作领导小组，但是总体认识还不够，时间较为仓促，评价内容没有更进一步，更细致。评价内容局限于表面现象，没有深入分析。</w:t>
      </w:r>
      <w:r>
        <w:rPr>
          <w:rFonts w:hint="eastAsia" w:ascii="仿宋_GB2312" w:hAnsi="Times New Roman" w:eastAsia="仿宋_GB2312" w:cs="Times New Roman"/>
          <w:color w:val="000000"/>
          <w:sz w:val="32"/>
          <w:szCs w:val="32"/>
          <w:lang w:val="zh-CN"/>
        </w:rPr>
        <w:t xml:space="preserve"> </w:t>
      </w:r>
    </w:p>
    <w:p w14:paraId="4B8AFBDF">
      <w:pPr>
        <w:widowControl/>
        <w:adjustRightInd w:val="0"/>
        <w:snapToGrid w:val="0"/>
        <w:spacing w:line="560" w:lineRule="exact"/>
        <w:ind w:firstLine="640" w:firstLineChars="200"/>
        <w:contextualSpacing/>
        <w:jc w:val="left"/>
        <w:rPr>
          <w:rFonts w:ascii="仿宋_GB2312" w:hAnsi="Times New Roman" w:eastAsia="仿宋_GB2312" w:cs="Times New Roman"/>
          <w:color w:val="000000"/>
          <w:sz w:val="32"/>
          <w:szCs w:val="32"/>
          <w:lang w:val="zh-CN"/>
        </w:rPr>
      </w:pPr>
      <w:r>
        <w:rPr>
          <w:rFonts w:hint="eastAsia" w:ascii="仿宋_GB2312" w:hAnsi="Times New Roman" w:eastAsia="仿宋_GB2312" w:cs="Times New Roman"/>
          <w:color w:val="000000"/>
          <w:sz w:val="32"/>
          <w:szCs w:val="32"/>
          <w:lang w:val="zh-CN"/>
        </w:rPr>
        <w:t>2.资金支付进度不及时，影响支付进度。</w:t>
      </w:r>
    </w:p>
    <w:p w14:paraId="5C9FA7D1">
      <w:pPr>
        <w:widowControl/>
        <w:numPr>
          <w:ilvl w:val="0"/>
          <w:numId w:val="0"/>
        </w:numPr>
        <w:adjustRightInd w:val="0"/>
        <w:snapToGrid w:val="0"/>
        <w:spacing w:line="560" w:lineRule="exact"/>
        <w:ind w:left="960" w:leftChars="0"/>
        <w:contextualSpacing/>
        <w:jc w:val="left"/>
        <w:rPr>
          <w:rFonts w:hint="eastAsia" w:ascii="仿宋_GB2312" w:hAnsi="宋体" w:eastAsia="仿宋_GB2312" w:cs="宋体"/>
          <w:b/>
          <w:bCs/>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zh-CN"/>
        </w:rPr>
        <w:t>（三）改进建议</w:t>
      </w:r>
    </w:p>
    <w:p w14:paraId="3BE15E5B">
      <w:pPr>
        <w:widowControl/>
        <w:adjustRightInd w:val="0"/>
        <w:snapToGrid w:val="0"/>
        <w:spacing w:line="560" w:lineRule="exact"/>
        <w:ind w:firstLine="640" w:firstLineChars="200"/>
        <w:contextualSpacing/>
        <w:jc w:val="left"/>
        <w:rPr>
          <w:rFonts w:ascii="仿宋_GB2312" w:hAnsi="Times New Roman" w:eastAsia="仿宋_GB2312" w:cs="Times New Roman"/>
          <w:color w:val="000000"/>
          <w:kern w:val="0"/>
          <w:sz w:val="32"/>
          <w:szCs w:val="32"/>
          <w:lang w:val="zh-CN"/>
        </w:rPr>
      </w:pPr>
      <w:r>
        <w:rPr>
          <w:rFonts w:hint="eastAsia" w:ascii="仿宋_GB2312" w:hAnsi="Times New Roman" w:eastAsia="仿宋_GB2312" w:cs="Times New Roman"/>
          <w:color w:val="000000"/>
          <w:kern w:val="0"/>
          <w:sz w:val="32"/>
          <w:szCs w:val="32"/>
          <w:lang w:val="zh-CN"/>
        </w:rPr>
        <w:t>1</w:t>
      </w:r>
      <w:r>
        <w:rPr>
          <w:rFonts w:ascii="仿宋_GB2312" w:hAnsi="Times New Roman" w:eastAsia="仿宋_GB2312" w:cs="Times New Roman"/>
          <w:color w:val="000000"/>
          <w:kern w:val="0"/>
          <w:sz w:val="32"/>
          <w:szCs w:val="32"/>
          <w:lang w:val="zh-CN"/>
        </w:rPr>
        <w:t>.</w:t>
      </w:r>
      <w:r>
        <w:rPr>
          <w:rFonts w:hint="eastAsia" w:ascii="仿宋_GB2312" w:hAnsi="Times New Roman" w:eastAsia="仿宋_GB2312" w:cs="Times New Roman"/>
          <w:color w:val="000000"/>
          <w:kern w:val="0"/>
          <w:sz w:val="32"/>
          <w:szCs w:val="32"/>
          <w:lang w:val="zh-CN"/>
        </w:rPr>
        <w:t>强化绩效理念，深入推进评价工作。把财政绩效评价作为转变政府职能、深化财政改革、促进科学理财的重要工作来抓，健全完善制度办法，切实加强组织领导，深入推进评价工作，提升整体绩效管理水平。</w:t>
      </w:r>
    </w:p>
    <w:p w14:paraId="568B547E">
      <w:pPr>
        <w:widowControl/>
        <w:adjustRightInd w:val="0"/>
        <w:snapToGrid w:val="0"/>
        <w:spacing w:line="560"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Times New Roman" w:eastAsia="仿宋_GB2312" w:cs="Times New Roman"/>
          <w:color w:val="000000"/>
          <w:kern w:val="0"/>
          <w:sz w:val="32"/>
          <w:szCs w:val="32"/>
          <w:lang w:val="zh-CN"/>
        </w:rPr>
        <w:t>2</w:t>
      </w:r>
      <w:r>
        <w:rPr>
          <w:rFonts w:ascii="仿宋_GB2312" w:hAnsi="Times New Roman" w:eastAsia="仿宋_GB2312" w:cs="Times New Roman"/>
          <w:color w:val="000000"/>
          <w:kern w:val="0"/>
          <w:sz w:val="32"/>
          <w:szCs w:val="32"/>
          <w:lang w:val="zh-CN"/>
        </w:rPr>
        <w:t>.</w:t>
      </w:r>
      <w:r>
        <w:rPr>
          <w:rFonts w:hint="eastAsia" w:ascii="仿宋_GB2312" w:hAnsi="Times New Roman" w:eastAsia="仿宋_GB2312" w:cs="Times New Roman"/>
          <w:color w:val="000000"/>
          <w:kern w:val="0"/>
          <w:sz w:val="32"/>
          <w:szCs w:val="32"/>
          <w:lang w:val="zh-CN"/>
        </w:rPr>
        <w:t>强化整改落实，构建长效机制。对发现的问题逐一整改，全面核查，举一反三，确保整改到位。对评价发现的问题，深入分析原因，采取措施尽快整改，主要领导亲自抓，组织专门力量，专人专项落实，立即整改，不得遗漏。</w:t>
      </w:r>
    </w:p>
    <w:p w14:paraId="7EB681A5">
      <w:pPr>
        <w:spacing w:line="580" w:lineRule="exact"/>
        <w:rPr>
          <w:rStyle w:val="32"/>
          <w:rFonts w:ascii="黑体" w:hAnsi="黑体" w:eastAsia="黑体"/>
          <w:b w:val="0"/>
          <w:color w:val="auto"/>
          <w:highlight w:val="none"/>
        </w:rPr>
      </w:pPr>
    </w:p>
    <w:p w14:paraId="4DEE93E3">
      <w:pPr>
        <w:widowControl/>
        <w:jc w:val="left"/>
        <w:rPr>
          <w:rStyle w:val="32"/>
          <w:rFonts w:ascii="黑体" w:hAnsi="黑体" w:eastAsia="黑体"/>
          <w:b w:val="0"/>
          <w:color w:val="auto"/>
          <w:highlight w:val="none"/>
        </w:rPr>
      </w:pPr>
      <w:r>
        <w:rPr>
          <w:rStyle w:val="32"/>
          <w:rFonts w:ascii="黑体" w:hAnsi="黑体" w:eastAsia="黑体"/>
          <w:b w:val="0"/>
          <w:color w:val="auto"/>
          <w:highlight w:val="none"/>
        </w:rPr>
        <w:br w:type="page"/>
      </w:r>
    </w:p>
    <w:p w14:paraId="622531CF">
      <w:pPr>
        <w:spacing w:line="600" w:lineRule="exact"/>
        <w:jc w:val="center"/>
        <w:outlineLvl w:val="0"/>
        <w:rPr>
          <w:rFonts w:hint="eastAsia" w:ascii="仿宋" w:hAnsi="仿宋" w:eastAsia="仿宋"/>
          <w:b w:val="0"/>
          <w:color w:val="auto"/>
          <w:highlight w:val="none"/>
        </w:rPr>
      </w:pPr>
      <w:bookmarkStart w:id="95" w:name="_Toc21512"/>
      <w:bookmarkStart w:id="96" w:name="_Toc15396618"/>
      <w:r>
        <w:rPr>
          <w:rFonts w:hint="eastAsia" w:ascii="黑体" w:hAnsi="黑体" w:eastAsia="黑体"/>
          <w:color w:val="auto"/>
          <w:sz w:val="44"/>
          <w:szCs w:val="44"/>
          <w:highlight w:val="none"/>
        </w:rPr>
        <w:t>第</w:t>
      </w:r>
      <w:r>
        <w:rPr>
          <w:rStyle w:val="32"/>
          <w:rFonts w:hint="eastAsia" w:ascii="黑体" w:hAnsi="黑体" w:eastAsia="黑体"/>
          <w:b w:val="0"/>
          <w:color w:val="auto"/>
          <w:highlight w:val="none"/>
        </w:rPr>
        <w:t>五部分 附表</w:t>
      </w:r>
      <w:bookmarkEnd w:id="90"/>
      <w:bookmarkEnd w:id="95"/>
      <w:bookmarkEnd w:id="96"/>
      <w:bookmarkStart w:id="97" w:name="_Toc15396619"/>
    </w:p>
    <w:p w14:paraId="0ED150D0">
      <w:pPr>
        <w:pStyle w:val="5"/>
        <w:rPr>
          <w:rFonts w:ascii="仿宋" w:hAnsi="仿宋" w:eastAsia="仿宋"/>
          <w:color w:val="auto"/>
          <w:highlight w:val="none"/>
        </w:rPr>
      </w:pPr>
      <w:bookmarkStart w:id="98" w:name="_Toc9336"/>
      <w:r>
        <w:rPr>
          <w:rFonts w:hint="eastAsia" w:ascii="仿宋" w:hAnsi="仿宋" w:eastAsia="仿宋"/>
          <w:b w:val="0"/>
          <w:color w:val="auto"/>
          <w:highlight w:val="none"/>
        </w:rPr>
        <w:t>一、收</w:t>
      </w:r>
      <w:r>
        <w:rPr>
          <w:rStyle w:val="33"/>
          <w:rFonts w:hint="eastAsia" w:ascii="仿宋" w:hAnsi="仿宋" w:eastAsia="仿宋"/>
          <w:b w:val="0"/>
          <w:bCs w:val="0"/>
          <w:color w:val="auto"/>
          <w:highlight w:val="none"/>
        </w:rPr>
        <w:t>入支出决算总表</w:t>
      </w:r>
      <w:bookmarkEnd w:id="97"/>
      <w:bookmarkEnd w:id="98"/>
    </w:p>
    <w:p w14:paraId="534197CF">
      <w:pPr>
        <w:pStyle w:val="5"/>
        <w:rPr>
          <w:rFonts w:ascii="仿宋" w:hAnsi="仿宋" w:eastAsia="仿宋"/>
          <w:color w:val="auto"/>
          <w:highlight w:val="none"/>
        </w:rPr>
      </w:pPr>
      <w:bookmarkStart w:id="99" w:name="_Toc2628"/>
      <w:bookmarkStart w:id="100" w:name="_Toc15396620"/>
      <w:r>
        <w:rPr>
          <w:rFonts w:hint="eastAsia" w:ascii="仿宋" w:hAnsi="仿宋" w:eastAsia="仿宋"/>
          <w:b w:val="0"/>
          <w:color w:val="auto"/>
          <w:highlight w:val="none"/>
        </w:rPr>
        <w:t>二、收</w:t>
      </w:r>
      <w:r>
        <w:rPr>
          <w:rStyle w:val="33"/>
          <w:rFonts w:hint="eastAsia" w:ascii="仿宋" w:hAnsi="仿宋" w:eastAsia="仿宋"/>
          <w:b w:val="0"/>
          <w:bCs w:val="0"/>
          <w:color w:val="auto"/>
          <w:highlight w:val="none"/>
        </w:rPr>
        <w:t>入决算表</w:t>
      </w:r>
      <w:bookmarkEnd w:id="99"/>
      <w:bookmarkEnd w:id="100"/>
    </w:p>
    <w:p w14:paraId="5A2B0FAE">
      <w:pPr>
        <w:pStyle w:val="5"/>
        <w:rPr>
          <w:rFonts w:ascii="仿宋" w:hAnsi="仿宋" w:eastAsia="仿宋"/>
          <w:color w:val="auto"/>
          <w:highlight w:val="none"/>
        </w:rPr>
      </w:pPr>
      <w:bookmarkStart w:id="101" w:name="_Toc5244"/>
      <w:bookmarkStart w:id="102" w:name="_Toc15396621"/>
      <w:r>
        <w:rPr>
          <w:rStyle w:val="33"/>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3"/>
          <w:rFonts w:hint="eastAsia" w:ascii="仿宋" w:hAnsi="仿宋" w:eastAsia="仿宋"/>
          <w:b w:val="0"/>
          <w:bCs w:val="0"/>
          <w:color w:val="auto"/>
          <w:highlight w:val="none"/>
        </w:rPr>
        <w:t>出决算表</w:t>
      </w:r>
      <w:bookmarkEnd w:id="101"/>
      <w:bookmarkEnd w:id="102"/>
    </w:p>
    <w:p w14:paraId="1A5CD401">
      <w:pPr>
        <w:pStyle w:val="5"/>
        <w:rPr>
          <w:rFonts w:ascii="仿宋" w:hAnsi="仿宋" w:eastAsia="仿宋"/>
          <w:b w:val="0"/>
          <w:color w:val="auto"/>
          <w:highlight w:val="none"/>
        </w:rPr>
      </w:pPr>
      <w:bookmarkStart w:id="103" w:name="_Toc15396622"/>
      <w:bookmarkStart w:id="104" w:name="_Toc16426"/>
      <w:r>
        <w:rPr>
          <w:rStyle w:val="33"/>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政拨款收入支出决算总表</w:t>
      </w:r>
      <w:bookmarkEnd w:id="103"/>
      <w:bookmarkEnd w:id="104"/>
    </w:p>
    <w:p w14:paraId="64D3FDC5">
      <w:pPr>
        <w:pStyle w:val="5"/>
        <w:rPr>
          <w:rStyle w:val="33"/>
          <w:rFonts w:ascii="仿宋" w:hAnsi="仿宋" w:eastAsia="仿宋"/>
          <w:b w:val="0"/>
          <w:bCs w:val="0"/>
          <w:color w:val="auto"/>
          <w:highlight w:val="none"/>
        </w:rPr>
      </w:pPr>
      <w:bookmarkStart w:id="105" w:name="_Toc9867"/>
      <w:bookmarkStart w:id="106" w:name="_Toc15396623"/>
      <w:r>
        <w:rPr>
          <w:rStyle w:val="33"/>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政拨款支出决算明细表</w:t>
      </w:r>
      <w:bookmarkEnd w:id="105"/>
      <w:bookmarkEnd w:id="106"/>
      <w:bookmarkStart w:id="107" w:name="_Toc15396624"/>
    </w:p>
    <w:p w14:paraId="54324D15">
      <w:pPr>
        <w:pStyle w:val="5"/>
        <w:rPr>
          <w:rFonts w:ascii="仿宋" w:hAnsi="仿宋" w:eastAsia="仿宋"/>
          <w:color w:val="auto"/>
          <w:highlight w:val="none"/>
        </w:rPr>
      </w:pPr>
      <w:bookmarkStart w:id="108" w:name="_Toc7642"/>
      <w:r>
        <w:rPr>
          <w:rStyle w:val="33"/>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般公共预算财政拨款支出决算表</w:t>
      </w:r>
      <w:bookmarkEnd w:id="107"/>
      <w:bookmarkEnd w:id="108"/>
    </w:p>
    <w:p w14:paraId="3A084737">
      <w:pPr>
        <w:pStyle w:val="5"/>
        <w:rPr>
          <w:rFonts w:ascii="仿宋" w:hAnsi="仿宋" w:eastAsia="仿宋"/>
          <w:color w:val="auto"/>
          <w:highlight w:val="none"/>
        </w:rPr>
      </w:pPr>
      <w:bookmarkStart w:id="109" w:name="_Toc17543"/>
      <w:bookmarkStart w:id="110" w:name="_Toc15396625"/>
      <w:r>
        <w:rPr>
          <w:rStyle w:val="33"/>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般公共预算财政拨款支出决算明细表</w:t>
      </w:r>
      <w:bookmarkEnd w:id="109"/>
      <w:bookmarkEnd w:id="110"/>
    </w:p>
    <w:p w14:paraId="20154907">
      <w:pPr>
        <w:pStyle w:val="5"/>
        <w:rPr>
          <w:rFonts w:ascii="仿宋" w:hAnsi="仿宋" w:eastAsia="仿宋"/>
          <w:color w:val="auto"/>
          <w:highlight w:val="none"/>
        </w:rPr>
      </w:pPr>
      <w:bookmarkStart w:id="111" w:name="_Toc18149"/>
      <w:bookmarkStart w:id="112" w:name="_Toc15396626"/>
      <w:r>
        <w:rPr>
          <w:rStyle w:val="33"/>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般公共预算财政拨款基本支出决算表</w:t>
      </w:r>
      <w:bookmarkEnd w:id="111"/>
      <w:bookmarkEnd w:id="112"/>
    </w:p>
    <w:p w14:paraId="41FAEE34">
      <w:pPr>
        <w:pStyle w:val="5"/>
        <w:rPr>
          <w:rFonts w:ascii="仿宋" w:hAnsi="仿宋" w:eastAsia="仿宋"/>
          <w:color w:val="auto"/>
          <w:highlight w:val="none"/>
        </w:rPr>
      </w:pPr>
      <w:bookmarkStart w:id="113" w:name="_Toc18446"/>
      <w:bookmarkStart w:id="114" w:name="_Toc15396627"/>
      <w:r>
        <w:rPr>
          <w:rStyle w:val="33"/>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般公共预算财政拨款项目支出决算表</w:t>
      </w:r>
      <w:bookmarkEnd w:id="113"/>
      <w:bookmarkEnd w:id="114"/>
    </w:p>
    <w:p w14:paraId="4638E847">
      <w:pPr>
        <w:pStyle w:val="5"/>
        <w:rPr>
          <w:rFonts w:ascii="仿宋" w:hAnsi="仿宋" w:eastAsia="仿宋"/>
          <w:color w:val="auto"/>
          <w:highlight w:val="none"/>
        </w:rPr>
      </w:pPr>
      <w:bookmarkStart w:id="115" w:name="_Toc15396628"/>
      <w:bookmarkStart w:id="116" w:name="_Toc10614"/>
      <w:r>
        <w:rPr>
          <w:rStyle w:val="33"/>
          <w:rFonts w:hint="eastAsia" w:ascii="仿宋" w:hAnsi="仿宋" w:eastAsia="仿宋"/>
          <w:b w:val="0"/>
          <w:bCs w:val="0"/>
          <w:color w:val="auto"/>
          <w:highlight w:val="none"/>
        </w:rPr>
        <w:t>十、</w:t>
      </w:r>
      <w:bookmarkEnd w:id="115"/>
      <w:r>
        <w:rPr>
          <w:rFonts w:hint="eastAsia" w:ascii="仿宋" w:hAnsi="仿宋" w:eastAsia="仿宋"/>
          <w:b w:val="0"/>
          <w:color w:val="auto"/>
          <w:highlight w:val="none"/>
        </w:rPr>
        <w:t>政</w:t>
      </w:r>
      <w:r>
        <w:rPr>
          <w:rStyle w:val="33"/>
          <w:rFonts w:hint="eastAsia" w:ascii="仿宋" w:hAnsi="仿宋" w:eastAsia="仿宋"/>
          <w:b w:val="0"/>
          <w:bCs w:val="0"/>
          <w:color w:val="auto"/>
          <w:highlight w:val="none"/>
        </w:rPr>
        <w:t>府性基金预算财政拨款收入支出决算表</w:t>
      </w:r>
      <w:bookmarkEnd w:id="116"/>
    </w:p>
    <w:p w14:paraId="6855466B">
      <w:pPr>
        <w:pStyle w:val="5"/>
        <w:rPr>
          <w:rFonts w:ascii="仿宋" w:hAnsi="仿宋" w:eastAsia="仿宋"/>
          <w:color w:val="auto"/>
          <w:highlight w:val="none"/>
        </w:rPr>
      </w:pPr>
      <w:bookmarkStart w:id="117" w:name="_Toc15396629"/>
      <w:bookmarkStart w:id="118" w:name="_Toc7551"/>
      <w:r>
        <w:rPr>
          <w:rStyle w:val="33"/>
          <w:rFonts w:hint="eastAsia" w:ascii="仿宋" w:hAnsi="仿宋" w:eastAsia="仿宋"/>
          <w:b w:val="0"/>
          <w:bCs w:val="0"/>
          <w:color w:val="auto"/>
          <w:highlight w:val="none"/>
        </w:rPr>
        <w:t>十一、</w:t>
      </w:r>
      <w:bookmarkEnd w:id="117"/>
      <w:r>
        <w:rPr>
          <w:rFonts w:hint="eastAsia" w:ascii="仿宋" w:hAnsi="仿宋" w:eastAsia="仿宋"/>
          <w:b w:val="0"/>
          <w:color w:val="auto"/>
          <w:highlight w:val="none"/>
        </w:rPr>
        <w:t>国</w:t>
      </w:r>
      <w:r>
        <w:rPr>
          <w:rStyle w:val="33"/>
          <w:rFonts w:hint="eastAsia" w:ascii="仿宋" w:hAnsi="仿宋" w:eastAsia="仿宋"/>
          <w:b w:val="0"/>
          <w:bCs w:val="0"/>
          <w:color w:val="auto"/>
          <w:highlight w:val="none"/>
        </w:rPr>
        <w:t>有资本经营预算</w:t>
      </w:r>
      <w:r>
        <w:rPr>
          <w:rStyle w:val="33"/>
          <w:rFonts w:hint="eastAsia" w:ascii="仿宋" w:hAnsi="仿宋" w:eastAsia="仿宋"/>
          <w:b w:val="0"/>
          <w:bCs w:val="0"/>
          <w:color w:val="auto"/>
          <w:highlight w:val="none"/>
          <w:lang w:eastAsia="zh-CN"/>
        </w:rPr>
        <w:t>财政拨款收入</w:t>
      </w:r>
      <w:r>
        <w:rPr>
          <w:rStyle w:val="33"/>
          <w:rFonts w:hint="eastAsia" w:ascii="仿宋" w:hAnsi="仿宋" w:eastAsia="仿宋"/>
          <w:b w:val="0"/>
          <w:bCs w:val="0"/>
          <w:color w:val="auto"/>
          <w:highlight w:val="none"/>
        </w:rPr>
        <w:t>支出决算表</w:t>
      </w:r>
      <w:bookmarkEnd w:id="118"/>
    </w:p>
    <w:p w14:paraId="11EB4F2C">
      <w:pPr>
        <w:pStyle w:val="5"/>
        <w:rPr>
          <w:rFonts w:ascii="仿宋" w:hAnsi="仿宋" w:eastAsia="仿宋"/>
          <w:color w:val="auto"/>
          <w:highlight w:val="none"/>
        </w:rPr>
      </w:pPr>
      <w:bookmarkStart w:id="119" w:name="_Toc15396630"/>
      <w:bookmarkStart w:id="120" w:name="_Toc25554"/>
      <w:r>
        <w:rPr>
          <w:rStyle w:val="33"/>
          <w:rFonts w:hint="eastAsia" w:ascii="仿宋" w:hAnsi="仿宋" w:eastAsia="仿宋"/>
          <w:b w:val="0"/>
          <w:bCs w:val="0"/>
          <w:color w:val="auto"/>
          <w:highlight w:val="none"/>
        </w:rPr>
        <w:t>十二、</w:t>
      </w:r>
      <w:bookmarkEnd w:id="119"/>
      <w:r>
        <w:rPr>
          <w:rStyle w:val="33"/>
          <w:rFonts w:hint="eastAsia" w:ascii="仿宋" w:hAnsi="仿宋" w:eastAsia="仿宋"/>
          <w:b w:val="0"/>
          <w:bCs w:val="0"/>
          <w:color w:val="auto"/>
          <w:highlight w:val="none"/>
          <w:lang w:eastAsia="zh-CN"/>
        </w:rPr>
        <w:t>国有资本经营预算财政拨款支出决算表</w:t>
      </w:r>
      <w:bookmarkEnd w:id="120"/>
    </w:p>
    <w:p w14:paraId="7C958FE9">
      <w:pPr>
        <w:pStyle w:val="5"/>
        <w:rPr>
          <w:rFonts w:hint="eastAsia" w:eastAsia="仿宋"/>
          <w:color w:val="auto"/>
          <w:highlight w:val="none"/>
          <w:lang w:eastAsia="zh-CN"/>
        </w:rPr>
      </w:pPr>
      <w:bookmarkStart w:id="121" w:name="_Toc15396631"/>
      <w:bookmarkStart w:id="122" w:name="_Toc10243"/>
      <w:r>
        <w:rPr>
          <w:rStyle w:val="33"/>
          <w:rFonts w:hint="eastAsia" w:ascii="仿宋" w:hAnsi="仿宋" w:eastAsia="仿宋"/>
          <w:b w:val="0"/>
          <w:bCs w:val="0"/>
          <w:color w:val="auto"/>
          <w:highlight w:val="none"/>
        </w:rPr>
        <w:t>十三、</w:t>
      </w:r>
      <w:bookmarkEnd w:id="121"/>
      <w:r>
        <w:rPr>
          <w:rStyle w:val="33"/>
          <w:rFonts w:hint="eastAsia" w:ascii="仿宋" w:hAnsi="仿宋" w:eastAsia="仿宋"/>
          <w:b w:val="0"/>
          <w:bCs w:val="0"/>
          <w:color w:val="auto"/>
          <w:highlight w:val="none"/>
          <w:lang w:eastAsia="zh-CN"/>
        </w:rPr>
        <w:t>财政拨款“三公”经费支出决算表</w:t>
      </w:r>
      <w:bookmarkEnd w:id="12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2D7EE5F">
        <w:pPr>
          <w:pStyle w:val="12"/>
          <w:jc w:val="center"/>
        </w:pPr>
        <w:r>
          <w:fldChar w:fldCharType="begin"/>
        </w:r>
        <w:r>
          <w:instrText xml:space="preserve">PAGE   \* MERGEFORMAT</w:instrText>
        </w:r>
        <w:r>
          <w:fldChar w:fldCharType="separate"/>
        </w:r>
        <w:r>
          <w:rPr>
            <w:lang w:val="zh-CN"/>
          </w:rPr>
          <w:t>8</w:t>
        </w:r>
        <w:r>
          <w:fldChar w:fldCharType="end"/>
        </w:r>
      </w:p>
    </w:sdtContent>
  </w:sdt>
  <w:p w14:paraId="185D13BE">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85FC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AE9BA"/>
    <w:multiLevelType w:val="singleLevel"/>
    <w:tmpl w:val="AB8AE9BA"/>
    <w:lvl w:ilvl="0" w:tentative="0">
      <w:start w:val="1"/>
      <w:numFmt w:val="chineseCounting"/>
      <w:suff w:val="nothing"/>
      <w:lvlText w:val="%1、"/>
      <w:lvlJc w:val="left"/>
      <w:rPr>
        <w:rFonts w:hint="eastAsia"/>
      </w:rPr>
    </w:lvl>
  </w:abstractNum>
  <w:abstractNum w:abstractNumId="1">
    <w:nsid w:val="B13B4513"/>
    <w:multiLevelType w:val="singleLevel"/>
    <w:tmpl w:val="B13B4513"/>
    <w:lvl w:ilvl="0" w:tentative="0">
      <w:start w:val="1"/>
      <w:numFmt w:val="decimal"/>
      <w:lvlText w:val="%1."/>
      <w:lvlJc w:val="left"/>
      <w:pPr>
        <w:tabs>
          <w:tab w:val="left" w:pos="312"/>
        </w:tabs>
      </w:pPr>
    </w:lvl>
  </w:abstractNum>
  <w:abstractNum w:abstractNumId="2">
    <w:nsid w:val="CF652CEC"/>
    <w:multiLevelType w:val="singleLevel"/>
    <w:tmpl w:val="CF652CEC"/>
    <w:lvl w:ilvl="0" w:tentative="0">
      <w:start w:val="9"/>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1433F37D"/>
    <w:multiLevelType w:val="singleLevel"/>
    <w:tmpl w:val="1433F37D"/>
    <w:lvl w:ilvl="0" w:tentative="0">
      <w:start w:val="2"/>
      <w:numFmt w:val="chineseCounting"/>
      <w:suff w:val="nothing"/>
      <w:lvlText w:val="（%1）"/>
      <w:lvlJc w:val="left"/>
      <w:rPr>
        <w:rFonts w:hint="eastAsia"/>
      </w:rPr>
    </w:lvl>
  </w:abstractNum>
  <w:abstractNum w:abstractNumId="6">
    <w:nsid w:val="33A27467"/>
    <w:multiLevelType w:val="singleLevel"/>
    <w:tmpl w:val="33A27467"/>
    <w:lvl w:ilvl="0" w:tentative="0">
      <w:start w:val="1"/>
      <w:numFmt w:val="chineseCounting"/>
      <w:suff w:val="nothing"/>
      <w:lvlText w:val="%1、"/>
      <w:lvlJc w:val="left"/>
      <w:rPr>
        <w:rFonts w:hint="eastAsia"/>
      </w:rPr>
    </w:lvl>
  </w:abstractNum>
  <w:abstractNum w:abstractNumId="7">
    <w:nsid w:val="4DC80EDB"/>
    <w:multiLevelType w:val="singleLevel"/>
    <w:tmpl w:val="4DC80EDB"/>
    <w:lvl w:ilvl="0" w:tentative="0">
      <w:start w:val="1"/>
      <w:numFmt w:val="chineseCounting"/>
      <w:suff w:val="nothing"/>
      <w:lvlText w:val="（%1）"/>
      <w:lvlJc w:val="left"/>
      <w:rPr>
        <w:rFonts w:hint="eastAsia"/>
      </w:rPr>
    </w:lvl>
  </w:abstractNum>
  <w:abstractNum w:abstractNumId="8">
    <w:nsid w:val="5393F6B9"/>
    <w:multiLevelType w:val="singleLevel"/>
    <w:tmpl w:val="5393F6B9"/>
    <w:lvl w:ilvl="0" w:tentative="0">
      <w:start w:val="2"/>
      <w:numFmt w:val="chineseCounting"/>
      <w:suff w:val="nothing"/>
      <w:lvlText w:val="%1、"/>
      <w:lvlJc w:val="left"/>
      <w:rPr>
        <w:rFonts w:hint="eastAsia"/>
      </w:rPr>
    </w:lvl>
  </w:abstractNum>
  <w:num w:numId="1">
    <w:abstractNumId w:val="6"/>
  </w:num>
  <w:num w:numId="2">
    <w:abstractNumId w:val="4"/>
  </w:num>
  <w:num w:numId="3">
    <w:abstractNumId w:val="2"/>
  </w:num>
  <w:num w:numId="4">
    <w:abstractNumId w:val="3"/>
  </w:num>
  <w:num w:numId="5">
    <w:abstractNumId w:val="0"/>
  </w:num>
  <w:num w:numId="6">
    <w:abstractNumId w:val="7"/>
  </w:num>
  <w:num w:numId="7">
    <w:abstractNumId w:val="5"/>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lZGNkZWEzYjg0NDNmNTQ5MjkzNjk0ODlhNmVkYz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5987FA7"/>
    <w:rsid w:val="066E0107"/>
    <w:rsid w:val="07996F6E"/>
    <w:rsid w:val="0A2032A3"/>
    <w:rsid w:val="0B0264D2"/>
    <w:rsid w:val="0F55667C"/>
    <w:rsid w:val="0F98263C"/>
    <w:rsid w:val="101860EC"/>
    <w:rsid w:val="10C055FF"/>
    <w:rsid w:val="118107EC"/>
    <w:rsid w:val="13D50BC4"/>
    <w:rsid w:val="16BB723D"/>
    <w:rsid w:val="19FE255B"/>
    <w:rsid w:val="1BE8440E"/>
    <w:rsid w:val="1D155CEE"/>
    <w:rsid w:val="1EF95861"/>
    <w:rsid w:val="1FF35744"/>
    <w:rsid w:val="23860B96"/>
    <w:rsid w:val="240371BF"/>
    <w:rsid w:val="29FD04D3"/>
    <w:rsid w:val="2C8A61B5"/>
    <w:rsid w:val="2DF04E50"/>
    <w:rsid w:val="2F040D46"/>
    <w:rsid w:val="300E44B6"/>
    <w:rsid w:val="319F7F4E"/>
    <w:rsid w:val="324F0A81"/>
    <w:rsid w:val="3304709D"/>
    <w:rsid w:val="33090A99"/>
    <w:rsid w:val="34751EB6"/>
    <w:rsid w:val="36AA5135"/>
    <w:rsid w:val="376D39B2"/>
    <w:rsid w:val="37E16F03"/>
    <w:rsid w:val="38D469F0"/>
    <w:rsid w:val="39E44839"/>
    <w:rsid w:val="3D98207C"/>
    <w:rsid w:val="3E78745D"/>
    <w:rsid w:val="44E268DA"/>
    <w:rsid w:val="48EC5AF0"/>
    <w:rsid w:val="4A627F82"/>
    <w:rsid w:val="4B0449A9"/>
    <w:rsid w:val="4B0E749A"/>
    <w:rsid w:val="4B4F25DA"/>
    <w:rsid w:val="4BE068DB"/>
    <w:rsid w:val="4D577224"/>
    <w:rsid w:val="4EAB630A"/>
    <w:rsid w:val="4ECE2238"/>
    <w:rsid w:val="4FB3346A"/>
    <w:rsid w:val="537E6D0A"/>
    <w:rsid w:val="5AF92295"/>
    <w:rsid w:val="5CD71FC4"/>
    <w:rsid w:val="69BB78CE"/>
    <w:rsid w:val="6C4A05C8"/>
    <w:rsid w:val="6C6B0755"/>
    <w:rsid w:val="6E7E3605"/>
    <w:rsid w:val="6E8126B3"/>
    <w:rsid w:val="6FF5CC65"/>
    <w:rsid w:val="715C0E4B"/>
    <w:rsid w:val="71883D59"/>
    <w:rsid w:val="72734D90"/>
    <w:rsid w:val="73AD73D5"/>
    <w:rsid w:val="73B6EB34"/>
    <w:rsid w:val="744731E5"/>
    <w:rsid w:val="76E3355F"/>
    <w:rsid w:val="778769C8"/>
    <w:rsid w:val="79EE5BA4"/>
    <w:rsid w:val="7A894339"/>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9"/>
    <w:qFormat/>
    <w:uiPriority w:val="99"/>
    <w:pPr>
      <w:spacing w:beforeLines="30"/>
    </w:pPr>
    <w:rPr>
      <w:rFonts w:ascii="仿宋_GB2312" w:eastAsia="仿宋_GB2312"/>
      <w:kern w:val="0"/>
      <w:sz w:val="30"/>
    </w:rPr>
  </w:style>
  <w:style w:type="paragraph" w:styleId="3">
    <w:name w:val="index 8"/>
    <w:basedOn w:val="1"/>
    <w:next w:val="1"/>
    <w:unhideWhenUsed/>
    <w:qFormat/>
    <w:uiPriority w:val="99"/>
    <w:pPr>
      <w:ind w:left="2940"/>
    </w:pPr>
  </w:style>
  <w:style w:type="paragraph" w:styleId="7">
    <w:name w:val="Normal Indent"/>
    <w:basedOn w:val="1"/>
    <w:qFormat/>
    <w:uiPriority w:val="0"/>
    <w:pPr>
      <w:ind w:firstLine="200" w:firstLineChars="200"/>
    </w:pPr>
    <w:rPr>
      <w:kern w:val="0"/>
      <w:sz w:val="20"/>
    </w:rPr>
  </w:style>
  <w:style w:type="paragraph" w:styleId="8">
    <w:name w:val="Salutation"/>
    <w:basedOn w:val="1"/>
    <w:next w:val="1"/>
    <w:qFormat/>
    <w:uiPriority w:val="99"/>
  </w:style>
  <w:style w:type="paragraph" w:styleId="9">
    <w:name w:val="Body Text Indent"/>
    <w:basedOn w:val="1"/>
    <w:qFormat/>
    <w:uiPriority w:val="0"/>
    <w:pPr>
      <w:spacing w:after="120"/>
      <w:ind w:leftChars="200"/>
    </w:pPr>
    <w:rPr>
      <w:rFonts w:ascii="仿宋_GB2312"/>
      <w:szCs w:val="32"/>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9"/>
    <w:unhideWhenUsed/>
    <w:qFormat/>
    <w:uiPriority w:val="99"/>
    <w:pPr>
      <w:ind w:firstLine="420" w:firstLine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列出段落1"/>
    <w:basedOn w:val="1"/>
    <w:qFormat/>
    <w:uiPriority w:val="34"/>
    <w:pPr>
      <w:ind w:firstLine="420" w:firstLineChars="200"/>
    </w:pPr>
    <w:rPr>
      <w:rFonts w:ascii="Calibri" w:hAnsi="Calibri" w:eastAsia="宋体" w:cs="Times New Roman"/>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9"/>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19"/>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19"/>
    <w:semiHidden/>
    <w:qFormat/>
    <w:uiPriority w:val="99"/>
    <w:rPr>
      <w:rFonts w:ascii="Times New Roman" w:hAnsi="Times New Roman"/>
      <w:szCs w:val="24"/>
    </w:rPr>
  </w:style>
  <w:style w:type="character" w:customStyle="1" w:styleId="29">
    <w:name w:val="正文文本 Char"/>
    <w:link w:val="2"/>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9"/>
    <w:link w:val="4"/>
    <w:qFormat/>
    <w:uiPriority w:val="9"/>
    <w:rPr>
      <w:rFonts w:ascii="Times New Roman" w:hAnsi="Times New Roman"/>
      <w:b/>
      <w:bCs/>
      <w:kern w:val="44"/>
      <w:sz w:val="44"/>
      <w:szCs w:val="44"/>
    </w:rPr>
  </w:style>
  <w:style w:type="character" w:customStyle="1" w:styleId="33">
    <w:name w:val="标题 2 Char"/>
    <w:basedOn w:val="19"/>
    <w:link w:val="5"/>
    <w:qFormat/>
    <w:uiPriority w:val="9"/>
    <w:rPr>
      <w:rFonts w:asciiTheme="majorHAnsi" w:hAnsiTheme="majorHAnsi" w:eastAsiaTheme="majorEastAsia" w:cstheme="majorBidi"/>
      <w:b/>
      <w:bCs/>
      <w:kern w:val="2"/>
      <w:sz w:val="32"/>
      <w:szCs w:val="32"/>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9"/>
    <w:link w:val="11"/>
    <w:semiHidden/>
    <w:qFormat/>
    <w:uiPriority w:val="99"/>
    <w:rPr>
      <w:rFonts w:ascii="Times New Roman" w:hAnsi="Times New Roman"/>
      <w:kern w:val="2"/>
      <w:sz w:val="18"/>
      <w:szCs w:val="18"/>
    </w:rPr>
  </w:style>
  <w:style w:type="character" w:customStyle="1" w:styleId="36">
    <w:name w:val="标题 3 Char"/>
    <w:basedOn w:val="19"/>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文档正文"/>
    <w:basedOn w:val="1"/>
    <w:qFormat/>
    <w:uiPriority w:val="0"/>
    <w:pPr>
      <w:adjustRightInd w:val="0"/>
      <w:spacing w:line="480" w:lineRule="atLeast"/>
      <w:textAlignment w:val="baseline"/>
    </w:pPr>
    <w:rPr>
      <w:rFonts w:ascii="Arial" w:hAnsi="Arial"/>
      <w:kern w:val="0"/>
    </w:rPr>
  </w:style>
  <w:style w:type="paragraph" w:customStyle="1" w:styleId="40">
    <w:name w:val="正文文本1"/>
    <w:basedOn w:val="1"/>
    <w:qFormat/>
    <w:uiPriority w:val="99"/>
    <w:pPr>
      <w:spacing w:before="93"/>
    </w:pPr>
    <w:rPr>
      <w:rFonts w:ascii="仿宋_GB2312" w:hAnsi="仿宋_GB2312" w:eastAsia="仿宋_GB2312" w:cs="仿宋_GB2312"/>
      <w:kern w:val="0"/>
      <w:sz w:val="30"/>
      <w:szCs w:val="30"/>
    </w:rPr>
  </w:style>
  <w:style w:type="character" w:customStyle="1" w:styleId="41">
    <w:name w:val="NormalCharacter"/>
    <w:semiHidden/>
    <w:qFormat/>
    <w:uiPriority w:val="0"/>
    <w:rPr>
      <w:rFonts w:asciiTheme="minorHAnsi" w:hAnsiTheme="minorHAnsi" w:eastAsiaTheme="minorEastAsia" w:cstheme="minorBidi"/>
      <w:kern w:val="2"/>
      <w:sz w:val="21"/>
      <w:szCs w:val="24"/>
      <w:lang w:val="en-US" w:eastAsia="zh-CN" w:bidi="ar-SA"/>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8.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strRef>
              <c:f>Sheet1!$A$2</c:f>
              <c:strCache>
                <c:ptCount val="1"/>
                <c:pt idx="0">
                  <c:v>收入</c:v>
                </c:pt>
              </c:strCache>
            </c:strRef>
          </c:cat>
          <c:val>
            <c:numRef>
              <c:f>Sheet1!$B$2</c:f>
              <c:numCache>
                <c:formatCode>General</c:formatCode>
                <c:ptCount val="1"/>
                <c:pt idx="0">
                  <c:v>2221.57</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c:f>
              <c:strCache>
                <c:ptCount val="1"/>
                <c:pt idx="0">
                  <c:v>收入</c:v>
                </c:pt>
              </c:strCache>
            </c:strRef>
          </c:cat>
          <c:val>
            <c:numRef>
              <c:f>Sheet1!$C$2</c:f>
              <c:numCache>
                <c:formatCode>General</c:formatCode>
                <c:ptCount val="1"/>
                <c:pt idx="0">
                  <c:v>3444.75</c:v>
                </c:pt>
              </c:numCache>
            </c:numRef>
          </c:val>
        </c:ser>
        <c:dLbls>
          <c:showLegendKey val="0"/>
          <c:showVal val="0"/>
          <c:showCatName val="0"/>
          <c:showSerName val="0"/>
          <c:showPercent val="0"/>
          <c:showBubbleSize val="0"/>
        </c:dLbls>
        <c:gapWidth val="246"/>
        <c:overlap val="-28"/>
        <c:axId val="678122254"/>
        <c:axId val="634898967"/>
      </c:barChart>
      <c:catAx>
        <c:axId val="67812225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4898967"/>
        <c:crosses val="autoZero"/>
        <c:auto val="1"/>
        <c:lblAlgn val="ctr"/>
        <c:lblOffset val="100"/>
        <c:noMultiLvlLbl val="0"/>
      </c:catAx>
      <c:valAx>
        <c:axId val="634898967"/>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1222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d88520-fd89-4e98-b635-c442cc41ac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支出决算总计变动情况图</a:t>
            </a:r>
          </a:p>
        </c:rich>
      </c:tx>
      <c:layout>
        <c:manualLayout>
          <c:xMode val="edge"/>
          <c:yMode val="edge"/>
          <c:x val="0.309132640734477"/>
          <c:y val="0.029749256268593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strRef>
              <c:f>Sheet1!$A$2</c:f>
              <c:strCache>
                <c:ptCount val="1"/>
                <c:pt idx="0">
                  <c:v>支出</c:v>
                </c:pt>
              </c:strCache>
            </c:strRef>
          </c:cat>
          <c:val>
            <c:numRef>
              <c:f>Sheet1!$B$2</c:f>
              <c:numCache>
                <c:formatCode>General</c:formatCode>
                <c:ptCount val="1"/>
                <c:pt idx="0">
                  <c:v>4287.77</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c:f>
              <c:strCache>
                <c:ptCount val="1"/>
                <c:pt idx="0">
                  <c:v>支出</c:v>
                </c:pt>
              </c:strCache>
            </c:strRef>
          </c:cat>
          <c:val>
            <c:numRef>
              <c:f>Sheet1!$C$2</c:f>
              <c:numCache>
                <c:formatCode>General</c:formatCode>
                <c:ptCount val="1"/>
                <c:pt idx="0">
                  <c:v>5416.05</c:v>
                </c:pt>
              </c:numCache>
            </c:numRef>
          </c:val>
        </c:ser>
        <c:dLbls>
          <c:showLegendKey val="0"/>
          <c:showVal val="0"/>
          <c:showCatName val="0"/>
          <c:showSerName val="0"/>
          <c:showPercent val="0"/>
          <c:showBubbleSize val="0"/>
        </c:dLbls>
        <c:gapWidth val="246"/>
        <c:overlap val="-28"/>
        <c:axId val="603639979"/>
        <c:axId val="696406191"/>
      </c:barChart>
      <c:catAx>
        <c:axId val="6036399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406191"/>
        <c:crosses val="autoZero"/>
        <c:auto val="1"/>
        <c:lblAlgn val="ctr"/>
        <c:lblOffset val="100"/>
        <c:noMultiLvlLbl val="0"/>
      </c:catAx>
      <c:valAx>
        <c:axId val="69640619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6399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4ae2c5-c426-4133-94cc-ba59c4ac4b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99.83</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6"/>
              <c:delete val="1"/>
            </c:dLbl>
            <c:dLbl>
              <c:idx val="7"/>
              <c:layout>
                <c:manualLayout>
                  <c:x val="0.323749390543431"/>
                  <c:y val="0.02329366765778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0.17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经营收入</c:v>
                </c:pt>
                <c:pt idx="5">
                  <c:v>事业收入</c:v>
                </c:pt>
                <c:pt idx="6">
                  <c:v>附属单位上缴收入</c:v>
                </c:pt>
                <c:pt idx="7">
                  <c:v>其他收入</c:v>
                </c:pt>
              </c:strCache>
            </c:strRef>
          </c:cat>
          <c:val>
            <c:numRef>
              <c:f>Sheet1!$B$2:$B$9</c:f>
              <c:numCache>
                <c:formatCode>General</c:formatCode>
                <c:ptCount val="8"/>
                <c:pt idx="0">
                  <c:v>3438.09</c:v>
                </c:pt>
                <c:pt idx="1">
                  <c:v>6.66</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864c6db-bdd0-4875-abe0-e2da9003fd9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971.25</c:v>
                </c:pt>
                <c:pt idx="1">
                  <c:v>4444.8</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8a0d9a-4f25-4a60-a52d-0bada8e8af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财政拨款收入决算总计变动情况图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strRef>
              <c:f>Sheet1!$A$2</c:f>
              <c:strCache>
                <c:ptCount val="1"/>
                <c:pt idx="0">
                  <c:v>收入</c:v>
                </c:pt>
              </c:strCache>
            </c:strRef>
          </c:cat>
          <c:val>
            <c:numRef>
              <c:f>Sheet1!$B$2</c:f>
              <c:numCache>
                <c:formatCode>General</c:formatCode>
                <c:ptCount val="1"/>
                <c:pt idx="0">
                  <c:v>2221.57</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c:f>
              <c:strCache>
                <c:ptCount val="1"/>
                <c:pt idx="0">
                  <c:v>收入</c:v>
                </c:pt>
              </c:strCache>
            </c:strRef>
          </c:cat>
          <c:val>
            <c:numRef>
              <c:f>Sheet1!$C$2</c:f>
              <c:numCache>
                <c:formatCode>General</c:formatCode>
                <c:ptCount val="1"/>
                <c:pt idx="0">
                  <c:v>3444.75</c:v>
                </c:pt>
              </c:numCache>
            </c:numRef>
          </c:val>
        </c:ser>
        <c:dLbls>
          <c:showLegendKey val="0"/>
          <c:showVal val="0"/>
          <c:showCatName val="0"/>
          <c:showSerName val="0"/>
          <c:showPercent val="0"/>
          <c:showBubbleSize val="0"/>
        </c:dLbls>
        <c:gapWidth val="246"/>
        <c:overlap val="-28"/>
        <c:axId val="430130493"/>
        <c:axId val="513464121"/>
      </c:barChart>
      <c:catAx>
        <c:axId val="4301304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464121"/>
        <c:crosses val="autoZero"/>
        <c:auto val="1"/>
        <c:lblAlgn val="ctr"/>
        <c:lblOffset val="100"/>
        <c:noMultiLvlLbl val="0"/>
      </c:catAx>
      <c:valAx>
        <c:axId val="51346412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1304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2729d2-0e58-4f3f-b34e-8cb0509772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strRef>
              <c:f>Sheet1!$A$2</c:f>
              <c:strCache>
                <c:ptCount val="1"/>
                <c:pt idx="0">
                  <c:v>支出</c:v>
                </c:pt>
              </c:strCache>
            </c:strRef>
          </c:cat>
          <c:val>
            <c:numRef>
              <c:f>Sheet1!$B$2</c:f>
              <c:numCache>
                <c:formatCode>General</c:formatCode>
                <c:ptCount val="1"/>
                <c:pt idx="0">
                  <c:v>4287.77</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c:f>
              <c:strCache>
                <c:ptCount val="1"/>
                <c:pt idx="0">
                  <c:v>支出</c:v>
                </c:pt>
              </c:strCache>
            </c:strRef>
          </c:cat>
          <c:val>
            <c:numRef>
              <c:f>Sheet1!$C$2</c:f>
              <c:numCache>
                <c:formatCode>General</c:formatCode>
                <c:ptCount val="1"/>
                <c:pt idx="0">
                  <c:v>5409.36</c:v>
                </c:pt>
              </c:numCache>
            </c:numRef>
          </c:val>
        </c:ser>
        <c:dLbls>
          <c:showLegendKey val="0"/>
          <c:showVal val="0"/>
          <c:showCatName val="0"/>
          <c:showSerName val="0"/>
          <c:showPercent val="0"/>
          <c:showBubbleSize val="0"/>
        </c:dLbls>
        <c:gapWidth val="246"/>
        <c:overlap val="-28"/>
        <c:axId val="587162294"/>
        <c:axId val="508527928"/>
      </c:barChart>
      <c:catAx>
        <c:axId val="5871622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527928"/>
        <c:crosses val="autoZero"/>
        <c:auto val="1"/>
        <c:lblAlgn val="ctr"/>
        <c:lblOffset val="100"/>
        <c:noMultiLvlLbl val="0"/>
      </c:catAx>
      <c:valAx>
        <c:axId val="508527928"/>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1622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463c3d-533c-412b-bb5b-1821b58a907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strRef>
              <c:f>Sheet1!$A$2</c:f>
              <c:strCache>
                <c:ptCount val="1"/>
                <c:pt idx="0">
                  <c:v>支出</c:v>
                </c:pt>
              </c:strCache>
            </c:strRef>
          </c:cat>
          <c:val>
            <c:numRef>
              <c:f>Sheet1!$B$2</c:f>
              <c:numCache>
                <c:formatCode>General</c:formatCode>
                <c:ptCount val="1"/>
                <c:pt idx="0">
                  <c:v>4287.77</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c:f>
              <c:strCache>
                <c:ptCount val="1"/>
                <c:pt idx="0">
                  <c:v>支出</c:v>
                </c:pt>
              </c:strCache>
            </c:strRef>
          </c:cat>
          <c:val>
            <c:numRef>
              <c:f>Sheet1!$C$2</c:f>
              <c:numCache>
                <c:formatCode>General</c:formatCode>
                <c:ptCount val="1"/>
                <c:pt idx="0">
                  <c:v>5409.36</c:v>
                </c:pt>
              </c:numCache>
            </c:numRef>
          </c:val>
        </c:ser>
        <c:dLbls>
          <c:showLegendKey val="0"/>
          <c:showVal val="0"/>
          <c:showCatName val="0"/>
          <c:showSerName val="0"/>
          <c:showPercent val="0"/>
          <c:showBubbleSize val="0"/>
        </c:dLbls>
        <c:gapWidth val="246"/>
        <c:overlap val="-28"/>
        <c:axId val="587162294"/>
        <c:axId val="508527928"/>
      </c:barChart>
      <c:catAx>
        <c:axId val="5871622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527928"/>
        <c:crosses val="autoZero"/>
        <c:auto val="1"/>
        <c:lblAlgn val="ctr"/>
        <c:lblOffset val="100"/>
        <c:noMultiLvlLbl val="0"/>
      </c:catAx>
      <c:valAx>
        <c:axId val="508527928"/>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1622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addd4c-ee62-4d87-935c-403d331b70d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manualLayout>
          <c:xMode val="edge"/>
          <c:yMode val="edge"/>
          <c:x val="0.228316018361923"/>
          <c:y val="0.0254993625159371"/>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elete val="1"/>
          </c:dLbls>
          <c:cat>
            <c:strRef>
              <c:f>Sheet1!$A$2:$A$8</c:f>
              <c:strCache>
                <c:ptCount val="7"/>
                <c:pt idx="0">
                  <c:v>科学技术支出</c:v>
                </c:pt>
                <c:pt idx="1">
                  <c:v>文化旅游体育与传媒支出</c:v>
                </c:pt>
                <c:pt idx="2">
                  <c:v>社会保障和就业支出</c:v>
                </c:pt>
                <c:pt idx="3">
                  <c:v>卫生健康支出</c:v>
                </c:pt>
                <c:pt idx="4">
                  <c:v>农林水支出</c:v>
                </c:pt>
                <c:pt idx="5">
                  <c:v>住房保障支出</c:v>
                </c:pt>
                <c:pt idx="6">
                  <c:v>其他支出</c:v>
                </c:pt>
              </c:strCache>
            </c:strRef>
          </c:cat>
          <c:val>
            <c:numRef>
              <c:f>Sheet1!$B$2:$B$8</c:f>
              <c:numCache>
                <c:formatCode>General</c:formatCode>
                <c:ptCount val="7"/>
                <c:pt idx="0">
                  <c:v>0.53</c:v>
                </c:pt>
                <c:pt idx="1">
                  <c:v>3279.33</c:v>
                </c:pt>
                <c:pt idx="2">
                  <c:v>111.51</c:v>
                </c:pt>
                <c:pt idx="3">
                  <c:v>44.77</c:v>
                </c:pt>
                <c:pt idx="4">
                  <c:v>1896.28</c:v>
                </c:pt>
                <c:pt idx="5">
                  <c:v>66.47</c:v>
                </c:pt>
                <c:pt idx="6">
                  <c:v>10.5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fd37ed-deb4-4d52-a43e-08315a99f2f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18104</Words>
  <Characters>19154</Characters>
  <Lines>61</Lines>
  <Paragraphs>17</Paragraphs>
  <TotalTime>15</TotalTime>
  <ScaleCrop>false</ScaleCrop>
  <LinksUpToDate>false</LinksUpToDate>
  <CharactersWithSpaces>19247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可乐.</cp:lastModifiedBy>
  <cp:lastPrinted>2026-08-11T10:58:00Z</cp:lastPrinted>
  <dcterms:modified xsi:type="dcterms:W3CDTF">2026-10-20T18:47:28Z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34B9288DB09F43759786FD90A894A1DB_13</vt:lpwstr>
  </property>
</Properties>
</file>