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15377425"/>
      <w:bookmarkStart w:id="5" w:name="_Toc15378441"/>
      <w:bookmarkStart w:id="77" w:name="_GoBack"/>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96598"/>
      <w:bookmarkStart w:id="8" w:name="_Toc15378442"/>
      <w:bookmarkStart w:id="9" w:name="_Toc15377426"/>
      <w:bookmarkStart w:id="10" w:name="_Toc15377194"/>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1" w:name="_Toc15306268"/>
      <w:r>
        <w:rPr>
          <w:rFonts w:hint="eastAsia" w:ascii="方正小标宋简体" w:hAnsi="宋体" w:eastAsia="方正小标宋简体"/>
          <w:color w:val="000000"/>
          <w:sz w:val="72"/>
          <w:szCs w:val="72"/>
          <w:lang w:val="en-US" w:eastAsia="zh-CN"/>
        </w:rPr>
        <w:t xml:space="preserve">   </w:t>
      </w:r>
      <w:r>
        <w:rPr>
          <w:rFonts w:hint="eastAsia" w:ascii="方正小标宋简体" w:hAnsi="宋体" w:eastAsia="方正小标宋简体"/>
          <w:color w:val="000000"/>
          <w:sz w:val="72"/>
          <w:szCs w:val="72"/>
          <w:lang w:eastAsia="zh-CN"/>
        </w:rPr>
        <w:t>文化体育和旅游局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bookmarkEnd w:id="77"/>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ind w:firstLine="2880" w:firstLineChars="600"/>
        <w:jc w:val="both"/>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2"/>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......................................................................................................10</w:t>
      </w:r>
    </w:p>
    <w:p>
      <w:pPr>
        <w:pStyle w:val="11"/>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......................................16</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.................................................17</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...........................................................18</w:t>
      </w:r>
    </w:p>
    <w:p>
      <w:pPr>
        <w:pStyle w:val="12"/>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.....................................................19</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..........................................................................19</w:t>
      </w:r>
      <w:r>
        <w:rPr>
          <w:rFonts w:ascii="仿宋" w:hAnsi="仿宋" w:eastAsia="仿宋"/>
          <w:sz w:val="24"/>
        </w:rPr>
        <w:tab/>
      </w:r>
    </w:p>
    <w:p>
      <w:pPr>
        <w:pStyle w:val="11"/>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....................................................................................................................31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....................................................................................................................35</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.......................................................................44</w:t>
      </w:r>
    </w:p>
    <w:p>
      <w:pPr>
        <w:pStyle w:val="12"/>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.............................44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.................................................................44</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（一）主要职能。（职能参照省政府批准的三定方案）</w:t>
      </w:r>
      <w:bookmarkEnd w:id="16"/>
      <w:bookmarkEnd w:id="17"/>
    </w:p>
    <w:p>
      <w:pPr>
        <w:snapToGrid w:val="0"/>
        <w:spacing w:line="520" w:lineRule="exact"/>
        <w:ind w:firstLine="640" w:firstLineChars="200"/>
        <w:rPr>
          <w:rFonts w:hint="eastAsia" w:ascii="仿宋" w:hAnsi="仿宋" w:eastAsia="仿宋"/>
          <w:bCs/>
          <w:color w:val="000000"/>
          <w:sz w:val="32"/>
          <w:szCs w:val="32"/>
        </w:rPr>
      </w:pPr>
      <w:r>
        <w:rPr>
          <w:rFonts w:hint="eastAsia" w:ascii="仿宋_GB2312" w:hAnsi="仿宋" w:eastAsia="仿宋_GB2312"/>
          <w:sz w:val="32"/>
          <w:szCs w:val="32"/>
        </w:rPr>
        <w:t>研究制定全州文化事业、文化产业、广播影视、新闻出版、文物和版权发展战略、规划、目标并组织实施。规划、指导、管理全县公共文化设施建设。指导、管理全县文化艺术事业，指导文化艺术创作与生产;管理全县重大文化活动和艺术演出活动，指导基层文化建设，推进公共文化服务;管理全县公共图书馆、文化馆事业，组织实施全县非物质遗产保护和优秀民族文化的传承普及工作。综合管理全县文物事业，协调和指导全县文物保护、抢救、考古挖掘、鉴定利用等工作，履行文物行政执法督察职责，依法监督管理文物市场。管理全县文化市场和出版物市场，拟定文化市场、出版物市场的发展规划；指导全县文化市场综合执法工作，负责对文化艺术、出版物市场经营活动进行行业督管，负责全县广播电音电视节目传输、监测、安全播出和广播电影电视。指导、管理全县农村电影放映，推进全县文化、广播影视、新闻出版和著作权方面的对外交流合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val="zh-CN"/>
        </w:rPr>
        <w:t>高质量推进机构改革工作</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根据《中共阿坝州委、阿坝州人民政府关于印发&lt;壤塘县机构改革方案&gt;的通知》（阿委办发〔2019〕9号）和《中共壤塘县委办公室 壤塘县人民政府办公室关于印发&lt;壤塘县机构改革方案的实施意见&gt;的通知》（壤委办〔2019〕27号）文件要求及精神，制定三定方案，并针对局职责进行详细解读，同时对职工职责进行了详细分工，制定详细的权责事项、职能分工以及根据职能所需配备的人员编制等情况，确保职能设定不漏项、不交叉、不重叠，为全面推开改革后部门职能划转和人员调配奠定基础。</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）持续促进公共文化服务体系建设</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2019年1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个贫困村文化活动室设备建设、农家书屋出版物补充更新与退出村农家书屋建设、全民健身路径项目、阅报栏及文化服务中心铜牌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广播村村响</w:t>
      </w:r>
      <w:r>
        <w:rPr>
          <w:rFonts w:hint="eastAsia" w:ascii="仿宋_GB2312" w:hAnsi="仿宋_GB2312" w:eastAsia="仿宋_GB2312" w:cs="仿宋_GB2312"/>
          <w:sz w:val="32"/>
          <w:szCs w:val="32"/>
          <w:lang w:eastAsia="zh-CN"/>
        </w:rPr>
        <w:t>安装调试工作，并投入使用</w:t>
      </w:r>
      <w:r>
        <w:rPr>
          <w:rFonts w:hint="eastAsia" w:ascii="仿宋_GB2312" w:hAnsi="仿宋_GB2312" w:eastAsia="仿宋_GB2312" w:cs="仿宋_GB2312"/>
          <w:sz w:val="32"/>
          <w:szCs w:val="32"/>
        </w:rPr>
        <w:t>；两馆一站免</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开</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电视户户通409户；9个村农民建设工程的建设。</w:t>
      </w:r>
    </w:p>
    <w:p>
      <w:pPr>
        <w:pStyle w:val="2"/>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（3）积极鼓励开展各类群众性文体旅活动</w:t>
      </w:r>
    </w:p>
    <w:p>
      <w:pPr>
        <w:pStyle w:val="2"/>
        <w:keepNext w:val="0"/>
        <w:keepLines w:val="0"/>
        <w:pageBreakBefore w:val="0"/>
        <w:widowControl w:val="0"/>
        <w:kinsoku/>
        <w:wordWrap/>
        <w:overflowPunct/>
        <w:topLinePunct w:val="0"/>
        <w:autoSpaceDE/>
        <w:autoSpaceDN/>
        <w:bidi w:val="0"/>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2019年</w:t>
      </w:r>
      <w:r>
        <w:rPr>
          <w:rFonts w:hint="eastAsia" w:ascii="仿宋_GB2312" w:hAnsi="仿宋_GB2312" w:eastAsia="仿宋_GB2312" w:cs="仿宋_GB2312"/>
          <w:color w:val="000000"/>
          <w:sz w:val="32"/>
          <w:szCs w:val="32"/>
        </w:rPr>
        <w:t>，我县各类文体活动异彩纷呈。</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参加录制康巴卫视2019年壤巴拉“藏历土猪新年”文艺晚会；</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录制阿坝州2019年壤巴拉“藏历土猪新年”藏戏专场晚会；</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在吾依村组织和指导村文艺小分队开展文艺活动；</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在7个乡镇开展“四下乡”活动；</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赴浙江开展“文博会展演”、“温州壤塘文化周”、“壤巴拉锅庄展演”、“旅游推介会文艺展演”，以此提高“悬天净土·壤巴拉”知名度；</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“壤巴拉艺术团”受邀代表阿坝州参加“四川省第三届农民工原创文艺作品颁奖晚会”文艺演出；</w:t>
      </w:r>
      <w:r>
        <w:rPr>
          <w:rFonts w:hint="eastAsia" w:ascii="仿宋_GB2312" w:hAnsi="仿宋_GB2312" w:eastAsia="仿宋_GB2312" w:cs="仿宋_GB2312"/>
          <w:b/>
          <w:bCs/>
          <w:sz w:val="32"/>
          <w:szCs w:val="32"/>
        </w:rPr>
        <w:t>七是</w:t>
      </w:r>
      <w:r>
        <w:rPr>
          <w:rFonts w:hint="eastAsia" w:ascii="仿宋_GB2312" w:eastAsia="仿宋_GB2312" w:cs="仿宋_GB2312"/>
          <w:kern w:val="2"/>
          <w:sz w:val="32"/>
          <w:szCs w:val="32"/>
        </w:rPr>
        <w:t>成功对接绵阳师范学院赴壤开展对口帮扶活动，并分别在县城、茸木达乡及大伊里进行文艺演出，旨在让壤塘群众感受他地文化的魅力，传播中华民族传统文化，繁荣农村文化，让群众精神脱贫，鼓舞全社会力量，振奋精神、增强干劲</w:t>
      </w:r>
      <w:r>
        <w:rPr>
          <w:rFonts w:hint="eastAsia" w:ascii="仿宋_GB2312" w:hAnsi="仿宋_GB2312" w:eastAsia="仿宋_GB2312" w:cs="仿宋_GB2312"/>
          <w:sz w:val="32"/>
          <w:szCs w:val="32"/>
          <w:lang w:val="zh-CN"/>
        </w:rPr>
        <w:t>；</w:t>
      </w:r>
      <w:r>
        <w:rPr>
          <w:rFonts w:hint="eastAsia" w:ascii="仿宋_GB2312" w:hAnsi="仿宋_GB2312" w:eastAsia="仿宋_GB2312" w:cs="仿宋_GB2312"/>
          <w:b/>
          <w:bCs/>
          <w:sz w:val="32"/>
          <w:szCs w:val="32"/>
        </w:rPr>
        <w:t>八是</w:t>
      </w:r>
      <w:r>
        <w:rPr>
          <w:rFonts w:hint="eastAsia" w:ascii="仿宋_GB2312" w:hAnsi="仿宋_GB2312" w:eastAsia="仿宋_GB2312" w:cs="仿宋_GB2312"/>
          <w:sz w:val="32"/>
          <w:szCs w:val="32"/>
          <w:lang w:val="zh-CN"/>
        </w:rPr>
        <w:t>“5.19中国旅游日”开展壤塘县2019年“文旅融合,美好生活”“中国旅游日”咨询和文化遗产保护传承宣传活动，发放旅游宣传资料230份、旅游宣传片光碟210张；</w:t>
      </w:r>
      <w:r>
        <w:rPr>
          <w:rFonts w:hint="eastAsia" w:ascii="仿宋_GB2312" w:hAnsi="仿宋_GB2312" w:eastAsia="仿宋_GB2312" w:cs="仿宋_GB2312"/>
          <w:b/>
          <w:bCs/>
          <w:sz w:val="32"/>
          <w:szCs w:val="32"/>
        </w:rPr>
        <w:t>九是</w:t>
      </w:r>
      <w:r>
        <w:rPr>
          <w:rFonts w:hint="eastAsia" w:ascii="仿宋_GB2312" w:hAnsi="仿宋_GB2312" w:eastAsia="仿宋_GB2312" w:cs="仿宋_GB2312"/>
          <w:sz w:val="32"/>
          <w:szCs w:val="32"/>
          <w:lang w:val="zh-CN"/>
        </w:rPr>
        <w:t>举办了2019年壤塘县职工运动会、赴若尔盖参加阿坝州第十五届州运会（马上项目）、赴阿坝县参加川甘青男子篮球比赛、赴九寨沟县参加阿坝州第十五届州运会，获得“女子篮球第三名”、“摔跤</w:t>
      </w:r>
      <w:r>
        <w:rPr>
          <w:rFonts w:hint="eastAsia" w:ascii="仿宋_GB2312" w:hAnsi="仿宋_GB2312" w:eastAsia="仿宋_GB2312" w:cs="仿宋_GB2312"/>
          <w:sz w:val="32"/>
          <w:szCs w:val="32"/>
          <w:lang w:val="en-US" w:eastAsia="zh-CN"/>
        </w:rPr>
        <w:t>55kg冠军</w:t>
      </w:r>
      <w:r>
        <w:rPr>
          <w:rFonts w:hint="eastAsia" w:ascii="仿宋_GB2312" w:hAnsi="仿宋_GB2312" w:eastAsia="仿宋_GB2312" w:cs="仿宋_GB2312"/>
          <w:sz w:val="32"/>
          <w:szCs w:val="32"/>
          <w:lang w:val="zh-CN"/>
        </w:rPr>
        <w:t>”、“全省少数民族第十五届运动会珍珠球第二名”及“优秀裁判长”的荣誉称号，展现壤塘人的体育精神面貌；</w:t>
      </w:r>
      <w:r>
        <w:rPr>
          <w:rFonts w:hint="eastAsia" w:ascii="仿宋_GB2312" w:hAnsi="仿宋_GB2312" w:eastAsia="仿宋_GB2312" w:cs="仿宋_GB2312"/>
          <w:b/>
          <w:bCs/>
          <w:sz w:val="32"/>
          <w:szCs w:val="32"/>
          <w:lang w:val="zh-CN"/>
        </w:rPr>
        <w:t>十是</w:t>
      </w:r>
      <w:r>
        <w:rPr>
          <w:rFonts w:hint="eastAsia" w:ascii="仿宋_GB2312" w:hAnsi="仿宋_GB2312" w:eastAsia="仿宋_GB2312" w:cs="仿宋_GB2312"/>
          <w:sz w:val="32"/>
          <w:szCs w:val="32"/>
          <w:lang w:val="zh-CN"/>
        </w:rPr>
        <w:t>艺术团参加州环境保护局举行的颁奖晚会；</w:t>
      </w:r>
      <w:r>
        <w:rPr>
          <w:rFonts w:hint="eastAsia" w:ascii="仿宋_GB2312" w:hAnsi="仿宋_GB2312" w:eastAsia="仿宋_GB2312" w:cs="仿宋_GB2312"/>
          <w:b/>
          <w:bCs/>
          <w:sz w:val="32"/>
          <w:szCs w:val="32"/>
        </w:rPr>
        <w:t>十一是</w:t>
      </w:r>
      <w:r>
        <w:rPr>
          <w:rFonts w:hint="eastAsia" w:ascii="仿宋_GB2312" w:hAnsi="仿宋_GB2312" w:eastAsia="仿宋_GB2312" w:cs="仿宋_GB2312"/>
          <w:sz w:val="32"/>
          <w:szCs w:val="32"/>
        </w:rPr>
        <w:t>完成原生态歌手初赛，传承发扬极具壤塘本土特色的民俗文化；</w:t>
      </w:r>
      <w:r>
        <w:rPr>
          <w:rFonts w:hint="eastAsia" w:ascii="仿宋_GB2312" w:hAnsi="仿宋_GB2312" w:eastAsia="仿宋_GB2312" w:cs="仿宋_GB2312"/>
          <w:b/>
          <w:bCs/>
          <w:sz w:val="32"/>
          <w:szCs w:val="32"/>
        </w:rPr>
        <w:t>十二是</w:t>
      </w:r>
      <w:r>
        <w:rPr>
          <w:rFonts w:hint="eastAsia" w:ascii="仿宋_GB2312" w:eastAsia="仿宋_GB2312"/>
          <w:sz w:val="32"/>
          <w:szCs w:val="32"/>
        </w:rPr>
        <w:t>壤巴拉艺术团女子群舞《则曲博莫》赴德阳参加东方电气集团“壮丽70年，放歌新时代”文艺展演活动</w:t>
      </w:r>
      <w:r>
        <w:rPr>
          <w:rFonts w:hint="eastAsia" w:ascii="仿宋_GB2312" w:eastAsia="仿宋_GB2312"/>
          <w:sz w:val="32"/>
          <w:szCs w:val="32"/>
          <w:lang w:eastAsia="zh-CN"/>
        </w:rPr>
        <w:t>；</w:t>
      </w:r>
      <w:r>
        <w:rPr>
          <w:rFonts w:hint="eastAsia" w:ascii="仿宋_GB2312" w:hAnsi="仿宋_GB2312" w:eastAsia="仿宋_GB2312" w:cs="仿宋_GB2312"/>
          <w:b/>
          <w:bCs/>
          <w:sz w:val="32"/>
          <w:szCs w:val="32"/>
        </w:rPr>
        <w:t>十三是</w:t>
      </w:r>
      <w:r>
        <w:rPr>
          <w:rStyle w:val="33"/>
          <w:rFonts w:hint="eastAsia" w:ascii="仿宋_GB2312" w:hAnsi="仿宋_GB2312" w:eastAsia="仿宋_GB2312"/>
          <w:color w:val="000000"/>
          <w:sz w:val="32"/>
          <w:szCs w:val="32"/>
        </w:rPr>
        <w:t>壤巴拉藏戏团受邀</w:t>
      </w:r>
      <w:r>
        <w:rPr>
          <w:rStyle w:val="33"/>
          <w:rFonts w:hint="eastAsia" w:ascii="仿宋_GB2312" w:eastAsia="仿宋_GB2312"/>
          <w:sz w:val="32"/>
          <w:szCs w:val="32"/>
        </w:rPr>
        <w:t>赴昆山参加2019年戏曲百戏(昆山)盛典，</w:t>
      </w:r>
      <w:r>
        <w:rPr>
          <w:rFonts w:hint="eastAsia" w:ascii="仿宋_GB2312" w:hAnsi="仿宋_GB2312" w:eastAsia="仿宋_GB2312" w:cs="仿宋_GB2312"/>
          <w:color w:val="000000"/>
          <w:sz w:val="32"/>
          <w:szCs w:val="32"/>
        </w:rPr>
        <w:t>向全州、全省、全国展示了壤塘改革开放发展成果，引起社会各界高度关注</w:t>
      </w:r>
      <w:r>
        <w:rPr>
          <w:rFonts w:hint="eastAsia" w:ascii="仿宋_GB2312" w:hAnsi="仿宋_GB2312" w:eastAsia="仿宋_GB2312" w:cs="仿宋_GB2312"/>
          <w:color w:val="000000"/>
          <w:sz w:val="32"/>
          <w:szCs w:val="32"/>
          <w:lang w:eastAsia="zh-CN"/>
        </w:rPr>
        <w:t>，并获得四川省文化旅游厅的认可；</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开展送文化下乡，累计组织下乡演出48余场，送图书报刊5000余册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致力全民阅读推广，开展4.23世界读书日活动，举办“绿书签”读书活动，阅读率达90%以上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是</w:t>
      </w:r>
      <w:r>
        <w:rPr>
          <w:rStyle w:val="33"/>
          <w:rFonts w:hint="eastAsia" w:ascii="仿宋_GB2312" w:hAnsi="仿宋_GB2312" w:eastAsia="仿宋_GB2312"/>
          <w:sz w:val="32"/>
          <w:szCs w:val="32"/>
        </w:rPr>
        <w:t>安排30名讲解人员赴温州参加培训，意为学习借鉴先进地区发展旅游文化产业的经验，提升我县乡村旅游讲解员的业务能力，</w:t>
      </w:r>
      <w:r>
        <w:rPr>
          <w:rFonts w:hint="eastAsia" w:ascii="仿宋_GB2312" w:hAnsi="仿宋_GB2312" w:eastAsia="仿宋_GB2312" w:cs="仿宋_GB2312"/>
          <w:color w:val="000000"/>
          <w:sz w:val="32"/>
          <w:szCs w:val="32"/>
        </w:rPr>
        <w:t>实现了文旅融合发展软实力提升目标,极大促进过硬文旅发展队伍的建设和发展。</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（4）大胆探索文化发展激励机制</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积极申报和通过了18名县级非遗传承人的认定工作，截至目前我县县级非遗传承人共计50人。壤塘县非遗代表团到浙江温州参加壤塘县文化周和温州文博会，全方位展示独具民族特色的壤巴拉文化。开展了非遗长征带藏香和唐卡培训，并着手开展石刻培训。壤巴拉非遗超市今年由公司化运营，并积极对接市场，进行了销售和推广。对全县非遗名录进行了系统梳理，截至目前拥有3项国家级非物质文化遗产代表性名录项目，8项省级非物质文化遗产代表性名录项目。</w:t>
      </w:r>
      <w:r>
        <w:rPr>
          <w:rFonts w:hint="eastAsia" w:ascii="仿宋_GB2312" w:hAnsi="仿宋_GB2312" w:eastAsia="仿宋_GB2312" w:cs="仿宋_GB2312"/>
          <w:sz w:val="32"/>
          <w:szCs w:val="32"/>
          <w:lang w:val="zh-CN"/>
        </w:rPr>
        <w:t>对接完成深圳市大鹏新区文化广电旅游体育局赴壤开展学习交流遗产保护和非遗工作经验考察调研活动，于5月28日在壤塘县人民政府广场举行“深圳市大鹏新区摄影家协会——壤塘县创作基地”授牌仪式；</w:t>
      </w:r>
      <w:r>
        <w:rPr>
          <w:rFonts w:hint="eastAsia" w:ascii="仿宋_GB2312" w:hAnsi="仿宋_GB2312" w:eastAsia="仿宋_GB2312" w:cs="仿宋_GB2312"/>
          <w:sz w:val="32"/>
          <w:szCs w:val="32"/>
        </w:rPr>
        <w:t>6月份</w:t>
      </w:r>
      <w:r>
        <w:rPr>
          <w:rFonts w:hint="eastAsia" w:ascii="仿宋_GB2312" w:hAnsi="仿宋_GB2312" w:eastAsia="仿宋_GB2312" w:cs="仿宋_GB2312"/>
          <w:sz w:val="32"/>
          <w:szCs w:val="32"/>
          <w:lang w:val="zh-CN"/>
        </w:rPr>
        <w:t>切实做好文化遗产日活动，宣传好文化遗产的保护条例；</w:t>
      </w: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zh-CN"/>
        </w:rPr>
        <w:t>壤巴拉节期间组织开展了壤塘县非遗精品展和第四届民间工艺美术暨农民工技能大赛，为壤巴拉节活动举办更富有互动性和赏析性；</w:t>
      </w:r>
      <w:r>
        <w:rPr>
          <w:rFonts w:hint="eastAsia" w:ascii="仿宋_GB2312" w:hAnsi="仿宋_GB2312" w:eastAsia="仿宋_GB2312" w:cs="仿宋_GB2312"/>
          <w:sz w:val="32"/>
          <w:szCs w:val="32"/>
        </w:rPr>
        <w:t>9月份参加成都西部博览会，对外进行了壤塘文化宣传并签订意向合作单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10月做好了</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名壤塘县非遗传习所学员和阿坝州中等职业技术学校校地合作，为传习所及其学员发展提供了有力支撑。</w:t>
      </w:r>
      <w:r>
        <w:rPr>
          <w:rFonts w:hint="eastAsia" w:ascii="仿宋_GB2312" w:hAnsi="仿宋_GB2312" w:eastAsia="仿宋_GB2312" w:cs="仿宋_GB2312"/>
          <w:color w:val="000000"/>
          <w:sz w:val="32"/>
          <w:szCs w:val="32"/>
        </w:rPr>
        <w:t>制定实施传习所评星定级激励机制，加强非遗保护性投入，评选出五星级传习所2个、四星级8个、三星级3个、二星级5个、一星级4个、准星级5个，并给予奖励。</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）狠抓</w:t>
      </w:r>
      <w:r>
        <w:rPr>
          <w:rFonts w:hint="eastAsia" w:ascii="仿宋_GB2312" w:hAnsi="仿宋_GB2312" w:eastAsia="仿宋_GB2312" w:cs="仿宋_GB2312"/>
          <w:color w:val="000000"/>
          <w:sz w:val="32"/>
          <w:szCs w:val="32"/>
          <w:lang w:eastAsia="zh-CN"/>
        </w:rPr>
        <w:t>重点项目推进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确保基础设施完善</w:t>
      </w:r>
    </w:p>
    <w:p>
      <w:pPr>
        <w:keepNext w:val="0"/>
        <w:keepLines w:val="0"/>
        <w:pageBreakBefore w:val="0"/>
        <w:widowControl w:val="0"/>
        <w:kinsoku/>
        <w:wordWrap/>
        <w:overflowPunct/>
        <w:topLinePunct w:val="0"/>
        <w:autoSpaceDE/>
        <w:autoSpaceDN/>
        <w:bidi w:val="0"/>
        <w:snapToGrid/>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有序推进总投资2900万元，壤塘县非物质文化遗产传习基地建设项目（藏艺演艺厅）建设项目；</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总投资2950万元，</w:t>
      </w:r>
      <w:r>
        <w:rPr>
          <w:rFonts w:hint="eastAsia" w:ascii="仿宋_GB2312" w:hAnsi="仿宋_GB2312" w:eastAsia="仿宋_GB2312" w:cs="仿宋_GB2312"/>
          <w:sz w:val="32"/>
          <w:szCs w:val="32"/>
          <w:lang w:eastAsia="zh-CN"/>
        </w:rPr>
        <w:t>续建</w:t>
      </w:r>
      <w:r>
        <w:rPr>
          <w:rFonts w:hint="eastAsia" w:ascii="仿宋_GB2312" w:hAnsi="仿宋_GB2312" w:eastAsia="仿宋_GB2312" w:cs="仿宋_GB2312"/>
          <w:sz w:val="32"/>
          <w:szCs w:val="32"/>
        </w:rPr>
        <w:t>壤塘县非物质文化遗产（唐卡）传习基地、阿坝州安多-觉囊文化研究展示中心、壤巴拉博物馆建设项目；</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计划本月开标，总投资1324万元，壤塘县州县广播电视节目无线覆盖工程；</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完成日斯满巴碉房保护维修工程，总投资300万元，待验收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lang w:val="zh-CN"/>
        </w:rPr>
        <w:t>是</w:t>
      </w:r>
      <w:r>
        <w:rPr>
          <w:rFonts w:hint="eastAsia" w:ascii="仿宋_GB2312" w:hAnsi="仿宋_GB2312" w:eastAsia="仿宋_GB2312" w:cs="仿宋_GB2312"/>
          <w:bCs/>
          <w:color w:val="000000"/>
          <w:kern w:val="0"/>
          <w:sz w:val="32"/>
          <w:szCs w:val="32"/>
          <w:lang w:val="zh-CN"/>
        </w:rPr>
        <w:t>壤塘壤巴拉塘旅游集中发展区基础设施建设续建项目</w:t>
      </w:r>
      <w:r>
        <w:rPr>
          <w:rFonts w:hint="eastAsia" w:ascii="仿宋_GB2312" w:hAnsi="仿宋_GB2312" w:eastAsia="仿宋_GB2312" w:cs="仿宋_GB2312"/>
          <w:bCs/>
          <w:color w:val="000000"/>
          <w:kern w:val="0"/>
          <w:sz w:val="32"/>
          <w:szCs w:val="32"/>
        </w:rPr>
        <w:t>,已竣工验收</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lang w:val="zh-CN"/>
        </w:rPr>
        <w:t>2017年中壤塘基础设施建设项目今年拟投入1000万元，已完成本年投资的</w:t>
      </w:r>
      <w:r>
        <w:rPr>
          <w:rFonts w:hint="eastAsia" w:ascii="仿宋_GB2312" w:hAnsi="仿宋_GB2312" w:eastAsia="仿宋_GB2312" w:cs="仿宋_GB2312"/>
          <w:bCs/>
          <w:color w:val="000000"/>
          <w:kern w:val="0"/>
          <w:sz w:val="32"/>
          <w:szCs w:val="32"/>
        </w:rPr>
        <w:t>98%</w:t>
      </w:r>
      <w:r>
        <w:rPr>
          <w:rFonts w:hint="eastAsia" w:ascii="仿宋_GB2312" w:hAnsi="仿宋_GB2312" w:eastAsia="仿宋_GB2312" w:cs="仿宋_GB2312"/>
          <w:bCs/>
          <w:color w:val="000000"/>
          <w:kern w:val="0"/>
          <w:sz w:val="32"/>
          <w:szCs w:val="32"/>
          <w:lang w:val="zh-CN"/>
        </w:rPr>
        <w:t>，计划本月完成</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
          <w:bCs/>
          <w:sz w:val="32"/>
          <w:szCs w:val="32"/>
          <w:lang w:val="zh-CN" w:eastAsia="zh-CN"/>
        </w:rPr>
        <w:t>六是</w:t>
      </w:r>
      <w:r>
        <w:rPr>
          <w:rFonts w:hint="eastAsia" w:ascii="仿宋_GB2312" w:hAnsi="仿宋_GB2312" w:eastAsia="仿宋_GB2312" w:cs="仿宋_GB2312"/>
          <w:bCs/>
          <w:color w:val="000000"/>
          <w:kern w:val="0"/>
          <w:sz w:val="32"/>
          <w:szCs w:val="32"/>
          <w:lang w:val="zh-CN"/>
        </w:rPr>
        <w:t>加快壤巴拉棒托石刻</w:t>
      </w:r>
      <w:r>
        <w:rPr>
          <w:rFonts w:hint="eastAsia" w:ascii="仿宋_GB2312" w:hAnsi="仿宋_GB2312" w:eastAsia="仿宋_GB2312" w:cs="仿宋_GB2312"/>
          <w:bCs/>
          <w:color w:val="000000"/>
          <w:kern w:val="0"/>
          <w:sz w:val="32"/>
          <w:szCs w:val="32"/>
        </w:rPr>
        <w:t>3A</w:t>
      </w:r>
      <w:r>
        <w:rPr>
          <w:rFonts w:hint="eastAsia" w:ascii="仿宋_GB2312" w:hAnsi="仿宋_GB2312" w:eastAsia="仿宋_GB2312" w:cs="仿宋_GB2312"/>
          <w:bCs/>
          <w:color w:val="000000"/>
          <w:kern w:val="0"/>
          <w:sz w:val="32"/>
          <w:szCs w:val="32"/>
          <w:lang w:val="zh-CN"/>
        </w:rPr>
        <w:t>旅游景区和“高原林海”生态旅游示范区创建项目创建硬件提升工程</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lang w:val="zh-CN"/>
        </w:rPr>
        <w:t>其中棒托项目已完成建设任务</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lang w:val="zh-CN"/>
        </w:rPr>
        <w:t>“高原林海”项目正在进行查漏补缺</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
          <w:bCs w:val="0"/>
          <w:color w:val="000000"/>
          <w:kern w:val="0"/>
          <w:sz w:val="32"/>
          <w:szCs w:val="32"/>
          <w:lang w:val="zh-CN"/>
        </w:rPr>
        <w:t>七是</w:t>
      </w:r>
      <w:r>
        <w:rPr>
          <w:rFonts w:hint="eastAsia" w:ascii="仿宋_GB2312" w:hAnsi="仿宋_GB2312" w:eastAsia="仿宋_GB2312" w:cs="仿宋_GB2312"/>
          <w:bCs/>
          <w:color w:val="000000"/>
          <w:kern w:val="0"/>
          <w:sz w:val="32"/>
          <w:szCs w:val="32"/>
          <w:lang w:val="zh-CN"/>
        </w:rPr>
        <w:t>壤巴拉文化旅游景区</w:t>
      </w:r>
      <w:r>
        <w:rPr>
          <w:rFonts w:hint="eastAsia" w:ascii="仿宋_GB2312" w:hAnsi="仿宋_GB2312" w:eastAsia="仿宋_GB2312" w:cs="仿宋_GB2312"/>
          <w:bCs/>
          <w:color w:val="000000"/>
          <w:kern w:val="0"/>
          <w:sz w:val="32"/>
          <w:szCs w:val="32"/>
        </w:rPr>
        <w:t>2020-2021年</w:t>
      </w:r>
      <w:r>
        <w:rPr>
          <w:rFonts w:hint="eastAsia" w:ascii="仿宋_GB2312" w:hAnsi="仿宋_GB2312" w:eastAsia="仿宋_GB2312" w:cs="仿宋_GB2312"/>
          <w:bCs/>
          <w:color w:val="000000"/>
          <w:kern w:val="0"/>
          <w:sz w:val="32"/>
          <w:szCs w:val="32"/>
          <w:lang w:val="zh-CN"/>
        </w:rPr>
        <w:t>创</w:t>
      </w:r>
      <w:r>
        <w:rPr>
          <w:rFonts w:hint="eastAsia" w:ascii="仿宋_GB2312" w:hAnsi="仿宋_GB2312" w:eastAsia="仿宋_GB2312" w:cs="仿宋_GB2312"/>
          <w:bCs/>
          <w:color w:val="000000"/>
          <w:kern w:val="0"/>
          <w:sz w:val="32"/>
          <w:szCs w:val="32"/>
        </w:rPr>
        <w:t>4</w:t>
      </w:r>
      <w:r>
        <w:rPr>
          <w:rFonts w:hint="eastAsia" w:ascii="仿宋_GB2312" w:hAnsi="仿宋_GB2312" w:eastAsia="仿宋_GB2312" w:cs="仿宋_GB2312"/>
          <w:bCs/>
          <w:color w:val="000000"/>
          <w:kern w:val="0"/>
          <w:sz w:val="32"/>
          <w:szCs w:val="32"/>
          <w:lang w:val="zh-CN"/>
        </w:rPr>
        <w:t>A硬件提升和软件资料</w:t>
      </w:r>
      <w:r>
        <w:rPr>
          <w:rFonts w:hint="eastAsia" w:ascii="仿宋_GB2312" w:hAnsi="仿宋_GB2312" w:eastAsia="仿宋_GB2312" w:cs="仿宋_GB2312"/>
          <w:bCs/>
          <w:color w:val="000000"/>
          <w:kern w:val="0"/>
          <w:sz w:val="32"/>
          <w:szCs w:val="32"/>
          <w:lang w:val="zh-CN" w:eastAsia="zh-CN"/>
        </w:rPr>
        <w:t>筹备工作</w:t>
      </w:r>
      <w:r>
        <w:rPr>
          <w:rFonts w:hint="eastAsia" w:ascii="仿宋_GB2312" w:hAnsi="仿宋_GB2312" w:eastAsia="仿宋_GB2312" w:cs="仿宋_GB2312"/>
          <w:bCs/>
          <w:color w:val="000000"/>
          <w:kern w:val="0"/>
          <w:sz w:val="32"/>
          <w:szCs w:val="32"/>
          <w:lang w:val="zh-CN"/>
        </w:rPr>
        <w:t>，积极争取三区三州资金1785万元，截止目前，该景区创4A硬件已完成招投标工作。</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bCs/>
          <w:color w:val="000000"/>
          <w:kern w:val="0"/>
          <w:sz w:val="32"/>
          <w:szCs w:val="32"/>
          <w:lang w:val="zh-CN"/>
        </w:rPr>
      </w:pPr>
      <w:r>
        <w:rPr>
          <w:rFonts w:hint="eastAsia" w:ascii="仿宋_GB2312" w:hAnsi="仿宋_GB2312" w:eastAsia="仿宋_GB2312" w:cs="仿宋_GB2312"/>
          <w:bCs/>
          <w:color w:val="000000"/>
          <w:kern w:val="0"/>
          <w:sz w:val="32"/>
          <w:szCs w:val="32"/>
          <w:lang w:val="zh-CN"/>
        </w:rPr>
        <w:t>（</w:t>
      </w:r>
      <w:r>
        <w:rPr>
          <w:rFonts w:hint="eastAsia" w:ascii="仿宋_GB2312" w:hAnsi="仿宋_GB2312" w:eastAsia="仿宋_GB2312" w:cs="仿宋_GB2312"/>
          <w:bCs/>
          <w:color w:val="000000"/>
          <w:kern w:val="0"/>
          <w:sz w:val="32"/>
          <w:szCs w:val="32"/>
          <w:lang w:val="en-US" w:eastAsia="zh-CN"/>
        </w:rPr>
        <w:t>6</w:t>
      </w:r>
      <w:r>
        <w:rPr>
          <w:rFonts w:hint="eastAsia" w:ascii="仿宋_GB2312" w:hAnsi="仿宋_GB2312" w:eastAsia="仿宋_GB2312" w:cs="仿宋_GB2312"/>
          <w:bCs/>
          <w:color w:val="000000"/>
          <w:kern w:val="0"/>
          <w:sz w:val="32"/>
          <w:szCs w:val="32"/>
          <w:lang w:val="zh-CN"/>
        </w:rPr>
        <w:t>）净化文旅市场环境，打造守法文旅市场环境</w:t>
      </w:r>
    </w:p>
    <w:p>
      <w:pPr>
        <w:keepNext w:val="0"/>
        <w:keepLines w:val="0"/>
        <w:pageBreakBefore w:val="0"/>
        <w:widowControl w:val="0"/>
        <w:kinsoku/>
        <w:wordWrap/>
        <w:overflowPunct/>
        <w:topLinePunct w:val="0"/>
        <w:autoSpaceDE/>
        <w:autoSpaceDN/>
        <w:bidi w:val="0"/>
        <w:snapToGrid/>
        <w:spacing w:line="54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rPr>
        <w:t>一是扎实开展网吧行业创建文明城市工作。</w:t>
      </w:r>
      <w:r>
        <w:rPr>
          <w:rFonts w:hint="eastAsia" w:ascii="仿宋_GB2312" w:hAnsi="仿宋_GB2312" w:eastAsia="仿宋_GB2312" w:cs="仿宋_GB2312"/>
          <w:sz w:val="32"/>
          <w:szCs w:val="32"/>
        </w:rPr>
        <w:t>我局按文明城市创建的工作部署和总体要求，以治理整顿网吧为重点，截止目前，开展了为期的9个月整治网络净网行动，召开了3次网吧业主会议，共出动执法人员82人次，检查网吧68家次，整治网吧上网环境8家次。</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sz w:val="32"/>
          <w:szCs w:val="32"/>
        </w:rPr>
        <w:t>清理整治和规范文旅娱乐市场经营活动。</w:t>
      </w:r>
      <w:r>
        <w:rPr>
          <w:rFonts w:hint="eastAsia" w:ascii="仿宋_GB2312" w:hAnsi="仿宋_GB2312" w:eastAsia="仿宋_GB2312" w:cs="仿宋_GB2312"/>
          <w:sz w:val="32"/>
          <w:szCs w:val="32"/>
        </w:rPr>
        <w:t>今年联合公安、</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部门开展“娱乐场所无证经营专项治理”。建立清理整治档案，将曾被查封的无证照娱乐场所列入重点监管名单，定时或不定时展开回访巡查 ，全面杜绝无证照娱乐场所在我县经营。</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sz w:val="32"/>
          <w:szCs w:val="32"/>
        </w:rPr>
        <w:t>牢牢把握出版物及印刷市场监控重点。</w:t>
      </w:r>
      <w:r>
        <w:rPr>
          <w:rFonts w:hint="eastAsia" w:ascii="仿宋_GB2312" w:hAnsi="仿宋_GB2312" w:eastAsia="仿宋_GB2312" w:cs="仿宋_GB2312"/>
          <w:sz w:val="32"/>
          <w:szCs w:val="32"/>
        </w:rPr>
        <w:t>对区域内的6家打字复印店进行实地摸底调查，对印刷企业的规模、经营范围、印刷设备和印刷能力、遵守法律等方面进行摸底调查，摸清了印刷企业的经营情况。截至10月底，我局共出动执法人员30人（次），检查各类出版物经营单位及印刷企业60家次。</w:t>
      </w:r>
      <w:r>
        <w:rPr>
          <w:rFonts w:hint="eastAsia" w:ascii="仿宋_GB2312" w:hAnsi="仿宋_GB2312" w:eastAsia="仿宋_GB2312" w:cs="仿宋_GB2312"/>
          <w:b/>
          <w:bCs/>
          <w:sz w:val="32"/>
          <w:szCs w:val="32"/>
        </w:rPr>
        <w:t>四是坚</w:t>
      </w:r>
      <w:r>
        <w:rPr>
          <w:rFonts w:hint="eastAsia" w:ascii="仿宋_GB2312" w:hAnsi="仿宋_GB2312" w:eastAsia="仿宋_GB2312" w:cs="仿宋_GB2312"/>
          <w:b/>
          <w:sz w:val="32"/>
          <w:szCs w:val="32"/>
        </w:rPr>
        <w:t>持不懈地开展“扫黄打非”工作。</w:t>
      </w:r>
      <w:r>
        <w:rPr>
          <w:rFonts w:hint="eastAsia" w:ascii="仿宋_GB2312" w:hAnsi="仿宋_GB2312" w:eastAsia="仿宋_GB2312" w:cs="仿宋_GB2312"/>
          <w:sz w:val="32"/>
          <w:szCs w:val="32"/>
        </w:rPr>
        <w:t>我局共出动执法人员30人次，车辆10余次，检查各类文化经营单位60家次，其中与公安、</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、应急管理局、消防等多部门开展专项执法大检查6次。</w:t>
      </w:r>
      <w:r>
        <w:rPr>
          <w:rFonts w:hint="eastAsia" w:ascii="仿宋_GB2312" w:hAnsi="仿宋_GB2312" w:eastAsia="仿宋_GB2312" w:cs="仿宋_GB2312"/>
          <w:b/>
          <w:bCs/>
          <w:sz w:val="32"/>
          <w:szCs w:val="32"/>
        </w:rPr>
        <w:t>五是</w:t>
      </w:r>
      <w:r>
        <w:rPr>
          <w:rFonts w:hint="eastAsia" w:ascii="仿宋_GB2312" w:hAnsi="仿宋_GB2312" w:eastAsia="仿宋_GB2312" w:cs="仿宋_GB2312"/>
          <w:b/>
          <w:sz w:val="32"/>
          <w:szCs w:val="32"/>
          <w:lang w:val="zh-CN"/>
        </w:rPr>
        <w:t>强化安全隐患排查，加强旅游重点场合安全管理。</w:t>
      </w:r>
      <w:r>
        <w:rPr>
          <w:rFonts w:hint="eastAsia" w:ascii="仿宋_GB2312" w:hAnsi="仿宋_GB2312" w:eastAsia="仿宋_GB2312" w:cs="仿宋_GB2312"/>
          <w:sz w:val="32"/>
          <w:szCs w:val="32"/>
          <w:lang w:val="zh-CN"/>
        </w:rPr>
        <w:t>联合县公安局、县市场监管局、县卫健局、县消防大队等部门开展了旅游小长假综合大检查活动，对全县景区（点）进行了隐患排查，对存在问题进行及时整改，为游客的出行保障了安全和质量。</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）全域启航，最美壤塘蓝图初绘</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方正小标宋_GBK" w:eastAsia="仿宋_GB2312"/>
          <w:bCs/>
          <w:sz w:val="32"/>
          <w:szCs w:val="32"/>
        </w:rPr>
        <w:t>为全面贯彻党的十九大精神,切实践行习近平总书记“绿水青山就是金山银山”生态发展理念,落实省委、州委</w:t>
      </w:r>
      <w:r>
        <w:rPr>
          <w:rFonts w:hint="eastAsia" w:ascii="仿宋_GB2312" w:hAnsi="方正小标宋_GBK" w:eastAsia="仿宋_GB2312"/>
          <w:bCs/>
          <w:sz w:val="32"/>
          <w:szCs w:val="32"/>
          <w:lang w:eastAsia="zh-CN"/>
        </w:rPr>
        <w:t>、县委</w:t>
      </w:r>
      <w:r>
        <w:rPr>
          <w:rFonts w:hint="eastAsia" w:ascii="仿宋_GB2312" w:hAnsi="方正小标宋_GBK" w:eastAsia="仿宋_GB2312"/>
          <w:bCs/>
          <w:sz w:val="32"/>
          <w:szCs w:val="32"/>
        </w:rPr>
        <w:t>全域旅游综合整治会议精神的具体要求，扎实开展壤塘县全域旅游环境综合整治工作，打造整洁优美的环境，全面提升我县全域旅游环境的质量和水平，我局拟定了《壤塘县全域旅游环境综合整治实施方案》，</w:t>
      </w:r>
      <w:r>
        <w:rPr>
          <w:rFonts w:hint="eastAsia" w:ascii="仿宋_GB2312" w:hAnsi="方正小标宋_GBK" w:eastAsia="仿宋_GB2312"/>
          <w:bCs/>
          <w:sz w:val="32"/>
          <w:szCs w:val="32"/>
          <w:lang w:eastAsia="zh-CN"/>
        </w:rPr>
        <w:t>现已</w:t>
      </w:r>
      <w:r>
        <w:rPr>
          <w:rFonts w:hint="eastAsia" w:ascii="仿宋_GB2312" w:hAnsi="方正小标宋_GBK" w:eastAsia="仿宋_GB2312"/>
          <w:bCs/>
          <w:sz w:val="32"/>
          <w:szCs w:val="32"/>
        </w:rPr>
        <w:t>审定</w:t>
      </w:r>
      <w:r>
        <w:rPr>
          <w:rFonts w:hint="eastAsia" w:ascii="仿宋_GB2312" w:hAnsi="方正小标宋_GBK" w:eastAsia="仿宋_GB2312"/>
          <w:bCs/>
          <w:sz w:val="32"/>
          <w:szCs w:val="32"/>
          <w:lang w:eastAsia="zh-CN"/>
        </w:rPr>
        <w:t>。</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Cs/>
          <w:color w:val="000000"/>
          <w:kern w:val="0"/>
          <w:sz w:val="32"/>
          <w:szCs w:val="32"/>
        </w:rPr>
        <w:t>019年1-9月全县旅游综合收入达25694.38万元，</w:t>
      </w:r>
      <w:r>
        <w:rPr>
          <w:rFonts w:hint="eastAsia" w:ascii="仿宋_GB2312" w:hAnsi="仿宋_GB2312" w:eastAsia="仿宋_GB2312" w:cs="仿宋_GB2312"/>
          <w:color w:val="000000"/>
          <w:kern w:val="0"/>
          <w:sz w:val="32"/>
          <w:szCs w:val="32"/>
        </w:rPr>
        <w:t>无景区门票收入，</w:t>
      </w:r>
      <w:r>
        <w:rPr>
          <w:rFonts w:hint="eastAsia" w:ascii="仿宋_GB2312" w:hAnsi="仿宋_GB2312" w:eastAsia="仿宋_GB2312" w:cs="仿宋_GB2312"/>
          <w:bCs/>
          <w:color w:val="000000"/>
          <w:kern w:val="0"/>
          <w:sz w:val="32"/>
          <w:szCs w:val="32"/>
        </w:rPr>
        <w:t>同比增长3.04%，接待游客316789人次，同比增长3.16%。</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 w:hAnsi="仿宋" w:eastAsia="仿宋"/>
          <w:bCs/>
          <w:color w:val="000000"/>
          <w:sz w:val="32"/>
          <w:szCs w:val="32"/>
        </w:rPr>
      </w:pPr>
      <w:r>
        <w:rPr>
          <w:rFonts w:hint="eastAsia" w:ascii="仿宋_GB2312" w:hAnsi="仿宋_GB2312" w:eastAsia="仿宋_GB2312" w:cs="仿宋_GB2312"/>
          <w:bCs/>
          <w:color w:val="000000"/>
          <w:kern w:val="0"/>
          <w:sz w:val="32"/>
          <w:szCs w:val="32"/>
        </w:rPr>
        <w:t>2019年</w:t>
      </w:r>
      <w:r>
        <w:rPr>
          <w:rFonts w:hint="eastAsia" w:ascii="仿宋_GB2312" w:hAnsi="仿宋_GB2312" w:eastAsia="仿宋_GB2312" w:cs="仿宋_GB2312"/>
          <w:bCs/>
          <w:color w:val="000000"/>
          <w:kern w:val="0"/>
          <w:sz w:val="32"/>
          <w:szCs w:val="32"/>
          <w:lang w:val="zh-CN"/>
        </w:rPr>
        <w:t>投入资金约4334万元，进行G317沿线旅游节点和综合服务站建设、针对壤塘创建</w:t>
      </w:r>
      <w:r>
        <w:rPr>
          <w:rFonts w:hint="eastAsia" w:ascii="仿宋_GB2312" w:hAnsi="仿宋_GB2312" w:eastAsia="仿宋_GB2312" w:cs="仿宋_GB2312"/>
          <w:bCs/>
          <w:color w:val="000000"/>
          <w:kern w:val="0"/>
          <w:sz w:val="32"/>
          <w:szCs w:val="32"/>
        </w:rPr>
        <w:t>2个3A级景区和1个</w:t>
      </w:r>
      <w:r>
        <w:rPr>
          <w:rFonts w:hint="eastAsia" w:ascii="仿宋_GB2312" w:hAnsi="仿宋_GB2312" w:eastAsia="仿宋_GB2312" w:cs="仿宋_GB2312"/>
          <w:bCs/>
          <w:color w:val="000000"/>
          <w:kern w:val="0"/>
          <w:sz w:val="32"/>
          <w:szCs w:val="32"/>
          <w:lang w:val="zh-CN"/>
        </w:rPr>
        <w:t>省级生态旅游示范区创建进行查漏补缺等。G317旅游扶贫项目建设。一是完善G317沿线旅游服务站点建设，增强壤塘旅游接待能力和吸引力，让更多的贫困群众参与旅游，并通过旅游增收脱贫。其中下达石服务点已完工，黑桥项目已完成文化墙主体面板制作，小伊里加油站服务点主体工程已完成建设，计划</w:t>
      </w:r>
      <w:r>
        <w:rPr>
          <w:rFonts w:hint="eastAsia" w:ascii="仿宋_GB2312" w:hAnsi="仿宋_GB2312" w:eastAsia="仿宋_GB2312" w:cs="仿宋_GB2312"/>
          <w:bCs/>
          <w:color w:val="000000"/>
          <w:kern w:val="0"/>
          <w:sz w:val="32"/>
          <w:szCs w:val="32"/>
        </w:rPr>
        <w:t>11月全面竣工</w:t>
      </w:r>
      <w:r>
        <w:rPr>
          <w:rFonts w:hint="eastAsia" w:ascii="仿宋_GB2312" w:hAnsi="仿宋_GB2312" w:eastAsia="仿宋_GB2312" w:cs="仿宋_GB2312"/>
          <w:bCs/>
          <w:color w:val="000000"/>
          <w:kern w:val="0"/>
          <w:sz w:val="32"/>
          <w:szCs w:val="32"/>
          <w:lang w:val="zh-CN"/>
        </w:rPr>
        <w:t>；二是对查卡村、修卡村等3个旅游扶贫示范村的提升工作，继续扶持乡村旅游专业合作社成立等系列工作，均已开工建设，计划</w:t>
      </w:r>
      <w:r>
        <w:rPr>
          <w:rFonts w:hint="eastAsia" w:ascii="仿宋_GB2312" w:hAnsi="仿宋_GB2312" w:eastAsia="仿宋_GB2312" w:cs="仿宋_GB2312"/>
          <w:bCs/>
          <w:color w:val="000000"/>
          <w:kern w:val="0"/>
          <w:sz w:val="32"/>
          <w:szCs w:val="32"/>
        </w:rPr>
        <w:t>11月完成所有建设任务</w:t>
      </w:r>
      <w:r>
        <w:rPr>
          <w:rFonts w:hint="eastAsia" w:ascii="仿宋_GB2312" w:hAnsi="仿宋_GB2312" w:eastAsia="仿宋_GB2312" w:cs="仿宋_GB2312"/>
          <w:bCs/>
          <w:color w:val="000000"/>
          <w:kern w:val="0"/>
          <w:sz w:val="32"/>
          <w:szCs w:val="32"/>
          <w:lang w:val="zh-CN"/>
        </w:rPr>
        <w:t>；三是浙江援建壤塘县2019年乡村旅游扶贫配套设施建设项目在大伊里村进行旅游基础及配套设施提升建设，现已完成工程总量的</w:t>
      </w:r>
      <w:r>
        <w:rPr>
          <w:rFonts w:hint="eastAsia" w:ascii="仿宋_GB2312" w:hAnsi="仿宋_GB2312" w:eastAsia="仿宋_GB2312" w:cs="仿宋_GB2312"/>
          <w:bCs/>
          <w:color w:val="000000"/>
          <w:kern w:val="0"/>
          <w:sz w:val="32"/>
          <w:szCs w:val="32"/>
        </w:rPr>
        <w:t>70%</w:t>
      </w:r>
      <w:r>
        <w:rPr>
          <w:rFonts w:hint="eastAsia" w:ascii="仿宋_GB2312" w:hAnsi="仿宋_GB2312" w:eastAsia="仿宋_GB2312" w:cs="仿宋_GB2312"/>
          <w:bCs/>
          <w:color w:val="000000"/>
          <w:kern w:val="0"/>
          <w:sz w:val="32"/>
          <w:szCs w:val="32"/>
          <w:lang w:val="zh-CN"/>
        </w:rPr>
        <w:t>。</w:t>
      </w:r>
    </w:p>
    <w:p>
      <w:pPr>
        <w:pStyle w:val="4"/>
        <w:numPr>
          <w:ilvl w:val="0"/>
          <w:numId w:val="1"/>
        </w:numPr>
        <w:rPr>
          <w:rStyle w:val="27"/>
          <w:rFonts w:hint="eastAsia" w:ascii="黑体" w:hAnsi="黑体" w:eastAsia="黑体"/>
          <w:b w:val="0"/>
          <w:bCs w:val="0"/>
        </w:rPr>
      </w:pPr>
      <w:bookmarkStart w:id="20" w:name="_Toc15396601"/>
      <w:bookmarkStart w:id="21" w:name="_Toc15377200"/>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4"/>
        <w:numPr>
          <w:ilvl w:val="0"/>
          <w:numId w:val="0"/>
        </w:numPr>
        <w:ind w:firstLine="643" w:firstLineChars="200"/>
        <w:rPr>
          <w:rFonts w:hint="eastAsia" w:ascii="仿宋_GB2312" w:hAnsi="Arial" w:eastAsia="仿宋_GB2312" w:cs="Times New Roman"/>
          <w:b w:val="0"/>
          <w:bCs w:val="0"/>
          <w:kern w:val="0"/>
          <w:sz w:val="32"/>
          <w:szCs w:val="32"/>
          <w:lang w:val="en-US" w:eastAsia="zh-CN" w:bidi="ar-SA"/>
        </w:rPr>
      </w:pPr>
      <w:r>
        <w:rPr>
          <w:rFonts w:hint="eastAsia" w:ascii="仿宋" w:hAnsi="仿宋" w:eastAsia="仿宋"/>
          <w:sz w:val="32"/>
          <w:szCs w:val="32"/>
          <w:lang w:eastAsia="zh-CN"/>
        </w:rPr>
        <w:t>壤塘县文体旅游局</w:t>
      </w:r>
      <w:r>
        <w:rPr>
          <w:rFonts w:hint="eastAsia" w:ascii="仿宋" w:hAnsi="仿宋" w:eastAsia="仿宋"/>
          <w:sz w:val="32"/>
          <w:szCs w:val="32"/>
        </w:rPr>
        <w:t>下属二级单位</w:t>
      </w:r>
      <w:r>
        <w:rPr>
          <w:rFonts w:hint="eastAsia" w:ascii="仿宋" w:hAnsi="仿宋" w:eastAsia="仿宋"/>
          <w:sz w:val="32"/>
          <w:szCs w:val="32"/>
          <w:lang w:val="en-US" w:eastAsia="zh-CN"/>
        </w:rPr>
        <w:t>7</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6</w:t>
      </w:r>
      <w:r>
        <w:rPr>
          <w:rFonts w:hint="eastAsia" w:ascii="仿宋" w:hAnsi="仿宋" w:eastAsia="仿宋"/>
          <w:sz w:val="32"/>
          <w:szCs w:val="32"/>
        </w:rPr>
        <w:t>个。</w:t>
      </w:r>
      <w:r>
        <w:rPr>
          <w:rFonts w:hint="eastAsia" w:ascii="仿宋_GB2312" w:hAnsi="Arial" w:eastAsia="仿宋_GB2312" w:cs="Times New Roman"/>
          <w:b w:val="0"/>
          <w:bCs w:val="0"/>
          <w:kern w:val="0"/>
          <w:sz w:val="32"/>
          <w:szCs w:val="32"/>
          <w:lang w:val="en-US" w:eastAsia="zh-CN" w:bidi="ar-SA"/>
        </w:rPr>
        <w:t>纳入壤塘县文化体育和旅游局2019年度部门决算编制范围的二级预算单位包括：</w:t>
      </w:r>
    </w:p>
    <w:p>
      <w:pPr>
        <w:pStyle w:val="6"/>
        <w:numPr>
          <w:ilvl w:val="0"/>
          <w:numId w:val="2"/>
        </w:numPr>
        <w:adjustRightInd w:val="0"/>
        <w:snapToGrid w:val="0"/>
        <w:spacing w:before="93" w:line="600" w:lineRule="exact"/>
        <w:outlineLvl w:val="2"/>
        <w:rPr>
          <w:rFonts w:ascii="仿宋" w:hAnsi="仿宋" w:eastAsia="仿宋"/>
          <w:color w:val="000000"/>
          <w:sz w:val="32"/>
          <w:szCs w:val="32"/>
        </w:rPr>
      </w:pPr>
      <w:bookmarkStart w:id="22" w:name="_Toc15378449"/>
      <w:bookmarkStart w:id="23" w:name="_Toc15377433"/>
      <w:bookmarkStart w:id="24" w:name="_Toc15377202"/>
      <w:bookmarkStart w:id="25" w:name="_Toc15306276"/>
      <w:r>
        <w:rPr>
          <w:rFonts w:hint="eastAsia" w:ascii="仿宋" w:hAnsi="仿宋" w:eastAsia="仿宋"/>
          <w:color w:val="000000"/>
          <w:sz w:val="32"/>
          <w:szCs w:val="32"/>
          <w:lang w:eastAsia="zh-CN"/>
        </w:rPr>
        <w:t>壤塘县新华书店</w:t>
      </w:r>
      <w:bookmarkEnd w:id="22"/>
      <w:bookmarkEnd w:id="23"/>
      <w:bookmarkEnd w:id="24"/>
      <w:bookmarkEnd w:id="25"/>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壤塘县文化馆</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壤塘县图书馆</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壤塘县文管所</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壤塘县业余体校</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壤巴拉文化研究中心</w:t>
      </w:r>
    </w:p>
    <w:p>
      <w:pPr>
        <w:pStyle w:val="6"/>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旅游资源开发中心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6"/>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6"/>
      <w:bookmarkEnd w:id="27"/>
    </w:p>
    <w:p/>
    <w:p>
      <w:pPr>
        <w:pStyle w:val="25"/>
        <w:numPr>
          <w:ilvl w:val="0"/>
          <w:numId w:val="3"/>
        </w:numPr>
        <w:spacing w:line="600" w:lineRule="exact"/>
        <w:ind w:firstLineChars="0"/>
        <w:outlineLvl w:val="1"/>
        <w:rPr>
          <w:rStyle w:val="27"/>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8"/>
      <w:bookmarkEnd w:id="29"/>
    </w:p>
    <w:p>
      <w:pPr>
        <w:pStyle w:val="4"/>
        <w:numPr>
          <w:ilvl w:val="0"/>
          <w:numId w:val="0"/>
        </w:numPr>
        <w:ind w:firstLine="640" w:firstLineChars="200"/>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2019年度收入总计5,273.82万元,支出总计3,560.5万元.与2018年相比，收入总计各减少220.26万元，下降4%,支出增加270.98万元，上涨8.24%。主要变动原因是人员减少，人员经费减少，项目支出增加。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8240" behindDoc="0" locked="0" layoutInCell="1" allowOverlap="1">
            <wp:simplePos x="0" y="0"/>
            <wp:positionH relativeFrom="column">
              <wp:posOffset>480695</wp:posOffset>
            </wp:positionH>
            <wp:positionV relativeFrom="paragraph">
              <wp:posOffset>10795</wp:posOffset>
            </wp:positionV>
            <wp:extent cx="4572000" cy="2743200"/>
            <wp:effectExtent l="4445" t="4445" r="1460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25"/>
        <w:numPr>
          <w:ilvl w:val="0"/>
          <w:numId w:val="3"/>
        </w:numPr>
        <w:spacing w:line="600" w:lineRule="exact"/>
        <w:ind w:firstLineChars="0"/>
        <w:outlineLvl w:val="1"/>
        <w:rPr>
          <w:rFonts w:ascii="仿宋" w:hAnsi="仿宋" w:eastAsia="仿宋"/>
          <w:color w:val="000000"/>
          <w:sz w:val="32"/>
          <w:szCs w:val="32"/>
        </w:rPr>
      </w:pPr>
      <w:bookmarkStart w:id="30" w:name="_Toc15377206"/>
      <w:bookmarkStart w:id="31"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30"/>
      <w:bookmarkEnd w:id="31"/>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2019年本年收入合计5273.82万元，其中：一般公共预算财政拨款收入5,250.07万元，占99.55%；政府性基金预算财政拨款收入23.75万元，占0.45%；上级补助收入0万元；事业收入0</w:t>
      </w:r>
      <w:r>
        <w:rPr>
          <w:rFonts w:hint="eastAsia" w:ascii="仿宋" w:hAnsi="仿宋" w:eastAsia="仿宋"/>
          <w:color w:val="000000"/>
          <w:sz w:val="32"/>
          <w:szCs w:val="32"/>
          <w:lang w:val="en-US" w:eastAsia="zh-CN"/>
        </w:rPr>
        <w:t>万元</w:t>
      </w:r>
      <w:r>
        <w:rPr>
          <w:rFonts w:hint="eastAsia" w:ascii="仿宋_GB2312" w:hAnsi="Arial" w:eastAsia="仿宋_GB2312" w:cs="Times New Roman"/>
          <w:b w:val="0"/>
          <w:bCs w:val="0"/>
          <w:kern w:val="0"/>
          <w:sz w:val="32"/>
          <w:szCs w:val="32"/>
          <w:lang w:val="en-US" w:eastAsia="zh-CN" w:bidi="ar-SA"/>
        </w:rPr>
        <w:t>；经营收入0万元；附属单位上缴收入0万元，；其他收入0万元。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4445</wp:posOffset>
            </wp:positionH>
            <wp:positionV relativeFrom="paragraph">
              <wp:posOffset>-2453005</wp:posOffset>
            </wp:positionV>
            <wp:extent cx="4572000" cy="2743200"/>
            <wp:effectExtent l="4445" t="4445" r="1460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5"/>
        <w:numPr>
          <w:ilvl w:val="0"/>
          <w:numId w:val="3"/>
        </w:numPr>
        <w:spacing w:line="600" w:lineRule="exact"/>
        <w:ind w:firstLineChars="0"/>
        <w:outlineLvl w:val="1"/>
        <w:rPr>
          <w:rStyle w:val="27"/>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32"/>
      <w:bookmarkEnd w:id="33"/>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2019年本年支出合计3560.50万元，其中：基本支出714.53万元，占20.07%；项目支出2845.98万元，占79.93%；上缴上级支出0万元；经营支出0万元；对附属单位补助支出0万元。</w:t>
      </w:r>
    </w:p>
    <w:p>
      <w:pPr>
        <w:spacing w:line="600" w:lineRule="exact"/>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471170</wp:posOffset>
            </wp:positionH>
            <wp:positionV relativeFrom="paragraph">
              <wp:posOffset>522605</wp:posOffset>
            </wp:positionV>
            <wp:extent cx="4572000" cy="2743200"/>
            <wp:effectExtent l="4445" t="4445" r="14605" b="1460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34" w:name="_Toc15396606"/>
      <w:bookmarkStart w:id="35" w:name="_Toc15377208"/>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4"/>
      <w:bookmarkEnd w:id="35"/>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2019年财政拨款收入、支出总计7025.96万元。与2018年相比，财政拨款收入、支出总计减少2229.23万元，下降24.09%。主要变动原因是人员减少，人员经费减少，项目支出减少。</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601345</wp:posOffset>
            </wp:positionH>
            <wp:positionV relativeFrom="paragraph">
              <wp:posOffset>39370</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hint="eastAsia" w:ascii="黑体" w:hAnsi="黑体" w:eastAsia="黑体"/>
          <w:color w:val="000000"/>
          <w:sz w:val="32"/>
          <w:szCs w:val="32"/>
        </w:rPr>
      </w:pPr>
      <w:bookmarkStart w:id="36" w:name="_Toc15396607"/>
      <w:bookmarkStart w:id="37" w:name="_Toc15377209"/>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2019年一般公共预算财政拨款支出3,552.19万元，占本年支出合计的100%。与2018年相比，一般公共预算财政拨款增加262.67万元，上涨7.39%。主要变动原因是项目支出增加。</w:t>
      </w:r>
    </w:p>
    <w:p>
      <w:pPr>
        <w:spacing w:line="600" w:lineRule="exact"/>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（图5：一般公共预算财政拨款支出决算变动情况）（单位：万元）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hint="eastAsia" w:ascii="仿宋" w:hAnsi="仿宋" w:eastAsia="仿宋"/>
          <w:b/>
          <w:color w:val="000000"/>
          <w:sz w:val="32"/>
          <w:szCs w:val="32"/>
        </w:rPr>
      </w:pPr>
      <w:bookmarkStart w:id="39"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420" w:firstLineChars="200"/>
        <w:outlineLvl w:val="2"/>
        <w:rPr>
          <w:rFonts w:hint="eastAsia" w:ascii="仿宋" w:hAnsi="仿宋" w:eastAsia="仿宋"/>
          <w:b/>
          <w:color w:val="000000"/>
          <w:sz w:val="32"/>
          <w:szCs w:val="32"/>
        </w:rPr>
      </w:pPr>
      <w:r>
        <w:drawing>
          <wp:anchor distT="0" distB="0" distL="114300" distR="114300" simplePos="0" relativeHeight="251662336"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_GB2312" w:hAnsi="Arial" w:eastAsia="仿宋_GB2312" w:cs="Times New Roman"/>
          <w:b w:val="0"/>
          <w:bCs w:val="0"/>
          <w:kern w:val="0"/>
          <w:sz w:val="32"/>
          <w:szCs w:val="32"/>
          <w:lang w:val="en-US" w:eastAsia="zh-CN" w:bidi="ar-SA"/>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3560.50</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sz w:val="32"/>
          <w:szCs w:val="32"/>
        </w:rPr>
        <w:t>文化旅游体育与传媒支出（</w:t>
      </w:r>
      <w:r>
        <w:rPr>
          <w:rStyle w:val="15"/>
          <w:rFonts w:hint="eastAsia" w:ascii="仿宋" w:hAnsi="仿宋" w:eastAsia="仿宋"/>
          <w:bCs/>
          <w:color w:val="000000"/>
          <w:sz w:val="32"/>
          <w:szCs w:val="32"/>
          <w:lang w:val="en-US" w:eastAsia="zh-CN"/>
        </w:rPr>
        <w:t>207</w:t>
      </w:r>
      <w:r>
        <w:rPr>
          <w:rStyle w:val="15"/>
          <w:rFonts w:hint="eastAsia" w:ascii="仿宋" w:hAnsi="仿宋" w:eastAsia="仿宋"/>
          <w:bCs/>
          <w:color w:val="000000"/>
          <w:sz w:val="32"/>
          <w:szCs w:val="32"/>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3367.25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94.57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Style w:val="15"/>
          <w:rFonts w:hint="eastAsia" w:ascii="仿宋" w:hAnsi="仿宋" w:eastAsia="仿宋"/>
          <w:bCs/>
          <w:color w:val="000000"/>
          <w:sz w:val="32"/>
          <w:szCs w:val="32"/>
          <w:lang w:eastAsia="zh-CN"/>
        </w:rPr>
        <w:t>社会保障和就业</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96.38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sz w:val="32"/>
          <w:szCs w:val="32"/>
        </w:rPr>
        <w:t>卫生健康支出（</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w:t>
      </w:r>
      <w:r>
        <w:rPr>
          <w:rFonts w:hint="eastAsia" w:ascii="仿宋" w:hAnsi="仿宋" w:eastAsia="仿宋"/>
          <w:color w:val="000000" w:themeColor="text1"/>
          <w:sz w:val="32"/>
          <w:szCs w:val="32"/>
          <w:lang w:val="en-US" w:eastAsia="zh-CN"/>
          <w14:textFill>
            <w14:solidFill>
              <w14:schemeClr w14:val="tx1"/>
            </w14:solidFill>
          </w14:textFill>
        </w:rPr>
        <w:t>32.22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sz w:val="32"/>
          <w:szCs w:val="32"/>
        </w:rPr>
        <w:t>住房保障（</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w:t>
      </w:r>
      <w:r>
        <w:rPr>
          <w:rFonts w:hint="eastAsia" w:ascii="仿宋" w:hAnsi="仿宋" w:eastAsia="仿宋"/>
          <w:color w:val="000000" w:themeColor="text1"/>
          <w:sz w:val="32"/>
          <w:szCs w:val="32"/>
          <w:lang w:val="en-US" w:eastAsia="zh-CN"/>
          <w14:textFill>
            <w14:solidFill>
              <w14:schemeClr w14:val="tx1"/>
            </w14:solidFill>
          </w14:textFill>
        </w:rPr>
        <w:t>支出53.87万元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sz w:val="32"/>
          <w:szCs w:val="32"/>
        </w:rPr>
        <w:t>农林水支出（</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w:t>
      </w:r>
      <w:r>
        <w:rPr>
          <w:rFonts w:hint="eastAsia" w:ascii="仿宋" w:hAnsi="仿宋" w:eastAsia="仿宋"/>
          <w:color w:val="000000" w:themeColor="text1"/>
          <w:sz w:val="32"/>
          <w:szCs w:val="32"/>
          <w:lang w:val="en-US" w:eastAsia="zh-CN"/>
          <w14:textFill>
            <w14:solidFill>
              <w14:schemeClr w14:val="tx1"/>
            </w14:solidFill>
          </w14:textFill>
        </w:rPr>
        <w:t>支出2.47万元</w:t>
      </w:r>
      <w:r>
        <w:rPr>
          <w:rFonts w:hint="eastAsia" w:ascii="仿宋" w:hAnsi="仿宋" w:eastAsia="仿宋"/>
          <w:color w:val="000000" w:themeColor="text1"/>
          <w:sz w:val="32"/>
          <w:szCs w:val="32"/>
          <w:lang w:eastAsia="zh-CN"/>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0.08%</w:t>
      </w:r>
      <w:r>
        <w:rPr>
          <w:rFonts w:hint="eastAsia" w:ascii="仿宋" w:hAnsi="仿宋" w:eastAsia="仿宋"/>
          <w:color w:val="000000" w:themeColor="text1"/>
          <w:sz w:val="32"/>
          <w:szCs w:val="32"/>
          <w14:textFill>
            <w14:solidFill>
              <w14:schemeClr w14:val="tx1"/>
            </w14:solidFill>
          </w14:textFill>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r>
        <w:rPr>
          <w:rFonts w:hint="eastAsia" w:ascii="仿宋" w:hAnsi="仿宋" w:eastAsia="仿宋"/>
          <w:color w:val="000000"/>
          <w:sz w:val="32"/>
          <w:szCs w:val="32"/>
          <w:lang w:eastAsia="zh-CN"/>
        </w:rPr>
        <w:t>单位：万元</w:t>
      </w:r>
      <w:r>
        <w:rPr>
          <w:rFonts w:hint="eastAsia" w:ascii="仿宋" w:hAnsi="仿宋" w:eastAsia="仿宋"/>
          <w:color w:val="000000"/>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471170</wp:posOffset>
            </wp:positionH>
            <wp:positionV relativeFrom="paragraph">
              <wp:posOffset>27305</wp:posOffset>
            </wp:positionV>
            <wp:extent cx="4572000" cy="2743200"/>
            <wp:effectExtent l="4445" t="4445" r="14605" b="1460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40"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444"/>
      <w:bookmarkStart w:id="43"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3552.19</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文化旅游体育与传媒支出（</w:t>
      </w:r>
      <w:r>
        <w:rPr>
          <w:rStyle w:val="15"/>
          <w:rFonts w:hint="eastAsia" w:ascii="仿宋" w:hAnsi="仿宋" w:eastAsia="仿宋"/>
          <w:bCs/>
          <w:color w:val="000000"/>
          <w:sz w:val="32"/>
          <w:szCs w:val="32"/>
          <w:lang w:val="en-US" w:eastAsia="zh-CN"/>
        </w:rPr>
        <w:t>207</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总计3,367.25万元；</w:t>
      </w:r>
      <w:r>
        <w:rPr>
          <w:rStyle w:val="15"/>
          <w:rFonts w:hint="eastAsia" w:ascii="仿宋" w:hAnsi="仿宋" w:eastAsia="仿宋"/>
          <w:bCs/>
          <w:color w:val="000000"/>
          <w:sz w:val="32"/>
          <w:szCs w:val="32"/>
        </w:rPr>
        <w:t>文化和旅游（</w:t>
      </w:r>
      <w:r>
        <w:rPr>
          <w:rStyle w:val="15"/>
          <w:rFonts w:hint="eastAsia" w:ascii="仿宋" w:hAnsi="仿宋" w:eastAsia="仿宋"/>
          <w:bCs/>
          <w:color w:val="000000"/>
          <w:sz w:val="32"/>
          <w:szCs w:val="32"/>
          <w:lang w:val="en-US" w:eastAsia="zh-CN"/>
        </w:rPr>
        <w:t>20701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总计2,620.87万元；行政运行</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2070101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总计532.06万元；文化展示及纪念机构（</w:t>
      </w:r>
      <w:r>
        <w:rPr>
          <w:rStyle w:val="15"/>
          <w:rFonts w:hint="eastAsia" w:ascii="仿宋" w:hAnsi="仿宋" w:eastAsia="仿宋"/>
          <w:bCs/>
          <w:color w:val="000000"/>
          <w:sz w:val="32"/>
          <w:szCs w:val="32"/>
          <w:lang w:val="en-US" w:eastAsia="zh-CN"/>
        </w:rPr>
        <w:t>2070105</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5.65万元；艺术表演团体（2070107）总计6.9万元；文化活动（2070108）总计48.82万元；文化创作与保护（2070111）总计349.68万元；旅游宣传（2070113）总计9.58万元；  其他文化和旅游支出（2070199）总计1,668.18万元；文物（20702）总计198.15万元；文物保护（2070204）总计198.15万元；体育（20703）总计183.91万元；体育竞赛（2070305）总计157.91万元；体育场馆（2070307）总计6万元；群众体育（2070308）总计20万元；广播电视（20708）总计7.48万元；其他广播电视支出（2070899）总计7.48万元；其他文化体育与传媒支出（20799）总计356.84万元；其他文化体育与传媒支出（2079999）总计356.84万元；</w:t>
      </w:r>
      <w:r>
        <w:rPr>
          <w:rStyle w:val="15"/>
          <w:rFonts w:hint="eastAsia" w:ascii="仿宋" w:hAnsi="仿宋" w:eastAsia="仿宋"/>
          <w:b w:val="0"/>
          <w:bCs/>
          <w:color w:val="000000"/>
          <w:sz w:val="32"/>
          <w:szCs w:val="32"/>
        </w:rPr>
        <w:t>支出决算为3,367.25万元，完成预算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lang w:eastAsia="zh-CN"/>
        </w:rPr>
        <w:t>社会保障和就业</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96.38万元；行政事业单位离退休</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96.38万元；机关事业单位基本养老保险缴费支出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2080505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67.78万元；机关事业单位职业年金缴费支出（2080506）总计28.6万元</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96.38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卫生健康支出（</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32.22万元；行政事业单位医疗</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32.22万元；行政单位医疗</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32.22万元</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32.22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农林水支出（</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2.47万元；扶贫</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21305</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2.47万元；农村基础设施建设</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2130504</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1.61万元；其他扶贫支出（2130599）总计0.86万元</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住房保障支出（</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53.87万元；住房改革支出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22102</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53.87万元；住房公积金</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2210201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51.35万元；购房补贴（2210203）总计2.52万元</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53.87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其他支出（</w:t>
      </w:r>
      <w:r>
        <w:rPr>
          <w:rStyle w:val="15"/>
          <w:rFonts w:hint="eastAsia" w:ascii="仿宋" w:hAnsi="仿宋" w:eastAsia="仿宋"/>
          <w:bCs/>
          <w:color w:val="000000"/>
          <w:sz w:val="32"/>
          <w:szCs w:val="32"/>
          <w:lang w:val="en-US" w:eastAsia="zh-CN"/>
        </w:rPr>
        <w:t>229</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8.32万元；彩票公益金安排的支出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22960</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8.32万元；用于体育事业的彩票公益金支出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2296003</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总计</w:t>
      </w:r>
      <w:r>
        <w:rPr>
          <w:rStyle w:val="15"/>
          <w:rFonts w:hint="eastAsia" w:ascii="仿宋" w:hAnsi="仿宋" w:eastAsia="仿宋"/>
          <w:bCs/>
          <w:color w:val="000000"/>
          <w:sz w:val="32"/>
          <w:szCs w:val="32"/>
          <w:lang w:val="en-US" w:eastAsia="zh-CN"/>
        </w:rPr>
        <w:t>8.32万元</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8.32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预算数与决算数持平</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7"/>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4"/>
      <w:bookmarkEnd w:id="45"/>
      <w:r>
        <w:rPr>
          <w:rStyle w:val="27"/>
          <w:rFonts w:ascii="黑体" w:hAnsi="黑体" w:eastAsia="黑体"/>
          <w:b w:val="0"/>
        </w:rPr>
        <w:tab/>
      </w:r>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2019年一般公共预算财政拨款基本支出714.53万元，其中：</w:t>
      </w:r>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人员经费662.48万元，主要包括：基本工资132.32万元、津贴补贴238.82万元、奖金102.96万元、机关事业单位基本养老保险缴费67.78万元、职业年金缴费28.6万元、其他社会保障缴费8.44万元、生活补助178.62万元、医疗费补助0.16万元、住房公积金51.35万元、其他对个人和家庭的补助支出23.72万元等。</w:t>
      </w:r>
      <w:r>
        <w:rPr>
          <w:rFonts w:hint="eastAsia" w:ascii="仿宋_GB2312" w:hAnsi="Arial" w:eastAsia="仿宋_GB2312" w:cs="Times New Roman"/>
          <w:b w:val="0"/>
          <w:bCs w:val="0"/>
          <w:kern w:val="0"/>
          <w:sz w:val="32"/>
          <w:szCs w:val="32"/>
          <w:lang w:val="en-US" w:eastAsia="zh-CN" w:bidi="ar-SA"/>
        </w:rPr>
        <w:br w:type="textWrapping"/>
      </w:r>
      <w:r>
        <w:rPr>
          <w:rFonts w:hint="eastAsia" w:ascii="仿宋_GB2312" w:hAnsi="Arial" w:eastAsia="仿宋_GB2312" w:cs="Times New Roman"/>
          <w:b w:val="0"/>
          <w:bCs w:val="0"/>
          <w:kern w:val="0"/>
          <w:sz w:val="32"/>
          <w:szCs w:val="32"/>
          <w:lang w:val="en-US" w:eastAsia="zh-CN" w:bidi="ar-SA"/>
        </w:rPr>
        <w:t>　　日常公用经费422.16万元，主要包括：办公费362.6万元、水费0.06万元、电费4.44万元、邮电费1.54万元、差旅费12.85万元、维修（护）费1.51万元、培训费0.06万元、公务接待费0.3万元、劳务费1.3万元、公务用车运行维护费7.35万元、其他交通费2.48万元、其他商品和服务支出27.66万元、其他资本性支出350.6万元等。</w:t>
      </w:r>
    </w:p>
    <w:p>
      <w:pPr>
        <w:spacing w:line="600" w:lineRule="exact"/>
        <w:ind w:firstLine="640"/>
        <w:outlineLvl w:val="1"/>
        <w:rPr>
          <w:rStyle w:val="27"/>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2019年“三公”经费财政拨款支出决算为7.65万元，完成预算100%，预算数与决算数持平。</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firstLineChars="200"/>
        <w:outlineLvl w:val="1"/>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2019年“三公”经费财政拨款支出决算中，因公出国（境）费支出决算0万元，占0%；公务用车购置及运行维护费支出决算7.35万元，占96%；公务接待费支出决算0.3万元，占4%。具体情况如下：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w:t>
      </w:r>
      <w:r>
        <w:rPr>
          <w:rFonts w:hint="eastAsia" w:ascii="仿宋" w:hAnsi="仿宋" w:eastAsia="仿宋"/>
          <w:color w:val="000000"/>
          <w:sz w:val="32"/>
          <w:szCs w:val="32"/>
          <w:lang w:eastAsia="zh-CN"/>
        </w:rPr>
        <w:t>单位：万元</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639445</wp:posOffset>
            </wp:positionH>
            <wp:positionV relativeFrom="paragraph">
              <wp:posOffset>95250</wp:posOffset>
            </wp:positionV>
            <wp:extent cx="4057650" cy="2095500"/>
            <wp:effectExtent l="4445" t="4445" r="14605" b="14605"/>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lang w:eastAsia="zh-CN"/>
        </w:rPr>
        <w:t>无</w:t>
      </w:r>
      <w:r>
        <w:rPr>
          <w:rFonts w:hint="eastAsia" w:ascii="仿宋_GB2312" w:eastAsia="仿宋_GB2312"/>
          <w:b/>
          <w:color w:val="000000"/>
          <w:sz w:val="32"/>
          <w:szCs w:val="32"/>
        </w:rPr>
        <w:t>因公出国（境）经费支出</w:t>
      </w:r>
    </w:p>
    <w:p>
      <w:pPr>
        <w:spacing w:line="600" w:lineRule="exact"/>
        <w:ind w:firstLine="640"/>
        <w:rPr>
          <w:rFonts w:hint="eastAsia" w:ascii="仿宋_GB2312" w:hAnsi="Arial" w:eastAsia="仿宋_GB2312" w:cs="Times New Roman"/>
          <w:b w:val="0"/>
          <w:bCs w:val="0"/>
          <w:kern w:val="0"/>
          <w:sz w:val="32"/>
          <w:szCs w:val="32"/>
          <w:lang w:val="en-US" w:eastAsia="zh-CN" w:bidi="ar-SA"/>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hAnsi="Arial" w:eastAsia="仿宋_GB2312" w:cs="Times New Roman"/>
          <w:b w:val="0"/>
          <w:bCs w:val="0"/>
          <w:kern w:val="0"/>
          <w:sz w:val="32"/>
          <w:szCs w:val="32"/>
          <w:lang w:val="en-US" w:eastAsia="zh-CN" w:bidi="ar-SA"/>
        </w:rPr>
        <w:t>7.35万元,完成预算100%。公务用车购置及运行维护费支出决算比2018年减少3.18万元，下降30%。主要原因是公务用车维修减少。</w:t>
      </w:r>
    </w:p>
    <w:p>
      <w:pPr>
        <w:spacing w:line="600" w:lineRule="exact"/>
        <w:ind w:firstLine="640"/>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val="0"/>
          <w:bCs w:val="0"/>
          <w:kern w:val="0"/>
          <w:sz w:val="32"/>
          <w:szCs w:val="32"/>
          <w:lang w:val="en-US" w:eastAsia="zh-CN" w:bidi="ar-SA"/>
        </w:rPr>
        <w:t>其中：</w:t>
      </w:r>
      <w:r>
        <w:rPr>
          <w:rFonts w:hint="eastAsia" w:ascii="仿宋_GB2312" w:hAnsi="Arial" w:eastAsia="仿宋_GB2312" w:cs="Times New Roman"/>
          <w:b/>
          <w:bCs/>
          <w:kern w:val="0"/>
          <w:sz w:val="32"/>
          <w:szCs w:val="32"/>
          <w:lang w:val="en-US" w:eastAsia="zh-CN" w:bidi="ar-SA"/>
        </w:rPr>
        <w:t>公务用车购置支出</w:t>
      </w:r>
      <w:r>
        <w:rPr>
          <w:rFonts w:hint="eastAsia" w:ascii="仿宋_GB2312" w:hAnsi="Arial" w:eastAsia="仿宋_GB2312" w:cs="Times New Roman"/>
          <w:b w:val="0"/>
          <w:bCs w:val="0"/>
          <w:kern w:val="0"/>
          <w:sz w:val="32"/>
          <w:szCs w:val="32"/>
          <w:lang w:val="en-US" w:eastAsia="zh-CN" w:bidi="ar-SA"/>
        </w:rPr>
        <w:t>0万元。全年按规定更新购置公务用车0辆，金额0元。截至2019年12月底，单位共有公务用车2辆，其中：主要领导干部用车2辆、机要通信用车0辆、应急保障用车0辆、 执法执勤用车0辆。</w:t>
      </w:r>
    </w:p>
    <w:p>
      <w:pPr>
        <w:spacing w:line="600" w:lineRule="exact"/>
        <w:ind w:firstLine="640"/>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bCs/>
          <w:kern w:val="0"/>
          <w:sz w:val="32"/>
          <w:szCs w:val="32"/>
          <w:lang w:val="en-US" w:eastAsia="zh-CN" w:bidi="ar-SA"/>
        </w:rPr>
        <w:t>公务用车运行维护费支出</w:t>
      </w:r>
      <w:r>
        <w:rPr>
          <w:rFonts w:hint="eastAsia" w:ascii="仿宋_GB2312" w:hAnsi="Arial" w:eastAsia="仿宋_GB2312" w:cs="Times New Roman"/>
          <w:b w:val="0"/>
          <w:bCs w:val="0"/>
          <w:kern w:val="0"/>
          <w:sz w:val="32"/>
          <w:szCs w:val="32"/>
          <w:lang w:val="en-US" w:eastAsia="zh-CN" w:bidi="ar-SA"/>
        </w:rPr>
        <w:t>7.35万元。主要用于下乡、培训、出差等所需的公务用车燃料费、维修费、过路过桥费、保险费等支出。</w:t>
      </w:r>
    </w:p>
    <w:p>
      <w:pPr>
        <w:spacing w:line="600" w:lineRule="exact"/>
        <w:ind w:firstLine="640"/>
        <w:rPr>
          <w:rFonts w:hint="eastAsia" w:ascii="仿宋_GB2312" w:hAnsi="Arial" w:eastAsia="仿宋_GB2312" w:cs="Times New Roman"/>
          <w:b w:val="0"/>
          <w:bCs w:val="0"/>
          <w:kern w:val="0"/>
          <w:sz w:val="32"/>
          <w:szCs w:val="32"/>
          <w:lang w:val="en-US" w:eastAsia="zh-CN" w:bidi="ar-SA"/>
        </w:rPr>
      </w:pPr>
      <w:r>
        <w:rPr>
          <w:rFonts w:hint="eastAsia" w:ascii="仿宋_GB2312" w:hAnsi="Arial" w:eastAsia="仿宋_GB2312" w:cs="Times New Roman"/>
          <w:b/>
          <w:bCs/>
          <w:kern w:val="0"/>
          <w:sz w:val="32"/>
          <w:szCs w:val="32"/>
          <w:lang w:val="en-US" w:eastAsia="zh-CN" w:bidi="ar-SA"/>
        </w:rPr>
        <w:t>3.公务接待费支出0.3</w:t>
      </w:r>
      <w:r>
        <w:rPr>
          <w:rFonts w:hint="eastAsia" w:ascii="仿宋_GB2312" w:hAnsi="Arial" w:eastAsia="仿宋_GB2312" w:cs="Times New Roman"/>
          <w:b w:val="0"/>
          <w:bCs w:val="0"/>
          <w:kern w:val="0"/>
          <w:sz w:val="32"/>
          <w:szCs w:val="32"/>
          <w:lang w:val="en-US" w:eastAsia="zh-CN" w:bidi="ar-SA"/>
        </w:rPr>
        <w:t>万元，完成预算100%。公务接待费支出决算比2018年减少0.07万元，下降19%。主要原因是业务活动开支减少。</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0.3</w:t>
      </w:r>
      <w:r>
        <w:rPr>
          <w:rFonts w:hint="eastAsia" w:ascii="仿宋_GB2312" w:eastAsia="仿宋_GB2312"/>
          <w:color w:val="000000"/>
          <w:sz w:val="32"/>
          <w:szCs w:val="32"/>
        </w:rPr>
        <w:t>万元，主要用于执行公务、开展业务活动开支的交通费、住宿费、用餐费等。</w:t>
      </w:r>
      <w:r>
        <w:rPr>
          <w:rFonts w:hint="eastAsia" w:ascii="仿宋_GB2312" w:eastAsia="仿宋_GB2312"/>
          <w:sz w:val="32"/>
          <w:szCs w:val="32"/>
        </w:rPr>
        <w:t>国内公务接待1批次，</w:t>
      </w:r>
      <w:r>
        <w:rPr>
          <w:rFonts w:hint="eastAsia" w:ascii="仿宋_GB2312" w:eastAsia="仿宋_GB2312"/>
          <w:sz w:val="32"/>
          <w:szCs w:val="32"/>
          <w:lang w:val="en-US" w:eastAsia="zh-CN"/>
        </w:rPr>
        <w:t>2</w:t>
      </w:r>
      <w:r>
        <w:rPr>
          <w:rFonts w:hint="eastAsia" w:ascii="仿宋_GB2312" w:eastAsia="仿宋_GB2312"/>
          <w:sz w:val="32"/>
          <w:szCs w:val="32"/>
        </w:rPr>
        <w:t>人次（不包括陪同人员），共计支出0.3万元，具体内容是：</w:t>
      </w:r>
      <w:r>
        <w:rPr>
          <w:rFonts w:hint="eastAsia" w:ascii="仿宋_GB2312" w:eastAsia="仿宋_GB2312"/>
          <w:sz w:val="32"/>
          <w:szCs w:val="32"/>
          <w:lang w:eastAsia="zh-CN"/>
        </w:rPr>
        <w:t>邀请专家进行文旅宣传营销专题讲座培训会</w:t>
      </w:r>
      <w:r>
        <w:rPr>
          <w:rFonts w:hint="eastAsia" w:ascii="仿宋_GB2312" w:eastAsia="仿宋_GB2312"/>
          <w:color w:val="000000"/>
          <w:sz w:val="32"/>
          <w:szCs w:val="32"/>
        </w:rPr>
        <w:t>。</w:t>
      </w:r>
    </w:p>
    <w:p>
      <w:pPr>
        <w:spacing w:line="600" w:lineRule="exact"/>
        <w:rPr>
          <w:rFonts w:ascii="黑体" w:eastAsia="黑体"/>
          <w:color w:val="000000"/>
          <w:sz w:val="32"/>
          <w:szCs w:val="32"/>
        </w:rPr>
      </w:pPr>
      <w:bookmarkStart w:id="50" w:name="_Toc15377218"/>
      <w:bookmarkStart w:id="51"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50"/>
      <w:bookmarkEnd w:id="51"/>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2019年政府性基金预算拨款支出</w:t>
      </w:r>
      <w:r>
        <w:rPr>
          <w:rFonts w:hint="eastAsia" w:ascii="仿宋_GB2312" w:eastAsia="仿宋_GB2312"/>
          <w:color w:val="000000"/>
          <w:sz w:val="32"/>
          <w:szCs w:val="32"/>
          <w:lang w:val="en-US" w:eastAsia="zh-CN"/>
        </w:rPr>
        <w:t>8.32</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7"/>
          <w:rFonts w:ascii="黑体" w:hAnsi="黑体" w:eastAsia="黑体"/>
          <w:b w:val="0"/>
        </w:rPr>
      </w:pPr>
      <w:bookmarkStart w:id="52" w:name="_Toc15377219"/>
      <w:bookmarkStart w:id="53" w:name="_Toc15396611"/>
      <w:r>
        <w:rPr>
          <w:rStyle w:val="27"/>
          <w:rFonts w:hint="eastAsia" w:ascii="黑体" w:hAnsi="黑体" w:eastAsia="黑体"/>
          <w:b w:val="0"/>
        </w:rPr>
        <w:t>国有资本经营预算支出决算情况说明</w:t>
      </w:r>
      <w:bookmarkEnd w:id="52"/>
      <w:bookmarkEnd w:id="53"/>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2019年，</w:t>
      </w:r>
      <w:r>
        <w:rPr>
          <w:rFonts w:hint="eastAsia" w:ascii="仿宋_GB2312" w:eastAsia="仿宋_GB2312"/>
          <w:color w:val="000000"/>
          <w:sz w:val="32"/>
          <w:szCs w:val="32"/>
          <w:lang w:eastAsia="zh-CN"/>
        </w:rPr>
        <w:t>壤塘县文体旅游局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51.89</w:t>
      </w:r>
      <w:r>
        <w:rPr>
          <w:rFonts w:hint="eastAsia" w:ascii="仿宋_GB2312" w:eastAsia="仿宋_GB2312"/>
          <w:color w:val="000000"/>
          <w:sz w:val="32"/>
          <w:szCs w:val="32"/>
        </w:rPr>
        <w:t>万元，比2018年减少</w:t>
      </w:r>
      <w:r>
        <w:rPr>
          <w:rFonts w:hint="eastAsia" w:ascii="仿宋_GB2312" w:eastAsia="仿宋_GB2312"/>
          <w:color w:val="000000"/>
          <w:sz w:val="32"/>
          <w:szCs w:val="32"/>
          <w:lang w:val="en-US" w:eastAsia="zh-CN"/>
        </w:rPr>
        <w:t>600.85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%。主要原因是2018年文化宣传和体育活动</w:t>
      </w:r>
      <w:r>
        <w:rPr>
          <w:rFonts w:hint="eastAsia" w:ascii="仿宋_GB2312" w:eastAsia="仿宋_GB2312"/>
          <w:color w:val="000000"/>
          <w:sz w:val="32"/>
          <w:szCs w:val="32"/>
          <w:lang w:eastAsia="zh-CN"/>
        </w:rPr>
        <w:t>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2019年，</w:t>
      </w:r>
      <w:r>
        <w:rPr>
          <w:rFonts w:hint="eastAsia" w:ascii="仿宋_GB2312" w:eastAsia="仿宋_GB2312"/>
          <w:color w:val="000000"/>
          <w:sz w:val="32"/>
          <w:szCs w:val="32"/>
          <w:lang w:eastAsia="zh-CN"/>
        </w:rPr>
        <w:t>壤塘县文体旅游局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壤塘县文化体育和旅游局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公务</w:t>
      </w:r>
      <w:r>
        <w:rPr>
          <w:rFonts w:hint="eastAsia" w:ascii="仿宋_GB2312" w:eastAsia="仿宋_GB2312"/>
          <w:color w:val="000000"/>
          <w:sz w:val="32"/>
          <w:szCs w:val="32"/>
        </w:rPr>
        <w:t>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发放图书文艺演出等。</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根据预算绩效管理要求，本部门（单位）在年初预算编制阶段，组织对</w:t>
      </w:r>
      <w:r>
        <w:rPr>
          <w:rFonts w:hint="eastAsia" w:ascii="仿宋_GB2312" w:eastAsia="仿宋_GB2312"/>
          <w:color w:val="000000"/>
          <w:sz w:val="32"/>
          <w:szCs w:val="32"/>
          <w:lang w:val="en-US" w:eastAsia="zh-CN"/>
        </w:rPr>
        <w:t>5个</w:t>
      </w:r>
      <w:r>
        <w:rPr>
          <w:rFonts w:hint="eastAsia" w:ascii="仿宋_GB2312" w:eastAsia="仿宋_GB2312"/>
          <w:color w:val="000000"/>
          <w:sz w:val="32"/>
          <w:szCs w:val="32"/>
        </w:rPr>
        <w:t>项目开展了预算事前绩效评估，对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个项目编制了绩效目标，预算执行过程中，选取</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个项目开展绩效监控，年终执行完毕后，对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个项目开展了绩效目标完成情况自评。</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本部门按要求对2019年部门整体支出开展绩效自评，从评价情况来看</w:t>
      </w:r>
      <w:r>
        <w:rPr>
          <w:rFonts w:hint="eastAsia" w:ascii="仿宋_GB2312" w:eastAsia="仿宋_GB2312"/>
          <w:color w:val="000000"/>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年本年支出合计</w:t>
      </w:r>
      <w:r>
        <w:rPr>
          <w:rFonts w:hint="eastAsia" w:ascii="仿宋_GB2312" w:eastAsia="仿宋_GB2312"/>
          <w:color w:val="000000"/>
          <w:sz w:val="32"/>
          <w:szCs w:val="32"/>
          <w:lang w:val="en-US" w:eastAsia="zh-CN"/>
        </w:rPr>
        <w:t>3552.19</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714.53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20.12</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2837.66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79.88</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1.项目绩效目标完成情况。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本部门在2019年度部门决算中反映“</w:t>
      </w:r>
      <w:r>
        <w:rPr>
          <w:rFonts w:hint="eastAsia" w:ascii="仿宋_GB2312" w:eastAsia="仿宋_GB2312"/>
          <w:color w:val="000000"/>
          <w:sz w:val="32"/>
          <w:szCs w:val="32"/>
          <w:lang w:eastAsia="zh-CN"/>
        </w:rPr>
        <w:t>两馆一站</w:t>
      </w:r>
      <w:r>
        <w:rPr>
          <w:rFonts w:hint="eastAsia" w:ascii="仿宋_GB2312" w:eastAsia="仿宋_GB2312"/>
          <w:color w:val="000000"/>
          <w:sz w:val="32"/>
          <w:szCs w:val="32"/>
        </w:rPr>
        <w:t>””</w:t>
      </w:r>
      <w:r>
        <w:rPr>
          <w:rFonts w:hint="eastAsia" w:ascii="仿宋_GB2312" w:eastAsia="仿宋_GB2312"/>
          <w:color w:val="000000"/>
          <w:sz w:val="32"/>
          <w:szCs w:val="32"/>
          <w:lang w:eastAsia="zh-CN"/>
        </w:rPr>
        <w:t>户户通</w:t>
      </w:r>
      <w:r>
        <w:rPr>
          <w:rFonts w:hint="eastAsia" w:ascii="仿宋_GB2312" w:eastAsia="仿宋_GB2312"/>
          <w:color w:val="000000"/>
          <w:sz w:val="32"/>
          <w:szCs w:val="32"/>
        </w:rPr>
        <w:t>”“</w:t>
      </w:r>
      <w:r>
        <w:rPr>
          <w:rFonts w:hint="eastAsia" w:ascii="仿宋_GB2312" w:eastAsia="仿宋_GB2312"/>
          <w:color w:val="000000"/>
          <w:sz w:val="32"/>
          <w:szCs w:val="32"/>
          <w:lang w:eastAsia="zh-CN"/>
        </w:rPr>
        <w:t>文化惠民扶贫</w:t>
      </w:r>
      <w:r>
        <w:rPr>
          <w:rFonts w:hint="eastAsia" w:ascii="仿宋_GB2312" w:eastAsia="仿宋_GB2312"/>
          <w:color w:val="000000"/>
          <w:sz w:val="32"/>
          <w:szCs w:val="32"/>
        </w:rPr>
        <w:t>”</w:t>
      </w:r>
      <w:r>
        <w:rPr>
          <w:rFonts w:hint="eastAsia" w:ascii="仿宋_GB2312" w:eastAsia="仿宋_GB2312"/>
          <w:color w:val="000000"/>
          <w:sz w:val="32"/>
          <w:szCs w:val="32"/>
          <w:lang w:eastAsia="zh-CN"/>
        </w:rPr>
        <w:t>“送戏下乡”“农家书屋”“村级文化活动室建设”</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两馆一站</w:t>
      </w:r>
      <w:r>
        <w:rPr>
          <w:rFonts w:hint="eastAsia" w:ascii="仿宋_GB2312" w:eastAsia="仿宋_GB2312"/>
          <w:color w:val="000000"/>
          <w:sz w:val="32"/>
          <w:szCs w:val="32"/>
        </w:rPr>
        <w:t>项目绩效目标完成情况综述。项目全年预算数</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%。通过项目实施，保障</w:t>
      </w:r>
      <w:r>
        <w:rPr>
          <w:rFonts w:hint="eastAsia" w:ascii="仿宋_GB2312" w:eastAsia="仿宋_GB2312"/>
          <w:color w:val="000000"/>
          <w:sz w:val="32"/>
          <w:szCs w:val="32"/>
          <w:lang w:eastAsia="zh-CN"/>
        </w:rPr>
        <w:t>公共文化服务均等化</w:t>
      </w:r>
      <w:r>
        <w:rPr>
          <w:rFonts w:hint="eastAsia" w:ascii="仿宋_GB2312" w:eastAsia="仿宋_GB2312"/>
          <w:color w:val="000000"/>
          <w:sz w:val="32"/>
          <w:szCs w:val="32"/>
        </w:rPr>
        <w:t>了</w:t>
      </w:r>
      <w:r>
        <w:rPr>
          <w:rFonts w:hint="eastAsia" w:ascii="仿宋_GB2312" w:eastAsia="仿宋_GB2312"/>
          <w:color w:val="000000"/>
          <w:sz w:val="32"/>
          <w:szCs w:val="32"/>
          <w:lang w:eastAsia="zh-CN"/>
        </w:rPr>
        <w:t>和保障人民群众基本文化权益，提升了群众文化幸福感</w:t>
      </w:r>
      <w:r>
        <w:rPr>
          <w:rFonts w:hint="eastAsia" w:ascii="仿宋_GB2312" w:eastAsia="仿宋_GB2312"/>
          <w:color w:val="000000"/>
          <w:sz w:val="32"/>
          <w:szCs w:val="32"/>
        </w:rPr>
        <w:t>，发现的主要问题：</w:t>
      </w:r>
      <w:r>
        <w:rPr>
          <w:rFonts w:hint="eastAsia" w:ascii="仿宋_GB2312" w:eastAsia="仿宋_GB2312"/>
          <w:color w:val="000000"/>
          <w:sz w:val="32"/>
          <w:szCs w:val="32"/>
          <w:lang w:eastAsia="zh-CN"/>
        </w:rPr>
        <w:t>两馆一站免费开放覆盖人数没有达到预定目标，书籍用品缺少</w:t>
      </w:r>
      <w:r>
        <w:rPr>
          <w:rFonts w:hint="eastAsia" w:ascii="仿宋_GB2312" w:eastAsia="仿宋_GB2312"/>
          <w:color w:val="000000"/>
          <w:sz w:val="32"/>
          <w:szCs w:val="32"/>
        </w:rPr>
        <w:t>。下一步改进措施：</w:t>
      </w:r>
      <w:r>
        <w:rPr>
          <w:rFonts w:hint="eastAsia" w:ascii="仿宋_GB2312" w:eastAsia="仿宋_GB2312"/>
          <w:color w:val="000000"/>
          <w:sz w:val="32"/>
          <w:szCs w:val="32"/>
          <w:lang w:eastAsia="zh-CN"/>
        </w:rPr>
        <w:t>加大对工作人员的培训，补充所缺书籍用品，推动“两馆一站”工作的积极开展。</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户户通</w:t>
      </w:r>
      <w:r>
        <w:rPr>
          <w:rFonts w:hint="eastAsia" w:ascii="仿宋_GB2312" w:eastAsia="仿宋_GB2312"/>
          <w:color w:val="000000"/>
          <w:sz w:val="32"/>
          <w:szCs w:val="32"/>
        </w:rPr>
        <w:t>项目绩效目标完成情况综述。项目全年预算数</w:t>
      </w:r>
      <w:r>
        <w:rPr>
          <w:rFonts w:hint="eastAsia" w:ascii="仿宋_GB2312" w:eastAsia="仿宋_GB2312"/>
          <w:color w:val="000000"/>
          <w:sz w:val="32"/>
          <w:szCs w:val="32"/>
          <w:lang w:val="en-US" w:eastAsia="zh-CN"/>
        </w:rPr>
        <w:t>12.27</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12.27</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%。通过项目实施，保障</w:t>
      </w:r>
      <w:r>
        <w:rPr>
          <w:rFonts w:hint="eastAsia" w:ascii="仿宋_GB2312" w:eastAsia="仿宋_GB2312"/>
          <w:color w:val="000000"/>
          <w:sz w:val="32"/>
          <w:szCs w:val="32"/>
          <w:lang w:eastAsia="zh-CN"/>
        </w:rPr>
        <w:t>广播电视接收设施基本服务水平，提高了广播电视接收设施综合人口覆盖率</w:t>
      </w:r>
      <w:r>
        <w:rPr>
          <w:rFonts w:hint="eastAsia" w:ascii="仿宋_GB2312" w:eastAsia="仿宋_GB2312"/>
          <w:color w:val="000000"/>
          <w:sz w:val="32"/>
          <w:szCs w:val="32"/>
        </w:rPr>
        <w:t>，发现的主要问题：</w:t>
      </w:r>
      <w:r>
        <w:rPr>
          <w:rFonts w:hint="eastAsia" w:ascii="仿宋_GB2312" w:eastAsia="仿宋_GB2312"/>
          <w:color w:val="000000"/>
          <w:sz w:val="32"/>
          <w:szCs w:val="32"/>
          <w:lang w:eastAsia="zh-CN"/>
        </w:rPr>
        <w:t>广播电视接收设施综合人口覆盖不全面</w:t>
      </w:r>
      <w:r>
        <w:rPr>
          <w:rFonts w:hint="eastAsia" w:ascii="仿宋_GB2312" w:eastAsia="仿宋_GB2312"/>
          <w:color w:val="000000"/>
          <w:sz w:val="32"/>
          <w:szCs w:val="32"/>
        </w:rPr>
        <w:t>。下一步改进措施：</w:t>
      </w:r>
      <w:r>
        <w:rPr>
          <w:rFonts w:hint="eastAsia" w:ascii="仿宋_GB2312" w:eastAsia="仿宋_GB2312"/>
          <w:color w:val="000000"/>
          <w:sz w:val="32"/>
          <w:szCs w:val="32"/>
          <w:lang w:eastAsia="zh-CN"/>
        </w:rPr>
        <w:t>加大广播电视接收设施建设的投入。</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送戏下乡</w:t>
      </w:r>
      <w:r>
        <w:rPr>
          <w:rFonts w:hint="eastAsia" w:ascii="仿宋_GB2312" w:eastAsia="仿宋_GB2312"/>
          <w:color w:val="000000"/>
          <w:sz w:val="32"/>
          <w:szCs w:val="32"/>
        </w:rPr>
        <w:t>项目绩效目标完成情况综述。项目全年预算数</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%。通过项目实施，</w:t>
      </w:r>
      <w:r>
        <w:rPr>
          <w:rFonts w:hint="eastAsia" w:ascii="仿宋_GB2312" w:eastAsia="仿宋_GB2312"/>
          <w:color w:val="000000"/>
          <w:sz w:val="32"/>
          <w:szCs w:val="32"/>
          <w:lang w:eastAsia="zh-CN"/>
        </w:rPr>
        <w:t>保障公共文化服务均等化和人民群众的基本权益。</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）农民健身工程项目绩效目标完成情况综述。项目全年预算数</w:t>
      </w:r>
      <w:r>
        <w:rPr>
          <w:rFonts w:hint="eastAsia" w:ascii="仿宋_GB2312" w:hAnsi="仿宋_GB2312" w:eastAsia="仿宋_GB2312" w:cs="仿宋_GB2312"/>
          <w:sz w:val="32"/>
          <w:szCs w:val="32"/>
          <w:lang w:val="en-US" w:eastAsia="zh-CN"/>
        </w:rPr>
        <w:t>20万，执行数20万元，完成预算的100%。通过项目实施，保障了广大人民群众的基本权益，满足了广大人民群众的体育健身的基本诉求。发现的主要问题：设施不齐全。下一步改进措施：加大建设器材的采买和安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（5）村级文化活动室建设项目目标完成情况综述。项目全年预算数80万，执行数50万，完成预算的63%。通过项目的实施，满足艺术普及与群众文化活动需要。</w:t>
      </w: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两馆一站</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壤塘县文化体育和旅游局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除节假日全天对外开放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除节假日全天对外开放，因两馆场所主体房屋房檐垮塌，进行了抢险排危，为保障群众的人身安全，期间暂停了对外开放。</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两馆一站免费开放17885小时</w:t>
            </w:r>
            <w:r>
              <w:rPr>
                <w:rFonts w:hint="eastAsia" w:ascii="宋体" w:hAnsi="宋体" w:eastAsia="宋体" w:cs="宋体"/>
                <w:color w:val="000000"/>
                <w:sz w:val="24"/>
                <w:lang w:eastAsia="zh-CN"/>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≥17885小时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≥15105小时</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两馆一站免费开放覆盖人数20000人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≥15000人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补充图书馆书籍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≥400册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≥400册</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补充乡镇文化站各类所缺用品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≥12乡镇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≥12乡镇</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两馆及乡镇文化站活动免费开放率（≥95%）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任务完成及时率（≥95%）</w:t>
            </w:r>
            <w:r>
              <w:rPr>
                <w:rFonts w:hint="eastAsia" w:ascii="宋体" w:hAnsi="宋体" w:cs="宋体"/>
                <w:color w:val="000000"/>
                <w:sz w:val="24"/>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可持续指标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提升群众文化幸福感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户户通</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壤塘县文体旅游局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12.1</w:t>
            </w:r>
            <w:r>
              <w:rPr>
                <w:rFonts w:hint="eastAsia" w:ascii="宋体" w:hAnsi="宋体" w:cs="宋体"/>
                <w:color w:val="000000"/>
                <w:sz w:val="24"/>
                <w:lang w:val="en-US" w:eastAsia="zh-CN"/>
              </w:rPr>
              <w:t>1</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12.11</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目标：覆盖11个乡镇，安装409套户户通设备。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覆盖11个乡镇，安装409套户户通设备。</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安装户户通设备 409 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≥409套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409套</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覆盖 6个贫困村5个非贫困村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11村</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接收53套节目频道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≥53套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53套</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任务完成及时率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切实保障人民群众基本文化权益，让农牧民群众都能看上电视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可持续影响指标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基本公共文化服务水平稳步提升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群众对基本公共文化服务的满意度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送戏下乡</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壤塘县文体旅游局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zh-CN" w:eastAsia="zh-CN"/>
              </w:rPr>
              <w:t>推送到了</w:t>
            </w:r>
            <w:r>
              <w:rPr>
                <w:rFonts w:hint="eastAsia" w:ascii="宋体" w:hAnsi="宋体" w:cs="宋体"/>
                <w:color w:val="000000"/>
                <w:sz w:val="24"/>
                <w:lang w:val="en-US" w:eastAsia="zh-CN"/>
              </w:rPr>
              <w:t>12个乡镇，并走乡入户到贫困户，将节目包村到户。</w:t>
            </w:r>
            <w:r>
              <w:rPr>
                <w:rFonts w:hint="eastAsia" w:ascii="宋体" w:hAnsi="宋体" w:cs="宋体"/>
                <w:color w:val="000000"/>
                <w:sz w:val="24"/>
                <w:lang w:val="zh-CN" w:eastAsia="zh-CN"/>
              </w:rPr>
              <w:t>全年在各乡镇村落安排</w:t>
            </w:r>
            <w:r>
              <w:rPr>
                <w:rFonts w:hint="eastAsia" w:ascii="宋体" w:hAnsi="宋体" w:cs="宋体"/>
                <w:color w:val="000000"/>
                <w:sz w:val="24"/>
                <w:lang w:val="en-US" w:eastAsia="zh-CN"/>
              </w:rPr>
              <w:t>19场演出，以分流的形式进行送戏下乡活动。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zh-CN" w:eastAsia="zh-CN"/>
              </w:rPr>
              <w:t>项目计划与资金计划，存在相对脱节，没能准确的实施项目。</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zh-CN" w:eastAsia="zh-CN"/>
              </w:rPr>
              <w:t>推送到了</w:t>
            </w:r>
            <w:r>
              <w:rPr>
                <w:rFonts w:hint="eastAsia" w:ascii="宋体" w:hAnsi="宋体" w:cs="宋体"/>
                <w:color w:val="000000"/>
                <w:sz w:val="24"/>
                <w:lang w:val="en-US" w:eastAsia="zh-CN"/>
              </w:rPr>
              <w:t>12个乡镇，并走乡入户到贫困户，将节目包村到户。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村</w:t>
            </w:r>
            <w:r>
              <w:rPr>
                <w:rFonts w:hint="eastAsia" w:ascii="宋体" w:hAnsi="宋体" w:cs="宋体"/>
                <w:color w:val="000000"/>
                <w:sz w:val="24"/>
                <w:lang w:eastAsia="zh-CN"/>
              </w:rPr>
              <w:t>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12村镇</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zh-CN" w:eastAsia="zh-CN"/>
              </w:rPr>
              <w:t>全年在各乡镇村落安排</w:t>
            </w:r>
            <w:r>
              <w:rPr>
                <w:rFonts w:hint="eastAsia" w:ascii="宋体" w:hAnsi="宋体" w:cs="宋体"/>
                <w:color w:val="000000"/>
                <w:sz w:val="24"/>
                <w:lang w:val="en-US" w:eastAsia="zh-CN"/>
              </w:rPr>
              <w:t>19场演出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＝19场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任务完成及时率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未完成</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农民健身工程</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壤塘县文体旅游局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实施村级农民体育健身工程18个</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农民健身工程数量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≥18个村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≥18个村</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p>
            <w:pPr>
              <w:widowControl/>
              <w:jc w:val="center"/>
              <w:textAlignment w:val="center"/>
              <w:rPr>
                <w:rFonts w:ascii="宋体" w:hAnsi="宋体" w:cs="宋体"/>
                <w:color w:val="000000"/>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健身器材综合人口覆盖率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w:t>
            </w:r>
          </w:p>
          <w:p>
            <w:pPr>
              <w:widowControl/>
              <w:jc w:val="center"/>
              <w:textAlignment w:val="center"/>
              <w:rPr>
                <w:rFonts w:ascii="宋体" w:hAnsi="宋体" w:cs="宋体"/>
                <w:color w:val="000000"/>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贫困地区群众对基本公共文化服务的满意度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rPr>
              <w:t>≥95%</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村级文化活动室建设</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壤塘县文体旅游局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完善1</w:t>
            </w:r>
            <w:r>
              <w:rPr>
                <w:rFonts w:hint="eastAsia" w:ascii="宋体" w:hAnsi="宋体" w:cs="宋体"/>
                <w:color w:val="000000"/>
                <w:kern w:val="0"/>
                <w:sz w:val="24"/>
                <w:lang w:val="en-US" w:eastAsia="zh-CN"/>
              </w:rPr>
              <w:t>8</w:t>
            </w:r>
            <w:r>
              <w:rPr>
                <w:rFonts w:hint="eastAsia" w:ascii="宋体" w:hAnsi="宋体" w:cs="宋体"/>
                <w:color w:val="000000"/>
                <w:kern w:val="0"/>
                <w:sz w:val="24"/>
              </w:rPr>
              <w:t>个贫困村、6个非贫困村村文化活动室基础配套设施建设，加快推进贫困村文化活动室标准化建设，统一标识，健全制度，满足艺术普及与群众文化活动需要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80" w:firstLineChars="200"/>
              <w:rPr>
                <w:rFonts w:ascii="仿宋" w:hAnsi="仿宋" w:eastAsia="仿宋" w:cs="仿宋"/>
                <w:sz w:val="24"/>
              </w:rPr>
            </w:pPr>
            <w:r>
              <w:rPr>
                <w:rFonts w:hint="eastAsia" w:ascii="宋体" w:hAnsi="宋体" w:cs="宋体"/>
                <w:color w:val="000000"/>
                <w:kern w:val="0"/>
                <w:sz w:val="24"/>
              </w:rPr>
              <w:t>按照达标验收标准，2</w:t>
            </w:r>
            <w:r>
              <w:rPr>
                <w:rFonts w:hint="eastAsia" w:ascii="宋体" w:hAnsi="宋体" w:cs="宋体"/>
                <w:color w:val="000000"/>
                <w:kern w:val="0"/>
                <w:sz w:val="24"/>
                <w:lang w:eastAsia="zh-CN"/>
              </w:rPr>
              <w:t>截止</w:t>
            </w:r>
            <w:r>
              <w:rPr>
                <w:rFonts w:hint="eastAsia" w:ascii="宋体" w:hAnsi="宋体" w:cs="宋体"/>
                <w:color w:val="000000"/>
                <w:kern w:val="0"/>
                <w:sz w:val="24"/>
              </w:rPr>
              <w:t>01</w:t>
            </w:r>
            <w:r>
              <w:rPr>
                <w:rFonts w:hint="eastAsia" w:ascii="宋体" w:hAnsi="宋体" w:cs="宋体"/>
                <w:color w:val="000000"/>
                <w:kern w:val="0"/>
                <w:sz w:val="24"/>
                <w:lang w:val="en-US" w:eastAsia="zh-CN"/>
              </w:rPr>
              <w:t>9</w:t>
            </w:r>
            <w:r>
              <w:rPr>
                <w:rFonts w:hint="eastAsia" w:ascii="宋体" w:hAnsi="宋体" w:cs="宋体"/>
                <w:color w:val="000000"/>
                <w:kern w:val="0"/>
                <w:sz w:val="24"/>
              </w:rPr>
              <w:t>年</w:t>
            </w:r>
            <w:r>
              <w:rPr>
                <w:rFonts w:hint="eastAsia" w:ascii="宋体" w:hAnsi="宋体" w:cs="宋体"/>
                <w:color w:val="000000"/>
                <w:kern w:val="0"/>
                <w:sz w:val="24"/>
                <w:lang w:val="en-US" w:eastAsia="zh-CN"/>
              </w:rPr>
              <w:t>12</w:t>
            </w:r>
            <w:r>
              <w:rPr>
                <w:rFonts w:hint="eastAsia" w:ascii="宋体" w:hAnsi="宋体" w:cs="宋体"/>
                <w:color w:val="000000"/>
                <w:kern w:val="0"/>
                <w:sz w:val="24"/>
              </w:rPr>
              <w:t>月已完善18个贫困村、6个非贫困村村文化活动室基础配套设施建设，统一标识，健全制度，满足艺术普及与群众文化活动需要，，该项目在计划内完成保质保量完成项目验收合格率达100%，文化活动室器材配备率达100%，接待人次达2万人以上，让贫困地区人民共享文化成果，同时达到了可持续性影响，让更多群众了解传承优秀文化、本土文化、民族文化。村级文化活动室建设项目包括会议音箱48只、多功能调音台24台、会议功放24台、会议话筒24支高清DVD播放器24台、液晶电视机24台、智能广播系统24套、广播功放24台、高音喇叭48支、广播话筒24支、集成机柜24个、数码相机24台、台式电脑24台、黑白激光打印机24台、稳压电源24台、阅览室书架24组、定制图书24批、体育用品24批、音乐器材24批、宣传牌24个。</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贫困村文体活动器材购置数量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≥24台套 村级文化活动室建设项目包括会议音箱48只、多功能调音台24台、会议功放24台、会议话筒24支高清DVD播放器24台、液晶电视机24台、智能广播系统24套、广播功放24台、高音喇叭48支、广播话筒24支、集成机柜24个、数码相机24台、台式电脑24台、黑白激光打印机24台、稳压电源24台、阅览室书架24组、定制图书24批、体育用品24批、音乐器材24批、宣传牌24个。</w:t>
            </w:r>
          </w:p>
          <w:p>
            <w:pPr>
              <w:widowControl/>
              <w:jc w:val="center"/>
              <w:textAlignment w:val="center"/>
              <w:rPr>
                <w:rFonts w:ascii="宋体" w:hAnsi="宋体" w:cs="宋体"/>
                <w:color w:val="000000"/>
                <w:sz w:val="24"/>
              </w:rPr>
            </w:pPr>
            <w:r>
              <w:rPr>
                <w:rFonts w:hint="eastAsia" w:ascii="宋体" w:hAnsi="宋体" w:cs="宋体"/>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≥24台套 村级文化活动室建设项目包括会议音箱48只、多功能调音台24台、会议功放24台、会议话筒24支高清DVD播放器24台、液晶电视机24台、智能广播系统24套、广播功放24台、高音喇叭48支、广播话筒24支、集成机柜24个、数码相机24台、台式电脑24台、黑白激光打印机24台、稳压电源24台、阅览室书架24组、定制图书24批、体育用品24批、音乐器材24批、宣传牌24个。</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 该项目在计划内完成保质保量完成项目验收合格率达100%，文化活动室器材配备率达100%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≥100% 该项目在计划内完成保质保量完成项目验收合格率达100%，文化活动室器材配备率达100%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文体活动室接待人数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接待人次达2万人以上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接待人次达2万人以上</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w:t>
            </w:r>
          </w:p>
          <w:p>
            <w:pPr>
              <w:widowControl/>
              <w:jc w:val="center"/>
              <w:textAlignment w:val="center"/>
              <w:rPr>
                <w:rFonts w:ascii="宋体" w:hAnsi="宋体" w:cs="宋体"/>
                <w:color w:val="000000"/>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 xml:space="preserve"> ≥92% 让贫困地区人民共享文化成果，同时达到了可持续性影响，让更多群众了解传承优秀文化、本土文化、民族文化。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≥92% 让贫困地区人民共享文化成果，同时达到了可持续性影响，让更多群众了解传承优秀文化、本土文化、民族文化。</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壤塘县文体旅游局</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送戏下乡</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两馆一站</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送戏下乡</w:t>
      </w:r>
      <w:r>
        <w:rPr>
          <w:rFonts w:hint="eastAsia" w:ascii="仿宋_GB2312" w:hAnsi="仿宋_GB2312" w:eastAsia="仿宋_GB2312" w:cs="仿宋_GB2312"/>
          <w:sz w:val="32"/>
          <w:szCs w:val="32"/>
        </w:rPr>
        <w:t>项目2019年绩效评价报告》见附件（附件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两馆一站</w:t>
      </w:r>
      <w:r>
        <w:rPr>
          <w:rFonts w:hint="eastAsia" w:ascii="仿宋_GB2312" w:hAnsi="仿宋_GB2312" w:eastAsia="仿宋_GB2312" w:cs="仿宋_GB2312"/>
          <w:sz w:val="32"/>
          <w:szCs w:val="32"/>
        </w:rPr>
        <w:t>项目2019年绩效评价报告》见附件（附件2）。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6"/>
          <w:rFonts w:ascii="黑体" w:hAnsi="黑体" w:eastAsia="黑体"/>
          <w:b w:val="0"/>
        </w:rPr>
      </w:pPr>
      <w:bookmarkStart w:id="59" w:name="_Toc15396613"/>
      <w:bookmarkStart w:id="60"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9.一般公共服务（类）民族事务（款） 其他民族事务支出（项）：指用于民族事务方面的支出。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文化体育与传媒（类）文化（款）群众文化（项）：指：反映群众文化方面的支出，包括基层文化馆（站），群众艺术馆支出等。</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社会保障和就业（类）行政事业单位离退休（款）机关事业单位职业年金缴费支出（项）：指事业单位实施养老保险制度由单位实际缴纳的职业年金支出。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农林水（类）扶贫（款） 农村基础设施建设（项）：指反映农村贫困地区乡村道路、住房、水利设施等生产生活条件改善方面的支出。。</w:t>
      </w:r>
    </w:p>
    <w:p>
      <w:pPr>
        <w:ind w:firstLine="640" w:firstLineChars="200"/>
        <w:rPr>
          <w:rFonts w:ascii="仿宋" w:hAnsi="仿宋" w:eastAsia="仿宋"/>
          <w:b/>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住房保障（类）住房改革支出（款）住房公积金（项）：指反映行政事业单位按人力资源和社会保障部、财政部规定的基本工资和津贴补贴以及规定比例为职工缴纳的住房公积金  。</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 w:hAnsi="仿宋" w:eastAsia="仿宋"/>
          <w:b/>
          <w:color w:val="000000"/>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t>。</w:t>
      </w:r>
    </w:p>
    <w:p>
      <w:pPr>
        <w:spacing w:line="600" w:lineRule="exact"/>
        <w:jc w:val="center"/>
        <w:outlineLvl w:val="0"/>
        <w:rPr>
          <w:rStyle w:val="26"/>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壤塘县文体旅游局</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spacing w:line="600" w:lineRule="exact"/>
        <w:jc w:val="center"/>
        <w:rPr>
          <w:rFonts w:hint="eastAsia" w:ascii="方正小标宋简体" w:hAnsi="宋体" w:eastAsia="方正小标宋简体"/>
          <w:color w:val="000000"/>
          <w:kern w:val="0"/>
          <w:sz w:val="40"/>
          <w:szCs w:val="44"/>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sz w:val="32"/>
          <w:szCs w:val="32"/>
        </w:rPr>
        <w:t>壤塘县文化体育新闻出版局下属二级单位</w:t>
      </w:r>
      <w:r>
        <w:rPr>
          <w:rFonts w:hint="eastAsia" w:ascii="仿宋" w:hAnsi="仿宋" w:eastAsia="仿宋"/>
          <w:sz w:val="32"/>
          <w:szCs w:val="32"/>
          <w:lang w:val="en-US" w:eastAsia="zh-CN"/>
        </w:rPr>
        <w:t>7</w:t>
      </w:r>
      <w:r>
        <w:rPr>
          <w:rFonts w:hint="eastAsia" w:ascii="仿宋" w:hAnsi="仿宋" w:eastAsia="仿宋"/>
          <w:sz w:val="32"/>
          <w:szCs w:val="32"/>
        </w:rPr>
        <w:t>个，其中行政单位0个，参照公务员法管理的事业单位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6</w:t>
      </w:r>
      <w:r>
        <w:rPr>
          <w:rFonts w:hint="eastAsia" w:ascii="仿宋" w:hAnsi="仿宋" w:eastAsia="仿宋"/>
          <w:sz w:val="32"/>
          <w:szCs w:val="32"/>
        </w:rPr>
        <w:t>个</w:t>
      </w:r>
      <w:r>
        <w:rPr>
          <w:rFonts w:hint="eastAsia" w:ascii="仿宋_GB2312" w:hAnsi="宋体" w:eastAsia="仿宋_GB2312" w:cs="宋体"/>
          <w:color w:val="000000"/>
          <w:kern w:val="0"/>
          <w:sz w:val="32"/>
          <w:szCs w:val="32"/>
          <w:shd w:val="clear" w:color="auto" w:fill="FFFFFF"/>
          <w:lang w:val="zh-CN"/>
        </w:rPr>
        <w:t>。</w:t>
      </w:r>
    </w:p>
    <w:p>
      <w:pPr>
        <w:shd w:val="clear" w:color="auto" w:fill="FFFFFF"/>
        <w:spacing w:after="100"/>
        <w:ind w:firstLine="640"/>
        <w:rPr>
          <w:rFonts w:ascii="仿宋_GB2312" w:hAnsi="宋体" w:eastAsia="仿宋_GB2312"/>
          <w:kern w:val="0"/>
          <w:sz w:val="27"/>
          <w:szCs w:val="27"/>
        </w:rPr>
      </w:pPr>
      <w:r>
        <w:rPr>
          <w:rFonts w:hint="eastAsia" w:ascii="仿宋_GB2312" w:hAnsi="宋体" w:eastAsia="仿宋_GB2312" w:cs="宋体"/>
          <w:color w:val="000000"/>
          <w:kern w:val="0"/>
          <w:sz w:val="32"/>
          <w:szCs w:val="32"/>
          <w:shd w:val="clear" w:color="auto" w:fill="FFFFFF"/>
          <w:lang w:val="zh-CN"/>
        </w:rPr>
        <w:t>（二）</w:t>
      </w:r>
      <w:r>
        <w:rPr>
          <w:rFonts w:hint="eastAsia" w:ascii="仿宋_GB2312" w:hAnsi="_4eff_5b8b_GB2312" w:eastAsia="仿宋_GB2312" w:cs="宋体"/>
          <w:kern w:val="0"/>
          <w:sz w:val="32"/>
          <w:szCs w:val="32"/>
        </w:rPr>
        <w:t>1</w:t>
      </w:r>
      <w:r>
        <w:rPr>
          <w:rFonts w:hint="eastAsia" w:ascii="仿宋_GB2312" w:hAnsi="宋体" w:eastAsia="仿宋_GB2312" w:cs="宋体"/>
          <w:kern w:val="0"/>
          <w:sz w:val="32"/>
          <w:szCs w:val="32"/>
        </w:rPr>
        <w:t>、贯彻执行国家、省、州、县关于文化事业、文化产业、广播影视、新闻出版、文物和版权发展的方针、政策和法律法规；拟订全县文化、广电、新闻出版地方性法规、规章草案，负责本系统、本部门依法行政工作，落实行政执法责任。研究定制全州文化事业、广播影视、文化产业、文物和版权发展战略、规划、目标并组织实施。</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2</w:t>
      </w:r>
      <w:r>
        <w:rPr>
          <w:rFonts w:hint="eastAsia" w:ascii="仿宋_GB2312" w:hAnsi="宋体" w:eastAsia="仿宋_GB2312" w:cs="宋体"/>
          <w:kern w:val="0"/>
          <w:sz w:val="32"/>
          <w:szCs w:val="32"/>
        </w:rPr>
        <w:t>、负责全县文化事业、文化产业、广播影视、新闻出版、文物和版权管理实施细则和管理办法的制定及组织实施；规划、指导、管理全县公共文化设施建设。</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3</w:t>
      </w:r>
      <w:r>
        <w:rPr>
          <w:rFonts w:hint="eastAsia" w:ascii="仿宋_GB2312" w:hAnsi="宋体" w:eastAsia="仿宋_GB2312" w:cs="宋体"/>
          <w:kern w:val="0"/>
          <w:sz w:val="32"/>
          <w:szCs w:val="32"/>
        </w:rPr>
        <w:t>、指导、管理全县文化艺术事业，指导文化艺术创作与生产；管理全县重大文化活动和艺术演出活动；指导基层文化建设，推进公共文化服务；管理全县公共图书馆、文化馆（站）事业，指导其业务建设；负责全州古籍整理出版规划工作。</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4</w:t>
      </w:r>
      <w:r>
        <w:rPr>
          <w:rFonts w:hint="eastAsia" w:ascii="仿宋_GB2312" w:hAnsi="宋体" w:eastAsia="仿宋_GB2312" w:cs="宋体"/>
          <w:kern w:val="0"/>
          <w:sz w:val="32"/>
          <w:szCs w:val="32"/>
        </w:rPr>
        <w:t>、拟定全县非物质文化遗产保护规划，起草有关地方性法规、规章草案，组织实施非物质文化遗产保护和优秀民族文化的传承普及工作。</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5</w:t>
      </w:r>
      <w:r>
        <w:rPr>
          <w:rFonts w:hint="eastAsia" w:ascii="仿宋_GB2312" w:hAnsi="宋体" w:eastAsia="仿宋_GB2312" w:cs="宋体"/>
          <w:kern w:val="0"/>
          <w:sz w:val="32"/>
          <w:szCs w:val="32"/>
        </w:rPr>
        <w:t>、综合管理全县文物事业；负责全县文物资源调查；协调和指导全县文物保护、抢救、考古发掘、鉴定利用等工作；履行文物行政执法督察职责，依法监督管理文物市场。</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6</w:t>
      </w:r>
      <w:r>
        <w:rPr>
          <w:rFonts w:hint="eastAsia" w:ascii="仿宋_GB2312" w:hAnsi="宋体" w:eastAsia="仿宋_GB2312" w:cs="宋体"/>
          <w:kern w:val="0"/>
          <w:sz w:val="32"/>
          <w:szCs w:val="32"/>
        </w:rPr>
        <w:t>、管理全县文化市场和出版物市场；拟定文化市场、出版物市场的发展规划；指导全县文化市场综合执法工作，负责对文化艺术、出版物市场经营活动进行行业监督。</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7</w:t>
      </w:r>
      <w:r>
        <w:rPr>
          <w:rFonts w:hint="eastAsia" w:ascii="仿宋_GB2312" w:hAnsi="宋体" w:eastAsia="仿宋_GB2312" w:cs="宋体"/>
          <w:kern w:val="0"/>
          <w:sz w:val="32"/>
          <w:szCs w:val="32"/>
        </w:rPr>
        <w:t>、负责全县文化、广播影视、新闻出版行行政审批、行政执法等管理工作，依法查处违法，违规行为。</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8</w:t>
      </w:r>
      <w:r>
        <w:rPr>
          <w:rFonts w:hint="eastAsia" w:ascii="仿宋_GB2312" w:hAnsi="宋体" w:eastAsia="仿宋_GB2312" w:cs="宋体"/>
          <w:kern w:val="0"/>
          <w:sz w:val="32"/>
          <w:szCs w:val="32"/>
        </w:rPr>
        <w:t>、指导全县广播影视电视宣传和广播电视节目创作；监督管理全县广播电影电视节目、信息网络视听节目和公共视听载体播放的视听节目，审查其内容和质量，把握正确的舆论导向。</w:t>
      </w:r>
    </w:p>
    <w:p>
      <w:pPr>
        <w:widowControl/>
        <w:shd w:val="clear" w:color="auto" w:fill="FFFFFF"/>
        <w:spacing w:after="100"/>
        <w:ind w:firstLine="640"/>
        <w:rPr>
          <w:rFonts w:ascii="仿宋_GB2312" w:hAnsi="宋体" w:eastAsia="仿宋_GB2312"/>
          <w:kern w:val="0"/>
          <w:sz w:val="27"/>
          <w:szCs w:val="27"/>
        </w:rPr>
      </w:pPr>
      <w:r>
        <w:rPr>
          <w:rFonts w:hint="eastAsia" w:ascii="仿宋_GB2312" w:hAnsi="_4eff_5b8b_GB2312" w:eastAsia="仿宋_GB2312" w:cs="宋体"/>
          <w:kern w:val="0"/>
          <w:sz w:val="32"/>
          <w:szCs w:val="32"/>
        </w:rPr>
        <w:t>9</w:t>
      </w:r>
      <w:r>
        <w:rPr>
          <w:rFonts w:hint="eastAsia" w:ascii="仿宋_GB2312" w:hAnsi="宋体" w:eastAsia="仿宋_GB2312" w:cs="宋体"/>
          <w:kern w:val="0"/>
          <w:sz w:val="32"/>
          <w:szCs w:val="32"/>
        </w:rPr>
        <w:t>、组织推进广播电影电视领域的公共服务，组织实施广播电影电视重大工程及重点基础设施建设，扶助农村和扶贫地区广播电影电视建设和发展。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_4eff_5b8b_GB2312" w:eastAsia="仿宋_GB2312" w:cs="宋体"/>
          <w:kern w:val="0"/>
          <w:sz w:val="32"/>
          <w:szCs w:val="32"/>
        </w:rPr>
        <w:t>10</w:t>
      </w:r>
      <w:r>
        <w:rPr>
          <w:rFonts w:hint="eastAsia" w:ascii="仿宋_GB2312" w:hAnsi="宋体" w:eastAsia="仿宋_GB2312" w:cs="宋体"/>
          <w:kern w:val="0"/>
          <w:sz w:val="32"/>
          <w:szCs w:val="32"/>
        </w:rPr>
        <w:t>、承办县政府公布的有关行政审批事项及交办的其它事项</w:t>
      </w:r>
      <w:r>
        <w:rPr>
          <w:rFonts w:hint="eastAsia" w:ascii="仿宋_GB2312" w:hAnsi="宋体" w:eastAsia="仿宋_GB2312" w:cs="宋体"/>
          <w:color w:val="000000"/>
          <w:kern w:val="0"/>
          <w:sz w:val="32"/>
          <w:szCs w:val="32"/>
          <w:shd w:val="clear" w:color="auto" w:fill="FFFFFF"/>
          <w:lang w:val="zh-CN"/>
        </w:rPr>
        <w:t>。</w:t>
      </w:r>
    </w:p>
    <w:p>
      <w:pPr>
        <w:widowControl/>
        <w:spacing w:line="600" w:lineRule="exact"/>
        <w:ind w:left="210" w:leftChars="100" w:firstLine="640" w:firstLineChars="200"/>
        <w:jc w:val="left"/>
        <w:rPr>
          <w:rFonts w:ascii="仿宋" w:hAnsi="仿宋" w:eastAsia="仿宋" w:cs="Times New Roman"/>
          <w:sz w:val="32"/>
          <w:szCs w:val="32"/>
        </w:rPr>
      </w:pPr>
      <w:r>
        <w:rPr>
          <w:rFonts w:hint="eastAsia" w:ascii="仿宋_GB2312" w:hAnsi="宋体" w:eastAsia="仿宋_GB2312" w:cs="宋体"/>
          <w:color w:val="000000"/>
          <w:kern w:val="0"/>
          <w:sz w:val="32"/>
          <w:szCs w:val="32"/>
          <w:shd w:val="clear" w:color="auto" w:fill="FFFFFF"/>
          <w:lang w:val="zh-CN"/>
        </w:rPr>
        <w:t>（三）</w:t>
      </w:r>
      <w:r>
        <w:rPr>
          <w:rFonts w:hint="eastAsia" w:ascii="仿宋_GB2312" w:hAnsi="宋体" w:eastAsia="仿宋_GB2312" w:cs="宋体"/>
          <w:kern w:val="0"/>
          <w:sz w:val="32"/>
          <w:szCs w:val="32"/>
        </w:rPr>
        <w:t>总编制34名,其中:行政编制33名，行政工勤编制 1名，退休人员10 人；</w:t>
      </w:r>
      <w:r>
        <w:rPr>
          <w:rFonts w:hint="eastAsia" w:ascii="仿宋" w:hAnsi="仿宋" w:eastAsia="仿宋" w:cs="仿宋"/>
          <w:sz w:val="32"/>
          <w:szCs w:val="32"/>
        </w:rPr>
        <w:t>遗属人员</w:t>
      </w:r>
      <w:r>
        <w:rPr>
          <w:rFonts w:ascii="仿宋" w:hAnsi="仿宋" w:eastAsia="仿宋" w:cs="仿宋"/>
          <w:sz w:val="32"/>
          <w:szCs w:val="32"/>
        </w:rPr>
        <w:t>2</w:t>
      </w:r>
      <w:r>
        <w:rPr>
          <w:rFonts w:hint="eastAsia" w:ascii="仿宋" w:hAnsi="仿宋" w:eastAsia="仿宋" w:cs="仿宋"/>
          <w:sz w:val="32"/>
          <w:szCs w:val="32"/>
        </w:rPr>
        <w:t>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rPr>
        <w:t>我局</w:t>
      </w:r>
      <w:r>
        <w:rPr>
          <w:rFonts w:ascii="仿宋" w:hAnsi="仿宋" w:eastAsia="仿宋" w:cs="仿宋"/>
          <w:sz w:val="32"/>
          <w:szCs w:val="32"/>
        </w:rPr>
        <w:t>2019</w:t>
      </w:r>
      <w:r>
        <w:rPr>
          <w:rFonts w:hint="eastAsia" w:ascii="仿宋" w:hAnsi="仿宋" w:eastAsia="仿宋" w:cs="仿宋"/>
          <w:sz w:val="32"/>
          <w:szCs w:val="32"/>
        </w:rPr>
        <w:t>年总编制比去年增加</w:t>
      </w:r>
      <w:r>
        <w:rPr>
          <w:rFonts w:ascii="仿宋" w:hAnsi="仿宋" w:eastAsia="仿宋" w:cs="仿宋"/>
          <w:sz w:val="32"/>
          <w:szCs w:val="32"/>
        </w:rPr>
        <w:t>2</w:t>
      </w:r>
      <w:r>
        <w:rPr>
          <w:rFonts w:hint="eastAsia" w:ascii="仿宋" w:hAnsi="仿宋" w:eastAsia="仿宋" w:cs="仿宋"/>
          <w:sz w:val="32"/>
          <w:szCs w:val="32"/>
        </w:rPr>
        <w:t>名，主要原因是</w:t>
      </w:r>
      <w:r>
        <w:rPr>
          <w:rFonts w:ascii="仿宋" w:hAnsi="仿宋" w:eastAsia="仿宋" w:cs="仿宋"/>
          <w:sz w:val="32"/>
          <w:szCs w:val="32"/>
        </w:rPr>
        <w:t>2019</w:t>
      </w:r>
      <w:r>
        <w:rPr>
          <w:rFonts w:hint="eastAsia" w:ascii="仿宋" w:hAnsi="仿宋" w:eastAsia="仿宋" w:cs="仿宋"/>
          <w:sz w:val="32"/>
          <w:szCs w:val="32"/>
        </w:rPr>
        <w:t>年机构改革我局职能增加因此增加</w:t>
      </w:r>
      <w:r>
        <w:rPr>
          <w:rFonts w:ascii="仿宋" w:hAnsi="仿宋" w:eastAsia="仿宋" w:cs="仿宋"/>
          <w:sz w:val="32"/>
          <w:szCs w:val="32"/>
        </w:rPr>
        <w:t>2</w:t>
      </w:r>
      <w:r>
        <w:rPr>
          <w:rFonts w:hint="eastAsia" w:ascii="仿宋" w:hAnsi="仿宋" w:eastAsia="仿宋" w:cs="仿宋"/>
          <w:sz w:val="32"/>
          <w:szCs w:val="32"/>
        </w:rPr>
        <w:t>个编制</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kern w:val="0"/>
          <w:sz w:val="32"/>
          <w:szCs w:val="32"/>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_GB2312"/>
          <w:sz w:val="32"/>
          <w:szCs w:val="32"/>
        </w:rPr>
        <w:t xml:space="preserve"> </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年本年收入合计5,273.82万元，其中：一般公共预算财政拨款收入</w:t>
      </w:r>
      <w:r>
        <w:rPr>
          <w:rFonts w:hint="eastAsia" w:ascii="仿宋_GB2312" w:hAnsi="宋体" w:eastAsia="仿宋_GB2312" w:cs="宋体"/>
          <w:kern w:val="0"/>
          <w:sz w:val="32"/>
          <w:szCs w:val="32"/>
          <w:lang w:val="en-US" w:eastAsia="zh-CN"/>
        </w:rPr>
        <w:t>5250.07</w:t>
      </w:r>
      <w:r>
        <w:rPr>
          <w:rFonts w:hint="eastAsia" w:ascii="仿宋_GB2312" w:hAnsi="宋体" w:eastAsia="仿宋_GB2312" w:cs="宋体"/>
          <w:kern w:val="0"/>
          <w:sz w:val="32"/>
          <w:szCs w:val="32"/>
        </w:rPr>
        <w:t>万元；政府性基金预算财政拨款</w:t>
      </w:r>
      <w:r>
        <w:rPr>
          <w:rFonts w:hint="eastAsia" w:ascii="仿宋_GB2312" w:hAnsi="宋体" w:eastAsia="仿宋_GB2312" w:cs="宋体"/>
          <w:kern w:val="0"/>
          <w:sz w:val="32"/>
          <w:szCs w:val="32"/>
          <w:lang w:val="en-US" w:eastAsia="zh-CN"/>
        </w:rPr>
        <w:t>23.75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kern w:val="0"/>
          <w:sz w:val="32"/>
          <w:szCs w:val="32"/>
          <w:lang w:val="zh-CN"/>
        </w:rPr>
      </w:pPr>
      <w:r>
        <w:rPr>
          <w:rFonts w:hint="eastAsia" w:ascii="仿宋_GB2312" w:hAnsi="宋体" w:eastAsia="仿宋_GB2312" w:cs="宋体"/>
          <w:color w:val="000000"/>
          <w:kern w:val="0"/>
          <w:sz w:val="32"/>
          <w:szCs w:val="32"/>
          <w:shd w:val="clear" w:color="auto" w:fill="FFFFFF"/>
          <w:lang w:val="zh-CN"/>
        </w:rPr>
        <w:t>（二）</w:t>
      </w:r>
      <w:r>
        <w:rPr>
          <w:rFonts w:hint="eastAsia" w:ascii="仿宋" w:hAnsi="仿宋" w:eastAsia="仿宋" w:cs="仿宋_GB2312"/>
          <w:sz w:val="32"/>
          <w:szCs w:val="32"/>
        </w:rPr>
        <w:t xml:space="preserve"> </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年本年支出合计</w:t>
      </w:r>
      <w:r>
        <w:rPr>
          <w:rFonts w:hint="eastAsia" w:ascii="仿宋_GB2312" w:hAnsi="宋体" w:eastAsia="仿宋_GB2312" w:cs="宋体"/>
          <w:kern w:val="0"/>
          <w:sz w:val="32"/>
          <w:szCs w:val="32"/>
          <w:lang w:val="en-US" w:eastAsia="zh-CN"/>
        </w:rPr>
        <w:t>3560.5</w:t>
      </w:r>
      <w:r>
        <w:rPr>
          <w:rFonts w:hint="eastAsia" w:ascii="仿宋_GB2312" w:hAnsi="宋体" w:eastAsia="仿宋_GB2312" w:cs="宋体"/>
          <w:kern w:val="0"/>
          <w:sz w:val="32"/>
          <w:szCs w:val="32"/>
        </w:rPr>
        <w:t>万元，其中：基本支出</w:t>
      </w:r>
      <w:r>
        <w:rPr>
          <w:rFonts w:hint="eastAsia" w:ascii="仿宋_GB2312" w:hAnsi="宋体" w:eastAsia="仿宋_GB2312" w:cs="宋体"/>
          <w:kern w:val="0"/>
          <w:sz w:val="32"/>
          <w:szCs w:val="32"/>
          <w:lang w:val="en-US" w:eastAsia="zh-CN"/>
        </w:rPr>
        <w:t>714.53</w:t>
      </w:r>
      <w:r>
        <w:rPr>
          <w:rFonts w:hint="eastAsia" w:ascii="仿宋_GB2312" w:hAnsi="宋体" w:eastAsia="仿宋_GB2312" w:cs="宋体"/>
          <w:kern w:val="0"/>
          <w:sz w:val="32"/>
          <w:szCs w:val="32"/>
        </w:rPr>
        <w:t>万元；项目支出</w:t>
      </w:r>
      <w:r>
        <w:rPr>
          <w:rFonts w:hint="eastAsia" w:ascii="仿宋_GB2312" w:hAnsi="宋体" w:eastAsia="仿宋_GB2312" w:cs="宋体"/>
          <w:kern w:val="0"/>
          <w:sz w:val="32"/>
          <w:szCs w:val="32"/>
          <w:lang w:val="en-US" w:eastAsia="zh-CN"/>
        </w:rPr>
        <w:t>2845.98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eastAsia="仿宋_GB2312"/>
          <w:kern w:val="0"/>
          <w:sz w:val="32"/>
          <w:szCs w:val="32"/>
          <w:lang w:val="zh-CN"/>
        </w:rPr>
        <w:t>201</w:t>
      </w:r>
      <w:r>
        <w:rPr>
          <w:rFonts w:hint="eastAsia" w:ascii="仿宋_GB2312" w:eastAsia="仿宋_GB2312"/>
          <w:kern w:val="0"/>
          <w:sz w:val="32"/>
          <w:szCs w:val="32"/>
          <w:lang w:val="en-US" w:eastAsia="zh-CN"/>
        </w:rPr>
        <w:t>9</w:t>
      </w:r>
      <w:r>
        <w:rPr>
          <w:rFonts w:hint="eastAsia" w:ascii="仿宋_GB2312" w:eastAsia="仿宋_GB2312"/>
          <w:kern w:val="0"/>
          <w:sz w:val="32"/>
          <w:szCs w:val="32"/>
          <w:lang w:val="zh-CN"/>
        </w:rPr>
        <w:t>年，我局严格按照《预算法》、《阿坝州州级预算绩效目标管理办法》、《预算编制通知》等文件要求，完整编制部门整体绩效目标，合理量化项目绩效目标完整编制部门整体绩效目标，按时完成报送工作</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eastAsia="仿宋_GB2312"/>
          <w:sz w:val="32"/>
          <w:szCs w:val="32"/>
          <w:lang w:val="zh-CN"/>
        </w:rPr>
        <w:t>通过对预算编制、预算执行、综合管理、整体效益等方面进行全面分析评价，</w:t>
      </w:r>
      <w:r>
        <w:rPr>
          <w:rFonts w:ascii="仿宋_GB2312" w:eastAsia="仿宋_GB2312"/>
          <w:sz w:val="32"/>
          <w:szCs w:val="32"/>
          <w:lang w:val="zh-CN"/>
        </w:rPr>
        <w:t>按照目标要求完成项目支出，保证公务正常运行</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ascii="仿宋_GB2312" w:eastAsia="仿宋_GB2312"/>
          <w:sz w:val="32"/>
          <w:szCs w:val="32"/>
          <w:lang w:val="zh-CN"/>
        </w:rPr>
        <w:t>按照县政府的工作任务要求，结合</w:t>
      </w:r>
      <w:r>
        <w:rPr>
          <w:rFonts w:hint="eastAsia" w:ascii="仿宋_GB2312" w:eastAsia="仿宋_GB2312"/>
          <w:sz w:val="32"/>
          <w:szCs w:val="32"/>
          <w:lang w:val="zh-CN"/>
        </w:rPr>
        <w:t>我局</w:t>
      </w:r>
      <w:r>
        <w:rPr>
          <w:rFonts w:ascii="仿宋_GB2312" w:eastAsia="仿宋_GB2312"/>
          <w:sz w:val="32"/>
          <w:szCs w:val="32"/>
          <w:lang w:val="zh-CN"/>
        </w:rPr>
        <w:t>201</w:t>
      </w:r>
      <w:r>
        <w:rPr>
          <w:rFonts w:hint="eastAsia" w:ascii="仿宋_GB2312" w:eastAsia="仿宋_GB2312"/>
          <w:sz w:val="32"/>
          <w:szCs w:val="32"/>
          <w:lang w:val="en-US" w:eastAsia="zh-CN"/>
        </w:rPr>
        <w:t>9</w:t>
      </w:r>
      <w:r>
        <w:rPr>
          <w:rFonts w:ascii="仿宋_GB2312" w:eastAsia="仿宋_GB2312"/>
          <w:sz w:val="32"/>
          <w:szCs w:val="32"/>
          <w:lang w:val="zh-CN"/>
        </w:rPr>
        <w:t>年度工作开展实际，根据年初工作计划有序开展各项工作，进一步细化工作任务，按照工作计划和要求细致分工，是财政收支预算执行得到了良好的制度保障和实施效果</w:t>
      </w:r>
      <w:r>
        <w:rPr>
          <w:rFonts w:hint="eastAsia" w:ascii="仿宋_GB2312" w:eastAsia="仿宋_GB2312"/>
          <w:sz w:val="32"/>
          <w:szCs w:val="32"/>
          <w:lang w:val="zh-CN"/>
        </w:rPr>
        <w:t>。</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w:t>
      </w:r>
      <w:r>
        <w:rPr>
          <w:rFonts w:ascii="仿宋_GB2312" w:eastAsia="仿宋_GB2312"/>
          <w:kern w:val="0"/>
          <w:sz w:val="32"/>
          <w:szCs w:val="32"/>
          <w:lang w:val="zh-CN"/>
        </w:rPr>
        <w:t>根据绩效评价工作要求，成立了工作领导小组，但是总体认识还不够，时间较为仓促，评价内容没有更进一步，更细致。评价内容局限于表面现象，没有深入分析。</w:t>
      </w:r>
      <w:r>
        <w:rPr>
          <w:rFonts w:hint="eastAsia" w:ascii="仿宋_GB2312" w:eastAsia="仿宋_GB2312"/>
          <w:kern w:val="0"/>
          <w:sz w:val="32"/>
          <w:szCs w:val="32"/>
          <w:lang w:val="zh-CN"/>
        </w:rPr>
        <w:t xml:space="preserve"> </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2.项目资金支付进度不及时，影响支付进度。</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eastAsia="仿宋_GB2312"/>
          <w:kern w:val="0"/>
          <w:sz w:val="32"/>
          <w:szCs w:val="32"/>
          <w:lang w:val="zh-CN"/>
        </w:rPr>
        <w:t>3.项目组织管理有待加强。项目调整及履行基本建设程序等项目管理制度执行不到位的问题。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 xml:space="preserve">一是强化绩效理念，深入推进评价工作。把财政绩效评价作为转变政府职能、深化财政改革、促进科学理财的重要工作来抓，健全完善制度办法，切实加强组织领导，深入推进评价工作，提升整体绩效管理水平。 </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eastAsia="仿宋_GB2312"/>
          <w:kern w:val="0"/>
          <w:sz w:val="32"/>
          <w:szCs w:val="32"/>
          <w:lang w:val="zh-CN"/>
        </w:rPr>
        <w:t>二是强化整改落实，构建长效机制。对发现的问题逐一整改，全面核查，举一反三，确保整改到位。对评价发现的问题，深入分析原因，采取措施尽快整改，主要领导亲自抓，组织专门力量，专人专项落实，立即整改，不得遗漏。</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送戏下乡</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rPr>
        <w:t>1．壤塘县文化体育和旅游局在</w:t>
      </w:r>
      <w:r>
        <w:rPr>
          <w:rFonts w:hint="eastAsia" w:ascii="仿宋_GB2312" w:hAnsi="宋体" w:eastAsia="仿宋_GB2312"/>
          <w:sz w:val="32"/>
          <w:szCs w:val="32"/>
          <w:lang w:val="en-US" w:eastAsia="zh-CN"/>
        </w:rPr>
        <w:t>2019年度送戏下乡项目专项资金管理上负有领导责任。</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_GB2312" w:eastAsia="仿宋_GB2312" w:cs="仿宋_GB2312"/>
          <w:b w:val="0"/>
          <w:bCs w:val="0"/>
          <w:color w:val="auto"/>
          <w:sz w:val="32"/>
          <w:szCs w:val="32"/>
          <w:lang w:val="zh-CN" w:eastAsia="zh-CN"/>
        </w:rPr>
        <w:t>根据省财政厅、省文化厅《下达文体局</w:t>
      </w:r>
      <w:r>
        <w:rPr>
          <w:rFonts w:hint="eastAsia" w:ascii="仿宋_GB2312" w:hAnsi="仿宋_GB2312" w:eastAsia="仿宋_GB2312" w:cs="仿宋_GB2312"/>
          <w:b w:val="0"/>
          <w:bCs w:val="0"/>
          <w:color w:val="auto"/>
          <w:sz w:val="32"/>
          <w:szCs w:val="32"/>
          <w:lang w:val="en-US" w:eastAsia="zh-CN"/>
        </w:rPr>
        <w:t>2019年中央补助地方公共文化服务体系建设专项资金（文化重点项目，完成送戏下乡72场）的通知</w:t>
      </w:r>
      <w:r>
        <w:rPr>
          <w:rFonts w:hint="eastAsia" w:ascii="仿宋_GB2312" w:hAnsi="仿宋_GB2312" w:eastAsia="仿宋_GB2312" w:cs="仿宋_GB2312"/>
          <w:b w:val="0"/>
          <w:bCs w:val="0"/>
          <w:color w:val="auto"/>
          <w:sz w:val="32"/>
          <w:szCs w:val="32"/>
          <w:lang w:val="zh-CN" w:eastAsia="zh-CN"/>
        </w:rPr>
        <w:t>》下达</w:t>
      </w:r>
      <w:r>
        <w:rPr>
          <w:rFonts w:hint="eastAsia" w:ascii="仿宋_GB2312" w:hAnsi="仿宋_GB2312" w:eastAsia="仿宋_GB2312" w:cs="仿宋_GB2312"/>
          <w:b w:val="0"/>
          <w:bCs w:val="0"/>
          <w:color w:val="auto"/>
          <w:sz w:val="32"/>
          <w:szCs w:val="32"/>
          <w:lang w:val="en-US" w:eastAsia="zh-CN"/>
        </w:rPr>
        <w:t>12个乡镇72场次每场补助0.5万元共计补助36万元。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仿宋_GB2312" w:eastAsia="仿宋_GB2312" w:cs="仿宋_GB2312"/>
          <w:b w:val="0"/>
          <w:bCs w:val="0"/>
          <w:sz w:val="32"/>
          <w:szCs w:val="32"/>
          <w:lang w:val="zh-CN" w:eastAsia="zh-CN"/>
        </w:rPr>
        <w:t>送戏下乡项目财务管理制度建设、机构设置、会计核算及账务是按照资金管理办法进行严格使用，项目严格执行财务管理制度、财务处理及时、会计核算规范</w:t>
      </w:r>
      <w:r>
        <w:rPr>
          <w:rFonts w:hint="eastAsia" w:ascii="仿宋_GB2312" w:hAnsi="宋体" w:eastAsia="仿宋_GB2312"/>
          <w:sz w:val="32"/>
          <w:szCs w:val="32"/>
          <w:lang w:val="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eastAsia="zh-CN"/>
        </w:rPr>
      </w:pPr>
      <w:r>
        <w:rPr>
          <w:rFonts w:hint="eastAsia" w:ascii="仿宋_GB2312" w:hAnsi="宋体" w:eastAsia="仿宋_GB2312"/>
          <w:sz w:val="32"/>
          <w:szCs w:val="32"/>
          <w:lang w:val="zh-CN"/>
        </w:rPr>
        <w:t>4．资金分配的原则是按照项目内容，本着需要的先后，轻重进行安排，主要考虑项目实施的及时性和全面性</w:t>
      </w:r>
      <w:r>
        <w:rPr>
          <w:rFonts w:hint="eastAsia" w:ascii="仿宋_GB2312" w:hAnsi="仿宋_GB2312" w:eastAsia="仿宋_GB2312" w:cs="仿宋_GB2312"/>
          <w:b w:val="0"/>
          <w:bCs w:val="0"/>
          <w:sz w:val="32"/>
          <w:szCs w:val="32"/>
          <w:lang w:val="zh-CN"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仿宋_GB2312" w:eastAsia="仿宋_GB2312" w:cs="仿宋_GB2312"/>
          <w:b w:val="0"/>
          <w:bCs w:val="0"/>
          <w:sz w:val="32"/>
          <w:szCs w:val="32"/>
          <w:lang w:val="zh-CN" w:eastAsia="zh-CN"/>
        </w:rPr>
        <w:t>送戏下乡是文化惠民政策，我县文化体育和旅游局积极组织演职人员进行排练，每个乡镇村落较为集中，以乡镇为单位，让壤巴拉优秀文化行走在乡镇村落。全年在</w:t>
      </w:r>
      <w:r>
        <w:rPr>
          <w:rFonts w:hint="eastAsia" w:ascii="仿宋_GB2312" w:hAnsi="仿宋_GB2312" w:eastAsia="仿宋_GB2312" w:cs="仿宋_GB2312"/>
          <w:b w:val="0"/>
          <w:bCs w:val="0"/>
          <w:sz w:val="32"/>
          <w:szCs w:val="32"/>
          <w:lang w:val="en-US" w:eastAsia="zh-CN"/>
        </w:rPr>
        <w:t>12个</w:t>
      </w:r>
      <w:r>
        <w:rPr>
          <w:rFonts w:hint="eastAsia" w:ascii="仿宋_GB2312" w:hAnsi="仿宋_GB2312" w:eastAsia="仿宋_GB2312" w:cs="仿宋_GB2312"/>
          <w:b w:val="0"/>
          <w:bCs w:val="0"/>
          <w:sz w:val="32"/>
          <w:szCs w:val="32"/>
          <w:lang w:val="zh-CN" w:eastAsia="zh-CN"/>
        </w:rPr>
        <w:t>乡镇安排</w:t>
      </w:r>
      <w:r>
        <w:rPr>
          <w:rFonts w:hint="eastAsia" w:ascii="仿宋_GB2312" w:hAnsi="仿宋_GB2312" w:eastAsia="仿宋_GB2312" w:cs="仿宋_GB2312"/>
          <w:b w:val="0"/>
          <w:bCs w:val="0"/>
          <w:sz w:val="32"/>
          <w:szCs w:val="32"/>
          <w:lang w:val="en-US" w:eastAsia="zh-CN"/>
        </w:rPr>
        <w:t>72场演出，藏戏12场、文艺演出12场，以分流的形式进行送戏下乡活动。</w:t>
      </w:r>
    </w:p>
    <w:p>
      <w:pPr>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hint="eastAsia" w:ascii="仿宋" w:hAnsi="仿宋" w:eastAsia="仿宋" w:cs="仿宋"/>
          <w:b w:val="0"/>
          <w:bCs w:val="0"/>
          <w:color w:val="FF0000"/>
          <w:sz w:val="30"/>
          <w:szCs w:val="30"/>
          <w:lang w:val="en-US" w:eastAsia="zh-CN"/>
        </w:rPr>
      </w:pPr>
      <w:r>
        <w:rPr>
          <w:rFonts w:hint="eastAsia" w:ascii="仿宋_GB2312" w:hAnsi="宋体" w:eastAsia="仿宋_GB2312"/>
          <w:sz w:val="32"/>
          <w:szCs w:val="32"/>
          <w:lang w:val="zh-CN"/>
        </w:rPr>
        <w:t>2．</w:t>
      </w:r>
      <w:r>
        <w:rPr>
          <w:rFonts w:hint="eastAsia" w:ascii="仿宋_GB2312" w:hAnsi="仿宋_GB2312" w:eastAsia="仿宋_GB2312" w:cs="仿宋_GB2312"/>
          <w:b w:val="0"/>
          <w:bCs w:val="0"/>
          <w:sz w:val="32"/>
          <w:szCs w:val="32"/>
          <w:lang w:val="zh-CN" w:eastAsia="zh-CN"/>
        </w:rPr>
        <w:t>我们将精彩的文艺节目推送到了</w:t>
      </w:r>
      <w:r>
        <w:rPr>
          <w:rFonts w:hint="eastAsia" w:ascii="仿宋_GB2312" w:hAnsi="仿宋_GB2312" w:eastAsia="仿宋_GB2312" w:cs="仿宋_GB2312"/>
          <w:b w:val="0"/>
          <w:bCs w:val="0"/>
          <w:sz w:val="32"/>
          <w:szCs w:val="32"/>
          <w:lang w:val="en-US" w:eastAsia="zh-CN"/>
        </w:rPr>
        <w:t>12个乡镇，并走乡入户到贫困户，将节目包村到户。</w:t>
      </w:r>
      <w:r>
        <w:rPr>
          <w:rFonts w:hint="eastAsia" w:ascii="仿宋_GB2312" w:hAnsi="仿宋_GB2312" w:eastAsia="仿宋_GB2312" w:cs="仿宋_GB2312"/>
          <w:b w:val="0"/>
          <w:bCs w:val="0"/>
          <w:sz w:val="32"/>
          <w:szCs w:val="32"/>
          <w:lang w:val="zh-CN" w:eastAsia="zh-CN"/>
        </w:rPr>
        <w:t>全年在各乡镇村落安排</w:t>
      </w:r>
      <w:r>
        <w:rPr>
          <w:rFonts w:hint="eastAsia" w:ascii="仿宋_GB2312" w:hAnsi="仿宋_GB2312" w:eastAsia="仿宋_GB2312" w:cs="仿宋_GB2312"/>
          <w:b w:val="0"/>
          <w:bCs w:val="0"/>
          <w:sz w:val="32"/>
          <w:szCs w:val="32"/>
          <w:lang w:val="en-US" w:eastAsia="zh-CN"/>
        </w:rPr>
        <w:t>19场演出，以分流的形式进行送戏下乡活动。</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3．根据本单位现场核实，项目申报内容和实际是一致的，项目申报目标符合我县的实际情况且合理可行。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按照项目绩效评价的要求，本单位抽调主管财务的副局长，办公室，项目专干和相关财务人员对</w:t>
      </w:r>
      <w:r>
        <w:rPr>
          <w:rFonts w:hint="eastAsia" w:ascii="仿宋_GB2312" w:hAnsi="宋体" w:eastAsia="仿宋_GB2312"/>
          <w:sz w:val="32"/>
          <w:szCs w:val="32"/>
          <w:lang w:val="en-US" w:eastAsia="zh-CN"/>
        </w:rPr>
        <w:t>2019年送戏下乡项目专项进行绩效评价，先核对项目文件，包括资金下达，项目实施，项目完成情况；再核对项目资金的支付，包括支付的程序，支付的内容，支付的金额。</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zh-CN" w:eastAsia="zh-CN"/>
        </w:rPr>
        <w:t>根据省财政厅、省文化厅《下达文体局</w:t>
      </w:r>
      <w:r>
        <w:rPr>
          <w:rFonts w:hint="eastAsia" w:ascii="仿宋_GB2312" w:hAnsi="仿宋_GB2312" w:eastAsia="仿宋_GB2312" w:cs="仿宋_GB2312"/>
          <w:b w:val="0"/>
          <w:bCs w:val="0"/>
          <w:color w:val="auto"/>
          <w:sz w:val="32"/>
          <w:szCs w:val="32"/>
          <w:lang w:val="en-US" w:eastAsia="zh-CN"/>
        </w:rPr>
        <w:t>2019年中央补助地方公共文化服务体系建设专项资金（文化重点项目，完成送戏下乡72场）的通知</w:t>
      </w:r>
      <w:r>
        <w:rPr>
          <w:rFonts w:hint="eastAsia" w:ascii="仿宋_GB2312" w:hAnsi="仿宋_GB2312" w:eastAsia="仿宋_GB2312" w:cs="仿宋_GB2312"/>
          <w:b w:val="0"/>
          <w:bCs w:val="0"/>
          <w:color w:val="auto"/>
          <w:sz w:val="32"/>
          <w:szCs w:val="32"/>
          <w:lang w:val="zh-CN" w:eastAsia="zh-CN"/>
        </w:rPr>
        <w:t>》下达</w:t>
      </w:r>
      <w:r>
        <w:rPr>
          <w:rFonts w:hint="eastAsia" w:ascii="仿宋_GB2312" w:hAnsi="仿宋_GB2312" w:eastAsia="仿宋_GB2312" w:cs="仿宋_GB2312"/>
          <w:b w:val="0"/>
          <w:bCs w:val="0"/>
          <w:color w:val="auto"/>
          <w:sz w:val="32"/>
          <w:szCs w:val="32"/>
          <w:lang w:val="en-US" w:eastAsia="zh-CN"/>
        </w:rPr>
        <w:t>12个乡镇72场次每场补助0.5万元共计补助36万元。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color w:val="auto"/>
          <w:sz w:val="32"/>
          <w:szCs w:val="32"/>
          <w:lang w:val="zh-CN" w:eastAsia="zh-CN"/>
        </w:rPr>
        <w:t>该项目资金于</w:t>
      </w:r>
      <w:r>
        <w:rPr>
          <w:rFonts w:hint="eastAsia" w:ascii="仿宋_GB2312" w:hAnsi="仿宋_GB2312" w:eastAsia="仿宋_GB2312" w:cs="仿宋_GB2312"/>
          <w:b w:val="0"/>
          <w:bCs w:val="0"/>
          <w:color w:val="auto"/>
          <w:sz w:val="32"/>
          <w:szCs w:val="32"/>
          <w:lang w:val="en-US" w:eastAsia="zh-CN"/>
        </w:rPr>
        <w:t>2018年3月22日下达，文件阿州财教{2019}7号，中央资金36万元。截止2019年12月31日该笔项目资金支付3.6万元</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送戏下乡项目财务管理制度建设、机构设置、会计核算及账务是按照资金管理办法进行严格使用，项目严格执行财务管理制度、财务处理及时、会计核算规范。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送戏下乡成立了领导小组，由分管文化副局长担任组长，文化馆馆长作为副组长，并对前期工作进行了细致而周密的安排部署。制定了活动实施方案，对每个文艺节目进行了严密的审查，对每个演出点进行了有效的前期宣传，对每个演员购买了意外保险。</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b w:val="0"/>
          <w:bCs w:val="0"/>
          <w:sz w:val="32"/>
          <w:szCs w:val="32"/>
          <w:lang w:val="zh-CN" w:eastAsia="zh-CN"/>
        </w:rPr>
        <w:t>送戏下乡成立了领导小组，由分管文化副局长担任组长，文化馆馆长作为副组长，并对前期工作进行了细致而周密的安排部署。制定了活动实施方案，对每个文艺节目进行了严密的审查，对每个演出点进行了有效的前期宣传，对每个演员购买了意外保险。</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加强项目管理，在项目实施过程中，强调项目的一致性，在项目完成时及时进行验收，支付项目款时严格执行支付流程。</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ascii="楷体_GB2312" w:hAnsi="宋体" w:eastAsia="楷体_GB2312"/>
          <w:b/>
          <w:sz w:val="32"/>
          <w:szCs w:val="32"/>
          <w:lang w:val="zh-CN"/>
        </w:rPr>
      </w:pPr>
      <w:r>
        <w:rPr>
          <w:rFonts w:hint="eastAsia" w:ascii="仿宋_GB2312" w:hAnsi="仿宋_GB2312" w:eastAsia="仿宋_GB2312" w:cs="仿宋_GB2312"/>
          <w:b w:val="0"/>
          <w:bCs w:val="0"/>
          <w:sz w:val="32"/>
          <w:szCs w:val="32"/>
          <w:lang w:val="zh-CN" w:eastAsia="zh-CN"/>
        </w:rPr>
        <w:t>我们将精彩的文艺节目推送到了</w:t>
      </w:r>
      <w:r>
        <w:rPr>
          <w:rFonts w:hint="eastAsia" w:ascii="仿宋_GB2312" w:hAnsi="仿宋_GB2312" w:eastAsia="仿宋_GB2312" w:cs="仿宋_GB2312"/>
          <w:b w:val="0"/>
          <w:bCs w:val="0"/>
          <w:sz w:val="32"/>
          <w:szCs w:val="32"/>
          <w:lang w:val="en-US" w:eastAsia="zh-CN"/>
        </w:rPr>
        <w:t>12个乡镇，并走乡入户到贫困户，将节目包村到户。</w:t>
      </w:r>
      <w:r>
        <w:rPr>
          <w:rFonts w:hint="eastAsia" w:ascii="仿宋_GB2312" w:hAnsi="仿宋_GB2312" w:eastAsia="仿宋_GB2312" w:cs="仿宋_GB2312"/>
          <w:b w:val="0"/>
          <w:bCs w:val="0"/>
          <w:sz w:val="32"/>
          <w:szCs w:val="32"/>
          <w:lang w:val="zh-CN" w:eastAsia="zh-CN"/>
        </w:rPr>
        <w:t>全年在各乡镇村落安排</w:t>
      </w:r>
      <w:r>
        <w:rPr>
          <w:rFonts w:hint="eastAsia" w:ascii="仿宋_GB2312" w:hAnsi="仿宋_GB2312" w:eastAsia="仿宋_GB2312" w:cs="仿宋_GB2312"/>
          <w:b w:val="0"/>
          <w:bCs w:val="0"/>
          <w:sz w:val="32"/>
          <w:szCs w:val="32"/>
          <w:lang w:val="en-US" w:eastAsia="zh-CN"/>
        </w:rPr>
        <w:t>19场演出，以分流的形式进行送戏下乡活动。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送戏下乡能够提升广大农牧民的精神气质，丰富了他们的精神生活，能够激励他们勇于拼搏，对生活充满向往与追求，使他们对挖掘和弘扬壤巴拉优秀文化有底气和决心。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我们认为</w:t>
      </w:r>
      <w:r>
        <w:rPr>
          <w:rFonts w:hint="eastAsia" w:ascii="仿宋_GB2312" w:hAnsi="宋体" w:eastAsia="仿宋_GB2312"/>
          <w:sz w:val="32"/>
          <w:szCs w:val="32"/>
          <w:lang w:val="en-US" w:eastAsia="zh-CN"/>
        </w:rPr>
        <w:t>2019年送戏下乡项目决策科学、合理、程序合法，项目管理有序，严格执行相关法律法规，没有违反项目管理制度的行为发生，项目完成的任务量未达到，质量较好，符合效果条件，项目实施后的社会效益明显，极大促进了我县文化事业的健康发展</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仿宋" w:hAnsi="仿宋" w:eastAsia="仿宋" w:cs="仿宋"/>
          <w:b/>
          <w:sz w:val="32"/>
          <w:lang w:val="zh-CN" w:eastAsia="zh-CN"/>
        </w:rPr>
        <w:t xml:space="preserve"> </w:t>
      </w:r>
      <w:r>
        <w:rPr>
          <w:rFonts w:hint="eastAsia" w:ascii="仿宋_GB2312" w:hAnsi="仿宋_GB2312" w:eastAsia="仿宋_GB2312" w:cs="仿宋_GB2312"/>
          <w:b w:val="0"/>
          <w:bCs w:val="0"/>
          <w:sz w:val="32"/>
          <w:szCs w:val="32"/>
          <w:lang w:val="zh-CN" w:eastAsia="zh-CN"/>
        </w:rPr>
        <w:t>项目计划与资金计划，存在相对脱节，没能准确的实施项目。</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600" w:lineRule="exact"/>
        <w:jc w:val="center"/>
        <w:rPr>
          <w:rFonts w:hint="eastAsia" w:ascii="方正小标宋简体" w:hAnsi="宋体" w:eastAsia="方正小标宋简体"/>
          <w:color w:val="000000"/>
          <w:kern w:val="0"/>
          <w:sz w:val="44"/>
          <w:szCs w:val="44"/>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zh-CN"/>
        </w:rPr>
        <w:t>加强项目计划与项目资金的对接，严格审核，准确实施。</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两馆一站</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1．壤塘县文化体育和旅游局在</w:t>
      </w:r>
      <w:r>
        <w:rPr>
          <w:rFonts w:hint="eastAsia" w:ascii="仿宋_GB2312" w:hAnsi="宋体" w:eastAsia="仿宋_GB2312"/>
          <w:sz w:val="32"/>
          <w:szCs w:val="32"/>
          <w:lang w:val="en-US" w:eastAsia="zh-CN"/>
        </w:rPr>
        <w:t>2019年度两馆一站项目专项资金管理上负有领导责任</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_GB2312" w:eastAsia="仿宋_GB2312" w:cs="仿宋_GB2312"/>
          <w:b w:val="0"/>
          <w:bCs w:val="0"/>
          <w:color w:val="auto"/>
          <w:sz w:val="32"/>
          <w:szCs w:val="32"/>
          <w:lang w:val="zh-CN" w:eastAsia="zh-CN"/>
        </w:rPr>
        <w:t>根据中央财政厅、省文化厅《下达文化体育和旅游局</w:t>
      </w:r>
      <w:r>
        <w:rPr>
          <w:rFonts w:hint="eastAsia" w:ascii="仿宋_GB2312" w:hAnsi="仿宋_GB2312" w:eastAsia="仿宋_GB2312" w:cs="仿宋_GB2312"/>
          <w:b w:val="0"/>
          <w:bCs w:val="0"/>
          <w:color w:val="auto"/>
          <w:sz w:val="32"/>
          <w:szCs w:val="32"/>
          <w:lang w:val="en-US" w:eastAsia="zh-CN"/>
        </w:rPr>
        <w:t>2019年中央补助地方公共文化服务体系建设专项资金（阿州财教{2019}17号）的通知</w:t>
      </w:r>
      <w:r>
        <w:rPr>
          <w:rFonts w:hint="eastAsia" w:ascii="仿宋_GB2312" w:hAnsi="仿宋_GB2312" w:eastAsia="仿宋_GB2312" w:cs="仿宋_GB2312"/>
          <w:b w:val="0"/>
          <w:bCs w:val="0"/>
          <w:color w:val="auto"/>
          <w:sz w:val="32"/>
          <w:szCs w:val="32"/>
          <w:lang w:val="zh-CN" w:eastAsia="zh-CN"/>
        </w:rPr>
        <w:t>》下达资金</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仿宋_GB2312" w:eastAsia="仿宋_GB2312" w:cs="仿宋_GB2312"/>
          <w:b w:val="0"/>
          <w:bCs w:val="0"/>
          <w:sz w:val="32"/>
          <w:szCs w:val="32"/>
          <w:lang w:val="zh-CN" w:eastAsia="zh-CN"/>
        </w:rPr>
        <w:t>两馆一站项目财务管理制度建设、机构设置、会计核算及账务是按照资金管理办法进行严格使用，项目严格执行财务管理制度、财务处理及时、会计核算规范。项目申报内容与具体实施内容相符、申报目标合理可行</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4．资金分配的原则是按照项目内容，本着需要的先后，轻重进行安排，主要考虑项目实施的及时性和全面性。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仿宋_GB2312" w:eastAsia="仿宋_GB2312" w:cs="仿宋_GB2312"/>
          <w:b w:val="0"/>
          <w:bCs w:val="0"/>
          <w:sz w:val="32"/>
          <w:szCs w:val="32"/>
          <w:lang w:val="zh-CN" w:eastAsia="zh-CN"/>
        </w:rPr>
        <w:t>县文化馆站、图书馆是落实县委县政府文化惠民政策，提高广大农牧民的精神文化生活，从而发扬我县优秀的传统民族文化，提高我县干部职工及农牧民业余文化生活，除节假日外全天对外开放</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_GB2312" w:eastAsia="仿宋_GB2312" w:cs="仿宋_GB2312"/>
          <w:b w:val="0"/>
          <w:bCs w:val="0"/>
          <w:sz w:val="32"/>
          <w:szCs w:val="32"/>
          <w:lang w:val="zh-CN" w:eastAsia="zh-CN"/>
        </w:rPr>
        <w:t>县文化馆站、图书馆对外免开是落实县委县政府文化惠民政策，我县文化体育和旅游局积极组织图书工作人员及文化馆工作人员进行开放及排练</w:t>
      </w:r>
      <w:r>
        <w:rPr>
          <w:rFonts w:hint="eastAsia" w:ascii="仿宋_GB2312" w:hAnsi="宋体" w:eastAsia="仿宋_GB2312"/>
          <w:sz w:val="32"/>
          <w:szCs w:val="32"/>
          <w:lang w:val="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仿宋_GB2312" w:eastAsia="仿宋_GB2312" w:cs="仿宋_GB2312"/>
          <w:b w:val="0"/>
          <w:bCs w:val="0"/>
          <w:sz w:val="32"/>
          <w:szCs w:val="32"/>
          <w:lang w:val="zh-CN" w:eastAsia="zh-CN"/>
        </w:rPr>
        <w:t>项目申报内容与具体实施内容相符、申报目标合理可行</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按照项目绩效评价的要求，本单位抽调主管财务的副局长，办公室，项目专干和相关财务人员对</w:t>
      </w:r>
      <w:r>
        <w:rPr>
          <w:rFonts w:hint="eastAsia" w:ascii="仿宋_GB2312" w:hAnsi="宋体" w:eastAsia="仿宋_GB2312"/>
          <w:sz w:val="32"/>
          <w:szCs w:val="32"/>
          <w:lang w:val="en-US" w:eastAsia="zh-CN"/>
        </w:rPr>
        <w:t>2019年两馆一站项目专项进行绩效评价，先核对项目文件，包括资金下达，项目实施，项目完成情况；再核对项目资金的支付，包括支付的程序，支付的内容，支付的金额</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color w:val="auto"/>
          <w:sz w:val="32"/>
          <w:szCs w:val="32"/>
          <w:lang w:val="zh-CN" w:eastAsia="zh-CN"/>
        </w:rPr>
        <w:t>根据中央财政厅、省文化厅《下达文化体育和旅游局</w:t>
      </w:r>
      <w:r>
        <w:rPr>
          <w:rFonts w:hint="eastAsia" w:ascii="仿宋_GB2312" w:hAnsi="仿宋_GB2312" w:eastAsia="仿宋_GB2312" w:cs="仿宋_GB2312"/>
          <w:b w:val="0"/>
          <w:bCs w:val="0"/>
          <w:color w:val="auto"/>
          <w:sz w:val="32"/>
          <w:szCs w:val="32"/>
          <w:lang w:val="en-US" w:eastAsia="zh-CN"/>
        </w:rPr>
        <w:t>2019年中央补助地方公共文化服务体系建设专项资金（阿州财教{2019}17号）的通知</w:t>
      </w:r>
      <w:r>
        <w:rPr>
          <w:rFonts w:hint="eastAsia" w:ascii="仿宋_GB2312" w:hAnsi="仿宋_GB2312" w:eastAsia="仿宋_GB2312" w:cs="仿宋_GB2312"/>
          <w:b w:val="0"/>
          <w:bCs w:val="0"/>
          <w:color w:val="auto"/>
          <w:sz w:val="32"/>
          <w:szCs w:val="32"/>
          <w:lang w:val="zh-CN" w:eastAsia="zh-CN"/>
        </w:rPr>
        <w:t>》下达</w:t>
      </w:r>
      <w:r>
        <w:rPr>
          <w:rFonts w:hint="eastAsia" w:ascii="仿宋_GB2312" w:hAnsi="仿宋_GB2312" w:eastAsia="仿宋_GB2312" w:cs="仿宋_GB2312"/>
          <w:b w:val="0"/>
          <w:bCs w:val="0"/>
          <w:color w:val="auto"/>
          <w:sz w:val="32"/>
          <w:szCs w:val="32"/>
          <w:lang w:val="en-US" w:eastAsia="zh-CN"/>
        </w:rPr>
        <w:t>文化馆免开资金：20万、图书馆免开资金：20万、各乡镇文化站免开资金：60万、共计补助100万元。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w:t>
      </w:r>
      <w:r>
        <w:rPr>
          <w:rFonts w:hint="eastAsia" w:ascii="仿宋_GB2312" w:hAnsi="仿宋_GB2312" w:eastAsia="仿宋_GB2312" w:cs="仿宋_GB2312"/>
          <w:b w:val="0"/>
          <w:bCs w:val="0"/>
          <w:color w:val="auto"/>
          <w:sz w:val="32"/>
          <w:szCs w:val="32"/>
          <w:lang w:val="zh-CN" w:eastAsia="zh-CN"/>
        </w:rPr>
        <w:t>该项目资金于</w:t>
      </w:r>
      <w:r>
        <w:rPr>
          <w:rFonts w:hint="eastAsia" w:ascii="仿宋_GB2312" w:hAnsi="仿宋_GB2312" w:eastAsia="仿宋_GB2312" w:cs="仿宋_GB2312"/>
          <w:b w:val="0"/>
          <w:bCs w:val="0"/>
          <w:color w:val="auto"/>
          <w:sz w:val="32"/>
          <w:szCs w:val="32"/>
          <w:lang w:val="en-US" w:eastAsia="zh-CN"/>
        </w:rPr>
        <w:t>2019年3月7日下达，文件阿州财教{2019}17号。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w:t>
      </w:r>
      <w:r>
        <w:rPr>
          <w:rStyle w:val="32"/>
          <w:rFonts w:hint="eastAsia" w:ascii="仿宋" w:hAnsi="仿宋" w:eastAsia="仿宋" w:cs="仿宋"/>
          <w:b w:val="0"/>
          <w:bCs w:val="0"/>
          <w:sz w:val="32"/>
          <w:szCs w:val="32"/>
          <w:lang w:val="en-US" w:eastAsia="zh-CN"/>
        </w:rPr>
        <w:t>2019年壤塘县两馆一站免费开放资金共计100万元，中央资金80万元，省级资金9万元，州级配套 2.2</w:t>
      </w:r>
      <w:r>
        <w:rPr>
          <w:rStyle w:val="32"/>
          <w:rFonts w:hint="default" w:ascii="仿宋" w:hAnsi="仿宋" w:eastAsia="仿宋" w:cs="仿宋"/>
          <w:b w:val="0"/>
          <w:bCs w:val="0"/>
          <w:sz w:val="32"/>
          <w:szCs w:val="32"/>
          <w:lang w:val="en-US" w:eastAsia="zh-CN"/>
        </w:rPr>
        <w:t>万元，</w:t>
      </w:r>
      <w:r>
        <w:rPr>
          <w:rStyle w:val="32"/>
          <w:rFonts w:hint="eastAsia" w:ascii="仿宋" w:hAnsi="仿宋" w:eastAsia="仿宋" w:cs="仿宋"/>
          <w:b w:val="0"/>
          <w:bCs w:val="0"/>
          <w:sz w:val="32"/>
          <w:szCs w:val="32"/>
          <w:lang w:val="en-US" w:eastAsia="zh-CN"/>
        </w:rPr>
        <w:t>县级配套8.8万元，</w:t>
      </w:r>
      <w:r>
        <w:rPr>
          <w:rStyle w:val="32"/>
          <w:rFonts w:hint="default" w:ascii="仿宋" w:hAnsi="仿宋" w:eastAsia="仿宋" w:cs="仿宋"/>
          <w:b w:val="0"/>
          <w:bCs w:val="0"/>
          <w:sz w:val="32"/>
          <w:szCs w:val="32"/>
          <w:lang w:val="en-US" w:eastAsia="zh-CN"/>
        </w:rPr>
        <w:t>已于20</w:t>
      </w:r>
      <w:r>
        <w:rPr>
          <w:rStyle w:val="32"/>
          <w:rFonts w:hint="eastAsia" w:ascii="仿宋" w:hAnsi="仿宋" w:eastAsia="仿宋" w:cs="仿宋"/>
          <w:b w:val="0"/>
          <w:bCs w:val="0"/>
          <w:sz w:val="32"/>
          <w:szCs w:val="32"/>
          <w:lang w:val="en-US" w:eastAsia="zh-CN"/>
        </w:rPr>
        <w:t>19</w:t>
      </w:r>
      <w:r>
        <w:rPr>
          <w:rStyle w:val="32"/>
          <w:rFonts w:hint="default" w:ascii="仿宋" w:hAnsi="仿宋" w:eastAsia="仿宋" w:cs="仿宋"/>
          <w:b w:val="0"/>
          <w:bCs w:val="0"/>
          <w:sz w:val="32"/>
          <w:szCs w:val="32"/>
          <w:lang w:val="en-US" w:eastAsia="zh-CN"/>
        </w:rPr>
        <w:t>年全部</w:t>
      </w:r>
      <w:r>
        <w:rPr>
          <w:rStyle w:val="32"/>
          <w:rFonts w:hint="eastAsia" w:ascii="仿宋" w:hAnsi="仿宋" w:eastAsia="仿宋" w:cs="仿宋"/>
          <w:b w:val="0"/>
          <w:bCs w:val="0"/>
          <w:sz w:val="32"/>
          <w:szCs w:val="32"/>
          <w:lang w:val="en-US" w:eastAsia="zh-CN"/>
        </w:rPr>
        <w:t>下达</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w:t>
      </w:r>
      <w:r>
        <w:rPr>
          <w:rFonts w:hint="eastAsia" w:ascii="仿宋_GB2312" w:hAnsi="仿宋_GB2312" w:eastAsia="仿宋_GB2312" w:cs="仿宋_GB2312"/>
          <w:b w:val="0"/>
          <w:bCs w:val="0"/>
          <w:color w:val="auto"/>
          <w:sz w:val="32"/>
          <w:szCs w:val="32"/>
          <w:lang w:val="zh-CN" w:eastAsia="zh-CN"/>
        </w:rPr>
        <w:t>该项目资金于</w:t>
      </w:r>
      <w:r>
        <w:rPr>
          <w:rFonts w:hint="eastAsia" w:ascii="仿宋_GB2312" w:hAnsi="仿宋_GB2312" w:eastAsia="仿宋_GB2312" w:cs="仿宋_GB2312"/>
          <w:b w:val="0"/>
          <w:bCs w:val="0"/>
          <w:color w:val="auto"/>
          <w:sz w:val="32"/>
          <w:szCs w:val="32"/>
          <w:lang w:val="en-US" w:eastAsia="zh-CN"/>
        </w:rPr>
        <w:t>2019年3月7日下达阿州财教{2019}17号。截止2019年12月31日该笔项目资金支付100万元</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两馆一站项目财务管理制度建设、机构设置、会计核算及账务是按照资金管理办法进行严格使用，项目严格执行财务管理制度、财务处理及时、会计核算规范</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两馆一站成立了领导小组，由分管两馆的副局长担任组长，文化馆馆长作为副组长，并对前期工作进行了细致而周密的安排部署</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制定了对外免开实施方案。图书馆购买图书、两馆一所装修、县图书馆、文化馆、乡镇文化站设施设备健全等</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b w:val="0"/>
          <w:bCs w:val="0"/>
          <w:sz w:val="32"/>
          <w:szCs w:val="32"/>
          <w:lang w:val="zh-CN" w:eastAsia="zh-CN"/>
        </w:rPr>
        <w:t>两馆一站成立了领导小组，由分管两馆的副局长担任组长，文化馆馆长作为副组长，并对前期工作进行了细致而周密的安排部署</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eastAsia="zh-CN"/>
        </w:rPr>
        <w:t>制定了对外免开实施方案。图书馆购买图书、两馆一所装修、县图书馆、文化馆、乡镇文化站设施设备健全等</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加强项目管理，在项目实施过程中，强调项目的一致性，在项目完成时及时进行验收，支付项目款时严格执行支付流程。</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13"/>
        <w:numPr>
          <w:ilvl w:val="0"/>
          <w:numId w:val="0"/>
        </w:numPr>
        <w:shd w:val="clear" w:color="auto" w:fill="FFFFFF"/>
        <w:wordWrap w:val="0"/>
        <w:spacing w:before="150" w:beforeAutospacing="0" w:after="150" w:afterAutospacing="0" w:line="450" w:lineRule="atLeast"/>
        <w:ind w:firstLine="320" w:firstLineChars="100"/>
        <w:rPr>
          <w:rStyle w:val="32"/>
          <w:rFonts w:hint="default" w:ascii="仿宋" w:hAnsi="仿宋" w:eastAsia="仿宋" w:cs="仿宋"/>
          <w:b w:val="0"/>
          <w:bCs w:val="0"/>
          <w:sz w:val="32"/>
          <w:szCs w:val="32"/>
          <w:lang w:val="en-US" w:eastAsia="zh-CN"/>
        </w:rPr>
      </w:pPr>
      <w:r>
        <w:rPr>
          <w:rStyle w:val="32"/>
          <w:rFonts w:hint="eastAsia" w:ascii="仿宋" w:hAnsi="仿宋" w:eastAsia="仿宋" w:cs="仿宋"/>
          <w:b w:val="0"/>
          <w:bCs w:val="0"/>
          <w:sz w:val="32"/>
          <w:szCs w:val="32"/>
          <w:lang w:val="en-US" w:eastAsia="zh-CN"/>
        </w:rPr>
        <w:t>壤塘县</w:t>
      </w:r>
      <w:r>
        <w:rPr>
          <w:rStyle w:val="32"/>
          <w:rFonts w:hint="default" w:ascii="仿宋" w:hAnsi="仿宋" w:eastAsia="仿宋" w:cs="仿宋"/>
          <w:b w:val="0"/>
          <w:bCs w:val="0"/>
          <w:sz w:val="32"/>
          <w:szCs w:val="32"/>
          <w:lang w:val="en-US" w:eastAsia="zh-CN"/>
        </w:rPr>
        <w:t>按照省</w:t>
      </w:r>
      <w:r>
        <w:rPr>
          <w:rStyle w:val="32"/>
          <w:rFonts w:hint="eastAsia" w:ascii="仿宋" w:hAnsi="仿宋" w:eastAsia="仿宋" w:cs="仿宋"/>
          <w:b w:val="0"/>
          <w:bCs w:val="0"/>
          <w:sz w:val="32"/>
          <w:szCs w:val="32"/>
          <w:lang w:val="en-US" w:eastAsia="zh-CN"/>
        </w:rPr>
        <w:t>州（</w:t>
      </w:r>
      <w:r>
        <w:rPr>
          <w:rStyle w:val="32"/>
          <w:rFonts w:hint="default" w:ascii="仿宋" w:hAnsi="仿宋" w:eastAsia="仿宋" w:cs="仿宋"/>
          <w:b w:val="0"/>
          <w:bCs w:val="0"/>
          <w:sz w:val="32"/>
          <w:szCs w:val="32"/>
          <w:lang w:val="en-US" w:eastAsia="zh-CN"/>
        </w:rPr>
        <w:t>公共图书馆、文化馆站)免费开放工作的实施意见》要求，将免费开放落实到位，并达到免费开放相关工作要求。具体措施主要有:</w:t>
      </w:r>
    </w:p>
    <w:p>
      <w:pPr>
        <w:pStyle w:val="13"/>
        <w:numPr>
          <w:ilvl w:val="0"/>
          <w:numId w:val="0"/>
        </w:numPr>
        <w:shd w:val="clear" w:color="auto" w:fill="FFFFFF"/>
        <w:wordWrap w:val="0"/>
        <w:spacing w:before="150" w:beforeAutospacing="0" w:after="150" w:afterAutospacing="0" w:line="450" w:lineRule="atLeast"/>
        <w:ind w:firstLine="640" w:firstLineChars="200"/>
        <w:rPr>
          <w:rStyle w:val="32"/>
          <w:rFonts w:hint="default" w:ascii="仿宋" w:hAnsi="仿宋" w:eastAsia="仿宋" w:cs="仿宋"/>
          <w:b w:val="0"/>
          <w:bCs w:val="0"/>
          <w:sz w:val="32"/>
          <w:szCs w:val="32"/>
          <w:lang w:val="en-US" w:eastAsia="zh-CN"/>
        </w:rPr>
      </w:pPr>
      <w:r>
        <w:rPr>
          <w:rStyle w:val="32"/>
          <w:rFonts w:hint="eastAsia" w:ascii="仿宋" w:hAnsi="仿宋" w:eastAsia="仿宋" w:cs="仿宋"/>
          <w:b w:val="0"/>
          <w:bCs w:val="0"/>
          <w:sz w:val="32"/>
          <w:szCs w:val="32"/>
          <w:lang w:val="en-US" w:eastAsia="zh-CN"/>
        </w:rPr>
        <w:t>1、</w:t>
      </w:r>
      <w:r>
        <w:rPr>
          <w:rStyle w:val="32"/>
          <w:rFonts w:hint="default" w:ascii="仿宋" w:hAnsi="仿宋" w:eastAsia="仿宋" w:cs="仿宋"/>
          <w:b w:val="0"/>
          <w:bCs w:val="0"/>
          <w:sz w:val="32"/>
          <w:szCs w:val="32"/>
          <w:lang w:val="en-US" w:eastAsia="zh-CN"/>
        </w:rPr>
        <w:t>我局加强组织领导</w:t>
      </w:r>
      <w:r>
        <w:rPr>
          <w:rStyle w:val="32"/>
          <w:rFonts w:hint="eastAsia" w:ascii="仿宋" w:hAnsi="仿宋" w:eastAsia="仿宋" w:cs="仿宋"/>
          <w:b w:val="0"/>
          <w:bCs w:val="0"/>
          <w:sz w:val="32"/>
          <w:szCs w:val="32"/>
          <w:lang w:val="en-US" w:eastAsia="zh-CN"/>
        </w:rPr>
        <w:t>，</w:t>
      </w:r>
      <w:r>
        <w:rPr>
          <w:rStyle w:val="32"/>
          <w:rFonts w:hint="default" w:ascii="仿宋" w:hAnsi="仿宋" w:eastAsia="仿宋" w:cs="仿宋"/>
          <w:b w:val="0"/>
          <w:bCs w:val="0"/>
          <w:sz w:val="32"/>
          <w:szCs w:val="32"/>
          <w:lang w:val="en-US" w:eastAsia="zh-CN"/>
        </w:rPr>
        <w:t>建立了免费开两馆站免费开放专项资</w:t>
      </w:r>
      <w:r>
        <w:rPr>
          <w:rStyle w:val="32"/>
          <w:rFonts w:hint="eastAsia" w:ascii="仿宋" w:hAnsi="仿宋" w:eastAsia="仿宋" w:cs="仿宋"/>
          <w:b w:val="0"/>
          <w:bCs w:val="0"/>
          <w:sz w:val="32"/>
          <w:szCs w:val="32"/>
          <w:lang w:val="en-US" w:eastAsia="zh-CN"/>
        </w:rPr>
        <w:t>金。</w:t>
      </w:r>
    </w:p>
    <w:p>
      <w:pPr>
        <w:pStyle w:val="13"/>
        <w:numPr>
          <w:ilvl w:val="0"/>
          <w:numId w:val="0"/>
        </w:numPr>
        <w:shd w:val="clear" w:color="auto" w:fill="FFFFFF"/>
        <w:wordWrap w:val="0"/>
        <w:spacing w:before="150" w:beforeAutospacing="0" w:after="150" w:afterAutospacing="0" w:line="450" w:lineRule="atLeast"/>
        <w:ind w:firstLine="640" w:firstLineChars="200"/>
        <w:rPr>
          <w:rStyle w:val="32"/>
          <w:rFonts w:hint="default" w:ascii="仿宋" w:hAnsi="仿宋" w:eastAsia="仿宋" w:cs="仿宋"/>
          <w:b w:val="0"/>
          <w:bCs w:val="0"/>
          <w:sz w:val="32"/>
          <w:szCs w:val="32"/>
          <w:lang w:val="en-US" w:eastAsia="zh-CN"/>
        </w:rPr>
      </w:pPr>
      <w:r>
        <w:rPr>
          <w:rStyle w:val="32"/>
          <w:rFonts w:hint="eastAsia" w:ascii="仿宋" w:hAnsi="仿宋" w:eastAsia="仿宋" w:cs="仿宋"/>
          <w:b w:val="0"/>
          <w:bCs w:val="0"/>
          <w:sz w:val="32"/>
          <w:szCs w:val="32"/>
          <w:lang w:val="en-US" w:eastAsia="zh-CN"/>
        </w:rPr>
        <w:t>2、</w:t>
      </w:r>
      <w:r>
        <w:rPr>
          <w:rStyle w:val="32"/>
          <w:rFonts w:hint="default" w:ascii="仿宋" w:hAnsi="仿宋" w:eastAsia="仿宋" w:cs="仿宋"/>
          <w:b w:val="0"/>
          <w:bCs w:val="0"/>
          <w:sz w:val="32"/>
          <w:szCs w:val="32"/>
          <w:lang w:val="en-US" w:eastAsia="zh-CN"/>
        </w:rPr>
        <w:t>认真制订了免费开放的具体实施方案。</w:t>
      </w:r>
    </w:p>
    <w:p>
      <w:pPr>
        <w:pStyle w:val="13"/>
        <w:numPr>
          <w:ilvl w:val="0"/>
          <w:numId w:val="0"/>
        </w:numPr>
        <w:shd w:val="clear" w:color="auto" w:fill="FFFFFF"/>
        <w:wordWrap w:val="0"/>
        <w:spacing w:before="150" w:beforeAutospacing="0" w:after="150" w:afterAutospacing="0" w:line="450" w:lineRule="atLeast"/>
        <w:ind w:firstLine="640" w:firstLineChars="200"/>
        <w:rPr>
          <w:rStyle w:val="32"/>
          <w:rFonts w:hint="default" w:ascii="仿宋" w:hAnsi="仿宋" w:eastAsia="仿宋" w:cs="仿宋"/>
          <w:b w:val="0"/>
          <w:bCs w:val="0"/>
          <w:sz w:val="32"/>
          <w:szCs w:val="32"/>
          <w:lang w:val="en-US" w:eastAsia="zh-CN"/>
        </w:rPr>
      </w:pPr>
      <w:r>
        <w:rPr>
          <w:rStyle w:val="32"/>
          <w:rFonts w:hint="eastAsia" w:ascii="仿宋" w:hAnsi="仿宋" w:eastAsia="仿宋" w:cs="仿宋"/>
          <w:b w:val="0"/>
          <w:bCs w:val="0"/>
          <w:sz w:val="32"/>
          <w:szCs w:val="32"/>
          <w:lang w:val="en-US" w:eastAsia="zh-CN"/>
        </w:rPr>
        <w:t>3、</w:t>
      </w:r>
      <w:r>
        <w:rPr>
          <w:rStyle w:val="32"/>
          <w:rFonts w:hint="default" w:ascii="仿宋" w:hAnsi="仿宋" w:eastAsia="仿宋" w:cs="仿宋"/>
          <w:b w:val="0"/>
          <w:bCs w:val="0"/>
          <w:sz w:val="32"/>
          <w:szCs w:val="32"/>
          <w:lang w:val="en-US" w:eastAsia="zh-CN"/>
        </w:rPr>
        <w:t>加强管理创新</w:t>
      </w:r>
      <w:r>
        <w:rPr>
          <w:rStyle w:val="32"/>
          <w:rFonts w:hint="eastAsia" w:ascii="仿宋" w:hAnsi="仿宋" w:eastAsia="仿宋" w:cs="仿宋"/>
          <w:b w:val="0"/>
          <w:bCs w:val="0"/>
          <w:sz w:val="32"/>
          <w:szCs w:val="32"/>
          <w:lang w:val="en-US" w:eastAsia="zh-CN"/>
        </w:rPr>
        <w:t>，</w:t>
      </w:r>
      <w:r>
        <w:rPr>
          <w:rStyle w:val="32"/>
          <w:rFonts w:hint="default" w:ascii="仿宋" w:hAnsi="仿宋" w:eastAsia="仿宋" w:cs="仿宋"/>
          <w:b w:val="0"/>
          <w:bCs w:val="0"/>
          <w:sz w:val="32"/>
          <w:szCs w:val="32"/>
          <w:lang w:val="en-US" w:eastAsia="zh-CN"/>
        </w:rPr>
        <w:t>文化馆(站)、图书馆围绕基本文化服务功能，精心设置服务项目，提高公共文化设施利用率。</w:t>
      </w:r>
    </w:p>
    <w:p>
      <w:pPr>
        <w:adjustRightInd w:val="0"/>
        <w:snapToGrid w:val="0"/>
        <w:spacing w:line="600" w:lineRule="exact"/>
        <w:ind w:firstLine="640" w:firstLineChars="200"/>
        <w:rPr>
          <w:rFonts w:ascii="楷体_GB2312" w:hAnsi="宋体" w:eastAsia="楷体_GB2312"/>
          <w:b/>
          <w:sz w:val="32"/>
          <w:szCs w:val="32"/>
          <w:lang w:val="zh-CN"/>
        </w:rPr>
      </w:pPr>
      <w:r>
        <w:rPr>
          <w:rStyle w:val="32"/>
          <w:rFonts w:hint="eastAsia" w:ascii="仿宋" w:hAnsi="仿宋" w:eastAsia="仿宋" w:cs="仿宋"/>
          <w:b w:val="0"/>
          <w:bCs w:val="0"/>
          <w:sz w:val="32"/>
          <w:szCs w:val="32"/>
          <w:lang w:val="en-US" w:eastAsia="zh-CN"/>
        </w:rPr>
        <w:t>4、</w:t>
      </w:r>
      <w:r>
        <w:rPr>
          <w:rStyle w:val="32"/>
          <w:rFonts w:hint="default" w:ascii="仿宋" w:hAnsi="仿宋" w:eastAsia="仿宋" w:cs="仿宋"/>
          <w:b w:val="0"/>
          <w:bCs w:val="0"/>
          <w:sz w:val="32"/>
          <w:szCs w:val="32"/>
          <w:lang w:val="en-US" w:eastAsia="zh-CN"/>
        </w:rPr>
        <w:t>加强督查考核、宣传引导。对照免费开放基本内容、目标和服务标准，对两馆一站进行了督促检查和考评，并结合考评结果，划拨免费开放专项资金。同时我局还利用广播、电视、互联网等新闻媒体进行免费开放的宣传工作，利用两馆一站的公告栏进行宣传，切实提高了免费开放工作社会知晓率，为免费开放工作营造了良好的社会氛围</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对外免开两馆一站能够提升广大农牧民的精神气质，丰富了他们的精神生活，学习文化宣传壤巴拉文化的，对生活充满向往与追求，使他们以舞、文更好的弘扬壤巴拉优秀文化有底气和决心</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我们认为</w:t>
      </w:r>
      <w:r>
        <w:rPr>
          <w:rFonts w:hint="eastAsia" w:ascii="仿宋_GB2312" w:hAnsi="宋体" w:eastAsia="仿宋_GB2312"/>
          <w:sz w:val="32"/>
          <w:szCs w:val="32"/>
          <w:lang w:val="en-US" w:eastAsia="zh-CN"/>
        </w:rPr>
        <w:t>2019年两馆一站项目决策科学、合理、程序合法，项目管理有序，严格执行相关法律法规，没有违反项目管理制度的行为发生，项目完成的任务量未达到，质量较好，符合效果条件，项目实施后的社会效益明显，极大促进了我县文化事业的健康发展</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b w:val="0"/>
          <w:bCs w:val="0"/>
          <w:sz w:val="32"/>
          <w:szCs w:val="32"/>
          <w:lang w:val="zh-CN" w:eastAsia="zh-CN"/>
        </w:rPr>
        <w:t>项目计划与资金计划，存在相对脱节，没能准确的实施项目</w:t>
      </w:r>
      <w:r>
        <w:rPr>
          <w:rFonts w:hint="eastAsia" w:ascii="仿宋_GB2312" w:hAnsi="宋体" w:eastAsia="仿宋_GB2312"/>
          <w:sz w:val="32"/>
          <w:szCs w:val="32"/>
          <w:lang w:val="zh-CN"/>
        </w:rPr>
        <w:t>。</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加强项目计划与项目资金的对接，严格审核，准确实施。</w:t>
      </w: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63"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4"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4"/>
    </w:p>
    <w:p>
      <w:pPr>
        <w:pStyle w:val="4"/>
        <w:rPr>
          <w:rFonts w:ascii="仿宋" w:hAnsi="仿宋" w:eastAsia="仿宋"/>
          <w:color w:val="000000"/>
        </w:rPr>
      </w:pPr>
      <w:bookmarkStart w:id="65"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5"/>
    </w:p>
    <w:p>
      <w:pPr>
        <w:pStyle w:val="4"/>
        <w:rPr>
          <w:rFonts w:ascii="仿宋" w:hAnsi="仿宋" w:eastAsia="仿宋"/>
          <w:color w:val="000000"/>
        </w:rPr>
      </w:pPr>
      <w:bookmarkStart w:id="66"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6"/>
    </w:p>
    <w:p>
      <w:pPr>
        <w:pStyle w:val="4"/>
        <w:rPr>
          <w:rFonts w:ascii="仿宋" w:hAnsi="仿宋" w:eastAsia="仿宋"/>
          <w:b w:val="0"/>
          <w:color w:val="000000"/>
        </w:rPr>
      </w:pPr>
      <w:bookmarkStart w:id="67"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7"/>
    </w:p>
    <w:p>
      <w:pPr>
        <w:pStyle w:val="4"/>
        <w:rPr>
          <w:rStyle w:val="27"/>
          <w:rFonts w:ascii="仿宋" w:hAnsi="仿宋" w:eastAsia="仿宋"/>
          <w:b w:val="0"/>
          <w:bCs w:val="0"/>
        </w:rPr>
      </w:pPr>
      <w:bookmarkStart w:id="68"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8"/>
      <w:bookmarkStart w:id="69" w:name="_Toc15396624"/>
    </w:p>
    <w:p>
      <w:pPr>
        <w:pStyle w:val="4"/>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9"/>
    </w:p>
    <w:p>
      <w:pPr>
        <w:pStyle w:val="4"/>
        <w:rPr>
          <w:rFonts w:ascii="仿宋" w:hAnsi="仿宋" w:eastAsia="仿宋"/>
          <w:color w:val="000000"/>
        </w:rPr>
      </w:pPr>
      <w:bookmarkStart w:id="70"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70"/>
    </w:p>
    <w:p>
      <w:pPr>
        <w:pStyle w:val="4"/>
        <w:rPr>
          <w:rFonts w:ascii="仿宋" w:hAnsi="仿宋" w:eastAsia="仿宋"/>
          <w:color w:val="000000"/>
        </w:rPr>
      </w:pPr>
      <w:bookmarkStart w:id="71"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1"/>
    </w:p>
    <w:p>
      <w:pPr>
        <w:pStyle w:val="4"/>
        <w:rPr>
          <w:rFonts w:ascii="仿宋" w:hAnsi="仿宋" w:eastAsia="仿宋"/>
          <w:color w:val="000000"/>
        </w:rPr>
      </w:pPr>
      <w:bookmarkStart w:id="72"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72"/>
    </w:p>
    <w:p>
      <w:pPr>
        <w:pStyle w:val="4"/>
        <w:rPr>
          <w:rFonts w:ascii="仿宋" w:hAnsi="仿宋" w:eastAsia="仿宋"/>
          <w:color w:val="000000"/>
        </w:rPr>
      </w:pPr>
      <w:bookmarkStart w:id="73"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3"/>
    </w:p>
    <w:p>
      <w:pPr>
        <w:pStyle w:val="4"/>
        <w:rPr>
          <w:rFonts w:ascii="仿宋" w:hAnsi="仿宋" w:eastAsia="仿宋"/>
          <w:color w:val="000000"/>
        </w:rPr>
      </w:pPr>
      <w:bookmarkStart w:id="74"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4"/>
    </w:p>
    <w:p>
      <w:pPr>
        <w:pStyle w:val="4"/>
        <w:rPr>
          <w:rFonts w:ascii="仿宋" w:hAnsi="仿宋" w:eastAsia="仿宋"/>
          <w:color w:val="000000"/>
        </w:rPr>
      </w:pPr>
      <w:bookmarkStart w:id="75"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5"/>
    </w:p>
    <w:p>
      <w:pPr>
        <w:pStyle w:val="4"/>
        <w:rPr>
          <w:rFonts w:ascii="仿宋" w:hAnsi="仿宋" w:eastAsia="仿宋"/>
          <w:color w:val="000000" w:themeColor="text1"/>
          <w14:textFill>
            <w14:solidFill>
              <w14:schemeClr w14:val="tx1"/>
            </w14:solidFill>
          </w14:textFill>
        </w:rPr>
      </w:pPr>
      <w:bookmarkStart w:id="76"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9CCCED4-93B3-42E5-8BA0-51BA56FE35EB}"/>
  </w:font>
  <w:font w:name="黑体">
    <w:panose1 w:val="02010609060101010101"/>
    <w:charset w:val="86"/>
    <w:family w:val="auto"/>
    <w:pitch w:val="default"/>
    <w:sig w:usb0="800002BF" w:usb1="38CF7CFA" w:usb2="00000016" w:usb3="00000000" w:csb0="00040001" w:csb1="00000000"/>
    <w:embedRegular r:id="rId2" w:fontKey="{6791BC62-4543-4DB3-8C9E-600F07730CE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F2B49DF3-8047-4620-86B0-F970DA7F5841}"/>
  </w:font>
  <w:font w:name="仿宋_GB2312">
    <w:panose1 w:val="02010609030101010101"/>
    <w:charset w:val="86"/>
    <w:family w:val="modern"/>
    <w:pitch w:val="default"/>
    <w:sig w:usb0="00000001" w:usb1="080E0000" w:usb2="00000000" w:usb3="00000000" w:csb0="00040000" w:csb1="00000000"/>
    <w:embedRegular r:id="rId4" w:fontKey="{CE261F6E-1613-4DA1-85A9-5311DDD0FB8F}"/>
  </w:font>
  <w:font w:name="仿宋">
    <w:panose1 w:val="02010609060101010101"/>
    <w:charset w:val="86"/>
    <w:family w:val="modern"/>
    <w:pitch w:val="default"/>
    <w:sig w:usb0="800002BF" w:usb1="38CF7CFA" w:usb2="00000016" w:usb3="00000000" w:csb0="00040001" w:csb1="00000000"/>
    <w:embedRegular r:id="rId5" w:fontKey="{6A960BC7-42E8-4B58-A091-263D7A5D8B60}"/>
  </w:font>
  <w:font w:name="方正小标宋简体">
    <w:panose1 w:val="03000509000000000000"/>
    <w:charset w:val="86"/>
    <w:family w:val="script"/>
    <w:pitch w:val="default"/>
    <w:sig w:usb0="00000001" w:usb1="080E0000" w:usb2="00000000" w:usb3="00000000" w:csb0="00040000" w:csb1="00000000"/>
    <w:embedRegular r:id="rId6" w:fontKey="{D34B5282-24C2-40CE-8FEF-C69665AA24C3}"/>
  </w:font>
  <w:font w:name="方正小标宋_GBK">
    <w:panose1 w:val="02000000000000000000"/>
    <w:charset w:val="86"/>
    <w:family w:val="script"/>
    <w:pitch w:val="default"/>
    <w:sig w:usb0="00000001" w:usb1="080E0000" w:usb2="00000000" w:usb3="00000000" w:csb0="00040000" w:csb1="00000000"/>
    <w:embedRegular r:id="rId7" w:fontKey="{9BA94023-57BE-44E2-A2C4-065A001ED268}"/>
  </w:font>
  <w:font w:name="楷体_GB2312">
    <w:panose1 w:val="02010609030101010101"/>
    <w:charset w:val="86"/>
    <w:family w:val="modern"/>
    <w:pitch w:val="default"/>
    <w:sig w:usb0="00000001" w:usb1="080E0000" w:usb2="00000000" w:usb3="00000000" w:csb0="00040000" w:csb1="00000000"/>
    <w:embedRegular r:id="rId8" w:fontKey="{83832B39-5596-4BAD-8297-00F5BDF82E9A}"/>
  </w:font>
  <w:font w:name="_4eff_5b8b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85DF849"/>
    <w:multiLevelType w:val="singleLevel"/>
    <w:tmpl w:val="F85DF849"/>
    <w:lvl w:ilvl="0" w:tentative="0">
      <w:start w:val="2"/>
      <w:numFmt w:val="chineseCounting"/>
      <w:suff w:val="nothing"/>
      <w:lvlText w:val="（%1）"/>
      <w:lvlJc w:val="left"/>
      <w:rPr>
        <w:rFonts w:hint="eastAsia"/>
      </w:rPr>
    </w:lvl>
  </w:abstractNum>
  <w:abstractNum w:abstractNumId="3">
    <w:nsid w:val="FDD5488B"/>
    <w:multiLevelType w:val="singleLevel"/>
    <w:tmpl w:val="FDD5488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D4F29"/>
    <w:rsid w:val="0620255D"/>
    <w:rsid w:val="092A7C5F"/>
    <w:rsid w:val="09783895"/>
    <w:rsid w:val="0D6B7F68"/>
    <w:rsid w:val="0E1E6E8F"/>
    <w:rsid w:val="0E396E51"/>
    <w:rsid w:val="0F155E3D"/>
    <w:rsid w:val="0F4B5561"/>
    <w:rsid w:val="0F570B06"/>
    <w:rsid w:val="10C055FF"/>
    <w:rsid w:val="11552894"/>
    <w:rsid w:val="16BB723D"/>
    <w:rsid w:val="17CF5F31"/>
    <w:rsid w:val="1822236D"/>
    <w:rsid w:val="189B1811"/>
    <w:rsid w:val="1B3B0D5F"/>
    <w:rsid w:val="1C50158E"/>
    <w:rsid w:val="1E735A50"/>
    <w:rsid w:val="20A56B5B"/>
    <w:rsid w:val="216876E5"/>
    <w:rsid w:val="217A72FF"/>
    <w:rsid w:val="240371BF"/>
    <w:rsid w:val="241E770B"/>
    <w:rsid w:val="24ED7618"/>
    <w:rsid w:val="2510580D"/>
    <w:rsid w:val="25B57440"/>
    <w:rsid w:val="26514068"/>
    <w:rsid w:val="292955A4"/>
    <w:rsid w:val="292E2C48"/>
    <w:rsid w:val="29CC1B15"/>
    <w:rsid w:val="29FD04D3"/>
    <w:rsid w:val="2AF4774B"/>
    <w:rsid w:val="2B97541E"/>
    <w:rsid w:val="2E3920F2"/>
    <w:rsid w:val="2F4A08A3"/>
    <w:rsid w:val="319F7F4E"/>
    <w:rsid w:val="36DB0C63"/>
    <w:rsid w:val="38517E36"/>
    <w:rsid w:val="38C30F0F"/>
    <w:rsid w:val="39523F2E"/>
    <w:rsid w:val="39864E53"/>
    <w:rsid w:val="3A0F685D"/>
    <w:rsid w:val="3C512252"/>
    <w:rsid w:val="411A7EE2"/>
    <w:rsid w:val="41F90D01"/>
    <w:rsid w:val="441778D0"/>
    <w:rsid w:val="45462E3D"/>
    <w:rsid w:val="489A2737"/>
    <w:rsid w:val="48CD6A0D"/>
    <w:rsid w:val="492C3C06"/>
    <w:rsid w:val="495C047C"/>
    <w:rsid w:val="4A0020AA"/>
    <w:rsid w:val="4A4A729E"/>
    <w:rsid w:val="4AD157B9"/>
    <w:rsid w:val="4B153299"/>
    <w:rsid w:val="4C4030F6"/>
    <w:rsid w:val="4C7C5B18"/>
    <w:rsid w:val="4D30127E"/>
    <w:rsid w:val="4EB406B9"/>
    <w:rsid w:val="4ECE2238"/>
    <w:rsid w:val="4F9F16DC"/>
    <w:rsid w:val="4FF05C76"/>
    <w:rsid w:val="518B244A"/>
    <w:rsid w:val="53543EFA"/>
    <w:rsid w:val="54354BCC"/>
    <w:rsid w:val="582260C7"/>
    <w:rsid w:val="58C87628"/>
    <w:rsid w:val="59B0264A"/>
    <w:rsid w:val="5BCC254F"/>
    <w:rsid w:val="5C8728D2"/>
    <w:rsid w:val="5E647D7A"/>
    <w:rsid w:val="5F112DD2"/>
    <w:rsid w:val="5F663956"/>
    <w:rsid w:val="5F8B217D"/>
    <w:rsid w:val="60AB5F0E"/>
    <w:rsid w:val="60C40D6A"/>
    <w:rsid w:val="614D5CE7"/>
    <w:rsid w:val="616B0512"/>
    <w:rsid w:val="61ED7836"/>
    <w:rsid w:val="63A73F5B"/>
    <w:rsid w:val="669F0420"/>
    <w:rsid w:val="672510BE"/>
    <w:rsid w:val="673778FF"/>
    <w:rsid w:val="683A3939"/>
    <w:rsid w:val="6979692C"/>
    <w:rsid w:val="69A76032"/>
    <w:rsid w:val="6A73281C"/>
    <w:rsid w:val="6A9E277A"/>
    <w:rsid w:val="6BE46755"/>
    <w:rsid w:val="6BFF01C2"/>
    <w:rsid w:val="6C3444C9"/>
    <w:rsid w:val="6C6868FC"/>
    <w:rsid w:val="6D6A3538"/>
    <w:rsid w:val="6D941B1B"/>
    <w:rsid w:val="72734D90"/>
    <w:rsid w:val="72774F04"/>
    <w:rsid w:val="72AA3B89"/>
    <w:rsid w:val="761B5F59"/>
    <w:rsid w:val="767D3E34"/>
    <w:rsid w:val="76C16FBC"/>
    <w:rsid w:val="79217975"/>
    <w:rsid w:val="79220592"/>
    <w:rsid w:val="79F14AE2"/>
    <w:rsid w:val="7B25611D"/>
    <w:rsid w:val="7C434A70"/>
    <w:rsid w:val="7CDB43F3"/>
    <w:rsid w:val="7DE778DA"/>
    <w:rsid w:val="7ECF38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字符"/>
    <w:basedOn w:val="14"/>
    <w:link w:val="3"/>
    <w:qFormat/>
    <w:uiPriority w:val="9"/>
    <w:rPr>
      <w:rFonts w:ascii="Times New Roman" w:hAnsi="Times New Roman"/>
      <w:b/>
      <w:bCs/>
      <w:kern w:val="44"/>
      <w:sz w:val="44"/>
      <w:szCs w:val="44"/>
    </w:rPr>
  </w:style>
  <w:style w:type="character" w:customStyle="1" w:styleId="27">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4"/>
    <w:link w:val="8"/>
    <w:semiHidden/>
    <w:qFormat/>
    <w:uiPriority w:val="99"/>
    <w:rPr>
      <w:rFonts w:ascii="Times New Roman" w:hAnsi="Times New Roman"/>
      <w:kern w:val="2"/>
      <w:sz w:val="18"/>
      <w:szCs w:val="18"/>
    </w:rPr>
  </w:style>
  <w:style w:type="character" w:customStyle="1" w:styleId="30">
    <w:name w:val="标题 3 字符"/>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apple-converted-space"/>
    <w:basedOn w:val="14"/>
    <w:qFormat/>
    <w:uiPriority w:val="0"/>
  </w:style>
  <w:style w:type="character" w:customStyle="1" w:styleId="3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rtxgxs\Desktop\&#36864;&#20241;&#20154;&#21592;&#33457;&#21517;&#2087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rtxgxs\Desktop\&#36864;&#20241;&#20154;&#21592;&#33457;&#21517;&#2087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rtxgxs\Desktop\&#36864;&#20241;&#20154;&#21592;&#33457;&#21517;&#2087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rtxgxs\Desktop\&#36864;&#20241;&#20154;&#21592;&#33457;&#21517;&#2087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rtxgxs\Desktop\&#36864;&#20241;&#20154;&#21592;&#33457;&#21517;&#2087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rtxgxs\Desktop\&#36864;&#20241;&#20154;&#21592;&#33457;&#21517;&#2087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rtxgxs\Desktop\&#36864;&#20241;&#20154;&#21592;&#33457;&#21517;&#208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[退休人员花名册.xlsx]Sheet2!$A$1:$A$4</c:f>
              <c:strCache>
                <c:ptCount val="4"/>
                <c:pt idx="0">
                  <c:v>2018年收入</c:v>
                </c:pt>
                <c:pt idx="1">
                  <c:v>2018年支出</c:v>
                </c:pt>
                <c:pt idx="2">
                  <c:v>2019年收入</c:v>
                </c:pt>
                <c:pt idx="3">
                  <c:v>2019年支出</c:v>
                </c:pt>
              </c:strCache>
            </c:strRef>
          </c:cat>
          <c:val>
            <c:numRef>
              <c:f>[退休人员花名册.xlsx]Sheet2!$B$1:$B$4</c:f>
              <c:numCache>
                <c:formatCode>General</c:formatCode>
                <c:ptCount val="4"/>
                <c:pt idx="0">
                  <c:v>5494.08</c:v>
                </c:pt>
                <c:pt idx="1">
                  <c:v>3289.52</c:v>
                </c:pt>
                <c:pt idx="2">
                  <c:v>5273.82</c:v>
                </c:pt>
                <c:pt idx="3">
                  <c:v>3560.5</c:v>
                </c:pt>
              </c:numCache>
            </c:numRef>
          </c:val>
        </c:ser>
        <c:dLbls>
          <c:showLegendKey val="0"/>
          <c:showVal val="1"/>
          <c:showCatName val="0"/>
          <c:showSerName val="0"/>
          <c:showPercent val="0"/>
          <c:showBubbleSize val="0"/>
        </c:dLbls>
        <c:gapWidth val="219"/>
        <c:overlap val="-27"/>
        <c:axId val="621360388"/>
        <c:axId val="119324094"/>
      </c:barChart>
      <c:catAx>
        <c:axId val="6213603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324094"/>
        <c:crosses val="autoZero"/>
        <c:auto val="1"/>
        <c:lblAlgn val="ctr"/>
        <c:lblOffset val="100"/>
        <c:noMultiLvlLbl val="0"/>
      </c:catAx>
      <c:valAx>
        <c:axId val="1193240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13603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722038647969237"/>
                  <c:y val="0.02925235059371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47777631474559"/>
                  <c:y val="0.1200879629646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45833333333333"/>
                  <c:y val="0.01736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[退休人员花名册.xlsx]Sheet2!$A$1:$A$6</c:f>
              <c:strCache>
                <c:ptCount val="6"/>
                <c:pt idx="0">
                  <c:v>一般公共预算财政拨款收入</c:v>
                </c:pt>
                <c:pt idx="1">
                  <c:v>政府性基金预算财政拨款收入</c:v>
                </c:pt>
                <c:pt idx="2">
                  <c:v>上级补助收入</c:v>
                </c:pt>
                <c:pt idx="3">
                  <c:v>事业收入</c:v>
                </c:pt>
                <c:pt idx="4">
                  <c:v>附属单位上缴收入</c:v>
                </c:pt>
                <c:pt idx="5">
                  <c:v>其他收入</c:v>
                </c:pt>
              </c:strCache>
            </c:strRef>
          </c:cat>
          <c:val>
            <c:numRef>
              <c:f>[退休人员花名册.xlsx]Sheet2!$B$1:$B$6</c:f>
              <c:numCache>
                <c:formatCode>General</c:formatCode>
                <c:ptCount val="6"/>
                <c:pt idx="0">
                  <c:v>5250.07</c:v>
                </c:pt>
                <c:pt idx="1">
                  <c:v>23.75</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[退休人员花名册.xlsx]Sheet2!$A$1:$A$2</c:f>
              <c:strCache>
                <c:ptCount val="2"/>
                <c:pt idx="0">
                  <c:v>基本支出</c:v>
                </c:pt>
                <c:pt idx="1">
                  <c:v>项目支出</c:v>
                </c:pt>
              </c:strCache>
            </c:strRef>
          </c:cat>
          <c:val>
            <c:numRef>
              <c:f>[退休人员花名册.xlsx]Sheet2!$B$1:$B$2</c:f>
              <c:numCache>
                <c:formatCode>General</c:formatCode>
                <c:ptCount val="2"/>
                <c:pt idx="0">
                  <c:v>714.53</c:v>
                </c:pt>
                <c:pt idx="1">
                  <c:v>2845.98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[退休人员花名册.xlsx]Sheet2!$A$1:$A$2</c:f>
              <c:strCache>
                <c:ptCount val="2"/>
                <c:pt idx="0">
                  <c:v>2018年财政拨款收入、支出总计</c:v>
                </c:pt>
                <c:pt idx="1">
                  <c:v>2019年财政拨款收入、支出总计</c:v>
                </c:pt>
              </c:strCache>
            </c:strRef>
          </c:cat>
          <c:val>
            <c:numRef>
              <c:f>[退休人员花名册.xlsx]Sheet2!$B$1:$B$2</c:f>
              <c:numCache>
                <c:formatCode>General</c:formatCode>
                <c:ptCount val="2"/>
                <c:pt idx="0">
                  <c:v>9255.19</c:v>
                </c:pt>
                <c:pt idx="1">
                  <c:v>7025.96</c:v>
                </c:pt>
              </c:numCache>
            </c:numRef>
          </c:val>
        </c:ser>
        <c:dLbls>
          <c:showLegendKey val="0"/>
          <c:showVal val="1"/>
          <c:showCatName val="0"/>
          <c:showSerName val="0"/>
          <c:showPercent val="0"/>
          <c:showBubbleSize val="0"/>
        </c:dLbls>
        <c:gapWidth val="219"/>
        <c:overlap val="-27"/>
        <c:axId val="167389615"/>
        <c:axId val="318202025"/>
      </c:barChart>
      <c:catAx>
        <c:axId val="1673896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202025"/>
        <c:crosses val="autoZero"/>
        <c:auto val="1"/>
        <c:lblAlgn val="ctr"/>
        <c:lblOffset val="100"/>
        <c:noMultiLvlLbl val="0"/>
      </c:catAx>
      <c:valAx>
        <c:axId val="3182020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89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[退休人员花名册.xlsx]Sheet2!$A$1:$A$2</c:f>
              <c:strCache>
                <c:ptCount val="2"/>
                <c:pt idx="0">
                  <c:v>2018年一般公共预算财政拨款支出</c:v>
                </c:pt>
                <c:pt idx="1">
                  <c:v>2019年一般公共预算财政拨款支出</c:v>
                </c:pt>
              </c:strCache>
            </c:strRef>
          </c:cat>
          <c:val>
            <c:numRef>
              <c:f>[退休人员花名册.xlsx]Sheet2!$B$1:$B$2</c:f>
              <c:numCache>
                <c:formatCode>General</c:formatCode>
                <c:ptCount val="2"/>
                <c:pt idx="0">
                  <c:v>3289.52</c:v>
                </c:pt>
                <c:pt idx="1">
                  <c:v>3552.19</c:v>
                </c:pt>
              </c:numCache>
            </c:numRef>
          </c:val>
        </c:ser>
        <c:dLbls>
          <c:showLegendKey val="0"/>
          <c:showVal val="1"/>
          <c:showCatName val="0"/>
          <c:showSerName val="0"/>
          <c:showPercent val="0"/>
          <c:showBubbleSize val="0"/>
        </c:dLbls>
        <c:gapWidth val="219"/>
        <c:overlap val="-27"/>
        <c:axId val="509267305"/>
        <c:axId val="208403336"/>
      </c:barChart>
      <c:catAx>
        <c:axId val="5092673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403336"/>
        <c:crosses val="autoZero"/>
        <c:auto val="1"/>
        <c:lblAlgn val="ctr"/>
        <c:lblOffset val="100"/>
        <c:noMultiLvlLbl val="0"/>
      </c:catAx>
      <c:valAx>
        <c:axId val="208403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2673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198635160563862"/>
                  <c:y val="-0.002071161468341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02084028478825"/>
                  <c:y val="-0.01937928473498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24889425433116"/>
                  <c:y val="-0.02283415572887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0436981517581"/>
                  <c:y val="-0.005469624099731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[退休人员花名册.xlsx]Sheet2!$A$1:$A$5</c:f>
              <c:strCache>
                <c:ptCount val="5"/>
                <c:pt idx="0">
                  <c:v>文化旅游体育与传媒支出</c:v>
                </c:pt>
                <c:pt idx="1">
                  <c:v>社会保障和就业</c:v>
                </c:pt>
                <c:pt idx="2">
                  <c:v>卫生健康支出</c:v>
                </c:pt>
                <c:pt idx="3">
                  <c:v>住房保障</c:v>
                </c:pt>
                <c:pt idx="4">
                  <c:v>农林水支出</c:v>
                </c:pt>
              </c:strCache>
            </c:strRef>
          </c:cat>
          <c:val>
            <c:numRef>
              <c:f>[退休人员花名册.xlsx]Sheet2!$B$1:$B$5</c:f>
              <c:numCache>
                <c:formatCode>General</c:formatCode>
                <c:ptCount val="5"/>
                <c:pt idx="0">
                  <c:v>3367.25</c:v>
                </c:pt>
                <c:pt idx="1">
                  <c:v>96.38</c:v>
                </c:pt>
                <c:pt idx="2">
                  <c:v>32.22</c:v>
                </c:pt>
                <c:pt idx="3">
                  <c:v>53.87</c:v>
                </c:pt>
                <c:pt idx="4">
                  <c:v>2.47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[退休人员花名册.xlsx]Sheet2!$A$1:$A$2</c:f>
              <c:strCache>
                <c:ptCount val="2"/>
                <c:pt idx="0">
                  <c:v>公务用车购置及运行维护费支出</c:v>
                </c:pt>
                <c:pt idx="1">
                  <c:v>公务接待费支出</c:v>
                </c:pt>
              </c:strCache>
            </c:strRef>
          </c:cat>
          <c:val>
            <c:numRef>
              <c:f>[退休人员花名册.xlsx]Sheet2!$B$1:$B$2</c:f>
              <c:numCache>
                <c:formatCode>General</c:formatCode>
                <c:ptCount val="2"/>
                <c:pt idx="0">
                  <c:v>7.35</c:v>
                </c:pt>
                <c:pt idx="1">
                  <c:v>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46</TotalTime>
  <ScaleCrop>false</ScaleCrop>
  <LinksUpToDate>false</LinksUpToDate>
  <CharactersWithSpaces>8587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2020-10-26T09:35:00Z</cp:lastPrinted>
  <dcterms:modified xsi:type="dcterms:W3CDTF">2020-10-27T03:07:43Z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