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  <w:bookmarkStart w:id="1" w:name="_Toc15396475"/>
      <w:bookmarkStart w:id="2" w:name="_Toc15377425"/>
      <w:bookmarkStart w:id="3" w:name="_Toc15377193"/>
      <w:bookmarkStart w:id="4" w:name="_Toc15378441"/>
      <w:bookmarkStart w:id="5" w:name="_Toc15396597"/>
      <w:r>
        <w:rPr>
          <w:rFonts w:ascii="黑体" w:hAnsi="黑体" w:eastAsia="黑体"/>
          <w:color w:val="000000"/>
          <w:sz w:val="72"/>
          <w:szCs w:val="72"/>
        </w:rPr>
        <w:t>201</w:t>
      </w:r>
      <w:r>
        <w:rPr>
          <w:rFonts w:hint="eastAsia" w:ascii="黑体" w:hAnsi="黑体" w:eastAsia="黑体"/>
          <w:color w:val="000000"/>
          <w:sz w:val="72"/>
          <w:szCs w:val="72"/>
        </w:rPr>
        <w:t>8</w:t>
      </w:r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年度</w:t>
      </w:r>
      <w:bookmarkEnd w:id="1"/>
      <w:bookmarkEnd w:id="2"/>
      <w:bookmarkEnd w:id="3"/>
      <w:bookmarkEnd w:id="4"/>
      <w:bookmarkEnd w:id="5"/>
    </w:p>
    <w:bookmarkEnd w:id="0"/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color w:val="000000"/>
          <w:sz w:val="72"/>
          <w:szCs w:val="72"/>
          <w:lang w:eastAsia="zh-CN"/>
        </w:rPr>
      </w:pPr>
      <w:bookmarkStart w:id="6" w:name="_Toc15378442"/>
      <w:bookmarkStart w:id="7" w:name="_Toc15377426"/>
      <w:bookmarkStart w:id="8" w:name="_Toc15377194"/>
      <w:bookmarkStart w:id="9" w:name="_Toc15396598"/>
      <w:bookmarkStart w:id="10" w:name="_Toc15396476"/>
      <w:bookmarkStart w:id="11" w:name="_Toc15306268"/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四川省阿坝州壤塘县农业畜牧和水务局科教站部门决算</w:t>
      </w:r>
      <w:bookmarkEnd w:id="6"/>
      <w:bookmarkEnd w:id="7"/>
      <w:bookmarkEnd w:id="8"/>
      <w:bookmarkEnd w:id="9"/>
      <w:bookmarkEnd w:id="10"/>
      <w:bookmarkEnd w:id="11"/>
      <w:r>
        <w:rPr>
          <w:rFonts w:hint="eastAsia" w:ascii="方正小标宋简体" w:hAnsi="宋体" w:eastAsia="方正小标宋简体"/>
          <w:color w:val="000000"/>
          <w:sz w:val="72"/>
          <w:szCs w:val="72"/>
          <w:lang w:eastAsia="zh-CN"/>
        </w:rPr>
        <w:t>公开</w:t>
      </w:r>
    </w:p>
    <w:p>
      <w:pPr>
        <w:widowControl/>
        <w:jc w:val="center"/>
        <w:rPr>
          <w:rFonts w:ascii="黑体" w:hAnsi="黑体" w:eastAsia="黑体"/>
          <w:color w:val="000000"/>
          <w:sz w:val="48"/>
          <w:szCs w:val="48"/>
        </w:rPr>
      </w:pPr>
      <w:r>
        <w:rPr>
          <w:rFonts w:ascii="方正小标宋简体" w:hAnsi="宋体" w:eastAsia="方正小标宋简体"/>
          <w:color w:val="000000"/>
          <w:sz w:val="36"/>
          <w:szCs w:val="36"/>
        </w:rPr>
        <w:br w:type="page"/>
      </w:r>
      <w:r>
        <w:rPr>
          <w:rFonts w:hint="eastAsia" w:ascii="黑体" w:hAnsi="黑体" w:eastAsia="黑体"/>
          <w:color w:val="000000"/>
          <w:sz w:val="48"/>
          <w:szCs w:val="48"/>
        </w:rPr>
        <w:t>目录</w:t>
      </w:r>
    </w:p>
    <w:p>
      <w:pPr>
        <w:widowControl/>
        <w:jc w:val="center"/>
        <w:rPr>
          <w:rFonts w:ascii="黑体" w:hAnsi="黑体" w:eastAsia="黑体" w:cstheme="minorBidi"/>
          <w:sz w:val="28"/>
          <w:szCs w:val="28"/>
        </w:rPr>
      </w:pPr>
      <w:r>
        <w:rPr>
          <w:rFonts w:ascii="黑体" w:hAnsi="黑体" w:eastAsia="黑体"/>
          <w:color w:val="000000"/>
          <w:sz w:val="48"/>
          <w:szCs w:val="48"/>
        </w:rPr>
        <w:fldChar w:fldCharType="begin"/>
      </w:r>
      <w:r>
        <w:rPr>
          <w:rFonts w:ascii="黑体" w:hAnsi="黑体" w:eastAsia="黑体"/>
          <w:color w:val="000000"/>
          <w:sz w:val="48"/>
          <w:szCs w:val="48"/>
        </w:rPr>
        <w:instrText xml:space="preserve"> TOC \o "1-2" \h \z \u </w:instrText>
      </w:r>
      <w:r>
        <w:rPr>
          <w:rFonts w:ascii="黑体" w:hAnsi="黑体" w:eastAsia="黑体"/>
          <w:color w:val="000000"/>
          <w:sz w:val="48"/>
          <w:szCs w:val="48"/>
        </w:rPr>
        <w:fldChar w:fldCharType="separate"/>
      </w:r>
    </w:p>
    <w:p>
      <w:pPr>
        <w:pStyle w:val="10"/>
      </w:pPr>
      <w:r>
        <w:rPr>
          <w:rFonts w:hint="eastAsia"/>
        </w:rPr>
        <w:t xml:space="preserve">公开时间：2019年 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</w:p>
    <w:p/>
    <w:p>
      <w:pPr>
        <w:pStyle w:val="10"/>
        <w:rPr>
          <w:rFonts w:cstheme="minorBidi"/>
        </w:rPr>
      </w:pPr>
      <w:r>
        <w:fldChar w:fldCharType="begin"/>
      </w:r>
      <w:r>
        <w:instrText xml:space="preserve"> HYPERLINK \l "_Toc15396599" </w:instrText>
      </w:r>
      <w:r>
        <w:fldChar w:fldCharType="separate"/>
      </w:r>
      <w:r>
        <w:rPr>
          <w:rStyle w:val="15"/>
          <w:rFonts w:hint="eastAsia"/>
        </w:rPr>
        <w:t>第一部分部门概况</w:t>
      </w:r>
      <w:r>
        <w:tab/>
      </w:r>
      <w:r>
        <w:rPr>
          <w:rFonts w:hint="eastAsia"/>
        </w:rPr>
        <w:t>4</w:t>
      </w:r>
      <w:r>
        <w:rPr>
          <w:rFonts w:hint="eastAsia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"_Toc15396600"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一、基本职能及主要工作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"_Toc15396601"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二、机构设置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_Toc15396601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0"/>
      </w:pPr>
      <w:r>
        <w:fldChar w:fldCharType="begin"/>
      </w:r>
      <w:r>
        <w:instrText xml:space="preserve"> HYPERLINK \l "_Toc15396602" </w:instrText>
      </w:r>
      <w:r>
        <w:fldChar w:fldCharType="separate"/>
      </w:r>
      <w:r>
        <w:rPr>
          <w:rStyle w:val="15"/>
          <w:rFonts w:hint="eastAsia"/>
        </w:rPr>
        <w:t>第二部分</w:t>
      </w:r>
      <w:r>
        <w:rPr>
          <w:rStyle w:val="15"/>
        </w:rPr>
        <w:t xml:space="preserve"> 2018</w:t>
      </w:r>
      <w:r>
        <w:rPr>
          <w:rStyle w:val="15"/>
          <w:rFonts w:hint="eastAsia"/>
        </w:rPr>
        <w:t>年度部门决算情况说明</w:t>
      </w:r>
      <w:r>
        <w:tab/>
      </w:r>
      <w:r>
        <w:fldChar w:fldCharType="begin"/>
      </w:r>
      <w:r>
        <w:instrText xml:space="preserve"> PAGEREF _Toc15396602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"_Toc15396603" </w:instrText>
      </w:r>
      <w:r>
        <w:fldChar w:fldCharType="separate"/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一、</w:t>
      </w:r>
      <w:r>
        <w:rPr>
          <w:rStyle w:val="15"/>
          <w:rFonts w:hint="eastAsia" w:ascii="仿宋" w:hAnsi="仿宋" w:eastAsia="仿宋"/>
          <w:sz w:val="28"/>
          <w:szCs w:val="28"/>
        </w:rPr>
        <w:t>收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入支出决算总体情况说明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_Toc15396603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"_Toc15396604" </w:instrText>
      </w:r>
      <w:r>
        <w:fldChar w:fldCharType="separate"/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二、</w:t>
      </w:r>
      <w:r>
        <w:rPr>
          <w:rStyle w:val="15"/>
          <w:rFonts w:hint="eastAsia" w:ascii="仿宋" w:hAnsi="仿宋" w:eastAsia="仿宋"/>
          <w:sz w:val="28"/>
          <w:szCs w:val="28"/>
        </w:rPr>
        <w:t>收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入决算情况说明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_Toc15396604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"_Toc15396605" </w:instrText>
      </w:r>
      <w:r>
        <w:fldChar w:fldCharType="separate"/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三、</w:t>
      </w:r>
      <w:r>
        <w:rPr>
          <w:rStyle w:val="15"/>
          <w:rFonts w:hint="eastAsia" w:ascii="仿宋" w:hAnsi="仿宋" w:eastAsia="仿宋"/>
          <w:sz w:val="28"/>
          <w:szCs w:val="28"/>
        </w:rPr>
        <w:t>支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出决算情况说明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_Toc15396605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"_Toc15396606"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四、财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政拨款收入支出决算总体情况说明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_Toc15396606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"_Toc15396607"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五、一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般公共预算财政拨款支出决算情况说明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_Toc15396607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"_Toc15396608"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六、一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般公共预算财政拨款基本支出决算情况说明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_Toc15396608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"_Toc15396609"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七、</w:t>
      </w:r>
      <w:r>
        <w:rPr>
          <w:rStyle w:val="15"/>
          <w:rFonts w:ascii="仿宋" w:hAnsi="仿宋" w:eastAsia="仿宋"/>
          <w:sz w:val="28"/>
          <w:szCs w:val="28"/>
        </w:rPr>
        <w:t>“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三公”经费财政拨款支出决算情况说明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_Toc15396609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"_Toc15396610"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八、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政府性基金预算支出决算情况说明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_Toc15396610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hint="eastAsia"/>
        </w:rPr>
      </w:pPr>
      <w:r>
        <w:fldChar w:fldCharType="begin"/>
      </w:r>
      <w:r>
        <w:instrText xml:space="preserve"> HYPERLINK \l "_Toc15396611" </w:instrText>
      </w:r>
      <w:r>
        <w:fldChar w:fldCharType="separate"/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九、</w:t>
      </w:r>
      <w:r>
        <w:rPr>
          <w:rStyle w:val="15"/>
          <w:rFonts w:hint="eastAsia" w:ascii="仿宋" w:hAnsi="仿宋" w:eastAsia="仿宋"/>
          <w:sz w:val="28"/>
          <w:szCs w:val="28"/>
        </w:rPr>
        <w:t xml:space="preserve"> 国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有资本经营预算支出决算情况说明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_Toc15396611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    </w:t>
      </w:r>
      <w:r>
        <w:rPr>
          <w:rStyle w:val="15"/>
          <w:rFonts w:hint="eastAsia" w:ascii="仿宋" w:hAnsi="仿宋" w:eastAsia="仿宋" w:cstheme="majorBidi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十、预算绩效情况说明</w:t>
      </w:r>
      <w:r>
        <w:rPr>
          <w:rStyle w:val="15"/>
          <w:rFonts w:ascii="仿宋" w:hAnsi="仿宋" w:eastAsia="仿宋" w:cstheme="majorBidi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…………………………………………</w:t>
      </w:r>
      <w:r>
        <w:rPr>
          <w:rStyle w:val="15"/>
          <w:rFonts w:hint="eastAsia" w:ascii="仿宋" w:hAnsi="仿宋" w:eastAsia="仿宋" w:cstheme="majorBidi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13</w:t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"_Toc15396612"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十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一、其他重要事项的情况说明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_Toc15396612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14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0"/>
        <w:rPr>
          <w:rFonts w:cstheme="minorBidi"/>
        </w:rPr>
      </w:pPr>
      <w:r>
        <w:fldChar w:fldCharType="begin"/>
      </w:r>
      <w:r>
        <w:instrText xml:space="preserve"> HYPERLINK \l "_Toc15396613" </w:instrText>
      </w:r>
      <w:r>
        <w:fldChar w:fldCharType="separate"/>
      </w:r>
      <w:r>
        <w:rPr>
          <w:rStyle w:val="15"/>
          <w:rFonts w:hint="eastAsia"/>
          <w:bCs/>
          <w:kern w:val="44"/>
        </w:rPr>
        <w:t>第三部分</w:t>
      </w:r>
      <w:r>
        <w:rPr>
          <w:rStyle w:val="15"/>
          <w:rFonts w:hint="eastAsia"/>
        </w:rPr>
        <w:t xml:space="preserve"> 名</w:t>
      </w:r>
      <w:r>
        <w:rPr>
          <w:rStyle w:val="15"/>
          <w:rFonts w:hint="eastAsia"/>
          <w:bCs/>
          <w:kern w:val="44"/>
        </w:rPr>
        <w:t>词解释</w:t>
      </w:r>
      <w:r>
        <w:tab/>
      </w:r>
      <w:r>
        <w:fldChar w:fldCharType="begin"/>
      </w:r>
      <w:r>
        <w:instrText xml:space="preserve"> PAGEREF _Toc15396613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0"/>
        <w:rPr>
          <w:rFonts w:cstheme="minorBidi"/>
        </w:rPr>
      </w:pPr>
      <w:r>
        <w:fldChar w:fldCharType="begin"/>
      </w:r>
      <w:r>
        <w:instrText xml:space="preserve"> HYPERLINK \l "_Toc15396614" </w:instrText>
      </w:r>
      <w:r>
        <w:fldChar w:fldCharType="separate"/>
      </w:r>
      <w:r>
        <w:rPr>
          <w:rStyle w:val="15"/>
          <w:rFonts w:hint="eastAsia"/>
        </w:rPr>
        <w:t>第</w:t>
      </w:r>
      <w:r>
        <w:rPr>
          <w:rStyle w:val="15"/>
          <w:rFonts w:hint="eastAsia"/>
          <w:bCs/>
          <w:kern w:val="44"/>
        </w:rPr>
        <w:t>四部分附件</w:t>
      </w:r>
      <w:r>
        <w:tab/>
      </w:r>
      <w:r>
        <w:fldChar w:fldCharType="begin"/>
      </w:r>
      <w:r>
        <w:instrText xml:space="preserve"> PAGEREF _Toc15396614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"_Toc15396615" </w:instrText>
      </w:r>
      <w:r>
        <w:fldChar w:fldCharType="separate"/>
      </w:r>
      <w:r>
        <w:rPr>
          <w:rStyle w:val="15"/>
          <w:rFonts w:hint="eastAsia" w:ascii="仿宋" w:hAnsi="仿宋" w:eastAsia="仿宋"/>
          <w:kern w:val="44"/>
          <w:sz w:val="28"/>
          <w:szCs w:val="28"/>
        </w:rPr>
        <w:t>附件</w:t>
      </w:r>
      <w:r>
        <w:rPr>
          <w:rStyle w:val="15"/>
          <w:rFonts w:ascii="仿宋" w:hAnsi="仿宋" w:eastAsia="仿宋"/>
          <w:kern w:val="44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_Toc15396615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19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"_Toc15396617" </w:instrText>
      </w:r>
      <w:r>
        <w:fldChar w:fldCharType="separate"/>
      </w:r>
      <w:r>
        <w:rPr>
          <w:rStyle w:val="15"/>
          <w:rFonts w:hint="eastAsia" w:ascii="仿宋" w:hAnsi="仿宋" w:eastAsia="仿宋"/>
          <w:kern w:val="44"/>
          <w:sz w:val="28"/>
          <w:szCs w:val="28"/>
        </w:rPr>
        <w:t>附件</w:t>
      </w:r>
      <w:r>
        <w:rPr>
          <w:rStyle w:val="15"/>
          <w:rFonts w:ascii="仿宋" w:hAnsi="仿宋" w:eastAsia="仿宋"/>
          <w:kern w:val="44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_Toc15396617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21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0"/>
        <w:rPr>
          <w:rFonts w:cstheme="minorBidi"/>
        </w:rPr>
      </w:pPr>
      <w:r>
        <w:fldChar w:fldCharType="begin"/>
      </w:r>
      <w:r>
        <w:instrText xml:space="preserve"> HYPERLINK \l "_Toc15396618" </w:instrText>
      </w:r>
      <w:r>
        <w:fldChar w:fldCharType="separate"/>
      </w:r>
      <w:r>
        <w:rPr>
          <w:rStyle w:val="15"/>
          <w:rFonts w:hint="eastAsia"/>
        </w:rPr>
        <w:t>第</w:t>
      </w:r>
      <w:r>
        <w:rPr>
          <w:rStyle w:val="15"/>
          <w:rFonts w:hint="eastAsia"/>
          <w:bCs/>
          <w:kern w:val="44"/>
        </w:rPr>
        <w:t>五部分附表</w:t>
      </w:r>
      <w:r>
        <w:tab/>
      </w:r>
      <w:r>
        <w:fldChar w:fldCharType="begin"/>
      </w:r>
      <w:r>
        <w:instrText xml:space="preserve"> PAGEREF _Toc15396618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fldChar w:fldCharType="begin"/>
      </w:r>
      <w:r>
        <w:instrText xml:space="preserve"> HYPERLINK \l "_Toc15396619"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收入支出决算总表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_Toc15396619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fldChar w:fldCharType="begin"/>
      </w:r>
      <w:r>
        <w:instrText xml:space="preserve"> HYPERLINK \l "_Toc15396620"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收入总表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_Toc15396620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fldChar w:fldCharType="begin"/>
      </w:r>
      <w:r>
        <w:instrText xml:space="preserve"> HYPERLINK \l "_Toc15396621"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支出总表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_Toc15396621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fldChar w:fldCharType="begin"/>
      </w:r>
      <w:r>
        <w:instrText xml:space="preserve"> HYPERLINK \l "_Toc15396622"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财政拨款收入支出决算总表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_Toc15396622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</w:t>
      </w:r>
      <w:r>
        <w:fldChar w:fldCharType="begin"/>
      </w:r>
      <w:r>
        <w:instrText xml:space="preserve"> HYPERLINK \l "_Toc15396623"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财政拨款支出决算明细表（政府经济分类科目）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_Toc15396623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</w:t>
      </w:r>
      <w:r>
        <w:fldChar w:fldCharType="begin"/>
      </w:r>
      <w:r>
        <w:instrText xml:space="preserve"> HYPERLINK \l "_Toc15396624"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一般公共预算财政拨款支出决算表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_Toc15396624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</w:t>
      </w:r>
      <w:r>
        <w:fldChar w:fldCharType="begin"/>
      </w:r>
      <w:r>
        <w:instrText xml:space="preserve"> HYPERLINK \l "_Toc15396625"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一般公共预算财政拨款支出决算明细表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_Toc15396625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</w:t>
      </w:r>
      <w:r>
        <w:fldChar w:fldCharType="begin"/>
      </w:r>
      <w:r>
        <w:instrText xml:space="preserve"> HYPERLINK \l "_Toc15396626"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一般公共预算财政拨款基本支出决算表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_Toc15396626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</w:t>
      </w:r>
      <w:r>
        <w:fldChar w:fldCharType="begin"/>
      </w:r>
      <w:r>
        <w:instrText xml:space="preserve"> HYPERLINK \l "_Toc15396627"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一般公共预算财政拨款项目支出决算表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_Toc15396627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十、</w:t>
      </w:r>
      <w:r>
        <w:fldChar w:fldCharType="begin"/>
      </w:r>
      <w:r>
        <w:instrText xml:space="preserve"> HYPERLINK \l "_Toc15396628"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一般公共预算财政拨款“三公”经费支出决算表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_Toc15396628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十一、</w:t>
      </w:r>
      <w:r>
        <w:fldChar w:fldCharType="begin"/>
      </w:r>
      <w:r>
        <w:instrText xml:space="preserve"> HYPERLINK \l "_Toc15396629"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政府性基金预算财政拨款收入支出决算表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_Toc15396629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十二、</w:t>
      </w:r>
      <w:r>
        <w:fldChar w:fldCharType="begin"/>
      </w:r>
      <w:r>
        <w:instrText xml:space="preserve"> HYPERLINK \l "_Toc15396630"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政府性基金预算财政拨款“三公”经费支出决算表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_Toc15396630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4"/>
        </w:rPr>
      </w:pPr>
      <w:r>
        <w:rPr>
          <w:rFonts w:hint="eastAsia" w:ascii="仿宋" w:hAnsi="仿宋" w:eastAsia="仿宋"/>
          <w:sz w:val="28"/>
          <w:szCs w:val="28"/>
        </w:rPr>
        <w:t>十三、</w:t>
      </w:r>
      <w:r>
        <w:fldChar w:fldCharType="begin"/>
      </w:r>
      <w:r>
        <w:instrText xml:space="preserve"> HYPERLINK \l "_Toc15396631"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国有资本经营预算支出决算表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_Toc15396631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widowControl/>
        <w:jc w:val="left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fldChar w:fldCharType="end"/>
      </w:r>
    </w:p>
    <w:p>
      <w:pPr>
        <w:widowControl/>
        <w:jc w:val="left"/>
        <w:rPr>
          <w:rFonts w:ascii="黑体" w:hAnsi="黑体" w:eastAsia="黑体"/>
          <w:bCs/>
          <w:kern w:val="44"/>
          <w:sz w:val="44"/>
          <w:szCs w:val="44"/>
        </w:rPr>
      </w:pPr>
      <w:bookmarkStart w:id="12" w:name="_Toc15377196"/>
      <w:bookmarkStart w:id="13" w:name="_Toc15396599"/>
      <w:r>
        <w:rPr>
          <w:rFonts w:ascii="黑体" w:hAnsi="黑体" w:eastAsia="黑体"/>
          <w:b/>
        </w:rPr>
        <w:br w:type="page"/>
      </w:r>
    </w:p>
    <w:p>
      <w:pPr>
        <w:pStyle w:val="2"/>
        <w:jc w:val="center"/>
        <w:rPr>
          <w:rStyle w:val="24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 xml:space="preserve">第一部分 </w:t>
      </w:r>
      <w:r>
        <w:rPr>
          <w:rStyle w:val="24"/>
          <w:rFonts w:hint="eastAsia" w:ascii="黑体" w:hAnsi="黑体" w:eastAsia="黑体"/>
          <w:b w:val="0"/>
          <w:bCs w:val="0"/>
        </w:rPr>
        <w:t>部门概况</w:t>
      </w:r>
      <w:bookmarkEnd w:id="12"/>
      <w:bookmarkEnd w:id="13"/>
    </w:p>
    <w:p>
      <w:pPr>
        <w:widowControl/>
        <w:jc w:val="left"/>
        <w:rPr>
          <w:rFonts w:ascii="黑体" w:eastAsia="黑体"/>
          <w:color w:val="000000"/>
          <w:sz w:val="32"/>
          <w:szCs w:val="32"/>
        </w:rPr>
      </w:pPr>
    </w:p>
    <w:p>
      <w:pPr>
        <w:pStyle w:val="3"/>
        <w:rPr>
          <w:rStyle w:val="25"/>
          <w:rFonts w:ascii="仿宋" w:hAnsi="仿宋" w:eastAsia="仿宋"/>
          <w:b w:val="0"/>
          <w:bCs w:val="0"/>
        </w:rPr>
      </w:pPr>
      <w:bookmarkStart w:id="14" w:name="_Toc15377197"/>
      <w:bookmarkStart w:id="15" w:name="_Toc15396600"/>
      <w:r>
        <w:rPr>
          <w:rFonts w:hint="eastAsia" w:ascii="黑体" w:hAnsi="黑体" w:eastAsia="黑体"/>
          <w:b w:val="0"/>
          <w:color w:val="000000"/>
        </w:rPr>
        <w:t>一、基</w:t>
      </w:r>
      <w:r>
        <w:rPr>
          <w:rStyle w:val="25"/>
          <w:rFonts w:hint="eastAsia" w:ascii="黑体" w:hAnsi="黑体" w:eastAsia="黑体"/>
          <w:b w:val="0"/>
          <w:bCs w:val="0"/>
        </w:rPr>
        <w:t>本职能及主要工作</w:t>
      </w:r>
      <w:bookmarkEnd w:id="14"/>
      <w:bookmarkEnd w:id="15"/>
    </w:p>
    <w:p>
      <w:pPr>
        <w:pStyle w:val="5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" w:hAnsi="仿宋" w:eastAsia="仿宋"/>
          <w:bCs/>
          <w:color w:val="000000"/>
          <w:sz w:val="32"/>
          <w:szCs w:val="32"/>
        </w:rPr>
      </w:pPr>
      <w:bookmarkStart w:id="16" w:name="_Toc15377198"/>
      <w:bookmarkStart w:id="17" w:name="_Toc15378445"/>
      <w:r>
        <w:rPr>
          <w:rFonts w:hint="eastAsia" w:ascii="仿宋" w:hAnsi="仿宋" w:eastAsia="仿宋"/>
          <w:bCs/>
          <w:color w:val="000000"/>
          <w:sz w:val="32"/>
          <w:szCs w:val="32"/>
        </w:rPr>
        <w:t>（一）主要职能。</w:t>
      </w:r>
      <w:bookmarkEnd w:id="16"/>
      <w:bookmarkEnd w:id="17"/>
      <w:bookmarkStart w:id="18" w:name="_Toc15378446"/>
      <w:bookmarkStart w:id="19" w:name="_Toc1537719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①</w:t>
      </w:r>
      <w:r>
        <w:rPr>
          <w:rFonts w:hint="eastAsia" w:ascii="仿宋_GB2312" w:eastAsia="仿宋_GB2312"/>
          <w:sz w:val="32"/>
          <w:szCs w:val="32"/>
        </w:rPr>
        <w:t>统一管理全县水资源（含空中水、地表水、地下水）。组织制定全县水资源总体规划、流域规划和专业规划；②拟定全县城乡中长期供水计划，水量分配方案并监督实施，负责全县水价格核算的组织工作；③按照《中华人民共和国环境保护法》、《中华人民共和国水污染防治法》等法律、法规和标准，拟定水资源保护规划、组织水功能区划分，监测县境内河流、溪沟的水质，审定水域纳污能力，提出限制排污总量的意见。审查水域、河道排污口的设置和扩大。④负责全县水务工程建设项目的规划、建设书、可行性研究报告和初步设计方案的编制审批工作；负责组织指导全县水务基础设施建设；负责水利工程管理范围内新建、扩建、改建种类建设项目审批；负责对水务基础设施工程质量监督管理；组织指导县内河流及溪沟的治理和开发；组织建设和管理具有控制性的或跨乡镇的重要水利工程。负责管理和指导全县水利工程设施；负责指导全县农田灌溉、农业节水和抗旱工作。⑤负责县内河道的行政管理及管护范围内砂石资源的开发、利用和保护；负责对河道管理范围内建设项目报批；负责河道采砂许可，防汛等安全生产工作。</w:t>
      </w:r>
    </w:p>
    <w:p>
      <w:pPr>
        <w:pStyle w:val="5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" w:hAnsi="仿宋" w:eastAsia="仿宋"/>
          <w:bCs/>
          <w:color w:val="000000"/>
          <w:sz w:val="32"/>
          <w:szCs w:val="32"/>
        </w:rPr>
      </w:pPr>
    </w:p>
    <w:p>
      <w:pPr>
        <w:pStyle w:val="5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（二）</w:t>
      </w:r>
      <w:r>
        <w:rPr>
          <w:rFonts w:ascii="仿宋" w:hAnsi="仿宋" w:eastAsia="仿宋"/>
          <w:bCs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8年重点工作完成情况。</w:t>
      </w:r>
      <w:bookmarkEnd w:id="18"/>
      <w:bookmarkEnd w:id="19"/>
    </w:p>
    <w:p>
      <w:pPr>
        <w:spacing w:line="560" w:lineRule="exact"/>
        <w:ind w:firstLine="63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实施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2018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年维修养护项目，维修给水栓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400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余个，更换热不卡灌溉主水管道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1100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米及求塘村饮水管道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2700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余米，完成尕多乡、中壤塘镇、南木达镇灌溉项目拦沙坎修建、取水口清淤、取水口水毁部分维修工作；实施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2018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年壤塘县农村饮水巩固提升项目，项目覆盖全县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个乡镇，着力解决农牧民安全饮水问题；实施高效节水灌溉项目，新增灌溉面积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2000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亩；实施阿坝州杜柯河壤塘县城南堤防工程（一期）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1481m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；实施壤塘县慧科园区堤防工程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570m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；实施壤塘县上壤塘乡、尕多乡、南木达镇等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处河道水毁修复；实施中壤塘镇则曲河防洪治理工程</w:t>
      </w:r>
      <w:bookmarkStart w:id="20" w:name="文字5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综合治理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7.38Km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；实施康旭沟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2018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年防洪治理工程</w:t>
      </w:r>
      <w:bookmarkEnd w:id="20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综合治理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980m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，新建堤防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1725.64m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加强防汛抢险。开展汛前安全大排查，坚持</w:t>
      </w:r>
      <w:r>
        <w:rPr>
          <w:rFonts w:ascii="Times New Roman" w:hAnsi="Times New Roman" w:eastAsia="仿宋_GB2312"/>
          <w:color w:val="000000"/>
          <w:sz w:val="32"/>
          <w:szCs w:val="32"/>
        </w:rPr>
        <w:t>24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小时值班制度，做好防汛设备的日常维护，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zh-CN"/>
        </w:rPr>
        <w:t>完善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val="zh-CN"/>
        </w:rPr>
        <w:t>48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zh-CN"/>
        </w:rPr>
        <w:t>个行政村防汛应急预案，制作避灾明白卡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val="zh-CN"/>
        </w:rPr>
        <w:t>3000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zh-CN"/>
        </w:rPr>
        <w:t>张，开展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val="zh-CN"/>
        </w:rPr>
        <w:t>2018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zh-CN"/>
        </w:rPr>
        <w:t>年防汛应急救援演练，召开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防汛知识培训会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，完成壤塘县河道水毁工程建设和防汛物资采购，发布预警信息</w:t>
      </w:r>
      <w:r>
        <w:rPr>
          <w:rFonts w:ascii="Times New Roman" w:hAnsi="Times New Roman" w:eastAsia="仿宋_GB2312"/>
          <w:color w:val="000000"/>
          <w:sz w:val="32"/>
          <w:szCs w:val="32"/>
        </w:rPr>
        <w:t>8787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条，产生预警</w:t>
      </w:r>
      <w:r>
        <w:rPr>
          <w:rFonts w:ascii="Times New Roman" w:hAnsi="Times New Roman" w:eastAsia="仿宋_GB2312"/>
          <w:color w:val="000000"/>
          <w:sz w:val="32"/>
          <w:szCs w:val="32"/>
        </w:rPr>
        <w:t>37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条，汇集雨情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15666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条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,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汇集水情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30714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条。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组织防洪抢险</w:t>
      </w:r>
      <w:r>
        <w:rPr>
          <w:rFonts w:ascii="Times New Roman" w:hAnsi="Times New Roman" w:eastAsia="仿宋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次</w:t>
      </w:r>
      <w:r>
        <w:rPr>
          <w:rFonts w:ascii="Times New Roman" w:hAnsi="Times New Roman" w:eastAsia="仿宋"/>
          <w:color w:val="000000"/>
          <w:sz w:val="32"/>
          <w:szCs w:val="32"/>
        </w:rPr>
        <w:t>350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余人次，发放抢险物资</w:t>
      </w:r>
      <w:r>
        <w:rPr>
          <w:rFonts w:ascii="Times New Roman" w:hAnsi="Times New Roman" w:eastAsia="仿宋"/>
          <w:color w:val="000000"/>
          <w:sz w:val="32"/>
          <w:szCs w:val="32"/>
        </w:rPr>
        <w:t>60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余吨。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实施</w:t>
      </w:r>
      <w:r>
        <w:rPr>
          <w:rFonts w:ascii="Times New Roman" w:hAnsi="Times New Roman" w:eastAsia="仿宋_GB2312"/>
          <w:color w:val="000000"/>
          <w:sz w:val="32"/>
          <w:szCs w:val="32"/>
        </w:rPr>
        <w:t>2018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年群测群防体系建设项目，完成演练、培训和宣传栏的制作安装。</w:t>
      </w:r>
    </w:p>
    <w:p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加强河道管理。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一是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完善相关工作制度，督促各乡镇、各部门、各村积极组织开展河长制工作，全面建立湖长制工作体系，县、乡、村三级管理机构初步形成。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二是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落实工作整改，下发问题提示单</w:t>
      </w:r>
      <w:r>
        <w:rPr>
          <w:rFonts w:ascii="Times New Roman" w:hAnsi="Times New Roman" w:eastAsia="仿宋_GB2312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次，落实生态巡河员</w:t>
      </w:r>
      <w:r>
        <w:rPr>
          <w:rFonts w:ascii="Times New Roman" w:hAnsi="Times New Roman" w:eastAsia="仿宋_GB2312"/>
          <w:color w:val="000000"/>
          <w:sz w:val="32"/>
          <w:szCs w:val="32"/>
        </w:rPr>
        <w:t>253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名，完成县级、乡镇巡河员培训工作。累计巡河</w:t>
      </w:r>
      <w:r>
        <w:rPr>
          <w:rFonts w:ascii="Times New Roman" w:hAnsi="Times New Roman" w:eastAsia="仿宋_GB2312"/>
          <w:color w:val="000000"/>
          <w:sz w:val="32"/>
          <w:szCs w:val="32"/>
        </w:rPr>
        <w:t>497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次，发现问题</w:t>
      </w:r>
      <w:r>
        <w:rPr>
          <w:rFonts w:ascii="Times New Roman" w:hAnsi="Times New Roman" w:eastAsia="仿宋_GB2312"/>
          <w:color w:val="000000"/>
          <w:sz w:val="32"/>
          <w:szCs w:val="32"/>
        </w:rPr>
        <w:t>370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个、整改问题</w:t>
      </w:r>
      <w:r>
        <w:rPr>
          <w:rFonts w:ascii="Times New Roman" w:hAnsi="Times New Roman" w:eastAsia="仿宋_GB2312"/>
          <w:color w:val="000000"/>
          <w:sz w:val="32"/>
          <w:szCs w:val="32"/>
        </w:rPr>
        <w:t>370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个，清理违章建筑</w:t>
      </w:r>
      <w:r>
        <w:rPr>
          <w:rFonts w:ascii="Times New Roman" w:hAnsi="Times New Roman" w:eastAsia="仿宋_GB2312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处、沿河清理垃圾百余吨。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三是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全面建立湖长制工作，编制</w:t>
      </w:r>
      <w:r>
        <w:rPr>
          <w:rFonts w:ascii="Times New Roman" w:hAnsi="Times New Roman" w:eastAsia="仿宋_GB2312"/>
          <w:color w:val="000000"/>
          <w:sz w:val="32"/>
          <w:szCs w:val="32"/>
        </w:rPr>
        <w:t>40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条河流的一河一档资料。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四是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完成明达水电站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一站一策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编制审查工作，目前正在编制章光电站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一站一策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”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四是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科学规划河道采砂，开展河道采砂专项整治，严厉打击非法采砂行为，实行部门联动执法</w:t>
      </w:r>
      <w:r>
        <w:rPr>
          <w:rFonts w:hint="eastAsia" w:eastAsia="仿宋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成功承办全州河道管理及河湖长制工作现场推进会，协助助中央电视台科教频道完成《地理中国》的拍摄及则曲河水利风景区宣传片</w:t>
      </w:r>
      <w:r>
        <w:rPr>
          <w:rFonts w:hint="eastAsia" w:eastAsia="仿宋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推进驻村帮扶工作。借助传统节日组织职工到热不卡村进行驻村帮扶，安排第一书记和帮村人员到热不卡村驻村，帮扶责任人每月定期到被帮扶人家中开展帮扶，解决被帮扶人的生产生活问题。</w:t>
      </w:r>
    </w:p>
    <w:p>
      <w:pPr>
        <w:pStyle w:val="3"/>
        <w:rPr>
          <w:rStyle w:val="25"/>
          <w:b w:val="0"/>
          <w:bCs w:val="0"/>
        </w:rPr>
      </w:pPr>
      <w:bookmarkStart w:id="21" w:name="_Toc15396601"/>
      <w:bookmarkStart w:id="22" w:name="_Toc15377200"/>
      <w:r>
        <w:rPr>
          <w:rFonts w:hint="eastAsia" w:ascii="黑体" w:eastAsia="黑体"/>
          <w:b w:val="0"/>
          <w:color w:val="000000"/>
        </w:rPr>
        <w:t>二、</w:t>
      </w:r>
      <w:r>
        <w:rPr>
          <w:rFonts w:hint="eastAsia" w:ascii="黑体" w:hAnsi="黑体" w:eastAsia="黑体"/>
          <w:b w:val="0"/>
          <w:color w:val="000000"/>
        </w:rPr>
        <w:t>机</w:t>
      </w:r>
      <w:r>
        <w:rPr>
          <w:rStyle w:val="25"/>
          <w:rFonts w:hint="eastAsia" w:ascii="黑体" w:hAnsi="黑体" w:eastAsia="黑体"/>
          <w:b w:val="0"/>
          <w:bCs w:val="0"/>
        </w:rPr>
        <w:t>构设置</w:t>
      </w:r>
      <w:bookmarkEnd w:id="21"/>
      <w:bookmarkEnd w:id="22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23" w:name="_Toc15396602"/>
      <w:bookmarkStart w:id="24" w:name="_Toc1537720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壤塘县农业畜牧和水务局科教站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，内设事业股室：水资源股、水利股、质量监督站、水保股、建管股、规计股。</w:t>
      </w:r>
    </w:p>
    <w:p>
      <w:pPr>
        <w:pStyle w:val="2"/>
        <w:ind w:right="440"/>
        <w:jc w:val="right"/>
        <w:rPr>
          <w:rFonts w:hint="eastAsia" w:ascii="黑体" w:hAnsi="黑体" w:eastAsia="黑体"/>
          <w:b w:val="0"/>
          <w:color w:val="000000"/>
        </w:rPr>
      </w:pPr>
    </w:p>
    <w:p>
      <w:pPr>
        <w:pStyle w:val="2"/>
        <w:ind w:right="440"/>
        <w:jc w:val="right"/>
        <w:rPr>
          <w:rStyle w:val="24"/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color w:val="000000"/>
        </w:rPr>
        <w:t>第二部分</w:t>
      </w:r>
      <w:r>
        <w:rPr>
          <w:rStyle w:val="24"/>
          <w:rFonts w:hint="eastAsia" w:ascii="黑体" w:hAnsi="黑体" w:eastAsia="黑体"/>
          <w:b w:val="0"/>
          <w:bCs w:val="0"/>
        </w:rPr>
        <w:t>2018年度部门决算情况说明</w:t>
      </w:r>
      <w:bookmarkEnd w:id="23"/>
      <w:bookmarkEnd w:id="24"/>
    </w:p>
    <w:p/>
    <w:p>
      <w:pPr>
        <w:pStyle w:val="23"/>
        <w:numPr>
          <w:ilvl w:val="0"/>
          <w:numId w:val="1"/>
        </w:numPr>
        <w:spacing w:line="600" w:lineRule="exact"/>
        <w:ind w:firstLineChars="0"/>
        <w:outlineLvl w:val="1"/>
        <w:rPr>
          <w:rStyle w:val="25"/>
          <w:rFonts w:ascii="黑体" w:hAnsi="黑体" w:eastAsia="黑体"/>
          <w:b w:val="0"/>
        </w:rPr>
      </w:pPr>
      <w:bookmarkStart w:id="25" w:name="_Toc15377205"/>
      <w:bookmarkStart w:id="26" w:name="_Toc15396603"/>
      <w:r>
        <w:rPr>
          <w:rFonts w:hint="eastAsia" w:ascii="黑体" w:hAnsi="黑体" w:eastAsia="黑体"/>
          <w:color w:val="000000"/>
          <w:sz w:val="32"/>
          <w:szCs w:val="32"/>
        </w:rPr>
        <w:t>收</w:t>
      </w:r>
      <w:r>
        <w:rPr>
          <w:rStyle w:val="25"/>
          <w:rFonts w:hint="eastAsia" w:ascii="黑体" w:hAnsi="黑体" w:eastAsia="黑体"/>
          <w:b w:val="0"/>
        </w:rPr>
        <w:t>入支出决算总体情况说明</w:t>
      </w:r>
      <w:bookmarkEnd w:id="25"/>
      <w:bookmarkEnd w:id="26"/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2018年度收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入</w:t>
      </w:r>
      <w:r>
        <w:rPr>
          <w:rFonts w:hint="eastAsia" w:ascii="仿宋" w:hAnsi="仿宋" w:eastAsia="仿宋"/>
          <w:color w:val="000000"/>
          <w:sz w:val="32"/>
          <w:szCs w:val="32"/>
        </w:rPr>
        <w:t>总计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268.94</w:t>
      </w:r>
      <w:r>
        <w:rPr>
          <w:rFonts w:hint="eastAsia" w:ascii="仿宋" w:hAnsi="仿宋" w:eastAsia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，支出总计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350.73，因是新增单位，所以无上年数。</w:t>
      </w:r>
    </w:p>
    <w:p>
      <w:pPr>
        <w:pStyle w:val="23"/>
        <w:numPr>
          <w:ilvl w:val="0"/>
          <w:numId w:val="1"/>
        </w:numPr>
        <w:spacing w:line="600" w:lineRule="exact"/>
        <w:ind w:firstLineChars="0"/>
        <w:outlineLvl w:val="1"/>
        <w:rPr>
          <w:rStyle w:val="25"/>
          <w:rFonts w:ascii="黑体" w:hAnsi="黑体" w:eastAsia="黑体"/>
          <w:b w:val="0"/>
        </w:rPr>
      </w:pPr>
      <w:bookmarkStart w:id="27" w:name="_Toc15396604"/>
      <w:bookmarkStart w:id="28" w:name="_Toc15377206"/>
      <w:r>
        <w:rPr>
          <w:rFonts w:hint="eastAsia" w:ascii="黑体" w:hAnsi="黑体" w:eastAsia="黑体"/>
          <w:color w:val="000000"/>
          <w:sz w:val="32"/>
          <w:szCs w:val="32"/>
        </w:rPr>
        <w:t>收</w:t>
      </w:r>
      <w:r>
        <w:rPr>
          <w:rStyle w:val="25"/>
          <w:rFonts w:hint="eastAsia" w:ascii="黑体" w:hAnsi="黑体" w:eastAsia="黑体"/>
          <w:b w:val="0"/>
        </w:rPr>
        <w:t>入决算情况说明</w:t>
      </w:r>
      <w:bookmarkEnd w:id="27"/>
      <w:bookmarkEnd w:id="28"/>
    </w:p>
    <w:p>
      <w:pPr>
        <w:spacing w:line="600" w:lineRule="exact"/>
        <w:ind w:firstLine="640" w:firstLineChars="200"/>
        <w:outlineLvl w:val="1"/>
        <w:rPr>
          <w:rFonts w:hint="eastAsia" w:ascii="仿宋_GB2312" w:eastAsia="仿宋"/>
          <w:color w:val="FF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8年本年收入合计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268.94</w:t>
      </w:r>
      <w:r>
        <w:rPr>
          <w:rFonts w:hint="eastAsia" w:ascii="仿宋" w:hAnsi="仿宋" w:eastAsia="仿宋"/>
          <w:color w:val="000000"/>
          <w:sz w:val="32"/>
          <w:szCs w:val="32"/>
        </w:rPr>
        <w:t>万元，其中：一般公共预算财政拨款收入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268.94</w:t>
      </w:r>
      <w:r>
        <w:rPr>
          <w:rFonts w:hint="eastAsia" w:ascii="仿宋" w:hAnsi="仿宋" w:eastAsia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pStyle w:val="23"/>
        <w:numPr>
          <w:ilvl w:val="0"/>
          <w:numId w:val="1"/>
        </w:numPr>
        <w:spacing w:line="600" w:lineRule="exact"/>
        <w:ind w:firstLineChars="0"/>
        <w:outlineLvl w:val="1"/>
        <w:rPr>
          <w:rStyle w:val="25"/>
          <w:rFonts w:ascii="黑体" w:hAnsi="黑体" w:eastAsia="黑体"/>
          <w:b w:val="0"/>
        </w:rPr>
      </w:pPr>
      <w:bookmarkStart w:id="29" w:name="_Toc15377207"/>
      <w:bookmarkStart w:id="30" w:name="_Toc15396605"/>
      <w:r>
        <w:rPr>
          <w:rFonts w:hint="eastAsia" w:ascii="黑体" w:hAnsi="黑体" w:eastAsia="黑体"/>
          <w:color w:val="000000"/>
          <w:sz w:val="32"/>
          <w:szCs w:val="32"/>
        </w:rPr>
        <w:t>支</w:t>
      </w:r>
      <w:r>
        <w:rPr>
          <w:rStyle w:val="25"/>
          <w:rFonts w:hint="eastAsia" w:ascii="黑体" w:hAnsi="黑体" w:eastAsia="黑体"/>
          <w:b w:val="0"/>
        </w:rPr>
        <w:t>出决算情况说明</w:t>
      </w:r>
      <w:bookmarkEnd w:id="29"/>
      <w:bookmarkEnd w:id="30"/>
    </w:p>
    <w:p>
      <w:pPr>
        <w:spacing w:line="600" w:lineRule="exact"/>
        <w:ind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8年本年支出合计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350.73</w:t>
      </w:r>
      <w:r>
        <w:rPr>
          <w:rFonts w:hint="eastAsia" w:ascii="仿宋" w:hAnsi="仿宋" w:eastAsia="仿宋"/>
          <w:color w:val="000000"/>
          <w:sz w:val="32"/>
          <w:szCs w:val="32"/>
        </w:rPr>
        <w:t>万元，其中：基本支出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350.73</w:t>
      </w:r>
      <w:r>
        <w:rPr>
          <w:rFonts w:hint="eastAsia" w:ascii="仿宋" w:hAnsi="仿宋" w:eastAsia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outlineLvl w:val="1"/>
        <w:rPr>
          <w:rStyle w:val="25"/>
          <w:rFonts w:ascii="黑体" w:hAnsi="黑体" w:eastAsia="黑体"/>
          <w:b w:val="0"/>
        </w:rPr>
      </w:pPr>
      <w:bookmarkStart w:id="31" w:name="_Toc15396606"/>
      <w:bookmarkStart w:id="32" w:name="_Toc15377208"/>
      <w:r>
        <w:rPr>
          <w:rFonts w:hint="eastAsia" w:ascii="黑体" w:hAnsi="黑体" w:eastAsia="黑体"/>
          <w:color w:val="000000"/>
          <w:sz w:val="32"/>
          <w:szCs w:val="32"/>
        </w:rPr>
        <w:t>四、财</w:t>
      </w:r>
      <w:r>
        <w:rPr>
          <w:rStyle w:val="25"/>
          <w:rFonts w:hint="eastAsia" w:ascii="黑体" w:hAnsi="黑体" w:eastAsia="黑体"/>
          <w:b w:val="0"/>
        </w:rPr>
        <w:t>政拨款收入支出决算总体情况说明</w:t>
      </w:r>
      <w:bookmarkEnd w:id="31"/>
      <w:bookmarkEnd w:id="32"/>
    </w:p>
    <w:p>
      <w:pPr>
        <w:spacing w:line="600" w:lineRule="exact"/>
        <w:ind w:firstLine="640" w:firstLineChars="200"/>
        <w:rPr>
          <w:rFonts w:ascii="仿宋" w:hAnsi="仿宋" w:eastAsia="仿宋"/>
          <w:b/>
          <w:color w:val="00B05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8年财政拨款收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入</w:t>
      </w:r>
      <w:r>
        <w:rPr>
          <w:rFonts w:hint="eastAsia" w:ascii="仿宋" w:hAnsi="仿宋" w:eastAsia="仿宋"/>
          <w:color w:val="000000"/>
          <w:sz w:val="32"/>
          <w:szCs w:val="32"/>
        </w:rPr>
        <w:t>总计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268.94</w:t>
      </w:r>
      <w:r>
        <w:rPr>
          <w:rFonts w:hint="eastAsia" w:ascii="仿宋" w:hAnsi="仿宋" w:eastAsia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，支出总计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350.73万元，因是新增单位，所以无上年数。</w:t>
      </w:r>
    </w:p>
    <w:p>
      <w:pPr>
        <w:spacing w:line="600" w:lineRule="exact"/>
        <w:ind w:firstLine="640" w:firstLineChars="200"/>
        <w:outlineLvl w:val="1"/>
        <w:rPr>
          <w:rStyle w:val="25"/>
          <w:rFonts w:ascii="黑体" w:hAnsi="黑体" w:eastAsia="黑体"/>
          <w:b w:val="0"/>
        </w:rPr>
      </w:pPr>
      <w:bookmarkStart w:id="33" w:name="_Toc15396607"/>
      <w:bookmarkStart w:id="34" w:name="_Toc15377209"/>
      <w:r>
        <w:rPr>
          <w:rFonts w:hint="eastAsia" w:ascii="黑体" w:hAnsi="黑体" w:eastAsia="黑体"/>
          <w:color w:val="000000"/>
          <w:sz w:val="32"/>
          <w:szCs w:val="32"/>
        </w:rPr>
        <w:t>五、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一</w:t>
      </w:r>
      <w:r>
        <w:rPr>
          <w:rStyle w:val="25"/>
          <w:rFonts w:hint="eastAsia" w:ascii="黑体" w:hAnsi="黑体" w:eastAsia="黑体"/>
          <w:b w:val="0"/>
        </w:rPr>
        <w:t>般公共预算财政拨款支出决算情况说明</w:t>
      </w:r>
      <w:bookmarkEnd w:id="33"/>
      <w:bookmarkEnd w:id="34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35" w:name="_Toc15377210"/>
      <w:r>
        <w:rPr>
          <w:rFonts w:hint="eastAsia" w:ascii="仿宋" w:hAnsi="仿宋" w:eastAsia="仿宋"/>
          <w:b/>
          <w:color w:val="000000"/>
          <w:sz w:val="32"/>
          <w:szCs w:val="32"/>
        </w:rPr>
        <w:t>（一）一般公共预算财政拨款支出决算总体情况</w:t>
      </w:r>
      <w:bookmarkEnd w:id="35"/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8年一般公共预算财政拨款支出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350.73</w:t>
      </w:r>
      <w:r>
        <w:rPr>
          <w:rFonts w:hint="eastAsia" w:ascii="仿宋" w:hAnsi="仿宋" w:eastAsia="仿宋"/>
          <w:color w:val="000000"/>
          <w:sz w:val="32"/>
          <w:szCs w:val="32"/>
        </w:rPr>
        <w:t>万元，占本年支出合计的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因是新增单位，所以无上年数。</w:t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36" w:name="_Toc15377211"/>
      <w:r>
        <w:rPr>
          <w:rFonts w:hint="eastAsia" w:ascii="仿宋" w:hAnsi="仿宋" w:eastAsia="仿宋"/>
          <w:b/>
          <w:color w:val="000000"/>
          <w:sz w:val="32"/>
          <w:szCs w:val="32"/>
        </w:rPr>
        <w:t>（二）一般公共预算财政拨款支出决算结构情况</w:t>
      </w:r>
      <w:bookmarkEnd w:id="36"/>
    </w:p>
    <w:p>
      <w:pPr>
        <w:spacing w:line="600" w:lineRule="exact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8年一般公共预算财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政拨款支出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350.73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万元，主要用于以下方面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社会保障和就业（类）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49.44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14.10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；医疗卫生支出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12.01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3.42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农林水支出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264.37万元，占75.38%；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住房保障支出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24.91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7.10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图6：一般公共预算财政拨款支出决算结构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单位：万元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420" w:firstLineChars="200"/>
        <w:rPr>
          <w:rFonts w:ascii="仿宋" w:hAnsi="仿宋" w:eastAsia="仿宋"/>
          <w:color w:val="000000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-2186305</wp:posOffset>
            </wp:positionV>
            <wp:extent cx="4335780" cy="2158365"/>
            <wp:effectExtent l="4445" t="5080" r="22225" b="8255"/>
            <wp:wrapSquare wrapText="bothSides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37" w:name="_Toc15377212"/>
      <w:r>
        <w:rPr>
          <w:rFonts w:hint="eastAsia" w:ascii="仿宋" w:hAnsi="仿宋" w:eastAsia="仿宋"/>
          <w:b/>
          <w:color w:val="000000"/>
          <w:sz w:val="32"/>
          <w:szCs w:val="32"/>
        </w:rPr>
        <w:t>（三）一般公共预算财政拨款支出决算具体情况</w:t>
      </w:r>
      <w:bookmarkEnd w:id="37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color w:val="FF0000"/>
          <w:sz w:val="32"/>
          <w:szCs w:val="32"/>
        </w:rPr>
      </w:pPr>
      <w:bookmarkStart w:id="38" w:name="_Toc15378460"/>
      <w:bookmarkStart w:id="39" w:name="_Toc15377444"/>
      <w:bookmarkStart w:id="40" w:name="_Toc15377213"/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2018年般公共预算支出决算数为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350.73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Style w:val="14"/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Style w:val="14"/>
          <w:rFonts w:hint="eastAsia" w:ascii="仿宋" w:hAnsi="仿宋" w:eastAsia="仿宋"/>
          <w:bCs/>
          <w:color w:val="000000"/>
          <w:sz w:val="32"/>
          <w:szCs w:val="32"/>
        </w:rPr>
        <w:t>预算</w:t>
      </w:r>
      <w:r>
        <w:rPr>
          <w:rStyle w:val="14"/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100</w:t>
      </w:r>
      <w:r>
        <w:rPr>
          <w:rStyle w:val="14"/>
          <w:rFonts w:ascii="仿宋" w:hAnsi="仿宋" w:eastAsia="仿宋"/>
          <w:bCs/>
          <w:color w:val="000000"/>
          <w:sz w:val="32"/>
          <w:szCs w:val="32"/>
        </w:rPr>
        <w:t>%</w:t>
      </w:r>
      <w:r>
        <w:rPr>
          <w:rStyle w:val="14"/>
          <w:rFonts w:hint="eastAsia" w:ascii="仿宋" w:hAnsi="仿宋" w:eastAsia="仿宋"/>
          <w:bCs/>
          <w:color w:val="000000"/>
          <w:sz w:val="32"/>
          <w:szCs w:val="32"/>
        </w:rPr>
        <w:t>。其中：</w:t>
      </w:r>
      <w:bookmarkEnd w:id="38"/>
      <w:bookmarkEnd w:id="39"/>
      <w:bookmarkEnd w:id="40"/>
    </w:p>
    <w:p>
      <w:pPr>
        <w:spacing w:line="60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Style w:val="14"/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1</w:t>
      </w:r>
      <w:r>
        <w:rPr>
          <w:rStyle w:val="14"/>
          <w:rFonts w:ascii="仿宋" w:hAnsi="仿宋" w:eastAsia="仿宋"/>
          <w:bCs/>
          <w:color w:val="000000"/>
          <w:sz w:val="32"/>
          <w:szCs w:val="32"/>
        </w:rPr>
        <w:t>.</w:t>
      </w:r>
      <w:r>
        <w:rPr>
          <w:rStyle w:val="14"/>
          <w:rFonts w:hint="eastAsia" w:ascii="仿宋" w:hAnsi="仿宋" w:eastAsia="仿宋"/>
          <w:bCs/>
          <w:color w:val="000000"/>
          <w:sz w:val="32"/>
          <w:szCs w:val="32"/>
        </w:rPr>
        <w:t>社会保障和就业</w:t>
      </w:r>
      <w:r>
        <w:rPr>
          <w:rStyle w:val="14"/>
          <w:rFonts w:ascii="仿宋" w:hAnsi="仿宋" w:eastAsia="仿宋"/>
          <w:bCs/>
          <w:color w:val="000000"/>
          <w:sz w:val="32"/>
          <w:szCs w:val="32"/>
        </w:rPr>
        <w:t>: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支出决算为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49.44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万元，完成预算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Style w:val="14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，决算数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与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预算数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持平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</w:pPr>
      <w:r>
        <w:rPr>
          <w:rStyle w:val="14"/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2</w:t>
      </w:r>
      <w:r>
        <w:rPr>
          <w:rStyle w:val="14"/>
          <w:rFonts w:ascii="仿宋" w:hAnsi="仿宋" w:eastAsia="仿宋"/>
          <w:bCs/>
          <w:color w:val="000000"/>
          <w:sz w:val="32"/>
          <w:szCs w:val="32"/>
        </w:rPr>
        <w:t>.</w:t>
      </w:r>
      <w:r>
        <w:rPr>
          <w:rStyle w:val="14"/>
          <w:rFonts w:hint="eastAsia" w:ascii="仿宋" w:hAnsi="仿宋" w:eastAsia="仿宋"/>
          <w:bCs/>
          <w:color w:val="000000"/>
          <w:sz w:val="32"/>
          <w:szCs w:val="32"/>
        </w:rPr>
        <w:t>医疗卫生与计划生育</w:t>
      </w:r>
      <w:r>
        <w:rPr>
          <w:rStyle w:val="14"/>
          <w:rFonts w:ascii="仿宋" w:hAnsi="仿宋" w:eastAsia="仿宋"/>
          <w:bCs/>
          <w:color w:val="000000"/>
          <w:sz w:val="32"/>
          <w:szCs w:val="32"/>
        </w:rPr>
        <w:t>: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支出决算为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12.01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万元，完成预算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100</w:t>
      </w:r>
      <w:r>
        <w:rPr>
          <w:rStyle w:val="14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，决算数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与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预算数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持平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</w:pPr>
      <w:r>
        <w:rPr>
          <w:rStyle w:val="14"/>
          <w:rFonts w:hint="eastAsia" w:ascii="仿宋" w:hAnsi="仿宋" w:eastAsia="仿宋"/>
          <w:b/>
          <w:bCs w:val="0"/>
          <w:color w:val="000000"/>
          <w:sz w:val="32"/>
          <w:szCs w:val="32"/>
          <w:lang w:val="en-US" w:eastAsia="zh-CN"/>
        </w:rPr>
        <w:t>3.农林水支出：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支出决算为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264.37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万元，完成预算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100</w:t>
      </w:r>
      <w:r>
        <w:rPr>
          <w:rStyle w:val="14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，决算数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与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预算数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持平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Style w:val="14"/>
          <w:rFonts w:hint="eastAsia" w:ascii="仿宋" w:hAnsi="仿宋" w:eastAsia="仿宋"/>
          <w:b/>
          <w:bCs w:val="0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住房保障支出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支出决算为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24.91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完成预算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100</w:t>
      </w:r>
      <w:r>
        <w:rPr>
          <w:rStyle w:val="14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，决算数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与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预算数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持平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25"/>
        </w:rPr>
      </w:pPr>
      <w:bookmarkStart w:id="41" w:name="_Toc15396608"/>
      <w:bookmarkStart w:id="42" w:name="_Toc15377214"/>
      <w:r>
        <w:rPr>
          <w:rFonts w:hint="eastAsia" w:ascii="黑体" w:eastAsia="黑体"/>
          <w:color w:val="000000"/>
          <w:sz w:val="32"/>
          <w:szCs w:val="32"/>
        </w:rPr>
        <w:t>六</w:t>
      </w:r>
      <w:r>
        <w:rPr>
          <w:rFonts w:hint="eastAsia" w:ascii="黑体" w:eastAsia="黑体"/>
          <w:b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一</w:t>
      </w:r>
      <w:r>
        <w:rPr>
          <w:rStyle w:val="25"/>
          <w:rFonts w:hint="eastAsia" w:ascii="黑体" w:hAnsi="黑体" w:eastAsia="黑体"/>
          <w:b w:val="0"/>
        </w:rPr>
        <w:t>般公共预算财政拨款基本支出决算情况说明</w:t>
      </w:r>
      <w:bookmarkEnd w:id="41"/>
      <w:bookmarkEnd w:id="42"/>
      <w:r>
        <w:rPr>
          <w:rStyle w:val="25"/>
          <w:rFonts w:ascii="黑体" w:hAnsi="黑体" w:eastAsia="黑体"/>
          <w:b w:val="0"/>
        </w:rPr>
        <w:tab/>
      </w:r>
    </w:p>
    <w:p>
      <w:pPr>
        <w:spacing w:line="600" w:lineRule="exact"/>
        <w:ind w:firstLine="645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8年一般公共预算财政拨款基本支出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350.73</w:t>
      </w:r>
      <w:r>
        <w:rPr>
          <w:rFonts w:hint="eastAsia" w:ascii="仿宋" w:hAnsi="仿宋" w:eastAsia="仿宋"/>
          <w:color w:val="000000"/>
          <w:sz w:val="32"/>
          <w:szCs w:val="32"/>
        </w:rPr>
        <w:t>万元，其中：</w:t>
      </w:r>
    </w:p>
    <w:p>
      <w:pPr>
        <w:spacing w:line="600" w:lineRule="exact"/>
        <w:ind w:firstLine="645"/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人员经费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322.57</w:t>
      </w:r>
      <w:r>
        <w:rPr>
          <w:rFonts w:hint="eastAsia" w:ascii="仿宋" w:hAnsi="仿宋" w:eastAsia="仿宋"/>
          <w:color w:val="000000"/>
          <w:sz w:val="32"/>
          <w:szCs w:val="32"/>
        </w:rPr>
        <w:t>万元，主要包括：基本工资、津贴补贴、奖金、伙食补助费、绩效工资、机关事业单位基本养老保险缴费、职业年金缴费、其他社会保障缴费、其他工资福利支出、生活补助、医疗费、奖励金、住房公积金等。</w:t>
      </w:r>
      <w:r>
        <w:rPr>
          <w:rFonts w:ascii="仿宋" w:hAnsi="仿宋" w:eastAsia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000000"/>
          <w:sz w:val="32"/>
          <w:szCs w:val="32"/>
        </w:rPr>
        <w:t>　　公用经费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28.16</w:t>
      </w:r>
      <w:r>
        <w:rPr>
          <w:rFonts w:hint="eastAsia" w:ascii="仿宋" w:hAnsi="仿宋" w:eastAsia="仿宋"/>
          <w:color w:val="000000"/>
          <w:sz w:val="32"/>
          <w:szCs w:val="32"/>
        </w:rPr>
        <w:t>万元，主要包括：办公费、印刷费、水费、电费、差旅费、租赁费、培训费、公务接待费、劳务费等。</w:t>
      </w:r>
    </w:p>
    <w:p>
      <w:pPr>
        <w:spacing w:line="600" w:lineRule="exact"/>
        <w:ind w:firstLine="640"/>
        <w:outlineLvl w:val="1"/>
        <w:rPr>
          <w:rStyle w:val="25"/>
          <w:rFonts w:ascii="黑体" w:hAnsi="黑体" w:eastAsia="黑体"/>
          <w:b w:val="0"/>
        </w:rPr>
      </w:pPr>
      <w:bookmarkStart w:id="43" w:name="_Toc15396609"/>
      <w:bookmarkStart w:id="44" w:name="_Toc15377215"/>
      <w:r>
        <w:rPr>
          <w:rFonts w:hint="eastAsia" w:ascii="黑体" w:eastAsia="黑体"/>
          <w:color w:val="000000"/>
          <w:sz w:val="32"/>
          <w:szCs w:val="32"/>
        </w:rPr>
        <w:t>七、</w:t>
      </w:r>
      <w:r>
        <w:rPr>
          <w:rStyle w:val="25"/>
          <w:rFonts w:hint="eastAsia" w:ascii="黑体" w:hAnsi="黑体" w:eastAsia="黑体"/>
        </w:rPr>
        <w:t>“</w:t>
      </w:r>
      <w:r>
        <w:rPr>
          <w:rStyle w:val="25"/>
          <w:rFonts w:hint="eastAsia" w:ascii="黑体" w:hAnsi="黑体" w:eastAsia="黑体"/>
          <w:b w:val="0"/>
        </w:rPr>
        <w:t>三公”经费财政拨款支出决算情况说明</w:t>
      </w:r>
      <w:bookmarkEnd w:id="43"/>
      <w:bookmarkEnd w:id="44"/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45" w:name="_Toc15377216"/>
      <w:r>
        <w:rPr>
          <w:rFonts w:hint="eastAsia" w:ascii="仿宋" w:hAnsi="仿宋" w:eastAsia="仿宋"/>
          <w:b/>
          <w:color w:val="000000"/>
          <w:sz w:val="32"/>
          <w:szCs w:val="32"/>
        </w:rPr>
        <w:t>（一）“三公”经费财政拨款支出决算总体情况说明</w:t>
      </w:r>
      <w:bookmarkEnd w:id="45"/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8年“三公”经费财政拨款支出决算为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0.1</w:t>
      </w:r>
      <w:r>
        <w:rPr>
          <w:rFonts w:hint="eastAsia" w:ascii="仿宋" w:hAnsi="仿宋" w:eastAsia="仿宋"/>
          <w:color w:val="000000"/>
          <w:sz w:val="32"/>
          <w:szCs w:val="32"/>
        </w:rPr>
        <w:t>万元，完成预算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，决算数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color w:val="000000"/>
          <w:sz w:val="32"/>
          <w:szCs w:val="32"/>
        </w:rPr>
        <w:t>预算数持平。</w:t>
      </w:r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46" w:name="_Toc15377217"/>
      <w:r>
        <w:rPr>
          <w:rFonts w:hint="eastAsia" w:ascii="仿宋" w:hAnsi="仿宋" w:eastAsia="仿宋"/>
          <w:b/>
          <w:color w:val="000000"/>
          <w:sz w:val="32"/>
          <w:szCs w:val="32"/>
        </w:rPr>
        <w:t>（二）“三公”经费财政拨款支出决算具体情况说明</w:t>
      </w:r>
      <w:bookmarkEnd w:id="46"/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8年“三公”经费财政拨款支出决算中，公务接待费支出决算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0.1</w:t>
      </w:r>
      <w:r>
        <w:rPr>
          <w:rFonts w:hint="eastAsia" w:ascii="仿宋" w:hAnsi="仿宋" w:eastAsia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。具体情况如下：</w:t>
      </w:r>
    </w:p>
    <w:p>
      <w:pPr>
        <w:spacing w:line="600" w:lineRule="exact"/>
        <w:ind w:firstLine="64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图8：“三公”经费财政拨款支出结构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单位：万元</w:t>
      </w:r>
    </w:p>
    <w:p>
      <w:pPr>
        <w:spacing w:line="600" w:lineRule="exact"/>
        <w:ind w:firstLine="64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64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64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64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-1843405</wp:posOffset>
            </wp:positionV>
            <wp:extent cx="4023360" cy="1775460"/>
            <wp:effectExtent l="4445" t="4445" r="10795" b="10795"/>
            <wp:wrapSquare wrapText="bothSides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b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公务接待费支出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0.1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完成预算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100</w:t>
      </w:r>
      <w:r>
        <w:rPr>
          <w:rStyle w:val="14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  <w:r>
        <w:rPr>
          <w:rStyle w:val="14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因为新增单位，无上年数。</w:t>
      </w:r>
    </w:p>
    <w:p>
      <w:pPr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主要用于执行公务、开展业务活动开支的交通费、住宿费、用餐费等。国内公务接待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批次，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人次（不包括陪同人员），共计支出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0.1</w:t>
      </w:r>
      <w:r>
        <w:rPr>
          <w:rFonts w:hint="eastAsia" w:ascii="仿宋_GB2312" w:eastAsia="仿宋_GB2312"/>
          <w:color w:val="000000"/>
          <w:sz w:val="32"/>
          <w:szCs w:val="32"/>
        </w:rPr>
        <w:t>万元，具体内容包括：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相关部门检查工作。</w:t>
      </w:r>
    </w:p>
    <w:p>
      <w:pPr>
        <w:spacing w:line="600" w:lineRule="exact"/>
        <w:ind w:firstLine="64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/>
          <w:color w:val="000000"/>
          <w:sz w:val="32"/>
          <w:szCs w:val="32"/>
        </w:rPr>
        <w:t>其他国内公务接待支出</w:t>
      </w:r>
      <w:r>
        <w:rPr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0.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万元，主要用于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相关部门检查工作。</w:t>
      </w:r>
      <w:bookmarkStart w:id="47" w:name="_Toc15396610"/>
      <w:bookmarkStart w:id="48" w:name="_Toc15377218"/>
    </w:p>
    <w:p>
      <w:pPr>
        <w:spacing w:line="600" w:lineRule="exact"/>
        <w:ind w:firstLine="640"/>
        <w:outlineLvl w:val="1"/>
        <w:rPr>
          <w:rStyle w:val="25"/>
          <w:rFonts w:ascii="黑体" w:hAnsi="黑体" w:eastAsia="黑体"/>
        </w:rPr>
      </w:pPr>
      <w:r>
        <w:rPr>
          <w:rFonts w:hint="eastAsia" w:ascii="黑体" w:eastAsia="黑体"/>
          <w:color w:val="000000"/>
          <w:sz w:val="32"/>
          <w:szCs w:val="32"/>
        </w:rPr>
        <w:t>八、</w:t>
      </w:r>
      <w:r>
        <w:rPr>
          <w:rStyle w:val="25"/>
          <w:rFonts w:hint="eastAsia" w:ascii="黑体" w:hAnsi="黑体" w:eastAsia="黑体"/>
          <w:b w:val="0"/>
        </w:rPr>
        <w:t>政府性基金预算支出决算情况说明</w:t>
      </w:r>
      <w:bookmarkEnd w:id="47"/>
      <w:bookmarkEnd w:id="48"/>
    </w:p>
    <w:p>
      <w:pPr>
        <w:spacing w:line="600" w:lineRule="exact"/>
        <w:ind w:firstLine="64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无</w:t>
      </w:r>
    </w:p>
    <w:p>
      <w:pPr>
        <w:numPr>
          <w:ilvl w:val="0"/>
          <w:numId w:val="2"/>
        </w:numPr>
        <w:spacing w:line="600" w:lineRule="exact"/>
        <w:ind w:firstLine="640"/>
        <w:outlineLvl w:val="1"/>
        <w:rPr>
          <w:rStyle w:val="25"/>
          <w:rFonts w:ascii="黑体" w:hAnsi="黑体" w:eastAsia="黑体"/>
          <w:b w:val="0"/>
        </w:rPr>
      </w:pPr>
      <w:bookmarkStart w:id="49" w:name="_Toc15377219"/>
      <w:bookmarkStart w:id="50" w:name="_Toc15396611"/>
      <w:r>
        <w:rPr>
          <w:rStyle w:val="25"/>
          <w:rFonts w:hint="eastAsia" w:ascii="黑体" w:hAnsi="黑体" w:eastAsia="黑体"/>
          <w:b w:val="0"/>
        </w:rPr>
        <w:t>国有资本经营预算支出决算情况说明</w:t>
      </w:r>
      <w:bookmarkEnd w:id="49"/>
      <w:bookmarkEnd w:id="50"/>
    </w:p>
    <w:p>
      <w:pPr>
        <w:numPr>
          <w:ilvl w:val="0"/>
          <w:numId w:val="0"/>
        </w:numPr>
        <w:spacing w:line="600" w:lineRule="exact"/>
        <w:outlineLvl w:val="1"/>
        <w:rPr>
          <w:rStyle w:val="25"/>
          <w:rFonts w:hint="default" w:ascii="黑体" w:hAnsi="黑体" w:eastAsia="黑体"/>
          <w:b w:val="0"/>
          <w:lang w:val="en-US" w:eastAsia="zh-CN"/>
        </w:rPr>
      </w:pPr>
      <w:r>
        <w:rPr>
          <w:rStyle w:val="25"/>
          <w:rFonts w:hint="eastAsia" w:ascii="黑体" w:hAnsi="黑体" w:eastAsia="黑体"/>
          <w:b w:val="0"/>
          <w:lang w:val="en-US" w:eastAsia="zh-CN"/>
        </w:rPr>
        <w:t xml:space="preserve">  </w:t>
      </w:r>
      <w:r>
        <w:rPr>
          <w:rStyle w:val="25"/>
          <w:rFonts w:hint="eastAsia" w:ascii="仿宋" w:hAnsi="仿宋" w:eastAsia="仿宋" w:cs="仿宋"/>
          <w:b w:val="0"/>
          <w:lang w:val="en-US" w:eastAsia="zh-CN"/>
        </w:rPr>
        <w:t xml:space="preserve">  无</w:t>
      </w:r>
    </w:p>
    <w:p>
      <w:pPr>
        <w:pStyle w:val="23"/>
        <w:numPr>
          <w:ilvl w:val="0"/>
          <w:numId w:val="3"/>
        </w:numPr>
        <w:spacing w:line="580" w:lineRule="exact"/>
        <w:ind w:firstLineChars="0"/>
        <w:rPr>
          <w:rStyle w:val="25"/>
          <w:rFonts w:ascii="黑体" w:hAnsi="黑体" w:eastAsia="黑体"/>
          <w:b w:val="0"/>
        </w:rPr>
      </w:pPr>
      <w:r>
        <w:rPr>
          <w:rStyle w:val="25"/>
          <w:rFonts w:hint="eastAsia" w:ascii="黑体" w:hAnsi="黑体" w:eastAsia="黑体"/>
          <w:b w:val="0"/>
        </w:rPr>
        <w:t>预算绩效情况说明</w:t>
      </w:r>
    </w:p>
    <w:p>
      <w:pPr>
        <w:numPr>
          <w:ilvl w:val="0"/>
          <w:numId w:val="4"/>
        </w:numPr>
        <w:spacing w:line="580" w:lineRule="exact"/>
        <w:ind w:firstLine="643" w:firstLineChars="200"/>
        <w:rPr>
          <w:rFonts w:ascii="仿宋" w:hAnsi="仿宋" w:eastAsia="仿宋" w:cs="楷体_GB2312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预算绩效管理工作开展情况。</w:t>
      </w:r>
    </w:p>
    <w:p>
      <w:pPr>
        <w:numPr>
          <w:ilvl w:val="0"/>
          <w:numId w:val="0"/>
        </w:numPr>
        <w:spacing w:line="580" w:lineRule="exact"/>
        <w:rPr>
          <w:rFonts w:hint="default" w:ascii="仿宋" w:hAnsi="仿宋" w:eastAsia="仿宋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  <w:lang w:val="en-US" w:eastAsia="zh-CN"/>
        </w:rPr>
        <w:t>无</w:t>
      </w:r>
    </w:p>
    <w:p>
      <w:pPr>
        <w:numPr>
          <w:ilvl w:val="0"/>
          <w:numId w:val="4"/>
        </w:num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项目绩效目标完成情况。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>
      <w:pPr>
        <w:numPr>
          <w:ilvl w:val="0"/>
          <w:numId w:val="4"/>
        </w:numPr>
        <w:spacing w:line="58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部门开展绩效评价结果。</w:t>
      </w:r>
    </w:p>
    <w:p>
      <w:pPr>
        <w:spacing w:line="580" w:lineRule="exact"/>
        <w:ind w:firstLine="96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>
      <w:pPr>
        <w:spacing w:line="600" w:lineRule="exact"/>
        <w:ind w:firstLine="800" w:firstLineChars="250"/>
        <w:outlineLvl w:val="1"/>
        <w:rPr>
          <w:rStyle w:val="25"/>
          <w:rFonts w:ascii="黑体" w:hAnsi="黑体" w:eastAsia="黑体"/>
        </w:rPr>
      </w:pPr>
      <w:bookmarkStart w:id="51" w:name="_Toc15377221"/>
      <w:bookmarkStart w:id="52" w:name="_Toc15396612"/>
      <w:r>
        <w:rPr>
          <w:rFonts w:hint="eastAsia" w:ascii="黑体" w:hAnsi="黑体" w:eastAsia="黑体"/>
          <w:color w:val="000000"/>
          <w:sz w:val="32"/>
          <w:szCs w:val="32"/>
        </w:rPr>
        <w:t>十</w:t>
      </w:r>
      <w:r>
        <w:rPr>
          <w:rStyle w:val="25"/>
          <w:rFonts w:hint="eastAsia" w:ascii="黑体" w:hAnsi="黑体" w:eastAsia="黑体"/>
        </w:rPr>
        <w:t>一、</w:t>
      </w:r>
      <w:r>
        <w:rPr>
          <w:rStyle w:val="25"/>
          <w:rFonts w:hint="eastAsia" w:ascii="黑体" w:hAnsi="黑体" w:eastAsia="黑体"/>
          <w:b w:val="0"/>
        </w:rPr>
        <w:t>其他重要事项的情况说明</w:t>
      </w:r>
      <w:bookmarkEnd w:id="51"/>
      <w:bookmarkEnd w:id="52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color w:val="000000"/>
          <w:sz w:val="32"/>
          <w:szCs w:val="32"/>
        </w:rPr>
      </w:pPr>
      <w:bookmarkStart w:id="53" w:name="_Toc15377222"/>
      <w:r>
        <w:rPr>
          <w:rFonts w:hint="eastAsia" w:ascii="仿宋" w:hAnsi="仿宋" w:eastAsia="仿宋"/>
          <w:b/>
          <w:color w:val="000000"/>
          <w:sz w:val="32"/>
          <w:szCs w:val="32"/>
        </w:rPr>
        <w:t>（一）机关运行经费支出情况</w:t>
      </w:r>
      <w:bookmarkEnd w:id="53"/>
    </w:p>
    <w:p>
      <w:pPr>
        <w:spacing w:line="600" w:lineRule="exact"/>
        <w:ind w:firstLine="64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无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hint="eastAsia" w:ascii="仿宋" w:hAnsi="仿宋" w:eastAsia="仿宋"/>
          <w:b/>
          <w:color w:val="000000"/>
          <w:sz w:val="32"/>
          <w:szCs w:val="32"/>
        </w:rPr>
      </w:pPr>
      <w:bookmarkStart w:id="54" w:name="_Toc15377223"/>
      <w:r>
        <w:rPr>
          <w:rFonts w:hint="eastAsia" w:ascii="仿宋" w:hAnsi="仿宋" w:eastAsia="仿宋"/>
          <w:b/>
          <w:color w:val="000000"/>
          <w:sz w:val="32"/>
          <w:szCs w:val="32"/>
        </w:rPr>
        <w:t>政府采购支出情况</w:t>
      </w:r>
      <w:bookmarkEnd w:id="54"/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ind w:firstLine="640" w:firstLineChars="200"/>
        <w:jc w:val="left"/>
        <w:outlineLvl w:val="2"/>
        <w:rPr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无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600" w:lineRule="exact"/>
        <w:ind w:left="0" w:leftChars="0" w:firstLine="643" w:firstLineChars="200"/>
        <w:jc w:val="left"/>
        <w:outlineLvl w:val="2"/>
        <w:rPr>
          <w:rFonts w:hint="eastAsia" w:ascii="仿宋" w:hAnsi="仿宋" w:eastAsia="仿宋"/>
          <w:b/>
          <w:color w:val="000000"/>
          <w:sz w:val="32"/>
          <w:szCs w:val="32"/>
        </w:rPr>
      </w:pPr>
      <w:bookmarkStart w:id="55" w:name="_Toc15377224"/>
      <w:r>
        <w:rPr>
          <w:rFonts w:hint="eastAsia" w:ascii="仿宋" w:hAnsi="仿宋" w:eastAsia="仿宋"/>
          <w:b/>
          <w:color w:val="000000"/>
          <w:sz w:val="32"/>
          <w:szCs w:val="32"/>
        </w:rPr>
        <w:t>国有资产占有使用情况</w:t>
      </w:r>
      <w:bookmarkEnd w:id="55"/>
    </w:p>
    <w:p>
      <w:pPr>
        <w:spacing w:line="600" w:lineRule="atLeast"/>
        <w:ind w:firstLine="640" w:firstLineChars="200"/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  <w:t>无</w:t>
      </w:r>
    </w:p>
    <w:p>
      <w:pPr>
        <w:widowControl/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br w:type="page"/>
      </w:r>
    </w:p>
    <w:p>
      <w:pPr>
        <w:numPr>
          <w:ilvl w:val="0"/>
          <w:numId w:val="6"/>
        </w:numPr>
        <w:spacing w:line="600" w:lineRule="exact"/>
        <w:ind w:firstLine="663" w:firstLineChars="150"/>
        <w:jc w:val="center"/>
        <w:outlineLvl w:val="0"/>
        <w:rPr>
          <w:rStyle w:val="24"/>
          <w:rFonts w:ascii="黑体" w:hAnsi="黑体" w:eastAsia="黑体"/>
          <w:b w:val="0"/>
        </w:rPr>
      </w:pPr>
      <w:bookmarkStart w:id="56" w:name="_Toc15396613"/>
      <w:bookmarkStart w:id="57" w:name="_Toc15377225"/>
      <w:r>
        <w:rPr>
          <w:rFonts w:hint="eastAsia" w:ascii="黑体" w:hAnsi="黑体" w:eastAsia="黑体"/>
          <w:b/>
          <w:color w:val="000000"/>
          <w:sz w:val="44"/>
          <w:szCs w:val="44"/>
        </w:rPr>
        <w:t>名</w:t>
      </w:r>
      <w:r>
        <w:rPr>
          <w:rStyle w:val="24"/>
          <w:rFonts w:hint="eastAsia" w:ascii="黑体" w:hAnsi="黑体" w:eastAsia="黑体"/>
          <w:b w:val="0"/>
        </w:rPr>
        <w:t>词解释</w:t>
      </w:r>
      <w:bookmarkEnd w:id="56"/>
      <w:bookmarkEnd w:id="57"/>
    </w:p>
    <w:p>
      <w:pPr>
        <w:spacing w:line="600" w:lineRule="exact"/>
        <w:jc w:val="left"/>
        <w:rPr>
          <w:rFonts w:ascii="宋体"/>
          <w:b/>
          <w:color w:val="000000"/>
          <w:sz w:val="44"/>
          <w:szCs w:val="44"/>
        </w:rPr>
      </w:pPr>
    </w:p>
    <w:p>
      <w:pPr>
        <w:pStyle w:val="22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财政拨款收入：指单位从同级财政部门取得的财政预算资金。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社会保障和就业。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医疗卫生与计划生育。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住房保障。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基本支出：指为保障机构正常运转、完成日常工作任务而发生的人员支出和公用支出。</w:t>
      </w:r>
    </w:p>
    <w:p>
      <w:pPr>
        <w:pStyle w:val="22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spacing w:line="600" w:lineRule="exact"/>
        <w:jc w:val="center"/>
        <w:outlineLvl w:val="0"/>
        <w:rPr>
          <w:rStyle w:val="24"/>
          <w:rFonts w:ascii="黑体" w:hAnsi="黑体" w:eastAsia="黑体"/>
          <w:b w:val="0"/>
        </w:rPr>
      </w:pPr>
      <w:bookmarkStart w:id="58" w:name="_Toc15377226"/>
      <w:r>
        <w:rPr>
          <w:rFonts w:ascii="宋体"/>
          <w:b/>
          <w:color w:val="000000"/>
          <w:sz w:val="44"/>
          <w:szCs w:val="44"/>
        </w:rPr>
        <w:br w:type="page"/>
      </w:r>
      <w:bookmarkStart w:id="59" w:name="_Toc15396614"/>
      <w:r>
        <w:rPr>
          <w:rFonts w:hint="eastAsia" w:ascii="黑体" w:hAnsi="黑体" w:eastAsia="黑体"/>
          <w:color w:val="000000"/>
          <w:sz w:val="44"/>
          <w:szCs w:val="44"/>
        </w:rPr>
        <w:t>第</w:t>
      </w:r>
      <w:r>
        <w:rPr>
          <w:rStyle w:val="24"/>
          <w:rFonts w:hint="eastAsia" w:ascii="黑体" w:hAnsi="黑体" w:eastAsia="黑体"/>
          <w:b w:val="0"/>
        </w:rPr>
        <w:t>四部分 附件</w:t>
      </w:r>
      <w:bookmarkEnd w:id="59"/>
    </w:p>
    <w:p>
      <w:pPr>
        <w:spacing w:line="600" w:lineRule="exact"/>
        <w:jc w:val="center"/>
        <w:outlineLvl w:val="0"/>
        <w:rPr>
          <w:rStyle w:val="24"/>
        </w:rPr>
      </w:pPr>
    </w:p>
    <w:p>
      <w:pPr>
        <w:pStyle w:val="3"/>
        <w:rPr>
          <w:rStyle w:val="24"/>
          <w:rFonts w:ascii="仿宋" w:hAnsi="仿宋" w:eastAsia="仿宋"/>
          <w:b w:val="0"/>
          <w:bCs w:val="0"/>
          <w:sz w:val="32"/>
          <w:szCs w:val="32"/>
        </w:rPr>
      </w:pPr>
      <w:bookmarkStart w:id="60" w:name="_Toc15396615"/>
      <w:r>
        <w:rPr>
          <w:rStyle w:val="24"/>
          <w:rFonts w:hint="eastAsia" w:ascii="仿宋" w:hAnsi="仿宋" w:eastAsia="仿宋"/>
          <w:b w:val="0"/>
          <w:bCs w:val="0"/>
          <w:sz w:val="32"/>
          <w:szCs w:val="32"/>
        </w:rPr>
        <w:t>附件1</w:t>
      </w:r>
      <w:bookmarkEnd w:id="60"/>
    </w:p>
    <w:p>
      <w:pPr>
        <w:spacing w:line="600" w:lineRule="exact"/>
        <w:jc w:val="center"/>
        <w:outlineLvl w:val="0"/>
        <w:rPr>
          <w:rFonts w:ascii="黑体" w:hAnsi="黑体" w:eastAsia="黑体" w:cs="方正小标宋简体"/>
          <w:sz w:val="36"/>
          <w:szCs w:val="36"/>
        </w:rPr>
      </w:pPr>
      <w:bookmarkStart w:id="61" w:name="_Toc15396616"/>
      <w:r>
        <w:rPr>
          <w:rFonts w:hint="eastAsia" w:ascii="黑体" w:hAnsi="黑体" w:eastAsia="黑体" w:cs="方正小标宋简体"/>
          <w:sz w:val="36"/>
          <w:szCs w:val="36"/>
        </w:rPr>
        <w:t>壤塘县农业畜牧和水务局科教站2018年部门整体支出绩效评价报告</w:t>
      </w:r>
      <w:bookmarkEnd w:id="61"/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一、部门（单位）概况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（一）机构组成。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壤塘县水务局为一级预算单位(行政单位），内设股室（事业）：水资源股、水利股、质量监督站、水保股、建管股、规计股。</w:t>
      </w:r>
    </w:p>
    <w:p>
      <w:pPr>
        <w:numPr>
          <w:ilvl w:val="0"/>
          <w:numId w:val="7"/>
        </w:num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机构职能。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①</w:t>
      </w:r>
      <w:r>
        <w:rPr>
          <w:rFonts w:hint="eastAsia" w:ascii="仿宋_GB2312" w:eastAsia="仿宋_GB2312"/>
          <w:sz w:val="32"/>
          <w:szCs w:val="32"/>
        </w:rPr>
        <w:t>统一管理全县水资源（含空中水、地表水、地下水）。组织制定全县水资源总体规划、流域规划和专业规划；②拟定全县城乡中长期供水计划，水量分配方案并监督实施，负责全县水价格核算的组织工作；③按照《中华人民共和国环境保护法》、《中华人民共和国水污染防治法》等法律、法规和标准，拟定水资源保护规划、组织水功能区划分，监测县境内河流、溪沟的水质，审定水域纳污能力，提出限制排污总量的意见。审查水域、河道排污口的设置和扩大。④负责全县水务工程建设项目的规划、建设书、可行性研究报告和初步设计方案的编制审批工作；负责组织指导全县水务基础设施建设；负责水利工程管理范围内新建、扩建、改建种类建设项目审批；负责对水务基础设施工程质量监督管理；组织指导县内河流及溪沟的治理和开发；组织建设和管理具有控制性的或跨乡镇的重要水利工程。负责管理和指导全县水利工程设施；负责指导全县农田灌溉、农业节水和抗旱工作。⑤负责县内河道的行政管理及管护范围内砂石资源的开发、利用和保护；负责对河道管理范围内建设项目报批；负责河道采砂许可，防汛等安全生产工作。</w:t>
      </w:r>
    </w:p>
    <w:p>
      <w:pPr>
        <w:numPr>
          <w:ilvl w:val="0"/>
          <w:numId w:val="7"/>
        </w:numPr>
        <w:spacing w:line="580" w:lineRule="exact"/>
        <w:ind w:left="0" w:leftChars="0"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人员概况。</w:t>
      </w:r>
    </w:p>
    <w:p>
      <w:pPr>
        <w:numPr>
          <w:ilvl w:val="0"/>
          <w:numId w:val="0"/>
        </w:numPr>
        <w:spacing w:line="580" w:lineRule="exact"/>
        <w:ind w:left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编制24人，年末实有职工24人（事业工勤2人，事业</w:t>
      </w:r>
    </w:p>
    <w:p>
      <w:pPr>
        <w:numPr>
          <w:ilvl w:val="0"/>
          <w:numId w:val="0"/>
        </w:numPr>
        <w:spacing w:line="580" w:lineRule="exac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22人）。</w:t>
      </w:r>
      <w:bookmarkStart w:id="77" w:name="_GoBack"/>
      <w:bookmarkEnd w:id="77"/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二、部门财政资金收支情况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（一）部门财政资金收入情况。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2018</w:t>
      </w:r>
      <w:r>
        <w:rPr>
          <w:rFonts w:eastAsia="仿宋"/>
          <w:color w:val="000000"/>
          <w:sz w:val="32"/>
          <w:szCs w:val="32"/>
        </w:rPr>
        <w:t>年财政拨款收入总计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268.94</w:t>
      </w:r>
      <w:r>
        <w:rPr>
          <w:rFonts w:eastAsia="仿宋"/>
          <w:color w:val="000000"/>
          <w:sz w:val="32"/>
          <w:szCs w:val="32"/>
        </w:rPr>
        <w:t>万元。</w:t>
      </w:r>
      <w:r>
        <w:rPr>
          <w:rFonts w:eastAsia="仿宋"/>
          <w:sz w:val="32"/>
          <w:szCs w:val="32"/>
        </w:rPr>
        <w:t xml:space="preserve"> </w:t>
      </w:r>
    </w:p>
    <w:p>
      <w:pPr>
        <w:numPr>
          <w:ilvl w:val="0"/>
          <w:numId w:val="8"/>
        </w:num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部门财政资金支出情况。</w:t>
      </w:r>
    </w:p>
    <w:p>
      <w:pPr>
        <w:spacing w:line="600" w:lineRule="exact"/>
        <w:ind w:firstLine="64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8年财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政拨款支出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350.73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万元，主要用于以下方面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社会保障和就业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49.44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14.10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；医疗卫生支出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12.01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3.42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农林水支出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264.37万元，占75.38%；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住房保障支出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24.91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7.10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numPr>
          <w:numId w:val="0"/>
        </w:numPr>
        <w:spacing w:line="580" w:lineRule="exact"/>
        <w:ind w:left="64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ascii="黑体" w:hAnsi="黑体" w:eastAsia="黑体" w:cs="黑体"/>
          <w:sz w:val="32"/>
          <w:szCs w:val="32"/>
        </w:rPr>
        <w:t>部门整体预算绩效管理情况</w:t>
      </w:r>
    </w:p>
    <w:p>
      <w:pPr>
        <w:numPr>
          <w:numId w:val="0"/>
        </w:num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（一）部门预算管理。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根据2018年度预算编制工作会议精神，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结合单位具体情况及2017年编制中出现的问题专门召开算编制工作会，提出2018年预算编制要求及注意事项：加强综合预算管理，严格执行财经纪律，控制行政运行支出，优化项目支出结构，强化项目支出绩效目标，着力提高预算管理科学化精细化水平，提高预算编制质量执行管理情况</w:t>
      </w:r>
      <w:r>
        <w:rPr>
          <w:rFonts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580" w:lineRule="exact"/>
        <w:ind w:left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（二）</w:t>
      </w:r>
      <w:r>
        <w:rPr>
          <w:rFonts w:ascii="仿宋" w:hAnsi="仿宋" w:eastAsia="仿宋" w:cs="仿宋_GB2312"/>
          <w:sz w:val="32"/>
          <w:szCs w:val="32"/>
        </w:rPr>
        <w:t>专项预算管理。</w:t>
      </w:r>
    </w:p>
    <w:p>
      <w:pPr>
        <w:numPr>
          <w:ilvl w:val="0"/>
          <w:numId w:val="0"/>
        </w:numPr>
        <w:spacing w:line="580" w:lineRule="exact"/>
        <w:ind w:left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无专项。</w:t>
      </w:r>
    </w:p>
    <w:p>
      <w:pPr>
        <w:numPr>
          <w:ilvl w:val="0"/>
          <w:numId w:val="0"/>
        </w:numPr>
        <w:spacing w:line="580" w:lineRule="exact"/>
        <w:ind w:left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（三）</w:t>
      </w:r>
      <w:r>
        <w:rPr>
          <w:rFonts w:ascii="仿宋" w:hAnsi="仿宋" w:eastAsia="仿宋" w:cs="仿宋_GB2312"/>
          <w:sz w:val="32"/>
          <w:szCs w:val="32"/>
        </w:rPr>
        <w:t>结果应用情况。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认真组织局机关开展绩效评价自评工作。并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年整体支出开展绩效自评，自评得分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92</w:t>
      </w:r>
      <w:r>
        <w:rPr>
          <w:rFonts w:hint="eastAsia" w:ascii="仿宋_GB2312" w:eastAsia="仿宋_GB2312"/>
          <w:color w:val="000000"/>
          <w:sz w:val="32"/>
          <w:szCs w:val="32"/>
        </w:rPr>
        <w:t>分。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201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color w:val="000000"/>
          <w:sz w:val="32"/>
          <w:szCs w:val="32"/>
        </w:rPr>
        <w:t>年部门整体支出绩效评价得分表</w:t>
      </w:r>
    </w:p>
    <w:tbl>
      <w:tblPr>
        <w:tblStyle w:val="12"/>
        <w:tblW w:w="949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268"/>
        <w:gridCol w:w="3402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部门决策（25分）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目标任务（15分）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相关性（5分）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明确性（5分）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合理性（5分）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预算编制（10分）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测算依据（5分）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目标管理（5分）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综合管理（30分）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专项资金分配时限（2分）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省级财力专项预算分配时限（1分）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中央专款分配合规率（1分）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中期评估（2分）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执行中期评估（2分）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绩效监控（5分）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预算执行进度监控（2分）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绩效目标动态监控（3分）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非税收入执收情况（2分）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非税收入征收情况（1分）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非税收入上缴情况（1分）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资产管理（6分）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资产管理信息化情况（2分）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行政事业单位资产报告情况（2分）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资产管理与预算管理相结合（2分）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内控制度管理（2分）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内部控制度健全完整（2分）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信息公开（6分）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预算公开（2分）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决算公开（2分）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绩效信息公开（2分）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绩效评价（5分）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绩效评价开展（2分）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评价结果应用（3分）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部门绩效情况（45分）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履职成效（20分）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部门特性指标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可持续发展能力（15分）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重点改革（重点工作）完成情况（5分）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科技（制度、方法、机制等）创新（5分）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人才培养（5分）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满意度（10分）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协作部门满意度（3分）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管理对象满意度（3分）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社会公众满意度（4分）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</w:tbl>
    <w:p>
      <w:pPr>
        <w:numPr>
          <w:ilvl w:val="0"/>
          <w:numId w:val="0"/>
        </w:numPr>
        <w:spacing w:line="58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四、评价结论及建议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（一）评价结论。</w:t>
      </w:r>
    </w:p>
    <w:p>
      <w:pPr>
        <w:spacing w:line="580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  <w:lang w:eastAsia="zh-CN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单位2018年部门预算支出在预算编制、预算执行、综合管理、整体效益等方面均按要求按规定执行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eastAsia="zh-CN"/>
        </w:rPr>
        <w:t>。</w:t>
      </w:r>
    </w:p>
    <w:p>
      <w:pPr>
        <w:numPr>
          <w:ilvl w:val="0"/>
          <w:numId w:val="9"/>
        </w:num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存在问题。</w:t>
      </w:r>
    </w:p>
    <w:p>
      <w:pPr>
        <w:spacing w:line="58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单位在预算编制上精细化和科学化不够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eastAsia="zh-CN"/>
        </w:rPr>
        <w:t>，相关制度不够健全。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（三）改进建议。</w:t>
      </w:r>
    </w:p>
    <w:p>
      <w:pPr>
        <w:numPr>
          <w:ilvl w:val="0"/>
          <w:numId w:val="0"/>
        </w:numPr>
        <w:spacing w:line="600" w:lineRule="atLeas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62" w:name="_Toc1539661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细化预算编制工作，认真做好预算的编制；加强各项制度的建立健全；</w:t>
      </w:r>
      <w:r>
        <w:rPr>
          <w:rStyle w:val="14"/>
          <w:rFonts w:hint="eastAsia" w:ascii="仿宋" w:hAnsi="仿宋" w:eastAsia="仿宋" w:cs="仿宋"/>
          <w:b w:val="0"/>
          <w:bCs w:val="0"/>
          <w:color w:val="4E4C4C"/>
          <w:sz w:val="32"/>
          <w:szCs w:val="32"/>
        </w:rPr>
        <w:t>加大宣传力度，树立绩效管理理念</w:t>
      </w:r>
      <w:r>
        <w:rPr>
          <w:rStyle w:val="14"/>
          <w:rFonts w:hint="eastAsia" w:ascii="仿宋" w:hAnsi="仿宋" w:eastAsia="仿宋" w:cs="仿宋"/>
          <w:b w:val="0"/>
          <w:bCs w:val="0"/>
          <w:color w:val="4E4C4C"/>
          <w:sz w:val="32"/>
          <w:szCs w:val="32"/>
          <w:lang w:eastAsia="zh-CN"/>
        </w:rPr>
        <w:t>；</w:t>
      </w:r>
      <w:r>
        <w:rPr>
          <w:rStyle w:val="14"/>
          <w:rFonts w:hint="eastAsia" w:ascii="仿宋" w:hAnsi="仿宋" w:eastAsia="仿宋" w:cs="仿宋"/>
          <w:b w:val="0"/>
          <w:bCs w:val="0"/>
          <w:color w:val="4E4C4C"/>
          <w:sz w:val="32"/>
          <w:szCs w:val="32"/>
        </w:rPr>
        <w:t>加强学习培训，提升业务能力</w:t>
      </w:r>
      <w:r>
        <w:rPr>
          <w:rStyle w:val="14"/>
          <w:rFonts w:hint="eastAsia" w:ascii="仿宋" w:hAnsi="仿宋" w:eastAsia="仿宋" w:cs="仿宋"/>
          <w:b w:val="0"/>
          <w:bCs w:val="0"/>
          <w:color w:val="4E4C4C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</w:p>
    <w:bookmarkEnd w:id="62"/>
    <w:p>
      <w:pPr>
        <w:spacing w:line="600" w:lineRule="exact"/>
        <w:jc w:val="center"/>
        <w:outlineLvl w:val="0"/>
        <w:rPr>
          <w:rStyle w:val="24"/>
          <w:rFonts w:ascii="黑体" w:hAnsi="黑体" w:eastAsia="黑体"/>
          <w:b w:val="0"/>
        </w:rPr>
      </w:pPr>
      <w:bookmarkStart w:id="63" w:name="_Toc15396618"/>
      <w:r>
        <w:rPr>
          <w:rFonts w:hint="eastAsia" w:ascii="黑体" w:hAnsi="黑体" w:eastAsia="黑体"/>
          <w:color w:val="000000"/>
          <w:sz w:val="44"/>
          <w:szCs w:val="44"/>
        </w:rPr>
        <w:t>第</w:t>
      </w:r>
      <w:r>
        <w:rPr>
          <w:rStyle w:val="24"/>
          <w:rFonts w:hint="eastAsia" w:ascii="黑体" w:hAnsi="黑体" w:eastAsia="黑体"/>
          <w:b w:val="0"/>
        </w:rPr>
        <w:t>五部分 附表</w:t>
      </w:r>
      <w:bookmarkEnd w:id="58"/>
      <w:bookmarkEnd w:id="63"/>
    </w:p>
    <w:p>
      <w:pPr>
        <w:spacing w:line="600" w:lineRule="exact"/>
        <w:jc w:val="center"/>
        <w:outlineLvl w:val="0"/>
        <w:rPr>
          <w:rFonts w:ascii="仿宋" w:hAnsi="仿宋" w:eastAsia="仿宋"/>
          <w:b/>
          <w:color w:val="000000"/>
          <w:sz w:val="44"/>
          <w:szCs w:val="44"/>
        </w:rPr>
      </w:pPr>
    </w:p>
    <w:p>
      <w:pPr>
        <w:pStyle w:val="3"/>
        <w:rPr>
          <w:rFonts w:ascii="仿宋" w:hAnsi="仿宋" w:eastAsia="仿宋"/>
          <w:color w:val="000000"/>
        </w:rPr>
      </w:pPr>
      <w:bookmarkStart w:id="64" w:name="_Toc15396619"/>
      <w:r>
        <w:rPr>
          <w:rFonts w:hint="eastAsia" w:ascii="仿宋" w:hAnsi="仿宋" w:eastAsia="仿宋"/>
          <w:b w:val="0"/>
          <w:color w:val="000000"/>
        </w:rPr>
        <w:t>一、收</w:t>
      </w:r>
      <w:r>
        <w:rPr>
          <w:rStyle w:val="25"/>
          <w:rFonts w:hint="eastAsia" w:ascii="仿宋" w:hAnsi="仿宋" w:eastAsia="仿宋"/>
          <w:b w:val="0"/>
          <w:bCs w:val="0"/>
        </w:rPr>
        <w:t>入支出决算总表</w:t>
      </w:r>
      <w:bookmarkEnd w:id="64"/>
    </w:p>
    <w:p>
      <w:pPr>
        <w:pStyle w:val="3"/>
        <w:rPr>
          <w:rFonts w:ascii="仿宋" w:hAnsi="仿宋" w:eastAsia="仿宋"/>
          <w:color w:val="000000"/>
        </w:rPr>
      </w:pPr>
      <w:bookmarkStart w:id="65" w:name="_Toc15396620"/>
      <w:r>
        <w:rPr>
          <w:rFonts w:hint="eastAsia" w:ascii="仿宋" w:hAnsi="仿宋" w:eastAsia="仿宋"/>
          <w:b w:val="0"/>
          <w:color w:val="000000"/>
        </w:rPr>
        <w:t>二、收</w:t>
      </w:r>
      <w:r>
        <w:rPr>
          <w:rStyle w:val="25"/>
          <w:rFonts w:hint="eastAsia" w:ascii="仿宋" w:hAnsi="仿宋" w:eastAsia="仿宋"/>
          <w:b w:val="0"/>
          <w:bCs w:val="0"/>
        </w:rPr>
        <w:t>入总表</w:t>
      </w:r>
      <w:bookmarkEnd w:id="65"/>
    </w:p>
    <w:p>
      <w:pPr>
        <w:pStyle w:val="3"/>
        <w:rPr>
          <w:rFonts w:ascii="仿宋" w:hAnsi="仿宋" w:eastAsia="仿宋"/>
          <w:color w:val="000000"/>
        </w:rPr>
      </w:pPr>
      <w:bookmarkStart w:id="66" w:name="_Toc15396621"/>
      <w:r>
        <w:rPr>
          <w:rStyle w:val="25"/>
          <w:rFonts w:hint="eastAsia" w:ascii="仿宋" w:hAnsi="仿宋" w:eastAsia="仿宋"/>
          <w:b w:val="0"/>
          <w:bCs w:val="0"/>
        </w:rPr>
        <w:t>三、</w:t>
      </w:r>
      <w:r>
        <w:rPr>
          <w:rFonts w:hint="eastAsia" w:ascii="仿宋" w:hAnsi="仿宋" w:eastAsia="仿宋"/>
          <w:b w:val="0"/>
          <w:color w:val="000000"/>
        </w:rPr>
        <w:t>支</w:t>
      </w:r>
      <w:r>
        <w:rPr>
          <w:rStyle w:val="25"/>
          <w:rFonts w:hint="eastAsia" w:ascii="仿宋" w:hAnsi="仿宋" w:eastAsia="仿宋"/>
          <w:b w:val="0"/>
          <w:bCs w:val="0"/>
        </w:rPr>
        <w:t>出总表</w:t>
      </w:r>
      <w:bookmarkEnd w:id="66"/>
    </w:p>
    <w:p>
      <w:pPr>
        <w:pStyle w:val="3"/>
        <w:rPr>
          <w:rFonts w:ascii="仿宋" w:hAnsi="仿宋" w:eastAsia="仿宋"/>
          <w:b w:val="0"/>
          <w:color w:val="000000"/>
        </w:rPr>
      </w:pPr>
      <w:bookmarkStart w:id="67" w:name="_Toc15396622"/>
      <w:r>
        <w:rPr>
          <w:rStyle w:val="25"/>
          <w:rFonts w:hint="eastAsia" w:ascii="仿宋" w:hAnsi="仿宋" w:eastAsia="仿宋"/>
          <w:b w:val="0"/>
          <w:bCs w:val="0"/>
        </w:rPr>
        <w:t>四、</w:t>
      </w:r>
      <w:r>
        <w:rPr>
          <w:rFonts w:hint="eastAsia" w:ascii="仿宋" w:hAnsi="仿宋" w:eastAsia="仿宋"/>
          <w:b w:val="0"/>
          <w:color w:val="000000"/>
        </w:rPr>
        <w:t>财</w:t>
      </w:r>
      <w:r>
        <w:rPr>
          <w:rStyle w:val="25"/>
          <w:rFonts w:hint="eastAsia" w:ascii="仿宋" w:hAnsi="仿宋" w:eastAsia="仿宋"/>
          <w:b w:val="0"/>
          <w:bCs w:val="0"/>
        </w:rPr>
        <w:t>政拨款收入支出决算总表</w:t>
      </w:r>
      <w:bookmarkEnd w:id="67"/>
    </w:p>
    <w:p>
      <w:pPr>
        <w:pStyle w:val="3"/>
        <w:rPr>
          <w:rFonts w:ascii="仿宋" w:hAnsi="仿宋" w:eastAsia="仿宋"/>
          <w:color w:val="000000"/>
        </w:rPr>
      </w:pPr>
      <w:bookmarkStart w:id="68" w:name="_Toc15396623"/>
      <w:r>
        <w:rPr>
          <w:rStyle w:val="25"/>
          <w:rFonts w:hint="eastAsia" w:ascii="仿宋" w:hAnsi="仿宋" w:eastAsia="仿宋"/>
          <w:b w:val="0"/>
          <w:bCs w:val="0"/>
        </w:rPr>
        <w:t>五、</w:t>
      </w:r>
      <w:r>
        <w:rPr>
          <w:rFonts w:hint="eastAsia" w:ascii="仿宋" w:hAnsi="仿宋" w:eastAsia="仿宋"/>
          <w:b w:val="0"/>
          <w:color w:val="000000"/>
        </w:rPr>
        <w:t>财</w:t>
      </w:r>
      <w:r>
        <w:rPr>
          <w:rStyle w:val="25"/>
          <w:rFonts w:hint="eastAsia" w:ascii="仿宋" w:hAnsi="仿宋" w:eastAsia="仿宋"/>
          <w:b w:val="0"/>
          <w:bCs w:val="0"/>
        </w:rPr>
        <w:t>政拨款支出决算明细表（政府经济分类科目）</w:t>
      </w:r>
      <w:bookmarkEnd w:id="68"/>
    </w:p>
    <w:p>
      <w:pPr>
        <w:pStyle w:val="3"/>
        <w:rPr>
          <w:rFonts w:ascii="仿宋" w:hAnsi="仿宋" w:eastAsia="仿宋"/>
          <w:color w:val="000000"/>
        </w:rPr>
      </w:pPr>
      <w:bookmarkStart w:id="69" w:name="_Toc15396624"/>
      <w:r>
        <w:rPr>
          <w:rStyle w:val="25"/>
          <w:rFonts w:hint="eastAsia" w:ascii="仿宋" w:hAnsi="仿宋" w:eastAsia="仿宋"/>
          <w:b w:val="0"/>
          <w:bCs w:val="0"/>
        </w:rPr>
        <w:t>六、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5"/>
          <w:rFonts w:hint="eastAsia" w:ascii="仿宋" w:hAnsi="仿宋" w:eastAsia="仿宋"/>
          <w:b w:val="0"/>
          <w:bCs w:val="0"/>
        </w:rPr>
        <w:t>般公共预算财政拨款支出决算表</w:t>
      </w:r>
      <w:bookmarkEnd w:id="69"/>
    </w:p>
    <w:p>
      <w:pPr>
        <w:pStyle w:val="3"/>
        <w:rPr>
          <w:rFonts w:ascii="仿宋" w:hAnsi="仿宋" w:eastAsia="仿宋"/>
          <w:color w:val="000000"/>
        </w:rPr>
      </w:pPr>
      <w:bookmarkStart w:id="70" w:name="_Toc15396625"/>
      <w:r>
        <w:rPr>
          <w:rStyle w:val="25"/>
          <w:rFonts w:hint="eastAsia" w:ascii="仿宋" w:hAnsi="仿宋" w:eastAsia="仿宋"/>
          <w:b w:val="0"/>
          <w:bCs w:val="0"/>
        </w:rPr>
        <w:t>七、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5"/>
          <w:rFonts w:hint="eastAsia" w:ascii="仿宋" w:hAnsi="仿宋" w:eastAsia="仿宋"/>
          <w:b w:val="0"/>
          <w:bCs w:val="0"/>
        </w:rPr>
        <w:t>般公共预算财政拨款支出决算明细表</w:t>
      </w:r>
      <w:bookmarkEnd w:id="70"/>
    </w:p>
    <w:p>
      <w:pPr>
        <w:pStyle w:val="3"/>
        <w:rPr>
          <w:rFonts w:ascii="仿宋" w:hAnsi="仿宋" w:eastAsia="仿宋"/>
          <w:color w:val="000000"/>
        </w:rPr>
      </w:pPr>
      <w:bookmarkStart w:id="71" w:name="_Toc15396626"/>
      <w:r>
        <w:rPr>
          <w:rStyle w:val="25"/>
          <w:rFonts w:hint="eastAsia" w:ascii="仿宋" w:hAnsi="仿宋" w:eastAsia="仿宋"/>
          <w:b w:val="0"/>
          <w:bCs w:val="0"/>
        </w:rPr>
        <w:t>八、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5"/>
          <w:rFonts w:hint="eastAsia" w:ascii="仿宋" w:hAnsi="仿宋" w:eastAsia="仿宋"/>
          <w:b w:val="0"/>
          <w:bCs w:val="0"/>
        </w:rPr>
        <w:t>般公共预算财政拨款基本支出决算表</w:t>
      </w:r>
      <w:bookmarkEnd w:id="71"/>
    </w:p>
    <w:p>
      <w:pPr>
        <w:pStyle w:val="3"/>
        <w:rPr>
          <w:rFonts w:ascii="仿宋" w:hAnsi="仿宋" w:eastAsia="仿宋"/>
          <w:color w:val="000000"/>
        </w:rPr>
      </w:pPr>
      <w:bookmarkStart w:id="72" w:name="_Toc15396627"/>
      <w:r>
        <w:rPr>
          <w:rStyle w:val="25"/>
          <w:rFonts w:hint="eastAsia" w:ascii="仿宋" w:hAnsi="仿宋" w:eastAsia="仿宋"/>
          <w:b w:val="0"/>
          <w:bCs w:val="0"/>
        </w:rPr>
        <w:t>九、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5"/>
          <w:rFonts w:hint="eastAsia" w:ascii="仿宋" w:hAnsi="仿宋" w:eastAsia="仿宋"/>
          <w:b w:val="0"/>
          <w:bCs w:val="0"/>
        </w:rPr>
        <w:t>般公共预算财政拨款项目支出决算表</w:t>
      </w:r>
      <w:bookmarkEnd w:id="72"/>
    </w:p>
    <w:p>
      <w:pPr>
        <w:pStyle w:val="3"/>
        <w:rPr>
          <w:rFonts w:ascii="仿宋" w:hAnsi="仿宋" w:eastAsia="仿宋"/>
          <w:color w:val="000000"/>
        </w:rPr>
      </w:pPr>
      <w:bookmarkStart w:id="73" w:name="_Toc15396628"/>
      <w:r>
        <w:rPr>
          <w:rStyle w:val="25"/>
          <w:rFonts w:hint="eastAsia" w:ascii="仿宋" w:hAnsi="仿宋" w:eastAsia="仿宋"/>
          <w:b w:val="0"/>
          <w:bCs w:val="0"/>
        </w:rPr>
        <w:t>十、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5"/>
          <w:rFonts w:hint="eastAsia" w:ascii="仿宋" w:hAnsi="仿宋" w:eastAsia="仿宋"/>
          <w:b w:val="0"/>
          <w:bCs w:val="0"/>
        </w:rPr>
        <w:t>般公共预算财政拨款“三公”经费支出决算表</w:t>
      </w:r>
      <w:bookmarkEnd w:id="73"/>
    </w:p>
    <w:p>
      <w:pPr>
        <w:pStyle w:val="3"/>
        <w:rPr>
          <w:rFonts w:ascii="仿宋" w:hAnsi="仿宋" w:eastAsia="仿宋"/>
          <w:color w:val="000000"/>
        </w:rPr>
      </w:pPr>
      <w:bookmarkStart w:id="74" w:name="_Toc15396629"/>
      <w:r>
        <w:rPr>
          <w:rStyle w:val="25"/>
          <w:rFonts w:hint="eastAsia" w:ascii="仿宋" w:hAnsi="仿宋" w:eastAsia="仿宋"/>
          <w:b w:val="0"/>
          <w:bCs w:val="0"/>
        </w:rPr>
        <w:t>十一、</w:t>
      </w:r>
      <w:r>
        <w:rPr>
          <w:rFonts w:hint="eastAsia" w:ascii="仿宋" w:hAnsi="仿宋" w:eastAsia="仿宋"/>
          <w:b w:val="0"/>
          <w:color w:val="000000"/>
        </w:rPr>
        <w:t>政</w:t>
      </w:r>
      <w:r>
        <w:rPr>
          <w:rStyle w:val="25"/>
          <w:rFonts w:hint="eastAsia" w:ascii="仿宋" w:hAnsi="仿宋" w:eastAsia="仿宋"/>
          <w:b w:val="0"/>
          <w:bCs w:val="0"/>
        </w:rPr>
        <w:t>府性基金预算财政拨款收入支出决算表</w:t>
      </w:r>
      <w:bookmarkEnd w:id="74"/>
    </w:p>
    <w:p>
      <w:pPr>
        <w:pStyle w:val="3"/>
        <w:rPr>
          <w:rFonts w:ascii="仿宋" w:hAnsi="仿宋" w:eastAsia="仿宋"/>
          <w:color w:val="000000"/>
        </w:rPr>
      </w:pPr>
      <w:bookmarkStart w:id="75" w:name="_Toc15396630"/>
      <w:r>
        <w:rPr>
          <w:rStyle w:val="25"/>
          <w:rFonts w:hint="eastAsia" w:ascii="仿宋" w:hAnsi="仿宋" w:eastAsia="仿宋"/>
          <w:b w:val="0"/>
          <w:bCs w:val="0"/>
        </w:rPr>
        <w:t>十二、</w:t>
      </w:r>
      <w:r>
        <w:rPr>
          <w:rFonts w:hint="eastAsia" w:ascii="仿宋" w:hAnsi="仿宋" w:eastAsia="仿宋"/>
          <w:b w:val="0"/>
          <w:color w:val="000000"/>
        </w:rPr>
        <w:t>政</w:t>
      </w:r>
      <w:r>
        <w:rPr>
          <w:rStyle w:val="25"/>
          <w:rFonts w:hint="eastAsia" w:ascii="仿宋" w:hAnsi="仿宋" w:eastAsia="仿宋"/>
          <w:b w:val="0"/>
          <w:bCs w:val="0"/>
        </w:rPr>
        <w:t>府性基金预算财政拨款“三公”经费支出决算表</w:t>
      </w:r>
      <w:bookmarkEnd w:id="75"/>
    </w:p>
    <w:p>
      <w:pPr>
        <w:pStyle w:val="3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bookmarkStart w:id="76" w:name="_Toc15396631"/>
      <w:r>
        <w:rPr>
          <w:rStyle w:val="25"/>
          <w:rFonts w:hint="eastAsia" w:ascii="仿宋" w:hAnsi="仿宋" w:eastAsia="仿宋"/>
          <w:b w:val="0"/>
          <w:bCs w:val="0"/>
        </w:rPr>
        <w:t>十三、</w:t>
      </w:r>
      <w:r>
        <w:rPr>
          <w:rFonts w:hint="eastAsia" w:ascii="仿宋" w:hAnsi="仿宋" w:eastAsia="仿宋"/>
          <w:b w:val="0"/>
          <w:color w:val="000000"/>
        </w:rPr>
        <w:t>国</w:t>
      </w:r>
      <w:r>
        <w:rPr>
          <w:rStyle w:val="25"/>
          <w:rFonts w:hint="eastAsia" w:ascii="仿宋" w:hAnsi="仿宋" w:eastAsia="仿宋"/>
          <w:b w:val="0"/>
          <w:bCs w:val="0"/>
        </w:rPr>
        <w:t>有资本经营预算支出决算表</w:t>
      </w:r>
      <w:bookmarkEnd w:id="76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4781956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0C02B1"/>
    <w:multiLevelType w:val="singleLevel"/>
    <w:tmpl w:val="D10C02B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EC0BEF30"/>
    <w:multiLevelType w:val="singleLevel"/>
    <w:tmpl w:val="EC0BEF30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abstractNum w:abstractNumId="4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7F426B7"/>
    <w:multiLevelType w:val="multilevel"/>
    <w:tmpl w:val="17F426B7"/>
    <w:lvl w:ilvl="0" w:tentative="0">
      <w:start w:val="10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abstractNum w:abstractNumId="6">
    <w:nsid w:val="532CC67C"/>
    <w:multiLevelType w:val="singleLevel"/>
    <w:tmpl w:val="532CC6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56B328F4"/>
    <w:multiLevelType w:val="singleLevel"/>
    <w:tmpl w:val="56B328F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720F5303"/>
    <w:multiLevelType w:val="singleLevel"/>
    <w:tmpl w:val="720F530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1C"/>
    <w:rsid w:val="000222C6"/>
    <w:rsid w:val="0002549F"/>
    <w:rsid w:val="000428A8"/>
    <w:rsid w:val="0006487A"/>
    <w:rsid w:val="00065F8F"/>
    <w:rsid w:val="000768F2"/>
    <w:rsid w:val="0009184B"/>
    <w:rsid w:val="0009593C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729F"/>
    <w:rsid w:val="00157BAB"/>
    <w:rsid w:val="001654D1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1101A"/>
    <w:rsid w:val="00220536"/>
    <w:rsid w:val="00235629"/>
    <w:rsid w:val="00260C38"/>
    <w:rsid w:val="002616C0"/>
    <w:rsid w:val="002662AA"/>
    <w:rsid w:val="00280496"/>
    <w:rsid w:val="00295495"/>
    <w:rsid w:val="002B2613"/>
    <w:rsid w:val="002B4EE7"/>
    <w:rsid w:val="002F1818"/>
    <w:rsid w:val="002F567B"/>
    <w:rsid w:val="003216A9"/>
    <w:rsid w:val="0037013F"/>
    <w:rsid w:val="00380C92"/>
    <w:rsid w:val="003A484F"/>
    <w:rsid w:val="003B0BE0"/>
    <w:rsid w:val="003B0C1B"/>
    <w:rsid w:val="003B688C"/>
    <w:rsid w:val="003C0291"/>
    <w:rsid w:val="003C39AE"/>
    <w:rsid w:val="003C7B60"/>
    <w:rsid w:val="003D1FB2"/>
    <w:rsid w:val="003D66DA"/>
    <w:rsid w:val="003E1310"/>
    <w:rsid w:val="003E6F55"/>
    <w:rsid w:val="00406254"/>
    <w:rsid w:val="004223DE"/>
    <w:rsid w:val="00430984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664BB"/>
    <w:rsid w:val="0057481D"/>
    <w:rsid w:val="0058486E"/>
    <w:rsid w:val="005D1C8B"/>
    <w:rsid w:val="005D5CED"/>
    <w:rsid w:val="005F1A4C"/>
    <w:rsid w:val="00605688"/>
    <w:rsid w:val="006070AF"/>
    <w:rsid w:val="00607E6C"/>
    <w:rsid w:val="006101B1"/>
    <w:rsid w:val="00614E44"/>
    <w:rsid w:val="00622830"/>
    <w:rsid w:val="00630AEF"/>
    <w:rsid w:val="006325F8"/>
    <w:rsid w:val="00634C9A"/>
    <w:rsid w:val="00637F55"/>
    <w:rsid w:val="006440E4"/>
    <w:rsid w:val="0066343B"/>
    <w:rsid w:val="00664777"/>
    <w:rsid w:val="00672385"/>
    <w:rsid w:val="006748A4"/>
    <w:rsid w:val="00683E73"/>
    <w:rsid w:val="006A3141"/>
    <w:rsid w:val="006A5E34"/>
    <w:rsid w:val="006B2422"/>
    <w:rsid w:val="006B2B9A"/>
    <w:rsid w:val="006C1937"/>
    <w:rsid w:val="006F020C"/>
    <w:rsid w:val="007127B7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312A"/>
    <w:rsid w:val="007D3F19"/>
    <w:rsid w:val="007E23B0"/>
    <w:rsid w:val="007F1991"/>
    <w:rsid w:val="007F2C2F"/>
    <w:rsid w:val="007F55FC"/>
    <w:rsid w:val="007F5665"/>
    <w:rsid w:val="00800112"/>
    <w:rsid w:val="008253BB"/>
    <w:rsid w:val="0083706E"/>
    <w:rsid w:val="008423A5"/>
    <w:rsid w:val="00850625"/>
    <w:rsid w:val="00853718"/>
    <w:rsid w:val="00855221"/>
    <w:rsid w:val="00860645"/>
    <w:rsid w:val="00871F71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46945"/>
    <w:rsid w:val="00951248"/>
    <w:rsid w:val="0095152F"/>
    <w:rsid w:val="00954C49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E98"/>
    <w:rsid w:val="009D3447"/>
    <w:rsid w:val="009D4711"/>
    <w:rsid w:val="009F1185"/>
    <w:rsid w:val="009F18CD"/>
    <w:rsid w:val="009F2A13"/>
    <w:rsid w:val="00A04EB0"/>
    <w:rsid w:val="00A13CC1"/>
    <w:rsid w:val="00A16847"/>
    <w:rsid w:val="00A237D8"/>
    <w:rsid w:val="00A268C4"/>
    <w:rsid w:val="00A307CD"/>
    <w:rsid w:val="00A40A00"/>
    <w:rsid w:val="00A4142F"/>
    <w:rsid w:val="00A56DF2"/>
    <w:rsid w:val="00A67AB5"/>
    <w:rsid w:val="00A91760"/>
    <w:rsid w:val="00A93B00"/>
    <w:rsid w:val="00A93C21"/>
    <w:rsid w:val="00AC3C6A"/>
    <w:rsid w:val="00AD5620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77EA6"/>
    <w:rsid w:val="00B81598"/>
    <w:rsid w:val="00B82D13"/>
    <w:rsid w:val="00B841F1"/>
    <w:rsid w:val="00B944D6"/>
    <w:rsid w:val="00BB4DF0"/>
    <w:rsid w:val="00BC289F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91CBB"/>
    <w:rsid w:val="00CC09B6"/>
    <w:rsid w:val="00CC666F"/>
    <w:rsid w:val="00CD1E3F"/>
    <w:rsid w:val="00CE44F6"/>
    <w:rsid w:val="00CE49DA"/>
    <w:rsid w:val="00CE7B61"/>
    <w:rsid w:val="00D00095"/>
    <w:rsid w:val="00D20620"/>
    <w:rsid w:val="00D26091"/>
    <w:rsid w:val="00D34E7C"/>
    <w:rsid w:val="00D35489"/>
    <w:rsid w:val="00D51276"/>
    <w:rsid w:val="00D7035F"/>
    <w:rsid w:val="00DA65AC"/>
    <w:rsid w:val="00DB1913"/>
    <w:rsid w:val="00DC410D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50624"/>
    <w:rsid w:val="00E568DF"/>
    <w:rsid w:val="00E64269"/>
    <w:rsid w:val="00E82267"/>
    <w:rsid w:val="00EA010F"/>
    <w:rsid w:val="00EB7F1F"/>
    <w:rsid w:val="00ED1B63"/>
    <w:rsid w:val="00ED3C1F"/>
    <w:rsid w:val="00ED4085"/>
    <w:rsid w:val="00ED420E"/>
    <w:rsid w:val="00EE2F57"/>
    <w:rsid w:val="00EF4C34"/>
    <w:rsid w:val="00EF77C6"/>
    <w:rsid w:val="00F05438"/>
    <w:rsid w:val="00F1361C"/>
    <w:rsid w:val="00F160C7"/>
    <w:rsid w:val="00F36D8F"/>
    <w:rsid w:val="00F417B1"/>
    <w:rsid w:val="00F602DF"/>
    <w:rsid w:val="00F61B31"/>
    <w:rsid w:val="00F81FD9"/>
    <w:rsid w:val="00F841AA"/>
    <w:rsid w:val="00FA23E8"/>
    <w:rsid w:val="00FD3CC1"/>
    <w:rsid w:val="00FF1E02"/>
    <w:rsid w:val="00FF30B4"/>
    <w:rsid w:val="017B7D60"/>
    <w:rsid w:val="018A6919"/>
    <w:rsid w:val="01AA19E1"/>
    <w:rsid w:val="033376AB"/>
    <w:rsid w:val="040F6F7E"/>
    <w:rsid w:val="06C13141"/>
    <w:rsid w:val="07A915A7"/>
    <w:rsid w:val="082311FB"/>
    <w:rsid w:val="085D285D"/>
    <w:rsid w:val="0A4A6F9D"/>
    <w:rsid w:val="0C5133BC"/>
    <w:rsid w:val="0F3505FC"/>
    <w:rsid w:val="0FAA6FA4"/>
    <w:rsid w:val="10270657"/>
    <w:rsid w:val="10855D4B"/>
    <w:rsid w:val="10993B2C"/>
    <w:rsid w:val="10C055FF"/>
    <w:rsid w:val="115A2190"/>
    <w:rsid w:val="11792AC5"/>
    <w:rsid w:val="148C1CE2"/>
    <w:rsid w:val="1506054D"/>
    <w:rsid w:val="16BB723D"/>
    <w:rsid w:val="16FD0E22"/>
    <w:rsid w:val="171C3075"/>
    <w:rsid w:val="17663920"/>
    <w:rsid w:val="185707AD"/>
    <w:rsid w:val="18C84B4B"/>
    <w:rsid w:val="18FD046F"/>
    <w:rsid w:val="1A955B81"/>
    <w:rsid w:val="1AD0597A"/>
    <w:rsid w:val="1D105350"/>
    <w:rsid w:val="1D2245E3"/>
    <w:rsid w:val="23885C44"/>
    <w:rsid w:val="23B120B2"/>
    <w:rsid w:val="240371BF"/>
    <w:rsid w:val="247A0B2A"/>
    <w:rsid w:val="269C2D76"/>
    <w:rsid w:val="26B15EF8"/>
    <w:rsid w:val="26F51AF8"/>
    <w:rsid w:val="276C7535"/>
    <w:rsid w:val="28D271A1"/>
    <w:rsid w:val="29C06F54"/>
    <w:rsid w:val="29FD04D3"/>
    <w:rsid w:val="2AC11F57"/>
    <w:rsid w:val="2ADA3745"/>
    <w:rsid w:val="2B4572A6"/>
    <w:rsid w:val="2BB46AD9"/>
    <w:rsid w:val="2C995378"/>
    <w:rsid w:val="2E6A4F50"/>
    <w:rsid w:val="2F155A58"/>
    <w:rsid w:val="317D4386"/>
    <w:rsid w:val="319F7F4E"/>
    <w:rsid w:val="32340B41"/>
    <w:rsid w:val="34135ECD"/>
    <w:rsid w:val="34C8193A"/>
    <w:rsid w:val="356C20B1"/>
    <w:rsid w:val="35AD343D"/>
    <w:rsid w:val="35C350AF"/>
    <w:rsid w:val="39D63965"/>
    <w:rsid w:val="3CDB1BCB"/>
    <w:rsid w:val="3CEC68F7"/>
    <w:rsid w:val="3CFB5FBF"/>
    <w:rsid w:val="3D5D4972"/>
    <w:rsid w:val="3D6638F3"/>
    <w:rsid w:val="41276638"/>
    <w:rsid w:val="43995395"/>
    <w:rsid w:val="43F14A2E"/>
    <w:rsid w:val="45F740AD"/>
    <w:rsid w:val="46141E47"/>
    <w:rsid w:val="46C148BF"/>
    <w:rsid w:val="46D07999"/>
    <w:rsid w:val="47D46DD3"/>
    <w:rsid w:val="48267A5D"/>
    <w:rsid w:val="486A3D60"/>
    <w:rsid w:val="49222C4E"/>
    <w:rsid w:val="4BB51CEC"/>
    <w:rsid w:val="4C0F1C96"/>
    <w:rsid w:val="4ED460B8"/>
    <w:rsid w:val="4F150186"/>
    <w:rsid w:val="52701B77"/>
    <w:rsid w:val="52804912"/>
    <w:rsid w:val="5327488F"/>
    <w:rsid w:val="53EC03B0"/>
    <w:rsid w:val="54F843B5"/>
    <w:rsid w:val="566D7343"/>
    <w:rsid w:val="56792006"/>
    <w:rsid w:val="56AC6D20"/>
    <w:rsid w:val="57FD3A10"/>
    <w:rsid w:val="585A5059"/>
    <w:rsid w:val="58C50571"/>
    <w:rsid w:val="5A9953BB"/>
    <w:rsid w:val="5C513E47"/>
    <w:rsid w:val="5C5F17AD"/>
    <w:rsid w:val="5DD81F5A"/>
    <w:rsid w:val="5F780518"/>
    <w:rsid w:val="5F9C24AD"/>
    <w:rsid w:val="5FE253B3"/>
    <w:rsid w:val="60025DF6"/>
    <w:rsid w:val="60975465"/>
    <w:rsid w:val="60F44B65"/>
    <w:rsid w:val="610605B8"/>
    <w:rsid w:val="627B7756"/>
    <w:rsid w:val="628275BD"/>
    <w:rsid w:val="62B00E18"/>
    <w:rsid w:val="641A343B"/>
    <w:rsid w:val="64850729"/>
    <w:rsid w:val="66770BCA"/>
    <w:rsid w:val="67096D98"/>
    <w:rsid w:val="67DB5A92"/>
    <w:rsid w:val="690C3D96"/>
    <w:rsid w:val="6A6D55BD"/>
    <w:rsid w:val="6AF0539E"/>
    <w:rsid w:val="6BE51760"/>
    <w:rsid w:val="6E4031D4"/>
    <w:rsid w:val="6EB254C7"/>
    <w:rsid w:val="6FCF3CCD"/>
    <w:rsid w:val="71270B2A"/>
    <w:rsid w:val="71B74A58"/>
    <w:rsid w:val="71D04027"/>
    <w:rsid w:val="7402217A"/>
    <w:rsid w:val="759B5179"/>
    <w:rsid w:val="75B42A1D"/>
    <w:rsid w:val="7A0E2CCD"/>
    <w:rsid w:val="7A5239C7"/>
    <w:rsid w:val="7A8004F2"/>
    <w:rsid w:val="7A9A5FDF"/>
    <w:rsid w:val="7AD1700E"/>
    <w:rsid w:val="7CEC5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6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9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1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character" w:styleId="14">
    <w:name w:val="Strong"/>
    <w:basedOn w:val="13"/>
    <w:qFormat/>
    <w:uiPriority w:val="99"/>
    <w:rPr>
      <w:b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7">
    <w:name w:val="页眉 Char"/>
    <w:link w:val="9"/>
    <w:semiHidden/>
    <w:qFormat/>
    <w:locked/>
    <w:uiPriority w:val="99"/>
    <w:rPr>
      <w:sz w:val="18"/>
    </w:rPr>
  </w:style>
  <w:style w:type="character" w:customStyle="1" w:styleId="18">
    <w:name w:val="Footer Char"/>
    <w:basedOn w:val="1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9">
    <w:name w:val="页脚 Char"/>
    <w:link w:val="8"/>
    <w:qFormat/>
    <w:locked/>
    <w:uiPriority w:val="99"/>
    <w:rPr>
      <w:sz w:val="18"/>
    </w:rPr>
  </w:style>
  <w:style w:type="character" w:customStyle="1" w:styleId="20">
    <w:name w:val="Body Text Char"/>
    <w:basedOn w:val="13"/>
    <w:semiHidden/>
    <w:qFormat/>
    <w:uiPriority w:val="99"/>
    <w:rPr>
      <w:rFonts w:ascii="Times New Roman" w:hAnsi="Times New Roman"/>
      <w:szCs w:val="24"/>
    </w:rPr>
  </w:style>
  <w:style w:type="character" w:customStyle="1" w:styleId="21">
    <w:name w:val="正文文本 Char"/>
    <w:link w:val="5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13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6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批注框文本 Char"/>
    <w:basedOn w:val="13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8">
    <w:name w:val="标题 3 Char"/>
    <w:basedOn w:val="13"/>
    <w:link w:val="4"/>
    <w:qFormat/>
    <w:uiPriority w:val="9"/>
    <w:rPr>
      <w:rFonts w:ascii="Times New Roman" w:hAnsi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0915;&#31639;&#20844;&#24320;1&#22270;&#24418;\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lenovo\Desktop\&#20915;&#31639;&#20844;&#24320;1&#22270;&#24418;\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[6.xlsx]Sheet1!$A$6:$B$10</c:f>
              <c:multiLvlStrCache>
                <c:ptCount val="5"/>
                <c:lvl>
                  <c:pt idx="0" c:formatCode="#,##0.00">
                    <c:v>350.73万元</c:v>
                  </c:pt>
                  <c:pt idx="1">
                    <c:v>49.44万元</c:v>
                  </c:pt>
                  <c:pt idx="2">
                    <c:v>12.01万元</c:v>
                  </c:pt>
                  <c:pt idx="3">
                    <c:v>264.37万元</c:v>
                  </c:pt>
                  <c:pt idx="4">
                    <c:v>24.91万元</c:v>
                  </c:pt>
                </c:lvl>
                <c:lvl>
                  <c:pt idx="0">
                    <c:v>2018年一般公共预算财政拨款支出</c:v>
                  </c:pt>
                  <c:pt idx="1">
                    <c:v>社会保障和就业支出</c:v>
                  </c:pt>
                  <c:pt idx="2">
                    <c:v>医疗卫生与计划生育支出</c:v>
                  </c:pt>
                  <c:pt idx="3">
                    <c:v>农林水支出</c:v>
                  </c:pt>
                  <c:pt idx="4">
                    <c:v>住房保障支出</c:v>
                  </c:pt>
                </c:lvl>
              </c:multiLvlStrCache>
            </c:multiLvlStrRef>
          </c:cat>
          <c:val>
            <c:numRef>
              <c:f>[6.xlsx]Sheet1!$C$6:$C$10</c:f>
              <c:numCache>
                <c:formatCode>General</c:formatCode>
                <c:ptCount val="5"/>
                <c:pt idx="1" c:formatCode="0.00%">
                  <c:v>0.141</c:v>
                </c:pt>
                <c:pt idx="2" c:formatCode="0.00%">
                  <c:v>0.0342</c:v>
                </c:pt>
                <c:pt idx="3" c:formatCode="0.00%">
                  <c:v>0.7538</c:v>
                </c:pt>
                <c:pt idx="4" c:formatCode="0.00%">
                  <c:v>0.071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“</a:t>
            </a:r>
            <a:r>
              <a:rPr altLang="en-US"/>
              <a:t>三公</a:t>
            </a:r>
            <a:r>
              <a:rPr lang="en-US" altLang="zh-CN"/>
              <a:t>”</a:t>
            </a:r>
            <a:r>
              <a:rPr altLang="en-US"/>
              <a:t>经费财政拨款支出结构</a:t>
            </a:r>
            <a:r>
              <a:t> </a:t>
            </a:r>
          </a:p>
        </c:rich>
      </c:tx>
      <c:layout>
        <c:manualLayout>
          <c:xMode val="edge"/>
          <c:yMode val="edge"/>
          <c:x val="0.317226376840495"/>
          <c:y val="0.049005740057400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22333333333333"/>
          <c:y val="0.214305555555556"/>
          <c:w val="0.352"/>
          <c:h val="0.586666666666667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1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基本支出</a:t>
                    </a:r>
                    <a:r>
                      <a:rPr lang="en-US" altLang="zh-CN"/>
                      <a:t>16</a:t>
                    </a:r>
                    <a:r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项目支出</a:t>
                    </a:r>
                    <a:r>
                      <a:rPr lang="en-US" altLang="zh-CN"/>
                      <a:t>84</a:t>
                    </a:r>
                    <a:r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[7.xlsx]Sheet1!$A$6:$B$8</c:f>
              <c:multiLvlStrCache>
                <c:ptCount val="3"/>
                <c:lvl>
                  <c:pt idx="0">
                    <c:v>0.1万元</c:v>
                  </c:pt>
                </c:lvl>
                <c:lvl>
                  <c:pt idx="0">
                    <c:v>公务接待费</c:v>
                  </c:pt>
                </c:lvl>
              </c:multiLvlStrCache>
            </c:multiLvlStrRef>
          </c:cat>
          <c:val>
            <c:numRef>
              <c:f>[7.xlsx]Sheet1!$C$6:$C$8</c:f>
              <c:numCache>
                <c:formatCode>0%</c:formatCode>
                <c:ptCount val="3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EE963-AE7E-4F3B-BBF1-9AF15C920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四川省财政厅</Company>
  <Pages>22</Pages>
  <Words>1435</Words>
  <Characters>8185</Characters>
  <Lines>68</Lines>
  <Paragraphs>19</Paragraphs>
  <TotalTime>4</TotalTime>
  <ScaleCrop>false</ScaleCrop>
  <LinksUpToDate>false</LinksUpToDate>
  <CharactersWithSpaces>9601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2019-08-01T01:14:00Z</dcterms:created>
  <dc:creator>张彬茜</dc:creator>
  <cp:lastModifiedBy>下一页1409802427</cp:lastModifiedBy>
  <cp:lastPrinted>2019-08-01T00:48:00Z</cp:lastPrinted>
  <dcterms:modified xsi:type="dcterms:W3CDTF">2019-10-18T05:41:24Z</dcterms:modified>
  <dc:title>四川省***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