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jc w:val="center"/>
        <w:rPr>
          <w:rFonts w:hint="eastAsia" w:ascii="仿宋" w:hAnsi="仿宋" w:eastAsia="仿宋" w:cs="仿宋"/>
          <w:b/>
          <w:bCs/>
          <w:sz w:val="44"/>
          <w:szCs w:val="44"/>
        </w:rPr>
      </w:pPr>
      <w:bookmarkStart w:id="1" w:name="_Toc15377193"/>
      <w:bookmarkStart w:id="2" w:name="_Toc15377425"/>
      <w:bookmarkStart w:id="3" w:name="_Toc15378441"/>
      <w:bookmarkStart w:id="4" w:name="_Toc15396597"/>
      <w:bookmarkStart w:id="5" w:name="_Toc15396475"/>
      <w:r>
        <w:rPr>
          <w:rFonts w:hint="eastAsia" w:ascii="仿宋" w:hAnsi="仿宋" w:eastAsia="仿宋" w:cs="仿宋"/>
          <w:b/>
          <w:bCs/>
          <w:sz w:val="44"/>
          <w:szCs w:val="44"/>
        </w:rPr>
        <w:t>2020年度</w:t>
      </w:r>
      <w:bookmarkEnd w:id="1"/>
      <w:bookmarkEnd w:id="2"/>
      <w:bookmarkEnd w:id="3"/>
      <w:bookmarkEnd w:id="4"/>
      <w:bookmarkEnd w:id="5"/>
    </w:p>
    <w:p>
      <w:pPr>
        <w:jc w:val="center"/>
        <w:rPr>
          <w:rFonts w:ascii="方正小标宋简体" w:eastAsia="方正小标宋简体"/>
          <w:sz w:val="72"/>
          <w:szCs w:val="72"/>
        </w:rPr>
      </w:pPr>
      <w:bookmarkStart w:id="6" w:name="_Toc15396598"/>
      <w:bookmarkStart w:id="7" w:name="_Toc15396476"/>
      <w:bookmarkStart w:id="8" w:name="_Toc15378442"/>
      <w:bookmarkStart w:id="9" w:name="_Toc15377194"/>
      <w:bookmarkStart w:id="10" w:name="_Toc15377426"/>
      <w:r>
        <w:rPr>
          <w:rFonts w:hint="eastAsia" w:ascii="仿宋" w:hAnsi="仿宋" w:eastAsia="仿宋" w:cs="仿宋"/>
          <w:b/>
          <w:bCs/>
          <w:sz w:val="44"/>
          <w:szCs w:val="44"/>
        </w:rPr>
        <w:t>四川省阿坝州</w:t>
      </w:r>
      <w:bookmarkEnd w:id="0"/>
      <w:bookmarkStart w:id="11" w:name="_Toc15306268"/>
      <w:r>
        <w:rPr>
          <w:rFonts w:hint="eastAsia" w:ascii="仿宋" w:hAnsi="仿宋" w:eastAsia="仿宋" w:cs="仿宋"/>
          <w:b/>
          <w:bCs/>
          <w:sz w:val="44"/>
          <w:szCs w:val="44"/>
          <w:lang w:val="en-US" w:eastAsia="zh-CN"/>
        </w:rPr>
        <w:t>壤塘县经济商务和信息化局</w:t>
      </w:r>
      <w:r>
        <w:rPr>
          <w:rFonts w:hint="eastAsia" w:ascii="仿宋" w:hAnsi="仿宋" w:eastAsia="仿宋" w:cs="仿宋"/>
          <w:b/>
          <w:bCs/>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pStyle w:val="16"/>
        <w:jc w:val="center"/>
        <w:rPr>
          <w:rFonts w:hint="eastAsia" w:hAnsiTheme="minorHAnsi"/>
          <w:b w:val="0"/>
          <w:bCs w:val="0"/>
          <w:sz w:val="24"/>
          <w:szCs w:val="24"/>
        </w:rPr>
      </w:pPr>
    </w:p>
    <w:p>
      <w:pPr>
        <w:pStyle w:val="16"/>
        <w:jc w:val="center"/>
        <w:rPr>
          <w:rFonts w:hAnsiTheme="minorHAnsi"/>
          <w:b w:val="0"/>
          <w:bCs w:val="0"/>
          <w:sz w:val="24"/>
          <w:szCs w:val="24"/>
        </w:rPr>
      </w:pPr>
      <w:r>
        <w:rPr>
          <w:rFonts w:hint="eastAsia" w:hAnsiTheme="minorHAnsi"/>
          <w:b w:val="0"/>
          <w:bCs w:val="0"/>
          <w:sz w:val="24"/>
          <w:szCs w:val="24"/>
        </w:rPr>
        <w:t xml:space="preserve">公开时间：2021年 </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25</w:t>
      </w:r>
      <w:r>
        <w:rPr>
          <w:rFonts w:hint="eastAsia" w:hAnsiTheme="minorHAnsi"/>
          <w:b w:val="0"/>
          <w:bCs w:val="0"/>
          <w:sz w:val="24"/>
          <w:szCs w:val="24"/>
        </w:rPr>
        <w:t xml:space="preserve"> 日</w:t>
      </w:r>
    </w:p>
    <w:p>
      <w:pPr>
        <w:widowControl/>
        <w:jc w:val="center"/>
        <w:rPr>
          <w:rFonts w:hint="eastAsia" w:ascii="黑体" w:hAnsi="黑体" w:eastAsia="黑体"/>
          <w:color w:val="000000"/>
          <w:sz w:val="48"/>
          <w:szCs w:val="48"/>
        </w:rPr>
        <w:sectPr>
          <w:foot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p>
    <w:p>
      <w:pPr>
        <w:widowControl/>
        <w:ind w:firstLine="3240" w:firstLineChars="900"/>
        <w:jc w:val="both"/>
        <w:rPr>
          <w:rFonts w:ascii="黑体" w:hAnsi="黑体" w:eastAsia="黑体"/>
          <w:color w:val="000000"/>
          <w:sz w:val="36"/>
          <w:szCs w:val="36"/>
        </w:rPr>
      </w:pPr>
      <w:r>
        <w:rPr>
          <w:rFonts w:hint="eastAsia" w:ascii="黑体" w:hAnsi="黑体" w:eastAsia="黑体"/>
          <w:color w:val="000000"/>
          <w:sz w:val="36"/>
          <w:szCs w:val="36"/>
        </w:rPr>
        <w:t>目录</w:t>
      </w:r>
    </w:p>
    <w:p>
      <w:pPr>
        <w:pStyle w:val="16"/>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_Toc25421 \h </w:instrText>
      </w:r>
      <w:r>
        <w:fldChar w:fldCharType="separate"/>
      </w:r>
      <w:r>
        <w:t>3</w:t>
      </w:r>
      <w:r>
        <w:fldChar w:fldCharType="end"/>
      </w:r>
    </w:p>
    <w:p>
      <w:pPr>
        <w:pStyle w:val="19"/>
        <w:tabs>
          <w:tab w:val="right" w:leader="dot" w:pos="8306"/>
        </w:tabs>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_Toc32139 \h </w:instrText>
      </w:r>
      <w:r>
        <w:fldChar w:fldCharType="separate"/>
      </w:r>
      <w:r>
        <w:t>3</w:t>
      </w:r>
      <w:r>
        <w:fldChar w:fldCharType="end"/>
      </w:r>
    </w:p>
    <w:p>
      <w:pPr>
        <w:pStyle w:val="11"/>
        <w:tabs>
          <w:tab w:val="right" w:leader="dot" w:pos="8306"/>
        </w:tabs>
      </w:pPr>
      <w:r>
        <w:rPr>
          <w:rFonts w:hint="eastAsia" w:ascii="仿宋" w:hAnsi="仿宋" w:eastAsia="仿宋"/>
          <w:bCs/>
          <w:color w:val="000000"/>
          <w:szCs w:val="32"/>
        </w:rPr>
        <w:t>（一）主要职能</w:t>
      </w:r>
      <w:r>
        <w:tab/>
      </w:r>
      <w:r>
        <w:fldChar w:fldCharType="begin"/>
      </w:r>
      <w:r>
        <w:instrText xml:space="preserve"> PAGEREF _Toc29983 \h </w:instrText>
      </w:r>
      <w:r>
        <w:fldChar w:fldCharType="separate"/>
      </w:r>
      <w:r>
        <w:t>3</w:t>
      </w:r>
      <w:r>
        <w:fldChar w:fldCharType="end"/>
      </w:r>
    </w:p>
    <w:p>
      <w:pPr>
        <w:pStyle w:val="11"/>
        <w:tabs>
          <w:tab w:val="right" w:leader="dot" w:pos="8306"/>
        </w:tabs>
        <w:rPr>
          <w:rFonts w:hint="eastAsia" w:eastAsiaTheme="minorHAnsi"/>
          <w:lang w:eastAsia="zh-CN"/>
        </w:rPr>
      </w:pPr>
      <w:r>
        <w:rPr>
          <w:rFonts w:hint="eastAsia" w:ascii="仿宋" w:hAnsi="仿宋" w:eastAsia="仿宋"/>
          <w:bCs/>
          <w:color w:val="000000"/>
          <w:szCs w:val="32"/>
        </w:rPr>
        <w:t>（二）</w:t>
      </w:r>
      <w:r>
        <w:rPr>
          <w:rFonts w:ascii="仿宋" w:hAnsi="仿宋" w:eastAsia="仿宋"/>
          <w:bCs/>
          <w:color w:val="000000"/>
          <w:szCs w:val="32"/>
        </w:rPr>
        <w:t>2020</w:t>
      </w:r>
      <w:r>
        <w:rPr>
          <w:rFonts w:hint="eastAsia" w:ascii="仿宋" w:hAnsi="仿宋" w:eastAsia="仿宋"/>
          <w:bCs/>
          <w:color w:val="000000"/>
          <w:szCs w:val="32"/>
        </w:rPr>
        <w:t>年重点工作完成情况</w:t>
      </w:r>
      <w:r>
        <w:tab/>
      </w:r>
      <w:r>
        <w:rPr>
          <w:rFonts w:hint="eastAsia"/>
          <w:lang w:val="en-US" w:eastAsia="zh-CN"/>
        </w:rPr>
        <w:t>5</w:t>
      </w:r>
    </w:p>
    <w:p>
      <w:pPr>
        <w:pStyle w:val="19"/>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_Toc29083 \h </w:instrText>
      </w:r>
      <w:r>
        <w:fldChar w:fldCharType="separate"/>
      </w:r>
      <w:r>
        <w:t>7</w:t>
      </w:r>
      <w:r>
        <w:fldChar w:fldCharType="end"/>
      </w:r>
    </w:p>
    <w:p>
      <w:pPr>
        <w:pStyle w:val="16"/>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2020</w:t>
      </w:r>
      <w:r>
        <w:rPr>
          <w:rFonts w:hint="eastAsia" w:ascii="黑体" w:hAnsi="黑体" w:eastAsia="黑体"/>
          <w:bCs w:val="0"/>
        </w:rPr>
        <w:t>年度部门决算情况说明</w:t>
      </w:r>
      <w:r>
        <w:tab/>
      </w:r>
      <w:r>
        <w:fldChar w:fldCharType="begin"/>
      </w:r>
      <w:r>
        <w:instrText xml:space="preserve"> PAGEREF _Toc14147 \h </w:instrText>
      </w:r>
      <w:r>
        <w:fldChar w:fldCharType="separate"/>
      </w:r>
      <w:r>
        <w:t>7</w:t>
      </w:r>
      <w:r>
        <w:fldChar w:fldCharType="end"/>
      </w:r>
    </w:p>
    <w:p>
      <w:pPr>
        <w:pStyle w:val="19"/>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_Toc25426 \h </w:instrText>
      </w:r>
      <w:r>
        <w:fldChar w:fldCharType="separate"/>
      </w:r>
      <w:r>
        <w:t>7</w:t>
      </w:r>
      <w:r>
        <w:fldChar w:fldCharType="end"/>
      </w:r>
    </w:p>
    <w:p>
      <w:pPr>
        <w:pStyle w:val="19"/>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_Toc22783 \h </w:instrText>
      </w:r>
      <w:r>
        <w:fldChar w:fldCharType="separate"/>
      </w:r>
      <w:r>
        <w:t>8</w:t>
      </w:r>
      <w:r>
        <w:fldChar w:fldCharType="end"/>
      </w:r>
    </w:p>
    <w:p>
      <w:pPr>
        <w:pStyle w:val="19"/>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_Toc30618 \h </w:instrText>
      </w:r>
      <w:r>
        <w:fldChar w:fldCharType="separate"/>
      </w:r>
      <w:r>
        <w:t>9</w:t>
      </w:r>
      <w:r>
        <w:fldChar w:fldCharType="end"/>
      </w:r>
    </w:p>
    <w:p>
      <w:pPr>
        <w:pStyle w:val="19"/>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_Toc5455 \h </w:instrText>
      </w:r>
      <w:r>
        <w:fldChar w:fldCharType="separate"/>
      </w:r>
      <w:r>
        <w:t>9</w:t>
      </w:r>
      <w:r>
        <w:fldChar w:fldCharType="end"/>
      </w:r>
    </w:p>
    <w:p>
      <w:pPr>
        <w:pStyle w:val="19"/>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_Toc9806 \h </w:instrText>
      </w:r>
      <w:r>
        <w:fldChar w:fldCharType="separate"/>
      </w:r>
      <w:r>
        <w:t>10</w:t>
      </w:r>
      <w:r>
        <w:fldChar w:fldCharType="end"/>
      </w:r>
    </w:p>
    <w:p>
      <w:pPr>
        <w:pStyle w:val="11"/>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_Toc28903 \h </w:instrText>
      </w:r>
      <w:r>
        <w:fldChar w:fldCharType="separate"/>
      </w:r>
      <w:r>
        <w:t>10</w:t>
      </w:r>
      <w:r>
        <w:fldChar w:fldCharType="end"/>
      </w:r>
    </w:p>
    <w:p>
      <w:pPr>
        <w:pStyle w:val="11"/>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_Toc9357 \h </w:instrText>
      </w:r>
      <w:r>
        <w:fldChar w:fldCharType="separate"/>
      </w:r>
      <w:r>
        <w:t>11</w:t>
      </w:r>
      <w:r>
        <w:fldChar w:fldCharType="end"/>
      </w:r>
    </w:p>
    <w:p>
      <w:pPr>
        <w:pStyle w:val="11"/>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_Toc27321 \h </w:instrText>
      </w:r>
      <w:r>
        <w:fldChar w:fldCharType="separate"/>
      </w:r>
      <w:r>
        <w:t>12</w:t>
      </w:r>
      <w:r>
        <w:fldChar w:fldCharType="end"/>
      </w:r>
    </w:p>
    <w:p>
      <w:pPr>
        <w:pStyle w:val="19"/>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_Toc25222 \h </w:instrText>
      </w:r>
      <w:r>
        <w:fldChar w:fldCharType="separate"/>
      </w:r>
      <w:r>
        <w:t>14</w:t>
      </w:r>
      <w:r>
        <w:fldChar w:fldCharType="end"/>
      </w:r>
    </w:p>
    <w:p>
      <w:pPr>
        <w:pStyle w:val="19"/>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_Toc4893 \h </w:instrText>
      </w:r>
      <w:r>
        <w:fldChar w:fldCharType="separate"/>
      </w:r>
      <w:r>
        <w:t>14</w:t>
      </w:r>
      <w:r>
        <w:fldChar w:fldCharType="end"/>
      </w:r>
    </w:p>
    <w:p>
      <w:pPr>
        <w:pStyle w:val="11"/>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_Toc5266 \h </w:instrText>
      </w:r>
      <w:r>
        <w:fldChar w:fldCharType="separate"/>
      </w:r>
      <w:r>
        <w:t>14</w:t>
      </w:r>
      <w:r>
        <w:fldChar w:fldCharType="end"/>
      </w:r>
    </w:p>
    <w:p>
      <w:pPr>
        <w:pStyle w:val="11"/>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_Toc1271 \h </w:instrText>
      </w:r>
      <w:r>
        <w:fldChar w:fldCharType="separate"/>
      </w:r>
      <w:r>
        <w:t>14</w:t>
      </w:r>
      <w:r>
        <w:fldChar w:fldCharType="end"/>
      </w:r>
    </w:p>
    <w:p>
      <w:pPr>
        <w:pStyle w:val="19"/>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_Toc2602 \h </w:instrText>
      </w:r>
      <w:r>
        <w:fldChar w:fldCharType="separate"/>
      </w:r>
      <w:r>
        <w:t>16</w:t>
      </w:r>
      <w:r>
        <w:fldChar w:fldCharType="end"/>
      </w:r>
    </w:p>
    <w:p>
      <w:pPr>
        <w:pStyle w:val="19"/>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_Toc6497 \h </w:instrText>
      </w:r>
      <w:r>
        <w:fldChar w:fldCharType="separate"/>
      </w:r>
      <w:r>
        <w:t>16</w:t>
      </w:r>
      <w:r>
        <w:fldChar w:fldCharType="end"/>
      </w:r>
    </w:p>
    <w:p>
      <w:pPr>
        <w:pStyle w:val="19"/>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_Toc27000 \h </w:instrText>
      </w:r>
      <w:r>
        <w:fldChar w:fldCharType="separate"/>
      </w:r>
      <w:r>
        <w:t>16</w:t>
      </w:r>
      <w:r>
        <w:fldChar w:fldCharType="end"/>
      </w:r>
    </w:p>
    <w:p>
      <w:pPr>
        <w:pStyle w:val="11"/>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_Toc12652 \h </w:instrText>
      </w:r>
      <w:r>
        <w:fldChar w:fldCharType="separate"/>
      </w:r>
      <w:r>
        <w:t>16</w:t>
      </w:r>
      <w:r>
        <w:fldChar w:fldCharType="end"/>
      </w:r>
    </w:p>
    <w:p>
      <w:pPr>
        <w:pStyle w:val="11"/>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_Toc23706 \h </w:instrText>
      </w:r>
      <w:r>
        <w:fldChar w:fldCharType="separate"/>
      </w:r>
      <w:r>
        <w:t>16</w:t>
      </w:r>
      <w:r>
        <w:fldChar w:fldCharType="end"/>
      </w:r>
    </w:p>
    <w:p>
      <w:pPr>
        <w:pStyle w:val="11"/>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_Toc3807 \h </w:instrText>
      </w:r>
      <w:r>
        <w:fldChar w:fldCharType="separate"/>
      </w:r>
      <w:r>
        <w:t>16</w:t>
      </w:r>
      <w:r>
        <w:fldChar w:fldCharType="end"/>
      </w:r>
    </w:p>
    <w:p>
      <w:pPr>
        <w:pStyle w:val="11"/>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_Toc26064 \h </w:instrText>
      </w:r>
      <w:r>
        <w:fldChar w:fldCharType="separate"/>
      </w:r>
      <w:r>
        <w:t>16</w:t>
      </w:r>
      <w:r>
        <w:fldChar w:fldCharType="end"/>
      </w:r>
    </w:p>
    <w:p>
      <w:pPr>
        <w:pStyle w:val="16"/>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_Toc15409 \h </w:instrText>
      </w:r>
      <w:r>
        <w:fldChar w:fldCharType="separate"/>
      </w:r>
      <w:r>
        <w:t>18</w:t>
      </w:r>
      <w:r>
        <w:fldChar w:fldCharType="end"/>
      </w:r>
    </w:p>
    <w:p>
      <w:pPr>
        <w:pStyle w:val="16"/>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_Toc31265 \h </w:instrText>
      </w:r>
      <w:r>
        <w:fldChar w:fldCharType="separate"/>
      </w:r>
      <w:r>
        <w:t>21</w:t>
      </w:r>
      <w:r>
        <w:fldChar w:fldCharType="end"/>
      </w:r>
    </w:p>
    <w:p>
      <w:pPr>
        <w:pStyle w:val="16"/>
        <w:tabs>
          <w:tab w:val="right" w:leader="dot" w:pos="8306"/>
        </w:tabs>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_Toc17676 \h </w:instrText>
      </w:r>
      <w:r>
        <w:fldChar w:fldCharType="separate"/>
      </w:r>
      <w:r>
        <w:t>21</w:t>
      </w:r>
      <w:r>
        <w:fldChar w:fldCharType="end"/>
      </w:r>
    </w:p>
    <w:p>
      <w:pPr>
        <w:pStyle w:val="16"/>
        <w:tabs>
          <w:tab w:val="right" w:leader="dot" w:pos="8306"/>
        </w:tabs>
        <w:rPr>
          <w:rFonts w:hint="eastAsia"/>
          <w:lang w:val="en-US" w:eastAsia="zh-CN"/>
        </w:rPr>
      </w:pPr>
      <w:r>
        <w:rPr>
          <w:rFonts w:hint="eastAsia" w:ascii="黑体" w:hAnsi="黑体" w:eastAsia="黑体" w:cs="黑体"/>
          <w:szCs w:val="44"/>
          <w:lang w:val="en-US" w:eastAsia="zh-CN"/>
        </w:rPr>
        <w:t>壤塘县经济商务和信息化局</w:t>
      </w:r>
      <w:r>
        <w:rPr>
          <w:rFonts w:hint="eastAsia" w:ascii="黑体" w:hAnsi="黑体" w:eastAsia="黑体" w:cs="黑体"/>
          <w:szCs w:val="44"/>
        </w:rPr>
        <w:t>2020年部门整体支出绩效评价报告</w:t>
      </w:r>
      <w:r>
        <w:tab/>
      </w:r>
      <w:r>
        <w:rPr>
          <w:rFonts w:hint="eastAsia"/>
          <w:lang w:val="en-US" w:eastAsia="zh-CN"/>
        </w:rPr>
        <w:t>21</w:t>
      </w:r>
    </w:p>
    <w:p>
      <w:pPr>
        <w:pStyle w:val="16"/>
        <w:tabs>
          <w:tab w:val="right" w:leader="dot" w:pos="8306"/>
        </w:tabs>
        <w:rPr>
          <w:rFonts w:hint="default" w:eastAsiaTheme="minorHAnsi"/>
          <w:lang w:val="en-US" w:eastAsia="zh-CN"/>
        </w:rPr>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rPr>
          <w:rFonts w:hint="eastAsia"/>
          <w:lang w:val="en-US" w:eastAsia="zh-CN"/>
        </w:rPr>
        <w:t>37</w:t>
      </w:r>
    </w:p>
    <w:p>
      <w:pPr>
        <w:pStyle w:val="16"/>
        <w:tabs>
          <w:tab w:val="right" w:leader="dot" w:pos="8306"/>
        </w:tabs>
        <w:rPr>
          <w:rFonts w:hint="default" w:eastAsiaTheme="minorHAnsi"/>
          <w:lang w:val="en-US" w:eastAsia="zh-CN"/>
        </w:rPr>
      </w:pPr>
      <w:r>
        <w:rPr>
          <w:rFonts w:hint="eastAsia"/>
          <w:lang w:val="en-US" w:eastAsia="zh-CN"/>
        </w:rPr>
        <w:t>43</w:t>
      </w:r>
      <w:r>
        <w:rPr>
          <w:rFonts w:hint="eastAsia" w:ascii="仿宋" w:hAnsi="仿宋" w:eastAsia="仿宋"/>
          <w:color w:val="000000"/>
        </w:rPr>
        <w:t>一、收</w:t>
      </w:r>
      <w:r>
        <w:rPr>
          <w:rFonts w:hint="eastAsia" w:ascii="仿宋" w:hAnsi="仿宋" w:eastAsia="仿宋"/>
          <w:bCs w:val="0"/>
        </w:rPr>
        <w:t>入支出决算总表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color w:val="000000"/>
        </w:rPr>
        <w:t>二、收</w:t>
      </w:r>
      <w:r>
        <w:rPr>
          <w:rFonts w:hint="eastAsia" w:ascii="仿宋" w:hAnsi="仿宋" w:eastAsia="仿宋"/>
          <w:bCs w:val="0"/>
        </w:rPr>
        <w:t>入决算表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rPr>
          <w:rFonts w:hint="eastAsia"/>
          <w:lang w:val="en-US" w:eastAsia="zh-CN"/>
        </w:rPr>
        <w:t>37</w:t>
      </w:r>
    </w:p>
    <w:p>
      <w:pPr>
        <w:pStyle w:val="19"/>
        <w:tabs>
          <w:tab w:val="right" w:leader="dot" w:pos="8306"/>
        </w:tabs>
        <w:rPr>
          <w:rFonts w:hint="default"/>
          <w:lang w:val="en-US" w:eastAsia="zh-CN"/>
        </w:rPr>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rPr>
          <w:rFonts w:hint="eastAsia"/>
          <w:lang w:val="en-US" w:eastAsia="zh-CN"/>
        </w:rPr>
        <w:t>37</w:t>
      </w:r>
    </w:p>
    <w:p>
      <w:pPr>
        <w:pStyle w:val="19"/>
        <w:tabs>
          <w:tab w:val="right" w:leader="dot" w:pos="8306"/>
        </w:tabs>
        <w:rPr>
          <w:rFonts w:hint="default" w:eastAsiaTheme="minorHAnsi"/>
          <w:lang w:val="en-US" w:eastAsia="zh-CN"/>
        </w:rPr>
      </w:pPr>
      <w:r>
        <w:rPr>
          <w:rFonts w:hint="eastAsia" w:ascii="仿宋" w:hAnsi="仿宋" w:eastAsia="仿宋"/>
          <w:bCs w:val="0"/>
        </w:rPr>
        <w:t>十四、国有资本经营预算财政拨款支出决算表</w:t>
      </w:r>
      <w:r>
        <w:tab/>
      </w:r>
      <w:r>
        <w:rPr>
          <w:rFonts w:hint="eastAsia"/>
          <w:lang w:val="en-US" w:eastAsia="zh-CN"/>
        </w:rPr>
        <w:t>37</w:t>
      </w:r>
    </w:p>
    <w:p>
      <w:r>
        <w:rPr>
          <w:rFonts w:asciiTheme="minorHAnsi" w:eastAsiaTheme="minorHAnsi"/>
          <w:bCs/>
          <w:caps/>
          <w:szCs w:val="20"/>
        </w:rPr>
        <w:fldChar w:fldCharType="end"/>
      </w:r>
    </w:p>
    <w:p>
      <w:pPr>
        <w:widowControl/>
        <w:spacing w:line="440" w:lineRule="exact"/>
        <w:jc w:val="left"/>
        <w:rPr>
          <w:rFonts w:ascii="仿宋" w:hAnsi="仿宋" w:eastAsia="仿宋"/>
          <w:b/>
          <w:sz w:val="24"/>
        </w:rPr>
      </w:pPr>
      <w:bookmarkStart w:id="12" w:name="_Toc15377196"/>
      <w:bookmarkStart w:id="13" w:name="_Toc15396599"/>
      <w:r>
        <w:rPr>
          <w:rFonts w:ascii="仿宋" w:hAnsi="仿宋" w:eastAsia="仿宋"/>
          <w:b/>
          <w:sz w:val="24"/>
        </w:rPr>
        <w:br w:type="page"/>
      </w:r>
    </w:p>
    <w:sdt>
      <w:sdtPr>
        <w:rPr>
          <w:rFonts w:ascii="宋体" w:hAnsi="宋体" w:eastAsia="宋体" w:cs="Times New Roman"/>
          <w:kern w:val="2"/>
          <w:sz w:val="21"/>
          <w:szCs w:val="24"/>
          <w:lang w:val="en-US" w:eastAsia="zh-CN" w:bidi="ar-SA"/>
        </w:rPr>
        <w:id w:val="147482225"/>
        <w15:color w:val="DBDBDB"/>
        <w:docPartObj>
          <w:docPartGallery w:val="Table of Contents"/>
          <w:docPartUnique/>
        </w:docPartObj>
      </w:sdtPr>
      <w:sdtEndPr>
        <w:rPr>
          <w:rFonts w:ascii="Arial" w:hAnsi="Arial" w:eastAsia="黑体" w:cs="Times New Roman"/>
          <w:b/>
          <w:bCs/>
          <w:kern w:val="2"/>
          <w:sz w:val="28"/>
          <w:szCs w:val="28"/>
          <w:lang w:val="en-US" w:eastAsia="zh-CN" w:bidi="ar-SA"/>
        </w:rPr>
      </w:sdtEndPr>
      <w:sdtContent>
        <w:p>
          <w:pPr>
            <w:pStyle w:val="6"/>
          </w:pPr>
        </w:p>
      </w:sdtContent>
    </w:sdt>
    <w:p>
      <w:pPr>
        <w:pStyle w:val="3"/>
        <w:jc w:val="center"/>
        <w:rPr>
          <w:rFonts w:ascii="黑体" w:eastAsia="黑体"/>
          <w:color w:val="000000"/>
          <w:sz w:val="32"/>
          <w:szCs w:val="32"/>
        </w:rPr>
      </w:pPr>
      <w:bookmarkStart w:id="14" w:name="_Toc79163601"/>
      <w:bookmarkStart w:id="15" w:name="_Toc25421"/>
      <w:bookmarkStart w:id="16" w:name="_Toc15776"/>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宋体" w:eastAsia="黑体" w:cs="Times New Roman"/>
          <w:sz w:val="32"/>
          <w:szCs w:val="32"/>
        </w:rPr>
      </w:pPr>
      <w:bookmarkStart w:id="17" w:name="_Toc15377197"/>
      <w:bookmarkStart w:id="18" w:name="_Toc15396600"/>
      <w:bookmarkStart w:id="19" w:name="_Toc32139"/>
      <w:bookmarkStart w:id="20" w:name="_Toc79163602"/>
      <w:r>
        <w:rPr>
          <w:rFonts w:hint="eastAsia" w:ascii="黑体" w:hAnsi="宋体" w:eastAsia="黑体" w:cs="Times New Roman"/>
          <w:sz w:val="32"/>
          <w:szCs w:val="32"/>
        </w:rPr>
        <w:t>一、基本职能及主要工作</w:t>
      </w:r>
      <w:bookmarkEnd w:id="17"/>
      <w:bookmarkEnd w:id="18"/>
      <w:bookmarkEnd w:id="19"/>
      <w:bookmarkEnd w:id="20"/>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72" w:firstLineChars="210"/>
        <w:textAlignment w:val="auto"/>
        <w:outlineLvl w:val="2"/>
        <w:rPr>
          <w:rFonts w:ascii="仿宋" w:hAnsi="仿宋" w:eastAsia="仿宋"/>
          <w:bCs/>
          <w:color w:val="000000"/>
          <w:sz w:val="32"/>
          <w:szCs w:val="32"/>
        </w:rPr>
      </w:pPr>
      <w:bookmarkStart w:id="21" w:name="_Toc79163603"/>
      <w:bookmarkStart w:id="22" w:name="_Toc29983"/>
      <w:bookmarkStart w:id="23" w:name="_Toc15378445"/>
      <w:bookmarkStart w:id="24" w:name="_Toc15377198"/>
      <w:r>
        <w:rPr>
          <w:rFonts w:hint="eastAsia" w:ascii="仿宋" w:hAnsi="仿宋" w:eastAsia="仿宋"/>
          <w:bCs/>
          <w:color w:val="000000"/>
          <w:sz w:val="32"/>
          <w:szCs w:val="32"/>
        </w:rPr>
        <w:t>（一）主要职能</w:t>
      </w:r>
      <w:bookmarkEnd w:id="21"/>
      <w:bookmarkEnd w:id="22"/>
    </w:p>
    <w:bookmarkEnd w:id="23"/>
    <w:bookmarkEnd w:id="24"/>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bookmarkStart w:id="25" w:name="_Toc15377199"/>
      <w:bookmarkStart w:id="26" w:name="_Toc15378446"/>
      <w:bookmarkStart w:id="27" w:name="_Toc20843"/>
      <w:bookmarkStart w:id="28" w:name="_Toc79163604"/>
      <w:r>
        <w:rPr>
          <w:rFonts w:hint="eastAsia" w:ascii="仿宋" w:hAnsi="仿宋" w:eastAsia="仿宋"/>
          <w:bCs/>
          <w:color w:val="auto"/>
          <w:sz w:val="32"/>
          <w:szCs w:val="32"/>
          <w:lang w:val="zh-CN" w:eastAsia="zh-CN"/>
        </w:rPr>
        <w:t>1.贯彻执行国家国民经济和社会发展及经济、商务、信息化和无线电管理工作战略、方针和政策，研究提出相应的政策措施；拟订并组织实施全县经济和社会发展战略，中长期规划和年度计划；研究提出全县经济发展的总量平衡、发展速度和结构调整目标、政策 。</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2.研究分析县内外经济形势和发展情况，进行客观宏观经济预测和预警。</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 xml:space="preserve">3.研究分析区域经济发展情况，提出我县区域经济协调发展和实施西部大开发、藏区跨越式发展战略规划，提出相关政策建议。 </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4.负责汇总和分析全县财政、金融等部门以及其他国民经济和社会发展情况；综合协调财政、信贷等经济杠杆以及县上掌握的经济手段。</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5.履行项目宏观管理。</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6.协调推进重大项目建设。</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7.负责指导和协调全县招投标工作，会同有关行政主管部门拟订招投标配套规定和必须进行招投标项目的具体范围、规模标准。</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8.组织拟订水电开发行业规划和政策法规，规划实施工作，按审批权限审查、申报。</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9.负责组织编制全县国民经济动员与装备动员规划、计划，研究国民经济动员与装备动员和国民经济、国防建设的关系，协调相关重大问题，组织实施国民经济动员与装备动员有关工作。</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10.负责节能减排的综合协调和项目申报、资金争取等职责。</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11.负责以工代赈。根据国家和省以工代赈方针、政策，编制以工代赈规划，审核、转报和下达以工代赈计划，负责以工代赈部门协调、以工代赈项目检查监督、验收和总结等工作。</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12.拟订并组织实施工业、信息化的发展规划，推进产业结构战略性调整和优化升级，推进信息化和工业化融合。</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13.负责提出全县新型工业化发展战略和政策，协调解决全县新型工业化进程中的重大问题。</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14.负责监测分析经济运行态势，进行预测预警和信息引导，协调解决经济运行中的重大问题并提出政策和建议；负责工业和信息化应急管理、产业安全和国防动员有关工作；负责紧急状态下重要物资的生产组织工作；负责经济运行中多种交通运输方式的综合协调；负责电力运行协调工作。</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15.规划全县商务电子政务、公共商务信息服务体系建设并组织实施，推动电子商务发展。</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16.负责全县招商引资信息工作，多元化、多渠道收集相关信息资料；开展投资信息咨询服务。加快信息服务业发展，加快推进全县企业信息化建设。推进信息化和工业化融合，推进工业化和城镇化联动，推进新兴产业和生产性服务业发展。</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17.贯彻国家、省、州市场运行和流通秩序的政策，推动商务领域信用建设，指导商业信用销售，建立市场诚信公共服务平台，对特殊流通行业、酒类流通进行监督管理。</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val="zh-CN" w:eastAsia="zh-CN"/>
        </w:rPr>
      </w:pPr>
      <w:r>
        <w:rPr>
          <w:rFonts w:hint="eastAsia" w:ascii="仿宋" w:hAnsi="仿宋" w:eastAsia="仿宋"/>
          <w:bCs/>
          <w:color w:val="auto"/>
          <w:sz w:val="32"/>
          <w:szCs w:val="32"/>
          <w:lang w:val="zh-CN" w:eastAsia="zh-CN"/>
        </w:rPr>
        <w:t>18.指导工作</w:t>
      </w:r>
      <w:r>
        <w:rPr>
          <w:rFonts w:hint="eastAsia" w:ascii="仿宋" w:hAnsi="仿宋" w:eastAsia="仿宋"/>
          <w:bCs/>
          <w:color w:val="auto"/>
          <w:sz w:val="32"/>
          <w:szCs w:val="32"/>
          <w:lang w:val="en-US" w:eastAsia="zh-CN"/>
        </w:rPr>
        <w:t>，</w:t>
      </w:r>
      <w:r>
        <w:rPr>
          <w:rFonts w:hint="eastAsia" w:ascii="仿宋" w:hAnsi="仿宋" w:eastAsia="仿宋"/>
          <w:bCs/>
          <w:color w:val="auto"/>
          <w:sz w:val="32"/>
          <w:szCs w:val="32"/>
          <w:lang w:val="zh-CN" w:eastAsia="zh-CN"/>
        </w:rPr>
        <w:t>信息化和无线电领域的社会中介组织发展。</w:t>
      </w:r>
    </w:p>
    <w:p>
      <w:pPr>
        <w:pStyle w:val="8"/>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rPr>
        <w:t>（二）</w:t>
      </w:r>
      <w:r>
        <w:rPr>
          <w:rFonts w:ascii="仿宋" w:hAnsi="仿宋" w:eastAsia="仿宋"/>
          <w:bCs/>
          <w:color w:val="auto"/>
          <w:sz w:val="32"/>
          <w:szCs w:val="32"/>
        </w:rPr>
        <w:t>2020</w:t>
      </w:r>
      <w:r>
        <w:rPr>
          <w:rFonts w:hint="eastAsia" w:ascii="仿宋" w:hAnsi="仿宋" w:eastAsia="仿宋"/>
          <w:bCs/>
          <w:color w:val="auto"/>
          <w:sz w:val="32"/>
          <w:szCs w:val="32"/>
        </w:rPr>
        <w:t>年重点工作完成情况</w:t>
      </w:r>
      <w:bookmarkEnd w:id="25"/>
      <w:bookmarkEnd w:id="26"/>
      <w:bookmarkEnd w:id="27"/>
      <w:bookmarkEnd w:id="28"/>
      <w:bookmarkStart w:id="165" w:name="_GoBack"/>
      <w:bookmarkEnd w:id="165"/>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疫情防控工作：按照县疫情防控指挥部的工作部署</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全员动员</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全力以赴，做好了企业人员的排查监控、企业疫情防控落实、市场生活物资供应保障、组织生活物资运输车辆的疫情防控和随车人员的疫情防控落实等工作，为全县疫情防控胜利作出了</w:t>
      </w:r>
      <w:r>
        <w:rPr>
          <w:rFonts w:hint="eastAsia" w:ascii="仿宋" w:hAnsi="仿宋" w:eastAsia="仿宋"/>
          <w:bCs/>
          <w:color w:val="auto"/>
          <w:sz w:val="32"/>
          <w:szCs w:val="32"/>
          <w:lang w:eastAsia="zh-CN"/>
        </w:rPr>
        <w:t>风险</w:t>
      </w:r>
      <w:r>
        <w:rPr>
          <w:rFonts w:hint="eastAsia" w:ascii="仿宋" w:hAnsi="仿宋" w:eastAsia="仿宋"/>
          <w:bCs/>
          <w:color w:val="auto"/>
          <w:sz w:val="32"/>
          <w:szCs w:val="32"/>
        </w:rPr>
        <w:t>。</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2.</w:t>
      </w:r>
      <w:r>
        <w:rPr>
          <w:rFonts w:hint="eastAsia" w:ascii="仿宋" w:hAnsi="仿宋" w:eastAsia="仿宋"/>
          <w:bCs/>
          <w:color w:val="auto"/>
          <w:sz w:val="32"/>
          <w:szCs w:val="32"/>
        </w:rPr>
        <w:t>脱贫攻坚工作：做好了工业扶贫、通讯扶贫、商务扶贫的三个扶贫专项的工作落实、资料梳理归档和迎检工作；做好对口援建地区、部门的消费扶贫对接落实开展。</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经信工作：加强对全县特色加工业企业和民族工艺美术品生产企业指导、帮扶力度，支持2家民族工艺美术生产企业工业发展资金30万元；组织壤巴拉菜籽油、壤巴拉藏香等生产企业参加各类推介会，扩大产品知名度，让壤巴拉产品进一步扩大消费；启动中小微企业园区规划编制工作，为全县企业规范化，规模化发展奠定基础；加强企业安全生产工作，开展各类安全生产检查，召开企业安全生产工作会6次，开展专项检查3次，整改各类安全生产问题18次；牵头开展林牧区输配电设施火灾隐患专项整治工作，组织企业开展学习</w:t>
      </w:r>
      <w:r>
        <w:rPr>
          <w:rFonts w:hint="eastAsia" w:ascii="仿宋" w:hAnsi="仿宋" w:eastAsia="仿宋"/>
          <w:bCs/>
          <w:color w:val="auto"/>
          <w:sz w:val="32"/>
          <w:szCs w:val="32"/>
          <w:lang w:eastAsia="zh-CN"/>
        </w:rPr>
        <w:t>习近平总书记</w:t>
      </w:r>
      <w:r>
        <w:rPr>
          <w:rFonts w:hint="eastAsia" w:ascii="仿宋" w:hAnsi="仿宋" w:eastAsia="仿宋"/>
          <w:bCs/>
          <w:color w:val="auto"/>
          <w:sz w:val="32"/>
          <w:szCs w:val="32"/>
        </w:rPr>
        <w:t>、省、州关于森林草原防灭火工作的安排部署，开展6条输配电设施火灾隐患的安全生产检查，整改火灾隐患197处，督促企业建立“四项责任清单”，落实隐患整改责任，建立输配电设施防灭火长效机制。</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商务工作：一是全力推进2019年商贸流通脱贫奔康示范县建设项目。项目总投资600万元，其中：专项资金600万元。</w:t>
      </w:r>
      <w:r>
        <w:rPr>
          <w:rFonts w:hint="eastAsia" w:ascii="仿宋" w:hAnsi="仿宋" w:eastAsia="仿宋"/>
          <w:bCs/>
          <w:color w:val="auto"/>
          <w:sz w:val="32"/>
          <w:szCs w:val="32"/>
          <w:lang w:eastAsia="zh-CN"/>
        </w:rPr>
        <w:t>截至</w:t>
      </w:r>
      <w:r>
        <w:rPr>
          <w:rFonts w:hint="eastAsia" w:ascii="仿宋" w:hAnsi="仿宋" w:eastAsia="仿宋"/>
          <w:bCs/>
          <w:color w:val="auto"/>
          <w:sz w:val="32"/>
          <w:szCs w:val="32"/>
        </w:rPr>
        <w:t>目前，项目建设进度达76%，已拨付项目资金550万元。二是继续推进2018年国家级电子商务进农村综合示范县项目建设。项目总投资额2700万元，其中：中央财政专项补助资金1500万元，县级地方财政配套资金100万元，企业自筹资金1100万元。</w:t>
      </w:r>
      <w:r>
        <w:rPr>
          <w:rFonts w:hint="eastAsia" w:ascii="仿宋" w:hAnsi="仿宋" w:eastAsia="仿宋"/>
          <w:bCs/>
          <w:color w:val="auto"/>
          <w:sz w:val="32"/>
          <w:szCs w:val="32"/>
          <w:lang w:eastAsia="zh-CN"/>
        </w:rPr>
        <w:t>截至</w:t>
      </w:r>
      <w:r>
        <w:rPr>
          <w:rFonts w:hint="eastAsia" w:ascii="仿宋" w:hAnsi="仿宋" w:eastAsia="仿宋"/>
          <w:bCs/>
          <w:color w:val="auto"/>
          <w:sz w:val="32"/>
          <w:szCs w:val="32"/>
        </w:rPr>
        <w:t>目前，项目完成总进度约70%，已拨付中央财政专项资金1035万元。三是积极参与拓展市场活动，拓宽我县农特产品销售渠道。组织企业参加“阿坝州—成都市第六届‘农商对接’活动”，“金秋购物助脱贫 四川扶贫产品销售周暨扶贫832四川产品采购对接会”、“‘味美四川’川派餐饮汇活动周”、“阿坝州第四届特色美食烹饪技能大赛暨美食展”、“2020川货全国行•重庆站暨川渝好物进双城活动”“2020温州国际时尚文化产业博览会”等活动，推广宣传“壤巴拉”品牌高原绿色</w:t>
      </w:r>
      <w:r>
        <w:rPr>
          <w:rFonts w:hint="eastAsia" w:ascii="仿宋" w:hAnsi="仿宋" w:eastAsia="仿宋"/>
          <w:bCs/>
          <w:color w:val="auto"/>
          <w:sz w:val="32"/>
          <w:szCs w:val="32"/>
          <w:lang w:eastAsia="zh-CN"/>
        </w:rPr>
        <w:t>菜籽</w:t>
      </w:r>
      <w:r>
        <w:rPr>
          <w:rFonts w:hint="eastAsia" w:ascii="仿宋" w:hAnsi="仿宋" w:eastAsia="仿宋"/>
          <w:bCs/>
          <w:color w:val="auto"/>
          <w:sz w:val="32"/>
          <w:szCs w:val="32"/>
        </w:rPr>
        <w:t>油、牦牛肉、蜂蜜、菌类等农特文创产品， 进一步加大“壤巴拉”品牌的宣传力度。四是制定出台《壤塘县壤巴拉产品销售奖励办法》，调动壤巴拉产品生产、销售企业的积极性，促进壤巴拉产品的生产和销售。五是联合交通、市场管理部门，组织县邮政公司和中通、申通等5家快递公司实施“邮政快递企业合作”解决快递到村最后一公里问题，畅通快递末端按址投递。</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招商引资工作：一是发挥外联小分队的作用，加大飞地园区招商引资力度和招引的3家企业的服务；二是进一步梳理招商引资项目，编制克久温泉村落开发、317国道悬天藏寨旅游开发、中壤塘民俗旅游开发项目向外重点推介；三是做好招商引资企业到壤考察项目的协调服务工作，推动了尕多分布式太阳能发电开发、松果共享单车、餐厨垃圾处理项目的前期协调服务工作。</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lang w:val="en-US" w:eastAsia="zh-CN"/>
        </w:rPr>
        <w:t>6.</w:t>
      </w:r>
      <w:r>
        <w:rPr>
          <w:rFonts w:hint="eastAsia" w:ascii="仿宋" w:hAnsi="仿宋" w:eastAsia="仿宋"/>
          <w:bCs/>
          <w:color w:val="auto"/>
          <w:sz w:val="32"/>
          <w:szCs w:val="32"/>
        </w:rPr>
        <w:t>帮村工作：一是组织力量扎实开展帮村工作，做好阳培村脱贫验收工作；二是积极对接绵阳市经信局及爱心企业帮扶阳培村资金2.5万元，三是对接成阿园区爱心企业帮扶岗木达乡幼儿园资金1.5万元并看望慰问教师。</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7"/>
          <w:b w:val="0"/>
          <w:bCs w:val="0"/>
        </w:rPr>
      </w:pPr>
      <w:bookmarkStart w:id="29" w:name="_Toc15377200"/>
      <w:bookmarkStart w:id="30" w:name="_Toc79163605"/>
      <w:bookmarkStart w:id="31" w:name="_Toc15396601"/>
      <w:bookmarkStart w:id="32" w:name="_Toc29083"/>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9"/>
      <w:bookmarkEnd w:id="30"/>
      <w:bookmarkEnd w:id="31"/>
      <w:bookmarkEnd w:id="32"/>
    </w:p>
    <w:p>
      <w:pPr>
        <w:pStyle w:val="8"/>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outlineLvl w:val="2"/>
        <w:rPr>
          <w:rFonts w:hint="eastAsia" w:ascii="仿宋" w:hAnsi="仿宋" w:eastAsia="仿宋" w:cs="Times New Roman"/>
          <w:bCs/>
          <w:color w:val="auto"/>
          <w:sz w:val="32"/>
          <w:szCs w:val="32"/>
          <w:lang w:val="zh-CN" w:eastAsia="zh-CN"/>
        </w:rPr>
      </w:pPr>
      <w:r>
        <w:rPr>
          <w:rFonts w:hint="eastAsia" w:ascii="仿宋" w:hAnsi="仿宋" w:eastAsia="仿宋" w:cs="Times New Roman"/>
          <w:bCs/>
          <w:color w:val="auto"/>
          <w:sz w:val="32"/>
          <w:szCs w:val="32"/>
          <w:lang w:val="en-US" w:eastAsia="zh-CN"/>
        </w:rPr>
        <w:t>壤塘县经济商务和信息化局为一级预算单位，基本性质为行政单位。</w:t>
      </w:r>
    </w:p>
    <w:p>
      <w:pPr>
        <w:widowControl/>
        <w:jc w:val="center"/>
        <w:rPr>
          <w:rStyle w:val="26"/>
          <w:rFonts w:ascii="黑体" w:hAnsi="黑体" w:eastAsia="黑体" w:cs="Times New Roman"/>
          <w:b w:val="0"/>
          <w:bCs w:val="0"/>
        </w:rPr>
      </w:pPr>
      <w:bookmarkStart w:id="33" w:name="_Toc79163609"/>
      <w:bookmarkStart w:id="34" w:name="_Toc14147"/>
      <w:bookmarkStart w:id="35" w:name="_Toc15396602"/>
      <w:bookmarkStart w:id="36" w:name="_Toc15377204"/>
      <w:bookmarkStart w:id="37" w:name="_Toc32513"/>
      <w:r>
        <w:rPr>
          <w:rStyle w:val="26"/>
          <w:rFonts w:hint="eastAsia" w:ascii="黑体" w:hAnsi="黑体" w:eastAsia="黑体" w:cs="Times New Roman"/>
          <w:b w:val="0"/>
          <w:bCs w:val="0"/>
        </w:rPr>
        <w:t>第二部分</w:t>
      </w:r>
      <w:r>
        <w:rPr>
          <w:rStyle w:val="26"/>
          <w:rFonts w:ascii="黑体" w:hAnsi="黑体" w:eastAsia="黑体" w:cs="Times New Roman"/>
          <w:b w:val="0"/>
          <w:bCs w:val="0"/>
        </w:rPr>
        <w:t xml:space="preserve"> 2020</w:t>
      </w:r>
      <w:r>
        <w:rPr>
          <w:rStyle w:val="26"/>
          <w:rFonts w:hint="eastAsia" w:ascii="黑体" w:hAnsi="黑体" w:eastAsia="黑体" w:cs="Times New Roman"/>
          <w:b w:val="0"/>
          <w:bCs w:val="0"/>
        </w:rPr>
        <w:t>年度部门决算情况说明</w:t>
      </w:r>
      <w:bookmarkEnd w:id="33"/>
      <w:bookmarkEnd w:id="34"/>
      <w:bookmarkEnd w:id="35"/>
      <w:bookmarkEnd w:id="36"/>
      <w:bookmarkEnd w:id="37"/>
    </w:p>
    <w:p>
      <w:pPr>
        <w:pStyle w:val="37"/>
        <w:numPr>
          <w:ilvl w:val="0"/>
          <w:numId w:val="2"/>
        </w:numPr>
        <w:spacing w:line="600" w:lineRule="exact"/>
        <w:ind w:firstLineChars="0"/>
        <w:outlineLvl w:val="1"/>
        <w:rPr>
          <w:rStyle w:val="27"/>
          <w:rFonts w:ascii="黑体" w:hAnsi="黑体" w:eastAsia="黑体"/>
          <w:b w:val="0"/>
        </w:rPr>
      </w:pPr>
      <w:bookmarkStart w:id="38" w:name="_Toc15377205"/>
      <w:bookmarkStart w:id="39" w:name="_Toc15396603"/>
      <w:bookmarkStart w:id="40" w:name="_Toc79163610"/>
      <w:bookmarkStart w:id="41" w:name="_Toc25426"/>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38"/>
      <w:bookmarkEnd w:id="39"/>
      <w:bookmarkEnd w:id="40"/>
      <w:bookmarkEnd w:id="41"/>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lang w:eastAsia="zh-CN"/>
        </w:rPr>
      </w:pPr>
      <w:r>
        <w:rPr>
          <w:rFonts w:hint="eastAsia" w:ascii="仿宋" w:hAnsi="仿宋" w:eastAsia="仿宋"/>
          <w:bCs/>
          <w:color w:val="auto"/>
          <w:sz w:val="32"/>
          <w:szCs w:val="32"/>
        </w:rPr>
        <w:t>2020年度收</w:t>
      </w:r>
      <w:r>
        <w:rPr>
          <w:rFonts w:hint="eastAsia" w:ascii="仿宋" w:hAnsi="仿宋" w:eastAsia="仿宋"/>
          <w:bCs/>
          <w:color w:val="auto"/>
          <w:sz w:val="32"/>
          <w:szCs w:val="32"/>
          <w:lang w:val="en-US" w:eastAsia="zh-CN"/>
        </w:rPr>
        <w:t>入</w:t>
      </w:r>
      <w:r>
        <w:rPr>
          <w:rFonts w:hint="eastAsia" w:ascii="仿宋" w:hAnsi="仿宋" w:eastAsia="仿宋"/>
          <w:bCs/>
          <w:color w:val="auto"/>
          <w:sz w:val="32"/>
          <w:szCs w:val="32"/>
        </w:rPr>
        <w:t>总计</w:t>
      </w:r>
      <w:r>
        <w:rPr>
          <w:rFonts w:hint="eastAsia" w:ascii="仿宋" w:hAnsi="仿宋" w:eastAsia="仿宋"/>
          <w:bCs/>
          <w:color w:val="auto"/>
          <w:sz w:val="32"/>
          <w:szCs w:val="32"/>
          <w:lang w:val="en-US" w:eastAsia="zh-CN"/>
        </w:rPr>
        <w:t>812.85</w:t>
      </w:r>
      <w:r>
        <w:rPr>
          <w:rFonts w:hint="eastAsia" w:ascii="仿宋" w:hAnsi="仿宋" w:eastAsia="仿宋"/>
          <w:bCs/>
          <w:color w:val="auto"/>
          <w:sz w:val="32"/>
          <w:szCs w:val="32"/>
        </w:rPr>
        <w:t>万元。与2019年相比，收</w:t>
      </w:r>
      <w:r>
        <w:rPr>
          <w:rFonts w:hint="eastAsia" w:ascii="仿宋" w:hAnsi="仿宋" w:eastAsia="仿宋"/>
          <w:bCs/>
          <w:color w:val="auto"/>
          <w:sz w:val="32"/>
          <w:szCs w:val="32"/>
          <w:lang w:val="en-US" w:eastAsia="zh-CN"/>
        </w:rPr>
        <w:t>入</w:t>
      </w:r>
      <w:r>
        <w:rPr>
          <w:rFonts w:hint="eastAsia" w:ascii="仿宋" w:hAnsi="仿宋" w:eastAsia="仿宋"/>
          <w:bCs/>
          <w:color w:val="auto"/>
          <w:sz w:val="32"/>
          <w:szCs w:val="32"/>
          <w:lang w:val="zh-CN" w:eastAsia="zh-CN"/>
        </w:rPr>
        <w:t>总计</w:t>
      </w:r>
      <w:r>
        <w:rPr>
          <w:rFonts w:hint="eastAsia" w:ascii="仿宋" w:hAnsi="仿宋" w:eastAsia="仿宋"/>
          <w:bCs/>
          <w:color w:val="auto"/>
          <w:sz w:val="32"/>
          <w:szCs w:val="32"/>
          <w:lang w:val="en-US" w:eastAsia="zh-CN"/>
        </w:rPr>
        <w:t>减少114.15</w:t>
      </w:r>
      <w:r>
        <w:rPr>
          <w:rFonts w:hint="eastAsia" w:ascii="仿宋" w:hAnsi="仿宋" w:eastAsia="仿宋"/>
          <w:bCs/>
          <w:color w:val="auto"/>
          <w:sz w:val="32"/>
          <w:szCs w:val="32"/>
          <w:lang w:val="zh-CN" w:eastAsia="zh-CN"/>
        </w:rPr>
        <w:t>万元，</w:t>
      </w:r>
      <w:r>
        <w:rPr>
          <w:rFonts w:hint="eastAsia" w:ascii="仿宋" w:hAnsi="仿宋" w:eastAsia="仿宋"/>
          <w:bCs/>
          <w:color w:val="auto"/>
          <w:sz w:val="32"/>
          <w:szCs w:val="32"/>
          <w:lang w:val="en-US" w:eastAsia="zh-CN"/>
        </w:rPr>
        <w:t>下降12.31</w:t>
      </w:r>
      <w:r>
        <w:rPr>
          <w:rFonts w:hint="eastAsia" w:ascii="仿宋" w:hAnsi="仿宋" w:eastAsia="仿宋"/>
          <w:bCs/>
          <w:color w:val="auto"/>
          <w:sz w:val="32"/>
          <w:szCs w:val="32"/>
          <w:lang w:val="zh-CN" w:eastAsia="zh-CN"/>
        </w:rPr>
        <w:t>%。主要变动原因是</w:t>
      </w:r>
      <w:r>
        <w:rPr>
          <w:rFonts w:hint="eastAsia" w:ascii="仿宋" w:hAnsi="仿宋" w:eastAsia="仿宋"/>
          <w:bCs/>
          <w:color w:val="auto"/>
          <w:sz w:val="32"/>
          <w:szCs w:val="32"/>
          <w:lang w:val="en-US" w:eastAsia="zh-CN"/>
        </w:rPr>
        <w:t>本年业务量增加</w:t>
      </w:r>
      <w:r>
        <w:rPr>
          <w:rFonts w:hint="eastAsia" w:ascii="仿宋" w:hAnsi="仿宋" w:eastAsia="仿宋"/>
          <w:bCs/>
          <w:color w:val="auto"/>
          <w:sz w:val="32"/>
          <w:szCs w:val="32"/>
          <w:lang w:eastAsia="zh-CN"/>
        </w:rPr>
        <w:t>。</w:t>
      </w:r>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default" w:ascii="仿宋" w:hAnsi="仿宋" w:eastAsia="仿宋"/>
          <w:bCs/>
          <w:color w:val="auto"/>
          <w:sz w:val="32"/>
          <w:szCs w:val="32"/>
          <w:lang w:val="en-US" w:eastAsia="zh-CN"/>
        </w:rPr>
      </w:pPr>
      <w:r>
        <w:rPr>
          <w:rFonts w:hint="eastAsia" w:ascii="仿宋" w:hAnsi="仿宋" w:eastAsia="仿宋"/>
          <w:bCs/>
          <w:color w:val="auto"/>
          <w:sz w:val="32"/>
          <w:szCs w:val="32"/>
        </w:rPr>
        <w:t>2020年度</w:t>
      </w:r>
      <w:r>
        <w:rPr>
          <w:rFonts w:hint="eastAsia" w:ascii="仿宋" w:hAnsi="仿宋" w:eastAsia="仿宋"/>
          <w:bCs/>
          <w:color w:val="auto"/>
          <w:sz w:val="32"/>
          <w:szCs w:val="32"/>
          <w:lang w:val="en-US" w:eastAsia="zh-CN"/>
        </w:rPr>
        <w:t>支出</w:t>
      </w:r>
      <w:r>
        <w:rPr>
          <w:rFonts w:hint="eastAsia" w:ascii="仿宋" w:hAnsi="仿宋" w:eastAsia="仿宋"/>
          <w:bCs/>
          <w:color w:val="auto"/>
          <w:sz w:val="32"/>
          <w:szCs w:val="32"/>
        </w:rPr>
        <w:t>总计</w:t>
      </w:r>
      <w:r>
        <w:rPr>
          <w:rFonts w:hint="eastAsia" w:ascii="仿宋" w:hAnsi="仿宋" w:eastAsia="仿宋"/>
          <w:bCs/>
          <w:color w:val="auto"/>
          <w:sz w:val="32"/>
          <w:szCs w:val="32"/>
          <w:lang w:val="en-US" w:eastAsia="zh-CN"/>
        </w:rPr>
        <w:t>788.39</w:t>
      </w:r>
      <w:r>
        <w:rPr>
          <w:rFonts w:hint="eastAsia" w:ascii="仿宋" w:hAnsi="仿宋" w:eastAsia="仿宋"/>
          <w:bCs/>
          <w:color w:val="auto"/>
          <w:sz w:val="32"/>
          <w:szCs w:val="32"/>
        </w:rPr>
        <w:t>万元。与2019年相比，</w:t>
      </w:r>
      <w:r>
        <w:rPr>
          <w:rFonts w:hint="eastAsia" w:ascii="仿宋" w:hAnsi="仿宋" w:eastAsia="仿宋"/>
          <w:bCs/>
          <w:color w:val="auto"/>
          <w:sz w:val="32"/>
          <w:szCs w:val="32"/>
          <w:lang w:val="en-US" w:eastAsia="zh-CN"/>
        </w:rPr>
        <w:t>支出</w:t>
      </w:r>
      <w:r>
        <w:rPr>
          <w:rFonts w:hint="eastAsia" w:ascii="仿宋" w:hAnsi="仿宋" w:eastAsia="仿宋"/>
          <w:bCs/>
          <w:color w:val="auto"/>
          <w:sz w:val="32"/>
          <w:szCs w:val="32"/>
          <w:lang w:val="zh-CN" w:eastAsia="zh-CN"/>
        </w:rPr>
        <w:t>总计增加47.20万元，增长144.32%。主要变动原因是</w:t>
      </w:r>
      <w:r>
        <w:rPr>
          <w:rFonts w:hint="eastAsia" w:ascii="仿宋" w:hAnsi="仿宋" w:eastAsia="仿宋"/>
          <w:bCs/>
          <w:color w:val="auto"/>
          <w:sz w:val="32"/>
          <w:szCs w:val="32"/>
          <w:lang w:val="en-US" w:eastAsia="zh-CN"/>
        </w:rPr>
        <w:t>本年业务量增加，业务及外出增多。</w:t>
      </w:r>
    </w:p>
    <w:p>
      <w:pPr>
        <w:spacing w:line="600" w:lineRule="exact"/>
        <w:ind w:firstLine="640" w:firstLineChars="200"/>
        <w:rPr>
          <w:rFonts w:hint="eastAsia" w:ascii="仿宋" w:hAnsi="仿宋" w:eastAsia="仿宋"/>
          <w:color w:val="000000"/>
          <w:sz w:val="32"/>
          <w:szCs w:val="32"/>
          <w:lang w:eastAsia="zh-CN"/>
        </w:rPr>
      </w:pPr>
      <w:r>
        <w:rPr>
          <w:rFonts w:hint="eastAsia" w:ascii="仿宋_GB2312" w:hAnsi="仿宋" w:eastAsia="仿宋_GB2312"/>
          <w:color w:val="000000" w:themeColor="text1"/>
          <w:sz w:val="32"/>
          <w:szCs w:val="32"/>
          <w14:textFill>
            <w14:solidFill>
              <w14:schemeClr w14:val="tx1"/>
            </w14:solidFill>
          </w14:textFill>
        </w:rPr>
        <w:t>（图1：收、支决算总计变动情况图）（柱状图）</w:t>
      </w:r>
    </w:p>
    <w:p>
      <w:pPr>
        <w:pStyle w:val="21"/>
        <w:rPr>
          <w:rFonts w:hint="eastAsia" w:ascii="仿宋" w:hAnsi="仿宋" w:eastAsia="仿宋"/>
          <w:color w:val="000000"/>
          <w:sz w:val="32"/>
          <w:szCs w:val="32"/>
          <w:lang w:eastAsia="zh-CN"/>
        </w:rPr>
      </w:pPr>
      <w:r>
        <w:drawing>
          <wp:anchor distT="0" distB="0" distL="114300" distR="114300" simplePos="0" relativeHeight="251661312" behindDoc="1" locked="0" layoutInCell="1" allowOverlap="1">
            <wp:simplePos x="0" y="0"/>
            <wp:positionH relativeFrom="column">
              <wp:posOffset>236220</wp:posOffset>
            </wp:positionH>
            <wp:positionV relativeFrom="paragraph">
              <wp:posOffset>44450</wp:posOffset>
            </wp:positionV>
            <wp:extent cx="4704080" cy="2449195"/>
            <wp:effectExtent l="4445" t="5080" r="15875" b="9525"/>
            <wp:wrapNone/>
            <wp:docPr id="12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1"/>
        <w:rPr>
          <w:rFonts w:hint="eastAsia" w:ascii="仿宋" w:hAnsi="仿宋" w:eastAsia="仿宋"/>
          <w:color w:val="000000"/>
          <w:sz w:val="32"/>
          <w:szCs w:val="32"/>
          <w:lang w:eastAsia="zh-CN"/>
        </w:rPr>
      </w:pPr>
    </w:p>
    <w:p>
      <w:pPr>
        <w:pStyle w:val="21"/>
        <w:rPr>
          <w:rFonts w:hint="eastAsia" w:ascii="仿宋" w:hAnsi="仿宋" w:eastAsia="仿宋"/>
          <w:color w:val="000000"/>
          <w:sz w:val="32"/>
          <w:szCs w:val="32"/>
          <w:lang w:eastAsia="zh-CN"/>
        </w:rPr>
      </w:pPr>
    </w:p>
    <w:p>
      <w:pPr>
        <w:pStyle w:val="21"/>
        <w:rPr>
          <w:rFonts w:hint="eastAsia" w:ascii="仿宋" w:hAnsi="仿宋" w:eastAsia="仿宋"/>
          <w:color w:val="000000"/>
          <w:sz w:val="32"/>
          <w:szCs w:val="32"/>
          <w:lang w:eastAsia="zh-CN"/>
        </w:rPr>
      </w:pPr>
    </w:p>
    <w:p>
      <w:pPr>
        <w:pStyle w:val="21"/>
        <w:rPr>
          <w:rFonts w:hint="eastAsia" w:ascii="仿宋" w:hAnsi="仿宋" w:eastAsia="仿宋"/>
          <w:color w:val="000000"/>
          <w:sz w:val="32"/>
          <w:szCs w:val="32"/>
          <w:lang w:eastAsia="zh-CN"/>
        </w:rPr>
      </w:pPr>
    </w:p>
    <w:p>
      <w:pPr>
        <w:pStyle w:val="21"/>
        <w:rPr>
          <w:rFonts w:hint="eastAsia" w:ascii="仿宋" w:hAnsi="仿宋" w:eastAsia="仿宋"/>
          <w:color w:val="000000"/>
          <w:sz w:val="32"/>
          <w:szCs w:val="32"/>
          <w:lang w:val="en-US" w:eastAsia="zh-CN"/>
        </w:rPr>
      </w:pPr>
    </w:p>
    <w:p>
      <w:pPr>
        <w:spacing w:line="60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p>
    <w:p>
      <w:pPr>
        <w:pStyle w:val="21"/>
        <w:rPr>
          <w:rFonts w:hint="eastAsia" w:ascii="仿宋_GB2312" w:eastAsia="仿宋_GB2312"/>
          <w:color w:val="000000"/>
          <w:sz w:val="32"/>
          <w:szCs w:val="32"/>
          <w:lang w:val="en-US" w:eastAsia="zh-CN"/>
        </w:rPr>
      </w:pPr>
      <w:r>
        <w:drawing>
          <wp:anchor distT="0" distB="0" distL="114300" distR="114300" simplePos="0" relativeHeight="251662336" behindDoc="1" locked="0" layoutInCell="1" allowOverlap="1">
            <wp:simplePos x="0" y="0"/>
            <wp:positionH relativeFrom="column">
              <wp:posOffset>248920</wp:posOffset>
            </wp:positionH>
            <wp:positionV relativeFrom="paragraph">
              <wp:posOffset>207010</wp:posOffset>
            </wp:positionV>
            <wp:extent cx="4699635" cy="2214245"/>
            <wp:effectExtent l="4445" t="4445" r="7620" b="16510"/>
            <wp:wrapNone/>
            <wp:docPr id="12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1"/>
        <w:rPr>
          <w:rFonts w:hint="eastAsia" w:ascii="仿宋_GB2312" w:eastAsia="仿宋_GB2312"/>
          <w:color w:val="000000"/>
          <w:sz w:val="32"/>
          <w:szCs w:val="32"/>
          <w:lang w:val="en-US" w:eastAsia="zh-CN"/>
        </w:rPr>
      </w:pPr>
    </w:p>
    <w:p>
      <w:pPr>
        <w:pStyle w:val="21"/>
        <w:rPr>
          <w:rFonts w:hint="eastAsia" w:ascii="仿宋_GB2312" w:eastAsia="仿宋_GB2312"/>
          <w:color w:val="000000"/>
          <w:sz w:val="32"/>
          <w:szCs w:val="32"/>
          <w:lang w:val="en-US" w:eastAsia="zh-CN"/>
        </w:rPr>
      </w:pPr>
    </w:p>
    <w:p>
      <w:pPr>
        <w:pStyle w:val="21"/>
        <w:ind w:left="0" w:leftChars="0" w:firstLine="0" w:firstLineChars="0"/>
        <w:rPr>
          <w:rFonts w:hint="eastAsia" w:ascii="仿宋_GB2312" w:eastAsia="仿宋_GB2312"/>
          <w:color w:val="000000"/>
          <w:sz w:val="32"/>
          <w:szCs w:val="32"/>
          <w:lang w:val="en-US" w:eastAsia="zh-CN"/>
        </w:rPr>
      </w:pPr>
    </w:p>
    <w:p>
      <w:pPr>
        <w:pStyle w:val="21"/>
        <w:ind w:left="0" w:leftChars="0" w:firstLine="0" w:firstLineChars="0"/>
        <w:rPr>
          <w:rFonts w:hint="eastAsia" w:ascii="仿宋_GB2312" w:eastAsia="仿宋_GB2312"/>
          <w:color w:val="000000"/>
          <w:sz w:val="32"/>
          <w:szCs w:val="32"/>
          <w:lang w:val="en-US" w:eastAsia="zh-CN"/>
        </w:rPr>
      </w:pPr>
    </w:p>
    <w:p>
      <w:pPr>
        <w:pStyle w:val="21"/>
        <w:ind w:left="0" w:leftChars="0" w:firstLine="0" w:firstLineChars="0"/>
        <w:rPr>
          <w:rFonts w:hint="eastAsia" w:ascii="仿宋_GB2312" w:eastAsia="仿宋_GB2312"/>
          <w:color w:val="000000"/>
          <w:sz w:val="32"/>
          <w:szCs w:val="32"/>
          <w:lang w:val="en-US" w:eastAsia="zh-CN"/>
        </w:rPr>
      </w:pPr>
    </w:p>
    <w:p>
      <w:pPr>
        <w:pStyle w:val="21"/>
        <w:ind w:left="0" w:leftChars="0" w:firstLine="0" w:firstLineChars="0"/>
        <w:rPr>
          <w:rFonts w:hint="eastAsia" w:ascii="仿宋_GB2312" w:eastAsia="仿宋_GB2312"/>
          <w:color w:val="000000"/>
          <w:sz w:val="32"/>
          <w:szCs w:val="32"/>
          <w:lang w:val="en-US" w:eastAsia="zh-CN"/>
        </w:rPr>
      </w:pPr>
    </w:p>
    <w:p>
      <w:pPr>
        <w:pStyle w:val="37"/>
        <w:numPr>
          <w:ilvl w:val="0"/>
          <w:numId w:val="2"/>
        </w:numPr>
        <w:spacing w:line="600" w:lineRule="exact"/>
        <w:ind w:firstLineChars="0"/>
        <w:outlineLvl w:val="1"/>
        <w:rPr>
          <w:rStyle w:val="27"/>
          <w:rFonts w:ascii="黑体" w:hAnsi="黑体" w:eastAsia="黑体"/>
          <w:b w:val="0"/>
        </w:rPr>
      </w:pPr>
      <w:bookmarkStart w:id="42" w:name="_Toc15396604"/>
      <w:bookmarkStart w:id="43" w:name="_Toc15377206"/>
      <w:bookmarkStart w:id="44" w:name="_Toc79163611"/>
      <w:bookmarkStart w:id="45" w:name="_Toc22783"/>
      <w:r>
        <w:rPr>
          <w:rFonts w:hint="eastAsia" w:ascii="黑体" w:hAnsi="黑体" w:eastAsia="黑体"/>
          <w:color w:val="000000"/>
          <w:sz w:val="32"/>
          <w:szCs w:val="32"/>
        </w:rPr>
        <w:t>收</w:t>
      </w:r>
      <w:r>
        <w:rPr>
          <w:rStyle w:val="27"/>
          <w:rFonts w:hint="eastAsia" w:ascii="黑体" w:hAnsi="黑体" w:eastAsia="黑体"/>
          <w:b w:val="0"/>
        </w:rPr>
        <w:t>入决算情况说明</w:t>
      </w:r>
      <w:bookmarkEnd w:id="42"/>
      <w:bookmarkEnd w:id="43"/>
      <w:bookmarkEnd w:id="44"/>
      <w:bookmarkEnd w:id="45"/>
    </w:p>
    <w:p>
      <w:pPr>
        <w:pStyle w:val="8"/>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2"/>
        <w:rPr>
          <w:rFonts w:hint="eastAsia" w:ascii="仿宋" w:hAnsi="仿宋" w:eastAsia="仿宋"/>
          <w:bCs/>
          <w:color w:val="auto"/>
          <w:sz w:val="32"/>
          <w:szCs w:val="32"/>
        </w:rPr>
      </w:pPr>
      <w:r>
        <w:rPr>
          <w:rFonts w:hint="eastAsia" w:ascii="仿宋" w:hAnsi="仿宋" w:eastAsia="仿宋"/>
          <w:bCs/>
          <w:color w:val="auto"/>
          <w:sz w:val="32"/>
          <w:szCs w:val="32"/>
        </w:rPr>
        <w:t>2020年本年收入合计</w:t>
      </w:r>
      <w:r>
        <w:rPr>
          <w:rFonts w:hint="eastAsia" w:ascii="仿宋" w:hAnsi="仿宋" w:eastAsia="仿宋"/>
          <w:bCs/>
          <w:color w:val="auto"/>
          <w:sz w:val="32"/>
          <w:szCs w:val="32"/>
          <w:lang w:val="en-US" w:eastAsia="zh-CN"/>
        </w:rPr>
        <w:t>812.85</w:t>
      </w:r>
      <w:r>
        <w:rPr>
          <w:rFonts w:hint="eastAsia" w:ascii="仿宋" w:hAnsi="仿宋" w:eastAsia="仿宋"/>
          <w:bCs/>
          <w:color w:val="auto"/>
          <w:sz w:val="32"/>
          <w:szCs w:val="32"/>
        </w:rPr>
        <w:t>万元，其中：一般公共预算财政拨款收入</w:t>
      </w:r>
      <w:r>
        <w:rPr>
          <w:rFonts w:hint="eastAsia" w:ascii="仿宋" w:hAnsi="仿宋" w:eastAsia="仿宋"/>
          <w:bCs/>
          <w:color w:val="auto"/>
          <w:sz w:val="32"/>
          <w:szCs w:val="32"/>
          <w:lang w:val="en-US" w:eastAsia="zh-CN"/>
        </w:rPr>
        <w:t>812.85</w:t>
      </w:r>
      <w:r>
        <w:rPr>
          <w:rFonts w:hint="eastAsia" w:ascii="仿宋" w:hAnsi="仿宋" w:eastAsia="仿宋"/>
          <w:bCs/>
          <w:color w:val="auto"/>
          <w:sz w:val="32"/>
          <w:szCs w:val="32"/>
        </w:rPr>
        <w:t>万元，占</w:t>
      </w:r>
      <w:r>
        <w:rPr>
          <w:rFonts w:hint="eastAsia" w:ascii="仿宋" w:hAnsi="仿宋" w:eastAsia="仿宋"/>
          <w:bCs/>
          <w:color w:val="auto"/>
          <w:sz w:val="32"/>
          <w:szCs w:val="32"/>
          <w:lang w:val="en-US" w:eastAsia="zh-CN"/>
        </w:rPr>
        <w:t>100</w:t>
      </w:r>
      <w:r>
        <w:rPr>
          <w:rFonts w:hint="eastAsia" w:ascii="仿宋" w:hAnsi="仿宋" w:eastAsia="仿宋"/>
          <w:bCs/>
          <w:color w:val="auto"/>
          <w:sz w:val="32"/>
          <w:szCs w:val="32"/>
        </w:rPr>
        <w:t>%；政府性基金预算财</w:t>
      </w:r>
      <w:r>
        <w:rPr>
          <w:rFonts w:hint="eastAsia" w:ascii="仿宋" w:hAnsi="仿宋" w:eastAsia="仿宋"/>
          <w:bCs/>
          <w:color w:val="auto"/>
          <w:sz w:val="32"/>
          <w:szCs w:val="32"/>
          <w:lang w:val="zh-CN" w:eastAsia="zh-CN"/>
        </w:rPr>
        <w:t>政拨款收入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lang w:val="zh-CN" w:eastAsia="zh-CN"/>
        </w:rPr>
        <w:t>万元，</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lang w:val="zh-CN" w:eastAsia="zh-CN"/>
        </w:rPr>
        <w:t>；上级补助收入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lang w:val="zh-CN" w:eastAsia="zh-CN"/>
        </w:rPr>
        <w:t>万元，</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lang w:val="zh-CN" w:eastAsia="zh-CN"/>
        </w:rPr>
        <w:t>；</w:t>
      </w:r>
      <w:r>
        <w:rPr>
          <w:rFonts w:hint="eastAsia" w:ascii="仿宋" w:hAnsi="仿宋" w:eastAsia="仿宋"/>
          <w:bCs/>
          <w:color w:val="auto"/>
          <w:sz w:val="32"/>
          <w:szCs w:val="32"/>
        </w:rPr>
        <w:t>事业收入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rPr>
        <w:t>；经营收入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rPr>
        <w:t>；附属单位上缴收入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rPr>
        <w:t>；其他收入</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占0%</w:t>
      </w:r>
      <w:r>
        <w:rPr>
          <w:rFonts w:hint="eastAsia" w:ascii="仿宋" w:hAnsi="仿宋" w:eastAsia="仿宋"/>
          <w:bCs/>
          <w:color w:val="auto"/>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r>
        <w:drawing>
          <wp:anchor distT="0" distB="0" distL="114300" distR="114300" simplePos="0" relativeHeight="251660288" behindDoc="1" locked="0" layoutInCell="1" allowOverlap="1">
            <wp:simplePos x="0" y="0"/>
            <wp:positionH relativeFrom="column">
              <wp:posOffset>243205</wp:posOffset>
            </wp:positionH>
            <wp:positionV relativeFrom="paragraph">
              <wp:posOffset>-619125</wp:posOffset>
            </wp:positionV>
            <wp:extent cx="5271770" cy="2697480"/>
            <wp:effectExtent l="4445" t="4445" r="6985" b="15875"/>
            <wp:wrapNone/>
            <wp:docPr id="114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37"/>
        <w:numPr>
          <w:ilvl w:val="0"/>
          <w:numId w:val="2"/>
        </w:numPr>
        <w:spacing w:line="600" w:lineRule="exact"/>
        <w:ind w:firstLineChars="0"/>
        <w:outlineLvl w:val="1"/>
        <w:rPr>
          <w:rStyle w:val="27"/>
          <w:rFonts w:ascii="黑体" w:hAnsi="黑体" w:eastAsia="黑体"/>
          <w:b w:val="0"/>
        </w:rPr>
      </w:pPr>
      <w:bookmarkStart w:id="46" w:name="_Toc30618"/>
      <w:bookmarkStart w:id="47" w:name="_Toc79163612"/>
      <w:bookmarkStart w:id="48" w:name="_Toc15396605"/>
      <w:bookmarkStart w:id="4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46"/>
      <w:bookmarkEnd w:id="47"/>
      <w:bookmarkEnd w:id="48"/>
      <w:bookmarkEnd w:id="49"/>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 w:hAnsi="仿宋" w:eastAsia="仿宋"/>
          <w:color w:val="000000"/>
          <w:sz w:val="32"/>
          <w:szCs w:val="32"/>
          <w:lang w:val="en-US" w:eastAsia="zh-CN"/>
        </w:rPr>
        <w:t>788.39</w:t>
      </w:r>
      <w:r>
        <w:rPr>
          <w:rFonts w:hint="eastAsia" w:ascii="仿宋_GB2312" w:eastAsia="仿宋_GB2312"/>
          <w:sz w:val="32"/>
          <w:szCs w:val="32"/>
        </w:rPr>
        <w:t>万元，其中：基本支出214.22万元，占</w:t>
      </w:r>
      <w:r>
        <w:rPr>
          <w:rFonts w:hint="eastAsia" w:ascii="仿宋_GB2312" w:hAnsi="仿宋"/>
          <w:color w:val="auto"/>
          <w:sz w:val="32"/>
          <w:szCs w:val="32"/>
          <w:lang w:val="en-US" w:eastAsia="zh-CN"/>
        </w:rPr>
        <w:t>27.18</w:t>
      </w:r>
      <w:r>
        <w:rPr>
          <w:rFonts w:ascii="仿宋_GB2312" w:eastAsia="仿宋_GB2312"/>
          <w:sz w:val="32"/>
          <w:szCs w:val="32"/>
        </w:rPr>
        <w:t>%</w:t>
      </w:r>
      <w:r>
        <w:rPr>
          <w:rFonts w:hint="eastAsia" w:ascii="仿宋_GB2312" w:eastAsia="仿宋_GB2312"/>
          <w:sz w:val="32"/>
          <w:szCs w:val="32"/>
        </w:rPr>
        <w:t>；项目支出574.17万元，占</w:t>
      </w:r>
      <w:r>
        <w:rPr>
          <w:rFonts w:hint="eastAsia" w:ascii="仿宋_GB2312" w:eastAsia="仿宋_GB2312"/>
          <w:sz w:val="32"/>
          <w:szCs w:val="32"/>
          <w:lang w:val="en-US" w:eastAsia="zh-CN"/>
        </w:rPr>
        <w:t>72.82</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占0%</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占0%</w:t>
      </w:r>
      <w:r>
        <w:rPr>
          <w:rFonts w:hint="eastAsia" w:ascii="仿宋_GB2312" w:eastAsia="仿宋_GB2312"/>
          <w:sz w:val="32"/>
          <w:szCs w:val="32"/>
        </w:rPr>
        <w:t>。</w:t>
      </w:r>
    </w:p>
    <w:p>
      <w:pPr>
        <w:pStyle w:val="21"/>
        <w:rPr>
          <w:rFonts w:ascii="仿宋_GB2312" w:eastAsia="仿宋_GB2312"/>
          <w:color w:val="FF0000"/>
          <w:sz w:val="32"/>
          <w:szCs w:val="32"/>
        </w:rPr>
      </w:pPr>
      <w:r>
        <w:drawing>
          <wp:anchor distT="0" distB="0" distL="114300" distR="114300" simplePos="0" relativeHeight="251663360" behindDoc="1" locked="0" layoutInCell="1" allowOverlap="1">
            <wp:simplePos x="0" y="0"/>
            <wp:positionH relativeFrom="column">
              <wp:posOffset>523240</wp:posOffset>
            </wp:positionH>
            <wp:positionV relativeFrom="paragraph">
              <wp:posOffset>58420</wp:posOffset>
            </wp:positionV>
            <wp:extent cx="4140200" cy="2331720"/>
            <wp:effectExtent l="4445" t="5080" r="8255" b="12700"/>
            <wp:wrapNone/>
            <wp:docPr id="122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pStyle w:val="21"/>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pStyle w:val="21"/>
        <w:rPr>
          <w:rFonts w:ascii="仿宋_GB2312" w:eastAsia="仿宋_GB2312"/>
          <w:color w:val="FF0000"/>
          <w:sz w:val="32"/>
          <w:szCs w:val="32"/>
        </w:rPr>
      </w:pPr>
    </w:p>
    <w:p>
      <w:pPr>
        <w:spacing w:line="600" w:lineRule="exact"/>
        <w:ind w:firstLine="640" w:firstLineChars="200"/>
        <w:outlineLvl w:val="1"/>
        <w:rPr>
          <w:rStyle w:val="27"/>
          <w:rFonts w:ascii="黑体" w:hAnsi="黑体" w:eastAsia="黑体"/>
          <w:b w:val="0"/>
        </w:rPr>
      </w:pPr>
      <w:bookmarkStart w:id="50" w:name="_Toc79163613"/>
      <w:bookmarkStart w:id="51" w:name="_Toc15377208"/>
      <w:bookmarkStart w:id="52" w:name="_Toc15396606"/>
      <w:bookmarkStart w:id="53" w:name="_Toc5455"/>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50"/>
      <w:bookmarkEnd w:id="51"/>
      <w:bookmarkEnd w:id="52"/>
      <w:bookmarkEnd w:id="53"/>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812.85</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减少114.15</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下降12.31</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本年业务量增加</w:t>
      </w:r>
      <w:r>
        <w:rPr>
          <w:rFonts w:hint="eastAsia" w:ascii="仿宋" w:hAnsi="仿宋" w:eastAsia="仿宋"/>
          <w:color w:val="000000"/>
          <w:sz w:val="32"/>
          <w:szCs w:val="32"/>
          <w:lang w:eastAsia="zh-CN"/>
        </w:rPr>
        <w:t>。</w:t>
      </w:r>
    </w:p>
    <w:p>
      <w:pPr>
        <w:pStyle w:val="21"/>
        <w:rPr>
          <w:rFonts w:hint="eastAsia" w:eastAsia="仿宋"/>
          <w:lang w:eastAsia="zh-CN"/>
        </w:rPr>
      </w:pPr>
      <w:r>
        <w:rPr>
          <w:rFonts w:ascii="仿宋" w:hAnsi="仿宋" w:eastAsia="仿宋"/>
          <w:color w:val="000000"/>
          <w:sz w:val="32"/>
          <w:szCs w:val="32"/>
        </w:rPr>
        <w:t>2020</w:t>
      </w:r>
      <w:r>
        <w:rPr>
          <w:rFonts w:hint="eastAsia" w:ascii="仿宋" w:hAnsi="仿宋" w:eastAsia="仿宋"/>
          <w:color w:val="000000"/>
          <w:sz w:val="32"/>
          <w:szCs w:val="32"/>
        </w:rPr>
        <w:t>年财政拨款</w:t>
      </w:r>
      <w:r>
        <w:rPr>
          <w:rFonts w:hint="eastAsia" w:ascii="仿宋" w:hAnsi="仿宋" w:eastAsia="仿宋"/>
          <w:color w:val="000000"/>
          <w:sz w:val="32"/>
          <w:szCs w:val="32"/>
          <w:lang w:val="en-US"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788.39</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w:t>
      </w:r>
      <w:r>
        <w:rPr>
          <w:rFonts w:hint="eastAsia" w:ascii="仿宋" w:hAnsi="仿宋" w:eastAsia="仿宋"/>
          <w:color w:val="000000"/>
          <w:sz w:val="32"/>
          <w:szCs w:val="32"/>
          <w:lang w:val="en-US" w:eastAsia="zh-CN"/>
        </w:rPr>
        <w:t>支出</w:t>
      </w:r>
      <w:r>
        <w:rPr>
          <w:rFonts w:hint="eastAsia" w:ascii="仿宋" w:hAnsi="仿宋" w:eastAsia="仿宋"/>
          <w:color w:val="000000"/>
          <w:sz w:val="32"/>
          <w:szCs w:val="32"/>
        </w:rPr>
        <w:t>总计增加47.20万元，增长144.32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本年业务量增加，业务及外出增多。</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r>
        <w:drawing>
          <wp:anchor distT="0" distB="0" distL="114300" distR="114300" simplePos="0" relativeHeight="251664384" behindDoc="1" locked="0" layoutInCell="1" allowOverlap="1">
            <wp:simplePos x="0" y="0"/>
            <wp:positionH relativeFrom="column">
              <wp:posOffset>372110</wp:posOffset>
            </wp:positionH>
            <wp:positionV relativeFrom="paragraph">
              <wp:posOffset>183515</wp:posOffset>
            </wp:positionV>
            <wp:extent cx="4560570" cy="2383155"/>
            <wp:effectExtent l="4445" t="4445" r="6985" b="12700"/>
            <wp:wrapNone/>
            <wp:docPr id="122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1"/>
        <w:rPr>
          <w:rFonts w:ascii="仿宋" w:hAnsi="仿宋" w:eastAsia="仿宋"/>
          <w:b/>
          <w:color w:val="00B050"/>
          <w:sz w:val="32"/>
          <w:szCs w:val="32"/>
        </w:rPr>
      </w:pPr>
    </w:p>
    <w:p>
      <w:pPr>
        <w:pStyle w:val="21"/>
        <w:rPr>
          <w:rFonts w:ascii="仿宋" w:hAnsi="仿宋" w:eastAsia="仿宋"/>
          <w:b/>
          <w:color w:val="00B050"/>
          <w:sz w:val="32"/>
          <w:szCs w:val="32"/>
        </w:rPr>
      </w:pPr>
    </w:p>
    <w:p>
      <w:pPr>
        <w:pStyle w:val="21"/>
        <w:rPr>
          <w:rFonts w:ascii="仿宋" w:hAnsi="仿宋" w:eastAsia="仿宋"/>
          <w:b/>
          <w:color w:val="00B050"/>
          <w:sz w:val="32"/>
          <w:szCs w:val="32"/>
        </w:rPr>
      </w:pPr>
    </w:p>
    <w:p>
      <w:pPr>
        <w:pStyle w:val="21"/>
        <w:rPr>
          <w:rFonts w:ascii="仿宋" w:hAnsi="仿宋" w:eastAsia="仿宋"/>
          <w:b/>
          <w:color w:val="00B050"/>
          <w:sz w:val="32"/>
          <w:szCs w:val="32"/>
        </w:rPr>
      </w:pPr>
    </w:p>
    <w:p>
      <w:pPr>
        <w:pStyle w:val="21"/>
        <w:rPr>
          <w:rFonts w:ascii="仿宋" w:hAnsi="仿宋" w:eastAsia="仿宋"/>
          <w:b/>
          <w:color w:val="00B050"/>
          <w:sz w:val="32"/>
          <w:szCs w:val="32"/>
        </w:rPr>
      </w:pPr>
    </w:p>
    <w:p>
      <w:pPr>
        <w:pStyle w:val="21"/>
        <w:rPr>
          <w:rFonts w:ascii="仿宋" w:hAnsi="仿宋" w:eastAsia="仿宋"/>
          <w:b/>
          <w:color w:val="00B050"/>
          <w:sz w:val="32"/>
          <w:szCs w:val="32"/>
        </w:rPr>
      </w:pPr>
    </w:p>
    <w:p>
      <w:pPr>
        <w:pStyle w:val="21"/>
        <w:ind w:left="0" w:leftChars="0" w:firstLine="0" w:firstLineChars="0"/>
        <w:rPr>
          <w:rFonts w:hint="eastAsia" w:ascii="黑体" w:hAnsi="黑体" w:eastAsia="黑体"/>
          <w:color w:val="000000"/>
          <w:sz w:val="32"/>
          <w:szCs w:val="32"/>
        </w:rPr>
      </w:pPr>
      <w:bookmarkStart w:id="54" w:name="_Toc15396607"/>
      <w:bookmarkStart w:id="55" w:name="_Toc79163614"/>
      <w:bookmarkStart w:id="56" w:name="_Toc9806"/>
      <w:bookmarkStart w:id="57" w:name="_Toc15377209"/>
    </w:p>
    <w:p>
      <w:pPr>
        <w:spacing w:line="600" w:lineRule="exact"/>
        <w:outlineLvl w:val="9"/>
        <w:rPr>
          <w:rFonts w:hint="eastAsia" w:ascii="黑体" w:hAnsi="黑体" w:eastAsia="黑体"/>
          <w:color w:val="000000"/>
          <w:sz w:val="32"/>
          <w:szCs w:val="32"/>
        </w:rPr>
      </w:pPr>
    </w:p>
    <w:p>
      <w:pPr>
        <w:spacing w:line="600" w:lineRule="exact"/>
        <w:outlineLvl w:val="9"/>
        <w:rPr>
          <w:rFonts w:hint="eastAsia" w:ascii="黑体" w:hAnsi="黑体" w:eastAsia="黑体"/>
          <w:color w:val="000000"/>
          <w:sz w:val="32"/>
          <w:szCs w:val="32"/>
        </w:rPr>
      </w:pPr>
      <w:r>
        <w:drawing>
          <wp:anchor distT="0" distB="0" distL="114300" distR="114300" simplePos="0" relativeHeight="251665408" behindDoc="1" locked="0" layoutInCell="1" allowOverlap="1">
            <wp:simplePos x="0" y="0"/>
            <wp:positionH relativeFrom="column">
              <wp:posOffset>333375</wp:posOffset>
            </wp:positionH>
            <wp:positionV relativeFrom="paragraph">
              <wp:posOffset>-38735</wp:posOffset>
            </wp:positionV>
            <wp:extent cx="4657725" cy="2242820"/>
            <wp:effectExtent l="4445" t="5080" r="11430" b="12700"/>
            <wp:wrapNone/>
            <wp:docPr id="122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outlineLvl w:val="9"/>
        <w:rPr>
          <w:rFonts w:hint="eastAsia" w:ascii="黑体" w:hAnsi="黑体" w:eastAsia="黑体"/>
          <w:color w:val="000000"/>
          <w:sz w:val="32"/>
          <w:szCs w:val="32"/>
        </w:rPr>
      </w:pPr>
    </w:p>
    <w:p>
      <w:pPr>
        <w:spacing w:line="600" w:lineRule="exact"/>
        <w:ind w:firstLine="640" w:firstLineChars="200"/>
        <w:outlineLvl w:val="9"/>
        <w:rPr>
          <w:rFonts w:hint="eastAsia" w:ascii="黑体" w:hAnsi="黑体" w:eastAsia="黑体"/>
          <w:color w:val="000000"/>
          <w:sz w:val="32"/>
          <w:szCs w:val="32"/>
        </w:rPr>
      </w:pPr>
    </w:p>
    <w:p>
      <w:pPr>
        <w:pStyle w:val="21"/>
        <w:rPr>
          <w:rFonts w:hint="eastAsia" w:ascii="黑体" w:hAnsi="黑体" w:eastAsia="黑体"/>
          <w:color w:val="000000"/>
          <w:sz w:val="32"/>
          <w:szCs w:val="32"/>
        </w:rPr>
      </w:pPr>
    </w:p>
    <w:p>
      <w:pPr>
        <w:pStyle w:val="21"/>
        <w:rPr>
          <w:rFonts w:hint="eastAsia" w:ascii="黑体" w:hAnsi="黑体" w:eastAsia="黑体"/>
          <w:color w:val="000000"/>
          <w:sz w:val="32"/>
          <w:szCs w:val="32"/>
        </w:rPr>
      </w:pPr>
    </w:p>
    <w:p>
      <w:pPr>
        <w:pStyle w:val="21"/>
        <w:rPr>
          <w:rFonts w:hint="eastAsia" w:ascii="黑体" w:hAnsi="黑体" w:eastAsia="黑体"/>
          <w:color w:val="000000"/>
          <w:sz w:val="32"/>
          <w:szCs w:val="32"/>
        </w:rPr>
      </w:pPr>
    </w:p>
    <w:p>
      <w:pPr>
        <w:pStyle w:val="21"/>
        <w:rPr>
          <w:rFonts w:hint="eastAsia" w:ascii="黑体" w:hAnsi="黑体" w:eastAsia="黑体"/>
          <w:color w:val="000000"/>
          <w:sz w:val="32"/>
          <w:szCs w:val="32"/>
        </w:rPr>
      </w:pPr>
    </w:p>
    <w:p>
      <w:pPr>
        <w:pStyle w:val="21"/>
        <w:rPr>
          <w:rFonts w:hint="eastAsia" w:ascii="黑体" w:hAnsi="黑体" w:eastAsia="黑体"/>
          <w:color w:val="000000"/>
          <w:sz w:val="32"/>
          <w:szCs w:val="32"/>
        </w:rPr>
      </w:pPr>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54"/>
      <w:bookmarkEnd w:id="55"/>
      <w:bookmarkEnd w:id="56"/>
      <w:bookmarkEnd w:id="57"/>
    </w:p>
    <w:p>
      <w:pPr>
        <w:spacing w:line="600" w:lineRule="exact"/>
        <w:ind w:firstLine="643" w:firstLineChars="200"/>
        <w:outlineLvl w:val="2"/>
        <w:rPr>
          <w:rFonts w:ascii="仿宋" w:hAnsi="仿宋" w:eastAsia="仿宋"/>
          <w:b/>
          <w:color w:val="000000"/>
          <w:sz w:val="32"/>
          <w:szCs w:val="32"/>
        </w:rPr>
      </w:pPr>
      <w:bookmarkStart w:id="58" w:name="_Toc79163615"/>
      <w:bookmarkStart w:id="59" w:name="_Toc15377210"/>
      <w:bookmarkStart w:id="60" w:name="_Toc28903"/>
      <w:r>
        <w:rPr>
          <w:rFonts w:hint="eastAsia" w:ascii="仿宋" w:hAnsi="仿宋" w:eastAsia="仿宋"/>
          <w:b/>
          <w:color w:val="000000"/>
          <w:sz w:val="32"/>
          <w:szCs w:val="32"/>
        </w:rPr>
        <w:t>（一）一般公共预算财政拨款支出决算总体情况</w:t>
      </w:r>
      <w:bookmarkEnd w:id="58"/>
      <w:bookmarkEnd w:id="59"/>
      <w:bookmarkEnd w:id="60"/>
    </w:p>
    <w:p>
      <w:pPr>
        <w:pStyle w:val="21"/>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788.39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支出</w:t>
      </w:r>
      <w:r>
        <w:rPr>
          <w:rFonts w:hint="eastAsia" w:ascii="仿宋" w:hAnsi="仿宋" w:eastAsia="仿宋"/>
          <w:color w:val="000000"/>
          <w:sz w:val="32"/>
          <w:szCs w:val="32"/>
        </w:rPr>
        <w:t>增加47.20万元，增长144.32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本年业务量增加，业务及外出增多。</w:t>
      </w:r>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r>
        <w:rPr>
          <w:rFonts w:hint="eastAsia" w:ascii="仿宋" w:hAnsi="仿宋" w:eastAsia="仿宋"/>
          <w:color w:val="000000"/>
          <w:sz w:val="32"/>
          <w:szCs w:val="32"/>
          <w:lang w:val="en-US" w:eastAsia="zh-CN"/>
        </w:rPr>
        <w:tab/>
      </w:r>
      <w:r>
        <w:rPr>
          <w:rFonts w:hint="eastAsia" w:ascii="仿宋" w:hAnsi="仿宋" w:eastAsia="仿宋"/>
          <w:color w:val="000000"/>
          <w:sz w:val="32"/>
          <w:szCs w:val="32"/>
          <w:lang w:val="en-US" w:eastAsia="zh-CN"/>
        </w:rPr>
        <w:tab/>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6432" behindDoc="1" locked="0" layoutInCell="1" allowOverlap="1">
            <wp:simplePos x="0" y="0"/>
            <wp:positionH relativeFrom="column">
              <wp:posOffset>399415</wp:posOffset>
            </wp:positionH>
            <wp:positionV relativeFrom="paragraph">
              <wp:posOffset>245110</wp:posOffset>
            </wp:positionV>
            <wp:extent cx="4751070" cy="2458720"/>
            <wp:effectExtent l="4445" t="4445" r="6985" b="13335"/>
            <wp:wrapNone/>
            <wp:docPr id="122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ind w:left="0" w:leftChars="0" w:firstLine="0" w:firstLineChars="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1" w:name="_Toc79163616"/>
      <w:bookmarkStart w:id="62" w:name="_Toc9357"/>
      <w:bookmarkStart w:id="63" w:name="_Toc15377211"/>
      <w:r>
        <w:rPr>
          <w:rFonts w:hint="eastAsia" w:ascii="仿宋" w:hAnsi="仿宋" w:eastAsia="仿宋"/>
          <w:b/>
          <w:color w:val="000000"/>
          <w:sz w:val="32"/>
          <w:szCs w:val="32"/>
        </w:rPr>
        <w:t>（二）一般公共预算财政拨款支出决算结构情况</w:t>
      </w:r>
      <w:bookmarkEnd w:id="61"/>
      <w:bookmarkEnd w:id="62"/>
      <w:bookmarkEnd w:id="63"/>
    </w:p>
    <w:p>
      <w:pPr>
        <w:spacing w:line="600" w:lineRule="exact"/>
        <w:ind w:firstLine="640"/>
        <w:rPr>
          <w:rFonts w:hint="default" w:ascii="仿宋" w:hAnsi="仿宋" w:eastAsia="仿宋" w:cs="Times New Roman"/>
          <w:color w:val="000000"/>
          <w:sz w:val="32"/>
          <w:szCs w:val="32"/>
          <w:lang w:val="en-US" w:eastAsia="zh-CN"/>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w:t>
      </w:r>
      <w:r>
        <w:rPr>
          <w:rFonts w:hint="eastAsia" w:ascii="仿宋" w:hAnsi="仿宋" w:eastAsia="仿宋" w:cs="Times New Roman"/>
          <w:color w:val="000000"/>
          <w:sz w:val="32"/>
          <w:szCs w:val="32"/>
        </w:rPr>
        <w:t>出</w:t>
      </w:r>
      <w:r>
        <w:rPr>
          <w:rFonts w:hint="eastAsia" w:ascii="仿宋" w:hAnsi="仿宋" w:eastAsia="仿宋"/>
          <w:color w:val="000000"/>
          <w:sz w:val="32"/>
          <w:szCs w:val="32"/>
          <w:lang w:val="en-US" w:eastAsia="zh-CN"/>
        </w:rPr>
        <w:t>788.39</w:t>
      </w:r>
      <w:r>
        <w:rPr>
          <w:rFonts w:hint="eastAsia" w:ascii="仿宋" w:hAnsi="仿宋" w:eastAsia="仿宋" w:cs="Times New Roman"/>
          <w:color w:val="000000"/>
          <w:sz w:val="32"/>
          <w:szCs w:val="32"/>
        </w:rPr>
        <w:t>万元，主要用于以下方面</w:t>
      </w:r>
      <w:r>
        <w:rPr>
          <w:rFonts w:hint="eastAsia" w:ascii="仿宋" w:hAnsi="仿宋" w:eastAsia="仿宋" w:cs="Times New Roman"/>
          <w:color w:val="000000"/>
          <w:sz w:val="32"/>
          <w:szCs w:val="32"/>
          <w:lang w:eastAsia="zh-CN"/>
        </w:rPr>
        <w:t>：</w:t>
      </w:r>
      <w:r>
        <w:rPr>
          <w:rFonts w:hint="eastAsia" w:ascii="仿宋" w:hAnsi="仿宋" w:eastAsia="仿宋"/>
          <w:b/>
          <w:color w:val="000000"/>
          <w:sz w:val="32"/>
          <w:szCs w:val="32"/>
          <w:lang w:val="en-US" w:eastAsia="zh-CN"/>
        </w:rPr>
        <w:t>一般公共服务支出（类）</w:t>
      </w:r>
      <w:r>
        <w:rPr>
          <w:rFonts w:hint="eastAsia" w:ascii="仿宋" w:hAnsi="仿宋" w:eastAsia="仿宋" w:cs="Times New Roman"/>
          <w:color w:val="000000"/>
          <w:sz w:val="32"/>
          <w:szCs w:val="32"/>
          <w:lang w:val="en-US" w:eastAsia="zh-CN"/>
        </w:rPr>
        <w:t>支出30.00万元，占比3.81%；</w:t>
      </w:r>
      <w:r>
        <w:rPr>
          <w:rFonts w:hint="eastAsia" w:ascii="仿宋" w:hAnsi="仿宋" w:eastAsia="仿宋"/>
          <w:b/>
          <w:color w:val="000000"/>
          <w:sz w:val="32"/>
          <w:szCs w:val="32"/>
          <w:lang w:val="en-US" w:eastAsia="zh-CN"/>
        </w:rPr>
        <w:t>社会保障和就业支出（类）</w:t>
      </w:r>
      <w:r>
        <w:rPr>
          <w:rFonts w:hint="eastAsia" w:ascii="仿宋" w:hAnsi="仿宋" w:eastAsia="仿宋" w:cs="Times New Roman"/>
          <w:color w:val="000000"/>
          <w:sz w:val="32"/>
          <w:szCs w:val="32"/>
          <w:lang w:val="en-US" w:eastAsia="zh-CN"/>
        </w:rPr>
        <w:t>支出29.09万元，占比3.69%；</w:t>
      </w:r>
      <w:r>
        <w:rPr>
          <w:rFonts w:hint="eastAsia" w:ascii="仿宋" w:hAnsi="仿宋" w:eastAsia="仿宋"/>
          <w:b/>
          <w:color w:val="000000"/>
          <w:sz w:val="32"/>
          <w:szCs w:val="32"/>
          <w:lang w:val="en-US" w:eastAsia="zh-CN"/>
        </w:rPr>
        <w:t>卫生健康支出（类）</w:t>
      </w:r>
      <w:r>
        <w:rPr>
          <w:rFonts w:hint="eastAsia" w:ascii="仿宋" w:hAnsi="仿宋" w:eastAsia="仿宋" w:cs="Times New Roman"/>
          <w:color w:val="000000"/>
          <w:sz w:val="32"/>
          <w:szCs w:val="32"/>
          <w:lang w:val="en-US" w:eastAsia="zh-CN"/>
        </w:rPr>
        <w:t>支出11.16万元，占比1.42%；</w:t>
      </w:r>
      <w:r>
        <w:rPr>
          <w:rFonts w:hint="eastAsia" w:ascii="仿宋" w:hAnsi="仿宋" w:eastAsia="仿宋"/>
          <w:b/>
          <w:color w:val="000000"/>
          <w:sz w:val="32"/>
          <w:szCs w:val="32"/>
          <w:lang w:val="en-US" w:eastAsia="zh-CN"/>
        </w:rPr>
        <w:t>农林水支出（类）</w:t>
      </w:r>
      <w:r>
        <w:rPr>
          <w:rFonts w:hint="eastAsia" w:ascii="仿宋" w:hAnsi="仿宋" w:eastAsia="仿宋" w:cs="Times New Roman"/>
          <w:color w:val="000000"/>
          <w:sz w:val="32"/>
          <w:szCs w:val="32"/>
          <w:lang w:val="en-US" w:eastAsia="zh-CN"/>
        </w:rPr>
        <w:t>支出1.00万元，占比0.13%；</w:t>
      </w:r>
      <w:r>
        <w:rPr>
          <w:rFonts w:hint="eastAsia" w:ascii="仿宋" w:hAnsi="仿宋" w:eastAsia="仿宋"/>
          <w:b/>
          <w:color w:val="000000"/>
          <w:sz w:val="32"/>
          <w:szCs w:val="32"/>
          <w:lang w:val="en-US" w:eastAsia="zh-CN"/>
        </w:rPr>
        <w:t>资源勘探工业信息等支出（类）</w:t>
      </w:r>
      <w:r>
        <w:rPr>
          <w:rFonts w:hint="eastAsia" w:ascii="仿宋" w:hAnsi="仿宋" w:eastAsia="仿宋" w:cs="Times New Roman"/>
          <w:color w:val="000000"/>
          <w:sz w:val="32"/>
          <w:szCs w:val="32"/>
          <w:lang w:val="en-US" w:eastAsia="zh-CN"/>
        </w:rPr>
        <w:t>支出40.77万元，占比5.17%；</w:t>
      </w:r>
      <w:r>
        <w:rPr>
          <w:rFonts w:hint="eastAsia" w:ascii="仿宋" w:hAnsi="仿宋" w:eastAsia="仿宋"/>
          <w:b/>
          <w:color w:val="000000"/>
          <w:sz w:val="32"/>
          <w:szCs w:val="32"/>
          <w:lang w:val="en-US" w:eastAsia="zh-CN"/>
        </w:rPr>
        <w:t>商业服务业等支出（类）</w:t>
      </w:r>
      <w:r>
        <w:rPr>
          <w:rFonts w:hint="eastAsia" w:ascii="仿宋" w:hAnsi="仿宋" w:eastAsia="仿宋" w:cs="Times New Roman"/>
          <w:color w:val="000000"/>
          <w:sz w:val="32"/>
          <w:szCs w:val="32"/>
          <w:lang w:val="en-US" w:eastAsia="zh-CN"/>
        </w:rPr>
        <w:t>支出660.25万元，占比83.75%；</w:t>
      </w:r>
      <w:r>
        <w:rPr>
          <w:rFonts w:hint="eastAsia" w:ascii="仿宋" w:hAnsi="仿宋" w:eastAsia="仿宋"/>
          <w:b/>
          <w:color w:val="000000"/>
          <w:sz w:val="32"/>
          <w:szCs w:val="32"/>
          <w:lang w:val="en-US" w:eastAsia="zh-CN"/>
        </w:rPr>
        <w:t>住房保障支出（类）</w:t>
      </w:r>
      <w:r>
        <w:rPr>
          <w:rFonts w:hint="eastAsia" w:ascii="仿宋" w:hAnsi="仿宋" w:eastAsia="仿宋" w:cs="Times New Roman"/>
          <w:color w:val="000000"/>
          <w:sz w:val="32"/>
          <w:szCs w:val="32"/>
          <w:lang w:val="en-US" w:eastAsia="zh-CN"/>
        </w:rPr>
        <w:t>支出16.13万元，占比2.05%。</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p>
    <w:p>
      <w:pPr>
        <w:pStyle w:val="21"/>
        <w:rPr>
          <w:rFonts w:ascii="仿宋" w:hAnsi="仿宋" w:eastAsia="仿宋"/>
          <w:color w:val="000000"/>
          <w:sz w:val="32"/>
          <w:szCs w:val="32"/>
        </w:rPr>
      </w:pPr>
      <w:r>
        <w:drawing>
          <wp:anchor distT="0" distB="0" distL="114300" distR="114300" simplePos="0" relativeHeight="251667456" behindDoc="1" locked="0" layoutInCell="1" allowOverlap="1">
            <wp:simplePos x="0" y="0"/>
            <wp:positionH relativeFrom="column">
              <wp:posOffset>410845</wp:posOffset>
            </wp:positionH>
            <wp:positionV relativeFrom="paragraph">
              <wp:posOffset>-2477135</wp:posOffset>
            </wp:positionV>
            <wp:extent cx="4568825" cy="2743200"/>
            <wp:effectExtent l="4445" t="4445" r="11430" b="825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2"/>
        <w:rPr>
          <w:rFonts w:ascii="仿宋" w:hAnsi="仿宋" w:eastAsia="仿宋"/>
          <w:b/>
          <w:color w:val="000000"/>
          <w:sz w:val="32"/>
          <w:szCs w:val="32"/>
        </w:rPr>
      </w:pPr>
      <w:bookmarkStart w:id="64" w:name="_Toc27321"/>
      <w:bookmarkStart w:id="65" w:name="_Toc79163617"/>
      <w:bookmarkStart w:id="66" w:name="_Toc15377212"/>
      <w:r>
        <w:rPr>
          <w:rFonts w:hint="eastAsia" w:ascii="仿宋" w:hAnsi="仿宋" w:eastAsia="仿宋"/>
          <w:b/>
          <w:color w:val="000000"/>
          <w:sz w:val="32"/>
          <w:szCs w:val="32"/>
        </w:rPr>
        <w:t>（三）一般公共预算财政拨款支出决算具体情况</w:t>
      </w:r>
      <w:bookmarkEnd w:id="64"/>
      <w:bookmarkEnd w:id="65"/>
      <w:bookmarkEnd w:id="66"/>
    </w:p>
    <w:p>
      <w:pPr>
        <w:spacing w:line="600" w:lineRule="exact"/>
        <w:ind w:firstLine="643" w:firstLineChars="200"/>
        <w:rPr>
          <w:rFonts w:hint="eastAsia" w:ascii="仿宋" w:hAnsi="仿宋" w:eastAsia="仿宋" w:cs="Times New Roman"/>
          <w:b/>
          <w:color w:val="000000"/>
          <w:sz w:val="32"/>
          <w:szCs w:val="32"/>
          <w:lang w:val="en-US" w:eastAsia="zh-CN"/>
        </w:rPr>
      </w:pPr>
      <w:bookmarkStart w:id="67" w:name="_Toc15377444"/>
      <w:bookmarkStart w:id="68" w:name="_Toc15377213"/>
      <w:bookmarkStart w:id="69" w:name="_Toc15378460"/>
      <w:r>
        <w:rPr>
          <w:rFonts w:hint="eastAsia" w:ascii="仿宋" w:hAnsi="仿宋" w:eastAsia="仿宋" w:cs="Times New Roman"/>
          <w:b/>
          <w:color w:val="000000"/>
          <w:sz w:val="32"/>
          <w:szCs w:val="32"/>
          <w:lang w:val="en-US" w:eastAsia="zh-CN"/>
        </w:rPr>
        <w:t>2020年一般公共预算支出决算数为</w:t>
      </w:r>
      <w:r>
        <w:rPr>
          <w:rFonts w:hint="eastAsia" w:ascii="仿宋" w:hAnsi="仿宋" w:eastAsia="仿宋"/>
          <w:b/>
          <w:bCs/>
          <w:color w:val="000000"/>
          <w:sz w:val="32"/>
          <w:szCs w:val="32"/>
          <w:lang w:val="en-US" w:eastAsia="zh-CN"/>
        </w:rPr>
        <w:t>788.39</w:t>
      </w:r>
      <w:r>
        <w:rPr>
          <w:rFonts w:hint="eastAsia" w:ascii="仿宋" w:hAnsi="仿宋" w:eastAsia="仿宋" w:cs="Times New Roman"/>
          <w:b/>
          <w:color w:val="000000"/>
          <w:sz w:val="32"/>
          <w:szCs w:val="32"/>
          <w:lang w:val="en-US" w:eastAsia="zh-CN"/>
        </w:rPr>
        <w:t>万元，完成预算60.99%。其中：</w:t>
      </w:r>
      <w:bookmarkEnd w:id="67"/>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24"/>
          <w:rFonts w:hint="eastAsia" w:ascii="仿宋" w:hAnsi="仿宋" w:eastAsia="仿宋" w:cs="仿宋"/>
          <w:b w:val="0"/>
          <w:bCs/>
          <w:color w:val="000000"/>
          <w:sz w:val="32"/>
          <w:szCs w:val="32"/>
          <w:lang w:eastAsia="zh-CN"/>
        </w:rPr>
      </w:pPr>
      <w:r>
        <w:rPr>
          <w:rStyle w:val="24"/>
          <w:rFonts w:hint="eastAsia" w:ascii="仿宋" w:hAnsi="仿宋" w:eastAsia="仿宋" w:cs="仿宋"/>
          <w:bCs/>
          <w:color w:val="000000"/>
          <w:kern w:val="2"/>
          <w:sz w:val="32"/>
          <w:szCs w:val="32"/>
          <w:lang w:val="en-US" w:eastAsia="zh-CN" w:bidi="ar-SA"/>
        </w:rPr>
        <w:t>1.一般公共服务支出（类）人力资源事务（款）引进人才费用（项）:</w:t>
      </w:r>
      <w:r>
        <w:rPr>
          <w:rStyle w:val="24"/>
          <w:rFonts w:hint="eastAsia" w:ascii="仿宋" w:hAnsi="仿宋" w:eastAsia="仿宋" w:cs="仿宋"/>
          <w:b w:val="0"/>
          <w:bCs/>
          <w:color w:val="000000"/>
          <w:sz w:val="32"/>
          <w:szCs w:val="32"/>
        </w:rPr>
        <w:t xml:space="preserve"> 支出决算为</w:t>
      </w:r>
      <w:r>
        <w:rPr>
          <w:rStyle w:val="24"/>
          <w:rFonts w:hint="eastAsia" w:ascii="仿宋" w:hAnsi="仿宋" w:eastAsia="仿宋" w:cs="仿宋"/>
          <w:b w:val="0"/>
          <w:bCs/>
          <w:color w:val="000000"/>
          <w:sz w:val="32"/>
          <w:szCs w:val="32"/>
          <w:lang w:val="en-US" w:eastAsia="zh-CN"/>
        </w:rPr>
        <w:t>30.00</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r>
        <w:rPr>
          <w:rStyle w:val="24"/>
          <w:rFonts w:hint="eastAsia" w:ascii="仿宋" w:hAnsi="仿宋" w:eastAsia="仿宋" w:cs="仿宋"/>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24"/>
          <w:rFonts w:hint="eastAsia" w:ascii="仿宋" w:hAnsi="仿宋" w:eastAsia="仿宋" w:cs="仿宋"/>
          <w:b w:val="0"/>
          <w:bCs/>
          <w:color w:val="000000"/>
          <w:sz w:val="32"/>
          <w:szCs w:val="32"/>
          <w:lang w:eastAsia="zh-CN"/>
        </w:rPr>
      </w:pPr>
      <w:r>
        <w:rPr>
          <w:rStyle w:val="24"/>
          <w:rFonts w:hint="eastAsia" w:ascii="仿宋" w:hAnsi="仿宋" w:eastAsia="仿宋" w:cs="仿宋"/>
          <w:bCs/>
          <w:color w:val="000000"/>
          <w:sz w:val="32"/>
          <w:szCs w:val="32"/>
        </w:rPr>
        <w:t>2.</w:t>
      </w:r>
      <w:r>
        <w:rPr>
          <w:rStyle w:val="24"/>
          <w:rFonts w:hint="eastAsia" w:ascii="仿宋" w:hAnsi="仿宋" w:eastAsia="仿宋" w:cs="仿宋"/>
          <w:bCs/>
          <w:color w:val="000000"/>
          <w:kern w:val="2"/>
          <w:sz w:val="32"/>
          <w:szCs w:val="32"/>
          <w:lang w:val="en-US" w:eastAsia="zh-CN" w:bidi="ar-SA"/>
        </w:rPr>
        <w:t>社会保障和就业支出（类）行政事业单位养老支出（款）  机关事业单位基本养老保险缴费支出（项）：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19.92</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r>
        <w:rPr>
          <w:rStyle w:val="24"/>
          <w:rFonts w:hint="eastAsia" w:ascii="仿宋" w:hAnsi="仿宋" w:eastAsia="仿宋" w:cs="仿宋"/>
          <w:b w:val="0"/>
          <w:bCs/>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24"/>
          <w:rFonts w:hint="eastAsia" w:ascii="仿宋" w:hAnsi="仿宋" w:eastAsia="仿宋" w:cs="仿宋"/>
          <w:b w:val="0"/>
          <w:bCs/>
          <w:color w:val="000000"/>
          <w:sz w:val="32"/>
          <w:szCs w:val="32"/>
          <w:lang w:eastAsia="zh-CN"/>
        </w:rPr>
      </w:pPr>
      <w:r>
        <w:rPr>
          <w:rStyle w:val="24"/>
          <w:rFonts w:hint="eastAsia" w:ascii="仿宋" w:hAnsi="仿宋" w:eastAsia="仿宋" w:cs="仿宋"/>
          <w:bCs/>
          <w:color w:val="000000"/>
          <w:sz w:val="32"/>
          <w:szCs w:val="32"/>
          <w:lang w:val="en-US" w:eastAsia="zh-CN"/>
        </w:rPr>
        <w:t>3</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社会保障和就业支出（类）行政事业单位养老支出（款）机关事业单位职业年金缴费支出（项）：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9.17</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r>
        <w:rPr>
          <w:rStyle w:val="24"/>
          <w:rFonts w:hint="eastAsia" w:ascii="仿宋" w:hAnsi="仿宋" w:eastAsia="仿宋" w:cs="仿宋"/>
          <w:b w:val="0"/>
          <w:bCs/>
          <w:color w:val="000000"/>
          <w:sz w:val="32"/>
          <w:szCs w:val="32"/>
          <w:lang w:eastAsia="zh-CN"/>
        </w:rPr>
        <w:t>。</w:t>
      </w:r>
    </w:p>
    <w:p>
      <w:pPr>
        <w:pStyle w:val="21"/>
        <w:rPr>
          <w:rStyle w:val="24"/>
          <w:rFonts w:hint="eastAsia" w:ascii="仿宋" w:hAnsi="仿宋" w:eastAsia="仿宋" w:cs="仿宋"/>
          <w:b w:val="0"/>
          <w:bCs/>
          <w:color w:val="000000"/>
          <w:sz w:val="32"/>
          <w:szCs w:val="32"/>
          <w:lang w:eastAsia="zh-CN"/>
        </w:rPr>
      </w:pPr>
      <w:r>
        <w:rPr>
          <w:rStyle w:val="24"/>
          <w:rFonts w:hint="eastAsia" w:ascii="仿宋" w:hAnsi="仿宋" w:eastAsia="仿宋" w:cs="仿宋"/>
          <w:bCs/>
          <w:color w:val="000000"/>
          <w:sz w:val="32"/>
          <w:szCs w:val="32"/>
          <w:lang w:val="en-US" w:eastAsia="zh-CN"/>
        </w:rPr>
        <w:t>4</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卫生健康支出（类）行政事业单位医疗（款）行政单位医疗（项）：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11.16</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r>
        <w:rPr>
          <w:rStyle w:val="24"/>
          <w:rFonts w:hint="eastAsia" w:ascii="仿宋" w:hAnsi="仿宋" w:eastAsia="仿宋" w:cs="仿宋"/>
          <w:b w:val="0"/>
          <w:bCs/>
          <w:color w:val="000000"/>
          <w:sz w:val="32"/>
          <w:szCs w:val="32"/>
          <w:lang w:eastAsia="zh-CN"/>
        </w:rPr>
        <w:t>。</w:t>
      </w:r>
    </w:p>
    <w:p>
      <w:pPr>
        <w:pStyle w:val="21"/>
        <w:rPr>
          <w:rStyle w:val="24"/>
          <w:rFonts w:hint="eastAsia" w:ascii="仿宋" w:hAnsi="仿宋" w:eastAsia="仿宋" w:cs="仿宋"/>
          <w:b w:val="0"/>
          <w:bCs/>
          <w:color w:val="000000"/>
          <w:sz w:val="32"/>
          <w:szCs w:val="32"/>
          <w:lang w:eastAsia="zh-CN"/>
        </w:rPr>
      </w:pPr>
      <w:r>
        <w:rPr>
          <w:rStyle w:val="24"/>
          <w:rFonts w:hint="eastAsia" w:ascii="仿宋" w:hAnsi="仿宋" w:eastAsia="仿宋" w:cs="仿宋"/>
          <w:bCs/>
          <w:color w:val="000000"/>
          <w:sz w:val="32"/>
          <w:szCs w:val="32"/>
          <w:lang w:val="en-US" w:eastAsia="zh-CN"/>
        </w:rPr>
        <w:t>5</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农林水支出（类）农业农村（款）科技转化与推广服务（项）：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r>
        <w:rPr>
          <w:rStyle w:val="24"/>
          <w:rFonts w:hint="eastAsia" w:ascii="仿宋" w:hAnsi="仿宋" w:eastAsia="仿宋" w:cs="仿宋"/>
          <w:b w:val="0"/>
          <w:bCs/>
          <w:color w:val="000000"/>
          <w:sz w:val="32"/>
          <w:szCs w:val="32"/>
          <w:lang w:eastAsia="zh-CN"/>
        </w:rPr>
        <w:t>。</w:t>
      </w:r>
    </w:p>
    <w:p>
      <w:pPr>
        <w:spacing w:line="600" w:lineRule="exact"/>
        <w:ind w:firstLine="643" w:firstLineChars="200"/>
        <w:rPr>
          <w:rStyle w:val="24"/>
          <w:rFonts w:hint="default" w:ascii="仿宋" w:hAnsi="仿宋" w:eastAsia="仿宋" w:cs="仿宋"/>
          <w:b w:val="0"/>
          <w:bCs/>
          <w:color w:val="auto"/>
          <w:sz w:val="32"/>
          <w:szCs w:val="32"/>
          <w:lang w:val="en-US" w:eastAsia="zh-CN"/>
        </w:rPr>
      </w:pPr>
      <w:r>
        <w:rPr>
          <w:rStyle w:val="24"/>
          <w:rFonts w:hint="eastAsia" w:ascii="仿宋" w:hAnsi="仿宋" w:eastAsia="仿宋" w:cs="仿宋"/>
          <w:bCs/>
          <w:color w:val="000000"/>
          <w:sz w:val="32"/>
          <w:szCs w:val="32"/>
          <w:lang w:val="en-US" w:eastAsia="zh-CN"/>
        </w:rPr>
        <w:t>6</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资源勘探工业信息等支出（类）制造业（款）其他制造业支出（项）:</w:t>
      </w:r>
      <w:r>
        <w:rPr>
          <w:rStyle w:val="24"/>
          <w:rFonts w:hint="eastAsia" w:ascii="仿宋" w:hAnsi="仿宋" w:eastAsia="仿宋" w:cs="仿宋"/>
          <w:b w:val="0"/>
          <w:bCs/>
          <w:color w:val="auto"/>
          <w:sz w:val="32"/>
          <w:szCs w:val="32"/>
        </w:rPr>
        <w:t xml:space="preserve"> 支出决算为</w:t>
      </w:r>
      <w:r>
        <w:rPr>
          <w:rStyle w:val="24"/>
          <w:rFonts w:hint="eastAsia" w:ascii="仿宋" w:hAnsi="仿宋" w:eastAsia="仿宋" w:cs="仿宋"/>
          <w:b w:val="0"/>
          <w:bCs/>
          <w:color w:val="auto"/>
          <w:sz w:val="32"/>
          <w:szCs w:val="32"/>
          <w:lang w:val="en-US" w:eastAsia="zh-CN"/>
        </w:rPr>
        <w:t>40.77</w:t>
      </w:r>
      <w:r>
        <w:rPr>
          <w:rStyle w:val="24"/>
          <w:rFonts w:hint="eastAsia" w:ascii="仿宋" w:hAnsi="仿宋" w:eastAsia="仿宋" w:cs="仿宋"/>
          <w:b w:val="0"/>
          <w:bCs/>
          <w:color w:val="auto"/>
          <w:sz w:val="32"/>
          <w:szCs w:val="32"/>
        </w:rPr>
        <w:t>万元，完成预算</w:t>
      </w:r>
      <w:r>
        <w:rPr>
          <w:rStyle w:val="24"/>
          <w:rFonts w:hint="eastAsia" w:ascii="仿宋" w:hAnsi="仿宋" w:eastAsia="仿宋" w:cs="仿宋"/>
          <w:b w:val="0"/>
          <w:bCs/>
          <w:color w:val="auto"/>
          <w:sz w:val="32"/>
          <w:szCs w:val="32"/>
          <w:lang w:val="en-US" w:eastAsia="zh-CN"/>
        </w:rPr>
        <w:t>90.6</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w:t>
      </w:r>
      <w:r>
        <w:rPr>
          <w:rStyle w:val="24"/>
          <w:rFonts w:hint="eastAsia" w:ascii="仿宋" w:hAnsi="仿宋" w:eastAsia="仿宋" w:cs="仿宋"/>
          <w:b w:val="0"/>
          <w:bCs/>
          <w:color w:val="auto"/>
          <w:sz w:val="32"/>
          <w:szCs w:val="32"/>
          <w:lang w:val="en-US" w:eastAsia="zh-CN"/>
        </w:rPr>
        <w:t>小于</w:t>
      </w:r>
      <w:r>
        <w:rPr>
          <w:rStyle w:val="24"/>
          <w:rFonts w:hint="eastAsia" w:ascii="仿宋" w:hAnsi="仿宋" w:eastAsia="仿宋" w:cs="仿宋"/>
          <w:b w:val="0"/>
          <w:bCs/>
          <w:color w:val="auto"/>
          <w:sz w:val="32"/>
          <w:szCs w:val="32"/>
        </w:rPr>
        <w:t>预算数</w:t>
      </w:r>
      <w:r>
        <w:rPr>
          <w:rStyle w:val="24"/>
          <w:rFonts w:hint="eastAsia" w:ascii="仿宋" w:hAnsi="仿宋" w:eastAsia="仿宋" w:cs="仿宋"/>
          <w:b w:val="0"/>
          <w:bCs/>
          <w:color w:val="auto"/>
          <w:sz w:val="32"/>
          <w:szCs w:val="32"/>
          <w:lang w:val="en-US" w:eastAsia="zh-CN"/>
        </w:rPr>
        <w:t>的主要原因是厉行节约，控制支出。</w:t>
      </w:r>
    </w:p>
    <w:p>
      <w:pPr>
        <w:pStyle w:val="21"/>
        <w:rPr>
          <w:rFonts w:hint="eastAsia"/>
          <w:color w:val="auto"/>
          <w:lang w:eastAsia="zh-CN"/>
        </w:rPr>
      </w:pPr>
      <w:r>
        <w:rPr>
          <w:rStyle w:val="24"/>
          <w:rFonts w:hint="eastAsia" w:ascii="仿宋" w:hAnsi="仿宋" w:eastAsia="仿宋" w:cs="仿宋"/>
          <w:bCs/>
          <w:color w:val="000000"/>
          <w:sz w:val="32"/>
          <w:szCs w:val="32"/>
          <w:lang w:val="en-US" w:eastAsia="zh-CN"/>
        </w:rPr>
        <w:t>7</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资源勘探工业信息等支出（类）支持中小企业发展和管理支出（款）中小企</w:t>
      </w:r>
      <w:r>
        <w:rPr>
          <w:rStyle w:val="24"/>
          <w:rFonts w:hint="eastAsia" w:ascii="仿宋" w:hAnsi="仿宋" w:eastAsia="仿宋" w:cs="仿宋"/>
          <w:bCs/>
          <w:color w:val="auto"/>
          <w:kern w:val="2"/>
          <w:sz w:val="32"/>
          <w:szCs w:val="32"/>
          <w:lang w:val="en-US" w:eastAsia="zh-CN" w:bidi="ar-SA"/>
        </w:rPr>
        <w:t>业发展专项（项）:</w:t>
      </w:r>
      <w:r>
        <w:rPr>
          <w:rStyle w:val="24"/>
          <w:rFonts w:hint="eastAsia" w:ascii="仿宋" w:hAnsi="仿宋" w:eastAsia="仿宋" w:cs="仿宋"/>
          <w:b w:val="0"/>
          <w:bCs/>
          <w:color w:val="auto"/>
          <w:sz w:val="32"/>
          <w:szCs w:val="32"/>
        </w:rPr>
        <w:t xml:space="preserve"> 支出决算为</w:t>
      </w:r>
      <w:r>
        <w:rPr>
          <w:rStyle w:val="24"/>
          <w:rFonts w:hint="eastAsia" w:ascii="仿宋" w:hAnsi="仿宋" w:eastAsia="仿宋" w:cs="仿宋"/>
          <w:b w:val="0"/>
          <w:bCs/>
          <w:color w:val="auto"/>
          <w:sz w:val="32"/>
          <w:szCs w:val="32"/>
          <w:lang w:val="en-US" w:eastAsia="zh-CN"/>
        </w:rPr>
        <w:t>0.00</w:t>
      </w:r>
      <w:r>
        <w:rPr>
          <w:rStyle w:val="24"/>
          <w:rFonts w:hint="eastAsia" w:ascii="仿宋" w:hAnsi="仿宋" w:eastAsia="仿宋" w:cs="仿宋"/>
          <w:b w:val="0"/>
          <w:bCs/>
          <w:color w:val="auto"/>
          <w:sz w:val="32"/>
          <w:szCs w:val="32"/>
        </w:rPr>
        <w:t>万元，完成预算</w:t>
      </w:r>
      <w:r>
        <w:rPr>
          <w:rStyle w:val="24"/>
          <w:rFonts w:hint="eastAsia" w:ascii="仿宋" w:hAnsi="仿宋" w:eastAsia="仿宋" w:cs="仿宋"/>
          <w:b w:val="0"/>
          <w:bCs/>
          <w:color w:val="auto"/>
          <w:sz w:val="32"/>
          <w:szCs w:val="32"/>
          <w:lang w:val="en-US" w:eastAsia="zh-CN"/>
        </w:rPr>
        <w:t>0</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w:t>
      </w:r>
      <w:r>
        <w:rPr>
          <w:rStyle w:val="24"/>
          <w:rFonts w:hint="eastAsia" w:ascii="仿宋" w:hAnsi="仿宋" w:eastAsia="仿宋" w:cs="仿宋"/>
          <w:b w:val="0"/>
          <w:bCs/>
          <w:color w:val="auto"/>
          <w:sz w:val="32"/>
          <w:szCs w:val="32"/>
          <w:lang w:val="en-US" w:eastAsia="zh-CN"/>
        </w:rPr>
        <w:t>小于</w:t>
      </w:r>
      <w:r>
        <w:rPr>
          <w:rStyle w:val="24"/>
          <w:rFonts w:hint="eastAsia" w:ascii="仿宋" w:hAnsi="仿宋" w:eastAsia="仿宋" w:cs="仿宋"/>
          <w:b w:val="0"/>
          <w:bCs/>
          <w:color w:val="auto"/>
          <w:sz w:val="32"/>
          <w:szCs w:val="32"/>
        </w:rPr>
        <w:t>预算数</w:t>
      </w:r>
      <w:r>
        <w:rPr>
          <w:rStyle w:val="24"/>
          <w:rFonts w:hint="eastAsia" w:ascii="仿宋" w:hAnsi="仿宋" w:eastAsia="仿宋" w:cs="仿宋"/>
          <w:b w:val="0"/>
          <w:bCs/>
          <w:color w:val="auto"/>
          <w:sz w:val="32"/>
          <w:szCs w:val="32"/>
          <w:lang w:val="en-US" w:eastAsia="zh-CN"/>
        </w:rPr>
        <w:t>的主要原因是厉行节约，控制支出。</w:t>
      </w:r>
    </w:p>
    <w:p>
      <w:pPr>
        <w:pStyle w:val="21"/>
        <w:rPr>
          <w:rStyle w:val="24"/>
          <w:rFonts w:hint="eastAsia" w:ascii="仿宋" w:hAnsi="仿宋" w:eastAsia="仿宋" w:cs="仿宋"/>
          <w:b w:val="0"/>
          <w:bCs/>
          <w:color w:val="auto"/>
          <w:sz w:val="32"/>
          <w:szCs w:val="32"/>
          <w:lang w:eastAsia="zh-CN"/>
        </w:rPr>
      </w:pPr>
      <w:r>
        <w:rPr>
          <w:rStyle w:val="24"/>
          <w:rFonts w:hint="eastAsia" w:ascii="仿宋" w:hAnsi="仿宋" w:eastAsia="仿宋" w:cs="仿宋"/>
          <w:bCs/>
          <w:color w:val="auto"/>
          <w:sz w:val="32"/>
          <w:szCs w:val="32"/>
          <w:lang w:val="en-US" w:eastAsia="zh-CN"/>
        </w:rPr>
        <w:t>8</w:t>
      </w:r>
      <w:r>
        <w:rPr>
          <w:rStyle w:val="24"/>
          <w:rFonts w:hint="eastAsia" w:ascii="仿宋" w:hAnsi="仿宋" w:eastAsia="仿宋" w:cs="仿宋"/>
          <w:bCs/>
          <w:color w:val="auto"/>
          <w:sz w:val="32"/>
          <w:szCs w:val="32"/>
        </w:rPr>
        <w:t>.</w:t>
      </w:r>
      <w:r>
        <w:rPr>
          <w:rStyle w:val="24"/>
          <w:rFonts w:hint="eastAsia" w:ascii="仿宋" w:hAnsi="仿宋" w:eastAsia="仿宋" w:cs="仿宋"/>
          <w:bCs/>
          <w:color w:val="auto"/>
          <w:kern w:val="2"/>
          <w:sz w:val="32"/>
          <w:szCs w:val="32"/>
          <w:lang w:val="en-US" w:eastAsia="zh-CN" w:bidi="ar-SA"/>
        </w:rPr>
        <w:t>商业服务业等支出（类）商业流通事务（款）行政运行（项）:</w:t>
      </w:r>
      <w:r>
        <w:rPr>
          <w:rStyle w:val="24"/>
          <w:rFonts w:hint="eastAsia" w:ascii="仿宋" w:hAnsi="仿宋" w:eastAsia="仿宋" w:cs="仿宋"/>
          <w:b w:val="0"/>
          <w:bCs/>
          <w:color w:val="auto"/>
          <w:sz w:val="32"/>
          <w:szCs w:val="32"/>
        </w:rPr>
        <w:t xml:space="preserve"> 支出决算为</w:t>
      </w:r>
      <w:r>
        <w:rPr>
          <w:rStyle w:val="24"/>
          <w:rFonts w:hint="eastAsia" w:ascii="仿宋" w:hAnsi="仿宋" w:eastAsia="仿宋" w:cs="仿宋"/>
          <w:b w:val="0"/>
          <w:bCs/>
          <w:color w:val="auto"/>
          <w:sz w:val="32"/>
          <w:szCs w:val="32"/>
          <w:lang w:val="en-US" w:eastAsia="zh-CN"/>
        </w:rPr>
        <w:t>157.85</w:t>
      </w:r>
      <w:r>
        <w:rPr>
          <w:rStyle w:val="24"/>
          <w:rFonts w:hint="eastAsia" w:ascii="仿宋" w:hAnsi="仿宋" w:eastAsia="仿宋" w:cs="仿宋"/>
          <w:b w:val="0"/>
          <w:bCs/>
          <w:color w:val="auto"/>
          <w:sz w:val="32"/>
          <w:szCs w:val="32"/>
        </w:rPr>
        <w:t>万元，完成预算</w:t>
      </w:r>
      <w:r>
        <w:rPr>
          <w:rStyle w:val="24"/>
          <w:rFonts w:hint="eastAsia" w:ascii="仿宋" w:hAnsi="仿宋" w:eastAsia="仿宋" w:cs="仿宋"/>
          <w:b w:val="0"/>
          <w:bCs/>
          <w:color w:val="auto"/>
          <w:sz w:val="32"/>
          <w:szCs w:val="32"/>
          <w:lang w:val="en-US" w:eastAsia="zh-CN"/>
        </w:rPr>
        <w:t>100</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决算数等于预算数</w:t>
      </w:r>
      <w:r>
        <w:rPr>
          <w:rStyle w:val="24"/>
          <w:rFonts w:hint="eastAsia" w:ascii="仿宋" w:hAnsi="仿宋" w:eastAsia="仿宋" w:cs="仿宋"/>
          <w:b w:val="0"/>
          <w:bCs/>
          <w:color w:val="auto"/>
          <w:sz w:val="32"/>
          <w:szCs w:val="32"/>
          <w:lang w:eastAsia="zh-CN"/>
        </w:rPr>
        <w:t>。</w:t>
      </w:r>
    </w:p>
    <w:p>
      <w:pPr>
        <w:pStyle w:val="21"/>
        <w:rPr>
          <w:rStyle w:val="24"/>
          <w:rFonts w:hint="eastAsia" w:ascii="仿宋" w:hAnsi="仿宋" w:eastAsia="仿宋" w:cs="仿宋"/>
          <w:b w:val="0"/>
          <w:bCs/>
          <w:color w:val="auto"/>
          <w:sz w:val="32"/>
          <w:szCs w:val="32"/>
          <w:lang w:eastAsia="zh-CN"/>
        </w:rPr>
      </w:pPr>
      <w:r>
        <w:rPr>
          <w:rStyle w:val="24"/>
          <w:rFonts w:hint="eastAsia" w:ascii="仿宋" w:hAnsi="仿宋" w:eastAsia="仿宋" w:cs="仿宋"/>
          <w:bCs/>
          <w:color w:val="auto"/>
          <w:sz w:val="32"/>
          <w:szCs w:val="32"/>
          <w:lang w:val="en-US" w:eastAsia="zh-CN"/>
        </w:rPr>
        <w:t>9</w:t>
      </w:r>
      <w:r>
        <w:rPr>
          <w:rStyle w:val="24"/>
          <w:rFonts w:hint="eastAsia" w:ascii="仿宋" w:hAnsi="仿宋" w:eastAsia="仿宋" w:cs="仿宋"/>
          <w:bCs/>
          <w:color w:val="auto"/>
          <w:sz w:val="32"/>
          <w:szCs w:val="32"/>
        </w:rPr>
        <w:t>.</w:t>
      </w:r>
      <w:r>
        <w:rPr>
          <w:rStyle w:val="24"/>
          <w:rFonts w:hint="eastAsia" w:ascii="仿宋" w:hAnsi="仿宋" w:eastAsia="仿宋" w:cs="仿宋"/>
          <w:bCs/>
          <w:color w:val="auto"/>
          <w:kern w:val="2"/>
          <w:sz w:val="32"/>
          <w:szCs w:val="32"/>
          <w:lang w:val="en-US" w:eastAsia="zh-CN" w:bidi="ar-SA"/>
        </w:rPr>
        <w:t>商业服务业等支出（类）商业流通事务（款）一般行政管理事务（项）：</w:t>
      </w:r>
      <w:r>
        <w:rPr>
          <w:rStyle w:val="24"/>
          <w:rFonts w:hint="eastAsia" w:ascii="仿宋" w:hAnsi="仿宋" w:eastAsia="仿宋" w:cs="仿宋"/>
          <w:b w:val="0"/>
          <w:bCs/>
          <w:color w:val="auto"/>
          <w:sz w:val="32"/>
          <w:szCs w:val="32"/>
        </w:rPr>
        <w:t>支出决算为</w:t>
      </w:r>
      <w:r>
        <w:rPr>
          <w:rStyle w:val="24"/>
          <w:rFonts w:hint="eastAsia" w:ascii="仿宋" w:hAnsi="仿宋" w:eastAsia="仿宋" w:cs="仿宋"/>
          <w:b w:val="0"/>
          <w:bCs/>
          <w:color w:val="auto"/>
          <w:sz w:val="32"/>
          <w:szCs w:val="32"/>
          <w:lang w:val="en-US" w:eastAsia="zh-CN"/>
        </w:rPr>
        <w:t>227.88</w:t>
      </w:r>
      <w:r>
        <w:rPr>
          <w:rStyle w:val="24"/>
          <w:rFonts w:hint="eastAsia" w:ascii="仿宋" w:hAnsi="仿宋" w:eastAsia="仿宋" w:cs="仿宋"/>
          <w:b w:val="0"/>
          <w:bCs/>
          <w:color w:val="auto"/>
          <w:sz w:val="32"/>
          <w:szCs w:val="32"/>
        </w:rPr>
        <w:t>万元</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完成预算</w:t>
      </w:r>
      <w:r>
        <w:rPr>
          <w:rStyle w:val="24"/>
          <w:rFonts w:hint="eastAsia" w:ascii="仿宋" w:hAnsi="仿宋" w:eastAsia="仿宋" w:cs="仿宋"/>
          <w:b w:val="0"/>
          <w:bCs/>
          <w:color w:val="auto"/>
          <w:sz w:val="32"/>
          <w:szCs w:val="32"/>
          <w:lang w:val="en-US" w:eastAsia="zh-CN"/>
        </w:rPr>
        <w:t>100</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决算数等于预算数</w:t>
      </w:r>
      <w:r>
        <w:rPr>
          <w:rStyle w:val="24"/>
          <w:rFonts w:hint="eastAsia" w:ascii="仿宋" w:hAnsi="仿宋" w:eastAsia="仿宋" w:cs="仿宋"/>
          <w:b w:val="0"/>
          <w:bCs/>
          <w:color w:val="auto"/>
          <w:sz w:val="32"/>
          <w:szCs w:val="32"/>
          <w:lang w:eastAsia="zh-CN"/>
        </w:rPr>
        <w:t>。</w:t>
      </w:r>
    </w:p>
    <w:p>
      <w:pPr>
        <w:pStyle w:val="21"/>
        <w:rPr>
          <w:rStyle w:val="24"/>
          <w:rFonts w:hint="eastAsia" w:ascii="仿宋" w:hAnsi="仿宋" w:eastAsia="仿宋" w:cs="仿宋"/>
          <w:b w:val="0"/>
          <w:bCs/>
          <w:color w:val="auto"/>
          <w:sz w:val="32"/>
          <w:szCs w:val="32"/>
          <w:lang w:eastAsia="zh-CN"/>
        </w:rPr>
      </w:pPr>
      <w:r>
        <w:rPr>
          <w:rStyle w:val="24"/>
          <w:rFonts w:hint="eastAsia" w:ascii="仿宋" w:hAnsi="仿宋" w:eastAsia="仿宋" w:cs="仿宋"/>
          <w:bCs/>
          <w:color w:val="auto"/>
          <w:sz w:val="32"/>
          <w:szCs w:val="32"/>
          <w:lang w:val="en-US" w:eastAsia="zh-CN"/>
        </w:rPr>
        <w:t>10</w:t>
      </w:r>
      <w:r>
        <w:rPr>
          <w:rStyle w:val="24"/>
          <w:rFonts w:hint="eastAsia" w:ascii="仿宋" w:hAnsi="仿宋" w:eastAsia="仿宋" w:cs="仿宋"/>
          <w:bCs/>
          <w:color w:val="auto"/>
          <w:sz w:val="32"/>
          <w:szCs w:val="32"/>
        </w:rPr>
        <w:t>.</w:t>
      </w:r>
      <w:r>
        <w:rPr>
          <w:rStyle w:val="24"/>
          <w:rFonts w:hint="eastAsia" w:ascii="仿宋" w:hAnsi="仿宋" w:eastAsia="仿宋" w:cs="仿宋"/>
          <w:bCs/>
          <w:color w:val="auto"/>
          <w:kern w:val="2"/>
          <w:sz w:val="32"/>
          <w:szCs w:val="32"/>
          <w:lang w:val="en-US" w:eastAsia="zh-CN" w:bidi="ar-SA"/>
        </w:rPr>
        <w:t>商业服务业等支出（类）商业流通事务（款）民贸企业补贴（项）：</w:t>
      </w:r>
      <w:r>
        <w:rPr>
          <w:rStyle w:val="24"/>
          <w:rFonts w:hint="eastAsia" w:ascii="仿宋" w:hAnsi="仿宋" w:eastAsia="仿宋" w:cs="仿宋"/>
          <w:b w:val="0"/>
          <w:bCs/>
          <w:color w:val="auto"/>
          <w:sz w:val="32"/>
          <w:szCs w:val="32"/>
        </w:rPr>
        <w:t>支出决算为</w:t>
      </w:r>
      <w:r>
        <w:rPr>
          <w:rStyle w:val="24"/>
          <w:rFonts w:hint="eastAsia" w:ascii="仿宋" w:hAnsi="仿宋" w:eastAsia="仿宋" w:cs="仿宋"/>
          <w:b w:val="0"/>
          <w:bCs/>
          <w:color w:val="auto"/>
          <w:sz w:val="32"/>
          <w:szCs w:val="32"/>
          <w:lang w:val="en-US" w:eastAsia="zh-CN"/>
        </w:rPr>
        <w:t>14.72</w:t>
      </w:r>
      <w:r>
        <w:rPr>
          <w:rStyle w:val="24"/>
          <w:rFonts w:hint="eastAsia" w:ascii="仿宋" w:hAnsi="仿宋" w:eastAsia="仿宋" w:cs="仿宋"/>
          <w:b w:val="0"/>
          <w:bCs/>
          <w:color w:val="auto"/>
          <w:sz w:val="32"/>
          <w:szCs w:val="32"/>
        </w:rPr>
        <w:t>万元</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完成预算</w:t>
      </w:r>
      <w:r>
        <w:rPr>
          <w:rStyle w:val="24"/>
          <w:rFonts w:hint="eastAsia" w:ascii="仿宋" w:hAnsi="仿宋" w:eastAsia="仿宋" w:cs="仿宋"/>
          <w:b w:val="0"/>
          <w:bCs/>
          <w:color w:val="auto"/>
          <w:sz w:val="32"/>
          <w:szCs w:val="32"/>
          <w:lang w:val="en-US" w:eastAsia="zh-CN"/>
        </w:rPr>
        <w:t>100</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决算数等于预算数</w:t>
      </w:r>
      <w:r>
        <w:rPr>
          <w:rStyle w:val="24"/>
          <w:rFonts w:hint="eastAsia" w:ascii="仿宋" w:hAnsi="仿宋" w:eastAsia="仿宋" w:cs="仿宋"/>
          <w:b w:val="0"/>
          <w:bCs/>
          <w:color w:val="auto"/>
          <w:sz w:val="32"/>
          <w:szCs w:val="32"/>
          <w:lang w:eastAsia="zh-CN"/>
        </w:rPr>
        <w:t>。</w:t>
      </w:r>
    </w:p>
    <w:p>
      <w:pPr>
        <w:pStyle w:val="21"/>
        <w:rPr>
          <w:rStyle w:val="24"/>
          <w:rFonts w:hint="eastAsia" w:ascii="仿宋" w:hAnsi="仿宋" w:eastAsia="仿宋" w:cs="仿宋"/>
          <w:b w:val="0"/>
          <w:bCs/>
          <w:color w:val="auto"/>
          <w:sz w:val="32"/>
          <w:szCs w:val="32"/>
          <w:lang w:eastAsia="zh-CN"/>
        </w:rPr>
      </w:pPr>
      <w:r>
        <w:rPr>
          <w:rStyle w:val="24"/>
          <w:rFonts w:hint="eastAsia" w:ascii="仿宋" w:hAnsi="仿宋" w:eastAsia="仿宋" w:cs="仿宋"/>
          <w:bCs/>
          <w:color w:val="auto"/>
          <w:sz w:val="32"/>
          <w:szCs w:val="32"/>
          <w:lang w:val="en-US" w:eastAsia="zh-CN"/>
        </w:rPr>
        <w:t>11</w:t>
      </w:r>
      <w:r>
        <w:rPr>
          <w:rStyle w:val="24"/>
          <w:rFonts w:hint="eastAsia" w:ascii="仿宋" w:hAnsi="仿宋" w:eastAsia="仿宋" w:cs="仿宋"/>
          <w:bCs/>
          <w:color w:val="auto"/>
          <w:sz w:val="32"/>
          <w:szCs w:val="32"/>
        </w:rPr>
        <w:t>.</w:t>
      </w:r>
      <w:r>
        <w:rPr>
          <w:rStyle w:val="24"/>
          <w:rFonts w:hint="eastAsia" w:ascii="仿宋" w:hAnsi="仿宋" w:eastAsia="仿宋" w:cs="仿宋"/>
          <w:bCs/>
          <w:color w:val="auto"/>
          <w:kern w:val="2"/>
          <w:sz w:val="32"/>
          <w:szCs w:val="32"/>
          <w:lang w:val="en-US" w:eastAsia="zh-CN" w:bidi="ar-SA"/>
        </w:rPr>
        <w:t>商业服务业等支出（类）商业流通事务（款）其他商业流通事务支出（项）：</w:t>
      </w:r>
      <w:r>
        <w:rPr>
          <w:rStyle w:val="24"/>
          <w:rFonts w:hint="eastAsia" w:ascii="仿宋" w:hAnsi="仿宋" w:eastAsia="仿宋" w:cs="仿宋"/>
          <w:b w:val="0"/>
          <w:bCs/>
          <w:color w:val="auto"/>
          <w:sz w:val="32"/>
          <w:szCs w:val="32"/>
        </w:rPr>
        <w:t>支出决算为</w:t>
      </w:r>
      <w:r>
        <w:rPr>
          <w:rStyle w:val="24"/>
          <w:rFonts w:hint="eastAsia" w:ascii="仿宋" w:hAnsi="仿宋" w:eastAsia="仿宋" w:cs="仿宋"/>
          <w:b w:val="0"/>
          <w:bCs/>
          <w:color w:val="auto"/>
          <w:sz w:val="32"/>
          <w:szCs w:val="32"/>
          <w:lang w:val="en-US" w:eastAsia="zh-CN"/>
        </w:rPr>
        <w:t>256.58</w:t>
      </w:r>
      <w:r>
        <w:rPr>
          <w:rStyle w:val="24"/>
          <w:rFonts w:hint="eastAsia" w:ascii="仿宋" w:hAnsi="仿宋" w:eastAsia="仿宋" w:cs="仿宋"/>
          <w:b w:val="0"/>
          <w:bCs/>
          <w:color w:val="auto"/>
          <w:sz w:val="32"/>
          <w:szCs w:val="32"/>
        </w:rPr>
        <w:t>万元</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完成预算</w:t>
      </w:r>
      <w:r>
        <w:rPr>
          <w:rStyle w:val="24"/>
          <w:rFonts w:hint="eastAsia" w:ascii="仿宋" w:hAnsi="仿宋" w:eastAsia="仿宋" w:cs="仿宋"/>
          <w:b w:val="0"/>
          <w:bCs/>
          <w:color w:val="auto"/>
          <w:sz w:val="32"/>
          <w:szCs w:val="32"/>
          <w:lang w:val="en-US" w:eastAsia="zh-CN"/>
        </w:rPr>
        <w:t>33.91</w:t>
      </w:r>
      <w:r>
        <w:rPr>
          <w:rStyle w:val="24"/>
          <w:rFonts w:hint="eastAsia" w:ascii="仿宋" w:hAnsi="仿宋" w:eastAsia="仿宋" w:cs="仿宋"/>
          <w:b w:val="0"/>
          <w:bCs/>
          <w:color w:val="auto"/>
          <w:sz w:val="32"/>
          <w:szCs w:val="32"/>
        </w:rPr>
        <w:t>%</w:t>
      </w:r>
      <w:r>
        <w:rPr>
          <w:rStyle w:val="24"/>
          <w:rFonts w:hint="eastAsia" w:ascii="仿宋" w:hAnsi="仿宋" w:eastAsia="仿宋" w:cs="仿宋"/>
          <w:b w:val="0"/>
          <w:bCs/>
          <w:color w:val="auto"/>
          <w:sz w:val="32"/>
          <w:szCs w:val="32"/>
          <w:lang w:eastAsia="zh-CN"/>
        </w:rPr>
        <w:t>，</w:t>
      </w:r>
      <w:r>
        <w:rPr>
          <w:rStyle w:val="24"/>
          <w:rFonts w:hint="eastAsia" w:ascii="仿宋" w:hAnsi="仿宋" w:eastAsia="仿宋" w:cs="仿宋"/>
          <w:b w:val="0"/>
          <w:bCs/>
          <w:color w:val="auto"/>
          <w:sz w:val="32"/>
          <w:szCs w:val="32"/>
        </w:rPr>
        <w:t>决算数</w:t>
      </w:r>
      <w:r>
        <w:rPr>
          <w:rStyle w:val="24"/>
          <w:rFonts w:hint="eastAsia" w:ascii="仿宋" w:hAnsi="仿宋" w:eastAsia="仿宋" w:cs="仿宋"/>
          <w:b w:val="0"/>
          <w:bCs/>
          <w:color w:val="auto"/>
          <w:sz w:val="32"/>
          <w:szCs w:val="32"/>
          <w:lang w:val="en-US" w:eastAsia="zh-CN"/>
        </w:rPr>
        <w:t>小于</w:t>
      </w:r>
      <w:r>
        <w:rPr>
          <w:rStyle w:val="24"/>
          <w:rFonts w:hint="eastAsia" w:ascii="仿宋" w:hAnsi="仿宋" w:eastAsia="仿宋" w:cs="仿宋"/>
          <w:b w:val="0"/>
          <w:bCs/>
          <w:color w:val="auto"/>
          <w:sz w:val="32"/>
          <w:szCs w:val="32"/>
        </w:rPr>
        <w:t>预算数</w:t>
      </w:r>
      <w:r>
        <w:rPr>
          <w:rStyle w:val="24"/>
          <w:rFonts w:hint="eastAsia" w:ascii="仿宋" w:hAnsi="仿宋" w:eastAsia="仿宋" w:cs="仿宋"/>
          <w:b w:val="0"/>
          <w:bCs/>
          <w:color w:val="auto"/>
          <w:sz w:val="32"/>
          <w:szCs w:val="32"/>
          <w:lang w:val="en-US" w:eastAsia="zh-CN"/>
        </w:rPr>
        <w:t>的主要原因是厉行节约，控制支出</w:t>
      </w:r>
      <w:r>
        <w:rPr>
          <w:rStyle w:val="24"/>
          <w:rFonts w:hint="eastAsia" w:ascii="仿宋" w:hAnsi="仿宋" w:eastAsia="仿宋" w:cs="仿宋"/>
          <w:b w:val="0"/>
          <w:bCs/>
          <w:color w:val="auto"/>
          <w:sz w:val="32"/>
          <w:szCs w:val="32"/>
          <w:lang w:eastAsia="zh-CN"/>
        </w:rPr>
        <w:t>。</w:t>
      </w:r>
    </w:p>
    <w:p>
      <w:pPr>
        <w:spacing w:line="600" w:lineRule="exact"/>
        <w:ind w:firstLine="643" w:firstLineChars="200"/>
        <w:rPr>
          <w:rStyle w:val="24"/>
          <w:rFonts w:hint="eastAsia" w:ascii="仿宋" w:hAnsi="仿宋" w:eastAsia="仿宋" w:cs="仿宋"/>
          <w:b w:val="0"/>
          <w:bCs/>
          <w:color w:val="000000"/>
          <w:sz w:val="32"/>
          <w:szCs w:val="32"/>
          <w:lang w:val="en-US" w:eastAsia="zh-CN"/>
        </w:rPr>
      </w:pPr>
      <w:r>
        <w:rPr>
          <w:rStyle w:val="24"/>
          <w:rFonts w:hint="eastAsia" w:ascii="仿宋" w:hAnsi="仿宋" w:eastAsia="仿宋" w:cs="仿宋"/>
          <w:bCs/>
          <w:color w:val="auto"/>
          <w:sz w:val="32"/>
          <w:szCs w:val="32"/>
          <w:lang w:val="en-US" w:eastAsia="zh-CN"/>
        </w:rPr>
        <w:t>12</w:t>
      </w:r>
      <w:r>
        <w:rPr>
          <w:rStyle w:val="24"/>
          <w:rFonts w:hint="eastAsia" w:ascii="仿宋" w:hAnsi="仿宋" w:eastAsia="仿宋" w:cs="仿宋"/>
          <w:bCs/>
          <w:color w:val="auto"/>
          <w:sz w:val="32"/>
          <w:szCs w:val="32"/>
        </w:rPr>
        <w:t>.</w:t>
      </w:r>
      <w:r>
        <w:rPr>
          <w:rStyle w:val="24"/>
          <w:rFonts w:hint="eastAsia" w:ascii="仿宋" w:hAnsi="仿宋" w:eastAsia="仿宋" w:cs="仿宋"/>
          <w:bCs/>
          <w:color w:val="auto"/>
          <w:kern w:val="2"/>
          <w:sz w:val="32"/>
          <w:szCs w:val="32"/>
          <w:lang w:val="en-US" w:eastAsia="zh-CN" w:bidi="ar-SA"/>
        </w:rPr>
        <w:t>商业服务业等支出（类）</w:t>
      </w:r>
      <w:r>
        <w:rPr>
          <w:rStyle w:val="24"/>
          <w:rFonts w:hint="eastAsia" w:ascii="仿宋" w:hAnsi="仿宋" w:eastAsia="仿宋" w:cs="仿宋"/>
          <w:bCs/>
          <w:color w:val="000000"/>
          <w:kern w:val="2"/>
          <w:sz w:val="32"/>
          <w:szCs w:val="32"/>
          <w:lang w:val="en-US" w:eastAsia="zh-CN" w:bidi="ar-SA"/>
        </w:rPr>
        <w:t>其他商业服务业等支出（款）其他商业服务业等支出（项）：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3.22</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4"/>
          <w:rFonts w:hint="eastAsia" w:ascii="仿宋" w:hAnsi="仿宋" w:eastAsia="仿宋" w:cs="仿宋"/>
          <w:bCs/>
          <w:color w:val="000000"/>
          <w:sz w:val="32"/>
          <w:szCs w:val="32"/>
          <w:lang w:val="en-US" w:eastAsia="zh-CN"/>
        </w:rPr>
        <w:t>13</w:t>
      </w:r>
      <w:r>
        <w:rPr>
          <w:rStyle w:val="24"/>
          <w:rFonts w:hint="eastAsia" w:ascii="仿宋" w:hAnsi="仿宋" w:eastAsia="仿宋" w:cs="仿宋"/>
          <w:bCs/>
          <w:color w:val="000000"/>
          <w:sz w:val="32"/>
          <w:szCs w:val="32"/>
        </w:rPr>
        <w:t>.</w:t>
      </w:r>
      <w:r>
        <w:rPr>
          <w:rStyle w:val="24"/>
          <w:rFonts w:hint="eastAsia" w:ascii="仿宋" w:hAnsi="仿宋" w:eastAsia="仿宋" w:cs="仿宋"/>
          <w:bCs/>
          <w:color w:val="000000"/>
          <w:kern w:val="2"/>
          <w:sz w:val="32"/>
          <w:szCs w:val="32"/>
          <w:lang w:val="en-US" w:eastAsia="zh-CN" w:bidi="ar-SA"/>
        </w:rPr>
        <w:t>住房保障支出（类）住房改革支出（款）住房公积金（项）：</w:t>
      </w:r>
      <w:r>
        <w:rPr>
          <w:rStyle w:val="24"/>
          <w:rFonts w:hint="eastAsia" w:ascii="仿宋" w:hAnsi="仿宋" w:eastAsia="仿宋" w:cs="仿宋"/>
          <w:b w:val="0"/>
          <w:bCs/>
          <w:color w:val="000000"/>
          <w:sz w:val="32"/>
          <w:szCs w:val="32"/>
        </w:rPr>
        <w:t>支出决算为</w:t>
      </w:r>
      <w:r>
        <w:rPr>
          <w:rStyle w:val="24"/>
          <w:rFonts w:hint="eastAsia" w:ascii="仿宋" w:hAnsi="仿宋" w:eastAsia="仿宋" w:cs="仿宋"/>
          <w:b w:val="0"/>
          <w:bCs/>
          <w:color w:val="000000"/>
          <w:sz w:val="32"/>
          <w:szCs w:val="32"/>
          <w:lang w:val="en-US" w:eastAsia="zh-CN"/>
        </w:rPr>
        <w:t>16.13</w:t>
      </w:r>
      <w:r>
        <w:rPr>
          <w:rStyle w:val="24"/>
          <w:rFonts w:hint="eastAsia" w:ascii="仿宋" w:hAnsi="仿宋" w:eastAsia="仿宋" w:cs="仿宋"/>
          <w:b w:val="0"/>
          <w:bCs/>
          <w:color w:val="000000"/>
          <w:sz w:val="32"/>
          <w:szCs w:val="32"/>
        </w:rPr>
        <w:t>万元，完成预算</w:t>
      </w:r>
      <w:r>
        <w:rPr>
          <w:rStyle w:val="24"/>
          <w:rFonts w:hint="eastAsia" w:ascii="仿宋" w:hAnsi="仿宋" w:eastAsia="仿宋" w:cs="仿宋"/>
          <w:b w:val="0"/>
          <w:bCs/>
          <w:color w:val="000000"/>
          <w:sz w:val="32"/>
          <w:szCs w:val="32"/>
          <w:lang w:val="en-US" w:eastAsia="zh-CN"/>
        </w:rPr>
        <w:t>100</w:t>
      </w:r>
      <w:r>
        <w:rPr>
          <w:rStyle w:val="24"/>
          <w:rFonts w:hint="eastAsia" w:ascii="仿宋" w:hAnsi="仿宋" w:eastAsia="仿宋" w:cs="仿宋"/>
          <w:b w:val="0"/>
          <w:bCs/>
          <w:color w:val="000000"/>
          <w:sz w:val="32"/>
          <w:szCs w:val="32"/>
        </w:rPr>
        <w:t>%</w:t>
      </w:r>
      <w:r>
        <w:rPr>
          <w:rStyle w:val="24"/>
          <w:rFonts w:hint="eastAsia" w:ascii="仿宋" w:hAnsi="仿宋" w:eastAsia="仿宋" w:cs="仿宋"/>
          <w:b w:val="0"/>
          <w:bCs/>
          <w:color w:val="000000"/>
          <w:sz w:val="32"/>
          <w:szCs w:val="32"/>
          <w:lang w:eastAsia="zh-CN"/>
        </w:rPr>
        <w:t>，</w:t>
      </w:r>
      <w:r>
        <w:rPr>
          <w:rStyle w:val="24"/>
          <w:rFonts w:hint="eastAsia" w:ascii="仿宋" w:hAnsi="仿宋" w:eastAsia="仿宋" w:cs="仿宋"/>
          <w:b w:val="0"/>
          <w:bCs/>
          <w:color w:val="000000"/>
          <w:sz w:val="32"/>
          <w:szCs w:val="32"/>
        </w:rPr>
        <w:t>决算数等于预算数。</w:t>
      </w:r>
    </w:p>
    <w:p>
      <w:pPr>
        <w:tabs>
          <w:tab w:val="right" w:pos="8306"/>
        </w:tabs>
        <w:spacing w:line="600" w:lineRule="exact"/>
        <w:ind w:firstLine="640"/>
        <w:outlineLvl w:val="1"/>
        <w:rPr>
          <w:rStyle w:val="27"/>
        </w:rPr>
      </w:pPr>
      <w:bookmarkStart w:id="70" w:name="_Toc15396608"/>
      <w:bookmarkStart w:id="71" w:name="_Toc15377214"/>
      <w:bookmarkStart w:id="72" w:name="_Toc79163618"/>
      <w:bookmarkStart w:id="73" w:name="_Toc2522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70"/>
      <w:bookmarkEnd w:id="71"/>
      <w:bookmarkEnd w:id="72"/>
      <w:bookmarkEnd w:id="73"/>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214.22</w:t>
      </w:r>
      <w:r>
        <w:rPr>
          <w:rFonts w:hint="eastAsia" w:ascii="仿宋" w:hAns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olor w:val="000000"/>
          <w:sz w:val="32"/>
          <w:szCs w:val="32"/>
        </w:rPr>
        <w:t>人员经费</w:t>
      </w:r>
      <w:r>
        <w:rPr>
          <w:rFonts w:hint="eastAsia" w:ascii="仿宋" w:hAnsi="仿宋" w:eastAsia="仿宋" w:cs="Times New Roman"/>
          <w:color w:val="000000"/>
          <w:sz w:val="32"/>
          <w:szCs w:val="32"/>
          <w:lang w:val="en-US" w:eastAsia="zh-CN"/>
        </w:rPr>
        <w:t>199.10</w:t>
      </w:r>
      <w:r>
        <w:rPr>
          <w:rFonts w:hint="eastAsia" w:ascii="仿宋" w:hAnsi="仿宋" w:eastAsia="仿宋" w:cs="Times New Roman"/>
          <w:color w:val="000000"/>
          <w:sz w:val="32"/>
          <w:szCs w:val="32"/>
        </w:rPr>
        <w:t>万元，主要包括：基本工资、津贴补贴、奖金、机关事业单位基本养老保险缴费、职业年金缴费、</w:t>
      </w:r>
      <w:r>
        <w:rPr>
          <w:rFonts w:hint="eastAsia" w:ascii="仿宋" w:hAnsi="仿宋" w:eastAsia="仿宋" w:cs="Times New Roman"/>
          <w:color w:val="000000"/>
          <w:sz w:val="32"/>
          <w:szCs w:val="32"/>
          <w:lang w:val="en-US" w:eastAsia="zh-CN"/>
        </w:rPr>
        <w:t>职工基本医疗保险缴费、</w:t>
      </w:r>
      <w:r>
        <w:rPr>
          <w:rFonts w:hint="eastAsia" w:ascii="仿宋" w:hAnsi="仿宋" w:eastAsia="仿宋" w:cs="Times New Roman"/>
          <w:color w:val="000000"/>
          <w:sz w:val="32"/>
          <w:szCs w:val="32"/>
        </w:rPr>
        <w:t>其他社会保障缴费、住房公积金、</w:t>
      </w:r>
      <w:r>
        <w:rPr>
          <w:rFonts w:hint="eastAsia" w:ascii="仿宋" w:hAnsi="仿宋" w:eastAsia="仿宋" w:cs="Times New Roman"/>
          <w:color w:val="000000"/>
          <w:sz w:val="32"/>
          <w:szCs w:val="32"/>
          <w:lang w:val="en-US" w:eastAsia="zh-CN"/>
        </w:rPr>
        <w:t>奖励金</w:t>
      </w:r>
      <w:r>
        <w:rPr>
          <w:rFonts w:hint="eastAsia" w:ascii="仿宋" w:hAnsi="仿宋" w:eastAsia="仿宋"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color w:val="FF0000"/>
          <w:sz w:val="32"/>
          <w:szCs w:val="32"/>
          <w:lang w:val="en-US" w:eastAsia="zh-CN"/>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15.12</w:t>
      </w:r>
      <w:r>
        <w:rPr>
          <w:rFonts w:hint="eastAsia" w:ascii="仿宋" w:hAnsi="仿宋" w:eastAsia="仿宋"/>
          <w:color w:val="000000"/>
          <w:sz w:val="32"/>
          <w:szCs w:val="32"/>
        </w:rPr>
        <w:t>万元，主要包</w:t>
      </w:r>
      <w:r>
        <w:rPr>
          <w:rFonts w:hint="eastAsia" w:ascii="仿宋" w:hAnsi="仿宋" w:eastAsia="仿宋" w:cs="Times New Roman"/>
          <w:color w:val="000000"/>
          <w:sz w:val="32"/>
          <w:szCs w:val="32"/>
        </w:rPr>
        <w:t>括：</w:t>
      </w:r>
      <w:r>
        <w:rPr>
          <w:rFonts w:hint="eastAsia" w:ascii="仿宋" w:hAnsi="仿宋" w:eastAsia="仿宋" w:cs="Times New Roman"/>
          <w:color w:val="000000"/>
          <w:sz w:val="32"/>
          <w:szCs w:val="32"/>
          <w:lang w:val="en-US" w:eastAsia="zh-CN"/>
        </w:rPr>
        <w:t>办公费、电费、差旅费、公务用车运行维护费</w:t>
      </w:r>
      <w:r>
        <w:rPr>
          <w:rFonts w:hint="eastAsia" w:ascii="仿宋" w:hAnsi="仿宋" w:eastAsia="仿宋" w:cs="Times New Roman"/>
          <w:color w:val="000000"/>
          <w:sz w:val="32"/>
          <w:szCs w:val="32"/>
        </w:rPr>
        <w:t>。</w:t>
      </w:r>
    </w:p>
    <w:p>
      <w:pPr>
        <w:spacing w:line="600" w:lineRule="exact"/>
        <w:ind w:firstLine="640"/>
        <w:outlineLvl w:val="1"/>
        <w:rPr>
          <w:rStyle w:val="27"/>
          <w:rFonts w:ascii="黑体" w:hAnsi="黑体" w:eastAsia="黑体"/>
          <w:b w:val="0"/>
        </w:rPr>
      </w:pPr>
      <w:bookmarkStart w:id="74" w:name="_Toc79163619"/>
      <w:bookmarkStart w:id="75" w:name="_Toc15396609"/>
      <w:bookmarkStart w:id="76" w:name="_Toc15377215"/>
      <w:bookmarkStart w:id="77" w:name="_Toc4893"/>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74"/>
      <w:bookmarkEnd w:id="75"/>
      <w:bookmarkEnd w:id="76"/>
      <w:bookmarkEnd w:id="77"/>
    </w:p>
    <w:p>
      <w:pPr>
        <w:spacing w:line="600" w:lineRule="exact"/>
        <w:ind w:firstLine="640"/>
        <w:outlineLvl w:val="2"/>
        <w:rPr>
          <w:rFonts w:ascii="仿宋" w:hAnsi="仿宋" w:eastAsia="仿宋"/>
          <w:b/>
          <w:color w:val="000000"/>
          <w:sz w:val="32"/>
          <w:szCs w:val="32"/>
        </w:rPr>
      </w:pPr>
      <w:bookmarkStart w:id="78" w:name="_Toc15377216"/>
      <w:bookmarkStart w:id="79" w:name="_Toc5266"/>
      <w:bookmarkStart w:id="80" w:name="_Toc79163620"/>
      <w:r>
        <w:rPr>
          <w:rFonts w:hint="eastAsia" w:ascii="仿宋" w:hAnsi="仿宋" w:eastAsia="仿宋"/>
          <w:b/>
          <w:color w:val="000000"/>
          <w:sz w:val="32"/>
          <w:szCs w:val="32"/>
        </w:rPr>
        <w:t>（一）“三公”经费财政拨款支出决算总体情况说明</w:t>
      </w:r>
      <w:bookmarkEnd w:id="78"/>
      <w:bookmarkEnd w:id="79"/>
      <w:bookmarkEnd w:id="80"/>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3.93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0"/>
        <w:outlineLvl w:val="2"/>
        <w:rPr>
          <w:rFonts w:ascii="仿宋" w:hAnsi="仿宋" w:eastAsia="仿宋"/>
          <w:b/>
          <w:color w:val="000000"/>
          <w:sz w:val="32"/>
          <w:szCs w:val="32"/>
        </w:rPr>
      </w:pPr>
      <w:bookmarkStart w:id="81" w:name="_Toc1271"/>
      <w:bookmarkStart w:id="82" w:name="_Toc15377217"/>
      <w:bookmarkStart w:id="83" w:name="_Toc79163621"/>
      <w:r>
        <w:rPr>
          <w:rFonts w:hint="eastAsia" w:ascii="仿宋" w:hAnsi="仿宋" w:eastAsia="仿宋"/>
          <w:b/>
          <w:color w:val="000000"/>
          <w:sz w:val="32"/>
          <w:szCs w:val="32"/>
        </w:rPr>
        <w:t>（二）“三公”经费财政拨款支出决算具体情况说明</w:t>
      </w:r>
      <w:bookmarkEnd w:id="81"/>
      <w:bookmarkEnd w:id="82"/>
      <w:bookmarkEnd w:id="83"/>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3.93</w:t>
      </w:r>
      <w:r>
        <w:rPr>
          <w:rFonts w:hint="eastAsia" w:ascii="仿宋" w:hAnsi="仿宋" w:eastAsia="仿宋"/>
          <w:color w:val="000000"/>
          <w:sz w:val="32"/>
          <w:szCs w:val="32"/>
        </w:rPr>
        <w:t>万元；公务接待费支出决算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pStyle w:val="21"/>
        <w:rPr>
          <w:rFonts w:hint="eastAsia" w:ascii="仿宋_GB2312" w:hAnsi="仿宋" w:eastAsia="仿宋_GB2312"/>
          <w:color w:val="000000"/>
          <w:sz w:val="32"/>
          <w:szCs w:val="32"/>
        </w:rPr>
      </w:pPr>
      <w:r>
        <w:rPr>
          <w:rFonts w:hint="eastAsia" w:ascii="仿宋_GB2312" w:hAnsi="仿宋" w:eastAsia="仿宋_GB2312"/>
          <w:color w:val="000000"/>
          <w:sz w:val="32"/>
          <w:szCs w:val="32"/>
        </w:rPr>
        <w:t>（图8：“三公”经费财政拨款支出结构）（饼状图）</w:t>
      </w: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p>
    <w:p>
      <w:pPr>
        <w:pStyle w:val="21"/>
        <w:rPr>
          <w:rFonts w:hint="eastAsia" w:ascii="仿宋_GB2312" w:hAnsi="仿宋" w:eastAsia="仿宋_GB2312"/>
          <w:color w:val="000000"/>
          <w:sz w:val="32"/>
          <w:szCs w:val="32"/>
        </w:rPr>
      </w:pPr>
      <w:r>
        <w:drawing>
          <wp:anchor distT="0" distB="0" distL="114300" distR="114300" simplePos="0" relativeHeight="251668480" behindDoc="1" locked="0" layoutInCell="1" allowOverlap="1">
            <wp:simplePos x="0" y="0"/>
            <wp:positionH relativeFrom="column">
              <wp:posOffset>410845</wp:posOffset>
            </wp:positionH>
            <wp:positionV relativeFrom="paragraph">
              <wp:posOffset>-1816735</wp:posOffset>
            </wp:positionV>
            <wp:extent cx="4622165" cy="2080260"/>
            <wp:effectExtent l="4445" t="4445" r="8890" b="10795"/>
            <wp:wrapNone/>
            <wp:docPr id="1227"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本年度无因公出国（境）经费支出</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3.93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0.50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w:t>
      </w:r>
      <w:r>
        <w:rPr>
          <w:rFonts w:hint="eastAsia" w:ascii="仿宋_GB2312" w:eastAsia="仿宋_GB2312"/>
          <w:color w:val="000000"/>
          <w:sz w:val="32"/>
          <w:szCs w:val="32"/>
        </w:rPr>
        <w:t>降</w:t>
      </w:r>
      <w:r>
        <w:rPr>
          <w:rFonts w:hint="eastAsia" w:ascii="仿宋_GB2312" w:eastAsia="仿宋_GB2312"/>
          <w:color w:val="000000"/>
          <w:sz w:val="32"/>
          <w:szCs w:val="32"/>
          <w:lang w:val="en-US" w:eastAsia="zh-CN"/>
        </w:rPr>
        <w:t>11.28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车辆使用减少</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3.93</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hAnsi="仿宋" w:eastAsia="仿宋"/>
          <w:b w:val="0"/>
          <w:bCs/>
          <w:color w:val="000000"/>
          <w:sz w:val="32"/>
          <w:szCs w:val="32"/>
        </w:rPr>
        <w:t>完成预算</w:t>
      </w:r>
      <w:r>
        <w:rPr>
          <w:rStyle w:val="24"/>
          <w:rFonts w:hint="eastAsia" w:ascii="仿宋" w:hAnsi="仿宋" w:eastAsia="仿宋"/>
          <w:b w:val="0"/>
          <w:bCs/>
          <w:color w:val="000000"/>
          <w:sz w:val="32"/>
          <w:szCs w:val="32"/>
          <w:lang w:val="en-US" w:eastAsia="zh-CN"/>
        </w:rPr>
        <w:t>100</w:t>
      </w:r>
      <w:r>
        <w:rPr>
          <w:rStyle w:val="24"/>
          <w:rFonts w:ascii="仿宋" w:hAnsi="仿宋" w:eastAsia="仿宋"/>
          <w:b w:val="0"/>
          <w:bCs/>
          <w:color w:val="000000"/>
          <w:sz w:val="32"/>
          <w:szCs w:val="32"/>
        </w:rPr>
        <w:t>%</w:t>
      </w:r>
      <w:r>
        <w:rPr>
          <w:rStyle w:val="2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本年度无公务接待费支出</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Style w:val="27"/>
          <w:rFonts w:ascii="黑体" w:hAnsi="黑体" w:eastAsia="黑体"/>
        </w:rPr>
      </w:pPr>
      <w:bookmarkStart w:id="84" w:name="_Toc2602"/>
      <w:bookmarkStart w:id="85" w:name="_Toc15396610"/>
      <w:bookmarkStart w:id="86" w:name="_Toc79163622"/>
      <w:bookmarkStart w:id="87" w:name="_Toc15377218"/>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84"/>
      <w:bookmarkEnd w:id="85"/>
      <w:bookmarkEnd w:id="86"/>
      <w:bookmarkEnd w:id="8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firstLine="640"/>
        <w:outlineLvl w:val="1"/>
        <w:rPr>
          <w:rStyle w:val="27"/>
          <w:rFonts w:ascii="黑体" w:hAnsi="黑体" w:eastAsia="黑体"/>
          <w:b w:val="0"/>
        </w:rPr>
      </w:pPr>
      <w:bookmarkStart w:id="88" w:name="_Toc6497"/>
      <w:bookmarkStart w:id="89" w:name="_Toc15377219"/>
      <w:bookmarkStart w:id="90" w:name="_Toc79163623"/>
      <w:bookmarkStart w:id="91" w:name="_Toc15396611"/>
      <w:r>
        <w:rPr>
          <w:rStyle w:val="27"/>
          <w:rFonts w:hint="eastAsia" w:ascii="黑体" w:hAnsi="黑体" w:eastAsia="黑体"/>
          <w:b w:val="0"/>
        </w:rPr>
        <w:t>国有资本经营预算支出决算情况说明</w:t>
      </w:r>
      <w:bookmarkEnd w:id="88"/>
      <w:bookmarkEnd w:id="89"/>
      <w:bookmarkEnd w:id="90"/>
      <w:bookmarkEnd w:id="9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7"/>
          <w:rFonts w:ascii="黑体" w:hAnsi="黑体" w:eastAsia="黑体"/>
        </w:rPr>
      </w:pPr>
      <w:bookmarkStart w:id="92" w:name="_Toc79163624"/>
      <w:bookmarkStart w:id="93" w:name="_Toc27000"/>
      <w:bookmarkStart w:id="94" w:name="_Toc15377221"/>
      <w:bookmarkStart w:id="95" w:name="_Toc15396612"/>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92"/>
      <w:bookmarkEnd w:id="93"/>
      <w:bookmarkEnd w:id="94"/>
      <w:bookmarkEnd w:id="95"/>
    </w:p>
    <w:p>
      <w:pPr>
        <w:spacing w:line="600" w:lineRule="exact"/>
        <w:ind w:firstLine="643" w:firstLineChars="200"/>
        <w:outlineLvl w:val="2"/>
        <w:rPr>
          <w:rFonts w:ascii="仿宋" w:hAnsi="仿宋" w:eastAsia="仿宋"/>
          <w:color w:val="000000"/>
          <w:sz w:val="32"/>
          <w:szCs w:val="32"/>
        </w:rPr>
      </w:pPr>
      <w:bookmarkStart w:id="96" w:name="_Toc79163625"/>
      <w:bookmarkStart w:id="97" w:name="_Toc12652"/>
      <w:bookmarkStart w:id="98" w:name="_Toc15377222"/>
      <w:r>
        <w:rPr>
          <w:rFonts w:hint="eastAsia" w:ascii="仿宋" w:hAnsi="仿宋" w:eastAsia="仿宋"/>
          <w:b/>
          <w:color w:val="000000"/>
          <w:sz w:val="32"/>
          <w:szCs w:val="32"/>
        </w:rPr>
        <w:t>（一）机关运行经费支出情况</w:t>
      </w:r>
      <w:bookmarkEnd w:id="96"/>
      <w:bookmarkEnd w:id="97"/>
      <w:bookmarkEnd w:id="98"/>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 w:hAnsi="仿宋" w:eastAsia="仿宋"/>
          <w:sz w:val="32"/>
          <w:szCs w:val="32"/>
          <w:lang w:val="en-US" w:eastAsia="zh-CN"/>
        </w:rPr>
        <w:t>壤塘县经济商务和信息化局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15.12</w:t>
      </w:r>
      <w:r>
        <w:rPr>
          <w:rFonts w:hint="eastAsia" w:ascii="仿宋_GB2312" w:eastAsia="仿宋_GB2312"/>
          <w:color w:val="000000"/>
          <w:sz w:val="32"/>
          <w:szCs w:val="32"/>
        </w:rPr>
        <w:t>万元，比</w:t>
      </w:r>
      <w:r>
        <w:rPr>
          <w:rFonts w:ascii="仿宋_GB2312" w:eastAsia="仿宋_GB2312"/>
          <w:color w:val="000000"/>
          <w:sz w:val="32"/>
          <w:szCs w:val="32"/>
        </w:rPr>
        <w:t>2019</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7.22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32.33</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主要原因是单位厉行节约</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9" w:name="_Toc15377223"/>
      <w:bookmarkStart w:id="100" w:name="_Toc79163626"/>
      <w:bookmarkStart w:id="101" w:name="_Toc23706"/>
      <w:r>
        <w:rPr>
          <w:rFonts w:hint="eastAsia" w:ascii="仿宋" w:hAnsi="仿宋" w:eastAsia="仿宋"/>
          <w:b/>
          <w:color w:val="000000"/>
          <w:sz w:val="32"/>
          <w:szCs w:val="32"/>
        </w:rPr>
        <w:t>（二）政府采购支出情况</w:t>
      </w:r>
      <w:bookmarkEnd w:id="99"/>
      <w:bookmarkEnd w:id="100"/>
      <w:bookmarkEnd w:id="10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壤塘县</w:t>
      </w:r>
      <w:r>
        <w:rPr>
          <w:rFonts w:hint="eastAsia" w:ascii="仿宋" w:hAnsi="仿宋" w:eastAsia="仿宋"/>
          <w:sz w:val="32"/>
          <w:szCs w:val="32"/>
          <w:lang w:val="en-US" w:eastAsia="zh-CN"/>
        </w:rPr>
        <w:t>经济商务和信息化局</w:t>
      </w:r>
      <w:r>
        <w:rPr>
          <w:rFonts w:hint="eastAsia" w:ascii="仿宋_GB2312" w:hAnsi="Times New Roman" w:eastAsia="仿宋_GB2312" w:cs="Times New Roman"/>
          <w:color w:val="000000"/>
          <w:sz w:val="32"/>
          <w:szCs w:val="32"/>
        </w:rPr>
        <w:t>政府采购支出总额</w:t>
      </w:r>
      <w:r>
        <w:rPr>
          <w:rFonts w:hint="eastAsia" w:ascii="仿宋_GB2312"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万元，</w:t>
      </w:r>
      <w:r>
        <w:rPr>
          <w:rFonts w:hint="eastAsia" w:ascii="仿宋_GB2312" w:eastAsia="仿宋_GB2312"/>
          <w:color w:val="000000"/>
          <w:sz w:val="32"/>
          <w:szCs w:val="32"/>
        </w:rPr>
        <w:t>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2" w:name="_Toc79163627"/>
      <w:bookmarkStart w:id="103" w:name="_Toc15377224"/>
      <w:bookmarkStart w:id="104" w:name="_Toc3807"/>
      <w:r>
        <w:rPr>
          <w:rFonts w:hint="eastAsia" w:ascii="仿宋" w:hAnsi="仿宋" w:eastAsia="仿宋"/>
          <w:b/>
          <w:color w:val="000000"/>
          <w:sz w:val="32"/>
          <w:szCs w:val="32"/>
        </w:rPr>
        <w:t>（三）国有资产占有使用情况</w:t>
      </w:r>
      <w:bookmarkEnd w:id="102"/>
      <w:bookmarkEnd w:id="103"/>
      <w:bookmarkEnd w:id="10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Times New Roman" w:eastAsia="仿宋_GB2312" w:cs="Times New Roman"/>
          <w:color w:val="000000"/>
          <w:sz w:val="32"/>
          <w:szCs w:val="32"/>
          <w:lang w:val="en-US" w:eastAsia="zh-CN"/>
        </w:rPr>
        <w:t>壤塘县</w:t>
      </w:r>
      <w:r>
        <w:rPr>
          <w:rFonts w:hint="eastAsia" w:ascii="仿宋" w:hAnsi="仿宋" w:eastAsia="仿宋"/>
          <w:sz w:val="32"/>
          <w:szCs w:val="32"/>
          <w:lang w:val="en-US" w:eastAsia="zh-CN"/>
        </w:rPr>
        <w:t>经济商务和信息化局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5" w:name="_Toc26064"/>
      <w:bookmarkStart w:id="106" w:name="_Toc79163628"/>
      <w:r>
        <w:rPr>
          <w:rFonts w:hint="eastAsia" w:ascii="仿宋" w:hAnsi="仿宋" w:eastAsia="仿宋"/>
          <w:b/>
          <w:color w:val="000000"/>
          <w:sz w:val="32"/>
          <w:szCs w:val="32"/>
        </w:rPr>
        <w:t>（四）预算绩效管理情况</w:t>
      </w:r>
      <w:bookmarkEnd w:id="105"/>
      <w:bookmarkEnd w:id="106"/>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根据预算绩效管理要求，本单位2020年初预算编制阶段，无专项项目资金，本年无项目支出绩效自评。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本部门按要求对2020年部门整体支出开展绩效自评，从评价情况来看，我单位2020年目标任务基本完成，预算执行情况较好。</w:t>
      </w:r>
    </w:p>
    <w:p>
      <w:pPr>
        <w:spacing w:line="580" w:lineRule="exact"/>
        <w:ind w:left="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项目绩效目标完成情况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本年度无项目绩效</w:t>
      </w:r>
      <w:r>
        <w:rPr>
          <w:rFonts w:hint="eastAsia" w:ascii="仿宋_GB2312" w:hAnsi="仿宋_GB2312" w:eastAsia="仿宋_GB2312" w:cs="仿宋_GB2312"/>
          <w:sz w:val="32"/>
          <w:szCs w:val="32"/>
          <w:lang w:eastAsia="zh-CN"/>
        </w:rPr>
        <w:t>。</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Times New Roman" w:eastAsia="仿宋_GB2312" w:cs="Times New Roman"/>
          <w:color w:val="000000"/>
          <w:sz w:val="32"/>
          <w:szCs w:val="32"/>
          <w:lang w:val="en-US" w:eastAsia="zh-CN"/>
        </w:rPr>
        <w:t>壤塘县</w:t>
      </w:r>
      <w:r>
        <w:rPr>
          <w:rFonts w:hint="eastAsia" w:ascii="仿宋" w:hAnsi="仿宋" w:eastAsia="仿宋"/>
          <w:sz w:val="32"/>
          <w:szCs w:val="32"/>
          <w:lang w:val="en-US" w:eastAsia="zh-CN"/>
        </w:rPr>
        <w:t>经济商务和信息化局</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107" w:name="_Toc15396613"/>
      <w:bookmarkStart w:id="108" w:name="_Toc29920"/>
      <w:bookmarkStart w:id="109" w:name="_Toc15409"/>
      <w:bookmarkStart w:id="110" w:name="_Toc15377225"/>
      <w:bookmarkStart w:id="111"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107"/>
      <w:bookmarkEnd w:id="108"/>
      <w:bookmarkEnd w:id="109"/>
      <w:bookmarkEnd w:id="110"/>
      <w:bookmarkEnd w:id="111"/>
    </w:p>
    <w:p>
      <w:pPr>
        <w:spacing w:line="600" w:lineRule="exact"/>
        <w:jc w:val="left"/>
        <w:rPr>
          <w:rFonts w:ascii="宋体"/>
          <w:b/>
          <w:color w:val="000000"/>
          <w:sz w:val="44"/>
          <w:szCs w:val="44"/>
        </w:rPr>
      </w:pPr>
    </w:p>
    <w:p>
      <w:pPr>
        <w:pStyle w:val="36"/>
        <w:spacing w:line="560" w:lineRule="exact"/>
        <w:ind w:firstLine="640" w:firstLineChars="200"/>
        <w:rPr>
          <w:rFonts w:ascii="仿宋_GB2312" w:eastAsia="仿宋_GB2312"/>
          <w:sz w:val="32"/>
          <w:szCs w:val="32"/>
        </w:rPr>
      </w:pPr>
      <w:bookmarkStart w:id="112"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36"/>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机关事业</w:t>
      </w:r>
      <w:r>
        <w:rPr>
          <w:rFonts w:hint="eastAsia" w:ascii="仿宋_GB2312" w:eastAsia="仿宋_GB2312"/>
          <w:color w:val="000000"/>
          <w:sz w:val="32"/>
          <w:szCs w:val="32"/>
          <w:lang w:eastAsia="zh-CN"/>
        </w:rPr>
        <w:t>单位</w:t>
      </w:r>
      <w:r>
        <w:rPr>
          <w:rFonts w:hint="eastAsia" w:ascii="仿宋_GB2312" w:eastAsia="仿宋_GB2312"/>
          <w:color w:val="000000"/>
          <w:sz w:val="32"/>
          <w:szCs w:val="32"/>
          <w:lang w:val="en-US" w:eastAsia="zh-CN"/>
        </w:rPr>
        <w:t>实施养老保险制度由单位缴纳的基本养老保险费支出</w:t>
      </w:r>
      <w:r>
        <w:rPr>
          <w:rFonts w:hint="eastAsia" w:ascii="仿宋_GB2312" w:eastAsia="仿宋_GB2312"/>
          <w:color w:val="000000"/>
          <w:sz w:val="32"/>
          <w:szCs w:val="32"/>
        </w:rPr>
        <w:t>。</w:t>
      </w:r>
    </w:p>
    <w:p>
      <w:pPr>
        <w:pStyle w:val="21"/>
        <w:rPr>
          <w:rFonts w:hint="default" w:eastAsia="仿宋_GB2312"/>
          <w:lang w:val="en-US"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行政事业单位</w:t>
      </w:r>
      <w:r>
        <w:rPr>
          <w:rFonts w:hint="eastAsia" w:ascii="仿宋_GB2312" w:eastAsia="仿宋_GB2312"/>
          <w:color w:val="000000"/>
          <w:sz w:val="32"/>
          <w:szCs w:val="32"/>
          <w:lang w:val="en-US" w:eastAsia="zh-CN"/>
        </w:rPr>
        <w:t>养老支出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w:t>
      </w:r>
      <w:r>
        <w:rPr>
          <w:rFonts w:hint="eastAsia" w:ascii="仿宋_GB2312" w:eastAsia="仿宋_GB2312"/>
          <w:color w:val="000000"/>
          <w:sz w:val="32"/>
          <w:szCs w:val="32"/>
          <w:lang w:val="en-US" w:eastAsia="zh-CN"/>
        </w:rPr>
        <w:t>职业年金</w:t>
      </w:r>
      <w:r>
        <w:rPr>
          <w:rFonts w:hint="eastAsia" w:ascii="仿宋_GB2312" w:eastAsia="仿宋_GB2312"/>
          <w:color w:val="000000"/>
          <w:sz w:val="32"/>
          <w:szCs w:val="32"/>
          <w:lang w:eastAsia="zh-CN"/>
        </w:rPr>
        <w:t>缴费支出</w:t>
      </w:r>
      <w:r>
        <w:rPr>
          <w:rFonts w:hint="eastAsia" w:ascii="仿宋_GB2312" w:eastAsia="仿宋_GB2312"/>
          <w:color w:val="000000"/>
          <w:sz w:val="32"/>
          <w:szCs w:val="32"/>
        </w:rPr>
        <w:t>（项）：指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一般公共服务支出</w:t>
      </w:r>
      <w:r>
        <w:rPr>
          <w:rFonts w:hint="eastAsia" w:ascii="仿宋_GB2312" w:hAnsi="Times New Roman" w:eastAsia="仿宋_GB2312" w:cs="Times New Roman"/>
          <w:color w:val="000000"/>
          <w:sz w:val="32"/>
          <w:szCs w:val="32"/>
          <w:lang w:eastAsia="zh-CN"/>
        </w:rPr>
        <w:t>（类）</w:t>
      </w:r>
      <w:r>
        <w:rPr>
          <w:rFonts w:hint="eastAsia" w:ascii="仿宋_GB2312" w:hAnsi="Times New Roman" w:eastAsia="仿宋_GB2312" w:cs="Times New Roman"/>
          <w:color w:val="000000"/>
          <w:sz w:val="32"/>
          <w:szCs w:val="32"/>
          <w:lang w:val="en-US" w:eastAsia="zh-CN"/>
        </w:rPr>
        <w:t>人力资源事务</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引进人才费用</w:t>
      </w:r>
      <w:r>
        <w:rPr>
          <w:rFonts w:hint="eastAsia" w:ascii="仿宋_GB2312" w:hAnsi="Times New Roman" w:eastAsia="仿宋_GB2312" w:cs="Times New Roman"/>
          <w:color w:val="000000"/>
          <w:sz w:val="32"/>
          <w:szCs w:val="32"/>
          <w:lang w:eastAsia="zh-CN"/>
        </w:rPr>
        <w:t>（项）：指</w:t>
      </w:r>
      <w:r>
        <w:rPr>
          <w:rFonts w:hint="eastAsia" w:ascii="仿宋_GB2312" w:hAnsi="Times New Roman" w:eastAsia="仿宋_GB2312" w:cs="Times New Roman"/>
          <w:color w:val="000000"/>
          <w:sz w:val="32"/>
          <w:szCs w:val="32"/>
          <w:lang w:val="en-US" w:eastAsia="zh-CN"/>
        </w:rPr>
        <w:t>按规定用于</w:t>
      </w:r>
      <w:r>
        <w:rPr>
          <w:rFonts w:hint="eastAsia" w:ascii="仿宋_GB2312" w:eastAsia="仿宋_GB2312" w:cs="Times New Roman"/>
          <w:color w:val="000000"/>
          <w:sz w:val="32"/>
          <w:szCs w:val="32"/>
          <w:lang w:val="en-US" w:eastAsia="zh-CN"/>
        </w:rPr>
        <w:t>人力资源中引进人才的费用</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10</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卫生健康支出</w:t>
      </w:r>
      <w:r>
        <w:rPr>
          <w:rFonts w:hint="eastAsia" w:ascii="仿宋_GB2312" w:hAnsi="Times New Roman" w:eastAsia="仿宋_GB2312" w:cs="Times New Roman"/>
          <w:color w:val="000000"/>
          <w:sz w:val="32"/>
          <w:szCs w:val="32"/>
          <w:lang w:eastAsia="zh-CN"/>
        </w:rPr>
        <w:t>（类）行政事业单位医疗（款）行政单位医疗（项）：指财政部门集中安排的行政单位基本医疗保险缴费经费。</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农林水支出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农业农村</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科技转化与推广服务（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用于农业科技成果转化，农业新品种、新机具、新技术引进、试验、示范。推广及服务农村人居环境整治等方面的技术试验示范支出</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资源勘探工业信息等支出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制造业</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其他制造业支出（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其他用于制造业方面的支出</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13</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资源勘探工业信息等支出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支持中小企业发展和管理支出</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中小企业发展专项（</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用于支持中小企业公共服务体系和融资服务体系建设等方面的支出</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14</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行政运行（</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一般行政管理事务（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民贸企业补贴（</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按规定补助优抚对象的医疗经费</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商业流通事务</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其他商业流通事务支出（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其他用于商业流通事务方面的支出</w:t>
      </w:r>
      <w:r>
        <w:rPr>
          <w:rFonts w:hint="eastAsia" w:ascii="仿宋_GB2312" w:hAnsi="Times New Roman" w:eastAsia="仿宋_GB2312" w:cs="Times New Roman"/>
          <w:color w:val="000000"/>
          <w:sz w:val="32"/>
          <w:szCs w:val="32"/>
          <w:lang w:eastAsia="zh-CN"/>
        </w:rPr>
        <w:t>。</w:t>
      </w:r>
    </w:p>
    <w:p>
      <w:pPr>
        <w:pStyle w:val="21"/>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18</w:t>
      </w:r>
      <w:r>
        <w:rPr>
          <w:rFonts w:hint="eastAsia" w:ascii="仿宋_GB2312" w:hAnsi="Times New Roman" w:eastAsia="仿宋_GB2312" w:cs="Times New Roman"/>
          <w:color w:val="000000"/>
          <w:sz w:val="32"/>
          <w:szCs w:val="32"/>
          <w:lang w:eastAsia="zh-CN"/>
        </w:rPr>
        <w:t>.</w:t>
      </w:r>
      <w:r>
        <w:rPr>
          <w:rFonts w:hint="eastAsia" w:ascii="仿宋_GB2312" w:eastAsia="仿宋_GB2312" w:cs="Times New Roman"/>
          <w:color w:val="000000"/>
          <w:sz w:val="32"/>
          <w:szCs w:val="32"/>
          <w:lang w:val="en-US" w:eastAsia="zh-CN"/>
        </w:rPr>
        <w:t>商业服务业等支出</w:t>
      </w:r>
      <w:r>
        <w:rPr>
          <w:rFonts w:hint="eastAsia" w:ascii="仿宋_GB2312" w:hAnsi="Times New Roman" w:eastAsia="仿宋_GB2312" w:cs="Times New Roman"/>
          <w:color w:val="000000"/>
          <w:sz w:val="32"/>
          <w:szCs w:val="32"/>
          <w:lang w:eastAsia="zh-CN"/>
        </w:rPr>
        <w:t>（类）</w:t>
      </w:r>
      <w:r>
        <w:rPr>
          <w:rFonts w:hint="eastAsia" w:ascii="仿宋_GB2312" w:eastAsia="仿宋_GB2312" w:cs="Times New Roman"/>
          <w:color w:val="000000"/>
          <w:sz w:val="32"/>
          <w:szCs w:val="32"/>
          <w:lang w:val="en-US" w:eastAsia="zh-CN"/>
        </w:rPr>
        <w:t>其他商业服务业等支出</w:t>
      </w:r>
      <w:r>
        <w:rPr>
          <w:rFonts w:hint="eastAsia" w:ascii="仿宋_GB2312" w:hAnsi="Times New Roman" w:eastAsia="仿宋_GB2312" w:cs="Times New Roman"/>
          <w:color w:val="000000"/>
          <w:sz w:val="32"/>
          <w:szCs w:val="32"/>
          <w:lang w:eastAsia="zh-CN"/>
        </w:rPr>
        <w:t>（款）</w:t>
      </w:r>
      <w:r>
        <w:rPr>
          <w:rFonts w:hint="eastAsia" w:ascii="仿宋_GB2312" w:eastAsia="仿宋_GB2312" w:cs="Times New Roman"/>
          <w:color w:val="000000"/>
          <w:sz w:val="32"/>
          <w:szCs w:val="32"/>
          <w:lang w:val="en-US" w:eastAsia="zh-CN"/>
        </w:rPr>
        <w:t xml:space="preserve">  其他商业流通事务支出（</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在商业服务业中其他用于商业流通事务方面的支出</w:t>
      </w:r>
      <w:r>
        <w:rPr>
          <w:rFonts w:hint="eastAsia" w:ascii="仿宋_GB2312" w:hAnsi="Times New Roman" w:eastAsia="仿宋_GB2312" w:cs="Times New Roman"/>
          <w:color w:val="000000"/>
          <w:sz w:val="32"/>
          <w:szCs w:val="32"/>
          <w:lang w:eastAsia="zh-CN"/>
        </w:rPr>
        <w:t>。</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19</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20</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21</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22</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2</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r>
        <w:rPr>
          <w:rFonts w:ascii="宋体"/>
          <w:b/>
          <w:color w:val="000000"/>
          <w:sz w:val="44"/>
          <w:szCs w:val="44"/>
        </w:rPr>
        <w:br w:type="page"/>
      </w:r>
      <w:bookmarkStart w:id="113" w:name="_Toc15396614"/>
      <w:bookmarkStart w:id="114" w:name="_Toc25965"/>
      <w:bookmarkStart w:id="115" w:name="_Toc31265"/>
      <w:bookmarkStart w:id="116" w:name="_Toc79163630"/>
      <w:r>
        <w:rPr>
          <w:rFonts w:hint="eastAsia" w:ascii="黑体" w:hAnsi="黑体" w:eastAsia="黑体"/>
          <w:color w:val="000000"/>
          <w:sz w:val="44"/>
          <w:szCs w:val="44"/>
        </w:rPr>
        <w:t>第</w:t>
      </w:r>
      <w:r>
        <w:rPr>
          <w:rStyle w:val="26"/>
          <w:rFonts w:hint="eastAsia" w:ascii="黑体" w:hAnsi="黑体" w:eastAsia="黑体"/>
          <w:b w:val="0"/>
        </w:rPr>
        <w:t>四部分</w:t>
      </w:r>
      <w:r>
        <w:rPr>
          <w:rStyle w:val="26"/>
          <w:rFonts w:ascii="黑体" w:hAnsi="黑体" w:eastAsia="黑体"/>
          <w:b w:val="0"/>
        </w:rPr>
        <w:t xml:space="preserve"> </w:t>
      </w:r>
      <w:r>
        <w:rPr>
          <w:rStyle w:val="26"/>
          <w:rFonts w:hint="eastAsia" w:ascii="黑体" w:hAnsi="黑体" w:eastAsia="黑体"/>
          <w:b w:val="0"/>
        </w:rPr>
        <w:t>附件</w:t>
      </w:r>
      <w:bookmarkEnd w:id="113"/>
      <w:bookmarkEnd w:id="114"/>
      <w:bookmarkEnd w:id="115"/>
      <w:bookmarkEnd w:id="116"/>
    </w:p>
    <w:p>
      <w:pPr>
        <w:spacing w:line="600" w:lineRule="exact"/>
        <w:jc w:val="left"/>
        <w:outlineLvl w:val="0"/>
        <w:rPr>
          <w:rFonts w:ascii="方正小标宋简体" w:hAnsi="方正小标宋简体" w:eastAsia="方正小标宋简体" w:cs="方正小标宋简体"/>
          <w:sz w:val="32"/>
          <w:szCs w:val="32"/>
        </w:rPr>
      </w:pPr>
      <w:bookmarkStart w:id="117" w:name="_Toc17676"/>
      <w:bookmarkStart w:id="118" w:name="_Toc23740"/>
      <w:bookmarkStart w:id="119" w:name="_Toc79163631"/>
      <w:r>
        <w:rPr>
          <w:rFonts w:hint="eastAsia" w:ascii="黑体" w:hAnsi="黑体" w:eastAsia="黑体" w:cs="黑体"/>
          <w:sz w:val="32"/>
          <w:szCs w:val="32"/>
        </w:rPr>
        <w:t>附件</w:t>
      </w:r>
      <w:r>
        <w:rPr>
          <w:rFonts w:ascii="黑体" w:hAnsi="黑体" w:eastAsia="黑体" w:cs="黑体"/>
          <w:sz w:val="32"/>
          <w:szCs w:val="32"/>
        </w:rPr>
        <w:t>1</w:t>
      </w:r>
      <w:bookmarkEnd w:id="117"/>
      <w:bookmarkEnd w:id="118"/>
      <w:bookmarkEnd w:id="119"/>
    </w:p>
    <w:p>
      <w:pPr>
        <w:spacing w:line="580" w:lineRule="exact"/>
        <w:jc w:val="center"/>
        <w:rPr>
          <w:rFonts w:ascii="方正小标宋简体" w:hAnsi="方正小标宋简体" w:eastAsia="方正小标宋简体" w:cs="方正小标宋简体"/>
          <w:sz w:val="44"/>
          <w:szCs w:val="44"/>
        </w:rPr>
      </w:pPr>
    </w:p>
    <w:p>
      <w:pPr>
        <w:spacing w:before="312" w:beforeLines="100" w:line="700" w:lineRule="exact"/>
        <w:jc w:val="center"/>
        <w:rPr>
          <w:rFonts w:asciiTheme="minorEastAsia" w:hAnsiTheme="minorEastAsia" w:cstheme="minorEastAsia"/>
          <w:b/>
          <w:bCs/>
          <w:kern w:val="0"/>
          <w:sz w:val="44"/>
          <w:szCs w:val="44"/>
        </w:rPr>
      </w:pPr>
      <w:r>
        <w:rPr>
          <w:rFonts w:hint="eastAsia" w:asciiTheme="minorEastAsia" w:hAnsiTheme="minorEastAsia" w:cstheme="minorEastAsia"/>
          <w:b/>
          <w:bCs/>
          <w:kern w:val="0"/>
          <w:sz w:val="44"/>
          <w:szCs w:val="44"/>
        </w:rPr>
        <w:t>壤塘县经济商务和信息化局2020年度部门整体支出绩效评价自评报告</w:t>
      </w:r>
    </w:p>
    <w:p>
      <w:pPr>
        <w:spacing w:line="360" w:lineRule="auto"/>
        <w:rPr>
          <w:rFonts w:asciiTheme="minorEastAsia" w:hAnsiTheme="minorEastAsia" w:cstheme="minorEastAsia"/>
          <w:kern w:val="0"/>
          <w:szCs w:val="21"/>
        </w:rPr>
      </w:pPr>
    </w:p>
    <w:p>
      <w:pPr>
        <w:numPr>
          <w:ilvl w:val="0"/>
          <w:numId w:val="0"/>
        </w:num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部门（单位）概况</w:t>
      </w:r>
    </w:p>
    <w:p>
      <w:pPr>
        <w:spacing w:line="360" w:lineRule="auto"/>
        <w:ind w:firstLine="640" w:firstLineChars="200"/>
        <w:rPr>
          <w:rFonts w:ascii="仿宋_GB2312" w:hAnsi="仿宋_GB2312" w:eastAsia="仿宋_GB2312" w:cs="仿宋_GB2312"/>
          <w:color w:val="FF0000"/>
          <w:sz w:val="32"/>
          <w:szCs w:val="32"/>
        </w:rPr>
      </w:pPr>
      <w:r>
        <w:rPr>
          <w:rFonts w:ascii="Times New Roman" w:hAnsi="Times New Roman" w:eastAsia="仿宋_GB2312" w:cs="Times New Roman"/>
          <w:sz w:val="32"/>
          <w:szCs w:val="32"/>
        </w:rPr>
        <w:t>壤塘县经济商务和信息化局是壤塘县人民政府工作部门，为正科级</w:t>
      </w:r>
      <w:r>
        <w:rPr>
          <w:rFonts w:hint="eastAsia" w:ascii="Times New Roman" w:hAnsi="Times New Roman" w:eastAsia="仿宋_GB2312" w:cs="Times New Roman"/>
          <w:sz w:val="32"/>
          <w:szCs w:val="32"/>
        </w:rPr>
        <w:t>；单位负责人：樊兴建</w:t>
      </w:r>
      <w:r>
        <w:rPr>
          <w:rFonts w:ascii="Times New Roman" w:hAnsi="Times New Roman" w:eastAsia="仿宋_GB2312" w:cs="Times New Roman"/>
          <w:sz w:val="32"/>
          <w:szCs w:val="32"/>
        </w:rPr>
        <w:t>。</w:t>
      </w:r>
    </w:p>
    <w:p>
      <w:pPr>
        <w:pStyle w:val="41"/>
        <w:numPr>
          <w:ilvl w:val="0"/>
          <w:numId w:val="5"/>
        </w:numPr>
        <w:spacing w:line="360" w:lineRule="auto"/>
        <w:ind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机构组成</w:t>
      </w:r>
    </w:p>
    <w:p>
      <w:pPr>
        <w:spacing w:line="52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壤塘县经济商务和信息化局</w:t>
      </w:r>
      <w:r>
        <w:rPr>
          <w:rFonts w:hint="eastAsia" w:ascii="仿宋_GB2312" w:hAnsi="仿宋_GB2312" w:eastAsia="仿宋_GB2312" w:cs="仿宋_GB2312"/>
          <w:sz w:val="32"/>
          <w:szCs w:val="32"/>
        </w:rPr>
        <w:t>内设综合办公室。</w:t>
      </w:r>
    </w:p>
    <w:p>
      <w:pPr>
        <w:spacing w:line="560" w:lineRule="exact"/>
        <w:ind w:firstLine="640" w:firstLineChars="200"/>
        <w:rPr>
          <w:rFonts w:ascii="Times New Roman" w:hAnsi="Times New Roman" w:eastAsia="仿宋_GB2312" w:cs="Times New Roman"/>
          <w:b/>
          <w:bCs/>
          <w:kern w:val="0"/>
          <w:sz w:val="32"/>
          <w:szCs w:val="32"/>
        </w:rPr>
      </w:pPr>
      <w:r>
        <w:rPr>
          <w:rFonts w:hint="eastAsia" w:ascii="仿宋_GB2312" w:hAnsi="仿宋_GB2312" w:eastAsia="仿宋_GB2312" w:cs="仿宋_GB2312"/>
          <w:sz w:val="32"/>
          <w:szCs w:val="32"/>
        </w:rPr>
        <w:t>综合办公室。</w:t>
      </w:r>
      <w:r>
        <w:rPr>
          <w:rFonts w:ascii="Times New Roman" w:hAnsi="Times New Roman" w:eastAsia="仿宋_GB2312" w:cs="Times New Roman"/>
          <w:sz w:val="32"/>
          <w:szCs w:val="32"/>
        </w:rPr>
        <w:t>负责机关文秘、保密、信访、文书、档案、提案议案、机关财务、资产管理、会议组织、会议决定事项督办、机关后勤、人事、车辆、人头档案、机构编制。管理局机关工、青、妇等群团组织。负责机关的普法、社会治安综合治理、创“四优”工作、反腐败斗争、党风廉政建设和民族团结示范创建等工作。负责机关行政复议和行政诉讼工作</w:t>
      </w:r>
      <w:r>
        <w:rPr>
          <w:rFonts w:hint="eastAsia" w:eastAsia="仿宋_GB2312" w:cs="Times New Roman"/>
          <w:sz w:val="32"/>
          <w:szCs w:val="32"/>
          <w:lang w:eastAsia="zh-CN"/>
        </w:rPr>
        <w:t>；</w:t>
      </w:r>
      <w:r>
        <w:rPr>
          <w:rFonts w:ascii="Times New Roman" w:hAnsi="Times New Roman" w:eastAsia="仿宋_GB2312" w:cs="Times New Roman"/>
          <w:sz w:val="32"/>
          <w:szCs w:val="32"/>
        </w:rPr>
        <w:t>负责本局离退休人员的管理和服务工作。负责本局财务等事务性工作，承办机关工作人员</w:t>
      </w:r>
      <w:r>
        <w:rPr>
          <w:rFonts w:hint="eastAsia" w:eastAsia="仿宋_GB2312" w:cs="Times New Roman"/>
          <w:sz w:val="32"/>
          <w:szCs w:val="32"/>
          <w:lang w:eastAsia="zh-CN"/>
        </w:rPr>
        <w:t>（</w:t>
      </w:r>
      <w:r>
        <w:rPr>
          <w:rFonts w:ascii="Times New Roman" w:hAnsi="Times New Roman" w:eastAsia="仿宋_GB2312" w:cs="Times New Roman"/>
          <w:sz w:val="32"/>
          <w:szCs w:val="32"/>
        </w:rPr>
        <w:t>含离退休人员</w:t>
      </w:r>
      <w:r>
        <w:rPr>
          <w:rFonts w:hint="eastAsia" w:eastAsia="仿宋_GB2312" w:cs="Times New Roman"/>
          <w:sz w:val="32"/>
          <w:szCs w:val="32"/>
          <w:lang w:eastAsia="zh-CN"/>
        </w:rPr>
        <w:t>）</w:t>
      </w:r>
      <w:r>
        <w:rPr>
          <w:rFonts w:ascii="Times New Roman" w:hAnsi="Times New Roman" w:eastAsia="仿宋_GB2312" w:cs="Times New Roman"/>
          <w:sz w:val="32"/>
          <w:szCs w:val="32"/>
        </w:rPr>
        <w:t>有关费用发放和报销及医保工作。组织实施国家有关财务、会计、审计的法律、法规和制度，协助有关部门制定行业财务、审计管理办法。</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企业技术改造项目初审和成品油零售经营许可初审。负责指导工业企业的生产经营管理，协调工业企业的生产经营活动，综合分析、预测、监测城市经济运行态势，对重大问题提出建议及对策。负责全县工业企业的生产经营统计及分析，协调解决企业改革</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生产经营中出现的问题。监督检查企业执行国家、省、州、县有关政策和法律法规的贯彻落实。负责工业企业宏观管理和指导工作</w:t>
      </w:r>
      <w:r>
        <w:rPr>
          <w:rFonts w:hint="eastAsia" w:eastAsia="仿宋_GB2312" w:cs="Times New Roman"/>
          <w:sz w:val="32"/>
          <w:szCs w:val="32"/>
          <w:lang w:eastAsia="zh-CN"/>
        </w:rPr>
        <w:t>：</w:t>
      </w:r>
      <w:r>
        <w:rPr>
          <w:rFonts w:ascii="Times New Roman" w:hAnsi="Times New Roman" w:eastAsia="仿宋_GB2312" w:cs="Times New Roman"/>
          <w:sz w:val="32"/>
          <w:szCs w:val="32"/>
        </w:rPr>
        <w:t>负责对国家重大工业经济政策实施情况进行监督</w:t>
      </w:r>
      <w:r>
        <w:rPr>
          <w:rFonts w:hint="eastAsia" w:eastAsia="仿宋_GB2312" w:cs="Times New Roman"/>
          <w:sz w:val="32"/>
          <w:szCs w:val="32"/>
          <w:lang w:eastAsia="zh-CN"/>
        </w:rPr>
        <w:t>：</w:t>
      </w:r>
      <w:r>
        <w:rPr>
          <w:rFonts w:ascii="Times New Roman" w:hAnsi="Times New Roman" w:eastAsia="仿宋_GB2312" w:cs="Times New Roman"/>
          <w:sz w:val="32"/>
          <w:szCs w:val="32"/>
        </w:rPr>
        <w:t>综合协调全县企业治乱减负工作负责指导中小企业协调发展，研究拟定全县中小企业发展规划和促进中小企业发展的政策。负责乡镇企业经济技术开发项目的咨询、论证及筛选等工作</w:t>
      </w:r>
      <w:r>
        <w:rPr>
          <w:rFonts w:hint="eastAsia" w:eastAsia="仿宋_GB2312" w:cs="Times New Roman"/>
          <w:sz w:val="32"/>
          <w:szCs w:val="32"/>
          <w:lang w:eastAsia="zh-CN"/>
        </w:rPr>
        <w:t>：</w:t>
      </w:r>
      <w:r>
        <w:rPr>
          <w:rFonts w:ascii="Times New Roman" w:hAnsi="Times New Roman" w:eastAsia="仿宋_GB2312" w:cs="Times New Roman"/>
          <w:sz w:val="32"/>
          <w:szCs w:val="32"/>
        </w:rPr>
        <w:t>推进全县乡镇企业外向型经济发展，负责全县乡镇企业项目储备、论证、申报工作</w:t>
      </w:r>
      <w:r>
        <w:rPr>
          <w:rFonts w:hint="eastAsia" w:eastAsia="仿宋_GB2312" w:cs="Times New Roman"/>
          <w:sz w:val="32"/>
          <w:szCs w:val="32"/>
          <w:lang w:eastAsia="zh-CN"/>
        </w:rPr>
        <w:t>；</w:t>
      </w:r>
      <w:r>
        <w:rPr>
          <w:rFonts w:ascii="Times New Roman" w:hAnsi="Times New Roman" w:eastAsia="仿宋_GB2312" w:cs="Times New Roman"/>
          <w:sz w:val="32"/>
          <w:szCs w:val="32"/>
        </w:rPr>
        <w:t>为乡镇企业提供技术信息服务，协同有关部门对乡镇企业技术等级、质量和标准工作进行指导、监督和管理</w:t>
      </w:r>
      <w:r>
        <w:rPr>
          <w:rFonts w:hint="eastAsia" w:eastAsia="仿宋_GB2312" w:cs="Times New Roman"/>
          <w:sz w:val="32"/>
          <w:szCs w:val="32"/>
          <w:lang w:eastAsia="zh-CN"/>
        </w:rPr>
        <w:t>；</w:t>
      </w:r>
      <w:r>
        <w:rPr>
          <w:rFonts w:ascii="Times New Roman" w:hAnsi="Times New Roman" w:eastAsia="仿宋_GB2312" w:cs="Times New Roman"/>
          <w:sz w:val="32"/>
          <w:szCs w:val="32"/>
        </w:rPr>
        <w:t>负责乡镇企业的统计工作。负责信息基础设施建设的规划、协调和管理</w:t>
      </w:r>
      <w:r>
        <w:rPr>
          <w:rFonts w:hint="eastAsia" w:eastAsia="仿宋_GB2312" w:cs="Times New Roman"/>
          <w:sz w:val="32"/>
          <w:szCs w:val="32"/>
          <w:lang w:eastAsia="zh-CN"/>
        </w:rPr>
        <w:t>；</w:t>
      </w:r>
      <w:r>
        <w:rPr>
          <w:rFonts w:ascii="Times New Roman" w:hAnsi="Times New Roman" w:eastAsia="仿宋_GB2312" w:cs="Times New Roman"/>
          <w:sz w:val="32"/>
          <w:szCs w:val="32"/>
        </w:rPr>
        <w:t>负责工程建设领域项目信息公开和诚信体系建设，对全县重大信息化建设工程项目实施行政监督管理</w:t>
      </w:r>
      <w:r>
        <w:rPr>
          <w:rFonts w:hint="eastAsia" w:eastAsia="仿宋_GB2312" w:cs="Times New Roman"/>
          <w:sz w:val="32"/>
          <w:szCs w:val="32"/>
          <w:lang w:eastAsia="zh-CN"/>
        </w:rPr>
        <w:t>；</w:t>
      </w:r>
      <w:r>
        <w:rPr>
          <w:rFonts w:ascii="Times New Roman" w:hAnsi="Times New Roman" w:eastAsia="仿宋_GB2312" w:cs="Times New Roman"/>
          <w:sz w:val="32"/>
          <w:szCs w:val="32"/>
        </w:rPr>
        <w:t>参与处理网络与信息重大安全事件</w:t>
      </w:r>
      <w:r>
        <w:rPr>
          <w:rFonts w:hint="eastAsia" w:eastAsia="仿宋_GB2312" w:cs="Times New Roman"/>
          <w:sz w:val="32"/>
          <w:szCs w:val="32"/>
          <w:lang w:eastAsia="zh-CN"/>
        </w:rPr>
        <w:t>：</w:t>
      </w:r>
      <w:r>
        <w:rPr>
          <w:rFonts w:ascii="Times New Roman" w:hAnsi="Times New Roman" w:eastAsia="仿宋_GB2312" w:cs="Times New Roman"/>
          <w:sz w:val="32"/>
          <w:szCs w:val="32"/>
        </w:rPr>
        <w:t>协调信息安全测评，数字认证、等级保护等工作</w:t>
      </w:r>
      <w:r>
        <w:rPr>
          <w:rFonts w:hint="eastAsia" w:eastAsia="仿宋_GB2312" w:cs="Times New Roman"/>
          <w:sz w:val="32"/>
          <w:szCs w:val="32"/>
          <w:lang w:eastAsia="zh-CN"/>
        </w:rPr>
        <w:t>；</w:t>
      </w:r>
      <w:r>
        <w:rPr>
          <w:rFonts w:ascii="Times New Roman" w:hAnsi="Times New Roman" w:eastAsia="仿宋_GB2312" w:cs="Times New Roman"/>
          <w:sz w:val="32"/>
          <w:szCs w:val="32"/>
        </w:rPr>
        <w:t>组织、协调、指导开展信息化宣传普及教育。负责无线电设备年审、验证收费工作。指导研究拟定全县电力工业的行业规划、行业法规和经济技术政策，贯彻执行省、州的相关规定，实施行业管理和监督</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负责电力运行调度管理工作，协调运行中的重大问题。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国家财政性资金用于流通领域重大投资项目的监督，拟定全县流通领域市场体系和流通秩序和政策、规定及市场发展规划，综合分析市场动态及发展趋势。负责关系国计民生的重大消费品有关报表收集、汇总、上报工作，商业、物资行业的管理和行政执法。负责审核和转报重点流通、仓储设施建设项目，协同有关部门安排全县市场网点建设基金</w:t>
      </w:r>
      <w:r>
        <w:rPr>
          <w:rFonts w:hint="eastAsia" w:eastAsia="仿宋_GB2312" w:cs="Times New Roman"/>
          <w:sz w:val="32"/>
          <w:szCs w:val="32"/>
          <w:lang w:eastAsia="zh-CN"/>
        </w:rPr>
        <w:t>；</w:t>
      </w:r>
      <w:r>
        <w:rPr>
          <w:rFonts w:ascii="Times New Roman" w:hAnsi="Times New Roman" w:eastAsia="仿宋_GB2312" w:cs="Times New Roman"/>
          <w:sz w:val="32"/>
          <w:szCs w:val="32"/>
        </w:rPr>
        <w:t>配合有关部门打击商品流通中的假冒伪劣行为。负责批发、零售、餐饮业、住宿业和居民服务业等行业管理。</w:t>
      </w:r>
    </w:p>
    <w:p>
      <w:pPr>
        <w:spacing w:line="560" w:lineRule="exact"/>
        <w:ind w:firstLine="640" w:firstLineChars="200"/>
      </w:pPr>
      <w:r>
        <w:rPr>
          <w:rFonts w:ascii="Times New Roman" w:hAnsi="Times New Roman" w:eastAsia="仿宋_GB2312" w:cs="Times New Roman"/>
          <w:sz w:val="32"/>
          <w:szCs w:val="32"/>
        </w:rPr>
        <w:t>负责招商引资重要活动的组织、联络、洽谈、服务，以及重点项目的推介、跟踪、协调、落实与服务工作。负责全县招商引资项目的收集整理、制作包装、报批推介工作，以及项目的储备、组织协调、前期论证及跟踪服务，参与招商引资项目的洽谈工作。负责招商引资项目统计、分析、报送工作。</w:t>
      </w:r>
    </w:p>
    <w:p>
      <w:pPr>
        <w:pStyle w:val="41"/>
        <w:spacing w:line="360" w:lineRule="auto"/>
        <w:ind w:firstLine="643"/>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（二）机构职能</w:t>
      </w:r>
    </w:p>
    <w:p>
      <w:pPr>
        <w:spacing w:line="56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lang w:val="en-US" w:eastAsia="zh-CN"/>
        </w:rPr>
        <w:t>1.</w:t>
      </w:r>
      <w:r>
        <w:rPr>
          <w:rFonts w:ascii="Times New Roman" w:hAnsi="Times New Roman" w:eastAsia="仿宋_GB2312" w:cs="Times New Roman"/>
          <w:sz w:val="32"/>
          <w:szCs w:val="32"/>
        </w:rPr>
        <w:t>负责组织贯彻国家、省、州有关工业经济、信息化和无线电管理的方针、政策和法律、法规，组织实施国家西部大开发战略等有关工业经济的政策措施，执行全县有关工业经济、信息化和无线电管理的地方性法规、规章草案，负责本系统、本部门依法行政工作，落实行政执法责任制。组织推动信息化和工业化融合、工业化与城镇化联动，负责推进全县工业结构调整。贯彻落实国家、省有关国内外贸易、外商投资和经济合作等方面的法律法规和方针政策，贯彻执行全县商务和经济合作领域法规和政策，制定全县商务投促工作规划、年度计划并组织实施。</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2.</w:t>
      </w:r>
      <w:r>
        <w:rPr>
          <w:rFonts w:ascii="Times New Roman" w:hAnsi="Times New Roman" w:eastAsia="仿宋_GB2312" w:cs="Times New Roman"/>
          <w:sz w:val="32"/>
          <w:szCs w:val="32"/>
        </w:rPr>
        <w:t>负责执行新型工业化发展战略和重大政策，协调解决新型工业化进程中的重大问题，组织实施工业强县战略。参与制订国民经济和社会发展规划，负责制订并组织实施工业、信息化相关行业的发展规划、年度计划和产业政策并组织实施，指导行业质量管理工作。承担全县服务业发展工作中组织实施的协调职责，推进流通产业结构调整和服务业重大项目建设，加快第三方物流发展，推动商贸服务业和社区商业发展，提出促进商贸企业发展的政策建议，推动流通标准化和连锁经营、商业特许经营、物流配送、电子商务等现代流通方式的发展。</w:t>
      </w:r>
    </w:p>
    <w:p>
      <w:pPr>
        <w:spacing w:line="56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lang w:val="en-US" w:eastAsia="zh-CN"/>
        </w:rPr>
        <w:t>3.</w:t>
      </w:r>
      <w:r>
        <w:rPr>
          <w:rFonts w:ascii="Times New Roman" w:hAnsi="Times New Roman" w:eastAsia="仿宋_GB2312" w:cs="Times New Roman"/>
          <w:sz w:val="32"/>
          <w:szCs w:val="32"/>
        </w:rPr>
        <w:t>负责监测、分析工业经济运行态势和质量，建立全县工业经济运行预警机制，拟订中、近期工业经济运行目标、政策并组织实施，协调解决工业经济运行中的重大问题。负责电力、成品油等重要物资综合调控、紧急调度工作和交通运输协同配合工作，负责民爆物品销售环节的安全监督管理，负责县级医药储备的监督管理。承办年度工业经济目标责任考核。编制大宗产品批发市场规划，指导城市商业网点规划和商业体系建设工作，推进农村市场体系建设，组织实施农村现代流通网络工程，促进城乡市场一体化发展。推动商务领域信用建设，指导商业信用销售，建立市场诚信公共服务平台。</w:t>
      </w:r>
    </w:p>
    <w:p>
      <w:pPr>
        <w:overflowPunct w:val="0"/>
        <w:spacing w:line="560" w:lineRule="exact"/>
        <w:ind w:firstLine="640" w:firstLineChars="200"/>
        <w:rPr>
          <w:rFonts w:ascii="Times New Roman" w:hAnsi="Times New Roman" w:eastAsia="仿宋_GB2312" w:cs="Times New Roman"/>
          <w:sz w:val="32"/>
          <w:szCs w:val="32"/>
        </w:rPr>
      </w:pPr>
      <w:r>
        <w:rPr>
          <w:rFonts w:hint="eastAsia" w:eastAsia="仿宋_GB2312" w:cs="Times New Roman"/>
          <w:sz w:val="32"/>
          <w:szCs w:val="32"/>
          <w:lang w:val="en-US" w:eastAsia="zh-CN"/>
        </w:rPr>
        <w:t>4.</w:t>
      </w:r>
      <w:r>
        <w:rPr>
          <w:rFonts w:ascii="Times New Roman" w:hAnsi="Times New Roman" w:eastAsia="仿宋_GB2312" w:cs="Times New Roman"/>
          <w:sz w:val="32"/>
          <w:szCs w:val="32"/>
        </w:rPr>
        <w:t>负责全县企业技术改造推进工作，组织制定并实施全县企业技术改造投资规划和政策，制定并发布全县企业技术改造投资项目引导目录。提出工业和信息化固定资产投资规模的意见，按照规定组织企业申报全县企业技术改造项目。承担组织实施重要消费品市场调控和重要生产资料流通管理的责任，监测分析市场运行、商品供求状况，调查分析商品价格信息，进行预测预警和信息引导。按职责负责重要消费品的储备管理。负责职责范围内的安全生产、生态环境保护工作。</w:t>
      </w:r>
    </w:p>
    <w:p>
      <w:pPr>
        <w:overflowPunct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5.</w:t>
      </w:r>
      <w:r>
        <w:rPr>
          <w:rFonts w:ascii="Times New Roman" w:hAnsi="Times New Roman" w:eastAsia="仿宋_GB2312" w:cs="Times New Roman"/>
          <w:sz w:val="32"/>
          <w:szCs w:val="32"/>
        </w:rPr>
        <w:t>负责全县企业技术创新体系建设，制定鼓励企业技术创新的政策措施，指导企业技术创新、技术引进，编制下达全县企业技术创新项目计划并组织实施，按照规定程序会同有关部门组织企业技术中心申报、认定和建设管理工作。指导对外贸易行业执行国家进出口商品、加工贸易管理办法和进出口管理商品、技术目录，组织实施重要工业品、原材料和重要农产品进出口计划，会同有关部门协调大宗进出口商品和出口加工区的业务工作，指导贸易促进活动和外贸促进体系建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6.</w:t>
      </w:r>
      <w:r>
        <w:rPr>
          <w:rFonts w:ascii="Times New Roman" w:hAnsi="Times New Roman" w:eastAsia="仿宋_GB2312" w:cs="Times New Roman"/>
          <w:sz w:val="32"/>
          <w:szCs w:val="32"/>
        </w:rPr>
        <w:t>负责协调全县工业和信息化领域的节能降耗、清洁生产和资源节约与综合利用工作，协调推进工业化与生态环境协调发展中的重大问题，组织实施相关重大示范项目和新产品、新技术、新工艺、新设备、新材料的推广应用。依法监督技术引进、设备进口、国家限制出口技术的工作，推进进出口贸易标准化工作，牵头负责发展服务贸易的相关工作，推动服务外包平台建设。</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7.</w:t>
      </w:r>
      <w:r>
        <w:rPr>
          <w:rFonts w:ascii="Times New Roman" w:hAnsi="Times New Roman" w:eastAsia="仿宋_GB2312" w:cs="Times New Roman"/>
          <w:sz w:val="32"/>
          <w:szCs w:val="32"/>
        </w:rPr>
        <w:t>负责研究拟订全县中小企业发展规划和促进中小企业发展的政策；推进企业信用制度建设，负责中小企业信用担保和融资体系建设并实施行业监管，负责制订工业发展资金等财政专项资金使用计划，负责企业技术改造、技术创新、生产运行等涉及财政、信贷、税收、保险等方面问题的协调，指导工业企业直接融资工作，参与工业企业上市培育工作；指导企业建立现代企业制度；负责全县企业治乱减负工作；指导企业经营管理人员、专业技术人员培训；负责全县大企业大集团和龙头骨干企业的培育工作；推进产业园区发展，统筹大中小企业协调发展；参与对非公有制企业的指导、协调和服务工作；参与全县整顿和规范市场经济秩序工作。承担组织协调反倾销、反补贴、保障措施和技术性贸易壁垒等与进出口公平贸易相关工作的责任，建立进出口公平贸易预警机制，牵头开展对外贸易调查、产业损害调查，指导协调产业安全应对、企业在国外对我县出口商品的反倾销、反补贴、保障措施的应诉工作，负责世界贸易组织涉及我县有关工作。</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8.</w:t>
      </w:r>
      <w:r>
        <w:rPr>
          <w:rFonts w:ascii="Times New Roman" w:hAnsi="Times New Roman" w:eastAsia="仿宋_GB2312" w:cs="Times New Roman"/>
          <w:sz w:val="32"/>
          <w:szCs w:val="32"/>
        </w:rPr>
        <w:t>负责对全县工业各行业实施行业管理，制定并组织实施相关政策措施，拟订新材料、节能环保等新兴产业发展规划、年度计划、政策措施并组织实施。负责实施农产品加工业发展的综合协调服务，监测行业运行态势，拟订行业的支持政策措施并组织实施。指导工业、信息化和无线电领域的社会中介组织发展。贯彻落实国家、省、州应对经济全球化、区域经济合作的对策措施。加强与自由贸易区、一带一路沿线地区、港澳台地区的商贸合作，推进贸易和投资便利化。</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9.</w:t>
      </w:r>
      <w:r>
        <w:rPr>
          <w:rFonts w:ascii="Times New Roman" w:hAnsi="Times New Roman" w:eastAsia="仿宋_GB2312" w:cs="Times New Roman"/>
          <w:sz w:val="32"/>
          <w:szCs w:val="32"/>
        </w:rPr>
        <w:t>负责全县产业园区建设发展的服务工作，拟订并组织实施产业园区、产业集群发展规划和政策措施，指导产业园区合理布局。负责推进重点产业园区建设发展，推进园区公共配套设施建设。组织实施产业园区公共服务平台项目计划。负责与各园区的衔接、协调并处理相关事务。指导全县外商投资促进和管理工作。统计分析全县外商投资情况，依法监督检查外商投资企业执行有关法律法规、规章、合同章程的情况并协调解决有关问题。指导协调县内各经济技术开发区的有关工作。</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10.</w:t>
      </w:r>
      <w:r>
        <w:rPr>
          <w:rFonts w:ascii="Times New Roman" w:hAnsi="Times New Roman" w:eastAsia="仿宋_GB2312" w:cs="Times New Roman"/>
          <w:sz w:val="32"/>
          <w:szCs w:val="32"/>
        </w:rPr>
        <w:t>统筹推进全县信息化工作，制定并组织实施相关政策，指导电子政务、企业信息化、电子商务和物联网发展，推动跨行业、跨部门面向社会服务网络的互联互通和信息资源共享。负责全县信息基础设施建设的规划、协调和管理，组织相关部门</w:t>
      </w:r>
      <w:r>
        <w:rPr>
          <w:rFonts w:hint="eastAsia" w:eastAsia="仿宋_GB2312" w:cs="Times New Roman"/>
          <w:sz w:val="32"/>
          <w:szCs w:val="32"/>
          <w:lang w:eastAsia="zh-CN"/>
        </w:rPr>
        <w:t>制定</w:t>
      </w:r>
      <w:r>
        <w:rPr>
          <w:rFonts w:ascii="Times New Roman" w:hAnsi="Times New Roman" w:eastAsia="仿宋_GB2312" w:cs="Times New Roman"/>
          <w:sz w:val="32"/>
          <w:szCs w:val="32"/>
        </w:rPr>
        <w:t>通信管线规划并承担相应的监督管理工作，协调电信市场涉及社会公共利益的重大事项。组织协调全县信息安全保障体系建设，指导和监督政府部门、重点行业的重要信息系统与信息网络的安全保障工作，指导信息安全防范工作，参与处理网络与信息安全重大事件。统筹指导全县投资促进工作，负责全县经济合作活动和上级部门交办的相关会展组织、协调和服务工作。负责全县经济合作项目策划、收集、分析、包装、发布、推介、项目签约和招商引资重大项目的促进和落实。负责配合开展东西部合作等国内区域经济交流与合作工作。负责全县投资促进工作及投资环境推介工作，促进国内外经济机构、组织和个人在我县投资兴业。负责多元化、多渠道收集有关信息，开展投资信息咨询服务等。负责统计分析全县经济合作相关情况。</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11.</w:t>
      </w:r>
      <w:r>
        <w:rPr>
          <w:rFonts w:ascii="Times New Roman" w:hAnsi="Times New Roman" w:eastAsia="仿宋_GB2312" w:cs="Times New Roman"/>
          <w:sz w:val="32"/>
          <w:szCs w:val="32"/>
        </w:rPr>
        <w:t>统一配置和管理全县无线电频谱资源，依法监督管理无线电台</w:t>
      </w:r>
      <w:r>
        <w:rPr>
          <w:rFonts w:hint="eastAsia" w:eastAsia="仿宋_GB2312" w:cs="Times New Roman"/>
          <w:sz w:val="32"/>
          <w:szCs w:val="32"/>
          <w:lang w:eastAsia="zh-CN"/>
        </w:rPr>
        <w:t>（</w:t>
      </w:r>
      <w:r>
        <w:rPr>
          <w:rFonts w:ascii="Times New Roman" w:hAnsi="Times New Roman" w:eastAsia="仿宋_GB2312" w:cs="Times New Roman"/>
          <w:sz w:val="32"/>
          <w:szCs w:val="32"/>
        </w:rPr>
        <w:t>站</w:t>
      </w:r>
      <w:r>
        <w:rPr>
          <w:rFonts w:hint="eastAsia" w:eastAsia="仿宋_GB2312" w:cs="Times New Roman"/>
          <w:sz w:val="32"/>
          <w:szCs w:val="32"/>
          <w:lang w:eastAsia="zh-CN"/>
        </w:rPr>
        <w:t>）</w:t>
      </w:r>
      <w:r>
        <w:rPr>
          <w:rFonts w:ascii="Times New Roman" w:hAnsi="Times New Roman" w:eastAsia="仿宋_GB2312" w:cs="Times New Roman"/>
          <w:sz w:val="32"/>
          <w:szCs w:val="32"/>
        </w:rPr>
        <w:t>，负责无线电电磁环境保护工作，负责无线电监测、检测和干扰查处，协调军地间和地区间无线电管理相关事宜，维护空中电波秩序，依法组织实施无线电管制。依法管理和监督对外承包工程、对外劳务合作和出境就业等，承担境外投资管理的责任。牵头负责外派劳务和赴境外就业人员的权益维护工作。组织管理多双边对我县的无偿援助和赠款（不含财政合作项目下外国政府及国际金融组织对我县赠款）等发展合作业务。</w:t>
      </w:r>
    </w:p>
    <w:p>
      <w:pPr>
        <w:overflowPunct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w:t>
      </w:r>
      <w:r>
        <w:rPr>
          <w:rFonts w:hint="eastAsia" w:eastAsia="仿宋_GB2312" w:cs="Times New Roman"/>
          <w:sz w:val="32"/>
          <w:szCs w:val="32"/>
          <w:lang w:val="en-US" w:eastAsia="zh-CN"/>
        </w:rPr>
        <w:t>12.</w:t>
      </w:r>
      <w:r>
        <w:rPr>
          <w:rFonts w:ascii="Times New Roman" w:hAnsi="Times New Roman" w:eastAsia="仿宋_GB2312" w:cs="Times New Roman"/>
          <w:sz w:val="32"/>
          <w:szCs w:val="32"/>
        </w:rPr>
        <w:t>会同有关部门提出工业和信息化领域对外开放和利用外资的政策建议，参与区域经济合作和承接产业转移工作。指导工业和信息化企业开展对外交流与合作、国际化经营、境外投资及兼并重组。管理我县赴境外举办的各种商品交易和经贸推介活动，指导监督管理以壤塘县名义在境内举办的各种商贸交易会、展览会、展销会等活动，承担县委、县政府交办的会展活动。</w:t>
      </w:r>
    </w:p>
    <w:p>
      <w:pPr>
        <w:kinsoku w:val="0"/>
        <w:overflowPunct w:val="0"/>
        <w:autoSpaceDE w:val="0"/>
        <w:autoSpaceDN w:val="0"/>
        <w:spacing w:line="560" w:lineRule="exact"/>
        <w:ind w:firstLine="640" w:firstLineChars="200"/>
        <w:rPr>
          <w:rFonts w:ascii="Times New Roman" w:hAnsi="Times New Roman" w:eastAsia="仿宋_GB2312" w:cs="Times New Roman"/>
          <w:kern w:val="0"/>
          <w:sz w:val="32"/>
          <w:szCs w:val="32"/>
        </w:rPr>
      </w:pPr>
      <w:r>
        <w:rPr>
          <w:rFonts w:hint="eastAsia" w:eastAsia="仿宋_GB2312" w:cs="Times New Roman"/>
          <w:sz w:val="32"/>
          <w:szCs w:val="32"/>
          <w:lang w:val="en-US" w:eastAsia="zh-CN"/>
        </w:rPr>
        <w:t>13.</w:t>
      </w:r>
      <w:r>
        <w:rPr>
          <w:rFonts w:ascii="Times New Roman" w:hAnsi="Times New Roman" w:eastAsia="仿宋_GB2312" w:cs="Times New Roman"/>
          <w:kern w:val="0"/>
          <w:sz w:val="32"/>
          <w:szCs w:val="32"/>
        </w:rPr>
        <w:t>完成县委、县政府交办的其他任务。</w:t>
      </w:r>
    </w:p>
    <w:p>
      <w:pPr>
        <w:kinsoku w:val="0"/>
        <w:overflowPunct w:val="0"/>
        <w:autoSpaceDE w:val="0"/>
        <w:autoSpaceDN w:val="0"/>
        <w:spacing w:line="560" w:lineRule="exact"/>
        <w:ind w:firstLine="640" w:firstLineChars="200"/>
        <w:rPr>
          <w:rFonts w:ascii="仿宋_GB2312" w:hAnsi="仿宋_GB2312" w:eastAsia="仿宋_GB2312" w:cs="仿宋_GB2312"/>
          <w:sz w:val="32"/>
          <w:szCs w:val="32"/>
        </w:rPr>
      </w:pPr>
      <w:r>
        <w:rPr>
          <w:rFonts w:hint="eastAsia" w:eastAsia="仿宋_GB2312" w:cs="Times New Roman"/>
          <w:sz w:val="32"/>
          <w:szCs w:val="32"/>
          <w:lang w:val="en-US" w:eastAsia="zh-CN"/>
        </w:rPr>
        <w:t>14.</w:t>
      </w:r>
      <w:r>
        <w:rPr>
          <w:rFonts w:ascii="Times New Roman" w:hAnsi="Times New Roman" w:eastAsia="仿宋_GB2312" w:cs="Times New Roman"/>
          <w:sz w:val="32"/>
          <w:szCs w:val="32"/>
        </w:rPr>
        <w:t>有关职责分工。县发改局按规定权限负责对外商投资项目进行核准、备案。县经信局按规定权限负责对涉及国家规定实施准入特别管理措施的外商投资企业审批，按规定权限负责对外商投资企业设立及变更备案。县发改局和县经信局按照各自职责，分别配合省、州相关部门开展外国投资者并购省内企业安全审查的相关工作。</w:t>
      </w:r>
    </w:p>
    <w:p>
      <w:pPr>
        <w:spacing w:line="360"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（三）人员概况</w:t>
      </w:r>
    </w:p>
    <w:p>
      <w:pPr>
        <w:spacing w:line="520" w:lineRule="exact"/>
        <w:ind w:firstLine="640" w:firstLineChars="200"/>
      </w:pP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2020年12月底，壤塘县经济商务和信息化局编制14名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行政编制</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事业编制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人；在职人数</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人（其中行政</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人，事业</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w:t>
      </w:r>
    </w:p>
    <w:p>
      <w:pPr>
        <w:spacing w:line="52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zh-CN"/>
        </w:rPr>
        <w:t>（一）部门财政资金收入情况</w:t>
      </w:r>
    </w:p>
    <w:p>
      <w:pPr>
        <w:pStyle w:val="41"/>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2020年财政下达壤塘县经济商务和信息化局年初预算收入</w:t>
      </w:r>
      <w:r>
        <w:rPr>
          <w:rFonts w:ascii="仿宋_GB2312" w:hAnsi="仿宋_GB2312" w:eastAsia="仿宋_GB2312" w:cs="仿宋_GB2312"/>
          <w:sz w:val="32"/>
          <w:szCs w:val="32"/>
        </w:rPr>
        <w:t>409.13</w:t>
      </w:r>
      <w:r>
        <w:rPr>
          <w:rFonts w:hint="eastAsia" w:ascii="仿宋_GB2312" w:hAnsi="仿宋_GB2312" w:eastAsia="仿宋_GB2312" w:cs="仿宋_GB2312"/>
          <w:sz w:val="32"/>
          <w:szCs w:val="32"/>
        </w:rPr>
        <w:t>万元，执行期中调增</w:t>
      </w:r>
      <w:r>
        <w:rPr>
          <w:rFonts w:ascii="仿宋_GB2312" w:hAnsi="仿宋_GB2312" w:eastAsia="仿宋_GB2312" w:cs="仿宋_GB2312"/>
          <w:sz w:val="32"/>
          <w:szCs w:val="32"/>
        </w:rPr>
        <w:t>403.72</w:t>
      </w:r>
      <w:r>
        <w:rPr>
          <w:rFonts w:hint="eastAsia" w:ascii="仿宋_GB2312" w:hAnsi="仿宋_GB2312" w:eastAsia="仿宋_GB2312" w:cs="仿宋_GB2312"/>
          <w:sz w:val="32"/>
          <w:szCs w:val="32"/>
        </w:rPr>
        <w:t>万元，年末决算收入为8</w:t>
      </w:r>
      <w:r>
        <w:rPr>
          <w:rFonts w:ascii="仿宋_GB2312" w:hAnsi="仿宋_GB2312" w:eastAsia="仿宋_GB2312" w:cs="仿宋_GB2312"/>
          <w:sz w:val="32"/>
          <w:szCs w:val="32"/>
        </w:rPr>
        <w:t>12.85</w:t>
      </w:r>
      <w:r>
        <w:rPr>
          <w:rFonts w:hint="eastAsia" w:ascii="仿宋_GB2312" w:hAnsi="仿宋_GB2312" w:eastAsia="仿宋_GB2312" w:cs="仿宋_GB2312"/>
          <w:sz w:val="32"/>
          <w:szCs w:val="32"/>
        </w:rPr>
        <w:t>万元，年初结转结余498.</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 xml:space="preserve">万元。 </w:t>
      </w:r>
    </w:p>
    <w:p>
      <w:pPr>
        <w:pStyle w:val="41"/>
        <w:spacing w:line="360" w:lineRule="auto"/>
        <w:ind w:left="640" w:firstLine="0" w:firstLineChars="0"/>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（二）部门财政资金支出情况</w:t>
      </w:r>
    </w:p>
    <w:p>
      <w:pPr>
        <w:spacing w:line="520" w:lineRule="exact"/>
        <w:ind w:firstLine="640" w:firstLineChars="200"/>
      </w:pPr>
      <w:r>
        <w:rPr>
          <w:rFonts w:hint="eastAsia" w:ascii="仿宋_GB2312" w:hAnsi="仿宋_GB2312" w:eastAsia="仿宋_GB2312" w:cs="仿宋_GB2312"/>
          <w:sz w:val="32"/>
          <w:szCs w:val="32"/>
        </w:rPr>
        <w:t>2020年壤塘县经济商务和信息化局共计预算支出</w:t>
      </w:r>
      <w:r>
        <w:rPr>
          <w:rFonts w:ascii="仿宋_GB2312" w:hAnsi="仿宋_GB2312" w:eastAsia="仿宋_GB2312" w:cs="仿宋_GB2312"/>
          <w:sz w:val="32"/>
          <w:szCs w:val="32"/>
        </w:rPr>
        <w:t>409.13</w:t>
      </w:r>
      <w:r>
        <w:rPr>
          <w:rFonts w:hint="eastAsia" w:ascii="仿宋_GB2312" w:hAnsi="仿宋_GB2312" w:eastAsia="仿宋_GB2312" w:cs="仿宋_GB2312"/>
          <w:sz w:val="32"/>
          <w:szCs w:val="32"/>
        </w:rPr>
        <w:t>万元，调整预算支出</w:t>
      </w:r>
      <w:r>
        <w:rPr>
          <w:rFonts w:ascii="仿宋_GB2312" w:hAnsi="仿宋_GB2312" w:eastAsia="仿宋_GB2312" w:cs="仿宋_GB2312"/>
          <w:sz w:val="32"/>
          <w:szCs w:val="32"/>
        </w:rPr>
        <w:t>1292.67</w:t>
      </w:r>
      <w:r>
        <w:rPr>
          <w:rFonts w:hint="eastAsia" w:ascii="仿宋_GB2312" w:hAnsi="仿宋_GB2312" w:eastAsia="仿宋_GB2312" w:cs="仿宋_GB2312"/>
          <w:sz w:val="32"/>
          <w:szCs w:val="32"/>
        </w:rPr>
        <w:t>万元，年末决算支出数</w:t>
      </w:r>
      <w:r>
        <w:rPr>
          <w:rFonts w:ascii="仿宋_GB2312" w:hAnsi="仿宋_GB2312" w:eastAsia="仿宋_GB2312" w:cs="仿宋_GB2312"/>
          <w:sz w:val="32"/>
          <w:szCs w:val="32"/>
        </w:rPr>
        <w:t>788.39</w:t>
      </w:r>
      <w:r>
        <w:rPr>
          <w:rFonts w:hint="eastAsia" w:ascii="仿宋_GB2312" w:hAnsi="仿宋_GB2312" w:eastAsia="仿宋_GB2312" w:cs="仿宋_GB2312"/>
          <w:sz w:val="32"/>
          <w:szCs w:val="32"/>
        </w:rPr>
        <w:t>万元，年末结转结余</w:t>
      </w:r>
      <w:r>
        <w:rPr>
          <w:rFonts w:ascii="仿宋_GB2312" w:hAnsi="仿宋_GB2312" w:eastAsia="仿宋_GB2312" w:cs="仿宋_GB2312"/>
          <w:sz w:val="32"/>
          <w:szCs w:val="32"/>
        </w:rPr>
        <w:t>504.27</w:t>
      </w:r>
      <w:r>
        <w:rPr>
          <w:rFonts w:hint="eastAsia" w:ascii="仿宋_GB2312" w:hAnsi="仿宋_GB2312" w:eastAsia="仿宋_GB2312" w:cs="仿宋_GB2312"/>
          <w:sz w:val="32"/>
          <w:szCs w:val="32"/>
        </w:rPr>
        <w:t>万元。</w:t>
      </w:r>
    </w:p>
    <w:p>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pPr>
        <w:pStyle w:val="2"/>
        <w:spacing w:line="360" w:lineRule="auto"/>
        <w:ind w:left="640" w:firstLine="0" w:firstLineChars="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（一）部门预算管理</w:t>
      </w:r>
    </w:p>
    <w:p>
      <w:pPr>
        <w:pStyle w:val="2"/>
        <w:spacing w:line="360" w:lineRule="auto"/>
        <w:ind w:left="640" w:firstLine="0" w:firstLineChars="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目标制定</w:t>
      </w:r>
    </w:p>
    <w:p>
      <w:pPr>
        <w:spacing w:line="560" w:lineRule="exact"/>
        <w:ind w:firstLine="643" w:firstLineChars="200"/>
        <w:jc w:val="left"/>
        <w:rPr>
          <w:rStyle w:val="42"/>
          <w:rFonts w:ascii="仿宋_GB2312" w:hAnsi="仿宋" w:eastAsia="仿宋_GB2312" w:cs="仿宋"/>
          <w:bCs/>
          <w:kern w:val="0"/>
          <w:sz w:val="32"/>
          <w:szCs w:val="32"/>
        </w:rPr>
      </w:pPr>
      <w:r>
        <w:rPr>
          <w:rFonts w:hint="eastAsia" w:ascii="仿宋_GB2312" w:hAnsi="仿宋_GB2312" w:eastAsia="仿宋_GB2312" w:cs="仿宋_GB2312"/>
          <w:b/>
          <w:bCs/>
          <w:kern w:val="0"/>
          <w:sz w:val="32"/>
          <w:szCs w:val="32"/>
        </w:rPr>
        <w:t>（1）</w:t>
      </w:r>
      <w:r>
        <w:rPr>
          <w:rStyle w:val="42"/>
          <w:rFonts w:hint="eastAsia" w:ascii="仿宋_GB2312" w:hAnsi="仿宋" w:eastAsia="仿宋_GB2312" w:cs="楷体_GB2312"/>
          <w:sz w:val="32"/>
          <w:szCs w:val="32"/>
        </w:rPr>
        <w:t>疫情防控工作：</w:t>
      </w:r>
      <w:r>
        <w:rPr>
          <w:rStyle w:val="42"/>
          <w:rFonts w:hint="eastAsia" w:ascii="仿宋_GB2312" w:hAnsi="仿宋" w:eastAsia="仿宋_GB2312" w:cs="仿宋"/>
          <w:bCs/>
          <w:kern w:val="0"/>
          <w:sz w:val="32"/>
          <w:szCs w:val="32"/>
        </w:rPr>
        <w:t>按照县疫情防控指挥部的工作部署单位全员动员、全力以赴，做好了企业人员的排查监控、企业疫情防控落实、市场生活物资供应保障、组织生活物资运输车辆的疫情防控和随车人员的疫情防控落实等工作，为全县疫情防控胜利献出了力量。</w:t>
      </w:r>
    </w:p>
    <w:p>
      <w:pPr>
        <w:spacing w:line="560" w:lineRule="exact"/>
        <w:ind w:firstLine="643" w:firstLineChars="200"/>
        <w:jc w:val="left"/>
        <w:rPr>
          <w:rStyle w:val="42"/>
          <w:rFonts w:ascii="仿宋_GB2312" w:hAnsi="仿宋" w:eastAsia="仿宋_GB2312" w:cs="仿宋"/>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w:t>
      </w:r>
      <w:r>
        <w:rPr>
          <w:rStyle w:val="42"/>
          <w:rFonts w:hint="eastAsia" w:ascii="仿宋_GB2312" w:hAnsi="仿宋" w:eastAsia="仿宋_GB2312" w:cs="楷体_GB2312"/>
          <w:sz w:val="32"/>
          <w:szCs w:val="32"/>
        </w:rPr>
        <w:t>脱贫攻坚工作：</w:t>
      </w:r>
      <w:r>
        <w:rPr>
          <w:rStyle w:val="42"/>
          <w:rFonts w:hint="eastAsia" w:ascii="仿宋_GB2312" w:hAnsi="仿宋" w:eastAsia="仿宋_GB2312" w:cs="仿宋"/>
          <w:bCs/>
          <w:kern w:val="0"/>
          <w:sz w:val="32"/>
          <w:szCs w:val="32"/>
        </w:rPr>
        <w:t>做好了工业扶贫、通讯扶贫、商务扶贫的三个扶贫专项的工作落实、资料梳理归档和迎检工作；做好对口援建地区、部门的消费扶贫对接落实开展。</w:t>
      </w:r>
    </w:p>
    <w:p>
      <w:pPr>
        <w:spacing w:line="560" w:lineRule="exact"/>
        <w:ind w:firstLine="643" w:firstLineChars="200"/>
        <w:rPr>
          <w:rStyle w:val="42"/>
          <w:rFonts w:ascii="仿宋_GB2312" w:hAnsi="仿宋" w:eastAsia="仿宋_GB2312" w:cs="仿宋"/>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w:t>
      </w:r>
      <w:r>
        <w:rPr>
          <w:rStyle w:val="42"/>
          <w:rFonts w:hint="eastAsia" w:ascii="仿宋_GB2312" w:hAnsi="仿宋" w:eastAsia="仿宋_GB2312" w:cs="楷体_GB2312"/>
          <w:sz w:val="32"/>
          <w:szCs w:val="32"/>
        </w:rPr>
        <w:t>经信工作：</w:t>
      </w:r>
      <w:r>
        <w:rPr>
          <w:rStyle w:val="42"/>
          <w:rFonts w:hint="eastAsia" w:ascii="仿宋_GB2312" w:hAnsi="仿宋" w:eastAsia="仿宋_GB2312" w:cs="仿宋"/>
          <w:bCs/>
          <w:kern w:val="0"/>
          <w:sz w:val="32"/>
          <w:szCs w:val="32"/>
        </w:rPr>
        <w:t>加强对全县特色加工业企业和民族工艺美术品生产企业指导、帮扶力度，支持2家民族工艺美术生产企业工业发展资金30万元；组织壤巴拉菜籽油、壤巴拉藏香等生产企业参加各类推介会，扩大产品知名度，让壤巴拉产品进一步扩大消费；启动中小微企业园区规划编制工作，为全县企业规范化，规模化发展奠定基础；加强企业安全生产工作，开展各类安全生产检查，召开企业安全生产工作会6次，开展专项检查3次，整改各类安全生产问题18次；牵头开展林牧区输配电设施火灾隐患专项整治工作，组织企业开展学习习近平总书记、省、州关于森林草原防灭火工作的要求安排部署，开展6条输配电设施火灾隐患的安全生产检查，整改火灾隐患197处，督促企业建立“四项责任清单”，落实隐患整改责任，建立输配电设施防灭火长效机制。</w:t>
      </w:r>
    </w:p>
    <w:p>
      <w:pPr>
        <w:spacing w:line="560" w:lineRule="exact"/>
        <w:ind w:firstLine="643" w:firstLineChars="200"/>
        <w:rPr>
          <w:rStyle w:val="42"/>
          <w:rFonts w:hint="eastAsia" w:ascii="仿宋_GB2312" w:hAnsi="仿宋" w:eastAsia="仿宋_GB2312" w:cs="仿宋"/>
          <w:bCs/>
          <w:color w:val="00000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w:t>
      </w:r>
      <w:r>
        <w:rPr>
          <w:rStyle w:val="42"/>
          <w:rFonts w:hint="eastAsia" w:ascii="仿宋_GB2312" w:hAnsi="仿宋" w:eastAsia="仿宋_GB2312" w:cs="楷体_GB2312"/>
          <w:sz w:val="32"/>
          <w:szCs w:val="32"/>
        </w:rPr>
        <w:t>商务工作：</w:t>
      </w:r>
      <w:r>
        <w:rPr>
          <w:rStyle w:val="42"/>
          <w:rFonts w:hint="eastAsia" w:ascii="仿宋_GB2312" w:hAnsi="仿宋" w:eastAsia="仿宋_GB2312" w:cs="仿宋"/>
          <w:bCs/>
          <w:kern w:val="0"/>
          <w:sz w:val="32"/>
          <w:szCs w:val="32"/>
        </w:rPr>
        <w:t>一是全力推进2019年商贸流通脱贫奔康示范县建设项目。</w:t>
      </w:r>
      <w:r>
        <w:rPr>
          <w:rStyle w:val="42"/>
          <w:rFonts w:hint="eastAsia" w:ascii="仿宋_GB2312" w:hAnsi="仿宋" w:eastAsia="仿宋_GB2312" w:cs="仿宋"/>
          <w:bCs/>
          <w:sz w:val="32"/>
          <w:szCs w:val="32"/>
        </w:rPr>
        <w:t>项目</w:t>
      </w:r>
      <w:r>
        <w:rPr>
          <w:rStyle w:val="42"/>
          <w:rFonts w:hint="eastAsia" w:ascii="仿宋_GB2312" w:hAnsi="仿宋" w:eastAsia="仿宋_GB2312" w:cs="仿宋"/>
          <w:bCs/>
          <w:kern w:val="0"/>
          <w:sz w:val="32"/>
          <w:szCs w:val="32"/>
        </w:rPr>
        <w:t>总投资600万元，其中：专项资金600万元。截至</w:t>
      </w:r>
      <w:r>
        <w:rPr>
          <w:rStyle w:val="42"/>
          <w:rFonts w:hint="eastAsia" w:ascii="仿宋_GB2312" w:hAnsi="仿宋" w:eastAsia="仿宋_GB2312" w:cs="仿宋"/>
          <w:bCs/>
          <w:sz w:val="32"/>
          <w:szCs w:val="32"/>
        </w:rPr>
        <w:t>目前，项目建设进度达76</w:t>
      </w:r>
      <w:r>
        <w:rPr>
          <w:rStyle w:val="42"/>
          <w:rFonts w:hint="eastAsia" w:ascii="仿宋_GB2312" w:hAnsi="仿宋" w:eastAsia="仿宋_GB2312" w:cs="仿宋"/>
          <w:bCs/>
          <w:kern w:val="0"/>
          <w:sz w:val="32"/>
          <w:szCs w:val="32"/>
        </w:rPr>
        <w:t>%，已拨付项目资金550万元。</w:t>
      </w:r>
      <w:r>
        <w:rPr>
          <w:rStyle w:val="42"/>
          <w:rFonts w:hint="eastAsia" w:ascii="仿宋_GB2312" w:hAnsi="仿宋" w:eastAsia="仿宋_GB2312" w:cs="仿宋"/>
          <w:bCs/>
          <w:sz w:val="32"/>
          <w:szCs w:val="32"/>
        </w:rPr>
        <w:t>二是继续</w:t>
      </w:r>
      <w:r>
        <w:rPr>
          <w:rStyle w:val="42"/>
          <w:rFonts w:hint="eastAsia" w:ascii="仿宋_GB2312" w:hAnsi="仿宋" w:eastAsia="仿宋_GB2312" w:cs="仿宋"/>
          <w:bCs/>
          <w:color w:val="000000"/>
          <w:sz w:val="32"/>
          <w:szCs w:val="32"/>
        </w:rPr>
        <w:t>推进</w:t>
      </w:r>
      <w:r>
        <w:rPr>
          <w:rStyle w:val="42"/>
          <w:rFonts w:hint="eastAsia" w:ascii="仿宋_GB2312" w:hAnsi="仿宋" w:eastAsia="仿宋_GB2312" w:cs="仿宋"/>
          <w:bCs/>
          <w:kern w:val="0"/>
          <w:sz w:val="32"/>
          <w:szCs w:val="32"/>
        </w:rPr>
        <w:t>2018</w:t>
      </w:r>
      <w:r>
        <w:rPr>
          <w:rStyle w:val="42"/>
          <w:rFonts w:hint="eastAsia" w:ascii="仿宋_GB2312" w:hAnsi="仿宋" w:eastAsia="仿宋_GB2312" w:cs="仿宋"/>
          <w:bCs/>
          <w:color w:val="000000"/>
          <w:sz w:val="32"/>
          <w:szCs w:val="32"/>
        </w:rPr>
        <w:t>年国家级电子商务进农村综合示范县项目建设。项目总投资额2700万元，其中：中央财政专项补助资金1500万元，县级地方财政配套资金100万元，企业自筹资金1100万元。截至</w:t>
      </w:r>
      <w:r>
        <w:rPr>
          <w:rStyle w:val="42"/>
          <w:rFonts w:hint="eastAsia" w:ascii="仿宋_GB2312" w:hAnsi="仿宋" w:eastAsia="仿宋_GB2312" w:cs="仿宋"/>
          <w:bCs/>
          <w:kern w:val="0"/>
          <w:sz w:val="32"/>
          <w:szCs w:val="32"/>
        </w:rPr>
        <w:t>目前，</w:t>
      </w:r>
      <w:r>
        <w:rPr>
          <w:rStyle w:val="42"/>
          <w:rFonts w:hint="eastAsia" w:ascii="仿宋_GB2312" w:hAnsi="仿宋" w:eastAsia="仿宋_GB2312" w:cs="仿宋"/>
          <w:bCs/>
          <w:sz w:val="32"/>
          <w:szCs w:val="32"/>
        </w:rPr>
        <w:t>项目完成总进度约70%，</w:t>
      </w:r>
      <w:r>
        <w:rPr>
          <w:rStyle w:val="42"/>
          <w:rFonts w:hint="eastAsia" w:ascii="仿宋_GB2312" w:hAnsi="仿宋" w:eastAsia="仿宋_GB2312" w:cs="仿宋"/>
          <w:bCs/>
          <w:kern w:val="0"/>
          <w:sz w:val="32"/>
          <w:szCs w:val="32"/>
        </w:rPr>
        <w:t>已拨付中央财政专项资金1035万元。</w:t>
      </w:r>
      <w:r>
        <w:rPr>
          <w:rStyle w:val="42"/>
          <w:rFonts w:hint="eastAsia" w:ascii="仿宋_GB2312" w:hAnsi="仿宋" w:eastAsia="仿宋_GB2312" w:cs="仿宋"/>
          <w:bCs/>
          <w:color w:val="000000"/>
          <w:sz w:val="32"/>
          <w:szCs w:val="32"/>
        </w:rPr>
        <w:t>三是积极参与拓展市场活动，拓宽我县农特产品销售渠道。组织企业参加“阿坝州—成都市第六届‘农商对接’活动”，“金秋购物助脱贫</w:t>
      </w:r>
      <w:r>
        <w:rPr>
          <w:rStyle w:val="42"/>
          <w:rFonts w:hint="eastAsia" w:ascii="仿宋_GB2312" w:hAnsi="Calibri" w:eastAsia="仿宋_GB2312" w:cs="Calibri"/>
          <w:bCs/>
          <w:color w:val="000000"/>
          <w:sz w:val="32"/>
          <w:szCs w:val="32"/>
        </w:rPr>
        <w:t> </w:t>
      </w:r>
      <w:r>
        <w:rPr>
          <w:rStyle w:val="42"/>
          <w:rFonts w:hint="eastAsia" w:ascii="仿宋_GB2312" w:hAnsi="仿宋" w:eastAsia="仿宋_GB2312" w:cs="仿宋"/>
          <w:bCs/>
          <w:color w:val="000000"/>
          <w:sz w:val="32"/>
          <w:szCs w:val="32"/>
        </w:rPr>
        <w:t>四川扶贫产品销售周暨扶贫832四川产品采购对接会”、““味美四川”川派餐饮汇活动周”、“阿坝州第四届特色美食烹饪技能大赛暨美食展”、“2020川货全国行</w:t>
      </w:r>
      <w:r>
        <w:rPr>
          <w:rStyle w:val="42"/>
          <w:rFonts w:hint="eastAsia" w:ascii="仿宋_GB2312" w:hAnsi="微软雅黑" w:eastAsia="仿宋_GB2312" w:cs="微软雅黑"/>
          <w:bCs/>
          <w:color w:val="000000"/>
          <w:sz w:val="32"/>
          <w:szCs w:val="32"/>
        </w:rPr>
        <w:t>•</w:t>
      </w:r>
      <w:r>
        <w:rPr>
          <w:rStyle w:val="42"/>
          <w:rFonts w:hint="eastAsia" w:ascii="仿宋_GB2312" w:hAnsi="仿宋" w:eastAsia="仿宋_GB2312" w:cs="仿宋"/>
          <w:bCs/>
          <w:color w:val="000000"/>
          <w:sz w:val="32"/>
          <w:szCs w:val="32"/>
        </w:rPr>
        <w:t>重庆站暨川渝好物进双城活动”“2020温州国际时尚文化产业博览会”等活动，推广宣传“壤巴拉”品牌高原绿色菜籽油、牦牛肉、蜂蜜、菌类等农特文创产品，</w:t>
      </w:r>
      <w:r>
        <w:rPr>
          <w:rStyle w:val="42"/>
          <w:rFonts w:hint="eastAsia" w:ascii="仿宋_GB2312" w:hAnsi="Calibri" w:eastAsia="仿宋_GB2312" w:cs="Calibri"/>
          <w:bCs/>
          <w:color w:val="000000"/>
          <w:sz w:val="32"/>
          <w:szCs w:val="32"/>
        </w:rPr>
        <w:t> </w:t>
      </w:r>
      <w:r>
        <w:rPr>
          <w:rStyle w:val="42"/>
          <w:rFonts w:hint="eastAsia" w:ascii="仿宋_GB2312" w:hAnsi="仿宋" w:eastAsia="仿宋_GB2312" w:cs="仿宋"/>
          <w:bCs/>
          <w:color w:val="000000"/>
          <w:sz w:val="32"/>
          <w:szCs w:val="32"/>
        </w:rPr>
        <w:t>进一步加大“壤巴拉”品牌的宣传力度。四是制定出台《壤塘县壤巴拉产品销售奖励办法》，调动壤巴拉产品生产、销售企业的积极性，促进壤巴拉产品的生产和销售。五是联合交通、市场管理部门，组织县邮政公司和中通、申通等5家快递公司实施“邮政快递企业合作”解决快递到村最后一公里问题，畅通快递末端按址投递。</w:t>
      </w:r>
    </w:p>
    <w:p>
      <w:pPr>
        <w:spacing w:line="560" w:lineRule="exact"/>
        <w:ind w:firstLine="643" w:firstLineChars="200"/>
        <w:rPr>
          <w:rStyle w:val="42"/>
          <w:rFonts w:ascii="仿宋_GB2312" w:hAnsi="仿宋" w:eastAsia="仿宋_GB2312" w:cs="仿宋"/>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w:t>
      </w:r>
      <w:r>
        <w:rPr>
          <w:rStyle w:val="42"/>
          <w:rFonts w:hint="eastAsia" w:ascii="仿宋_GB2312" w:hAnsi="仿宋" w:eastAsia="仿宋_GB2312" w:cs="仿宋"/>
          <w:bCs/>
          <w:color w:val="000000"/>
          <w:sz w:val="32"/>
          <w:szCs w:val="32"/>
        </w:rPr>
        <w:t>招商引资工作：一是发挥外联小分队的作用，加大飞地园区招商引资力度和招引的3家企业的服务；二是进一步梳理招商引资项目，编制</w:t>
      </w:r>
      <w:r>
        <w:rPr>
          <w:rStyle w:val="42"/>
          <w:rFonts w:hint="eastAsia" w:ascii="仿宋_GB2312" w:hAnsi="仿宋" w:eastAsia="仿宋_GB2312" w:cs="仿宋"/>
          <w:b w:val="0"/>
          <w:bCs/>
          <w:sz w:val="32"/>
          <w:szCs w:val="32"/>
        </w:rPr>
        <w:t>克久温泉村落开发、317国道悬天藏寨旅游开发、中壤塘民俗旅游开发项目向外重点推介；三是做好招商引资企业到壤考察项目的协调服务工作，推动了尕多分布式太阳能发电开发、松果共享单车、餐厨垃圾处理项目的前期协调服务工作。</w:t>
      </w:r>
    </w:p>
    <w:p>
      <w:pPr>
        <w:pStyle w:val="44"/>
        <w:keepNext w:val="0"/>
        <w:keepLines w:val="0"/>
        <w:pageBreakBefore w:val="0"/>
        <w:widowControl/>
        <w:kinsoku/>
        <w:wordWrap/>
        <w:overflowPunct/>
        <w:topLinePunct w:val="0"/>
        <w:autoSpaceDE/>
        <w:autoSpaceDN/>
        <w:bidi w:val="0"/>
        <w:adjustRightInd/>
        <w:snapToGrid/>
        <w:ind w:firstLine="643" w:firstLineChars="200"/>
        <w:jc w:val="both"/>
        <w:textAlignment w:val="baseline"/>
        <w:rPr>
          <w:rStyle w:val="42"/>
          <w:rFonts w:ascii="仿宋_GB2312" w:hAnsi="仿宋" w:eastAsia="仿宋_GB2312" w:cs="仿宋"/>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w:t>
      </w:r>
      <w:r>
        <w:rPr>
          <w:rStyle w:val="42"/>
          <w:rFonts w:hint="eastAsia" w:ascii="仿宋_GB2312" w:hAnsi="仿宋" w:eastAsia="仿宋_GB2312" w:cs="仿宋"/>
          <w:bCs/>
          <w:color w:val="000000"/>
          <w:sz w:val="32"/>
          <w:szCs w:val="32"/>
          <w:lang w:bidi="ar-SA"/>
        </w:rPr>
        <w:t>帮村工作：一是组织力量扎实开展帮村工作，做好阳培村脱贫验收工作；二是积极对接绵阳市经信局及爱心企业帮扶阳培村资金2.5万元，三是对接成阿园区爱心企业帮扶岗木达乡幼儿园资金1.5万元并看望慰问教师。</w:t>
      </w:r>
    </w:p>
    <w:p>
      <w:pPr>
        <w:pStyle w:val="41"/>
        <w:spacing w:line="360" w:lineRule="auto"/>
        <w:ind w:firstLine="643"/>
        <w:rPr>
          <w:rFonts w:ascii="仿宋_GB2312" w:hAnsi="仿宋_GB2312" w:eastAsia="仿宋_GB2312" w:cs="仿宋_GB2312"/>
          <w:b/>
          <w:bCs/>
          <w:kern w:val="0"/>
          <w:sz w:val="32"/>
          <w:szCs w:val="32"/>
          <w:lang w:val="zh-CN"/>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lang w:val="zh-CN"/>
        </w:rPr>
        <w:t>目标完成情况</w:t>
      </w:r>
    </w:p>
    <w:p>
      <w:pPr>
        <w:spacing w:line="560" w:lineRule="exact"/>
        <w:ind w:firstLine="643" w:firstLineChars="200"/>
        <w:rPr>
          <w:rStyle w:val="42"/>
          <w:rFonts w:ascii="仿宋_GB2312" w:hAnsi="仿宋" w:eastAsia="仿宋_GB2312" w:cs="仿宋"/>
          <w:kern w:val="0"/>
          <w:sz w:val="32"/>
          <w:szCs w:val="32"/>
        </w:rPr>
      </w:pPr>
      <w:r>
        <w:rPr>
          <w:rFonts w:hint="eastAsia" w:ascii="仿宋_GB2312" w:hAnsi="仿宋_GB2312" w:eastAsia="仿宋_GB2312" w:cs="仿宋_GB2312"/>
          <w:b/>
          <w:bCs/>
          <w:kern w:val="0"/>
          <w:sz w:val="32"/>
          <w:szCs w:val="32"/>
        </w:rPr>
        <w:t>（1）</w:t>
      </w:r>
      <w:r>
        <w:rPr>
          <w:rStyle w:val="42"/>
          <w:rFonts w:hint="eastAsia" w:ascii="仿宋_GB2312" w:hAnsi="仿宋" w:eastAsia="仿宋_GB2312" w:cs="仿宋"/>
          <w:kern w:val="0"/>
          <w:sz w:val="32"/>
          <w:szCs w:val="32"/>
        </w:rPr>
        <w:t>2020年全县实现社会消费品零售总额23000万元，同比下降3.5%；</w:t>
      </w:r>
    </w:p>
    <w:p>
      <w:pPr>
        <w:spacing w:line="560" w:lineRule="exact"/>
        <w:ind w:firstLine="643" w:firstLineChars="200"/>
        <w:rPr>
          <w:rStyle w:val="42"/>
          <w:rFonts w:ascii="仿宋_GB2312" w:hAnsi="仿宋" w:eastAsia="仿宋_GB2312" w:cs="仿宋"/>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w:t>
      </w:r>
      <w:r>
        <w:rPr>
          <w:rStyle w:val="42"/>
          <w:rFonts w:hint="eastAsia" w:ascii="仿宋_GB2312" w:hAnsi="仿宋" w:eastAsia="仿宋_GB2312" w:cs="仿宋"/>
          <w:color w:val="000000"/>
          <w:sz w:val="32"/>
          <w:szCs w:val="32"/>
        </w:rPr>
        <w:t>2020年全部工业企业增加值同比增加5.5</w:t>
      </w:r>
      <w:r>
        <w:rPr>
          <w:rStyle w:val="42"/>
          <w:rFonts w:hint="eastAsia" w:ascii="仿宋_GB2312" w:hAnsi="仿宋" w:eastAsia="仿宋_GB2312" w:cs="仿宋"/>
          <w:kern w:val="0"/>
          <w:sz w:val="32"/>
          <w:szCs w:val="32"/>
        </w:rPr>
        <w:t>%，完成升规任务100%；</w:t>
      </w:r>
    </w:p>
    <w:p>
      <w:pPr>
        <w:spacing w:line="520" w:lineRule="exact"/>
        <w:ind w:firstLine="643" w:firstLineChars="200"/>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w:t>
      </w:r>
      <w:r>
        <w:rPr>
          <w:rStyle w:val="42"/>
          <w:rFonts w:hint="eastAsia" w:ascii="仿宋_GB2312" w:hAnsi="仿宋" w:eastAsia="仿宋_GB2312" w:cs="仿宋"/>
          <w:kern w:val="0"/>
          <w:sz w:val="32"/>
          <w:szCs w:val="32"/>
        </w:rPr>
        <w:t>2020年在“成阿”“德阿”工业园区完成2家招商引资企业升入规上工业企业，完成州下达目标任务。</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预算编制准确率</w:t>
      </w:r>
    </w:p>
    <w:p>
      <w:pPr>
        <w:pStyle w:val="2"/>
        <w:spacing w:line="360" w:lineRule="auto"/>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本单位为2020年初预算收入</w:t>
      </w:r>
      <w:r>
        <w:rPr>
          <w:rFonts w:ascii="仿宋_GB2312" w:hAnsi="仿宋_GB2312" w:eastAsia="仿宋_GB2312" w:cs="仿宋_GB2312"/>
          <w:sz w:val="32"/>
          <w:szCs w:val="32"/>
        </w:rPr>
        <w:t>409.13</w:t>
      </w:r>
      <w:r>
        <w:rPr>
          <w:rFonts w:hint="eastAsia" w:ascii="仿宋_GB2312" w:hAnsi="仿宋_GB2312" w:eastAsia="仿宋_GB2312" w:cs="仿宋_GB2312"/>
          <w:sz w:val="32"/>
          <w:szCs w:val="32"/>
        </w:rPr>
        <w:t>万元，年初结转结余498.</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万元，年末实际预算收入为</w:t>
      </w:r>
      <w:r>
        <w:rPr>
          <w:rFonts w:ascii="仿宋_GB2312" w:hAnsi="仿宋_GB2312" w:eastAsia="仿宋_GB2312" w:cs="仿宋_GB2312"/>
          <w:sz w:val="32"/>
          <w:szCs w:val="32"/>
        </w:rPr>
        <w:t>812.85</w:t>
      </w:r>
      <w:r>
        <w:rPr>
          <w:rFonts w:hint="eastAsia" w:ascii="仿宋_GB2312" w:hAnsi="仿宋_GB2312" w:eastAsia="仿宋_GB2312" w:cs="仿宋_GB2312"/>
          <w:sz w:val="32"/>
          <w:szCs w:val="32"/>
        </w:rPr>
        <w:t>万元，年末实际支出总额为</w:t>
      </w:r>
      <w:r>
        <w:rPr>
          <w:rFonts w:ascii="仿宋_GB2312" w:hAnsi="仿宋_GB2312" w:eastAsia="仿宋_GB2312" w:cs="仿宋_GB2312"/>
          <w:sz w:val="32"/>
          <w:szCs w:val="32"/>
        </w:rPr>
        <w:t>788.39</w:t>
      </w:r>
      <w:r>
        <w:rPr>
          <w:rFonts w:hint="eastAsia" w:ascii="仿宋_GB2312" w:hAnsi="仿宋_GB2312" w:eastAsia="仿宋_GB2312" w:cs="仿宋_GB2312"/>
          <w:sz w:val="32"/>
          <w:szCs w:val="32"/>
        </w:rPr>
        <w:t>万元，年预算编制准确率较高。</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支出控制</w:t>
      </w:r>
    </w:p>
    <w:p>
      <w:pPr>
        <w:pStyle w:val="2"/>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pPr>
        <w:pStyle w:val="2"/>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本单位制定的管理制度，包括不限于财务管理制度、采购管理制度，监控、监督措施执行有效，2020年度单位财务人员按要求执行了监控职能。</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重点项目执行完成进度</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（1）当年重点项目资金收入情况</w:t>
      </w:r>
    </w:p>
    <w:p>
      <w:pPr>
        <w:pStyle w:val="2"/>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本单位2020年无项目。</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6</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预算完成情况</w:t>
      </w:r>
    </w:p>
    <w:p>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2020年财政预算收入年末总额为</w:t>
      </w:r>
      <w:r>
        <w:rPr>
          <w:rFonts w:ascii="仿宋_GB2312" w:hAnsi="仿宋_GB2312" w:eastAsia="仿宋_GB2312" w:cs="仿宋_GB2312"/>
          <w:sz w:val="32"/>
          <w:szCs w:val="32"/>
        </w:rPr>
        <w:t>1292.66</w:t>
      </w:r>
      <w:r>
        <w:rPr>
          <w:rFonts w:hint="eastAsia" w:ascii="仿宋_GB2312" w:hAnsi="仿宋_GB2312" w:eastAsia="仿宋_GB2312" w:cs="仿宋_GB2312"/>
          <w:sz w:val="32"/>
          <w:szCs w:val="32"/>
        </w:rPr>
        <w:t>万元，年末实际预算支出总额为</w:t>
      </w:r>
      <w:r>
        <w:rPr>
          <w:rFonts w:ascii="仿宋_GB2312" w:hAnsi="仿宋_GB2312" w:eastAsia="仿宋_GB2312" w:cs="仿宋_GB2312"/>
          <w:sz w:val="32"/>
          <w:szCs w:val="32"/>
        </w:rPr>
        <w:t>1292.66</w:t>
      </w:r>
      <w:r>
        <w:rPr>
          <w:rFonts w:hint="eastAsia" w:ascii="仿宋_GB2312" w:hAnsi="仿宋_GB2312" w:eastAsia="仿宋_GB2312" w:cs="仿宋_GB2312"/>
          <w:sz w:val="32"/>
          <w:szCs w:val="32"/>
        </w:rPr>
        <w:t>万元，预算完成率为100%。</w:t>
      </w:r>
    </w:p>
    <w:p>
      <w:pPr>
        <w:pStyle w:val="41"/>
        <w:spacing w:line="360" w:lineRule="auto"/>
        <w:ind w:left="640" w:firstLine="0" w:firstLineChars="0"/>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rPr>
        <w:t>7、</w:t>
      </w:r>
      <w:r>
        <w:rPr>
          <w:rFonts w:hint="eastAsia" w:ascii="仿宋_GB2312" w:hAnsi="仿宋_GB2312" w:eastAsia="仿宋_GB2312" w:cs="仿宋_GB2312"/>
          <w:b/>
          <w:bCs/>
          <w:kern w:val="0"/>
          <w:sz w:val="32"/>
          <w:szCs w:val="32"/>
          <w:lang w:val="zh-CN"/>
        </w:rPr>
        <w:t>违规记录</w:t>
      </w:r>
    </w:p>
    <w:p>
      <w:pPr>
        <w:pStyle w:val="2"/>
        <w:ind w:left="420" w:leftChars="200" w:firstLine="0" w:firstLineChars="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本年度无违规记录。</w:t>
      </w:r>
    </w:p>
    <w:p>
      <w:pPr>
        <w:pStyle w:val="2"/>
        <w:spacing w:line="360" w:lineRule="auto"/>
        <w:ind w:left="640" w:firstLine="0" w:firstLineChars="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（二）结果应用情况</w:t>
      </w:r>
    </w:p>
    <w:p>
      <w:pPr>
        <w:pStyle w:val="41"/>
        <w:spacing w:line="360" w:lineRule="auto"/>
        <w:ind w:left="64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rPr>
        <w:t>信息公开</w:t>
      </w:r>
    </w:p>
    <w:p>
      <w:pPr>
        <w:pStyle w:val="2"/>
        <w:spacing w:line="36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本单位已经按财政要求及时完成预算、决算、绩效等信息公开工作，信息公开在壤塘县人民政府门户网站中。</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四、评价结论及措施</w:t>
      </w:r>
    </w:p>
    <w:p>
      <w:pPr>
        <w:pStyle w:val="2"/>
        <w:spacing w:line="360" w:lineRule="auto"/>
        <w:ind w:left="0" w:leftChars="0"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（一）评价结论：见附表</w:t>
      </w:r>
    </w:p>
    <w:p>
      <w:pPr>
        <w:pStyle w:val="2"/>
        <w:spacing w:line="360" w:lineRule="auto"/>
        <w:ind w:firstLine="643"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 xml:space="preserve">（二）存在问题 </w:t>
      </w:r>
      <w:r>
        <w:rPr>
          <w:rFonts w:ascii="仿宋_GB2312" w:hAnsi="仿宋_GB2312" w:eastAsia="仿宋_GB2312" w:cs="仿宋_GB2312"/>
          <w:b/>
          <w:bCs/>
          <w:sz w:val="32"/>
          <w:szCs w:val="32"/>
        </w:rPr>
        <w:t xml:space="preserve"> </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项目决策的科学性（投资单位对项目总体投资额为410万，其中厂房建设占总体投资额的70%）：</w:t>
      </w:r>
      <w:r>
        <w:rPr>
          <w:rFonts w:hint="eastAsia" w:ascii="仿宋" w:hAnsi="仿宋" w:eastAsia="仿宋" w:cs="仿宋"/>
          <w:color w:val="000000" w:themeColor="text1"/>
          <w:sz w:val="32"/>
          <w:szCs w:val="32"/>
          <w14:textFill>
            <w14:solidFill>
              <w14:schemeClr w14:val="tx1"/>
            </w14:solidFill>
          </w14:textFill>
        </w:rPr>
        <w:t>根据四川省壤巴拉慧科生态农业有限公司提交的项目资金申请报告，报告的建设内容为：①将专利微波脱皮7D冷榨高品质浓香菜籽仁油成套生产线生产能力由5吨/日升级改造为10吨/日，利用慧科园区现有土地建设油菜籽及成品菜籽仁油恒温存储仓库等附属设施项目，建筑面积630平方米；②新购置微波脱皮7D冷榨高品质浓香菜籽仁油成套生产线（10吨/日）。经信局80万元的资金补助是用于技改扩能、产业技术研发、新产品创新。但该公司的建设内容除了建设生产线，还有建设厂房（公司的预算建设投资是410万元，其中技能方面121.12万元；厂房建设288.37万元），项目决策不够谨慎。</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项目目标的科学性（绩效目标设置过高）</w:t>
      </w:r>
      <w:r>
        <w:rPr>
          <w:rFonts w:hint="eastAsia" w:ascii="仿宋" w:hAnsi="仿宋" w:eastAsia="仿宋" w:cs="仿宋"/>
          <w:color w:val="000000" w:themeColor="text1"/>
          <w:sz w:val="32"/>
          <w:szCs w:val="32"/>
          <w14:textFill>
            <w14:solidFill>
              <w14:schemeClr w14:val="tx1"/>
            </w14:solidFill>
          </w14:textFill>
        </w:rPr>
        <w:t>：经过与被投资单位访谈，被投资单位（四川省壤巴拉慧科生态农业有限公司）在2019年期间实现的年收入是200余万元，在设定本项目的绩效目标时，定下了预期2020年实现2500余万元收入以及有能力实现2020年采购单价高于2019年采购价格50%以上收购壤塘县油菜籽。</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项目绩效，经济效益（被投资单位的营业收入和采购菜籽油的价款均未达到预期）：</w:t>
      </w:r>
      <w:r>
        <w:rPr>
          <w:rFonts w:hint="eastAsia" w:ascii="仿宋" w:hAnsi="仿宋" w:eastAsia="仿宋" w:cs="仿宋"/>
          <w:color w:val="000000" w:themeColor="text1"/>
          <w:sz w:val="32"/>
          <w:szCs w:val="32"/>
          <w14:textFill>
            <w14:solidFill>
              <w14:schemeClr w14:val="tx1"/>
            </w14:solidFill>
          </w14:textFill>
        </w:rPr>
        <w:t>根据四川省壤巴拉慧科生态农业有限公司提交的项目资金申请报告，制定了项目完成后经济效益提高情况：①菜籽仁油年均生产能力由170吨升级为340吨，可以直接增加营业收入2560余万元；②2019年四川省壤巴拉慧科生态农业有限公司以4.8元/斤的价格定向收购壤塘县油菜籽，项目完成后，能够以高于市场50%的价格全额收购壤塘县境内的油菜籽。经过与慧科生态农业公司联系沟通，目前2020年的油菜籽收购价仍然是以4.8元/斤，没有达到以高于50%的价格全额收购油菜籽；同时2020年营业收入只达到200多万，未达到预期营业收入2560万元，以上经济效益均未达到预期。</w:t>
      </w:r>
    </w:p>
    <w:p>
      <w:pPr>
        <w:ind w:firstLine="643" w:firstLineChars="200"/>
      </w:pPr>
      <w:r>
        <w:rPr>
          <w:rFonts w:hint="eastAsia" w:ascii="仿宋" w:hAnsi="仿宋" w:eastAsia="仿宋" w:cs="仿宋"/>
          <w:b/>
          <w:bCs/>
          <w:color w:val="000000" w:themeColor="text1"/>
          <w:sz w:val="32"/>
          <w:szCs w:val="32"/>
          <w14:textFill>
            <w14:solidFill>
              <w14:schemeClr w14:val="tx1"/>
            </w14:solidFill>
          </w14:textFill>
        </w:rPr>
        <w:t>4</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项目管理，资格审核不到位（经信局党组会议确定被投资单位，前期未经过专家评审）：</w:t>
      </w:r>
      <w:r>
        <w:rPr>
          <w:rFonts w:hint="eastAsia" w:ascii="仿宋" w:hAnsi="仿宋" w:eastAsia="仿宋" w:cs="仿宋"/>
          <w:color w:val="000000" w:themeColor="text1"/>
          <w:sz w:val="32"/>
          <w:szCs w:val="32"/>
          <w14:textFill>
            <w14:solidFill>
              <w14:schemeClr w14:val="tx1"/>
            </w14:solidFill>
          </w14:textFill>
        </w:rPr>
        <w:t>2019年7月5日，壤塘县经济商务和信息化局召开了党组会议，会议参加人员为樊兴建、田辉、王宇，会议人员认为结合壤塘县当前工业企业发展实际，目前仅四川省壤巴拉慧科生态农业有限公司符合相关要求｛按照项目资金使用方向主要用于推进工业园区的发展（不包括园区基础设施建设）、工业产业绿色发展、企业转型升级（技改扩能、产业技术研发、新产品创新）等要求｝，也未见专家参与会议决议。</w:t>
      </w:r>
    </w:p>
    <w:p>
      <w:pPr>
        <w:pStyle w:val="2"/>
        <w:spacing w:line="360" w:lineRule="auto"/>
        <w:ind w:firstLine="643" w:firstLineChars="200"/>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 xml:space="preserve">（二）改进措施 </w:t>
      </w:r>
    </w:p>
    <w:p>
      <w:pPr>
        <w:pStyle w:val="41"/>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项目决策的科学性（投资单位对项目总体投资额为410万，其中厂房建设占总体投资额的70%）：</w:t>
      </w:r>
      <w:r>
        <w:rPr>
          <w:rFonts w:hint="eastAsia" w:ascii="仿宋" w:hAnsi="仿宋" w:eastAsia="仿宋"/>
          <w:color w:val="000000" w:themeColor="text1"/>
          <w:sz w:val="32"/>
          <w:szCs w:val="32"/>
          <w14:textFill>
            <w14:solidFill>
              <w14:schemeClr w14:val="tx1"/>
            </w14:solidFill>
          </w14:textFill>
        </w:rPr>
        <w:t>专利微波脱皮7D冷榨高品质浓香菜籽仁油成套生产线生产能力由5吨/日升级改造为10吨/日，建设项目总投资410万元，包含了生产线产能提升以及附属配套的油菜籽存储、烘干、恒温厂房建设。如若单纯的对生产线产能进行提升，而附属的存储、烘干、成品存储仓库配套设施不进行升级改造，技改扩能就目标就无法实现。慧科农业有限公司使用2019年第一批工业发展资金80万元以及公司的配套资金对菜籽仁油成套生产线生产能力由5吨/日升级改造为10吨/日建设项目符合资金使用方向，符合四川省工业切快资金用于技改扩能、产业技术研发、新产品创新的相关要求。</w:t>
      </w:r>
    </w:p>
    <w:p>
      <w:pPr>
        <w:pStyle w:val="45"/>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default" w:ascii="仿宋" w:hAnsi="仿宋" w:eastAsia="仿宋"/>
          <w:color w:val="000000" w:themeColor="text1"/>
          <w:sz w:val="32"/>
          <w:szCs w:val="32"/>
          <w14:textFill>
            <w14:solidFill>
              <w14:schemeClr w14:val="tx1"/>
            </w14:solidFill>
          </w14:textFill>
        </w:rPr>
      </w:pPr>
      <w:r>
        <w:rPr>
          <w:rFonts w:ascii="仿宋" w:hAnsi="仿宋" w:eastAsia="仿宋" w:cs="仿宋"/>
          <w:b/>
          <w:bCs/>
          <w:color w:val="000000" w:themeColor="text1"/>
          <w:sz w:val="32"/>
          <w:szCs w:val="32"/>
          <w14:textFill>
            <w14:solidFill>
              <w14:schemeClr w14:val="tx1"/>
            </w14:solidFill>
          </w14:textFill>
        </w:rPr>
        <w:t>2</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ascii="仿宋" w:hAnsi="仿宋" w:eastAsia="仿宋" w:cs="仿宋"/>
          <w:b/>
          <w:bCs/>
          <w:color w:val="000000" w:themeColor="text1"/>
          <w:sz w:val="32"/>
          <w:szCs w:val="32"/>
          <w14:textFill>
            <w14:solidFill>
              <w14:schemeClr w14:val="tx1"/>
            </w14:solidFill>
          </w14:textFill>
        </w:rPr>
        <w:t>项目目标的科学性（绩效目标设置过高）：</w:t>
      </w:r>
      <w:r>
        <w:rPr>
          <w:rFonts w:ascii="仿宋" w:hAnsi="仿宋" w:eastAsia="仿宋" w:cs="仿宋"/>
          <w:color w:val="000000" w:themeColor="text1"/>
          <w:sz w:val="32"/>
          <w:szCs w:val="32"/>
          <w14:textFill>
            <w14:solidFill>
              <w14:schemeClr w14:val="tx1"/>
            </w14:solidFill>
          </w14:textFill>
        </w:rPr>
        <w:t>慧科农业有限公司现在的生产能力由5吨/日升级改造为10吨/日后，具备年生产能力实现销售额2500余万元的产能，但2020年受疫情影响，油菜籽销售额未达到预期。2021年年初慧科公司已经明确了“2021年力争销售额达到2000万元，2022确保销售额上2000万元，实现壤塘第二个规模以上企业”的目标。</w:t>
      </w:r>
    </w:p>
    <w:p>
      <w:pPr>
        <w:numPr>
          <w:ilvl w:val="0"/>
          <w:numId w:val="0"/>
        </w:num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w:t>
      </w:r>
      <w:r>
        <w:rPr>
          <w:rFonts w:hint="eastAsia" w:ascii="仿宋" w:hAnsi="仿宋" w:eastAsia="仿宋" w:cs="仿宋"/>
          <w:b/>
          <w:bCs/>
          <w:color w:val="000000" w:themeColor="text1"/>
          <w:sz w:val="32"/>
          <w:szCs w:val="32"/>
          <w14:textFill>
            <w14:solidFill>
              <w14:schemeClr w14:val="tx1"/>
            </w14:solidFill>
          </w14:textFill>
        </w:rPr>
        <w:t>项目绩效，经济效益（被投资单位的营业收入和采购菜籽油的价款均未达到预期）：</w:t>
      </w:r>
      <w:r>
        <w:rPr>
          <w:rFonts w:hint="eastAsia" w:ascii="仿宋" w:hAnsi="仿宋" w:eastAsia="仿宋" w:cs="仿宋"/>
          <w:color w:val="000000" w:themeColor="text1"/>
          <w:sz w:val="32"/>
          <w:szCs w:val="32"/>
          <w14:textFill>
            <w14:solidFill>
              <w14:schemeClr w14:val="tx1"/>
            </w14:solidFill>
          </w14:textFill>
        </w:rPr>
        <w:t>经调查</w:t>
      </w:r>
      <w:r>
        <w:rPr>
          <w:rFonts w:hint="eastAsia" w:ascii="仿宋" w:hAnsi="仿宋" w:eastAsia="仿宋"/>
          <w:color w:val="000000" w:themeColor="text1"/>
          <w:sz w:val="32"/>
          <w:szCs w:val="32"/>
          <w14:textFill>
            <w14:solidFill>
              <w14:schemeClr w14:val="tx1"/>
            </w14:solidFill>
          </w14:textFill>
        </w:rPr>
        <w:t>慧科农业有限公司一直坚持指导油菜籽种植户种植双低油菜籽，2019年油菜籽市场价格为3元/斤，该公司以高于市场价格的50%左右收购价4.8元/斤定向收购油菜籽，符合项目申报书中的所提出的相关要求，相关信息可以查看项目申报书及向油菜籽种植户核实。</w:t>
      </w:r>
    </w:p>
    <w:p>
      <w:pPr>
        <w:ind w:firstLine="643"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w:t>
      </w:r>
      <w:r>
        <w:rPr>
          <w:rFonts w:hint="eastAsia" w:ascii="仿宋" w:hAnsi="仿宋" w:eastAsia="仿宋" w:cs="仿宋"/>
          <w:b/>
          <w:bCs/>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项目管理，资格审核不到位（经信局党组会议确定被投资单位，前期未经过专家评审）：</w:t>
      </w:r>
      <w:r>
        <w:rPr>
          <w:rFonts w:hint="eastAsia" w:ascii="仿宋" w:hAnsi="仿宋" w:eastAsia="仿宋" w:cs="仿宋"/>
          <w:color w:val="000000" w:themeColor="text1"/>
          <w:sz w:val="32"/>
          <w:szCs w:val="32"/>
          <w14:textFill>
            <w14:solidFill>
              <w14:schemeClr w14:val="tx1"/>
            </w14:solidFill>
          </w14:textFill>
        </w:rPr>
        <w:t>针对该问题我局召开党组会议研究决定：在以后的项目审核中将严格按照技改项目资金管理相关规定进行项目审核。</w:t>
      </w:r>
    </w:p>
    <w:p>
      <w:pPr>
        <w:bidi w:val="0"/>
        <w:jc w:val="left"/>
        <w:rPr>
          <w:rFonts w:hint="eastAsia" w:ascii="黑体" w:hAnsi="黑体" w:eastAsia="黑体"/>
          <w:color w:val="000000"/>
          <w:sz w:val="44"/>
          <w:szCs w:val="44"/>
        </w:rPr>
      </w:pPr>
      <w:bookmarkStart w:id="120" w:name="_Toc7584"/>
      <w:bookmarkStart w:id="121" w:name="_Toc79163635"/>
      <w:bookmarkStart w:id="122" w:name="_Toc15396618"/>
      <w:bookmarkStart w:id="123" w:name="_Toc12241"/>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bidi w:val="0"/>
        <w:jc w:val="center"/>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112"/>
      <w:bookmarkEnd w:id="120"/>
      <w:bookmarkEnd w:id="121"/>
      <w:bookmarkEnd w:id="122"/>
      <w:bookmarkEnd w:id="123"/>
    </w:p>
    <w:p>
      <w:pPr>
        <w:pStyle w:val="4"/>
        <w:rPr>
          <w:rFonts w:ascii="仿宋" w:hAnsi="仿宋" w:eastAsia="仿宋"/>
          <w:color w:val="000000"/>
        </w:rPr>
      </w:pPr>
      <w:bookmarkStart w:id="124" w:name="_Toc5427"/>
      <w:bookmarkStart w:id="125" w:name="_Toc79163636"/>
      <w:bookmarkStart w:id="126"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124"/>
      <w:bookmarkEnd w:id="125"/>
      <w:bookmarkEnd w:id="126"/>
    </w:p>
    <w:p>
      <w:pPr>
        <w:pStyle w:val="4"/>
        <w:rPr>
          <w:rFonts w:ascii="仿宋" w:hAnsi="仿宋" w:eastAsia="仿宋"/>
          <w:color w:val="000000"/>
        </w:rPr>
      </w:pPr>
      <w:bookmarkStart w:id="127" w:name="_Toc16353"/>
      <w:bookmarkStart w:id="128" w:name="_Toc15396620"/>
      <w:bookmarkStart w:id="129" w:name="_Toc79163637"/>
      <w:r>
        <w:rPr>
          <w:rFonts w:hint="eastAsia" w:ascii="仿宋" w:hAnsi="仿宋" w:eastAsia="仿宋"/>
          <w:b w:val="0"/>
          <w:color w:val="000000"/>
        </w:rPr>
        <w:t>二、收</w:t>
      </w:r>
      <w:r>
        <w:rPr>
          <w:rStyle w:val="27"/>
          <w:rFonts w:hint="eastAsia" w:ascii="仿宋" w:hAnsi="仿宋" w:eastAsia="仿宋"/>
          <w:b w:val="0"/>
          <w:bCs w:val="0"/>
        </w:rPr>
        <w:t>入决算表</w:t>
      </w:r>
      <w:bookmarkEnd w:id="127"/>
      <w:bookmarkEnd w:id="128"/>
      <w:bookmarkEnd w:id="129"/>
    </w:p>
    <w:p>
      <w:pPr>
        <w:pStyle w:val="4"/>
        <w:rPr>
          <w:rFonts w:ascii="仿宋" w:hAnsi="仿宋" w:eastAsia="仿宋"/>
          <w:color w:val="000000"/>
        </w:rPr>
      </w:pPr>
      <w:bookmarkStart w:id="130" w:name="_Toc15396621"/>
      <w:bookmarkStart w:id="131" w:name="_Toc24584"/>
      <w:bookmarkStart w:id="132" w:name="_Toc79163638"/>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30"/>
      <w:bookmarkEnd w:id="131"/>
      <w:bookmarkEnd w:id="132"/>
    </w:p>
    <w:p>
      <w:pPr>
        <w:pStyle w:val="4"/>
        <w:rPr>
          <w:rFonts w:ascii="仿宋" w:hAnsi="仿宋" w:eastAsia="仿宋"/>
          <w:b w:val="0"/>
          <w:color w:val="000000"/>
        </w:rPr>
      </w:pPr>
      <w:bookmarkStart w:id="133" w:name="_Toc79163639"/>
      <w:bookmarkStart w:id="134" w:name="_Toc19691"/>
      <w:bookmarkStart w:id="135"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33"/>
      <w:bookmarkEnd w:id="134"/>
      <w:bookmarkEnd w:id="135"/>
    </w:p>
    <w:p>
      <w:pPr>
        <w:pStyle w:val="4"/>
        <w:rPr>
          <w:rStyle w:val="27"/>
          <w:rFonts w:ascii="仿宋" w:hAnsi="仿宋" w:eastAsia="仿宋"/>
          <w:b w:val="0"/>
          <w:bCs w:val="0"/>
        </w:rPr>
      </w:pPr>
      <w:bookmarkStart w:id="136" w:name="_Toc15396623"/>
      <w:bookmarkStart w:id="137" w:name="_Toc21611"/>
      <w:bookmarkStart w:id="138" w:name="_Toc79163640"/>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36"/>
      <w:bookmarkEnd w:id="137"/>
      <w:bookmarkEnd w:id="138"/>
      <w:bookmarkStart w:id="139" w:name="_Toc15396624"/>
    </w:p>
    <w:p>
      <w:pPr>
        <w:pStyle w:val="4"/>
        <w:rPr>
          <w:rFonts w:ascii="仿宋" w:hAnsi="仿宋" w:eastAsia="仿宋"/>
          <w:color w:val="000000"/>
        </w:rPr>
      </w:pPr>
      <w:bookmarkStart w:id="140" w:name="_Toc28897"/>
      <w:bookmarkStart w:id="141" w:name="_Toc7916364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39"/>
      <w:bookmarkEnd w:id="140"/>
      <w:bookmarkEnd w:id="141"/>
    </w:p>
    <w:p>
      <w:pPr>
        <w:pStyle w:val="4"/>
        <w:rPr>
          <w:rFonts w:ascii="仿宋" w:hAnsi="仿宋" w:eastAsia="仿宋"/>
          <w:color w:val="000000"/>
        </w:rPr>
      </w:pPr>
      <w:bookmarkStart w:id="142" w:name="_Toc27213"/>
      <w:bookmarkStart w:id="143" w:name="_Toc15396625"/>
      <w:bookmarkStart w:id="144"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42"/>
      <w:bookmarkEnd w:id="143"/>
      <w:bookmarkEnd w:id="144"/>
    </w:p>
    <w:p>
      <w:pPr>
        <w:pStyle w:val="4"/>
        <w:rPr>
          <w:rFonts w:ascii="仿宋" w:hAnsi="仿宋" w:eastAsia="仿宋"/>
          <w:color w:val="000000"/>
        </w:rPr>
      </w:pPr>
      <w:bookmarkStart w:id="145" w:name="_Toc6802"/>
      <w:bookmarkStart w:id="146" w:name="_Toc79163643"/>
      <w:bookmarkStart w:id="147"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45"/>
      <w:bookmarkEnd w:id="146"/>
      <w:bookmarkEnd w:id="147"/>
    </w:p>
    <w:p>
      <w:pPr>
        <w:pStyle w:val="4"/>
        <w:rPr>
          <w:rFonts w:ascii="仿宋" w:hAnsi="仿宋" w:eastAsia="仿宋"/>
          <w:color w:val="000000"/>
        </w:rPr>
      </w:pPr>
      <w:bookmarkStart w:id="148" w:name="_Toc15396627"/>
      <w:bookmarkStart w:id="149" w:name="_Toc22876"/>
      <w:bookmarkStart w:id="150"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48"/>
      <w:bookmarkEnd w:id="149"/>
      <w:bookmarkEnd w:id="150"/>
    </w:p>
    <w:p>
      <w:pPr>
        <w:pStyle w:val="4"/>
        <w:rPr>
          <w:rFonts w:ascii="仿宋" w:hAnsi="仿宋" w:eastAsia="仿宋"/>
          <w:color w:val="000000"/>
        </w:rPr>
      </w:pPr>
      <w:bookmarkStart w:id="151" w:name="_Toc15396628"/>
      <w:bookmarkStart w:id="152" w:name="_Toc32417"/>
      <w:bookmarkStart w:id="153" w:name="_Toc7916364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51"/>
      <w:bookmarkEnd w:id="152"/>
      <w:bookmarkEnd w:id="153"/>
    </w:p>
    <w:p>
      <w:pPr>
        <w:pStyle w:val="4"/>
        <w:rPr>
          <w:rFonts w:ascii="仿宋" w:hAnsi="仿宋" w:eastAsia="仿宋"/>
          <w:color w:val="000000"/>
        </w:rPr>
      </w:pPr>
      <w:bookmarkStart w:id="154" w:name="_Toc79163646"/>
      <w:bookmarkStart w:id="155" w:name="_Toc15396629"/>
      <w:bookmarkStart w:id="156" w:name="_Toc14487"/>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54"/>
      <w:bookmarkEnd w:id="155"/>
      <w:bookmarkEnd w:id="156"/>
    </w:p>
    <w:p>
      <w:pPr>
        <w:pStyle w:val="4"/>
        <w:rPr>
          <w:rFonts w:ascii="仿宋" w:hAnsi="仿宋" w:eastAsia="仿宋"/>
          <w:color w:val="000000"/>
        </w:rPr>
      </w:pPr>
      <w:bookmarkStart w:id="157" w:name="_Toc79163647"/>
      <w:bookmarkStart w:id="158" w:name="_Toc15396630"/>
      <w:bookmarkStart w:id="159" w:name="_Toc2492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57"/>
      <w:bookmarkEnd w:id="158"/>
      <w:bookmarkEnd w:id="159"/>
    </w:p>
    <w:p>
      <w:pPr>
        <w:pStyle w:val="4"/>
        <w:rPr>
          <w:rStyle w:val="27"/>
          <w:rFonts w:ascii="仿宋" w:hAnsi="仿宋" w:eastAsia="仿宋"/>
          <w:b w:val="0"/>
          <w:bCs w:val="0"/>
        </w:rPr>
      </w:pPr>
      <w:bookmarkStart w:id="160" w:name="_Toc15396631"/>
      <w:bookmarkStart w:id="161" w:name="_Toc10073"/>
      <w:bookmarkStart w:id="162" w:name="_Toc7916364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有资本经营预算财政拨款支出决算表</w:t>
      </w:r>
      <w:bookmarkEnd w:id="160"/>
      <w:bookmarkEnd w:id="161"/>
      <w:bookmarkEnd w:id="162"/>
    </w:p>
    <w:p>
      <w:pPr>
        <w:pStyle w:val="4"/>
        <w:rPr>
          <w:rStyle w:val="27"/>
          <w:rFonts w:ascii="仿宋" w:hAnsi="仿宋" w:eastAsia="仿宋"/>
          <w:b w:val="0"/>
          <w:bCs w:val="0"/>
        </w:rPr>
      </w:pPr>
      <w:bookmarkStart w:id="163" w:name="_Toc79163649"/>
      <w:bookmarkStart w:id="164" w:name="_Toc2036"/>
      <w:r>
        <w:rPr>
          <w:rStyle w:val="27"/>
          <w:rFonts w:hint="eastAsia" w:ascii="仿宋" w:hAnsi="仿宋" w:eastAsia="仿宋"/>
          <w:b w:val="0"/>
          <w:bCs w:val="0"/>
        </w:rPr>
        <w:t>十四、国有资本经营预算财政拨款支出决算表</w:t>
      </w:r>
      <w:bookmarkEnd w:id="163"/>
      <w:bookmarkEnd w:id="164"/>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EBB3C91"/>
    <w:multiLevelType w:val="multilevel"/>
    <w:tmpl w:val="3EBB3C91"/>
    <w:lvl w:ilvl="0" w:tentative="0">
      <w:start w:val="1"/>
      <w:numFmt w:val="chineseCountingThousand"/>
      <w:suff w:val="space"/>
      <w:lvlText w:val="%1. "/>
      <w:lvlJc w:val="left"/>
      <w:pPr>
        <w:ind w:left="907" w:hanging="907"/>
        <w:textAlignment w:val="baseline"/>
      </w:pPr>
    </w:lvl>
    <w:lvl w:ilvl="1" w:tentative="0">
      <w:start w:val="1"/>
      <w:numFmt w:val="decimal"/>
      <w:suff w:val="space"/>
      <w:lvlText w:val="%1.%2 "/>
      <w:lvlJc w:val="left"/>
      <w:pPr>
        <w:ind w:left="794" w:hanging="794"/>
        <w:textAlignment w:val="baseline"/>
      </w:pPr>
    </w:lvl>
    <w:lvl w:ilvl="2" w:tentative="0">
      <w:start w:val="0"/>
      <w:numFmt w:val="decimal"/>
      <w:lvlText w:val=""/>
      <w:lvlJc w:val="left"/>
      <w:pPr>
        <w:tabs>
          <w:tab w:val="left" w:pos="360"/>
        </w:tabs>
        <w:textAlignment w:val="baseline"/>
      </w:pPr>
    </w:lvl>
    <w:lvl w:ilvl="3" w:tentative="0">
      <w:start w:val="0"/>
      <w:numFmt w:val="decimal"/>
      <w:lvlText w:val=""/>
      <w:lvlJc w:val="left"/>
      <w:pPr>
        <w:tabs>
          <w:tab w:val="left" w:pos="360"/>
        </w:tabs>
        <w:textAlignment w:val="baseline"/>
      </w:pPr>
    </w:lvl>
    <w:lvl w:ilvl="4" w:tentative="0">
      <w:start w:val="0"/>
      <w:numFmt w:val="decimal"/>
      <w:pStyle w:val="43"/>
      <w:lvlText w:val=""/>
      <w:lvlJc w:val="left"/>
      <w:pPr>
        <w:textAlignment w:val="baseline"/>
      </w:pPr>
    </w:lvl>
    <w:lvl w:ilvl="5" w:tentative="0">
      <w:start w:val="0"/>
      <w:numFmt w:val="decimal"/>
      <w:lvlText w:val=""/>
      <w:lvlJc w:val="left"/>
      <w:pPr>
        <w:textAlignment w:val="baseline"/>
      </w:pPr>
    </w:lvl>
    <w:lvl w:ilvl="6" w:tentative="0">
      <w:start w:val="0"/>
      <w:numFmt w:val="decimal"/>
      <w:lvlText w:val=""/>
      <w:lvlJc w:val="left"/>
      <w:pPr>
        <w:textAlignment w:val="baseline"/>
      </w:pPr>
    </w:lvl>
    <w:lvl w:ilvl="7" w:tentative="0">
      <w:start w:val="0"/>
      <w:numFmt w:val="decimal"/>
      <w:lvlText w:val=""/>
      <w:lvlJc w:val="left"/>
      <w:pPr>
        <w:textAlignment w:val="baseline"/>
      </w:pPr>
    </w:lvl>
    <w:lvl w:ilvl="8" w:tentative="0">
      <w:start w:val="0"/>
      <w:numFmt w:val="decimal"/>
      <w:lvlText w:val=""/>
      <w:lvlJc w:val="left"/>
      <w:pPr>
        <w:textAlignment w:val="baseline"/>
      </w:pPr>
    </w:lvl>
  </w:abstractNum>
  <w:abstractNum w:abstractNumId="4">
    <w:nsid w:val="3EE10C30"/>
    <w:multiLevelType w:val="multilevel"/>
    <w:tmpl w:val="3EE10C3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0OWU5NDg1Y2Y1ZTJhZTU5ZjdkZGQ2MTY3ZWRlNDc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539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341020B"/>
    <w:rsid w:val="06030DA0"/>
    <w:rsid w:val="06D60CCA"/>
    <w:rsid w:val="07D36674"/>
    <w:rsid w:val="0858402D"/>
    <w:rsid w:val="0A2032A3"/>
    <w:rsid w:val="0A391C3C"/>
    <w:rsid w:val="0B3B504E"/>
    <w:rsid w:val="0F5B4403"/>
    <w:rsid w:val="10C055FF"/>
    <w:rsid w:val="118107EC"/>
    <w:rsid w:val="120B0362"/>
    <w:rsid w:val="12584D26"/>
    <w:rsid w:val="127E6D86"/>
    <w:rsid w:val="14436503"/>
    <w:rsid w:val="1448764C"/>
    <w:rsid w:val="162930C0"/>
    <w:rsid w:val="16BB723D"/>
    <w:rsid w:val="17A0425E"/>
    <w:rsid w:val="1A2711EE"/>
    <w:rsid w:val="1C395EA6"/>
    <w:rsid w:val="1CBF4041"/>
    <w:rsid w:val="1D155CEE"/>
    <w:rsid w:val="1D81772B"/>
    <w:rsid w:val="1DF04C94"/>
    <w:rsid w:val="1EB205C0"/>
    <w:rsid w:val="1F0621D8"/>
    <w:rsid w:val="1F213DFF"/>
    <w:rsid w:val="1FA178ED"/>
    <w:rsid w:val="22673393"/>
    <w:rsid w:val="240371BF"/>
    <w:rsid w:val="25B75F7D"/>
    <w:rsid w:val="260735B6"/>
    <w:rsid w:val="285717B4"/>
    <w:rsid w:val="295D4A61"/>
    <w:rsid w:val="297D16EE"/>
    <w:rsid w:val="29FD04D3"/>
    <w:rsid w:val="2FE80560"/>
    <w:rsid w:val="30EF0D7B"/>
    <w:rsid w:val="319F7F4E"/>
    <w:rsid w:val="31A2002C"/>
    <w:rsid w:val="32056724"/>
    <w:rsid w:val="32DF6F75"/>
    <w:rsid w:val="372A62DE"/>
    <w:rsid w:val="38282D19"/>
    <w:rsid w:val="39987E7E"/>
    <w:rsid w:val="3B177FFF"/>
    <w:rsid w:val="3DC079A3"/>
    <w:rsid w:val="3E613D17"/>
    <w:rsid w:val="3F682C44"/>
    <w:rsid w:val="3FB26288"/>
    <w:rsid w:val="445A60A6"/>
    <w:rsid w:val="44CF30CC"/>
    <w:rsid w:val="48236416"/>
    <w:rsid w:val="485752BD"/>
    <w:rsid w:val="48895562"/>
    <w:rsid w:val="496D09DF"/>
    <w:rsid w:val="4B411D37"/>
    <w:rsid w:val="4B8324D8"/>
    <w:rsid w:val="4CCC1EC1"/>
    <w:rsid w:val="4D38699C"/>
    <w:rsid w:val="4D502AF2"/>
    <w:rsid w:val="4D5D409E"/>
    <w:rsid w:val="4DC010A8"/>
    <w:rsid w:val="4E5701D4"/>
    <w:rsid w:val="4E622028"/>
    <w:rsid w:val="4ECE2238"/>
    <w:rsid w:val="4F23250D"/>
    <w:rsid w:val="4F820245"/>
    <w:rsid w:val="50212524"/>
    <w:rsid w:val="50574197"/>
    <w:rsid w:val="509B22D6"/>
    <w:rsid w:val="51852F2D"/>
    <w:rsid w:val="52812CF3"/>
    <w:rsid w:val="54E970A0"/>
    <w:rsid w:val="55AF7AC7"/>
    <w:rsid w:val="56EF1ECC"/>
    <w:rsid w:val="57596A47"/>
    <w:rsid w:val="57B66A9B"/>
    <w:rsid w:val="586F41AD"/>
    <w:rsid w:val="5CDE37F4"/>
    <w:rsid w:val="5D2B477A"/>
    <w:rsid w:val="5D7A7717"/>
    <w:rsid w:val="5E3456E8"/>
    <w:rsid w:val="5F2E4CB6"/>
    <w:rsid w:val="63BC45E5"/>
    <w:rsid w:val="65113009"/>
    <w:rsid w:val="67522411"/>
    <w:rsid w:val="693D11FE"/>
    <w:rsid w:val="6AEE0A37"/>
    <w:rsid w:val="6C4A05C8"/>
    <w:rsid w:val="6C514A29"/>
    <w:rsid w:val="7141612A"/>
    <w:rsid w:val="72057F9A"/>
    <w:rsid w:val="72734D90"/>
    <w:rsid w:val="74D8293D"/>
    <w:rsid w:val="778B6351"/>
    <w:rsid w:val="79501012"/>
    <w:rsid w:val="799E7EB1"/>
    <w:rsid w:val="7BA50D94"/>
    <w:rsid w:val="7E1A7FB2"/>
    <w:rsid w:val="7EFE565A"/>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cs="Times New Roman"/>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lang w:val="zh-CN" w:eastAsia="zh-CN"/>
    </w:rPr>
  </w:style>
  <w:style w:type="paragraph" w:styleId="9">
    <w:name w:val="Body Text Indent"/>
    <w:basedOn w:val="1"/>
    <w:qFormat/>
    <w:uiPriority w:val="0"/>
    <w:pPr>
      <w:spacing w:after="120"/>
      <w:ind w:left="420" w:leftChars="200"/>
    </w:p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0"/>
    <w:semiHidden/>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5">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Body Text First Indent 2"/>
    <w:basedOn w:val="9"/>
    <w:qFormat/>
    <w:uiPriority w:val="0"/>
    <w:pPr>
      <w:tabs>
        <w:tab w:val="left" w:pos="960"/>
      </w:tabs>
      <w:spacing w:after="0" w:line="540" w:lineRule="exact"/>
      <w:ind w:left="0" w:leftChars="0" w:firstLine="420" w:firstLineChars="200"/>
    </w:pPr>
    <w:rPr>
      <w:rFonts w:ascii="Calibri" w:hAnsi="Calibri" w:eastAsia="宋体" w:cs="Times New Roman"/>
      <w:sz w:val="32"/>
      <w:szCs w:val="32"/>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字符"/>
    <w:basedOn w:val="23"/>
    <w:link w:val="3"/>
    <w:qFormat/>
    <w:locked/>
    <w:uiPriority w:val="9"/>
    <w:rPr>
      <w:rFonts w:ascii="Times New Roman" w:hAnsi="Times New Roman" w:cs="Times New Roman"/>
      <w:b/>
      <w:bCs/>
      <w:kern w:val="44"/>
      <w:sz w:val="44"/>
      <w:szCs w:val="44"/>
    </w:rPr>
  </w:style>
  <w:style w:type="character" w:customStyle="1" w:styleId="27">
    <w:name w:val="标题 2 字符"/>
    <w:basedOn w:val="23"/>
    <w:link w:val="4"/>
    <w:qFormat/>
    <w:locked/>
    <w:uiPriority w:val="9"/>
    <w:rPr>
      <w:rFonts w:ascii="Cambria" w:hAnsi="Cambria" w:eastAsia="宋体" w:cs="Times New Roman"/>
      <w:b/>
      <w:bCs/>
      <w:kern w:val="2"/>
      <w:sz w:val="32"/>
      <w:szCs w:val="32"/>
    </w:rPr>
  </w:style>
  <w:style w:type="character" w:customStyle="1" w:styleId="28">
    <w:name w:val="标题 3 字符"/>
    <w:basedOn w:val="23"/>
    <w:link w:val="5"/>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字符"/>
    <w:basedOn w:val="23"/>
    <w:link w:val="13"/>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字符"/>
    <w:link w:val="15"/>
    <w:semiHidden/>
    <w:qFormat/>
    <w:locked/>
    <w:uiPriority w:val="99"/>
    <w:rPr>
      <w:sz w:val="18"/>
    </w:rPr>
  </w:style>
  <w:style w:type="character" w:customStyle="1" w:styleId="34">
    <w:name w:val="页脚 字符"/>
    <w:link w:val="14"/>
    <w:qFormat/>
    <w:locked/>
    <w:uiPriority w:val="99"/>
    <w:rPr>
      <w:sz w:val="18"/>
    </w:rPr>
  </w:style>
  <w:style w:type="character" w:customStyle="1" w:styleId="35">
    <w:name w:val="正文文本 字符"/>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1">
    <w:name w:val="List Paragraph"/>
    <w:basedOn w:val="1"/>
    <w:qFormat/>
    <w:uiPriority w:val="34"/>
    <w:pPr>
      <w:ind w:firstLine="420" w:firstLineChars="200"/>
    </w:pPr>
  </w:style>
  <w:style w:type="character" w:customStyle="1" w:styleId="42">
    <w:name w:val="NormalCharacter"/>
    <w:semiHidden/>
    <w:qFormat/>
    <w:uiPriority w:val="0"/>
    <w:rPr>
      <w:rFonts w:hint="default" w:ascii="Times New Roman" w:hAnsi="Times New Roman" w:eastAsia="宋体" w:cs="Times New Roman"/>
      <w:kern w:val="2"/>
      <w:sz w:val="24"/>
      <w:lang w:val="en-US" w:eastAsia="zh-CN"/>
    </w:rPr>
  </w:style>
  <w:style w:type="paragraph" w:customStyle="1" w:styleId="43">
    <w:name w:val="UserStyle_1"/>
    <w:basedOn w:val="1"/>
    <w:next w:val="44"/>
    <w:qFormat/>
    <w:uiPriority w:val="0"/>
    <w:pPr>
      <w:keepNext/>
      <w:keepLines/>
      <w:numPr>
        <w:ilvl w:val="4"/>
        <w:numId w:val="1"/>
      </w:numPr>
      <w:spacing w:before="280" w:after="156" w:line="377" w:lineRule="auto"/>
    </w:pPr>
    <w:rPr>
      <w:rFonts w:ascii="Arial" w:hAnsi="Arial" w:eastAsia="黑体"/>
      <w:b/>
      <w:sz w:val="24"/>
      <w:szCs w:val="28"/>
    </w:rPr>
  </w:style>
  <w:style w:type="paragraph" w:customStyle="1" w:styleId="44">
    <w:name w:val="UserStyle_0"/>
    <w:qFormat/>
    <w:uiPriority w:val="0"/>
    <w:pPr>
      <w:spacing w:line="300" w:lineRule="auto"/>
      <w:textAlignment w:val="baseline"/>
    </w:pPr>
    <w:rPr>
      <w:rFonts w:ascii="Arial" w:hAnsi="Arial" w:eastAsia="宋体" w:cstheme="minorBidi"/>
      <w:sz w:val="21"/>
      <w:szCs w:val="21"/>
      <w:lang w:val="en-US" w:eastAsia="zh-CN" w:bidi="ar-SA"/>
    </w:rPr>
  </w:style>
  <w:style w:type="paragraph" w:customStyle="1" w:styleId="45">
    <w:name w:val="图表目录1"/>
    <w:basedOn w:val="1"/>
    <w:next w:val="1"/>
    <w:qFormat/>
    <w:uiPriority w:val="0"/>
    <w:pPr>
      <w:ind w:left="200" w:leftChars="200" w:hanging="200" w:hangingChars="200"/>
    </w:pPr>
    <w:rPr>
      <w:rFonts w:hint="eastAsia" w:ascii="Calibri" w:hAnsi="Calibri" w:eastAsia="宋体" w:cs="Arial"/>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15307\Desktop\2020&#24180;&#20915;&#31639;&#20844;&#24320;&#20998;&#26512;&#22270;&#349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5307\Desktop\2020&#2418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[2020年决算公开分析图表.xls]Sheet1!$A$2:$B$2</c:f>
              <c:strCache>
                <c:ptCount val="2"/>
                <c:pt idx="0">
                  <c:v>2019年</c:v>
                </c:pt>
                <c:pt idx="1">
                  <c:v>2020年</c:v>
                </c:pt>
              </c:strCache>
            </c:strRef>
          </c:cat>
          <c:val>
            <c:numRef>
              <c:f>[2020年决算公开分析图表.xls]Sheet1!$A$3:$B$3</c:f>
              <c:numCache>
                <c:formatCode>#,##0.00</c:formatCode>
                <c:ptCount val="2"/>
                <c:pt idx="0">
                  <c:v>927</c:v>
                </c:pt>
                <c:pt idx="1">
                  <c:v>812.85</c:v>
                </c:pt>
              </c:numCache>
            </c:numRef>
          </c:val>
        </c:ser>
        <c:dLbls>
          <c:showLegendKey val="0"/>
          <c:showVal val="0"/>
          <c:showCatName val="0"/>
          <c:showSerName val="0"/>
          <c:showPercent val="0"/>
          <c:showBubbleSize val="0"/>
        </c:dLbls>
        <c:gapWidth val="219"/>
        <c:overlap val="-27"/>
        <c:axId val="806560410"/>
        <c:axId val="772003088"/>
      </c:barChart>
      <c:catAx>
        <c:axId val="80656041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003088"/>
        <c:crosses val="autoZero"/>
        <c:auto val="1"/>
        <c:lblAlgn val="ctr"/>
        <c:lblOffset val="100"/>
        <c:noMultiLvlLbl val="0"/>
      </c:catAx>
      <c:valAx>
        <c:axId val="772003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5604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[2020年决算公开分析图表.xls]Sheet1!$A$23:$B$23</c:f>
              <c:strCache>
                <c:ptCount val="2"/>
                <c:pt idx="0">
                  <c:v>2019年</c:v>
                </c:pt>
                <c:pt idx="1">
                  <c:v>2020年</c:v>
                </c:pt>
              </c:strCache>
            </c:strRef>
          </c:cat>
          <c:val>
            <c:numRef>
              <c:f>[2020年决算公开分析图表.xls]Sheet1!$A$24:$B$24</c:f>
              <c:numCache>
                <c:formatCode>General</c:formatCode>
                <c:ptCount val="2"/>
                <c:pt idx="0">
                  <c:v>741.19</c:v>
                </c:pt>
                <c:pt idx="1" c:formatCode="#,##0.00">
                  <c:v>788.39</c:v>
                </c:pt>
              </c:numCache>
            </c:numRef>
          </c:val>
        </c:ser>
        <c:dLbls>
          <c:showLegendKey val="0"/>
          <c:showVal val="0"/>
          <c:showCatName val="0"/>
          <c:showSerName val="0"/>
          <c:showPercent val="0"/>
          <c:showBubbleSize val="0"/>
        </c:dLbls>
        <c:gapWidth val="219"/>
        <c:overlap val="-27"/>
        <c:axId val="740396028"/>
        <c:axId val="837863803"/>
      </c:barChart>
      <c:catAx>
        <c:axId val="7403960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7863803"/>
        <c:crosses val="autoZero"/>
        <c:auto val="1"/>
        <c:lblAlgn val="ctr"/>
        <c:lblOffset val="100"/>
        <c:noMultiLvlLbl val="0"/>
      </c:catAx>
      <c:valAx>
        <c:axId val="83786380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3960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Lbls>
            <c:delete val="1"/>
          </c:dLbls>
          <c:cat>
            <c:strRef>
              <c:f>[2020年决算公开分析图表.xls]Sheet1!$C$44:$C$51</c:f>
              <c:strCache>
                <c:ptCount val="8"/>
                <c:pt idx="0">
                  <c:v>一、一般公共预算财政拨款收入</c:v>
                </c:pt>
                <c:pt idx="1">
                  <c:v>二、政府性基金预算财政拨款收入</c:v>
                </c:pt>
                <c:pt idx="2">
                  <c:v>三、国有资本经营预算财政拨款收入</c:v>
                </c:pt>
                <c:pt idx="3">
                  <c:v>四、上级补助收入</c:v>
                </c:pt>
                <c:pt idx="4">
                  <c:v>五、事业收入</c:v>
                </c:pt>
                <c:pt idx="5">
                  <c:v>六、经营收入</c:v>
                </c:pt>
                <c:pt idx="6">
                  <c:v>七、附属单位上缴收入</c:v>
                </c:pt>
                <c:pt idx="7">
                  <c:v>八、其他收入</c:v>
                </c:pt>
              </c:strCache>
            </c:strRef>
          </c:cat>
          <c:val>
            <c:numRef>
              <c:f>[2020年决算公开分析图表.xls]Sheet1!$D$44:$D$51</c:f>
              <c:numCache>
                <c:formatCode>General</c:formatCode>
                <c:ptCount val="8"/>
                <c:pt idx="0">
                  <c:v>845.163172</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65"/>
          <c:y val="0.76775"/>
          <c:w val="0.8695"/>
          <c:h val="0.204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[2020年决算公开分析图表.xls]Sheet1!$C$73:$C$77</c:f>
              <c:strCache>
                <c:ptCount val="5"/>
                <c:pt idx="0">
                  <c:v>基本支出</c:v>
                </c:pt>
                <c:pt idx="1">
                  <c:v>项目支出</c:v>
                </c:pt>
                <c:pt idx="2">
                  <c:v>上缴上级支出</c:v>
                </c:pt>
                <c:pt idx="3">
                  <c:v>经营支出</c:v>
                </c:pt>
                <c:pt idx="4">
                  <c:v>对附属单位补助支出</c:v>
                </c:pt>
              </c:strCache>
            </c:strRef>
          </c:cat>
          <c:val>
            <c:numRef>
              <c:f>[2020年决算公开分析图表.xls]Sheet1!$D$73:$D$77</c:f>
              <c:numCache>
                <c:formatCode>General</c:formatCode>
                <c:ptCount val="5"/>
                <c:pt idx="0">
                  <c:v>214.22</c:v>
                </c:pt>
                <c:pt idx="1">
                  <c:v>574.17</c:v>
                </c:pt>
                <c:pt idx="2">
                  <c:v>0</c:v>
                </c:pt>
                <c:pt idx="3">
                  <c:v>0</c:v>
                </c:pt>
                <c:pt idx="4">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641104294478528"/>
          <c:y val="0.894880174291939"/>
          <c:w val="0.884662576687117"/>
          <c:h val="0.09694989106753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[2020年决算公开分析图表.xls]Sheet1!$A$98:$B$98</c:f>
              <c:strCache>
                <c:ptCount val="2"/>
                <c:pt idx="0">
                  <c:v>2019年</c:v>
                </c:pt>
                <c:pt idx="1">
                  <c:v>2020年</c:v>
                </c:pt>
              </c:strCache>
            </c:strRef>
          </c:cat>
          <c:val>
            <c:numRef>
              <c:f>[2020年决算公开分析图表.xls]Sheet1!$A$99:$B$99</c:f>
              <c:numCache>
                <c:formatCode>#,##0.00</c:formatCode>
                <c:ptCount val="2"/>
                <c:pt idx="0">
                  <c:v>927</c:v>
                </c:pt>
                <c:pt idx="1">
                  <c:v>812.85</c:v>
                </c:pt>
              </c:numCache>
            </c:numRef>
          </c:val>
        </c:ser>
        <c:dLbls>
          <c:showLegendKey val="0"/>
          <c:showVal val="0"/>
          <c:showCatName val="0"/>
          <c:showSerName val="0"/>
          <c:showPercent val="0"/>
          <c:showBubbleSize val="0"/>
        </c:dLbls>
        <c:gapWidth val="219"/>
        <c:overlap val="-27"/>
        <c:axId val="800577864"/>
        <c:axId val="252115499"/>
      </c:barChart>
      <c:catAx>
        <c:axId val="80057786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115499"/>
        <c:crosses val="autoZero"/>
        <c:auto val="1"/>
        <c:lblAlgn val="ctr"/>
        <c:lblOffset val="100"/>
        <c:noMultiLvlLbl val="0"/>
      </c:catAx>
      <c:valAx>
        <c:axId val="25211549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577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[2020年决算公开分析图表.xls]Sheet1!$A$115:$B$115</c:f>
              <c:strCache>
                <c:ptCount val="2"/>
                <c:pt idx="0">
                  <c:v>2019年</c:v>
                </c:pt>
                <c:pt idx="1">
                  <c:v>2020年</c:v>
                </c:pt>
              </c:strCache>
            </c:strRef>
          </c:cat>
          <c:val>
            <c:numRef>
              <c:f>[2020年决算公开分析图表.xls]Sheet1!$A$116:$B$116</c:f>
              <c:numCache>
                <c:formatCode>General</c:formatCode>
                <c:ptCount val="2"/>
                <c:pt idx="0">
                  <c:v>741.19</c:v>
                </c:pt>
                <c:pt idx="1" c:formatCode="#,##0.00">
                  <c:v>788.39</c:v>
                </c:pt>
              </c:numCache>
            </c:numRef>
          </c:val>
        </c:ser>
        <c:dLbls>
          <c:showLegendKey val="0"/>
          <c:showVal val="0"/>
          <c:showCatName val="0"/>
          <c:showSerName val="0"/>
          <c:showPercent val="0"/>
          <c:showBubbleSize val="0"/>
        </c:dLbls>
        <c:gapWidth val="219"/>
        <c:overlap val="-27"/>
        <c:axId val="57058211"/>
        <c:axId val="592061464"/>
      </c:barChart>
      <c:catAx>
        <c:axId val="5705821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2061464"/>
        <c:crosses val="autoZero"/>
        <c:auto val="1"/>
        <c:lblAlgn val="ctr"/>
        <c:lblOffset val="100"/>
        <c:noMultiLvlLbl val="0"/>
      </c:catAx>
      <c:valAx>
        <c:axId val="5920614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582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27834216019512"/>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[2020年决算公开分析图表.xls]Sheet1!$A$131:$B$131</c:f>
              <c:strCache>
                <c:ptCount val="2"/>
                <c:pt idx="0">
                  <c:v>2019年</c:v>
                </c:pt>
                <c:pt idx="1">
                  <c:v>2020年</c:v>
                </c:pt>
              </c:strCache>
            </c:strRef>
          </c:cat>
          <c:val>
            <c:numRef>
              <c:f>[2020年决算公开分析图表.xls]Sheet1!$A$132:$B$132</c:f>
              <c:numCache>
                <c:formatCode>General</c:formatCode>
                <c:ptCount val="2"/>
                <c:pt idx="0">
                  <c:v>741.19</c:v>
                </c:pt>
                <c:pt idx="1" c:formatCode="#,##0.00">
                  <c:v>788.39</c:v>
                </c:pt>
              </c:numCache>
            </c:numRef>
          </c:val>
        </c:ser>
        <c:dLbls>
          <c:showLegendKey val="0"/>
          <c:showVal val="0"/>
          <c:showCatName val="0"/>
          <c:showSerName val="0"/>
          <c:showPercent val="0"/>
          <c:showBubbleSize val="0"/>
        </c:dLbls>
        <c:gapWidth val="219"/>
        <c:overlap val="-27"/>
        <c:axId val="897569720"/>
        <c:axId val="795704675"/>
      </c:barChart>
      <c:catAx>
        <c:axId val="89756972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704675"/>
        <c:crosses val="autoZero"/>
        <c:auto val="1"/>
        <c:lblAlgn val="ctr"/>
        <c:lblOffset val="100"/>
        <c:noMultiLvlLbl val="0"/>
      </c:catAx>
      <c:valAx>
        <c:axId val="79570467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569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67222222222222"/>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[2020年决算公开分析图表.xls]Sheet1!$C$147:$C$153</c:f>
              <c:strCache>
                <c:ptCount val="7"/>
                <c:pt idx="0">
                  <c:v>一般公共服务支出</c:v>
                </c:pt>
                <c:pt idx="1">
                  <c:v>社会保障和就业支出</c:v>
                </c:pt>
                <c:pt idx="2">
                  <c:v>卫生健康支出</c:v>
                </c:pt>
                <c:pt idx="3">
                  <c:v>农林水支出</c:v>
                </c:pt>
                <c:pt idx="4">
                  <c:v>资源勘探工业信息等支出</c:v>
                </c:pt>
                <c:pt idx="5">
                  <c:v>商业服务业等支出</c:v>
                </c:pt>
                <c:pt idx="6">
                  <c:v>住房保障支出</c:v>
                </c:pt>
              </c:strCache>
            </c:strRef>
          </c:cat>
          <c:val>
            <c:numRef>
              <c:f>[2020年决算公开分析图表.xls]Sheet1!$D$147:$D$153</c:f>
              <c:numCache>
                <c:formatCode>#,##0.00</c:formatCode>
                <c:ptCount val="7"/>
                <c:pt idx="0">
                  <c:v>30</c:v>
                </c:pt>
                <c:pt idx="1">
                  <c:v>29.09</c:v>
                </c:pt>
                <c:pt idx="2">
                  <c:v>11.16</c:v>
                </c:pt>
                <c:pt idx="3">
                  <c:v>1</c:v>
                </c:pt>
                <c:pt idx="4">
                  <c:v>40.77</c:v>
                </c:pt>
                <c:pt idx="5">
                  <c:v>660.25</c:v>
                </c:pt>
                <c:pt idx="6">
                  <c:v>16.13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[2020年决算公开分析图表.xls]Sheet1!$A$175:$A$177</c:f>
              <c:strCache>
                <c:ptCount val="3"/>
                <c:pt idx="0">
                  <c:v>因公出国（境）费</c:v>
                </c:pt>
                <c:pt idx="1">
                  <c:v>公务接待费</c:v>
                </c:pt>
                <c:pt idx="2">
                  <c:v>公务用车购置及运行维护费</c:v>
                </c:pt>
              </c:strCache>
            </c:strRef>
          </c:cat>
          <c:val>
            <c:numRef>
              <c:f>[2020年决算公开分析图表.xls]Sheet1!$B$175:$B$177</c:f>
              <c:numCache>
                <c:formatCode>General</c:formatCode>
                <c:ptCount val="3"/>
                <c:pt idx="2">
                  <c:v>5.41</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CAE55-CD1B-4B4A-B759-66D9AAD6058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16190</Words>
  <Characters>17163</Characters>
  <Lines>1</Lines>
  <Paragraphs>1</Paragraphs>
  <TotalTime>3</TotalTime>
  <ScaleCrop>false</ScaleCrop>
  <LinksUpToDate>false</LinksUpToDate>
  <CharactersWithSpaces>17262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Dolkar</cp:lastModifiedBy>
  <cp:lastPrinted>2022-06-17T09:37:00Z</cp:lastPrinted>
  <dcterms:modified xsi:type="dcterms:W3CDTF">2022-06-17T11:00:16Z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A879086726604AAAB266A7D3FCDF053C</vt:lpwstr>
  </property>
</Properties>
</file>