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9E92E">
      <w:pPr>
        <w:pStyle w:val="6"/>
        <w:keepNext w:val="0"/>
        <w:keepLines w:val="0"/>
        <w:pageBreakBefore w:val="0"/>
        <w:widowControl w:val="0"/>
        <w:wordWrap/>
        <w:overflowPunct w:val="0"/>
        <w:topLinePunct w:val="0"/>
        <w:bidi w:val="0"/>
        <w:rPr>
          <w:rFonts w:hint="eastAsia" w:ascii="黑体" w:hAnsi="黑体" w:eastAsia="黑体" w:cs="黑体"/>
          <w:color w:val="auto"/>
          <w:kern w:val="2"/>
          <w:sz w:val="32"/>
          <w:szCs w:val="32"/>
          <w:highlight w:val="none"/>
          <w:lang w:val="en-US" w:eastAsia="zh-CN" w:bidi="ar-SA"/>
        </w:rPr>
      </w:pPr>
      <w:bookmarkStart w:id="0" w:name="_Toc15377425"/>
      <w:bookmarkStart w:id="1" w:name="_Toc15396475"/>
      <w:bookmarkStart w:id="2" w:name="_Toc15396597"/>
      <w:bookmarkStart w:id="3" w:name="_Toc15306267"/>
      <w:bookmarkStart w:id="4" w:name="_Toc15378441"/>
      <w:bookmarkStart w:id="5" w:name="_Toc15377193"/>
      <w:r>
        <w:rPr>
          <w:rFonts w:hint="eastAsia" w:ascii="黑体" w:hAnsi="黑体" w:eastAsia="黑体" w:cs="黑体"/>
          <w:color w:val="auto"/>
          <w:kern w:val="2"/>
          <w:sz w:val="32"/>
          <w:szCs w:val="32"/>
          <w:highlight w:val="none"/>
          <w:lang w:val="en-US" w:eastAsia="zh-CN" w:bidi="ar-SA"/>
        </w:rPr>
        <w:t>附件2</w:t>
      </w:r>
    </w:p>
    <w:p w14:paraId="5BF93430">
      <w:pPr>
        <w:pStyle w:val="6"/>
        <w:keepNext w:val="0"/>
        <w:keepLines w:val="0"/>
        <w:pageBreakBefore w:val="0"/>
        <w:widowControl w:val="0"/>
        <w:wordWrap/>
        <w:overflowPunct w:val="0"/>
        <w:topLinePunct w:val="0"/>
        <w:bidi w:val="0"/>
        <w:rPr>
          <w:rFonts w:hint="default" w:ascii="Times New Roman" w:hAnsi="Times New Roman" w:eastAsia="方正小标宋简体" w:cs="Times New Roman"/>
          <w:color w:val="auto"/>
          <w:kern w:val="2"/>
          <w:sz w:val="72"/>
          <w:szCs w:val="72"/>
          <w:highlight w:val="none"/>
          <w:lang w:val="en-US" w:eastAsia="zh-CN" w:bidi="ar-SA"/>
        </w:rPr>
      </w:pPr>
    </w:p>
    <w:p w14:paraId="1E4662A3">
      <w:pPr>
        <w:pStyle w:val="6"/>
        <w:keepNext w:val="0"/>
        <w:keepLines w:val="0"/>
        <w:pageBreakBefore w:val="0"/>
        <w:widowControl w:val="0"/>
        <w:wordWrap/>
        <w:overflowPunct w:val="0"/>
        <w:topLinePunct w:val="0"/>
        <w:bidi w:val="0"/>
        <w:rPr>
          <w:rFonts w:hint="default" w:ascii="Times New Roman" w:hAnsi="Times New Roman" w:eastAsia="方正小标宋简体" w:cs="Times New Roman"/>
          <w:color w:val="auto"/>
          <w:kern w:val="2"/>
          <w:sz w:val="72"/>
          <w:szCs w:val="72"/>
          <w:highlight w:val="none"/>
          <w:lang w:val="en-US" w:eastAsia="zh-CN" w:bidi="ar-SA"/>
        </w:rPr>
      </w:pPr>
    </w:p>
    <w:p w14:paraId="52F21150">
      <w:pPr>
        <w:pStyle w:val="6"/>
        <w:keepNext w:val="0"/>
        <w:keepLines w:val="0"/>
        <w:pageBreakBefore w:val="0"/>
        <w:widowControl w:val="0"/>
        <w:wordWrap/>
        <w:overflowPunct w:val="0"/>
        <w:topLinePunct w:val="0"/>
        <w:bidi w:val="0"/>
        <w:rPr>
          <w:rFonts w:hint="default" w:ascii="Times New Roman" w:hAnsi="Times New Roman" w:eastAsia="方正小标宋简体" w:cs="Times New Roman"/>
          <w:color w:val="auto"/>
          <w:kern w:val="2"/>
          <w:sz w:val="72"/>
          <w:szCs w:val="72"/>
          <w:highlight w:val="none"/>
          <w:lang w:val="en-US" w:eastAsia="zh-CN" w:bidi="ar-SA"/>
        </w:rPr>
      </w:pPr>
    </w:p>
    <w:p w14:paraId="0E5DA7C4">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2025年度县级部门壤塘县交通运输局</w:t>
      </w:r>
    </w:p>
    <w:p w14:paraId="22DFCCBB">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决算公开</w:t>
      </w:r>
    </w:p>
    <w:p w14:paraId="4CB7E37E">
      <w:pPr>
        <w:keepNext w:val="0"/>
        <w:keepLines w:val="0"/>
        <w:pageBreakBefore w:val="0"/>
        <w:widowControl w:val="0"/>
        <w:wordWrap/>
        <w:overflowPunct w:val="0"/>
        <w:topLinePunct w:val="0"/>
        <w:bidi w:val="0"/>
        <w:spacing w:line="600" w:lineRule="exact"/>
        <w:jc w:val="center"/>
        <w:outlineLvl w:val="0"/>
        <w:rPr>
          <w:rFonts w:hint="default" w:ascii="Times New Roman" w:hAnsi="Times New Roman" w:eastAsia="方正小标宋简体" w:cs="Times New Roman"/>
          <w:color w:val="auto"/>
          <w:sz w:val="72"/>
          <w:szCs w:val="72"/>
          <w:highlight w:val="none"/>
        </w:rPr>
      </w:pPr>
    </w:p>
    <w:p w14:paraId="2D29D684">
      <w:pPr>
        <w:pStyle w:val="2"/>
        <w:keepNext w:val="0"/>
        <w:keepLines w:val="0"/>
        <w:pageBreakBefore w:val="0"/>
        <w:widowControl w:val="0"/>
        <w:wordWrap/>
        <w:overflowPunct w:val="0"/>
        <w:topLinePunct w:val="0"/>
        <w:bidi w:val="0"/>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C183225">
      <w:pPr>
        <w:keepNext w:val="0"/>
        <w:keepLines w:val="0"/>
        <w:pageBreakBefore w:val="0"/>
        <w:widowControl w:val="0"/>
        <w:wordWrap/>
        <w:overflowPunct w:val="0"/>
        <w:topLinePunct w:val="0"/>
        <w:bidi w:val="0"/>
        <w:rPr>
          <w:rFonts w:hint="default" w:ascii="Times New Roman" w:hAnsi="Times New Roman" w:cs="Times New Roman"/>
        </w:rPr>
      </w:pPr>
    </w:p>
    <w:bookmarkEnd w:id="0"/>
    <w:bookmarkEnd w:id="1"/>
    <w:bookmarkEnd w:id="2"/>
    <w:bookmarkEnd w:id="3"/>
    <w:bookmarkEnd w:id="4"/>
    <w:bookmarkEnd w:id="5"/>
    <w:p w14:paraId="412907D4">
      <w:pPr>
        <w:pStyle w:val="6"/>
        <w:keepNext w:val="0"/>
        <w:keepLines w:val="0"/>
        <w:pageBreakBefore w:val="0"/>
        <w:widowControl w:val="0"/>
        <w:wordWrap/>
        <w:overflowPunct w:val="0"/>
        <w:topLinePunct w:val="0"/>
        <w:bidi w:val="0"/>
        <w:jc w:val="center"/>
        <w:rPr>
          <w:rFonts w:hint="default" w:ascii="Times New Roman" w:hAnsi="Times New Roman" w:eastAsia="方正小标宋简体" w:cs="Times New Roman"/>
          <w:color w:val="auto"/>
          <w:kern w:val="2"/>
          <w:sz w:val="44"/>
          <w:szCs w:val="44"/>
          <w:highlight w:val="none"/>
          <w:lang w:val="en-US" w:eastAsia="zh-CN" w:bidi="ar-SA"/>
        </w:rPr>
      </w:pPr>
    </w:p>
    <w:p w14:paraId="6A0C78C0">
      <w:pPr>
        <w:pStyle w:val="6"/>
        <w:keepNext w:val="0"/>
        <w:keepLines w:val="0"/>
        <w:pageBreakBefore w:val="0"/>
        <w:widowControl w:val="0"/>
        <w:wordWrap/>
        <w:overflowPunct w:val="0"/>
        <w:topLinePunct w:val="0"/>
        <w:bidi w:val="0"/>
        <w:jc w:val="center"/>
        <w:rPr>
          <w:rFonts w:hint="default" w:ascii="Times New Roman" w:hAnsi="Times New Roman" w:eastAsia="方正小标宋简体" w:cs="Times New Roman"/>
          <w:color w:val="auto"/>
          <w:kern w:val="2"/>
          <w:sz w:val="44"/>
          <w:szCs w:val="44"/>
          <w:highlight w:val="none"/>
          <w:lang w:val="en-US" w:eastAsia="zh-CN" w:bidi="ar-SA"/>
        </w:rPr>
      </w:pPr>
    </w:p>
    <w:p w14:paraId="572B34E0">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阿坝州壤塘县2025年度交通运输局</w:t>
      </w:r>
    </w:p>
    <w:p w14:paraId="2DB2EC0C">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部门决算公开</w:t>
      </w:r>
    </w:p>
    <w:p w14:paraId="0F09A4B7">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1909045B">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7B7A4582">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3A2D063D">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6B941D25">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4A0C1B9A">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51E87830">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47CB688E">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63371A78">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387EE166">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17FC6523">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54A1B5AD">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18E189A4">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71983906">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目录</w:t>
      </w:r>
    </w:p>
    <w:p w14:paraId="478EC9E0">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14FEBAF3">
      <w:pPr>
        <w:pStyle w:val="15"/>
        <w:keepNext w:val="0"/>
        <w:keepLines w:val="0"/>
        <w:pageBreakBefore w:val="0"/>
        <w:widowControl w:val="0"/>
        <w:kinsoku/>
        <w:wordWrap/>
        <w:overflowPunct w:val="0"/>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公开时间：2026年10月27日</w:t>
      </w:r>
    </w:p>
    <w:p w14:paraId="5670D5BE">
      <w:pPr>
        <w:keepNext w:val="0"/>
        <w:keepLines w:val="0"/>
        <w:pageBreakBefore w:val="0"/>
        <w:widowControl w:val="0"/>
        <w:wordWrap/>
        <w:overflowPunct w:val="0"/>
        <w:topLinePunct w:val="0"/>
        <w:bidi w:val="0"/>
        <w:rPr>
          <w:rFonts w:hint="default" w:ascii="Times New Roman" w:hAnsi="Times New Roman" w:cs="Times New Roman"/>
          <w:color w:val="auto"/>
          <w:highlight w:val="none"/>
        </w:rPr>
      </w:pPr>
    </w:p>
    <w:p w14:paraId="7E853380">
      <w:pPr>
        <w:pStyle w:val="13"/>
        <w:keepNext w:val="0"/>
        <w:keepLines w:val="0"/>
        <w:pageBreakBefore w:val="0"/>
        <w:widowControl w:val="0"/>
        <w:kinsoku/>
        <w:wordWrap/>
        <w:overflowPunct w:val="0"/>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第一部分 部门概况</w:t>
      </w:r>
    </w:p>
    <w:p w14:paraId="40639D7D">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一、部门职责</w:t>
      </w:r>
    </w:p>
    <w:p w14:paraId="7166F333">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二、机构设置</w:t>
      </w:r>
    </w:p>
    <w:p w14:paraId="4E11EE7E">
      <w:pPr>
        <w:pStyle w:val="13"/>
        <w:keepNext w:val="0"/>
        <w:keepLines w:val="0"/>
        <w:pageBreakBefore w:val="0"/>
        <w:widowControl w:val="0"/>
        <w:kinsoku/>
        <w:wordWrap/>
        <w:overflowPunct w:val="0"/>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第二部分</w:t>
      </w:r>
      <w:r>
        <w:rPr>
          <w:rFonts w:hint="default" w:ascii="Times New Roman" w:hAnsi="Times New Roman" w:eastAsia="方正黑体_GBK" w:cs="Times New Roman"/>
          <w:color w:val="auto"/>
          <w:sz w:val="32"/>
          <w:szCs w:val="32"/>
          <w:highlight w:val="none"/>
          <w:lang w:val="en-US" w:eastAsia="zh-CN"/>
        </w:rPr>
        <w:t xml:space="preserve"> 2025年度</w:t>
      </w:r>
      <w:r>
        <w:rPr>
          <w:rFonts w:hint="default" w:ascii="Times New Roman" w:hAnsi="Times New Roman" w:eastAsia="方正黑体_GBK" w:cs="Times New Roman"/>
          <w:color w:val="auto"/>
          <w:sz w:val="32"/>
          <w:szCs w:val="32"/>
          <w:highlight w:val="none"/>
        </w:rPr>
        <w:t>部门决算情况说明</w:t>
      </w:r>
    </w:p>
    <w:p w14:paraId="105A1E4B">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一、收入支出决算总体情况说明</w:t>
      </w:r>
    </w:p>
    <w:p w14:paraId="5F0FBF98">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二、收入决算情况说明</w:t>
      </w:r>
    </w:p>
    <w:p w14:paraId="6A8CF8AA">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三、支出决算情况说明</w:t>
      </w:r>
    </w:p>
    <w:p w14:paraId="3C806509">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四、财政拨款收入支出决算总体情况说明</w:t>
      </w:r>
    </w:p>
    <w:p w14:paraId="43BACF00">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五、一般公共预算财政拨款支出决算情况说明</w:t>
      </w:r>
    </w:p>
    <w:p w14:paraId="5B8C0C3E">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六、一般公共预算财政拨款基本支出决算情况说明</w:t>
      </w:r>
    </w:p>
    <w:p w14:paraId="0D70F63C">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七、财政拨款</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三公</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经费支出决算情况说明</w:t>
      </w:r>
    </w:p>
    <w:p w14:paraId="1EF362F8">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八、政府性基金预算支出决算情况说明</w:t>
      </w:r>
    </w:p>
    <w:p w14:paraId="78CDE833">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九、国有资本经营预算支出决算情况说明</w:t>
      </w:r>
    </w:p>
    <w:p w14:paraId="12473F0C">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十、其他重要事项的情况说明</w:t>
      </w:r>
    </w:p>
    <w:p w14:paraId="2C809BEA">
      <w:pPr>
        <w:pStyle w:val="13"/>
        <w:keepNext w:val="0"/>
        <w:keepLines w:val="0"/>
        <w:pageBreakBefore w:val="0"/>
        <w:widowControl w:val="0"/>
        <w:kinsoku/>
        <w:wordWrap/>
        <w:overflowPunct w:val="0"/>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方正黑体_GBK" w:cs="Times New Roman"/>
          <w:color w:val="auto"/>
          <w:sz w:val="32"/>
          <w:szCs w:val="32"/>
          <w:highlight w:val="none"/>
        </w:rPr>
        <w:t>第三部分 名词解释</w:t>
      </w:r>
    </w:p>
    <w:p w14:paraId="3452E1C6">
      <w:pPr>
        <w:pStyle w:val="13"/>
        <w:keepNext w:val="0"/>
        <w:keepLines w:val="0"/>
        <w:pageBreakBefore w:val="0"/>
        <w:widowControl w:val="0"/>
        <w:kinsoku/>
        <w:wordWrap/>
        <w:overflowPunct w:val="0"/>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第四部分 附件</w:t>
      </w:r>
    </w:p>
    <w:p w14:paraId="61D4347A">
      <w:pPr>
        <w:pStyle w:val="13"/>
        <w:keepNext w:val="0"/>
        <w:keepLines w:val="0"/>
        <w:pageBreakBefore w:val="0"/>
        <w:widowControl w:val="0"/>
        <w:kinsoku/>
        <w:wordWrap/>
        <w:overflowPunct w:val="0"/>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第五部分 附表</w:t>
      </w:r>
    </w:p>
    <w:p w14:paraId="1B7C48B8">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一、收入支出决算总表</w:t>
      </w:r>
    </w:p>
    <w:p w14:paraId="2C1BD3DF">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二、收入决算表</w:t>
      </w:r>
    </w:p>
    <w:p w14:paraId="4C4B143B">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三、支出决算表</w:t>
      </w:r>
    </w:p>
    <w:p w14:paraId="0C8EF882">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四、财政拨款收入支出决算总表</w:t>
      </w:r>
    </w:p>
    <w:p w14:paraId="61C7D564">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五、财政拨款支出决算明细表</w:t>
      </w:r>
    </w:p>
    <w:p w14:paraId="4F1CD8CE">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六、一般公共预算财政拨款支出决算表</w:t>
      </w:r>
    </w:p>
    <w:p w14:paraId="6C1D127B">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七、一般公共预算财政拨款支出决算明细表</w:t>
      </w:r>
    </w:p>
    <w:p w14:paraId="182DCACA">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八、一般公共预算财政拨款基本支出决算明细表</w:t>
      </w:r>
    </w:p>
    <w:p w14:paraId="06C12787">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九、一般公共预算财政拨款项目支出决算表</w:t>
      </w:r>
    </w:p>
    <w:p w14:paraId="7D87C3D5">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十、政府性基金预算财政拨款收入支出决算表</w:t>
      </w:r>
    </w:p>
    <w:p w14:paraId="76B7BD51">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十一、国有资本经营预算财政拨款收入支出决算表</w:t>
      </w:r>
    </w:p>
    <w:p w14:paraId="08E76650">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十二、国有资本经营预算财政拨款支出决算表</w:t>
      </w:r>
    </w:p>
    <w:p w14:paraId="0DA5ADEA">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十三、财政拨款</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三公</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经费支出决算表</w:t>
      </w:r>
    </w:p>
    <w:p w14:paraId="288C8DA4">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（注：请部门根据实际注明页码）</w:t>
      </w:r>
    </w:p>
    <w:p w14:paraId="722D1720">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3" w:firstLineChars="200"/>
        <w:jc w:val="left"/>
        <w:textAlignment w:val="auto"/>
        <w:rPr>
          <w:rFonts w:hint="default" w:ascii="Times New Roman" w:hAnsi="Times New Roman" w:eastAsia="仿宋_GB2312" w:cs="Times New Roman"/>
          <w:bCs/>
          <w:color w:val="auto"/>
          <w:kern w:val="44"/>
          <w:sz w:val="32"/>
          <w:szCs w:val="32"/>
          <w:highlight w:val="none"/>
        </w:rPr>
      </w:pPr>
      <w:bookmarkStart w:id="6" w:name="_Toc15377196"/>
      <w:bookmarkStart w:id="7" w:name="_Toc15396599"/>
      <w:r>
        <w:rPr>
          <w:rFonts w:hint="default" w:ascii="Times New Roman" w:hAnsi="Times New Roman" w:eastAsia="仿宋_GB2312" w:cs="Times New Roman"/>
          <w:b/>
          <w:color w:val="auto"/>
          <w:sz w:val="32"/>
          <w:szCs w:val="32"/>
          <w:highlight w:val="none"/>
        </w:rPr>
        <w:br w:type="page"/>
      </w:r>
    </w:p>
    <w:p w14:paraId="40287A56">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第一部分  部门概况</w:t>
      </w:r>
      <w:bookmarkEnd w:id="6"/>
      <w:bookmarkEnd w:id="7"/>
    </w:p>
    <w:p w14:paraId="7781C3D5">
      <w:pPr>
        <w:keepNext w:val="0"/>
        <w:keepLines w:val="0"/>
        <w:pageBreakBefore w:val="0"/>
        <w:widowControl w:val="0"/>
        <w:wordWrap/>
        <w:overflowPunct w:val="0"/>
        <w:topLinePunct w:val="0"/>
        <w:bidi w:val="0"/>
        <w:jc w:val="left"/>
        <w:rPr>
          <w:rFonts w:hint="default" w:ascii="Times New Roman" w:hAnsi="Times New Roman" w:eastAsia="黑体" w:cs="Times New Roman"/>
          <w:color w:val="auto"/>
          <w:sz w:val="32"/>
          <w:szCs w:val="32"/>
          <w:highlight w:val="none"/>
        </w:rPr>
      </w:pPr>
    </w:p>
    <w:p w14:paraId="3F602033">
      <w:pPr>
        <w:pStyle w:val="13"/>
        <w:keepNext w:val="0"/>
        <w:keepLines w:val="0"/>
        <w:pageBreakBefore w:val="0"/>
        <w:widowControl w:val="0"/>
        <w:kinsoku/>
        <w:wordWrap/>
        <w:overflowPunct w:val="0"/>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b w:val="0"/>
          <w:color w:val="auto"/>
          <w:highlight w:val="none"/>
          <w:lang w:eastAsia="zh-CN"/>
        </w:rPr>
      </w:pPr>
      <w:r>
        <w:rPr>
          <w:rFonts w:hint="default" w:ascii="Times New Roman" w:hAnsi="Times New Roman" w:eastAsia="方正黑体_GBK" w:cs="Times New Roman"/>
          <w:color w:val="auto"/>
          <w:sz w:val="32"/>
          <w:szCs w:val="32"/>
          <w:highlight w:val="none"/>
          <w:lang w:val="en-US" w:eastAsia="zh-CN"/>
        </w:rPr>
        <w:t>一、</w:t>
      </w:r>
      <w:r>
        <w:rPr>
          <w:rFonts w:hint="default" w:ascii="Times New Roman" w:hAnsi="Times New Roman" w:eastAsia="方正黑体_GBK" w:cs="Times New Roman"/>
          <w:color w:val="auto"/>
          <w:sz w:val="32"/>
          <w:szCs w:val="32"/>
          <w:highlight w:val="none"/>
          <w:lang w:eastAsia="zh-CN"/>
        </w:rPr>
        <w:t>部门职责</w:t>
      </w:r>
    </w:p>
    <w:p w14:paraId="1C1091DE">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根据中共阿坝州委、阿坝州人民政府批准的《壤塘县人民政府职能转变和机构改革方案》</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阿委办〔2014〕80号</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，设立壤塘县交通运输局</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简称县交通运输局</w:t>
      </w:r>
      <w:r>
        <w:rPr>
          <w:rFonts w:hint="eastAsia" w:ascii="Times New Roman" w:hAnsi="Times New Roman" w:eastAsia="方正仿宋_GBK" w:cs="Times New Roman"/>
          <w:color w:val="auto"/>
          <w:sz w:val="32"/>
          <w:szCs w:val="32"/>
          <w:highlight w:val="none"/>
          <w:lang w:val="en-US" w:eastAsia="zh-CN"/>
        </w:rPr>
        <w:t>）</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为县人民政府工作部门。</w:t>
      </w:r>
    </w:p>
    <w:p w14:paraId="1E21263E">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壤塘县交通运输局的主要职责是</w:t>
      </w:r>
      <w:r>
        <w:rPr>
          <w:rFonts w:hint="eastAsia" w:ascii="Times New Roman" w:hAnsi="Times New Roman" w:eastAsia="方正仿宋_GBK" w:cs="Times New Roman"/>
          <w:color w:val="auto"/>
          <w:sz w:val="32"/>
          <w:szCs w:val="32"/>
          <w:highlight w:val="none"/>
          <w:lang w:val="en-US" w:eastAsia="zh-CN"/>
        </w:rPr>
        <w:t>：</w:t>
      </w:r>
    </w:p>
    <w:p w14:paraId="3FC61A50">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一</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贯彻执行国家和省、州有关交通运输行业的法律法规、规章、规划、政策和标准，起草全县有关交通运输工作的法规和规章草案，拟订相关政策和标准</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拟订全县交通运输行业发展战略、规划并组织实施</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参加拟订物流业发展战略和规划，拟订有关政策和标准并监督实施</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负责交通运输体制改革相关工作。</w:t>
      </w:r>
    </w:p>
    <w:p w14:paraId="6E613E1A">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二</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承担涉及全县综合运输体系的规划协调工作。会同有关部门组织编制综合运输体系规划，组织公路管理。</w:t>
      </w:r>
    </w:p>
    <w:p w14:paraId="7B2BD08A">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承担全县道路监管责任，负责城乡客运及有关设施的规划和管理工作，负责出租汽车行业管理</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负责全县道路、机动车维修检测、船舶检验、驾驶员</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船员</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培训、运输服务等交通运输行业管理</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组织实施治理公路</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三乱</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工作。</w:t>
      </w:r>
    </w:p>
    <w:p w14:paraId="49422240">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四</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承担全县公路监管责任。负责组织实施全县公路、交通运输设施建设和养护，指导农村公路建设和养护</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组织协调工程建设质量和安全生产监督管理工作。</w:t>
      </w:r>
    </w:p>
    <w:p w14:paraId="4916C4B0">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五</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负责全县公路、公共交通</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含出租车</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行业安全生产和应急管理工作</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负责突发事件的应急处置和依法组织或参与有关事</w:t>
      </w:r>
      <w:r>
        <w:rPr>
          <w:rFonts w:hint="eastAsia" w:eastAsia="方正仿宋_GBK" w:cs="Times New Roman"/>
          <w:color w:val="auto"/>
          <w:sz w:val="32"/>
          <w:szCs w:val="32"/>
          <w:highlight w:val="none"/>
          <w:lang w:val="en-US" w:eastAsia="zh-CN"/>
        </w:rPr>
        <w:t>件</w:t>
      </w:r>
      <w:r>
        <w:rPr>
          <w:rFonts w:hint="default" w:ascii="Times New Roman" w:hAnsi="Times New Roman" w:eastAsia="方正仿宋_GBK" w:cs="Times New Roman"/>
          <w:color w:val="auto"/>
          <w:sz w:val="32"/>
          <w:szCs w:val="32"/>
          <w:highlight w:val="none"/>
          <w:lang w:val="en-US" w:eastAsia="zh-CN"/>
        </w:rPr>
        <w:t>调查处理工作。</w:t>
      </w:r>
    </w:p>
    <w:p w14:paraId="6819BE15">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六</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负责全县交通运输的组织和结构调整，指导运输技术装备建设，协调指导城乡各种运输方式衔接</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对重点物资和紧急客货运输进行调控</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承担交通战备有关工作。</w:t>
      </w:r>
    </w:p>
    <w:p w14:paraId="3F60D68B">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七</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负责全县交通运输信息化建设，监测分析运行情况</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开展相关统计工作，发布有关信息</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组织开展公路、交通行业环境保护和节能减排工作。</w:t>
      </w:r>
    </w:p>
    <w:p w14:paraId="460CFC82">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八</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负责全县国有交通运输基础设施建设资金的使用管理、国有资产的监督管理和保值增值工作</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组织实施交通运输重点建设项目的内部审计工作。</w:t>
      </w:r>
    </w:p>
    <w:p w14:paraId="4D54C94D">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九</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组织实施交通运输行业技术标准和规范</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组织技术开发和科技成果推广，推动行业科技进步。</w:t>
      </w:r>
    </w:p>
    <w:p w14:paraId="6CA7C9AC">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十</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承办县政府和上级主管部门交办的其他事项。</w:t>
      </w:r>
    </w:p>
    <w:p w14:paraId="18DFFBA5">
      <w:pPr>
        <w:keepNext w:val="0"/>
        <w:keepLines w:val="0"/>
        <w:pageBreakBefore w:val="0"/>
        <w:widowControl w:val="0"/>
        <w:numPr>
          <w:ilvl w:val="0"/>
          <w:numId w:val="0"/>
        </w:numPr>
        <w:wordWrap/>
        <w:overflowPunct w:val="0"/>
        <w:topLinePunct w:val="0"/>
        <w:bidi w:val="0"/>
        <w:rPr>
          <w:rFonts w:hint="default" w:ascii="Times New Roman" w:hAnsi="Times New Roman" w:cs="Times New Roman"/>
          <w:lang w:eastAsia="zh-CN"/>
        </w:rPr>
      </w:pPr>
    </w:p>
    <w:p w14:paraId="328922D5">
      <w:pPr>
        <w:pStyle w:val="13"/>
        <w:keepNext w:val="0"/>
        <w:keepLines w:val="0"/>
        <w:pageBreakBefore w:val="0"/>
        <w:widowControl w:val="0"/>
        <w:kinsoku/>
        <w:wordWrap/>
        <w:overflowPunct w:val="0"/>
        <w:topLinePunct w:val="0"/>
        <w:autoSpaceDE/>
        <w:autoSpaceDN/>
        <w:bidi w:val="0"/>
        <w:adjustRightInd w:val="0"/>
        <w:snapToGrid w:val="0"/>
        <w:spacing w:before="0" w:line="560" w:lineRule="exact"/>
        <w:jc w:val="left"/>
        <w:textAlignment w:val="auto"/>
        <w:rPr>
          <w:rFonts w:hint="default" w:ascii="Times New Roman" w:hAnsi="Times New Roman" w:eastAsia="方正黑体_GBK" w:cs="Times New Roman"/>
          <w:color w:val="auto"/>
          <w:sz w:val="32"/>
          <w:szCs w:val="32"/>
          <w:highlight w:val="none"/>
        </w:rPr>
      </w:pPr>
      <w:bookmarkStart w:id="8" w:name="_Toc15377200"/>
      <w:bookmarkStart w:id="9" w:name="_Toc15396601"/>
      <w:r>
        <w:rPr>
          <w:rFonts w:hint="default" w:ascii="Times New Roman" w:hAnsi="Times New Roman" w:eastAsia="方正黑体_GBK" w:cs="Times New Roman"/>
          <w:color w:val="auto"/>
          <w:sz w:val="32"/>
          <w:szCs w:val="32"/>
          <w:highlight w:val="none"/>
        </w:rPr>
        <w:t>二、机构设置</w:t>
      </w:r>
      <w:bookmarkEnd w:id="8"/>
      <w:bookmarkEnd w:id="9"/>
    </w:p>
    <w:p w14:paraId="5AF6E2C1">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壤塘县交通运输局下属二级预算单位2个，其中行政单位1个，其他事业单位1个。</w:t>
      </w:r>
    </w:p>
    <w:p w14:paraId="172387EC">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纳入壤塘县交通运输局202</w:t>
      </w:r>
      <w:r>
        <w:rPr>
          <w:rFonts w:hint="eastAsia"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val="en-US" w:eastAsia="zh-CN"/>
        </w:rPr>
        <w:t>年度部门决算编制范围的二级预算单位包括</w:t>
      </w:r>
      <w:r>
        <w:rPr>
          <w:rFonts w:hint="eastAsia" w:ascii="Times New Roman" w:hAnsi="Times New Roman" w:eastAsia="方正仿宋_GBK" w:cs="Times New Roman"/>
          <w:color w:val="auto"/>
          <w:sz w:val="32"/>
          <w:szCs w:val="32"/>
          <w:highlight w:val="none"/>
          <w:lang w:val="en-US" w:eastAsia="zh-CN"/>
        </w:rPr>
        <w:t>：</w:t>
      </w:r>
    </w:p>
    <w:p w14:paraId="2AC05E26">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bookmarkStart w:id="10" w:name="_Toc15377202"/>
      <w:bookmarkStart w:id="11" w:name="_Toc15377433"/>
      <w:bookmarkStart w:id="12" w:name="_Toc15306276"/>
      <w:bookmarkStart w:id="13" w:name="_Toc15378449"/>
      <w:r>
        <w:rPr>
          <w:rFonts w:hint="default" w:ascii="Times New Roman" w:hAnsi="Times New Roman" w:eastAsia="方正仿宋_GBK" w:cs="Times New Roman"/>
          <w:color w:val="auto"/>
          <w:sz w:val="32"/>
          <w:szCs w:val="32"/>
          <w:highlight w:val="none"/>
          <w:lang w:val="en-US" w:eastAsia="zh-CN"/>
        </w:rPr>
        <w:t>1.壤塘县交通运输局</w:t>
      </w:r>
      <w:bookmarkEnd w:id="10"/>
      <w:bookmarkEnd w:id="11"/>
      <w:bookmarkEnd w:id="12"/>
      <w:bookmarkEnd w:id="13"/>
    </w:p>
    <w:p w14:paraId="2275CC39">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2.壤塘县公路测设和公路管理中心</w:t>
      </w:r>
    </w:p>
    <w:p w14:paraId="7CE409B5">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br w:type="page"/>
      </w:r>
    </w:p>
    <w:p w14:paraId="3BA73EC5">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bookmarkStart w:id="14" w:name="_Toc15396602"/>
      <w:bookmarkStart w:id="15" w:name="_Toc15377204"/>
      <w:r>
        <w:rPr>
          <w:rFonts w:hint="default" w:ascii="Times New Roman" w:hAnsi="Times New Roman" w:eastAsia="方正小标宋_GBK" w:cs="Times New Roman"/>
          <w:color w:val="auto"/>
          <w:kern w:val="2"/>
          <w:sz w:val="44"/>
          <w:szCs w:val="44"/>
          <w:highlight w:val="none"/>
          <w:lang w:val="en-US" w:eastAsia="zh-CN" w:bidi="ar-SA"/>
        </w:rPr>
        <w:t>第二部分  2025年度部门决算情况说明</w:t>
      </w:r>
      <w:bookmarkEnd w:id="14"/>
      <w:bookmarkEnd w:id="15"/>
    </w:p>
    <w:p w14:paraId="11DC2559">
      <w:pPr>
        <w:keepNext w:val="0"/>
        <w:keepLines w:val="0"/>
        <w:pageBreakBefore w:val="0"/>
        <w:widowControl w:val="0"/>
        <w:wordWrap/>
        <w:overflowPunct w:val="0"/>
        <w:topLinePunct w:val="0"/>
        <w:bidi w:val="0"/>
        <w:rPr>
          <w:rFonts w:hint="default" w:ascii="Times New Roman" w:hAnsi="Times New Roman" w:cs="Times New Roman"/>
          <w:color w:val="auto"/>
          <w:highlight w:val="none"/>
        </w:rPr>
      </w:pPr>
    </w:p>
    <w:p w14:paraId="5D6C4C43">
      <w:pPr>
        <w:pStyle w:val="13"/>
        <w:keepNext w:val="0"/>
        <w:keepLines w:val="0"/>
        <w:pageBreakBefore w:val="0"/>
        <w:widowControl w:val="0"/>
        <w:kinsoku/>
        <w:wordWrap/>
        <w:overflowPunct w:val="0"/>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方正黑体_GBK" w:cs="Times New Roman"/>
          <w:color w:val="auto"/>
          <w:sz w:val="32"/>
          <w:szCs w:val="32"/>
          <w:highlight w:val="none"/>
        </w:rPr>
      </w:pPr>
      <w:bookmarkStart w:id="16" w:name="_Toc15396603"/>
      <w:bookmarkStart w:id="17" w:name="_Toc15377205"/>
      <w:r>
        <w:rPr>
          <w:rFonts w:hint="default" w:ascii="Times New Roman" w:hAnsi="Times New Roman" w:eastAsia="方正黑体_GBK" w:cs="Times New Roman"/>
          <w:color w:val="auto"/>
          <w:sz w:val="32"/>
          <w:szCs w:val="32"/>
          <w:highlight w:val="none"/>
          <w:lang w:eastAsia="zh-CN"/>
        </w:rPr>
        <w:t>一、</w:t>
      </w:r>
      <w:r>
        <w:rPr>
          <w:rFonts w:hint="default" w:ascii="Times New Roman" w:hAnsi="Times New Roman" w:eastAsia="方正黑体_GBK" w:cs="Times New Roman"/>
          <w:color w:val="auto"/>
          <w:sz w:val="32"/>
          <w:szCs w:val="32"/>
          <w:highlight w:val="none"/>
        </w:rPr>
        <w:t>收入支出决算总体情况说明</w:t>
      </w:r>
      <w:bookmarkEnd w:id="16"/>
      <w:bookmarkEnd w:id="17"/>
    </w:p>
    <w:p w14:paraId="072EFBCB">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度收入总计为12848.95万元、支出总计为12693.71万元、年末结转155.24万元。与上年度相比，收入总计减少909.77万元，下降6.61%，支出总计减少905.57，下降6.66%。主要变动原因是客运站改扩建项目2025年已完工，今年支付尾款。</w:t>
      </w:r>
    </w:p>
    <w:p w14:paraId="2DA28CBA">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（图1：收入、支出决算总计变动情况图）（柱状图）</w:t>
      </w:r>
    </w:p>
    <w:p w14:paraId="015F54E1">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eastAsia="zh-CN"/>
        </w:rPr>
      </w:pPr>
      <w:bookmarkStart w:id="18" w:name="_Toc15396604"/>
      <w:bookmarkStart w:id="19" w:name="_Toc15377206"/>
      <w:r>
        <w:rPr>
          <w:rFonts w:hint="default" w:ascii="Times New Roman" w:hAnsi="Times New Roman" w:eastAsia="方正黑体_GBK" w:cs="Times New Roman"/>
          <w:color w:val="auto"/>
          <w:sz w:val="32"/>
          <w:szCs w:val="32"/>
          <w:highlight w:val="none"/>
          <w:lang w:eastAsia="zh-CN"/>
        </w:rPr>
        <w:pict>
          <v:shape id="Object 9" o:spid="_x0000_s1026" o:spt="75" type="#_x0000_t75" style="position:absolute;left:0pt;margin-left:31.1pt;margin-top:13.25pt;height:222.75pt;width:344.25pt;mso-wrap-distance-bottom:0pt;mso-wrap-distance-left:9pt;mso-wrap-distance-right:9pt;mso-wrap-distance-top:0pt;z-index:251660288;mso-width-relative:page;mso-height-relative:page;" o:ole="t" filled="f" o:preferrelative="t" stroked="f" coordsize="21600,21600">
            <v:path/>
            <v:fill on="f" focussize="0,0"/>
            <v:stroke on="f"/>
            <v:imagedata r:id="rId9" o:title=""/>
            <o:lock v:ext="edit" aspectratio="t"/>
            <w10:wrap type="square"/>
          </v:shape>
          <o:OLEObject Type="Embed" ProgID="Excel.Chart.8" ShapeID="Object 9" DrawAspect="Content" ObjectID="_1468075725" r:id="rId8">
            <o:LockedField>false</o:LockedField>
          </o:OLEObject>
        </w:pict>
      </w:r>
      <w:r>
        <w:rPr>
          <w:rFonts w:hint="default" w:ascii="Times New Roman" w:hAnsi="Times New Roman" w:eastAsia="方正黑体_GBK" w:cs="Times New Roman"/>
          <w:color w:val="auto"/>
          <w:sz w:val="32"/>
          <w:szCs w:val="32"/>
          <w:highlight w:val="none"/>
          <w:lang w:eastAsia="zh-CN"/>
        </w:rPr>
        <w:t>二、收入决算情况说明</w:t>
      </w:r>
      <w:bookmarkEnd w:id="18"/>
      <w:bookmarkEnd w:id="19"/>
    </w:p>
    <w:p w14:paraId="28498840">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2025年度本年收入合计12848.95万元，其中：一般公共预算财政拨款收入10418.68万元，占81.09%</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政府性基金预算财政拨款收入2271.03万元，占17.67%；国有资本经营预算财政拨款收入0万元，占0%；上级补助收入0万元，占0%；事业收入0万元，占0%；经营收入0万元，占0%；附属单位上缴收入0万元，占0%；其他收入0万元，占0%。（注：仅罗列本部门涉及的收入）</w:t>
      </w:r>
    </w:p>
    <w:p w14:paraId="0B81D482">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（图2：收入决算结构图）（饼状图）</w:t>
      </w:r>
      <w:r>
        <w:rPr>
          <w:rFonts w:hint="default" w:ascii="Times New Roman" w:hAnsi="Times New Roman" w:eastAsia="方正仿宋_GBK" w:cs="Times New Roman"/>
          <w:color w:val="auto"/>
          <w:sz w:val="32"/>
          <w:szCs w:val="32"/>
          <w:highlight w:val="none"/>
          <w:lang w:val="en-US" w:eastAsia="zh-CN"/>
        </w:rPr>
        <w:pict>
          <v:shape id="Object 3" o:spid="_x0000_s1027" o:spt="75" type="#_x0000_t75" style="position:absolute;left:0pt;margin-left:13.05pt;margin-top:7.15pt;height:272.55pt;width:378.3pt;mso-wrap-distance-bottom:0pt;mso-wrap-distance-left:9pt;mso-wrap-distance-right:9pt;mso-wrap-distance-top:0pt;z-index:251661312;mso-width-relative:page;mso-height-relative:page;" o:ole="t" filled="f" o:preferrelative="t" stroked="f" coordsize="21600,21600">
            <v:path/>
            <v:fill on="f" focussize="0,0"/>
            <v:stroke on="f"/>
            <v:imagedata r:id="rId11" o:title=""/>
            <o:lock v:ext="edit" aspectratio="t"/>
            <w10:wrap type="square"/>
          </v:shape>
          <o:OLEObject Type="Embed" ProgID="Excel.Chart.8" ShapeID="Object 3" DrawAspect="Content" ObjectID="_1468075726" r:id="rId10">
            <o:LockedField>false</o:LockedField>
          </o:OLEObject>
        </w:pict>
      </w:r>
    </w:p>
    <w:p w14:paraId="5632DAFF">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eastAsia="zh-CN"/>
        </w:rPr>
      </w:pPr>
      <w:bookmarkStart w:id="20" w:name="_Toc15377207"/>
      <w:bookmarkStart w:id="21" w:name="_Toc15396605"/>
      <w:r>
        <w:rPr>
          <w:rFonts w:hint="default" w:ascii="Times New Roman" w:hAnsi="Times New Roman" w:eastAsia="方正黑体_GBK" w:cs="Times New Roman"/>
          <w:color w:val="auto"/>
          <w:sz w:val="32"/>
          <w:szCs w:val="32"/>
          <w:highlight w:val="none"/>
          <w:lang w:eastAsia="zh-CN"/>
        </w:rPr>
        <w:t>三、支出决算情况说明</w:t>
      </w:r>
      <w:bookmarkEnd w:id="20"/>
      <w:bookmarkEnd w:id="21"/>
    </w:p>
    <w:p w14:paraId="48FD2AA2">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方正仿宋_GBK" w:cs="Times New Roman"/>
          <w:color w:val="auto"/>
          <w:kern w:val="2"/>
          <w:sz w:val="32"/>
          <w:szCs w:val="32"/>
          <w:highlight w:val="none"/>
          <w:lang w:val="en-US" w:eastAsia="zh-CN" w:bidi="ar-SA"/>
        </w:rPr>
        <w:t>2025年度本年支出合计12693.71万元，其中：基本支出1260.92万元，占9.93%；项目支出11432.79万元，占90.07%；上缴上级支出0万元，占0%；经营支出0万元，占0%；对附属单位补助支出0万元，占0%。</w:t>
      </w:r>
      <w:r>
        <w:rPr>
          <w:rFonts w:hint="default" w:ascii="Times New Roman" w:hAnsi="Times New Roman" w:eastAsia="仿宋_GB2312" w:cs="Times New Roman"/>
          <w:b/>
          <w:bCs/>
          <w:color w:val="auto"/>
          <w:sz w:val="32"/>
          <w:szCs w:val="32"/>
          <w:highlight w:val="none"/>
          <w:lang w:eastAsia="zh-CN"/>
        </w:rPr>
        <w:t>（注：仅罗列本部门涉及的支出）</w:t>
      </w:r>
    </w:p>
    <w:p w14:paraId="25DE827F">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（图3：支出决算结构图）（饼状图）</w:t>
      </w:r>
    </w:p>
    <w:p w14:paraId="1E40C3BF">
      <w:pPr>
        <w:keepNext w:val="0"/>
        <w:keepLines w:val="0"/>
        <w:pageBreakBefore w:val="0"/>
        <w:widowControl w:val="0"/>
        <w:wordWrap/>
        <w:overflowPunct w:val="0"/>
        <w:topLinePunct w:val="0"/>
        <w:bidi w:val="0"/>
        <w:ind w:firstLine="800" w:firstLineChars="25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pict>
          <v:shape id="Object 4" o:spid="_x0000_s1028" o:spt="75" type="#_x0000_t75" style="position:absolute;left:0pt;margin-left:32.6pt;margin-top:51pt;height:239.2pt;width:330.95pt;mso-wrap-distance-bottom:0pt;mso-wrap-distance-left:9pt;mso-wrap-distance-right:9pt;mso-wrap-distance-top:0pt;z-index:251662336;mso-width-relative:page;mso-height-relative:page;" o:ole="t" filled="f" o:preferrelative="t" stroked="f" coordsize="21600,21600">
            <v:path/>
            <v:fill on="f" focussize="0,0"/>
            <v:stroke on="f"/>
            <v:imagedata r:id="rId13" o:title=""/>
            <o:lock v:ext="edit" aspectratio="t"/>
            <w10:wrap type="square"/>
          </v:shape>
          <o:OLEObject Type="Embed" ProgID="Excel.Chart.8" ShapeID="Object 4" DrawAspect="Content" ObjectID="_1468075727" r:id="rId12">
            <o:LockedField>false</o:LockedField>
          </o:OLEObject>
        </w:pict>
      </w:r>
    </w:p>
    <w:p w14:paraId="2BC185F6">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22" w:name="_Toc15396606"/>
      <w:bookmarkStart w:id="23" w:name="_Toc15377208"/>
      <w:r>
        <w:rPr>
          <w:rFonts w:hint="default" w:ascii="Times New Roman" w:hAnsi="Times New Roman" w:eastAsia="方正黑体_GBK" w:cs="Times New Roman"/>
          <w:color w:val="auto"/>
          <w:sz w:val="32"/>
          <w:szCs w:val="32"/>
          <w:highlight w:val="none"/>
          <w:lang w:eastAsia="zh-CN"/>
        </w:rPr>
        <w:t>四、财政拨款收入支出决算总体情况说明</w:t>
      </w:r>
      <w:bookmarkEnd w:id="22"/>
      <w:bookmarkEnd w:id="23"/>
    </w:p>
    <w:p w14:paraId="460F60EB">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2025年度财政拨款收入、支出总计均为12689.71万元。与上年度相比，财政拨款收入、支出总计各增加/减少901.77万元，增长/下降6.63%</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主要变动原因是客运站改扩建项目2025年已完工，今年支付尾款。</w:t>
      </w:r>
    </w:p>
    <w:p w14:paraId="7B728FAA">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（图4：财政拨款收、支决算总计变动情况）（柱状图）</w:t>
      </w:r>
    </w:p>
    <w:p w14:paraId="1AABA371">
      <w:pPr>
        <w:keepNext w:val="0"/>
        <w:keepLines w:val="0"/>
        <w:pageBreakBefore w:val="0"/>
        <w:widowControl w:val="0"/>
        <w:wordWrap/>
        <w:overflowPunct w:val="0"/>
        <w:topLinePunct w:val="0"/>
        <w:bidi w:val="0"/>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 w:cs="Times New Roman"/>
          <w:b/>
          <w:color w:val="auto"/>
          <w:sz w:val="32"/>
          <w:szCs w:val="32"/>
          <w:highlight w:val="none"/>
          <w:lang w:eastAsia="zh-CN"/>
        </w:rPr>
        <w:pict>
          <v:shape id="Object 5" o:spid="_x0000_s1029" o:spt="75" type="#_x0000_t75" style="position:absolute;left:0pt;margin-left:19.4pt;margin-top:30.75pt;height:190.3pt;width:376.6pt;mso-wrap-distance-bottom:0pt;mso-wrap-distance-left:9pt;mso-wrap-distance-right:9pt;mso-wrap-distance-top:0pt;z-index:251663360;mso-width-relative:page;mso-height-relative:page;" o:ole="t" filled="f" o:preferrelative="t" stroked="f" coordsize="21600,21600">
            <v:path/>
            <v:fill on="f" focussize="0,0"/>
            <v:stroke on="f"/>
            <v:imagedata r:id="rId15" o:title=""/>
            <o:lock v:ext="edit" aspectratio="t"/>
            <w10:wrap type="square"/>
          </v:shape>
          <o:OLEObject Type="Embed" ProgID="Excel.Chart.8" ShapeID="Object 5" DrawAspect="Content" ObjectID="_1468075728" r:id="rId14">
            <o:LockedField>false</o:LockedField>
          </o:OLEObject>
        </w:pict>
      </w:r>
    </w:p>
    <w:p w14:paraId="28E4375F">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eastAsia="zh-CN"/>
        </w:rPr>
      </w:pPr>
      <w:bookmarkStart w:id="24" w:name="_Toc15396607"/>
      <w:bookmarkStart w:id="25" w:name="_Toc15377209"/>
      <w:r>
        <w:rPr>
          <w:rFonts w:hint="default" w:ascii="Times New Roman" w:hAnsi="Times New Roman" w:eastAsia="方正黑体_GBK" w:cs="Times New Roman"/>
          <w:color w:val="auto"/>
          <w:sz w:val="32"/>
          <w:szCs w:val="32"/>
          <w:highlight w:val="none"/>
          <w:lang w:eastAsia="zh-CN"/>
        </w:rPr>
        <w:t>五、一般公共预算财政拨款支出决算情况说明</w:t>
      </w:r>
      <w:bookmarkEnd w:id="24"/>
      <w:bookmarkEnd w:id="25"/>
    </w:p>
    <w:p w14:paraId="21428FA3">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26" w:name="_Toc15377210"/>
      <w:r>
        <w:rPr>
          <w:rFonts w:hint="default" w:ascii="Times New Roman" w:hAnsi="Times New Roman" w:eastAsia="方正楷体_GBK" w:cs="Times New Roman"/>
          <w:b/>
          <w:color w:val="auto"/>
          <w:sz w:val="32"/>
          <w:szCs w:val="32"/>
          <w:highlight w:val="none"/>
        </w:rPr>
        <w:t>（一）一般公共预算财政拨款支出决算总体情况</w:t>
      </w:r>
      <w:bookmarkEnd w:id="26"/>
    </w:p>
    <w:p w14:paraId="3CE9DF4D">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2025年度一般公共预算财政拨款支出10418.68万元，占本年支出合计的82.08%。与上年度相比，一般公共预算财政拨款支出减少3172.8万元，下降23.34%。主要变动原因是项目减少，支出减少。</w:t>
      </w:r>
    </w:p>
    <w:p w14:paraId="15705F5E">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（图5：一般公共预算财政拨款支出决算变动情况）（柱状图）</w:t>
      </w:r>
    </w:p>
    <w:p w14:paraId="4DE38945">
      <w:pPr>
        <w:keepNext w:val="0"/>
        <w:keepLines w:val="0"/>
        <w:pageBreakBefore w:val="0"/>
        <w:widowControl w:val="0"/>
        <w:wordWrap/>
        <w:overflowPunct w:val="0"/>
        <w:topLinePunct w:val="0"/>
        <w:bidi w:val="0"/>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楷体_GBK" w:cs="Times New Roman"/>
          <w:b/>
          <w:color w:val="auto"/>
          <w:sz w:val="32"/>
          <w:szCs w:val="32"/>
          <w:highlight w:val="none"/>
          <w:lang w:eastAsia="zh-CN"/>
        </w:rPr>
        <w:pict>
          <v:shape id="Object 6" o:spid="_x0000_s1030" o:spt="75" type="#_x0000_t75" style="position:absolute;left:0pt;margin-left:5pt;margin-top:8.4pt;height:241.5pt;width:412.5pt;mso-wrap-distance-bottom:0pt;mso-wrap-distance-left:9pt;mso-wrap-distance-right:9pt;mso-wrap-distance-top:0pt;z-index:251664384;mso-width-relative:page;mso-height-relative:page;" o:ole="t" filled="f" o:preferrelative="t" stroked="f" coordsize="21600,21600">
            <v:path/>
            <v:fill on="f" focussize="0,0"/>
            <v:stroke on="f"/>
            <v:imagedata r:id="rId17" o:title=""/>
            <o:lock v:ext="edit" aspectratio="t"/>
            <w10:wrap type="square"/>
          </v:shape>
          <o:OLEObject Type="Embed" ProgID="Excel.Chart.8" ShapeID="Object 6" DrawAspect="Content" ObjectID="_1468075729" r:id="rId16">
            <o:LockedField>false</o:LockedField>
          </o:OLEObject>
        </w:pict>
      </w:r>
    </w:p>
    <w:p w14:paraId="1275F488">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rPr>
      </w:pPr>
      <w:bookmarkStart w:id="27" w:name="_Toc15377211"/>
      <w:r>
        <w:rPr>
          <w:rFonts w:hint="default" w:ascii="Times New Roman" w:hAnsi="Times New Roman" w:eastAsia="方正楷体_GBK" w:cs="Times New Roman"/>
          <w:b/>
          <w:color w:val="auto"/>
          <w:sz w:val="32"/>
          <w:szCs w:val="32"/>
          <w:highlight w:val="none"/>
        </w:rPr>
        <w:t>（二）一般公共预算财政拨款支出决算结构情况</w:t>
      </w:r>
      <w:bookmarkEnd w:id="27"/>
    </w:p>
    <w:p w14:paraId="792B0372">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bidi="ar-SA"/>
        </w:rPr>
        <w:t>2025年度一般公共预算财政拨款支出10418.68万元，主要用于以下方面：一般公共服务支出3万元，占0.03%；社会保障和就业支出198.76万元，占1.91%</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卫生健康支出65.09万元，占0.62%；农林水支出1400.79万元，占比13.44%；交通运输支出8662.2万元，占比83.14%</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住房保障支出88.84</w:t>
      </w:r>
      <w:r>
        <w:rPr>
          <w:rFonts w:hint="default" w:ascii="Times New Roman" w:hAnsi="Times New Roman" w:eastAsia="方正仿宋_GBK" w:cs="Times New Roman"/>
          <w:color w:val="auto"/>
          <w:sz w:val="32"/>
          <w:szCs w:val="32"/>
          <w:highlight w:val="none"/>
          <w:lang w:val="en-US" w:eastAsia="zh-CN"/>
        </w:rPr>
        <w:t>万元，占0.85%。</w:t>
      </w:r>
    </w:p>
    <w:p w14:paraId="194FFDF7">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pict>
          <v:shape id="Object 7" o:spid="_x0000_s1031" o:spt="75" type="#_x0000_t75" style="position:absolute;left:0pt;margin-left:41.7pt;margin-top:60pt;height:268.8pt;width:324.45pt;mso-wrap-distance-bottom:0pt;mso-wrap-distance-left:9pt;mso-wrap-distance-right:9pt;mso-wrap-distance-top:0pt;z-index:251665408;mso-width-relative:page;mso-height-relative:page;" o:ole="t" filled="f" o:preferrelative="t" stroked="f" coordsize="21600,21600">
            <v:path/>
            <v:fill on="f" focussize="0,0"/>
            <v:stroke on="f"/>
            <v:imagedata r:id="rId19" o:title=""/>
            <o:lock v:ext="edit" aspectratio="t"/>
            <w10:wrap type="square"/>
          </v:shape>
          <o:OLEObject Type="Embed" ProgID="Excel.Chart.8" ShapeID="Object 7" DrawAspect="Content" ObjectID="_1468075730" r:id="rId18">
            <o:LockedField>false</o:LockedField>
          </o:OLEObject>
        </w:pict>
      </w:r>
      <w:r>
        <w:rPr>
          <w:rFonts w:hint="default" w:ascii="Times New Roman" w:hAnsi="Times New Roman" w:eastAsia="方正仿宋_GBK" w:cs="Times New Roman"/>
          <w:color w:val="auto"/>
          <w:sz w:val="32"/>
          <w:szCs w:val="32"/>
          <w:highlight w:val="none"/>
          <w:lang w:val="en-US" w:eastAsia="zh-CN"/>
        </w:rPr>
        <w:t>（图6：一般公共预算财政拨款支出决算结构）（饼状图）</w:t>
      </w:r>
    </w:p>
    <w:p w14:paraId="72FACD76">
      <w:pPr>
        <w:keepNext w:val="0"/>
        <w:keepLines w:val="0"/>
        <w:pageBreakBefore w:val="0"/>
        <w:widowControl w:val="0"/>
        <w:wordWrap/>
        <w:overflowPunct w:val="0"/>
        <w:topLinePunct w:val="0"/>
        <w:bidi w:val="0"/>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758C9546">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rPr>
      </w:pPr>
      <w:bookmarkStart w:id="28" w:name="_Toc15377212"/>
      <w:r>
        <w:rPr>
          <w:rFonts w:hint="default" w:ascii="Times New Roman" w:hAnsi="Times New Roman" w:eastAsia="方正楷体_GBK" w:cs="Times New Roman"/>
          <w:b/>
          <w:color w:val="auto"/>
          <w:sz w:val="32"/>
          <w:szCs w:val="32"/>
          <w:highlight w:val="none"/>
        </w:rPr>
        <w:t>（三）一般公共预算财政拨款支出决算具体情况</w:t>
      </w:r>
      <w:bookmarkEnd w:id="28"/>
    </w:p>
    <w:p w14:paraId="370CCE34">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bookmarkStart w:id="29" w:name="_Toc15377444"/>
      <w:bookmarkStart w:id="30" w:name="_Toc15377213"/>
      <w:bookmarkStart w:id="31" w:name="_Toc15378460"/>
      <w:r>
        <w:rPr>
          <w:rFonts w:hint="default" w:ascii="Times New Roman" w:hAnsi="Times New Roman" w:eastAsia="方正仿宋_GBK" w:cs="Times New Roman"/>
          <w:color w:val="auto"/>
          <w:sz w:val="32"/>
          <w:szCs w:val="32"/>
          <w:highlight w:val="none"/>
          <w:lang w:val="en-US" w:eastAsia="zh-CN"/>
        </w:rPr>
        <w:t>2025年度一般公共预算支出决算数为10418.68，完成预算100%。其中：</w:t>
      </w:r>
      <w:bookmarkEnd w:id="29"/>
      <w:bookmarkEnd w:id="30"/>
      <w:bookmarkEnd w:id="31"/>
    </w:p>
    <w:p w14:paraId="223582AC">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3"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1.一般公共服务（类）组织事务（款）其他组织事务支出（项）：</w:t>
      </w:r>
      <w:r>
        <w:rPr>
          <w:rFonts w:hint="default" w:ascii="Times New Roman" w:hAnsi="Times New Roman" w:eastAsia="方正仿宋_GBK" w:cs="Times New Roman"/>
          <w:color w:val="auto"/>
          <w:sz w:val="32"/>
          <w:szCs w:val="32"/>
          <w:highlight w:val="none"/>
          <w:lang w:val="en-US" w:eastAsia="zh-CN"/>
        </w:rPr>
        <w:t>支出决算为3万元，完成预算100%。</w:t>
      </w:r>
    </w:p>
    <w:p w14:paraId="38A53DD3">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3"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2.农林水支出（类）农业农村（款）乡村道路建设（项）:</w:t>
      </w:r>
      <w:r>
        <w:rPr>
          <w:rFonts w:hint="default" w:ascii="Times New Roman" w:hAnsi="Times New Roman" w:eastAsia="方正仿宋_GBK" w:cs="Times New Roman"/>
          <w:color w:val="auto"/>
          <w:sz w:val="32"/>
          <w:szCs w:val="32"/>
          <w:highlight w:val="none"/>
          <w:lang w:val="en-US" w:eastAsia="zh-CN"/>
        </w:rPr>
        <w:t xml:space="preserve"> 支出决算为924.73万元，完成预算100%；水利（款）防汛（项）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支出决算为3万元，完成预算100%；巩固</w:t>
      </w:r>
      <w:r>
        <w:rPr>
          <w:rFonts w:hint="eastAsia" w:eastAsia="方正仿宋_GBK" w:cs="Times New Roman"/>
          <w:color w:val="auto"/>
          <w:sz w:val="32"/>
          <w:szCs w:val="32"/>
          <w:highlight w:val="none"/>
          <w:lang w:val="en-US" w:eastAsia="zh-CN"/>
        </w:rPr>
        <w:t>拓展</w:t>
      </w:r>
      <w:r>
        <w:rPr>
          <w:rFonts w:hint="default" w:ascii="Times New Roman" w:hAnsi="Times New Roman" w:eastAsia="方正仿宋_GBK" w:cs="Times New Roman"/>
          <w:color w:val="auto"/>
          <w:sz w:val="32"/>
          <w:szCs w:val="32"/>
          <w:highlight w:val="none"/>
          <w:lang w:val="en-US" w:eastAsia="zh-CN"/>
        </w:rPr>
        <w:t>脱贫攻坚成果衔接乡村振兴（款）农村基础设施建设（项）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支出决算为29.85万元，完成预算100%</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其他农林水支出（款）其他农林水支出（项）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支出决算为443.2万元，完成预算100%</w:t>
      </w:r>
      <w:r>
        <w:rPr>
          <w:rFonts w:hint="eastAsia" w:ascii="Times New Roman" w:hAnsi="Times New Roman" w:eastAsia="方正仿宋_GBK" w:cs="Times New Roman"/>
          <w:color w:val="auto"/>
          <w:sz w:val="32"/>
          <w:szCs w:val="32"/>
          <w:highlight w:val="none"/>
          <w:lang w:val="en-US" w:eastAsia="zh-CN"/>
        </w:rPr>
        <w:t>。</w:t>
      </w:r>
    </w:p>
    <w:p w14:paraId="3E9BC6F7">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3"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3.交通运输支出（类）公路水路运输（款）行政运行（项）</w:t>
      </w:r>
      <w:r>
        <w:rPr>
          <w:rFonts w:hint="eastAsia" w:ascii="Times New Roman" w:hAnsi="Times New Roman" w:eastAsia="方正仿宋_GBK" w:cs="Times New Roman"/>
          <w:b/>
          <w:bCs/>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 xml:space="preserve"> 支出决算为324.14万元，完成预算100%；一般行政管理事务（项）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支出决算为600万元，完成预算100%；机关服务（项）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支出决算为584.09万元，完成预算100%；公路建设（项）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支出决算为3566.09万元，完成预算100%；公路养护（项）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支出决算为1639.42万元，完成预算100%；公路和运输安全（项）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支出决算为10万元，完成预算100%；其他公路水路运输支出（项）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支出决算为1090.17万元，完成预算100%；其他交通运输支出（款）公共交通运营补助（项）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支出决算为10.26万元，完成预算100%；其他交通运输支出（项）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支出决算为838.04万元，完成预算100%。</w:t>
      </w:r>
    </w:p>
    <w:p w14:paraId="5C4C6028">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3"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4.住房保障支出（类）住房改革支出（款）住房公积金（项）：</w:t>
      </w:r>
      <w:r>
        <w:rPr>
          <w:rFonts w:hint="default" w:ascii="Times New Roman" w:hAnsi="Times New Roman" w:eastAsia="方正仿宋_GBK" w:cs="Times New Roman"/>
          <w:color w:val="auto"/>
          <w:sz w:val="32"/>
          <w:szCs w:val="32"/>
          <w:highlight w:val="none"/>
          <w:lang w:val="en-US" w:eastAsia="zh-CN"/>
        </w:rPr>
        <w:t>支出决算为85.44万元，完成预算100%；购房补贴（项）：支出决算为3.4万元，完成预算100%。</w:t>
      </w:r>
    </w:p>
    <w:p w14:paraId="0C821EB6">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3"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5.社会保障和就业（类）行政事业单位养老支出（款）机关事业单位基本养老保险缴费支出（项）：</w:t>
      </w:r>
      <w:r>
        <w:rPr>
          <w:rFonts w:hint="default" w:ascii="Times New Roman" w:hAnsi="Times New Roman" w:eastAsia="方正仿宋_GBK" w:cs="Times New Roman"/>
          <w:color w:val="auto"/>
          <w:sz w:val="32"/>
          <w:szCs w:val="32"/>
          <w:highlight w:val="none"/>
          <w:lang w:val="en-US" w:eastAsia="zh-CN"/>
        </w:rPr>
        <w:t>支出决算为117.34万元，完成预算100%；机关事业单位职业年金缴费支出（项）：支出决算为58.67万元，完成预算100%；抚恤（款）死亡抚恤（项）：支出决算为22.76万元，完成预算100%。</w:t>
      </w:r>
    </w:p>
    <w:p w14:paraId="4DEF7279">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3"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6.卫生健康（类）行政事业单位医疗（款）行政单位医疗（项）</w:t>
      </w:r>
      <w:r>
        <w:rPr>
          <w:rFonts w:hint="eastAsia" w:eastAsia="方正仿宋_GBK" w:cs="Times New Roman"/>
          <w:b/>
          <w:bCs/>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支出决算为17</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15万元，完成预算100%；事业单位医疗（项）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支出决算为35</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9万元，完成预算100%；公务员医疗补助（项）</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支出决算为5.47万元，完成预算100%；其他行政事业单位医疗支出（项）</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支出决算为6.57万元，完成预算100%</w:t>
      </w:r>
      <w:r>
        <w:rPr>
          <w:rFonts w:hint="eastAsia" w:ascii="Times New Roman" w:hAnsi="Times New Roman" w:eastAsia="方正仿宋_GBK" w:cs="Times New Roman"/>
          <w:color w:val="auto"/>
          <w:sz w:val="32"/>
          <w:szCs w:val="32"/>
          <w:highlight w:val="none"/>
          <w:lang w:val="en-US" w:eastAsia="zh-CN"/>
        </w:rPr>
        <w:t>。</w:t>
      </w:r>
    </w:p>
    <w:p w14:paraId="473D94DA">
      <w:pPr>
        <w:keepNext w:val="0"/>
        <w:keepLines w:val="0"/>
        <w:pageBreakBefore w:val="0"/>
        <w:widowControl w:val="0"/>
        <w:tabs>
          <w:tab w:val="right" w:pos="8306"/>
        </w:tabs>
        <w:wordWrap/>
        <w:overflowPunct w:val="0"/>
        <w:topLinePunct w:val="0"/>
        <w:bidi w:val="0"/>
        <w:spacing w:line="600" w:lineRule="exact"/>
        <w:ind w:firstLine="640"/>
        <w:outlineLvl w:val="1"/>
        <w:rPr>
          <w:rStyle w:val="29"/>
          <w:rFonts w:hint="default" w:ascii="Times New Roman" w:hAnsi="Times New Roman" w:cs="Times New Roman"/>
          <w:color w:val="auto"/>
          <w:highlight w:val="none"/>
        </w:rPr>
      </w:pPr>
      <w:bookmarkStart w:id="32" w:name="_Toc15377214"/>
      <w:bookmarkStart w:id="33" w:name="_Toc15396608"/>
      <w:r>
        <w:rPr>
          <w:rFonts w:hint="default" w:ascii="Times New Roman" w:hAnsi="Times New Roman" w:eastAsia="方正黑体_GBK" w:cs="Times New Roman"/>
          <w:color w:val="auto"/>
          <w:kern w:val="2"/>
          <w:sz w:val="32"/>
          <w:szCs w:val="32"/>
          <w:highlight w:val="none"/>
          <w:lang w:val="en-US" w:eastAsia="zh-CN" w:bidi="ar-SA"/>
        </w:rPr>
        <w:t>六、一般公共预算财政拨款基本支出决算情况说明</w:t>
      </w:r>
      <w:bookmarkEnd w:id="32"/>
      <w:bookmarkEnd w:id="33"/>
      <w:r>
        <w:rPr>
          <w:rStyle w:val="29"/>
          <w:rFonts w:hint="default" w:ascii="Times New Roman" w:hAnsi="Times New Roman" w:eastAsia="黑体" w:cs="Times New Roman"/>
          <w:b w:val="0"/>
          <w:color w:val="auto"/>
          <w:highlight w:val="none"/>
        </w:rPr>
        <w:tab/>
      </w:r>
    </w:p>
    <w:p w14:paraId="432F4557">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2025年度一般公共预算财政拨款基本支出10418.68万元，其中：</w:t>
      </w:r>
    </w:p>
    <w:p w14:paraId="38F92BA7">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人员经费1193.19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方正仿宋_GBK" w:cs="Times New Roman"/>
          <w:color w:val="auto"/>
          <w:sz w:val="32"/>
          <w:szCs w:val="32"/>
          <w:highlight w:val="none"/>
          <w:lang w:val="en-US" w:eastAsia="zh-CN"/>
        </w:rPr>
        <w:br w:type="textWrapping"/>
      </w:r>
      <w:r>
        <w:rPr>
          <w:rFonts w:hint="default" w:ascii="Times New Roman" w:hAnsi="Times New Roman" w:eastAsia="方正仿宋_GBK" w:cs="Times New Roman"/>
          <w:color w:val="auto"/>
          <w:sz w:val="32"/>
          <w:szCs w:val="32"/>
          <w:highlight w:val="none"/>
          <w:lang w:val="en-US" w:eastAsia="zh-CN"/>
        </w:rPr>
        <w:t>　　公用经费67.73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470C23C">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eastAsia="zh-CN"/>
        </w:rPr>
      </w:pPr>
      <w:bookmarkStart w:id="34" w:name="_Toc15377215"/>
      <w:bookmarkStart w:id="35" w:name="_Toc15396609"/>
      <w:r>
        <w:rPr>
          <w:rFonts w:hint="default" w:ascii="Times New Roman" w:hAnsi="Times New Roman" w:eastAsia="方正黑体_GBK" w:cs="Times New Roman"/>
          <w:color w:val="auto"/>
          <w:sz w:val="32"/>
          <w:szCs w:val="32"/>
          <w:highlight w:val="none"/>
          <w:lang w:eastAsia="zh-CN"/>
        </w:rPr>
        <w:t>七、财政拨款</w:t>
      </w:r>
      <w:r>
        <w:rPr>
          <w:rFonts w:hint="eastAsia" w:eastAsia="方正黑体_GBK" w:cs="Times New Roman"/>
          <w:color w:val="auto"/>
          <w:sz w:val="32"/>
          <w:szCs w:val="32"/>
          <w:highlight w:val="none"/>
          <w:lang w:eastAsia="zh-CN"/>
        </w:rPr>
        <w:t>“</w:t>
      </w:r>
      <w:r>
        <w:rPr>
          <w:rFonts w:hint="default" w:ascii="Times New Roman" w:hAnsi="Times New Roman" w:eastAsia="方正黑体_GBK" w:cs="Times New Roman"/>
          <w:color w:val="auto"/>
          <w:sz w:val="32"/>
          <w:szCs w:val="32"/>
          <w:highlight w:val="none"/>
          <w:lang w:eastAsia="zh-CN"/>
        </w:rPr>
        <w:t>三公</w:t>
      </w:r>
      <w:r>
        <w:rPr>
          <w:rFonts w:hint="eastAsia" w:eastAsia="方正黑体_GBK" w:cs="Times New Roman"/>
          <w:color w:val="auto"/>
          <w:sz w:val="32"/>
          <w:szCs w:val="32"/>
          <w:highlight w:val="none"/>
          <w:lang w:eastAsia="zh-CN"/>
        </w:rPr>
        <w:t>”</w:t>
      </w:r>
      <w:r>
        <w:rPr>
          <w:rFonts w:hint="default" w:ascii="Times New Roman" w:hAnsi="Times New Roman" w:eastAsia="方正黑体_GBK" w:cs="Times New Roman"/>
          <w:color w:val="auto"/>
          <w:sz w:val="32"/>
          <w:szCs w:val="32"/>
          <w:highlight w:val="none"/>
          <w:lang w:eastAsia="zh-CN"/>
        </w:rPr>
        <w:t>经费支出决算情况说明</w:t>
      </w:r>
      <w:bookmarkEnd w:id="34"/>
      <w:bookmarkEnd w:id="35"/>
    </w:p>
    <w:p w14:paraId="1E289329">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6" w:name="_Toc15377216"/>
      <w:r>
        <w:rPr>
          <w:rFonts w:hint="default" w:ascii="Times New Roman" w:hAnsi="Times New Roman" w:eastAsia="方正楷体_GBK" w:cs="Times New Roman"/>
          <w:b/>
          <w:color w:val="auto"/>
          <w:sz w:val="32"/>
          <w:szCs w:val="32"/>
          <w:highlight w:val="none"/>
        </w:rPr>
        <w:t>（一）财政拨款</w:t>
      </w:r>
      <w:r>
        <w:rPr>
          <w:rFonts w:hint="eastAsia" w:eastAsia="方正楷体_GBK" w:cs="Times New Roman"/>
          <w:b/>
          <w:color w:val="auto"/>
          <w:sz w:val="32"/>
          <w:szCs w:val="32"/>
          <w:highlight w:val="none"/>
          <w:lang w:eastAsia="zh-CN"/>
        </w:rPr>
        <w:t>“</w:t>
      </w:r>
      <w:r>
        <w:rPr>
          <w:rFonts w:hint="default" w:ascii="Times New Roman" w:hAnsi="Times New Roman" w:eastAsia="方正楷体_GBK" w:cs="Times New Roman"/>
          <w:b/>
          <w:color w:val="auto"/>
          <w:sz w:val="32"/>
          <w:szCs w:val="32"/>
          <w:highlight w:val="none"/>
        </w:rPr>
        <w:t>三公</w:t>
      </w:r>
      <w:r>
        <w:rPr>
          <w:rFonts w:hint="eastAsia" w:eastAsia="方正楷体_GBK" w:cs="Times New Roman"/>
          <w:b/>
          <w:color w:val="auto"/>
          <w:sz w:val="32"/>
          <w:szCs w:val="32"/>
          <w:highlight w:val="none"/>
          <w:lang w:eastAsia="zh-CN"/>
        </w:rPr>
        <w:t>”</w:t>
      </w:r>
      <w:r>
        <w:rPr>
          <w:rFonts w:hint="default" w:ascii="Times New Roman" w:hAnsi="Times New Roman" w:eastAsia="方正楷体_GBK" w:cs="Times New Roman"/>
          <w:b/>
          <w:color w:val="auto"/>
          <w:sz w:val="32"/>
          <w:szCs w:val="32"/>
          <w:highlight w:val="none"/>
        </w:rPr>
        <w:t>经费支出决算总体情况说明</w:t>
      </w:r>
      <w:bookmarkEnd w:id="36"/>
    </w:p>
    <w:p w14:paraId="3FD98876">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val="en-US" w:eastAsia="zh-CN"/>
        </w:rPr>
        <w:t>2025年度财政拨款</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三公</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经费支出决算为8万元，完成预算100%，较上年度增持平。</w:t>
      </w:r>
    </w:p>
    <w:p w14:paraId="02D820FC">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rPr>
      </w:pPr>
      <w:bookmarkStart w:id="37" w:name="_Toc15377217"/>
      <w:r>
        <w:rPr>
          <w:rFonts w:hint="default" w:ascii="Times New Roman" w:hAnsi="Times New Roman" w:eastAsia="方正楷体_GBK" w:cs="Times New Roman"/>
          <w:b/>
          <w:color w:val="auto"/>
          <w:sz w:val="32"/>
          <w:szCs w:val="32"/>
          <w:highlight w:val="none"/>
        </w:rPr>
        <w:t>（二）财政拨款</w:t>
      </w:r>
      <w:r>
        <w:rPr>
          <w:rFonts w:hint="eastAsia" w:eastAsia="方正楷体_GBK" w:cs="Times New Roman"/>
          <w:b/>
          <w:color w:val="auto"/>
          <w:sz w:val="32"/>
          <w:szCs w:val="32"/>
          <w:highlight w:val="none"/>
          <w:lang w:eastAsia="zh-CN"/>
        </w:rPr>
        <w:t>“</w:t>
      </w:r>
      <w:r>
        <w:rPr>
          <w:rFonts w:hint="default" w:ascii="Times New Roman" w:hAnsi="Times New Roman" w:eastAsia="方正楷体_GBK" w:cs="Times New Roman"/>
          <w:b/>
          <w:color w:val="auto"/>
          <w:sz w:val="32"/>
          <w:szCs w:val="32"/>
          <w:highlight w:val="none"/>
        </w:rPr>
        <w:t>三公</w:t>
      </w:r>
      <w:r>
        <w:rPr>
          <w:rFonts w:hint="eastAsia" w:eastAsia="方正楷体_GBK" w:cs="Times New Roman"/>
          <w:b/>
          <w:color w:val="auto"/>
          <w:sz w:val="32"/>
          <w:szCs w:val="32"/>
          <w:highlight w:val="none"/>
          <w:lang w:eastAsia="zh-CN"/>
        </w:rPr>
        <w:t>”</w:t>
      </w:r>
      <w:r>
        <w:rPr>
          <w:rFonts w:hint="default" w:ascii="Times New Roman" w:hAnsi="Times New Roman" w:eastAsia="方正楷体_GBK" w:cs="Times New Roman"/>
          <w:b/>
          <w:color w:val="auto"/>
          <w:sz w:val="32"/>
          <w:szCs w:val="32"/>
          <w:highlight w:val="none"/>
        </w:rPr>
        <w:t>经费支出决算具体情况说明</w:t>
      </w:r>
      <w:bookmarkEnd w:id="37"/>
    </w:p>
    <w:p w14:paraId="52287FBD">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bidi="ar-SA"/>
        </w:rPr>
        <w:t>2025年度财政拨款</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三公</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经费支出决算中，因公出国（境）费支出决算0万元，占0%；公务用车购置及运行维护费支出决算17万元，占100%；公务接待费支出决算0万元，</w:t>
      </w:r>
      <w:r>
        <w:rPr>
          <w:rFonts w:hint="default" w:ascii="Times New Roman" w:hAnsi="Times New Roman" w:eastAsia="方正仿宋_GBK" w:cs="Times New Roman"/>
          <w:color w:val="auto"/>
          <w:sz w:val="32"/>
          <w:szCs w:val="32"/>
          <w:highlight w:val="none"/>
          <w:lang w:val="en-US" w:eastAsia="zh-CN"/>
        </w:rPr>
        <w:t>占0%。具体情况如下：</w:t>
      </w:r>
    </w:p>
    <w:p w14:paraId="0D0F6DC8">
      <w:pPr>
        <w:pStyle w:val="15"/>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（图7：财政拨款</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三公</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经费支出结构）（饼状图）</w:t>
      </w:r>
    </w:p>
    <w:p w14:paraId="16E9EC9B">
      <w:pPr>
        <w:pStyle w:val="6"/>
        <w:keepNext w:val="0"/>
        <w:keepLines w:val="0"/>
        <w:pageBreakBefore w:val="0"/>
        <w:widowControl w:val="0"/>
        <w:wordWrap/>
        <w:overflowPunct w:val="0"/>
        <w:topLinePunct w:val="0"/>
        <w:bidi w:val="0"/>
        <w:rPr>
          <w:rFonts w:hint="default" w:ascii="Times New Roman" w:hAnsi="Times New Roman" w:cs="Times New Roman"/>
          <w:lang w:val="en-US" w:eastAsia="zh-CN"/>
        </w:rPr>
      </w:pPr>
      <w:r>
        <w:rPr>
          <w:rFonts w:hint="default" w:ascii="Times New Roman" w:hAnsi="Times New Roman" w:eastAsia="仿宋_GB2312" w:cs="Times New Roman"/>
          <w:color w:val="auto"/>
          <w:sz w:val="32"/>
          <w:szCs w:val="32"/>
          <w:highlight w:val="none"/>
          <w:lang w:eastAsia="zh-CN"/>
        </w:rPr>
        <w:pict>
          <v:shape id="Object 8" o:spid="_x0000_s1032" o:spt="75" type="#_x0000_t75" style="position:absolute;left:0pt;margin-left:14.55pt;margin-top:13.6pt;height:258.9pt;width:375.3pt;mso-wrap-distance-bottom:0pt;mso-wrap-distance-left:9pt;mso-wrap-distance-right:9pt;mso-wrap-distance-top:0pt;z-index:251666432;mso-width-relative:page;mso-height-relative:page;" o:ole="t" filled="f" o:preferrelative="t" stroked="f" coordsize="21600,21600">
            <v:path/>
            <v:fill on="f" focussize="0,0"/>
            <v:stroke on="f"/>
            <v:imagedata r:id="rId21" o:title=""/>
            <o:lock v:ext="edit" aspectratio="t"/>
            <w10:wrap type="square"/>
          </v:shape>
          <o:OLEObject Type="Embed" ProgID="Excel.Chart.8" ShapeID="Object 8" DrawAspect="Content" ObjectID="_1468075731" r:id="rId20">
            <o:LockedField>false</o:LockedField>
          </o:OLEObject>
        </w:pict>
      </w:r>
    </w:p>
    <w:p w14:paraId="207C8FE0">
      <w:pPr>
        <w:keepNext w:val="0"/>
        <w:keepLines w:val="0"/>
        <w:pageBreakBefore w:val="0"/>
        <w:widowControl w:val="0"/>
        <w:wordWrap/>
        <w:overflowPunct w:val="0"/>
        <w:topLinePunct w:val="0"/>
        <w:bidi w:val="0"/>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公务用车购置及运行维护费支出17万元，完成预算100%。</w:t>
      </w:r>
      <w:r>
        <w:rPr>
          <w:rFonts w:hint="default" w:ascii="Times New Roman" w:hAnsi="Times New Roman" w:eastAsia="方正仿宋_GBK" w:cs="Times New Roman"/>
          <w:color w:val="auto"/>
          <w:kern w:val="2"/>
          <w:sz w:val="32"/>
          <w:szCs w:val="32"/>
          <w:highlight w:val="none"/>
          <w:lang w:val="en-US" w:eastAsia="zh-CN" w:bidi="ar-SA"/>
        </w:rPr>
        <w:t>公务用车购置及运行维护费支出决算比上年度增加9万元，相比增长112.5%，主要原因是：2024年公务用车运行维护费未单独列科目。其中：公务用车购置支出0万元。全年按规定更新购置公务用车0辆，其中：轿车0辆、金额0万元，越野车0辆、金额0万元，载客汽车0辆、金额0万元。截至2025年12月31日，单位共有公务用车2辆，其中：轿车0辆、越野车2辆、载客汽车0辆。</w:t>
      </w:r>
    </w:p>
    <w:p w14:paraId="6D2EF2D8">
      <w:pPr>
        <w:keepNext w:val="0"/>
        <w:keepLines w:val="0"/>
        <w:pageBreakBefore w:val="0"/>
        <w:widowControl w:val="0"/>
        <w:wordWrap/>
        <w:overflowPunct w:val="0"/>
        <w:topLinePunct w:val="0"/>
        <w:bidi w:val="0"/>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公务用车运行维护费支出17万元。主要用于下乡出差所需的公务用车燃料费、维修费、过路过桥费、保险费等支出。</w:t>
      </w:r>
      <w:bookmarkStart w:id="38" w:name="_Toc15396610"/>
      <w:bookmarkStart w:id="39" w:name="_Toc15377218"/>
    </w:p>
    <w:p w14:paraId="33682892">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eastAsia="zh-CN"/>
        </w:rPr>
      </w:pPr>
      <w:r>
        <w:rPr>
          <w:rFonts w:hint="default" w:ascii="Times New Roman" w:hAnsi="Times New Roman" w:eastAsia="方正黑体_GBK" w:cs="Times New Roman"/>
          <w:color w:val="auto"/>
          <w:sz w:val="32"/>
          <w:szCs w:val="32"/>
          <w:highlight w:val="none"/>
          <w:lang w:eastAsia="zh-CN"/>
        </w:rPr>
        <w:t>八、政府性基金预算支出决算情况说明</w:t>
      </w:r>
      <w:bookmarkEnd w:id="38"/>
      <w:bookmarkEnd w:id="39"/>
    </w:p>
    <w:p w14:paraId="335C140A">
      <w:pPr>
        <w:keepNext w:val="0"/>
        <w:keepLines w:val="0"/>
        <w:pageBreakBefore w:val="0"/>
        <w:widowControl w:val="0"/>
        <w:wordWrap/>
        <w:overflowPunct w:val="0"/>
        <w:topLinePunct w:val="0"/>
        <w:bidi w:val="0"/>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政府性基金预算财政拨款支出2271.03万元，占本年支出合计的17.89%。与上年度相比，政府性基金预算财政拨款支出增加2271.03万元。主要变动原因是支付客运站改扩建建设项目和壤塘县2018-2020年交通运输部定点扶贫项目（14个项目打捆招标）二类费和项目工程款等。</w:t>
      </w:r>
    </w:p>
    <w:p w14:paraId="42190FEB">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eastAsia="zh-CN"/>
        </w:rPr>
      </w:pPr>
      <w:bookmarkStart w:id="40" w:name="_Toc15377219"/>
      <w:bookmarkStart w:id="41" w:name="_Toc15396611"/>
      <w:r>
        <w:rPr>
          <w:rFonts w:hint="default" w:ascii="Times New Roman" w:hAnsi="Times New Roman" w:eastAsia="方正黑体_GBK" w:cs="Times New Roman"/>
          <w:color w:val="auto"/>
          <w:sz w:val="32"/>
          <w:szCs w:val="32"/>
          <w:highlight w:val="none"/>
          <w:lang w:eastAsia="zh-CN"/>
        </w:rPr>
        <w:t>九、国有资本经营预算支出决算情况说明</w:t>
      </w:r>
      <w:bookmarkEnd w:id="40"/>
      <w:bookmarkEnd w:id="41"/>
    </w:p>
    <w:p w14:paraId="2764A909">
      <w:pPr>
        <w:keepNext w:val="0"/>
        <w:keepLines w:val="0"/>
        <w:pageBreakBefore w:val="0"/>
        <w:widowControl w:val="0"/>
        <w:wordWrap/>
        <w:overflowPunct w:val="0"/>
        <w:topLinePunct w:val="0"/>
        <w:bidi w:val="0"/>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2025年度国有资本经营预算财政拨款支出0万元。</w:t>
      </w:r>
    </w:p>
    <w:p w14:paraId="05E07F0C">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eastAsia="zh-CN"/>
        </w:rPr>
      </w:pPr>
      <w:bookmarkStart w:id="42" w:name="_Toc15396612"/>
      <w:bookmarkStart w:id="43" w:name="_Toc15377221"/>
      <w:r>
        <w:rPr>
          <w:rFonts w:hint="default" w:ascii="Times New Roman" w:hAnsi="Times New Roman" w:eastAsia="方正黑体_GBK" w:cs="Times New Roman"/>
          <w:color w:val="auto"/>
          <w:sz w:val="32"/>
          <w:szCs w:val="32"/>
          <w:highlight w:val="none"/>
          <w:lang w:eastAsia="zh-CN"/>
        </w:rPr>
        <w:t>十、其他重要事项的情况说明</w:t>
      </w:r>
      <w:bookmarkEnd w:id="42"/>
      <w:bookmarkEnd w:id="43"/>
    </w:p>
    <w:p w14:paraId="336DF063">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rPr>
      </w:pPr>
      <w:bookmarkStart w:id="44" w:name="_Toc15377222"/>
      <w:r>
        <w:rPr>
          <w:rFonts w:hint="default" w:ascii="Times New Roman" w:hAnsi="Times New Roman" w:eastAsia="方正楷体_GBK" w:cs="Times New Roman"/>
          <w:b/>
          <w:color w:val="auto"/>
          <w:sz w:val="32"/>
          <w:szCs w:val="32"/>
          <w:highlight w:val="none"/>
        </w:rPr>
        <w:t>（一）机关运行经费支出情况</w:t>
      </w:r>
      <w:bookmarkEnd w:id="44"/>
    </w:p>
    <w:p w14:paraId="1B4BEB25">
      <w:pPr>
        <w:keepNext w:val="0"/>
        <w:keepLines w:val="0"/>
        <w:pageBreakBefore w:val="0"/>
        <w:widowControl w:val="0"/>
        <w:wordWrap/>
        <w:overflowPunct w:val="0"/>
        <w:topLinePunct w:val="0"/>
        <w:bidi w:val="0"/>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2025年度，壤塘县交通运输局机关运行经费支出25.83万元，比上年度减少3.29万元，下降11.3%，主要原因是壤塘县财政局严格落实政府</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过紧日子</w:t>
      </w:r>
      <w:r>
        <w:rPr>
          <w:rFonts w:hint="eastAsia"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要求，从严控制一般性支出。</w:t>
      </w:r>
    </w:p>
    <w:p w14:paraId="0D9B07B5">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rPr>
      </w:pPr>
      <w:bookmarkStart w:id="45" w:name="_Toc15377223"/>
      <w:r>
        <w:rPr>
          <w:rFonts w:hint="default" w:ascii="Times New Roman" w:hAnsi="Times New Roman" w:eastAsia="方正楷体_GBK" w:cs="Times New Roman"/>
          <w:b/>
          <w:color w:val="auto"/>
          <w:sz w:val="32"/>
          <w:szCs w:val="32"/>
          <w:highlight w:val="none"/>
        </w:rPr>
        <w:t>（二）政府采购支出情况</w:t>
      </w:r>
      <w:bookmarkEnd w:id="45"/>
    </w:p>
    <w:p w14:paraId="5273076B">
      <w:pPr>
        <w:keepNext w:val="0"/>
        <w:keepLines w:val="0"/>
        <w:pageBreakBefore w:val="0"/>
        <w:widowControl w:val="0"/>
        <w:wordWrap/>
        <w:overflowPunct w:val="0"/>
        <w:topLinePunct w:val="0"/>
        <w:bidi w:val="0"/>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壤塘县交通运输局政府采购支出总额510.88万元，其中：政府采购货物支出335万元、政府采购工程支出0万元、政府采购服务支出175.88万元。主要用于2025年农村公路安全生命防护工程和乡镇综合运输服务站设备及工器具购置项目。授予中小企业合同金额0万元，占政府采购支出总额的0%，其中：授予小微企业合同金额0万元，占政府采购支出总额的0%。</w:t>
      </w:r>
    </w:p>
    <w:p w14:paraId="242C9B72">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rPr>
      </w:pPr>
      <w:bookmarkStart w:id="46" w:name="_Toc15377224"/>
      <w:r>
        <w:rPr>
          <w:rFonts w:hint="default" w:ascii="Times New Roman" w:hAnsi="Times New Roman" w:eastAsia="方正楷体_GBK" w:cs="Times New Roman"/>
          <w:b/>
          <w:color w:val="auto"/>
          <w:sz w:val="32"/>
          <w:szCs w:val="32"/>
          <w:highlight w:val="none"/>
        </w:rPr>
        <w:t>（三）国有资产占有使用情况</w:t>
      </w:r>
      <w:bookmarkEnd w:id="46"/>
    </w:p>
    <w:p w14:paraId="4248638C">
      <w:pPr>
        <w:keepNext w:val="0"/>
        <w:keepLines w:val="0"/>
        <w:pageBreakBefore w:val="0"/>
        <w:widowControl w:val="0"/>
        <w:wordWrap/>
        <w:overflowPunct w:val="0"/>
        <w:topLinePunct w:val="0"/>
        <w:bidi w:val="0"/>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截至2025年12月31日，壤塘县交通运输局共有车辆11辆，其中：主要负责人用车0辆、机要通信用车0辆、应急保障用车0辆、执法执勤用车0辆、特种专业技术用车0辆、离退休干部服务用车0辆、其他用车11辆，其他用车主要是用于应急抢险、道路保畅、建设项目的管理检查等。单价100万元（含）以上设备（不含车辆）0台（套）。</w:t>
      </w:r>
    </w:p>
    <w:p w14:paraId="454082CB">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rPr>
      </w:pPr>
      <w:r>
        <w:rPr>
          <w:rFonts w:hint="default" w:ascii="Times New Roman" w:hAnsi="Times New Roman" w:eastAsia="方正楷体_GBK" w:cs="Times New Roman"/>
          <w:b/>
          <w:color w:val="auto"/>
          <w:sz w:val="32"/>
          <w:szCs w:val="32"/>
          <w:highlight w:val="none"/>
        </w:rPr>
        <w:t>（四）预算绩效管理情况</w:t>
      </w:r>
    </w:p>
    <w:p w14:paraId="4690F6E1">
      <w:pPr>
        <w:keepNext w:val="0"/>
        <w:keepLines w:val="0"/>
        <w:pageBreakBefore w:val="0"/>
        <w:widowControl w:val="0"/>
        <w:wordWrap/>
        <w:overflowPunct w:val="0"/>
        <w:topLinePunct w:val="0"/>
        <w:bidi w:val="0"/>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根据预算绩效管理要求，本部门在2025年度，组织对0项目，0个项目开展了预算事前绩效评估，对所有项目编制了绩效目标，预算执行过程中，对所有项目开展绩效监控。</w:t>
      </w:r>
    </w:p>
    <w:p w14:paraId="75493F22">
      <w:pPr>
        <w:keepNext w:val="0"/>
        <w:keepLines w:val="0"/>
        <w:pageBreakBefore w:val="0"/>
        <w:widowControl w:val="0"/>
        <w:wordWrap/>
        <w:overflowPunct w:val="0"/>
        <w:topLinePunct w:val="0"/>
        <w:bidi w:val="0"/>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w:t>
      </w:r>
      <w:r>
        <w:rPr>
          <w:rFonts w:hint="eastAsia" w:eastAsia="方正仿宋_GBK" w:cs="Times New Roman"/>
          <w:color w:val="auto"/>
          <w:kern w:val="2"/>
          <w:sz w:val="32"/>
          <w:szCs w:val="32"/>
          <w:highlight w:val="none"/>
          <w:lang w:val="en-US" w:eastAsia="zh-CN" w:bidi="ar-SA"/>
        </w:rPr>
        <w:t>全县农村公路养护费</w:t>
      </w:r>
      <w:r>
        <w:rPr>
          <w:rFonts w:hint="default" w:ascii="Times New Roman" w:hAnsi="Times New Roman" w:eastAsia="方正仿宋_GBK" w:cs="Times New Roman"/>
          <w:color w:val="auto"/>
          <w:kern w:val="2"/>
          <w:sz w:val="32"/>
          <w:szCs w:val="32"/>
          <w:highlight w:val="none"/>
          <w:lang w:val="en-US" w:eastAsia="zh-CN" w:bidi="ar-SA"/>
        </w:rPr>
        <w:t>等专项预算项目绩效自评报告，其中，</w:t>
      </w:r>
      <w:r>
        <w:rPr>
          <w:rFonts w:hint="eastAsia" w:eastAsia="方正仿宋_GBK" w:cs="Times New Roman"/>
          <w:color w:val="auto"/>
          <w:kern w:val="2"/>
          <w:sz w:val="32"/>
          <w:szCs w:val="32"/>
          <w:highlight w:val="none"/>
          <w:lang w:val="en-US" w:eastAsia="zh-CN" w:bidi="ar-SA"/>
        </w:rPr>
        <w:t>壤塘县交通运输局</w:t>
      </w:r>
      <w:r>
        <w:rPr>
          <w:rFonts w:hint="default" w:ascii="Times New Roman" w:hAnsi="Times New Roman" w:eastAsia="方正仿宋_GBK" w:cs="Times New Roman"/>
          <w:color w:val="auto"/>
          <w:kern w:val="2"/>
          <w:sz w:val="32"/>
          <w:szCs w:val="32"/>
          <w:highlight w:val="none"/>
          <w:lang w:val="en-US" w:eastAsia="zh-CN" w:bidi="ar-SA"/>
        </w:rPr>
        <w:t>部门预算（含部门预算项目）绩效自评得分为</w:t>
      </w:r>
      <w:r>
        <w:rPr>
          <w:rFonts w:hint="eastAsia" w:eastAsia="方正仿宋_GBK" w:cs="Times New Roman"/>
          <w:color w:val="auto"/>
          <w:kern w:val="2"/>
          <w:sz w:val="32"/>
          <w:szCs w:val="32"/>
          <w:highlight w:val="none"/>
          <w:lang w:val="en-US" w:eastAsia="zh-CN" w:bidi="ar-SA"/>
        </w:rPr>
        <w:t>88</w:t>
      </w:r>
      <w:r>
        <w:rPr>
          <w:rFonts w:hint="default" w:ascii="Times New Roman" w:hAnsi="Times New Roman" w:eastAsia="方正仿宋_GBK" w:cs="Times New Roman"/>
          <w:color w:val="auto"/>
          <w:kern w:val="2"/>
          <w:sz w:val="32"/>
          <w:szCs w:val="32"/>
          <w:highlight w:val="none"/>
          <w:lang w:val="en-US" w:eastAsia="zh-CN" w:bidi="ar-SA"/>
        </w:rPr>
        <w:t>分，绩效自评综述</w:t>
      </w:r>
      <w:r>
        <w:rPr>
          <w:rFonts w:hint="eastAsia" w:eastAsia="方正仿宋_GBK" w:cs="Times New Roman"/>
          <w:color w:val="auto"/>
          <w:kern w:val="2"/>
          <w:sz w:val="32"/>
          <w:szCs w:val="32"/>
          <w:highlight w:val="none"/>
          <w:lang w:val="en-US" w:eastAsia="zh-CN" w:bidi="ar-SA"/>
        </w:rPr>
        <w:t>本年度部门预算绩效自评总体情况良好，项目决策科学规范，资金执行整体高效，绩效目标基本达成，自评得分符合实际履职成效，整体预算管理水平稳步提升，我局总体得分为89.2分，绩效自评综述2025年农村公路养护州级补助项目决策科学</w:t>
      </w:r>
      <w:r>
        <w:rPr>
          <w:rFonts w:hint="default" w:ascii="Times New Roman" w:hAnsi="Times New Roman" w:eastAsia="方正仿宋_GBK" w:cs="Times New Roman"/>
          <w:color w:val="auto"/>
          <w:kern w:val="2"/>
          <w:sz w:val="32"/>
          <w:szCs w:val="32"/>
          <w:highlight w:val="none"/>
          <w:lang w:val="en-US" w:eastAsia="zh-CN" w:bidi="ar-SA"/>
        </w:rPr>
        <w:t>、</w:t>
      </w:r>
      <w:r>
        <w:rPr>
          <w:rFonts w:hint="eastAsia" w:eastAsia="方正仿宋_GBK" w:cs="Times New Roman"/>
          <w:color w:val="auto"/>
          <w:kern w:val="2"/>
          <w:sz w:val="32"/>
          <w:szCs w:val="32"/>
          <w:highlight w:val="none"/>
          <w:lang w:val="en-US" w:eastAsia="zh-CN" w:bidi="ar-SA"/>
        </w:rPr>
        <w:t>管理规范</w:t>
      </w:r>
      <w:r>
        <w:rPr>
          <w:rFonts w:hint="default" w:ascii="Times New Roman" w:hAnsi="Times New Roman" w:eastAsia="方正仿宋_GBK" w:cs="Times New Roman"/>
          <w:color w:val="auto"/>
          <w:kern w:val="2"/>
          <w:sz w:val="32"/>
          <w:szCs w:val="32"/>
          <w:highlight w:val="none"/>
          <w:lang w:val="en-US" w:eastAsia="zh-CN" w:bidi="ar-SA"/>
        </w:rPr>
        <w:t>、</w:t>
      </w:r>
      <w:r>
        <w:rPr>
          <w:rFonts w:hint="eastAsia" w:eastAsia="方正仿宋_GBK" w:cs="Times New Roman"/>
          <w:color w:val="auto"/>
          <w:kern w:val="2"/>
          <w:sz w:val="32"/>
          <w:szCs w:val="32"/>
          <w:highlight w:val="none"/>
          <w:lang w:val="en-US" w:eastAsia="zh-CN" w:bidi="ar-SA"/>
        </w:rPr>
        <w:t>预算执行到位</w:t>
      </w:r>
      <w:r>
        <w:rPr>
          <w:rFonts w:hint="default" w:ascii="Times New Roman" w:hAnsi="Times New Roman" w:eastAsia="方正仿宋_GBK" w:cs="Times New Roman"/>
          <w:color w:val="auto"/>
          <w:kern w:val="2"/>
          <w:sz w:val="32"/>
          <w:szCs w:val="32"/>
          <w:highlight w:val="none"/>
          <w:lang w:val="en-US" w:eastAsia="zh-CN" w:bidi="ar-SA"/>
        </w:rPr>
        <w:t>、</w:t>
      </w:r>
      <w:r>
        <w:rPr>
          <w:rFonts w:hint="eastAsia" w:eastAsia="方正仿宋_GBK" w:cs="Times New Roman"/>
          <w:color w:val="auto"/>
          <w:kern w:val="2"/>
          <w:sz w:val="32"/>
          <w:szCs w:val="32"/>
          <w:highlight w:val="none"/>
          <w:lang w:val="en-US" w:eastAsia="zh-CN" w:bidi="ar-SA"/>
        </w:rPr>
        <w:t>资金使用合规</w:t>
      </w:r>
      <w:r>
        <w:rPr>
          <w:rFonts w:hint="default" w:ascii="Times New Roman" w:hAnsi="Times New Roman" w:eastAsia="方正仿宋_GBK" w:cs="Times New Roman"/>
          <w:color w:val="auto"/>
          <w:kern w:val="2"/>
          <w:sz w:val="32"/>
          <w:szCs w:val="32"/>
          <w:highlight w:val="none"/>
          <w:lang w:val="en-US" w:eastAsia="zh-CN" w:bidi="ar-SA"/>
        </w:rPr>
        <w:t>、</w:t>
      </w:r>
      <w:r>
        <w:rPr>
          <w:rFonts w:hint="eastAsia" w:eastAsia="方正仿宋_GBK" w:cs="Times New Roman"/>
          <w:color w:val="auto"/>
          <w:kern w:val="2"/>
          <w:sz w:val="32"/>
          <w:szCs w:val="32"/>
          <w:highlight w:val="none"/>
          <w:lang w:val="en-US" w:eastAsia="zh-CN" w:bidi="ar-SA"/>
        </w:rPr>
        <w:t>养护任务全面完成，有效保障了全县农村公路安全畅通，社会效益显著，群众满意度较高。绩效自评报告详见附件。</w:t>
      </w:r>
    </w:p>
    <w:p w14:paraId="26EC3719">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bookmarkStart w:id="47" w:name="_Toc15377225"/>
      <w:bookmarkStart w:id="48" w:name="_Toc15396613"/>
    </w:p>
    <w:p w14:paraId="754E475F">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1E29987A">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p>
    <w:p w14:paraId="68B042C2">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第三部分  名词解释</w:t>
      </w:r>
      <w:bookmarkEnd w:id="47"/>
      <w:bookmarkEnd w:id="48"/>
    </w:p>
    <w:p w14:paraId="23874343">
      <w:pPr>
        <w:keepNext w:val="0"/>
        <w:keepLines w:val="0"/>
        <w:pageBreakBefore w:val="0"/>
        <w:widowControl w:val="0"/>
        <w:wordWrap/>
        <w:overflowPunct w:val="0"/>
        <w:topLinePunct w:val="0"/>
        <w:bidi w:val="0"/>
        <w:spacing w:line="600" w:lineRule="exact"/>
        <w:ind w:firstLine="640"/>
        <w:rPr>
          <w:rFonts w:hint="default" w:ascii="Times New Roman" w:hAnsi="Times New Roman" w:cs="Times New Roman"/>
          <w:b/>
          <w:color w:val="auto"/>
          <w:sz w:val="44"/>
          <w:szCs w:val="44"/>
          <w:highlight w:val="none"/>
        </w:rPr>
      </w:pPr>
    </w:p>
    <w:p w14:paraId="733E3B46">
      <w:pPr>
        <w:pStyle w:val="26"/>
        <w:keepNext w:val="0"/>
        <w:keepLines w:val="0"/>
        <w:pageBreakBefore w:val="0"/>
        <w:widowControl w:val="0"/>
        <w:kinsoku/>
        <w:wordWrap/>
        <w:overflowPunct w:val="0"/>
        <w:topLinePunct w:val="0"/>
        <w:bidi w:val="0"/>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1.财政拨款收入</w:t>
      </w:r>
      <w:r>
        <w:rPr>
          <w:rFonts w:hint="eastAsia" w:ascii="Times New Roman" w:hAnsi="Times New Roman" w:eastAsia="方正仿宋_GBK" w:cs="Times New Roman"/>
          <w:b/>
          <w:bCs/>
          <w:sz w:val="32"/>
          <w:szCs w:val="32"/>
          <w:lang w:eastAsia="zh-CN"/>
        </w:rPr>
        <w:t>：</w:t>
      </w:r>
      <w:r>
        <w:rPr>
          <w:rFonts w:hint="default" w:ascii="Times New Roman" w:hAnsi="Times New Roman" w:eastAsia="方正仿宋_GBK" w:cs="Times New Roman"/>
          <w:sz w:val="32"/>
          <w:szCs w:val="32"/>
        </w:rPr>
        <w:t>指单位从同级财政部门取得的财政预算资金。</w:t>
      </w:r>
    </w:p>
    <w:p w14:paraId="46BA90C8">
      <w:pPr>
        <w:pStyle w:val="26"/>
        <w:keepNext w:val="0"/>
        <w:keepLines w:val="0"/>
        <w:pageBreakBefore w:val="0"/>
        <w:widowControl w:val="0"/>
        <w:kinsoku/>
        <w:wordWrap/>
        <w:overflowPunct w:val="0"/>
        <w:topLinePunct w:val="0"/>
        <w:autoSpaceDE w:val="0"/>
        <w:autoSpaceDN w:val="0"/>
        <w:bidi w:val="0"/>
        <w:adjustRightInd w:val="0"/>
        <w:snapToGrid/>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2.其他收入</w:t>
      </w:r>
      <w:r>
        <w:rPr>
          <w:rFonts w:hint="eastAsia" w:ascii="Times New Roman" w:hAnsi="Times New Roman" w:eastAsia="方正仿宋_GBK" w:cs="Times New Roman"/>
          <w:b/>
          <w:bCs/>
          <w:sz w:val="32"/>
          <w:szCs w:val="32"/>
          <w:lang w:eastAsia="zh-CN"/>
        </w:rPr>
        <w:t>：</w:t>
      </w:r>
      <w:r>
        <w:rPr>
          <w:rFonts w:hint="default" w:ascii="Times New Roman" w:hAnsi="Times New Roman" w:eastAsia="方正仿宋_GBK" w:cs="Times New Roman"/>
          <w:sz w:val="32"/>
          <w:szCs w:val="32"/>
        </w:rPr>
        <w:t>指单位取得的除上述收入以外的各项收入。</w:t>
      </w:r>
    </w:p>
    <w:p w14:paraId="7D1F7F19">
      <w:pPr>
        <w:pStyle w:val="26"/>
        <w:keepNext w:val="0"/>
        <w:keepLines w:val="0"/>
        <w:pageBreakBefore w:val="0"/>
        <w:widowControl w:val="0"/>
        <w:kinsoku/>
        <w:wordWrap/>
        <w:overflowPunct w:val="0"/>
        <w:topLinePunct w:val="0"/>
        <w:bidi w:val="0"/>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3.年初结转和结余</w:t>
      </w:r>
      <w:r>
        <w:rPr>
          <w:rFonts w:hint="eastAsia" w:ascii="Times New Roman" w:hAnsi="Times New Roman" w:eastAsia="方正仿宋_GBK" w:cs="Times New Roman"/>
          <w:b/>
          <w:bCs/>
          <w:sz w:val="32"/>
          <w:szCs w:val="32"/>
          <w:lang w:eastAsia="zh-CN"/>
        </w:rPr>
        <w:t>：</w:t>
      </w:r>
      <w:r>
        <w:rPr>
          <w:rFonts w:hint="default" w:ascii="Times New Roman" w:hAnsi="Times New Roman" w:eastAsia="方正仿宋_GBK" w:cs="Times New Roman"/>
          <w:sz w:val="32"/>
          <w:szCs w:val="32"/>
        </w:rPr>
        <w:t>指以前年度尚未完成、结转到本年按有关规定继续使用的资金。</w:t>
      </w:r>
    </w:p>
    <w:p w14:paraId="1CB8BBB0">
      <w:pPr>
        <w:pStyle w:val="26"/>
        <w:keepNext w:val="0"/>
        <w:keepLines w:val="0"/>
        <w:pageBreakBefore w:val="0"/>
        <w:widowControl w:val="0"/>
        <w:kinsoku/>
        <w:wordWrap/>
        <w:overflowPunct w:val="0"/>
        <w:topLinePunct w:val="0"/>
        <w:bidi w:val="0"/>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4</w:t>
      </w:r>
      <w:r>
        <w:rPr>
          <w:rFonts w:hint="default"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rPr>
        <w:t>年末结转和结余：</w:t>
      </w:r>
      <w:r>
        <w:rPr>
          <w:rFonts w:hint="default" w:ascii="Times New Roman" w:hAnsi="Times New Roman" w:eastAsia="方正仿宋_GBK" w:cs="Times New Roman"/>
          <w:sz w:val="32"/>
          <w:szCs w:val="32"/>
        </w:rPr>
        <w:t>指单位按有关规定结转到下年或以后年度继续使用的资金。</w:t>
      </w:r>
    </w:p>
    <w:p w14:paraId="2DBC54EC">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color w:val="000000"/>
          <w:kern w:val="0"/>
          <w:sz w:val="32"/>
          <w:szCs w:val="32"/>
          <w:lang w:val="en-US" w:eastAsia="zh-CN" w:bidi="ar-SA"/>
        </w:rPr>
        <w:t>5.教育支出（类）普通教育（款）其他普通教育支出（项）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sz w:val="32"/>
          <w:szCs w:val="32"/>
          <w:lang w:val="en-US" w:eastAsia="zh-CN"/>
        </w:rPr>
        <w:t>指其他用于普通教育方面的支出。</w:t>
      </w:r>
    </w:p>
    <w:p w14:paraId="5276C9B1">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b/>
          <w:bCs/>
          <w:color w:val="000000"/>
          <w:kern w:val="0"/>
          <w:sz w:val="32"/>
          <w:szCs w:val="32"/>
          <w:lang w:val="en-US" w:eastAsia="zh-CN" w:bidi="ar-SA"/>
        </w:rPr>
        <w:t>6.社会保障和就业支出（类）行政事业单位离退休（款）机关事业单位基本养老保险缴费支出（项）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rPr>
        <w:t>指机关事业单位实施养老保险制度由单位缴纳的基本养老保险费支出。</w:t>
      </w:r>
    </w:p>
    <w:p w14:paraId="7267F182">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b/>
          <w:bCs/>
          <w:color w:val="000000"/>
          <w:kern w:val="0"/>
          <w:sz w:val="32"/>
          <w:szCs w:val="32"/>
          <w:lang w:val="en-US" w:eastAsia="zh-CN" w:bidi="ar-SA"/>
        </w:rPr>
        <w:t>7.社会保障和就业支出（类）行政事业单位离退休（款）    机关事业单位职业年金缴费支出（项）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rPr>
        <w:t>指机关事业单位实施养老保险制度由单位实际缴纳的职业</w:t>
      </w:r>
      <w:r>
        <w:rPr>
          <w:rFonts w:hint="default" w:ascii="Times New Roman" w:hAnsi="Times New Roman" w:eastAsia="方正仿宋_GBK" w:cs="Times New Roman"/>
          <w:color w:val="000000"/>
          <w:kern w:val="0"/>
          <w:sz w:val="32"/>
          <w:szCs w:val="32"/>
          <w:lang w:eastAsia="zh-CN"/>
        </w:rPr>
        <w:t>年金</w:t>
      </w:r>
      <w:r>
        <w:rPr>
          <w:rFonts w:hint="default" w:ascii="Times New Roman" w:hAnsi="Times New Roman" w:eastAsia="方正仿宋_GBK" w:cs="Times New Roman"/>
          <w:color w:val="000000"/>
          <w:kern w:val="0"/>
          <w:sz w:val="32"/>
          <w:szCs w:val="32"/>
        </w:rPr>
        <w:t>的支出。</w:t>
      </w:r>
    </w:p>
    <w:p w14:paraId="7F9460F1">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8.卫生健康支出（类）公共卫生（款）重大公共卫生服务（项）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sz w:val="32"/>
          <w:szCs w:val="32"/>
          <w:lang w:eastAsia="zh-CN"/>
        </w:rPr>
        <w:t>指重大疾病预防控制等重大公共卫生服务支出。</w:t>
      </w:r>
    </w:p>
    <w:p w14:paraId="23A6C668">
      <w:pPr>
        <w:keepNext w:val="0"/>
        <w:keepLines w:val="0"/>
        <w:pageBreakBefore w:val="0"/>
        <w:widowControl w:val="0"/>
        <w:kinsoku/>
        <w:wordWrap/>
        <w:overflowPunct w:val="0"/>
        <w:topLinePunct w:val="0"/>
        <w:bidi w:val="0"/>
        <w:spacing w:line="576" w:lineRule="exact"/>
        <w:ind w:firstLine="643" w:firstLineChars="20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b/>
          <w:bCs/>
          <w:color w:val="000000"/>
          <w:kern w:val="0"/>
          <w:sz w:val="32"/>
          <w:szCs w:val="32"/>
          <w:lang w:val="en-US" w:eastAsia="zh-CN" w:bidi="ar-SA"/>
        </w:rPr>
        <w:t>9.卫生健康支出（类）行政事业单位医疗（款）行政单位医疗（项）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rPr>
        <w:t>指财政部门集中安排的行政单位基本医疗保险缴费经费。</w:t>
      </w:r>
    </w:p>
    <w:p w14:paraId="704679E9">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000000"/>
          <w:kern w:val="0"/>
          <w:sz w:val="32"/>
          <w:szCs w:val="32"/>
          <w:lang w:val="en-US" w:eastAsia="zh-CN" w:bidi="ar-SA"/>
        </w:rPr>
        <w:t>10.卫生健康支出（类）行政事业单位医疗（款）事业单位医疗（项）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rPr>
        <w:t>指财政部门集中安排的</w:t>
      </w:r>
      <w:r>
        <w:rPr>
          <w:rFonts w:hint="default" w:ascii="Times New Roman" w:hAnsi="Times New Roman" w:eastAsia="方正仿宋_GBK" w:cs="Times New Roman"/>
          <w:color w:val="000000"/>
          <w:kern w:val="0"/>
          <w:sz w:val="32"/>
          <w:szCs w:val="32"/>
          <w:lang w:eastAsia="zh-CN"/>
        </w:rPr>
        <w:t>事业</w:t>
      </w:r>
      <w:r>
        <w:rPr>
          <w:rFonts w:hint="default" w:ascii="Times New Roman" w:hAnsi="Times New Roman" w:eastAsia="方正仿宋_GBK" w:cs="Times New Roman"/>
          <w:color w:val="000000"/>
          <w:kern w:val="0"/>
          <w:sz w:val="32"/>
          <w:szCs w:val="32"/>
        </w:rPr>
        <w:t>单位基本医疗保险缴费经费。</w:t>
      </w:r>
    </w:p>
    <w:p w14:paraId="2BB62DBE">
      <w:pPr>
        <w:keepNext w:val="0"/>
        <w:keepLines w:val="0"/>
        <w:pageBreakBefore w:val="0"/>
        <w:widowControl w:val="0"/>
        <w:kinsoku/>
        <w:wordWrap/>
        <w:overflowPunct w:val="0"/>
        <w:topLinePunct w:val="0"/>
        <w:bidi w:val="0"/>
        <w:spacing w:line="576"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11.卫生健康支出（类）行政事业单位医疗（款）公务员医疗补助（项）：</w:t>
      </w:r>
      <w:r>
        <w:rPr>
          <w:rFonts w:hint="default" w:ascii="Times New Roman" w:hAnsi="Times New Roman" w:eastAsia="方正仿宋_GBK" w:cs="Times New Roman"/>
          <w:sz w:val="32"/>
          <w:szCs w:val="32"/>
          <w:lang w:eastAsia="zh-CN"/>
        </w:rPr>
        <w:t>指财政部门集中安排的公务员医疗补助经费。</w:t>
      </w:r>
    </w:p>
    <w:p w14:paraId="0630BFD2">
      <w:pPr>
        <w:keepNext w:val="0"/>
        <w:keepLines w:val="0"/>
        <w:pageBreakBefore w:val="0"/>
        <w:widowControl w:val="0"/>
        <w:kinsoku/>
        <w:wordWrap/>
        <w:overflowPunct w:val="0"/>
        <w:topLinePunct w:val="0"/>
        <w:bidi w:val="0"/>
        <w:spacing w:line="576"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12.卫生健康支出（类）行政事业单位医疗（款）其他行政事业单位医疗支出（项）：</w:t>
      </w:r>
      <w:r>
        <w:rPr>
          <w:rFonts w:hint="default" w:ascii="Times New Roman" w:hAnsi="Times New Roman" w:eastAsia="方正仿宋_GBK" w:cs="Times New Roman"/>
          <w:sz w:val="32"/>
          <w:szCs w:val="32"/>
          <w:lang w:eastAsia="zh-CN"/>
        </w:rPr>
        <w:t>指其他用于行政事业单位医疗方面的支出。</w:t>
      </w:r>
    </w:p>
    <w:p w14:paraId="0BEF60FD">
      <w:pPr>
        <w:keepNext w:val="0"/>
        <w:keepLines w:val="0"/>
        <w:pageBreakBefore w:val="0"/>
        <w:widowControl w:val="0"/>
        <w:kinsoku/>
        <w:wordWrap/>
        <w:overflowPunct w:val="0"/>
        <w:topLinePunct w:val="0"/>
        <w:bidi w:val="0"/>
        <w:spacing w:line="576" w:lineRule="exact"/>
        <w:ind w:firstLine="643"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13.农林水支出（类）巩固脱贫衔接乡村振兴（款）农村基础设施建设（项）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sz w:val="32"/>
          <w:szCs w:val="32"/>
          <w:lang w:eastAsia="zh-CN"/>
        </w:rPr>
        <w:t>指用于农村生产生活条件改善方面的支出。</w:t>
      </w:r>
    </w:p>
    <w:p w14:paraId="6B1FA8A9">
      <w:pPr>
        <w:keepNext w:val="0"/>
        <w:keepLines w:val="0"/>
        <w:pageBreakBefore w:val="0"/>
        <w:widowControl w:val="0"/>
        <w:kinsoku/>
        <w:wordWrap/>
        <w:overflowPunct w:val="0"/>
        <w:topLinePunct w:val="0"/>
        <w:bidi w:val="0"/>
        <w:spacing w:line="576" w:lineRule="exact"/>
        <w:ind w:firstLine="643"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000000"/>
          <w:kern w:val="0"/>
          <w:sz w:val="32"/>
          <w:szCs w:val="32"/>
          <w:lang w:val="en-US" w:eastAsia="zh-CN" w:bidi="ar-SA"/>
        </w:rPr>
        <w:t>14.农林水支出（类）巩固脱贫衔接乡村振兴（款）生产发展（项）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sz w:val="32"/>
          <w:szCs w:val="32"/>
          <w:lang w:eastAsia="zh-CN"/>
        </w:rPr>
        <w:t>指用于农村生产发展项目及相关技术推广等方面的项目支出。</w:t>
      </w:r>
    </w:p>
    <w:p w14:paraId="4D539574">
      <w:pPr>
        <w:keepNext w:val="0"/>
        <w:keepLines w:val="0"/>
        <w:pageBreakBefore w:val="0"/>
        <w:widowControl w:val="0"/>
        <w:kinsoku/>
        <w:wordWrap/>
        <w:overflowPunct w:val="0"/>
        <w:topLinePunct w:val="0"/>
        <w:bidi w:val="0"/>
        <w:spacing w:line="576" w:lineRule="exact"/>
        <w:ind w:firstLine="643" w:firstLineChars="200"/>
        <w:jc w:val="left"/>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15.农林水支出（类）其他农林水支出（款）其他农林水支出（项）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sz w:val="32"/>
          <w:szCs w:val="32"/>
          <w:lang w:eastAsia="zh-CN"/>
        </w:rPr>
        <w:t>指除化解债务支出以外其他用于农林水方面的支出。</w:t>
      </w:r>
    </w:p>
    <w:p w14:paraId="2ABB9BC2">
      <w:pPr>
        <w:keepNext w:val="0"/>
        <w:keepLines w:val="0"/>
        <w:pageBreakBefore w:val="0"/>
        <w:widowControl w:val="0"/>
        <w:kinsoku/>
        <w:wordWrap/>
        <w:overflowPunct w:val="0"/>
        <w:topLinePunct w:val="0"/>
        <w:bidi w:val="0"/>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000000"/>
          <w:kern w:val="0"/>
          <w:sz w:val="32"/>
          <w:szCs w:val="32"/>
          <w:lang w:val="en-US" w:eastAsia="zh-CN" w:bidi="ar-SA"/>
        </w:rPr>
        <w:t>16.交通运输支出（类）公路水路运输（款）行政运行（项）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rPr>
        <w:t>指行政单位的基本支出。</w:t>
      </w:r>
    </w:p>
    <w:p w14:paraId="1AB4EE22">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17.交通运输支出（类）公路水路运输（款）一般行政管理事务（项）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sz w:val="32"/>
          <w:szCs w:val="32"/>
          <w:lang w:eastAsia="zh-CN"/>
        </w:rPr>
        <w:t>指行政单位未单独设置项级科目的其他项目支出。</w:t>
      </w:r>
    </w:p>
    <w:p w14:paraId="0F6BD8C0">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18.交通运输支出（类）公路水路运输（款）机关服务（项）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sz w:val="32"/>
          <w:szCs w:val="32"/>
          <w:lang w:eastAsia="zh-CN"/>
        </w:rPr>
        <w:t>指为行政单位提供后期服务的附属事业单位的支出。</w:t>
      </w:r>
    </w:p>
    <w:p w14:paraId="62CBE2AE">
      <w:pPr>
        <w:keepNext w:val="0"/>
        <w:keepLines w:val="0"/>
        <w:pageBreakBefore w:val="0"/>
        <w:widowControl w:val="0"/>
        <w:kinsoku/>
        <w:wordWrap/>
        <w:overflowPunct w:val="0"/>
        <w:topLinePunct w:val="0"/>
        <w:bidi w:val="0"/>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000000"/>
          <w:kern w:val="0"/>
          <w:sz w:val="32"/>
          <w:szCs w:val="32"/>
          <w:lang w:val="en-US" w:eastAsia="zh-CN" w:bidi="ar-SA"/>
        </w:rPr>
        <w:t>19.交通运输支出（类）公路水路运输（款）公路建设（项）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rPr>
        <w:t>指新建公路、改建公路、特大型桥梁建设、公路客货运站建设的支出。</w:t>
      </w:r>
    </w:p>
    <w:p w14:paraId="2D0C5842">
      <w:pPr>
        <w:keepNext w:val="0"/>
        <w:keepLines w:val="0"/>
        <w:pageBreakBefore w:val="0"/>
        <w:widowControl w:val="0"/>
        <w:kinsoku/>
        <w:wordWrap/>
        <w:overflowPunct w:val="0"/>
        <w:topLinePunct w:val="0"/>
        <w:bidi w:val="0"/>
        <w:spacing w:line="576"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000000"/>
          <w:kern w:val="0"/>
          <w:sz w:val="32"/>
          <w:szCs w:val="32"/>
          <w:lang w:val="en-US" w:eastAsia="zh-CN" w:bidi="ar-SA"/>
        </w:rPr>
        <w:t>20.交通运输支出（类）公路水路运输（款）公路养护（项）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rPr>
        <w:t>指公路养护支出。</w:t>
      </w:r>
    </w:p>
    <w:p w14:paraId="36DDD9B3">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000000"/>
          <w:kern w:val="0"/>
          <w:sz w:val="32"/>
          <w:szCs w:val="32"/>
          <w:lang w:val="en-US" w:eastAsia="zh-CN" w:bidi="ar-SA"/>
        </w:rPr>
        <w:t>21.交通运输支出（类）公路水路运输（款）交通运输信息化建设（项）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eastAsia="zh-CN"/>
        </w:rPr>
        <w:t>指</w:t>
      </w:r>
      <w:r>
        <w:rPr>
          <w:rFonts w:hint="default" w:ascii="Times New Roman" w:hAnsi="Times New Roman" w:eastAsia="方正仿宋_GBK" w:cs="Times New Roman"/>
          <w:color w:val="000000"/>
          <w:kern w:val="0"/>
          <w:sz w:val="32"/>
          <w:szCs w:val="32"/>
        </w:rPr>
        <w:t>交通运输信息化建设支出。</w:t>
      </w:r>
    </w:p>
    <w:p w14:paraId="09142360">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b/>
          <w:bCs/>
          <w:color w:val="000000"/>
          <w:kern w:val="0"/>
          <w:sz w:val="32"/>
          <w:szCs w:val="32"/>
          <w:lang w:val="en-US" w:eastAsia="zh-CN" w:bidi="ar-SA"/>
        </w:rPr>
        <w:t>22.交通运输支出（类）公路水路运输（款）公路和运输安全（项）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sz w:val="32"/>
          <w:szCs w:val="32"/>
          <w:lang w:eastAsia="zh-CN"/>
        </w:rPr>
        <w:t>指</w:t>
      </w:r>
      <w:r>
        <w:rPr>
          <w:rFonts w:hint="default" w:ascii="Times New Roman" w:hAnsi="Times New Roman" w:eastAsia="方正仿宋_GBK" w:cs="Times New Roman"/>
          <w:color w:val="000000"/>
          <w:kern w:val="0"/>
          <w:sz w:val="32"/>
          <w:szCs w:val="32"/>
        </w:rPr>
        <w:t>反映公路和运输安全支出。</w:t>
      </w:r>
    </w:p>
    <w:p w14:paraId="5A275328">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color w:val="000000"/>
          <w:kern w:val="0"/>
          <w:sz w:val="32"/>
          <w:szCs w:val="32"/>
          <w:lang w:val="en-US" w:eastAsia="zh-CN"/>
        </w:rPr>
      </w:pPr>
      <w:r>
        <w:rPr>
          <w:rFonts w:hint="default" w:ascii="Times New Roman" w:hAnsi="Times New Roman" w:eastAsia="方正仿宋_GBK" w:cs="Times New Roman"/>
          <w:b/>
          <w:bCs/>
          <w:color w:val="000000"/>
          <w:kern w:val="0"/>
          <w:sz w:val="32"/>
          <w:szCs w:val="32"/>
          <w:lang w:val="en-US" w:eastAsia="zh-CN" w:bidi="ar-SA"/>
        </w:rPr>
        <w:t>23.交通运输支出（类）公路水路运输（款）其他公路水路运输支出（项）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rPr>
        <w:t>指其他用于公路水路运输方面的支出。</w:t>
      </w:r>
    </w:p>
    <w:p w14:paraId="50E44DD8">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b/>
          <w:bCs/>
          <w:color w:val="000000"/>
          <w:kern w:val="0"/>
          <w:sz w:val="32"/>
          <w:szCs w:val="32"/>
          <w:lang w:val="en-US" w:eastAsia="zh-CN" w:bidi="ar-SA"/>
        </w:rPr>
        <w:t>24.交通运输支出（类）其他交通运输支出（支出款）公共交通运营补助（项）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sz w:val="32"/>
          <w:szCs w:val="32"/>
          <w:lang w:eastAsia="zh-CN"/>
        </w:rPr>
        <w:t>指公共交通运输企业的补助支出。</w:t>
      </w:r>
    </w:p>
    <w:p w14:paraId="4CE84474">
      <w:pPr>
        <w:keepNext w:val="0"/>
        <w:keepLines w:val="0"/>
        <w:pageBreakBefore w:val="0"/>
        <w:widowControl w:val="0"/>
        <w:kinsoku/>
        <w:wordWrap/>
        <w:overflowPunct w:val="0"/>
        <w:topLinePunct w:val="0"/>
        <w:bidi w:val="0"/>
        <w:spacing w:line="576" w:lineRule="exact"/>
        <w:ind w:firstLine="64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color w:val="000000"/>
          <w:kern w:val="0"/>
          <w:sz w:val="32"/>
          <w:szCs w:val="32"/>
          <w:lang w:val="en-US" w:eastAsia="zh-CN" w:bidi="ar-SA"/>
        </w:rPr>
        <w:t>25.交通运输支出（类）其他交通运输（支出款）其他交通运输支出（项）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rPr>
        <w:t>指其他交通运输支出中除对公共交通运营补助以外的其他支出。</w:t>
      </w:r>
    </w:p>
    <w:p w14:paraId="61FCD48C">
      <w:pPr>
        <w:keepNext w:val="0"/>
        <w:keepLines w:val="0"/>
        <w:pageBreakBefore w:val="0"/>
        <w:widowControl w:val="0"/>
        <w:wordWrap/>
        <w:overflowPunct w:val="0"/>
        <w:topLinePunct w:val="0"/>
        <w:bidi w:val="0"/>
        <w:ind w:firstLine="643" w:firstLineChars="200"/>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b/>
          <w:bCs/>
          <w:color w:val="000000"/>
          <w:kern w:val="0"/>
          <w:sz w:val="32"/>
          <w:szCs w:val="32"/>
          <w:lang w:val="en-US" w:eastAsia="zh-CN" w:bidi="ar-SA"/>
        </w:rPr>
        <w:t>26.住房保障支出（类）住房改革支出（款）住房公积金（项）</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rPr>
        <w:t>指行政事业单位按人力资源和社会保障部、财政部规定的基本工资、津补贴以及规定比例为职工缴纳的住房公积金。</w:t>
      </w:r>
    </w:p>
    <w:p w14:paraId="31124EF7">
      <w:pPr>
        <w:keepNext w:val="0"/>
        <w:keepLines w:val="0"/>
        <w:pageBreakBefore w:val="0"/>
        <w:widowControl w:val="0"/>
        <w:wordWrap/>
        <w:overflowPunct w:val="0"/>
        <w:topLinePunct w:val="0"/>
        <w:bidi w:val="0"/>
        <w:ind w:firstLine="643"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000000"/>
          <w:kern w:val="0"/>
          <w:sz w:val="32"/>
          <w:szCs w:val="32"/>
          <w:lang w:val="en-US" w:eastAsia="zh-CN" w:bidi="ar-SA"/>
        </w:rPr>
        <w:t>27.基本支出</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auto"/>
          <w:sz w:val="32"/>
          <w:szCs w:val="32"/>
          <w:highlight w:val="none"/>
        </w:rPr>
        <w:t>指为保障机构正常运转、完成日常工作任务而发生的人员支出和公用支出。</w:t>
      </w:r>
    </w:p>
    <w:p w14:paraId="2FA010D9">
      <w:pPr>
        <w:keepNext w:val="0"/>
        <w:keepLines w:val="0"/>
        <w:pageBreakBefore w:val="0"/>
        <w:widowControl w:val="0"/>
        <w:wordWrap/>
        <w:overflowPunct w:val="0"/>
        <w:topLinePunct w:val="0"/>
        <w:bidi w:val="0"/>
        <w:ind w:firstLine="643"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000000"/>
          <w:kern w:val="0"/>
          <w:sz w:val="32"/>
          <w:szCs w:val="32"/>
          <w:lang w:val="en-US" w:eastAsia="zh-CN" w:bidi="ar-SA"/>
        </w:rPr>
        <w:t>28.项目支出</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auto"/>
          <w:sz w:val="32"/>
          <w:szCs w:val="32"/>
          <w:highlight w:val="none"/>
        </w:rPr>
        <w:t xml:space="preserve">指在基本支出之外为完成特定行政任务和事业发展目标所发生的支出。 </w:t>
      </w:r>
    </w:p>
    <w:p w14:paraId="2952F3D2">
      <w:pPr>
        <w:keepNext w:val="0"/>
        <w:keepLines w:val="0"/>
        <w:pageBreakBefore w:val="0"/>
        <w:widowControl w:val="0"/>
        <w:wordWrap/>
        <w:overflowPunct w:val="0"/>
        <w:topLinePunct w:val="0"/>
        <w:bidi w:val="0"/>
        <w:ind w:firstLine="643"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color w:val="000000"/>
          <w:kern w:val="0"/>
          <w:sz w:val="32"/>
          <w:szCs w:val="32"/>
          <w:lang w:val="en-US" w:eastAsia="zh-CN" w:bidi="ar-SA"/>
        </w:rPr>
        <w:t>29.经营支出</w:t>
      </w:r>
      <w:r>
        <w:rPr>
          <w:rFonts w:hint="eastAsia" w:eastAsia="方正仿宋_GBK" w:cs="Times New Roman"/>
          <w:b/>
          <w:bCs/>
          <w:color w:val="000000"/>
          <w:kern w:val="0"/>
          <w:sz w:val="32"/>
          <w:szCs w:val="32"/>
          <w:lang w:val="en-US" w:eastAsia="zh-CN" w:bidi="ar-SA"/>
        </w:rPr>
        <w:t>：</w:t>
      </w:r>
      <w:r>
        <w:rPr>
          <w:rFonts w:hint="default" w:ascii="Times New Roman" w:hAnsi="Times New Roman" w:eastAsia="方正仿宋_GBK" w:cs="Times New Roman"/>
          <w:color w:val="auto"/>
          <w:sz w:val="32"/>
          <w:szCs w:val="32"/>
          <w:highlight w:val="none"/>
        </w:rPr>
        <w:t>指事业单位在专业业务活动及其辅助活动之外开展非独立核算经营活动发生的支出。</w:t>
      </w:r>
    </w:p>
    <w:p w14:paraId="073D5FCB">
      <w:pPr>
        <w:pStyle w:val="26"/>
        <w:keepNext w:val="0"/>
        <w:keepLines w:val="0"/>
        <w:pageBreakBefore w:val="0"/>
        <w:widowControl w:val="0"/>
        <w:wordWrap/>
        <w:overflowPunct w:val="0"/>
        <w:topLinePunct w:val="0"/>
        <w:bidi w:val="0"/>
        <w:spacing w:line="560" w:lineRule="exact"/>
        <w:ind w:firstLine="643"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sz w:val="32"/>
          <w:szCs w:val="32"/>
        </w:rPr>
        <w:t>30.</w:t>
      </w:r>
      <w:r>
        <w:rPr>
          <w:rFonts w:hint="eastAsia" w:ascii="Times New Roman" w:hAnsi="Times New Roman" w:eastAsia="方正仿宋_GBK" w:cs="Times New Roman"/>
          <w:b/>
          <w:bCs/>
          <w:sz w:val="32"/>
          <w:szCs w:val="32"/>
          <w:lang w:eastAsia="zh-CN"/>
        </w:rPr>
        <w:t>“</w:t>
      </w:r>
      <w:r>
        <w:rPr>
          <w:rFonts w:hint="default" w:ascii="Times New Roman" w:hAnsi="Times New Roman" w:eastAsia="方正仿宋_GBK" w:cs="Times New Roman"/>
          <w:b/>
          <w:bCs/>
          <w:sz w:val="32"/>
          <w:szCs w:val="32"/>
        </w:rPr>
        <w:t>三公</w:t>
      </w:r>
      <w:r>
        <w:rPr>
          <w:rFonts w:hint="eastAsia" w:ascii="Times New Roman" w:hAnsi="Times New Roman" w:eastAsia="方正仿宋_GBK" w:cs="Times New Roman"/>
          <w:b/>
          <w:bCs/>
          <w:sz w:val="32"/>
          <w:szCs w:val="32"/>
          <w:lang w:eastAsia="zh-CN"/>
        </w:rPr>
        <w:t>”</w:t>
      </w:r>
      <w:r>
        <w:rPr>
          <w:rFonts w:hint="default" w:ascii="Times New Roman" w:hAnsi="Times New Roman" w:eastAsia="方正仿宋_GBK" w:cs="Times New Roman"/>
          <w:b/>
          <w:bCs/>
          <w:sz w:val="32"/>
          <w:szCs w:val="32"/>
        </w:rPr>
        <w:t>经费</w:t>
      </w:r>
      <w:r>
        <w:rPr>
          <w:rFonts w:hint="eastAsia" w:ascii="Times New Roman" w:hAnsi="Times New Roman" w:eastAsia="方正仿宋_GBK" w:cs="Times New Roman"/>
          <w:b/>
          <w:bCs/>
          <w:sz w:val="32"/>
          <w:szCs w:val="32"/>
          <w:lang w:eastAsia="zh-CN"/>
        </w:rPr>
        <w:t>：</w:t>
      </w:r>
      <w:r>
        <w:rPr>
          <w:rFonts w:hint="default" w:ascii="Times New Roman" w:hAnsi="Times New Roman" w:eastAsia="方正仿宋_GBK" w:cs="Times New Roman"/>
          <w:color w:val="auto"/>
          <w:sz w:val="32"/>
          <w:szCs w:val="32"/>
          <w:highlight w:val="none"/>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04D3E9D">
      <w:pPr>
        <w:pStyle w:val="26"/>
        <w:keepNext w:val="0"/>
        <w:keepLines w:val="0"/>
        <w:pageBreakBefore w:val="0"/>
        <w:widowControl w:val="0"/>
        <w:wordWrap/>
        <w:overflowPunct w:val="0"/>
        <w:topLinePunct w:val="0"/>
        <w:bidi w:val="0"/>
        <w:spacing w:line="560" w:lineRule="exact"/>
        <w:ind w:firstLine="643"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sz w:val="32"/>
          <w:szCs w:val="32"/>
        </w:rPr>
        <w:t>31.机关运行经费：</w:t>
      </w:r>
      <w:r>
        <w:rPr>
          <w:rFonts w:hint="default" w:ascii="Times New Roman" w:hAnsi="Times New Roman" w:eastAsia="方正仿宋_GBK" w:cs="Times New Roman"/>
          <w:color w:val="auto"/>
          <w:sz w:val="32"/>
          <w:szCs w:val="32"/>
          <w:highlight w:val="none"/>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F4BBE91">
      <w:pPr>
        <w:keepNext w:val="0"/>
        <w:keepLines w:val="0"/>
        <w:pageBreakBefore w:val="0"/>
        <w:widowControl w:val="0"/>
        <w:wordWrap/>
        <w:overflowPunct w:val="0"/>
        <w:topLinePunct w:val="0"/>
        <w:bidi w:val="0"/>
        <w:spacing w:line="600" w:lineRule="exact"/>
        <w:jc w:val="center"/>
        <w:rPr>
          <w:rFonts w:hint="default" w:ascii="Times New Roman" w:hAnsi="Times New Roman" w:eastAsia="黑体" w:cs="Times New Roman"/>
          <w:color w:val="auto"/>
          <w:sz w:val="44"/>
          <w:szCs w:val="44"/>
          <w:highlight w:val="none"/>
        </w:rPr>
      </w:pPr>
      <w:bookmarkStart w:id="49" w:name="_Toc15396614"/>
      <w:bookmarkStart w:id="50" w:name="_Toc15377226"/>
    </w:p>
    <w:p w14:paraId="2F0FA0E9">
      <w:pPr>
        <w:keepNext w:val="0"/>
        <w:keepLines w:val="0"/>
        <w:pageBreakBefore w:val="0"/>
        <w:widowControl w:val="0"/>
        <w:wordWrap/>
        <w:overflowPunct w:val="0"/>
        <w:topLinePunct w:val="0"/>
        <w:bidi w:val="0"/>
        <w:spacing w:line="600" w:lineRule="exact"/>
        <w:jc w:val="center"/>
        <w:rPr>
          <w:rFonts w:hint="default" w:ascii="Times New Roman" w:hAnsi="Times New Roman" w:eastAsia="黑体" w:cs="Times New Roman"/>
          <w:color w:val="auto"/>
          <w:sz w:val="44"/>
          <w:szCs w:val="44"/>
          <w:highlight w:val="none"/>
        </w:rPr>
      </w:pPr>
    </w:p>
    <w:p w14:paraId="78FEF8B4">
      <w:pPr>
        <w:keepNext w:val="0"/>
        <w:keepLines w:val="0"/>
        <w:pageBreakBefore w:val="0"/>
        <w:widowControl w:val="0"/>
        <w:wordWrap/>
        <w:overflowPunct w:val="0"/>
        <w:topLinePunct w:val="0"/>
        <w:bidi w:val="0"/>
        <w:spacing w:line="600" w:lineRule="exact"/>
        <w:jc w:val="center"/>
        <w:rPr>
          <w:rFonts w:hint="default" w:ascii="Times New Roman" w:hAnsi="Times New Roman" w:eastAsia="黑体" w:cs="Times New Roman"/>
          <w:color w:val="auto"/>
          <w:sz w:val="44"/>
          <w:szCs w:val="44"/>
          <w:highlight w:val="none"/>
        </w:rPr>
      </w:pPr>
    </w:p>
    <w:p w14:paraId="434E9F8B">
      <w:pPr>
        <w:keepNext w:val="0"/>
        <w:keepLines w:val="0"/>
        <w:pageBreakBefore w:val="0"/>
        <w:widowControl w:val="0"/>
        <w:wordWrap/>
        <w:overflowPunct w:val="0"/>
        <w:topLinePunct w:val="0"/>
        <w:bidi w:val="0"/>
        <w:spacing w:line="600" w:lineRule="exact"/>
        <w:jc w:val="center"/>
        <w:rPr>
          <w:rFonts w:hint="default" w:ascii="Times New Roman" w:hAnsi="Times New Roman" w:eastAsia="黑体" w:cs="Times New Roman"/>
          <w:color w:val="auto"/>
          <w:sz w:val="44"/>
          <w:szCs w:val="44"/>
          <w:highlight w:val="none"/>
        </w:rPr>
      </w:pPr>
    </w:p>
    <w:p w14:paraId="4221CD8A">
      <w:pPr>
        <w:pStyle w:val="2"/>
        <w:keepNext w:val="0"/>
        <w:keepLines w:val="0"/>
        <w:pageBreakBefore w:val="0"/>
        <w:widowControl w:val="0"/>
        <w:wordWrap/>
        <w:overflowPunct w:val="0"/>
        <w:topLinePunct w:val="0"/>
        <w:bidi w:val="0"/>
        <w:rPr>
          <w:rFonts w:hint="default" w:ascii="Times New Roman" w:hAnsi="Times New Roman" w:cs="Times New Roman"/>
        </w:rPr>
      </w:pPr>
    </w:p>
    <w:bookmarkEnd w:id="49"/>
    <w:p w14:paraId="3841AC5F">
      <w:pPr>
        <w:keepNext w:val="0"/>
        <w:keepLines w:val="0"/>
        <w:pageBreakBefore w:val="0"/>
        <w:widowControl w:val="0"/>
        <w:wordWrap/>
        <w:overflowPunct w:val="0"/>
        <w:topLinePunct w:val="0"/>
        <w:bidi w:val="0"/>
        <w:spacing w:line="578" w:lineRule="exact"/>
        <w:contextualSpacing/>
        <w:rPr>
          <w:rFonts w:hint="default" w:ascii="Times New Roman" w:hAnsi="Times New Roman" w:eastAsia="黑体" w:cs="Times New Roman"/>
          <w:szCs w:val="32"/>
          <w:lang w:val="zh-CN"/>
        </w:rPr>
      </w:pPr>
    </w:p>
    <w:p w14:paraId="3A88B869">
      <w:pPr>
        <w:keepNext w:val="0"/>
        <w:keepLines w:val="0"/>
        <w:pageBreakBefore w:val="0"/>
        <w:widowControl w:val="0"/>
        <w:wordWrap/>
        <w:overflowPunct w:val="0"/>
        <w:topLinePunct w:val="0"/>
        <w:bidi w:val="0"/>
        <w:spacing w:line="578" w:lineRule="exact"/>
        <w:contextualSpacing/>
        <w:rPr>
          <w:rFonts w:hint="default" w:ascii="Times New Roman" w:hAnsi="Times New Roman" w:eastAsia="黑体" w:cs="Times New Roman"/>
          <w:szCs w:val="32"/>
          <w:lang w:val="zh-CN"/>
        </w:rPr>
      </w:pPr>
      <w:r>
        <w:rPr>
          <w:rFonts w:hint="default" w:ascii="Times New Roman" w:hAnsi="Times New Roman" w:eastAsia="黑体" w:cs="Times New Roman"/>
          <w:szCs w:val="32"/>
          <w:lang w:val="zh-CN"/>
        </w:rPr>
        <w:t>附件</w:t>
      </w:r>
      <w:r>
        <w:rPr>
          <w:rFonts w:hint="default" w:ascii="Times New Roman" w:hAnsi="Times New Roman" w:eastAsia="黑体" w:cs="Times New Roman"/>
          <w:szCs w:val="32"/>
        </w:rPr>
        <w:t>2</w:t>
      </w:r>
    </w:p>
    <w:p w14:paraId="6EF0DE80">
      <w:pPr>
        <w:keepNext w:val="0"/>
        <w:keepLines w:val="0"/>
        <w:pageBreakBefore w:val="0"/>
        <w:widowControl w:val="0"/>
        <w:wordWrap/>
        <w:overflowPunct w:val="0"/>
        <w:topLinePunct w:val="0"/>
        <w:bidi w:val="0"/>
        <w:spacing w:line="578" w:lineRule="exact"/>
        <w:contextualSpacing/>
        <w:jc w:val="left"/>
        <w:rPr>
          <w:rFonts w:hint="default" w:ascii="Times New Roman" w:hAnsi="Times New Roman" w:eastAsia="宋体" w:cs="Times New Roman"/>
          <w:b/>
          <w:sz w:val="44"/>
          <w:szCs w:val="44"/>
          <w:shd w:val="clear" w:color="auto" w:fill="FFFFFF"/>
        </w:rPr>
      </w:pPr>
    </w:p>
    <w:p w14:paraId="69BD3346">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壤塘县交通运输局部门预算绩效自评</w:t>
      </w:r>
    </w:p>
    <w:p w14:paraId="68DAA81C">
      <w:pPr>
        <w:keepNext w:val="0"/>
        <w:keepLines w:val="0"/>
        <w:pageBreakBefore w:val="0"/>
        <w:widowControl w:val="0"/>
        <w:wordWrap/>
        <w:overflowPunct w:val="0"/>
        <w:topLinePunct w:val="0"/>
        <w:bidi w:val="0"/>
        <w:spacing w:line="578" w:lineRule="exact"/>
        <w:contextualSpacing/>
        <w:jc w:val="center"/>
        <w:rPr>
          <w:rFonts w:hint="default" w:ascii="Times New Roman" w:hAnsi="Times New Roman" w:eastAsia="方正仿宋_GBK" w:cs="Times New Roman"/>
          <w:szCs w:val="32"/>
          <w:shd w:val="clear" w:color="auto" w:fill="FFFFFF"/>
        </w:rPr>
      </w:pPr>
      <w:r>
        <w:rPr>
          <w:rFonts w:hint="default" w:ascii="Times New Roman" w:hAnsi="Times New Roman" w:eastAsia="方正仿宋_GBK" w:cs="Times New Roman"/>
          <w:szCs w:val="32"/>
          <w:shd w:val="clear" w:color="auto" w:fill="FFFFFF"/>
        </w:rPr>
        <w:t>（报告范围包括机关和下属单位）</w:t>
      </w:r>
    </w:p>
    <w:p w14:paraId="0D29221B">
      <w:pPr>
        <w:keepNext w:val="0"/>
        <w:keepLines w:val="0"/>
        <w:pageBreakBefore w:val="0"/>
        <w:widowControl w:val="0"/>
        <w:wordWrap/>
        <w:overflowPunct w:val="0"/>
        <w:topLinePunct w:val="0"/>
        <w:bidi w:val="0"/>
        <w:adjustRightInd w:val="0"/>
        <w:snapToGrid w:val="0"/>
        <w:spacing w:line="578" w:lineRule="exact"/>
        <w:ind w:firstLine="480" w:firstLineChars="200"/>
        <w:contextualSpacing/>
        <w:jc w:val="left"/>
        <w:rPr>
          <w:rFonts w:hint="default" w:ascii="Times New Roman" w:hAnsi="Times New Roman" w:eastAsia="黑体" w:cs="Times New Roman"/>
          <w:color w:val="000000"/>
          <w:kern w:val="0"/>
          <w:sz w:val="24"/>
          <w:szCs w:val="32"/>
          <w:shd w:val="clear" w:color="auto" w:fill="FFFFFF"/>
        </w:rPr>
      </w:pPr>
    </w:p>
    <w:p w14:paraId="4E817B79">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zh-CN" w:eastAsia="zh-CN"/>
        </w:rPr>
        <w:t>一、部门（单位）基本情况</w:t>
      </w:r>
    </w:p>
    <w:p w14:paraId="3BC9F16D">
      <w:pPr>
        <w:keepNext w:val="0"/>
        <w:keepLines w:val="0"/>
        <w:pageBreakBefore w:val="0"/>
        <w:widowControl w:val="0"/>
        <w:wordWrap/>
        <w:overflowPunct w:val="0"/>
        <w:topLinePunct w:val="0"/>
        <w:bidi w:val="0"/>
        <w:spacing w:line="578" w:lineRule="exact"/>
        <w:ind w:firstLine="643" w:firstLineChars="200"/>
        <w:contextualSpacing/>
        <w:jc w:val="both"/>
        <w:rPr>
          <w:rFonts w:hint="default" w:ascii="Times New Roman" w:hAnsi="Times New Roman" w:eastAsia="方正仿宋_GB2312" w:cs="Times New Roman"/>
          <w:sz w:val="32"/>
          <w:szCs w:val="32"/>
          <w:shd w:val="clear" w:color="auto" w:fill="FFFFFF"/>
          <w:lang w:val="en-US" w:eastAsia="zh-CN"/>
        </w:rPr>
      </w:pPr>
      <w:r>
        <w:rPr>
          <w:rFonts w:hint="default" w:ascii="Times New Roman" w:hAnsi="Times New Roman" w:eastAsia="方正楷体_GBK" w:cs="Times New Roman"/>
          <w:b/>
          <w:color w:val="auto"/>
          <w:sz w:val="32"/>
          <w:szCs w:val="32"/>
          <w:highlight w:val="none"/>
          <w:lang w:val="zh-CN" w:eastAsia="zh-CN"/>
        </w:rPr>
        <w:t>（一）机构组成</w:t>
      </w:r>
      <w:r>
        <w:rPr>
          <w:rFonts w:hint="eastAsia" w:eastAsia="方正楷体_GBK" w:cs="Times New Roman"/>
          <w:b/>
          <w:color w:val="auto"/>
          <w:sz w:val="32"/>
          <w:szCs w:val="32"/>
          <w:highlight w:val="none"/>
          <w:lang w:val="zh-CN" w:eastAsia="zh-CN"/>
        </w:rPr>
        <w:t>。</w:t>
      </w:r>
      <w:r>
        <w:rPr>
          <w:rFonts w:hint="default" w:ascii="Times New Roman" w:hAnsi="Times New Roman" w:eastAsia="方正仿宋_GB2312" w:cs="Times New Roman"/>
          <w:sz w:val="32"/>
          <w:szCs w:val="32"/>
          <w:shd w:val="clear" w:color="auto" w:fill="FFFFFF"/>
          <w:lang w:val="en-US" w:eastAsia="zh-CN"/>
        </w:rPr>
        <w:t>壤塘县交通运输局内设10个股室，其中行政股室4个，事业股室（含参公）6个。</w:t>
      </w:r>
    </w:p>
    <w:p w14:paraId="12021358">
      <w:pPr>
        <w:keepNext w:val="0"/>
        <w:keepLines w:val="0"/>
        <w:pageBreakBefore w:val="0"/>
        <w:widowControl w:val="0"/>
        <w:wordWrap/>
        <w:overflowPunct w:val="0"/>
        <w:topLinePunct w:val="0"/>
        <w:bidi w:val="0"/>
        <w:adjustRightInd w:val="0"/>
        <w:snapToGrid w:val="0"/>
        <w:spacing w:line="560" w:lineRule="exact"/>
        <w:ind w:firstLine="643" w:firstLineChars="200"/>
        <w:contextualSpacing/>
        <w:jc w:val="left"/>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楷体_GBK" w:cs="Times New Roman"/>
          <w:b/>
          <w:color w:val="auto"/>
          <w:sz w:val="32"/>
          <w:szCs w:val="32"/>
          <w:highlight w:val="none"/>
          <w:lang w:val="zh-CN" w:eastAsia="zh-CN"/>
        </w:rPr>
        <w:t>（二）机构职能。</w:t>
      </w:r>
      <w:r>
        <w:rPr>
          <w:rFonts w:hint="default" w:ascii="Times New Roman" w:hAnsi="Times New Roman" w:eastAsia="方正仿宋_GB2312" w:cs="Times New Roman"/>
          <w:sz w:val="32"/>
          <w:szCs w:val="32"/>
          <w:shd w:val="clear" w:color="auto" w:fill="FFFFFF"/>
          <w:lang w:val="en-US" w:eastAsia="zh-CN"/>
        </w:rPr>
        <w:t>1、</w:t>
      </w:r>
      <w:r>
        <w:rPr>
          <w:rFonts w:hint="default" w:ascii="Times New Roman" w:hAnsi="Times New Roman" w:eastAsia="方正仿宋_GB2312" w:cs="Times New Roman"/>
          <w:sz w:val="32"/>
          <w:szCs w:val="32"/>
          <w:shd w:val="clear" w:color="auto" w:fill="FFFFFF"/>
          <w:lang w:val="zh-CN" w:eastAsia="zh-CN"/>
        </w:rPr>
        <w:t>贯彻执行国家和省、州有关交通运输行业的法律法规、规章、规划、政策和标准，起草全县有关交通运输工作的法规和规章草案，拟订相关政策和标准</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拟订全县交通运输行业发展战略、规划并组织实施</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参加拟订物流业发展战略和规划，拟订有关政策和标准并监督实施</w:t>
      </w:r>
      <w:r>
        <w:rPr>
          <w:rFonts w:hint="eastAsia"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负责交通运输体制改革相关工作。</w:t>
      </w:r>
    </w:p>
    <w:p w14:paraId="61F1D63A">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contextualSpacing/>
        <w:jc w:val="both"/>
        <w:textAlignment w:val="auto"/>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仿宋_GB2312" w:cs="Times New Roman"/>
          <w:sz w:val="32"/>
          <w:szCs w:val="32"/>
          <w:shd w:val="clear" w:color="auto" w:fill="FFFFFF"/>
          <w:lang w:val="en-US" w:eastAsia="zh-CN"/>
        </w:rPr>
        <w:t>2、</w:t>
      </w:r>
      <w:r>
        <w:rPr>
          <w:rFonts w:hint="default" w:ascii="Times New Roman" w:hAnsi="Times New Roman" w:eastAsia="方正仿宋_GB2312" w:cs="Times New Roman"/>
          <w:sz w:val="32"/>
          <w:szCs w:val="32"/>
          <w:shd w:val="clear" w:color="auto" w:fill="FFFFFF"/>
          <w:lang w:val="zh-CN" w:eastAsia="zh-CN"/>
        </w:rPr>
        <w:t>承担涉及全县综合运输体系的规划协调工作。会同有关部门组织编制综合运输体系规划，组织公路管理。</w:t>
      </w:r>
    </w:p>
    <w:p w14:paraId="757CE0C1">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contextualSpacing/>
        <w:jc w:val="both"/>
        <w:textAlignment w:val="auto"/>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仿宋_GB2312" w:cs="Times New Roman"/>
          <w:sz w:val="32"/>
          <w:szCs w:val="32"/>
          <w:shd w:val="clear" w:color="auto" w:fill="FFFFFF"/>
          <w:lang w:val="en-US" w:eastAsia="zh-CN"/>
        </w:rPr>
        <w:t>3、</w:t>
      </w:r>
      <w:r>
        <w:rPr>
          <w:rFonts w:hint="default" w:ascii="Times New Roman" w:hAnsi="Times New Roman" w:eastAsia="方正仿宋_GB2312" w:cs="Times New Roman"/>
          <w:sz w:val="32"/>
          <w:szCs w:val="32"/>
          <w:shd w:val="clear" w:color="auto" w:fill="FFFFFF"/>
          <w:lang w:val="zh-CN" w:eastAsia="zh-CN"/>
        </w:rPr>
        <w:t>承担全县道路监管责任，负责城乡客运及有关设施的规划和管理工作，负责出租汽车行业管理</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负责全县道路、机动车维修检测、船舶检验、驾驶员</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船员</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培训、运输服务等交通运输行业管理</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组织实施治理公路</w:t>
      </w:r>
      <w:r>
        <w:rPr>
          <w:rFonts w:hint="eastAsia"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三乱</w:t>
      </w:r>
      <w:r>
        <w:rPr>
          <w:rFonts w:hint="eastAsia"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工作。</w:t>
      </w:r>
    </w:p>
    <w:p w14:paraId="0819F473">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contextualSpacing/>
        <w:jc w:val="both"/>
        <w:textAlignment w:val="auto"/>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仿宋_GB2312" w:cs="Times New Roman"/>
          <w:sz w:val="32"/>
          <w:szCs w:val="32"/>
          <w:shd w:val="clear" w:color="auto" w:fill="FFFFFF"/>
          <w:lang w:val="en-US" w:eastAsia="zh-CN"/>
        </w:rPr>
        <w:t>4、</w:t>
      </w:r>
      <w:r>
        <w:rPr>
          <w:rFonts w:hint="default" w:ascii="Times New Roman" w:hAnsi="Times New Roman" w:eastAsia="方正仿宋_GB2312" w:cs="Times New Roman"/>
          <w:sz w:val="32"/>
          <w:szCs w:val="32"/>
          <w:shd w:val="clear" w:color="auto" w:fill="FFFFFF"/>
          <w:lang w:val="zh-CN" w:eastAsia="zh-CN"/>
        </w:rPr>
        <w:t>承担全县公路监管责任。负责组织实施全县公路、交通运输设施建设和养护，指导农村公路建设和养护</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组织协调工程建设质量和安全生产监督管理工作。</w:t>
      </w:r>
    </w:p>
    <w:p w14:paraId="3FAE3F8D">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contextualSpacing/>
        <w:jc w:val="both"/>
        <w:textAlignment w:val="auto"/>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仿宋_GB2312" w:cs="Times New Roman"/>
          <w:sz w:val="32"/>
          <w:szCs w:val="32"/>
          <w:shd w:val="clear" w:color="auto" w:fill="FFFFFF"/>
          <w:lang w:val="en-US" w:eastAsia="zh-CN"/>
        </w:rPr>
        <w:t>5、</w:t>
      </w:r>
      <w:r>
        <w:rPr>
          <w:rFonts w:hint="default" w:ascii="Times New Roman" w:hAnsi="Times New Roman" w:eastAsia="方正仿宋_GB2312" w:cs="Times New Roman"/>
          <w:sz w:val="32"/>
          <w:szCs w:val="32"/>
          <w:shd w:val="clear" w:color="auto" w:fill="FFFFFF"/>
          <w:lang w:val="zh-CN" w:eastAsia="zh-CN"/>
        </w:rPr>
        <w:t>负责全县公路、公共交通(含出租车)行业安全生产和应急管理工作</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负责突发事件的应急处置和依法组织或参与有关事</w:t>
      </w:r>
      <w:r>
        <w:rPr>
          <w:rFonts w:hint="eastAsia" w:eastAsia="方正仿宋_GB2312" w:cs="Times New Roman"/>
          <w:sz w:val="32"/>
          <w:szCs w:val="32"/>
          <w:shd w:val="clear" w:color="auto" w:fill="FFFFFF"/>
          <w:lang w:val="en-US" w:eastAsia="zh-CN"/>
        </w:rPr>
        <w:t>件</w:t>
      </w:r>
      <w:r>
        <w:rPr>
          <w:rFonts w:hint="default" w:ascii="Times New Roman" w:hAnsi="Times New Roman" w:eastAsia="方正仿宋_GB2312" w:cs="Times New Roman"/>
          <w:sz w:val="32"/>
          <w:szCs w:val="32"/>
          <w:shd w:val="clear" w:color="auto" w:fill="FFFFFF"/>
          <w:lang w:val="zh-CN" w:eastAsia="zh-CN"/>
        </w:rPr>
        <w:t>调查处理工作。</w:t>
      </w:r>
    </w:p>
    <w:p w14:paraId="7C77980F">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contextualSpacing/>
        <w:jc w:val="both"/>
        <w:textAlignment w:val="auto"/>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仿宋_GB2312" w:cs="Times New Roman"/>
          <w:sz w:val="32"/>
          <w:szCs w:val="32"/>
          <w:shd w:val="clear" w:color="auto" w:fill="FFFFFF"/>
          <w:lang w:val="en-US" w:eastAsia="zh-CN"/>
        </w:rPr>
        <w:t>6、</w:t>
      </w:r>
      <w:r>
        <w:rPr>
          <w:rFonts w:hint="default" w:ascii="Times New Roman" w:hAnsi="Times New Roman" w:eastAsia="方正仿宋_GB2312" w:cs="Times New Roman"/>
          <w:sz w:val="32"/>
          <w:szCs w:val="32"/>
          <w:shd w:val="clear" w:color="auto" w:fill="FFFFFF"/>
          <w:lang w:val="zh-CN" w:eastAsia="zh-CN"/>
        </w:rPr>
        <w:t>负责全县交通运输的组织和结构调整，指导运输技术装备建设，协调指导城乡各种运输方式衔接</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对重点物资和紧急客货运输进行调控</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承担交通战备有关工作。</w:t>
      </w:r>
    </w:p>
    <w:p w14:paraId="0D9E6B23">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contextualSpacing/>
        <w:jc w:val="both"/>
        <w:textAlignment w:val="auto"/>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仿宋_GB2312" w:cs="Times New Roman"/>
          <w:sz w:val="32"/>
          <w:szCs w:val="32"/>
          <w:shd w:val="clear" w:color="auto" w:fill="FFFFFF"/>
          <w:lang w:val="en-US" w:eastAsia="zh-CN"/>
        </w:rPr>
        <w:t>7、</w:t>
      </w:r>
      <w:r>
        <w:rPr>
          <w:rFonts w:hint="default" w:ascii="Times New Roman" w:hAnsi="Times New Roman" w:eastAsia="方正仿宋_GB2312" w:cs="Times New Roman"/>
          <w:sz w:val="32"/>
          <w:szCs w:val="32"/>
          <w:shd w:val="clear" w:color="auto" w:fill="FFFFFF"/>
          <w:lang w:val="zh-CN" w:eastAsia="zh-CN"/>
        </w:rPr>
        <w:t>负责全县交通运输信息化建设，监测分析运行情况</w:t>
      </w:r>
      <w:r>
        <w:rPr>
          <w:rFonts w:hint="eastAsia"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开展相关统计工作，发布有关信息</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组织开展公路、交通行业环境保护和节能减排工作。</w:t>
      </w:r>
    </w:p>
    <w:p w14:paraId="509A2151">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contextualSpacing/>
        <w:jc w:val="both"/>
        <w:textAlignment w:val="auto"/>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仿宋_GB2312" w:cs="Times New Roman"/>
          <w:sz w:val="32"/>
          <w:szCs w:val="32"/>
          <w:shd w:val="clear" w:color="auto" w:fill="FFFFFF"/>
          <w:lang w:val="en-US" w:eastAsia="zh-CN"/>
        </w:rPr>
        <w:t>8、</w:t>
      </w:r>
      <w:r>
        <w:rPr>
          <w:rFonts w:hint="default" w:ascii="Times New Roman" w:hAnsi="Times New Roman" w:eastAsia="方正仿宋_GB2312" w:cs="Times New Roman"/>
          <w:sz w:val="32"/>
          <w:szCs w:val="32"/>
          <w:shd w:val="clear" w:color="auto" w:fill="FFFFFF"/>
          <w:lang w:val="zh-CN" w:eastAsia="zh-CN"/>
        </w:rPr>
        <w:t>负责全县国有交通运输基础设施建设资金的使用管理、国有资产的监督管理和保值增值工作</w:t>
      </w:r>
      <w:r>
        <w:rPr>
          <w:rFonts w:hint="eastAsia" w:ascii="Times New Roman" w:hAnsi="Times New Roman"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组织实施交通运输重点建设项目的内部审计工作。</w:t>
      </w:r>
    </w:p>
    <w:p w14:paraId="39E6C54F">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contextualSpacing/>
        <w:jc w:val="both"/>
        <w:textAlignment w:val="auto"/>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仿宋_GB2312" w:cs="Times New Roman"/>
          <w:sz w:val="32"/>
          <w:szCs w:val="32"/>
          <w:shd w:val="clear" w:color="auto" w:fill="FFFFFF"/>
          <w:lang w:val="en-US" w:eastAsia="zh-CN"/>
        </w:rPr>
        <w:t>9、</w:t>
      </w:r>
      <w:r>
        <w:rPr>
          <w:rFonts w:hint="default" w:ascii="Times New Roman" w:hAnsi="Times New Roman" w:eastAsia="方正仿宋_GB2312" w:cs="Times New Roman"/>
          <w:sz w:val="32"/>
          <w:szCs w:val="32"/>
          <w:shd w:val="clear" w:color="auto" w:fill="FFFFFF"/>
          <w:lang w:val="zh-CN" w:eastAsia="zh-CN"/>
        </w:rPr>
        <w:t>组织实施交通运输行业技术标准和规范</w:t>
      </w:r>
      <w:r>
        <w:rPr>
          <w:rFonts w:hint="eastAsia"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组织技术开发和科技成果推广，推动行业科技进步。</w:t>
      </w:r>
    </w:p>
    <w:p w14:paraId="22F7CEDD">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contextualSpacing/>
        <w:jc w:val="both"/>
        <w:textAlignment w:val="auto"/>
        <w:rPr>
          <w:rFonts w:hint="default" w:ascii="Times New Roman" w:hAnsi="Times New Roman" w:eastAsia="方正仿宋_GB2312" w:cs="Times New Roman"/>
          <w:sz w:val="32"/>
          <w:szCs w:val="32"/>
          <w:shd w:val="clear" w:color="auto" w:fill="FFFFFF"/>
          <w:lang w:val="en-US" w:eastAsia="zh-CN"/>
        </w:rPr>
      </w:pPr>
      <w:r>
        <w:rPr>
          <w:rFonts w:hint="default" w:ascii="Times New Roman" w:hAnsi="Times New Roman" w:eastAsia="方正仿宋_GB2312" w:cs="Times New Roman"/>
          <w:sz w:val="32"/>
          <w:szCs w:val="32"/>
          <w:shd w:val="clear" w:color="auto" w:fill="FFFFFF"/>
          <w:lang w:val="en-US" w:eastAsia="zh-CN"/>
        </w:rPr>
        <w:t>10、</w:t>
      </w:r>
      <w:r>
        <w:rPr>
          <w:rFonts w:hint="default" w:ascii="Times New Roman" w:hAnsi="Times New Roman" w:eastAsia="方正仿宋_GB2312" w:cs="Times New Roman"/>
          <w:sz w:val="32"/>
          <w:szCs w:val="32"/>
          <w:shd w:val="clear" w:color="auto" w:fill="FFFFFF"/>
          <w:lang w:val="zh-CN" w:eastAsia="zh-CN"/>
        </w:rPr>
        <w:t>承办县政府和上级主管部门交办的其他事项。</w:t>
      </w:r>
    </w:p>
    <w:p w14:paraId="00FFAFCB">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contextualSpacing/>
        <w:jc w:val="both"/>
        <w:textAlignment w:val="auto"/>
        <w:rPr>
          <w:rFonts w:hint="default" w:ascii="Times New Roman" w:hAnsi="Times New Roman" w:eastAsia="方正仿宋_GB2312" w:cs="Times New Roman"/>
          <w:sz w:val="32"/>
          <w:szCs w:val="32"/>
          <w:shd w:val="clear" w:color="auto" w:fill="FFFFFF"/>
          <w:lang w:val="en-US" w:eastAsia="zh-CN"/>
        </w:rPr>
      </w:pPr>
      <w:r>
        <w:rPr>
          <w:rFonts w:hint="default" w:ascii="Times New Roman" w:hAnsi="Times New Roman" w:eastAsia="方正楷体_GBK" w:cs="Times New Roman"/>
          <w:b/>
          <w:color w:val="auto"/>
          <w:sz w:val="32"/>
          <w:szCs w:val="32"/>
          <w:highlight w:val="none"/>
          <w:lang w:val="zh-CN" w:eastAsia="zh-CN"/>
        </w:rPr>
        <w:t>（三）人员概况</w:t>
      </w:r>
      <w:r>
        <w:rPr>
          <w:rFonts w:hint="eastAsia" w:eastAsia="方正楷体_GBK" w:cs="Times New Roman"/>
          <w:b/>
          <w:color w:val="auto"/>
          <w:sz w:val="32"/>
          <w:szCs w:val="32"/>
          <w:highlight w:val="none"/>
          <w:lang w:val="zh-CN" w:eastAsia="zh-CN"/>
        </w:rPr>
        <w:t>。</w:t>
      </w:r>
      <w:r>
        <w:rPr>
          <w:rFonts w:hint="default" w:ascii="Times New Roman" w:hAnsi="Times New Roman" w:eastAsia="方正仿宋_GB2312" w:cs="Times New Roman"/>
          <w:sz w:val="32"/>
          <w:szCs w:val="32"/>
          <w:shd w:val="clear" w:color="auto" w:fill="FFFFFF"/>
          <w:lang w:val="en-US" w:eastAsia="zh-CN"/>
        </w:rPr>
        <w:t>截至2025年末，壤塘县交通运输局及下属单位共有编制数59人，现有在编人数51人。</w:t>
      </w:r>
    </w:p>
    <w:p w14:paraId="41512F9A">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二、部门资金收支情况</w:t>
      </w:r>
    </w:p>
    <w:p w14:paraId="0AD27AF9">
      <w:pPr>
        <w:keepNext w:val="0"/>
        <w:keepLines w:val="0"/>
        <w:pageBreakBefore w:val="0"/>
        <w:widowControl w:val="0"/>
        <w:wordWrap/>
        <w:overflowPunct w:val="0"/>
        <w:topLinePunct w:val="0"/>
        <w:bidi w:val="0"/>
        <w:adjustRightInd w:val="0"/>
        <w:snapToGrid w:val="0"/>
        <w:spacing w:line="578" w:lineRule="exact"/>
        <w:ind w:firstLine="643" w:firstLineChars="200"/>
        <w:contextualSpacing/>
        <w:jc w:val="left"/>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楷体_GBK" w:cs="Times New Roman"/>
          <w:b/>
          <w:color w:val="auto"/>
          <w:sz w:val="32"/>
          <w:szCs w:val="32"/>
          <w:highlight w:val="none"/>
          <w:lang w:val="zh-CN" w:eastAsia="zh-CN"/>
        </w:rPr>
        <w:t>（一）收入情况。</w:t>
      </w:r>
      <w:r>
        <w:rPr>
          <w:rFonts w:hint="default" w:ascii="Times New Roman" w:hAnsi="Times New Roman" w:eastAsia="方正仿宋_GB2312" w:cs="Times New Roman"/>
          <w:sz w:val="32"/>
          <w:szCs w:val="32"/>
          <w:shd w:val="clear" w:color="auto" w:fill="FFFFFF"/>
          <w:lang w:val="en-US" w:eastAsia="zh-CN"/>
        </w:rPr>
        <w:t>壤塘县交通运输局2025年年初预算收入1909.63万元，全年预算收入12689.71万元。</w:t>
      </w:r>
    </w:p>
    <w:p w14:paraId="1E99112E">
      <w:pPr>
        <w:keepNext w:val="0"/>
        <w:keepLines w:val="0"/>
        <w:pageBreakBefore w:val="0"/>
        <w:widowControl w:val="0"/>
        <w:wordWrap/>
        <w:overflowPunct w:val="0"/>
        <w:topLinePunct w:val="0"/>
        <w:bidi w:val="0"/>
        <w:adjustRightInd w:val="0"/>
        <w:snapToGrid w:val="0"/>
        <w:spacing w:line="578" w:lineRule="exact"/>
        <w:ind w:firstLine="643" w:firstLineChars="200"/>
        <w:contextualSpacing/>
        <w:jc w:val="left"/>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楷体_GBK" w:cs="Times New Roman"/>
          <w:b/>
          <w:color w:val="auto"/>
          <w:sz w:val="32"/>
          <w:szCs w:val="32"/>
          <w:highlight w:val="none"/>
          <w:lang w:val="zh-CN" w:eastAsia="zh-CN"/>
        </w:rPr>
        <w:t>（二）支出情况。</w:t>
      </w:r>
      <w:r>
        <w:rPr>
          <w:rFonts w:hint="default" w:ascii="Times New Roman" w:hAnsi="Times New Roman" w:eastAsia="方正仿宋_GB2312" w:cs="Times New Roman"/>
          <w:sz w:val="32"/>
          <w:szCs w:val="32"/>
          <w:shd w:val="clear" w:color="auto" w:fill="FFFFFF"/>
          <w:lang w:val="en-US" w:eastAsia="zh-CN"/>
        </w:rPr>
        <w:t>壤塘县交通运输局2025年年初预算支出1909.63万元，全年支出12693.71万元，其中基本支出1,260.92万元、项目支出11432.79万元，全年实际收到12689.71万元，实际支出12693.71万元，其中4万元为代管资金调整。</w:t>
      </w:r>
    </w:p>
    <w:p w14:paraId="6C81CC2B">
      <w:pPr>
        <w:keepNext w:val="0"/>
        <w:keepLines w:val="0"/>
        <w:pageBreakBefore w:val="0"/>
        <w:widowControl w:val="0"/>
        <w:wordWrap/>
        <w:overflowPunct w:val="0"/>
        <w:topLinePunct w:val="0"/>
        <w:bidi w:val="0"/>
        <w:adjustRightInd w:val="0"/>
        <w:snapToGrid w:val="0"/>
        <w:spacing w:line="578" w:lineRule="exact"/>
        <w:ind w:firstLine="643" w:firstLineChars="200"/>
        <w:contextualSpacing/>
        <w:jc w:val="left"/>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楷体_GBK" w:cs="Times New Roman"/>
          <w:b/>
          <w:color w:val="auto"/>
          <w:sz w:val="32"/>
          <w:szCs w:val="32"/>
          <w:highlight w:val="none"/>
          <w:lang w:val="zh-CN" w:eastAsia="zh-CN"/>
        </w:rPr>
        <w:t>（三）</w:t>
      </w:r>
      <w:r>
        <w:rPr>
          <w:rFonts w:hint="default" w:ascii="Times New Roman" w:hAnsi="Times New Roman" w:eastAsia="方正楷体_GBK" w:cs="Times New Roman"/>
          <w:b/>
          <w:color w:val="auto"/>
          <w:sz w:val="32"/>
          <w:szCs w:val="32"/>
          <w:highlight w:val="none"/>
          <w:lang w:val="en-US" w:eastAsia="zh-CN"/>
        </w:rPr>
        <w:t>结余分配和结转结余情况。</w:t>
      </w:r>
      <w:r>
        <w:rPr>
          <w:rFonts w:hint="default" w:ascii="Times New Roman" w:hAnsi="Times New Roman" w:eastAsia="方正仿宋_GB2312" w:cs="Times New Roman"/>
          <w:sz w:val="32"/>
          <w:szCs w:val="32"/>
          <w:shd w:val="clear" w:color="auto" w:fill="FFFFFF"/>
          <w:lang w:val="en-US" w:eastAsia="zh-CN"/>
        </w:rPr>
        <w:t>壤塘县交通运输局2025年决算报表结转结余年初收入159.24万元，年末结转结余155.24万元。</w:t>
      </w:r>
    </w:p>
    <w:p w14:paraId="21099E51">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三、部门预算绩效分析</w:t>
      </w:r>
    </w:p>
    <w:p w14:paraId="18F622E8">
      <w:pPr>
        <w:keepNext w:val="0"/>
        <w:keepLines w:val="0"/>
        <w:pageBreakBefore w:val="0"/>
        <w:widowControl w:val="0"/>
        <w:wordWrap/>
        <w:overflowPunct w:val="0"/>
        <w:topLinePunct w:val="0"/>
        <w:bidi w:val="0"/>
        <w:adjustRightInd w:val="0"/>
        <w:snapToGrid w:val="0"/>
        <w:spacing w:line="578" w:lineRule="exact"/>
        <w:ind w:firstLine="643" w:firstLineChars="200"/>
        <w:contextualSpacing/>
        <w:jc w:val="left"/>
        <w:rPr>
          <w:rFonts w:hint="default" w:ascii="Times New Roman" w:hAnsi="Times New Roman" w:eastAsia="方正仿宋_GB2312" w:cs="Times New Roman"/>
          <w:sz w:val="32"/>
          <w:szCs w:val="32"/>
          <w:shd w:val="clear" w:color="auto" w:fill="FFFFFF"/>
          <w:lang w:val="zh-CN" w:eastAsia="zh-CN"/>
        </w:rPr>
      </w:pPr>
      <w:r>
        <w:rPr>
          <w:rFonts w:hint="default" w:ascii="Times New Roman" w:hAnsi="Times New Roman" w:eastAsia="方正楷体_GBK" w:cs="Times New Roman"/>
          <w:b/>
          <w:color w:val="auto"/>
          <w:sz w:val="32"/>
          <w:szCs w:val="32"/>
          <w:highlight w:val="none"/>
          <w:lang w:val="zh-CN" w:eastAsia="zh-CN"/>
        </w:rPr>
        <w:t>（一）部门预算总体绩效分析。</w:t>
      </w:r>
      <w:r>
        <w:rPr>
          <w:rFonts w:hint="default" w:ascii="Times New Roman" w:hAnsi="Times New Roman" w:eastAsia="方正仿宋_GB2312" w:cs="Times New Roman"/>
          <w:sz w:val="32"/>
          <w:szCs w:val="32"/>
          <w:shd w:val="clear" w:color="auto" w:fill="FFFFFF"/>
          <w:lang w:val="zh-CN" w:eastAsia="zh-CN"/>
        </w:rPr>
        <w:t>根据部门预算绩效评价指标体系</w:t>
      </w:r>
      <w:r>
        <w:rPr>
          <w:rFonts w:hint="eastAsia"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总体绩效</w:t>
      </w:r>
      <w:r>
        <w:rPr>
          <w:rFonts w:hint="eastAsia" w:eastAsia="方正仿宋_GB2312" w:cs="Times New Roman"/>
          <w:sz w:val="32"/>
          <w:szCs w:val="32"/>
          <w:shd w:val="clear" w:color="auto" w:fill="FFFFFF"/>
          <w:lang w:val="zh-CN" w:eastAsia="zh-CN"/>
        </w:rPr>
        <w:t>”</w:t>
      </w:r>
      <w:r>
        <w:rPr>
          <w:rFonts w:hint="default" w:ascii="Times New Roman" w:hAnsi="Times New Roman" w:eastAsia="方正仿宋_GB2312" w:cs="Times New Roman"/>
          <w:sz w:val="32"/>
          <w:szCs w:val="32"/>
          <w:shd w:val="clear" w:color="auto" w:fill="FFFFFF"/>
          <w:lang w:val="zh-CN" w:eastAsia="zh-CN"/>
        </w:rPr>
        <w:t>涉及二、三级指标进行逐项绩效分析并评分，依次包括履职效能、预算管理、财务管理、资产管理、采购管理等情况。</w:t>
      </w:r>
    </w:p>
    <w:p w14:paraId="7F5301E8">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contextualSpacing/>
        <w:jc w:val="both"/>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1.</w:t>
      </w:r>
      <w:r>
        <w:rPr>
          <w:rFonts w:hint="default" w:ascii="Times New Roman" w:hAnsi="Times New Roman" w:eastAsia="方正仿宋_GBK" w:cs="Times New Roman"/>
          <w:b/>
          <w:bCs/>
          <w:color w:val="000000"/>
          <w:kern w:val="0"/>
          <w:sz w:val="32"/>
          <w:szCs w:val="32"/>
          <w:lang w:val="zh-CN" w:eastAsia="zh-CN" w:bidi="ar-SA"/>
        </w:rPr>
        <w:t>履职效能。</w:t>
      </w:r>
      <w:r>
        <w:rPr>
          <w:rFonts w:hint="default" w:ascii="Times New Roman" w:hAnsi="Times New Roman" w:eastAsia="方正仿宋_GBK" w:cs="Times New Roman"/>
          <w:sz w:val="32"/>
          <w:szCs w:val="32"/>
          <w:shd w:val="clear" w:color="auto" w:fill="FFFFFF"/>
          <w:lang w:val="en-US" w:eastAsia="zh-CN"/>
        </w:rPr>
        <w:t>结合部门核心职能，选取公共服务保障、重点业务推进、民生服务落地、内部治理建设4项核心目标开展分析：本年度紧扣年度工作部署，高效完成既定公共服务保障任务，重点业务项目按计划落地实施，民生服务事项覆盖到位，内部治理机制持续完善；各项职能目标完成率高，履职成效符合预期，有效发挥部门公共管理与服务职能</w:t>
      </w:r>
      <w:r>
        <w:rPr>
          <w:rFonts w:hint="default" w:ascii="Times New Roman" w:hAnsi="Times New Roman" w:eastAsia="方正仿宋_GBK" w:cs="Times New Roman"/>
          <w:sz w:val="32"/>
          <w:szCs w:val="32"/>
          <w:shd w:val="clear" w:color="auto" w:fill="FFFFFF"/>
          <w:lang w:val="zh-CN" w:eastAsia="zh-CN"/>
        </w:rPr>
        <w:t>。</w:t>
      </w:r>
    </w:p>
    <w:p w14:paraId="0DF0EC65">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contextualSpacing/>
        <w:jc w:val="both"/>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2.</w:t>
      </w:r>
      <w:r>
        <w:rPr>
          <w:rFonts w:hint="default" w:ascii="Times New Roman" w:hAnsi="Times New Roman" w:eastAsia="方正仿宋_GBK" w:cs="Times New Roman"/>
          <w:b/>
          <w:bCs/>
          <w:color w:val="000000"/>
          <w:kern w:val="0"/>
          <w:sz w:val="32"/>
          <w:szCs w:val="32"/>
          <w:lang w:val="zh-CN" w:eastAsia="zh-CN" w:bidi="ar-SA"/>
        </w:rPr>
        <w:t>预算管理。</w:t>
      </w:r>
      <w:r>
        <w:rPr>
          <w:rFonts w:hint="default" w:ascii="Times New Roman" w:hAnsi="Times New Roman" w:eastAsia="方正仿宋_GBK" w:cs="Times New Roman"/>
          <w:sz w:val="32"/>
          <w:szCs w:val="32"/>
          <w:shd w:val="clear" w:color="auto" w:fill="FFFFFF"/>
          <w:lang w:val="en-US" w:eastAsia="zh-CN"/>
        </w:rPr>
        <w:t>预算编制质量：严格按照财政要求科学编制年度预算，细化项目支出内容，编制依据充分，预算编制精准度较高；单位收入统筹：规范统筹各项收入，收入归集及时，统筹管理到位；支出执行管理：严格按预算进度执行资金拨付，重点保障刚性支出与重点项目支出，支出合规有序；预算年终结余：严控资金沉淀，结余资金按规定清理上缴或统筹使用；严控一般性支出：落实过紧日子要求，从严压减</w:t>
      </w:r>
      <w:r>
        <w:rPr>
          <w:rFonts w:hint="eastAsia" w:eastAsia="方正仿宋_GBK" w:cs="Times New Roman"/>
          <w:sz w:val="32"/>
          <w:szCs w:val="32"/>
          <w:shd w:val="clear" w:color="auto" w:fill="FFFFFF"/>
          <w:lang w:val="en-US" w:eastAsia="zh-CN"/>
        </w:rPr>
        <w:t>“</w:t>
      </w:r>
      <w:r>
        <w:rPr>
          <w:rFonts w:hint="default" w:ascii="Times New Roman" w:hAnsi="Times New Roman" w:eastAsia="方正仿宋_GBK" w:cs="Times New Roman"/>
          <w:sz w:val="32"/>
          <w:szCs w:val="32"/>
          <w:shd w:val="clear" w:color="auto" w:fill="FFFFFF"/>
          <w:lang w:val="en-US" w:eastAsia="zh-CN"/>
        </w:rPr>
        <w:t>三公</w:t>
      </w:r>
      <w:r>
        <w:rPr>
          <w:rFonts w:hint="eastAsia" w:eastAsia="方正仿宋_GBK" w:cs="Times New Roman"/>
          <w:sz w:val="32"/>
          <w:szCs w:val="32"/>
          <w:shd w:val="clear" w:color="auto" w:fill="FFFFFF"/>
          <w:lang w:val="en-US" w:eastAsia="zh-CN"/>
        </w:rPr>
        <w:t>”</w:t>
      </w:r>
      <w:r>
        <w:rPr>
          <w:rFonts w:hint="default" w:ascii="Times New Roman" w:hAnsi="Times New Roman" w:eastAsia="方正仿宋_GBK" w:cs="Times New Roman"/>
          <w:sz w:val="32"/>
          <w:szCs w:val="32"/>
          <w:shd w:val="clear" w:color="auto" w:fill="FFFFFF"/>
          <w:lang w:val="en-US" w:eastAsia="zh-CN"/>
        </w:rPr>
        <w:t>经费、办公经费等一般性支出，</w:t>
      </w:r>
      <w:r>
        <w:rPr>
          <w:rFonts w:hint="eastAsia" w:eastAsia="方正仿宋_GBK" w:cs="Times New Roman"/>
          <w:sz w:val="32"/>
          <w:szCs w:val="32"/>
          <w:shd w:val="clear" w:color="auto" w:fill="FFFFFF"/>
          <w:lang w:val="en-US" w:eastAsia="zh-CN"/>
        </w:rPr>
        <w:t>厉行</w:t>
      </w:r>
      <w:r>
        <w:rPr>
          <w:rFonts w:hint="default" w:ascii="Times New Roman" w:hAnsi="Times New Roman" w:eastAsia="方正仿宋_GBK" w:cs="Times New Roman"/>
          <w:sz w:val="32"/>
          <w:szCs w:val="32"/>
          <w:shd w:val="clear" w:color="auto" w:fill="FFFFFF"/>
          <w:lang w:val="en-US" w:eastAsia="zh-CN"/>
        </w:rPr>
        <w:t>节约成效显著；预决算公开：按时完成预算、决算及绩效信息公开，公开内容完整、格式规范，接受社会监督</w:t>
      </w:r>
      <w:r>
        <w:rPr>
          <w:rFonts w:hint="default" w:ascii="Times New Roman" w:hAnsi="Times New Roman" w:eastAsia="方正仿宋_GBK" w:cs="Times New Roman"/>
          <w:sz w:val="32"/>
          <w:szCs w:val="32"/>
          <w:shd w:val="clear" w:color="auto" w:fill="FFFFFF"/>
          <w:lang w:val="zh-CN" w:eastAsia="zh-CN"/>
        </w:rPr>
        <w:t>。</w:t>
      </w:r>
    </w:p>
    <w:p w14:paraId="54D073CE">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contextualSpacing/>
        <w:jc w:val="both"/>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3.</w:t>
      </w:r>
      <w:r>
        <w:rPr>
          <w:rFonts w:hint="default" w:ascii="Times New Roman" w:hAnsi="Times New Roman" w:eastAsia="方正仿宋_GBK" w:cs="Times New Roman"/>
          <w:b/>
          <w:bCs/>
          <w:color w:val="000000"/>
          <w:kern w:val="0"/>
          <w:sz w:val="32"/>
          <w:szCs w:val="32"/>
          <w:lang w:val="zh-CN" w:eastAsia="zh-CN" w:bidi="ar-SA"/>
        </w:rPr>
        <w:t>财务管理。</w:t>
      </w:r>
      <w:r>
        <w:rPr>
          <w:rFonts w:hint="default" w:ascii="Times New Roman" w:hAnsi="Times New Roman" w:eastAsia="方正仿宋_GBK" w:cs="Times New Roman"/>
          <w:sz w:val="32"/>
          <w:szCs w:val="32"/>
          <w:shd w:val="clear" w:color="auto" w:fill="FFFFFF"/>
          <w:lang w:val="en-US" w:eastAsia="zh-CN"/>
        </w:rPr>
        <w:t>建立健全内部财务管理制度，严格执行政府会计制度；财务岗位设置规范，做到会计、出纳岗位分离，权责清晰；资金使用严格遵循审批流程，专款专用，无违规报销、挤占挪用资金等问题，财务核算规范，资金使用安全性、规范性较强</w:t>
      </w:r>
      <w:r>
        <w:rPr>
          <w:rFonts w:hint="default" w:ascii="Times New Roman" w:hAnsi="Times New Roman" w:eastAsia="方正仿宋_GBK" w:cs="Times New Roman"/>
          <w:sz w:val="32"/>
          <w:szCs w:val="32"/>
          <w:shd w:val="clear" w:color="auto" w:fill="FFFFFF"/>
          <w:lang w:val="zh-CN" w:eastAsia="zh-CN"/>
        </w:rPr>
        <w:t>。</w:t>
      </w:r>
    </w:p>
    <w:p w14:paraId="7D1C565D">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contextualSpacing/>
        <w:jc w:val="both"/>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4.</w:t>
      </w:r>
      <w:r>
        <w:rPr>
          <w:rFonts w:hint="default" w:ascii="Times New Roman" w:hAnsi="Times New Roman" w:eastAsia="方正仿宋_GBK" w:cs="Times New Roman"/>
          <w:b/>
          <w:bCs/>
          <w:color w:val="000000"/>
          <w:kern w:val="0"/>
          <w:sz w:val="32"/>
          <w:szCs w:val="32"/>
          <w:lang w:val="zh-CN" w:eastAsia="zh-CN" w:bidi="ar-SA"/>
        </w:rPr>
        <w:t>资产管理。</w:t>
      </w:r>
      <w:r>
        <w:rPr>
          <w:rFonts w:hint="default" w:ascii="Times New Roman" w:hAnsi="Times New Roman" w:eastAsia="方正仿宋_GBK" w:cs="Times New Roman"/>
          <w:sz w:val="32"/>
          <w:szCs w:val="32"/>
          <w:shd w:val="clear" w:color="auto" w:fill="FFFFFF"/>
          <w:lang w:val="en-US" w:eastAsia="zh-CN"/>
        </w:rPr>
        <w:t>人均资产变化率：本年度资产配置按需购置、合理处置，人均资产规模保持平稳，无异常增减；资产利用率：办公设备、固定资产等日常使用充分，闲置资产较少，资产使用效率较高；资产盘活率：按规定开展闲置资产清查、调剂处置，盘活存量资产，提升资产使用效益</w:t>
      </w:r>
      <w:r>
        <w:rPr>
          <w:rFonts w:hint="default" w:ascii="Times New Roman" w:hAnsi="Times New Roman" w:eastAsia="方正仿宋_GBK" w:cs="Times New Roman"/>
          <w:sz w:val="32"/>
          <w:szCs w:val="32"/>
          <w:shd w:val="clear" w:color="auto" w:fill="FFFFFF"/>
          <w:lang w:val="zh-CN" w:eastAsia="zh-CN"/>
        </w:rPr>
        <w:t>。</w:t>
      </w:r>
    </w:p>
    <w:p w14:paraId="66922638">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contextualSpacing/>
        <w:jc w:val="both"/>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5.</w:t>
      </w:r>
      <w:r>
        <w:rPr>
          <w:rFonts w:hint="default" w:ascii="Times New Roman" w:hAnsi="Times New Roman" w:eastAsia="方正仿宋_GBK" w:cs="Times New Roman"/>
          <w:b/>
          <w:bCs/>
          <w:color w:val="000000"/>
          <w:kern w:val="0"/>
          <w:sz w:val="32"/>
          <w:szCs w:val="32"/>
          <w:lang w:val="zh-CN" w:eastAsia="zh-CN" w:bidi="ar-SA"/>
        </w:rPr>
        <w:t>采购管理。</w:t>
      </w:r>
      <w:r>
        <w:rPr>
          <w:rFonts w:hint="default" w:ascii="Times New Roman" w:hAnsi="Times New Roman" w:eastAsia="方正仿宋_GBK" w:cs="Times New Roman"/>
          <w:sz w:val="32"/>
          <w:szCs w:val="32"/>
          <w:shd w:val="clear" w:color="auto" w:fill="FFFFFF"/>
          <w:lang w:val="en-US" w:eastAsia="zh-CN"/>
        </w:rPr>
        <w:t>严格落实政府采购政策，优先向中小企业预留采购份额，积极支持中小企业发展；采购项目均按法定流程实施，采购计划执行到位，采购执行率达标，采购程序合规高效</w:t>
      </w:r>
      <w:r>
        <w:rPr>
          <w:rFonts w:hint="default" w:ascii="Times New Roman" w:hAnsi="Times New Roman" w:eastAsia="方正仿宋_GBK" w:cs="Times New Roman"/>
          <w:sz w:val="32"/>
          <w:szCs w:val="32"/>
          <w:shd w:val="clear" w:color="auto" w:fill="FFFFFF"/>
          <w:lang w:val="zh-CN" w:eastAsia="zh-CN"/>
        </w:rPr>
        <w:t>。</w:t>
      </w:r>
    </w:p>
    <w:p w14:paraId="5F0FBA73">
      <w:pPr>
        <w:keepNext w:val="0"/>
        <w:keepLines w:val="0"/>
        <w:pageBreakBefore w:val="0"/>
        <w:widowControl w:val="0"/>
        <w:wordWrap/>
        <w:overflowPunct w:val="0"/>
        <w:topLinePunct w:val="0"/>
        <w:bidi w:val="0"/>
        <w:adjustRightInd w:val="0"/>
        <w:snapToGrid w:val="0"/>
        <w:spacing w:line="578" w:lineRule="exact"/>
        <w:ind w:firstLine="643" w:firstLineChars="200"/>
        <w:contextualSpacing/>
        <w:jc w:val="left"/>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楷体_GBK" w:cs="Times New Roman"/>
          <w:b/>
          <w:color w:val="auto"/>
          <w:sz w:val="32"/>
          <w:szCs w:val="32"/>
          <w:highlight w:val="none"/>
          <w:lang w:val="zh-CN" w:eastAsia="zh-CN"/>
        </w:rPr>
        <w:t>（二）部门预算项目绩效分析。</w:t>
      </w:r>
    </w:p>
    <w:p w14:paraId="6BAFCC8D">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contextualSpacing/>
        <w:jc w:val="both"/>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sz w:val="32"/>
          <w:szCs w:val="32"/>
          <w:shd w:val="clear" w:color="auto" w:fill="FFFFFF"/>
          <w:lang w:val="en-US" w:eastAsia="zh-CN"/>
        </w:rPr>
        <w:t>常年项目绩效分析。</w:t>
      </w:r>
      <w:r>
        <w:rPr>
          <w:rFonts w:hint="default" w:ascii="Times New Roman" w:hAnsi="Times New Roman" w:eastAsia="方正仿宋_GBK" w:cs="Times New Roman"/>
          <w:sz w:val="32"/>
          <w:szCs w:val="32"/>
          <w:shd w:val="clear" w:color="auto" w:fill="FFFFFF"/>
          <w:lang w:val="zh-CN" w:eastAsia="zh-CN"/>
        </w:rPr>
        <w:t>该类项目总数</w:t>
      </w:r>
      <w:r>
        <w:rPr>
          <w:rFonts w:hint="default" w:ascii="Times New Roman" w:hAnsi="Times New Roman" w:eastAsia="方正仿宋_GBK" w:cs="Times New Roman"/>
          <w:sz w:val="32"/>
          <w:szCs w:val="32"/>
          <w:shd w:val="clear" w:color="auto" w:fill="FFFFFF"/>
          <w:lang w:val="en-US" w:eastAsia="zh-CN"/>
        </w:rPr>
        <w:t>8</w:t>
      </w:r>
      <w:r>
        <w:rPr>
          <w:rFonts w:hint="default" w:ascii="Times New Roman" w:hAnsi="Times New Roman" w:eastAsia="方正仿宋_GBK" w:cs="Times New Roman"/>
          <w:sz w:val="32"/>
          <w:szCs w:val="32"/>
          <w:shd w:val="clear" w:color="auto" w:fill="FFFFFF"/>
          <w:lang w:val="zh-CN" w:eastAsia="zh-CN"/>
        </w:rPr>
        <w:t>个，涉及预算总金额</w:t>
      </w:r>
      <w:r>
        <w:rPr>
          <w:rFonts w:hint="default" w:ascii="Times New Roman" w:hAnsi="Times New Roman" w:eastAsia="方正仿宋_GBK" w:cs="Times New Roman"/>
          <w:sz w:val="32"/>
          <w:szCs w:val="32"/>
          <w:shd w:val="clear" w:color="auto" w:fill="FFFFFF"/>
          <w:lang w:val="en-US" w:eastAsia="zh-CN"/>
        </w:rPr>
        <w:t>228.16</w:t>
      </w:r>
      <w:r>
        <w:rPr>
          <w:rFonts w:hint="default" w:ascii="Times New Roman" w:hAnsi="Times New Roman" w:eastAsia="方正仿宋_GBK" w:cs="Times New Roman"/>
          <w:sz w:val="32"/>
          <w:szCs w:val="32"/>
          <w:shd w:val="clear" w:color="auto" w:fill="FFFFFF"/>
          <w:lang w:val="zh-CN" w:eastAsia="zh-CN"/>
        </w:rPr>
        <w:t>万元，1—1</w:t>
      </w:r>
      <w:r>
        <w:rPr>
          <w:rFonts w:hint="default" w:ascii="Times New Roman" w:hAnsi="Times New Roman" w:eastAsia="方正仿宋_GBK" w:cs="Times New Roman"/>
          <w:sz w:val="32"/>
          <w:szCs w:val="32"/>
          <w:shd w:val="clear" w:color="auto" w:fill="FFFFFF"/>
          <w:lang w:val="en-US" w:eastAsia="zh-CN"/>
        </w:rPr>
        <w:t>2</w:t>
      </w:r>
      <w:r>
        <w:rPr>
          <w:rFonts w:hint="default" w:ascii="Times New Roman" w:hAnsi="Times New Roman" w:eastAsia="方正仿宋_GBK" w:cs="Times New Roman"/>
          <w:sz w:val="32"/>
          <w:szCs w:val="32"/>
          <w:shd w:val="clear" w:color="auto" w:fill="FFFFFF"/>
          <w:lang w:val="zh-CN" w:eastAsia="zh-CN"/>
        </w:rPr>
        <w:t>月预算执行总体进度为</w:t>
      </w:r>
      <w:r>
        <w:rPr>
          <w:rFonts w:hint="default" w:ascii="Times New Roman" w:hAnsi="Times New Roman" w:eastAsia="方正仿宋_GBK" w:cs="Times New Roman"/>
          <w:sz w:val="32"/>
          <w:szCs w:val="32"/>
          <w:shd w:val="clear" w:color="auto" w:fill="FFFFFF"/>
          <w:lang w:val="en-US" w:eastAsia="zh-CN"/>
        </w:rPr>
        <w:t>99.85</w:t>
      </w:r>
      <w:r>
        <w:rPr>
          <w:rFonts w:hint="default" w:ascii="Times New Roman" w:hAnsi="Times New Roman" w:eastAsia="方正仿宋_GBK" w:cs="Times New Roman"/>
          <w:sz w:val="32"/>
          <w:szCs w:val="32"/>
          <w:shd w:val="clear" w:color="auto" w:fill="FFFFFF"/>
          <w:lang w:val="zh-CN" w:eastAsia="zh-CN"/>
        </w:rPr>
        <w:t>%，其中：预算结余率大于</w:t>
      </w:r>
      <w:r>
        <w:rPr>
          <w:rFonts w:hint="default" w:ascii="Times New Roman" w:hAnsi="Times New Roman" w:eastAsia="方正仿宋_GBK" w:cs="Times New Roman"/>
          <w:sz w:val="32"/>
          <w:szCs w:val="32"/>
          <w:shd w:val="clear" w:color="auto" w:fill="FFFFFF"/>
          <w:lang w:val="en-US" w:eastAsia="zh-CN"/>
        </w:rPr>
        <w:t>10%</w:t>
      </w:r>
      <w:r>
        <w:rPr>
          <w:rFonts w:hint="default" w:ascii="Times New Roman" w:hAnsi="Times New Roman" w:eastAsia="方正仿宋_GBK" w:cs="Times New Roman"/>
          <w:sz w:val="32"/>
          <w:szCs w:val="32"/>
          <w:shd w:val="clear" w:color="auto" w:fill="FFFFFF"/>
          <w:lang w:val="zh-CN" w:eastAsia="zh-CN"/>
        </w:rPr>
        <w:t>的项目共计</w:t>
      </w:r>
      <w:r>
        <w:rPr>
          <w:rFonts w:hint="default" w:ascii="Times New Roman" w:hAnsi="Times New Roman" w:eastAsia="方正仿宋_GBK" w:cs="Times New Roman"/>
          <w:sz w:val="32"/>
          <w:szCs w:val="32"/>
          <w:shd w:val="clear" w:color="auto" w:fill="FFFFFF"/>
          <w:lang w:val="en-US" w:eastAsia="zh-CN"/>
        </w:rPr>
        <w:t>0</w:t>
      </w:r>
      <w:r>
        <w:rPr>
          <w:rFonts w:hint="default" w:ascii="Times New Roman" w:hAnsi="Times New Roman" w:eastAsia="方正仿宋_GBK" w:cs="Times New Roman"/>
          <w:sz w:val="32"/>
          <w:szCs w:val="32"/>
          <w:shd w:val="clear" w:color="auto" w:fill="FFFFFF"/>
          <w:lang w:val="zh-CN" w:eastAsia="zh-CN"/>
        </w:rPr>
        <w:t>个。</w:t>
      </w:r>
      <w:r>
        <w:rPr>
          <w:rFonts w:hint="default" w:ascii="Times New Roman" w:hAnsi="Times New Roman" w:eastAsia="方正仿宋_GBK" w:cs="Times New Roman"/>
          <w:sz w:val="32"/>
          <w:szCs w:val="32"/>
          <w:shd w:val="clear" w:color="auto" w:fill="FFFFFF"/>
          <w:lang w:val="en-US" w:eastAsia="zh-CN"/>
        </w:rPr>
        <w:t>阶段（含一次性）项目绩效分析。</w:t>
      </w:r>
      <w:r>
        <w:rPr>
          <w:rFonts w:hint="default" w:ascii="Times New Roman" w:hAnsi="Times New Roman" w:eastAsia="方正仿宋_GBK" w:cs="Times New Roman"/>
          <w:sz w:val="32"/>
          <w:szCs w:val="32"/>
          <w:shd w:val="clear" w:color="auto" w:fill="FFFFFF"/>
          <w:lang w:val="zh-CN" w:eastAsia="zh-CN"/>
        </w:rPr>
        <w:t>该类项目总数</w:t>
      </w:r>
      <w:r>
        <w:rPr>
          <w:rFonts w:hint="default" w:ascii="Times New Roman" w:hAnsi="Times New Roman" w:eastAsia="方正仿宋_GBK" w:cs="Times New Roman"/>
          <w:sz w:val="32"/>
          <w:szCs w:val="32"/>
          <w:shd w:val="clear" w:color="auto" w:fill="FFFFFF"/>
          <w:lang w:val="en-US" w:eastAsia="zh-CN"/>
        </w:rPr>
        <w:t>3</w:t>
      </w:r>
      <w:r>
        <w:rPr>
          <w:rFonts w:hint="default" w:ascii="Times New Roman" w:hAnsi="Times New Roman" w:eastAsia="方正仿宋_GBK" w:cs="Times New Roman"/>
          <w:sz w:val="32"/>
          <w:szCs w:val="32"/>
          <w:shd w:val="clear" w:color="auto" w:fill="FFFFFF"/>
          <w:lang w:val="zh-CN" w:eastAsia="zh-CN"/>
        </w:rPr>
        <w:t>个，涉及预算总金额</w:t>
      </w:r>
      <w:r>
        <w:rPr>
          <w:rFonts w:hint="default" w:ascii="Times New Roman" w:hAnsi="Times New Roman" w:eastAsia="方正仿宋_GBK" w:cs="Times New Roman"/>
          <w:sz w:val="32"/>
          <w:szCs w:val="32"/>
          <w:shd w:val="clear" w:color="auto" w:fill="FFFFFF"/>
          <w:lang w:val="en-US" w:eastAsia="zh-CN"/>
        </w:rPr>
        <w:t>51.6</w:t>
      </w:r>
      <w:r>
        <w:rPr>
          <w:rFonts w:hint="default" w:ascii="Times New Roman" w:hAnsi="Times New Roman" w:eastAsia="方正仿宋_GBK" w:cs="Times New Roman"/>
          <w:sz w:val="32"/>
          <w:szCs w:val="32"/>
          <w:shd w:val="clear" w:color="auto" w:fill="FFFFFF"/>
          <w:lang w:val="zh-CN" w:eastAsia="zh-CN"/>
        </w:rPr>
        <w:t>万元，1—1</w:t>
      </w:r>
      <w:r>
        <w:rPr>
          <w:rFonts w:hint="default" w:ascii="Times New Roman" w:hAnsi="Times New Roman" w:eastAsia="方正仿宋_GBK" w:cs="Times New Roman"/>
          <w:sz w:val="32"/>
          <w:szCs w:val="32"/>
          <w:shd w:val="clear" w:color="auto" w:fill="FFFFFF"/>
          <w:lang w:val="en-US" w:eastAsia="zh-CN"/>
        </w:rPr>
        <w:t>2</w:t>
      </w:r>
      <w:r>
        <w:rPr>
          <w:rFonts w:hint="default" w:ascii="Times New Roman" w:hAnsi="Times New Roman" w:eastAsia="方正仿宋_GBK" w:cs="Times New Roman"/>
          <w:sz w:val="32"/>
          <w:szCs w:val="32"/>
          <w:shd w:val="clear" w:color="auto" w:fill="FFFFFF"/>
          <w:lang w:val="zh-CN" w:eastAsia="zh-CN"/>
        </w:rPr>
        <w:t>月预算执行总体进度为</w:t>
      </w:r>
      <w:r>
        <w:rPr>
          <w:rFonts w:hint="default" w:ascii="Times New Roman" w:hAnsi="Times New Roman" w:eastAsia="方正仿宋_GBK" w:cs="Times New Roman"/>
          <w:sz w:val="32"/>
          <w:szCs w:val="32"/>
          <w:shd w:val="clear" w:color="auto" w:fill="FFFFFF"/>
          <w:lang w:val="en-US" w:eastAsia="zh-CN"/>
        </w:rPr>
        <w:t>100</w:t>
      </w:r>
      <w:r>
        <w:rPr>
          <w:rFonts w:hint="default" w:ascii="Times New Roman" w:hAnsi="Times New Roman" w:eastAsia="方正仿宋_GBK" w:cs="Times New Roman"/>
          <w:sz w:val="32"/>
          <w:szCs w:val="32"/>
          <w:shd w:val="clear" w:color="auto" w:fill="FFFFFF"/>
          <w:lang w:val="zh-CN" w:eastAsia="zh-CN"/>
        </w:rPr>
        <w:t>%，其中：预算结余率大于</w:t>
      </w:r>
      <w:r>
        <w:rPr>
          <w:rFonts w:hint="default" w:ascii="Times New Roman" w:hAnsi="Times New Roman" w:eastAsia="方正仿宋_GBK" w:cs="Times New Roman"/>
          <w:sz w:val="32"/>
          <w:szCs w:val="32"/>
          <w:shd w:val="clear" w:color="auto" w:fill="FFFFFF"/>
          <w:lang w:val="en-US" w:eastAsia="zh-CN"/>
        </w:rPr>
        <w:t>10%</w:t>
      </w:r>
      <w:r>
        <w:rPr>
          <w:rFonts w:hint="default" w:ascii="Times New Roman" w:hAnsi="Times New Roman" w:eastAsia="方正仿宋_GBK" w:cs="Times New Roman"/>
          <w:sz w:val="32"/>
          <w:szCs w:val="32"/>
          <w:shd w:val="clear" w:color="auto" w:fill="FFFFFF"/>
          <w:lang w:val="zh-CN" w:eastAsia="zh-CN"/>
        </w:rPr>
        <w:t>的项目共计</w:t>
      </w:r>
      <w:r>
        <w:rPr>
          <w:rFonts w:hint="default" w:ascii="Times New Roman" w:hAnsi="Times New Roman" w:eastAsia="方正仿宋_GBK" w:cs="Times New Roman"/>
          <w:sz w:val="32"/>
          <w:szCs w:val="32"/>
          <w:shd w:val="clear" w:color="auto" w:fill="FFFFFF"/>
          <w:lang w:val="en-US" w:eastAsia="zh-CN"/>
        </w:rPr>
        <w:t>0</w:t>
      </w:r>
      <w:r>
        <w:rPr>
          <w:rFonts w:hint="default" w:ascii="Times New Roman" w:hAnsi="Times New Roman" w:eastAsia="方正仿宋_GBK" w:cs="Times New Roman"/>
          <w:sz w:val="32"/>
          <w:szCs w:val="32"/>
          <w:shd w:val="clear" w:color="auto" w:fill="FFFFFF"/>
          <w:lang w:val="zh-CN" w:eastAsia="zh-CN"/>
        </w:rPr>
        <w:t>个。</w:t>
      </w:r>
    </w:p>
    <w:p w14:paraId="6A008F1D">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contextualSpacing/>
        <w:jc w:val="both"/>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1.</w:t>
      </w:r>
      <w:r>
        <w:rPr>
          <w:rFonts w:hint="default" w:ascii="Times New Roman" w:hAnsi="Times New Roman" w:eastAsia="方正仿宋_GBK" w:cs="Times New Roman"/>
          <w:b/>
          <w:bCs/>
          <w:color w:val="000000"/>
          <w:kern w:val="0"/>
          <w:sz w:val="32"/>
          <w:szCs w:val="32"/>
          <w:lang w:val="zh-CN" w:eastAsia="zh-CN" w:bidi="ar-SA"/>
        </w:rPr>
        <w:t>项目决策。</w:t>
      </w:r>
      <w:r>
        <w:rPr>
          <w:rFonts w:hint="default" w:ascii="Times New Roman" w:hAnsi="Times New Roman" w:eastAsia="方正仿宋_GBK" w:cs="Times New Roman"/>
          <w:sz w:val="32"/>
          <w:szCs w:val="32"/>
          <w:shd w:val="clear" w:color="auto" w:fill="FFFFFF"/>
          <w:lang w:val="en-US" w:eastAsia="zh-CN"/>
        </w:rPr>
        <w:t>所有项目均严格履行决策审批程序，项目目标设置贴合部门履职要求，项目入库流程规范完整，符合年度工作开展实际。</w:t>
      </w:r>
    </w:p>
    <w:p w14:paraId="75DDD991">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contextualSpacing/>
        <w:jc w:val="both"/>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2.项目执行</w:t>
      </w:r>
      <w:r>
        <w:rPr>
          <w:rFonts w:hint="default" w:ascii="Times New Roman" w:hAnsi="Times New Roman" w:eastAsia="方正仿宋_GBK" w:cs="Times New Roman"/>
          <w:b/>
          <w:bCs/>
          <w:color w:val="000000"/>
          <w:kern w:val="0"/>
          <w:sz w:val="32"/>
          <w:szCs w:val="32"/>
          <w:lang w:val="zh-CN" w:eastAsia="zh-CN" w:bidi="ar-SA"/>
        </w:rPr>
        <w:t>。</w:t>
      </w:r>
      <w:r>
        <w:rPr>
          <w:rFonts w:hint="default" w:ascii="Times New Roman" w:hAnsi="Times New Roman" w:eastAsia="方正仿宋_GBK" w:cs="Times New Roman"/>
          <w:sz w:val="32"/>
          <w:szCs w:val="32"/>
          <w:shd w:val="clear" w:color="auto" w:fill="FFFFFF"/>
          <w:lang w:val="en-US" w:eastAsia="zh-CN"/>
        </w:rPr>
        <w:t>全年项目资金总体执行向好，资金拨付与项目实施进度基本匹配；少数项目存在阶段性资金执行滞后、项目实施小幅调整情况，整体未出现违规挤占、挪用资金问题，项目管理规范有序。</w:t>
      </w:r>
    </w:p>
    <w:p w14:paraId="17C9DAF4">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contextualSpacing/>
        <w:jc w:val="both"/>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3.</w:t>
      </w:r>
      <w:r>
        <w:rPr>
          <w:rFonts w:hint="default" w:ascii="Times New Roman" w:hAnsi="Times New Roman" w:eastAsia="方正仿宋_GBK" w:cs="Times New Roman"/>
          <w:b/>
          <w:bCs/>
          <w:color w:val="000000"/>
          <w:kern w:val="0"/>
          <w:sz w:val="32"/>
          <w:szCs w:val="32"/>
          <w:lang w:val="zh-CN" w:eastAsia="zh-CN" w:bidi="ar-SA"/>
        </w:rPr>
        <w:t>目标实现。</w:t>
      </w:r>
      <w:r>
        <w:rPr>
          <w:rFonts w:hint="default" w:ascii="Times New Roman" w:hAnsi="Times New Roman" w:eastAsia="方正仿宋_GBK" w:cs="Times New Roman"/>
          <w:sz w:val="32"/>
          <w:szCs w:val="32"/>
          <w:shd w:val="clear" w:color="auto" w:fill="FFFFFF"/>
          <w:lang w:val="en-US" w:eastAsia="zh-CN"/>
        </w:rPr>
        <w:t>多数项目按计划完成既定工作目标，有效保障了部门日常运转与专项工作落地；个别项目存在轻微目标偏离，主要受外部客观条件、实施周期影响，整体实现效果达到预期。</w:t>
      </w:r>
    </w:p>
    <w:p w14:paraId="4CDA1247">
      <w:pPr>
        <w:keepNext w:val="0"/>
        <w:keepLines w:val="0"/>
        <w:pageBreakBefore w:val="0"/>
        <w:widowControl w:val="0"/>
        <w:wordWrap/>
        <w:overflowPunct w:val="0"/>
        <w:topLinePunct w:val="0"/>
        <w:bidi w:val="0"/>
        <w:snapToGrid w:val="0"/>
        <w:spacing w:line="578" w:lineRule="exact"/>
        <w:ind w:firstLine="643" w:firstLineChars="200"/>
        <w:jc w:val="left"/>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楷体_GBK" w:cs="Times New Roman"/>
          <w:b/>
          <w:color w:val="auto"/>
          <w:sz w:val="32"/>
          <w:szCs w:val="32"/>
          <w:highlight w:val="none"/>
          <w:lang w:val="zh-CN" w:eastAsia="zh-CN"/>
        </w:rPr>
        <w:t>（三）绩效结果应用情况。</w:t>
      </w:r>
      <w:r>
        <w:rPr>
          <w:rFonts w:hint="default" w:ascii="Times New Roman" w:hAnsi="Times New Roman" w:eastAsia="方正仿宋_GBK" w:cs="Times New Roman"/>
          <w:sz w:val="32"/>
          <w:szCs w:val="32"/>
          <w:shd w:val="clear" w:color="auto" w:fill="FFFFFF"/>
          <w:lang w:val="en-US" w:eastAsia="zh-CN"/>
        </w:rPr>
        <w:t>已将绩效评价结果运用于内部预算管理、项目调度等工作，绩效信息按要求公开公示，针对执行偏差已完成整改反馈，切实发挥绩效评价对预算管理的约束优化作用。</w:t>
      </w:r>
    </w:p>
    <w:p w14:paraId="5088D95F">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黑体_GBK" w:cs="Times New Roman"/>
          <w:color w:val="auto"/>
          <w:sz w:val="32"/>
          <w:szCs w:val="32"/>
          <w:highlight w:val="none"/>
          <w:lang w:val="en-US" w:eastAsia="zh-CN"/>
        </w:rPr>
        <w:t>四、评价结论及建议</w:t>
      </w:r>
    </w:p>
    <w:p w14:paraId="3FAAE35F">
      <w:pPr>
        <w:keepNext w:val="0"/>
        <w:keepLines w:val="0"/>
        <w:pageBreakBefore w:val="0"/>
        <w:widowControl w:val="0"/>
        <w:wordWrap/>
        <w:overflowPunct w:val="0"/>
        <w:topLinePunct w:val="0"/>
        <w:bidi w:val="0"/>
        <w:adjustRightInd w:val="0"/>
        <w:snapToGrid w:val="0"/>
        <w:spacing w:line="578" w:lineRule="exact"/>
        <w:ind w:firstLine="643" w:firstLineChars="200"/>
        <w:contextualSpacing/>
        <w:jc w:val="left"/>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楷体_GBK" w:cs="Times New Roman"/>
          <w:b/>
          <w:color w:val="auto"/>
          <w:sz w:val="32"/>
          <w:szCs w:val="32"/>
          <w:highlight w:val="none"/>
          <w:lang w:val="zh-CN" w:eastAsia="zh-CN"/>
        </w:rPr>
        <w:t>（一）评价结论。</w:t>
      </w:r>
      <w:r>
        <w:rPr>
          <w:rFonts w:hint="default" w:ascii="Times New Roman" w:hAnsi="Times New Roman" w:eastAsia="方正仿宋_GBK" w:cs="Times New Roman"/>
          <w:sz w:val="32"/>
          <w:szCs w:val="32"/>
          <w:shd w:val="clear" w:color="auto" w:fill="FFFFFF"/>
          <w:lang w:val="en-US" w:eastAsia="zh-CN"/>
        </w:rPr>
        <w:t>本年度部门预算绩效自评总体情况良好，项目决策科学规范，资金执行整体高效，绩效目标基本达成，自评得分符合实际履职成效，整体预算管理水平稳步提升，我局总体得分88分。</w:t>
      </w:r>
    </w:p>
    <w:p w14:paraId="20F9C549">
      <w:pPr>
        <w:keepNext w:val="0"/>
        <w:keepLines w:val="0"/>
        <w:pageBreakBefore w:val="0"/>
        <w:widowControl w:val="0"/>
        <w:wordWrap/>
        <w:overflowPunct w:val="0"/>
        <w:topLinePunct w:val="0"/>
        <w:bidi w:val="0"/>
        <w:adjustRightInd w:val="0"/>
        <w:snapToGrid w:val="0"/>
        <w:spacing w:line="578" w:lineRule="exact"/>
        <w:ind w:firstLine="643" w:firstLineChars="200"/>
        <w:contextualSpacing/>
        <w:jc w:val="left"/>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楷体_GBK" w:cs="Times New Roman"/>
          <w:b/>
          <w:color w:val="auto"/>
          <w:sz w:val="32"/>
          <w:szCs w:val="32"/>
          <w:highlight w:val="none"/>
          <w:lang w:val="zh-CN" w:eastAsia="zh-CN"/>
        </w:rPr>
        <w:t>（二）存在问题。</w:t>
      </w:r>
      <w:r>
        <w:rPr>
          <w:rFonts w:hint="default" w:ascii="Times New Roman" w:hAnsi="Times New Roman" w:eastAsia="方正仿宋_GBK" w:cs="Times New Roman"/>
          <w:sz w:val="32"/>
          <w:szCs w:val="32"/>
          <w:shd w:val="clear" w:color="auto" w:fill="FFFFFF"/>
          <w:lang w:val="en-US" w:eastAsia="zh-CN"/>
        </w:rPr>
        <w:t>部分阶段项目执行进度不均衡，个别项目存在资金结余，预算精准度有待提升。</w:t>
      </w:r>
    </w:p>
    <w:p w14:paraId="3665EA98">
      <w:pPr>
        <w:keepNext w:val="0"/>
        <w:keepLines w:val="0"/>
        <w:pageBreakBefore w:val="0"/>
        <w:widowControl w:val="0"/>
        <w:wordWrap/>
        <w:overflowPunct w:val="0"/>
        <w:topLinePunct w:val="0"/>
        <w:bidi w:val="0"/>
        <w:adjustRightInd w:val="0"/>
        <w:snapToGrid w:val="0"/>
        <w:spacing w:line="578" w:lineRule="exact"/>
        <w:ind w:firstLine="643" w:firstLineChars="200"/>
        <w:contextualSpacing/>
        <w:jc w:val="left"/>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楷体_GBK" w:cs="Times New Roman"/>
          <w:b/>
          <w:color w:val="auto"/>
          <w:sz w:val="32"/>
          <w:szCs w:val="32"/>
          <w:highlight w:val="none"/>
          <w:lang w:val="zh-CN" w:eastAsia="zh-CN"/>
        </w:rPr>
        <w:t>（三）改进建议。</w:t>
      </w:r>
      <w:bookmarkStart w:id="51" w:name="_Hlk110546638"/>
      <w:r>
        <w:rPr>
          <w:rFonts w:hint="default" w:ascii="Times New Roman" w:hAnsi="Times New Roman" w:eastAsia="方正仿宋_GBK" w:cs="Times New Roman"/>
          <w:sz w:val="32"/>
          <w:szCs w:val="32"/>
          <w:shd w:val="clear" w:color="auto" w:fill="FFFFFF"/>
          <w:lang w:val="en-US" w:eastAsia="zh-CN"/>
        </w:rPr>
        <w:t>1</w:t>
      </w:r>
      <w:r>
        <w:rPr>
          <w:rFonts w:hint="eastAsia" w:eastAsia="方正仿宋_GBK" w:cs="Times New Roman"/>
          <w:sz w:val="32"/>
          <w:szCs w:val="32"/>
          <w:shd w:val="clear" w:color="auto" w:fill="FFFFFF"/>
          <w:lang w:val="en-US" w:eastAsia="zh-CN"/>
        </w:rPr>
        <w:t>.</w:t>
      </w:r>
      <w:r>
        <w:rPr>
          <w:rFonts w:hint="default" w:ascii="Times New Roman" w:hAnsi="Times New Roman" w:eastAsia="方正仿宋_GBK" w:cs="Times New Roman"/>
          <w:sz w:val="32"/>
          <w:szCs w:val="32"/>
          <w:shd w:val="clear" w:color="auto" w:fill="FFFFFF"/>
          <w:lang w:val="en-US" w:eastAsia="zh-CN"/>
        </w:rPr>
        <w:t>优化预算编制，结合项目实施周期细化资金测算，提升预算编制精准度，减少资金结余；2.强化项目全过程管控，动态跟踪执行进度，及时调度滞后项目，缩小目标偏差；3.完善绩效目标设置，细化量化指标，提升项目管理精细化水平。</w:t>
      </w:r>
    </w:p>
    <w:bookmarkEnd w:id="51"/>
    <w:p w14:paraId="4BEECBB6">
      <w:pPr>
        <w:keepNext w:val="0"/>
        <w:keepLines w:val="0"/>
        <w:pageBreakBefore w:val="0"/>
        <w:widowControl w:val="0"/>
        <w:wordWrap/>
        <w:overflowPunct w:val="0"/>
        <w:topLinePunct w:val="0"/>
        <w:bidi w:val="0"/>
        <w:spacing w:line="578" w:lineRule="exact"/>
        <w:contextualSpacing/>
        <w:jc w:val="left"/>
        <w:rPr>
          <w:rFonts w:hint="default" w:ascii="Times New Roman" w:hAnsi="Times New Roman" w:eastAsia="仿宋_GB2312" w:cs="Times New Roman"/>
          <w:color w:val="auto"/>
          <w:kern w:val="0"/>
          <w:sz w:val="32"/>
          <w:szCs w:val="32"/>
          <w:highlight w:val="none"/>
          <w:lang w:val="en-US" w:eastAsia="zh-CN" w:bidi="ar-SA"/>
        </w:rPr>
      </w:pPr>
    </w:p>
    <w:p w14:paraId="7711D5F3">
      <w:pPr>
        <w:keepNext w:val="0"/>
        <w:keepLines w:val="0"/>
        <w:pageBreakBefore w:val="0"/>
        <w:widowControl w:val="0"/>
        <w:wordWrap/>
        <w:overflowPunct w:val="0"/>
        <w:topLinePunct w:val="0"/>
        <w:bidi w:val="0"/>
        <w:spacing w:line="578" w:lineRule="exact"/>
        <w:ind w:firstLine="640" w:firstLineChars="200"/>
        <w:jc w:val="left"/>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附表：</w:t>
      </w:r>
      <w:r>
        <w:rPr>
          <w:rFonts w:hint="default" w:ascii="Times New Roman" w:hAnsi="Times New Roman" w:eastAsia="方正仿宋_GBK" w:cs="Times New Roman"/>
          <w:sz w:val="32"/>
          <w:szCs w:val="32"/>
          <w:shd w:val="clear" w:color="auto" w:fill="FFFFFF"/>
          <w:lang w:val="en-US" w:eastAsia="zh-CN"/>
        </w:rPr>
        <w:t>1.部门预算绩效自评打分表</w:t>
      </w:r>
    </w:p>
    <w:p w14:paraId="6293AA54">
      <w:pPr>
        <w:keepNext w:val="0"/>
        <w:keepLines w:val="0"/>
        <w:pageBreakBefore w:val="0"/>
        <w:widowControl w:val="0"/>
        <w:kinsoku/>
        <w:wordWrap/>
        <w:overflowPunct w:val="0"/>
        <w:topLinePunct w:val="0"/>
        <w:autoSpaceDE/>
        <w:autoSpaceDN/>
        <w:bidi w:val="0"/>
        <w:adjustRightInd/>
        <w:snapToGrid/>
        <w:spacing w:line="578" w:lineRule="exact"/>
        <w:ind w:firstLine="1600" w:firstLineChars="500"/>
        <w:contextualSpacing/>
        <w:jc w:val="both"/>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2.部门整体支出绩效目标完成情况自评表</w:t>
      </w:r>
    </w:p>
    <w:p w14:paraId="10EA1057">
      <w:pPr>
        <w:keepNext w:val="0"/>
        <w:keepLines w:val="0"/>
        <w:pageBreakBefore w:val="0"/>
        <w:widowControl w:val="0"/>
        <w:wordWrap/>
        <w:overflowPunct w:val="0"/>
        <w:topLinePunct w:val="0"/>
        <w:bidi w:val="0"/>
        <w:spacing w:line="578" w:lineRule="exact"/>
        <w:ind w:firstLine="1600" w:firstLineChars="500"/>
        <w:jc w:val="left"/>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仿宋_GBK" w:cs="Times New Roman"/>
          <w:sz w:val="32"/>
          <w:szCs w:val="32"/>
          <w:shd w:val="clear" w:color="auto" w:fill="FFFFFF"/>
          <w:lang w:val="en-US" w:eastAsia="zh-CN"/>
        </w:rPr>
        <w:t>3.部门预算项目支出绩效评价表（2025年度）</w:t>
      </w:r>
    </w:p>
    <w:p w14:paraId="3753A516">
      <w:pPr>
        <w:keepNext w:val="0"/>
        <w:keepLines w:val="0"/>
        <w:pageBreakBefore w:val="0"/>
        <w:widowControl w:val="0"/>
        <w:wordWrap/>
        <w:overflowPunct w:val="0"/>
        <w:topLinePunct w:val="0"/>
        <w:bidi w:val="0"/>
        <w:spacing w:line="578" w:lineRule="exact"/>
        <w:jc w:val="left"/>
        <w:rPr>
          <w:rFonts w:hint="default" w:ascii="Times New Roman" w:hAnsi="Times New Roman" w:eastAsia="黑体" w:cs="Times New Roman"/>
        </w:rPr>
      </w:pPr>
      <w:r>
        <w:rPr>
          <w:rFonts w:hint="default" w:ascii="Times New Roman" w:hAnsi="Times New Roman" w:cs="Times New Roman"/>
          <w:color w:val="000000"/>
          <w:kern w:val="0"/>
          <w:szCs w:val="32"/>
          <w:shd w:val="clear" w:color="auto" w:fill="FFFFFF"/>
        </w:rPr>
        <w:br w:type="page"/>
      </w:r>
      <w:r>
        <w:rPr>
          <w:rFonts w:hint="default" w:ascii="Times New Roman" w:hAnsi="Times New Roman" w:eastAsia="黑体" w:cs="Times New Roman"/>
        </w:rPr>
        <w:t>附表1</w:t>
      </w:r>
    </w:p>
    <w:p w14:paraId="22AEDA93">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部门预算绩效自评打分表</w:t>
      </w:r>
    </w:p>
    <w:tbl>
      <w:tblPr>
        <w:tblStyle w:val="16"/>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5639B5E9">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8E6C4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9A25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66898CD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0562D67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备注</w:t>
            </w:r>
          </w:p>
        </w:tc>
      </w:tr>
      <w:tr w14:paraId="2B6FCD8F">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5FCC3B7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4CC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ACC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320B">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w:t>
            </w:r>
            <w:r>
              <w:rPr>
                <w:rFonts w:hint="default" w:ascii="Times New Roman" w:hAnsi="Times New Roman" w:eastAsia="黑体" w:cs="Times New Roman"/>
                <w:color w:val="000000"/>
                <w:kern w:val="0"/>
                <w:sz w:val="24"/>
              </w:rPr>
              <w:br w:type="textWrapping"/>
            </w:r>
            <w:r>
              <w:rPr>
                <w:rFonts w:hint="default" w:ascii="Times New Roman" w:hAnsi="Times New Roman" w:eastAsia="黑体" w:cs="Times New Roman"/>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8EE2A">
            <w:pPr>
              <w:keepNext w:val="0"/>
              <w:keepLines w:val="0"/>
              <w:pageBreakBefore w:val="0"/>
              <w:widowControl w:val="0"/>
              <w:wordWrap/>
              <w:overflowPunct w:val="0"/>
              <w:topLinePunct w:val="0"/>
              <w:bidi w:val="0"/>
              <w:spacing w:line="240" w:lineRule="exact"/>
              <w:jc w:val="center"/>
              <w:rPr>
                <w:rFonts w:hint="default" w:ascii="Times New Roman" w:hAnsi="Times New Roman" w:eastAsia="黑体" w:cs="Times New Roman"/>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1ECCC731">
            <w:pPr>
              <w:keepNext w:val="0"/>
              <w:keepLines w:val="0"/>
              <w:pageBreakBefore w:val="0"/>
              <w:widowControl w:val="0"/>
              <w:wordWrap/>
              <w:overflowPunct w:val="0"/>
              <w:topLinePunct w:val="0"/>
              <w:bidi w:val="0"/>
              <w:spacing w:line="240" w:lineRule="exact"/>
              <w:jc w:val="center"/>
              <w:rPr>
                <w:rFonts w:hint="default" w:ascii="Times New Roman" w:hAnsi="Times New Roman" w:eastAsia="黑体" w:cs="Times New Roman"/>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7B7E21DC">
            <w:pPr>
              <w:keepNext w:val="0"/>
              <w:keepLines w:val="0"/>
              <w:pageBreakBefore w:val="0"/>
              <w:widowControl w:val="0"/>
              <w:wordWrap/>
              <w:overflowPunct w:val="0"/>
              <w:topLinePunct w:val="0"/>
              <w:bidi w:val="0"/>
              <w:spacing w:line="240" w:lineRule="exact"/>
              <w:jc w:val="center"/>
              <w:rPr>
                <w:rFonts w:hint="default" w:ascii="Times New Roman" w:hAnsi="Times New Roman" w:eastAsia="黑体" w:cs="Times New Roman"/>
                <w:color w:val="000000"/>
                <w:sz w:val="24"/>
              </w:rPr>
            </w:pPr>
          </w:p>
        </w:tc>
      </w:tr>
      <w:tr w14:paraId="67342B23">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01E3A3E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3956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履职效能</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BB52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公共服务保障、重点业务推进、民生服务落地、内部治理建设</w:t>
            </w:r>
            <w:r>
              <w:rPr>
                <w:rFonts w:hint="default" w:ascii="Times New Roman" w:hAnsi="Times New Roman" w:eastAsia="宋体" w:cs="Times New Roman"/>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2E560FE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3AEB">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BEE9">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D5A1">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4D96467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9D525BB">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39F8156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预算管理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E8A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7E6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846E">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42EA">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1693">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5EC4520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AD912AA">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7B8B28DD">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5BC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B45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A647">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66B3">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8A8B">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0089A4E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88FA769">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E62F77E">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A733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A65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C74EB">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1C5A">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0C00">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0DDB244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2F59824">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08C4F1AE">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162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FC3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670A">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63CB">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D79B5">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1B5D90E0">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36C05C85">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8D9FE6D">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856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2EE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3331">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部门严控</w:t>
            </w:r>
            <w:r>
              <w:rPr>
                <w:rFonts w:hint="eastAsia" w:cs="Times New Roman"/>
                <w:color w:val="000000"/>
                <w:kern w:val="0"/>
                <w:sz w:val="24"/>
                <w:lang w:eastAsia="zh-CN"/>
              </w:rPr>
              <w:t>“</w:t>
            </w:r>
            <w:r>
              <w:rPr>
                <w:rFonts w:hint="default" w:ascii="Times New Roman" w:hAnsi="Times New Roman" w:eastAsia="宋体" w:cs="Times New Roman"/>
                <w:color w:val="000000"/>
                <w:kern w:val="0"/>
                <w:sz w:val="24"/>
              </w:rPr>
              <w:t>三公</w:t>
            </w:r>
            <w:r>
              <w:rPr>
                <w:rFonts w:hint="eastAsia" w:cs="Times New Roman"/>
                <w:color w:val="000000"/>
                <w:kern w:val="0"/>
                <w:sz w:val="24"/>
                <w:lang w:eastAsia="zh-CN"/>
              </w:rPr>
              <w:t>”</w:t>
            </w:r>
            <w:r>
              <w:rPr>
                <w:rFonts w:hint="default" w:ascii="Times New Roman" w:hAnsi="Times New Roman" w:eastAsia="宋体" w:cs="Times New Roman"/>
                <w:color w:val="000000"/>
                <w:kern w:val="0"/>
                <w:sz w:val="24"/>
              </w:rPr>
              <w:t>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6E9B">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3073">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4963918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8C0EC5A">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71EE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财务管理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596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7583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54C4">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7144">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4525">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1E22501F">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9BE617A">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552E1">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92D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2742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C0A7">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29E9">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6471">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6625F38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B20E5A1">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C5B1D">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CB6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278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DD28">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7C19">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E01E">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60BFB69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8D77721">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9D36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FC6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26CA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A75B">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65CA">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428C">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582766F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7209EF7">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0B070">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F0B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7FD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EF9E">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C2B8">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3937">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6317623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E79DEC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E89E">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599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DD0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0974">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1501">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CE10">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63962ED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9FF809E">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5E6D8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采购管理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31F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72E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884B">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DA31">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D889">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521B3322">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2D5B1984">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E7E57">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DF1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62F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06D2">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F189">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7A17">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7E3B1B44">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EC51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498C674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项目决策</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14D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5DC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8347">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67D5">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13CE">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3F22F40D">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CF618">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FB463B9">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DA84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5D9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AA56">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068F">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6DCF">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03C07D94">
        <w:tblPrEx>
          <w:tblCellMar>
            <w:top w:w="0" w:type="dxa"/>
            <w:left w:w="108" w:type="dxa"/>
            <w:bottom w:w="0" w:type="dxa"/>
            <w:right w:w="108" w:type="dxa"/>
          </w:tblCellMar>
        </w:tblPrEx>
        <w:trPr>
          <w:trHeight w:val="9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4A206">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25141D8">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E64B">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949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B36B">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6CF2">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3A69">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76952CF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6C0A1">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70DC485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项目执行</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BD1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C29A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390A">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1843">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BFB4">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3F24638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28BFB">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788C9EB">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4219D17E">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F96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11D3">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D6A9">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B5E1">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02C9D256">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4C844">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CFD8118">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23DE">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E2C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50FD">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471F">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EA2C">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08C2BCE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8D28B">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E1B2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目标实现</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36C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6CA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BBE6">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D908">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153B">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35D1499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61D02">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3CBE1">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557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FF5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16BED">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C892D">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4D94">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241F670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97C77">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97666">
            <w:pPr>
              <w:keepNext w:val="0"/>
              <w:keepLines w:val="0"/>
              <w:pageBreakBefore w:val="0"/>
              <w:widowControl w:val="0"/>
              <w:wordWrap/>
              <w:overflowPunct w:val="0"/>
              <w:topLinePunct w:val="0"/>
              <w:bidi w:val="0"/>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ACB6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506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2EFB">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A4EF">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4D49">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r w14:paraId="06E51523">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C82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扣分项</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5B0B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713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E3DF">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EDE9">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A852D">
            <w:pPr>
              <w:keepNext w:val="0"/>
              <w:keepLines w:val="0"/>
              <w:pageBreakBefore w:val="0"/>
              <w:widowControl w:val="0"/>
              <w:wordWrap/>
              <w:overflowPunct w:val="0"/>
              <w:topLinePunct w:val="0"/>
              <w:bidi w:val="0"/>
              <w:spacing w:line="240" w:lineRule="exact"/>
              <w:jc w:val="left"/>
              <w:textAlignment w:val="center"/>
              <w:rPr>
                <w:rFonts w:hint="default" w:ascii="Times New Roman" w:hAnsi="Times New Roman" w:eastAsia="宋体" w:cs="Times New Roman"/>
                <w:color w:val="000000"/>
                <w:kern w:val="0"/>
                <w:sz w:val="24"/>
              </w:rPr>
            </w:pPr>
          </w:p>
        </w:tc>
      </w:tr>
    </w:tbl>
    <w:p w14:paraId="2A1E5384">
      <w:pPr>
        <w:pStyle w:val="2"/>
        <w:keepNext w:val="0"/>
        <w:keepLines w:val="0"/>
        <w:pageBreakBefore w:val="0"/>
        <w:widowControl w:val="0"/>
        <w:wordWrap/>
        <w:overflowPunct w:val="0"/>
        <w:topLinePunct w:val="0"/>
        <w:bidi w:val="0"/>
        <w:spacing w:line="20" w:lineRule="exact"/>
        <w:rPr>
          <w:rFonts w:hint="default" w:ascii="Times New Roman" w:hAnsi="Times New Roman" w:cs="Times New Roman"/>
        </w:rPr>
      </w:pPr>
    </w:p>
    <w:p w14:paraId="25CD123D">
      <w:pPr>
        <w:keepNext w:val="0"/>
        <w:keepLines w:val="0"/>
        <w:pageBreakBefore w:val="0"/>
        <w:widowControl w:val="0"/>
        <w:wordWrap/>
        <w:overflowPunct w:val="0"/>
        <w:topLinePunct w:val="0"/>
        <w:bidi w:val="0"/>
        <w:spacing w:line="20" w:lineRule="exact"/>
        <w:rPr>
          <w:rFonts w:hint="default" w:ascii="Times New Roman" w:hAnsi="Times New Roman" w:eastAsia="黑体" w:cs="Times New Roman"/>
        </w:rPr>
      </w:pPr>
    </w:p>
    <w:p w14:paraId="3C936D18">
      <w:pPr>
        <w:keepNext w:val="0"/>
        <w:keepLines w:val="0"/>
        <w:pageBreakBefore w:val="0"/>
        <w:widowControl w:val="0"/>
        <w:wordWrap/>
        <w:overflowPunct w:val="0"/>
        <w:topLinePunct w:val="0"/>
        <w:bidi w:val="0"/>
        <w:spacing w:line="578" w:lineRule="exact"/>
        <w:jc w:val="left"/>
        <w:rPr>
          <w:rFonts w:hint="default" w:ascii="Times New Roman" w:hAnsi="Times New Roman" w:eastAsia="黑体" w:cs="Times New Roman"/>
        </w:rPr>
      </w:pPr>
      <w:r>
        <w:rPr>
          <w:rFonts w:hint="default" w:ascii="Times New Roman" w:hAnsi="Times New Roman" w:eastAsia="黑体" w:cs="Times New Roman"/>
        </w:rPr>
        <w:t>附表2</w:t>
      </w:r>
    </w:p>
    <w:p w14:paraId="64A6D8C1">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部门整体支出绩效目标完成情况自评表</w:t>
      </w:r>
    </w:p>
    <w:tbl>
      <w:tblPr>
        <w:tblStyle w:val="16"/>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71A819D7">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174ED1EC">
            <w:pPr>
              <w:keepNext w:val="0"/>
              <w:keepLines w:val="0"/>
              <w:pageBreakBefore w:val="0"/>
              <w:widowControl w:val="0"/>
              <w:wordWrap/>
              <w:overflowPunct w:val="0"/>
              <w:topLinePunct w:val="0"/>
              <w:bidi w:val="0"/>
              <w:rPr>
                <w:rFonts w:hint="default" w:ascii="Times New Roman" w:hAnsi="Times New Roman" w:eastAsia="宋体" w:cs="Times New Roman"/>
                <w:color w:val="000000"/>
                <w:kern w:val="0"/>
                <w:sz w:val="24"/>
              </w:rPr>
            </w:pPr>
            <w:r>
              <w:rPr>
                <w:rFonts w:hint="default" w:ascii="Times New Roman" w:hAnsi="Times New Roman" w:eastAsia="黑体" w:cs="Times New Roman"/>
                <w:sz w:val="24"/>
              </w:rPr>
              <w:br w:type="page"/>
            </w:r>
            <w:r>
              <w:rPr>
                <w:rFonts w:hint="default" w:ascii="Times New Roman" w:hAnsi="Times New Roman" w:eastAsia="宋体" w:cs="Times New Roman"/>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3FA7133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阿坝州壤塘县交通运输局</w:t>
            </w:r>
          </w:p>
        </w:tc>
      </w:tr>
      <w:tr w14:paraId="66A5A5B7">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467E5A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422072A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26E4E54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0DC4E8C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其他资金</w:t>
            </w:r>
          </w:p>
        </w:tc>
      </w:tr>
      <w:tr w14:paraId="13CA4B50">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3762972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4047357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1FB01FF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33757BE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p>
        </w:tc>
      </w:tr>
      <w:tr w14:paraId="38F424F3">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26BD3B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26331E7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Helvetica" w:cs="Times New Roman"/>
                <w:i w:val="0"/>
                <w:iCs w:val="0"/>
                <w:caps w:val="0"/>
                <w:color w:val="000000"/>
                <w:spacing w:val="0"/>
                <w:sz w:val="19"/>
                <w:szCs w:val="19"/>
                <w:shd w:val="clear" w:fill="FFFFFF"/>
              </w:rPr>
              <w:t>11,79</w:t>
            </w:r>
            <w:r>
              <w:rPr>
                <w:rFonts w:hint="default" w:ascii="Times New Roman" w:hAnsi="Times New Roman" w:eastAsia="宋体" w:cs="Times New Roman"/>
                <w:i w:val="0"/>
                <w:iCs w:val="0"/>
                <w:caps w:val="0"/>
                <w:color w:val="000000"/>
                <w:spacing w:val="0"/>
                <w:sz w:val="19"/>
                <w:szCs w:val="19"/>
                <w:shd w:val="clear" w:fill="FFFFFF"/>
                <w:lang w:val="en-US" w:eastAsia="zh-CN"/>
              </w:rPr>
              <w:t>.</w:t>
            </w:r>
            <w:r>
              <w:rPr>
                <w:rFonts w:hint="default" w:ascii="Times New Roman" w:hAnsi="Times New Roman" w:eastAsia="Helvetica" w:cs="Times New Roman"/>
                <w:i w:val="0"/>
                <w:iCs w:val="0"/>
                <w:caps w:val="0"/>
                <w:color w:val="000000"/>
                <w:spacing w:val="0"/>
                <w:sz w:val="19"/>
                <w:szCs w:val="19"/>
                <w:shd w:val="clear" w:fill="FFFFFF"/>
              </w:rPr>
              <w:t>0,89623</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3B3E990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Helvetica" w:cs="Times New Roman"/>
                <w:i w:val="0"/>
                <w:iCs w:val="0"/>
                <w:caps w:val="0"/>
                <w:color w:val="000000"/>
                <w:spacing w:val="0"/>
                <w:sz w:val="19"/>
                <w:szCs w:val="19"/>
                <w:shd w:val="clear" w:fill="FFFFFF"/>
              </w:rPr>
              <w:t>11,79</w:t>
            </w:r>
            <w:r>
              <w:rPr>
                <w:rFonts w:hint="default" w:ascii="Times New Roman" w:hAnsi="Times New Roman" w:eastAsia="宋体" w:cs="Times New Roman"/>
                <w:i w:val="0"/>
                <w:iCs w:val="0"/>
                <w:caps w:val="0"/>
                <w:color w:val="000000"/>
                <w:spacing w:val="0"/>
                <w:sz w:val="19"/>
                <w:szCs w:val="19"/>
                <w:shd w:val="clear" w:fill="FFFFFF"/>
                <w:lang w:val="en-US" w:eastAsia="zh-CN"/>
              </w:rPr>
              <w:t>.</w:t>
            </w:r>
            <w:r>
              <w:rPr>
                <w:rFonts w:hint="default" w:ascii="Times New Roman" w:hAnsi="Times New Roman" w:eastAsia="Helvetica" w:cs="Times New Roman"/>
                <w:i w:val="0"/>
                <w:iCs w:val="0"/>
                <w:caps w:val="0"/>
                <w:color w:val="000000"/>
                <w:spacing w:val="0"/>
                <w:sz w:val="19"/>
                <w:szCs w:val="19"/>
                <w:shd w:val="clear" w:fill="FFFFFF"/>
              </w:rPr>
              <w:t>0,89623</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019D70E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p>
        </w:tc>
      </w:tr>
      <w:tr w14:paraId="5B801E9D">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2B3C26E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23359BD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Helvetica" w:cs="Times New Roman"/>
                <w:i w:val="0"/>
                <w:iCs w:val="0"/>
                <w:caps w:val="0"/>
                <w:color w:val="000000"/>
                <w:spacing w:val="0"/>
                <w:sz w:val="19"/>
                <w:szCs w:val="19"/>
                <w:shd w:val="clear" w:fill="FFFFFF"/>
              </w:rPr>
              <w:t>为壤塘经济发展提供优质通畅服务，延长公路寿命，提供稳定优质,树立我县交通形象，进行养护投入和统筹管理</w:t>
            </w:r>
          </w:p>
        </w:tc>
      </w:tr>
      <w:tr w14:paraId="4D8E2A96">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5E1788A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66C9A8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522C5DB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17EB48A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E6C427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63B6CBA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7157B98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指标实际完成值</w:t>
            </w:r>
          </w:p>
        </w:tc>
      </w:tr>
      <w:tr w14:paraId="7D446DE7">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402A58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F9F00D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8F8CA9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5378D7A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A6CD9A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7C3FCDA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三年</w:t>
            </w:r>
          </w:p>
          <w:p w14:paraId="1EDD326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5C95607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2023年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3AAD51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2024年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7C477DB">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2025年</w:t>
            </w:r>
          </w:p>
        </w:tc>
        <w:tc>
          <w:tcPr>
            <w:tcW w:w="1931" w:type="dxa"/>
            <w:vMerge w:val="continue"/>
            <w:tcBorders>
              <w:left w:val="single" w:color="000000" w:sz="4" w:space="0"/>
              <w:right w:val="single" w:color="000000" w:sz="4" w:space="0"/>
            </w:tcBorders>
            <w:noWrap/>
            <w:vAlign w:val="center"/>
          </w:tcPr>
          <w:p w14:paraId="5F96C40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r>
      <w:tr w14:paraId="7228CCF5">
        <w:tblPrEx>
          <w:tblCellMar>
            <w:top w:w="0" w:type="dxa"/>
            <w:left w:w="108" w:type="dxa"/>
            <w:bottom w:w="0" w:type="dxa"/>
            <w:right w:w="108" w:type="dxa"/>
          </w:tblCellMar>
        </w:tblPrEx>
        <w:trPr>
          <w:trHeight w:val="69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7F7AEB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3ACA95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DC946BB">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6B9F3F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5C2A75E">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x</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D14A9F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1808.67%</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173B776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2649.66</w:t>
            </w:r>
            <w:r>
              <w:rPr>
                <w:rFonts w:hint="default" w:ascii="Times New Roman" w:hAnsi="Times New Roman" w:eastAsia="宋体" w:cs="Times New Roman"/>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799251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2030.78%</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3C9EFD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745.58%</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A87151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745.58%</w:t>
            </w:r>
          </w:p>
        </w:tc>
      </w:tr>
      <w:tr w14:paraId="1E752321">
        <w:tblPrEx>
          <w:tblCellMar>
            <w:top w:w="0" w:type="dxa"/>
            <w:left w:w="108" w:type="dxa"/>
            <w:bottom w:w="0" w:type="dxa"/>
            <w:right w:w="108" w:type="dxa"/>
          </w:tblCellMar>
        </w:tblPrEx>
        <w:trPr>
          <w:trHeight w:val="56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6392AD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BF1C5A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71B405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B97F06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C6026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x</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A5A8C1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56229BB">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63B43D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9852B9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E2B952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r>
      <w:tr w14:paraId="49DFD698">
        <w:tblPrEx>
          <w:tblCellMar>
            <w:top w:w="0" w:type="dxa"/>
            <w:left w:w="108" w:type="dxa"/>
            <w:bottom w:w="0" w:type="dxa"/>
            <w:right w:w="108" w:type="dxa"/>
          </w:tblCellMar>
        </w:tblPrEx>
        <w:trPr>
          <w:trHeight w:val="58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0979C1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15299FE">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D1EBE8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ACE2A4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53BCA0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x</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7FAF56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38.81</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559D9EC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50.32%</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BC3DF1E">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30.63%</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A8FAF8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35.48%</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14372FE">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35.48%</w:t>
            </w:r>
          </w:p>
        </w:tc>
      </w:tr>
      <w:tr w14:paraId="1791FA09">
        <w:tblPrEx>
          <w:tblCellMar>
            <w:top w:w="0" w:type="dxa"/>
            <w:left w:w="108" w:type="dxa"/>
            <w:bottom w:w="0" w:type="dxa"/>
            <w:right w:w="108" w:type="dxa"/>
          </w:tblCellMar>
        </w:tblPrEx>
        <w:trPr>
          <w:trHeight w:val="578"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09A759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242B44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EC92C5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3322D2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249397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41.8</w:t>
            </w:r>
            <w:r>
              <w:rPr>
                <w:rFonts w:hint="default" w:ascii="Times New Roman" w:hAnsi="Times New Roman" w:eastAsia="宋体" w:cs="Times New Roman"/>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60DFBF0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X</w:t>
            </w:r>
            <w:r>
              <w:rPr>
                <w:rFonts w:hint="default" w:ascii="Times New Roman" w:hAnsi="Times New Roman" w:eastAsia="宋体" w:cs="Times New Roman"/>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296E7D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41.8万元</w:t>
            </w:r>
          </w:p>
        </w:tc>
      </w:tr>
      <w:tr w14:paraId="704FF87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44D46A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835A2B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E1F0724">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C84B47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470EC8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val="en-US" w:eastAsia="zh-CN"/>
              </w:rPr>
              <w:t>良</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722F240D">
            <w:pPr>
              <w:keepNext w:val="0"/>
              <w:keepLines w:val="0"/>
              <w:pageBreakBefore w:val="0"/>
              <w:widowControl w:val="0"/>
              <w:wordWrap/>
              <w:overflowPunct w:val="0"/>
              <w:topLinePunct w:val="0"/>
              <w:bidi w:val="0"/>
              <w:spacing w:line="240" w:lineRule="exact"/>
              <w:jc w:val="center"/>
              <w:textAlignment w:val="center"/>
              <w:rPr>
                <w:rFonts w:hint="eastAsia"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rPr>
              <w:t>x为</w:t>
            </w:r>
            <w:r>
              <w:rPr>
                <w:rFonts w:hint="eastAsia" w:cs="Times New Roman"/>
                <w:color w:val="000000"/>
                <w:kern w:val="0"/>
                <w:sz w:val="24"/>
                <w:lang w:eastAsia="zh-CN"/>
              </w:rPr>
              <w:t>“</w:t>
            </w:r>
            <w:r>
              <w:rPr>
                <w:rFonts w:hint="default" w:ascii="Times New Roman" w:hAnsi="Times New Roman" w:eastAsia="宋体" w:cs="Times New Roman"/>
                <w:color w:val="000000"/>
                <w:kern w:val="0"/>
                <w:sz w:val="24"/>
              </w:rPr>
              <w:t>优</w:t>
            </w:r>
            <w:r>
              <w:rPr>
                <w:rFonts w:hint="eastAsia" w:cs="Times New Roman"/>
                <w:color w:val="000000"/>
                <w:kern w:val="0"/>
                <w:sz w:val="24"/>
                <w:lang w:eastAsia="zh-CN"/>
              </w:rPr>
              <w:t>”“</w:t>
            </w:r>
            <w:r>
              <w:rPr>
                <w:rFonts w:hint="default" w:ascii="Times New Roman" w:hAnsi="Times New Roman" w:eastAsia="宋体" w:cs="Times New Roman"/>
                <w:color w:val="000000"/>
                <w:kern w:val="0"/>
                <w:sz w:val="24"/>
              </w:rPr>
              <w:t>良</w:t>
            </w:r>
            <w:r>
              <w:rPr>
                <w:rFonts w:hint="eastAsia" w:cs="Times New Roman"/>
                <w:color w:val="000000"/>
                <w:kern w:val="0"/>
                <w:sz w:val="24"/>
                <w:lang w:eastAsia="zh-CN"/>
              </w:rPr>
              <w:t>”“</w:t>
            </w:r>
            <w:r>
              <w:rPr>
                <w:rFonts w:hint="default" w:ascii="Times New Roman" w:hAnsi="Times New Roman" w:eastAsia="宋体" w:cs="Times New Roman"/>
                <w:color w:val="000000"/>
                <w:kern w:val="0"/>
                <w:sz w:val="24"/>
              </w:rPr>
              <w:t>中</w:t>
            </w:r>
            <w:r>
              <w:rPr>
                <w:rFonts w:hint="eastAsia" w:cs="Times New Roman"/>
                <w:color w:val="000000"/>
                <w:kern w:val="0"/>
                <w:sz w:val="24"/>
                <w:lang w:eastAsia="zh-CN"/>
              </w:rPr>
              <w:t>”</w:t>
            </w:r>
            <w:r>
              <w:rPr>
                <w:rFonts w:hint="default" w:ascii="Times New Roman" w:hAnsi="Times New Roman" w:eastAsia="宋体" w:cs="Times New Roman"/>
                <w:color w:val="000000"/>
                <w:kern w:val="0"/>
                <w:sz w:val="24"/>
              </w:rPr>
              <w:t>或</w:t>
            </w:r>
            <w:r>
              <w:rPr>
                <w:rFonts w:hint="eastAsia" w:cs="Times New Roman"/>
                <w:color w:val="000000"/>
                <w:kern w:val="0"/>
                <w:sz w:val="24"/>
                <w:lang w:eastAsia="zh-CN"/>
              </w:rPr>
              <w:t>“</w:t>
            </w:r>
            <w:r>
              <w:rPr>
                <w:rFonts w:hint="default" w:ascii="Times New Roman" w:hAnsi="Times New Roman" w:eastAsia="宋体" w:cs="Times New Roman"/>
                <w:color w:val="000000"/>
                <w:kern w:val="0"/>
                <w:sz w:val="24"/>
              </w:rPr>
              <w:t>差</w:t>
            </w:r>
            <w:r>
              <w:rPr>
                <w:rFonts w:hint="eastAsia" w:cs="Times New Roman"/>
                <w:color w:val="000000"/>
                <w:kern w:val="0"/>
                <w:sz w:val="24"/>
                <w:lang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C9C05E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良</w:t>
            </w:r>
          </w:p>
        </w:tc>
      </w:tr>
      <w:tr w14:paraId="4E96BF5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310301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8A76B6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817B4C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59332A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DF2725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127B81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E15D6E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25E7AF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DCF8BF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9AE044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r>
      <w:tr w14:paraId="2D4018DD">
        <w:tblPrEx>
          <w:tblCellMar>
            <w:top w:w="0" w:type="dxa"/>
            <w:left w:w="108" w:type="dxa"/>
            <w:bottom w:w="0" w:type="dxa"/>
            <w:right w:w="108" w:type="dxa"/>
          </w:tblCellMar>
        </w:tblPrEx>
        <w:trPr>
          <w:trHeight w:val="60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09C508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5D0728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4DE27D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F3B3FF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B31117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C10646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26690C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6B353A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A86296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0</w:t>
            </w:r>
            <w:r>
              <w:rPr>
                <w:rFonts w:hint="default" w:ascii="Times New Roman" w:hAnsi="Times New Roman" w:eastAsia="宋体" w:cs="Times New Roman"/>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116E37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p>
        </w:tc>
      </w:tr>
      <w:tr w14:paraId="4A63634B">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4FBD3D4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B9DC57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070BD0E">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244A08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6D53D3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6C715D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r>
      <w:tr w14:paraId="0016530A">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9681AC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right w:val="single" w:color="000000" w:sz="4" w:space="0"/>
            </w:tcBorders>
            <w:noWrap/>
            <w:vAlign w:val="center"/>
          </w:tcPr>
          <w:p w14:paraId="4194893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768F81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B4887B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农村公路日常养护</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03321E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完成辖区内744.73公里农村公路的日常养护、巡查和病害处置，保障道路通行安全</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94BF00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全面完成辖区744.73公里农村公路常态化日常养护与全覆盖巡查，路面裂缝、坑槽等病害处置及时率100%，全年道路通行零安全责任事故</w:t>
            </w:r>
          </w:p>
        </w:tc>
      </w:tr>
      <w:tr w14:paraId="40D25F8D">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3B7772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left w:val="single" w:color="000000" w:sz="4" w:space="0"/>
              <w:right w:val="single" w:color="000000" w:sz="4" w:space="0"/>
            </w:tcBorders>
            <w:noWrap/>
            <w:vAlign w:val="center"/>
          </w:tcPr>
          <w:p w14:paraId="3951BAE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0D79D9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135EF0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人员及公用经费保障</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D3B291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足额保障58.8万元人员及公用经费，保障机构正常运转和工作开展</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F36501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足额拨付58.8万元人员及公用经费，资金规范使用，有效保障单位人员薪酬发放、日常办公及各项业务工作有序开展</w:t>
            </w:r>
          </w:p>
        </w:tc>
      </w:tr>
      <w:tr w14:paraId="6FEC2F09">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32215C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left w:val="single" w:color="000000" w:sz="4" w:space="0"/>
              <w:right w:val="single" w:color="000000" w:sz="4" w:space="0"/>
            </w:tcBorders>
            <w:noWrap/>
            <w:vAlign w:val="center"/>
          </w:tcPr>
          <w:p w14:paraId="11E7310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A79D1D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CAA32D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交通安全生产行政执法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0308FB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持续开展交通安全生产行政执法工作，全年保持执法常态化、规范化，有效防范道路运输安全事故</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098FD89">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全年开展道路交通</w:t>
            </w:r>
          </w:p>
        </w:tc>
      </w:tr>
      <w:tr w14:paraId="788E6762">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9565D5F">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left w:val="single" w:color="000000" w:sz="4" w:space="0"/>
              <w:bottom w:val="single" w:color="000000" w:sz="4" w:space="0"/>
              <w:right w:val="single" w:color="000000" w:sz="4" w:space="0"/>
            </w:tcBorders>
            <w:noWrap/>
            <w:vAlign w:val="center"/>
          </w:tcPr>
          <w:p w14:paraId="5A0A0F5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2D32E1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07F56C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年度建设规模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AE1A15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完成年度56公里农村公路新建/改建任务，完善区域路网结构</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AD2CFE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按期高质量完成56公里农村公路新建及改建工程</w:t>
            </w:r>
          </w:p>
        </w:tc>
      </w:tr>
      <w:tr w14:paraId="6B099292">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7B585B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3FA3F2FA">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3E9F51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75E6CFB">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基本公共服务提升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A99D2F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通过公路养护、建设和执法管理，持续提升农村公路基本公共服务水平，保障群众出行便捷、安全</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758D92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农村公路通行条件改善，路网通行效率提升，农村客运覆盖范围进一步扩大，群众出行便捷度显著增强</w:t>
            </w:r>
          </w:p>
        </w:tc>
      </w:tr>
      <w:tr w14:paraId="6A90001D">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4233CC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E28A98B">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17A0F12">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可持续影响指标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61895B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对道路通行质量产生的影响</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8B18935">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通过日常养护、病害治理和工程建设，有效改善道路通行条件，提升路面平整度、通行舒适度和耐久性，形成长期稳定的道路通行保障能力</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1154F8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有效保障通行安全</w:t>
            </w:r>
          </w:p>
        </w:tc>
      </w:tr>
      <w:tr w14:paraId="23FAF7CB">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19BFBF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016F94D">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7886E7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22A92C0">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BBEA246">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1CC8078">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r>
      <w:tr w14:paraId="1AC1CA3B">
        <w:tblPrEx>
          <w:tblCellMar>
            <w:top w:w="0" w:type="dxa"/>
            <w:left w:w="108" w:type="dxa"/>
            <w:bottom w:w="0" w:type="dxa"/>
            <w:right w:w="108" w:type="dxa"/>
          </w:tblCellMar>
        </w:tblPrEx>
        <w:trPr>
          <w:trHeight w:val="306" w:hRule="atLeast"/>
          <w:jc w:val="center"/>
        </w:trPr>
        <w:tc>
          <w:tcPr>
            <w:tcW w:w="331" w:type="dxa"/>
            <w:tcBorders>
              <w:top w:val="single" w:color="000000" w:sz="4" w:space="0"/>
              <w:left w:val="single" w:color="000000" w:sz="4" w:space="0"/>
              <w:bottom w:val="single" w:color="000000" w:sz="4" w:space="0"/>
              <w:right w:val="single" w:color="000000" w:sz="4" w:space="0"/>
            </w:tcBorders>
            <w:noWrap/>
            <w:vAlign w:val="center"/>
          </w:tcPr>
          <w:p w14:paraId="1209901C">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3053D8E">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D8924B7">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121B9A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群众满意度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F62A8A3">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群众对农村公路路况、通行安全和服务保障的综合满意度达到90%以上，群众出行体验持续改善</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AB14481">
            <w:pPr>
              <w:keepNext w:val="0"/>
              <w:keepLines w:val="0"/>
              <w:pageBreakBefore w:val="0"/>
              <w:widowControl w:val="0"/>
              <w:wordWrap/>
              <w:overflowPunct w:val="0"/>
              <w:topLinePunct w:val="0"/>
              <w:bidi w:val="0"/>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群众对农村公路路况、通行安全和服务保障的综合满意度达到90%以上，群众出行体验持续改善</w:t>
            </w:r>
          </w:p>
        </w:tc>
      </w:tr>
    </w:tbl>
    <w:p w14:paraId="15823E3B">
      <w:pPr>
        <w:keepNext w:val="0"/>
        <w:keepLines w:val="0"/>
        <w:pageBreakBefore w:val="0"/>
        <w:widowControl w:val="0"/>
        <w:wordWrap/>
        <w:overflowPunct w:val="0"/>
        <w:topLinePunct w:val="0"/>
        <w:bidi w:val="0"/>
        <w:rPr>
          <w:rFonts w:hint="default" w:ascii="Times New Roman" w:hAnsi="Times New Roman" w:eastAsia="黑体" w:cs="Times New Roman"/>
          <w:sz w:val="24"/>
        </w:rPr>
      </w:pPr>
    </w:p>
    <w:p w14:paraId="45C78A16">
      <w:pPr>
        <w:keepNext w:val="0"/>
        <w:keepLines w:val="0"/>
        <w:pageBreakBefore w:val="0"/>
        <w:widowControl w:val="0"/>
        <w:wordWrap/>
        <w:overflowPunct w:val="0"/>
        <w:topLinePunct w:val="0"/>
        <w:bidi w:val="0"/>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rPr>
        <w:br w:type="page"/>
      </w:r>
    </w:p>
    <w:p w14:paraId="2425C241">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农村客运发展专项项目预算绩效</w:t>
      </w:r>
    </w:p>
    <w:p w14:paraId="6174BE4B">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自评报告（2025年度）</w:t>
      </w:r>
    </w:p>
    <w:p w14:paraId="62C38764">
      <w:pPr>
        <w:keepNext w:val="0"/>
        <w:keepLines w:val="0"/>
        <w:pageBreakBefore w:val="0"/>
        <w:widowControl w:val="0"/>
        <w:kinsoku w:val="0"/>
        <w:wordWrap/>
        <w:overflowPunct w:val="0"/>
        <w:topLinePunct w:val="0"/>
        <w:autoSpaceDE/>
        <w:autoSpaceDN/>
        <w:bidi w:val="0"/>
        <w:adjustRightInd/>
        <w:snapToGrid/>
        <w:spacing w:line="576" w:lineRule="exact"/>
        <w:ind w:left="0" w:leftChars="0"/>
        <w:textAlignment w:val="auto"/>
        <w:rPr>
          <w:rFonts w:hint="default" w:ascii="Times New Roman" w:hAnsi="Times New Roman" w:eastAsia="方正仿宋_GBK" w:cs="Times New Roman"/>
        </w:rPr>
      </w:pPr>
    </w:p>
    <w:p w14:paraId="1D220CF9">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一、项目概况</w:t>
      </w:r>
    </w:p>
    <w:p w14:paraId="075F3226">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en-US" w:eastAsia="zh-CN"/>
        </w:rPr>
        <w:t>（一）设立背景及基本情况</w:t>
      </w:r>
    </w:p>
    <w:p w14:paraId="00165641">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为巩固拓展脱贫攻坚成果、全面推进乡村振兴，保障农村群众基本出行需求，提升农村客运服务均等化水平，依据上级农村客运发展以奖代补资金管理要求，设立本</w:t>
      </w:r>
      <w:r>
        <w:rPr>
          <w:rFonts w:hint="eastAsia" w:eastAsia="方正仿宋_GBK" w:cs="Times New Roman"/>
          <w:sz w:val="32"/>
          <w:szCs w:val="32"/>
          <w:shd w:val="clear" w:color="auto" w:fill="FFFFFF"/>
          <w:lang w:val="en-US" w:eastAsia="zh-CN"/>
        </w:rPr>
        <w:t>级</w:t>
      </w:r>
      <w:r>
        <w:rPr>
          <w:rFonts w:hint="default" w:ascii="Times New Roman" w:hAnsi="Times New Roman" w:eastAsia="方正仿宋_GBK" w:cs="Times New Roman"/>
          <w:sz w:val="32"/>
          <w:szCs w:val="32"/>
          <w:shd w:val="clear" w:color="auto" w:fill="FFFFFF"/>
          <w:lang w:val="en-US" w:eastAsia="zh-CN"/>
        </w:rPr>
        <w:t>农村客运发展专项项目。项目主管部门承担辖区农村客运行业管理、政策落实、资金监管、服务保障等职能，主要通过基准奖补+以奖代补方式，对符合条件的农村客运经营者、线路运营、车辆更新等给予资金支持，稳定农村客运运营秩序，提升农村客运通达深度与服务质量。</w:t>
      </w:r>
    </w:p>
    <w:p w14:paraId="079BE557">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en-US" w:eastAsia="zh-CN"/>
        </w:rPr>
        <w:t>（二）实施目的及支持方向</w:t>
      </w:r>
    </w:p>
    <w:p w14:paraId="342292A4">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项目已按照上级要求制定农村客运发展以奖代补资金管理相关细则，明确资金使用规范。实施目的为保障农村客运线路可持续运营，消除农村群众出行盲区，提升农村客运安全与服务水平；主要工作任务包括农村客运线路维护、车辆安全保障、运营补贴兑付、服务质量提升等；支持方向聚焦农村客运基准运营保障、线路通达性提升、客运服务规范化建设。</w:t>
      </w:r>
    </w:p>
    <w:p w14:paraId="32A2C749">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en-US" w:eastAsia="zh-CN"/>
        </w:rPr>
        <w:t>（三）预算安排及分配管理</w:t>
      </w:r>
    </w:p>
    <w:p w14:paraId="3B2E13EF">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1.2021-2022年度：</w:t>
      </w:r>
      <w:r>
        <w:rPr>
          <w:rFonts w:hint="default" w:ascii="Times New Roman" w:hAnsi="Times New Roman" w:eastAsia="方正仿宋_GBK" w:cs="Times New Roman"/>
          <w:sz w:val="32"/>
          <w:szCs w:val="32"/>
          <w:shd w:val="clear" w:color="auto" w:fill="FFFFFF"/>
          <w:lang w:val="en-US" w:eastAsia="zh-CN"/>
        </w:rPr>
        <w:t>下达农村客运发展</w:t>
      </w:r>
      <w:r>
        <w:rPr>
          <w:rFonts w:hint="eastAsia" w:eastAsia="方正仿宋_GBK" w:cs="Times New Roman"/>
          <w:sz w:val="32"/>
          <w:szCs w:val="32"/>
          <w:shd w:val="clear" w:color="auto" w:fill="FFFFFF"/>
          <w:lang w:val="en-US" w:eastAsia="zh-CN"/>
        </w:rPr>
        <w:t>“</w:t>
      </w:r>
      <w:r>
        <w:rPr>
          <w:rFonts w:hint="default" w:ascii="Times New Roman" w:hAnsi="Times New Roman" w:eastAsia="方正仿宋_GBK" w:cs="Times New Roman"/>
          <w:sz w:val="32"/>
          <w:szCs w:val="32"/>
          <w:shd w:val="clear" w:color="auto" w:fill="FFFFFF"/>
          <w:lang w:val="en-US" w:eastAsia="zh-CN"/>
        </w:rPr>
        <w:t>以奖代补</w:t>
      </w:r>
      <w:r>
        <w:rPr>
          <w:rFonts w:hint="eastAsia" w:eastAsia="方正仿宋_GBK" w:cs="Times New Roman"/>
          <w:sz w:val="32"/>
          <w:szCs w:val="32"/>
          <w:shd w:val="clear" w:color="auto" w:fill="FFFFFF"/>
          <w:lang w:val="en-US" w:eastAsia="zh-CN"/>
        </w:rPr>
        <w:t>”</w:t>
      </w:r>
      <w:r>
        <w:rPr>
          <w:rFonts w:hint="default" w:ascii="Times New Roman" w:hAnsi="Times New Roman" w:eastAsia="方正仿宋_GBK" w:cs="Times New Roman"/>
          <w:sz w:val="32"/>
          <w:szCs w:val="32"/>
          <w:shd w:val="clear" w:color="auto" w:fill="FFFFFF"/>
          <w:lang w:val="en-US" w:eastAsia="zh-CN"/>
        </w:rPr>
        <w:t>基准奖补资金1.1674万元，截至自评日未支付。</w:t>
      </w:r>
    </w:p>
    <w:p w14:paraId="39FFE120">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2.2023年度：</w:t>
      </w:r>
      <w:r>
        <w:rPr>
          <w:rFonts w:hint="default" w:ascii="Times New Roman" w:hAnsi="Times New Roman" w:eastAsia="方正仿宋_GBK" w:cs="Times New Roman"/>
          <w:sz w:val="32"/>
          <w:szCs w:val="32"/>
          <w:shd w:val="clear" w:color="auto" w:fill="FFFFFF"/>
          <w:lang w:val="en-US" w:eastAsia="zh-CN"/>
        </w:rPr>
        <w:t>下达农村客运发展专项奖补资金354.3940万元，截至自评日未支付。</w:t>
      </w:r>
    </w:p>
    <w:p w14:paraId="06BB0D55">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3.2024年度：</w:t>
      </w:r>
      <w:r>
        <w:rPr>
          <w:rFonts w:hint="default" w:ascii="Times New Roman" w:hAnsi="Times New Roman" w:eastAsia="方正仿宋_GBK" w:cs="Times New Roman"/>
          <w:sz w:val="32"/>
          <w:szCs w:val="32"/>
          <w:shd w:val="clear" w:color="auto" w:fill="FFFFFF"/>
          <w:lang w:val="en-US" w:eastAsia="zh-CN"/>
        </w:rPr>
        <w:t>分两批下达资金，分别为7.44万元、120.85万元，合计128.29万元。项目资金严格按照农村客运以奖代补政策分配，依据线路运营里程、运营时长、服务质量、通达覆盖等因素核定，聚焦保障农村客运基本运营与重点线路扶持。</w:t>
      </w:r>
    </w:p>
    <w:p w14:paraId="032DB26D">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楷体_GBK" w:cs="Times New Roman"/>
          <w:b/>
          <w:color w:val="auto"/>
          <w:sz w:val="32"/>
          <w:szCs w:val="32"/>
          <w:highlight w:val="none"/>
          <w:lang w:val="en-US" w:eastAsia="zh-CN"/>
        </w:rPr>
        <w:t>（四）项目绩效目标设置</w:t>
      </w:r>
    </w:p>
    <w:p w14:paraId="16059E12">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项目整体绩效目标为保障农村客运线路稳定运营，提升农村客运覆盖率与群众出行满意度，规范资金使用管理；区域绩效目标覆盖辖区所有乡镇及建制村通客车保障；具体绩效目标包括资金按规定兑付、农村客运线路正常运营、群众出行便捷度提升等。本项目严格按照要求开展绩效自评，选取相关农村客运企业、运营线路、乡镇站点作为评价点位，完成资料核查、数据统计、现场核实等工作。</w:t>
      </w:r>
    </w:p>
    <w:p w14:paraId="0BA28276">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二、评价实施</w:t>
      </w:r>
    </w:p>
    <w:p w14:paraId="7B24254A">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en-US" w:eastAsia="zh-CN"/>
        </w:rPr>
        <w:t>（一）评价目的</w:t>
      </w:r>
    </w:p>
    <w:p w14:paraId="18BA3E66">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全面核查2021-2024年度农村客运发展专项项目资金使用、执行及实施效果，客观评价项目决策、管理、实施与产出效益，发现问题并提出改进措施，提升专项资金使用效益与农村客运服务水平。</w:t>
      </w:r>
    </w:p>
    <w:p w14:paraId="2D7C3644">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en-US" w:eastAsia="zh-CN"/>
        </w:rPr>
        <w:t>（二）预设问题及评价重点</w:t>
      </w:r>
    </w:p>
    <w:p w14:paraId="003B2BC4">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重点评价项目决策程序、资金分配合规性、预算执行进度、资金支付管理、农村客运运营保障效果、群众满意度等，核查资金支付滞后原因、资金使用合规性、绩效目标实现程度。</w:t>
      </w:r>
    </w:p>
    <w:p w14:paraId="277CF92D">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en-US" w:eastAsia="zh-CN"/>
        </w:rPr>
        <w:t>（三）评价选点</w:t>
      </w:r>
    </w:p>
    <w:p w14:paraId="5EEB62A4">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按照要求选取辖区内农村客运企业、重点运营乡镇、客运线路站点作为实地踏勘点位，覆盖资金支持对象。</w:t>
      </w:r>
    </w:p>
    <w:p w14:paraId="6A0F7E72">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楷体_GBK" w:cs="Times New Roman"/>
          <w:b/>
          <w:color w:val="auto"/>
          <w:sz w:val="32"/>
          <w:szCs w:val="32"/>
          <w:highlight w:val="none"/>
          <w:lang w:val="en-US" w:eastAsia="zh-CN"/>
        </w:rPr>
        <w:t>（四）评价方法</w:t>
      </w:r>
    </w:p>
    <w:p w14:paraId="1FC2F638">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采用案卷研究法、实地勘</w:t>
      </w:r>
      <w:r>
        <w:rPr>
          <w:rFonts w:hint="eastAsia" w:eastAsia="方正仿宋_GBK" w:cs="Times New Roman"/>
          <w:sz w:val="32"/>
          <w:szCs w:val="32"/>
          <w:shd w:val="clear" w:color="auto" w:fill="FFFFFF"/>
          <w:lang w:val="en-US" w:eastAsia="zh-CN"/>
        </w:rPr>
        <w:t>查</w:t>
      </w:r>
      <w:r>
        <w:rPr>
          <w:rFonts w:hint="default" w:ascii="Times New Roman" w:hAnsi="Times New Roman" w:eastAsia="方正仿宋_GBK" w:cs="Times New Roman"/>
          <w:sz w:val="32"/>
          <w:szCs w:val="32"/>
          <w:shd w:val="clear" w:color="auto" w:fill="FFFFFF"/>
          <w:lang w:val="en-US" w:eastAsia="zh-CN"/>
        </w:rPr>
        <w:t>法、单位自评法、数据核算法，结合资金拨付凭证、运营台账、兑付记录开展综合评价。</w:t>
      </w:r>
    </w:p>
    <w:p w14:paraId="67A711F8">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楷体_GBK" w:cs="Times New Roman"/>
          <w:b/>
          <w:color w:val="auto"/>
          <w:sz w:val="32"/>
          <w:szCs w:val="32"/>
          <w:highlight w:val="none"/>
          <w:lang w:val="en-US" w:eastAsia="zh-CN"/>
        </w:rPr>
        <w:t>（五）评价组织</w:t>
      </w:r>
    </w:p>
    <w:p w14:paraId="03760C7D">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由主管部门财务、业务人员组成自评小组，明确分工：业务股室负责运营数据、绩效目标核实，报告撰写与表格填报；财务股负责资金预算、执行、支付情况核查。</w:t>
      </w:r>
    </w:p>
    <w:p w14:paraId="4F9943FF">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三、绩效分析</w:t>
      </w:r>
    </w:p>
    <w:p w14:paraId="7904391C">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en-US" w:eastAsia="zh-CN"/>
        </w:rPr>
        <w:t>（一）通用指标绩效分析</w:t>
      </w:r>
    </w:p>
    <w:p w14:paraId="45B3FFC9">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1.项目决策：</w:t>
      </w:r>
      <w:r>
        <w:rPr>
          <w:rFonts w:hint="default" w:ascii="Times New Roman" w:hAnsi="Times New Roman" w:eastAsia="方正仿宋_GBK" w:cs="Times New Roman"/>
          <w:sz w:val="32"/>
          <w:szCs w:val="32"/>
          <w:shd w:val="clear" w:color="auto" w:fill="FFFFFF"/>
          <w:lang w:val="en-US" w:eastAsia="zh-CN"/>
        </w:rPr>
        <w:t>决策程序合规，依据上级政策立项论证，资金投向符合农村客运发展方向。</w:t>
      </w:r>
    </w:p>
    <w:p w14:paraId="0F190660">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2.项目管理：</w:t>
      </w:r>
      <w:r>
        <w:rPr>
          <w:rFonts w:hint="default" w:ascii="Times New Roman" w:hAnsi="Times New Roman" w:eastAsia="方正仿宋_GBK" w:cs="Times New Roman"/>
          <w:sz w:val="32"/>
          <w:szCs w:val="32"/>
          <w:shd w:val="clear" w:color="auto" w:fill="FFFFFF"/>
          <w:lang w:val="en-US" w:eastAsia="zh-CN"/>
        </w:rPr>
        <w:t>制度办法健全，资金分配因素合理，绩效监管按要求开展。</w:t>
      </w:r>
    </w:p>
    <w:p w14:paraId="526815EB">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3.项目实施：</w:t>
      </w:r>
      <w:r>
        <w:rPr>
          <w:rFonts w:hint="default" w:ascii="Times New Roman" w:hAnsi="Times New Roman" w:eastAsia="方正仿宋_GBK" w:cs="Times New Roman"/>
          <w:sz w:val="32"/>
          <w:szCs w:val="32"/>
          <w:shd w:val="clear" w:color="auto" w:fill="FFFFFF"/>
          <w:lang w:val="en-US" w:eastAsia="zh-CN"/>
        </w:rPr>
        <w:t>2021-2022、2023、2024年度资金未支付，预算执行与资金使用滞后明显。</w:t>
      </w:r>
    </w:p>
    <w:p w14:paraId="7DB7975A">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仿宋_GBK" w:cs="Times New Roman"/>
          <w:b/>
          <w:bCs/>
          <w:color w:val="000000"/>
          <w:kern w:val="0"/>
          <w:sz w:val="32"/>
          <w:szCs w:val="32"/>
          <w:lang w:val="en-US" w:eastAsia="zh-CN" w:bidi="ar-SA"/>
        </w:rPr>
        <w:t>4.项目结果：</w:t>
      </w:r>
      <w:r>
        <w:rPr>
          <w:rFonts w:hint="default" w:ascii="Times New Roman" w:hAnsi="Times New Roman" w:eastAsia="方正仿宋_GBK" w:cs="Times New Roman"/>
          <w:sz w:val="32"/>
          <w:szCs w:val="32"/>
          <w:shd w:val="clear" w:color="auto" w:fill="FFFFFF"/>
          <w:lang w:val="en-US" w:eastAsia="zh-CN"/>
        </w:rPr>
        <w:t>因历史资金未支付，整体时效未达预期。</w:t>
      </w:r>
    </w:p>
    <w:p w14:paraId="1953B121">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楷体_GBK" w:cs="Times New Roman"/>
          <w:b/>
          <w:color w:val="auto"/>
          <w:sz w:val="32"/>
          <w:szCs w:val="32"/>
          <w:highlight w:val="none"/>
          <w:lang w:val="en-US" w:eastAsia="zh-CN"/>
        </w:rPr>
        <w:t>（二）专用指标绩效分析（民生保障类）</w:t>
      </w:r>
    </w:p>
    <w:p w14:paraId="69BC7103">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1.区域均衡性：</w:t>
      </w:r>
      <w:r>
        <w:rPr>
          <w:rFonts w:hint="default" w:ascii="Times New Roman" w:hAnsi="Times New Roman" w:eastAsia="方正仿宋_GBK" w:cs="Times New Roman"/>
          <w:sz w:val="32"/>
          <w:szCs w:val="32"/>
          <w:shd w:val="clear" w:color="auto" w:fill="FFFFFF"/>
          <w:lang w:val="en-US" w:eastAsia="zh-CN"/>
        </w:rPr>
        <w:t>资金覆盖辖区农村客运重点区域，均衡性良好。</w:t>
      </w:r>
    </w:p>
    <w:p w14:paraId="48F65CBB">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2.对象精准性：</w:t>
      </w:r>
      <w:r>
        <w:rPr>
          <w:rFonts w:hint="default" w:ascii="Times New Roman" w:hAnsi="Times New Roman" w:eastAsia="方正仿宋_GBK" w:cs="Times New Roman"/>
          <w:sz w:val="32"/>
          <w:szCs w:val="32"/>
          <w:shd w:val="clear" w:color="auto" w:fill="FFFFFF"/>
          <w:lang w:val="en-US" w:eastAsia="zh-CN"/>
        </w:rPr>
        <w:t>支持对象符合农村客运以奖代补范围，精准对应运营主体与线路。</w:t>
      </w:r>
    </w:p>
    <w:p w14:paraId="34A86562">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3.标准合理性：</w:t>
      </w:r>
      <w:r>
        <w:rPr>
          <w:rFonts w:hint="default" w:ascii="Times New Roman" w:hAnsi="Times New Roman" w:eastAsia="方正仿宋_GBK" w:cs="Times New Roman"/>
          <w:sz w:val="32"/>
          <w:szCs w:val="32"/>
          <w:shd w:val="clear" w:color="auto" w:fill="FFFFFF"/>
          <w:lang w:val="en-US" w:eastAsia="zh-CN"/>
        </w:rPr>
        <w:t>补贴标准符合上级规定。</w:t>
      </w:r>
    </w:p>
    <w:p w14:paraId="2E60CE5D">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4.群众满意度：</w:t>
      </w:r>
      <w:r>
        <w:rPr>
          <w:rFonts w:hint="default" w:ascii="Times New Roman" w:hAnsi="Times New Roman" w:eastAsia="方正仿宋_GBK" w:cs="Times New Roman"/>
          <w:sz w:val="32"/>
          <w:szCs w:val="32"/>
          <w:shd w:val="clear" w:color="auto" w:fill="FFFFFF"/>
          <w:lang w:val="en-US" w:eastAsia="zh-CN"/>
        </w:rPr>
        <w:t>农村客运服务稳定，受益群众满意度较高。</w:t>
      </w:r>
    </w:p>
    <w:p w14:paraId="75F33E10">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en-US" w:eastAsia="zh-CN"/>
        </w:rPr>
        <w:t>（三）个性指标绩效分析</w:t>
      </w:r>
    </w:p>
    <w:p w14:paraId="20FFD41A">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围绕农村客运线路通达率、运营保障时长、安全运营天数等个性指标，因历史资金未支付影响整体绩效。</w:t>
      </w:r>
    </w:p>
    <w:p w14:paraId="1D656B88">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黑体_GBK" w:cs="Times New Roman"/>
          <w:color w:val="auto"/>
          <w:sz w:val="32"/>
          <w:szCs w:val="32"/>
          <w:highlight w:val="none"/>
          <w:lang w:val="en-US" w:eastAsia="zh-CN"/>
        </w:rPr>
        <w:t>四、评价结论</w:t>
      </w:r>
    </w:p>
    <w:p w14:paraId="133ABA5F">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本项目2021-2024年度农村客运发展专项预算绩效自评总得分为76.5分，评价等级为中。项目决策科学、管理规范，资金分配精准，2021-2022、2023、2024年度资金存在未支付情况，预算执行率偏低、资金支付时效不足，拉低整体绩效得分。</w:t>
      </w:r>
    </w:p>
    <w:p w14:paraId="42D059BC">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五、存在主要问题</w:t>
      </w:r>
    </w:p>
    <w:p w14:paraId="58F7DE71">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1.历史年度资金支付严重滞后：</w:t>
      </w:r>
      <w:r>
        <w:rPr>
          <w:rFonts w:hint="default" w:ascii="Times New Roman" w:hAnsi="Times New Roman" w:eastAsia="方正仿宋_GBK" w:cs="Times New Roman"/>
          <w:sz w:val="32"/>
          <w:szCs w:val="32"/>
          <w:shd w:val="clear" w:color="auto" w:fill="FFFFFF"/>
          <w:lang w:val="en-US" w:eastAsia="zh-CN"/>
        </w:rPr>
        <w:t>2021-2022年度1.1674万元、2023年度354.3940万元、2024年度120.85万元基准奖补资金未支付，预算执行率偏低。</w:t>
      </w:r>
    </w:p>
    <w:p w14:paraId="047228B3">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2.绩效跟踪督办不到位：</w:t>
      </w:r>
      <w:r>
        <w:rPr>
          <w:rFonts w:hint="default" w:ascii="Times New Roman" w:hAnsi="Times New Roman" w:eastAsia="方正仿宋_GBK" w:cs="Times New Roman"/>
          <w:sz w:val="32"/>
          <w:szCs w:val="32"/>
          <w:shd w:val="clear" w:color="auto" w:fill="FFFFFF"/>
          <w:lang w:val="en-US" w:eastAsia="zh-CN"/>
        </w:rPr>
        <w:t>对历史年度资金支付进度跟踪提醒不及时，未形成常态化督办机制。</w:t>
      </w:r>
    </w:p>
    <w:p w14:paraId="267FA800">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六、改进建议</w:t>
      </w:r>
    </w:p>
    <w:p w14:paraId="144219EC">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1.针对资金支付滞后问题：</w:t>
      </w:r>
      <w:r>
        <w:rPr>
          <w:rFonts w:hint="default" w:ascii="Times New Roman" w:hAnsi="Times New Roman" w:eastAsia="方正仿宋_GBK" w:cs="Times New Roman"/>
          <w:sz w:val="32"/>
          <w:szCs w:val="32"/>
          <w:shd w:val="clear" w:color="auto" w:fill="FFFFFF"/>
          <w:lang w:val="en-US" w:eastAsia="zh-CN"/>
        </w:rPr>
        <w:t>立即梳理2021-2022、2023、2024年度未支付资金台账，完善兑付资料，加快审批流程，限期完成资金全额支付，同步做好支付凭证归档。</w:t>
      </w:r>
    </w:p>
    <w:p w14:paraId="5FEA5086">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2.针对绩效跟踪不足问题：</w:t>
      </w:r>
      <w:r>
        <w:rPr>
          <w:rFonts w:hint="default" w:ascii="Times New Roman" w:hAnsi="Times New Roman" w:eastAsia="方正仿宋_GBK" w:cs="Times New Roman"/>
          <w:sz w:val="32"/>
          <w:szCs w:val="32"/>
          <w:shd w:val="clear" w:color="auto" w:fill="FFFFFF"/>
          <w:lang w:val="en-US" w:eastAsia="zh-CN"/>
        </w:rPr>
        <w:t>建立资金执行月度跟踪、季度通报机制，将预算执行与支付进度纳入常态化绩效监管，确保资金及时兑付、专款专用。</w:t>
      </w:r>
    </w:p>
    <w:tbl>
      <w:tblPr>
        <w:tblStyle w:val="16"/>
        <w:tblpPr w:leftFromText="180" w:rightFromText="180" w:vertAnchor="text" w:horzAnchor="page" w:tblpX="1250" w:tblpY="585"/>
        <w:tblOverlap w:val="never"/>
        <w:tblW w:w="105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6"/>
        <w:gridCol w:w="765"/>
        <w:gridCol w:w="1035"/>
        <w:gridCol w:w="2502"/>
        <w:gridCol w:w="615"/>
        <w:gridCol w:w="600"/>
        <w:gridCol w:w="1305"/>
        <w:gridCol w:w="945"/>
        <w:gridCol w:w="690"/>
        <w:gridCol w:w="916"/>
        <w:gridCol w:w="646"/>
      </w:tblGrid>
      <w:tr w14:paraId="63F9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575" w:type="dxa"/>
            <w:gridSpan w:val="11"/>
            <w:tcBorders>
              <w:top w:val="nil"/>
              <w:left w:val="nil"/>
              <w:bottom w:val="nil"/>
              <w:right w:val="nil"/>
            </w:tcBorders>
            <w:shd w:val="clear" w:color="auto" w:fill="auto"/>
            <w:vAlign w:val="center"/>
          </w:tcPr>
          <w:p w14:paraId="17DB88C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32"/>
                <w:szCs w:val="32"/>
                <w:u w:val="none"/>
              </w:rPr>
            </w:pPr>
            <w:r>
              <w:rPr>
                <w:rStyle w:val="35"/>
                <w:rFonts w:hint="default" w:ascii="Times New Roman" w:hAnsi="Times New Roman" w:cs="Times New Roman"/>
                <w:lang w:val="en-US" w:eastAsia="zh-CN" w:bidi="ar"/>
              </w:rPr>
              <w:t>绩效目标自评表</w:t>
            </w:r>
            <w:r>
              <w:rPr>
                <w:rStyle w:val="36"/>
                <w:rFonts w:hint="default" w:ascii="Times New Roman" w:hAnsi="Times New Roman" w:cs="Times New Roman"/>
                <w:lang w:val="en-US" w:eastAsia="zh-CN" w:bidi="ar"/>
              </w:rPr>
              <w:t xml:space="preserve"> </w:t>
            </w:r>
          </w:p>
        </w:tc>
      </w:tr>
      <w:tr w14:paraId="07877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575" w:type="dxa"/>
            <w:gridSpan w:val="11"/>
            <w:tcBorders>
              <w:top w:val="nil"/>
              <w:left w:val="nil"/>
              <w:bottom w:val="single" w:color="000000" w:sz="4" w:space="0"/>
              <w:right w:val="nil"/>
            </w:tcBorders>
            <w:shd w:val="clear" w:color="auto" w:fill="auto"/>
            <w:vAlign w:val="top"/>
          </w:tcPr>
          <w:p w14:paraId="5C57B75F">
            <w:pPr>
              <w:keepNext w:val="0"/>
              <w:keepLines w:val="0"/>
              <w:pageBreakBefore w:val="0"/>
              <w:widowControl w:val="0"/>
              <w:suppressLineNumbers w:val="0"/>
              <w:wordWrap/>
              <w:overflowPunct w:val="0"/>
              <w:topLinePunct w:val="0"/>
              <w:bidi w:val="0"/>
              <w:jc w:val="center"/>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（2025年度）</w:t>
            </w:r>
          </w:p>
        </w:tc>
      </w:tr>
      <w:tr w14:paraId="7325E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3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22148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37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9BF1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农村客运发展专项项目</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BA0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项目负责人及电话</w:t>
            </w:r>
          </w:p>
        </w:tc>
        <w:tc>
          <w:tcPr>
            <w:tcW w:w="319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671BF5">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黄靖 0837-2378243</w:t>
            </w:r>
          </w:p>
        </w:tc>
      </w:tr>
      <w:tr w14:paraId="03278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3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D7630">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37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465D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壤塘县交通运输局</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8EB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w:t>
            </w:r>
          </w:p>
        </w:tc>
        <w:tc>
          <w:tcPr>
            <w:tcW w:w="319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01F53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壤塘县高原出租有限公司</w:t>
            </w:r>
          </w:p>
        </w:tc>
      </w:tr>
      <w:tr w14:paraId="549C5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35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91D3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资金情况</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（万元）</w:t>
            </w: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6141">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C717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全年预算数（A）</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E84F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全年执行数（B）</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211D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79002">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执行率（B/A)</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3ED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r>
      <w:tr w14:paraId="211FB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BE66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3336">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年度资金总额：</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38DC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483.8514</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BC65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077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AFA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BCB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r>
      <w:tr w14:paraId="63ED8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BFCF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B3D5">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20"/>
                <w:szCs w:val="20"/>
                <w:u w:val="none"/>
              </w:rPr>
            </w:pPr>
            <w:r>
              <w:rPr>
                <w:rStyle w:val="37"/>
                <w:rFonts w:hint="default" w:ascii="Times New Roman" w:hAnsi="Times New Roman" w:cs="Times New Roman"/>
                <w:lang w:val="en-US" w:eastAsia="zh-CN" w:bidi="ar"/>
              </w:rPr>
              <w:t xml:space="preserve"> </w:t>
            </w:r>
            <w:r>
              <w:rPr>
                <w:rStyle w:val="38"/>
                <w:rFonts w:hint="default" w:ascii="Times New Roman" w:hAnsi="Times New Roman" w:cs="Times New Roman"/>
                <w:lang w:val="en-US" w:eastAsia="zh-CN" w:bidi="ar"/>
              </w:rPr>
              <w:t>其中：本年财政拨款</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2FB69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7114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AD9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E1C6">
            <w:pPr>
              <w:keepNext w:val="0"/>
              <w:keepLines w:val="0"/>
              <w:pageBreakBefore w:val="0"/>
              <w:widowControl w:val="0"/>
              <w:wordWrap/>
              <w:overflowPunct w:val="0"/>
              <w:topLinePunct w:val="0"/>
              <w:bidi w:val="0"/>
              <w:jc w:val="left"/>
              <w:rPr>
                <w:rFonts w:hint="default" w:ascii="Times New Roman" w:hAnsi="Times New Roman" w:eastAsia="宋体" w:cs="Times New Roman"/>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C68C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710E5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23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06F8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6F85">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20"/>
                <w:szCs w:val="20"/>
                <w:u w:val="none"/>
              </w:rPr>
            </w:pPr>
            <w:r>
              <w:rPr>
                <w:rStyle w:val="37"/>
                <w:rFonts w:hint="default" w:ascii="Times New Roman" w:hAnsi="Times New Roman" w:cs="Times New Roman"/>
                <w:lang w:val="en-US" w:eastAsia="zh-CN" w:bidi="ar"/>
              </w:rPr>
              <w:t xml:space="preserve"> </w:t>
            </w:r>
            <w:r>
              <w:rPr>
                <w:rStyle w:val="38"/>
                <w:rFonts w:hint="default" w:ascii="Times New Roman" w:hAnsi="Times New Roman" w:cs="Times New Roman"/>
                <w:lang w:val="en-US" w:eastAsia="zh-CN" w:bidi="ar"/>
              </w:rPr>
              <w:t xml:space="preserve">      其他资金</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E7F8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BDC7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D17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DEBE">
            <w:pPr>
              <w:keepNext w:val="0"/>
              <w:keepLines w:val="0"/>
              <w:pageBreakBefore w:val="0"/>
              <w:widowControl w:val="0"/>
              <w:wordWrap/>
              <w:overflowPunct w:val="0"/>
              <w:topLinePunct w:val="0"/>
              <w:bidi w:val="0"/>
              <w:jc w:val="left"/>
              <w:rPr>
                <w:rFonts w:hint="default" w:ascii="Times New Roman" w:hAnsi="Times New Roman" w:eastAsia="宋体" w:cs="Times New Roman"/>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5BD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6B596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3401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w:t>
            </w:r>
          </w:p>
        </w:tc>
        <w:tc>
          <w:tcPr>
            <w:tcW w:w="5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105ED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年初设定目标</w:t>
            </w:r>
          </w:p>
        </w:tc>
        <w:tc>
          <w:tcPr>
            <w:tcW w:w="450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F85A2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年度总体目标完成情况综述</w:t>
            </w:r>
          </w:p>
        </w:tc>
      </w:tr>
      <w:tr w14:paraId="0C63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8B5B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55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C7FBAE">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保障农村客运稳定运营，提升群众出行服务和满意度。</w:t>
            </w:r>
          </w:p>
        </w:tc>
        <w:tc>
          <w:tcPr>
            <w:tcW w:w="450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2E71E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本年度推进农村客运发展专项项目各项筹备工作有序开展，项目年度预算资金483万元暂未实际拨付执行。整体紧扣行业发展规划梳理工作思路、谋划建设运营相关事宜，虽暂未落地实质性建设与补贴发放动作，但前期调研摸底、方案细化、线路统筹等基础工作稳步推进，为后续项目落地实施、发挥客运惠民效能筑牢前期根基。</w:t>
            </w:r>
          </w:p>
        </w:tc>
      </w:tr>
      <w:tr w14:paraId="5B4E0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56"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386197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554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A144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7D2F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CCD5">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FA12">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年度指标值</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ECE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全年实际值</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079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C805E">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未完成原因及拟采取的改进措施</w:t>
            </w:r>
          </w:p>
        </w:tc>
      </w:tr>
      <w:tr w14:paraId="2AF67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3E9F59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BABA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(50分)</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C29F5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260A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补贴车辆数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5C55">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441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6FBE">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AC0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07F8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465C6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74850C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5E57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4FA9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96B5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21D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D1B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F4A5">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FA093">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20BB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03266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1FA98C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8F96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A967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F808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D5C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CD4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359B">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0397A">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DA50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3B29B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1C8C5A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208E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35D675">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质量指标</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EB4E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合规运营率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DF0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79C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BDE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F81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49EA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30CE1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34078E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4424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2197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15AF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补贴资金审核发放合规率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EF1EE">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C65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F2DFA">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F67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CD44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3B82F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28D063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C680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82C2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B16E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ADD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5B8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4FAAA">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1E3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920C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47E5D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1DFDC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75F7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2B0F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时效指标</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214B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532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734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703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E6B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478D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04F94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733B58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7283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AF89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66D9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6FC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D29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02C3">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8EC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E31C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7428D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2DF41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1EA2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D393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66E0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EF2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F71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0049">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728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48EA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7E2BE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3A835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9DE6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E0FB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成本指标</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F6C9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全年农客发展补贴总费用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5C25">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E05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≤483.8514万元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B6F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0万元</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3E2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BC2F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资金方案未过常务会</w:t>
            </w:r>
          </w:p>
        </w:tc>
      </w:tr>
      <w:tr w14:paraId="43744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2792BD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880F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0379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E925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327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093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BE4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96A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95EC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6C425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A47C0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1697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A9E7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167E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093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2FF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4FADB">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7E1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279E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0CDE1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D4098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FCA4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772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F7B3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F35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046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08B6">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E56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A0D9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56A44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B934D3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55962">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(30分)</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73BA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经济效益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E8F3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1BD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920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6DC3E">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5560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5E50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6D1B3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5D1926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39E7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7768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83C3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F26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363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6544">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F45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B16B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2D1B1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1D0993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7488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6C18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29C1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A51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DB6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F38E">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F6F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BCDF9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613FE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111662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CEEE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8225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FAF2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通客车覆盖率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78E2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0" w:type="auto"/>
            <w:tcBorders>
              <w:top w:val="nil"/>
              <w:left w:val="nil"/>
              <w:bottom w:val="nil"/>
              <w:right w:val="nil"/>
            </w:tcBorders>
            <w:shd w:val="clear" w:color="auto" w:fill="auto"/>
            <w:noWrap/>
            <w:vAlign w:val="center"/>
          </w:tcPr>
          <w:p w14:paraId="382F5B7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0F115">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F53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13.5</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81AE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通车范围存在盲区</w:t>
            </w:r>
          </w:p>
        </w:tc>
      </w:tr>
      <w:tr w14:paraId="79575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F3D12F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3057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FA21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B7B3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023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7BB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CF15">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3EC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FEA8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57D70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867920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CC86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5509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6ACF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ED9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2FDD">
            <w:pPr>
              <w:keepNext w:val="0"/>
              <w:keepLines w:val="0"/>
              <w:pageBreakBefore w:val="0"/>
              <w:widowControl w:val="0"/>
              <w:wordWrap/>
              <w:overflowPunct w:val="0"/>
              <w:topLinePunct w:val="0"/>
              <w:bidi w:val="0"/>
              <w:jc w:val="lef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9A8F">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EF0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2AE8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023AB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338890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095F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25D61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生态效益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6C9E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5BD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EEB1">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ECE9">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942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537D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21E93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71966A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1EEE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BB30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A648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6601">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4AD8">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4296">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841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6B2B7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30AD9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46A5DD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5B09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7EC2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39C3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713E">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A057">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0405">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9A7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769A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67B8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19ABA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2766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0774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可持续影响指标</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8E09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线路稳定运营率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6B55">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EAA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C2E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1F7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44E6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20976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542BEC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869B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B0EB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D54B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24E6">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DD07C">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AA0A">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393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62B5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1B27E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F91845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159F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0B00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068A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B78C">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DE72">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BA32">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EF1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9D3B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47E95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14435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6A40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E75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F7F43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139B">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8E0C">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9B63">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74D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CBBA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364C1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BA9E33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50E1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(10分)</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31452">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服务对象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满意度指标</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5920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服务对象满意度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2240">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0" w:type="auto"/>
            <w:tcBorders>
              <w:top w:val="nil"/>
              <w:left w:val="nil"/>
              <w:bottom w:val="nil"/>
              <w:right w:val="nil"/>
            </w:tcBorders>
            <w:shd w:val="clear" w:color="auto" w:fill="auto"/>
            <w:noWrap/>
            <w:vAlign w:val="center"/>
          </w:tcPr>
          <w:p w14:paraId="41CA588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C5C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02E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2DD6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提升服务能力</w:t>
            </w:r>
          </w:p>
        </w:tc>
      </w:tr>
      <w:tr w14:paraId="463B9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85D0D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E3AD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E72C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F6D0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4787">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267C">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0A95">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6028">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5C5B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70F5B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CEC71F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62E6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61A8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BA78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9494F">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7CC9">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88D0">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665B">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DC93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353F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7D947E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1C65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7B1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3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E6E8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F161">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0CE6">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E9C2">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9DB2">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5024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19946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4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984B8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总分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282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100</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B1CE4">
            <w:pPr>
              <w:keepNext w:val="0"/>
              <w:keepLines w:val="0"/>
              <w:pageBreakBefore w:val="0"/>
              <w:widowControl w:val="0"/>
              <w:wordWrap/>
              <w:overflowPunct w:val="0"/>
              <w:topLinePunct w:val="0"/>
              <w:bidi w:val="0"/>
              <w:jc w:val="center"/>
              <w:rPr>
                <w:rFonts w:hint="default" w:ascii="Times New Roman" w:hAnsi="Times New Roman" w:eastAsia="宋体" w:cs="Times New Roman"/>
                <w:b/>
                <w:bCs/>
                <w:i w:val="0"/>
                <w:iCs w:val="0"/>
                <w:color w:val="000000"/>
                <w:sz w:val="20"/>
                <w:szCs w:val="20"/>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C6F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76.5</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285F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5F84D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0575" w:type="dxa"/>
            <w:gridSpan w:val="11"/>
            <w:tcBorders>
              <w:top w:val="single" w:color="000000" w:sz="4" w:space="0"/>
              <w:left w:val="nil"/>
              <w:bottom w:val="nil"/>
              <w:right w:val="nil"/>
            </w:tcBorders>
            <w:shd w:val="clear" w:color="auto" w:fill="auto"/>
            <w:vAlign w:val="center"/>
          </w:tcPr>
          <w:p w14:paraId="53B1EDAF">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18"/>
                <w:szCs w:val="18"/>
                <w:u w:val="none"/>
              </w:rPr>
            </w:pPr>
            <w:r>
              <w:rPr>
                <w:rStyle w:val="39"/>
                <w:rFonts w:hint="default" w:ascii="Times New Roman" w:hAnsi="Times New Roman" w:cs="Times New Roman"/>
                <w:lang w:val="en-US" w:eastAsia="zh-CN" w:bidi="ar"/>
              </w:rPr>
              <w:t>注：1</w:t>
            </w:r>
            <w:r>
              <w:rPr>
                <w:rStyle w:val="40"/>
                <w:rFonts w:hint="default" w:ascii="Times New Roman" w:hAnsi="Times New Roman" w:cs="Times New Roman"/>
                <w:lang w:val="en-US" w:eastAsia="zh-CN" w:bidi="ar"/>
              </w:rPr>
              <w:t>.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14:paraId="2D8F6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10575" w:type="dxa"/>
            <w:gridSpan w:val="11"/>
            <w:tcBorders>
              <w:top w:val="nil"/>
              <w:left w:val="nil"/>
              <w:bottom w:val="nil"/>
              <w:right w:val="nil"/>
            </w:tcBorders>
            <w:shd w:val="clear" w:color="auto" w:fill="auto"/>
            <w:vAlign w:val="center"/>
          </w:tcPr>
          <w:p w14:paraId="1F456CAD">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2.定性指标根据指标完成情况分为：达成预期指标、部分达成预期指标并具有一定效果、未达成预期指标且效果较差三档，分别按照该指标对应分值区间100-80%(含80%)、80-60%(含60%)、60-0%合理确定得分。</w:t>
            </w:r>
          </w:p>
        </w:tc>
      </w:tr>
      <w:tr w14:paraId="00DD7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575" w:type="dxa"/>
            <w:gridSpan w:val="11"/>
            <w:tcBorders>
              <w:top w:val="nil"/>
              <w:left w:val="nil"/>
              <w:bottom w:val="nil"/>
              <w:right w:val="nil"/>
            </w:tcBorders>
            <w:shd w:val="clear" w:color="auto" w:fill="auto"/>
            <w:vAlign w:val="center"/>
          </w:tcPr>
          <w:p w14:paraId="2FFFE110">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18"/>
                <w:szCs w:val="18"/>
                <w:u w:val="none"/>
              </w:rPr>
            </w:pPr>
            <w:r>
              <w:rPr>
                <w:rStyle w:val="39"/>
                <w:rFonts w:hint="default" w:ascii="Times New Roman" w:hAnsi="Times New Roman" w:cs="Times New Roman"/>
                <w:lang w:val="en-US" w:eastAsia="zh-CN" w:bidi="ar"/>
              </w:rPr>
              <w:t xml:space="preserve">    3.定量指标若为正向指标（即指标值为</w:t>
            </w:r>
            <w:r>
              <w:rPr>
                <w:rStyle w:val="41"/>
                <w:rFonts w:hint="default" w:ascii="Times New Roman" w:hAnsi="Times New Roman" w:cs="Times New Roman"/>
                <w:lang w:val="en-US" w:eastAsia="zh-CN" w:bidi="ar"/>
              </w:rPr>
              <w:t>≥*），则得分计算方法应用全年实际值/年度指标值</w:t>
            </w:r>
            <w:r>
              <w:rPr>
                <w:rStyle w:val="42"/>
                <w:rFonts w:hint="default" w:ascii="Times New Roman" w:hAnsi="Times New Roman" w:cs="Times New Roman"/>
                <w:lang w:val="en-US" w:eastAsia="zh-CN" w:bidi="ar"/>
              </w:rPr>
              <w:t>╳</w:t>
            </w:r>
            <w:r>
              <w:rPr>
                <w:rStyle w:val="41"/>
                <w:rFonts w:hint="default" w:ascii="Times New Roman" w:hAnsi="Times New Roman" w:cs="Times New Roman"/>
                <w:lang w:val="en-US" w:eastAsia="zh-CN" w:bidi="ar"/>
              </w:rPr>
              <w:t>该指标分值；若定量指标为反向指标（即指标值为≤*），则得分计算方法应用年度指标值/全年实际值</w:t>
            </w:r>
            <w:r>
              <w:rPr>
                <w:rStyle w:val="42"/>
                <w:rFonts w:hint="default" w:ascii="Times New Roman" w:hAnsi="Times New Roman" w:cs="Times New Roman"/>
                <w:lang w:val="en-US" w:eastAsia="zh-CN" w:bidi="ar"/>
              </w:rPr>
              <w:t>╳</w:t>
            </w:r>
            <w:r>
              <w:rPr>
                <w:rStyle w:val="41"/>
                <w:rFonts w:hint="default" w:ascii="Times New Roman" w:hAnsi="Times New Roman" w:cs="Times New Roman"/>
                <w:lang w:val="en-US" w:eastAsia="zh-CN" w:bidi="ar"/>
              </w:rPr>
              <w:t>该指标分值；定量指标得分最高不得超过该指标分值上限。</w:t>
            </w:r>
          </w:p>
        </w:tc>
      </w:tr>
    </w:tbl>
    <w:p w14:paraId="06DA4FA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wordWrap/>
        <w:overflowPunct w:val="0"/>
        <w:topLinePunct w:val="0"/>
        <w:bidi w:val="0"/>
        <w:spacing w:before="0" w:beforeAutospacing="0" w:after="0" w:afterAutospacing="0" w:line="288" w:lineRule="atLeast"/>
        <w:ind w:right="0" w:righ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4F5AD49D">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wordWrap/>
        <w:overflowPunct w:val="0"/>
        <w:topLinePunct w:val="0"/>
        <w:bidi w:val="0"/>
        <w:spacing w:before="0" w:beforeAutospacing="0" w:after="0" w:afterAutospacing="0" w:line="288" w:lineRule="atLeast"/>
        <w:ind w:right="0" w:righ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21B5AC20">
      <w:pPr>
        <w:pStyle w:val="2"/>
        <w:keepNext w:val="0"/>
        <w:keepLines w:val="0"/>
        <w:pageBreakBefore w:val="0"/>
        <w:widowControl w:val="0"/>
        <w:wordWrap/>
        <w:overflowPunct w:val="0"/>
        <w:topLinePunct w:val="0"/>
        <w:bidi w:val="0"/>
        <w:rPr>
          <w:rFonts w:hint="default" w:ascii="Times New Roman" w:hAnsi="Times New Roman" w:eastAsia="仿宋_GB2312" w:cs="Times New Roman"/>
          <w:b w:val="0"/>
          <w:bCs w:val="0"/>
          <w:kern w:val="2"/>
          <w:sz w:val="32"/>
          <w:szCs w:val="32"/>
          <w:lang w:val="en-US" w:eastAsia="zh-CN" w:bidi="ar-SA"/>
        </w:rPr>
      </w:pPr>
    </w:p>
    <w:p w14:paraId="7D97DD25">
      <w:pPr>
        <w:keepNext w:val="0"/>
        <w:keepLines w:val="0"/>
        <w:pageBreakBefore w:val="0"/>
        <w:widowControl w:val="0"/>
        <w:wordWrap/>
        <w:overflowPunct w:val="0"/>
        <w:topLinePunct w:val="0"/>
        <w:bidi w:val="0"/>
        <w:rPr>
          <w:rFonts w:hint="default" w:ascii="Times New Roman" w:hAnsi="Times New Roman" w:eastAsia="仿宋_GB2312" w:cs="Times New Roman"/>
          <w:b w:val="0"/>
          <w:bCs w:val="0"/>
          <w:kern w:val="2"/>
          <w:sz w:val="32"/>
          <w:szCs w:val="32"/>
          <w:lang w:val="en-US" w:eastAsia="zh-CN" w:bidi="ar-SA"/>
        </w:rPr>
      </w:pPr>
    </w:p>
    <w:p w14:paraId="6A3DBC76">
      <w:pPr>
        <w:pStyle w:val="2"/>
        <w:keepNext w:val="0"/>
        <w:keepLines w:val="0"/>
        <w:pageBreakBefore w:val="0"/>
        <w:widowControl w:val="0"/>
        <w:wordWrap/>
        <w:overflowPunct w:val="0"/>
        <w:topLinePunct w:val="0"/>
        <w:bidi w:val="0"/>
        <w:rPr>
          <w:rFonts w:hint="default" w:ascii="Times New Roman" w:hAnsi="Times New Roman" w:eastAsia="仿宋_GB2312" w:cs="Times New Roman"/>
          <w:b w:val="0"/>
          <w:bCs w:val="0"/>
          <w:kern w:val="2"/>
          <w:sz w:val="32"/>
          <w:szCs w:val="32"/>
          <w:lang w:val="en-US" w:eastAsia="zh-CN" w:bidi="ar-SA"/>
        </w:rPr>
      </w:pPr>
    </w:p>
    <w:p w14:paraId="180B1A33">
      <w:pPr>
        <w:keepNext w:val="0"/>
        <w:keepLines w:val="0"/>
        <w:pageBreakBefore w:val="0"/>
        <w:widowControl w:val="0"/>
        <w:wordWrap/>
        <w:overflowPunct w:val="0"/>
        <w:topLinePunct w:val="0"/>
        <w:bidi w:val="0"/>
        <w:rPr>
          <w:rFonts w:hint="default" w:ascii="Times New Roman" w:hAnsi="Times New Roman" w:eastAsia="仿宋_GB2312" w:cs="Times New Roman"/>
          <w:b w:val="0"/>
          <w:bCs w:val="0"/>
          <w:kern w:val="2"/>
          <w:sz w:val="32"/>
          <w:szCs w:val="32"/>
          <w:lang w:val="en-US" w:eastAsia="zh-CN" w:bidi="ar-SA"/>
        </w:rPr>
      </w:pPr>
    </w:p>
    <w:p w14:paraId="3B0EC3AB">
      <w:pPr>
        <w:pStyle w:val="2"/>
        <w:keepNext w:val="0"/>
        <w:keepLines w:val="0"/>
        <w:pageBreakBefore w:val="0"/>
        <w:widowControl w:val="0"/>
        <w:wordWrap/>
        <w:overflowPunct w:val="0"/>
        <w:topLinePunct w:val="0"/>
        <w:bidi w:val="0"/>
        <w:rPr>
          <w:rFonts w:hint="default" w:ascii="Times New Roman" w:hAnsi="Times New Roman" w:eastAsia="仿宋_GB2312" w:cs="Times New Roman"/>
          <w:b w:val="0"/>
          <w:bCs w:val="0"/>
          <w:kern w:val="2"/>
          <w:sz w:val="32"/>
          <w:szCs w:val="32"/>
          <w:lang w:val="en-US" w:eastAsia="zh-CN" w:bidi="ar-SA"/>
        </w:rPr>
      </w:pPr>
    </w:p>
    <w:p w14:paraId="48CE72A7">
      <w:pPr>
        <w:keepNext w:val="0"/>
        <w:keepLines w:val="0"/>
        <w:pageBreakBefore w:val="0"/>
        <w:widowControl w:val="0"/>
        <w:wordWrap/>
        <w:overflowPunct w:val="0"/>
        <w:topLinePunct w:val="0"/>
        <w:bidi w:val="0"/>
        <w:rPr>
          <w:rFonts w:hint="default" w:ascii="Times New Roman" w:hAnsi="Times New Roman" w:eastAsia="仿宋_GB2312" w:cs="Times New Roman"/>
          <w:b w:val="0"/>
          <w:bCs w:val="0"/>
          <w:kern w:val="2"/>
          <w:sz w:val="32"/>
          <w:szCs w:val="32"/>
          <w:lang w:val="en-US" w:eastAsia="zh-CN" w:bidi="ar-SA"/>
        </w:rPr>
      </w:pPr>
    </w:p>
    <w:p w14:paraId="1E54EBDE">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全县农村公路养护费专项预算</w:t>
      </w:r>
    </w:p>
    <w:p w14:paraId="5B7D3CA0">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绩效自评报告</w:t>
      </w:r>
    </w:p>
    <w:p w14:paraId="61FF045F">
      <w:pPr>
        <w:keepNext w:val="0"/>
        <w:keepLines w:val="0"/>
        <w:pageBreakBefore w:val="0"/>
        <w:widowControl w:val="0"/>
        <w:kinsoku/>
        <w:wordWrap/>
        <w:overflowPunct w:val="0"/>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p>
    <w:p w14:paraId="3A353FF8">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仿宋_GBK" w:cs="Times New Roman"/>
          <w:sz w:val="32"/>
          <w:szCs w:val="32"/>
          <w:shd w:val="clear" w:color="auto" w:fill="FFFFFF"/>
          <w:lang w:val="en-US" w:eastAsia="zh-CN"/>
        </w:rPr>
        <w:t>根据阿州财建〔2025〕27号、阿州财建〔2025〕49号文件、中央对地方成品油税费改革转移支付资金管理规定及财政预算绩效管理要求，我单位严格按照专项预算绩效自评工作规范，对2024年农村公路养护州级补助、2025年农村公路养护费（中央成品油税费改革转移支付）项目开展全面绩效自评。本次自评坚持客观公正、实事求是、注重实效原则，通过资料核查、实地踏勘、数据统计、座谈访谈等方式，全面评价项目决策、管理、实施及成效情况，形成本报告。</w:t>
      </w:r>
    </w:p>
    <w:p w14:paraId="4B0C9322">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zh-CN" w:eastAsia="zh-CN"/>
        </w:rPr>
      </w:pPr>
      <w:r>
        <w:rPr>
          <w:rFonts w:hint="default" w:ascii="Times New Roman" w:hAnsi="Times New Roman" w:eastAsia="方正黑体_GBK" w:cs="Times New Roman"/>
          <w:color w:val="auto"/>
          <w:sz w:val="32"/>
          <w:szCs w:val="32"/>
          <w:highlight w:val="none"/>
          <w:lang w:val="en-US" w:eastAsia="zh-CN"/>
        </w:rPr>
        <w:t>一、</w:t>
      </w:r>
      <w:r>
        <w:rPr>
          <w:rFonts w:hint="default" w:ascii="Times New Roman" w:hAnsi="Times New Roman" w:eastAsia="方正黑体_GBK" w:cs="Times New Roman"/>
          <w:color w:val="auto"/>
          <w:sz w:val="32"/>
          <w:szCs w:val="32"/>
          <w:highlight w:val="none"/>
          <w:lang w:val="zh-CN" w:eastAsia="zh-CN"/>
        </w:rPr>
        <w:t>项目概况</w:t>
      </w:r>
    </w:p>
    <w:p w14:paraId="59C4E25E">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仿宋_GB2312" w:cs="Times New Roman"/>
          <w:color w:val="auto"/>
          <w:kern w:val="0"/>
          <w:sz w:val="32"/>
          <w:szCs w:val="32"/>
          <w:highlight w:val="none"/>
          <w:lang w:val="zh-CN" w:eastAsia="zh-CN" w:bidi="ar-SA"/>
        </w:rPr>
      </w:pPr>
      <w:r>
        <w:rPr>
          <w:rFonts w:hint="default" w:ascii="Times New Roman" w:hAnsi="Times New Roman" w:eastAsia="方正楷体_GBK" w:cs="Times New Roman"/>
          <w:b/>
          <w:color w:val="auto"/>
          <w:sz w:val="32"/>
          <w:szCs w:val="32"/>
          <w:highlight w:val="none"/>
          <w:lang w:val="zh-CN" w:eastAsia="zh-CN"/>
        </w:rPr>
        <w:t>（一）设立背景及基本情况。</w:t>
      </w:r>
    </w:p>
    <w:p w14:paraId="7EABA85F">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sz w:val="32"/>
          <w:szCs w:val="32"/>
          <w:shd w:val="clear" w:color="auto" w:fill="FFFFFF"/>
          <w:lang w:val="en-US" w:eastAsia="zh-CN"/>
        </w:rPr>
        <w:t>农村公路是服务</w:t>
      </w:r>
      <w:r>
        <w:rPr>
          <w:rFonts w:hint="eastAsia" w:eastAsia="方正仿宋_GBK" w:cs="Times New Roman"/>
          <w:sz w:val="32"/>
          <w:szCs w:val="32"/>
          <w:shd w:val="clear" w:color="auto" w:fill="FFFFFF"/>
          <w:lang w:val="en-US" w:eastAsia="zh-CN"/>
        </w:rPr>
        <w:t>“</w:t>
      </w:r>
      <w:r>
        <w:rPr>
          <w:rFonts w:hint="default" w:ascii="Times New Roman" w:hAnsi="Times New Roman" w:eastAsia="方正仿宋_GBK" w:cs="Times New Roman"/>
          <w:sz w:val="32"/>
          <w:szCs w:val="32"/>
          <w:shd w:val="clear" w:color="auto" w:fill="FFFFFF"/>
          <w:lang w:val="en-US" w:eastAsia="zh-CN"/>
        </w:rPr>
        <w:t>三农</w:t>
      </w:r>
      <w:r>
        <w:rPr>
          <w:rFonts w:hint="eastAsia" w:eastAsia="方正仿宋_GBK" w:cs="Times New Roman"/>
          <w:sz w:val="32"/>
          <w:szCs w:val="32"/>
          <w:shd w:val="clear" w:color="auto" w:fill="FFFFFF"/>
          <w:lang w:val="en-US" w:eastAsia="zh-CN"/>
        </w:rPr>
        <w:t>”</w:t>
      </w:r>
      <w:r>
        <w:rPr>
          <w:rFonts w:hint="default" w:ascii="Times New Roman" w:hAnsi="Times New Roman" w:eastAsia="方正仿宋_GBK" w:cs="Times New Roman"/>
          <w:sz w:val="32"/>
          <w:szCs w:val="32"/>
          <w:shd w:val="clear" w:color="auto" w:fill="FFFFFF"/>
          <w:lang w:val="en-US" w:eastAsia="zh-CN"/>
        </w:rPr>
        <w:t>、支撑乡村振兴、保障群众安全便捷出行的重要基础设施。为持续巩固全县农村公路建设成果，保障农村公路日常养护、小修保养、病害处置、路容路貌整治、安全设施维护等工作常态化、规范化开展，切实提升农村公路通行条件与服务水平，依据阿州财建〔2025〕27号、阿州财建〔2025〕49号文件、州级财政补助资金及中央成品油税费改革转移支付资金管理相关规定，设立全县农村公路养护费专项项目。</w:t>
      </w:r>
    </w:p>
    <w:p w14:paraId="61A3F557">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仿宋_GB2312" w:cs="Times New Roman"/>
          <w:color w:val="auto"/>
          <w:kern w:val="0"/>
          <w:sz w:val="32"/>
          <w:szCs w:val="32"/>
          <w:highlight w:val="none"/>
          <w:lang w:val="zh-CN" w:eastAsia="zh-CN" w:bidi="ar-SA"/>
        </w:rPr>
      </w:pPr>
      <w:r>
        <w:rPr>
          <w:rFonts w:hint="default" w:ascii="Times New Roman" w:hAnsi="Times New Roman" w:eastAsia="方正仿宋_GBK" w:cs="Times New Roman"/>
          <w:sz w:val="32"/>
          <w:szCs w:val="32"/>
          <w:shd w:val="clear" w:color="auto" w:fill="FFFFFF"/>
          <w:lang w:val="en-US" w:eastAsia="zh-CN"/>
        </w:rPr>
        <w:t>项目主管部门为壤塘县交通运输局，核心职能是统筹全县农村公路养护管理、资金使用监管、养护质量考核、安全隐患治理等工作，保障农村公路路网稳定畅通。</w:t>
      </w:r>
    </w:p>
    <w:p w14:paraId="064E004D">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楷体_GBK" w:cs="Times New Roman"/>
          <w:b/>
          <w:color w:val="auto"/>
          <w:sz w:val="32"/>
          <w:szCs w:val="32"/>
          <w:highlight w:val="none"/>
          <w:lang w:val="en-US" w:eastAsia="zh-CN"/>
        </w:rPr>
        <w:t>（二）实施目的及支持方向。</w:t>
      </w:r>
    </w:p>
    <w:p w14:paraId="7245A560">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1.</w:t>
      </w:r>
      <w:r>
        <w:rPr>
          <w:rFonts w:hint="default" w:ascii="Times New Roman" w:hAnsi="Times New Roman" w:eastAsia="方正仿宋_GBK" w:cs="Times New Roman"/>
          <w:b/>
          <w:bCs/>
          <w:color w:val="000000"/>
          <w:kern w:val="0"/>
          <w:sz w:val="32"/>
          <w:szCs w:val="32"/>
          <w:lang w:val="zh-CN" w:eastAsia="zh-CN" w:bidi="ar-SA"/>
        </w:rPr>
        <w:t>实施目的：</w:t>
      </w:r>
      <w:r>
        <w:rPr>
          <w:rFonts w:hint="default" w:ascii="Times New Roman" w:hAnsi="Times New Roman" w:eastAsia="方正仿宋_GBK" w:cs="Times New Roman"/>
          <w:sz w:val="32"/>
          <w:szCs w:val="32"/>
          <w:shd w:val="clear" w:color="auto" w:fill="FFFFFF"/>
          <w:lang w:val="zh-CN" w:eastAsia="zh-CN"/>
        </w:rPr>
        <w:t>保障全县农村公路常态化养护运行，及时处置公路病害，消除安全隐患，提升路况质量与服务水平，延长公路使用寿命，更好服务农村经济社会发展与群众生产生活。</w:t>
      </w:r>
    </w:p>
    <w:p w14:paraId="7014787C">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2.</w:t>
      </w:r>
      <w:r>
        <w:rPr>
          <w:rFonts w:hint="default" w:ascii="Times New Roman" w:hAnsi="Times New Roman" w:eastAsia="方正仿宋_GBK" w:cs="Times New Roman"/>
          <w:b/>
          <w:bCs/>
          <w:color w:val="000000"/>
          <w:kern w:val="0"/>
          <w:sz w:val="32"/>
          <w:szCs w:val="32"/>
          <w:lang w:val="zh-CN" w:eastAsia="zh-CN" w:bidi="ar-SA"/>
        </w:rPr>
        <w:t>主要任务：</w:t>
      </w:r>
      <w:r>
        <w:rPr>
          <w:rFonts w:hint="default" w:ascii="Times New Roman" w:hAnsi="Times New Roman" w:eastAsia="方正仿宋_GBK" w:cs="Times New Roman"/>
          <w:sz w:val="32"/>
          <w:szCs w:val="32"/>
          <w:shd w:val="clear" w:color="auto" w:fill="FFFFFF"/>
          <w:lang w:val="zh-CN" w:eastAsia="zh-CN"/>
        </w:rPr>
        <w:t>开展农村公路日常巡查、路面保洁、边沟清理、坑槽修补、裂缝处置、护栏维修、标志标线保养、小型病害应急处置、路域环境整治等工作。</w:t>
      </w:r>
    </w:p>
    <w:p w14:paraId="742D36BB">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3.</w:t>
      </w:r>
      <w:r>
        <w:rPr>
          <w:rFonts w:hint="default" w:ascii="Times New Roman" w:hAnsi="Times New Roman" w:eastAsia="方正仿宋_GBK" w:cs="Times New Roman"/>
          <w:b/>
          <w:bCs/>
          <w:color w:val="000000"/>
          <w:kern w:val="0"/>
          <w:sz w:val="32"/>
          <w:szCs w:val="32"/>
          <w:lang w:val="zh-CN" w:eastAsia="zh-CN" w:bidi="ar-SA"/>
        </w:rPr>
        <w:t>支持方向：</w:t>
      </w:r>
      <w:r>
        <w:rPr>
          <w:rFonts w:hint="default" w:ascii="Times New Roman" w:hAnsi="Times New Roman" w:eastAsia="方正仿宋_GBK" w:cs="Times New Roman"/>
          <w:sz w:val="32"/>
          <w:szCs w:val="32"/>
          <w:shd w:val="clear" w:color="auto" w:fill="FFFFFF"/>
          <w:lang w:val="zh-CN" w:eastAsia="zh-CN"/>
        </w:rPr>
        <w:t>项目资金全部用于农村公路养护作业、养护材料采购、养护机械使用、人工费用等与养护直接相关的支出，专款专用、专项管理。</w:t>
      </w:r>
    </w:p>
    <w:p w14:paraId="27D69F7F">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（三）</w:t>
      </w:r>
      <w:r>
        <w:rPr>
          <w:rFonts w:hint="default" w:ascii="Times New Roman" w:hAnsi="Times New Roman" w:eastAsia="方正楷体_GBK" w:cs="Times New Roman"/>
          <w:b/>
          <w:color w:val="auto"/>
          <w:sz w:val="32"/>
          <w:szCs w:val="32"/>
          <w:highlight w:val="none"/>
          <w:lang w:val="en-US" w:eastAsia="zh-CN"/>
        </w:rPr>
        <w:t>预算安排及分配管理</w:t>
      </w:r>
      <w:r>
        <w:rPr>
          <w:rFonts w:hint="default" w:ascii="Times New Roman" w:hAnsi="Times New Roman" w:eastAsia="方正楷体_GBK" w:cs="Times New Roman"/>
          <w:b/>
          <w:color w:val="auto"/>
          <w:sz w:val="32"/>
          <w:szCs w:val="32"/>
          <w:highlight w:val="none"/>
          <w:lang w:val="zh-CN" w:eastAsia="zh-CN"/>
        </w:rPr>
        <w:t>。</w:t>
      </w:r>
    </w:p>
    <w:p w14:paraId="3D7D0FDB">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1.</w:t>
      </w:r>
      <w:r>
        <w:rPr>
          <w:rFonts w:hint="default" w:ascii="Times New Roman" w:hAnsi="Times New Roman" w:eastAsia="方正仿宋_GBK" w:cs="Times New Roman"/>
          <w:b/>
          <w:bCs/>
          <w:color w:val="000000"/>
          <w:kern w:val="0"/>
          <w:sz w:val="32"/>
          <w:szCs w:val="32"/>
          <w:lang w:val="zh-CN" w:eastAsia="zh-CN" w:bidi="ar-SA"/>
        </w:rPr>
        <w:t>预算安排：</w:t>
      </w:r>
      <w:r>
        <w:rPr>
          <w:rFonts w:hint="default" w:ascii="Times New Roman" w:hAnsi="Times New Roman" w:eastAsia="方正仿宋_GBK" w:cs="Times New Roman"/>
          <w:sz w:val="32"/>
          <w:szCs w:val="32"/>
          <w:shd w:val="clear" w:color="auto" w:fill="FFFFFF"/>
          <w:lang w:val="zh-CN" w:eastAsia="zh-CN"/>
        </w:rPr>
        <w:t>依据阿州财建〔2025〕</w:t>
      </w:r>
      <w:r>
        <w:rPr>
          <w:rFonts w:hint="eastAsia" w:eastAsia="方正仿宋_GBK" w:cs="Times New Roman"/>
          <w:sz w:val="32"/>
          <w:szCs w:val="32"/>
          <w:shd w:val="clear" w:color="auto" w:fill="FFFFFF"/>
          <w:lang w:val="en-US" w:eastAsia="zh-CN"/>
        </w:rPr>
        <w:t xml:space="preserve"> 27</w:t>
      </w:r>
      <w:r>
        <w:rPr>
          <w:rFonts w:hint="default" w:ascii="Times New Roman" w:hAnsi="Times New Roman" w:eastAsia="方正仿宋_GBK" w:cs="Times New Roman"/>
          <w:sz w:val="32"/>
          <w:szCs w:val="32"/>
          <w:shd w:val="clear" w:color="auto" w:fill="FFFFFF"/>
          <w:lang w:val="zh-CN" w:eastAsia="zh-CN"/>
        </w:rPr>
        <w:t>号、阿州财建〔2025〕49号文件，本年度共下达农村公路养护资金预算3429500元。</w:t>
      </w:r>
    </w:p>
    <w:p w14:paraId="6A743111">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2.</w:t>
      </w:r>
      <w:r>
        <w:rPr>
          <w:rFonts w:hint="default" w:ascii="Times New Roman" w:hAnsi="Times New Roman" w:eastAsia="方正仿宋_GBK" w:cs="Times New Roman"/>
          <w:b/>
          <w:bCs/>
          <w:color w:val="000000"/>
          <w:kern w:val="0"/>
          <w:sz w:val="32"/>
          <w:szCs w:val="32"/>
          <w:lang w:val="zh-CN" w:eastAsia="zh-CN" w:bidi="ar-SA"/>
        </w:rPr>
        <w:t>资金分配原则：</w:t>
      </w:r>
      <w:r>
        <w:rPr>
          <w:rFonts w:hint="default" w:ascii="Times New Roman" w:hAnsi="Times New Roman" w:eastAsia="方正仿宋_GBK" w:cs="Times New Roman"/>
          <w:sz w:val="32"/>
          <w:szCs w:val="32"/>
          <w:shd w:val="clear" w:color="auto" w:fill="FFFFFF"/>
          <w:lang w:val="zh-CN" w:eastAsia="zh-CN"/>
        </w:rPr>
        <w:t>坚持</w:t>
      </w:r>
      <w:r>
        <w:rPr>
          <w:rFonts w:hint="eastAsia" w:eastAsia="方正仿宋_GBK" w:cs="Times New Roman"/>
          <w:sz w:val="32"/>
          <w:szCs w:val="32"/>
          <w:shd w:val="clear" w:color="auto" w:fill="FFFFFF"/>
          <w:lang w:val="zh-CN" w:eastAsia="zh-CN"/>
        </w:rPr>
        <w:t>“</w:t>
      </w:r>
      <w:r>
        <w:rPr>
          <w:rFonts w:hint="default" w:ascii="Times New Roman" w:hAnsi="Times New Roman" w:eastAsia="方正仿宋_GBK" w:cs="Times New Roman"/>
          <w:sz w:val="32"/>
          <w:szCs w:val="32"/>
          <w:shd w:val="clear" w:color="auto" w:fill="FFFFFF"/>
          <w:lang w:val="zh-CN" w:eastAsia="zh-CN"/>
        </w:rPr>
        <w:t>保畅通、保安全、全覆盖、重点突出、公平高效</w:t>
      </w:r>
      <w:r>
        <w:rPr>
          <w:rFonts w:hint="eastAsia" w:eastAsia="方正仿宋_GBK" w:cs="Times New Roman"/>
          <w:sz w:val="32"/>
          <w:szCs w:val="32"/>
          <w:shd w:val="clear" w:color="auto" w:fill="FFFFFF"/>
          <w:lang w:val="zh-CN" w:eastAsia="zh-CN"/>
        </w:rPr>
        <w:t>”</w:t>
      </w:r>
      <w:r>
        <w:rPr>
          <w:rFonts w:hint="default" w:ascii="Times New Roman" w:hAnsi="Times New Roman" w:eastAsia="方正仿宋_GBK" w:cs="Times New Roman"/>
          <w:sz w:val="32"/>
          <w:szCs w:val="32"/>
          <w:shd w:val="clear" w:color="auto" w:fill="FFFFFF"/>
          <w:lang w:val="zh-CN" w:eastAsia="zh-CN"/>
        </w:rPr>
        <w:t>原则，结合全县农村公路总里程、路况等级、病害程度、重点线路保障需求等因素统筹分配使用。</w:t>
      </w:r>
    </w:p>
    <w:p w14:paraId="1159B036">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3.</w:t>
      </w:r>
      <w:r>
        <w:rPr>
          <w:rFonts w:hint="default" w:ascii="Times New Roman" w:hAnsi="Times New Roman" w:eastAsia="方正仿宋_GBK" w:cs="Times New Roman"/>
          <w:b/>
          <w:bCs/>
          <w:color w:val="000000"/>
          <w:kern w:val="0"/>
          <w:sz w:val="32"/>
          <w:szCs w:val="32"/>
          <w:lang w:val="zh-CN" w:eastAsia="zh-CN" w:bidi="ar-SA"/>
        </w:rPr>
        <w:t>执行情况：</w:t>
      </w:r>
      <w:r>
        <w:rPr>
          <w:rFonts w:hint="default" w:ascii="Times New Roman" w:hAnsi="Times New Roman" w:eastAsia="方正仿宋_GBK" w:cs="Times New Roman"/>
          <w:sz w:val="32"/>
          <w:szCs w:val="32"/>
          <w:shd w:val="clear" w:color="auto" w:fill="FFFFFF"/>
          <w:lang w:val="zh-CN" w:eastAsia="zh-CN"/>
        </w:rPr>
        <w:t>全年实际支付</w:t>
      </w:r>
      <w:r>
        <w:rPr>
          <w:rFonts w:hint="default" w:ascii="Times New Roman" w:hAnsi="Times New Roman" w:eastAsia="方正仿宋_GBK" w:cs="Times New Roman"/>
          <w:sz w:val="32"/>
          <w:szCs w:val="32"/>
          <w:shd w:val="clear" w:color="auto" w:fill="FFFFFF"/>
          <w:lang w:val="en-US" w:eastAsia="zh-CN"/>
        </w:rPr>
        <w:t>3429500</w:t>
      </w:r>
      <w:r>
        <w:rPr>
          <w:rFonts w:hint="default" w:ascii="Times New Roman" w:hAnsi="Times New Roman" w:eastAsia="方正仿宋_GBK" w:cs="Times New Roman"/>
          <w:sz w:val="32"/>
          <w:szCs w:val="32"/>
          <w:shd w:val="clear" w:color="auto" w:fill="FFFFFF"/>
          <w:lang w:val="zh-CN" w:eastAsia="zh-CN"/>
        </w:rPr>
        <w:t>元，未支付</w:t>
      </w:r>
      <w:r>
        <w:rPr>
          <w:rFonts w:hint="default" w:ascii="Times New Roman" w:hAnsi="Times New Roman" w:eastAsia="方正仿宋_GBK" w:cs="Times New Roman"/>
          <w:sz w:val="32"/>
          <w:szCs w:val="32"/>
          <w:shd w:val="clear" w:color="auto" w:fill="FFFFFF"/>
          <w:lang w:val="en-US" w:eastAsia="zh-CN"/>
        </w:rPr>
        <w:t>59.37211万</w:t>
      </w:r>
      <w:r>
        <w:rPr>
          <w:rFonts w:hint="default" w:ascii="Times New Roman" w:hAnsi="Times New Roman" w:eastAsia="方正仿宋_GBK" w:cs="Times New Roman"/>
          <w:sz w:val="32"/>
          <w:szCs w:val="32"/>
          <w:shd w:val="clear" w:color="auto" w:fill="FFFFFF"/>
          <w:lang w:val="zh-CN" w:eastAsia="zh-CN"/>
        </w:rPr>
        <w:t>元，整体预算执行率</w:t>
      </w:r>
      <w:r>
        <w:rPr>
          <w:rFonts w:hint="default" w:ascii="Times New Roman" w:hAnsi="Times New Roman" w:eastAsia="方正仿宋_GBK" w:cs="Times New Roman"/>
          <w:sz w:val="32"/>
          <w:szCs w:val="32"/>
          <w:shd w:val="clear" w:color="auto" w:fill="FFFFFF"/>
          <w:lang w:val="en-US" w:eastAsia="zh-CN"/>
        </w:rPr>
        <w:t>82</w:t>
      </w:r>
      <w:r>
        <w:rPr>
          <w:rFonts w:hint="default" w:ascii="Times New Roman" w:hAnsi="Times New Roman" w:eastAsia="方正仿宋_GBK" w:cs="Times New Roman"/>
          <w:sz w:val="32"/>
          <w:szCs w:val="32"/>
          <w:shd w:val="clear" w:color="auto" w:fill="FFFFFF"/>
          <w:lang w:val="zh-CN" w:eastAsia="zh-CN"/>
        </w:rPr>
        <w:t>%，资金全部按规定用于农村公路养护，无截留、挤占、挪用情况。</w:t>
      </w:r>
    </w:p>
    <w:p w14:paraId="3C95E86D">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（四）项目绩效目标设置。</w:t>
      </w:r>
    </w:p>
    <w:p w14:paraId="7AAD1504">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1.</w:t>
      </w:r>
      <w:r>
        <w:rPr>
          <w:rFonts w:hint="default" w:ascii="Times New Roman" w:hAnsi="Times New Roman" w:eastAsia="方正仿宋_GBK" w:cs="Times New Roman"/>
          <w:b/>
          <w:bCs/>
          <w:color w:val="000000"/>
          <w:kern w:val="0"/>
          <w:sz w:val="32"/>
          <w:szCs w:val="32"/>
          <w:lang w:val="zh-CN" w:eastAsia="zh-CN" w:bidi="ar-SA"/>
        </w:rPr>
        <w:t>整体绩效目标：</w:t>
      </w:r>
      <w:r>
        <w:rPr>
          <w:rFonts w:hint="default" w:ascii="Times New Roman" w:hAnsi="Times New Roman" w:eastAsia="方正仿宋_GBK" w:cs="Times New Roman"/>
          <w:sz w:val="32"/>
          <w:szCs w:val="32"/>
          <w:shd w:val="clear" w:color="auto" w:fill="FFFFFF"/>
          <w:lang w:val="zh-CN" w:eastAsia="zh-CN"/>
        </w:rPr>
        <w:t>全面完成年度农村公路养护任务，农村公路路况保持稳定向好，安全隐患及时处置，通行服务能力明显提升，群众出行满意度持续提高。</w:t>
      </w:r>
    </w:p>
    <w:p w14:paraId="4660C200">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2.</w:t>
      </w:r>
      <w:r>
        <w:rPr>
          <w:rFonts w:hint="default" w:ascii="Times New Roman" w:hAnsi="Times New Roman" w:eastAsia="方正仿宋_GBK" w:cs="Times New Roman"/>
          <w:b/>
          <w:bCs/>
          <w:color w:val="000000"/>
          <w:kern w:val="0"/>
          <w:sz w:val="32"/>
          <w:szCs w:val="32"/>
          <w:lang w:val="zh-CN" w:eastAsia="zh-CN" w:bidi="ar-SA"/>
        </w:rPr>
        <w:t>具体绩效目标：</w:t>
      </w:r>
      <w:r>
        <w:rPr>
          <w:rFonts w:hint="default" w:ascii="Times New Roman" w:hAnsi="Times New Roman" w:eastAsia="方正仿宋_GBK" w:cs="Times New Roman"/>
          <w:sz w:val="32"/>
          <w:szCs w:val="32"/>
          <w:shd w:val="clear" w:color="auto" w:fill="FFFFFF"/>
          <w:lang w:val="zh-CN" w:eastAsia="zh-CN"/>
        </w:rPr>
        <w:t>农村公路养护全覆盖、小修病害及时处置、公路完好率达标、资金使用规范高效、群众满意度≥90%。</w:t>
      </w:r>
    </w:p>
    <w:p w14:paraId="60B23DAC">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仿宋_GB2312" w:cs="Times New Roman"/>
          <w:color w:val="auto"/>
          <w:kern w:val="0"/>
          <w:sz w:val="32"/>
          <w:szCs w:val="32"/>
          <w:highlight w:val="none"/>
          <w:lang w:val="zh-CN" w:eastAsia="zh-CN" w:bidi="ar-SA"/>
        </w:rPr>
      </w:pPr>
      <w:r>
        <w:rPr>
          <w:rFonts w:hint="default" w:ascii="Times New Roman" w:hAnsi="Times New Roman" w:eastAsia="方正仿宋_GBK" w:cs="Times New Roman"/>
          <w:b/>
          <w:bCs/>
          <w:color w:val="000000"/>
          <w:kern w:val="0"/>
          <w:sz w:val="32"/>
          <w:szCs w:val="32"/>
          <w:lang w:val="en-US" w:eastAsia="zh-CN" w:bidi="ar-SA"/>
        </w:rPr>
        <w:t>3.</w:t>
      </w:r>
      <w:r>
        <w:rPr>
          <w:rFonts w:hint="default" w:ascii="Times New Roman" w:hAnsi="Times New Roman" w:eastAsia="方正仿宋_GBK" w:cs="Times New Roman"/>
          <w:b/>
          <w:bCs/>
          <w:color w:val="000000"/>
          <w:kern w:val="0"/>
          <w:sz w:val="32"/>
          <w:szCs w:val="32"/>
          <w:lang w:val="zh-CN" w:eastAsia="zh-CN" w:bidi="ar-SA"/>
        </w:rPr>
        <w:t>自评工作开展：</w:t>
      </w:r>
      <w:r>
        <w:rPr>
          <w:rFonts w:hint="default" w:ascii="Times New Roman" w:hAnsi="Times New Roman" w:eastAsia="方正仿宋_GBK" w:cs="Times New Roman"/>
          <w:sz w:val="32"/>
          <w:szCs w:val="32"/>
          <w:shd w:val="clear" w:color="auto" w:fill="FFFFFF"/>
          <w:lang w:val="zh-CN" w:eastAsia="zh-CN"/>
        </w:rPr>
        <w:t>按要求成立绩效自评小组，全面梳理项目资金使用、养护实施、目标完成等情况，完成资料收集、现场踏勘、指标核算、汇总评分，形成完整自评成果。</w:t>
      </w:r>
    </w:p>
    <w:p w14:paraId="335839DC">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黑体_GBK" w:cs="Times New Roman"/>
          <w:color w:val="auto"/>
          <w:sz w:val="32"/>
          <w:szCs w:val="32"/>
          <w:highlight w:val="none"/>
          <w:lang w:val="en-US" w:eastAsia="zh-CN"/>
        </w:rPr>
        <w:t>二、评价实施</w:t>
      </w:r>
    </w:p>
    <w:p w14:paraId="5475E09D">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仿宋_GB2312" w:cs="Times New Roman"/>
          <w:color w:val="auto"/>
          <w:kern w:val="0"/>
          <w:sz w:val="32"/>
          <w:szCs w:val="32"/>
          <w:highlight w:val="none"/>
          <w:lang w:val="zh-CN" w:eastAsia="zh-CN" w:bidi="ar-SA"/>
        </w:rPr>
      </w:pPr>
      <w:r>
        <w:rPr>
          <w:rFonts w:hint="default" w:ascii="Times New Roman" w:hAnsi="Times New Roman" w:eastAsia="方正楷体_GBK" w:cs="Times New Roman"/>
          <w:b/>
          <w:color w:val="auto"/>
          <w:sz w:val="32"/>
          <w:szCs w:val="32"/>
          <w:highlight w:val="none"/>
          <w:lang w:val="zh-CN" w:eastAsia="zh-CN"/>
        </w:rPr>
        <w:t>（一）评价目的。</w:t>
      </w:r>
    </w:p>
    <w:p w14:paraId="139ECAB3">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sz w:val="32"/>
          <w:szCs w:val="32"/>
          <w:shd w:val="clear" w:color="auto" w:fill="FFFFFF"/>
          <w:lang w:val="zh-CN" w:eastAsia="zh-CN"/>
        </w:rPr>
        <w:t>全面掌握</w:t>
      </w:r>
      <w:r>
        <w:rPr>
          <w:rFonts w:hint="default" w:ascii="Times New Roman" w:hAnsi="Times New Roman" w:eastAsia="方正仿宋_GBK" w:cs="Times New Roman"/>
          <w:sz w:val="32"/>
          <w:szCs w:val="32"/>
          <w:shd w:val="clear" w:color="auto" w:fill="FFFFFF"/>
          <w:lang w:val="en-US" w:eastAsia="zh-CN"/>
        </w:rPr>
        <w:t>2025</w:t>
      </w:r>
      <w:r>
        <w:rPr>
          <w:rFonts w:hint="default" w:ascii="Times New Roman" w:hAnsi="Times New Roman" w:eastAsia="方正仿宋_GBK" w:cs="Times New Roman"/>
          <w:sz w:val="32"/>
          <w:szCs w:val="32"/>
          <w:shd w:val="clear" w:color="auto" w:fill="FFFFFF"/>
          <w:lang w:val="zh-CN" w:eastAsia="zh-CN"/>
        </w:rPr>
        <w:t>年农村公路养护</w:t>
      </w:r>
      <w:r>
        <w:rPr>
          <w:rFonts w:hint="default" w:ascii="Times New Roman" w:hAnsi="Times New Roman" w:eastAsia="方正仿宋_GBK" w:cs="Times New Roman"/>
          <w:sz w:val="32"/>
          <w:szCs w:val="32"/>
          <w:shd w:val="clear" w:color="auto" w:fill="FFFFFF"/>
          <w:lang w:val="en-US" w:eastAsia="zh-CN"/>
        </w:rPr>
        <w:t>费</w:t>
      </w:r>
      <w:r>
        <w:rPr>
          <w:rFonts w:hint="default" w:ascii="Times New Roman" w:hAnsi="Times New Roman" w:eastAsia="方正仿宋_GBK" w:cs="Times New Roman"/>
          <w:sz w:val="32"/>
          <w:szCs w:val="32"/>
          <w:shd w:val="clear" w:color="auto" w:fill="FFFFFF"/>
          <w:lang w:val="zh-CN" w:eastAsia="zh-CN"/>
        </w:rPr>
        <w:t>预算执行、资金使用、项目管理及实施效果，客观评价绩效目标完成情况，总结管理经验，查找薄弱环节，提出改进措施，进一步提升财政资金使用效益和农村公路养护管理水平。</w:t>
      </w:r>
    </w:p>
    <w:p w14:paraId="37111899">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w:t>
      </w:r>
      <w:r>
        <w:rPr>
          <w:rFonts w:hint="default" w:ascii="Times New Roman" w:hAnsi="Times New Roman" w:eastAsia="方正楷体_GBK" w:cs="Times New Roman"/>
          <w:b/>
          <w:color w:val="auto"/>
          <w:sz w:val="32"/>
          <w:szCs w:val="32"/>
          <w:highlight w:val="none"/>
          <w:lang w:val="en-US" w:eastAsia="zh-CN"/>
        </w:rPr>
        <w:t>二</w:t>
      </w:r>
      <w:r>
        <w:rPr>
          <w:rFonts w:hint="default" w:ascii="Times New Roman" w:hAnsi="Times New Roman" w:eastAsia="方正楷体_GBK" w:cs="Times New Roman"/>
          <w:b/>
          <w:color w:val="auto"/>
          <w:sz w:val="32"/>
          <w:szCs w:val="32"/>
          <w:highlight w:val="none"/>
          <w:lang w:val="zh-CN" w:eastAsia="zh-CN"/>
        </w:rPr>
        <w:t>）预设问题及评价重点。</w:t>
      </w:r>
    </w:p>
    <w:p w14:paraId="0792E1FF">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1.</w:t>
      </w:r>
      <w:r>
        <w:rPr>
          <w:rFonts w:hint="default" w:ascii="Times New Roman" w:hAnsi="Times New Roman" w:eastAsia="方正仿宋_GBK" w:cs="Times New Roman"/>
          <w:b/>
          <w:bCs/>
          <w:color w:val="000000"/>
          <w:kern w:val="0"/>
          <w:sz w:val="32"/>
          <w:szCs w:val="32"/>
          <w:lang w:val="zh-CN" w:eastAsia="zh-CN" w:bidi="ar-SA"/>
        </w:rPr>
        <w:t>预设问题：</w:t>
      </w:r>
      <w:r>
        <w:rPr>
          <w:rFonts w:hint="default" w:ascii="Times New Roman" w:hAnsi="Times New Roman" w:eastAsia="方正仿宋_GBK" w:cs="Times New Roman"/>
          <w:sz w:val="32"/>
          <w:szCs w:val="32"/>
          <w:shd w:val="clear" w:color="auto" w:fill="FFFFFF"/>
          <w:lang w:val="zh-CN" w:eastAsia="zh-CN"/>
        </w:rPr>
        <w:t>预算执行是否足额到位、资金使用是否合规、养护任务是否全面完成、路况是否有效改善、群众是否满意。</w:t>
      </w:r>
    </w:p>
    <w:p w14:paraId="4EBA71D8">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仿宋_GB2312" w:cs="Times New Roman"/>
          <w:color w:val="auto"/>
          <w:kern w:val="0"/>
          <w:sz w:val="32"/>
          <w:szCs w:val="32"/>
          <w:highlight w:val="none"/>
          <w:lang w:val="zh-CN" w:eastAsia="zh-CN" w:bidi="ar-SA"/>
        </w:rPr>
      </w:pPr>
      <w:r>
        <w:rPr>
          <w:rFonts w:hint="default" w:ascii="Times New Roman" w:hAnsi="Times New Roman" w:eastAsia="方正仿宋_GBK" w:cs="Times New Roman"/>
          <w:b/>
          <w:bCs/>
          <w:color w:val="000000"/>
          <w:kern w:val="0"/>
          <w:sz w:val="32"/>
          <w:szCs w:val="32"/>
          <w:lang w:val="en-US" w:eastAsia="zh-CN" w:bidi="ar-SA"/>
        </w:rPr>
        <w:t>2.</w:t>
      </w:r>
      <w:r>
        <w:rPr>
          <w:rFonts w:hint="default" w:ascii="Times New Roman" w:hAnsi="Times New Roman" w:eastAsia="方正仿宋_GBK" w:cs="Times New Roman"/>
          <w:b/>
          <w:bCs/>
          <w:color w:val="000000"/>
          <w:kern w:val="0"/>
          <w:sz w:val="32"/>
          <w:szCs w:val="32"/>
          <w:lang w:val="zh-CN" w:eastAsia="zh-CN" w:bidi="ar-SA"/>
        </w:rPr>
        <w:t>评价重点：</w:t>
      </w:r>
      <w:r>
        <w:rPr>
          <w:rFonts w:hint="default" w:ascii="Times New Roman" w:hAnsi="Times New Roman" w:eastAsia="方正仿宋_GBK" w:cs="Times New Roman"/>
          <w:sz w:val="32"/>
          <w:szCs w:val="32"/>
          <w:shd w:val="clear" w:color="auto" w:fill="FFFFFF"/>
          <w:lang w:val="zh-CN" w:eastAsia="zh-CN"/>
        </w:rPr>
        <w:t>项目决策科学性、资金管理规范性、预算执行率、养护工程质量、目标完成情况、社会效益及群众满意度。</w:t>
      </w:r>
    </w:p>
    <w:p w14:paraId="2C621301">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（三）评价选点。</w:t>
      </w:r>
    </w:p>
    <w:p w14:paraId="4BA66E25">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sz w:val="32"/>
          <w:szCs w:val="32"/>
          <w:shd w:val="clear" w:color="auto" w:fill="FFFFFF"/>
          <w:lang w:val="en-US" w:eastAsia="zh-CN"/>
        </w:rPr>
        <w:t>按照不少于涉及乡镇总数 20%、不超过 20 个点位的要求，选取重点乡镇、重点农村公路路段、养护作业点、病害处置现场开展实地踏勘。</w:t>
      </w:r>
    </w:p>
    <w:p w14:paraId="4FDB6C24">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en-US" w:eastAsia="zh-CN"/>
        </w:rPr>
        <w:t>（四）</w:t>
      </w:r>
      <w:r>
        <w:rPr>
          <w:rFonts w:hint="default" w:ascii="Times New Roman" w:hAnsi="Times New Roman" w:eastAsia="方正楷体_GBK" w:cs="Times New Roman"/>
          <w:b/>
          <w:color w:val="auto"/>
          <w:sz w:val="32"/>
          <w:szCs w:val="32"/>
          <w:highlight w:val="none"/>
          <w:lang w:val="zh-CN" w:eastAsia="zh-CN"/>
        </w:rPr>
        <w:t>评价方法。</w:t>
      </w:r>
    </w:p>
    <w:p w14:paraId="108A200E">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本次自评综合采用案卷研究法、实地勘</w:t>
      </w:r>
      <w:r>
        <w:rPr>
          <w:rFonts w:hint="eastAsia" w:eastAsia="方正仿宋_GBK" w:cs="Times New Roman"/>
          <w:sz w:val="32"/>
          <w:szCs w:val="32"/>
          <w:shd w:val="clear" w:color="auto" w:fill="FFFFFF"/>
          <w:lang w:val="en-US" w:eastAsia="zh-CN"/>
        </w:rPr>
        <w:t>查</w:t>
      </w:r>
      <w:r>
        <w:rPr>
          <w:rFonts w:hint="default" w:ascii="Times New Roman" w:hAnsi="Times New Roman" w:eastAsia="方正仿宋_GBK" w:cs="Times New Roman"/>
          <w:sz w:val="32"/>
          <w:szCs w:val="32"/>
          <w:shd w:val="clear" w:color="auto" w:fill="FFFFFF"/>
          <w:lang w:val="en-US" w:eastAsia="zh-CN"/>
        </w:rPr>
        <w:t>法、数据统计法、座谈调研法、目标对比法，结合养护台账、资金支付凭证、现场路况核查、群众访谈等开展评价。</w:t>
      </w:r>
    </w:p>
    <w:p w14:paraId="78640EFA">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方正楷体_GBK" w:cs="Times New Roman"/>
          <w:b/>
          <w:color w:val="auto"/>
          <w:sz w:val="32"/>
          <w:szCs w:val="32"/>
          <w:highlight w:val="none"/>
          <w:lang w:val="en-US" w:eastAsia="zh-CN"/>
        </w:rPr>
        <w:t>（五）</w:t>
      </w:r>
      <w:r>
        <w:rPr>
          <w:rFonts w:hint="default" w:ascii="Times New Roman" w:hAnsi="Times New Roman" w:eastAsia="方正楷体_GBK" w:cs="Times New Roman"/>
          <w:b/>
          <w:color w:val="auto"/>
          <w:sz w:val="32"/>
          <w:szCs w:val="32"/>
          <w:highlight w:val="none"/>
          <w:lang w:val="zh-CN" w:eastAsia="zh-CN"/>
        </w:rPr>
        <w:t>评价组织。</w:t>
      </w:r>
    </w:p>
    <w:p w14:paraId="502DDF65">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成立由县交通运输局主要领导任组长，分管领导任副组长，财务股、农管中心、规划股等相关人员为成员的自评工作小组，明确职责分工，统筹推进资料收集、现场核查、数据汇总、评分测算、报告撰写等全流程工作。</w:t>
      </w:r>
    </w:p>
    <w:p w14:paraId="508F4D7E">
      <w:pPr>
        <w:keepNext w:val="0"/>
        <w:keepLines w:val="0"/>
        <w:pageBreakBefore w:val="0"/>
        <w:widowControl w:val="0"/>
        <w:wordWrap/>
        <w:overflowPunct w:val="0"/>
        <w:topLinePunct w:val="0"/>
        <w:bidi w:val="0"/>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highlight w:val="none"/>
          <w:lang w:val="zh-CN" w:eastAsia="zh-CN" w:bidi="ar-SA"/>
        </w:rPr>
      </w:pPr>
      <w:r>
        <w:rPr>
          <w:rFonts w:hint="default" w:ascii="Times New Roman" w:hAnsi="Times New Roman" w:eastAsia="方正黑体_GBK" w:cs="Times New Roman"/>
          <w:color w:val="auto"/>
          <w:kern w:val="2"/>
          <w:sz w:val="32"/>
          <w:szCs w:val="32"/>
          <w:highlight w:val="none"/>
          <w:lang w:val="en-US" w:eastAsia="zh-CN" w:bidi="ar-SA"/>
        </w:rPr>
        <w:t>三、绩效分析</w:t>
      </w:r>
      <w:r>
        <w:rPr>
          <w:rFonts w:hint="default" w:ascii="Times New Roman" w:hAnsi="Times New Roman" w:eastAsia="仿宋_GB2312" w:cs="Times New Roman"/>
          <w:color w:val="auto"/>
          <w:kern w:val="0"/>
          <w:sz w:val="32"/>
          <w:szCs w:val="32"/>
          <w:highlight w:val="none"/>
          <w:lang w:val="zh-CN" w:eastAsia="zh-CN" w:bidi="ar-SA"/>
        </w:rPr>
        <w:tab/>
      </w:r>
    </w:p>
    <w:p w14:paraId="3758344D">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zh-CN" w:eastAsia="zh-CN"/>
        </w:rPr>
        <w:t>根据项目预算绩效评价指标体系</w:t>
      </w:r>
      <w:r>
        <w:rPr>
          <w:rFonts w:hint="eastAsia" w:eastAsia="方正仿宋_GBK" w:cs="Times New Roman"/>
          <w:sz w:val="32"/>
          <w:szCs w:val="32"/>
          <w:shd w:val="clear" w:color="auto" w:fill="FFFFFF"/>
          <w:lang w:val="zh-CN" w:eastAsia="zh-CN"/>
        </w:rPr>
        <w:t>“</w:t>
      </w:r>
      <w:r>
        <w:rPr>
          <w:rFonts w:hint="default" w:ascii="Times New Roman" w:hAnsi="Times New Roman" w:eastAsia="方正仿宋_GBK" w:cs="Times New Roman"/>
          <w:sz w:val="32"/>
          <w:szCs w:val="32"/>
          <w:shd w:val="clear" w:color="auto" w:fill="FFFFFF"/>
          <w:lang w:val="zh-CN" w:eastAsia="zh-CN"/>
        </w:rPr>
        <w:t>通用指标</w:t>
      </w:r>
      <w:r>
        <w:rPr>
          <w:rFonts w:hint="eastAsia" w:eastAsia="方正仿宋_GBK" w:cs="Times New Roman"/>
          <w:sz w:val="32"/>
          <w:szCs w:val="32"/>
          <w:shd w:val="clear" w:color="auto" w:fill="FFFFFF"/>
          <w:lang w:val="zh-CN" w:eastAsia="zh-CN"/>
        </w:rPr>
        <w:t>”“</w:t>
      </w:r>
      <w:r>
        <w:rPr>
          <w:rFonts w:hint="default" w:ascii="Times New Roman" w:hAnsi="Times New Roman" w:eastAsia="方正仿宋_GBK" w:cs="Times New Roman"/>
          <w:sz w:val="32"/>
          <w:szCs w:val="32"/>
          <w:shd w:val="clear" w:color="auto" w:fill="FFFFFF"/>
          <w:lang w:val="zh-CN" w:eastAsia="zh-CN"/>
        </w:rPr>
        <w:t>专用指标</w:t>
      </w:r>
      <w:r>
        <w:rPr>
          <w:rFonts w:hint="eastAsia" w:eastAsia="方正仿宋_GBK" w:cs="Times New Roman"/>
          <w:sz w:val="32"/>
          <w:szCs w:val="32"/>
          <w:shd w:val="clear" w:color="auto" w:fill="FFFFFF"/>
          <w:lang w:val="zh-CN" w:eastAsia="zh-CN"/>
        </w:rPr>
        <w:t>”“</w:t>
      </w:r>
      <w:r>
        <w:rPr>
          <w:rFonts w:hint="default" w:ascii="Times New Roman" w:hAnsi="Times New Roman" w:eastAsia="方正仿宋_GBK" w:cs="Times New Roman"/>
          <w:sz w:val="32"/>
          <w:szCs w:val="32"/>
          <w:shd w:val="clear" w:color="auto" w:fill="FFFFFF"/>
          <w:lang w:val="zh-CN" w:eastAsia="zh-CN"/>
        </w:rPr>
        <w:t>个性指标</w:t>
      </w:r>
      <w:r>
        <w:rPr>
          <w:rFonts w:hint="eastAsia" w:eastAsia="方正仿宋_GBK" w:cs="Times New Roman"/>
          <w:sz w:val="32"/>
          <w:szCs w:val="32"/>
          <w:shd w:val="clear" w:color="auto" w:fill="FFFFFF"/>
          <w:lang w:val="zh-CN" w:eastAsia="zh-CN"/>
        </w:rPr>
        <w:t>”</w:t>
      </w:r>
      <w:r>
        <w:rPr>
          <w:rFonts w:hint="default" w:ascii="Times New Roman" w:hAnsi="Times New Roman" w:eastAsia="方正仿宋_GBK" w:cs="Times New Roman"/>
          <w:sz w:val="32"/>
          <w:szCs w:val="32"/>
          <w:shd w:val="clear" w:color="auto" w:fill="FFFFFF"/>
          <w:lang w:val="zh-CN" w:eastAsia="zh-CN"/>
        </w:rPr>
        <w:t>涉及二、三级指标进行逐项绩效分析并评分</w:t>
      </w:r>
      <w:r>
        <w:rPr>
          <w:rFonts w:hint="default" w:ascii="Times New Roman" w:hAnsi="Times New Roman" w:eastAsia="方正仿宋_GBK" w:cs="Times New Roman"/>
          <w:sz w:val="32"/>
          <w:szCs w:val="32"/>
          <w:shd w:val="clear" w:color="auto" w:fill="FFFFFF"/>
          <w:lang w:val="en-US" w:eastAsia="zh-CN"/>
        </w:rPr>
        <w:t>。</w:t>
      </w:r>
    </w:p>
    <w:p w14:paraId="7C1002A1">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zh-CN" w:eastAsia="zh-CN"/>
        </w:rPr>
        <w:t>（一）</w:t>
      </w:r>
      <w:r>
        <w:rPr>
          <w:rFonts w:hint="default" w:ascii="Times New Roman" w:hAnsi="Times New Roman" w:eastAsia="方正楷体_GBK" w:cs="Times New Roman"/>
          <w:b/>
          <w:color w:val="auto"/>
          <w:sz w:val="32"/>
          <w:szCs w:val="32"/>
          <w:highlight w:val="none"/>
          <w:lang w:val="en-US" w:eastAsia="zh-CN"/>
        </w:rPr>
        <w:t>通用指标</w:t>
      </w:r>
      <w:r>
        <w:rPr>
          <w:rFonts w:hint="default" w:ascii="Times New Roman" w:hAnsi="Times New Roman" w:eastAsia="方正楷体_GBK" w:cs="Times New Roman"/>
          <w:b/>
          <w:color w:val="auto"/>
          <w:sz w:val="32"/>
          <w:szCs w:val="32"/>
          <w:highlight w:val="none"/>
          <w:lang w:val="zh-CN" w:eastAsia="zh-CN"/>
        </w:rPr>
        <w:t>绩效分析。</w:t>
      </w:r>
    </w:p>
    <w:p w14:paraId="0A1214FA">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b/>
          <w:bCs/>
          <w:color w:val="000000"/>
          <w:kern w:val="0"/>
          <w:sz w:val="32"/>
          <w:szCs w:val="32"/>
          <w:lang w:val="en-US" w:eastAsia="zh-CN" w:bidi="ar-SA"/>
        </w:rPr>
      </w:pPr>
      <w:r>
        <w:rPr>
          <w:rFonts w:hint="default" w:ascii="Times New Roman" w:hAnsi="Times New Roman" w:eastAsia="方正仿宋_GBK" w:cs="Times New Roman"/>
          <w:b/>
          <w:bCs/>
          <w:color w:val="000000"/>
          <w:kern w:val="0"/>
          <w:sz w:val="32"/>
          <w:szCs w:val="32"/>
          <w:lang w:val="en-US" w:eastAsia="zh-CN" w:bidi="ar-SA"/>
        </w:rPr>
        <w:t>1.项目决策。</w:t>
      </w:r>
    </w:p>
    <w:p w14:paraId="6F749F95">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（1）决策程序：项目依据政策规定、养护需求及年度预算依规设立，程序严密规范。</w:t>
      </w:r>
    </w:p>
    <w:p w14:paraId="095FEA40">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（2）规划论证：符合农村公路养护发展规划及</w:t>
      </w:r>
      <w:r>
        <w:rPr>
          <w:rFonts w:hint="eastAsia" w:eastAsia="方正仿宋_GBK" w:cs="Times New Roman"/>
          <w:sz w:val="32"/>
          <w:szCs w:val="32"/>
          <w:shd w:val="clear" w:color="auto" w:fill="FFFFFF"/>
          <w:lang w:val="en-US" w:eastAsia="zh-CN"/>
        </w:rPr>
        <w:t>中央和</w:t>
      </w:r>
      <w:r>
        <w:rPr>
          <w:rFonts w:hint="default" w:ascii="Times New Roman" w:hAnsi="Times New Roman" w:eastAsia="方正仿宋_GBK" w:cs="Times New Roman"/>
          <w:sz w:val="32"/>
          <w:szCs w:val="32"/>
          <w:shd w:val="clear" w:color="auto" w:fill="FFFFFF"/>
          <w:lang w:val="en-US" w:eastAsia="zh-CN"/>
        </w:rPr>
        <w:t>省</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sz w:val="32"/>
          <w:szCs w:val="32"/>
          <w:shd w:val="clear" w:color="auto" w:fill="FFFFFF"/>
          <w:lang w:val="en-US" w:eastAsia="zh-CN"/>
        </w:rPr>
        <w:t>市</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sz w:val="32"/>
          <w:szCs w:val="32"/>
          <w:shd w:val="clear" w:color="auto" w:fill="FFFFFF"/>
          <w:lang w:val="en-US" w:eastAsia="zh-CN"/>
        </w:rPr>
        <w:t>县工作要求，绩效目标设置科学合理。</w:t>
      </w:r>
    </w:p>
    <w:p w14:paraId="7D4F6BD3">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（3）资金投向：资金全部用于农村公路养护主业，与年度养护任务、重点领域高度匹配</w:t>
      </w:r>
      <w:bookmarkStart w:id="66" w:name="_GoBack"/>
      <w:bookmarkEnd w:id="66"/>
      <w:r>
        <w:rPr>
          <w:rFonts w:hint="default" w:ascii="Times New Roman" w:hAnsi="Times New Roman" w:eastAsia="方正仿宋_GBK" w:cs="Times New Roman"/>
          <w:sz w:val="32"/>
          <w:szCs w:val="32"/>
          <w:shd w:val="clear" w:color="auto" w:fill="FFFFFF"/>
          <w:lang w:val="en-US" w:eastAsia="zh-CN"/>
        </w:rPr>
        <w:t>。</w:t>
      </w:r>
    </w:p>
    <w:p w14:paraId="77EF9FF2">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b/>
          <w:bCs/>
          <w:color w:val="000000"/>
          <w:kern w:val="0"/>
          <w:sz w:val="32"/>
          <w:szCs w:val="32"/>
          <w:lang w:val="en-US" w:eastAsia="zh-CN" w:bidi="ar-SA"/>
        </w:rPr>
      </w:pPr>
      <w:r>
        <w:rPr>
          <w:rFonts w:hint="default" w:ascii="Times New Roman" w:hAnsi="Times New Roman" w:eastAsia="方正仿宋_GBK" w:cs="Times New Roman"/>
          <w:b/>
          <w:bCs/>
          <w:color w:val="000000"/>
          <w:kern w:val="0"/>
          <w:sz w:val="32"/>
          <w:szCs w:val="32"/>
          <w:lang w:val="en-US" w:eastAsia="zh-CN" w:bidi="ar-SA"/>
        </w:rPr>
        <w:t>2.项目管理。</w:t>
      </w:r>
    </w:p>
    <w:p w14:paraId="0556CFD1">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（1）制度办法：严格执行农村公路养护及资金管理相关制度，制度体系健全、要素完备。</w:t>
      </w:r>
    </w:p>
    <w:p w14:paraId="02F13FF7">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（2）分配管理：按里程、路况、任务量科学分配，审批流程规范，得 10 分。</w:t>
      </w:r>
    </w:p>
    <w:p w14:paraId="2889999C">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（3）绩效监管：坚持管资金、管项目、管绩效同步推进，日常养护监管到位，对下指导有力。</w:t>
      </w:r>
    </w:p>
    <w:p w14:paraId="499322A0">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3.项目实施。</w:t>
      </w:r>
    </w:p>
    <w:p w14:paraId="5164BFE2">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预算执行率82%，资金使用合规、拨付规范。</w:t>
      </w:r>
    </w:p>
    <w:p w14:paraId="5BA6E087">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b/>
          <w:bCs/>
          <w:color w:val="000000"/>
          <w:kern w:val="0"/>
          <w:sz w:val="32"/>
          <w:szCs w:val="32"/>
          <w:lang w:val="en-US" w:eastAsia="zh-CN" w:bidi="ar-SA"/>
        </w:rPr>
      </w:pPr>
      <w:r>
        <w:rPr>
          <w:rFonts w:hint="default" w:ascii="Times New Roman" w:hAnsi="Times New Roman" w:eastAsia="方正仿宋_GBK" w:cs="Times New Roman"/>
          <w:b/>
          <w:bCs/>
          <w:color w:val="000000"/>
          <w:kern w:val="0"/>
          <w:sz w:val="32"/>
          <w:szCs w:val="32"/>
          <w:lang w:val="en-US" w:eastAsia="zh-CN" w:bidi="ar-SA"/>
        </w:rPr>
        <w:t>4.项目结果。</w:t>
      </w:r>
    </w:p>
    <w:p w14:paraId="49C643D8">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（1）目标完成：全面完成年度养护任务，各项指标均达到预期。</w:t>
      </w:r>
    </w:p>
    <w:p w14:paraId="45FF8F3F">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（2）完成时效：按时完成全年养护计划，无滞后延误。</w:t>
      </w:r>
    </w:p>
    <w:p w14:paraId="26843CD7">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（二）</w:t>
      </w:r>
      <w:r>
        <w:rPr>
          <w:rFonts w:hint="default" w:ascii="Times New Roman" w:hAnsi="Times New Roman" w:eastAsia="方正楷体_GBK" w:cs="Times New Roman"/>
          <w:b/>
          <w:color w:val="auto"/>
          <w:sz w:val="32"/>
          <w:szCs w:val="32"/>
          <w:highlight w:val="none"/>
          <w:lang w:val="en-US" w:eastAsia="zh-CN"/>
        </w:rPr>
        <w:t>专用指标</w:t>
      </w:r>
      <w:r>
        <w:rPr>
          <w:rFonts w:hint="default" w:ascii="Times New Roman" w:hAnsi="Times New Roman" w:eastAsia="方正楷体_GBK" w:cs="Times New Roman"/>
          <w:b/>
          <w:color w:val="auto"/>
          <w:sz w:val="32"/>
          <w:szCs w:val="32"/>
          <w:highlight w:val="none"/>
          <w:lang w:val="zh-CN" w:eastAsia="zh-CN"/>
        </w:rPr>
        <w:t>绩效分析。</w:t>
      </w:r>
    </w:p>
    <w:p w14:paraId="1B5FFFC9">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sz w:val="32"/>
          <w:szCs w:val="32"/>
          <w:shd w:val="clear" w:color="auto" w:fill="FFFFFF"/>
          <w:lang w:val="en-US" w:eastAsia="zh-CN"/>
        </w:rPr>
        <w:t>本项目属于基础设施类（建成项目），逐项评价如下：</w:t>
      </w:r>
    </w:p>
    <w:p w14:paraId="6A28FA76">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1.</w:t>
      </w:r>
      <w:r>
        <w:rPr>
          <w:rFonts w:hint="default" w:ascii="Times New Roman" w:hAnsi="Times New Roman" w:eastAsia="方正仿宋_GBK" w:cs="Times New Roman"/>
          <w:b/>
          <w:bCs/>
          <w:color w:val="000000"/>
          <w:kern w:val="0"/>
          <w:sz w:val="32"/>
          <w:szCs w:val="32"/>
          <w:lang w:val="zh-CN" w:eastAsia="zh-CN" w:bidi="ar-SA"/>
        </w:rPr>
        <w:t>项目验收：</w:t>
      </w:r>
      <w:r>
        <w:rPr>
          <w:rFonts w:hint="default" w:ascii="Times New Roman" w:hAnsi="Times New Roman" w:eastAsia="方正仿宋_GBK" w:cs="Times New Roman"/>
          <w:sz w:val="32"/>
          <w:szCs w:val="32"/>
          <w:shd w:val="clear" w:color="auto" w:fill="FFFFFF"/>
          <w:lang w:val="zh-CN" w:eastAsia="zh-CN"/>
        </w:rPr>
        <w:t>养护作业完工后及时组织验收，资料齐全、质量合格。</w:t>
      </w:r>
    </w:p>
    <w:p w14:paraId="13A3EBB4">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b/>
          <w:bCs/>
          <w:color w:val="000000"/>
          <w:kern w:val="0"/>
          <w:sz w:val="32"/>
          <w:szCs w:val="32"/>
          <w:lang w:val="en-US" w:eastAsia="zh-CN" w:bidi="ar-SA"/>
        </w:rPr>
        <w:t>2.</w:t>
      </w:r>
      <w:r>
        <w:rPr>
          <w:rFonts w:hint="default" w:ascii="Times New Roman" w:hAnsi="Times New Roman" w:eastAsia="方正仿宋_GBK" w:cs="Times New Roman"/>
          <w:b/>
          <w:bCs/>
          <w:color w:val="000000"/>
          <w:kern w:val="0"/>
          <w:sz w:val="32"/>
          <w:szCs w:val="32"/>
          <w:lang w:val="zh-CN" w:eastAsia="zh-CN" w:bidi="ar-SA"/>
        </w:rPr>
        <w:t>功能实现：</w:t>
      </w:r>
      <w:r>
        <w:rPr>
          <w:rFonts w:hint="default" w:ascii="Times New Roman" w:hAnsi="Times New Roman" w:eastAsia="方正仿宋_GBK" w:cs="Times New Roman"/>
          <w:sz w:val="32"/>
          <w:szCs w:val="32"/>
          <w:shd w:val="clear" w:color="auto" w:fill="FFFFFF"/>
          <w:lang w:val="zh-CN" w:eastAsia="zh-CN"/>
        </w:rPr>
        <w:t>农村公路通行顺畅、病害有效消除、安全水平提升，服务功能全面发挥。</w:t>
      </w:r>
    </w:p>
    <w:p w14:paraId="06C1AC5D">
      <w:pPr>
        <w:keepNext w:val="0"/>
        <w:keepLines w:val="0"/>
        <w:pageBreakBefore w:val="0"/>
        <w:widowControl w:val="0"/>
        <w:kinsoku/>
        <w:wordWrap/>
        <w:overflowPunct w:val="0"/>
        <w:topLinePunct w:val="0"/>
        <w:autoSpaceDE/>
        <w:autoSpaceDN/>
        <w:bidi w:val="0"/>
        <w:adjustRightInd/>
        <w:snapToGrid/>
        <w:spacing w:line="578" w:lineRule="exact"/>
        <w:ind w:firstLine="643"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b/>
          <w:bCs/>
          <w:color w:val="000000"/>
          <w:kern w:val="0"/>
          <w:sz w:val="32"/>
          <w:szCs w:val="32"/>
          <w:lang w:val="en-US" w:eastAsia="zh-CN" w:bidi="ar-SA"/>
        </w:rPr>
        <w:t>3.</w:t>
      </w:r>
      <w:r>
        <w:rPr>
          <w:rFonts w:hint="default" w:ascii="Times New Roman" w:hAnsi="Times New Roman" w:eastAsia="方正仿宋_GBK" w:cs="Times New Roman"/>
          <w:b/>
          <w:bCs/>
          <w:color w:val="000000"/>
          <w:kern w:val="0"/>
          <w:sz w:val="32"/>
          <w:szCs w:val="32"/>
          <w:lang w:val="zh-CN" w:eastAsia="zh-CN" w:bidi="ar-SA"/>
        </w:rPr>
        <w:t>后续管护：</w:t>
      </w:r>
      <w:r>
        <w:rPr>
          <w:rFonts w:hint="default" w:ascii="Times New Roman" w:hAnsi="Times New Roman" w:eastAsia="方正仿宋_GBK" w:cs="Times New Roman"/>
          <w:sz w:val="32"/>
          <w:szCs w:val="32"/>
          <w:shd w:val="clear" w:color="auto" w:fill="FFFFFF"/>
          <w:lang w:val="zh-CN" w:eastAsia="zh-CN"/>
        </w:rPr>
        <w:t>建立常态化日常养护与巡查机制，管护责任落实、路况稳定。</w:t>
      </w:r>
    </w:p>
    <w:p w14:paraId="0FC0C8A4">
      <w:pPr>
        <w:keepNext w:val="0"/>
        <w:keepLines w:val="0"/>
        <w:pageBreakBefore w:val="0"/>
        <w:widowControl w:val="0"/>
        <w:wordWrap/>
        <w:overflowPunct w:val="0"/>
        <w:topLinePunct w:val="0"/>
        <w:bidi w:val="0"/>
        <w:spacing w:line="600" w:lineRule="exact"/>
        <w:ind w:firstLine="643" w:firstLineChars="200"/>
        <w:outlineLvl w:val="2"/>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（三）</w:t>
      </w:r>
      <w:r>
        <w:rPr>
          <w:rFonts w:hint="default" w:ascii="Times New Roman" w:hAnsi="Times New Roman" w:eastAsia="方正楷体_GBK" w:cs="Times New Roman"/>
          <w:b/>
          <w:color w:val="auto"/>
          <w:sz w:val="32"/>
          <w:szCs w:val="32"/>
          <w:highlight w:val="none"/>
          <w:lang w:val="en-US" w:eastAsia="zh-CN"/>
        </w:rPr>
        <w:t>个性指标</w:t>
      </w:r>
      <w:r>
        <w:rPr>
          <w:rFonts w:hint="default" w:ascii="Times New Roman" w:hAnsi="Times New Roman" w:eastAsia="方正楷体_GBK" w:cs="Times New Roman"/>
          <w:b/>
          <w:color w:val="auto"/>
          <w:sz w:val="32"/>
          <w:szCs w:val="32"/>
          <w:highlight w:val="none"/>
          <w:lang w:val="zh-CN" w:eastAsia="zh-CN"/>
        </w:rPr>
        <w:t>绩效分析。</w:t>
      </w:r>
    </w:p>
    <w:p w14:paraId="66C895F3">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sz w:val="32"/>
          <w:szCs w:val="32"/>
          <w:shd w:val="clear" w:color="auto" w:fill="FFFFFF"/>
          <w:lang w:val="zh-CN" w:eastAsia="zh-CN"/>
        </w:rPr>
        <w:t>结合农村公路养护特点设置养护覆盖率、公路完好率、隐患处置率、养护及时率4 项个性指标，全部完成年度目标。</w:t>
      </w:r>
    </w:p>
    <w:p w14:paraId="579640DE">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四、评价结论</w:t>
      </w:r>
    </w:p>
    <w:p w14:paraId="3A35E04F">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zh-CN" w:eastAsia="zh-CN"/>
        </w:rPr>
      </w:pPr>
      <w:r>
        <w:rPr>
          <w:rFonts w:hint="default" w:ascii="Times New Roman" w:hAnsi="Times New Roman" w:eastAsia="方正仿宋_GBK" w:cs="Times New Roman"/>
          <w:sz w:val="32"/>
          <w:szCs w:val="32"/>
          <w:shd w:val="clear" w:color="auto" w:fill="FFFFFF"/>
          <w:lang w:val="zh-CN" w:eastAsia="zh-CN"/>
        </w:rPr>
        <w:t>202</w:t>
      </w:r>
      <w:r>
        <w:rPr>
          <w:rFonts w:hint="default" w:ascii="Times New Roman" w:hAnsi="Times New Roman" w:eastAsia="方正仿宋_GBK" w:cs="Times New Roman"/>
          <w:sz w:val="32"/>
          <w:szCs w:val="32"/>
          <w:shd w:val="clear" w:color="auto" w:fill="FFFFFF"/>
          <w:lang w:val="en-US" w:eastAsia="zh-CN"/>
        </w:rPr>
        <w:t>5</w:t>
      </w:r>
      <w:r>
        <w:rPr>
          <w:rFonts w:hint="default" w:ascii="Times New Roman" w:hAnsi="Times New Roman" w:eastAsia="方正仿宋_GBK" w:cs="Times New Roman"/>
          <w:sz w:val="32"/>
          <w:szCs w:val="32"/>
          <w:shd w:val="clear" w:color="auto" w:fill="FFFFFF"/>
          <w:lang w:val="zh-CN" w:eastAsia="zh-CN"/>
        </w:rPr>
        <w:t>年农村公路养护州级补助项目决策科学、管理规范、预算执行到位、资金使用合规、养护任务全面完成，有效保障了全县农村公路安全畅通，社会效益显著，群众满意度较高。</w:t>
      </w:r>
    </w:p>
    <w:p w14:paraId="3362A55E">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lang w:val="en-US" w:eastAsia="zh-CN"/>
        </w:rPr>
        <w:t>五、存在主要问题</w:t>
      </w:r>
    </w:p>
    <w:p w14:paraId="10EE0010">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部分偏远村组道路养护频次不足，精细化养护水平有待提升；养护作业以人工为主，机械化程度不高，作业效率与标准有待提高；绩效全过程监测常态化不足，数据积累与动态跟踪不够完善。</w:t>
      </w:r>
    </w:p>
    <w:p w14:paraId="742BFBA6">
      <w:pPr>
        <w:pStyle w:val="27"/>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kern w:val="0"/>
          <w:sz w:val="32"/>
          <w:szCs w:val="32"/>
          <w:highlight w:val="none"/>
          <w:lang w:val="zh-CN" w:eastAsia="zh-CN" w:bidi="ar-SA"/>
        </w:rPr>
      </w:pPr>
      <w:r>
        <w:rPr>
          <w:rFonts w:hint="default" w:ascii="Times New Roman" w:hAnsi="Times New Roman" w:eastAsia="方正黑体_GBK" w:cs="Times New Roman"/>
          <w:color w:val="auto"/>
          <w:sz w:val="32"/>
          <w:szCs w:val="32"/>
          <w:highlight w:val="none"/>
          <w:lang w:val="zh-CN" w:eastAsia="zh-CN"/>
        </w:rPr>
        <w:t>六、改进建议</w:t>
      </w:r>
    </w:p>
    <w:p w14:paraId="544DF771">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lang w:val="en-US" w:eastAsia="zh-CN"/>
        </w:rPr>
      </w:pPr>
      <w:r>
        <w:rPr>
          <w:rFonts w:hint="default" w:ascii="Times New Roman" w:hAnsi="Times New Roman" w:eastAsia="方正仿宋_GBK" w:cs="Times New Roman"/>
          <w:sz w:val="32"/>
          <w:szCs w:val="32"/>
          <w:shd w:val="clear" w:color="auto" w:fill="FFFFFF"/>
          <w:lang w:val="en-US" w:eastAsia="zh-CN"/>
        </w:rPr>
        <w:t>优化养护力量配置，增加偏远村组道路巡查与养护频次，提升养护全覆盖与精细化水平。逐步配备小型养护机械设备，提高养护作业效率和工程质量，降低人工依赖。建立健全绩效动态监测机制，完善养护台账与数据统计，强化项目全过程绩效管理。</w:t>
      </w:r>
    </w:p>
    <w:p w14:paraId="39477E2E">
      <w:pPr>
        <w:keepNext w:val="0"/>
        <w:keepLines w:val="0"/>
        <w:pageBreakBefore w:val="0"/>
        <w:widowControl w:val="0"/>
        <w:wordWrap/>
        <w:overflowPunct w:val="0"/>
        <w:topLinePunct w:val="0"/>
        <w:bidi w:val="0"/>
        <w:rPr>
          <w:rFonts w:hint="default" w:ascii="Times New Roman" w:hAnsi="Times New Roman" w:cs="Times New Roman"/>
          <w:lang w:val="en-US" w:eastAsia="zh-CN"/>
        </w:rPr>
      </w:pPr>
    </w:p>
    <w:p w14:paraId="594E3F19">
      <w:pPr>
        <w:pStyle w:val="2"/>
        <w:rPr>
          <w:rFonts w:hint="default"/>
          <w:lang w:val="en-US" w:eastAsia="zh-CN"/>
        </w:rPr>
      </w:pPr>
    </w:p>
    <w:tbl>
      <w:tblPr>
        <w:tblStyle w:val="16"/>
        <w:tblpPr w:leftFromText="180" w:rightFromText="180" w:vertAnchor="text" w:horzAnchor="page" w:tblpX="500" w:tblpY="349"/>
        <w:tblOverlap w:val="never"/>
        <w:tblW w:w="115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763"/>
        <w:gridCol w:w="1032"/>
        <w:gridCol w:w="2493"/>
        <w:gridCol w:w="612"/>
        <w:gridCol w:w="600"/>
        <w:gridCol w:w="1305"/>
        <w:gridCol w:w="1122"/>
        <w:gridCol w:w="690"/>
        <w:gridCol w:w="914"/>
        <w:gridCol w:w="1419"/>
      </w:tblGrid>
      <w:tr w14:paraId="1E00F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1519" w:type="dxa"/>
            <w:gridSpan w:val="11"/>
            <w:tcBorders>
              <w:top w:val="nil"/>
              <w:left w:val="nil"/>
              <w:bottom w:val="nil"/>
              <w:right w:val="nil"/>
            </w:tcBorders>
            <w:shd w:val="clear" w:color="auto" w:fill="auto"/>
            <w:vAlign w:val="center"/>
          </w:tcPr>
          <w:p w14:paraId="37B893B2">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32"/>
                <w:szCs w:val="32"/>
                <w:u w:val="none"/>
              </w:rPr>
            </w:pPr>
            <w:r>
              <w:rPr>
                <w:rStyle w:val="43"/>
                <w:rFonts w:hint="default" w:ascii="Times New Roman" w:hAnsi="Times New Roman" w:cs="Times New Roman"/>
                <w:lang w:val="en-US" w:eastAsia="zh-CN" w:bidi="ar"/>
              </w:rPr>
              <w:t>绩效目标自评表</w:t>
            </w:r>
            <w:r>
              <w:rPr>
                <w:rStyle w:val="44"/>
                <w:rFonts w:hint="default" w:ascii="Times New Roman" w:hAnsi="Times New Roman" w:cs="Times New Roman"/>
                <w:lang w:val="en-US" w:eastAsia="zh-CN" w:bidi="ar"/>
              </w:rPr>
              <w:t xml:space="preserve"> </w:t>
            </w:r>
          </w:p>
        </w:tc>
      </w:tr>
      <w:tr w14:paraId="66821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519" w:type="dxa"/>
            <w:gridSpan w:val="11"/>
            <w:tcBorders>
              <w:top w:val="nil"/>
              <w:left w:val="nil"/>
              <w:bottom w:val="single" w:color="000000" w:sz="4" w:space="0"/>
              <w:right w:val="nil"/>
            </w:tcBorders>
            <w:shd w:val="clear" w:color="auto" w:fill="auto"/>
            <w:vAlign w:val="top"/>
          </w:tcPr>
          <w:p w14:paraId="32F5951A">
            <w:pPr>
              <w:keepNext w:val="0"/>
              <w:keepLines w:val="0"/>
              <w:pageBreakBefore w:val="0"/>
              <w:widowControl w:val="0"/>
              <w:suppressLineNumbers w:val="0"/>
              <w:wordWrap/>
              <w:overflowPunct w:val="0"/>
              <w:topLinePunct w:val="0"/>
              <w:bidi w:val="0"/>
              <w:jc w:val="center"/>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（2026年度）</w:t>
            </w:r>
          </w:p>
        </w:tc>
      </w:tr>
      <w:tr w14:paraId="782D0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8D8E2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37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96042">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全县农村公路养护费</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5E5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项目负责人及电话</w:t>
            </w:r>
          </w:p>
        </w:tc>
        <w:tc>
          <w:tcPr>
            <w:tcW w:w="41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32359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张开蓉18180373889</w:t>
            </w:r>
          </w:p>
        </w:tc>
      </w:tr>
      <w:tr w14:paraId="51FBA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E81FF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37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054C17">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壤塘县交通运输局</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A3E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w:t>
            </w:r>
          </w:p>
        </w:tc>
        <w:tc>
          <w:tcPr>
            <w:tcW w:w="41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25177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壤塘县交通运输局</w:t>
            </w:r>
          </w:p>
        </w:tc>
      </w:tr>
      <w:tr w14:paraId="27957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3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7F59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资金情况</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（万元）</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5D7E">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04B5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全年预算数（A）</w:t>
            </w:r>
          </w:p>
        </w:tc>
        <w:tc>
          <w:tcPr>
            <w:tcW w:w="2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B97A0">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全年执行数（B）</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C743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492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执行率（B/A)</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9F7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r>
      <w:tr w14:paraId="3B367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23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09A1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EE449">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年度资金总额：</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9FA6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342.95</w:t>
            </w:r>
          </w:p>
        </w:tc>
        <w:tc>
          <w:tcPr>
            <w:tcW w:w="2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801F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283.57789</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02C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359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A50A">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8.2</w:t>
            </w:r>
          </w:p>
        </w:tc>
      </w:tr>
      <w:tr w14:paraId="4CF7A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762D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B150">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20"/>
                <w:szCs w:val="20"/>
                <w:u w:val="none"/>
              </w:rPr>
            </w:pPr>
            <w:r>
              <w:rPr>
                <w:rStyle w:val="45"/>
                <w:rFonts w:hint="default" w:ascii="Times New Roman" w:hAnsi="Times New Roman" w:cs="Times New Roman"/>
                <w:lang w:val="en-US" w:eastAsia="zh-CN" w:bidi="ar"/>
              </w:rPr>
              <w:t xml:space="preserve"> </w:t>
            </w:r>
            <w:r>
              <w:rPr>
                <w:rStyle w:val="46"/>
                <w:rFonts w:hint="default" w:ascii="Times New Roman" w:hAnsi="Times New Roman" w:eastAsia="宋体" w:cs="Times New Roman"/>
                <w:sz w:val="24"/>
                <w:szCs w:val="24"/>
                <w:lang w:val="en-US" w:eastAsia="zh-CN" w:bidi="ar"/>
              </w:rPr>
              <w:t>其中：本年财政拨款</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3209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342.95</w:t>
            </w:r>
          </w:p>
        </w:tc>
        <w:tc>
          <w:tcPr>
            <w:tcW w:w="2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DD89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283.57789</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FB4A">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F795">
            <w:pPr>
              <w:keepNext w:val="0"/>
              <w:keepLines w:val="0"/>
              <w:pageBreakBefore w:val="0"/>
              <w:widowControl w:val="0"/>
              <w:wordWrap/>
              <w:overflowPunct w:val="0"/>
              <w:topLinePunct w:val="0"/>
              <w:bidi w:val="0"/>
              <w:jc w:val="left"/>
              <w:rPr>
                <w:rFonts w:hint="default" w:ascii="Times New Roman" w:hAnsi="Times New Roman" w:eastAsia="宋体" w:cs="Times New Roman"/>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C14A">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73A00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23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EBDB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652E">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20"/>
                <w:szCs w:val="20"/>
                <w:u w:val="none"/>
              </w:rPr>
            </w:pPr>
            <w:r>
              <w:rPr>
                <w:rStyle w:val="45"/>
                <w:rFonts w:hint="default" w:ascii="Times New Roman" w:hAnsi="Times New Roman" w:cs="Times New Roman"/>
                <w:lang w:val="en-US" w:eastAsia="zh-CN" w:bidi="ar"/>
              </w:rPr>
              <w:t xml:space="preserve"> </w:t>
            </w:r>
            <w:r>
              <w:rPr>
                <w:rStyle w:val="46"/>
                <w:rFonts w:hint="default" w:ascii="Times New Roman" w:hAnsi="Times New Roman" w:eastAsia="宋体" w:cs="Times New Roman"/>
                <w:sz w:val="24"/>
                <w:szCs w:val="24"/>
                <w:lang w:val="en-US" w:eastAsia="zh-CN" w:bidi="ar"/>
              </w:rPr>
              <w:t xml:space="preserve">      其他资金</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11F1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A20C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D82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0D10F">
            <w:pPr>
              <w:keepNext w:val="0"/>
              <w:keepLines w:val="0"/>
              <w:pageBreakBefore w:val="0"/>
              <w:widowControl w:val="0"/>
              <w:wordWrap/>
              <w:overflowPunct w:val="0"/>
              <w:topLinePunct w:val="0"/>
              <w:bidi w:val="0"/>
              <w:jc w:val="left"/>
              <w:rPr>
                <w:rFonts w:hint="default" w:ascii="Times New Roman" w:hAnsi="Times New Roman" w:eastAsia="宋体" w:cs="Times New Roman"/>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2F5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2BBE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D1BE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w:t>
            </w:r>
          </w:p>
        </w:tc>
        <w:tc>
          <w:tcPr>
            <w:tcW w:w="55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EA5890">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年初设定目标</w:t>
            </w:r>
          </w:p>
        </w:tc>
        <w:tc>
          <w:tcPr>
            <w:tcW w:w="5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BC01F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年度总体目标完成情况综述</w:t>
            </w:r>
          </w:p>
        </w:tc>
      </w:tr>
      <w:tr w14:paraId="045A0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BA7A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55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382F0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提升公路质量，增加公路使用年限，提升老百姓出行幸福感，提高出行效率，缩短出行时间，提升交通环境质量，打造良好的壤塘形象，为壤塘更好的发展奠定基础</w:t>
            </w:r>
          </w:p>
        </w:tc>
        <w:tc>
          <w:tcPr>
            <w:tcW w:w="54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0F39A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本年度稳步推进农村公路养护各项工作，道路通行品质与使用耐久性稳步提升。群众出行便捷度、舒适度显著改善，区域交通面貌持续向好，有效助力地方发展建设。</w:t>
            </w:r>
          </w:p>
        </w:tc>
      </w:tr>
      <w:tr w14:paraId="5807F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3CF2A4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2BD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100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443C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6E9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分值</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672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年度指标值</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BBAF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全年实际值</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F9DF7">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21ADE">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未完成原因及拟采取的改进措施</w:t>
            </w:r>
          </w:p>
        </w:tc>
      </w:tr>
      <w:tr w14:paraId="075AC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B16707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899B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(50分)</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928D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4AA80">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744.287</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390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CF6A">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=744.287KM</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AF0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744.287km</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BB4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5730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1B667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40803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CF32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CBD6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B579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1A3B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B7B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C4E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2EF8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47F9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4F2C5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751C58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18DD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AE0B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D916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F55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7FF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213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DF7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A568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1426D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E92F4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DBE6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840C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7C94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514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243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C62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19D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26E6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4FA03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C105B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2EC8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25F4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质量指标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36AE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养护作业质量达标率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544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B97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458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68094">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ECF1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因养护作业统筹效率不足导致扣分，后续将优化作业安排，提速保质完成养护工作。</w:t>
            </w:r>
          </w:p>
        </w:tc>
      </w:tr>
      <w:tr w14:paraId="79C2B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53CF36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601E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E149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A73E2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C1B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ED1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4B9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C8B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1AB8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5C267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2F8E6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CEA2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7CB4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B454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08F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A87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4B3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37D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8735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57C4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D856C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F93E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78AA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C792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FD2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424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4C1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8C0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EA44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00423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ABADF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D987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F807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时效指标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ED30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按时完成养护作业量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FD4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759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B6D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8DE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32FF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因部分偏远路段受天气、地质条件影响，养护进度略有滞后；后续将提前预判不利因素，科学制定工期，确保按期完成。</w:t>
            </w:r>
          </w:p>
        </w:tc>
      </w:tr>
      <w:tr w14:paraId="2195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11E73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389F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E1CD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0C19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96B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C33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6E1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972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0A8F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5980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B40615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5371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7929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4015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D44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756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339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61C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8CD9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11993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A45727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525F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31A0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A8DA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CB2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502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5FB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A7E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61FC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106D7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2509AD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37A8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2DA2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成本指标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F195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农村公路养护生态环境保护落实情况</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873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CD8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340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是</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3F0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1865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01A7F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C8F5E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C888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ED7C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7BC0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265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899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43C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B3A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CE95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62069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A97B0D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33AF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289C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309B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9D4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5FD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735C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C9FA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4B4A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73BFF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4257F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CC9D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F04D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55F64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5DC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704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DED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A3D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B820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5F077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348DB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FEC9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(30分)</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80540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经济效益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84AC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降低农村公路通行损耗成本</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779A">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4745">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EF5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是</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C545">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EBF7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10D77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1CEC4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16E9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1B51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4E0F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C66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0A4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5B5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ED8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84CF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6FDFC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8C047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B86C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5ECF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5051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176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17A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14C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CF1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5947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63E04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6CDCCE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254A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CDAB5">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82D2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促进农村公路发展</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E68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57F8">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2313">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是</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8D7A">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D2A2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因部分路段养护提升效果未完全达到预期，对路网整体服务能力的带动作用有待加强；后续将强化重点路段养护，持续改善通行条件。</w:t>
            </w:r>
          </w:p>
        </w:tc>
      </w:tr>
      <w:tr w14:paraId="56212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36E88B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2511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1009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9C4B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9FE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4009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4B10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097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8AF68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688C2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3F3B2F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9ED3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E28A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BC8C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FFF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0B5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57D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BD3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9C2A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01463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DCE4F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EC4A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33475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生态效益</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3802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13F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87D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853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6DF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E86B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7E00C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65E3B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ACD8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7858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78E9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F48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B91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052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A99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10640">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4B0C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C9F5D2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730A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2985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7832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2C1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1618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872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A546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76A93">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39B9D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338A0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4933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19EA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可持续影响指标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F42B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4D8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D1E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383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E21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2453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3A79B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7D370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20A3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8942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22F99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AC7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B86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5B9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8AD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3394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03744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4EDADB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2CD9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A40C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D3B7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A8C5">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44B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10D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60F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EBC5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0B0AE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0337C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5812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2E22">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0010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C832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46F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3D2D">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A6D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5830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1F131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1024C4">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34CA1">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(10分)</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163BE">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服务对象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满意度指标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8EF46">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农村公路养护沿线群众满意度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A189">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C2BD">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1DC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24B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E99AB">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因部分路段养护期间交通疏导、扬尘管控不够到位，对群众出行体验造成一定影响；后续将优化施工组织，加强现场管理，提升群众满意度。</w:t>
            </w:r>
          </w:p>
        </w:tc>
      </w:tr>
      <w:tr w14:paraId="28180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C29006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1370B">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7900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04B7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B7B4">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A293">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4A81">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BCEB">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DEF0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380F2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47E9B7F">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E7A89">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73AF1">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C6C6BE">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D464">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52271">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0CA7">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E6C9">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41F62">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64219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5B49A6">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A3EA7">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283C">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7682C">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317A">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CF70">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AE92">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35F7">
            <w:pPr>
              <w:keepNext w:val="0"/>
              <w:keepLines w:val="0"/>
              <w:pageBreakBefore w:val="0"/>
              <w:widowControl w:val="0"/>
              <w:wordWrap/>
              <w:overflowPunct w:val="0"/>
              <w:topLinePunct w:val="0"/>
              <w:bidi w:val="0"/>
              <w:rPr>
                <w:rFonts w:hint="default" w:ascii="Times New Roman" w:hAnsi="Times New Roman" w:eastAsia="宋体" w:cs="Times New Roman"/>
                <w:i w:val="0"/>
                <w:iCs w:val="0"/>
                <w:color w:val="000000"/>
                <w:sz w:val="20"/>
                <w:szCs w:val="20"/>
                <w:u w:val="none"/>
              </w:rPr>
            </w:pP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12C6A">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6A4A0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4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9091CF">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总分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D51A">
            <w:pPr>
              <w:keepNext w:val="0"/>
              <w:keepLines w:val="0"/>
              <w:pageBreakBefore w:val="0"/>
              <w:widowControl w:val="0"/>
              <w:suppressLineNumbers w:val="0"/>
              <w:wordWrap/>
              <w:overflowPunct w:val="0"/>
              <w:topLinePunct w:val="0"/>
              <w:bidi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100</w:t>
            </w:r>
          </w:p>
        </w:tc>
        <w:tc>
          <w:tcPr>
            <w:tcW w:w="2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87AAD">
            <w:pPr>
              <w:keepNext w:val="0"/>
              <w:keepLines w:val="0"/>
              <w:pageBreakBefore w:val="0"/>
              <w:widowControl w:val="0"/>
              <w:wordWrap/>
              <w:overflowPunct w:val="0"/>
              <w:topLinePunct w:val="0"/>
              <w:bidi w:val="0"/>
              <w:jc w:val="center"/>
              <w:rPr>
                <w:rFonts w:hint="default" w:ascii="Times New Roman" w:hAnsi="Times New Roman" w:eastAsia="宋体" w:cs="Times New Roman"/>
                <w:b/>
                <w:bCs/>
                <w:i w:val="0"/>
                <w:iCs w:val="0"/>
                <w:color w:val="000000"/>
                <w:sz w:val="20"/>
                <w:szCs w:val="20"/>
                <w:u w:val="none"/>
              </w:rPr>
            </w:pP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7A4C">
            <w:pPr>
              <w:keepNext w:val="0"/>
              <w:keepLines w:val="0"/>
              <w:pageBreakBefore w:val="0"/>
              <w:widowControl w:val="0"/>
              <w:suppressLineNumbers w:val="0"/>
              <w:wordWrap/>
              <w:overflowPunct w:val="0"/>
              <w:topLinePunct w:val="0"/>
              <w:bidi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89.2</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00528">
            <w:pPr>
              <w:keepNext w:val="0"/>
              <w:keepLines w:val="0"/>
              <w:pageBreakBefore w:val="0"/>
              <w:widowControl w:val="0"/>
              <w:wordWrap/>
              <w:overflowPunct w:val="0"/>
              <w:topLinePunct w:val="0"/>
              <w:bidi w:val="0"/>
              <w:jc w:val="center"/>
              <w:rPr>
                <w:rFonts w:hint="default" w:ascii="Times New Roman" w:hAnsi="Times New Roman" w:eastAsia="宋体" w:cs="Times New Roman"/>
                <w:i w:val="0"/>
                <w:iCs w:val="0"/>
                <w:color w:val="000000"/>
                <w:sz w:val="20"/>
                <w:szCs w:val="20"/>
                <w:u w:val="none"/>
              </w:rPr>
            </w:pPr>
          </w:p>
        </w:tc>
      </w:tr>
      <w:tr w14:paraId="0DFF0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1519" w:type="dxa"/>
            <w:gridSpan w:val="11"/>
            <w:tcBorders>
              <w:top w:val="single" w:color="000000" w:sz="4" w:space="0"/>
              <w:left w:val="nil"/>
              <w:bottom w:val="nil"/>
              <w:right w:val="nil"/>
            </w:tcBorders>
            <w:shd w:val="clear" w:color="auto" w:fill="auto"/>
            <w:vAlign w:val="center"/>
          </w:tcPr>
          <w:p w14:paraId="7E8F932F">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18"/>
                <w:szCs w:val="18"/>
                <w:u w:val="none"/>
              </w:rPr>
            </w:pPr>
            <w:r>
              <w:rPr>
                <w:rStyle w:val="47"/>
                <w:rFonts w:hint="default" w:ascii="Times New Roman" w:hAnsi="Times New Roman" w:cs="Times New Roman"/>
                <w:lang w:val="en-US" w:eastAsia="zh-CN" w:bidi="ar"/>
              </w:rPr>
              <w:t>注：1</w:t>
            </w:r>
            <w:r>
              <w:rPr>
                <w:rStyle w:val="48"/>
                <w:rFonts w:hint="default" w:ascii="Times New Roman" w:hAnsi="Times New Roman" w:cs="Times New Roman"/>
                <w:lang w:val="en-US" w:eastAsia="zh-CN" w:bidi="ar"/>
              </w:rPr>
              <w:t>.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14:paraId="45DEB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519" w:type="dxa"/>
            <w:gridSpan w:val="11"/>
            <w:tcBorders>
              <w:top w:val="nil"/>
              <w:left w:val="nil"/>
              <w:bottom w:val="nil"/>
              <w:right w:val="nil"/>
            </w:tcBorders>
            <w:shd w:val="clear" w:color="auto" w:fill="auto"/>
            <w:vAlign w:val="center"/>
          </w:tcPr>
          <w:p w14:paraId="5441D4AC">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2.定性指标根据指标完成情况分为：达成预期指标、部分达成预期指标并具有一定效果、未达成预期指标且效果较差三档，分别按照该指标对应分值区间100-80%(含80%)、80-60%(含60%)、60-0%合理确定得分。</w:t>
            </w:r>
          </w:p>
        </w:tc>
      </w:tr>
      <w:tr w14:paraId="6884D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519" w:type="dxa"/>
            <w:gridSpan w:val="11"/>
            <w:tcBorders>
              <w:top w:val="nil"/>
              <w:left w:val="nil"/>
              <w:bottom w:val="nil"/>
              <w:right w:val="nil"/>
            </w:tcBorders>
            <w:shd w:val="clear" w:color="auto" w:fill="auto"/>
            <w:vAlign w:val="center"/>
          </w:tcPr>
          <w:p w14:paraId="56119580">
            <w:pPr>
              <w:keepNext w:val="0"/>
              <w:keepLines w:val="0"/>
              <w:pageBreakBefore w:val="0"/>
              <w:widowControl w:val="0"/>
              <w:suppressLineNumbers w:val="0"/>
              <w:wordWrap/>
              <w:overflowPunct w:val="0"/>
              <w:topLinePunct w:val="0"/>
              <w:bidi w:val="0"/>
              <w:jc w:val="left"/>
              <w:textAlignment w:val="center"/>
              <w:rPr>
                <w:rFonts w:hint="default" w:ascii="Times New Roman" w:hAnsi="Times New Roman" w:eastAsia="宋体" w:cs="Times New Roman"/>
                <w:i w:val="0"/>
                <w:iCs w:val="0"/>
                <w:color w:val="000000"/>
                <w:sz w:val="18"/>
                <w:szCs w:val="18"/>
                <w:u w:val="none"/>
              </w:rPr>
            </w:pPr>
            <w:r>
              <w:rPr>
                <w:rStyle w:val="47"/>
                <w:rFonts w:hint="default" w:ascii="Times New Roman" w:hAnsi="Times New Roman" w:cs="Times New Roman"/>
                <w:lang w:val="en-US" w:eastAsia="zh-CN" w:bidi="ar"/>
              </w:rPr>
              <w:t xml:space="preserve">    3.定量指标若为正向指标（即指标值为</w:t>
            </w:r>
            <w:r>
              <w:rPr>
                <w:rFonts w:hint="default" w:ascii="Times New Roman" w:hAnsi="Times New Roman" w:eastAsia="宋体" w:cs="Times New Roman"/>
                <w:i w:val="0"/>
                <w:iCs w:val="0"/>
                <w:color w:val="000000"/>
                <w:kern w:val="0"/>
                <w:sz w:val="18"/>
                <w:szCs w:val="18"/>
                <w:u w:val="none"/>
                <w:lang w:val="en-US" w:eastAsia="zh-CN" w:bidi="ar"/>
              </w:rPr>
              <w:t>≥*），则得分计算方法应用全年实际值/年度指标值</w:t>
            </w:r>
            <w:r>
              <w:rPr>
                <w:rStyle w:val="49"/>
                <w:rFonts w:hint="default" w:ascii="Times New Roman" w:hAnsi="Times New Roman" w:cs="Times New Roman"/>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该指标分值；若定量指标为反向指标（即指标值为≤*），则得分计算方法应用年度指标值/全年实际值</w:t>
            </w:r>
            <w:r>
              <w:rPr>
                <w:rStyle w:val="49"/>
                <w:rFonts w:hint="default" w:ascii="Times New Roman" w:hAnsi="Times New Roman" w:cs="Times New Roman"/>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该指标分值；定量指标得分最高不得超过该指标分值上限。</w:t>
            </w:r>
          </w:p>
        </w:tc>
      </w:tr>
    </w:tbl>
    <w:p w14:paraId="085D493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wordWrap/>
        <w:overflowPunct w:val="0"/>
        <w:topLinePunct w:val="0"/>
        <w:bidi w:val="0"/>
        <w:spacing w:before="0" w:beforeAutospacing="0" w:after="0" w:afterAutospacing="0" w:line="288" w:lineRule="atLeast"/>
        <w:ind w:right="0" w:rightChars="0"/>
        <w:jc w:val="both"/>
        <w:rPr>
          <w:rFonts w:hint="default" w:ascii="Times New Roman" w:hAnsi="Times New Roman" w:eastAsia="仿宋_GB2312" w:cs="Times New Roman"/>
          <w:b w:val="0"/>
          <w:bCs w:val="0"/>
          <w:kern w:val="2"/>
          <w:sz w:val="32"/>
          <w:szCs w:val="32"/>
          <w:lang w:val="en-US" w:eastAsia="zh-CN" w:bidi="ar-SA"/>
        </w:rPr>
      </w:pPr>
    </w:p>
    <w:p w14:paraId="5C6D4D2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wordWrap/>
        <w:overflowPunct w:val="0"/>
        <w:topLinePunct w:val="0"/>
        <w:bidi w:val="0"/>
        <w:spacing w:before="0" w:beforeAutospacing="0" w:after="0" w:afterAutospacing="0" w:line="288" w:lineRule="atLeast"/>
        <w:ind w:right="0" w:rightChars="0" w:firstLine="640" w:firstLineChars="200"/>
        <w:jc w:val="both"/>
        <w:rPr>
          <w:rFonts w:hint="default" w:ascii="Times New Roman" w:hAnsi="Times New Roman" w:eastAsia="仿宋_GB2312" w:cs="Times New Roman"/>
          <w:b w:val="0"/>
          <w:bCs w:val="0"/>
          <w:kern w:val="2"/>
          <w:sz w:val="32"/>
          <w:szCs w:val="32"/>
          <w:lang w:val="en-US" w:eastAsia="zh-CN" w:bidi="ar-SA"/>
        </w:rPr>
      </w:pPr>
    </w:p>
    <w:p w14:paraId="6403151E">
      <w:pPr>
        <w:keepNext w:val="0"/>
        <w:keepLines w:val="0"/>
        <w:pageBreakBefore w:val="0"/>
        <w:widowControl w:val="0"/>
        <w:kinsoku/>
        <w:wordWrap/>
        <w:overflowPunct w:val="0"/>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30C11E04">
      <w:pPr>
        <w:keepNext w:val="0"/>
        <w:keepLines w:val="0"/>
        <w:pageBreakBefore w:val="0"/>
        <w:widowControl w:val="0"/>
        <w:kinsoku/>
        <w:wordWrap/>
        <w:overflowPunct w:val="0"/>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1C72C644">
      <w:pPr>
        <w:keepNext w:val="0"/>
        <w:keepLines w:val="0"/>
        <w:pageBreakBefore w:val="0"/>
        <w:widowControl w:val="0"/>
        <w:kinsoku/>
        <w:wordWrap/>
        <w:overflowPunct w:val="0"/>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bookmarkStart w:id="52" w:name="_Toc15396618"/>
      <w:r>
        <w:rPr>
          <w:rFonts w:hint="default" w:ascii="Times New Roman" w:hAnsi="Times New Roman" w:eastAsia="仿宋_GB2312" w:cs="Times New Roman"/>
          <w:b w:val="0"/>
          <w:bCs w:val="0"/>
          <w:kern w:val="0"/>
          <w:position w:val="0"/>
          <w:sz w:val="32"/>
          <w:szCs w:val="32"/>
          <w:highlight w:val="none"/>
          <w:lang w:val="en-US" w:eastAsia="zh-CN" w:bidi="ar-SA"/>
        </w:rPr>
        <w:br w:type="page"/>
      </w:r>
    </w:p>
    <w:p w14:paraId="7B37B749">
      <w:pPr>
        <w:pStyle w:val="6"/>
        <w:keepNext w:val="0"/>
        <w:keepLines w:val="0"/>
        <w:pageBreakBefore w:val="0"/>
        <w:widowControl w:val="0"/>
        <w:wordWrap/>
        <w:overflowPunct w:val="0"/>
        <w:topLinePunct w:val="0"/>
        <w:bidi w:val="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第五部分 附表</w:t>
      </w:r>
      <w:bookmarkEnd w:id="50"/>
      <w:bookmarkEnd w:id="52"/>
      <w:bookmarkStart w:id="53" w:name="_Toc15396619"/>
    </w:p>
    <w:p w14:paraId="568C5D94">
      <w:pPr>
        <w:pStyle w:val="15"/>
        <w:keepNext w:val="0"/>
        <w:keepLines w:val="0"/>
        <w:pageBreakBefore w:val="0"/>
        <w:widowControl w:val="0"/>
        <w:kinsoku/>
        <w:wordWrap/>
        <w:overflowPunct w:val="0"/>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5AC03A0F">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一、收入支出决算总表</w:t>
      </w:r>
      <w:bookmarkEnd w:id="53"/>
    </w:p>
    <w:p w14:paraId="4F255992">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54" w:name="_Toc15396620"/>
      <w:r>
        <w:rPr>
          <w:rFonts w:hint="default" w:ascii="Times New Roman" w:hAnsi="Times New Roman" w:eastAsia="方正仿宋_GBK" w:cs="Times New Roman"/>
          <w:sz w:val="32"/>
          <w:szCs w:val="32"/>
          <w:shd w:val="clear" w:color="auto" w:fill="FFFFFF"/>
          <w:lang w:val="en-US" w:eastAsia="zh-CN"/>
        </w:rPr>
        <w:t>二、收入决算表</w:t>
      </w:r>
      <w:bookmarkEnd w:id="54"/>
    </w:p>
    <w:p w14:paraId="5F62903A">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55" w:name="_Toc15396621"/>
      <w:r>
        <w:rPr>
          <w:rFonts w:hint="default" w:ascii="Times New Roman" w:hAnsi="Times New Roman" w:eastAsia="方正仿宋_GBK" w:cs="Times New Roman"/>
          <w:sz w:val="32"/>
          <w:szCs w:val="32"/>
          <w:shd w:val="clear" w:color="auto" w:fill="FFFFFF"/>
          <w:lang w:val="en-US" w:eastAsia="zh-CN"/>
        </w:rPr>
        <w:t>三、支出决算表</w:t>
      </w:r>
      <w:bookmarkEnd w:id="55"/>
    </w:p>
    <w:p w14:paraId="6A276177">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56" w:name="_Toc15396622"/>
      <w:r>
        <w:rPr>
          <w:rFonts w:hint="default" w:ascii="Times New Roman" w:hAnsi="Times New Roman" w:eastAsia="方正仿宋_GBK" w:cs="Times New Roman"/>
          <w:sz w:val="32"/>
          <w:szCs w:val="32"/>
          <w:shd w:val="clear" w:color="auto" w:fill="FFFFFF"/>
          <w:lang w:val="en-US" w:eastAsia="zh-CN"/>
        </w:rPr>
        <w:t>四、财政拨款收入支出决算总表</w:t>
      </w:r>
      <w:bookmarkEnd w:id="56"/>
    </w:p>
    <w:p w14:paraId="7FEB4BBC">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57" w:name="_Toc15396623"/>
      <w:r>
        <w:rPr>
          <w:rFonts w:hint="default" w:ascii="Times New Roman" w:hAnsi="Times New Roman" w:eastAsia="方正仿宋_GBK" w:cs="Times New Roman"/>
          <w:sz w:val="32"/>
          <w:szCs w:val="32"/>
          <w:shd w:val="clear" w:color="auto" w:fill="FFFFFF"/>
          <w:lang w:val="en-US" w:eastAsia="zh-CN"/>
        </w:rPr>
        <w:t>五、财政拨款支出决算明细表</w:t>
      </w:r>
      <w:bookmarkEnd w:id="57"/>
      <w:bookmarkStart w:id="58" w:name="_Toc15396624"/>
    </w:p>
    <w:p w14:paraId="115829C5">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六、一般公共预算财政拨款支出决算表</w:t>
      </w:r>
      <w:bookmarkEnd w:id="58"/>
    </w:p>
    <w:p w14:paraId="397717CD">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59" w:name="_Toc15396625"/>
      <w:r>
        <w:rPr>
          <w:rFonts w:hint="default" w:ascii="Times New Roman" w:hAnsi="Times New Roman" w:eastAsia="方正仿宋_GBK" w:cs="Times New Roman"/>
          <w:sz w:val="32"/>
          <w:szCs w:val="32"/>
          <w:shd w:val="clear" w:color="auto" w:fill="FFFFFF"/>
          <w:lang w:val="en-US" w:eastAsia="zh-CN"/>
        </w:rPr>
        <w:t>七、一般公共预算财政拨款支出决算明细表</w:t>
      </w:r>
      <w:bookmarkEnd w:id="59"/>
    </w:p>
    <w:p w14:paraId="1FA2E361">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60" w:name="_Toc15396626"/>
      <w:r>
        <w:rPr>
          <w:rFonts w:hint="default" w:ascii="Times New Roman" w:hAnsi="Times New Roman" w:eastAsia="方正仿宋_GBK" w:cs="Times New Roman"/>
          <w:sz w:val="32"/>
          <w:szCs w:val="32"/>
          <w:shd w:val="clear" w:color="auto" w:fill="FFFFFF"/>
          <w:lang w:val="en-US" w:eastAsia="zh-CN"/>
        </w:rPr>
        <w:t>八、一般公共预算财政拨款基本支出决算表</w:t>
      </w:r>
      <w:bookmarkEnd w:id="60"/>
    </w:p>
    <w:p w14:paraId="61C86CAC">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61" w:name="_Toc15396627"/>
      <w:r>
        <w:rPr>
          <w:rFonts w:hint="default" w:ascii="Times New Roman" w:hAnsi="Times New Roman" w:eastAsia="方正仿宋_GBK" w:cs="Times New Roman"/>
          <w:sz w:val="32"/>
          <w:szCs w:val="32"/>
          <w:shd w:val="clear" w:color="auto" w:fill="FFFFFF"/>
          <w:lang w:val="en-US" w:eastAsia="zh-CN"/>
        </w:rPr>
        <w:t>九、一般公共预算财政拨款项目支出决算表</w:t>
      </w:r>
      <w:bookmarkEnd w:id="61"/>
    </w:p>
    <w:p w14:paraId="60125ADE">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62" w:name="_Toc15396628"/>
      <w:r>
        <w:rPr>
          <w:rFonts w:hint="default" w:ascii="Times New Roman" w:hAnsi="Times New Roman" w:eastAsia="方正仿宋_GBK" w:cs="Times New Roman"/>
          <w:sz w:val="32"/>
          <w:szCs w:val="32"/>
          <w:shd w:val="clear" w:color="auto" w:fill="FFFFFF"/>
          <w:lang w:val="en-US" w:eastAsia="zh-CN"/>
        </w:rPr>
        <w:t>十、</w:t>
      </w:r>
      <w:bookmarkEnd w:id="62"/>
      <w:r>
        <w:rPr>
          <w:rFonts w:hint="default" w:ascii="Times New Roman" w:hAnsi="Times New Roman" w:eastAsia="方正仿宋_GBK" w:cs="Times New Roman"/>
          <w:sz w:val="32"/>
          <w:szCs w:val="32"/>
          <w:shd w:val="clear" w:color="auto" w:fill="FFFFFF"/>
          <w:lang w:val="en-US" w:eastAsia="zh-CN"/>
        </w:rPr>
        <w:t>政府性基金预算财政拨款收入支出决算表</w:t>
      </w:r>
    </w:p>
    <w:p w14:paraId="3759744F">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63" w:name="_Toc15396629"/>
      <w:r>
        <w:rPr>
          <w:rFonts w:hint="default" w:ascii="Times New Roman" w:hAnsi="Times New Roman" w:eastAsia="方正仿宋_GBK" w:cs="Times New Roman"/>
          <w:sz w:val="32"/>
          <w:szCs w:val="32"/>
          <w:shd w:val="clear" w:color="auto" w:fill="FFFFFF"/>
          <w:lang w:val="en-US" w:eastAsia="zh-CN"/>
        </w:rPr>
        <w:t>十一、</w:t>
      </w:r>
      <w:bookmarkEnd w:id="63"/>
      <w:r>
        <w:rPr>
          <w:rFonts w:hint="default" w:ascii="Times New Roman" w:hAnsi="Times New Roman" w:eastAsia="方正仿宋_GBK" w:cs="Times New Roman"/>
          <w:sz w:val="32"/>
          <w:szCs w:val="32"/>
          <w:shd w:val="clear" w:color="auto" w:fill="FFFFFF"/>
          <w:lang w:val="en-US" w:eastAsia="zh-CN"/>
        </w:rPr>
        <w:t>国有资本经营预算财政拨款收入支出决算表</w:t>
      </w:r>
    </w:p>
    <w:p w14:paraId="3B9B65D8">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64" w:name="_Toc15396630"/>
      <w:r>
        <w:rPr>
          <w:rFonts w:hint="default" w:ascii="Times New Roman" w:hAnsi="Times New Roman" w:eastAsia="方正仿宋_GBK" w:cs="Times New Roman"/>
          <w:sz w:val="32"/>
          <w:szCs w:val="32"/>
          <w:shd w:val="clear" w:color="auto" w:fill="FFFFFF"/>
          <w:lang w:val="en-US" w:eastAsia="zh-CN"/>
        </w:rPr>
        <w:t>十二、</w:t>
      </w:r>
      <w:bookmarkEnd w:id="64"/>
      <w:r>
        <w:rPr>
          <w:rFonts w:hint="default" w:ascii="Times New Roman" w:hAnsi="Times New Roman" w:eastAsia="方正仿宋_GBK" w:cs="Times New Roman"/>
          <w:sz w:val="32"/>
          <w:szCs w:val="32"/>
          <w:shd w:val="clear" w:color="auto" w:fill="FFFFFF"/>
          <w:lang w:val="en-US" w:eastAsia="zh-CN"/>
        </w:rPr>
        <w:t>国有资本经营预算财政拨款支出决算表</w:t>
      </w:r>
    </w:p>
    <w:p w14:paraId="4BBF34F4">
      <w:pPr>
        <w:keepNext w:val="0"/>
        <w:keepLines w:val="0"/>
        <w:pageBreakBefore w:val="0"/>
        <w:widowControl w:val="0"/>
        <w:kinsoku/>
        <w:wordWrap/>
        <w:overflowPunct w:val="0"/>
        <w:topLinePunct w:val="0"/>
        <w:autoSpaceDE/>
        <w:autoSpaceDN/>
        <w:bidi w:val="0"/>
        <w:adjustRightInd/>
        <w:snapToGrid/>
        <w:spacing w:line="578" w:lineRule="exact"/>
        <w:ind w:firstLine="640" w:firstLineChars="200"/>
        <w:jc w:val="left"/>
        <w:textAlignment w:val="auto"/>
        <w:rPr>
          <w:rFonts w:hint="default" w:ascii="Times New Roman" w:hAnsi="Times New Roman" w:eastAsia="方正仿宋_GBK" w:cs="Times New Roman"/>
          <w:sz w:val="32"/>
          <w:szCs w:val="32"/>
          <w:shd w:val="clear" w:color="auto" w:fill="FFFFFF"/>
          <w:lang w:val="en-US" w:eastAsia="zh-CN"/>
        </w:rPr>
      </w:pPr>
      <w:bookmarkStart w:id="65" w:name="_Toc15396631"/>
      <w:r>
        <w:rPr>
          <w:rFonts w:hint="default" w:ascii="Times New Roman" w:hAnsi="Times New Roman" w:eastAsia="方正仿宋_GBK" w:cs="Times New Roman"/>
          <w:sz w:val="32"/>
          <w:szCs w:val="32"/>
          <w:shd w:val="clear" w:color="auto" w:fill="FFFFFF"/>
          <w:lang w:val="en-US" w:eastAsia="zh-CN"/>
        </w:rPr>
        <w:t>十三、</w:t>
      </w:r>
      <w:bookmarkEnd w:id="65"/>
      <w:r>
        <w:rPr>
          <w:rFonts w:hint="default" w:ascii="Times New Roman" w:hAnsi="Times New Roman" w:eastAsia="方正仿宋_GBK" w:cs="Times New Roman"/>
          <w:sz w:val="32"/>
          <w:szCs w:val="32"/>
          <w:shd w:val="clear" w:color="auto" w:fill="FFFFFF"/>
          <w:lang w:val="en-US" w:eastAsia="zh-CN"/>
        </w:rPr>
        <w:t>财政拨款</w:t>
      </w:r>
      <w:r>
        <w:rPr>
          <w:rFonts w:hint="eastAsia" w:eastAsia="方正仿宋_GBK" w:cs="Times New Roman"/>
          <w:sz w:val="32"/>
          <w:szCs w:val="32"/>
          <w:shd w:val="clear" w:color="auto" w:fill="FFFFFF"/>
          <w:lang w:val="en-US" w:eastAsia="zh-CN"/>
        </w:rPr>
        <w:t>“</w:t>
      </w:r>
      <w:r>
        <w:rPr>
          <w:rFonts w:hint="default" w:ascii="Times New Roman" w:hAnsi="Times New Roman" w:eastAsia="方正仿宋_GBK" w:cs="Times New Roman"/>
          <w:sz w:val="32"/>
          <w:szCs w:val="32"/>
          <w:shd w:val="clear" w:color="auto" w:fill="FFFFFF"/>
          <w:lang w:val="en-US" w:eastAsia="zh-CN"/>
        </w:rPr>
        <w:t>三公</w:t>
      </w:r>
      <w:r>
        <w:rPr>
          <w:rFonts w:hint="eastAsia" w:eastAsia="方正仿宋_GBK" w:cs="Times New Roman"/>
          <w:sz w:val="32"/>
          <w:szCs w:val="32"/>
          <w:shd w:val="clear" w:color="auto" w:fill="FFFFFF"/>
          <w:lang w:val="en-US" w:eastAsia="zh-CN"/>
        </w:rPr>
        <w:t>”</w:t>
      </w:r>
      <w:r>
        <w:rPr>
          <w:rFonts w:hint="default" w:ascii="Times New Roman" w:hAnsi="Times New Roman" w:eastAsia="方正仿宋_GBK" w:cs="Times New Roman"/>
          <w:sz w:val="32"/>
          <w:szCs w:val="32"/>
          <w:shd w:val="clear" w:color="auto" w:fill="FFFFFF"/>
          <w:lang w:val="en-US" w:eastAsia="zh-CN"/>
        </w:rPr>
        <w:t>经费支出决算表</w:t>
      </w:r>
    </w:p>
    <w:p w14:paraId="3BAEDFF0">
      <w:pPr>
        <w:keepNext w:val="0"/>
        <w:keepLines w:val="0"/>
        <w:pageBreakBefore w:val="0"/>
        <w:widowControl w:val="0"/>
        <w:wordWrap/>
        <w:overflowPunct w:val="0"/>
        <w:topLinePunct w:val="0"/>
        <w:bidi w:val="0"/>
        <w:rPr>
          <w:rFonts w:hint="default" w:ascii="Times New Roman" w:hAnsi="Times New Roman" w:cs="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5D3D9C8-5DAE-4B71-8576-9437CFB9A1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80A21219-3A90-4AF7-A1E5-50DAE4F73289}"/>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3" w:fontKey="{2123583C-0B3A-4517-B696-CAE31E00F50C}"/>
  </w:font>
  <w:font w:name="方正仿宋_GBK">
    <w:panose1 w:val="03000509000000000000"/>
    <w:charset w:val="86"/>
    <w:family w:val="auto"/>
    <w:pitch w:val="default"/>
    <w:sig w:usb0="00000001" w:usb1="080E0000" w:usb2="00000000" w:usb3="00000000" w:csb0="00040000" w:csb1="00000000"/>
    <w:embedRegular r:id="rId4" w:fontKey="{98FA687B-BFFF-43D8-B87E-844025A98789}"/>
  </w:font>
  <w:font w:name="方正黑体_GBK">
    <w:panose1 w:val="03000509000000000000"/>
    <w:charset w:val="86"/>
    <w:family w:val="auto"/>
    <w:pitch w:val="default"/>
    <w:sig w:usb0="00000001" w:usb1="080E0000" w:usb2="00000000" w:usb3="00000000" w:csb0="00040000" w:csb1="00000000"/>
    <w:embedRegular r:id="rId5" w:fontKey="{7693BBB9-779E-48F9-92B8-F33A956A6DAB}"/>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embedRegular r:id="rId6" w:fontKey="{4B6A7969-206D-42CF-9AE1-06185686B8D1}"/>
  </w:font>
  <w:font w:name="方正仿宋_GB2312">
    <w:panose1 w:val="02000000000000000000"/>
    <w:charset w:val="86"/>
    <w:family w:val="auto"/>
    <w:pitch w:val="default"/>
    <w:sig w:usb0="A00002BF" w:usb1="184F6CFA" w:usb2="00000012" w:usb3="00000000" w:csb0="00040001" w:csb1="00000000"/>
    <w:embedRegular r:id="rId7" w:fontKey="{7810F0D5-397F-448A-BAAC-35004E34EF0E}"/>
  </w:font>
  <w:font w:name="Helvetica">
    <w:altName w:val="Arial"/>
    <w:panose1 w:val="00000000000000000000"/>
    <w:charset w:val="00"/>
    <w:family w:val="auto"/>
    <w:pitch w:val="default"/>
    <w:sig w:usb0="00000000" w:usb1="00000000" w:usb2="00000000" w:usb3="00000000" w:csb0="00000000" w:csb1="00000000"/>
    <w:embedRegular r:id="rId8" w:fontKey="{C4DBF46E-E94B-4F42-A97E-59762A156C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426BA">
    <w:pPr>
      <w:pStyle w:val="11"/>
      <w:jc w:val="center"/>
    </w:pPr>
  </w:p>
  <w:p w14:paraId="6DF1FD0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3A3F">
    <w:pPr>
      <w:pStyle w:val="11"/>
      <w:jc w:val="center"/>
    </w:pPr>
  </w:p>
  <w:p w14:paraId="03D6D2E2">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1D124">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D0141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4D0141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215C8">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1OGQ2NGZhMThmZGEyOGY4OWQ5NzAwYzUzYWZiYTA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0FD22A7F"/>
    <w:rsid w:val="101860EC"/>
    <w:rsid w:val="10C055FF"/>
    <w:rsid w:val="10C64260"/>
    <w:rsid w:val="11772AA4"/>
    <w:rsid w:val="118107EC"/>
    <w:rsid w:val="12070D49"/>
    <w:rsid w:val="13D50BC4"/>
    <w:rsid w:val="14022904"/>
    <w:rsid w:val="152F2A07"/>
    <w:rsid w:val="165E0673"/>
    <w:rsid w:val="16BB723D"/>
    <w:rsid w:val="186504BB"/>
    <w:rsid w:val="1938089F"/>
    <w:rsid w:val="19A445FC"/>
    <w:rsid w:val="1B7D550C"/>
    <w:rsid w:val="1BE8440E"/>
    <w:rsid w:val="1D155CEE"/>
    <w:rsid w:val="1D904536"/>
    <w:rsid w:val="1E740ACF"/>
    <w:rsid w:val="1FF35744"/>
    <w:rsid w:val="1FF6BC77"/>
    <w:rsid w:val="21962A9E"/>
    <w:rsid w:val="21AE7C77"/>
    <w:rsid w:val="22BC3C41"/>
    <w:rsid w:val="23860B96"/>
    <w:rsid w:val="240371BF"/>
    <w:rsid w:val="260F557C"/>
    <w:rsid w:val="281408E2"/>
    <w:rsid w:val="29FD04D3"/>
    <w:rsid w:val="2B216B01"/>
    <w:rsid w:val="2BFF7BC6"/>
    <w:rsid w:val="2C8A61B5"/>
    <w:rsid w:val="2D2E01CF"/>
    <w:rsid w:val="2DF04E50"/>
    <w:rsid w:val="2E9545B0"/>
    <w:rsid w:val="2F040D46"/>
    <w:rsid w:val="2FAE5751"/>
    <w:rsid w:val="2FB1A395"/>
    <w:rsid w:val="2FD9A7D8"/>
    <w:rsid w:val="30D361A6"/>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241D4D"/>
    <w:rsid w:val="3E78745D"/>
    <w:rsid w:val="3FF4CAE0"/>
    <w:rsid w:val="3FF7B227"/>
    <w:rsid w:val="40E54C45"/>
    <w:rsid w:val="43A407DF"/>
    <w:rsid w:val="44515BEA"/>
    <w:rsid w:val="44E268DA"/>
    <w:rsid w:val="453F7E5B"/>
    <w:rsid w:val="457A7C53"/>
    <w:rsid w:val="45815C6A"/>
    <w:rsid w:val="4613076D"/>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1784094"/>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2C7BA7"/>
    <w:rsid w:val="647F5392"/>
    <w:rsid w:val="664B1D71"/>
    <w:rsid w:val="67AA3209"/>
    <w:rsid w:val="681C4F0D"/>
    <w:rsid w:val="69046D0F"/>
    <w:rsid w:val="698D0931"/>
    <w:rsid w:val="6A993CED"/>
    <w:rsid w:val="6B053271"/>
    <w:rsid w:val="6BCE6674"/>
    <w:rsid w:val="6C4A05C8"/>
    <w:rsid w:val="6C8742B8"/>
    <w:rsid w:val="6C8A170F"/>
    <w:rsid w:val="6CB54609"/>
    <w:rsid w:val="6DAA57FE"/>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48301C"/>
    <w:rsid w:val="7B6C7DFB"/>
    <w:rsid w:val="7BBFBED0"/>
    <w:rsid w:val="7BC3E394"/>
    <w:rsid w:val="7C1F3737"/>
    <w:rsid w:val="7CBFC87B"/>
    <w:rsid w:val="7CFE0F48"/>
    <w:rsid w:val="7D7EC23E"/>
    <w:rsid w:val="7D916348"/>
    <w:rsid w:val="7E765E5C"/>
    <w:rsid w:val="7E8ADEBF"/>
    <w:rsid w:val="7E967DA3"/>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next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5">
    <w:name w:val="font151"/>
    <w:basedOn w:val="17"/>
    <w:qFormat/>
    <w:uiPriority w:val="0"/>
    <w:rPr>
      <w:rFonts w:hint="eastAsia" w:ascii="宋体" w:hAnsi="宋体" w:eastAsia="宋体" w:cs="宋体"/>
      <w:b/>
      <w:bCs/>
      <w:color w:val="000000"/>
      <w:sz w:val="32"/>
      <w:szCs w:val="32"/>
      <w:u w:val="none"/>
    </w:rPr>
  </w:style>
  <w:style w:type="character" w:customStyle="1" w:styleId="36">
    <w:name w:val="font41"/>
    <w:basedOn w:val="17"/>
    <w:qFormat/>
    <w:uiPriority w:val="0"/>
    <w:rPr>
      <w:rFonts w:hint="eastAsia" w:ascii="宋体" w:hAnsi="宋体" w:eastAsia="宋体" w:cs="宋体"/>
      <w:color w:val="000000"/>
      <w:sz w:val="32"/>
      <w:szCs w:val="32"/>
      <w:u w:val="none"/>
    </w:rPr>
  </w:style>
  <w:style w:type="character" w:customStyle="1" w:styleId="37">
    <w:name w:val="font13"/>
    <w:basedOn w:val="17"/>
    <w:qFormat/>
    <w:uiPriority w:val="0"/>
    <w:rPr>
      <w:rFonts w:hint="eastAsia" w:ascii="宋体" w:hAnsi="宋体" w:eastAsia="宋体" w:cs="宋体"/>
      <w:color w:val="000000"/>
      <w:sz w:val="20"/>
      <w:szCs w:val="20"/>
      <w:u w:val="none"/>
    </w:rPr>
  </w:style>
  <w:style w:type="character" w:customStyle="1" w:styleId="38">
    <w:name w:val="font161"/>
    <w:basedOn w:val="17"/>
    <w:qFormat/>
    <w:uiPriority w:val="0"/>
    <w:rPr>
      <w:rFonts w:hint="eastAsia" w:ascii="宋体" w:hAnsi="宋体" w:eastAsia="宋体" w:cs="宋体"/>
      <w:color w:val="000000"/>
      <w:sz w:val="20"/>
      <w:szCs w:val="20"/>
      <w:u w:val="none"/>
    </w:rPr>
  </w:style>
  <w:style w:type="character" w:customStyle="1" w:styleId="39">
    <w:name w:val="font121"/>
    <w:basedOn w:val="17"/>
    <w:qFormat/>
    <w:uiPriority w:val="0"/>
    <w:rPr>
      <w:rFonts w:hint="eastAsia" w:ascii="宋体" w:hAnsi="宋体" w:eastAsia="宋体" w:cs="宋体"/>
      <w:color w:val="000000"/>
      <w:sz w:val="18"/>
      <w:szCs w:val="18"/>
      <w:u w:val="none"/>
    </w:rPr>
  </w:style>
  <w:style w:type="character" w:customStyle="1" w:styleId="40">
    <w:name w:val="font101"/>
    <w:basedOn w:val="17"/>
    <w:qFormat/>
    <w:uiPriority w:val="0"/>
    <w:rPr>
      <w:rFonts w:hint="eastAsia" w:ascii="宋体" w:hAnsi="宋体" w:eastAsia="宋体" w:cs="宋体"/>
      <w:color w:val="000000"/>
      <w:sz w:val="18"/>
      <w:szCs w:val="18"/>
      <w:u w:val="none"/>
    </w:rPr>
  </w:style>
  <w:style w:type="character" w:customStyle="1" w:styleId="41">
    <w:name w:val="font81"/>
    <w:basedOn w:val="17"/>
    <w:qFormat/>
    <w:uiPriority w:val="0"/>
    <w:rPr>
      <w:rFonts w:hint="eastAsia" w:ascii="宋体" w:hAnsi="宋体" w:eastAsia="宋体" w:cs="宋体"/>
      <w:color w:val="000000"/>
      <w:sz w:val="18"/>
      <w:szCs w:val="18"/>
      <w:u w:val="none"/>
    </w:rPr>
  </w:style>
  <w:style w:type="character" w:customStyle="1" w:styleId="42">
    <w:name w:val="font51"/>
    <w:basedOn w:val="17"/>
    <w:qFormat/>
    <w:uiPriority w:val="0"/>
    <w:rPr>
      <w:rFonts w:hint="eastAsia" w:ascii="宋体" w:hAnsi="宋体" w:eastAsia="宋体" w:cs="宋体"/>
      <w:color w:val="000000"/>
      <w:sz w:val="12"/>
      <w:szCs w:val="12"/>
      <w:u w:val="none"/>
    </w:rPr>
  </w:style>
  <w:style w:type="character" w:customStyle="1" w:styleId="43">
    <w:name w:val="font111"/>
    <w:basedOn w:val="17"/>
    <w:qFormat/>
    <w:uiPriority w:val="0"/>
    <w:rPr>
      <w:rFonts w:hint="eastAsia" w:ascii="宋体" w:hAnsi="宋体" w:eastAsia="宋体" w:cs="宋体"/>
      <w:b/>
      <w:bCs/>
      <w:color w:val="000000"/>
      <w:sz w:val="32"/>
      <w:szCs w:val="32"/>
      <w:u w:val="none"/>
    </w:rPr>
  </w:style>
  <w:style w:type="character" w:customStyle="1" w:styleId="44">
    <w:name w:val="font31"/>
    <w:basedOn w:val="17"/>
    <w:qFormat/>
    <w:uiPriority w:val="0"/>
    <w:rPr>
      <w:rFonts w:hint="eastAsia" w:ascii="宋体" w:hAnsi="宋体" w:eastAsia="宋体" w:cs="宋体"/>
      <w:color w:val="000000"/>
      <w:sz w:val="32"/>
      <w:szCs w:val="32"/>
      <w:u w:val="none"/>
    </w:rPr>
  </w:style>
  <w:style w:type="character" w:customStyle="1" w:styleId="45">
    <w:name w:val="font21"/>
    <w:basedOn w:val="17"/>
    <w:qFormat/>
    <w:uiPriority w:val="0"/>
    <w:rPr>
      <w:rFonts w:hint="eastAsia" w:ascii="宋体" w:hAnsi="宋体" w:eastAsia="宋体" w:cs="宋体"/>
      <w:color w:val="000000"/>
      <w:sz w:val="20"/>
      <w:szCs w:val="20"/>
      <w:u w:val="none"/>
    </w:rPr>
  </w:style>
  <w:style w:type="character" w:customStyle="1" w:styleId="46">
    <w:name w:val="font122"/>
    <w:basedOn w:val="17"/>
    <w:qFormat/>
    <w:uiPriority w:val="0"/>
    <w:rPr>
      <w:rFonts w:hint="eastAsia" w:ascii="宋体" w:hAnsi="宋体" w:eastAsia="宋体" w:cs="宋体"/>
      <w:color w:val="000000"/>
      <w:sz w:val="20"/>
      <w:szCs w:val="20"/>
      <w:u w:val="none"/>
    </w:rPr>
  </w:style>
  <w:style w:type="character" w:customStyle="1" w:styleId="47">
    <w:name w:val="font71"/>
    <w:basedOn w:val="17"/>
    <w:qFormat/>
    <w:uiPriority w:val="0"/>
    <w:rPr>
      <w:rFonts w:hint="eastAsia" w:ascii="宋体" w:hAnsi="宋体" w:eastAsia="宋体" w:cs="宋体"/>
      <w:color w:val="000000"/>
      <w:sz w:val="18"/>
      <w:szCs w:val="18"/>
      <w:u w:val="none"/>
    </w:rPr>
  </w:style>
  <w:style w:type="character" w:customStyle="1" w:styleId="48">
    <w:name w:val="font131"/>
    <w:basedOn w:val="17"/>
    <w:qFormat/>
    <w:uiPriority w:val="0"/>
    <w:rPr>
      <w:rFonts w:hint="eastAsia" w:ascii="宋体" w:hAnsi="宋体" w:eastAsia="宋体" w:cs="宋体"/>
      <w:color w:val="000000"/>
      <w:sz w:val="18"/>
      <w:szCs w:val="18"/>
      <w:u w:val="none"/>
    </w:rPr>
  </w:style>
  <w:style w:type="character" w:customStyle="1" w:styleId="49">
    <w:name w:val="font141"/>
    <w:basedOn w:val="17"/>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7.e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6.bin"/><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45</Pages>
  <Words>1722</Words>
  <Characters>1830</Characters>
  <Lines>61</Lines>
  <Paragraphs>17</Paragraphs>
  <TotalTime>7</TotalTime>
  <ScaleCrop>false</ScaleCrop>
  <LinksUpToDate>false</LinksUpToDate>
  <CharactersWithSpaces>1839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00000</cp:lastModifiedBy>
  <cp:lastPrinted>2026-08-03T09:27:00Z</cp:lastPrinted>
  <dcterms:modified xsi:type="dcterms:W3CDTF">2026-10-27T08:30:54Z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0D7BBE017B6C4376BCADB168D76C59D5_13</vt:lpwstr>
  </property>
  <property fmtid="{D5CDD505-2E9C-101B-9397-08002B2CF9AE}" pid="4" name="KSOTemplateDocerSaveRecord">
    <vt:lpwstr>eyJoZGlkIjoiOTc3M2Y5NzIzMDFlZjAyY2Q4Njk5ODkyYjFjNzBiNTQiLCJ1c2VySWQiOiIxMDY0NTYzMjQ5In0=</vt:lpwstr>
  </property>
</Properties>
</file>