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96597"/>
      <w:bookmarkStart w:id="4" w:name="_Toc15378441"/>
      <w:bookmarkStart w:id="5" w:name="_Toc15377193"/>
      <w:r>
        <w:rPr>
          <w:rFonts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bookmarkStart w:id="74" w:name="_GoBack"/>
      <w:bookmarkEnd w:id="7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7426"/>
      <w:bookmarkStart w:id="9" w:name="_Toc15378442"/>
      <w:bookmarkStart w:id="10" w:name="_Toc15396476"/>
      <w:r>
        <w:rPr>
          <w:rFonts w:hint="eastAsia" w:ascii="方正小标宋简体" w:hAnsi="宋体" w:eastAsia="方正小标宋简体"/>
          <w:color w:val="000000"/>
          <w:sz w:val="72"/>
          <w:szCs w:val="72"/>
        </w:rPr>
        <w:t>四川省阿坝州壤塘县</w:t>
      </w: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1" w:name="_Toc15306268"/>
      <w:r>
        <w:rPr>
          <w:rFonts w:hint="eastAsia" w:ascii="方正小标宋简体" w:hAnsi="宋体" w:eastAsia="方正小标宋简体"/>
          <w:color w:val="000000"/>
          <w:sz w:val="72"/>
          <w:szCs w:val="72"/>
        </w:rPr>
        <w:t>交通运输局部门决算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widowControl/>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rPr>
          <w:sz w:val="24"/>
        </w:rPr>
        <w:t>...........................................4</w:t>
      </w:r>
    </w:p>
    <w:p>
      <w:pPr>
        <w:pStyle w:val="11"/>
        <w:adjustRightInd w:val="0"/>
        <w:snapToGrid w:val="0"/>
        <w:spacing w:line="440" w:lineRule="exact"/>
        <w:ind w:left="31680"/>
        <w:jc w:val="left"/>
        <w:rPr>
          <w:rFonts w:ascii="仿宋" w:eastAsia="仿宋"/>
          <w:sz w:val="24"/>
        </w:rPr>
      </w:pPr>
      <w:r>
        <w:rPr>
          <w:rFonts w:hint="eastAsia"/>
          <w:sz w:val="24"/>
        </w:rPr>
        <w:t>一、基本职能及主要工作</w:t>
      </w:r>
      <w:r>
        <w:rPr>
          <w:sz w:val="24"/>
        </w:rPr>
        <w:t>.....................................................................4</w:t>
      </w:r>
    </w:p>
    <w:p>
      <w:pPr>
        <w:pStyle w:val="11"/>
        <w:adjustRightInd w:val="0"/>
        <w:snapToGrid w:val="0"/>
        <w:spacing w:line="440" w:lineRule="exact"/>
        <w:ind w:left="31680"/>
        <w:jc w:val="left"/>
        <w:rPr>
          <w:rFonts w:ascii="仿宋" w:eastAsia="仿宋"/>
          <w:sz w:val="24"/>
        </w:rPr>
      </w:pPr>
      <w:r>
        <w:rPr>
          <w:rFonts w:hint="eastAsia"/>
          <w:sz w:val="24"/>
        </w:rPr>
        <w:t>二、机构设置</w:t>
      </w:r>
      <w:r>
        <w:rPr>
          <w:sz w:val="24"/>
        </w:rPr>
        <w:t>.........................................................................................4</w:t>
      </w:r>
    </w:p>
    <w:p>
      <w:pPr>
        <w:pStyle w:val="10"/>
        <w:adjustRightInd w:val="0"/>
        <w:snapToGrid w:val="0"/>
        <w:spacing w:before="0" w:line="440" w:lineRule="exact"/>
        <w:jc w:val="left"/>
        <w:rPr>
          <w:sz w:val="24"/>
          <w:szCs w:val="24"/>
        </w:rPr>
      </w:pPr>
      <w:r>
        <w:rPr>
          <w:rFonts w:hint="eastAsia"/>
          <w:sz w:val="24"/>
        </w:rPr>
        <w:t>第二部分度部门决算情况说明</w:t>
      </w:r>
      <w:r>
        <w:rPr>
          <w:sz w:val="24"/>
        </w:rPr>
        <w:t>..................................5</w:t>
      </w:r>
    </w:p>
    <w:p>
      <w:pPr>
        <w:pStyle w:val="11"/>
        <w:adjustRightInd w:val="0"/>
        <w:snapToGrid w:val="0"/>
        <w:spacing w:line="440" w:lineRule="exact"/>
        <w:ind w:left="31680"/>
        <w:jc w:val="left"/>
        <w:rPr>
          <w:rFonts w:ascii="仿宋" w:eastAsia="仿宋"/>
          <w:sz w:val="24"/>
        </w:rPr>
      </w:pPr>
      <w:r>
        <w:rPr>
          <w:rFonts w:hint="eastAsia"/>
          <w:sz w:val="24"/>
        </w:rPr>
        <w:t>一、收入支出决算总体情况说明</w:t>
      </w:r>
      <w:r>
        <w:rPr>
          <w:sz w:val="24"/>
        </w:rPr>
        <w:t>.........................................................5</w:t>
      </w:r>
    </w:p>
    <w:p>
      <w:pPr>
        <w:pStyle w:val="11"/>
        <w:adjustRightInd w:val="0"/>
        <w:snapToGrid w:val="0"/>
        <w:spacing w:line="440" w:lineRule="exact"/>
        <w:ind w:left="31680"/>
        <w:jc w:val="left"/>
        <w:rPr>
          <w:rFonts w:ascii="仿宋" w:eastAsia="仿宋"/>
          <w:sz w:val="24"/>
        </w:rPr>
      </w:pPr>
      <w:r>
        <w:rPr>
          <w:rFonts w:hint="eastAsia"/>
          <w:sz w:val="24"/>
        </w:rPr>
        <w:t>二、收入决算情况说明</w:t>
      </w:r>
      <w:r>
        <w:rPr>
          <w:sz w:val="24"/>
        </w:rPr>
        <w:t>.........................................................................5</w:t>
      </w:r>
    </w:p>
    <w:p>
      <w:pPr>
        <w:pStyle w:val="11"/>
        <w:adjustRightInd w:val="0"/>
        <w:snapToGrid w:val="0"/>
        <w:spacing w:line="440" w:lineRule="exact"/>
        <w:ind w:left="31680"/>
        <w:jc w:val="left"/>
        <w:rPr>
          <w:rFonts w:ascii="仿宋" w:eastAsia="仿宋"/>
          <w:sz w:val="24"/>
        </w:rPr>
      </w:pPr>
      <w:r>
        <w:rPr>
          <w:rFonts w:hint="eastAsia"/>
          <w:sz w:val="24"/>
        </w:rPr>
        <w:t>三、支出决算情况说明</w:t>
      </w:r>
      <w:r>
        <w:rPr>
          <w:sz w:val="24"/>
        </w:rPr>
        <w:t>.........................................................................6</w:t>
      </w:r>
    </w:p>
    <w:p>
      <w:pPr>
        <w:pStyle w:val="11"/>
        <w:adjustRightInd w:val="0"/>
        <w:snapToGrid w:val="0"/>
        <w:spacing w:line="440" w:lineRule="exact"/>
        <w:ind w:left="31680"/>
        <w:jc w:val="left"/>
        <w:rPr>
          <w:rFonts w:ascii="仿宋" w:eastAsia="仿宋"/>
          <w:sz w:val="24"/>
        </w:rPr>
      </w:pPr>
      <w:r>
        <w:rPr>
          <w:rFonts w:hint="eastAsia"/>
          <w:sz w:val="24"/>
        </w:rPr>
        <w:t>四、财政拨款收入支出决算总体情况说明</w:t>
      </w:r>
      <w:r>
        <w:rPr>
          <w:sz w:val="24"/>
        </w:rPr>
        <w:t>.........................................7</w:t>
      </w:r>
    </w:p>
    <w:p>
      <w:pPr>
        <w:pStyle w:val="11"/>
        <w:adjustRightInd w:val="0"/>
        <w:snapToGrid w:val="0"/>
        <w:spacing w:line="440" w:lineRule="exact"/>
        <w:ind w:left="31680"/>
        <w:jc w:val="left"/>
        <w:rPr>
          <w:rFonts w:ascii="仿宋" w:eastAsia="仿宋"/>
          <w:sz w:val="24"/>
        </w:rPr>
      </w:pPr>
      <w:r>
        <w:rPr>
          <w:rFonts w:hint="eastAsia"/>
          <w:sz w:val="24"/>
        </w:rPr>
        <w:t>五、一般公共预算财政拨款支出决算情况说明</w:t>
      </w:r>
      <w:r>
        <w:rPr>
          <w:sz w:val="24"/>
        </w:rPr>
        <w:t>.................................7</w:t>
      </w:r>
    </w:p>
    <w:p>
      <w:pPr>
        <w:pStyle w:val="11"/>
        <w:adjustRightInd w:val="0"/>
        <w:snapToGrid w:val="0"/>
        <w:spacing w:line="440" w:lineRule="exact"/>
        <w:ind w:left="31680"/>
        <w:jc w:val="left"/>
        <w:rPr>
          <w:rFonts w:ascii="仿宋" w:eastAsia="仿宋"/>
          <w:sz w:val="24"/>
        </w:rPr>
      </w:pPr>
      <w:r>
        <w:rPr>
          <w:rFonts w:hint="eastAsia"/>
          <w:sz w:val="24"/>
        </w:rPr>
        <w:t>六、一般公共预算财政拨款基本支出决算情况说明</w:t>
      </w:r>
      <w:r>
        <w:rPr>
          <w:sz w:val="24"/>
        </w:rPr>
        <w:t>.........................11</w:t>
      </w:r>
    </w:p>
    <w:p>
      <w:pPr>
        <w:pStyle w:val="11"/>
        <w:adjustRightInd w:val="0"/>
        <w:snapToGrid w:val="0"/>
        <w:spacing w:line="440" w:lineRule="exact"/>
        <w:ind w:left="31680"/>
        <w:jc w:val="left"/>
        <w:rPr>
          <w:rFonts w:ascii="仿宋" w:eastAsia="仿宋"/>
          <w:sz w:val="24"/>
        </w:rPr>
      </w:pPr>
      <w:r>
        <w:rPr>
          <w:rFonts w:hint="eastAsia"/>
          <w:sz w:val="24"/>
        </w:rPr>
        <w:t>七、</w:t>
      </w:r>
      <w:r>
        <w:rPr>
          <w:sz w:val="24"/>
        </w:rPr>
        <w:t>“</w:t>
      </w:r>
      <w:r>
        <w:rPr>
          <w:rFonts w:hint="eastAsia"/>
          <w:sz w:val="24"/>
        </w:rPr>
        <w:t>三公”经费财政拨款支出决算情况说明</w:t>
      </w:r>
      <w:r>
        <w:rPr>
          <w:sz w:val="24"/>
        </w:rPr>
        <w:t>...................................11</w:t>
      </w:r>
    </w:p>
    <w:p>
      <w:pPr>
        <w:pStyle w:val="11"/>
        <w:adjustRightInd w:val="0"/>
        <w:snapToGrid w:val="0"/>
        <w:spacing w:line="440" w:lineRule="exact"/>
        <w:ind w:left="31680"/>
        <w:jc w:val="left"/>
        <w:rPr>
          <w:rFonts w:ascii="仿宋" w:eastAsia="仿宋"/>
          <w:sz w:val="24"/>
        </w:rPr>
      </w:pPr>
      <w:r>
        <w:rPr>
          <w:rFonts w:hint="eastAsia"/>
          <w:sz w:val="24"/>
        </w:rPr>
        <w:t>八、政府性基金预算支出决算情况说明</w:t>
      </w:r>
      <w:r>
        <w:rPr>
          <w:sz w:val="24"/>
        </w:rPr>
        <w:t>.............................................13</w:t>
      </w:r>
    </w:p>
    <w:p>
      <w:pPr>
        <w:pStyle w:val="11"/>
        <w:adjustRightInd w:val="0"/>
        <w:snapToGrid w:val="0"/>
        <w:spacing w:line="440" w:lineRule="exact"/>
        <w:ind w:leftChars="0"/>
        <w:jc w:val="left"/>
        <w:rPr>
          <w:sz w:val="24"/>
        </w:rPr>
      </w:pPr>
      <w:r>
        <w:rPr>
          <w:rFonts w:hint="eastAsia"/>
          <w:sz w:val="24"/>
        </w:rPr>
        <w:t>九、</w:t>
      </w:r>
      <w:r>
        <w:rPr>
          <w:sz w:val="24"/>
        </w:rPr>
        <w:t xml:space="preserve"> </w:t>
      </w:r>
      <w:r>
        <w:rPr>
          <w:rFonts w:hint="eastAsia"/>
          <w:sz w:val="24"/>
        </w:rPr>
        <w:t>国有资本经营预算支出决算情况说明</w:t>
      </w:r>
      <w:r>
        <w:rPr>
          <w:sz w:val="24"/>
        </w:rPr>
        <w:t>.......................................13</w:t>
      </w:r>
    </w:p>
    <w:p>
      <w:pPr>
        <w:adjustRightInd w:val="0"/>
        <w:snapToGrid w:val="0"/>
        <w:spacing w:line="440" w:lineRule="exact"/>
        <w:ind w:firstLine="420" w:firstLineChars="200"/>
        <w:jc w:val="left"/>
        <w:rPr>
          <w:rFonts w:ascii="仿宋" w:hAnsi="仿宋" w:eastAsia="仿宋"/>
          <w:sz w:val="24"/>
        </w:rPr>
      </w:pPr>
      <w:r>
        <w:rPr>
          <w:rFonts w:hint="eastAsia"/>
        </w:rPr>
        <w:t>十、</w:t>
      </w:r>
      <w:r>
        <w:rPr>
          <w:rFonts w:hint="eastAsia"/>
          <w:sz w:val="24"/>
        </w:rPr>
        <w:t>其他重要事项的情况说明</w:t>
      </w:r>
      <w:r>
        <w:rPr>
          <w:sz w:val="24"/>
        </w:rPr>
        <w:t>............................................................</w:t>
      </w:r>
      <w:r>
        <w:rPr>
          <w:rFonts w:ascii="仿宋" w:hAnsi="仿宋" w:eastAsia="仿宋"/>
          <w:sz w:val="24"/>
        </w:rPr>
        <w:t>.13</w:t>
      </w:r>
    </w:p>
    <w:p>
      <w:pPr>
        <w:pStyle w:val="10"/>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r>
        <w:rPr>
          <w:sz w:val="24"/>
          <w:szCs w:val="24"/>
        </w:rPr>
        <w:t>...........................................15</w:t>
      </w:r>
    </w:p>
    <w:p>
      <w:pPr>
        <w:pStyle w:val="11"/>
        <w:adjustRightInd w:val="0"/>
        <w:snapToGrid w:val="0"/>
        <w:spacing w:line="440" w:lineRule="exact"/>
        <w:ind w:left="31680"/>
        <w:jc w:val="left"/>
        <w:rPr>
          <w:rFonts w:ascii="仿宋" w:eastAsia="仿宋"/>
          <w:sz w:val="24"/>
        </w:rPr>
      </w:pPr>
      <w:r>
        <w:rPr>
          <w:rFonts w:hint="eastAsia"/>
          <w:sz w:val="24"/>
        </w:rPr>
        <w:t>附件</w:t>
      </w:r>
      <w:r>
        <w:rPr>
          <w:sz w:val="24"/>
        </w:rPr>
        <w:t>1......................................................................................................19</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sz w:val="24"/>
        </w:rPr>
        <w:t>...............................................23</w:t>
      </w:r>
    </w:p>
    <w:p>
      <w:pPr>
        <w:pStyle w:val="11"/>
        <w:adjustRightInd w:val="0"/>
        <w:snapToGrid w:val="0"/>
        <w:spacing w:line="440" w:lineRule="exact"/>
        <w:ind w:left="31680"/>
        <w:jc w:val="left"/>
        <w:rPr>
          <w:sz w:val="24"/>
        </w:rPr>
      </w:pPr>
      <w:r>
        <w:rPr>
          <w:rFonts w:hint="eastAsia"/>
          <w:sz w:val="24"/>
        </w:rPr>
        <w:t>一、收入支出决算总表</w:t>
      </w:r>
      <w:r>
        <w:rPr>
          <w:sz w:val="24"/>
        </w:rPr>
        <w:t>.........................................................................23</w:t>
      </w:r>
    </w:p>
    <w:p>
      <w:pPr>
        <w:pStyle w:val="11"/>
        <w:adjustRightInd w:val="0"/>
        <w:snapToGrid w:val="0"/>
        <w:spacing w:line="440" w:lineRule="exact"/>
        <w:ind w:left="31680"/>
        <w:jc w:val="left"/>
        <w:rPr>
          <w:sz w:val="24"/>
        </w:rPr>
      </w:pPr>
      <w:r>
        <w:rPr>
          <w:rFonts w:hint="eastAsia"/>
          <w:sz w:val="24"/>
        </w:rPr>
        <w:t>二、收入决算表</w:t>
      </w:r>
      <w:r>
        <w:rPr>
          <w:sz w:val="24"/>
        </w:rPr>
        <w:t>.....................................................................................23</w:t>
      </w:r>
    </w:p>
    <w:p>
      <w:pPr>
        <w:pStyle w:val="11"/>
        <w:adjustRightInd w:val="0"/>
        <w:snapToGrid w:val="0"/>
        <w:spacing w:line="440" w:lineRule="exact"/>
        <w:ind w:left="31680"/>
        <w:jc w:val="left"/>
        <w:rPr>
          <w:sz w:val="24"/>
        </w:rPr>
      </w:pPr>
      <w:r>
        <w:rPr>
          <w:rFonts w:hint="eastAsia"/>
          <w:sz w:val="24"/>
        </w:rPr>
        <w:t>三、支出决算表</w:t>
      </w:r>
      <w:r>
        <w:rPr>
          <w:sz w:val="24"/>
        </w:rPr>
        <w:t>......................................................................................23</w:t>
      </w:r>
    </w:p>
    <w:p>
      <w:pPr>
        <w:pStyle w:val="11"/>
        <w:adjustRightInd w:val="0"/>
        <w:snapToGrid w:val="0"/>
        <w:spacing w:line="440" w:lineRule="exact"/>
        <w:ind w:left="31680"/>
        <w:jc w:val="left"/>
        <w:rPr>
          <w:sz w:val="24"/>
        </w:rPr>
      </w:pPr>
      <w:r>
        <w:rPr>
          <w:rFonts w:hint="eastAsia"/>
          <w:sz w:val="24"/>
        </w:rPr>
        <w:t>四、财政拨款收入支出决算总表</w:t>
      </w:r>
      <w:r>
        <w:rPr>
          <w:sz w:val="24"/>
        </w:rPr>
        <w:t>..........................................................23.</w:t>
      </w:r>
    </w:p>
    <w:p>
      <w:pPr>
        <w:pStyle w:val="11"/>
        <w:adjustRightInd w:val="0"/>
        <w:snapToGrid w:val="0"/>
        <w:spacing w:line="440" w:lineRule="exact"/>
        <w:ind w:left="31680"/>
        <w:jc w:val="left"/>
        <w:rPr>
          <w:sz w:val="24"/>
        </w:rPr>
      </w:pPr>
      <w:r>
        <w:rPr>
          <w:rFonts w:hint="eastAsia"/>
          <w:sz w:val="24"/>
        </w:rPr>
        <w:t>五、财政拨款支出决算明细表</w:t>
      </w:r>
      <w:r>
        <w:rPr>
          <w:sz w:val="24"/>
        </w:rPr>
        <w:t>..............................................................23</w:t>
      </w:r>
    </w:p>
    <w:p>
      <w:pPr>
        <w:pStyle w:val="11"/>
        <w:adjustRightInd w:val="0"/>
        <w:snapToGrid w:val="0"/>
        <w:spacing w:line="440" w:lineRule="exact"/>
        <w:ind w:left="31680"/>
        <w:jc w:val="left"/>
        <w:rPr>
          <w:sz w:val="24"/>
        </w:rPr>
      </w:pPr>
      <w:r>
        <w:rPr>
          <w:rFonts w:hint="eastAsia"/>
          <w:sz w:val="24"/>
        </w:rPr>
        <w:t>六、一般公共预算财政拨款支出决算表</w:t>
      </w:r>
      <w:r>
        <w:rPr>
          <w:sz w:val="24"/>
        </w:rPr>
        <w:t>..............................................23</w:t>
      </w:r>
    </w:p>
    <w:p>
      <w:pPr>
        <w:pStyle w:val="11"/>
        <w:adjustRightInd w:val="0"/>
        <w:snapToGrid w:val="0"/>
        <w:spacing w:line="440" w:lineRule="exact"/>
        <w:ind w:left="31680"/>
        <w:jc w:val="left"/>
        <w:rPr>
          <w:rFonts w:ascii="仿宋" w:eastAsia="仿宋"/>
          <w:sz w:val="24"/>
        </w:rPr>
      </w:pPr>
      <w:r>
        <w:rPr>
          <w:rFonts w:hint="eastAsia"/>
          <w:sz w:val="24"/>
        </w:rPr>
        <w:t>七、一般公共预算财政拨款支出决算明细表</w:t>
      </w:r>
      <w:r>
        <w:rPr>
          <w:sz w:val="24"/>
        </w:rPr>
        <w:t>......................................23</w:t>
      </w:r>
    </w:p>
    <w:p>
      <w:pPr>
        <w:pStyle w:val="11"/>
        <w:adjustRightInd w:val="0"/>
        <w:snapToGrid w:val="0"/>
        <w:spacing w:line="440" w:lineRule="exact"/>
        <w:ind w:left="31680"/>
        <w:jc w:val="left"/>
        <w:rPr>
          <w:sz w:val="24"/>
        </w:rPr>
      </w:pPr>
      <w:r>
        <w:rPr>
          <w:rFonts w:hint="eastAsia"/>
          <w:sz w:val="24"/>
        </w:rPr>
        <w:t>八、一般公共预算财政拨款基本支出决算表</w:t>
      </w:r>
      <w:r>
        <w:rPr>
          <w:sz w:val="24"/>
        </w:rPr>
        <w:t>......................................23</w:t>
      </w:r>
    </w:p>
    <w:p>
      <w:pPr>
        <w:pStyle w:val="11"/>
        <w:adjustRightInd w:val="0"/>
        <w:snapToGrid w:val="0"/>
        <w:spacing w:line="440" w:lineRule="exact"/>
        <w:ind w:left="31680"/>
        <w:jc w:val="left"/>
        <w:rPr>
          <w:rFonts w:ascii="仿宋" w:eastAsia="仿宋"/>
          <w:sz w:val="24"/>
        </w:rPr>
      </w:pPr>
      <w:r>
        <w:rPr>
          <w:rFonts w:hint="eastAsia"/>
          <w:sz w:val="24"/>
        </w:rPr>
        <w:t>九、一般公共预算财政拨款项目支出决算表</w:t>
      </w:r>
      <w:r>
        <w:rPr>
          <w:sz w:val="24"/>
        </w:rPr>
        <w:t>.......................................23</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w:t>
      </w:r>
      <w:r>
        <w:rPr>
          <w:rFonts w:hint="eastAsia"/>
          <w:sz w:val="24"/>
        </w:rPr>
        <w:t>一般公共预算财政拨款“三公”经费支出决算表</w:t>
      </w:r>
      <w:r>
        <w:rPr>
          <w:sz w:val="24"/>
        </w:rPr>
        <w:t>.................................23</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十一、</w:t>
      </w:r>
      <w:r>
        <w:rPr>
          <w:rFonts w:hint="eastAsia"/>
          <w:sz w:val="24"/>
        </w:rPr>
        <w:t>政府性基金预算财政拨款收入支出决算表</w:t>
      </w:r>
      <w:r>
        <w:rPr>
          <w:sz w:val="24"/>
        </w:rPr>
        <w:t>.........................................23</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十二、</w:t>
      </w:r>
      <w:r>
        <w:rPr>
          <w:rFonts w:hint="eastAsia"/>
          <w:sz w:val="24"/>
        </w:rPr>
        <w:t>政府性基金预算财政拨款“三公”经费支出决算表</w:t>
      </w:r>
      <w:r>
        <w:rPr>
          <w:sz w:val="24"/>
        </w:rPr>
        <w:t>.........................23</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十三、</w:t>
      </w:r>
      <w:r>
        <w:rPr>
          <w:rFonts w:hint="eastAsia"/>
          <w:sz w:val="24"/>
        </w:rPr>
        <w:t>国有资本经营预算支出决算表</w:t>
      </w:r>
      <w:r>
        <w:rPr>
          <w:sz w:val="24"/>
        </w:rPr>
        <w:t>.............................................................23</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黑体" w:hAnsi="黑体" w:eastAsia="黑体"/>
          <w:b/>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（一）主要职能。（职能参照省政府批准的三定方案）</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2019</w:t>
      </w:r>
      <w:r>
        <w:rPr>
          <w:rFonts w:hint="eastAsia" w:ascii="仿宋" w:hAnsi="仿宋" w:eastAsia="仿宋"/>
          <w:bCs/>
          <w:color w:val="000000"/>
          <w:sz w:val="32"/>
          <w:szCs w:val="32"/>
        </w:rPr>
        <w:t>年重点工作完成情况。</w:t>
      </w:r>
      <w:bookmarkEnd w:id="18"/>
      <w:bookmarkEnd w:id="19"/>
    </w:p>
    <w:p>
      <w:pPr>
        <w:pStyle w:val="3"/>
        <w:rPr>
          <w:rStyle w:val="17"/>
          <w:rFonts w:ascii="黑体" w:hAnsi="黑体" w:eastAsia="黑体"/>
          <w:b w:val="0"/>
          <w:bCs w:val="0"/>
        </w:rPr>
      </w:pPr>
      <w:bookmarkStart w:id="20" w:name="_Toc15377200"/>
      <w:bookmarkStart w:id="21" w:name="_Toc15396601"/>
      <w:r>
        <w:rPr>
          <w:rFonts w:hint="eastAsia" w:ascii="黑体" w:hAnsi="黑体" w:eastAsia="黑体"/>
          <w:color w:val="000000"/>
        </w:rPr>
        <w:t>二、机</w:t>
      </w:r>
      <w:r>
        <w:rPr>
          <w:rStyle w:val="17"/>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壤塘县交通运输局下属一级单位</w:t>
      </w:r>
      <w:r>
        <w:rPr>
          <w:rFonts w:ascii="仿宋" w:hAnsi="仿宋" w:eastAsia="仿宋"/>
          <w:sz w:val="32"/>
          <w:szCs w:val="32"/>
        </w:rPr>
        <w:t>1</w:t>
      </w:r>
      <w:r>
        <w:rPr>
          <w:rFonts w:hint="eastAsia" w:ascii="仿宋" w:hAnsi="仿宋" w:eastAsia="仿宋"/>
          <w:sz w:val="32"/>
          <w:szCs w:val="32"/>
        </w:rPr>
        <w:t>个，其中行政单位</w:t>
      </w:r>
      <w:r>
        <w:rPr>
          <w:rFonts w:ascii="仿宋" w:hAnsi="仿宋" w:eastAsia="仿宋"/>
          <w:sz w:val="32"/>
          <w:szCs w:val="32"/>
        </w:rPr>
        <w:t>1</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jc w:val="center"/>
        <w:rPr>
          <w:rFonts w:ascii="黑体" w:hAnsi="黑体" w:eastAsia="黑体"/>
          <w:bCs w:val="0"/>
        </w:rPr>
      </w:pPr>
      <w:bookmarkStart w:id="22" w:name="_Toc15396602"/>
      <w:bookmarkStart w:id="23" w:name="_Toc15377204"/>
      <w:r>
        <w:rPr>
          <w:rFonts w:hint="eastAsia" w:ascii="黑体" w:hAnsi="黑体" w:eastAsia="黑体"/>
          <w:b w:val="0"/>
        </w:rPr>
        <w:t>第二部分</w:t>
      </w:r>
      <w:r>
        <w:rPr>
          <w:rFonts w:ascii="黑体" w:hAnsi="黑体" w:eastAsia="黑体"/>
          <w:b w:val="0"/>
        </w:rPr>
        <w:t xml:space="preserve"> </w:t>
      </w:r>
      <w:r>
        <w:rPr>
          <w:rFonts w:ascii="黑体" w:hAnsi="黑体" w:eastAsia="黑体"/>
          <w:bCs w:val="0"/>
        </w:rPr>
        <w:t>2019</w:t>
      </w:r>
      <w:r>
        <w:rPr>
          <w:rFonts w:hint="eastAsia" w:ascii="黑体" w:hAnsi="黑体" w:eastAsia="黑体"/>
          <w:bCs w:val="0"/>
        </w:rPr>
        <w:t>年度部门决算情况说明</w:t>
      </w:r>
      <w:bookmarkEnd w:id="22"/>
      <w:bookmarkEnd w:id="23"/>
    </w:p>
    <w:p>
      <w:pPr>
        <w:rPr>
          <w:rFonts w:ascii="仿宋" w:hAnsi="仿宋" w:eastAsia="仿宋"/>
        </w:rPr>
      </w:pPr>
    </w:p>
    <w:p>
      <w:pPr>
        <w:pStyle w:val="27"/>
        <w:numPr>
          <w:ilvl w:val="0"/>
          <w:numId w:val="1"/>
        </w:numPr>
        <w:spacing w:line="600" w:lineRule="exact"/>
        <w:ind w:firstLineChars="0"/>
        <w:outlineLvl w:val="1"/>
        <w:rPr>
          <w:rStyle w:val="17"/>
          <w:rFonts w:ascii="黑体" w:hAnsi="黑体" w:eastAsia="黑体"/>
          <w:b w:val="0"/>
        </w:rPr>
      </w:pPr>
      <w:bookmarkStart w:id="24" w:name="_Toc15396603"/>
      <w:bookmarkStart w:id="25" w:name="_Toc15377205"/>
      <w:r>
        <w:rPr>
          <w:rFonts w:hint="eastAsia" w:ascii="黑体" w:hAnsi="黑体" w:eastAsia="黑体"/>
          <w:b/>
          <w:color w:val="000000"/>
          <w:sz w:val="32"/>
          <w:szCs w:val="32"/>
        </w:rPr>
        <w:t>收</w:t>
      </w:r>
      <w:r>
        <w:rPr>
          <w:rStyle w:val="17"/>
          <w:rFonts w:hint="eastAsia" w:ascii="黑体" w:hAnsi="黑体" w:eastAsia="黑体"/>
          <w:b w:val="0"/>
        </w:rPr>
        <w:t>入支出决算总体情况说明</w:t>
      </w:r>
      <w:bookmarkEnd w:id="24"/>
      <w:bookmarkEnd w:id="25"/>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年度收入总计</w:t>
      </w:r>
      <w:r>
        <w:rPr>
          <w:rFonts w:ascii="仿宋" w:hAnsi="仿宋" w:eastAsia="仿宋"/>
          <w:color w:val="000000"/>
          <w:sz w:val="32"/>
          <w:szCs w:val="32"/>
        </w:rPr>
        <w:t>25797.61</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年相比，收入总计减少</w:t>
      </w:r>
      <w:r>
        <w:rPr>
          <w:rFonts w:ascii="仿宋" w:hAnsi="仿宋" w:eastAsia="仿宋"/>
          <w:color w:val="000000"/>
          <w:sz w:val="32"/>
          <w:szCs w:val="32"/>
        </w:rPr>
        <w:t>15703.14</w:t>
      </w:r>
      <w:r>
        <w:rPr>
          <w:rFonts w:hint="eastAsia" w:ascii="仿宋" w:hAnsi="仿宋" w:eastAsia="仿宋"/>
          <w:color w:val="000000"/>
          <w:sz w:val="32"/>
          <w:szCs w:val="32"/>
        </w:rPr>
        <w:t>万元，下降</w:t>
      </w:r>
      <w:r>
        <w:rPr>
          <w:rFonts w:ascii="仿宋" w:hAnsi="仿宋" w:eastAsia="仿宋"/>
          <w:color w:val="000000"/>
          <w:sz w:val="32"/>
          <w:szCs w:val="32"/>
        </w:rPr>
        <w:t>37.84%</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年重点项目续建。</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年度支出总计</w:t>
      </w:r>
      <w:r>
        <w:rPr>
          <w:rFonts w:ascii="仿宋" w:hAnsi="仿宋" w:eastAsia="仿宋"/>
          <w:color w:val="000000"/>
          <w:sz w:val="32"/>
          <w:szCs w:val="32"/>
        </w:rPr>
        <w:t>22382.73</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年相比，支出总计增加</w:t>
      </w:r>
      <w:r>
        <w:rPr>
          <w:rFonts w:ascii="仿宋" w:hAnsi="仿宋" w:eastAsia="仿宋"/>
          <w:color w:val="000000"/>
          <w:sz w:val="32"/>
          <w:szCs w:val="32"/>
        </w:rPr>
        <w:t>6636.39</w:t>
      </w:r>
      <w:r>
        <w:rPr>
          <w:rFonts w:hint="eastAsia" w:ascii="仿宋" w:hAnsi="仿宋" w:eastAsia="仿宋"/>
          <w:color w:val="000000"/>
          <w:sz w:val="32"/>
          <w:szCs w:val="32"/>
        </w:rPr>
        <w:t>万元，增长</w:t>
      </w:r>
      <w:r>
        <w:rPr>
          <w:rFonts w:ascii="仿宋" w:hAnsi="仿宋" w:eastAsia="仿宋"/>
          <w:color w:val="000000"/>
          <w:sz w:val="32"/>
          <w:szCs w:val="32"/>
        </w:rPr>
        <w:t>42.15%</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年重点项目续建及</w:t>
      </w:r>
      <w:r>
        <w:rPr>
          <w:rFonts w:ascii="仿宋" w:hAnsi="仿宋" w:eastAsia="仿宋"/>
          <w:color w:val="000000"/>
          <w:sz w:val="32"/>
          <w:szCs w:val="32"/>
        </w:rPr>
        <w:t>2019</w:t>
      </w:r>
      <w:r>
        <w:rPr>
          <w:rFonts w:hint="eastAsia" w:ascii="仿宋" w:hAnsi="仿宋" w:eastAsia="仿宋"/>
          <w:color w:val="000000"/>
          <w:sz w:val="32"/>
          <w:szCs w:val="32"/>
        </w:rPr>
        <w:t>年新增项目。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object>
          <v:shape id="_x0000_i1025" o:spt="75" type="#_x0000_t75" style="height:144pt;width:216.75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5" r:id="rId6">
            <o:LockedField>false</o:LockedField>
          </o:OLEObject>
        </w:object>
      </w:r>
    </w:p>
    <w:p>
      <w:pPr>
        <w:pStyle w:val="27"/>
        <w:numPr>
          <w:ilvl w:val="0"/>
          <w:numId w:val="1"/>
        </w:numPr>
        <w:spacing w:line="600" w:lineRule="exact"/>
        <w:ind w:firstLineChars="0"/>
        <w:outlineLvl w:val="1"/>
        <w:rPr>
          <w:rStyle w:val="1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年本年收入合计</w:t>
      </w:r>
      <w:r>
        <w:rPr>
          <w:rFonts w:ascii="仿宋" w:hAnsi="仿宋" w:eastAsia="仿宋"/>
          <w:color w:val="000000"/>
          <w:sz w:val="32"/>
          <w:szCs w:val="32"/>
        </w:rPr>
        <w:t>17227.13</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17227.13</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；上级补助收入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object>
          <v:shape id="_x0000_i1026" o:spt="75" type="#_x0000_t75" style="height:144pt;width:216.75pt;" o:ole="t" filled="f" o:preferrelative="t" stroked="f" coordsize="21600,21600">
            <v:path/>
            <v:fill on="f" focussize="0,0"/>
            <v:stroke on="f" joinstyle="miter"/>
            <v:imagedata r:id="rId9" o:title=""/>
            <o:lock v:ext="edit" aspectratio="t"/>
            <w10:wrap type="none"/>
            <w10:anchorlock/>
          </v:shape>
          <o:OLEObject Type="Embed" ProgID="MSGraph.Chart.8" ShapeID="_x0000_i1026" DrawAspect="Content" ObjectID="_1468075726" r:id="rId8">
            <o:LockedField>false</o:LockedField>
          </o:OLEObject>
        </w:object>
      </w:r>
    </w:p>
    <w:p>
      <w:pPr>
        <w:spacing w:line="600" w:lineRule="exact"/>
        <w:rPr>
          <w:rFonts w:ascii="仿宋" w:hAnsi="仿宋" w:eastAsia="仿宋"/>
          <w:color w:val="000000"/>
          <w:sz w:val="32"/>
          <w:szCs w:val="32"/>
        </w:rPr>
      </w:pPr>
    </w:p>
    <w:p>
      <w:pPr>
        <w:pStyle w:val="27"/>
        <w:numPr>
          <w:ilvl w:val="0"/>
          <w:numId w:val="1"/>
        </w:numPr>
        <w:spacing w:line="600" w:lineRule="exact"/>
        <w:ind w:firstLineChars="0"/>
        <w:outlineLvl w:val="1"/>
        <w:rPr>
          <w:rStyle w:val="1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年本年支出合计</w:t>
      </w:r>
      <w:r>
        <w:rPr>
          <w:rFonts w:ascii="仿宋" w:hAnsi="仿宋" w:eastAsia="仿宋"/>
          <w:color w:val="000000"/>
          <w:sz w:val="32"/>
          <w:szCs w:val="32"/>
        </w:rPr>
        <w:t>22382.73</w:t>
      </w:r>
      <w:r>
        <w:rPr>
          <w:rFonts w:hint="eastAsia" w:ascii="仿宋" w:hAnsi="仿宋" w:eastAsia="仿宋"/>
          <w:color w:val="000000"/>
          <w:sz w:val="32"/>
          <w:szCs w:val="32"/>
        </w:rPr>
        <w:t>万元，其中：基本支出</w:t>
      </w:r>
      <w:r>
        <w:rPr>
          <w:rFonts w:ascii="仿宋" w:hAnsi="仿宋" w:eastAsia="仿宋"/>
          <w:color w:val="000000"/>
          <w:sz w:val="32"/>
          <w:szCs w:val="32"/>
        </w:rPr>
        <w:t>457.85</w:t>
      </w:r>
      <w:r>
        <w:rPr>
          <w:rFonts w:hint="eastAsia" w:ascii="仿宋" w:hAnsi="仿宋" w:eastAsia="仿宋"/>
          <w:color w:val="000000"/>
          <w:sz w:val="32"/>
          <w:szCs w:val="32"/>
        </w:rPr>
        <w:t>万元，占</w:t>
      </w:r>
      <w:r>
        <w:rPr>
          <w:rFonts w:ascii="仿宋" w:hAnsi="仿宋" w:eastAsia="仿宋"/>
          <w:color w:val="000000"/>
          <w:sz w:val="32"/>
          <w:szCs w:val="32"/>
        </w:rPr>
        <w:t>2.05%</w:t>
      </w:r>
      <w:r>
        <w:rPr>
          <w:rFonts w:hint="eastAsia" w:ascii="仿宋" w:hAnsi="仿宋" w:eastAsia="仿宋"/>
          <w:color w:val="000000"/>
          <w:sz w:val="32"/>
          <w:szCs w:val="32"/>
        </w:rPr>
        <w:t>；项目支出</w:t>
      </w:r>
      <w:r>
        <w:rPr>
          <w:rFonts w:ascii="仿宋" w:hAnsi="仿宋" w:eastAsia="仿宋"/>
          <w:color w:val="000000"/>
          <w:sz w:val="32"/>
          <w:szCs w:val="32"/>
        </w:rPr>
        <w:t>21924.88</w:t>
      </w:r>
      <w:r>
        <w:rPr>
          <w:rFonts w:hint="eastAsia" w:ascii="仿宋" w:hAnsi="仿宋" w:eastAsia="仿宋"/>
          <w:color w:val="000000"/>
          <w:sz w:val="32"/>
          <w:szCs w:val="32"/>
        </w:rPr>
        <w:t>万元，占</w:t>
      </w:r>
      <w:r>
        <w:rPr>
          <w:rFonts w:ascii="仿宋" w:hAnsi="仿宋" w:eastAsia="仿宋"/>
          <w:color w:val="000000"/>
          <w:sz w:val="32"/>
          <w:szCs w:val="32"/>
        </w:rPr>
        <w:t>97.95%</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object>
          <v:shape id="_x0000_i1027" o:spt="75" type="#_x0000_t75" style="height:144pt;width:216.75pt;" o:ole="t" filled="f" o:preferrelative="t" stroked="f" coordsize="21600,21600">
            <v:path/>
            <v:fill on="f" focussize="0,0"/>
            <v:stroke on="f" joinstyle="miter"/>
            <v:imagedata r:id="rId11" o:title=""/>
            <o:lock v:ext="edit" aspectratio="t"/>
            <w10:wrap type="none"/>
            <w10:anchorlock/>
          </v:shape>
          <o:OLEObject Type="Embed" ProgID="MSGraph.Chart.8" ShapeID="_x0000_i1027" DrawAspect="Content" ObjectID="_1468075727" r:id="rId10">
            <o:LockedField>false</o:LockedField>
          </o:OLEObject>
        </w:object>
      </w:r>
    </w:p>
    <w:p>
      <w:pPr>
        <w:spacing w:line="600" w:lineRule="exact"/>
        <w:ind w:firstLine="640" w:firstLineChars="200"/>
        <w:outlineLvl w:val="1"/>
        <w:rPr>
          <w:rStyle w:val="1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年财政拨款收入总计</w:t>
      </w:r>
      <w:r>
        <w:rPr>
          <w:rFonts w:ascii="仿宋" w:hAnsi="仿宋" w:eastAsia="仿宋"/>
          <w:color w:val="000000"/>
          <w:sz w:val="32"/>
          <w:szCs w:val="32"/>
        </w:rPr>
        <w:t>25797.61</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年相比，财政拨款收入总计减少</w:t>
      </w:r>
      <w:r>
        <w:rPr>
          <w:rFonts w:ascii="仿宋" w:hAnsi="仿宋" w:eastAsia="仿宋"/>
          <w:color w:val="000000"/>
          <w:sz w:val="32"/>
          <w:szCs w:val="32"/>
        </w:rPr>
        <w:t>15696.52</w:t>
      </w:r>
      <w:r>
        <w:rPr>
          <w:rFonts w:hint="eastAsia" w:ascii="仿宋" w:hAnsi="仿宋" w:eastAsia="仿宋"/>
          <w:color w:val="000000"/>
          <w:sz w:val="32"/>
          <w:szCs w:val="32"/>
        </w:rPr>
        <w:t>万元，下降</w:t>
      </w:r>
      <w:r>
        <w:rPr>
          <w:rFonts w:ascii="仿宋" w:hAnsi="仿宋" w:eastAsia="仿宋"/>
          <w:color w:val="000000"/>
          <w:sz w:val="32"/>
          <w:szCs w:val="32"/>
        </w:rPr>
        <w:t>34.83%</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年重点项目续建。</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年财政拨款支出总计</w:t>
      </w:r>
      <w:r>
        <w:rPr>
          <w:rFonts w:ascii="仿宋" w:hAnsi="仿宋" w:eastAsia="仿宋"/>
          <w:color w:val="000000"/>
          <w:sz w:val="32"/>
          <w:szCs w:val="32"/>
        </w:rPr>
        <w:t>22382.73</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年相比，财政拨款支出总计增加</w:t>
      </w:r>
      <w:r>
        <w:rPr>
          <w:rFonts w:ascii="仿宋" w:hAnsi="仿宋" w:eastAsia="仿宋"/>
          <w:color w:val="000000"/>
          <w:sz w:val="32"/>
          <w:szCs w:val="32"/>
        </w:rPr>
        <w:t>6637.37</w:t>
      </w:r>
      <w:r>
        <w:rPr>
          <w:rFonts w:hint="eastAsia" w:ascii="仿宋" w:hAnsi="仿宋" w:eastAsia="仿宋"/>
          <w:color w:val="000000"/>
          <w:sz w:val="32"/>
          <w:szCs w:val="32"/>
        </w:rPr>
        <w:t>万元，增长</w:t>
      </w:r>
      <w:r>
        <w:rPr>
          <w:rFonts w:ascii="仿宋" w:hAnsi="仿宋" w:eastAsia="仿宋"/>
          <w:color w:val="000000"/>
          <w:sz w:val="32"/>
          <w:szCs w:val="32"/>
        </w:rPr>
        <w:t>42.15%</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年重点项目续建及</w:t>
      </w:r>
      <w:r>
        <w:rPr>
          <w:rFonts w:ascii="仿宋" w:hAnsi="仿宋" w:eastAsia="仿宋"/>
          <w:color w:val="000000"/>
          <w:sz w:val="32"/>
          <w:szCs w:val="32"/>
        </w:rPr>
        <w:t>2019</w:t>
      </w:r>
      <w:r>
        <w:rPr>
          <w:rFonts w:hint="eastAsia" w:ascii="仿宋" w:hAnsi="仿宋" w:eastAsia="仿宋"/>
          <w:color w:val="000000"/>
          <w:sz w:val="32"/>
          <w:szCs w:val="32"/>
        </w:rPr>
        <w:t>年新增项目。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360" w:lineRule="auto"/>
        <w:ind w:firstLine="640" w:firstLineChars="200"/>
        <w:rPr>
          <w:rFonts w:ascii="仿宋" w:hAnsi="仿宋" w:eastAsia="仿宋"/>
          <w:color w:val="000000"/>
          <w:sz w:val="32"/>
          <w:szCs w:val="32"/>
        </w:rPr>
      </w:pPr>
    </w:p>
    <w:p>
      <w:pPr>
        <w:spacing w:line="360" w:lineRule="auto"/>
        <w:ind w:firstLine="640" w:firstLineChars="200"/>
        <w:rPr>
          <w:rFonts w:ascii="仿宋" w:hAnsi="仿宋" w:eastAsia="仿宋"/>
          <w:color w:val="000000"/>
          <w:sz w:val="32"/>
          <w:szCs w:val="32"/>
        </w:rPr>
      </w:pPr>
    </w:p>
    <w:p>
      <w:pPr>
        <w:spacing w:line="360" w:lineRule="auto"/>
        <w:ind w:firstLine="640" w:firstLineChars="200"/>
        <w:rPr>
          <w:rFonts w:ascii="仿宋" w:hAnsi="仿宋" w:eastAsia="仿宋"/>
          <w:color w:val="000000"/>
          <w:sz w:val="32"/>
          <w:szCs w:val="32"/>
        </w:rPr>
      </w:pPr>
    </w:p>
    <w:p>
      <w:pPr>
        <w:spacing w:line="360" w:lineRule="auto"/>
        <w:ind w:firstLine="640" w:firstLineChars="200"/>
        <w:rPr>
          <w:rFonts w:ascii="仿宋" w:hAnsi="仿宋" w:eastAsia="仿宋"/>
          <w:color w:val="000000"/>
          <w:sz w:val="32"/>
          <w:szCs w:val="32"/>
        </w:rPr>
      </w:pPr>
    </w:p>
    <w:p>
      <w:pPr>
        <w:spacing w:line="360" w:lineRule="auto"/>
        <w:ind w:firstLine="640" w:firstLineChars="200"/>
        <w:rPr>
          <w:rFonts w:ascii="仿宋" w:hAnsi="仿宋" w:eastAsia="仿宋"/>
          <w:color w:val="000000"/>
          <w:sz w:val="32"/>
          <w:szCs w:val="32"/>
        </w:rPr>
      </w:pPr>
    </w:p>
    <w:p>
      <w:pPr>
        <w:spacing w:line="600" w:lineRule="exact"/>
        <w:ind w:firstLine="640"/>
        <w:rPr>
          <w:rFonts w:ascii="仿宋" w:hAnsi="仿宋" w:eastAsia="仿宋"/>
          <w:b/>
          <w:color w:val="00B050"/>
          <w:sz w:val="32"/>
          <w:szCs w:val="32"/>
        </w:rPr>
      </w:pPr>
      <w:r>
        <w:rPr>
          <w:rFonts w:ascii="仿宋" w:hAnsi="仿宋" w:eastAsia="仿宋"/>
          <w:color w:val="000000"/>
          <w:sz w:val="32"/>
          <w:szCs w:val="32"/>
        </w:rPr>
        <w:object>
          <v:shape id="_x0000_i1028" o:spt="75" type="#_x0000_t75" style="height:144pt;width:216.75pt;" o:ole="t" filled="f" o:preferrelative="t" stroked="f" coordsize="21600,21600">
            <v:path/>
            <v:fill on="f" focussize="0,0"/>
            <v:stroke on="f" joinstyle="miter"/>
            <v:imagedata r:id="rId13" o:title=""/>
            <o:lock v:ext="edit" aspectratio="t"/>
            <w10:wrap type="none"/>
            <w10:anchorlock/>
          </v:shape>
          <o:OLEObject Type="Embed" ProgID="MSGraph.Chart.8" ShapeID="_x0000_i1028" DrawAspect="Content" ObjectID="_1468075728" r:id="rId12">
            <o:LockedField>false</o:LockedField>
          </o:OLEObject>
        </w:object>
      </w:r>
    </w:p>
    <w:p>
      <w:pPr>
        <w:spacing w:line="600" w:lineRule="exact"/>
        <w:ind w:firstLine="640" w:firstLineChars="200"/>
        <w:outlineLvl w:val="1"/>
        <w:rPr>
          <w:rStyle w:val="1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22382.73</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2018</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6637.37</w:t>
      </w:r>
      <w:r>
        <w:rPr>
          <w:rFonts w:hint="eastAsia" w:ascii="仿宋" w:hAnsi="仿宋" w:eastAsia="仿宋"/>
          <w:color w:val="000000"/>
          <w:sz w:val="32"/>
          <w:szCs w:val="32"/>
        </w:rPr>
        <w:t>万元，增长</w:t>
      </w:r>
      <w:r>
        <w:rPr>
          <w:rFonts w:ascii="仿宋" w:hAnsi="仿宋" w:eastAsia="仿宋"/>
          <w:color w:val="000000"/>
          <w:sz w:val="32"/>
          <w:szCs w:val="32"/>
        </w:rPr>
        <w:t>42.15%</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年重点项目续建及</w:t>
      </w:r>
      <w:r>
        <w:rPr>
          <w:rFonts w:ascii="仿宋" w:hAnsi="仿宋" w:eastAsia="仿宋"/>
          <w:color w:val="000000"/>
          <w:sz w:val="32"/>
          <w:szCs w:val="32"/>
        </w:rPr>
        <w:t>2019</w:t>
      </w:r>
      <w:r>
        <w:rPr>
          <w:rFonts w:hint="eastAsia" w:ascii="仿宋" w:hAnsi="仿宋" w:eastAsia="仿宋"/>
          <w:color w:val="000000"/>
          <w:sz w:val="32"/>
          <w:szCs w:val="32"/>
        </w:rPr>
        <w:t>年新增项目。</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object>
          <v:shape id="_x0000_i1029" o:spt="75" type="#_x0000_t75" style="height:144pt;width:216.75pt;" o:ole="t" filled="f" o:preferrelative="t" stroked="f" coordsize="21600,21600">
            <v:path/>
            <v:fill on="f" focussize="0,0"/>
            <v:stroke on="f" joinstyle="miter"/>
            <v:imagedata r:id="rId15" o:title=""/>
            <o:lock v:ext="edit" aspectratio="t"/>
            <w10:wrap type="none"/>
            <w10:anchorlock/>
          </v:shape>
          <o:OLEObject Type="Embed" ProgID="MSGraph.Chart.8" ShapeID="_x0000_i1029" DrawAspect="Content" ObjectID="_1468075729" r:id="rId14">
            <o:LockedField>false</o:LockedField>
          </o:OLEObject>
        </w:objec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年一般公共预算财政拨款支出</w:t>
      </w:r>
      <w:r>
        <w:rPr>
          <w:rFonts w:ascii="仿宋" w:hAnsi="仿宋" w:eastAsia="仿宋"/>
          <w:sz w:val="32"/>
          <w:szCs w:val="32"/>
        </w:rPr>
        <w:t>22382.73</w:t>
      </w:r>
      <w:r>
        <w:rPr>
          <w:rFonts w:hint="eastAsia" w:ascii="仿宋" w:hAnsi="仿宋" w:eastAsia="仿宋"/>
          <w:sz w:val="32"/>
          <w:szCs w:val="32"/>
        </w:rPr>
        <w:t>万元，主要用于以下方面</w:t>
      </w:r>
      <w:r>
        <w:rPr>
          <w:rFonts w:ascii="仿宋" w:hAnsi="仿宋" w:eastAsia="仿宋"/>
          <w:sz w:val="32"/>
          <w:szCs w:val="32"/>
        </w:rPr>
        <w:t xml:space="preserve">: </w:t>
      </w:r>
      <w:r>
        <w:rPr>
          <w:rFonts w:hint="eastAsia" w:ascii="仿宋" w:hAnsi="仿宋" w:eastAsia="仿宋"/>
          <w:sz w:val="32"/>
          <w:szCs w:val="32"/>
        </w:rPr>
        <w:t>教育（类）支出</w:t>
      </w:r>
      <w:r>
        <w:rPr>
          <w:rFonts w:ascii="仿宋" w:hAnsi="仿宋" w:eastAsia="仿宋"/>
          <w:sz w:val="32"/>
          <w:szCs w:val="32"/>
        </w:rPr>
        <w:t>3.00</w:t>
      </w:r>
      <w:r>
        <w:rPr>
          <w:rFonts w:hint="eastAsia" w:ascii="仿宋" w:hAnsi="仿宋" w:eastAsia="仿宋"/>
          <w:sz w:val="32"/>
          <w:szCs w:val="32"/>
        </w:rPr>
        <w:t>万元，占</w:t>
      </w:r>
      <w:r>
        <w:rPr>
          <w:rFonts w:ascii="仿宋" w:hAnsi="仿宋" w:eastAsia="仿宋"/>
          <w:sz w:val="32"/>
          <w:szCs w:val="32"/>
        </w:rPr>
        <w:t>0.01%</w:t>
      </w:r>
      <w:r>
        <w:rPr>
          <w:rFonts w:hint="eastAsia" w:ascii="仿宋" w:hAnsi="仿宋" w:eastAsia="仿宋"/>
          <w:sz w:val="32"/>
          <w:szCs w:val="32"/>
        </w:rPr>
        <w:t>；社会保障和就业（类）支出</w:t>
      </w:r>
      <w:r>
        <w:rPr>
          <w:rFonts w:ascii="仿宋" w:hAnsi="仿宋" w:eastAsia="仿宋"/>
          <w:sz w:val="32"/>
          <w:szCs w:val="32"/>
        </w:rPr>
        <w:t>55.20</w:t>
      </w:r>
      <w:r>
        <w:rPr>
          <w:rFonts w:hint="eastAsia" w:ascii="仿宋" w:hAnsi="仿宋" w:eastAsia="仿宋"/>
          <w:sz w:val="32"/>
          <w:szCs w:val="32"/>
        </w:rPr>
        <w:t>万元，占</w:t>
      </w:r>
      <w:r>
        <w:rPr>
          <w:rFonts w:ascii="仿宋" w:hAnsi="仿宋" w:eastAsia="仿宋"/>
          <w:sz w:val="32"/>
          <w:szCs w:val="32"/>
        </w:rPr>
        <w:t>0.25%</w:t>
      </w:r>
      <w:r>
        <w:rPr>
          <w:rFonts w:hint="eastAsia" w:ascii="仿宋" w:hAnsi="仿宋" w:eastAsia="仿宋"/>
          <w:sz w:val="32"/>
          <w:szCs w:val="32"/>
        </w:rPr>
        <w:t>；卫生健康（类）支出</w:t>
      </w:r>
      <w:r>
        <w:rPr>
          <w:rFonts w:ascii="仿宋" w:hAnsi="仿宋" w:eastAsia="仿宋"/>
          <w:sz w:val="32"/>
          <w:szCs w:val="32"/>
        </w:rPr>
        <w:t>19.25</w:t>
      </w:r>
      <w:r>
        <w:rPr>
          <w:rFonts w:hint="eastAsia" w:ascii="仿宋" w:hAnsi="仿宋" w:eastAsia="仿宋"/>
          <w:sz w:val="32"/>
          <w:szCs w:val="32"/>
        </w:rPr>
        <w:t>万元，占</w:t>
      </w:r>
      <w:r>
        <w:rPr>
          <w:rFonts w:ascii="仿宋" w:hAnsi="仿宋" w:eastAsia="仿宋"/>
          <w:sz w:val="32"/>
          <w:szCs w:val="32"/>
        </w:rPr>
        <w:t>0.09%</w:t>
      </w:r>
      <w:r>
        <w:rPr>
          <w:rFonts w:hint="eastAsia" w:ascii="仿宋" w:hAnsi="仿宋" w:eastAsia="仿宋"/>
          <w:sz w:val="32"/>
          <w:szCs w:val="32"/>
        </w:rPr>
        <w:t>；农林水（类）</w:t>
      </w:r>
      <w:r>
        <w:rPr>
          <w:rFonts w:ascii="仿宋" w:hAnsi="仿宋" w:eastAsia="仿宋"/>
          <w:sz w:val="32"/>
          <w:szCs w:val="32"/>
        </w:rPr>
        <w:t>1811.68</w:t>
      </w:r>
      <w:r>
        <w:rPr>
          <w:rFonts w:hint="eastAsia" w:ascii="仿宋" w:hAnsi="仿宋" w:eastAsia="仿宋"/>
          <w:sz w:val="32"/>
          <w:szCs w:val="32"/>
        </w:rPr>
        <w:t>万元，占</w:t>
      </w:r>
      <w:r>
        <w:rPr>
          <w:rFonts w:ascii="仿宋" w:hAnsi="仿宋" w:eastAsia="仿宋"/>
          <w:sz w:val="32"/>
          <w:szCs w:val="32"/>
        </w:rPr>
        <w:t>8.09%</w:t>
      </w:r>
      <w:r>
        <w:rPr>
          <w:rFonts w:hint="eastAsia" w:ascii="仿宋" w:hAnsi="仿宋" w:eastAsia="仿宋"/>
          <w:sz w:val="32"/>
          <w:szCs w:val="32"/>
        </w:rPr>
        <w:t>；交通运输（类）支出</w:t>
      </w:r>
      <w:r>
        <w:rPr>
          <w:rFonts w:ascii="仿宋" w:hAnsi="仿宋" w:eastAsia="仿宋"/>
          <w:sz w:val="32"/>
          <w:szCs w:val="32"/>
        </w:rPr>
        <w:t>20459.38</w:t>
      </w:r>
      <w:r>
        <w:rPr>
          <w:rFonts w:hint="eastAsia" w:ascii="仿宋" w:hAnsi="仿宋" w:eastAsia="仿宋"/>
          <w:sz w:val="32"/>
          <w:szCs w:val="32"/>
        </w:rPr>
        <w:t>万元，占</w:t>
      </w:r>
      <w:r>
        <w:rPr>
          <w:rFonts w:ascii="仿宋" w:hAnsi="仿宋" w:eastAsia="仿宋"/>
          <w:sz w:val="32"/>
          <w:szCs w:val="32"/>
        </w:rPr>
        <w:t>91.41%</w:t>
      </w:r>
      <w:r>
        <w:rPr>
          <w:rFonts w:hint="eastAsia" w:ascii="仿宋" w:hAnsi="仿宋" w:eastAsia="仿宋"/>
          <w:sz w:val="32"/>
          <w:szCs w:val="32"/>
        </w:rPr>
        <w:t>；住房保障（类）支出</w:t>
      </w:r>
      <w:r>
        <w:rPr>
          <w:rFonts w:ascii="仿宋" w:hAnsi="仿宋" w:eastAsia="仿宋"/>
          <w:sz w:val="32"/>
          <w:szCs w:val="32"/>
        </w:rPr>
        <w:t>34.22</w:t>
      </w:r>
      <w:r>
        <w:rPr>
          <w:rFonts w:hint="eastAsia" w:ascii="仿宋" w:hAnsi="仿宋" w:eastAsia="仿宋"/>
          <w:sz w:val="32"/>
          <w:szCs w:val="32"/>
        </w:rPr>
        <w:t>万元，占</w:t>
      </w:r>
      <w:r>
        <w:rPr>
          <w:rFonts w:ascii="仿宋" w:hAnsi="仿宋" w:eastAsia="仿宋"/>
          <w:sz w:val="32"/>
          <w:szCs w:val="32"/>
        </w:rPr>
        <w:t>0.15%</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object>
          <v:shape id="_x0000_i1030" o:spt="75" type="#_x0000_t75" style="height:144pt;width:216.75pt;" o:ole="t" filled="f" o:preferrelative="t" stroked="f" coordsize="21600,21600">
            <v:path/>
            <v:fill on="f" focussize="0,0"/>
            <v:stroke on="f" joinstyle="miter"/>
            <v:imagedata r:id="rId17" o:title=""/>
            <o:lock v:ext="edit" aspectratio="t"/>
            <w10:wrap type="none"/>
            <w10:anchorlock/>
          </v:shape>
          <o:OLEObject Type="Embed" ProgID="MSGraph.Chart.8" ShapeID="_x0000_i1030" DrawAspect="Content" ObjectID="_1468075730" r:id="rId16">
            <o:LockedField>false</o:LockedField>
          </o:OLEObject>
        </w:objec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rPr>
          <w:rFonts w:ascii="仿宋" w:hAnsi="仿宋" w:eastAsia="仿宋"/>
          <w:sz w:val="32"/>
          <w:szCs w:val="32"/>
        </w:rPr>
      </w:pPr>
      <w:bookmarkStart w:id="37" w:name="_Toc15377213"/>
      <w:bookmarkStart w:id="38" w:name="_Toc15377444"/>
      <w:bookmarkStart w:id="39" w:name="_Toc15378460"/>
      <w:r>
        <w:rPr>
          <w:rFonts w:ascii="仿宋" w:hAnsi="仿宋" w:eastAsia="仿宋"/>
          <w:sz w:val="32"/>
          <w:szCs w:val="32"/>
        </w:rPr>
        <w:t>2019</w:t>
      </w:r>
      <w:r>
        <w:rPr>
          <w:rFonts w:hint="eastAsia" w:ascii="仿宋" w:hAnsi="仿宋" w:eastAsia="仿宋"/>
          <w:sz w:val="32"/>
          <w:szCs w:val="32"/>
        </w:rPr>
        <w:t>年一般公共预算支出决算数为</w:t>
      </w:r>
      <w:r>
        <w:rPr>
          <w:rFonts w:ascii="仿宋" w:hAnsi="仿宋" w:eastAsia="仿宋"/>
          <w:sz w:val="32"/>
          <w:szCs w:val="32"/>
        </w:rPr>
        <w:t>22382.73</w:t>
      </w:r>
      <w:r>
        <w:rPr>
          <w:rFonts w:hint="eastAsia" w:ascii="仿宋" w:hAnsi="仿宋" w:eastAsia="仿宋"/>
          <w:sz w:val="32"/>
          <w:szCs w:val="32"/>
        </w:rPr>
        <w:t>，完成预算</w:t>
      </w:r>
      <w:r>
        <w:rPr>
          <w:rFonts w:ascii="仿宋" w:hAnsi="仿宋" w:eastAsia="仿宋"/>
          <w:sz w:val="32"/>
          <w:szCs w:val="32"/>
        </w:rPr>
        <w:t>86.76%</w:t>
      </w:r>
      <w:r>
        <w:rPr>
          <w:rFonts w:hint="eastAsia" w:ascii="仿宋" w:hAnsi="仿宋" w:eastAsia="仿宋"/>
          <w:sz w:val="32"/>
          <w:szCs w:val="32"/>
        </w:rPr>
        <w:t>。其中：</w:t>
      </w:r>
      <w:bookmarkEnd w:id="37"/>
      <w:bookmarkEnd w:id="38"/>
      <w:bookmarkEnd w:id="39"/>
    </w:p>
    <w:p>
      <w:pPr>
        <w:spacing w:line="600" w:lineRule="exact"/>
        <w:ind w:firstLine="640"/>
        <w:rPr>
          <w:rFonts w:ascii="仿宋" w:hAnsi="仿宋" w:eastAsia="仿宋"/>
          <w:sz w:val="32"/>
          <w:szCs w:val="32"/>
        </w:rPr>
      </w:pPr>
      <w:r>
        <w:rPr>
          <w:rFonts w:ascii="仿宋" w:hAnsi="仿宋" w:eastAsia="仿宋"/>
          <w:sz w:val="32"/>
          <w:szCs w:val="32"/>
        </w:rPr>
        <w:t xml:space="preserve">1. </w:t>
      </w:r>
      <w:r>
        <w:rPr>
          <w:rFonts w:hint="eastAsia" w:ascii="仿宋" w:hAnsi="仿宋" w:eastAsia="仿宋"/>
          <w:sz w:val="32"/>
          <w:szCs w:val="32"/>
        </w:rPr>
        <w:t>社会保障和就业（类）行政事业单位离退休（款）机关事业单位基本养老保险缴费支出（项）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37.81</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社会保障和就业（类）行政事业单位离退休（款）</w:t>
      </w:r>
      <w:r>
        <w:rPr>
          <w:rFonts w:ascii="仿宋" w:hAnsi="仿宋" w:eastAsia="仿宋"/>
          <w:sz w:val="32"/>
          <w:szCs w:val="32"/>
        </w:rPr>
        <w:t xml:space="preserve">    </w:t>
      </w:r>
      <w:r>
        <w:rPr>
          <w:rFonts w:hint="eastAsia" w:ascii="仿宋" w:hAnsi="仿宋" w:eastAsia="仿宋"/>
          <w:sz w:val="32"/>
          <w:szCs w:val="32"/>
        </w:rPr>
        <w:t>机关事业单位职业年金缴费支出（项）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17.39</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3. </w:t>
      </w:r>
      <w:r>
        <w:rPr>
          <w:rFonts w:hint="eastAsia" w:ascii="仿宋" w:hAnsi="仿宋" w:eastAsia="仿宋"/>
          <w:sz w:val="32"/>
          <w:szCs w:val="32"/>
        </w:rPr>
        <w:t>医疗健康（类）行政事业单位医疗（款）行政单位医疗（项）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19.25</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4. </w:t>
      </w:r>
      <w:r>
        <w:rPr>
          <w:rFonts w:hint="eastAsia" w:ascii="仿宋" w:hAnsi="仿宋" w:eastAsia="仿宋"/>
          <w:sz w:val="32"/>
          <w:szCs w:val="32"/>
        </w:rPr>
        <w:t>农林水（类）农业（款）农村道路建设（项）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858.28</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5. </w:t>
      </w:r>
      <w:r>
        <w:rPr>
          <w:rFonts w:hint="eastAsia" w:ascii="仿宋" w:hAnsi="仿宋" w:eastAsia="仿宋"/>
          <w:sz w:val="32"/>
          <w:szCs w:val="32"/>
        </w:rPr>
        <w:t>农林水（类）水利（款）防汛支出（项）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0.26</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6. </w:t>
      </w:r>
      <w:r>
        <w:rPr>
          <w:rFonts w:hint="eastAsia" w:ascii="仿宋" w:hAnsi="仿宋" w:eastAsia="仿宋"/>
          <w:sz w:val="32"/>
          <w:szCs w:val="32"/>
        </w:rPr>
        <w:t>农林水（类）水利（款）其他水利支出（项）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29.70</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7. </w:t>
      </w:r>
      <w:r>
        <w:rPr>
          <w:rFonts w:hint="eastAsia" w:ascii="仿宋" w:hAnsi="仿宋" w:eastAsia="仿宋"/>
          <w:sz w:val="32"/>
          <w:szCs w:val="32"/>
        </w:rPr>
        <w:t>农林水（类）扶贫（款）农村基础设施建设支出（项）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915.96</w:t>
      </w:r>
      <w:r>
        <w:rPr>
          <w:rFonts w:hint="eastAsia" w:ascii="仿宋" w:hAnsi="仿宋" w:eastAsia="仿宋"/>
          <w:sz w:val="32"/>
          <w:szCs w:val="32"/>
        </w:rPr>
        <w:t>万元，完成预算</w:t>
      </w:r>
      <w:r>
        <w:rPr>
          <w:rFonts w:ascii="仿宋" w:hAnsi="仿宋" w:eastAsia="仿宋"/>
          <w:sz w:val="32"/>
          <w:szCs w:val="32"/>
        </w:rPr>
        <w:t>99.33%</w:t>
      </w:r>
      <w:r>
        <w:rPr>
          <w:rFonts w:hint="eastAsia" w:ascii="仿宋" w:hAnsi="仿宋" w:eastAsia="仿宋"/>
          <w:sz w:val="32"/>
          <w:szCs w:val="32"/>
        </w:rPr>
        <w:t>，决算数小于预算数的主要原因是预留保证金。</w:t>
      </w:r>
    </w:p>
    <w:p>
      <w:pPr>
        <w:spacing w:line="600" w:lineRule="exact"/>
        <w:ind w:firstLine="640"/>
        <w:rPr>
          <w:rFonts w:ascii="仿宋" w:hAnsi="仿宋" w:eastAsia="仿宋"/>
          <w:sz w:val="32"/>
          <w:szCs w:val="32"/>
        </w:rPr>
      </w:pPr>
      <w:r>
        <w:rPr>
          <w:rFonts w:ascii="仿宋" w:hAnsi="仿宋" w:eastAsia="仿宋"/>
          <w:sz w:val="32"/>
          <w:szCs w:val="32"/>
        </w:rPr>
        <w:t xml:space="preserve">8. </w:t>
      </w:r>
      <w:r>
        <w:rPr>
          <w:rFonts w:hint="eastAsia" w:ascii="仿宋" w:hAnsi="仿宋" w:eastAsia="仿宋"/>
          <w:sz w:val="32"/>
          <w:szCs w:val="32"/>
        </w:rPr>
        <w:t>农林水（类）扶贫（款）其他扶贫支出（项）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7.48</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w:t>
      </w:r>
      <w:r>
        <w:rPr>
          <w:rFonts w:ascii="仿宋" w:hAnsi="仿宋" w:eastAsia="仿宋"/>
          <w:sz w:val="32"/>
          <w:szCs w:val="32"/>
        </w:rPr>
        <w:t xml:space="preserve">9. </w:t>
      </w:r>
      <w:r>
        <w:rPr>
          <w:rFonts w:hint="eastAsia" w:ascii="仿宋" w:hAnsi="仿宋" w:eastAsia="仿宋"/>
          <w:sz w:val="32"/>
          <w:szCs w:val="32"/>
        </w:rPr>
        <w:t>交通运输（类）公路水路运输（款）行政运行支出（项）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349.18</w:t>
      </w:r>
      <w:r>
        <w:rPr>
          <w:rFonts w:hint="eastAsia" w:ascii="仿宋" w:hAnsi="仿宋" w:eastAsia="仿宋"/>
          <w:sz w:val="32"/>
          <w:szCs w:val="32"/>
        </w:rPr>
        <w:t>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10. </w:t>
      </w:r>
      <w:r>
        <w:rPr>
          <w:rFonts w:hint="eastAsia" w:ascii="仿宋" w:hAnsi="仿宋" w:eastAsia="仿宋"/>
          <w:sz w:val="32"/>
          <w:szCs w:val="32"/>
        </w:rPr>
        <w:t>交通运输（类）公路水路运输（款）公路建设支出（项）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12687.68</w:t>
      </w:r>
      <w:r>
        <w:rPr>
          <w:rFonts w:hint="eastAsia" w:ascii="仿宋" w:hAnsi="仿宋" w:eastAsia="仿宋"/>
          <w:sz w:val="32"/>
          <w:szCs w:val="32"/>
        </w:rPr>
        <w:t>元，完成预算</w:t>
      </w:r>
      <w:r>
        <w:rPr>
          <w:rFonts w:ascii="仿宋" w:hAnsi="仿宋" w:eastAsia="仿宋"/>
          <w:sz w:val="32"/>
          <w:szCs w:val="32"/>
        </w:rPr>
        <w:t>88.95%</w:t>
      </w:r>
      <w:r>
        <w:rPr>
          <w:rFonts w:hint="eastAsia" w:ascii="仿宋" w:hAnsi="仿宋" w:eastAsia="仿宋"/>
          <w:sz w:val="32"/>
          <w:szCs w:val="32"/>
        </w:rPr>
        <w:t>，决算数小于预算数的主要原因是项目未审计、预留质保金及未完工。</w:t>
      </w:r>
    </w:p>
    <w:p>
      <w:pPr>
        <w:spacing w:line="600" w:lineRule="exact"/>
        <w:ind w:firstLine="640"/>
        <w:rPr>
          <w:rFonts w:ascii="仿宋" w:hAnsi="仿宋" w:eastAsia="仿宋"/>
          <w:sz w:val="32"/>
          <w:szCs w:val="32"/>
        </w:rPr>
      </w:pPr>
      <w:r>
        <w:rPr>
          <w:rFonts w:ascii="仿宋" w:hAnsi="仿宋" w:eastAsia="仿宋"/>
          <w:sz w:val="32"/>
          <w:szCs w:val="32"/>
        </w:rPr>
        <w:t xml:space="preserve">11. </w:t>
      </w:r>
      <w:r>
        <w:rPr>
          <w:rFonts w:hint="eastAsia" w:ascii="仿宋" w:hAnsi="仿宋" w:eastAsia="仿宋"/>
          <w:sz w:val="32"/>
          <w:szCs w:val="32"/>
        </w:rPr>
        <w:t>交通运输（类）公路水路运输（款）公路养护支出（项）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234.55</w:t>
      </w:r>
      <w:r>
        <w:rPr>
          <w:rFonts w:hint="eastAsia" w:ascii="仿宋" w:hAnsi="仿宋" w:eastAsia="仿宋"/>
          <w:sz w:val="32"/>
          <w:szCs w:val="32"/>
        </w:rPr>
        <w:t>元，完成预算</w:t>
      </w:r>
      <w:r>
        <w:rPr>
          <w:rFonts w:ascii="仿宋" w:hAnsi="仿宋" w:eastAsia="仿宋"/>
          <w:sz w:val="32"/>
          <w:szCs w:val="32"/>
        </w:rPr>
        <w:t>59.55%</w:t>
      </w:r>
      <w:r>
        <w:rPr>
          <w:rFonts w:hint="eastAsia" w:ascii="仿宋" w:hAnsi="仿宋" w:eastAsia="仿宋"/>
          <w:sz w:val="32"/>
          <w:szCs w:val="32"/>
        </w:rPr>
        <w:t>，决算数小于预算数的主要原因是部分养护未报账。</w:t>
      </w:r>
    </w:p>
    <w:p>
      <w:pPr>
        <w:spacing w:line="600" w:lineRule="exact"/>
        <w:ind w:firstLine="640"/>
        <w:rPr>
          <w:rFonts w:ascii="仿宋" w:hAnsi="仿宋" w:eastAsia="仿宋"/>
          <w:sz w:val="32"/>
          <w:szCs w:val="32"/>
        </w:rPr>
      </w:pPr>
      <w:r>
        <w:rPr>
          <w:rFonts w:ascii="仿宋" w:hAnsi="仿宋" w:eastAsia="仿宋"/>
          <w:sz w:val="32"/>
          <w:szCs w:val="32"/>
        </w:rPr>
        <w:t xml:space="preserve">12. </w:t>
      </w:r>
      <w:r>
        <w:rPr>
          <w:rFonts w:hint="eastAsia" w:ascii="仿宋" w:hAnsi="仿宋" w:eastAsia="仿宋"/>
          <w:sz w:val="32"/>
          <w:szCs w:val="32"/>
        </w:rPr>
        <w:t>交通运输（类）公路水路运输（款）交通运输信息化建设支出（项）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1.44</w:t>
      </w:r>
      <w:r>
        <w:rPr>
          <w:rFonts w:hint="eastAsia" w:ascii="仿宋" w:hAnsi="仿宋" w:eastAsia="仿宋"/>
          <w:sz w:val="32"/>
          <w:szCs w:val="32"/>
        </w:rPr>
        <w:t>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13. </w:t>
      </w:r>
      <w:r>
        <w:rPr>
          <w:rFonts w:hint="eastAsia" w:ascii="仿宋" w:hAnsi="仿宋" w:eastAsia="仿宋"/>
          <w:sz w:val="32"/>
          <w:szCs w:val="32"/>
        </w:rPr>
        <w:t>交通运输（类）公路水路运输（款）公路和运输安全支出（项）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5.00</w:t>
      </w:r>
      <w:r>
        <w:rPr>
          <w:rFonts w:hint="eastAsia" w:ascii="仿宋" w:hAnsi="仿宋" w:eastAsia="仿宋"/>
          <w:sz w:val="32"/>
          <w:szCs w:val="32"/>
        </w:rPr>
        <w:t>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14. </w:t>
      </w:r>
      <w:r>
        <w:rPr>
          <w:rFonts w:hint="eastAsia" w:ascii="仿宋" w:hAnsi="仿宋" w:eastAsia="仿宋"/>
          <w:sz w:val="32"/>
          <w:szCs w:val="32"/>
        </w:rPr>
        <w:t>交通运输（类）公路水路运输（款）其他公路水路运输支出（项）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544.15</w:t>
      </w:r>
      <w:r>
        <w:rPr>
          <w:rFonts w:hint="eastAsia" w:ascii="仿宋" w:hAnsi="仿宋" w:eastAsia="仿宋"/>
          <w:sz w:val="32"/>
          <w:szCs w:val="32"/>
        </w:rPr>
        <w:t>元，完成预算</w:t>
      </w:r>
      <w:r>
        <w:rPr>
          <w:rFonts w:ascii="仿宋" w:hAnsi="仿宋" w:eastAsia="仿宋"/>
          <w:sz w:val="32"/>
          <w:szCs w:val="32"/>
        </w:rPr>
        <w:t>83.82%</w:t>
      </w:r>
      <w:r>
        <w:rPr>
          <w:rFonts w:hint="eastAsia" w:ascii="仿宋" w:hAnsi="仿宋" w:eastAsia="仿宋"/>
          <w:sz w:val="32"/>
          <w:szCs w:val="32"/>
        </w:rPr>
        <w:t>，决算数小于预算数的主要原因是项目未审计或预留质保金。</w:t>
      </w:r>
    </w:p>
    <w:p>
      <w:pPr>
        <w:spacing w:line="600" w:lineRule="exact"/>
        <w:ind w:firstLine="640"/>
        <w:rPr>
          <w:rFonts w:ascii="仿宋" w:hAnsi="仿宋" w:eastAsia="仿宋"/>
          <w:sz w:val="32"/>
          <w:szCs w:val="32"/>
        </w:rPr>
      </w:pPr>
      <w:r>
        <w:rPr>
          <w:rFonts w:ascii="仿宋" w:hAnsi="仿宋" w:eastAsia="仿宋"/>
          <w:sz w:val="32"/>
          <w:szCs w:val="32"/>
        </w:rPr>
        <w:t xml:space="preserve">15. </w:t>
      </w:r>
      <w:r>
        <w:rPr>
          <w:rFonts w:hint="eastAsia" w:ascii="仿宋" w:hAnsi="仿宋" w:eastAsia="仿宋"/>
          <w:sz w:val="32"/>
          <w:szCs w:val="32"/>
        </w:rPr>
        <w:t>交通运输（类）车辆购置税支出（款）车辆购置税用于公路等基础设施建设支出（项）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2591.79</w:t>
      </w:r>
      <w:r>
        <w:rPr>
          <w:rFonts w:hint="eastAsia" w:ascii="仿宋" w:hAnsi="仿宋" w:eastAsia="仿宋"/>
          <w:sz w:val="32"/>
          <w:szCs w:val="32"/>
        </w:rPr>
        <w:t>元，完成预算</w:t>
      </w:r>
      <w:r>
        <w:rPr>
          <w:rFonts w:ascii="仿宋" w:hAnsi="仿宋" w:eastAsia="仿宋"/>
          <w:sz w:val="32"/>
          <w:szCs w:val="32"/>
        </w:rPr>
        <w:t>71.59%</w:t>
      </w:r>
      <w:r>
        <w:rPr>
          <w:rFonts w:hint="eastAsia" w:ascii="仿宋" w:hAnsi="仿宋" w:eastAsia="仿宋"/>
          <w:sz w:val="32"/>
          <w:szCs w:val="32"/>
        </w:rPr>
        <w:t>，决算数小于预算数的主要原因是项目未审计、预留质保金及未完工。</w:t>
      </w:r>
    </w:p>
    <w:p>
      <w:pPr>
        <w:spacing w:line="600" w:lineRule="exact"/>
        <w:ind w:firstLine="640"/>
        <w:rPr>
          <w:rFonts w:ascii="仿宋" w:hAnsi="仿宋" w:eastAsia="仿宋"/>
          <w:sz w:val="32"/>
          <w:szCs w:val="32"/>
        </w:rPr>
      </w:pPr>
      <w:r>
        <w:rPr>
          <w:rFonts w:ascii="仿宋" w:hAnsi="仿宋" w:eastAsia="仿宋"/>
          <w:sz w:val="32"/>
          <w:szCs w:val="32"/>
        </w:rPr>
        <w:t xml:space="preserve">16. </w:t>
      </w:r>
      <w:r>
        <w:rPr>
          <w:rFonts w:hint="eastAsia" w:ascii="仿宋" w:hAnsi="仿宋" w:eastAsia="仿宋"/>
          <w:sz w:val="32"/>
          <w:szCs w:val="32"/>
        </w:rPr>
        <w:t>交通运输（类）车辆购置税支出（款）车辆购置税用于农村公路建设支出（项）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3812.43</w:t>
      </w:r>
      <w:r>
        <w:rPr>
          <w:rFonts w:hint="eastAsia" w:ascii="仿宋" w:hAnsi="仿宋" w:eastAsia="仿宋"/>
          <w:sz w:val="32"/>
          <w:szCs w:val="32"/>
        </w:rPr>
        <w:t>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17. </w:t>
      </w:r>
      <w:r>
        <w:rPr>
          <w:rFonts w:hint="eastAsia" w:ascii="仿宋" w:hAnsi="仿宋" w:eastAsia="仿宋"/>
          <w:sz w:val="32"/>
          <w:szCs w:val="32"/>
        </w:rPr>
        <w:t>交通运输（类）其他交通运输（款）其他交通运输支出（项）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233.16</w:t>
      </w:r>
      <w:r>
        <w:rPr>
          <w:rFonts w:hint="eastAsia" w:ascii="仿宋" w:hAnsi="仿宋" w:eastAsia="仿宋"/>
          <w:sz w:val="32"/>
          <w:szCs w:val="32"/>
        </w:rPr>
        <w:t>元，完成预算</w:t>
      </w:r>
      <w:r>
        <w:rPr>
          <w:rFonts w:ascii="仿宋" w:hAnsi="仿宋" w:eastAsia="仿宋"/>
          <w:sz w:val="32"/>
          <w:szCs w:val="32"/>
        </w:rPr>
        <w:t>40.06%</w:t>
      </w:r>
      <w:r>
        <w:rPr>
          <w:rFonts w:hint="eastAsia" w:ascii="仿宋" w:hAnsi="仿宋" w:eastAsia="仿宋"/>
          <w:sz w:val="32"/>
          <w:szCs w:val="32"/>
        </w:rPr>
        <w:t>，决算数小于预算数的主要原因是项目未审计、预留质保金及未完工。</w:t>
      </w:r>
      <w:r>
        <w:rPr>
          <w:rFonts w:ascii="仿宋" w:hAnsi="仿宋" w:eastAsia="仿宋"/>
          <w:sz w:val="32"/>
          <w:szCs w:val="32"/>
        </w:rPr>
        <w:br w:type="textWrapping"/>
      </w:r>
      <w:r>
        <w:rPr>
          <w:rFonts w:hint="eastAsia" w:ascii="仿宋" w:hAnsi="仿宋" w:eastAsia="仿宋"/>
          <w:sz w:val="32"/>
          <w:szCs w:val="32"/>
        </w:rPr>
        <w:t>　　</w:t>
      </w:r>
      <w:r>
        <w:rPr>
          <w:rFonts w:ascii="仿宋" w:hAnsi="仿宋" w:eastAsia="仿宋"/>
          <w:sz w:val="32"/>
          <w:szCs w:val="32"/>
        </w:rPr>
        <w:t xml:space="preserve">18. </w:t>
      </w:r>
      <w:r>
        <w:rPr>
          <w:rFonts w:hint="eastAsia" w:ascii="仿宋" w:hAnsi="仿宋" w:eastAsia="仿宋"/>
          <w:sz w:val="32"/>
          <w:szCs w:val="32"/>
        </w:rPr>
        <w:t>住房保障（类）住房改革支出（款）住房公积金（项）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31.58</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19. </w:t>
      </w:r>
      <w:r>
        <w:rPr>
          <w:rFonts w:hint="eastAsia" w:ascii="仿宋" w:hAnsi="仿宋" w:eastAsia="仿宋"/>
          <w:sz w:val="32"/>
          <w:szCs w:val="32"/>
        </w:rPr>
        <w:t>住房保障（类）住房改革支出（款）购房补贴（项）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2.64</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 xml:space="preserve">20. </w:t>
      </w:r>
      <w:r>
        <w:rPr>
          <w:rFonts w:hint="eastAsia" w:ascii="仿宋" w:hAnsi="仿宋" w:eastAsia="仿宋"/>
          <w:sz w:val="32"/>
          <w:szCs w:val="32"/>
        </w:rPr>
        <w:t>教育类（类）其他教育（款）其他教育支出（项）</w:t>
      </w:r>
      <w:r>
        <w:rPr>
          <w:rFonts w:ascii="仿宋" w:hAnsi="仿宋" w:eastAsia="仿宋"/>
          <w:sz w:val="32"/>
          <w:szCs w:val="32"/>
        </w:rPr>
        <w:t>:</w:t>
      </w:r>
      <w:r>
        <w:rPr>
          <w:rFonts w:hint="eastAsia" w:ascii="仿宋" w:hAnsi="仿宋" w:eastAsia="仿宋"/>
          <w:sz w:val="32"/>
          <w:szCs w:val="32"/>
        </w:rPr>
        <w:t>支出决算数为</w:t>
      </w:r>
      <w:r>
        <w:rPr>
          <w:rFonts w:ascii="仿宋" w:hAnsi="仿宋" w:eastAsia="仿宋"/>
          <w:sz w:val="32"/>
          <w:szCs w:val="32"/>
        </w:rPr>
        <w:t>3</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tabs>
          <w:tab w:val="right" w:pos="8306"/>
        </w:tabs>
        <w:spacing w:line="600" w:lineRule="exact"/>
        <w:ind w:firstLine="640"/>
        <w:outlineLvl w:val="1"/>
        <w:rPr>
          <w:rStyle w:val="17"/>
          <w:rFonts w:ascii="黑体" w:hAnsi="黑体" w:eastAsia="黑体"/>
        </w:rPr>
      </w:pPr>
      <w:bookmarkStart w:id="40" w:name="_Toc15396608"/>
      <w:bookmarkStart w:id="41" w:name="_Toc15377214"/>
      <w:r>
        <w:rPr>
          <w:rFonts w:hint="eastAsia" w:ascii="黑体" w:hAnsi="黑体" w:eastAsia="黑体"/>
          <w:color w:val="000000"/>
          <w:sz w:val="32"/>
          <w:szCs w:val="32"/>
        </w:rPr>
        <w:t>六</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600" w:lineRule="exact"/>
        <w:ind w:firstLine="645"/>
        <w:rPr>
          <w:rFonts w:ascii="仿宋" w:hAnsi="仿宋" w:eastAsia="仿宋" w:cs="仿宋_GB2312"/>
          <w:sz w:val="32"/>
          <w:szCs w:val="32"/>
        </w:rPr>
      </w:pPr>
      <w:r>
        <w:rPr>
          <w:rFonts w:ascii="仿宋" w:hAnsi="仿宋" w:eastAsia="仿宋" w:cs="仿宋_GB2312"/>
          <w:sz w:val="32"/>
          <w:szCs w:val="32"/>
        </w:rPr>
        <w:t>2019</w:t>
      </w:r>
      <w:r>
        <w:rPr>
          <w:rFonts w:hint="eastAsia" w:ascii="仿宋" w:hAnsi="仿宋" w:eastAsia="仿宋" w:cs="仿宋_GB2312"/>
          <w:sz w:val="32"/>
          <w:szCs w:val="32"/>
        </w:rPr>
        <w:t>年一般公共预算财政拨款基本支出</w:t>
      </w:r>
      <w:r>
        <w:rPr>
          <w:rFonts w:ascii="仿宋" w:hAnsi="仿宋" w:eastAsia="仿宋" w:cs="仿宋_GB2312"/>
          <w:sz w:val="32"/>
          <w:szCs w:val="32"/>
        </w:rPr>
        <w:t>457.85</w:t>
      </w:r>
      <w:r>
        <w:rPr>
          <w:rFonts w:hint="eastAsia" w:ascii="仿宋" w:hAnsi="仿宋" w:eastAsia="仿宋" w:cs="仿宋_GB2312"/>
          <w:sz w:val="32"/>
          <w:szCs w:val="32"/>
        </w:rPr>
        <w:t>万元，其中：</w:t>
      </w:r>
    </w:p>
    <w:p>
      <w:pPr>
        <w:spacing w:line="600" w:lineRule="exact"/>
        <w:ind w:firstLine="645"/>
        <w:rPr>
          <w:rFonts w:ascii="仿宋" w:hAnsi="仿宋" w:eastAsia="仿宋" w:cs="仿宋_GB2312"/>
          <w:sz w:val="32"/>
          <w:szCs w:val="32"/>
        </w:rPr>
      </w:pPr>
      <w:r>
        <w:rPr>
          <w:rFonts w:hint="eastAsia" w:ascii="仿宋" w:hAnsi="仿宋" w:eastAsia="仿宋" w:cs="仿宋_GB2312"/>
          <w:sz w:val="32"/>
          <w:szCs w:val="32"/>
        </w:rPr>
        <w:t>人员经费</w:t>
      </w:r>
      <w:r>
        <w:rPr>
          <w:rFonts w:ascii="仿宋" w:hAnsi="仿宋" w:eastAsia="仿宋" w:cs="仿宋_GB2312"/>
          <w:sz w:val="32"/>
          <w:szCs w:val="32"/>
        </w:rPr>
        <w:t>411.77</w:t>
      </w:r>
      <w:r>
        <w:rPr>
          <w:rFonts w:hint="eastAsia" w:ascii="仿宋" w:hAnsi="仿宋" w:eastAsia="仿宋" w:cs="仿宋_GB2312"/>
          <w:sz w:val="32"/>
          <w:szCs w:val="32"/>
        </w:rPr>
        <w:t>万元，主要包括：基本工资、津贴补贴、奖金、机关事业单位基本养老保险缴费、职业年金缴费、其他社会保障缴费、住房公积金、抚恤金、生活补助、医疗费补助、奖励金等。</w:t>
      </w:r>
      <w:r>
        <w:rPr>
          <w:rFonts w:ascii="仿宋" w:hAnsi="仿宋" w:eastAsia="仿宋" w:cs="仿宋_GB2312"/>
          <w:sz w:val="32"/>
          <w:szCs w:val="32"/>
        </w:rPr>
        <w:br w:type="textWrapping"/>
      </w:r>
      <w:r>
        <w:rPr>
          <w:rFonts w:hint="eastAsia" w:ascii="仿宋" w:hAnsi="仿宋" w:eastAsia="仿宋" w:cs="仿宋_GB2312"/>
          <w:sz w:val="32"/>
          <w:szCs w:val="32"/>
        </w:rPr>
        <w:t>　　日常公用经费</w:t>
      </w:r>
      <w:r>
        <w:rPr>
          <w:rFonts w:ascii="仿宋" w:hAnsi="仿宋" w:eastAsia="仿宋" w:cs="仿宋_GB2312"/>
          <w:sz w:val="32"/>
          <w:szCs w:val="32"/>
        </w:rPr>
        <w:t>46.08</w:t>
      </w:r>
      <w:r>
        <w:rPr>
          <w:rFonts w:hint="eastAsia" w:ascii="仿宋" w:hAnsi="仿宋" w:eastAsia="仿宋" w:cs="仿宋_GB2312"/>
          <w:sz w:val="32"/>
          <w:szCs w:val="32"/>
        </w:rPr>
        <w:t>万元，主要包括：办公费、水费、电费、邮电费、物业管理费、差旅费、维修（护）费、培训费、劳务费、公务用车运行维护费等。</w:t>
      </w:r>
    </w:p>
    <w:p>
      <w:pPr>
        <w:spacing w:line="600" w:lineRule="exact"/>
        <w:ind w:firstLine="640"/>
        <w:outlineLvl w:val="1"/>
        <w:rPr>
          <w:rStyle w:val="17"/>
          <w:rFonts w:ascii="黑体" w:hAnsi="黑体" w:eastAsia="黑体"/>
          <w:b w:val="0"/>
        </w:rPr>
      </w:pPr>
      <w:bookmarkStart w:id="42" w:name="_Toc15396609"/>
      <w:bookmarkStart w:id="43" w:name="_Toc15377215"/>
      <w:r>
        <w:rPr>
          <w:rFonts w:hint="eastAsia" w:ascii="黑体" w:hAns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年“三公”经费财政拨款支出决算为</w:t>
      </w:r>
      <w:r>
        <w:rPr>
          <w:rFonts w:ascii="仿宋" w:hAnsi="仿宋" w:eastAsia="仿宋"/>
          <w:sz w:val="32"/>
          <w:szCs w:val="32"/>
        </w:rPr>
        <w:t>11.92</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11.92</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ascii="仿宋" w:hAnsi="仿宋" w:eastAsia="仿宋"/>
          <w:color w:val="000000"/>
          <w:sz w:val="32"/>
          <w:szCs w:val="32"/>
        </w:rPr>
        <w:object>
          <v:shape id="_x0000_i1031" o:spt="75" type="#_x0000_t75" style="height:144pt;width:216.75pt;" o:ole="t" filled="f" o:preferrelative="t" stroked="f" coordsize="21600,21600">
            <v:path/>
            <v:fill on="f" focussize="0,0"/>
            <v:stroke on="f" joinstyle="miter"/>
            <v:imagedata r:id="rId19" o:title=""/>
            <o:lock v:ext="edit" aspectratio="t"/>
            <w10:wrap type="none"/>
            <w10:anchorlock/>
          </v:shape>
          <o:OLEObject Type="Embed" ProgID="MSGraph.Chart.8" ShapeID="_x0000_i1031" DrawAspect="Content" ObjectID="_1468075731" r:id="rId18">
            <o:LockedField>false</o:LockedField>
          </o:OLEObject>
        </w:objec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ascii="仿宋" w:hAnsi="仿宋" w:eastAsia="仿宋"/>
          <w:color w:val="000000"/>
          <w:sz w:val="32"/>
          <w:szCs w:val="32"/>
        </w:rPr>
        <w:t>0</w:t>
      </w:r>
      <w:r>
        <w:rPr>
          <w:rFonts w:hint="eastAsia" w:ascii="仿宋" w:hAnsi="仿宋" w:eastAsia="仿宋"/>
          <w:color w:val="000000"/>
          <w:sz w:val="32"/>
          <w:szCs w:val="32"/>
        </w:rPr>
        <w:t>万元，</w:t>
      </w:r>
      <w:r>
        <w:rPr>
          <w:rFonts w:hint="eastAsia" w:ascii="仿宋" w:hAnsi="仿宋" w:eastAsia="仿宋"/>
          <w:sz w:val="32"/>
          <w:szCs w:val="32"/>
        </w:rPr>
        <w:t>完成预算</w:t>
      </w:r>
      <w:r>
        <w:rPr>
          <w:rFonts w:ascii="仿宋" w:hAnsi="仿宋" w:eastAsia="仿宋"/>
          <w:sz w:val="32"/>
          <w:szCs w:val="32"/>
        </w:rPr>
        <w:t>100%</w:t>
      </w:r>
      <w:r>
        <w:rPr>
          <w:rFonts w:hint="eastAsia" w:ascii="仿宋" w:hAnsi="仿宋" w:eastAsia="仿宋"/>
          <w:sz w:val="32"/>
          <w:szCs w:val="32"/>
        </w:rPr>
        <w:t>。</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ascii="仿宋" w:hAnsi="仿宋" w:eastAsia="仿宋"/>
          <w:color w:val="000000"/>
          <w:sz w:val="32"/>
          <w:szCs w:val="32"/>
        </w:rPr>
        <w:t>11.92</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sz w:val="32"/>
          <w:szCs w:val="32"/>
        </w:rPr>
        <w:t>完成预算</w:t>
      </w:r>
      <w:r>
        <w:rPr>
          <w:rFonts w:ascii="仿宋" w:hAnsi="仿宋" w:eastAsia="仿宋"/>
          <w:sz w:val="32"/>
          <w:szCs w:val="32"/>
        </w:rPr>
        <w:t>100%</w:t>
      </w:r>
      <w:r>
        <w:rPr>
          <w:rFonts w:hint="eastAsia" w:ascii="仿宋" w:hAnsi="仿宋" w:eastAsia="仿宋"/>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2018</w:t>
      </w:r>
      <w:r>
        <w:rPr>
          <w:rFonts w:hint="eastAsia" w:ascii="仿宋" w:hAnsi="仿宋" w:eastAsia="仿宋"/>
          <w:color w:val="000000"/>
          <w:sz w:val="32"/>
          <w:szCs w:val="32"/>
        </w:rPr>
        <w:t>年减少</w:t>
      </w:r>
      <w:r>
        <w:rPr>
          <w:rFonts w:ascii="仿宋" w:hAnsi="仿宋" w:eastAsia="仿宋"/>
          <w:color w:val="000000"/>
          <w:sz w:val="32"/>
          <w:szCs w:val="32"/>
        </w:rPr>
        <w:t>6.94</w:t>
      </w:r>
      <w:r>
        <w:rPr>
          <w:rFonts w:hint="eastAsia" w:ascii="仿宋" w:hAnsi="仿宋" w:eastAsia="仿宋"/>
          <w:color w:val="000000"/>
          <w:sz w:val="32"/>
          <w:szCs w:val="32"/>
        </w:rPr>
        <w:t>万元，下降</w:t>
      </w:r>
      <w:r>
        <w:rPr>
          <w:rFonts w:ascii="仿宋" w:hAnsi="仿宋" w:eastAsia="仿宋"/>
          <w:color w:val="000000"/>
          <w:sz w:val="32"/>
          <w:szCs w:val="32"/>
        </w:rPr>
        <w:t>36.79%</w:t>
      </w:r>
      <w:r>
        <w:rPr>
          <w:rFonts w:hint="eastAsia" w:ascii="仿宋" w:hAnsi="仿宋" w:eastAsia="仿宋"/>
          <w:color w:val="000000"/>
          <w:sz w:val="32"/>
          <w:szCs w:val="32"/>
        </w:rPr>
        <w:t>。主要原因是压缩三公经费。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ascii="仿宋" w:hAnsi="仿宋" w:eastAsia="仿宋"/>
          <w:color w:val="000000"/>
          <w:sz w:val="32"/>
          <w:szCs w:val="32"/>
        </w:rPr>
        <w:t>0</w:t>
      </w:r>
      <w:r>
        <w:rPr>
          <w:rFonts w:hint="eastAsia" w:ascii="仿宋" w:hAnsi="仿宋" w:eastAsia="仿宋"/>
          <w:color w:val="000000"/>
          <w:sz w:val="32"/>
          <w:szCs w:val="32"/>
        </w:rPr>
        <w:t>万元。全年按规定更新购置公务用车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元。截至</w:t>
      </w:r>
      <w:r>
        <w:rPr>
          <w:rFonts w:ascii="仿宋" w:hAnsi="仿宋" w:eastAsia="仿宋"/>
          <w:color w:val="000000"/>
          <w:sz w:val="32"/>
          <w:szCs w:val="32"/>
        </w:rPr>
        <w:t>2019</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szCs w:val="32"/>
        </w:rPr>
        <w:t>6</w:t>
      </w:r>
      <w:r>
        <w:rPr>
          <w:rFonts w:hint="eastAsia" w:ascii="仿宋" w:hAnsi="仿宋" w:eastAsia="仿宋"/>
          <w:color w:val="000000"/>
          <w:sz w:val="32"/>
          <w:szCs w:val="32"/>
        </w:rPr>
        <w:t>辆，其中：主要领导干部用车</w:t>
      </w:r>
      <w:r>
        <w:rPr>
          <w:rFonts w:ascii="仿宋" w:hAnsi="仿宋" w:eastAsia="仿宋"/>
          <w:color w:val="000000"/>
          <w:sz w:val="32"/>
          <w:szCs w:val="32"/>
        </w:rPr>
        <w:t>0</w:t>
      </w:r>
      <w:r>
        <w:rPr>
          <w:rFonts w:hint="eastAsia" w:ascii="仿宋" w:hAnsi="仿宋" w:eastAsia="仿宋"/>
          <w:color w:val="000000"/>
          <w:sz w:val="32"/>
          <w:szCs w:val="32"/>
        </w:rPr>
        <w:t>辆、机要通信用车</w:t>
      </w:r>
      <w:r>
        <w:rPr>
          <w:rFonts w:ascii="仿宋" w:hAnsi="仿宋" w:eastAsia="仿宋"/>
          <w:color w:val="000000"/>
          <w:sz w:val="32"/>
          <w:szCs w:val="32"/>
        </w:rPr>
        <w:t>0</w:t>
      </w:r>
      <w:r>
        <w:rPr>
          <w:rFonts w:hint="eastAsia" w:ascii="仿宋" w:hAnsi="仿宋" w:eastAsia="仿宋"/>
          <w:color w:val="000000"/>
          <w:sz w:val="32"/>
          <w:szCs w:val="32"/>
        </w:rPr>
        <w:t>辆、应急保障用车</w:t>
      </w:r>
      <w:r>
        <w:rPr>
          <w:rFonts w:ascii="仿宋" w:hAnsi="仿宋" w:eastAsia="仿宋"/>
          <w:color w:val="000000"/>
          <w:sz w:val="32"/>
          <w:szCs w:val="32"/>
        </w:rPr>
        <w:t>0</w:t>
      </w:r>
      <w:r>
        <w:rPr>
          <w:rFonts w:hint="eastAsia" w:ascii="仿宋" w:hAnsi="仿宋" w:eastAsia="仿宋"/>
          <w:color w:val="000000"/>
          <w:sz w:val="32"/>
          <w:szCs w:val="32"/>
        </w:rPr>
        <w:t>辆、</w:t>
      </w:r>
      <w:r>
        <w:rPr>
          <w:rFonts w:ascii="仿宋" w:hAnsi="仿宋" w:eastAsia="仿宋"/>
          <w:color w:val="000000"/>
          <w:sz w:val="32"/>
          <w:szCs w:val="32"/>
        </w:rPr>
        <w:t xml:space="preserve"> </w:t>
      </w:r>
      <w:r>
        <w:rPr>
          <w:rFonts w:hint="eastAsia" w:ascii="仿宋" w:hAnsi="仿宋" w:eastAsia="仿宋"/>
          <w:color w:val="000000"/>
          <w:sz w:val="32"/>
          <w:szCs w:val="32"/>
        </w:rPr>
        <w:t>执法执勤用车</w:t>
      </w:r>
      <w:r>
        <w:rPr>
          <w:rFonts w:ascii="仿宋" w:hAnsi="仿宋" w:eastAsia="仿宋"/>
          <w:color w:val="000000"/>
          <w:sz w:val="32"/>
          <w:szCs w:val="32"/>
        </w:rPr>
        <w:t>2</w:t>
      </w:r>
      <w:r>
        <w:rPr>
          <w:rFonts w:hint="eastAsia" w:ascii="仿宋" w:hAnsi="仿宋" w:eastAsia="仿宋"/>
          <w:color w:val="000000"/>
          <w:sz w:val="32"/>
          <w:szCs w:val="32"/>
        </w:rPr>
        <w:t>辆、其他用车</w:t>
      </w:r>
      <w:r>
        <w:rPr>
          <w:rFonts w:ascii="仿宋" w:hAnsi="仿宋" w:eastAsia="仿宋"/>
          <w:color w:val="000000"/>
          <w:sz w:val="32"/>
          <w:szCs w:val="32"/>
        </w:rPr>
        <w:t>4</w:t>
      </w:r>
      <w:r>
        <w:rPr>
          <w:rFonts w:hint="eastAsia" w:ascii="仿宋" w:hAnsi="仿宋" w:eastAsia="仿宋"/>
          <w:color w:val="000000"/>
          <w:sz w:val="32"/>
          <w:szCs w:val="32"/>
        </w:rPr>
        <w:t>辆。</w:t>
      </w:r>
    </w:p>
    <w:p>
      <w:pPr>
        <w:spacing w:line="360" w:lineRule="auto"/>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ascii="仿宋" w:hAnsi="仿宋" w:eastAsia="仿宋"/>
          <w:color w:val="000000"/>
          <w:sz w:val="32"/>
          <w:szCs w:val="32"/>
        </w:rPr>
        <w:t>11.92</w:t>
      </w:r>
      <w:r>
        <w:rPr>
          <w:rFonts w:hint="eastAsia" w:ascii="仿宋" w:hAnsi="仿宋" w:eastAsia="仿宋"/>
          <w:color w:val="000000"/>
          <w:sz w:val="32"/>
          <w:szCs w:val="32"/>
        </w:rPr>
        <w:t>万元。</w:t>
      </w:r>
      <w:r>
        <w:rPr>
          <w:rFonts w:hint="eastAsia" w:ascii="仿宋" w:hAnsi="仿宋" w:eastAsia="仿宋" w:cs="仿宋_GB2312"/>
          <w:sz w:val="32"/>
          <w:szCs w:val="32"/>
        </w:rPr>
        <w:t>主要用于保障交通建设项目的实施和检查、交通运输安全检查工作、交通日常事务等所需的公务用车燃料费、维修费、过路过桥费、保险费等支出。</w:t>
      </w:r>
    </w:p>
    <w:p>
      <w:pPr>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ascii="仿宋" w:hAnsi="仿宋" w:eastAsia="仿宋"/>
          <w:color w:val="000000"/>
          <w:sz w:val="32"/>
          <w:szCs w:val="32"/>
        </w:rPr>
        <w:t>0</w:t>
      </w:r>
      <w:r>
        <w:rPr>
          <w:rFonts w:hint="eastAsia" w:ascii="仿宋" w:hAnsi="仿宋" w:eastAsia="仿宋"/>
          <w:color w:val="000000"/>
          <w:sz w:val="32"/>
          <w:szCs w:val="32"/>
        </w:rPr>
        <w:t>万元，</w:t>
      </w:r>
      <w:r>
        <w:rPr>
          <w:rFonts w:hint="eastAsia" w:ascii="仿宋" w:hAnsi="仿宋" w:eastAsia="仿宋" w:cs="仿宋_GB2312"/>
          <w:sz w:val="32"/>
          <w:szCs w:val="32"/>
        </w:rPr>
        <w:t>完成预算</w:t>
      </w:r>
      <w:r>
        <w:rPr>
          <w:rFonts w:ascii="仿宋" w:hAnsi="仿宋" w:eastAsia="仿宋" w:cs="仿宋_GB2312"/>
          <w:sz w:val="32"/>
          <w:szCs w:val="32"/>
        </w:rPr>
        <w:t>100%</w:t>
      </w:r>
      <w:r>
        <w:rPr>
          <w:rFonts w:hint="eastAsia" w:ascii="仿宋" w:hAnsi="仿宋" w:eastAsia="仿宋" w:cs="仿宋_GB2312"/>
          <w:sz w:val="32"/>
          <w:szCs w:val="32"/>
        </w:rPr>
        <w:t>。公</w:t>
      </w:r>
      <w:r>
        <w:rPr>
          <w:rFonts w:hint="eastAsia" w:ascii="仿宋" w:hAnsi="仿宋" w:eastAsia="仿宋"/>
          <w:color w:val="000000"/>
          <w:sz w:val="32"/>
          <w:szCs w:val="32"/>
        </w:rPr>
        <w:t>务接待费支出决算比</w:t>
      </w:r>
      <w:r>
        <w:rPr>
          <w:rFonts w:ascii="仿宋" w:hAnsi="仿宋" w:eastAsia="仿宋"/>
          <w:color w:val="000000"/>
          <w:sz w:val="32"/>
          <w:szCs w:val="32"/>
        </w:rPr>
        <w:t>2018</w:t>
      </w:r>
      <w:r>
        <w:rPr>
          <w:rFonts w:hint="eastAsia" w:ascii="仿宋" w:hAnsi="仿宋" w:eastAsia="仿宋"/>
          <w:color w:val="000000"/>
          <w:sz w:val="32"/>
          <w:szCs w:val="32"/>
        </w:rPr>
        <w:t>年增加</w:t>
      </w:r>
      <w:r>
        <w:rPr>
          <w:rFonts w:ascii="仿宋" w:hAnsi="仿宋" w:eastAsia="仿宋"/>
          <w:color w:val="000000"/>
          <w:sz w:val="32"/>
          <w:szCs w:val="32"/>
        </w:rPr>
        <w:t>/</w:t>
      </w:r>
      <w:r>
        <w:rPr>
          <w:rFonts w:hint="eastAsia" w:ascii="仿宋" w:hAnsi="仿宋" w:eastAsia="仿宋"/>
          <w:color w:val="000000"/>
          <w:sz w:val="32"/>
          <w:szCs w:val="32"/>
        </w:rPr>
        <w:t>减少</w:t>
      </w:r>
      <w:r>
        <w:rPr>
          <w:rFonts w:ascii="仿宋" w:hAnsi="仿宋" w:eastAsia="仿宋"/>
          <w:color w:val="000000"/>
          <w:sz w:val="32"/>
          <w:szCs w:val="32"/>
        </w:rPr>
        <w:t>0</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0%</w:t>
      </w:r>
      <w:r>
        <w:rPr>
          <w:rFonts w:hint="eastAsia" w:ascii="仿宋" w:hAnsi="仿宋" w:eastAsia="仿宋"/>
          <w:color w:val="000000"/>
          <w:sz w:val="32"/>
          <w:szCs w:val="32"/>
        </w:rPr>
        <w:t>。</w:t>
      </w:r>
    </w:p>
    <w:p>
      <w:pPr>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0</w:t>
      </w:r>
      <w:r>
        <w:rPr>
          <w:rFonts w:hint="eastAsia" w:ascii="仿宋" w:hAnsi="仿宋" w:eastAsia="仿宋"/>
          <w:color w:val="000000"/>
          <w:sz w:val="32"/>
          <w:szCs w:val="32"/>
        </w:rPr>
        <w:t>万元。</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 w:hAnsi="仿宋" w:eastAsia="仿宋"/>
          <w:color w:val="000000"/>
          <w:sz w:val="32"/>
          <w:szCs w:val="32"/>
        </w:rPr>
        <w:t>万元。</w:t>
      </w:r>
      <w:bookmarkStart w:id="46" w:name="_Toc15396610"/>
      <w:bookmarkStart w:id="47" w:name="_Toc15377218"/>
    </w:p>
    <w:p>
      <w:pPr>
        <w:ind w:firstLine="640"/>
        <w:outlineLvl w:val="1"/>
        <w:rPr>
          <w:rStyle w:val="17"/>
          <w:rFonts w:ascii="黑体" w:hAnsi="黑体" w:eastAsia="黑体"/>
        </w:rPr>
      </w:pPr>
      <w:r>
        <w:rPr>
          <w:rFonts w:hint="eastAsia" w:ascii="黑体" w:hAns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年政府性基金预算拨款支出</w:t>
      </w:r>
      <w:r>
        <w:rPr>
          <w:rFonts w:ascii="仿宋" w:hAnsi="仿宋" w:eastAsia="仿宋"/>
          <w:color w:val="000000"/>
          <w:sz w:val="32"/>
          <w:szCs w:val="32"/>
        </w:rPr>
        <w:t>0</w:t>
      </w:r>
      <w:r>
        <w:rPr>
          <w:rFonts w:hint="eastAsia" w:ascii="仿宋" w:hAnsi="仿宋" w:eastAsia="仿宋"/>
          <w:color w:val="000000"/>
          <w:sz w:val="32"/>
          <w:szCs w:val="32"/>
        </w:rPr>
        <w:t>元。</w:t>
      </w:r>
    </w:p>
    <w:p>
      <w:pPr>
        <w:numPr>
          <w:ilvl w:val="0"/>
          <w:numId w:val="2"/>
        </w:numPr>
        <w:ind w:firstLine="640"/>
        <w:outlineLvl w:val="1"/>
        <w:rPr>
          <w:rStyle w:val="17"/>
          <w:rFonts w:ascii="黑体" w:hAnsi="黑体" w:eastAsia="黑体"/>
          <w:b w:val="0"/>
        </w:rPr>
      </w:pPr>
      <w:bookmarkStart w:id="48" w:name="_Toc15396611"/>
      <w:bookmarkStart w:id="49" w:name="_Toc15377219"/>
      <w:r>
        <w:rPr>
          <w:rStyle w:val="17"/>
          <w:rFonts w:hint="eastAsia" w:ascii="黑体" w:hAnsi="黑体" w:eastAsia="黑体"/>
          <w:b w:val="0"/>
        </w:rPr>
        <w:t>国有资本经营预算支出决算情况说明</w:t>
      </w:r>
      <w:bookmarkEnd w:id="48"/>
      <w:bookmarkEnd w:id="49"/>
    </w:p>
    <w:p>
      <w:pPr>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年国有资本经营预算拨款支出</w:t>
      </w:r>
      <w:r>
        <w:rPr>
          <w:rFonts w:ascii="仿宋" w:hAnsi="仿宋" w:eastAsia="仿宋"/>
          <w:color w:val="000000"/>
          <w:sz w:val="32"/>
          <w:szCs w:val="32"/>
        </w:rPr>
        <w:t>0</w:t>
      </w:r>
      <w:r>
        <w:rPr>
          <w:rFonts w:hint="eastAsia" w:ascii="仿宋" w:hAnsi="仿宋" w:eastAsia="仿宋"/>
          <w:color w:val="000000"/>
          <w:sz w:val="32"/>
          <w:szCs w:val="32"/>
        </w:rPr>
        <w:t>元。</w:t>
      </w:r>
    </w:p>
    <w:p>
      <w:pPr>
        <w:ind w:firstLine="800" w:firstLineChars="250"/>
        <w:outlineLvl w:val="1"/>
        <w:rPr>
          <w:rStyle w:val="1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50"/>
      <w:bookmarkEnd w:id="51"/>
    </w:p>
    <w:p>
      <w:pPr>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年，壤塘县交通运输局机关运行经费支出</w:t>
      </w:r>
      <w:r>
        <w:rPr>
          <w:rFonts w:ascii="仿宋" w:hAnsi="仿宋" w:eastAsia="仿宋"/>
          <w:color w:val="000000"/>
          <w:sz w:val="32"/>
          <w:szCs w:val="32"/>
        </w:rPr>
        <w:t>46.08</w:t>
      </w:r>
      <w:r>
        <w:rPr>
          <w:rFonts w:hint="eastAsia" w:ascii="仿宋" w:hAnsi="仿宋" w:eastAsia="仿宋"/>
          <w:color w:val="000000"/>
          <w:sz w:val="32"/>
          <w:szCs w:val="32"/>
        </w:rPr>
        <w:t>万元，比</w:t>
      </w:r>
      <w:r>
        <w:rPr>
          <w:rFonts w:ascii="仿宋" w:hAnsi="仿宋" w:eastAsia="仿宋"/>
          <w:color w:val="000000"/>
          <w:sz w:val="32"/>
          <w:szCs w:val="32"/>
        </w:rPr>
        <w:t>2018</w:t>
      </w:r>
      <w:r>
        <w:rPr>
          <w:rFonts w:hint="eastAsia" w:ascii="仿宋" w:hAnsi="仿宋" w:eastAsia="仿宋"/>
          <w:color w:val="000000"/>
          <w:sz w:val="32"/>
          <w:szCs w:val="32"/>
        </w:rPr>
        <w:t>年减少</w:t>
      </w:r>
      <w:r>
        <w:rPr>
          <w:rFonts w:ascii="仿宋" w:hAnsi="仿宋" w:eastAsia="仿宋"/>
          <w:color w:val="000000"/>
          <w:sz w:val="32"/>
          <w:szCs w:val="32"/>
        </w:rPr>
        <w:t>22.2</w:t>
      </w:r>
      <w:r>
        <w:rPr>
          <w:rFonts w:hint="eastAsia" w:ascii="仿宋" w:hAnsi="仿宋" w:eastAsia="仿宋"/>
          <w:color w:val="000000"/>
          <w:sz w:val="32"/>
          <w:szCs w:val="32"/>
        </w:rPr>
        <w:t>万元，下降</w:t>
      </w:r>
      <w:r>
        <w:rPr>
          <w:rFonts w:ascii="仿宋" w:hAnsi="仿宋" w:eastAsia="仿宋"/>
          <w:color w:val="000000"/>
          <w:sz w:val="32"/>
          <w:szCs w:val="32"/>
        </w:rPr>
        <w:t>32.51%</w:t>
      </w:r>
      <w:r>
        <w:rPr>
          <w:rFonts w:hint="eastAsia" w:ascii="仿宋" w:hAnsi="仿宋" w:eastAsia="仿宋"/>
          <w:color w:val="000000"/>
          <w:sz w:val="32"/>
          <w:szCs w:val="32"/>
        </w:rPr>
        <w:t>，主要原因为压缩经费支出。</w:t>
      </w:r>
    </w:p>
    <w:p>
      <w:pPr>
        <w:autoSpaceDE w:val="0"/>
        <w:autoSpaceDN w:val="0"/>
        <w:adjustRightInd w:val="0"/>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年，政府采购支出总额</w:t>
      </w:r>
      <w:r>
        <w:rPr>
          <w:rFonts w:ascii="仿宋" w:hAnsi="仿宋" w:eastAsia="仿宋"/>
          <w:color w:val="000000"/>
          <w:sz w:val="32"/>
          <w:szCs w:val="32"/>
        </w:rPr>
        <w:t>0</w:t>
      </w:r>
      <w:r>
        <w:rPr>
          <w:rFonts w:hint="eastAsia" w:ascii="仿宋" w:hAnsi="仿宋" w:eastAsia="仿宋"/>
          <w:color w:val="000000"/>
          <w:sz w:val="32"/>
          <w:szCs w:val="32"/>
        </w:rPr>
        <w:t>万元。</w:t>
      </w:r>
    </w:p>
    <w:p>
      <w:pPr>
        <w:autoSpaceDE w:val="0"/>
        <w:autoSpaceDN w:val="0"/>
        <w:adjustRightInd w:val="0"/>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2019</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日，我局共有车辆</w:t>
      </w:r>
      <w:r>
        <w:rPr>
          <w:rFonts w:ascii="仿宋" w:hAnsi="仿宋" w:eastAsia="仿宋"/>
          <w:color w:val="000000"/>
          <w:sz w:val="32"/>
          <w:szCs w:val="32"/>
        </w:rPr>
        <w:t>6</w:t>
      </w:r>
      <w:r>
        <w:rPr>
          <w:rFonts w:hint="eastAsia" w:ascii="仿宋" w:hAnsi="仿宋" w:eastAsia="仿宋"/>
          <w:color w:val="000000"/>
          <w:sz w:val="32"/>
          <w:szCs w:val="32"/>
        </w:rPr>
        <w:t>辆，其中：主要领导干部用车</w:t>
      </w:r>
      <w:r>
        <w:rPr>
          <w:rFonts w:ascii="仿宋" w:hAnsi="仿宋" w:eastAsia="仿宋"/>
          <w:color w:val="000000"/>
          <w:sz w:val="32"/>
          <w:szCs w:val="32"/>
        </w:rPr>
        <w:t>0</w:t>
      </w:r>
      <w:r>
        <w:rPr>
          <w:rFonts w:hint="eastAsia" w:ascii="仿宋" w:hAnsi="仿宋" w:eastAsia="仿宋"/>
          <w:color w:val="000000"/>
          <w:sz w:val="32"/>
          <w:szCs w:val="32"/>
        </w:rPr>
        <w:t>辆、机要通信用车</w:t>
      </w:r>
      <w:r>
        <w:rPr>
          <w:rFonts w:ascii="仿宋" w:hAnsi="仿宋" w:eastAsia="仿宋"/>
          <w:color w:val="000000"/>
          <w:sz w:val="32"/>
          <w:szCs w:val="32"/>
        </w:rPr>
        <w:t>0</w:t>
      </w:r>
      <w:r>
        <w:rPr>
          <w:rFonts w:hint="eastAsia" w:ascii="仿宋" w:hAnsi="仿宋" w:eastAsia="仿宋"/>
          <w:color w:val="000000"/>
          <w:sz w:val="32"/>
          <w:szCs w:val="32"/>
        </w:rPr>
        <w:t>辆、应急保障用车</w:t>
      </w:r>
      <w:r>
        <w:rPr>
          <w:rFonts w:ascii="仿宋" w:hAnsi="仿宋" w:eastAsia="仿宋"/>
          <w:color w:val="000000"/>
          <w:sz w:val="32"/>
          <w:szCs w:val="32"/>
        </w:rPr>
        <w:t>0</w:t>
      </w:r>
      <w:r>
        <w:rPr>
          <w:rFonts w:hint="eastAsia" w:ascii="仿宋" w:hAnsi="仿宋" w:eastAsia="仿宋"/>
          <w:color w:val="000000"/>
          <w:sz w:val="32"/>
          <w:szCs w:val="32"/>
        </w:rPr>
        <w:t>辆、</w:t>
      </w:r>
    </w:p>
    <w:p>
      <w:pPr>
        <w:autoSpaceDE w:val="0"/>
        <w:autoSpaceDN w:val="0"/>
        <w:adjustRightInd w:val="0"/>
        <w:jc w:val="left"/>
        <w:rPr>
          <w:rFonts w:ascii="仿宋" w:hAnsi="仿宋" w:eastAsia="仿宋"/>
          <w:color w:val="000000"/>
          <w:sz w:val="32"/>
          <w:szCs w:val="32"/>
        </w:rPr>
      </w:pPr>
      <w:r>
        <w:rPr>
          <w:rFonts w:hint="eastAsia" w:ascii="仿宋" w:hAnsi="仿宋" w:eastAsia="仿宋"/>
          <w:color w:val="000000"/>
          <w:sz w:val="32"/>
          <w:szCs w:val="32"/>
        </w:rPr>
        <w:t>执法执勤用车</w:t>
      </w:r>
      <w:r>
        <w:rPr>
          <w:rFonts w:ascii="仿宋" w:hAnsi="仿宋" w:eastAsia="仿宋"/>
          <w:color w:val="000000"/>
          <w:sz w:val="32"/>
          <w:szCs w:val="32"/>
        </w:rPr>
        <w:t>2</w:t>
      </w:r>
      <w:r>
        <w:rPr>
          <w:rFonts w:hint="eastAsia" w:ascii="仿宋" w:hAnsi="仿宋" w:eastAsia="仿宋"/>
          <w:color w:val="000000"/>
          <w:sz w:val="32"/>
          <w:szCs w:val="32"/>
        </w:rPr>
        <w:t>辆、其他用车</w:t>
      </w:r>
      <w:r>
        <w:rPr>
          <w:rFonts w:ascii="仿宋" w:hAnsi="仿宋" w:eastAsia="仿宋"/>
          <w:color w:val="000000"/>
          <w:sz w:val="32"/>
          <w:szCs w:val="32"/>
        </w:rPr>
        <w:t>4</w:t>
      </w:r>
      <w:r>
        <w:rPr>
          <w:rFonts w:hint="eastAsia" w:ascii="仿宋" w:hAnsi="仿宋" w:eastAsia="仿宋"/>
          <w:color w:val="000000"/>
          <w:sz w:val="32"/>
          <w:szCs w:val="32"/>
        </w:rPr>
        <w:t>辆。其他用车主要是用于应急抢险、道路保畅、建设项目的管理检查。</w:t>
      </w:r>
    </w:p>
    <w:p>
      <w:pPr>
        <w:autoSpaceDE w:val="0"/>
        <w:autoSpaceDN w:val="0"/>
        <w:adjustRightInd w:val="0"/>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根据预算绩效管理要求，本部门（单位）在年初预算编制阶段，组织对</w:t>
      </w:r>
      <w:r>
        <w:rPr>
          <w:rFonts w:ascii="仿宋" w:hAnsi="仿宋" w:eastAsia="仿宋" w:cs="仿宋_GB2312"/>
          <w:sz w:val="32"/>
          <w:szCs w:val="32"/>
        </w:rPr>
        <w:t>2019</w:t>
      </w:r>
      <w:r>
        <w:rPr>
          <w:rFonts w:hint="eastAsia" w:ascii="仿宋" w:hAnsi="仿宋" w:eastAsia="仿宋" w:cs="仿宋_GB2312"/>
          <w:sz w:val="32"/>
          <w:szCs w:val="32"/>
        </w:rPr>
        <w:t>年县级养护费（项目名称）开展了预算事前绩效评估，对</w:t>
      </w:r>
      <w:r>
        <w:rPr>
          <w:rFonts w:ascii="仿宋" w:hAnsi="仿宋" w:eastAsia="仿宋" w:cs="仿宋_GB2312"/>
          <w:sz w:val="32"/>
          <w:szCs w:val="32"/>
        </w:rPr>
        <w:t>1</w:t>
      </w:r>
      <w:r>
        <w:rPr>
          <w:rFonts w:hint="eastAsia" w:ascii="仿宋" w:hAnsi="仿宋" w:eastAsia="仿宋" w:cs="仿宋_GB2312"/>
          <w:sz w:val="32"/>
          <w:szCs w:val="32"/>
        </w:rPr>
        <w:t>个项目编制了绩效目标，预算执行过程中，选取</w:t>
      </w:r>
      <w:r>
        <w:rPr>
          <w:rFonts w:ascii="仿宋" w:hAnsi="仿宋" w:eastAsia="仿宋" w:cs="仿宋_GB2312"/>
          <w:sz w:val="32"/>
          <w:szCs w:val="32"/>
        </w:rPr>
        <w:t>0</w:t>
      </w:r>
      <w:r>
        <w:rPr>
          <w:rFonts w:hint="eastAsia" w:ascii="仿宋" w:hAnsi="仿宋" w:eastAsia="仿宋" w:cs="仿宋_GB2312"/>
          <w:sz w:val="32"/>
          <w:szCs w:val="32"/>
        </w:rPr>
        <w:t>个项目开展绩效监控，年终执行完毕后，对</w:t>
      </w:r>
      <w:r>
        <w:rPr>
          <w:rFonts w:ascii="仿宋" w:hAnsi="仿宋" w:eastAsia="仿宋" w:cs="仿宋_GB2312"/>
          <w:sz w:val="32"/>
          <w:szCs w:val="32"/>
        </w:rPr>
        <w:t>0</w:t>
      </w:r>
      <w:r>
        <w:rPr>
          <w:rFonts w:hint="eastAsia" w:ascii="仿宋" w:hAnsi="仿宋" w:eastAsia="仿宋" w:cs="仿宋_GB2312"/>
          <w:sz w:val="32"/>
          <w:szCs w:val="32"/>
        </w:rPr>
        <w:t>个项目开展了绩效目标完成情况自评。</w:t>
      </w:r>
    </w:p>
    <w:p>
      <w:pPr>
        <w:adjustRightInd w:val="0"/>
        <w:snapToGrid w:val="0"/>
        <w:spacing w:line="360" w:lineRule="auto"/>
        <w:ind w:firstLine="720"/>
        <w:rPr>
          <w:rFonts w:ascii="仿宋" w:hAnsi="仿宋" w:eastAsia="仿宋" w:cs="仿宋"/>
          <w:color w:val="000000"/>
          <w:kern w:val="0"/>
          <w:sz w:val="32"/>
          <w:szCs w:val="32"/>
        </w:rPr>
      </w:pPr>
      <w:r>
        <w:rPr>
          <w:rFonts w:hint="eastAsia" w:ascii="仿宋" w:hAnsi="仿宋" w:eastAsia="仿宋" w:cs="仿宋"/>
          <w:color w:val="000000"/>
          <w:kern w:val="0"/>
          <w:sz w:val="32"/>
          <w:szCs w:val="32"/>
        </w:rPr>
        <w:t>本部门按要求对</w:t>
      </w:r>
      <w:r>
        <w:rPr>
          <w:rFonts w:ascii="仿宋" w:hAnsi="仿宋" w:eastAsia="仿宋" w:cs="仿宋"/>
          <w:color w:val="000000"/>
          <w:kern w:val="0"/>
          <w:sz w:val="32"/>
          <w:szCs w:val="32"/>
        </w:rPr>
        <w:t>2019</w:t>
      </w:r>
      <w:r>
        <w:rPr>
          <w:rFonts w:hint="eastAsia" w:ascii="仿宋" w:hAnsi="仿宋" w:eastAsia="仿宋" w:cs="仿宋"/>
          <w:color w:val="000000"/>
          <w:kern w:val="0"/>
          <w:sz w:val="32"/>
          <w:szCs w:val="32"/>
        </w:rPr>
        <w:t>年部门整体支出开展绩效自评，从评价情况来看按照财政部门相关要求，规范、完整的进行预决算，并按编制内容实施。</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2019</w:t>
      </w:r>
      <w:r>
        <w:rPr>
          <w:rFonts w:hint="eastAsia" w:ascii="仿宋" w:hAnsi="仿宋" w:eastAsia="仿宋" w:cs="仿宋_GB2312"/>
          <w:sz w:val="32"/>
          <w:szCs w:val="32"/>
        </w:rPr>
        <w:t>年部门整体支出绩效评价情况开展自评，《壤塘县交通运输局部门</w:t>
      </w:r>
      <w:r>
        <w:rPr>
          <w:rFonts w:ascii="仿宋" w:hAnsi="仿宋" w:eastAsia="仿宋" w:cs="仿宋_GB2312"/>
          <w:sz w:val="32"/>
          <w:szCs w:val="32"/>
        </w:rPr>
        <w:t>2019</w:t>
      </w:r>
      <w:r>
        <w:rPr>
          <w:rFonts w:hint="eastAsia" w:ascii="仿宋" w:hAnsi="仿宋" w:eastAsia="仿宋" w:cs="仿宋_GB2312"/>
          <w:sz w:val="32"/>
          <w:szCs w:val="32"/>
        </w:rPr>
        <w:t>年部门整体支出绩效评价报告》见附件（附件</w:t>
      </w:r>
      <w:r>
        <w:rPr>
          <w:rFonts w:ascii="仿宋" w:hAnsi="仿宋" w:eastAsia="仿宋" w:cs="仿宋_GB2312"/>
          <w:sz w:val="32"/>
          <w:szCs w:val="32"/>
        </w:rPr>
        <w:t>1</w:t>
      </w:r>
      <w:r>
        <w:rPr>
          <w:rFonts w:hint="eastAsia" w:ascii="仿宋" w:hAnsi="仿宋" w:eastAsia="仿宋"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1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1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6"/>
        <w:spacing w:line="360" w:lineRule="auto"/>
        <w:ind w:firstLine="640" w:firstLineChars="200"/>
        <w:rPr>
          <w:rFonts w:hAnsi="仿宋"/>
          <w:sz w:val="32"/>
          <w:szCs w:val="32"/>
        </w:rPr>
      </w:pPr>
      <w:bookmarkStart w:id="57" w:name="_Toc15377226"/>
      <w:r>
        <w:rPr>
          <w:rFonts w:hAnsi="仿宋"/>
          <w:sz w:val="32"/>
          <w:szCs w:val="32"/>
        </w:rPr>
        <w:t>1.</w:t>
      </w:r>
      <w:r>
        <w:rPr>
          <w:rFonts w:hint="eastAsia" w:hAnsi="仿宋"/>
          <w:sz w:val="32"/>
          <w:szCs w:val="32"/>
        </w:rPr>
        <w:t>财政拨款收入：指单位从同级财政部门取得的财政预算资金。</w:t>
      </w:r>
    </w:p>
    <w:p>
      <w:pPr>
        <w:pStyle w:val="26"/>
        <w:spacing w:line="360" w:lineRule="auto"/>
        <w:ind w:firstLine="640" w:firstLineChars="200"/>
        <w:rPr>
          <w:rFonts w:hAnsi="仿宋"/>
          <w:sz w:val="32"/>
          <w:szCs w:val="32"/>
        </w:rPr>
      </w:pPr>
      <w:r>
        <w:rPr>
          <w:rFonts w:hAnsi="仿宋"/>
          <w:sz w:val="32"/>
          <w:szCs w:val="32"/>
        </w:rPr>
        <w:t>2.</w:t>
      </w:r>
      <w:r>
        <w:rPr>
          <w:rFonts w:hint="eastAsia" w:hAnsi="仿宋"/>
          <w:sz w:val="32"/>
          <w:szCs w:val="32"/>
        </w:rPr>
        <w:t>其他收入：指单位取得的除上述收入以外的各项收入。</w:t>
      </w:r>
      <w:r>
        <w:rPr>
          <w:rFonts w:hAnsi="仿宋"/>
          <w:sz w:val="32"/>
          <w:szCs w:val="32"/>
        </w:rPr>
        <w:t xml:space="preserve"> </w:t>
      </w:r>
    </w:p>
    <w:p>
      <w:pPr>
        <w:pStyle w:val="26"/>
        <w:spacing w:line="360" w:lineRule="auto"/>
        <w:ind w:firstLine="640" w:firstLineChars="200"/>
        <w:rPr>
          <w:rFonts w:hAnsi="仿宋"/>
          <w:sz w:val="32"/>
          <w:szCs w:val="32"/>
        </w:rPr>
      </w:pPr>
      <w:r>
        <w:rPr>
          <w:rFonts w:hAnsi="仿宋"/>
          <w:sz w:val="32"/>
          <w:szCs w:val="32"/>
        </w:rPr>
        <w:t>3.</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6"/>
        <w:spacing w:line="360" w:lineRule="auto"/>
        <w:ind w:firstLine="640" w:firstLineChars="200"/>
        <w:rPr>
          <w:rFonts w:hAnsi="仿宋"/>
          <w:sz w:val="32"/>
          <w:szCs w:val="32"/>
        </w:rPr>
      </w:pPr>
      <w:r>
        <w:rPr>
          <w:rFonts w:hAnsi="仿宋"/>
          <w:sz w:val="32"/>
          <w:szCs w:val="32"/>
        </w:rPr>
        <w:t>4</w:t>
      </w:r>
      <w:r>
        <w:rPr>
          <w:rFonts w:hint="eastAsia" w:hAnsi="仿宋"/>
          <w:sz w:val="32"/>
          <w:szCs w:val="32"/>
        </w:rPr>
        <w:t>、年末结转和结余：指单位按有关规定结转到下年或以后年度继续使用的资金。</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5.</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社会保障和就业（类）行政事业单位离退休（款）</w:t>
      </w:r>
      <w:r>
        <w:rPr>
          <w:rFonts w:ascii="仿宋" w:hAnsi="仿宋" w:eastAsia="仿宋" w:cs="仿宋"/>
          <w:kern w:val="0"/>
          <w:sz w:val="32"/>
          <w:szCs w:val="32"/>
        </w:rPr>
        <w:t xml:space="preserve">  </w:t>
      </w:r>
      <w:r>
        <w:rPr>
          <w:rFonts w:hint="eastAsia" w:ascii="仿宋" w:hAnsi="仿宋" w:eastAsia="仿宋" w:cs="仿宋"/>
          <w:kern w:val="0"/>
          <w:sz w:val="32"/>
          <w:szCs w:val="32"/>
        </w:rPr>
        <w:t>机关事业单位基本养老保险缴费支出（项）</w:t>
      </w:r>
      <w:r>
        <w:rPr>
          <w:rFonts w:ascii="仿宋" w:hAnsi="仿宋" w:eastAsia="仿宋" w:cs="仿宋"/>
          <w:kern w:val="0"/>
          <w:sz w:val="32"/>
          <w:szCs w:val="32"/>
        </w:rPr>
        <w:t>:</w:t>
      </w:r>
      <w:r>
        <w:rPr>
          <w:rFonts w:hint="eastAsia" w:ascii="仿宋" w:hAnsi="仿宋" w:eastAsia="仿宋" w:cs="仿宋"/>
          <w:color w:val="000000"/>
          <w:kern w:val="0"/>
          <w:sz w:val="32"/>
          <w:szCs w:val="32"/>
        </w:rPr>
        <w:t>指机关事业单位实施养老保险制度由单位缴纳的基本养老保险费支出。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 xml:space="preserve">6. </w:t>
      </w:r>
      <w:r>
        <w:rPr>
          <w:rFonts w:hint="eastAsia" w:ascii="仿宋" w:hAnsi="仿宋" w:eastAsia="仿宋" w:cs="仿宋"/>
          <w:kern w:val="0"/>
          <w:sz w:val="32"/>
          <w:szCs w:val="32"/>
        </w:rPr>
        <w:t>社会保障和就业（类）行政事业单位离退休（款）</w:t>
      </w:r>
      <w:r>
        <w:rPr>
          <w:rFonts w:ascii="仿宋" w:hAnsi="仿宋" w:eastAsia="仿宋" w:cs="仿宋"/>
          <w:kern w:val="0"/>
          <w:sz w:val="32"/>
          <w:szCs w:val="32"/>
        </w:rPr>
        <w:t xml:space="preserve">    </w:t>
      </w:r>
      <w:r>
        <w:rPr>
          <w:rFonts w:hint="eastAsia" w:ascii="仿宋" w:hAnsi="仿宋" w:eastAsia="仿宋" w:cs="仿宋"/>
          <w:kern w:val="0"/>
          <w:sz w:val="32"/>
          <w:szCs w:val="32"/>
        </w:rPr>
        <w:t>机关事业单位职业年金缴费支出（项）</w:t>
      </w:r>
      <w:r>
        <w:rPr>
          <w:rFonts w:ascii="仿宋" w:hAnsi="仿宋" w:eastAsia="仿宋" w:cs="仿宋"/>
          <w:kern w:val="0"/>
          <w:sz w:val="32"/>
          <w:szCs w:val="32"/>
        </w:rPr>
        <w:t>:</w:t>
      </w:r>
      <w:r>
        <w:rPr>
          <w:rFonts w:hint="eastAsia" w:ascii="仿宋" w:hAnsi="仿宋" w:eastAsia="仿宋" w:cs="仿宋"/>
          <w:color w:val="000000"/>
          <w:kern w:val="0"/>
          <w:sz w:val="32"/>
          <w:szCs w:val="32"/>
        </w:rPr>
        <w:t>指机关事业单位实施养老保险制度由单位实际缴纳的职业年级的支出。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7.</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医疗健康（类）行政事业单位医疗（款）行政单位医疗（项）</w:t>
      </w:r>
      <w:r>
        <w:rPr>
          <w:rFonts w:ascii="仿宋" w:hAnsi="仿宋" w:eastAsia="仿宋" w:cs="仿宋"/>
          <w:kern w:val="0"/>
          <w:sz w:val="32"/>
          <w:szCs w:val="32"/>
        </w:rPr>
        <w:t>:</w:t>
      </w:r>
      <w:r>
        <w:rPr>
          <w:rFonts w:hint="eastAsia" w:ascii="仿宋" w:hAnsi="仿宋" w:eastAsia="仿宋" w:cs="仿宋"/>
          <w:color w:val="000000"/>
          <w:kern w:val="0"/>
          <w:sz w:val="32"/>
          <w:szCs w:val="32"/>
        </w:rPr>
        <w:t>指财政部门集中安排的行政单位基本医疗保险缴费经费。</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9.</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农林水（类）农业（款）农村道路建设（项）</w:t>
      </w:r>
      <w:r>
        <w:rPr>
          <w:rFonts w:ascii="仿宋" w:hAnsi="仿宋" w:eastAsia="仿宋" w:cs="仿宋"/>
          <w:kern w:val="0"/>
          <w:sz w:val="32"/>
          <w:szCs w:val="32"/>
        </w:rPr>
        <w:t>:</w:t>
      </w:r>
      <w:r>
        <w:rPr>
          <w:rFonts w:hint="eastAsia" w:ascii="仿宋" w:hAnsi="仿宋" w:eastAsia="仿宋" w:cs="仿宋"/>
          <w:color w:val="000000"/>
          <w:kern w:val="0"/>
          <w:sz w:val="32"/>
          <w:szCs w:val="32"/>
        </w:rPr>
        <w:t>指农村公路、乡村道路建设方面的支出。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10.</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农林水（类）水利（款）防汛支出（项）</w:t>
      </w:r>
      <w:r>
        <w:rPr>
          <w:rFonts w:ascii="仿宋" w:hAnsi="仿宋" w:eastAsia="仿宋" w:cs="仿宋"/>
          <w:kern w:val="0"/>
          <w:sz w:val="32"/>
          <w:szCs w:val="32"/>
        </w:rPr>
        <w:t>:</w:t>
      </w:r>
      <w:r>
        <w:rPr>
          <w:rFonts w:hint="eastAsia" w:ascii="仿宋" w:hAnsi="仿宋" w:eastAsia="仿宋" w:cs="仿宋"/>
          <w:color w:val="000000"/>
          <w:kern w:val="0"/>
          <w:sz w:val="32"/>
          <w:szCs w:val="32"/>
        </w:rPr>
        <w:t>指防汛业务支出。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11.</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农林水（类）水利（款）其他水利支出（项）</w:t>
      </w:r>
      <w:r>
        <w:rPr>
          <w:rFonts w:ascii="仿宋" w:hAnsi="仿宋" w:eastAsia="仿宋" w:cs="仿宋"/>
          <w:kern w:val="0"/>
          <w:sz w:val="32"/>
          <w:szCs w:val="32"/>
        </w:rPr>
        <w:t>:</w:t>
      </w:r>
      <w:r>
        <w:rPr>
          <w:rFonts w:hint="eastAsia" w:ascii="仿宋" w:hAnsi="仿宋" w:eastAsia="仿宋" w:cs="仿宋"/>
          <w:color w:val="000000"/>
          <w:kern w:val="0"/>
          <w:sz w:val="32"/>
          <w:szCs w:val="32"/>
        </w:rPr>
        <w:t>指其他水利支出。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12.</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农林水（类）扶贫（款）农村基础设施建设支出（项）</w:t>
      </w:r>
      <w:r>
        <w:rPr>
          <w:rFonts w:ascii="仿宋" w:hAnsi="仿宋" w:eastAsia="仿宋" w:cs="仿宋"/>
          <w:kern w:val="0"/>
          <w:sz w:val="32"/>
          <w:szCs w:val="32"/>
        </w:rPr>
        <w:t>:</w:t>
      </w:r>
      <w:r>
        <w:rPr>
          <w:rFonts w:hint="eastAsia" w:ascii="仿宋" w:hAnsi="仿宋" w:eastAsia="仿宋" w:cs="仿宋"/>
          <w:color w:val="000000"/>
          <w:kern w:val="0"/>
          <w:sz w:val="32"/>
          <w:szCs w:val="32"/>
        </w:rPr>
        <w:t>指用于农村贫困地区乡村道路、住房、基本农田、水利设施、人畜饮水、生态环境保护等生产生活条件改善方面的支出。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13.</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农林水（类）扶贫（款）其他扶贫支出（项）</w:t>
      </w:r>
      <w:r>
        <w:rPr>
          <w:rFonts w:ascii="仿宋" w:hAnsi="仿宋" w:eastAsia="仿宋" w:cs="仿宋"/>
          <w:kern w:val="0"/>
          <w:sz w:val="32"/>
          <w:szCs w:val="32"/>
        </w:rPr>
        <w:t>:</w:t>
      </w:r>
      <w:r>
        <w:rPr>
          <w:rFonts w:hint="eastAsia" w:ascii="仿宋" w:hAnsi="仿宋" w:eastAsia="仿宋" w:cs="仿宋"/>
          <w:color w:val="000000"/>
          <w:kern w:val="0"/>
          <w:sz w:val="32"/>
          <w:szCs w:val="32"/>
        </w:rPr>
        <w:t>指其他扶贫支出。</w:t>
      </w:r>
    </w:p>
    <w:p>
      <w:pPr>
        <w:spacing w:line="360" w:lineRule="auto"/>
        <w:rPr>
          <w:rFonts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ascii="仿宋" w:hAnsi="仿宋" w:eastAsia="仿宋" w:cs="仿宋"/>
          <w:kern w:val="0"/>
          <w:sz w:val="32"/>
          <w:szCs w:val="32"/>
        </w:rPr>
        <w:t>14.</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交通运输（类）公路水路运输（款）行政运行（项）</w:t>
      </w:r>
      <w:r>
        <w:rPr>
          <w:rFonts w:ascii="仿宋" w:hAnsi="仿宋" w:eastAsia="仿宋" w:cs="仿宋"/>
          <w:kern w:val="0"/>
          <w:sz w:val="32"/>
          <w:szCs w:val="32"/>
        </w:rPr>
        <w:t>:</w:t>
      </w:r>
      <w:r>
        <w:rPr>
          <w:rFonts w:hint="eastAsia" w:ascii="仿宋" w:hAnsi="仿宋" w:eastAsia="仿宋" w:cs="仿宋"/>
          <w:color w:val="000000"/>
          <w:kern w:val="0"/>
          <w:sz w:val="32"/>
          <w:szCs w:val="32"/>
        </w:rPr>
        <w:t>指行政单位的基本支出。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15.</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交通运输（类）公路水路运输（款）公路建设（项）</w:t>
      </w:r>
      <w:r>
        <w:rPr>
          <w:rFonts w:ascii="仿宋" w:hAnsi="仿宋" w:eastAsia="仿宋" w:cs="仿宋"/>
          <w:kern w:val="0"/>
          <w:sz w:val="32"/>
          <w:szCs w:val="32"/>
        </w:rPr>
        <w:t>:</w:t>
      </w:r>
      <w:r>
        <w:rPr>
          <w:rFonts w:hint="eastAsia" w:ascii="仿宋" w:hAnsi="仿宋" w:eastAsia="仿宋" w:cs="仿宋"/>
          <w:color w:val="000000"/>
          <w:kern w:val="0"/>
          <w:sz w:val="32"/>
          <w:szCs w:val="32"/>
        </w:rPr>
        <w:t>指新建公路、改建公路、特大型桥梁建设、公路客货运站建设的支出。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16.</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交通运输（类）公路水路运输（款）公路养护（项）</w:t>
      </w:r>
      <w:r>
        <w:rPr>
          <w:rFonts w:ascii="仿宋" w:hAnsi="仿宋" w:eastAsia="仿宋" w:cs="仿宋"/>
          <w:kern w:val="0"/>
          <w:sz w:val="32"/>
          <w:szCs w:val="32"/>
        </w:rPr>
        <w:t>:</w:t>
      </w:r>
      <w:r>
        <w:rPr>
          <w:rFonts w:hint="eastAsia" w:ascii="仿宋" w:hAnsi="仿宋" w:eastAsia="仿宋" w:cs="仿宋"/>
          <w:color w:val="000000"/>
          <w:kern w:val="0"/>
          <w:sz w:val="32"/>
          <w:szCs w:val="32"/>
        </w:rPr>
        <w:t>指公路养护支出。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17.</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交通运输（类）公路水路运输（款）交通运输信息化建设支出（项）</w:t>
      </w:r>
      <w:r>
        <w:rPr>
          <w:rFonts w:ascii="仿宋" w:hAnsi="仿宋" w:eastAsia="仿宋" w:cs="仿宋"/>
          <w:kern w:val="0"/>
          <w:sz w:val="32"/>
          <w:szCs w:val="32"/>
        </w:rPr>
        <w:t>:</w:t>
      </w:r>
      <w:r>
        <w:rPr>
          <w:rFonts w:hint="eastAsia" w:ascii="仿宋" w:hAnsi="仿宋" w:eastAsia="仿宋" w:cs="仿宋"/>
          <w:color w:val="000000"/>
          <w:kern w:val="0"/>
          <w:sz w:val="32"/>
          <w:szCs w:val="32"/>
        </w:rPr>
        <w:t>反映交通运输信息化建设支出。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18.</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交通运输（类）公路水路运输（款）公路和运输安全支出（项）</w:t>
      </w:r>
      <w:r>
        <w:rPr>
          <w:rFonts w:ascii="仿宋" w:hAnsi="仿宋" w:eastAsia="仿宋" w:cs="仿宋"/>
          <w:kern w:val="0"/>
          <w:sz w:val="32"/>
          <w:szCs w:val="32"/>
        </w:rPr>
        <w:t>:</w:t>
      </w:r>
      <w:r>
        <w:rPr>
          <w:rFonts w:hint="eastAsia" w:ascii="仿宋" w:hAnsi="仿宋" w:eastAsia="仿宋" w:cs="仿宋"/>
          <w:color w:val="000000"/>
          <w:kern w:val="0"/>
          <w:sz w:val="32"/>
          <w:szCs w:val="32"/>
        </w:rPr>
        <w:t>反映公路和运输安全支出。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19.</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交通运输（类）公路水路运输（款）其他公路水路运输支出（项）</w:t>
      </w:r>
      <w:r>
        <w:rPr>
          <w:rFonts w:ascii="仿宋" w:hAnsi="仿宋" w:eastAsia="仿宋" w:cs="仿宋"/>
          <w:kern w:val="0"/>
          <w:sz w:val="32"/>
          <w:szCs w:val="32"/>
        </w:rPr>
        <w:t>:</w:t>
      </w:r>
      <w:r>
        <w:rPr>
          <w:rFonts w:hint="eastAsia" w:ascii="仿宋" w:hAnsi="仿宋" w:eastAsia="仿宋" w:cs="仿宋"/>
          <w:color w:val="000000"/>
          <w:kern w:val="0"/>
          <w:sz w:val="32"/>
          <w:szCs w:val="32"/>
        </w:rPr>
        <w:t>指其他用于公路水路运输方面的支出。</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20.</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交通运输（类）车辆购置税支出（款）车辆购置税用于公路等基础设施建设支出（项）</w:t>
      </w:r>
      <w:r>
        <w:rPr>
          <w:rFonts w:ascii="仿宋" w:hAnsi="仿宋" w:eastAsia="仿宋" w:cs="仿宋"/>
          <w:kern w:val="0"/>
          <w:sz w:val="32"/>
          <w:szCs w:val="32"/>
        </w:rPr>
        <w:t>:</w:t>
      </w:r>
      <w:r>
        <w:rPr>
          <w:rFonts w:hint="eastAsia" w:ascii="仿宋" w:hAnsi="仿宋" w:eastAsia="仿宋" w:cs="仿宋"/>
          <w:color w:val="000000"/>
          <w:kern w:val="0"/>
          <w:sz w:val="32"/>
          <w:szCs w:val="32"/>
        </w:rPr>
        <w:t>指车辆购置税收入安排用于公路等基础设施建设的支出。</w:t>
      </w:r>
    </w:p>
    <w:p>
      <w:pPr>
        <w:spacing w:line="360" w:lineRule="auto"/>
        <w:ind w:firstLine="640"/>
        <w:rPr>
          <w:rFonts w:ascii="仿宋" w:hAnsi="仿宋" w:eastAsia="仿宋" w:cs="仿宋"/>
          <w:color w:val="000000"/>
          <w:kern w:val="0"/>
          <w:sz w:val="32"/>
          <w:szCs w:val="32"/>
        </w:rPr>
      </w:pPr>
      <w:r>
        <w:rPr>
          <w:rFonts w:ascii="仿宋" w:hAnsi="仿宋" w:eastAsia="仿宋" w:cs="仿宋"/>
          <w:kern w:val="0"/>
          <w:sz w:val="32"/>
          <w:szCs w:val="32"/>
        </w:rPr>
        <w:t>21.</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交通运输（类）车辆购置税支出（款）车辆购置税用于农村公路建设支出（项）</w:t>
      </w:r>
      <w:r>
        <w:rPr>
          <w:rFonts w:ascii="仿宋" w:hAnsi="仿宋" w:eastAsia="仿宋" w:cs="仿宋"/>
          <w:kern w:val="0"/>
          <w:sz w:val="32"/>
          <w:szCs w:val="32"/>
        </w:rPr>
        <w:t>:</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指车辆购置税收入安排农村公路建设的支出。</w:t>
      </w:r>
    </w:p>
    <w:p>
      <w:pPr>
        <w:spacing w:line="360" w:lineRule="auto"/>
        <w:ind w:firstLine="640"/>
        <w:rPr>
          <w:rFonts w:ascii="仿宋" w:hAnsi="仿宋" w:eastAsia="仿宋" w:cs="仿宋"/>
          <w:color w:val="000000"/>
          <w:kern w:val="0"/>
          <w:sz w:val="32"/>
          <w:szCs w:val="32"/>
        </w:rPr>
      </w:pPr>
      <w:r>
        <w:rPr>
          <w:rFonts w:ascii="仿宋" w:hAnsi="仿宋" w:eastAsia="仿宋" w:cs="仿宋"/>
          <w:kern w:val="0"/>
          <w:sz w:val="32"/>
          <w:szCs w:val="32"/>
        </w:rPr>
        <w:t>22.</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交通运输（类）其他交通运输（款）其他交通运输支出（项）</w:t>
      </w:r>
      <w:r>
        <w:rPr>
          <w:rFonts w:ascii="仿宋" w:hAnsi="仿宋" w:eastAsia="仿宋" w:cs="仿宋"/>
          <w:kern w:val="0"/>
          <w:sz w:val="32"/>
          <w:szCs w:val="32"/>
        </w:rPr>
        <w:t>:</w:t>
      </w:r>
      <w:r>
        <w:rPr>
          <w:rFonts w:hint="eastAsia" w:ascii="仿宋" w:hAnsi="仿宋" w:eastAsia="仿宋" w:cs="仿宋"/>
          <w:color w:val="000000"/>
          <w:kern w:val="0"/>
          <w:sz w:val="32"/>
          <w:szCs w:val="32"/>
        </w:rPr>
        <w:t>指其他交通运输支出中除对公共交通运营补助以外的其他支出。</w:t>
      </w:r>
      <w:r>
        <w:rPr>
          <w:rFonts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ascii="仿宋" w:hAnsi="仿宋" w:eastAsia="仿宋" w:cs="仿宋"/>
          <w:color w:val="000000"/>
          <w:kern w:val="0"/>
          <w:sz w:val="32"/>
          <w:szCs w:val="32"/>
        </w:rPr>
        <w:t xml:space="preserve">  </w:t>
      </w:r>
      <w:r>
        <w:rPr>
          <w:rFonts w:ascii="仿宋" w:hAnsi="仿宋" w:eastAsia="仿宋" w:cs="仿宋"/>
          <w:kern w:val="0"/>
          <w:sz w:val="32"/>
          <w:szCs w:val="32"/>
        </w:rPr>
        <w:t>23.</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住房保障（类）住房改革支出（款）</w:t>
      </w:r>
      <w:r>
        <w:rPr>
          <w:rFonts w:ascii="仿宋" w:hAnsi="仿宋" w:eastAsia="仿宋" w:cs="仿宋"/>
          <w:kern w:val="0"/>
          <w:sz w:val="32"/>
          <w:szCs w:val="32"/>
        </w:rPr>
        <w:t xml:space="preserve"> </w:t>
      </w:r>
      <w:r>
        <w:rPr>
          <w:rFonts w:hint="eastAsia" w:ascii="仿宋" w:hAnsi="仿宋" w:eastAsia="仿宋" w:cs="仿宋"/>
          <w:kern w:val="0"/>
          <w:sz w:val="32"/>
          <w:szCs w:val="32"/>
        </w:rPr>
        <w:t>住房公积金（项）</w:t>
      </w:r>
      <w:r>
        <w:rPr>
          <w:rFonts w:ascii="仿宋" w:hAnsi="仿宋" w:eastAsia="仿宋" w:cs="仿宋"/>
          <w:kern w:val="0"/>
          <w:sz w:val="32"/>
          <w:szCs w:val="32"/>
        </w:rPr>
        <w:t>:</w:t>
      </w:r>
      <w:r>
        <w:rPr>
          <w:rFonts w:hint="eastAsia" w:ascii="仿宋" w:hAnsi="仿宋" w:eastAsia="仿宋" w:cs="仿宋"/>
          <w:color w:val="000000"/>
          <w:kern w:val="0"/>
          <w:sz w:val="32"/>
          <w:szCs w:val="32"/>
        </w:rPr>
        <w:t>指行政事业单位按人力资源和社会保障部、财政部规定的基本工资、津补贴以及规定比例为职工缴纳的住房公积金。</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kern w:val="0"/>
          <w:sz w:val="32"/>
          <w:szCs w:val="32"/>
        </w:rPr>
        <w:t>24.</w:t>
      </w:r>
      <w:r>
        <w:rPr>
          <w:rFonts w:ascii="仿宋" w:hAnsi="仿宋" w:eastAsia="仿宋" w:cs="仿宋"/>
          <w:color w:val="000000"/>
          <w:kern w:val="0"/>
          <w:sz w:val="32"/>
          <w:szCs w:val="32"/>
        </w:rPr>
        <w:t xml:space="preserve"> </w:t>
      </w:r>
      <w:r>
        <w:rPr>
          <w:rFonts w:hint="eastAsia" w:ascii="仿宋" w:hAnsi="仿宋" w:eastAsia="仿宋" w:cs="仿宋"/>
          <w:kern w:val="0"/>
          <w:sz w:val="32"/>
          <w:szCs w:val="32"/>
        </w:rPr>
        <w:t>住房保障（类）住房改革支出（款）购房补贴（项）</w:t>
      </w:r>
      <w:r>
        <w:rPr>
          <w:rFonts w:ascii="仿宋" w:hAnsi="仿宋" w:eastAsia="仿宋" w:cs="仿宋"/>
          <w:kern w:val="0"/>
          <w:sz w:val="32"/>
          <w:szCs w:val="32"/>
        </w:rPr>
        <w:t>:</w:t>
      </w:r>
      <w:r>
        <w:rPr>
          <w:rFonts w:hint="eastAsia" w:ascii="仿宋" w:hAnsi="仿宋" w:eastAsia="仿宋" w:cs="仿宋"/>
          <w:color w:val="000000"/>
          <w:kern w:val="0"/>
          <w:sz w:val="32"/>
          <w:szCs w:val="32"/>
        </w:rPr>
        <w:t>指按房改政策规定，向符合条件职工（含离退休人员）发放用于购买住房的补贴。</w:t>
      </w:r>
    </w:p>
    <w:p>
      <w:pPr>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25.</w:t>
      </w:r>
      <w:r>
        <w:rPr>
          <w:rFonts w:ascii="仿宋" w:hAnsi="仿宋" w:eastAsia="仿宋" w:cs="仿宋"/>
          <w:kern w:val="0"/>
          <w:sz w:val="32"/>
          <w:szCs w:val="32"/>
        </w:rPr>
        <w:t xml:space="preserve"> </w:t>
      </w:r>
      <w:r>
        <w:rPr>
          <w:rFonts w:hint="eastAsia" w:ascii="仿宋" w:hAnsi="仿宋" w:eastAsia="仿宋" w:cs="仿宋"/>
          <w:kern w:val="0"/>
          <w:sz w:val="32"/>
          <w:szCs w:val="32"/>
        </w:rPr>
        <w:t>教育类（类）其他教育（款）其他教育支出（项）</w:t>
      </w:r>
      <w:r>
        <w:rPr>
          <w:rFonts w:ascii="仿宋" w:hAnsi="仿宋" w:eastAsia="仿宋" w:cs="仿宋"/>
          <w:kern w:val="0"/>
          <w:sz w:val="32"/>
          <w:szCs w:val="32"/>
        </w:rPr>
        <w:t>:</w:t>
      </w:r>
      <w:r>
        <w:rPr>
          <w:rFonts w:hint="eastAsia" w:ascii="仿宋" w:hAnsi="仿宋" w:eastAsia="仿宋" w:cs="仿宋"/>
          <w:color w:val="000000"/>
          <w:kern w:val="0"/>
          <w:sz w:val="32"/>
          <w:szCs w:val="32"/>
        </w:rPr>
        <w:t>反映用于其他教育方面支出。</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26.</w:t>
      </w:r>
      <w:r>
        <w:rPr>
          <w:rFonts w:hint="eastAsia" w:ascii="仿宋" w:hAnsi="仿宋" w:eastAsia="仿宋"/>
          <w:color w:val="000000"/>
          <w:sz w:val="32"/>
          <w:szCs w:val="32"/>
        </w:rPr>
        <w:t>基本支出：指为保障机构正常运转、完成日常工作任务而发生的人员支出和公用支出。</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27.</w:t>
      </w:r>
      <w:r>
        <w:rPr>
          <w:rFonts w:hint="eastAsia" w:ascii="仿宋" w:hAnsi="仿宋" w:eastAsia="仿宋"/>
          <w:color w:val="000000"/>
          <w:sz w:val="32"/>
          <w:szCs w:val="32"/>
        </w:rPr>
        <w:t>项目支出：指在基本支出之外为完成特定行政任务和事业发展目标所发生的支出。</w:t>
      </w:r>
    </w:p>
    <w:p>
      <w:pPr>
        <w:pStyle w:val="26"/>
        <w:spacing w:line="360" w:lineRule="auto"/>
        <w:ind w:firstLine="640" w:firstLineChars="200"/>
        <w:rPr>
          <w:rFonts w:hAnsi="仿宋"/>
          <w:sz w:val="32"/>
          <w:szCs w:val="32"/>
        </w:rPr>
      </w:pPr>
      <w:r>
        <w:rPr>
          <w:rFonts w:hAnsi="仿宋"/>
          <w:sz w:val="32"/>
          <w:szCs w:val="32"/>
        </w:rPr>
        <w:t>28.</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360" w:lineRule="auto"/>
        <w:ind w:firstLine="640" w:firstLineChars="200"/>
        <w:rPr>
          <w:rFonts w:hAnsi="仿宋"/>
          <w:sz w:val="32"/>
          <w:szCs w:val="32"/>
        </w:rPr>
      </w:pPr>
      <w:r>
        <w:rPr>
          <w:rFonts w:hAnsi="仿宋"/>
          <w:sz w:val="32"/>
          <w:szCs w:val="32"/>
        </w:rPr>
        <w:t>29.</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6"/>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spacing w:line="360" w:lineRule="auto"/>
        <w:jc w:val="center"/>
        <w:outlineLvl w:val="0"/>
        <w:rPr>
          <w:rFonts w:ascii="方正小标宋简体" w:hAnsi="宋体" w:eastAsia="方正小标宋简体"/>
          <w:color w:val="000000"/>
          <w:kern w:val="0"/>
          <w:sz w:val="40"/>
          <w:szCs w:val="44"/>
        </w:rPr>
      </w:pPr>
      <w:bookmarkStart w:id="59" w:name="_Toc15396616"/>
      <w:r>
        <w:rPr>
          <w:rFonts w:hint="eastAsia" w:ascii="方正小标宋简体" w:hAnsi="宋体" w:eastAsia="方正小标宋简体"/>
          <w:color w:val="000000"/>
          <w:kern w:val="0"/>
          <w:sz w:val="40"/>
          <w:szCs w:val="44"/>
        </w:rPr>
        <w:t>壤塘县交通运输局</w:t>
      </w:r>
      <w:r>
        <w:rPr>
          <w:rFonts w:ascii="方正小标宋简体" w:hAnsi="宋体" w:eastAsia="方正小标宋简体"/>
          <w:color w:val="000000"/>
          <w:kern w:val="0"/>
          <w:sz w:val="40"/>
          <w:szCs w:val="44"/>
        </w:rPr>
        <w:t>2018</w:t>
      </w:r>
      <w:r>
        <w:rPr>
          <w:rFonts w:hint="eastAsia" w:ascii="方正小标宋简体" w:hAnsi="宋体" w:eastAsia="方正小标宋简体"/>
          <w:color w:val="000000"/>
          <w:kern w:val="0"/>
          <w:sz w:val="40"/>
          <w:szCs w:val="44"/>
        </w:rPr>
        <w:t>年部门整体支出绩效评价报告</w:t>
      </w:r>
      <w:bookmarkEnd w:id="59"/>
    </w:p>
    <w:p>
      <w:pPr>
        <w:spacing w:line="360" w:lineRule="auto"/>
        <w:ind w:firstLine="643" w:firstLineChars="200"/>
        <w:rPr>
          <w:rFonts w:ascii="黑体" w:hAnsi="黑体" w:eastAsia="黑体" w:cs="黑体"/>
          <w:b/>
          <w:sz w:val="32"/>
          <w:szCs w:val="32"/>
        </w:rPr>
      </w:pPr>
    </w:p>
    <w:p>
      <w:pPr>
        <w:spacing w:line="360" w:lineRule="auto"/>
        <w:ind w:firstLine="643" w:firstLineChars="200"/>
        <w:rPr>
          <w:rFonts w:ascii="仿宋" w:hAnsi="仿宋" w:eastAsia="仿宋" w:cs="黑体"/>
          <w:b/>
          <w:sz w:val="32"/>
          <w:szCs w:val="32"/>
        </w:rPr>
      </w:pPr>
      <w:r>
        <w:rPr>
          <w:rFonts w:hint="eastAsia" w:ascii="仿宋" w:hAnsi="仿宋" w:eastAsia="仿宋" w:cs="黑体"/>
          <w:b/>
          <w:sz w:val="32"/>
          <w:szCs w:val="32"/>
        </w:rPr>
        <w:t>一、部门（单位）概况</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（一）机构组成。我局属于一级预算单位，局机关内设办公室、财务股、农管办、质监站、运安股、规划股</w:t>
      </w:r>
      <w:r>
        <w:rPr>
          <w:rFonts w:ascii="仿宋" w:hAnsi="仿宋" w:eastAsia="仿宋"/>
          <w:color w:val="000000"/>
          <w:sz w:val="32"/>
          <w:szCs w:val="32"/>
        </w:rPr>
        <w:t>6</w:t>
      </w:r>
      <w:r>
        <w:rPr>
          <w:rFonts w:hint="eastAsia" w:ascii="仿宋" w:hAnsi="仿宋" w:eastAsia="仿宋"/>
          <w:color w:val="000000"/>
          <w:sz w:val="32"/>
          <w:szCs w:val="32"/>
        </w:rPr>
        <w:t>个股室。</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（二）机构职能。</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贯彻执行国家和省、州有关交通运输行业的法律法规、规章、规划、政策和标准，起草全县有关交通运输工作的法规和规章草案，拟订相关政策和标准；拟订全县交通运输行业发展战略、规划并组织实施；参加拟订物流业发展战略和规划，拟订有关政策和标准并监督实施；负责交通运输体制改革相关工作。</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2</w:t>
      </w:r>
      <w:r>
        <w:rPr>
          <w:rFonts w:hint="eastAsia" w:ascii="仿宋" w:hAnsi="仿宋" w:eastAsia="仿宋"/>
          <w:color w:val="000000"/>
          <w:sz w:val="32"/>
          <w:szCs w:val="32"/>
        </w:rPr>
        <w:t>、承担涉及全县综合运输体系的规划协调工作。会同有关部门组织编制综合运输体系规划，组织公路、管理。</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3</w:t>
      </w:r>
      <w:r>
        <w:rPr>
          <w:rFonts w:hint="eastAsia" w:ascii="仿宋" w:hAnsi="仿宋" w:eastAsia="仿宋"/>
          <w:color w:val="000000"/>
          <w:sz w:val="32"/>
          <w:szCs w:val="32"/>
        </w:rPr>
        <w:t>、承担全县道路监管责任，负责城乡客运及有关设施的规划和管理工作，负责出租汽车行业管理；负责全县道路、机动车维修检测、船舶检验、驾驶员（船员）培训、运输服务等交通运输行业管理；组织实施治理公路“三乱”工作。</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4</w:t>
      </w:r>
      <w:r>
        <w:rPr>
          <w:rFonts w:hint="eastAsia" w:ascii="仿宋" w:hAnsi="仿宋" w:eastAsia="仿宋"/>
          <w:color w:val="000000"/>
          <w:sz w:val="32"/>
          <w:szCs w:val="32"/>
        </w:rPr>
        <w:t>、承担全县公路监管责任。负责组织实施全县公路、交通运输设施建设和养护，指导农村公路建设和养护；组织协调工程建设质量和安全生产监督管理工作。</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5</w:t>
      </w:r>
      <w:r>
        <w:rPr>
          <w:rFonts w:hint="eastAsia" w:ascii="仿宋" w:hAnsi="仿宋" w:eastAsia="仿宋"/>
          <w:color w:val="000000"/>
          <w:sz w:val="32"/>
          <w:szCs w:val="32"/>
        </w:rPr>
        <w:t>、负责全县公路、公共交通（含出租车）行业安全生产和应急管理工作；负责突发事件的应急处置和依法组织或参与有关事故调查处理工作。</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6</w:t>
      </w:r>
      <w:r>
        <w:rPr>
          <w:rFonts w:hint="eastAsia" w:ascii="仿宋" w:hAnsi="仿宋" w:eastAsia="仿宋"/>
          <w:color w:val="000000"/>
          <w:sz w:val="32"/>
          <w:szCs w:val="32"/>
        </w:rPr>
        <w:t>、负责全县交通运输的组织和结构调整，指导运输技术装备建设，协调指导城乡各种运输方式衔接；对重点物资和紧急客货运输进行调控；承担交通战备有关工作。</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7</w:t>
      </w:r>
      <w:r>
        <w:rPr>
          <w:rFonts w:hint="eastAsia" w:ascii="仿宋" w:hAnsi="仿宋" w:eastAsia="仿宋"/>
          <w:color w:val="000000"/>
          <w:sz w:val="32"/>
          <w:szCs w:val="32"/>
        </w:rPr>
        <w:t>、负责全县交通运输信息化建设，监测分析运行情况；开展相关统计工作，发布有关信息；组织开展公路、交通行业环境保护和节能减排工作。</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8</w:t>
      </w:r>
      <w:r>
        <w:rPr>
          <w:rFonts w:hint="eastAsia" w:ascii="仿宋" w:hAnsi="仿宋" w:eastAsia="仿宋"/>
          <w:color w:val="000000"/>
          <w:sz w:val="32"/>
          <w:szCs w:val="32"/>
        </w:rPr>
        <w:t>、负责全县国有交通运输基础设施建设资金的使用管理、国有资产的监督管理和保值增值工作；组织实施交通运输重点建设项目的内部审计工作。</w:t>
      </w:r>
    </w:p>
    <w:p>
      <w:pPr>
        <w:spacing w:line="360" w:lineRule="auto"/>
        <w:rPr>
          <w:rFonts w:ascii="仿宋" w:hAnsi="仿宋" w:eastAsia="仿宋"/>
          <w:color w:val="000000"/>
          <w:sz w:val="32"/>
          <w:szCs w:val="32"/>
        </w:rPr>
      </w:pPr>
      <w:r>
        <w:rPr>
          <w:rFonts w:ascii="仿宋" w:hAnsi="仿宋" w:eastAsia="仿宋"/>
          <w:color w:val="000000"/>
          <w:sz w:val="32"/>
          <w:szCs w:val="32"/>
        </w:rPr>
        <w:t xml:space="preserve">    9</w:t>
      </w:r>
      <w:r>
        <w:rPr>
          <w:rFonts w:hint="eastAsia" w:ascii="仿宋" w:hAnsi="仿宋" w:eastAsia="仿宋"/>
          <w:color w:val="000000"/>
          <w:sz w:val="32"/>
          <w:szCs w:val="32"/>
        </w:rPr>
        <w:t>、组织实施交通运输行业技术标准和规范；组织技术开发和科技成果推广，推动行业科技进步。</w:t>
      </w:r>
    </w:p>
    <w:p>
      <w:pPr>
        <w:spacing w:line="360" w:lineRule="auto"/>
        <w:ind w:firstLine="63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、承办县政府和上级主管部门交办的其他事项。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（三）人员概况。</w:t>
      </w:r>
      <w:r>
        <w:rPr>
          <w:rFonts w:ascii="仿宋" w:hAnsi="仿宋" w:eastAsia="仿宋"/>
          <w:color w:val="000000"/>
          <w:sz w:val="32"/>
          <w:szCs w:val="32"/>
        </w:rPr>
        <w:t>2019</w:t>
      </w:r>
      <w:r>
        <w:rPr>
          <w:rFonts w:hint="eastAsia" w:ascii="仿宋" w:hAnsi="仿宋" w:eastAsia="仿宋"/>
          <w:color w:val="000000"/>
          <w:sz w:val="32"/>
          <w:szCs w:val="32"/>
        </w:rPr>
        <w:t>年编制人数</w:t>
      </w:r>
      <w:r>
        <w:rPr>
          <w:rFonts w:ascii="仿宋" w:hAnsi="仿宋" w:eastAsia="仿宋"/>
          <w:color w:val="000000"/>
          <w:sz w:val="32"/>
          <w:szCs w:val="32"/>
        </w:rPr>
        <w:t>22</w:t>
      </w:r>
      <w:r>
        <w:rPr>
          <w:rFonts w:hint="eastAsia" w:ascii="仿宋" w:hAnsi="仿宋" w:eastAsia="仿宋"/>
          <w:color w:val="000000"/>
          <w:sz w:val="32"/>
          <w:szCs w:val="32"/>
        </w:rPr>
        <w:t>人，在职人员</w:t>
      </w:r>
      <w:r>
        <w:rPr>
          <w:rFonts w:ascii="仿宋" w:hAnsi="仿宋" w:eastAsia="仿宋"/>
          <w:color w:val="000000"/>
          <w:sz w:val="32"/>
          <w:szCs w:val="32"/>
        </w:rPr>
        <w:t>22</w:t>
      </w:r>
      <w:r>
        <w:rPr>
          <w:rFonts w:hint="eastAsia" w:ascii="仿宋" w:hAnsi="仿宋" w:eastAsia="仿宋"/>
          <w:color w:val="000000"/>
          <w:sz w:val="32"/>
          <w:szCs w:val="32"/>
        </w:rPr>
        <w:t>人，退休人员</w:t>
      </w:r>
      <w:r>
        <w:rPr>
          <w:rFonts w:ascii="仿宋" w:hAnsi="仿宋" w:eastAsia="仿宋"/>
          <w:color w:val="000000"/>
          <w:sz w:val="32"/>
          <w:szCs w:val="32"/>
        </w:rPr>
        <w:t>6</w:t>
      </w:r>
      <w:r>
        <w:rPr>
          <w:rFonts w:hint="eastAsia" w:ascii="仿宋" w:hAnsi="仿宋" w:eastAsia="仿宋"/>
          <w:color w:val="000000"/>
          <w:sz w:val="32"/>
          <w:szCs w:val="32"/>
        </w:rPr>
        <w:t>名，遗嘱人员</w:t>
      </w:r>
      <w:r>
        <w:rPr>
          <w:rFonts w:ascii="仿宋" w:hAnsi="仿宋" w:eastAsia="仿宋"/>
          <w:color w:val="000000"/>
          <w:sz w:val="32"/>
          <w:szCs w:val="32"/>
        </w:rPr>
        <w:t>2</w:t>
      </w:r>
      <w:r>
        <w:rPr>
          <w:rFonts w:hint="eastAsia" w:ascii="仿宋" w:hAnsi="仿宋" w:eastAsia="仿宋"/>
          <w:color w:val="000000"/>
          <w:sz w:val="32"/>
          <w:szCs w:val="32"/>
        </w:rPr>
        <w:t>人。</w:t>
      </w:r>
    </w:p>
    <w:p>
      <w:pPr>
        <w:spacing w:line="360" w:lineRule="auto"/>
        <w:ind w:firstLine="643" w:firstLineChars="200"/>
        <w:rPr>
          <w:rFonts w:ascii="仿宋" w:hAnsi="仿宋" w:eastAsia="仿宋" w:cs="黑体"/>
          <w:b/>
          <w:sz w:val="32"/>
          <w:szCs w:val="32"/>
        </w:rPr>
      </w:pPr>
      <w:r>
        <w:rPr>
          <w:rFonts w:hint="eastAsia" w:ascii="仿宋" w:hAnsi="仿宋" w:eastAsia="仿宋" w:cs="黑体"/>
          <w:b/>
          <w:sz w:val="32"/>
          <w:szCs w:val="32"/>
        </w:rPr>
        <w:t>二、部门财政资金收支情况</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（一）部门财政资金收入情况。</w:t>
      </w:r>
      <w:r>
        <w:rPr>
          <w:rFonts w:ascii="仿宋" w:hAnsi="仿宋" w:eastAsia="仿宋"/>
          <w:color w:val="000000"/>
          <w:sz w:val="32"/>
          <w:szCs w:val="32"/>
        </w:rPr>
        <w:t>2019</w:t>
      </w:r>
      <w:r>
        <w:rPr>
          <w:rFonts w:hint="eastAsia" w:ascii="仿宋" w:hAnsi="仿宋" w:eastAsia="仿宋"/>
          <w:color w:val="000000"/>
          <w:sz w:val="32"/>
          <w:szCs w:val="32"/>
        </w:rPr>
        <w:t>年一般公共预算财政拨款收入</w:t>
      </w:r>
      <w:r>
        <w:rPr>
          <w:rFonts w:ascii="仿宋" w:hAnsi="仿宋" w:eastAsia="仿宋"/>
          <w:color w:val="000000"/>
          <w:sz w:val="32"/>
          <w:szCs w:val="32"/>
        </w:rPr>
        <w:t>25797.61</w:t>
      </w:r>
      <w:r>
        <w:rPr>
          <w:rFonts w:hint="eastAsia" w:ascii="仿宋" w:hAnsi="仿宋" w:eastAsia="仿宋"/>
          <w:color w:val="000000"/>
          <w:sz w:val="32"/>
          <w:szCs w:val="32"/>
        </w:rPr>
        <w:t>万元。</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（二）部门财政资金支出情况。</w:t>
      </w:r>
      <w:r>
        <w:rPr>
          <w:rFonts w:ascii="仿宋" w:hAnsi="仿宋" w:eastAsia="仿宋"/>
          <w:color w:val="000000"/>
          <w:sz w:val="32"/>
          <w:szCs w:val="32"/>
        </w:rPr>
        <w:t>2019</w:t>
      </w:r>
      <w:r>
        <w:rPr>
          <w:rFonts w:hint="eastAsia" w:ascii="仿宋" w:hAnsi="仿宋" w:eastAsia="仿宋"/>
          <w:color w:val="000000"/>
          <w:sz w:val="32"/>
          <w:szCs w:val="32"/>
        </w:rPr>
        <w:t>年一般公共预算财政拨款收入</w:t>
      </w:r>
      <w:r>
        <w:rPr>
          <w:rFonts w:ascii="仿宋" w:hAnsi="仿宋" w:eastAsia="仿宋"/>
          <w:color w:val="000000"/>
          <w:sz w:val="32"/>
          <w:szCs w:val="32"/>
        </w:rPr>
        <w:t>22382.73</w:t>
      </w:r>
      <w:r>
        <w:rPr>
          <w:rFonts w:hint="eastAsia" w:ascii="仿宋" w:hAnsi="仿宋" w:eastAsia="仿宋"/>
          <w:color w:val="000000"/>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三、部门整体预算绩效管理情况</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（一）部门预算管理。</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我局预算编制应按照县级财政部门要求进行，在预算编制过程中，除按照规定方法进行编制外，同时充分考虑本单位次年工作计划安排及人员增减变化等因素，预算编制明细项目应安排至财政支出经济科目。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（二）专项预算管理。</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按项目实施需求编制，并均在规定时间按时完成项目的实施。</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（三）结果应用情况。</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我局遵循专款专用的原则，确保资金安全，提高资金使用绩效。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四、评价结论及建议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（一）评价结论。按照财政部门相关要求，规范、完整的进行预决算，并按编制内容实施。</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（二）存在问题。部分支出决算数小于预算数的主要原因是项目未审计、预留质保金及未完工。</w:t>
      </w:r>
    </w:p>
    <w:p>
      <w:pPr>
        <w:spacing w:line="360" w:lineRule="auto"/>
        <w:ind w:firstLine="640" w:firstLineChars="200"/>
        <w:rPr>
          <w:rFonts w:ascii="仿宋" w:hAnsi="仿宋" w:eastAsia="仿宋" w:cs="仿宋_GB2312"/>
          <w:sz w:val="32"/>
          <w:szCs w:val="32"/>
        </w:rPr>
      </w:pPr>
      <w:r>
        <w:rPr>
          <w:rFonts w:hint="eastAsia" w:ascii="仿宋" w:hAnsi="仿宋" w:eastAsia="仿宋"/>
          <w:color w:val="000000"/>
          <w:sz w:val="32"/>
          <w:szCs w:val="32"/>
        </w:rPr>
        <w:t>（三）改进建议。在保障项目质量的前提下，督促施工方按合同约定完成建设任务并及时计量拨款。</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widowControl/>
        <w:jc w:val="left"/>
        <w:rPr>
          <w:rStyle w:val="16"/>
          <w:rFonts w:ascii="黑体" w:hAnsi="黑体" w:eastAsia="黑体"/>
          <w:b w:val="0"/>
        </w:rPr>
      </w:pPr>
    </w:p>
    <w:p>
      <w:pPr>
        <w:spacing w:line="600" w:lineRule="exact"/>
        <w:jc w:val="center"/>
        <w:outlineLvl w:val="0"/>
        <w:rPr>
          <w:rStyle w:val="16"/>
          <w:rFonts w:ascii="黑体" w:hAnsi="黑体" w:eastAsia="黑体"/>
          <w:b w:val="0"/>
        </w:rPr>
      </w:pPr>
    </w:p>
    <w:p>
      <w:pPr>
        <w:spacing w:line="600" w:lineRule="exact"/>
        <w:jc w:val="center"/>
        <w:outlineLvl w:val="0"/>
        <w:rPr>
          <w:rStyle w:val="16"/>
          <w:rFonts w:ascii="黑体" w:hAnsi="黑体" w:eastAsia="黑体"/>
          <w:b w:val="0"/>
        </w:rPr>
      </w:pPr>
      <w:bookmarkStart w:id="60"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7"/>
      <w:bookmarkEnd w:id="60"/>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17"/>
          <w:rFonts w:hint="eastAsia" w:ascii="仿宋" w:hAnsi="仿宋" w:eastAsia="仿宋"/>
          <w:b w:val="0"/>
          <w:bCs w:val="0"/>
        </w:rPr>
        <w:t>入决算表</w:t>
      </w:r>
      <w:bookmarkEnd w:id="62"/>
    </w:p>
    <w:p>
      <w:pPr>
        <w:pStyle w:val="3"/>
        <w:rPr>
          <w:rFonts w:ascii="仿宋" w:hAnsi="仿宋" w:eastAsia="仿宋"/>
          <w:color w:val="000000"/>
        </w:rPr>
      </w:pPr>
      <w:bookmarkStart w:id="63"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63"/>
    </w:p>
    <w:p>
      <w:pPr>
        <w:pStyle w:val="3"/>
        <w:rPr>
          <w:rFonts w:ascii="仿宋" w:hAnsi="仿宋" w:eastAsia="仿宋"/>
          <w:b w:val="0"/>
          <w:color w:val="000000"/>
        </w:rPr>
      </w:pPr>
      <w:bookmarkStart w:id="64"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4"/>
    </w:p>
    <w:p>
      <w:pPr>
        <w:pStyle w:val="3"/>
        <w:rPr>
          <w:rStyle w:val="17"/>
          <w:rFonts w:ascii="仿宋" w:hAnsi="仿宋" w:eastAsia="仿宋"/>
          <w:b w:val="0"/>
          <w:bCs w:val="0"/>
        </w:rPr>
      </w:pPr>
      <w:bookmarkStart w:id="65"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65"/>
      <w:bookmarkStart w:id="66" w:name="_Toc15396624"/>
    </w:p>
    <w:p>
      <w:pPr>
        <w:pStyle w:val="3"/>
        <w:rPr>
          <w:rFonts w:ascii="仿宋" w:hAnsi="仿宋" w:eastAsia="仿宋"/>
          <w:color w:val="00000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2"/>
    </w:p>
    <w:p>
      <w:pPr>
        <w:pStyle w:val="3"/>
        <w:rPr>
          <w:rFonts w:ascii="仿宋" w:hAnsi="仿宋" w:eastAsia="仿宋"/>
          <w:color w:val="000000"/>
        </w:rPr>
      </w:pPr>
      <w:bookmarkStart w:id="73"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7</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3BFD"/>
    <w:rsid w:val="000468DB"/>
    <w:rsid w:val="0004766D"/>
    <w:rsid w:val="0006487A"/>
    <w:rsid w:val="00065F8F"/>
    <w:rsid w:val="00070A43"/>
    <w:rsid w:val="000768F2"/>
    <w:rsid w:val="0009184B"/>
    <w:rsid w:val="00094236"/>
    <w:rsid w:val="0009593C"/>
    <w:rsid w:val="00097322"/>
    <w:rsid w:val="000A4B8D"/>
    <w:rsid w:val="000A6A92"/>
    <w:rsid w:val="000B047F"/>
    <w:rsid w:val="000B5923"/>
    <w:rsid w:val="000B5A48"/>
    <w:rsid w:val="000B6FF3"/>
    <w:rsid w:val="000C3467"/>
    <w:rsid w:val="000C3CA6"/>
    <w:rsid w:val="000D1267"/>
    <w:rsid w:val="000D1D50"/>
    <w:rsid w:val="000D5782"/>
    <w:rsid w:val="000D7D1D"/>
    <w:rsid w:val="000E6613"/>
    <w:rsid w:val="000E7119"/>
    <w:rsid w:val="00114E9B"/>
    <w:rsid w:val="00123D72"/>
    <w:rsid w:val="00142216"/>
    <w:rsid w:val="00144D6A"/>
    <w:rsid w:val="0014729F"/>
    <w:rsid w:val="00157BAB"/>
    <w:rsid w:val="001654D1"/>
    <w:rsid w:val="00172940"/>
    <w:rsid w:val="00174518"/>
    <w:rsid w:val="0018106D"/>
    <w:rsid w:val="001877A7"/>
    <w:rsid w:val="00191536"/>
    <w:rsid w:val="00196687"/>
    <w:rsid w:val="001A3B2B"/>
    <w:rsid w:val="001C0962"/>
    <w:rsid w:val="001D7531"/>
    <w:rsid w:val="001E0C0D"/>
    <w:rsid w:val="001E2D3C"/>
    <w:rsid w:val="001E737D"/>
    <w:rsid w:val="001F0592"/>
    <w:rsid w:val="001F7506"/>
    <w:rsid w:val="002006CD"/>
    <w:rsid w:val="00202B36"/>
    <w:rsid w:val="00204B7A"/>
    <w:rsid w:val="00204CDE"/>
    <w:rsid w:val="0021101A"/>
    <w:rsid w:val="00220536"/>
    <w:rsid w:val="00227E67"/>
    <w:rsid w:val="00235629"/>
    <w:rsid w:val="00240B23"/>
    <w:rsid w:val="00260C38"/>
    <w:rsid w:val="002616C0"/>
    <w:rsid w:val="00265372"/>
    <w:rsid w:val="002662AA"/>
    <w:rsid w:val="00280496"/>
    <w:rsid w:val="00294DC9"/>
    <w:rsid w:val="00295495"/>
    <w:rsid w:val="002A31DE"/>
    <w:rsid w:val="002B2613"/>
    <w:rsid w:val="002C549E"/>
    <w:rsid w:val="002D19B0"/>
    <w:rsid w:val="002D6D05"/>
    <w:rsid w:val="002F1818"/>
    <w:rsid w:val="002F567B"/>
    <w:rsid w:val="00311953"/>
    <w:rsid w:val="003216A9"/>
    <w:rsid w:val="00335A74"/>
    <w:rsid w:val="00340C55"/>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936BF"/>
    <w:rsid w:val="004A711F"/>
    <w:rsid w:val="004B199D"/>
    <w:rsid w:val="004B4690"/>
    <w:rsid w:val="004D01A4"/>
    <w:rsid w:val="004D7A9A"/>
    <w:rsid w:val="004E0A2D"/>
    <w:rsid w:val="004E206B"/>
    <w:rsid w:val="004E6DF7"/>
    <w:rsid w:val="004F0FBD"/>
    <w:rsid w:val="004F403E"/>
    <w:rsid w:val="00505A47"/>
    <w:rsid w:val="00512FDA"/>
    <w:rsid w:val="00520DA0"/>
    <w:rsid w:val="0054741C"/>
    <w:rsid w:val="00561BA1"/>
    <w:rsid w:val="005664BB"/>
    <w:rsid w:val="00566FFA"/>
    <w:rsid w:val="0057481D"/>
    <w:rsid w:val="00575F0B"/>
    <w:rsid w:val="0058486E"/>
    <w:rsid w:val="00585B33"/>
    <w:rsid w:val="0059014D"/>
    <w:rsid w:val="005B5C64"/>
    <w:rsid w:val="005C62BB"/>
    <w:rsid w:val="005C6BD0"/>
    <w:rsid w:val="005C6C4C"/>
    <w:rsid w:val="005D0910"/>
    <w:rsid w:val="005D1C8B"/>
    <w:rsid w:val="005D468D"/>
    <w:rsid w:val="005D5CED"/>
    <w:rsid w:val="005F1A4C"/>
    <w:rsid w:val="00605688"/>
    <w:rsid w:val="006070AF"/>
    <w:rsid w:val="00607E6C"/>
    <w:rsid w:val="006101B1"/>
    <w:rsid w:val="00614E44"/>
    <w:rsid w:val="00617AB3"/>
    <w:rsid w:val="0062270A"/>
    <w:rsid w:val="00622830"/>
    <w:rsid w:val="00623DA0"/>
    <w:rsid w:val="00630AEF"/>
    <w:rsid w:val="00632110"/>
    <w:rsid w:val="006325F8"/>
    <w:rsid w:val="00633463"/>
    <w:rsid w:val="00634C9A"/>
    <w:rsid w:val="006440E4"/>
    <w:rsid w:val="0066343B"/>
    <w:rsid w:val="00664777"/>
    <w:rsid w:val="0066754F"/>
    <w:rsid w:val="006748A4"/>
    <w:rsid w:val="00681A31"/>
    <w:rsid w:val="00683E73"/>
    <w:rsid w:val="00684209"/>
    <w:rsid w:val="006A3141"/>
    <w:rsid w:val="006A5E34"/>
    <w:rsid w:val="006B2422"/>
    <w:rsid w:val="006B2B9A"/>
    <w:rsid w:val="006C1937"/>
    <w:rsid w:val="006E3795"/>
    <w:rsid w:val="006E6C0B"/>
    <w:rsid w:val="006F020C"/>
    <w:rsid w:val="007007FD"/>
    <w:rsid w:val="00707E9C"/>
    <w:rsid w:val="007127B7"/>
    <w:rsid w:val="0071798E"/>
    <w:rsid w:val="00727533"/>
    <w:rsid w:val="007416B6"/>
    <w:rsid w:val="00746F48"/>
    <w:rsid w:val="0075404D"/>
    <w:rsid w:val="0076182A"/>
    <w:rsid w:val="00767B7E"/>
    <w:rsid w:val="007770C3"/>
    <w:rsid w:val="00784D24"/>
    <w:rsid w:val="00784DEA"/>
    <w:rsid w:val="00785FBA"/>
    <w:rsid w:val="00786E4A"/>
    <w:rsid w:val="007875EB"/>
    <w:rsid w:val="0079426B"/>
    <w:rsid w:val="007B3570"/>
    <w:rsid w:val="007D1682"/>
    <w:rsid w:val="007D312A"/>
    <w:rsid w:val="007D3F19"/>
    <w:rsid w:val="007E23B0"/>
    <w:rsid w:val="007F1991"/>
    <w:rsid w:val="007F2C2F"/>
    <w:rsid w:val="007F55FC"/>
    <w:rsid w:val="007F5665"/>
    <w:rsid w:val="00800112"/>
    <w:rsid w:val="00803FC1"/>
    <w:rsid w:val="00813348"/>
    <w:rsid w:val="008253BB"/>
    <w:rsid w:val="00833962"/>
    <w:rsid w:val="0083706E"/>
    <w:rsid w:val="008408F6"/>
    <w:rsid w:val="008423A5"/>
    <w:rsid w:val="00850625"/>
    <w:rsid w:val="00853718"/>
    <w:rsid w:val="00855221"/>
    <w:rsid w:val="00860645"/>
    <w:rsid w:val="0087043E"/>
    <w:rsid w:val="00870FB7"/>
    <w:rsid w:val="00871F71"/>
    <w:rsid w:val="00872FD8"/>
    <w:rsid w:val="00885AF4"/>
    <w:rsid w:val="008939CD"/>
    <w:rsid w:val="008B08DF"/>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341B"/>
    <w:rsid w:val="0098660A"/>
    <w:rsid w:val="009931C3"/>
    <w:rsid w:val="009B2C43"/>
    <w:rsid w:val="009B4EAE"/>
    <w:rsid w:val="009B7573"/>
    <w:rsid w:val="009C0E62"/>
    <w:rsid w:val="009C22F4"/>
    <w:rsid w:val="009C2E98"/>
    <w:rsid w:val="009C37FB"/>
    <w:rsid w:val="009C5751"/>
    <w:rsid w:val="009C7D27"/>
    <w:rsid w:val="009D3447"/>
    <w:rsid w:val="009D4711"/>
    <w:rsid w:val="009E6045"/>
    <w:rsid w:val="009F1185"/>
    <w:rsid w:val="009F18CD"/>
    <w:rsid w:val="009F2A13"/>
    <w:rsid w:val="009F5704"/>
    <w:rsid w:val="009F7527"/>
    <w:rsid w:val="00A039ED"/>
    <w:rsid w:val="00A04EB0"/>
    <w:rsid w:val="00A13CC1"/>
    <w:rsid w:val="00A16847"/>
    <w:rsid w:val="00A237D8"/>
    <w:rsid w:val="00A268C4"/>
    <w:rsid w:val="00A307CD"/>
    <w:rsid w:val="00A331C8"/>
    <w:rsid w:val="00A35117"/>
    <w:rsid w:val="00A36B94"/>
    <w:rsid w:val="00A40A00"/>
    <w:rsid w:val="00A4142F"/>
    <w:rsid w:val="00A422EB"/>
    <w:rsid w:val="00A45BB7"/>
    <w:rsid w:val="00A4645D"/>
    <w:rsid w:val="00A47E8E"/>
    <w:rsid w:val="00A56DF2"/>
    <w:rsid w:val="00A56E6E"/>
    <w:rsid w:val="00A67AB5"/>
    <w:rsid w:val="00A733B2"/>
    <w:rsid w:val="00A741C2"/>
    <w:rsid w:val="00A91760"/>
    <w:rsid w:val="00A92D60"/>
    <w:rsid w:val="00A938F7"/>
    <w:rsid w:val="00A93B00"/>
    <w:rsid w:val="00A93C21"/>
    <w:rsid w:val="00AA5EA7"/>
    <w:rsid w:val="00AB64C9"/>
    <w:rsid w:val="00AC3C6A"/>
    <w:rsid w:val="00AD0F83"/>
    <w:rsid w:val="00AD5620"/>
    <w:rsid w:val="00AD656B"/>
    <w:rsid w:val="00AD7C1B"/>
    <w:rsid w:val="00AE16BA"/>
    <w:rsid w:val="00AE1EBE"/>
    <w:rsid w:val="00AF2758"/>
    <w:rsid w:val="00AF37A0"/>
    <w:rsid w:val="00B03C9D"/>
    <w:rsid w:val="00B060AE"/>
    <w:rsid w:val="00B10517"/>
    <w:rsid w:val="00B10B70"/>
    <w:rsid w:val="00B14E76"/>
    <w:rsid w:val="00B161B8"/>
    <w:rsid w:val="00B2048C"/>
    <w:rsid w:val="00B310B9"/>
    <w:rsid w:val="00B35F3F"/>
    <w:rsid w:val="00B36CBB"/>
    <w:rsid w:val="00B425E0"/>
    <w:rsid w:val="00B440AA"/>
    <w:rsid w:val="00B44B70"/>
    <w:rsid w:val="00B53C56"/>
    <w:rsid w:val="00B57DAF"/>
    <w:rsid w:val="00B67737"/>
    <w:rsid w:val="00B77EA6"/>
    <w:rsid w:val="00B81598"/>
    <w:rsid w:val="00B841F1"/>
    <w:rsid w:val="00B944D6"/>
    <w:rsid w:val="00BB4780"/>
    <w:rsid w:val="00BB4DF0"/>
    <w:rsid w:val="00BC289F"/>
    <w:rsid w:val="00BC2D50"/>
    <w:rsid w:val="00BC5361"/>
    <w:rsid w:val="00BC5460"/>
    <w:rsid w:val="00BC6B50"/>
    <w:rsid w:val="00BD0E25"/>
    <w:rsid w:val="00BF299E"/>
    <w:rsid w:val="00BF5BD6"/>
    <w:rsid w:val="00C03E31"/>
    <w:rsid w:val="00C04012"/>
    <w:rsid w:val="00C30E69"/>
    <w:rsid w:val="00C33E72"/>
    <w:rsid w:val="00C354B2"/>
    <w:rsid w:val="00C35554"/>
    <w:rsid w:val="00C42709"/>
    <w:rsid w:val="00C513E5"/>
    <w:rsid w:val="00C533CC"/>
    <w:rsid w:val="00C5751C"/>
    <w:rsid w:val="00C61BFC"/>
    <w:rsid w:val="00C62B85"/>
    <w:rsid w:val="00C65438"/>
    <w:rsid w:val="00C74534"/>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40E57"/>
    <w:rsid w:val="00D51276"/>
    <w:rsid w:val="00D7035F"/>
    <w:rsid w:val="00DA634F"/>
    <w:rsid w:val="00DA65AC"/>
    <w:rsid w:val="00DB1913"/>
    <w:rsid w:val="00DC410D"/>
    <w:rsid w:val="00DC5A81"/>
    <w:rsid w:val="00DC68CA"/>
    <w:rsid w:val="00DC7CBA"/>
    <w:rsid w:val="00DD1979"/>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9759E"/>
    <w:rsid w:val="00EA010F"/>
    <w:rsid w:val="00EA4FDC"/>
    <w:rsid w:val="00ED1B63"/>
    <w:rsid w:val="00ED3C1F"/>
    <w:rsid w:val="00ED4085"/>
    <w:rsid w:val="00ED420E"/>
    <w:rsid w:val="00ED6FBE"/>
    <w:rsid w:val="00EE2F57"/>
    <w:rsid w:val="00EF4C34"/>
    <w:rsid w:val="00EF7613"/>
    <w:rsid w:val="00EF77C6"/>
    <w:rsid w:val="00F05438"/>
    <w:rsid w:val="00F1361C"/>
    <w:rsid w:val="00F156F0"/>
    <w:rsid w:val="00F160C7"/>
    <w:rsid w:val="00F2408F"/>
    <w:rsid w:val="00F240E9"/>
    <w:rsid w:val="00F32518"/>
    <w:rsid w:val="00F36D8F"/>
    <w:rsid w:val="00F417B1"/>
    <w:rsid w:val="00F45853"/>
    <w:rsid w:val="00F602DF"/>
    <w:rsid w:val="00F754A1"/>
    <w:rsid w:val="00F81FD9"/>
    <w:rsid w:val="00F841AA"/>
    <w:rsid w:val="00F84A94"/>
    <w:rsid w:val="00F87E96"/>
    <w:rsid w:val="00FA23E8"/>
    <w:rsid w:val="00FD3CC1"/>
    <w:rsid w:val="00FF1E02"/>
    <w:rsid w:val="00FF30B4"/>
    <w:rsid w:val="09783895"/>
    <w:rsid w:val="0E396E51"/>
    <w:rsid w:val="10C055FF"/>
    <w:rsid w:val="11552894"/>
    <w:rsid w:val="16BB723D"/>
    <w:rsid w:val="1B3B0D5F"/>
    <w:rsid w:val="216876E5"/>
    <w:rsid w:val="240371BF"/>
    <w:rsid w:val="2510580D"/>
    <w:rsid w:val="292955A4"/>
    <w:rsid w:val="29FD04D3"/>
    <w:rsid w:val="2E3920F2"/>
    <w:rsid w:val="319F7F4E"/>
    <w:rsid w:val="3EBD7913"/>
    <w:rsid w:val="4ECE2238"/>
    <w:rsid w:val="58C87628"/>
    <w:rsid w:val="5C8728D2"/>
    <w:rsid w:val="5F112DD2"/>
    <w:rsid w:val="5F663956"/>
    <w:rsid w:val="60AB5F0E"/>
    <w:rsid w:val="63A73F5B"/>
    <w:rsid w:val="6D941B1B"/>
    <w:rsid w:val="72734D90"/>
    <w:rsid w:val="7C434A7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99" w:semiHidden="0" w:name="toc 2"/>
    <w:lsdException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2">
    <w:name w:val="Default Paragraph Font"/>
    <w:semiHidden/>
    <w:qFormat/>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5"/>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0"/>
    <w:semiHidden/>
    <w:uiPriority w:val="99"/>
    <w:rPr>
      <w:sz w:val="18"/>
      <w:szCs w:val="18"/>
    </w:rPr>
  </w:style>
  <w:style w:type="paragraph" w:styleId="8">
    <w:name w:val="footer"/>
    <w:basedOn w:val="1"/>
    <w:link w:val="24"/>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style>
  <w:style w:type="character" w:styleId="13">
    <w:name w:val="Strong"/>
    <w:basedOn w:val="12"/>
    <w:qFormat/>
    <w:uiPriority w:val="99"/>
    <w:rPr>
      <w:rFonts w:cs="Times New Roman"/>
      <w:b/>
    </w:rPr>
  </w:style>
  <w:style w:type="character" w:styleId="14">
    <w:name w:val="Hyperlink"/>
    <w:basedOn w:val="12"/>
    <w:qFormat/>
    <w:uiPriority w:val="99"/>
    <w:rPr>
      <w:rFonts w:cs="Times New Roman"/>
      <w:color w:val="0000FF"/>
      <w:u w:val="single"/>
    </w:rPr>
  </w:style>
  <w:style w:type="character" w:customStyle="1" w:styleId="16">
    <w:name w:val="Heading 1 Char"/>
    <w:basedOn w:val="12"/>
    <w:link w:val="2"/>
    <w:locked/>
    <w:uiPriority w:val="99"/>
    <w:rPr>
      <w:rFonts w:ascii="Times New Roman" w:hAnsi="Times New Roman" w:cs="Times New Roman"/>
      <w:b/>
      <w:bCs/>
      <w:kern w:val="44"/>
      <w:sz w:val="44"/>
      <w:szCs w:val="44"/>
    </w:rPr>
  </w:style>
  <w:style w:type="character" w:customStyle="1" w:styleId="17">
    <w:name w:val="Heading 2 Char"/>
    <w:basedOn w:val="12"/>
    <w:link w:val="3"/>
    <w:locked/>
    <w:uiPriority w:val="99"/>
    <w:rPr>
      <w:rFonts w:ascii="Cambria" w:hAnsi="Cambria" w:eastAsia="宋体" w:cs="Times New Roman"/>
      <w:b/>
      <w:bCs/>
      <w:kern w:val="2"/>
      <w:sz w:val="32"/>
      <w:szCs w:val="32"/>
    </w:rPr>
  </w:style>
  <w:style w:type="character" w:customStyle="1" w:styleId="18">
    <w:name w:val="Heading 3 Char"/>
    <w:basedOn w:val="12"/>
    <w:link w:val="4"/>
    <w:locked/>
    <w:uiPriority w:val="99"/>
    <w:rPr>
      <w:rFonts w:ascii="Times New Roman" w:hAnsi="Times New Roman" w:cs="Times New Roman"/>
      <w:b/>
      <w:bCs/>
      <w:kern w:val="2"/>
      <w:sz w:val="32"/>
      <w:szCs w:val="32"/>
    </w:rPr>
  </w:style>
  <w:style w:type="character" w:customStyle="1" w:styleId="19">
    <w:name w:val="Body Text Char"/>
    <w:basedOn w:val="12"/>
    <w:link w:val="5"/>
    <w:semiHidden/>
    <w:locked/>
    <w:uiPriority w:val="99"/>
    <w:rPr>
      <w:rFonts w:ascii="Times New Roman" w:hAnsi="Times New Roman" w:cs="Times New Roman"/>
      <w:sz w:val="24"/>
      <w:szCs w:val="24"/>
    </w:rPr>
  </w:style>
  <w:style w:type="character" w:customStyle="1" w:styleId="20">
    <w:name w:val="Balloon Text Char"/>
    <w:basedOn w:val="12"/>
    <w:link w:val="7"/>
    <w:semiHidden/>
    <w:locked/>
    <w:uiPriority w:val="99"/>
    <w:rPr>
      <w:rFonts w:ascii="Times New Roman" w:hAnsi="Times New Roman" w:cs="Times New Roman"/>
      <w:kern w:val="2"/>
      <w:sz w:val="18"/>
      <w:szCs w:val="18"/>
    </w:rPr>
  </w:style>
  <w:style w:type="character" w:customStyle="1" w:styleId="21">
    <w:name w:val="Footer Char"/>
    <w:basedOn w:val="12"/>
    <w:link w:val="8"/>
    <w:semiHidden/>
    <w:qFormat/>
    <w:locked/>
    <w:uiPriority w:val="99"/>
    <w:rPr>
      <w:rFonts w:ascii="Times New Roman" w:hAnsi="Times New Roman" w:cs="Times New Roman"/>
      <w:sz w:val="18"/>
      <w:szCs w:val="18"/>
    </w:rPr>
  </w:style>
  <w:style w:type="character" w:customStyle="1" w:styleId="22">
    <w:name w:val="Header Char"/>
    <w:basedOn w:val="12"/>
    <w:link w:val="9"/>
    <w:semiHidden/>
    <w:qFormat/>
    <w:locked/>
    <w:uiPriority w:val="99"/>
    <w:rPr>
      <w:rFonts w:ascii="Times New Roman" w:hAnsi="Times New Roman" w:cs="Times New Roman"/>
      <w:sz w:val="18"/>
      <w:szCs w:val="18"/>
    </w:rPr>
  </w:style>
  <w:style w:type="character" w:customStyle="1" w:styleId="23">
    <w:name w:val="Header Char1"/>
    <w:link w:val="9"/>
    <w:semiHidden/>
    <w:qFormat/>
    <w:locked/>
    <w:uiPriority w:val="99"/>
    <w:rPr>
      <w:sz w:val="18"/>
    </w:rPr>
  </w:style>
  <w:style w:type="character" w:customStyle="1" w:styleId="24">
    <w:name w:val="Footer Char1"/>
    <w:link w:val="8"/>
    <w:locked/>
    <w:uiPriority w:val="99"/>
    <w:rPr>
      <w:sz w:val="18"/>
    </w:rPr>
  </w:style>
  <w:style w:type="character" w:customStyle="1" w:styleId="25">
    <w:name w:val="Body Text Char1"/>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29">
    <w:name w:val="TOC 标题2"/>
    <w:basedOn w:val="2"/>
    <w:next w:val="1"/>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1451</Words>
  <Characters>8272</Characters>
  <Lines>0</Lines>
  <Paragraphs>0</Paragraphs>
  <TotalTime>1212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2020-10-13T03:16:00Z</dcterms:created>
  <dc:creator>曹颖</dc:creator>
  <cp:lastModifiedBy>陶淑群 </cp:lastModifiedBy>
  <cp:lastPrinted>2020-10-23T03:27:00Z</cp:lastPrinted>
  <dcterms:modified xsi:type="dcterms:W3CDTF">2020-10-26T09:34:56Z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