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before="93"/>
        <w:rPr>
          <w:rFonts w:ascii="黑体" w:hAnsi="黑体" w:eastAsia="黑体" w:cs="黑体"/>
          <w:kern w:val="2"/>
          <w:sz w:val="32"/>
          <w:szCs w:val="32"/>
        </w:rPr>
      </w:pPr>
      <w:bookmarkStart w:id="0" w:name="_Toc15378441"/>
      <w:bookmarkStart w:id="1" w:name="_Toc15377425"/>
      <w:bookmarkStart w:id="2" w:name="_Toc15377193"/>
      <w:bookmarkStart w:id="3" w:name="_Toc15396597"/>
      <w:bookmarkStart w:id="4" w:name="_Toc15396475"/>
      <w:bookmarkStart w:id="5" w:name="_Toc15306267"/>
      <w:r>
        <w:rPr>
          <w:rFonts w:hint="eastAsia" w:ascii="黑体" w:hAnsi="黑体" w:eastAsia="黑体" w:cs="黑体"/>
          <w:kern w:val="2"/>
          <w:sz w:val="32"/>
          <w:szCs w:val="32"/>
        </w:rPr>
        <w:t>附件4</w:t>
      </w:r>
    </w:p>
    <w:p>
      <w:pPr>
        <w:pStyle w:val="8"/>
        <w:spacing w:before="93"/>
        <w:rPr>
          <w:rFonts w:ascii="Times New Roman" w:eastAsia="Arial Unicode MS"/>
          <w:kern w:val="2"/>
          <w:sz w:val="72"/>
          <w:szCs w:val="72"/>
        </w:rPr>
      </w:pPr>
    </w:p>
    <w:p>
      <w:pPr>
        <w:pStyle w:val="8"/>
        <w:spacing w:before="93"/>
        <w:rPr>
          <w:rFonts w:ascii="Times New Roman" w:eastAsia="Arial Unicode MS"/>
          <w:kern w:val="2"/>
          <w:sz w:val="72"/>
          <w:szCs w:val="72"/>
        </w:rPr>
      </w:pPr>
    </w:p>
    <w:p>
      <w:pPr>
        <w:pStyle w:val="8"/>
        <w:spacing w:before="93"/>
        <w:rPr>
          <w:rFonts w:ascii="Times New Roman" w:eastAsia="Arial Unicode MS"/>
          <w:kern w:val="2"/>
          <w:sz w:val="72"/>
          <w:szCs w:val="72"/>
        </w:rPr>
      </w:pPr>
      <w:bookmarkStart w:id="67" w:name="_GoBack"/>
      <w:bookmarkEnd w:id="67"/>
    </w:p>
    <w:p>
      <w:pPr>
        <w:pStyle w:val="8"/>
        <w:spacing w:before="93"/>
        <w:rPr>
          <w:rFonts w:ascii="Times New Roman" w:eastAsia="Arial Unicode MS"/>
          <w:kern w:val="2"/>
          <w:sz w:val="72"/>
          <w:szCs w:val="72"/>
        </w:rPr>
      </w:pPr>
    </w:p>
    <w:p>
      <w:pPr>
        <w:pStyle w:val="8"/>
        <w:spacing w:before="93"/>
        <w:jc w:val="center"/>
        <w:rPr>
          <w:rFonts w:ascii="黑体" w:hAnsi="黑体" w:eastAsia="黑体" w:cs="黑体"/>
          <w:kern w:val="2"/>
          <w:sz w:val="96"/>
          <w:szCs w:val="96"/>
        </w:rPr>
      </w:pPr>
      <w:r>
        <w:rPr>
          <w:rFonts w:hint="eastAsia" w:ascii="黑体" w:hAnsi="黑体" w:eastAsia="黑体" w:cs="黑体"/>
          <w:kern w:val="2"/>
          <w:sz w:val="96"/>
          <w:szCs w:val="96"/>
        </w:rPr>
        <w:t>壤塘县林业和草原局2025年度决算</w:t>
      </w:r>
    </w:p>
    <w:p>
      <w:pPr>
        <w:pStyle w:val="8"/>
        <w:spacing w:before="93"/>
        <w:jc w:val="center"/>
        <w:rPr>
          <w:rFonts w:ascii="黑体" w:hAnsi="黑体" w:eastAsia="黑体" w:cs="黑体"/>
          <w:kern w:val="2"/>
          <w:sz w:val="96"/>
          <w:szCs w:val="96"/>
        </w:rPr>
      </w:pPr>
      <w:r>
        <w:rPr>
          <w:rFonts w:hint="eastAsia" w:ascii="黑体" w:hAnsi="黑体" w:eastAsia="黑体" w:cs="黑体"/>
          <w:kern w:val="2"/>
          <w:sz w:val="96"/>
          <w:szCs w:val="96"/>
        </w:rPr>
        <w:t>公开说明</w:t>
      </w:r>
    </w:p>
    <w:p/>
    <w:bookmarkEnd w:id="0"/>
    <w:bookmarkEnd w:id="1"/>
    <w:bookmarkEnd w:id="2"/>
    <w:bookmarkEnd w:id="3"/>
    <w:bookmarkEnd w:id="4"/>
    <w:bookmarkEnd w:id="5"/>
    <w:p>
      <w:pPr>
        <w:widowControl/>
        <w:jc w:val="center"/>
        <w:rPr>
          <w:rFonts w:eastAsia="黑体"/>
          <w:sz w:val="48"/>
          <w:szCs w:val="48"/>
        </w:rPr>
      </w:pPr>
    </w:p>
    <w:p>
      <w:pPr>
        <w:widowControl/>
        <w:jc w:val="center"/>
        <w:rPr>
          <w:rFonts w:eastAsia="黑体"/>
          <w:sz w:val="48"/>
          <w:szCs w:val="48"/>
        </w:rPr>
      </w:pPr>
    </w:p>
    <w:p>
      <w:pPr>
        <w:widowControl/>
        <w:jc w:val="center"/>
        <w:rPr>
          <w:rFonts w:eastAsia="黑体"/>
          <w:sz w:val="48"/>
          <w:szCs w:val="48"/>
        </w:rPr>
      </w:pPr>
    </w:p>
    <w:p>
      <w:pPr>
        <w:widowControl/>
        <w:jc w:val="center"/>
        <w:rPr>
          <w:rFonts w:eastAsia="黑体"/>
          <w:sz w:val="48"/>
          <w:szCs w:val="48"/>
        </w:rPr>
      </w:pPr>
    </w:p>
    <w:p>
      <w:pPr>
        <w:widowControl/>
        <w:jc w:val="center"/>
        <w:rPr>
          <w:rFonts w:eastAsia="黑体"/>
          <w:sz w:val="48"/>
          <w:szCs w:val="48"/>
        </w:rPr>
      </w:pPr>
    </w:p>
    <w:p>
      <w:pPr>
        <w:widowControl/>
        <w:jc w:val="center"/>
        <w:rPr>
          <w:rFonts w:eastAsia="黑体"/>
          <w:sz w:val="48"/>
          <w:szCs w:val="48"/>
        </w:rPr>
      </w:pPr>
    </w:p>
    <w:p>
      <w:pPr>
        <w:widowControl/>
        <w:jc w:val="center"/>
        <w:rPr>
          <w:rFonts w:eastAsia="黑体"/>
          <w:sz w:val="48"/>
          <w:szCs w:val="48"/>
        </w:rPr>
      </w:pPr>
    </w:p>
    <w:p>
      <w:pPr>
        <w:widowControl/>
        <w:jc w:val="center"/>
        <w:rPr>
          <w:rFonts w:eastAsia="黑体"/>
          <w:sz w:val="48"/>
          <w:szCs w:val="48"/>
        </w:rPr>
      </w:pPr>
      <w:r>
        <w:rPr>
          <w:rFonts w:hint="eastAsia" w:eastAsia="黑体"/>
          <w:sz w:val="48"/>
          <w:szCs w:val="48"/>
        </w:rPr>
        <w:t>目录</w:t>
      </w:r>
    </w:p>
    <w:p>
      <w:pPr>
        <w:widowControl/>
        <w:jc w:val="center"/>
        <w:rPr>
          <w:rFonts w:eastAsia="黑体" w:cstheme="minorBidi"/>
          <w:sz w:val="28"/>
          <w:szCs w:val="28"/>
        </w:rPr>
      </w:pPr>
    </w:p>
    <w:p>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公开时间：2026年10月21日</w:t>
      </w:r>
    </w:p>
    <w:p/>
    <w:p>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部门概况</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一、部门职责</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二、机构设置</w:t>
      </w:r>
    </w:p>
    <w:p>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第二部分 2025年度部门决算情况说明</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一、收入支出决算总体情况说明</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二、收入决算情况说明</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三、支出决算情况说明</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四、财政拨款收入支出决算总体情况说明</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五、一般公共预算财政拨款支出决算情况说明</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六、一般公共预算财政拨款基本支出决算情况说明</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七、财政拨款“三公”经费支出决算情况说明</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八、政府性基金预算支出决算情况说明</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九、国有资本经营预算支出决算情况说明</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十、其他重要事项的情况说明</w:t>
      </w:r>
    </w:p>
    <w:p>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第三部分 名词解释</w:t>
      </w:r>
    </w:p>
    <w:p>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第四部分 附件</w:t>
      </w:r>
    </w:p>
    <w:p>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第五部分 附表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p>
    <w:p>
      <w:pPr>
        <w:widowControl/>
        <w:spacing w:line="560" w:lineRule="exact"/>
        <w:jc w:val="left"/>
        <w:rPr>
          <w:rFonts w:hint="eastAsia" w:eastAsia="仿宋_GB2312" w:cs="仿宋_GB2312"/>
          <w:b/>
          <w:sz w:val="32"/>
          <w:szCs w:val="32"/>
        </w:rPr>
      </w:pPr>
      <w:bookmarkStart w:id="6" w:name="_Toc15396599"/>
      <w:bookmarkStart w:id="7" w:name="_Toc15377196"/>
    </w:p>
    <w:p>
      <w:pPr>
        <w:pStyle w:val="2"/>
        <w:rPr>
          <w:rFonts w:hint="eastAsia"/>
        </w:rPr>
      </w:pPr>
    </w:p>
    <w:p>
      <w:pPr>
        <w:pStyle w:val="3"/>
        <w:ind w:left="420"/>
        <w:rPr>
          <w:rFonts w:hint="eastAsia"/>
        </w:rPr>
      </w:pPr>
    </w:p>
    <w:p>
      <w:pPr>
        <w:rPr>
          <w:rFonts w:hint="eastAsia"/>
        </w:rPr>
      </w:pPr>
    </w:p>
    <w:p>
      <w:pPr>
        <w:pStyle w:val="2"/>
        <w:rPr>
          <w:rFonts w:hint="eastAsia"/>
        </w:rPr>
      </w:pPr>
    </w:p>
    <w:p>
      <w:pPr>
        <w:pStyle w:val="3"/>
        <w:ind w:left="420"/>
        <w:rPr>
          <w:rFonts w:hint="eastAsia"/>
        </w:rPr>
      </w:pPr>
    </w:p>
    <w:p>
      <w:pPr>
        <w:rPr>
          <w:rFonts w:hint="eastAsia"/>
        </w:rPr>
      </w:pPr>
    </w:p>
    <w:p>
      <w:pPr>
        <w:pStyle w:val="2"/>
        <w:rPr>
          <w:rFonts w:hint="eastAsia"/>
        </w:rPr>
      </w:pPr>
    </w:p>
    <w:p>
      <w:pPr>
        <w:pStyle w:val="3"/>
        <w:ind w:left="420"/>
        <w:rPr>
          <w:rFonts w:hint="eastAsia"/>
        </w:rPr>
      </w:pPr>
    </w:p>
    <w:p>
      <w:pPr>
        <w:rPr>
          <w:rFonts w:hint="eastAsia"/>
        </w:rPr>
      </w:pPr>
    </w:p>
    <w:p>
      <w:pPr>
        <w:pStyle w:val="2"/>
        <w:rPr>
          <w:rFonts w:hint="eastAsia"/>
        </w:rPr>
      </w:pPr>
    </w:p>
    <w:p>
      <w:pPr>
        <w:pStyle w:val="3"/>
        <w:ind w:left="420"/>
        <w:rPr>
          <w:rFonts w:hint="eastAsia"/>
        </w:rPr>
      </w:pPr>
    </w:p>
    <w:p>
      <w:pPr>
        <w:rPr>
          <w:rFonts w:hint="eastAsia"/>
        </w:rPr>
      </w:pPr>
    </w:p>
    <w:p>
      <w:pPr>
        <w:pStyle w:val="2"/>
        <w:rPr>
          <w:rFonts w:hint="eastAsia"/>
        </w:rPr>
      </w:pPr>
    </w:p>
    <w:p>
      <w:pPr>
        <w:pStyle w:val="3"/>
        <w:ind w:left="420"/>
        <w:rPr>
          <w:rFonts w:hint="eastAsia"/>
        </w:rPr>
      </w:pPr>
    </w:p>
    <w:p>
      <w:pPr>
        <w:rPr>
          <w:rFonts w:hint="eastAsia"/>
        </w:rPr>
      </w:pPr>
    </w:p>
    <w:p>
      <w:pPr>
        <w:pStyle w:val="2"/>
        <w:rPr>
          <w:rFonts w:hint="eastAsia"/>
        </w:rPr>
      </w:pPr>
    </w:p>
    <w:p>
      <w:pPr>
        <w:pStyle w:val="3"/>
        <w:ind w:left="420"/>
      </w:pPr>
    </w:p>
    <w:p>
      <w:pPr>
        <w:pStyle w:val="5"/>
        <w:jc w:val="center"/>
        <w:rPr>
          <w:rFonts w:eastAsia="黑体"/>
          <w:sz w:val="32"/>
          <w:szCs w:val="32"/>
        </w:rPr>
      </w:pPr>
      <w:r>
        <w:rPr>
          <w:rFonts w:hint="eastAsia" w:eastAsia="Arial Unicode MS" w:cs="Arial Unicode MS"/>
          <w:b w:val="0"/>
        </w:rPr>
        <w:t xml:space="preserve">第一部分  </w:t>
      </w:r>
      <w:r>
        <w:rPr>
          <w:rStyle w:val="28"/>
          <w:rFonts w:hint="eastAsia" w:eastAsia="Arial Unicode MS" w:cs="Arial Unicode MS"/>
          <w:b w:val="0"/>
          <w:bCs w:val="0"/>
        </w:rPr>
        <w:t>部门概况</w:t>
      </w:r>
      <w:bookmarkEnd w:id="6"/>
      <w:bookmarkEnd w:id="7"/>
    </w:p>
    <w:p>
      <w:pPr>
        <w:pStyle w:val="6"/>
        <w:numPr>
          <w:ilvl w:val="0"/>
          <w:numId w:val="1"/>
        </w:numPr>
        <w:rPr>
          <w:rFonts w:ascii="Times New Roman" w:hAnsi="Times New Roman" w:eastAsia="黑体"/>
          <w:b w:val="0"/>
        </w:rPr>
      </w:pPr>
      <w:r>
        <w:rPr>
          <w:rFonts w:hint="eastAsia" w:ascii="Times New Roman" w:hAnsi="Times New Roman" w:eastAsia="黑体"/>
          <w:b w:val="0"/>
        </w:rPr>
        <w:t>部门职责</w:t>
      </w:r>
    </w:p>
    <w:p>
      <w:pPr>
        <w:snapToGrid w:val="0"/>
        <w:spacing w:line="520" w:lineRule="exact"/>
        <w:ind w:left="567"/>
        <w:rPr>
          <w:rFonts w:ascii="楷体" w:eastAsia="楷体" w:cs="楷体"/>
          <w:b/>
          <w:bCs/>
          <w:sz w:val="32"/>
          <w:szCs w:val="32"/>
        </w:rPr>
      </w:pPr>
      <w:r>
        <w:rPr>
          <w:rFonts w:hint="eastAsia" w:ascii="楷体" w:eastAsia="楷体" w:cs="楷体"/>
          <w:b/>
          <w:bCs/>
          <w:sz w:val="32"/>
          <w:szCs w:val="32"/>
        </w:rPr>
        <w:t>主要职能</w:t>
      </w:r>
    </w:p>
    <w:p>
      <w:pPr>
        <w:autoSpaceDE w:val="0"/>
        <w:autoSpaceDN w:val="0"/>
        <w:adjustRightInd w:val="0"/>
        <w:spacing w:line="560" w:lineRule="exact"/>
        <w:ind w:firstLine="640" w:firstLineChars="200"/>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w:t>
      </w:r>
      <w:r>
        <w:rPr>
          <w:rFonts w:hint="eastAsia" w:ascii="仿宋_GB2312" w:eastAsia="仿宋_GB2312" w:cs="仿宋_GB2312"/>
          <w:kern w:val="0"/>
          <w:sz w:val="32"/>
          <w:szCs w:val="32"/>
        </w:rPr>
        <w:t>一</w:t>
      </w:r>
      <w:r>
        <w:rPr>
          <w:rFonts w:hint="eastAsia" w:ascii="仿宋_GB2312" w:eastAsia="仿宋_GB2312" w:cs="仿宋_GB2312"/>
          <w:kern w:val="0"/>
          <w:sz w:val="32"/>
          <w:szCs w:val="32"/>
          <w:lang w:val="zh-CN"/>
        </w:rPr>
        <w:t>）负责全县林业和草原及生态保护修复的监督管理。</w:t>
      </w:r>
    </w:p>
    <w:p>
      <w:pPr>
        <w:autoSpaceDE w:val="0"/>
        <w:autoSpaceDN w:val="0"/>
        <w:adjustRightInd w:val="0"/>
        <w:spacing w:line="560" w:lineRule="exact"/>
        <w:ind w:firstLine="640" w:firstLineChars="200"/>
        <w:rPr>
          <w:rFonts w:ascii="仿宋_GB2312" w:eastAsia="仿宋_GB2312"/>
          <w:kern w:val="0"/>
          <w:sz w:val="32"/>
          <w:szCs w:val="32"/>
          <w:lang w:val="zh-CN"/>
        </w:rPr>
      </w:pPr>
      <w:r>
        <w:rPr>
          <w:rFonts w:hint="eastAsia" w:ascii="仿宋_GB2312" w:eastAsia="仿宋_GB2312" w:cs="仿宋_GB2312"/>
          <w:kern w:val="0"/>
          <w:sz w:val="32"/>
          <w:szCs w:val="32"/>
          <w:lang w:val="zh-CN"/>
        </w:rPr>
        <w:t>（二）组织全县林业和草原生态保护修复和造林绿化工作。</w:t>
      </w:r>
    </w:p>
    <w:p>
      <w:pPr>
        <w:autoSpaceDE w:val="0"/>
        <w:autoSpaceDN w:val="0"/>
        <w:adjustRightInd w:val="0"/>
        <w:spacing w:line="560" w:lineRule="exact"/>
        <w:ind w:firstLine="640" w:firstLineChars="200"/>
        <w:rPr>
          <w:rFonts w:ascii="仿宋_GB2312" w:eastAsia="仿宋_GB2312"/>
          <w:kern w:val="0"/>
          <w:sz w:val="32"/>
          <w:szCs w:val="32"/>
          <w:lang w:val="zh-CN"/>
        </w:rPr>
      </w:pPr>
      <w:r>
        <w:rPr>
          <w:rFonts w:hint="eastAsia" w:ascii="仿宋_GB2312" w:eastAsia="仿宋_GB2312" w:cs="仿宋_GB2312"/>
          <w:kern w:val="0"/>
          <w:sz w:val="32"/>
          <w:szCs w:val="32"/>
          <w:lang w:val="zh-CN"/>
        </w:rPr>
        <w:t>（三）负责全县森林、草原、湿地资源的监督管理。组织编制并监督执行全县森林采伐限额。</w:t>
      </w:r>
    </w:p>
    <w:p>
      <w:pPr>
        <w:autoSpaceDE w:val="0"/>
        <w:autoSpaceDN w:val="0"/>
        <w:adjustRightInd w:val="0"/>
        <w:spacing w:line="560" w:lineRule="exact"/>
        <w:ind w:firstLine="640" w:firstLineChars="200"/>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（四）负责监督管理全县荒漠化防治工作。</w:t>
      </w:r>
    </w:p>
    <w:p>
      <w:pPr>
        <w:autoSpaceDE w:val="0"/>
        <w:autoSpaceDN w:val="0"/>
        <w:adjustRightInd w:val="0"/>
        <w:spacing w:line="560" w:lineRule="exact"/>
        <w:ind w:firstLine="640" w:firstLineChars="200"/>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（五）负责全县陆生野生动植物资源监督管理。</w:t>
      </w:r>
    </w:p>
    <w:p>
      <w:pPr>
        <w:autoSpaceDE w:val="0"/>
        <w:autoSpaceDN w:val="0"/>
        <w:adjustRightInd w:val="0"/>
        <w:spacing w:line="560" w:lineRule="exact"/>
        <w:ind w:firstLine="640" w:firstLineChars="200"/>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（六）负责监督管理全县各类自然保护地。</w:t>
      </w:r>
    </w:p>
    <w:p>
      <w:pPr>
        <w:autoSpaceDE w:val="0"/>
        <w:autoSpaceDN w:val="0"/>
        <w:adjustRightInd w:val="0"/>
        <w:spacing w:line="560" w:lineRule="exact"/>
        <w:ind w:firstLine="640" w:firstLineChars="200"/>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（七）负责推进全县林业和草原改革相关工作。</w:t>
      </w:r>
    </w:p>
    <w:p>
      <w:pPr>
        <w:autoSpaceDE w:val="0"/>
        <w:autoSpaceDN w:val="0"/>
        <w:adjustRightInd w:val="0"/>
        <w:spacing w:line="560" w:lineRule="exact"/>
        <w:ind w:firstLine="640" w:firstLineChars="200"/>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（八）拟订全县林业和草原资源优化配置及木材利用政策，拟订相关林业产业地方标准并监督实施，组织、指导林草产品质量监督，实施生态扶贫相关工作。</w:t>
      </w:r>
    </w:p>
    <w:p>
      <w:pPr>
        <w:autoSpaceDE w:val="0"/>
        <w:autoSpaceDN w:val="0"/>
        <w:adjustRightInd w:val="0"/>
        <w:spacing w:line="560" w:lineRule="exact"/>
        <w:ind w:firstLine="640" w:firstLineChars="200"/>
        <w:rPr>
          <w:rFonts w:ascii="仿宋_GB2312" w:eastAsia="仿宋_GB2312"/>
          <w:kern w:val="0"/>
          <w:sz w:val="32"/>
          <w:szCs w:val="32"/>
          <w:lang w:val="zh-CN"/>
        </w:rPr>
      </w:pPr>
      <w:r>
        <w:rPr>
          <w:rFonts w:hint="eastAsia" w:ascii="仿宋_GB2312" w:eastAsia="仿宋_GB2312" w:cs="仿宋_GB2312"/>
          <w:kern w:val="0"/>
          <w:sz w:val="32"/>
          <w:szCs w:val="32"/>
          <w:lang w:val="zh-CN"/>
        </w:rPr>
        <w:t>（九）指导全县国有林区基本建设和发展，组织林木种子、草种种质资源普查，组织建立种质资源库，负责良种选育推广，管理林木种苗、草种生产经营行为，监管林木种苗、草种质量。监督管理林业和草原生物种质资源、转基因生物安全、植物新品种保护。</w:t>
      </w:r>
    </w:p>
    <w:p>
      <w:pPr>
        <w:autoSpaceDE w:val="0"/>
        <w:autoSpaceDN w:val="0"/>
        <w:adjustRightInd w:val="0"/>
        <w:spacing w:line="560" w:lineRule="exact"/>
        <w:ind w:firstLine="800" w:firstLineChars="250"/>
        <w:rPr>
          <w:rFonts w:ascii="仿宋_GB2312" w:eastAsia="仿宋_GB2312"/>
          <w:kern w:val="0"/>
          <w:sz w:val="32"/>
          <w:szCs w:val="32"/>
          <w:lang w:val="zh-CN"/>
        </w:rPr>
      </w:pPr>
      <w:r>
        <w:rPr>
          <w:rFonts w:hint="eastAsia" w:ascii="仿宋_GB2312" w:eastAsia="仿宋_GB2312" w:cs="仿宋_GB2312"/>
          <w:kern w:val="0"/>
          <w:sz w:val="32"/>
          <w:szCs w:val="32"/>
          <w:lang w:val="zh-CN"/>
        </w:rPr>
        <w:t>（十）负责落实全县综合防灾减灾规划相关要求，组织编制森林和草原火灾防治规划和防护标准并指导实施，组织、指导开展防火巡护、火源管理、防火设施建设等工作。负责森林和草原火情监测预警、火灾预防工作，发送森林和草原火险信息。组织指导国有林场林区和草原开展宣传教育、监测预警、督促检查等防火工作。</w:t>
      </w:r>
    </w:p>
    <w:p>
      <w:pPr>
        <w:autoSpaceDE w:val="0"/>
        <w:autoSpaceDN w:val="0"/>
        <w:adjustRightInd w:val="0"/>
        <w:spacing w:line="560" w:lineRule="exact"/>
        <w:ind w:firstLine="800" w:firstLineChars="250"/>
        <w:rPr>
          <w:rFonts w:ascii="仿宋_GB2312" w:eastAsia="仿宋_GB2312"/>
          <w:kern w:val="0"/>
          <w:sz w:val="32"/>
          <w:szCs w:val="32"/>
          <w:lang w:val="zh-CN"/>
        </w:rPr>
      </w:pPr>
      <w:r>
        <w:rPr>
          <w:rFonts w:hint="eastAsia" w:ascii="仿宋_GB2312" w:eastAsia="仿宋_GB2312" w:cs="仿宋_GB2312"/>
          <w:kern w:val="0"/>
          <w:sz w:val="32"/>
          <w:szCs w:val="32"/>
          <w:lang w:val="zh-CN"/>
        </w:rPr>
        <w:t>（十一）监督管理全县林业和草原资金和国有资产，提出林业和草原预算内投资、县级财政性资金安排建议，按县政府规定权限，核报、核准规划内和年度计划内投资项目。参与拟订全县林业和草原经济调节政策，组织实施林业和草原生态补偿工作。</w:t>
      </w:r>
    </w:p>
    <w:p>
      <w:pPr>
        <w:autoSpaceDE w:val="0"/>
        <w:autoSpaceDN w:val="0"/>
        <w:adjustRightInd w:val="0"/>
        <w:spacing w:line="560" w:lineRule="exact"/>
        <w:ind w:firstLine="800" w:firstLineChars="250"/>
        <w:rPr>
          <w:rFonts w:ascii="仿宋_GB2312" w:eastAsia="仿宋_GB2312"/>
          <w:color w:val="FF0000"/>
          <w:kern w:val="0"/>
          <w:sz w:val="32"/>
          <w:szCs w:val="32"/>
          <w:lang w:val="zh-CN"/>
        </w:rPr>
      </w:pPr>
      <w:r>
        <w:rPr>
          <w:rFonts w:hint="eastAsia" w:ascii="仿宋_GB2312" w:eastAsia="仿宋_GB2312" w:cs="仿宋_GB2312"/>
          <w:kern w:val="0"/>
          <w:sz w:val="32"/>
          <w:szCs w:val="32"/>
          <w:lang w:val="zh-CN"/>
        </w:rPr>
        <w:t>（十二）负责林业和草原科技、教育和对外交流工作，指导全县林业和草原人才队伍建设，组织实施林业和草原对外交流与合作事务，承担湿地、防治荒漠化、濒危野生动植物等国际公约履约有关工作。</w:t>
      </w:r>
    </w:p>
    <w:p>
      <w:pPr>
        <w:autoSpaceDE w:val="0"/>
        <w:autoSpaceDN w:val="0"/>
        <w:adjustRightInd w:val="0"/>
        <w:spacing w:line="560" w:lineRule="exact"/>
        <w:ind w:firstLine="800" w:firstLineChars="250"/>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（十</w:t>
      </w:r>
      <w:r>
        <w:rPr>
          <w:rFonts w:hint="eastAsia" w:ascii="仿宋_GB2312" w:eastAsia="仿宋_GB2312" w:cs="仿宋_GB2312"/>
          <w:kern w:val="0"/>
          <w:sz w:val="32"/>
          <w:szCs w:val="32"/>
        </w:rPr>
        <w:t>三</w:t>
      </w:r>
      <w:r>
        <w:rPr>
          <w:rFonts w:hint="eastAsia" w:ascii="仿宋_GB2312" w:eastAsia="仿宋_GB2312" w:cs="仿宋_GB2312"/>
          <w:kern w:val="0"/>
          <w:sz w:val="32"/>
          <w:szCs w:val="32"/>
          <w:lang w:val="zh-CN"/>
        </w:rPr>
        <w:t>）负责县属林业企业监督管理。</w:t>
      </w:r>
    </w:p>
    <w:p>
      <w:pPr>
        <w:autoSpaceDE w:val="0"/>
        <w:autoSpaceDN w:val="0"/>
        <w:adjustRightInd w:val="0"/>
        <w:spacing w:line="560" w:lineRule="exact"/>
        <w:ind w:firstLine="800" w:firstLineChars="250"/>
        <w:rPr>
          <w:rFonts w:ascii="仿宋_GB2312" w:eastAsia="仿宋_GB2312"/>
          <w:kern w:val="0"/>
          <w:sz w:val="32"/>
          <w:szCs w:val="32"/>
          <w:lang w:val="zh-CN"/>
        </w:rPr>
      </w:pPr>
      <w:r>
        <w:rPr>
          <w:rFonts w:hint="eastAsia" w:ascii="仿宋_GB2312" w:eastAsia="仿宋_GB2312" w:cs="仿宋_GB2312"/>
          <w:kern w:val="0"/>
          <w:sz w:val="32"/>
          <w:szCs w:val="32"/>
          <w:lang w:val="zh-CN"/>
        </w:rPr>
        <w:t>（十</w:t>
      </w:r>
      <w:r>
        <w:rPr>
          <w:rFonts w:hint="eastAsia" w:ascii="仿宋_GB2312" w:eastAsia="仿宋_GB2312" w:cs="仿宋_GB2312"/>
          <w:kern w:val="0"/>
          <w:sz w:val="32"/>
          <w:szCs w:val="32"/>
        </w:rPr>
        <w:t>四</w:t>
      </w:r>
      <w:r>
        <w:rPr>
          <w:rFonts w:hint="eastAsia" w:ascii="仿宋_GB2312" w:eastAsia="仿宋_GB2312" w:cs="仿宋_GB2312"/>
          <w:kern w:val="0"/>
          <w:sz w:val="32"/>
          <w:szCs w:val="32"/>
          <w:lang w:val="zh-CN"/>
        </w:rPr>
        <w:t>）承担职责范围内的安全生产和职业健康、生态环境保护、审批服务便民化等工作。</w:t>
      </w:r>
    </w:p>
    <w:p>
      <w:pPr>
        <w:ind w:firstLine="960" w:firstLineChars="300"/>
      </w:pPr>
      <w:r>
        <w:rPr>
          <w:rFonts w:hint="eastAsia" w:ascii="仿宋_GB2312" w:eastAsia="仿宋_GB2312" w:cs="仿宋_GB2312"/>
          <w:kern w:val="0"/>
          <w:sz w:val="32"/>
          <w:szCs w:val="32"/>
          <w:lang w:val="zh-CN"/>
        </w:rPr>
        <w:t>（十</w:t>
      </w:r>
      <w:r>
        <w:rPr>
          <w:rFonts w:hint="eastAsia" w:ascii="仿宋_GB2312" w:eastAsia="仿宋_GB2312" w:cs="仿宋_GB2312"/>
          <w:kern w:val="0"/>
          <w:sz w:val="32"/>
          <w:szCs w:val="32"/>
        </w:rPr>
        <w:t>五</w:t>
      </w:r>
      <w:r>
        <w:rPr>
          <w:rFonts w:hint="eastAsia" w:ascii="仿宋_GB2312" w:eastAsia="仿宋_GB2312" w:cs="仿宋_GB2312"/>
          <w:kern w:val="0"/>
          <w:sz w:val="32"/>
          <w:szCs w:val="32"/>
          <w:lang w:val="zh-CN"/>
        </w:rPr>
        <w:t>）完成县委和县政府交办的其他任务。</w:t>
      </w:r>
    </w:p>
    <w:p>
      <w:pPr>
        <w:pStyle w:val="6"/>
        <w:rPr>
          <w:rStyle w:val="29"/>
          <w:rFonts w:ascii="Times New Roman" w:hAnsi="Times New Roman"/>
          <w:b w:val="0"/>
          <w:bCs w:val="0"/>
        </w:rPr>
      </w:pPr>
      <w:bookmarkStart w:id="8" w:name="_Toc15396601"/>
      <w:bookmarkStart w:id="9" w:name="_Toc15377200"/>
      <w:r>
        <w:rPr>
          <w:rFonts w:hint="eastAsia" w:ascii="Times New Roman" w:hAnsi="Times New Roman" w:eastAsia="黑体"/>
          <w:b w:val="0"/>
        </w:rPr>
        <w:t>二、机</w:t>
      </w:r>
      <w:r>
        <w:rPr>
          <w:rStyle w:val="29"/>
          <w:rFonts w:hint="eastAsia" w:ascii="Times New Roman" w:hAnsi="Times New Roman" w:eastAsia="黑体"/>
          <w:b w:val="0"/>
          <w:bCs w:val="0"/>
        </w:rPr>
        <w:t>构设置</w:t>
      </w:r>
      <w:bookmarkEnd w:id="8"/>
      <w:bookmarkEnd w:id="9"/>
    </w:p>
    <w:p>
      <w:pPr>
        <w:ind w:firstLine="800" w:firstLineChars="250"/>
        <w:rPr>
          <w:rFonts w:eastAsia="仿宋_GB2312" w:cs="仿宋_GB2312"/>
          <w:sz w:val="32"/>
          <w:szCs w:val="32"/>
        </w:rPr>
      </w:pPr>
      <w:r>
        <w:rPr>
          <w:rFonts w:hint="eastAsia" w:ascii="仿宋_GB2312" w:hAnsi="仿宋_GB2312" w:eastAsia="仿宋_GB2312" w:cs="仿宋_GB2312"/>
          <w:sz w:val="32"/>
          <w:szCs w:val="32"/>
        </w:rPr>
        <w:t>壤塘县林业和草原局</w:t>
      </w:r>
      <w:r>
        <w:rPr>
          <w:rFonts w:hint="eastAsia" w:eastAsia="仿宋_GB2312" w:cs="仿宋_GB2312"/>
          <w:sz w:val="32"/>
          <w:szCs w:val="32"/>
        </w:rPr>
        <w:t>下属二级预算单位0个，其中行政单位0个，参照公务员法管理的事业单位</w:t>
      </w:r>
      <w:r>
        <w:rPr>
          <w:rFonts w:hint="eastAsia" w:eastAsia="仿宋_GB2312" w:cs="仿宋_GB2312"/>
          <w:bCs/>
          <w:sz w:val="32"/>
          <w:szCs w:val="32"/>
        </w:rPr>
        <w:t>0</w:t>
      </w:r>
      <w:r>
        <w:rPr>
          <w:rFonts w:hint="eastAsia" w:eastAsia="仿宋_GB2312" w:cs="仿宋_GB2312"/>
          <w:sz w:val="32"/>
          <w:szCs w:val="32"/>
        </w:rPr>
        <w:t>个，其他事业单位0个。</w:t>
      </w:r>
    </w:p>
    <w:p>
      <w:pPr>
        <w:snapToGrid w:val="0"/>
        <w:spacing w:line="520" w:lineRule="exact"/>
        <w:ind w:firstLine="640" w:firstLineChars="200"/>
        <w:rPr>
          <w:rFonts w:cs="仿宋_GB2312"/>
          <w:sz w:val="32"/>
          <w:szCs w:val="32"/>
        </w:rPr>
      </w:pPr>
      <w:r>
        <w:rPr>
          <w:rFonts w:hint="eastAsia" w:eastAsia="仿宋_GB2312" w:cs="仿宋_GB2312"/>
          <w:sz w:val="32"/>
          <w:szCs w:val="32"/>
        </w:rPr>
        <w:t>纳入</w:t>
      </w:r>
      <w:r>
        <w:rPr>
          <w:rFonts w:hint="eastAsia" w:ascii="仿宋_GB2312" w:hAnsi="仿宋_GB2312" w:eastAsia="仿宋_GB2312" w:cs="仿宋_GB2312"/>
          <w:sz w:val="32"/>
          <w:szCs w:val="32"/>
        </w:rPr>
        <w:t>壤塘县林业和草原局</w:t>
      </w:r>
      <w:r>
        <w:rPr>
          <w:rFonts w:hint="eastAsia" w:cs="仿宋_GB2312"/>
          <w:sz w:val="32"/>
          <w:szCs w:val="32"/>
        </w:rPr>
        <w:t>2025年度</w:t>
      </w:r>
      <w:r>
        <w:rPr>
          <w:rFonts w:hint="eastAsia" w:eastAsia="仿宋_GB2312" w:cs="仿宋_GB2312"/>
          <w:sz w:val="32"/>
          <w:szCs w:val="32"/>
        </w:rPr>
        <w:t>部门决算编制范围的二级预算单位</w:t>
      </w:r>
      <w:r>
        <w:rPr>
          <w:rFonts w:hint="eastAsia" w:cs="仿宋_GB2312"/>
          <w:sz w:val="32"/>
          <w:szCs w:val="32"/>
        </w:rPr>
        <w:t>0个。</w:t>
      </w:r>
    </w:p>
    <w:p>
      <w:pPr>
        <w:snapToGrid w:val="0"/>
        <w:spacing w:line="520" w:lineRule="exact"/>
        <w:ind w:firstLine="640" w:firstLineChars="200"/>
        <w:rPr>
          <w:rFonts w:ascii="楷体" w:hAnsi="楷体" w:eastAsia="楷体" w:cs="楷体"/>
          <w:b/>
          <w:kern w:val="0"/>
          <w:sz w:val="32"/>
          <w:szCs w:val="32"/>
        </w:rPr>
      </w:pPr>
      <w:r>
        <w:rPr>
          <w:rFonts w:hint="eastAsia" w:ascii="楷体" w:hAnsi="楷体" w:eastAsia="楷体" w:cs="楷体"/>
          <w:sz w:val="32"/>
          <w:szCs w:val="32"/>
        </w:rPr>
        <w:t>1.</w:t>
      </w:r>
      <w:r>
        <w:rPr>
          <w:rFonts w:hint="eastAsia" w:ascii="楷体" w:hAnsi="楷体" w:eastAsia="楷体" w:cs="楷体"/>
          <w:b/>
          <w:kern w:val="0"/>
          <w:sz w:val="32"/>
          <w:szCs w:val="32"/>
        </w:rPr>
        <w:t>机构情况</w:t>
      </w:r>
    </w:p>
    <w:p>
      <w:pPr>
        <w:snapToGrid w:val="0"/>
        <w:spacing w:line="520" w:lineRule="exact"/>
        <w:ind w:firstLine="640" w:firstLineChars="200"/>
        <w:rPr>
          <w:rFonts w:eastAsia="仿宋_GB2312"/>
        </w:rPr>
      </w:pPr>
      <w:r>
        <w:rPr>
          <w:rFonts w:hint="eastAsia" w:ascii="仿宋_GB2312" w:hAnsi="仿宋_GB2312" w:eastAsia="仿宋_GB2312" w:cs="仿宋_GB2312"/>
          <w:kern w:val="0"/>
          <w:sz w:val="32"/>
          <w:szCs w:val="32"/>
        </w:rPr>
        <w:t>内设</w:t>
      </w:r>
      <w:r>
        <w:rPr>
          <w:rFonts w:ascii="仿宋_GB2312" w:hAnsi="仿宋_GB2312" w:eastAsia="仿宋_GB2312" w:cs="仿宋_GB2312"/>
          <w:kern w:val="0"/>
          <w:sz w:val="32"/>
          <w:szCs w:val="32"/>
        </w:rPr>
        <w:t>4</w:t>
      </w:r>
      <w:r>
        <w:rPr>
          <w:rFonts w:hint="eastAsia" w:ascii="仿宋_GB2312" w:hAnsi="仿宋_GB2312" w:eastAsia="仿宋_GB2312" w:cs="仿宋_GB2312"/>
          <w:kern w:val="0"/>
          <w:sz w:val="32"/>
          <w:szCs w:val="32"/>
        </w:rPr>
        <w:t>个行政股室、</w:t>
      </w:r>
      <w:r>
        <w:rPr>
          <w:rFonts w:ascii="仿宋_GB2312" w:hAnsi="仿宋_GB2312" w:eastAsia="仿宋_GB2312" w:cs="仿宋_GB2312"/>
          <w:kern w:val="0"/>
          <w:sz w:val="32"/>
          <w:szCs w:val="32"/>
        </w:rPr>
        <w:t>12</w:t>
      </w:r>
      <w:r>
        <w:rPr>
          <w:rFonts w:hint="eastAsia" w:ascii="仿宋_GB2312" w:hAnsi="仿宋_GB2312" w:eastAsia="仿宋_GB2312" w:cs="仿宋_GB2312"/>
          <w:kern w:val="0"/>
          <w:sz w:val="32"/>
          <w:szCs w:val="32"/>
        </w:rPr>
        <w:t>个事业股室。</w:t>
      </w:r>
    </w:p>
    <w:p>
      <w:pPr>
        <w:widowControl/>
        <w:spacing w:line="600" w:lineRule="exact"/>
        <w:ind w:left="210" w:leftChars="100" w:firstLine="642" w:firstLineChars="200"/>
        <w:jc w:val="left"/>
        <w:outlineLvl w:val="0"/>
        <w:rPr>
          <w:rFonts w:ascii="楷体" w:hAnsi="楷体" w:eastAsia="楷体" w:cs="楷体"/>
          <w:b/>
          <w:kern w:val="0"/>
          <w:sz w:val="32"/>
          <w:szCs w:val="32"/>
        </w:rPr>
      </w:pPr>
      <w:bookmarkStart w:id="10" w:name="_Toc32587"/>
      <w:bookmarkStart w:id="11" w:name="_Toc23589"/>
      <w:bookmarkStart w:id="12" w:name="_Toc147998664"/>
      <w:bookmarkStart w:id="13" w:name="_Toc147998290"/>
      <w:bookmarkStart w:id="14" w:name="_Toc148016244"/>
      <w:r>
        <w:rPr>
          <w:rFonts w:hint="eastAsia" w:ascii="楷体" w:hAnsi="楷体" w:eastAsia="楷体" w:cs="楷体"/>
          <w:b/>
          <w:kern w:val="0"/>
          <w:sz w:val="32"/>
          <w:szCs w:val="32"/>
        </w:rPr>
        <w:t>2.人员情况</w:t>
      </w:r>
      <w:bookmarkEnd w:id="10"/>
      <w:bookmarkEnd w:id="11"/>
      <w:bookmarkEnd w:id="12"/>
      <w:bookmarkEnd w:id="13"/>
      <w:bookmarkEnd w:id="14"/>
    </w:p>
    <w:p>
      <w:pPr>
        <w:ind w:firstLine="640" w:firstLineChars="200"/>
        <w:rPr>
          <w:rFonts w:ascii="仿宋_GB2312" w:eastAsia="仿宋_GB2312"/>
          <w:sz w:val="32"/>
          <w:szCs w:val="32"/>
        </w:rPr>
      </w:pPr>
      <w:r>
        <w:rPr>
          <w:rFonts w:hint="eastAsia" w:ascii="仿宋_GB2312" w:eastAsia="仿宋_GB2312"/>
          <w:sz w:val="32"/>
          <w:szCs w:val="32"/>
        </w:rPr>
        <w:t>林业和草原局核定行政编制7名，其中：局长1名（兼任县自然资源局党组成员），副局长2名，股级领导职数4名，机关工勤人员1名；事业编制58名，其中参公16名，事业编制42名。</w:t>
      </w:r>
    </w:p>
    <w:p>
      <w:pPr>
        <w:pStyle w:val="8"/>
        <w:adjustRightInd w:val="0"/>
        <w:snapToGrid w:val="0"/>
        <w:spacing w:before="93" w:line="600" w:lineRule="exact"/>
        <w:outlineLvl w:val="2"/>
        <w:rPr>
          <w:rFonts w:ascii="黑体" w:hAnsi="黑体" w:eastAsia="黑体" w:cs="黑体"/>
          <w:sz w:val="44"/>
          <w:szCs w:val="44"/>
        </w:rPr>
      </w:pPr>
      <w:bookmarkStart w:id="15" w:name="_Toc15396602"/>
      <w:bookmarkStart w:id="16" w:name="_Toc15377204"/>
      <w:r>
        <w:rPr>
          <w:rFonts w:hint="eastAsia" w:ascii="黑体" w:hAnsi="黑体" w:eastAsia="黑体" w:cs="黑体"/>
          <w:sz w:val="44"/>
          <w:szCs w:val="44"/>
        </w:rPr>
        <w:t>第二部分  2025年度部门决算情况说明</w:t>
      </w:r>
      <w:bookmarkEnd w:id="15"/>
      <w:bookmarkEnd w:id="16"/>
    </w:p>
    <w:p>
      <w:pPr>
        <w:pStyle w:val="27"/>
        <w:spacing w:line="600" w:lineRule="exact"/>
        <w:ind w:firstLine="640"/>
        <w:outlineLvl w:val="1"/>
        <w:rPr>
          <w:rStyle w:val="29"/>
          <w:rFonts w:ascii="Times New Roman" w:hAnsi="Times New Roman" w:eastAsia="黑体"/>
          <w:b w:val="0"/>
        </w:rPr>
      </w:pPr>
      <w:bookmarkStart w:id="17" w:name="_Toc15377205"/>
      <w:bookmarkStart w:id="18" w:name="_Toc15396603"/>
      <w:r>
        <w:rPr>
          <w:rFonts w:hint="eastAsia" w:eastAsia="黑体"/>
          <w:sz w:val="32"/>
          <w:szCs w:val="32"/>
        </w:rPr>
        <w:t>一、收</w:t>
      </w:r>
      <w:r>
        <w:rPr>
          <w:rStyle w:val="29"/>
          <w:rFonts w:hint="eastAsia" w:ascii="Times New Roman" w:hAnsi="Times New Roman" w:eastAsia="黑体"/>
          <w:b w:val="0"/>
        </w:rPr>
        <w:t>入支出决算总体情况说明</w:t>
      </w:r>
      <w:bookmarkEnd w:id="17"/>
      <w:bookmarkEnd w:id="18"/>
    </w:p>
    <w:p>
      <w:pPr>
        <w:pStyle w:val="27"/>
        <w:spacing w:line="600" w:lineRule="exact"/>
        <w:ind w:firstLine="640"/>
        <w:outlineLvl w:val="1"/>
        <w:rPr>
          <w:rFonts w:eastAsia="仿宋_GB2312" w:cs="仿宋_GB2312"/>
          <w:sz w:val="32"/>
          <w:szCs w:val="32"/>
        </w:rPr>
      </w:pPr>
      <w:r>
        <w:rPr>
          <w:rFonts w:hint="eastAsia" w:eastAsia="仿宋_GB2312" w:cs="仿宋_GB2312"/>
          <w:sz w:val="32"/>
          <w:szCs w:val="32"/>
        </w:rPr>
        <w:t>2025年度收入、支出总计均为</w:t>
      </w:r>
      <w:r>
        <w:rPr>
          <w:rFonts w:hint="eastAsia" w:ascii="仿宋_GB2312" w:hAnsi="仿宋_GB2312" w:eastAsia="仿宋_GB2312" w:cs="仿宋_GB2312"/>
          <w:sz w:val="32"/>
          <w:szCs w:val="32"/>
        </w:rPr>
        <w:t>9095.95</w:t>
      </w:r>
      <w:r>
        <w:rPr>
          <w:rFonts w:hint="eastAsia" w:eastAsia="仿宋_GB2312" w:cs="仿宋_GB2312"/>
          <w:sz w:val="32"/>
          <w:szCs w:val="32"/>
        </w:rPr>
        <w:t>万元。与2024年度相比，收入、支出总计各增加3844.18万元，增长42%。主要变动原因是</w:t>
      </w:r>
      <w:r>
        <w:rPr>
          <w:rFonts w:hint="eastAsia" w:ascii="仿宋_GB2312" w:hAnsi="宋体" w:eastAsia="仿宋_GB2312" w:cs="Arial"/>
          <w:kern w:val="0"/>
          <w:sz w:val="32"/>
          <w:szCs w:val="32"/>
        </w:rPr>
        <w:t>部分项目开工以及</w:t>
      </w:r>
      <w:r>
        <w:rPr>
          <w:rFonts w:hint="eastAsia" w:ascii="仿宋_GB2312" w:hAnsi="仿宋_GB2312" w:eastAsia="仿宋_GB2312" w:cs="仿宋_GB2312"/>
          <w:color w:val="000000"/>
          <w:sz w:val="32"/>
          <w:szCs w:val="32"/>
        </w:rPr>
        <w:t>人员津贴和奖金增加，</w:t>
      </w:r>
      <w:r>
        <w:rPr>
          <w:rFonts w:hint="eastAsia" w:ascii="仿宋_GB2312" w:hAnsi="宋体" w:eastAsia="仿宋_GB2312" w:cs="Arial"/>
          <w:kern w:val="0"/>
          <w:sz w:val="32"/>
          <w:szCs w:val="32"/>
        </w:rPr>
        <w:t>与上年相比收入</w:t>
      </w:r>
      <w:r>
        <w:rPr>
          <w:rFonts w:hint="eastAsia" w:eastAsia="仿宋_GB2312" w:cs="仿宋_GB2312"/>
          <w:sz w:val="32"/>
          <w:szCs w:val="32"/>
        </w:rPr>
        <w:t>、支</w:t>
      </w:r>
      <w:r>
        <w:rPr>
          <w:rFonts w:hint="eastAsia" w:ascii="仿宋_GB2312" w:hAnsi="宋体" w:eastAsia="仿宋_GB2312" w:cs="Arial"/>
          <w:kern w:val="0"/>
          <w:sz w:val="32"/>
          <w:szCs w:val="32"/>
        </w:rPr>
        <w:t>出增加</w:t>
      </w:r>
      <w:r>
        <w:rPr>
          <w:rFonts w:hint="eastAsia" w:ascii="仿宋_GB2312" w:hAnsi="仿宋_GB2312" w:eastAsia="仿宋_GB2312" w:cs="仿宋_GB2312"/>
          <w:color w:val="000000"/>
          <w:sz w:val="32"/>
          <w:szCs w:val="32"/>
        </w:rPr>
        <w:t>。</w:t>
      </w:r>
    </w:p>
    <w:p>
      <w:pPr>
        <w:ind w:firstLine="420" w:firstLineChars="200"/>
        <w:rPr>
          <w:rFonts w:eastAsia="仿宋_GB2312" w:cs="仿宋_GB2312"/>
          <w:sz w:val="32"/>
          <w:szCs w:val="32"/>
        </w:rPr>
      </w:pPr>
      <w:r>
        <w:rPr>
          <w:rFonts w:hint="eastAsia"/>
        </w:rPr>
        <w:object>
          <v:shape id="_x0000_i1025" o:spt="75" type="#_x0000_t75" style="height:228.15pt;width:425.95pt;" o:ole="t" filled="f" o:preferrelative="t" stroked="f" coordsize="21600,21600">
            <v:path/>
            <v:fill on="f" focussize="0,0"/>
            <v:stroke on="f" joinstyle="miter"/>
            <v:imagedata r:id="rId7" o:title=""/>
            <o:lock v:ext="edit" aspectratio="t"/>
            <w10:wrap type="none"/>
            <w10:anchorlock/>
          </v:shape>
          <o:OLEObject Type="Embed" ProgID="Excel.Chart.8" ShapeID="_x0000_i1025" DrawAspect="Content" ObjectID="_1468075725" r:id="rId6">
            <o:LockedField>false</o:LockedField>
          </o:OLEObject>
        </w:object>
      </w:r>
    </w:p>
    <w:p>
      <w:pPr>
        <w:pStyle w:val="27"/>
        <w:spacing w:line="600" w:lineRule="exact"/>
        <w:ind w:firstLine="640"/>
        <w:outlineLvl w:val="1"/>
        <w:rPr>
          <w:rFonts w:eastAsia="黑体"/>
          <w:sz w:val="32"/>
          <w:szCs w:val="32"/>
        </w:rPr>
      </w:pPr>
      <w:bookmarkStart w:id="19" w:name="_Toc15396604"/>
      <w:bookmarkStart w:id="20" w:name="_Toc15377206"/>
      <w:r>
        <w:rPr>
          <w:rFonts w:hint="eastAsia" w:eastAsia="黑体"/>
          <w:sz w:val="32"/>
          <w:szCs w:val="32"/>
        </w:rPr>
        <w:t>二、收入决算情况说明</w:t>
      </w:r>
      <w:bookmarkEnd w:id="19"/>
      <w:bookmarkEnd w:id="20"/>
    </w:p>
    <w:p>
      <w:pPr>
        <w:pStyle w:val="27"/>
        <w:spacing w:line="600" w:lineRule="exact"/>
        <w:ind w:firstLine="640"/>
        <w:outlineLvl w:val="1"/>
        <w:rPr>
          <w:rFonts w:eastAsia="仿宋_GB2312" w:cs="仿宋_GB2312"/>
          <w:b/>
          <w:bCs/>
          <w:sz w:val="32"/>
          <w:szCs w:val="32"/>
        </w:rPr>
      </w:pPr>
      <w:r>
        <w:rPr>
          <w:rFonts w:hint="eastAsia" w:eastAsia="仿宋_GB2312" w:cs="仿宋_GB2312"/>
          <w:sz w:val="32"/>
          <w:szCs w:val="32"/>
        </w:rPr>
        <w:t>2025年度本年收入合计</w:t>
      </w:r>
      <w:r>
        <w:rPr>
          <w:rFonts w:hint="eastAsia" w:ascii="仿宋_GB2312" w:hAnsi="仿宋_GB2312" w:eastAsia="仿宋_GB2312" w:cs="仿宋_GB2312"/>
          <w:sz w:val="32"/>
          <w:szCs w:val="32"/>
        </w:rPr>
        <w:t>9095.94</w:t>
      </w:r>
      <w:r>
        <w:rPr>
          <w:rFonts w:hint="eastAsia" w:eastAsia="仿宋_GB2312" w:cs="仿宋_GB2312"/>
          <w:sz w:val="32"/>
          <w:szCs w:val="32"/>
        </w:rPr>
        <w:t>万元，其中：一般公共预算财政拨款收入</w:t>
      </w:r>
      <w:r>
        <w:rPr>
          <w:rFonts w:hint="eastAsia" w:ascii="仿宋_GB2312" w:hAnsi="仿宋_GB2312" w:eastAsia="仿宋_GB2312" w:cs="仿宋_GB2312"/>
          <w:sz w:val="32"/>
          <w:szCs w:val="32"/>
        </w:rPr>
        <w:t>9095.94</w:t>
      </w:r>
      <w:r>
        <w:rPr>
          <w:rFonts w:hint="eastAsia" w:eastAsia="仿宋_GB2312" w:cs="仿宋_GB2312"/>
          <w:sz w:val="32"/>
          <w:szCs w:val="32"/>
        </w:rPr>
        <w:t>万元，占</w:t>
      </w:r>
      <w:r>
        <w:rPr>
          <w:rFonts w:hint="eastAsia" w:ascii="仿宋_GB2312" w:hAnsi="仿宋_GB2312" w:eastAsia="仿宋_GB2312" w:cs="仿宋_GB2312"/>
          <w:sz w:val="32"/>
          <w:szCs w:val="32"/>
        </w:rPr>
        <w:t>100</w:t>
      </w:r>
      <w:r>
        <w:rPr>
          <w:rFonts w:hint="eastAsia" w:eastAsia="仿宋_GB2312" w:cs="仿宋_GB2312"/>
          <w:sz w:val="32"/>
          <w:szCs w:val="32"/>
        </w:rPr>
        <w:t>%；政府性基金预算财政拨款收入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%；国有资本经营预算财政拨款收入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%；上级补助收入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%；事业收入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%；经营收入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%；附属单位上缴收入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%；其他收入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w:t>
      </w:r>
      <w:r>
        <w:rPr>
          <w:rFonts w:hint="eastAsia" w:eastAsia="仿宋_GB2312" w:cs="仿宋_GB2312"/>
          <w:b/>
          <w:bCs/>
          <w:sz w:val="32"/>
          <w:szCs w:val="32"/>
        </w:rPr>
        <w:t>（注：仅罗列本部门涉及的收入）</w:t>
      </w:r>
    </w:p>
    <w:p>
      <w:pPr>
        <w:pStyle w:val="27"/>
        <w:spacing w:line="600" w:lineRule="exact"/>
        <w:ind w:firstLine="643"/>
        <w:outlineLvl w:val="1"/>
        <w:rPr>
          <w:rFonts w:eastAsia="仿宋_GB2312" w:cs="仿宋_GB2312"/>
          <w:b/>
          <w:bCs/>
          <w:sz w:val="32"/>
          <w:szCs w:val="32"/>
        </w:rPr>
      </w:pPr>
    </w:p>
    <w:p>
      <w:pPr>
        <w:pStyle w:val="27"/>
        <w:spacing w:line="600" w:lineRule="exact"/>
        <w:ind w:firstLine="643"/>
        <w:outlineLvl w:val="1"/>
        <w:rPr>
          <w:rFonts w:eastAsia="仿宋_GB2312" w:cs="仿宋_GB2312"/>
          <w:b/>
          <w:bCs/>
          <w:sz w:val="32"/>
          <w:szCs w:val="32"/>
        </w:rPr>
      </w:pPr>
    </w:p>
    <w:p>
      <w:pPr>
        <w:pStyle w:val="27"/>
        <w:spacing w:line="600" w:lineRule="exact"/>
        <w:ind w:firstLine="640"/>
        <w:outlineLvl w:val="1"/>
        <w:rPr>
          <w:rFonts w:eastAsia="仿宋_GB2312" w:cs="仿宋_GB2312"/>
          <w:sz w:val="32"/>
          <w:szCs w:val="32"/>
        </w:rPr>
      </w:pPr>
      <w:r>
        <w:rPr>
          <w:rFonts w:hint="eastAsia" w:eastAsia="仿宋_GB2312" w:cs="仿宋_GB2312"/>
          <w:sz w:val="32"/>
          <w:szCs w:val="32"/>
        </w:rPr>
        <w:t>（图2：收入决算结构图）</w:t>
      </w:r>
    </w:p>
    <w:p>
      <w:pPr>
        <w:pStyle w:val="27"/>
        <w:spacing w:line="600" w:lineRule="exact"/>
        <w:ind w:firstLine="640"/>
        <w:outlineLvl w:val="1"/>
        <w:rPr>
          <w:rFonts w:eastAsia="仿宋_GB2312" w:cs="仿宋_GB2312"/>
          <w:sz w:val="32"/>
          <w:szCs w:val="32"/>
        </w:rPr>
      </w:pPr>
    </w:p>
    <w:p>
      <w:pPr>
        <w:ind w:firstLine="800" w:firstLineChars="250"/>
        <w:rPr>
          <w:rFonts w:ascii="仿宋" w:hAnsi="仿宋" w:eastAsia="仿宋"/>
          <w:sz w:val="32"/>
          <w:szCs w:val="32"/>
        </w:rPr>
      </w:pPr>
    </w:p>
    <w:p>
      <w:pPr>
        <w:ind w:firstLine="800" w:firstLineChars="250"/>
        <w:rPr>
          <w:rFonts w:ascii="仿宋" w:hAnsi="仿宋" w:eastAsia="仿宋"/>
          <w:sz w:val="32"/>
          <w:szCs w:val="32"/>
        </w:rPr>
      </w:pPr>
    </w:p>
    <w:p>
      <w:pPr>
        <w:ind w:firstLine="800" w:firstLineChars="250"/>
        <w:rPr>
          <w:rFonts w:ascii="仿宋" w:hAnsi="仿宋" w:eastAsia="仿宋"/>
          <w:sz w:val="32"/>
          <w:szCs w:val="32"/>
        </w:rPr>
      </w:pPr>
      <w:r>
        <w:rPr>
          <w:rFonts w:hint="eastAsia" w:ascii="仿宋" w:hAnsi="仿宋" w:eastAsia="仿宋"/>
          <w:sz w:val="32"/>
          <w:szCs w:val="32"/>
        </w:rPr>
        <w:object>
          <v:shape id="_x0000_i1026" o:spt="75" type="#_x0000_t75" style="height:258.5pt;width:354.8pt;" o:ole="t" filled="f" o:preferrelative="t" stroked="f" coordsize="21600,21600">
            <v:path/>
            <v:fill on="f" focussize="0,0"/>
            <v:stroke on="f" joinstyle="miter"/>
            <v:imagedata r:id="rId9" o:title=""/>
            <o:lock v:ext="edit" aspectratio="t"/>
            <w10:wrap type="none"/>
            <w10:anchorlock/>
          </v:shape>
          <o:OLEObject Type="Embed" ProgID="Excel.Chart.8" ShapeID="_x0000_i1026" DrawAspect="Content" ObjectID="_1468075726" r:id="rId8">
            <o:LockedField>false</o:LockedField>
          </o:OLEObject>
        </w:object>
      </w:r>
    </w:p>
    <w:p>
      <w:pPr>
        <w:pStyle w:val="2"/>
        <w:rPr>
          <w:rFonts w:ascii="仿宋" w:hAnsi="仿宋" w:eastAsia="仿宋"/>
          <w:sz w:val="32"/>
          <w:szCs w:val="32"/>
        </w:rPr>
      </w:pPr>
    </w:p>
    <w:p>
      <w:pPr>
        <w:pStyle w:val="27"/>
        <w:spacing w:line="600" w:lineRule="exact"/>
        <w:ind w:firstLine="320" w:firstLineChars="100"/>
        <w:outlineLvl w:val="1"/>
        <w:rPr>
          <w:rStyle w:val="29"/>
          <w:rFonts w:ascii="Times New Roman" w:hAnsi="Times New Roman" w:eastAsia="黑体"/>
          <w:b w:val="0"/>
        </w:rPr>
      </w:pPr>
      <w:bookmarkStart w:id="21" w:name="_Toc15396605"/>
      <w:bookmarkStart w:id="22" w:name="_Toc15377207"/>
      <w:r>
        <w:rPr>
          <w:rFonts w:hint="eastAsia" w:eastAsia="黑体"/>
          <w:sz w:val="32"/>
          <w:szCs w:val="32"/>
        </w:rPr>
        <w:t>三、支</w:t>
      </w:r>
      <w:r>
        <w:rPr>
          <w:rStyle w:val="29"/>
          <w:rFonts w:hint="eastAsia" w:ascii="Times New Roman" w:hAnsi="Times New Roman" w:eastAsia="黑体"/>
          <w:b w:val="0"/>
        </w:rPr>
        <w:t>出决算情况说明</w:t>
      </w:r>
      <w:bookmarkEnd w:id="21"/>
      <w:bookmarkEnd w:id="22"/>
    </w:p>
    <w:p>
      <w:pPr>
        <w:pStyle w:val="27"/>
        <w:spacing w:line="600" w:lineRule="exact"/>
        <w:ind w:firstLine="640"/>
        <w:outlineLvl w:val="1"/>
        <w:rPr>
          <w:rFonts w:hint="eastAsia" w:eastAsia="仿宋_GB2312" w:cs="仿宋_GB2312"/>
          <w:sz w:val="32"/>
          <w:szCs w:val="32"/>
        </w:rPr>
      </w:pPr>
      <w:r>
        <w:rPr>
          <w:rFonts w:hint="eastAsia" w:eastAsia="仿宋_GB2312" w:cs="仿宋_GB2312"/>
          <w:sz w:val="32"/>
          <w:szCs w:val="32"/>
        </w:rPr>
        <w:t>2025年度本年支出合计</w:t>
      </w:r>
      <w:r>
        <w:rPr>
          <w:rFonts w:hint="eastAsia" w:ascii="仿宋_GB2312" w:hAnsi="仿宋_GB2312" w:eastAsia="仿宋_GB2312" w:cs="仿宋_GB2312"/>
          <w:sz w:val="32"/>
          <w:szCs w:val="32"/>
        </w:rPr>
        <w:t>9095.94</w:t>
      </w:r>
      <w:r>
        <w:rPr>
          <w:rFonts w:hint="eastAsia" w:eastAsia="仿宋_GB2312" w:cs="仿宋_GB2312"/>
          <w:sz w:val="32"/>
          <w:szCs w:val="32"/>
        </w:rPr>
        <w:t>万元，其中：基本支出</w:t>
      </w:r>
      <w:r>
        <w:rPr>
          <w:rFonts w:hint="eastAsia" w:ascii="仿宋_GB2312" w:hAnsi="仿宋_GB2312" w:eastAsia="仿宋_GB2312" w:cs="仿宋_GB2312"/>
          <w:sz w:val="32"/>
          <w:szCs w:val="32"/>
        </w:rPr>
        <w:t>1496.34</w:t>
      </w:r>
      <w:r>
        <w:rPr>
          <w:rFonts w:hint="eastAsia" w:eastAsia="仿宋_GB2312" w:cs="仿宋_GB2312"/>
          <w:sz w:val="32"/>
          <w:szCs w:val="32"/>
        </w:rPr>
        <w:t>万元，占</w:t>
      </w:r>
      <w:r>
        <w:rPr>
          <w:rFonts w:hint="eastAsia" w:ascii="仿宋_GB2312" w:hAnsi="仿宋_GB2312" w:eastAsia="仿宋_GB2312" w:cs="仿宋_GB2312"/>
          <w:sz w:val="32"/>
          <w:szCs w:val="32"/>
        </w:rPr>
        <w:t>16.45</w:t>
      </w:r>
      <w:r>
        <w:rPr>
          <w:rFonts w:hint="eastAsia" w:eastAsia="仿宋_GB2312" w:cs="仿宋_GB2312"/>
          <w:sz w:val="32"/>
          <w:szCs w:val="32"/>
        </w:rPr>
        <w:t>%；项目支出</w:t>
      </w:r>
      <w:r>
        <w:rPr>
          <w:rFonts w:hint="eastAsia" w:ascii="仿宋_GB2312" w:hAnsi="仿宋_GB2312" w:eastAsia="仿宋_GB2312" w:cs="仿宋_GB2312"/>
          <w:sz w:val="32"/>
          <w:szCs w:val="32"/>
        </w:rPr>
        <w:t>7599.6</w:t>
      </w:r>
      <w:r>
        <w:rPr>
          <w:rFonts w:hint="eastAsia" w:eastAsia="仿宋_GB2312" w:cs="仿宋_GB2312"/>
          <w:sz w:val="32"/>
          <w:szCs w:val="32"/>
        </w:rPr>
        <w:t>万元，占</w:t>
      </w:r>
      <w:r>
        <w:rPr>
          <w:rFonts w:hint="eastAsia" w:ascii="仿宋_GB2312" w:hAnsi="仿宋_GB2312" w:eastAsia="仿宋_GB2312" w:cs="仿宋_GB2312"/>
          <w:sz w:val="32"/>
          <w:szCs w:val="32"/>
        </w:rPr>
        <w:t>83.55</w:t>
      </w:r>
      <w:r>
        <w:rPr>
          <w:rFonts w:hint="eastAsia" w:eastAsia="仿宋_GB2312" w:cs="仿宋_GB2312"/>
          <w:sz w:val="32"/>
          <w:szCs w:val="32"/>
        </w:rPr>
        <w:t>%；上缴上级支出</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%；经营支出</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%；对附属单位补助支出</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w:t>
      </w:r>
    </w:p>
    <w:p>
      <w:pPr>
        <w:pStyle w:val="27"/>
        <w:spacing w:line="600" w:lineRule="exact"/>
        <w:ind w:firstLine="640"/>
        <w:outlineLvl w:val="1"/>
        <w:rPr>
          <w:rFonts w:eastAsia="仿宋_GB2312" w:cs="仿宋_GB2312"/>
          <w:sz w:val="32"/>
          <w:szCs w:val="32"/>
        </w:rPr>
      </w:pPr>
      <w:r>
        <w:rPr>
          <w:rFonts w:hint="eastAsia" w:eastAsia="仿宋_GB2312" w:cs="仿宋_GB2312"/>
          <w:sz w:val="32"/>
          <w:szCs w:val="32"/>
        </w:rPr>
        <w:t>（图3：支出决算结构图）</w:t>
      </w:r>
    </w:p>
    <w:p>
      <w:pPr>
        <w:pStyle w:val="27"/>
        <w:spacing w:line="600" w:lineRule="exact"/>
        <w:ind w:firstLine="640"/>
        <w:outlineLvl w:val="1"/>
        <w:rPr>
          <w:rFonts w:eastAsia="仿宋_GB2312" w:cs="仿宋_GB2312"/>
          <w:sz w:val="32"/>
          <w:szCs w:val="32"/>
        </w:rPr>
      </w:pPr>
    </w:p>
    <w:p>
      <w:pPr>
        <w:pStyle w:val="27"/>
        <w:spacing w:line="600" w:lineRule="exact"/>
        <w:outlineLvl w:val="1"/>
      </w:pPr>
    </w:p>
    <w:p>
      <w:pPr>
        <w:pStyle w:val="27"/>
        <w:spacing w:line="600" w:lineRule="exact"/>
        <w:outlineLvl w:val="1"/>
      </w:pPr>
    </w:p>
    <w:p>
      <w:pPr>
        <w:pStyle w:val="27"/>
        <w:spacing w:line="600" w:lineRule="exact"/>
        <w:ind w:firstLine="0" w:firstLineChars="0"/>
        <w:outlineLvl w:val="1"/>
        <w:rPr>
          <w:rFonts w:eastAsia="黑体"/>
          <w:sz w:val="32"/>
          <w:szCs w:val="32"/>
        </w:rPr>
      </w:pPr>
    </w:p>
    <w:p>
      <w:pPr>
        <w:pStyle w:val="27"/>
        <w:spacing w:line="600" w:lineRule="exact"/>
        <w:ind w:firstLine="0" w:firstLineChars="0"/>
        <w:outlineLvl w:val="1"/>
        <w:rPr>
          <w:rFonts w:eastAsia="黑体"/>
          <w:sz w:val="32"/>
          <w:szCs w:val="32"/>
        </w:rPr>
      </w:pPr>
    </w:p>
    <w:p>
      <w:pPr>
        <w:pStyle w:val="27"/>
        <w:spacing w:line="600" w:lineRule="exact"/>
        <w:ind w:firstLine="0" w:firstLineChars="0"/>
        <w:outlineLvl w:val="1"/>
        <w:rPr>
          <w:rFonts w:eastAsia="黑体"/>
          <w:sz w:val="32"/>
          <w:szCs w:val="32"/>
        </w:rPr>
      </w:pPr>
    </w:p>
    <w:p>
      <w:pPr>
        <w:pStyle w:val="27"/>
        <w:spacing w:line="600" w:lineRule="exact"/>
        <w:ind w:firstLine="0" w:firstLineChars="0"/>
        <w:outlineLvl w:val="1"/>
        <w:rPr>
          <w:rFonts w:eastAsia="黑体"/>
          <w:sz w:val="32"/>
          <w:szCs w:val="32"/>
        </w:rPr>
      </w:pPr>
    </w:p>
    <w:p>
      <w:pPr>
        <w:pStyle w:val="27"/>
        <w:spacing w:line="600" w:lineRule="exact"/>
        <w:ind w:firstLine="0" w:firstLineChars="0"/>
        <w:outlineLvl w:val="1"/>
        <w:rPr>
          <w:rFonts w:eastAsia="黑体"/>
          <w:sz w:val="32"/>
          <w:szCs w:val="32"/>
        </w:rPr>
      </w:pPr>
    </w:p>
    <w:p>
      <w:pPr>
        <w:pStyle w:val="27"/>
        <w:spacing w:line="600" w:lineRule="exact"/>
        <w:ind w:firstLine="0" w:firstLineChars="0"/>
        <w:outlineLvl w:val="1"/>
        <w:rPr>
          <w:rFonts w:eastAsia="黑体"/>
          <w:sz w:val="32"/>
          <w:szCs w:val="32"/>
        </w:rPr>
      </w:pPr>
    </w:p>
    <w:p>
      <w:pPr>
        <w:pStyle w:val="27"/>
        <w:spacing w:line="600" w:lineRule="exact"/>
        <w:ind w:firstLine="0" w:firstLineChars="0"/>
        <w:outlineLvl w:val="1"/>
        <w:rPr>
          <w:rFonts w:eastAsia="黑体"/>
          <w:sz w:val="32"/>
          <w:szCs w:val="32"/>
        </w:rPr>
      </w:pPr>
    </w:p>
    <w:p>
      <w:pPr>
        <w:pStyle w:val="27"/>
        <w:spacing w:line="600" w:lineRule="exact"/>
        <w:ind w:firstLine="0" w:firstLineChars="0"/>
        <w:outlineLvl w:val="1"/>
        <w:rPr>
          <w:rStyle w:val="29"/>
          <w:rFonts w:ascii="Times New Roman" w:hAnsi="Times New Roman" w:eastAsia="黑体"/>
          <w:b w:val="0"/>
        </w:rPr>
      </w:pPr>
      <w:r>
        <w:rPr>
          <w:rFonts w:hint="eastAsia"/>
        </w:rPr>
        <w:drawing>
          <wp:anchor distT="0" distB="0" distL="114300" distR="114300" simplePos="0" relativeHeight="251659264" behindDoc="1" locked="0" layoutInCell="1" allowOverlap="1">
            <wp:simplePos x="0" y="0"/>
            <wp:positionH relativeFrom="column">
              <wp:posOffset>271145</wp:posOffset>
            </wp:positionH>
            <wp:positionV relativeFrom="paragraph">
              <wp:posOffset>-3519805</wp:posOffset>
            </wp:positionV>
            <wp:extent cx="5080000" cy="3810000"/>
            <wp:effectExtent l="4445" t="4445" r="20955" b="14605"/>
            <wp:wrapTight wrapText="bothSides">
              <wp:wrapPolygon>
                <wp:start x="-19" y="-25"/>
                <wp:lineTo x="-19" y="21575"/>
                <wp:lineTo x="21527" y="21575"/>
                <wp:lineTo x="21527" y="-25"/>
                <wp:lineTo x="-19" y="-25"/>
              </wp:wrapPolygon>
            </wp:wrapTight>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bookmarkStart w:id="23" w:name="_Toc15396606"/>
      <w:bookmarkStart w:id="24" w:name="_Toc15377208"/>
      <w:r>
        <w:rPr>
          <w:rFonts w:hint="eastAsia" w:eastAsia="黑体"/>
          <w:sz w:val="32"/>
          <w:szCs w:val="32"/>
        </w:rPr>
        <w:t>四、财</w:t>
      </w:r>
      <w:r>
        <w:rPr>
          <w:rStyle w:val="29"/>
          <w:rFonts w:hint="eastAsia" w:ascii="Times New Roman" w:hAnsi="Times New Roman" w:eastAsia="黑体"/>
          <w:b w:val="0"/>
        </w:rPr>
        <w:t>政拨款收入支出决算总体情况说明</w:t>
      </w:r>
      <w:bookmarkEnd w:id="23"/>
      <w:bookmarkEnd w:id="24"/>
    </w:p>
    <w:p>
      <w:pPr>
        <w:pStyle w:val="27"/>
        <w:spacing w:line="600" w:lineRule="exact"/>
        <w:ind w:firstLine="640"/>
        <w:outlineLvl w:val="1"/>
        <w:rPr>
          <w:rFonts w:eastAsia="仿宋_GB2312" w:cs="仿宋_GB2312"/>
          <w:sz w:val="32"/>
          <w:szCs w:val="32"/>
        </w:rPr>
      </w:pPr>
      <w:r>
        <w:rPr>
          <w:rFonts w:hint="eastAsia" w:eastAsia="仿宋_GB2312" w:cs="仿宋_GB2312"/>
          <w:sz w:val="32"/>
          <w:szCs w:val="32"/>
        </w:rPr>
        <w:t>2025年度财政拨款收入、支出总计均为</w:t>
      </w:r>
      <w:r>
        <w:rPr>
          <w:rFonts w:hint="eastAsia" w:ascii="仿宋_GB2312" w:hAnsi="仿宋_GB2312" w:eastAsia="仿宋_GB2312" w:cs="仿宋_GB2312"/>
          <w:sz w:val="32"/>
          <w:szCs w:val="32"/>
        </w:rPr>
        <w:t>9095.94</w:t>
      </w:r>
      <w:r>
        <w:rPr>
          <w:rFonts w:hint="eastAsia" w:eastAsia="仿宋_GB2312" w:cs="仿宋_GB2312"/>
          <w:sz w:val="32"/>
          <w:szCs w:val="32"/>
        </w:rPr>
        <w:t>万元。与2024年度相比，财政拨款收入、支出总计各增加3844.18万元，增长42%。主要变动原因是</w:t>
      </w:r>
      <w:r>
        <w:rPr>
          <w:rFonts w:hint="eastAsia" w:ascii="仿宋_GB2312" w:hAnsi="宋体" w:eastAsia="仿宋_GB2312" w:cs="Arial"/>
          <w:kern w:val="0"/>
          <w:sz w:val="32"/>
          <w:szCs w:val="32"/>
        </w:rPr>
        <w:t>部分项目开工以及</w:t>
      </w:r>
      <w:r>
        <w:rPr>
          <w:rFonts w:hint="eastAsia" w:ascii="仿宋_GB2312" w:hAnsi="仿宋_GB2312" w:eastAsia="仿宋_GB2312" w:cs="仿宋_GB2312"/>
          <w:color w:val="000000"/>
          <w:sz w:val="32"/>
          <w:szCs w:val="32"/>
        </w:rPr>
        <w:t>人员津贴和奖金增加，</w:t>
      </w:r>
      <w:r>
        <w:rPr>
          <w:rFonts w:hint="eastAsia" w:ascii="仿宋_GB2312" w:hAnsi="宋体" w:eastAsia="仿宋_GB2312" w:cs="Arial"/>
          <w:kern w:val="0"/>
          <w:sz w:val="32"/>
          <w:szCs w:val="32"/>
        </w:rPr>
        <w:t>导致与上年相比收入</w:t>
      </w:r>
      <w:r>
        <w:rPr>
          <w:rFonts w:hint="eastAsia" w:eastAsia="仿宋_GB2312" w:cs="仿宋_GB2312"/>
          <w:sz w:val="32"/>
          <w:szCs w:val="32"/>
        </w:rPr>
        <w:t>、支</w:t>
      </w:r>
      <w:r>
        <w:rPr>
          <w:rFonts w:hint="eastAsia" w:ascii="仿宋_GB2312" w:hAnsi="宋体" w:eastAsia="仿宋_GB2312" w:cs="Arial"/>
          <w:kern w:val="0"/>
          <w:sz w:val="32"/>
          <w:szCs w:val="32"/>
        </w:rPr>
        <w:t>出增加</w:t>
      </w:r>
      <w:r>
        <w:rPr>
          <w:rFonts w:hint="eastAsia" w:ascii="仿宋_GB2312" w:hAnsi="仿宋_GB2312" w:eastAsia="仿宋_GB2312" w:cs="仿宋_GB2312"/>
          <w:color w:val="000000"/>
          <w:sz w:val="32"/>
          <w:szCs w:val="32"/>
        </w:rPr>
        <w:t>。</w:t>
      </w:r>
    </w:p>
    <w:p>
      <w:pPr>
        <w:spacing w:line="600" w:lineRule="exact"/>
        <w:ind w:firstLine="640"/>
        <w:rPr>
          <w:rFonts w:eastAsia="仿宋_GB2312" w:cs="仿宋_GB2312"/>
          <w:sz w:val="32"/>
          <w:szCs w:val="32"/>
        </w:rPr>
      </w:pPr>
    </w:p>
    <w:p>
      <w:pPr>
        <w:spacing w:line="600" w:lineRule="exact"/>
        <w:ind w:firstLine="640" w:firstLineChars="200"/>
        <w:rPr>
          <w:rFonts w:eastAsia="仿宋_GB2312" w:cs="仿宋_GB2312"/>
          <w:sz w:val="32"/>
          <w:szCs w:val="32"/>
        </w:rPr>
      </w:pPr>
      <w:r>
        <w:rPr>
          <w:rFonts w:hint="eastAsia" w:eastAsia="仿宋_GB2312" w:cs="仿宋_GB2312"/>
          <w:sz w:val="32"/>
          <w:szCs w:val="32"/>
        </w:rPr>
        <w:t>（图4：财政拨款收、支决算总计变动情况）</w:t>
      </w:r>
    </w:p>
    <w:p>
      <w:pPr>
        <w:pStyle w:val="2"/>
        <w:rPr>
          <w:rFonts w:eastAsia="仿宋_GB2312" w:cs="仿宋_GB2312"/>
          <w:sz w:val="32"/>
          <w:szCs w:val="32"/>
        </w:rPr>
      </w:pPr>
    </w:p>
    <w:p>
      <w:pPr>
        <w:pStyle w:val="3"/>
        <w:ind w:left="420" w:firstLine="640"/>
        <w:rPr>
          <w:rFonts w:ascii="Times New Roman" w:eastAsia="仿宋_GB2312" w:cs="仿宋_GB2312"/>
          <w:sz w:val="32"/>
        </w:rPr>
      </w:pPr>
    </w:p>
    <w:p>
      <w:pPr>
        <w:rPr>
          <w:rStyle w:val="29"/>
          <w:rFonts w:ascii="Times New Roman" w:hAnsi="Times New Roman" w:eastAsia="黑体"/>
          <w:b w:val="0"/>
        </w:rPr>
      </w:pPr>
      <w:r>
        <w:rPr>
          <w:rFonts w:hint="eastAsia"/>
        </w:rPr>
        <w:object>
          <v:shape id="_x0000_i1027" o:spt="75" type="#_x0000_t75" style="height:228.15pt;width:425.95pt;" o:ole="t" filled="f" o:preferrelative="t" stroked="f" coordsize="21600,21600">
            <v:path/>
            <v:fill on="f" focussize="0,0"/>
            <v:stroke on="f" joinstyle="miter"/>
            <v:imagedata r:id="rId7" o:title=""/>
            <o:lock v:ext="edit" aspectratio="t"/>
            <w10:wrap type="none"/>
            <w10:anchorlock/>
          </v:shape>
          <o:OLEObject Type="Embed" ProgID="Excel.Chart.8" ShapeID="_x0000_i1027" DrawAspect="Content" ObjectID="_1468075727" r:id="rId11">
            <o:LockedField>false</o:LockedField>
          </o:OLEObject>
        </w:object>
      </w:r>
      <w:bookmarkStart w:id="25" w:name="_Toc15396607"/>
      <w:bookmarkStart w:id="26" w:name="_Toc15377209"/>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25"/>
      <w:bookmarkEnd w:id="26"/>
    </w:p>
    <w:p>
      <w:pPr>
        <w:spacing w:line="600" w:lineRule="exact"/>
        <w:ind w:firstLine="642" w:firstLineChars="200"/>
        <w:outlineLvl w:val="2"/>
        <w:rPr>
          <w:rFonts w:eastAsia="楷体_GB2312" w:cs="楷体_GB2312"/>
          <w:b/>
          <w:sz w:val="32"/>
          <w:szCs w:val="32"/>
        </w:rPr>
      </w:pPr>
      <w:bookmarkStart w:id="27" w:name="_Toc15377210"/>
      <w:r>
        <w:rPr>
          <w:rFonts w:hint="eastAsia" w:eastAsia="楷体_GB2312" w:cs="楷体_GB2312"/>
          <w:b/>
          <w:sz w:val="32"/>
          <w:szCs w:val="32"/>
        </w:rPr>
        <w:t>（一）一般公共预算财政拨款支出决算总体情况</w:t>
      </w:r>
      <w:bookmarkEnd w:id="27"/>
    </w:p>
    <w:p>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2025年度一般公共预算财政拨款支出</w:t>
      </w:r>
      <w:r>
        <w:rPr>
          <w:rFonts w:hint="eastAsia" w:ascii="仿宋_GB2312" w:hAnsi="仿宋_GB2312" w:eastAsia="仿宋_GB2312" w:cs="仿宋_GB2312"/>
          <w:sz w:val="32"/>
          <w:szCs w:val="32"/>
        </w:rPr>
        <w:t>9095.94</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100</w:t>
      </w:r>
      <w:r>
        <w:rPr>
          <w:rFonts w:hint="eastAsia" w:eastAsia="仿宋_GB2312" w:cs="仿宋_GB2312"/>
          <w:sz w:val="32"/>
          <w:szCs w:val="32"/>
        </w:rPr>
        <w:t>%。与上年度相比，一般公共预算财政拨款支出增加/减少0万元，增长/下降0%。主要变动原因是</w:t>
      </w:r>
    </w:p>
    <w:p>
      <w:pPr>
        <w:spacing w:line="600" w:lineRule="exact"/>
        <w:ind w:firstLine="640"/>
      </w:pPr>
      <w:r>
        <w:rPr>
          <w:rFonts w:hint="eastAsia" w:eastAsia="仿宋_GB2312" w:cs="仿宋_GB2312"/>
          <w:sz w:val="32"/>
          <w:szCs w:val="32"/>
        </w:rPr>
        <w:t>（图5：一般公共预算财政拨款支出决算变动情况）</w:t>
      </w:r>
    </w:p>
    <w:p>
      <w:pPr>
        <w:spacing w:line="600" w:lineRule="exact"/>
        <w:ind w:firstLine="640"/>
      </w:pPr>
    </w:p>
    <w:p>
      <w:pPr>
        <w:spacing w:line="600" w:lineRule="exact"/>
        <w:ind w:firstLine="640"/>
      </w:pPr>
    </w:p>
    <w:p>
      <w:pPr>
        <w:spacing w:line="600" w:lineRule="exact"/>
        <w:ind w:firstLine="640"/>
      </w:pPr>
    </w:p>
    <w:p>
      <w:pPr>
        <w:spacing w:line="600" w:lineRule="exact"/>
        <w:ind w:firstLine="640"/>
      </w:pPr>
    </w:p>
    <w:p>
      <w:pPr>
        <w:pStyle w:val="2"/>
      </w:pPr>
    </w:p>
    <w:p/>
    <w:p>
      <w:pPr>
        <w:pStyle w:val="2"/>
      </w:pPr>
    </w:p>
    <w:p>
      <w:pPr>
        <w:pStyle w:val="3"/>
        <w:ind w:left="420"/>
      </w:pPr>
    </w:p>
    <w:p/>
    <w:p>
      <w:pPr>
        <w:pStyle w:val="2"/>
      </w:pPr>
    </w:p>
    <w:p>
      <w:pPr>
        <w:pStyle w:val="3"/>
        <w:ind w:left="420"/>
      </w:pPr>
      <w:r>
        <w:rPr>
          <w:rFonts w:hint="eastAsia"/>
        </w:rPr>
        <w:drawing>
          <wp:anchor distT="0" distB="0" distL="114300" distR="114300" simplePos="0" relativeHeight="251660288" behindDoc="1" locked="0" layoutInCell="1" allowOverlap="1">
            <wp:simplePos x="0" y="0"/>
            <wp:positionH relativeFrom="column">
              <wp:posOffset>81280</wp:posOffset>
            </wp:positionH>
            <wp:positionV relativeFrom="paragraph">
              <wp:posOffset>149860</wp:posOffset>
            </wp:positionV>
            <wp:extent cx="4970780" cy="4097020"/>
            <wp:effectExtent l="4445" t="4445" r="53975" b="70485"/>
            <wp:wrapTight wrapText="bothSides">
              <wp:wrapPolygon>
                <wp:start x="-19" y="-23"/>
                <wp:lineTo x="-19" y="21570"/>
                <wp:lineTo x="21503" y="21570"/>
                <wp:lineTo x="21503" y="-23"/>
                <wp:lineTo x="-19" y="-23"/>
              </wp:wrapPolygon>
            </wp:wrapTight>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
      <w:pPr>
        <w:pStyle w:val="2"/>
      </w:pPr>
    </w:p>
    <w:p>
      <w:pPr>
        <w:pStyle w:val="3"/>
        <w:ind w:left="420"/>
      </w:pPr>
    </w:p>
    <w:p/>
    <w:p>
      <w:pPr>
        <w:pStyle w:val="2"/>
      </w:pPr>
    </w:p>
    <w:p>
      <w:pPr>
        <w:pStyle w:val="3"/>
        <w:ind w:left="420"/>
      </w:pPr>
    </w:p>
    <w:p/>
    <w:p>
      <w:pPr>
        <w:pStyle w:val="2"/>
      </w:pPr>
    </w:p>
    <w:p>
      <w:pPr>
        <w:pStyle w:val="3"/>
        <w:ind w:left="420"/>
      </w:pPr>
    </w:p>
    <w:p/>
    <w:p/>
    <w:p>
      <w:pPr>
        <w:pStyle w:val="2"/>
      </w:pPr>
    </w:p>
    <w:p>
      <w:pPr>
        <w:pStyle w:val="3"/>
        <w:ind w:left="420"/>
      </w:pPr>
    </w:p>
    <w:p/>
    <w:p>
      <w:pPr>
        <w:pStyle w:val="2"/>
      </w:pPr>
    </w:p>
    <w:p>
      <w:pPr>
        <w:pStyle w:val="3"/>
        <w:ind w:left="420"/>
      </w:pPr>
    </w:p>
    <w:p/>
    <w:p/>
    <w:p/>
    <w:p>
      <w:pPr>
        <w:pStyle w:val="2"/>
      </w:pPr>
    </w:p>
    <w:p>
      <w:pPr>
        <w:spacing w:line="600" w:lineRule="exact"/>
        <w:outlineLvl w:val="2"/>
        <w:rPr>
          <w:rFonts w:eastAsia="楷体_GB2312" w:cs="楷体_GB2312"/>
          <w:b/>
          <w:sz w:val="32"/>
          <w:szCs w:val="32"/>
        </w:rPr>
      </w:pPr>
      <w:bookmarkStart w:id="28" w:name="_Toc15377211"/>
      <w:r>
        <w:rPr>
          <w:rFonts w:hint="eastAsia" w:eastAsia="楷体_GB2312" w:cs="楷体_GB2312"/>
          <w:b/>
          <w:sz w:val="32"/>
          <w:szCs w:val="32"/>
        </w:rPr>
        <w:t>（二）一般公共预算财政拨款支出决算结构情况</w:t>
      </w:r>
      <w:bookmarkEnd w:id="28"/>
    </w:p>
    <w:p>
      <w:pPr>
        <w:spacing w:line="600" w:lineRule="exact"/>
        <w:ind w:firstLine="640"/>
        <w:rPr>
          <w:rFonts w:eastAsia="仿宋_GB2312" w:cs="仿宋_GB2312"/>
          <w:b/>
          <w:bCs/>
          <w:sz w:val="32"/>
          <w:szCs w:val="32"/>
        </w:rPr>
      </w:pPr>
      <w:r>
        <w:rPr>
          <w:rFonts w:hint="eastAsia" w:eastAsia="仿宋_GB2312" w:cs="仿宋_GB2312"/>
          <w:sz w:val="32"/>
          <w:szCs w:val="32"/>
        </w:rPr>
        <w:t>2025年度一般公共预算财政拨款支出</w:t>
      </w:r>
      <w:r>
        <w:rPr>
          <w:rFonts w:hint="eastAsia" w:ascii="仿宋_GB2312" w:hAnsi="仿宋_GB2312" w:eastAsia="仿宋_GB2312" w:cs="仿宋_GB2312"/>
          <w:sz w:val="32"/>
          <w:szCs w:val="32"/>
        </w:rPr>
        <w:t>9095.94</w:t>
      </w:r>
      <w:r>
        <w:rPr>
          <w:rFonts w:hint="eastAsia" w:eastAsia="仿宋_GB2312" w:cs="仿宋_GB2312"/>
          <w:sz w:val="32"/>
          <w:szCs w:val="32"/>
        </w:rPr>
        <w:t>万元，主要用于以下方面：一般公共服务支出0万元，占0%；教育支出0万元，占0%；科学技术支出0万元，占0%；文化旅游体育与传媒支出0万元，占0%；社会保障和就业支出2268.69万元，占24.94%；卫生健康支出70.74万元，占0.8%；住房保障支出99.21万元，占1.1%；</w:t>
      </w:r>
      <w:r>
        <w:rPr>
          <w:rFonts w:hint="eastAsia" w:ascii="仿宋_GB2312" w:hAnsi="仿宋" w:eastAsia="仿宋_GB2312"/>
          <w:b/>
          <w:sz w:val="32"/>
          <w:szCs w:val="32"/>
        </w:rPr>
        <w:t>节能环保支出</w:t>
      </w:r>
      <w:r>
        <w:rPr>
          <w:rFonts w:hint="eastAsia" w:ascii="仿宋_GB2312" w:hAnsi="仿宋" w:eastAsia="仿宋_GB2312"/>
          <w:sz w:val="32"/>
          <w:szCs w:val="32"/>
        </w:rPr>
        <w:t>4550.28万元，占50.02%；</w:t>
      </w:r>
      <w:r>
        <w:rPr>
          <w:rFonts w:hint="eastAsia" w:ascii="仿宋_GB2312" w:hAnsi="仿宋" w:eastAsia="仿宋_GB2312"/>
          <w:b/>
          <w:sz w:val="32"/>
          <w:szCs w:val="32"/>
        </w:rPr>
        <w:t>农林水支出</w:t>
      </w:r>
      <w:r>
        <w:rPr>
          <w:rFonts w:hint="eastAsia" w:ascii="仿宋_GB2312" w:hAnsi="仿宋" w:eastAsia="仿宋_GB2312"/>
          <w:sz w:val="32"/>
          <w:szCs w:val="32"/>
        </w:rPr>
        <w:t>1904.71万元，占20.94%；</w:t>
      </w:r>
      <w:r>
        <w:rPr>
          <w:rFonts w:hint="eastAsia" w:ascii="仿宋_GB2312" w:hAnsi="仿宋" w:eastAsia="仿宋_GB2312"/>
          <w:b/>
          <w:sz w:val="32"/>
          <w:szCs w:val="32"/>
        </w:rPr>
        <w:t>灾害防治及应急管理支出202.31</w:t>
      </w:r>
      <w:r>
        <w:rPr>
          <w:rFonts w:hint="eastAsia" w:ascii="仿宋_GB2312" w:hAnsi="仿宋" w:eastAsia="仿宋_GB2312"/>
          <w:sz w:val="32"/>
          <w:szCs w:val="32"/>
        </w:rPr>
        <w:t>万元，占2.2%；</w:t>
      </w:r>
      <w:r>
        <w:rPr>
          <w:rFonts w:hint="eastAsia" w:ascii="仿宋_GB2312" w:hAnsi="仿宋" w:eastAsia="仿宋_GB2312"/>
          <w:b/>
          <w:sz w:val="32"/>
          <w:szCs w:val="32"/>
        </w:rPr>
        <w:t>其他支出</w:t>
      </w:r>
      <w:r>
        <w:rPr>
          <w:rFonts w:hint="eastAsia" w:ascii="仿宋_GB2312" w:hAnsi="仿宋" w:eastAsia="仿宋_GB2312"/>
          <w:sz w:val="32"/>
          <w:szCs w:val="32"/>
        </w:rPr>
        <w:t>0万元，占0%。</w:t>
      </w:r>
      <w:r>
        <w:rPr>
          <w:rFonts w:hint="eastAsia" w:eastAsia="仿宋_GB2312" w:cs="仿宋_GB2312"/>
          <w:b/>
          <w:bCs/>
          <w:sz w:val="32"/>
          <w:szCs w:val="32"/>
        </w:rPr>
        <w:t>（注：仅罗列本部门涉及的全部功能分类科目，至类级）</w:t>
      </w:r>
    </w:p>
    <w:p>
      <w:pPr>
        <w:spacing w:line="600" w:lineRule="exact"/>
        <w:ind w:firstLine="640"/>
        <w:rPr>
          <w:rFonts w:eastAsia="仿宋_GB2312" w:cs="仿宋_GB2312"/>
          <w:sz w:val="32"/>
          <w:szCs w:val="32"/>
        </w:rPr>
      </w:pPr>
      <w:r>
        <w:rPr>
          <w:rFonts w:hint="eastAsia" w:eastAsia="仿宋_GB2312" w:cs="仿宋_GB2312"/>
          <w:sz w:val="32"/>
          <w:szCs w:val="32"/>
        </w:rPr>
        <w:t>（图6：一般公共预算财政拨款支出决算结构）</w:t>
      </w:r>
    </w:p>
    <w:p>
      <w:r>
        <w:rPr>
          <w:rFonts w:hint="eastAsia" w:ascii="仿宋" w:hAnsi="仿宋" w:eastAsia="仿宋"/>
          <w:sz w:val="32"/>
          <w:szCs w:val="32"/>
        </w:rPr>
        <w:object>
          <v:shape id="_x0000_i1028" o:spt="75" type="#_x0000_t75" style="height:246.35pt;width:453.7pt;" o:ole="t" filled="f" o:preferrelative="t" stroked="f" coordsize="21600,21600">
            <v:path/>
            <v:fill on="f" focussize="0,0"/>
            <v:stroke on="f" joinstyle="miter"/>
            <v:imagedata r:id="rId14" o:title=""/>
            <o:lock v:ext="edit" aspectratio="t"/>
            <w10:wrap type="none"/>
            <w10:anchorlock/>
          </v:shape>
          <o:OLEObject Type="Embed" ProgID="Excel.Chart.8" ShapeID="_x0000_i1028" DrawAspect="Content" ObjectID="_1468075728" r:id="rId13">
            <o:LockedField>false</o:LockedField>
          </o:OLEObject>
        </w:object>
      </w:r>
    </w:p>
    <w:p>
      <w:pPr>
        <w:spacing w:line="600" w:lineRule="exact"/>
        <w:ind w:firstLine="642" w:firstLineChars="200"/>
        <w:outlineLvl w:val="2"/>
        <w:rPr>
          <w:rFonts w:eastAsia="楷体_GB2312" w:cs="楷体_GB2312"/>
          <w:b/>
          <w:sz w:val="32"/>
          <w:szCs w:val="32"/>
        </w:rPr>
      </w:pPr>
      <w:bookmarkStart w:id="29" w:name="_Toc15377212"/>
      <w:r>
        <w:rPr>
          <w:rFonts w:hint="eastAsia" w:eastAsia="楷体_GB2312" w:cs="楷体_GB2312"/>
          <w:b/>
          <w:sz w:val="32"/>
          <w:szCs w:val="32"/>
        </w:rPr>
        <w:t>（三）一般公共预算财政拨款支出决算具体情况</w:t>
      </w:r>
      <w:bookmarkEnd w:id="29"/>
    </w:p>
    <w:p>
      <w:pPr>
        <w:spacing w:line="600" w:lineRule="exact"/>
        <w:ind w:firstLine="640"/>
        <w:rPr>
          <w:rFonts w:eastAsia="仿宋_GB2312" w:cs="仿宋_GB2312"/>
          <w:sz w:val="32"/>
          <w:szCs w:val="32"/>
        </w:rPr>
      </w:pPr>
      <w:bookmarkStart w:id="30" w:name="_Toc15378460"/>
      <w:bookmarkStart w:id="31" w:name="_Toc15377213"/>
      <w:bookmarkStart w:id="32" w:name="_Toc15377444"/>
      <w:r>
        <w:rPr>
          <w:rFonts w:hint="eastAsia" w:eastAsia="仿宋_GB2312" w:cs="仿宋_GB2312"/>
          <w:sz w:val="32"/>
          <w:szCs w:val="32"/>
        </w:rPr>
        <w:t>2025年度一般公共预算支出决算数为</w:t>
      </w:r>
      <w:r>
        <w:rPr>
          <w:rFonts w:hint="eastAsia" w:ascii="仿宋_GB2312" w:hAnsi="仿宋_GB2312" w:eastAsia="仿宋_GB2312" w:cs="仿宋_GB2312"/>
          <w:sz w:val="32"/>
          <w:szCs w:val="32"/>
        </w:rPr>
        <w:t>9095.94万元，</w:t>
      </w:r>
      <w:r>
        <w:rPr>
          <w:rFonts w:hint="eastAsia" w:eastAsia="仿宋_GB2312" w:cs="仿宋_GB2312"/>
          <w:sz w:val="32"/>
          <w:szCs w:val="32"/>
        </w:rPr>
        <w:t>完成预算100%。其中：</w:t>
      </w:r>
      <w:bookmarkEnd w:id="30"/>
      <w:bookmarkEnd w:id="31"/>
      <w:bookmarkEnd w:id="32"/>
    </w:p>
    <w:p>
      <w:pPr>
        <w:numPr>
          <w:ilvl w:val="0"/>
          <w:numId w:val="2"/>
        </w:numPr>
        <w:spacing w:line="600" w:lineRule="exact"/>
        <w:ind w:firstLine="640"/>
        <w:rPr>
          <w:rFonts w:eastAsia="仿宋_GB2312" w:cs="仿宋_GB2312"/>
          <w:sz w:val="32"/>
          <w:szCs w:val="32"/>
        </w:rPr>
      </w:pPr>
      <w:r>
        <w:rPr>
          <w:rFonts w:hint="eastAsia" w:eastAsia="仿宋_GB2312" w:cs="仿宋_GB2312"/>
          <w:sz w:val="32"/>
          <w:szCs w:val="32"/>
        </w:rPr>
        <w:t>一般公共服务</w:t>
      </w:r>
      <w:r>
        <w:rPr>
          <w:rStyle w:val="17"/>
          <w:rFonts w:hint="eastAsia" w:ascii="仿宋_GB2312" w:hAnsi="仿宋" w:eastAsia="仿宋_GB2312"/>
          <w:bCs/>
          <w:sz w:val="32"/>
          <w:szCs w:val="32"/>
        </w:rPr>
        <w:t>（类）201（款）32（项）</w:t>
      </w:r>
      <w:r>
        <w:rPr>
          <w:rFonts w:hint="eastAsia" w:eastAsia="仿宋_GB2312" w:cs="仿宋_GB2312"/>
          <w:sz w:val="32"/>
          <w:szCs w:val="32"/>
        </w:rPr>
        <w:t>：支出决算为0万元，完成预算0%。</w:t>
      </w:r>
    </w:p>
    <w:p>
      <w:pPr>
        <w:numPr>
          <w:ilvl w:val="0"/>
          <w:numId w:val="2"/>
        </w:numPr>
        <w:spacing w:line="600" w:lineRule="exact"/>
        <w:ind w:firstLine="640"/>
        <w:rPr>
          <w:rFonts w:eastAsia="仿宋_GB2312" w:cs="仿宋_GB2312"/>
          <w:sz w:val="32"/>
          <w:szCs w:val="32"/>
        </w:rPr>
      </w:pPr>
      <w:r>
        <w:rPr>
          <w:rFonts w:hint="eastAsia" w:eastAsia="仿宋_GB2312" w:cs="仿宋_GB2312"/>
          <w:sz w:val="32"/>
          <w:szCs w:val="32"/>
        </w:rPr>
        <w:t>教育</w:t>
      </w:r>
      <w:r>
        <w:rPr>
          <w:rStyle w:val="17"/>
          <w:rFonts w:hint="eastAsia" w:ascii="仿宋_GB2312" w:hAnsi="仿宋" w:eastAsia="仿宋_GB2312"/>
          <w:bCs/>
          <w:sz w:val="32"/>
          <w:szCs w:val="32"/>
        </w:rPr>
        <w:t>（类）205（款）08（项）：</w:t>
      </w:r>
      <w:r>
        <w:rPr>
          <w:rFonts w:hint="eastAsia" w:eastAsia="仿宋_GB2312" w:cs="仿宋_GB2312"/>
          <w:sz w:val="32"/>
          <w:szCs w:val="32"/>
        </w:rPr>
        <w:t>支出决算为0万元，完成预算0%。</w:t>
      </w:r>
    </w:p>
    <w:p>
      <w:pPr>
        <w:spacing w:line="600" w:lineRule="exact"/>
        <w:ind w:firstLine="640"/>
        <w:rPr>
          <w:rFonts w:eastAsia="仿宋_GB2312" w:cs="仿宋_GB2312"/>
          <w:sz w:val="32"/>
          <w:szCs w:val="32"/>
        </w:rPr>
      </w:pPr>
      <w:r>
        <w:rPr>
          <w:rFonts w:hint="eastAsia" w:eastAsia="仿宋_GB2312" w:cs="仿宋_GB2312"/>
          <w:sz w:val="32"/>
          <w:szCs w:val="32"/>
        </w:rPr>
        <w:t>3.科学技术（类）：支出决算为0万元，完成预算0%。</w:t>
      </w:r>
    </w:p>
    <w:p>
      <w:pPr>
        <w:spacing w:line="600" w:lineRule="exact"/>
        <w:ind w:firstLine="640"/>
        <w:rPr>
          <w:rFonts w:eastAsia="仿宋_GB2312" w:cs="仿宋_GB2312"/>
          <w:sz w:val="32"/>
          <w:szCs w:val="32"/>
        </w:rPr>
      </w:pPr>
      <w:r>
        <w:rPr>
          <w:rFonts w:hint="eastAsia" w:eastAsia="仿宋_GB2312" w:cs="仿宋_GB2312"/>
          <w:sz w:val="32"/>
          <w:szCs w:val="32"/>
        </w:rPr>
        <w:t>4.文化旅游体育与传媒</w:t>
      </w:r>
      <w:r>
        <w:rPr>
          <w:rStyle w:val="17"/>
          <w:rFonts w:hint="eastAsia" w:ascii="仿宋_GB2312" w:hAnsi="仿宋" w:eastAsia="仿宋_GB2312"/>
          <w:bCs/>
          <w:sz w:val="32"/>
          <w:szCs w:val="32"/>
        </w:rPr>
        <w:t>（类）207（款）01（项）</w:t>
      </w:r>
      <w:r>
        <w:rPr>
          <w:rFonts w:hint="eastAsia" w:eastAsia="仿宋_GB2312" w:cs="仿宋_GB2312"/>
          <w:sz w:val="32"/>
          <w:szCs w:val="32"/>
        </w:rPr>
        <w:t>：支出决算为0万元，完成预算0%。</w:t>
      </w:r>
    </w:p>
    <w:p>
      <w:pPr>
        <w:spacing w:line="600" w:lineRule="exact"/>
        <w:ind w:firstLine="640"/>
        <w:rPr>
          <w:rFonts w:eastAsia="仿宋_GB2312" w:cs="仿宋_GB2312"/>
          <w:sz w:val="32"/>
          <w:szCs w:val="32"/>
        </w:rPr>
      </w:pPr>
      <w:r>
        <w:rPr>
          <w:rFonts w:hint="eastAsia" w:eastAsia="仿宋_GB2312" w:cs="仿宋_GB2312"/>
          <w:sz w:val="32"/>
          <w:szCs w:val="32"/>
        </w:rPr>
        <w:t>5.社会保障和就业</w:t>
      </w:r>
      <w:r>
        <w:rPr>
          <w:rStyle w:val="17"/>
          <w:rFonts w:hint="eastAsia" w:ascii="仿宋_GB2312" w:hAnsi="仿宋" w:eastAsia="仿宋_GB2312"/>
          <w:bCs/>
          <w:sz w:val="32"/>
          <w:szCs w:val="32"/>
        </w:rPr>
        <w:t>（类）208（款）</w:t>
      </w:r>
      <w:r>
        <w:rPr>
          <w:rFonts w:hint="eastAsia" w:eastAsia="仿宋_GB2312" w:cs="仿宋_GB2312"/>
          <w:sz w:val="32"/>
          <w:szCs w:val="32"/>
        </w:rPr>
        <w:t>07（项）：支出决算为2268.69万元，完成预算24.94%，决算数等于预算数。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6.卫生健康</w:t>
      </w:r>
      <w:r>
        <w:rPr>
          <w:rStyle w:val="17"/>
          <w:rFonts w:hint="eastAsia" w:ascii="仿宋_GB2312" w:hAnsi="仿宋" w:eastAsia="仿宋_GB2312"/>
          <w:bCs/>
          <w:sz w:val="32"/>
          <w:szCs w:val="32"/>
        </w:rPr>
        <w:t>（类）210（款）</w:t>
      </w:r>
      <w:r>
        <w:rPr>
          <w:rFonts w:hint="eastAsia" w:eastAsia="仿宋_GB2312" w:cs="仿宋_GB2312"/>
          <w:sz w:val="32"/>
          <w:szCs w:val="32"/>
        </w:rPr>
        <w:t>11（项）：支出决算为70.74万元，完成预算0.8%，决算数等于预算数。</w:t>
      </w:r>
    </w:p>
    <w:p>
      <w:pPr>
        <w:pStyle w:val="2"/>
      </w:pPr>
    </w:p>
    <w:p>
      <w:pPr>
        <w:spacing w:line="600" w:lineRule="exact"/>
        <w:ind w:firstLine="640"/>
        <w:rPr>
          <w:rFonts w:ascii="仿宋_GB2312" w:hAnsi="仿宋" w:eastAsia="仿宋_GB2312"/>
          <w:sz w:val="32"/>
          <w:szCs w:val="32"/>
        </w:rPr>
      </w:pPr>
      <w:r>
        <w:rPr>
          <w:rFonts w:hint="eastAsia" w:ascii="仿宋_GB2312" w:hAnsi="仿宋" w:eastAsia="仿宋_GB2312"/>
          <w:b/>
          <w:sz w:val="32"/>
          <w:szCs w:val="32"/>
        </w:rPr>
        <w:t>7.节能环保</w:t>
      </w:r>
      <w:r>
        <w:rPr>
          <w:rStyle w:val="17"/>
          <w:rFonts w:hint="eastAsia" w:ascii="仿宋_GB2312" w:hAnsi="仿宋" w:eastAsia="仿宋_GB2312"/>
          <w:bCs/>
          <w:sz w:val="32"/>
          <w:szCs w:val="32"/>
        </w:rPr>
        <w:t>（类）211（款）99（项）：</w:t>
      </w:r>
      <w:r>
        <w:rPr>
          <w:rFonts w:hint="eastAsia" w:ascii="仿宋_GB2312" w:hAnsi="仿宋" w:eastAsia="仿宋_GB2312"/>
          <w:b/>
          <w:sz w:val="32"/>
          <w:szCs w:val="32"/>
        </w:rPr>
        <w:t>支出</w:t>
      </w:r>
      <w:r>
        <w:rPr>
          <w:rStyle w:val="17"/>
          <w:rFonts w:hint="eastAsia" w:ascii="仿宋_GB2312" w:hAnsi="仿宋" w:eastAsia="仿宋_GB2312"/>
          <w:b w:val="0"/>
          <w:bCs/>
          <w:sz w:val="32"/>
          <w:szCs w:val="32"/>
        </w:rPr>
        <w:t>决算为</w:t>
      </w:r>
      <w:r>
        <w:rPr>
          <w:rFonts w:hint="eastAsia" w:ascii="仿宋_GB2312" w:hAnsi="仿宋" w:eastAsia="仿宋_GB2312"/>
          <w:sz w:val="32"/>
          <w:szCs w:val="32"/>
        </w:rPr>
        <w:t>4550.28万元，占50.02%，</w:t>
      </w:r>
      <w:r>
        <w:rPr>
          <w:rStyle w:val="17"/>
          <w:rFonts w:hint="eastAsia" w:ascii="仿宋_GB2312" w:hAnsi="仿宋" w:eastAsia="仿宋_GB2312"/>
          <w:b w:val="0"/>
          <w:bCs/>
          <w:sz w:val="32"/>
          <w:szCs w:val="32"/>
        </w:rPr>
        <w:t>决算数等于预算数。</w:t>
      </w:r>
    </w:p>
    <w:p>
      <w:pPr>
        <w:spacing w:line="600" w:lineRule="exact"/>
        <w:ind w:firstLine="640"/>
        <w:rPr>
          <w:rStyle w:val="17"/>
          <w:rFonts w:ascii="仿宋_GB2312" w:hAnsi="仿宋" w:eastAsia="仿宋_GB2312"/>
          <w:b w:val="0"/>
          <w:bCs/>
          <w:sz w:val="32"/>
          <w:szCs w:val="32"/>
        </w:rPr>
      </w:pPr>
      <w:r>
        <w:rPr>
          <w:rFonts w:hint="eastAsia" w:ascii="仿宋_GB2312" w:hAnsi="仿宋" w:eastAsia="仿宋_GB2312"/>
          <w:b/>
          <w:sz w:val="32"/>
          <w:szCs w:val="32"/>
        </w:rPr>
        <w:t>8.农林水</w:t>
      </w:r>
      <w:r>
        <w:rPr>
          <w:rStyle w:val="17"/>
          <w:rFonts w:hint="eastAsia" w:ascii="仿宋_GB2312" w:hAnsi="仿宋" w:eastAsia="仿宋_GB2312"/>
          <w:bCs/>
          <w:sz w:val="32"/>
          <w:szCs w:val="32"/>
        </w:rPr>
        <w:t>（类）213（款）02（项）：</w:t>
      </w:r>
      <w:r>
        <w:rPr>
          <w:rFonts w:hint="eastAsia" w:ascii="仿宋_GB2312" w:hAnsi="仿宋" w:eastAsia="仿宋_GB2312"/>
          <w:b/>
          <w:sz w:val="32"/>
          <w:szCs w:val="32"/>
        </w:rPr>
        <w:t>支出</w:t>
      </w:r>
      <w:r>
        <w:rPr>
          <w:rStyle w:val="17"/>
          <w:rFonts w:hint="eastAsia" w:ascii="仿宋_GB2312" w:hAnsi="仿宋" w:eastAsia="仿宋_GB2312"/>
          <w:b w:val="0"/>
          <w:bCs/>
          <w:sz w:val="32"/>
          <w:szCs w:val="32"/>
        </w:rPr>
        <w:t>决算为</w:t>
      </w:r>
      <w:r>
        <w:rPr>
          <w:rFonts w:hint="eastAsia" w:ascii="仿宋_GB2312" w:hAnsi="仿宋" w:eastAsia="仿宋_GB2312"/>
          <w:sz w:val="32"/>
          <w:szCs w:val="32"/>
        </w:rPr>
        <w:t>1904.71万元，占20.94%，</w:t>
      </w:r>
      <w:r>
        <w:rPr>
          <w:rStyle w:val="17"/>
          <w:rFonts w:hint="eastAsia" w:ascii="仿宋_GB2312" w:hAnsi="仿宋" w:eastAsia="仿宋_GB2312"/>
          <w:b w:val="0"/>
          <w:bCs/>
          <w:sz w:val="32"/>
          <w:szCs w:val="32"/>
        </w:rPr>
        <w:t>决算数等于预算数。</w:t>
      </w:r>
    </w:p>
    <w:p>
      <w:pPr>
        <w:spacing w:line="600" w:lineRule="exact"/>
        <w:ind w:firstLine="640"/>
        <w:rPr>
          <w:rStyle w:val="17"/>
          <w:rFonts w:ascii="仿宋_GB2312" w:hAnsi="仿宋" w:eastAsia="仿宋_GB2312"/>
          <w:b w:val="0"/>
          <w:bCs/>
          <w:sz w:val="32"/>
          <w:szCs w:val="32"/>
        </w:rPr>
      </w:pPr>
      <w:r>
        <w:rPr>
          <w:rStyle w:val="17"/>
          <w:rFonts w:hint="eastAsia" w:ascii="仿宋_GB2312" w:hAnsi="仿宋" w:eastAsia="仿宋_GB2312"/>
          <w:b w:val="0"/>
          <w:bCs/>
          <w:sz w:val="32"/>
          <w:szCs w:val="32"/>
        </w:rPr>
        <w:t>9.</w:t>
      </w:r>
      <w:r>
        <w:rPr>
          <w:rFonts w:hint="eastAsia" w:ascii="仿宋_GB2312" w:hAnsi="仿宋" w:eastAsia="仿宋_GB2312"/>
          <w:b/>
          <w:bCs/>
          <w:sz w:val="32"/>
          <w:szCs w:val="32"/>
        </w:rPr>
        <w:t>住房保障</w:t>
      </w:r>
      <w:r>
        <w:rPr>
          <w:rStyle w:val="17"/>
          <w:rFonts w:hint="eastAsia" w:ascii="仿宋_GB2312" w:hAnsi="仿宋" w:eastAsia="仿宋_GB2312"/>
          <w:bCs/>
          <w:sz w:val="32"/>
          <w:szCs w:val="32"/>
        </w:rPr>
        <w:t>（类）211（款）02（项）：</w:t>
      </w:r>
      <w:r>
        <w:rPr>
          <w:rFonts w:hint="eastAsia" w:ascii="仿宋_GB2312" w:hAnsi="仿宋" w:eastAsia="仿宋_GB2312"/>
          <w:b/>
          <w:bCs/>
          <w:sz w:val="32"/>
          <w:szCs w:val="32"/>
        </w:rPr>
        <w:t>支出</w:t>
      </w:r>
      <w:r>
        <w:rPr>
          <w:rStyle w:val="17"/>
          <w:rFonts w:hint="eastAsia" w:ascii="仿宋_GB2312" w:hAnsi="仿宋" w:eastAsia="仿宋_GB2312"/>
          <w:b w:val="0"/>
          <w:bCs/>
          <w:sz w:val="32"/>
          <w:szCs w:val="32"/>
        </w:rPr>
        <w:t>决算为</w:t>
      </w:r>
      <w:r>
        <w:rPr>
          <w:rFonts w:hint="eastAsia" w:ascii="仿宋_GB2312" w:hAnsi="仿宋" w:eastAsia="仿宋_GB2312"/>
          <w:sz w:val="32"/>
          <w:szCs w:val="32"/>
        </w:rPr>
        <w:t>99.21万元，占1.1%，</w:t>
      </w:r>
      <w:r>
        <w:rPr>
          <w:rStyle w:val="17"/>
          <w:rFonts w:hint="eastAsia" w:ascii="仿宋_GB2312" w:hAnsi="仿宋" w:eastAsia="仿宋_GB2312"/>
          <w:b w:val="0"/>
          <w:bCs/>
          <w:sz w:val="32"/>
          <w:szCs w:val="32"/>
        </w:rPr>
        <w:t>决算数等于预算数。</w:t>
      </w:r>
    </w:p>
    <w:p>
      <w:pPr>
        <w:spacing w:line="600" w:lineRule="exact"/>
        <w:ind w:firstLine="640"/>
        <w:rPr>
          <w:rFonts w:ascii="仿宋_GB2312" w:hAnsi="仿宋" w:eastAsia="仿宋_GB2312"/>
          <w:sz w:val="32"/>
          <w:szCs w:val="32"/>
        </w:rPr>
      </w:pPr>
      <w:r>
        <w:rPr>
          <w:rStyle w:val="17"/>
          <w:rFonts w:hint="eastAsia" w:ascii="仿宋_GB2312" w:hAnsi="仿宋" w:eastAsia="仿宋_GB2312"/>
          <w:b w:val="0"/>
          <w:bCs/>
          <w:sz w:val="32"/>
          <w:szCs w:val="32"/>
        </w:rPr>
        <w:t>10.</w:t>
      </w:r>
      <w:r>
        <w:rPr>
          <w:rFonts w:hint="eastAsia" w:ascii="仿宋_GB2312" w:hAnsi="仿宋" w:eastAsia="仿宋_GB2312"/>
          <w:b/>
          <w:sz w:val="32"/>
          <w:szCs w:val="32"/>
        </w:rPr>
        <w:t>灾害防治及应急管理</w:t>
      </w:r>
      <w:r>
        <w:rPr>
          <w:rStyle w:val="17"/>
          <w:rFonts w:hint="eastAsia" w:ascii="仿宋_GB2312" w:hAnsi="仿宋" w:eastAsia="仿宋_GB2312"/>
          <w:bCs/>
          <w:sz w:val="32"/>
          <w:szCs w:val="32"/>
        </w:rPr>
        <w:t>（类）224（款）01（项）：</w:t>
      </w:r>
      <w:r>
        <w:rPr>
          <w:rFonts w:hint="eastAsia" w:ascii="仿宋_GB2312" w:hAnsi="仿宋" w:eastAsia="仿宋_GB2312"/>
          <w:b/>
          <w:sz w:val="32"/>
          <w:szCs w:val="32"/>
        </w:rPr>
        <w:t>支出</w:t>
      </w:r>
      <w:r>
        <w:rPr>
          <w:rStyle w:val="17"/>
          <w:rFonts w:hint="eastAsia" w:ascii="仿宋_GB2312" w:hAnsi="仿宋" w:eastAsia="仿宋_GB2312"/>
          <w:b w:val="0"/>
          <w:bCs/>
          <w:sz w:val="32"/>
          <w:szCs w:val="32"/>
        </w:rPr>
        <w:t>决算为</w:t>
      </w:r>
      <w:r>
        <w:rPr>
          <w:rFonts w:hint="eastAsia" w:ascii="仿宋_GB2312" w:hAnsi="仿宋" w:eastAsia="仿宋_GB2312"/>
          <w:sz w:val="32"/>
          <w:szCs w:val="32"/>
        </w:rPr>
        <w:t>202.31万元，占2.2%，</w:t>
      </w:r>
      <w:r>
        <w:rPr>
          <w:rStyle w:val="17"/>
          <w:rFonts w:hint="eastAsia" w:ascii="仿宋_GB2312" w:hAnsi="仿宋" w:eastAsia="仿宋_GB2312"/>
          <w:b w:val="0"/>
          <w:bCs/>
          <w:sz w:val="32"/>
          <w:szCs w:val="32"/>
        </w:rPr>
        <w:t>决算数等于预算数。</w:t>
      </w:r>
    </w:p>
    <w:p>
      <w:pPr>
        <w:spacing w:line="600" w:lineRule="exact"/>
        <w:ind w:firstLine="640"/>
        <w:rPr>
          <w:rFonts w:ascii="仿宋_GB2312" w:hAnsi="仿宋" w:eastAsia="仿宋_GB2312"/>
          <w:sz w:val="32"/>
          <w:szCs w:val="32"/>
        </w:rPr>
      </w:pPr>
      <w:r>
        <w:rPr>
          <w:rFonts w:hint="eastAsia" w:ascii="仿宋_GB2312" w:hAnsi="仿宋" w:eastAsia="仿宋_GB2312"/>
          <w:b/>
          <w:sz w:val="32"/>
          <w:szCs w:val="32"/>
        </w:rPr>
        <w:t>11.其他</w:t>
      </w:r>
      <w:r>
        <w:rPr>
          <w:rStyle w:val="17"/>
          <w:rFonts w:hint="eastAsia" w:ascii="仿宋_GB2312" w:hAnsi="仿宋" w:eastAsia="仿宋_GB2312"/>
          <w:bCs/>
          <w:sz w:val="32"/>
          <w:szCs w:val="32"/>
        </w:rPr>
        <w:t>（类）229（款）01（项）：</w:t>
      </w:r>
      <w:r>
        <w:rPr>
          <w:rFonts w:hint="eastAsia" w:ascii="仿宋_GB2312" w:hAnsi="仿宋" w:eastAsia="仿宋_GB2312"/>
          <w:b/>
          <w:sz w:val="32"/>
          <w:szCs w:val="32"/>
        </w:rPr>
        <w:t>支出</w:t>
      </w:r>
      <w:r>
        <w:rPr>
          <w:rStyle w:val="17"/>
          <w:rFonts w:hint="eastAsia" w:ascii="仿宋_GB2312" w:hAnsi="仿宋" w:eastAsia="仿宋_GB2312"/>
          <w:b w:val="0"/>
          <w:bCs/>
          <w:sz w:val="32"/>
          <w:szCs w:val="32"/>
        </w:rPr>
        <w:t>决算为</w:t>
      </w:r>
      <w:r>
        <w:rPr>
          <w:rFonts w:hint="eastAsia" w:ascii="仿宋_GB2312" w:hAnsi="仿宋" w:eastAsia="仿宋_GB2312"/>
          <w:sz w:val="32"/>
          <w:szCs w:val="32"/>
        </w:rPr>
        <w:t>0万元，占0%，</w:t>
      </w:r>
      <w:r>
        <w:rPr>
          <w:rStyle w:val="17"/>
          <w:rFonts w:hint="eastAsia" w:ascii="仿宋_GB2312" w:hAnsi="仿宋" w:eastAsia="仿宋_GB2312"/>
          <w:b w:val="0"/>
          <w:bCs/>
          <w:sz w:val="32"/>
          <w:szCs w:val="32"/>
        </w:rPr>
        <w:t>决算数等于预算数。</w:t>
      </w:r>
    </w:p>
    <w:p>
      <w:pPr>
        <w:tabs>
          <w:tab w:val="right" w:pos="8306"/>
        </w:tabs>
        <w:spacing w:line="600" w:lineRule="exact"/>
        <w:ind w:firstLine="640"/>
        <w:outlineLvl w:val="1"/>
        <w:rPr>
          <w:rStyle w:val="29"/>
          <w:rFonts w:ascii="Times New Roman" w:hAnsi="Times New Roman"/>
        </w:rPr>
      </w:pPr>
      <w:bookmarkStart w:id="33" w:name="_Toc15377214"/>
      <w:bookmarkStart w:id="34" w:name="_Toc15396608"/>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33"/>
      <w:bookmarkEnd w:id="34"/>
      <w:r>
        <w:rPr>
          <w:rStyle w:val="29"/>
          <w:rFonts w:ascii="Times New Roman" w:hAnsi="Times New Roman" w:eastAsia="黑体"/>
          <w:b w:val="0"/>
        </w:rPr>
        <w:tab/>
      </w:r>
    </w:p>
    <w:p>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ascii="仿宋_GB2312" w:hAnsi="仿宋_GB2312" w:eastAsia="仿宋_GB2312" w:cs="仿宋_GB2312"/>
          <w:sz w:val="32"/>
          <w:szCs w:val="32"/>
        </w:rPr>
        <w:t>1496.34</w:t>
      </w:r>
      <w:r>
        <w:rPr>
          <w:rFonts w:hint="eastAsia" w:eastAsia="仿宋_GB2312" w:cs="仿宋_GB2312"/>
          <w:sz w:val="32"/>
          <w:szCs w:val="32"/>
        </w:rPr>
        <w:t>万元，其中：</w:t>
      </w:r>
    </w:p>
    <w:p>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rPr>
        <w:t>1430.87</w:t>
      </w:r>
      <w:r>
        <w:rPr>
          <w:rFonts w:hint="eastAsia" w:eastAsia="仿宋_GB2312" w:cs="仿宋_GB2312"/>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rPr>
        <w:t>65.47</w:t>
      </w:r>
      <w:r>
        <w:rPr>
          <w:rFonts w:hint="eastAsia" w:eastAsia="仿宋_GB2312" w:cs="仿宋_GB2312"/>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outlineLvl w:val="1"/>
        <w:rPr>
          <w:rStyle w:val="29"/>
          <w:rFonts w:ascii="Times New Roman" w:hAnsi="Times New Roman" w:eastAsia="黑体"/>
          <w:b w:val="0"/>
        </w:rPr>
      </w:pPr>
      <w:bookmarkStart w:id="35" w:name="_Toc15396609"/>
      <w:bookmarkStart w:id="36" w:name="_Toc15377215"/>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35"/>
      <w:bookmarkEnd w:id="36"/>
    </w:p>
    <w:p>
      <w:pPr>
        <w:spacing w:line="600" w:lineRule="exact"/>
        <w:ind w:firstLine="642" w:firstLineChars="200"/>
        <w:outlineLvl w:val="2"/>
        <w:rPr>
          <w:rFonts w:eastAsia="楷体_GB2312" w:cs="楷体_GB2312"/>
          <w:b/>
          <w:sz w:val="32"/>
          <w:szCs w:val="32"/>
        </w:rPr>
      </w:pPr>
      <w:bookmarkStart w:id="37" w:name="_Toc15377216"/>
      <w:r>
        <w:rPr>
          <w:rFonts w:hint="eastAsia" w:eastAsia="楷体_GB2312" w:cs="楷体_GB2312"/>
          <w:b/>
          <w:sz w:val="32"/>
          <w:szCs w:val="32"/>
        </w:rPr>
        <w:t>（一）财政拨款“三公”经费支出决算总体情况说明</w:t>
      </w:r>
      <w:bookmarkEnd w:id="37"/>
    </w:p>
    <w:p>
      <w:pPr>
        <w:spacing w:line="600" w:lineRule="exact"/>
        <w:ind w:firstLine="640"/>
        <w:rPr>
          <w:rFonts w:eastAsia="仿宋_GB2312" w:cs="仿宋_GB2312"/>
          <w:b/>
          <w:bCs/>
          <w:sz w:val="32"/>
          <w:szCs w:val="32"/>
        </w:rPr>
      </w:pPr>
      <w:r>
        <w:rPr>
          <w:rFonts w:hint="eastAsia" w:eastAsia="仿宋_GB2312" w:cs="仿宋_GB2312"/>
          <w:sz w:val="32"/>
          <w:szCs w:val="32"/>
        </w:rPr>
        <w:t>2025年度财政拨款“三公”经费支出决算为</w:t>
      </w:r>
      <w:r>
        <w:rPr>
          <w:rFonts w:hint="eastAsia" w:ascii="仿宋_GB2312" w:hAnsi="仿宋_GB2312" w:eastAsia="仿宋_GB2312" w:cs="仿宋_GB2312"/>
          <w:sz w:val="32"/>
          <w:szCs w:val="32"/>
        </w:rPr>
        <w:t>7.99</w:t>
      </w:r>
      <w:r>
        <w:rPr>
          <w:rFonts w:hint="eastAsia" w:eastAsia="仿宋_GB2312" w:cs="仿宋_GB2312"/>
          <w:sz w:val="32"/>
          <w:szCs w:val="32"/>
        </w:rPr>
        <w:t>万元，完成预算</w:t>
      </w:r>
      <w:r>
        <w:rPr>
          <w:rFonts w:hint="eastAsia" w:ascii="仿宋_GB2312" w:hAnsi="仿宋_GB2312" w:eastAsia="仿宋_GB2312" w:cs="仿宋_GB2312"/>
          <w:sz w:val="32"/>
          <w:szCs w:val="32"/>
        </w:rPr>
        <w:t>99.87</w:t>
      </w:r>
      <w:r>
        <w:rPr>
          <w:rFonts w:hint="eastAsia" w:eastAsia="仿宋_GB2312" w:cs="仿宋_GB2312"/>
          <w:sz w:val="32"/>
          <w:szCs w:val="32"/>
        </w:rPr>
        <w:t>%，较上年度减少0.01万元，下降0.13%。</w:t>
      </w:r>
    </w:p>
    <w:p>
      <w:pPr>
        <w:spacing w:line="600" w:lineRule="exact"/>
        <w:ind w:firstLine="642" w:firstLineChars="200"/>
        <w:outlineLvl w:val="2"/>
        <w:rPr>
          <w:rFonts w:eastAsia="楷体_GB2312" w:cs="楷体_GB2312"/>
          <w:b/>
          <w:sz w:val="32"/>
          <w:szCs w:val="32"/>
        </w:rPr>
      </w:pPr>
      <w:bookmarkStart w:id="38" w:name="_Toc15377217"/>
      <w:r>
        <w:rPr>
          <w:rFonts w:hint="eastAsia" w:eastAsia="楷体_GB2312" w:cs="楷体_GB2312"/>
          <w:b/>
          <w:sz w:val="32"/>
          <w:szCs w:val="32"/>
        </w:rPr>
        <w:t>（二）财政拨款“三公”经费支出决算具体情况说明</w:t>
      </w:r>
      <w:bookmarkEnd w:id="38"/>
    </w:p>
    <w:p>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ascii="仿宋_GB2312" w:hAnsi="仿宋_GB2312" w:eastAsia="仿宋_GB2312" w:cs="仿宋_GB2312"/>
          <w:sz w:val="32"/>
          <w:szCs w:val="32"/>
        </w:rPr>
        <w:t>0</w:t>
      </w:r>
      <w:r>
        <w:rPr>
          <w:rFonts w:hint="eastAsia" w:eastAsia="仿宋_GB2312" w:cs="仿宋_GB2312"/>
          <w:sz w:val="32"/>
          <w:szCs w:val="32"/>
        </w:rPr>
        <w:t>万元，占0%；公务用车购置及运行维护费支出决算</w:t>
      </w:r>
      <w:r>
        <w:rPr>
          <w:rFonts w:hint="eastAsia" w:ascii="仿宋_GB2312" w:hAnsi="仿宋_GB2312" w:eastAsia="仿宋_GB2312" w:cs="仿宋_GB2312"/>
          <w:sz w:val="32"/>
          <w:szCs w:val="32"/>
        </w:rPr>
        <w:t>7.99</w:t>
      </w:r>
      <w:r>
        <w:rPr>
          <w:rFonts w:hint="eastAsia" w:eastAsia="仿宋_GB2312" w:cs="仿宋_GB2312"/>
          <w:sz w:val="32"/>
          <w:szCs w:val="32"/>
        </w:rPr>
        <w:t>万元，占99.87%；公务接待费支出决算</w:t>
      </w:r>
      <w:r>
        <w:rPr>
          <w:rFonts w:hint="eastAsia" w:ascii="仿宋_GB2312" w:hAnsi="仿宋_GB2312" w:eastAsia="仿宋_GB2312" w:cs="仿宋_GB2312"/>
          <w:sz w:val="32"/>
          <w:szCs w:val="32"/>
        </w:rPr>
        <w:t>0</w:t>
      </w:r>
      <w:r>
        <w:rPr>
          <w:rFonts w:hint="eastAsia" w:eastAsia="仿宋_GB2312" w:cs="仿宋_GB2312"/>
          <w:sz w:val="32"/>
          <w:szCs w:val="32"/>
        </w:rPr>
        <w:t>万元，占0%。具体情况如下：</w:t>
      </w:r>
    </w:p>
    <w:p>
      <w:pPr>
        <w:spacing w:line="600" w:lineRule="exact"/>
        <w:ind w:firstLine="640"/>
        <w:rPr>
          <w:rFonts w:eastAsia="仿宋_GB2312" w:cs="仿宋_GB2312"/>
          <w:sz w:val="32"/>
          <w:szCs w:val="32"/>
        </w:rPr>
      </w:pPr>
      <w:r>
        <w:rPr>
          <w:rFonts w:hint="eastAsia" w:eastAsia="仿宋_GB2312" w:cs="仿宋_GB2312"/>
          <w:sz w:val="32"/>
          <w:szCs w:val="32"/>
        </w:rPr>
        <w:t>（图7：财政拨款“三公”经费支出结构）</w:t>
      </w:r>
    </w:p>
    <w:p>
      <w:pPr>
        <w:pStyle w:val="2"/>
        <w:rPr>
          <w:rFonts w:eastAsia="仿宋_GB2312" w:cs="仿宋_GB2312"/>
          <w:sz w:val="32"/>
          <w:szCs w:val="32"/>
        </w:rPr>
      </w:pPr>
    </w:p>
    <w:p>
      <w:pPr>
        <w:pStyle w:val="3"/>
        <w:ind w:left="420" w:firstLine="640"/>
        <w:rPr>
          <w:rFonts w:ascii="Times New Roman" w:eastAsia="仿宋_GB2312" w:cs="仿宋_GB2312"/>
          <w:b/>
          <w:bCs/>
          <w:sz w:val="32"/>
        </w:rPr>
      </w:pPr>
      <w:r>
        <w:rPr>
          <w:rFonts w:hint="eastAsia" w:ascii="仿宋" w:hAnsi="仿宋" w:eastAsia="仿宋"/>
          <w:sz w:val="32"/>
        </w:rPr>
        <w:object>
          <v:shape id="_x0000_i1029" o:spt="75" type="#_x0000_t75" style="height:224.65pt;width:390.35pt;" o:ole="t" filled="f" o:preferrelative="t" stroked="f" coordsize="21600,21600">
            <v:path/>
            <v:fill on="f" focussize="0,0"/>
            <v:stroke on="f" joinstyle="miter"/>
            <v:imagedata r:id="rId16" o:title=""/>
            <o:lock v:ext="edit" aspectratio="t"/>
            <w10:wrap type="none"/>
            <w10:anchorlock/>
          </v:shape>
          <o:OLEObject Type="Embed" ProgID="Excel.Chart.8" ShapeID="_x0000_i1029" DrawAspect="Content" ObjectID="_1468075729" r:id="rId15">
            <o:LockedField>false</o:LockedField>
          </o:OLEObject>
        </w:object>
      </w:r>
      <w:r>
        <w:rPr>
          <w:rFonts w:hint="eastAsia" w:ascii="Times New Roman" w:eastAsia="仿宋_GB2312" w:cs="仿宋_GB2312"/>
          <w:b/>
          <w:bCs/>
          <w:sz w:val="32"/>
        </w:rPr>
        <w:t>1.因公出国（境）经费支出</w:t>
      </w:r>
      <w:r>
        <w:rPr>
          <w:rFonts w:hint="eastAsia" w:hAnsi="仿宋_GB2312" w:eastAsia="仿宋_GB2312" w:cs="仿宋_GB2312"/>
          <w:sz w:val="32"/>
        </w:rPr>
        <w:t>0</w:t>
      </w:r>
      <w:r>
        <w:rPr>
          <w:rFonts w:hint="eastAsia" w:ascii="Times New Roman" w:eastAsia="仿宋_GB2312" w:cs="仿宋_GB2312"/>
          <w:b/>
          <w:bCs/>
          <w:sz w:val="32"/>
        </w:rPr>
        <w:t>万元，完成预算</w:t>
      </w:r>
      <w:r>
        <w:rPr>
          <w:rFonts w:hint="eastAsia" w:eastAsia="仿宋_GB2312" w:cs="仿宋_GB2312"/>
          <w:b/>
          <w:bCs/>
          <w:sz w:val="32"/>
        </w:rPr>
        <w:t>0</w:t>
      </w:r>
      <w:r>
        <w:rPr>
          <w:rFonts w:hint="eastAsia" w:ascii="Times New Roman" w:eastAsia="仿宋_GB2312" w:cs="仿宋_GB2312"/>
          <w:b/>
          <w:bCs/>
          <w:sz w:val="32"/>
        </w:rPr>
        <w:t>%。</w:t>
      </w:r>
    </w:p>
    <w:p>
      <w:pPr>
        <w:pStyle w:val="3"/>
        <w:ind w:left="0" w:leftChars="0" w:firstLine="640"/>
        <w:rPr>
          <w:rFonts w:eastAsia="仿宋_GB2312" w:cs="仿宋_GB2312"/>
          <w:sz w:val="32"/>
        </w:rPr>
      </w:pPr>
      <w:r>
        <w:rPr>
          <w:rFonts w:hint="eastAsia" w:ascii="Times New Roman" w:eastAsia="仿宋_GB2312" w:cs="仿宋_GB2312"/>
          <w:sz w:val="32"/>
        </w:rPr>
        <w:t>全年安排因公出国（境）团组</w:t>
      </w:r>
      <w:r>
        <w:rPr>
          <w:rFonts w:hint="eastAsia" w:hAnsi="仿宋_GB2312" w:eastAsia="仿宋_GB2312" w:cs="仿宋_GB2312"/>
          <w:sz w:val="32"/>
        </w:rPr>
        <w:t>0</w:t>
      </w:r>
      <w:r>
        <w:rPr>
          <w:rFonts w:hint="eastAsia" w:ascii="Times New Roman" w:eastAsia="仿宋_GB2312" w:cs="仿宋_GB2312"/>
          <w:sz w:val="32"/>
        </w:rPr>
        <w:t>次，出国（境）</w:t>
      </w:r>
      <w:r>
        <w:rPr>
          <w:rFonts w:hint="eastAsia" w:hAnsi="仿宋_GB2312" w:eastAsia="仿宋_GB2312" w:cs="仿宋_GB2312"/>
          <w:sz w:val="32"/>
        </w:rPr>
        <w:t>0</w:t>
      </w:r>
      <w:r>
        <w:rPr>
          <w:rFonts w:hint="eastAsia" w:ascii="Times New Roman" w:eastAsia="仿宋_GB2312" w:cs="仿宋_GB2312"/>
          <w:sz w:val="32"/>
        </w:rPr>
        <w:t>人。因公出国（境）支出决算比</w:t>
      </w:r>
      <w:r>
        <w:rPr>
          <w:rFonts w:hint="eastAsia" w:eastAsia="仿宋_GB2312" w:cs="仿宋_GB2312"/>
          <w:sz w:val="32"/>
        </w:rPr>
        <w:t>上年度</w:t>
      </w:r>
      <w:r>
        <w:rPr>
          <w:rFonts w:hint="eastAsia" w:ascii="Times New Roman" w:eastAsia="仿宋_GB2312" w:cs="仿宋_GB2312"/>
          <w:sz w:val="32"/>
        </w:rPr>
        <w:t>增加/减少</w:t>
      </w:r>
      <w:r>
        <w:rPr>
          <w:rFonts w:hint="eastAsia" w:eastAsia="仿宋_GB2312" w:cs="仿宋_GB2312"/>
          <w:sz w:val="32"/>
        </w:rPr>
        <w:t>0</w:t>
      </w:r>
      <w:r>
        <w:rPr>
          <w:rFonts w:hint="eastAsia" w:ascii="Times New Roman" w:eastAsia="仿宋_GB2312" w:cs="仿宋_GB2312"/>
          <w:sz w:val="32"/>
        </w:rPr>
        <w:t>万元，增长/下降</w:t>
      </w:r>
      <w:r>
        <w:rPr>
          <w:rFonts w:hint="eastAsia" w:eastAsia="仿宋_GB2312" w:cs="仿宋_GB2312"/>
          <w:sz w:val="32"/>
        </w:rPr>
        <w:t>0</w:t>
      </w:r>
      <w:r>
        <w:rPr>
          <w:rFonts w:hint="eastAsia" w:ascii="Times New Roman" w:eastAsia="仿宋_GB2312" w:cs="仿宋_GB2312"/>
          <w:sz w:val="32"/>
        </w:rPr>
        <w:t>%。</w:t>
      </w:r>
    </w:p>
    <w:p>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b/>
          <w:bCs/>
          <w:sz w:val="32"/>
          <w:szCs w:val="32"/>
        </w:rPr>
        <w:t>7.99</w:t>
      </w:r>
      <w:r>
        <w:rPr>
          <w:rFonts w:hint="eastAsia" w:eastAsia="仿宋_GB2312" w:cs="仿宋_GB2312"/>
          <w:b/>
          <w:bCs/>
          <w:sz w:val="32"/>
          <w:szCs w:val="32"/>
        </w:rPr>
        <w:t>万元，完成预算99.87%。</w:t>
      </w:r>
      <w:r>
        <w:rPr>
          <w:rFonts w:hint="eastAsia" w:eastAsia="仿宋_GB2312" w:cs="仿宋_GB2312"/>
          <w:sz w:val="32"/>
          <w:szCs w:val="32"/>
        </w:rPr>
        <w:t>公务用车购置及运行维护费支出决算比上年度减少0.01万元，下降0.13%。</w:t>
      </w:r>
    </w:p>
    <w:p>
      <w:pPr>
        <w:spacing w:line="600" w:lineRule="exact"/>
        <w:ind w:firstLine="640"/>
        <w:rPr>
          <w:rFonts w:eastAsia="仿宋_GB2312" w:cs="仿宋_GB2312"/>
          <w:sz w:val="32"/>
          <w:szCs w:val="32"/>
        </w:rPr>
      </w:pPr>
      <w:r>
        <w:rPr>
          <w:rFonts w:hint="eastAsia" w:eastAsia="仿宋_GB2312" w:cs="仿宋_GB2312"/>
          <w:sz w:val="32"/>
          <w:szCs w:val="32"/>
        </w:rPr>
        <w:t>其中：公务用车购置支出</w:t>
      </w:r>
      <w:r>
        <w:rPr>
          <w:rFonts w:hint="eastAsia" w:ascii="仿宋_GB2312" w:hAnsi="仿宋_GB2312" w:eastAsia="仿宋_GB2312" w:cs="仿宋_GB2312"/>
          <w:sz w:val="32"/>
          <w:szCs w:val="32"/>
        </w:rPr>
        <w:t>0</w:t>
      </w:r>
      <w:r>
        <w:rPr>
          <w:rFonts w:hint="eastAsia" w:eastAsia="仿宋_GB2312" w:cs="仿宋_GB2312"/>
          <w:sz w:val="32"/>
          <w:szCs w:val="32"/>
        </w:rPr>
        <w:t>万元。全年按规定更新购置公务用车0辆，其中：轿车0辆、金额0万元，越野车0辆、金额0万元，载客汽车0辆、金额0万元。</w:t>
      </w:r>
    </w:p>
    <w:p>
      <w:pPr>
        <w:spacing w:line="600" w:lineRule="exact"/>
        <w:ind w:firstLine="640"/>
        <w:rPr>
          <w:rFonts w:eastAsia="仿宋_GB2312" w:cs="仿宋_GB2312"/>
          <w:sz w:val="32"/>
          <w:szCs w:val="32"/>
        </w:rPr>
      </w:pPr>
      <w:r>
        <w:rPr>
          <w:rFonts w:hint="eastAsia" w:eastAsia="仿宋_GB2312" w:cs="仿宋_GB2312"/>
          <w:sz w:val="32"/>
          <w:szCs w:val="32"/>
        </w:rPr>
        <w:t>截至2025年12月31日，单位共有公务用车2辆，其中：轿车0辆、越野车2辆、载客汽车0辆。</w:t>
      </w:r>
    </w:p>
    <w:p>
      <w:pPr>
        <w:spacing w:line="600" w:lineRule="exact"/>
        <w:ind w:firstLine="640"/>
        <w:rPr>
          <w:rFonts w:eastAsia="仿宋_GB2312" w:cs="仿宋_GB2312"/>
          <w:sz w:val="32"/>
          <w:szCs w:val="32"/>
        </w:rPr>
      </w:pPr>
      <w:r>
        <w:rPr>
          <w:rFonts w:hint="eastAsia" w:eastAsia="仿宋_GB2312" w:cs="仿宋_GB2312"/>
          <w:sz w:val="32"/>
          <w:szCs w:val="32"/>
        </w:rPr>
        <w:t>公务用车运行维护费支出</w:t>
      </w:r>
      <w:r>
        <w:rPr>
          <w:rFonts w:hint="eastAsia" w:ascii="仿宋_GB2312" w:hAnsi="仿宋_GB2312" w:eastAsia="仿宋_GB2312" w:cs="仿宋_GB2312"/>
          <w:sz w:val="32"/>
          <w:szCs w:val="32"/>
        </w:rPr>
        <w:t>7.99</w:t>
      </w:r>
      <w:r>
        <w:rPr>
          <w:rFonts w:hint="eastAsia" w:eastAsia="仿宋_GB2312" w:cs="仿宋_GB2312"/>
          <w:sz w:val="32"/>
          <w:szCs w:val="32"/>
        </w:rPr>
        <w:t>万元。主要用于公务用车燃料费、维修费、过路过桥费、保险费等支出。</w:t>
      </w:r>
    </w:p>
    <w:p>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ascii="仿宋_GB2312" w:hAnsi="仿宋_GB2312" w:eastAsia="仿宋_GB2312" w:cs="仿宋_GB2312"/>
          <w:b/>
          <w:bCs/>
          <w:sz w:val="32"/>
          <w:szCs w:val="32"/>
        </w:rPr>
        <w:t>0</w:t>
      </w:r>
      <w:r>
        <w:rPr>
          <w:rFonts w:hint="eastAsia" w:eastAsia="仿宋_GB2312" w:cs="仿宋_GB2312"/>
          <w:b/>
          <w:bCs/>
          <w:sz w:val="32"/>
          <w:szCs w:val="32"/>
        </w:rPr>
        <w:t>万元，完成预算0%。</w:t>
      </w:r>
      <w:r>
        <w:rPr>
          <w:rFonts w:hint="eastAsia" w:eastAsia="仿宋_GB2312" w:cs="仿宋_GB2312"/>
          <w:sz w:val="32"/>
          <w:szCs w:val="32"/>
        </w:rPr>
        <w:t>公务接待费支出决算比上年度增加/减少0万元，增长/下降0%。</w:t>
      </w:r>
      <w:bookmarkStart w:id="39" w:name="_Toc15396610"/>
      <w:bookmarkStart w:id="40" w:name="_Toc15377218"/>
    </w:p>
    <w:p>
      <w:pPr>
        <w:spacing w:line="600" w:lineRule="exact"/>
        <w:ind w:firstLine="640"/>
        <w:outlineLvl w:val="1"/>
        <w:rPr>
          <w:rStyle w:val="29"/>
          <w:rFonts w:ascii="Times New Roman" w:hAnsi="Times New Roman" w:eastAsia="黑体"/>
        </w:rPr>
      </w:pPr>
      <w:r>
        <w:rPr>
          <w:rFonts w:hint="eastAsia" w:eastAsia="黑体"/>
          <w:sz w:val="32"/>
          <w:szCs w:val="32"/>
        </w:rPr>
        <w:t>八、</w:t>
      </w:r>
      <w:r>
        <w:rPr>
          <w:rStyle w:val="29"/>
          <w:rFonts w:hint="eastAsia" w:ascii="Times New Roman" w:hAnsi="Times New Roman" w:eastAsia="黑体"/>
          <w:b w:val="0"/>
        </w:rPr>
        <w:t>政府性基金预算支出决算情况说明</w:t>
      </w:r>
      <w:bookmarkEnd w:id="39"/>
      <w:bookmarkEnd w:id="40"/>
    </w:p>
    <w:p>
      <w:pPr>
        <w:spacing w:line="600" w:lineRule="exact"/>
        <w:ind w:firstLine="640"/>
        <w:rPr>
          <w:rFonts w:eastAsia="仿宋_GB2312" w:cs="仿宋_GB2312"/>
          <w:sz w:val="32"/>
          <w:szCs w:val="32"/>
        </w:rPr>
      </w:pPr>
      <w:r>
        <w:rPr>
          <w:rFonts w:hint="eastAsia" w:eastAsia="仿宋_GB2312" w:cs="仿宋_GB2312"/>
          <w:sz w:val="32"/>
          <w:szCs w:val="32"/>
        </w:rPr>
        <w:t>2025年度政府性基金预算财政拨款支出</w:t>
      </w:r>
      <w:r>
        <w:rPr>
          <w:rFonts w:hint="eastAsia" w:ascii="仿宋_GB2312" w:hAnsi="仿宋_GB2312" w:eastAsia="仿宋_GB2312" w:cs="仿宋_GB2312"/>
          <w:sz w:val="32"/>
          <w:szCs w:val="32"/>
        </w:rPr>
        <w:t>0</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0</w:t>
      </w:r>
      <w:r>
        <w:rPr>
          <w:rFonts w:hint="eastAsia" w:eastAsia="仿宋_GB2312" w:cs="仿宋_GB2312"/>
          <w:sz w:val="32"/>
          <w:szCs w:val="32"/>
        </w:rPr>
        <w:t>%。与上年度相比，政府性基金预算财政拨款支出增加/减少0万元，增长/下降0%。</w:t>
      </w:r>
    </w:p>
    <w:p>
      <w:pPr>
        <w:spacing w:line="600" w:lineRule="exact"/>
        <w:ind w:left="630"/>
        <w:outlineLvl w:val="1"/>
        <w:rPr>
          <w:rStyle w:val="29"/>
          <w:rFonts w:ascii="Times New Roman" w:hAnsi="Times New Roman" w:eastAsia="黑体"/>
          <w:b w:val="0"/>
        </w:rPr>
      </w:pPr>
      <w:bookmarkStart w:id="41" w:name="_Toc15377219"/>
      <w:bookmarkStart w:id="42" w:name="_Toc15396611"/>
      <w:r>
        <w:rPr>
          <w:rStyle w:val="29"/>
          <w:rFonts w:hint="eastAsia" w:ascii="Times New Roman" w:hAnsi="Times New Roman" w:eastAsia="黑体"/>
          <w:b w:val="0"/>
        </w:rPr>
        <w:t>九、国有资本经营预算支出决算情况说明</w:t>
      </w:r>
      <w:bookmarkEnd w:id="41"/>
      <w:bookmarkEnd w:id="42"/>
    </w:p>
    <w:p>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w:t>
      </w:r>
      <w:r>
        <w:rPr>
          <w:rFonts w:hint="eastAsia" w:ascii="仿宋_GB2312" w:hAnsi="仿宋_GB2312" w:eastAsia="仿宋_GB2312" w:cs="仿宋_GB2312"/>
          <w:sz w:val="32"/>
          <w:szCs w:val="32"/>
        </w:rPr>
        <w:t>0</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0</w:t>
      </w:r>
      <w:r>
        <w:rPr>
          <w:rFonts w:hint="eastAsia" w:eastAsia="仿宋_GB2312" w:cs="仿宋_GB2312"/>
          <w:sz w:val="32"/>
          <w:szCs w:val="32"/>
        </w:rPr>
        <w:t>%。与上年度相比，国有资本经营预算财政拨款支出增加/减少0万元，增长/下降0%。</w:t>
      </w:r>
    </w:p>
    <w:p>
      <w:pPr>
        <w:spacing w:line="600" w:lineRule="exact"/>
        <w:ind w:left="630"/>
        <w:outlineLvl w:val="1"/>
        <w:rPr>
          <w:rStyle w:val="29"/>
          <w:rFonts w:ascii="Times New Roman" w:hAnsi="Times New Roman" w:eastAsia="黑体"/>
          <w:b w:val="0"/>
        </w:rPr>
      </w:pPr>
      <w:bookmarkStart w:id="43" w:name="_Toc15377221"/>
      <w:bookmarkStart w:id="44" w:name="_Toc15396612"/>
      <w:r>
        <w:rPr>
          <w:rStyle w:val="29"/>
          <w:rFonts w:hint="eastAsia" w:ascii="Times New Roman" w:hAnsi="Times New Roman" w:eastAsia="黑体"/>
          <w:b w:val="0"/>
        </w:rPr>
        <w:t>十、其他重要事项的情况说明</w:t>
      </w:r>
      <w:bookmarkEnd w:id="43"/>
      <w:bookmarkEnd w:id="44"/>
    </w:p>
    <w:p>
      <w:pPr>
        <w:spacing w:line="600" w:lineRule="exact"/>
        <w:ind w:firstLine="642" w:firstLineChars="200"/>
        <w:outlineLvl w:val="2"/>
        <w:rPr>
          <w:rFonts w:eastAsia="楷体_GB2312" w:cs="楷体_GB2312"/>
          <w:b/>
          <w:sz w:val="32"/>
          <w:szCs w:val="32"/>
        </w:rPr>
      </w:pPr>
      <w:bookmarkStart w:id="45" w:name="_Toc15377222"/>
      <w:r>
        <w:rPr>
          <w:rFonts w:hint="eastAsia" w:eastAsia="楷体_GB2312" w:cs="楷体_GB2312"/>
          <w:b/>
          <w:sz w:val="32"/>
          <w:szCs w:val="32"/>
        </w:rPr>
        <w:t>（一）机关运行经费支出情况</w:t>
      </w:r>
      <w:bookmarkEnd w:id="45"/>
    </w:p>
    <w:p>
      <w:pPr>
        <w:spacing w:line="600" w:lineRule="exact"/>
        <w:ind w:firstLine="640" w:firstLineChars="200"/>
        <w:outlineLvl w:val="2"/>
        <w:rPr>
          <w:rFonts w:ascii="仿宋_GB2312" w:eastAsia="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壤塘县林业和草原局</w:t>
      </w:r>
      <w:r>
        <w:rPr>
          <w:rFonts w:hint="eastAsia" w:eastAsia="仿宋_GB2312" w:cs="仿宋_GB2312"/>
          <w:sz w:val="32"/>
          <w:szCs w:val="32"/>
        </w:rPr>
        <w:t>机关运行经费支出</w:t>
      </w:r>
      <w:r>
        <w:rPr>
          <w:rFonts w:hint="eastAsia" w:ascii="仿宋_GB2312" w:hAnsi="仿宋_GB2312" w:eastAsia="仿宋_GB2312" w:cs="仿宋_GB2312"/>
          <w:sz w:val="32"/>
          <w:szCs w:val="32"/>
        </w:rPr>
        <w:t>504.64</w:t>
      </w:r>
      <w:r>
        <w:rPr>
          <w:rFonts w:hint="eastAsia" w:eastAsia="仿宋_GB2312" w:cs="仿宋_GB2312"/>
          <w:sz w:val="32"/>
          <w:szCs w:val="32"/>
        </w:rPr>
        <w:t>万元，比上年度增加10.70万元，增长2.16%。</w:t>
      </w:r>
      <w:bookmarkStart w:id="46" w:name="_Toc15377223"/>
      <w:r>
        <w:rPr>
          <w:rFonts w:hint="eastAsia" w:ascii="仿宋_GB2312" w:eastAsia="仿宋_GB2312"/>
          <w:sz w:val="32"/>
          <w:szCs w:val="32"/>
        </w:rPr>
        <w:t>主要原因是部分津贴和奖金增加。</w:t>
      </w:r>
    </w:p>
    <w:p>
      <w:pPr>
        <w:spacing w:line="600" w:lineRule="exact"/>
        <w:ind w:firstLine="642" w:firstLineChars="200"/>
        <w:outlineLvl w:val="2"/>
        <w:rPr>
          <w:rFonts w:eastAsia="楷体_GB2312" w:cs="楷体_GB2312"/>
          <w:b/>
          <w:sz w:val="32"/>
          <w:szCs w:val="32"/>
        </w:rPr>
      </w:pPr>
      <w:r>
        <w:rPr>
          <w:rFonts w:hint="eastAsia" w:eastAsia="楷体_GB2312" w:cs="楷体_GB2312"/>
          <w:b/>
          <w:sz w:val="32"/>
          <w:szCs w:val="32"/>
        </w:rPr>
        <w:t>（二）政府采购支出情况</w:t>
      </w:r>
      <w:bookmarkEnd w:id="46"/>
    </w:p>
    <w:p>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壤塘县林业和草原局</w:t>
      </w:r>
      <w:r>
        <w:rPr>
          <w:rFonts w:hint="eastAsia" w:eastAsia="仿宋_GB2312" w:cs="仿宋_GB2312"/>
          <w:sz w:val="32"/>
          <w:szCs w:val="32"/>
        </w:rPr>
        <w:t>政府采购支出总额</w:t>
      </w:r>
      <w:r>
        <w:rPr>
          <w:rFonts w:hint="eastAsia" w:ascii="仿宋_GB2312" w:hAnsi="仿宋_GB2312" w:eastAsia="仿宋_GB2312" w:cs="仿宋_GB2312"/>
          <w:sz w:val="32"/>
          <w:szCs w:val="32"/>
        </w:rPr>
        <w:t>1039.27</w:t>
      </w:r>
      <w:r>
        <w:rPr>
          <w:rFonts w:hint="eastAsia" w:eastAsia="仿宋_GB2312" w:cs="仿宋_GB2312"/>
          <w:sz w:val="32"/>
          <w:szCs w:val="32"/>
        </w:rPr>
        <w:t>万元，其中：政府采购货物支出</w:t>
      </w:r>
      <w:r>
        <w:rPr>
          <w:rFonts w:hint="eastAsia" w:ascii="仿宋_GB2312" w:hAnsi="仿宋_GB2312" w:eastAsia="仿宋_GB2312" w:cs="仿宋_GB2312"/>
          <w:sz w:val="32"/>
          <w:szCs w:val="32"/>
        </w:rPr>
        <w:t>637.96</w:t>
      </w:r>
      <w:r>
        <w:rPr>
          <w:rFonts w:hint="eastAsia" w:eastAsia="仿宋_GB2312" w:cs="仿宋_GB2312"/>
          <w:sz w:val="32"/>
          <w:szCs w:val="32"/>
        </w:rPr>
        <w:t>万元、政府采购工程支出</w:t>
      </w:r>
      <w:r>
        <w:rPr>
          <w:rFonts w:hint="eastAsia" w:ascii="仿宋_GB2312" w:hAnsi="仿宋_GB2312" w:eastAsia="仿宋_GB2312" w:cs="仿宋_GB2312"/>
          <w:sz w:val="32"/>
          <w:szCs w:val="32"/>
        </w:rPr>
        <w:t>215.99</w:t>
      </w:r>
      <w:r>
        <w:rPr>
          <w:rFonts w:hint="eastAsia" w:eastAsia="仿宋_GB2312" w:cs="仿宋_GB2312"/>
          <w:sz w:val="32"/>
          <w:szCs w:val="32"/>
        </w:rPr>
        <w:t>万元、政府采购服务支出</w:t>
      </w:r>
      <w:r>
        <w:rPr>
          <w:rFonts w:hint="eastAsia" w:ascii="仿宋_GB2312" w:hAnsi="仿宋_GB2312" w:eastAsia="仿宋_GB2312" w:cs="仿宋_GB2312"/>
          <w:sz w:val="32"/>
          <w:szCs w:val="32"/>
        </w:rPr>
        <w:t>185.32</w:t>
      </w:r>
      <w:r>
        <w:rPr>
          <w:rFonts w:hint="eastAsia" w:eastAsia="仿宋_GB2312" w:cs="仿宋_GB2312"/>
          <w:sz w:val="32"/>
          <w:szCs w:val="32"/>
        </w:rPr>
        <w:t>万元。主要用于</w:t>
      </w:r>
      <w:r>
        <w:rPr>
          <w:rFonts w:hint="eastAsia" w:ascii="仿宋_GB2312" w:eastAsia="仿宋_GB2312"/>
          <w:sz w:val="32"/>
          <w:szCs w:val="32"/>
        </w:rPr>
        <w:t>壤塘县2025年大渡河流域生物多样性保护与水源涵养生态修复项目成效监测；森林草原防灾减灾项目；壤塘县第一次森林和草原火灾风险普查技术服务项目；壤塘县2025年森林草原防灭火物资采购项目；壤塘县森林、草原、湿地生态系统外来入侵物种普查项目；壤塘县生物物种调查及森林草原外来普查项目。授予中小企业合同金额2031.42万元，占政府采购支出总额的100</w:t>
      </w:r>
      <w:r>
        <w:rPr>
          <w:rFonts w:ascii="仿宋_GB2312" w:eastAsia="仿宋_GB2312"/>
          <w:sz w:val="32"/>
          <w:szCs w:val="32"/>
        </w:rPr>
        <w:t>%</w:t>
      </w:r>
      <w:r>
        <w:rPr>
          <w:rFonts w:hint="eastAsia" w:ascii="仿宋_GB2312" w:eastAsia="仿宋_GB2312"/>
          <w:sz w:val="32"/>
          <w:szCs w:val="32"/>
        </w:rPr>
        <w:t>。其中，授予小微企业合同金额2031.42万元，占政府采购支出总额的100</w:t>
      </w:r>
      <w:r>
        <w:rPr>
          <w:rFonts w:ascii="仿宋_GB2312" w:eastAsia="仿宋_GB2312"/>
          <w:sz w:val="32"/>
          <w:szCs w:val="32"/>
        </w:rPr>
        <w:t>%</w:t>
      </w:r>
      <w:r>
        <w:rPr>
          <w:rFonts w:hint="eastAsia" w:eastAsia="仿宋_GB2312" w:cs="仿宋_GB2312"/>
          <w:sz w:val="32"/>
          <w:szCs w:val="32"/>
        </w:rPr>
        <w:t>。</w:t>
      </w:r>
    </w:p>
    <w:p>
      <w:pPr>
        <w:spacing w:line="600" w:lineRule="exact"/>
        <w:ind w:firstLine="642" w:firstLineChars="200"/>
        <w:outlineLvl w:val="2"/>
        <w:rPr>
          <w:rFonts w:eastAsia="楷体_GB2312" w:cs="楷体_GB2312"/>
          <w:b/>
          <w:sz w:val="32"/>
          <w:szCs w:val="32"/>
        </w:rPr>
      </w:pPr>
      <w:bookmarkStart w:id="47" w:name="_Toc15377224"/>
      <w:r>
        <w:rPr>
          <w:rFonts w:hint="eastAsia" w:eastAsia="楷体_GB2312" w:cs="楷体_GB2312"/>
          <w:b/>
          <w:sz w:val="32"/>
          <w:szCs w:val="32"/>
        </w:rPr>
        <w:t>（三）国有资产占有使用情况</w:t>
      </w:r>
      <w:bookmarkEnd w:id="47"/>
    </w:p>
    <w:p>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ascii="仿宋_GB2312" w:hAnsi="仿宋_GB2312" w:eastAsia="仿宋_GB2312" w:cs="仿宋_GB2312"/>
          <w:sz w:val="32"/>
          <w:szCs w:val="32"/>
        </w:rPr>
        <w:t>壤塘县林业和草原局</w:t>
      </w:r>
      <w:r>
        <w:rPr>
          <w:rFonts w:hint="eastAsia" w:eastAsia="仿宋_GB2312" w:cs="仿宋_GB2312"/>
          <w:sz w:val="32"/>
          <w:szCs w:val="32"/>
        </w:rPr>
        <w:t>共有车辆</w:t>
      </w:r>
      <w:r>
        <w:rPr>
          <w:rFonts w:hint="eastAsia" w:ascii="仿宋_GB2312" w:hAnsi="仿宋_GB2312" w:eastAsia="仿宋_GB2312" w:cs="仿宋_GB2312"/>
          <w:sz w:val="32"/>
          <w:szCs w:val="32"/>
        </w:rPr>
        <w:t>12</w:t>
      </w:r>
      <w:r>
        <w:rPr>
          <w:rFonts w:hint="eastAsia" w:eastAsia="仿宋_GB2312" w:cs="仿宋_GB2312"/>
          <w:sz w:val="32"/>
          <w:szCs w:val="32"/>
        </w:rPr>
        <w:t>辆，其中：副部（省）级及以上领导用车</w:t>
      </w:r>
      <w:r>
        <w:rPr>
          <w:rFonts w:hint="eastAsia" w:ascii="仿宋_GB2312" w:hAnsi="仿宋_GB2312" w:eastAsia="仿宋_GB2312" w:cs="仿宋_GB2312"/>
          <w:sz w:val="32"/>
          <w:szCs w:val="32"/>
        </w:rPr>
        <w:t>0</w:t>
      </w:r>
      <w:r>
        <w:rPr>
          <w:rFonts w:hint="eastAsia" w:eastAsia="仿宋_GB2312" w:cs="仿宋_GB2312"/>
          <w:sz w:val="32"/>
          <w:szCs w:val="32"/>
        </w:rPr>
        <w:t>辆、主要负责人用车</w:t>
      </w:r>
      <w:r>
        <w:rPr>
          <w:rFonts w:hint="eastAsia" w:ascii="仿宋_GB2312" w:hAnsi="仿宋_GB2312" w:eastAsia="仿宋_GB2312" w:cs="仿宋_GB2312"/>
          <w:sz w:val="32"/>
          <w:szCs w:val="32"/>
        </w:rPr>
        <w:t>0</w:t>
      </w:r>
      <w:r>
        <w:rPr>
          <w:rFonts w:hint="eastAsia" w:eastAsia="仿宋_GB2312" w:cs="仿宋_GB2312"/>
          <w:sz w:val="32"/>
          <w:szCs w:val="32"/>
        </w:rPr>
        <w:t>辆、机要通信用车</w:t>
      </w:r>
      <w:r>
        <w:rPr>
          <w:rFonts w:hint="eastAsia" w:ascii="仿宋_GB2312" w:hAnsi="仿宋_GB2312" w:eastAsia="仿宋_GB2312" w:cs="仿宋_GB2312"/>
          <w:sz w:val="32"/>
          <w:szCs w:val="32"/>
        </w:rPr>
        <w:t>0</w:t>
      </w:r>
      <w:r>
        <w:rPr>
          <w:rFonts w:hint="eastAsia" w:eastAsia="仿宋_GB2312" w:cs="仿宋_GB2312"/>
          <w:sz w:val="32"/>
          <w:szCs w:val="32"/>
        </w:rPr>
        <w:t>辆、应急保障用车</w:t>
      </w:r>
      <w:r>
        <w:rPr>
          <w:rFonts w:hint="eastAsia" w:ascii="仿宋_GB2312" w:hAnsi="仿宋_GB2312" w:eastAsia="仿宋_GB2312" w:cs="仿宋_GB2312"/>
          <w:sz w:val="32"/>
          <w:szCs w:val="32"/>
        </w:rPr>
        <w:t>10</w:t>
      </w:r>
      <w:r>
        <w:rPr>
          <w:rFonts w:hint="eastAsia" w:eastAsia="仿宋_GB2312" w:cs="仿宋_GB2312"/>
          <w:sz w:val="32"/>
          <w:szCs w:val="32"/>
        </w:rPr>
        <w:t>辆、执法执勤用车</w:t>
      </w:r>
      <w:r>
        <w:rPr>
          <w:rFonts w:hint="eastAsia" w:ascii="仿宋_GB2312" w:hAnsi="仿宋_GB2312" w:eastAsia="仿宋_GB2312" w:cs="仿宋_GB2312"/>
          <w:sz w:val="32"/>
          <w:szCs w:val="32"/>
        </w:rPr>
        <w:t>0</w:t>
      </w:r>
      <w:r>
        <w:rPr>
          <w:rFonts w:hint="eastAsia" w:eastAsia="仿宋_GB2312" w:cs="仿宋_GB2312"/>
          <w:sz w:val="32"/>
          <w:szCs w:val="32"/>
        </w:rPr>
        <w:t>辆、特种专业技术用车</w:t>
      </w:r>
      <w:r>
        <w:rPr>
          <w:rFonts w:hint="eastAsia" w:ascii="仿宋_GB2312" w:hAnsi="仿宋_GB2312" w:eastAsia="仿宋_GB2312" w:cs="仿宋_GB2312"/>
          <w:sz w:val="32"/>
          <w:szCs w:val="32"/>
        </w:rPr>
        <w:t>0</w:t>
      </w:r>
      <w:r>
        <w:rPr>
          <w:rFonts w:hint="eastAsia" w:eastAsia="仿宋_GB2312" w:cs="仿宋_GB2312"/>
          <w:sz w:val="32"/>
          <w:szCs w:val="32"/>
        </w:rPr>
        <w:t>辆、离退休干部服务用车</w:t>
      </w:r>
      <w:r>
        <w:rPr>
          <w:rFonts w:hint="eastAsia" w:ascii="仿宋_GB2312" w:hAnsi="仿宋_GB2312" w:eastAsia="仿宋_GB2312" w:cs="仿宋_GB2312"/>
          <w:sz w:val="32"/>
          <w:szCs w:val="32"/>
        </w:rPr>
        <w:t>0</w:t>
      </w:r>
      <w:r>
        <w:rPr>
          <w:rFonts w:hint="eastAsia" w:eastAsia="仿宋_GB2312" w:cs="仿宋_GB2312"/>
          <w:sz w:val="32"/>
          <w:szCs w:val="32"/>
        </w:rPr>
        <w:t>辆、其他用车</w:t>
      </w:r>
      <w:r>
        <w:rPr>
          <w:rFonts w:hint="eastAsia" w:ascii="仿宋_GB2312" w:hAnsi="仿宋_GB2312" w:eastAsia="仿宋_GB2312" w:cs="仿宋_GB2312"/>
          <w:sz w:val="32"/>
          <w:szCs w:val="32"/>
        </w:rPr>
        <w:t>2</w:t>
      </w:r>
      <w:r>
        <w:rPr>
          <w:rFonts w:hint="eastAsia" w:eastAsia="仿宋_GB2312" w:cs="仿宋_GB2312"/>
          <w:sz w:val="32"/>
          <w:szCs w:val="32"/>
        </w:rPr>
        <w:t>辆，其他用车主要用于后勤物资转运。单价100万元（含）以上设备（不含车辆）</w:t>
      </w:r>
      <w:r>
        <w:rPr>
          <w:rFonts w:hint="eastAsia" w:ascii="仿宋_GB2312" w:hAnsi="仿宋_GB2312" w:eastAsia="仿宋_GB2312" w:cs="仿宋_GB2312"/>
          <w:sz w:val="32"/>
          <w:szCs w:val="32"/>
        </w:rPr>
        <w:t>0</w:t>
      </w:r>
      <w:r>
        <w:rPr>
          <w:rFonts w:hint="eastAsia" w:eastAsia="仿宋_GB2312" w:cs="仿宋_GB2312"/>
          <w:sz w:val="32"/>
          <w:szCs w:val="32"/>
        </w:rPr>
        <w:t>台（套）。</w:t>
      </w:r>
    </w:p>
    <w:p>
      <w:pPr>
        <w:spacing w:line="600" w:lineRule="exact"/>
        <w:ind w:firstLine="642" w:firstLineChars="200"/>
        <w:outlineLvl w:val="2"/>
        <w:rPr>
          <w:rFonts w:eastAsia="楷体_GB2312" w:cs="楷体_GB2312"/>
          <w:b/>
          <w:sz w:val="32"/>
          <w:szCs w:val="32"/>
        </w:rPr>
      </w:pPr>
      <w:r>
        <w:rPr>
          <w:rFonts w:hint="eastAsia" w:eastAsia="楷体_GB2312" w:cs="楷体_GB2312"/>
          <w:b/>
          <w:sz w:val="32"/>
          <w:szCs w:val="32"/>
        </w:rPr>
        <w:t>（四）预算绩效管理情况</w:t>
      </w:r>
    </w:p>
    <w:p>
      <w:pPr>
        <w:widowControl/>
        <w:ind w:firstLine="640" w:firstLineChars="200"/>
        <w:jc w:val="left"/>
        <w:rPr>
          <w:rFonts w:ascii="仿宋_GB2312" w:hAnsi="仿宋_GB2312" w:eastAsia="仿宋_GB2312" w:cs="仿宋_GB2312"/>
          <w:sz w:val="32"/>
          <w:szCs w:val="32"/>
        </w:rPr>
      </w:pPr>
      <w:r>
        <w:rPr>
          <w:rFonts w:hint="eastAsia" w:eastAsia="仿宋_GB2312" w:cs="仿宋_GB2312"/>
          <w:sz w:val="32"/>
          <w:szCs w:val="32"/>
        </w:rPr>
        <w:t>根据预算绩效管理要求，林业和草原局在2025年度，组织对</w:t>
      </w:r>
      <w:r>
        <w:rPr>
          <w:rFonts w:hint="eastAsia" w:ascii="仿宋_GB2312" w:hAnsi="仿宋_GB2312" w:eastAsia="仿宋_GB2312" w:cs="仿宋_GB2312"/>
          <w:sz w:val="32"/>
          <w:szCs w:val="32"/>
        </w:rPr>
        <w:t>“</w:t>
      </w:r>
      <w:r>
        <w:rPr>
          <w:rFonts w:hint="eastAsia" w:ascii="仿宋_GB2312" w:eastAsia="仿宋_GB2312"/>
          <w:sz w:val="32"/>
          <w:szCs w:val="32"/>
        </w:rPr>
        <w:t>壤塘县2025年森林草原防灭火物资采购项目</w:t>
      </w:r>
      <w:r>
        <w:rPr>
          <w:rFonts w:hint="eastAsia" w:ascii="仿宋_GB2312" w:hAnsi="仿宋_GB2312" w:eastAsia="仿宋_GB2312" w:cs="仿宋_GB2312"/>
          <w:sz w:val="32"/>
          <w:szCs w:val="32"/>
        </w:rPr>
        <w:t>”</w:t>
      </w:r>
      <w:r>
        <w:rPr>
          <w:rFonts w:hint="eastAsia" w:ascii="方正仿宋_GB2312" w:hAnsi="方正仿宋_GB2312" w:eastAsia="方正仿宋_GB2312" w:cs="方正仿宋_GB2312"/>
          <w:sz w:val="32"/>
          <w:szCs w:val="32"/>
        </w:rPr>
        <w:t>开展</w:t>
      </w:r>
      <w:r>
        <w:rPr>
          <w:rFonts w:hint="eastAsia" w:ascii="仿宋_GB2312" w:hAnsi="仿宋_GB2312" w:eastAsia="仿宋_GB2312" w:cs="仿宋_GB2312"/>
          <w:sz w:val="32"/>
          <w:szCs w:val="32"/>
        </w:rPr>
        <w:t>了预算事前绩效评估，对1个项目编制了绩效目标，预算执行过程中，选取1个项目开展绩效监控。</w:t>
      </w:r>
    </w:p>
    <w:p>
      <w:pPr>
        <w:spacing w:line="580" w:lineRule="exact"/>
        <w:ind w:firstLine="640" w:firstLineChars="200"/>
        <w:rPr>
          <w:rFonts w:ascii="仿宋_GB2312" w:hAnsi="仿宋_GB2312" w:eastAsia="仿宋_GB2312" w:cs="仿宋_GB2312"/>
          <w:sz w:val="32"/>
          <w:szCs w:val="32"/>
        </w:rPr>
      </w:pPr>
      <w:r>
        <w:rPr>
          <w:rFonts w:hint="eastAsia" w:eastAsia="仿宋_GB2312" w:cs="仿宋_GB2312"/>
          <w:sz w:val="32"/>
          <w:szCs w:val="32"/>
        </w:rPr>
        <w:t>组织对2025年度一般公共预算、政府性基金预算、国有资本经营预算、社会保险基金预算以及资本资产、债券资金等全面开展绩效自评。</w:t>
      </w:r>
      <w:r>
        <w:rPr>
          <w:rFonts w:hint="eastAsia" w:ascii="仿宋_GB2312" w:hAnsi="仿宋_GB2312" w:eastAsia="仿宋_GB2312" w:cs="仿宋_GB2312"/>
          <w:sz w:val="32"/>
          <w:szCs w:val="32"/>
        </w:rPr>
        <w:t xml:space="preserve">从评价情况来看，严格控制规模和内容，严格实行项目法人责任制，严格执行招投标、合同管理、竣工验收制度，严格控制标准，做好普查档案管理。本部门还自行组织了1个项目支出绩效评价，从评价情况来看，该项目在规定的时间内能保质、保量地圆满完成普查任务。    </w:t>
      </w:r>
    </w:p>
    <w:p>
      <w:pPr>
        <w:jc w:val="center"/>
        <w:rPr>
          <w:rFonts w:ascii="宋体" w:hAnsi="宋体"/>
          <w:b/>
          <w:sz w:val="44"/>
          <w:szCs w:val="44"/>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jc w:val="center"/>
        <w:outlineLvl w:val="0"/>
        <w:rPr>
          <w:rFonts w:eastAsia="黑体"/>
          <w:sz w:val="44"/>
          <w:szCs w:val="44"/>
        </w:rPr>
      </w:pPr>
      <w:bookmarkStart w:id="48" w:name="_Toc15377225"/>
      <w:bookmarkStart w:id="49" w:name="_Toc15396613"/>
    </w:p>
    <w:p>
      <w:pPr>
        <w:spacing w:line="600" w:lineRule="exact"/>
        <w:jc w:val="center"/>
        <w:outlineLvl w:val="0"/>
        <w:rPr>
          <w:rFonts w:eastAsia="黑体"/>
          <w:sz w:val="44"/>
          <w:szCs w:val="44"/>
        </w:rPr>
      </w:pPr>
    </w:p>
    <w:p>
      <w:pPr>
        <w:spacing w:line="600" w:lineRule="exact"/>
        <w:jc w:val="center"/>
        <w:outlineLvl w:val="0"/>
        <w:rPr>
          <w:rFonts w:eastAsia="黑体"/>
          <w:sz w:val="44"/>
          <w:szCs w:val="44"/>
        </w:rPr>
      </w:pPr>
    </w:p>
    <w:p>
      <w:pPr>
        <w:spacing w:line="600" w:lineRule="exact"/>
        <w:jc w:val="center"/>
        <w:outlineLvl w:val="0"/>
        <w:rPr>
          <w:rFonts w:eastAsia="黑体"/>
          <w:sz w:val="44"/>
          <w:szCs w:val="44"/>
        </w:rPr>
      </w:pPr>
    </w:p>
    <w:p>
      <w:pPr>
        <w:spacing w:line="600" w:lineRule="exact"/>
        <w:jc w:val="center"/>
        <w:outlineLvl w:val="0"/>
        <w:rPr>
          <w:rFonts w:eastAsia="黑体"/>
          <w:sz w:val="44"/>
          <w:szCs w:val="44"/>
        </w:rPr>
      </w:pPr>
    </w:p>
    <w:p>
      <w:pPr>
        <w:spacing w:line="600" w:lineRule="exact"/>
        <w:jc w:val="center"/>
        <w:outlineLvl w:val="0"/>
        <w:rPr>
          <w:rFonts w:eastAsia="黑体"/>
          <w:sz w:val="44"/>
          <w:szCs w:val="44"/>
        </w:rPr>
      </w:pPr>
      <w:r>
        <w:rPr>
          <w:rFonts w:hint="eastAsia" w:eastAsia="黑体"/>
          <w:sz w:val="44"/>
          <w:szCs w:val="44"/>
        </w:rPr>
        <w:t>第三部分  名词解释</w:t>
      </w:r>
      <w:bookmarkEnd w:id="48"/>
      <w:bookmarkEnd w:id="49"/>
    </w:p>
    <w:p>
      <w:pPr>
        <w:spacing w:line="600" w:lineRule="exact"/>
        <w:jc w:val="left"/>
        <w:rPr>
          <w:b/>
          <w:sz w:val="44"/>
          <w:szCs w:val="44"/>
        </w:rPr>
      </w:pPr>
    </w:p>
    <w:p>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pPr>
        <w:spacing w:line="600" w:lineRule="exact"/>
        <w:ind w:firstLine="640"/>
        <w:rPr>
          <w:rFonts w:eastAsia="仿宋_GB2312" w:cs="仿宋_GB2312"/>
          <w:sz w:val="32"/>
          <w:szCs w:val="32"/>
        </w:rPr>
      </w:pPr>
      <w:r>
        <w:rPr>
          <w:rFonts w:hint="eastAsia" w:eastAsia="仿宋_GB2312" w:cs="仿宋_GB2312"/>
          <w:sz w:val="32"/>
          <w:szCs w:val="32"/>
        </w:rPr>
        <w:t>2.事业收入：指事业单位开展专业业务活动及辅助活动取得的收入。（二级预算单位事业收入情况）等。</w:t>
      </w:r>
    </w:p>
    <w:p>
      <w:pPr>
        <w:spacing w:line="600" w:lineRule="exact"/>
        <w:ind w:firstLine="640"/>
        <w:rPr>
          <w:rFonts w:eastAsia="仿宋_GB2312" w:cs="仿宋_GB2312"/>
          <w:sz w:val="32"/>
          <w:szCs w:val="32"/>
        </w:rPr>
      </w:pPr>
      <w:r>
        <w:rPr>
          <w:rFonts w:hint="eastAsia" w:eastAsia="仿宋_GB2312" w:cs="仿宋_GB2312"/>
          <w:sz w:val="32"/>
          <w:szCs w:val="32"/>
        </w:rPr>
        <w:t>3.经营收入：指事业单位在专业业务活动及其辅助活动之外开展非独立核算经营活动取得的收入。（二级预算单位经营收入情况）等。</w:t>
      </w:r>
    </w:p>
    <w:p>
      <w:pPr>
        <w:spacing w:line="600" w:lineRule="exact"/>
        <w:ind w:firstLine="640"/>
        <w:rPr>
          <w:rFonts w:eastAsia="仿宋_GB2312" w:cs="仿宋_GB2312"/>
          <w:sz w:val="32"/>
          <w:szCs w:val="32"/>
        </w:rPr>
      </w:pPr>
      <w:r>
        <w:rPr>
          <w:rFonts w:hint="eastAsia" w:eastAsia="仿宋_GB2312" w:cs="仿宋_GB2312"/>
          <w:sz w:val="32"/>
          <w:szCs w:val="32"/>
        </w:rPr>
        <w:t xml:space="preserve">4.其他收入：指单位取得的除上述收入以外的各项收入。主要是（收入类型）等。 </w:t>
      </w:r>
    </w:p>
    <w:p>
      <w:pPr>
        <w:spacing w:line="600" w:lineRule="exact"/>
        <w:ind w:firstLine="640"/>
        <w:rPr>
          <w:rFonts w:eastAsia="仿宋_GB2312" w:cs="仿宋_GB2312"/>
          <w:sz w:val="32"/>
          <w:szCs w:val="32"/>
        </w:rPr>
      </w:pPr>
      <w:r>
        <w:rPr>
          <w:rFonts w:hint="eastAsia" w:eastAsia="仿宋_GB2312" w:cs="仿宋_GB2312"/>
          <w:sz w:val="32"/>
          <w:szCs w:val="32"/>
        </w:rPr>
        <w:t xml:space="preserve">5.使用非财政拨款结余（含专用结余）：指事业单位使用以前年度积累的非财政拨款结余弥补当年收支差额的金额。 </w:t>
      </w:r>
    </w:p>
    <w:p>
      <w:pPr>
        <w:spacing w:line="600" w:lineRule="exact"/>
        <w:ind w:firstLine="640"/>
        <w:rPr>
          <w:rFonts w:eastAsia="仿宋_GB2312" w:cs="仿宋_GB2312"/>
          <w:sz w:val="32"/>
          <w:szCs w:val="32"/>
        </w:rPr>
      </w:pPr>
      <w:r>
        <w:rPr>
          <w:rFonts w:hint="eastAsia" w:eastAsia="仿宋_GB2312" w:cs="仿宋_GB2312"/>
          <w:sz w:val="32"/>
          <w:szCs w:val="32"/>
        </w:rPr>
        <w:t xml:space="preserve">6.年初结转和结余：指以前年度尚未完成、结转到本年按有关规定继续使用的资金。 </w:t>
      </w:r>
    </w:p>
    <w:p>
      <w:pPr>
        <w:spacing w:line="600" w:lineRule="exact"/>
        <w:ind w:firstLine="640"/>
        <w:rPr>
          <w:rFonts w:eastAsia="仿宋_GB2312" w:cs="仿宋_GB2312"/>
          <w:sz w:val="32"/>
          <w:szCs w:val="32"/>
        </w:rPr>
      </w:pPr>
      <w:r>
        <w:rPr>
          <w:rFonts w:hint="eastAsia" w:eastAsia="仿宋_GB2312" w:cs="仿宋_GB2312"/>
          <w:sz w:val="32"/>
          <w:szCs w:val="32"/>
        </w:rPr>
        <w:t>7.结余分配：指事业单位按照会计制度规定缴纳的所得税、提取的专用结余以及转入非财政拨款结余的金额等。</w:t>
      </w:r>
    </w:p>
    <w:p>
      <w:pPr>
        <w:spacing w:line="600" w:lineRule="exact"/>
        <w:ind w:firstLine="640"/>
        <w:rPr>
          <w:rFonts w:eastAsia="仿宋_GB2312" w:cs="仿宋_GB2312"/>
          <w:sz w:val="32"/>
          <w:szCs w:val="32"/>
        </w:rPr>
      </w:pPr>
      <w:r>
        <w:rPr>
          <w:rFonts w:hint="eastAsia" w:eastAsia="仿宋_GB2312" w:cs="仿宋_GB2312"/>
          <w:sz w:val="32"/>
          <w:szCs w:val="32"/>
        </w:rPr>
        <w:t>8.年末结转和结余：指单位按有关规定结转到下年或以后年度继续使用的资金。</w:t>
      </w:r>
    </w:p>
    <w:p>
      <w:pPr>
        <w:spacing w:line="600" w:lineRule="exact"/>
        <w:ind w:firstLine="640"/>
        <w:rPr>
          <w:rFonts w:eastAsia="仿宋_GB2312" w:cs="仿宋_GB2312"/>
          <w:sz w:val="32"/>
          <w:szCs w:val="32"/>
        </w:rPr>
      </w:pPr>
      <w:r>
        <w:rPr>
          <w:rFonts w:hint="eastAsia" w:eastAsia="仿宋_GB2312" w:cs="仿宋_GB2312"/>
          <w:sz w:val="32"/>
          <w:szCs w:val="32"/>
        </w:rPr>
        <w:t>9.一般公共服务（类）（款）（项）：指</w:t>
      </w:r>
    </w:p>
    <w:p>
      <w:pPr>
        <w:spacing w:line="600" w:lineRule="exact"/>
        <w:ind w:firstLine="640"/>
        <w:rPr>
          <w:rFonts w:eastAsia="仿宋_GB2312" w:cs="仿宋_GB2312"/>
          <w:sz w:val="32"/>
          <w:szCs w:val="32"/>
        </w:rPr>
      </w:pPr>
      <w:r>
        <w:rPr>
          <w:rFonts w:hint="eastAsia" w:eastAsia="仿宋_GB2312" w:cs="仿宋_GB2312"/>
          <w:sz w:val="32"/>
          <w:szCs w:val="32"/>
        </w:rPr>
        <w:t>10.外交（类）（款）（项）：指</w:t>
      </w:r>
    </w:p>
    <w:p>
      <w:pPr>
        <w:spacing w:line="600" w:lineRule="exact"/>
        <w:ind w:firstLine="640"/>
        <w:rPr>
          <w:rFonts w:eastAsia="仿宋_GB2312" w:cs="仿宋_GB2312"/>
          <w:sz w:val="32"/>
          <w:szCs w:val="32"/>
        </w:rPr>
      </w:pPr>
      <w:r>
        <w:rPr>
          <w:rFonts w:hint="eastAsia" w:eastAsia="仿宋_GB2312" w:cs="仿宋_GB2312"/>
          <w:sz w:val="32"/>
          <w:szCs w:val="32"/>
        </w:rPr>
        <w:t>11.公共安全（类）（款）（项）：指</w:t>
      </w:r>
    </w:p>
    <w:p>
      <w:pPr>
        <w:spacing w:line="600" w:lineRule="exact"/>
        <w:ind w:firstLine="640"/>
        <w:rPr>
          <w:rFonts w:eastAsia="仿宋_GB2312" w:cs="仿宋_GB2312"/>
          <w:sz w:val="32"/>
          <w:szCs w:val="32"/>
        </w:rPr>
      </w:pPr>
      <w:r>
        <w:rPr>
          <w:rFonts w:hint="eastAsia" w:eastAsia="仿宋_GB2312" w:cs="仿宋_GB2312"/>
          <w:sz w:val="32"/>
          <w:szCs w:val="32"/>
        </w:rPr>
        <w:t>12.教育（类）（款）（项）：指</w:t>
      </w:r>
    </w:p>
    <w:p>
      <w:pPr>
        <w:spacing w:line="600" w:lineRule="exact"/>
        <w:ind w:firstLine="640"/>
        <w:rPr>
          <w:rFonts w:eastAsia="仿宋_GB2312" w:cs="仿宋_GB2312"/>
          <w:sz w:val="32"/>
          <w:szCs w:val="32"/>
        </w:rPr>
      </w:pPr>
      <w:r>
        <w:rPr>
          <w:rFonts w:hint="eastAsia" w:eastAsia="仿宋_GB2312" w:cs="仿宋_GB2312"/>
          <w:sz w:val="32"/>
          <w:szCs w:val="32"/>
        </w:rPr>
        <w:t>13.科学技术（类）（款）（项）：指</w:t>
      </w:r>
    </w:p>
    <w:p>
      <w:pPr>
        <w:spacing w:line="600" w:lineRule="exact"/>
        <w:ind w:firstLine="640"/>
        <w:rPr>
          <w:rFonts w:eastAsia="仿宋_GB2312" w:cs="仿宋_GB2312"/>
          <w:sz w:val="32"/>
          <w:szCs w:val="32"/>
        </w:rPr>
      </w:pPr>
      <w:r>
        <w:rPr>
          <w:rFonts w:hint="eastAsia" w:eastAsia="仿宋_GB2312" w:cs="仿宋_GB2312"/>
          <w:sz w:val="32"/>
          <w:szCs w:val="32"/>
        </w:rPr>
        <w:t>14.文化旅游体育与传媒（类）（款）（项）：指</w:t>
      </w:r>
    </w:p>
    <w:p>
      <w:pPr>
        <w:spacing w:line="600" w:lineRule="exact"/>
        <w:ind w:firstLine="640"/>
        <w:rPr>
          <w:rFonts w:eastAsia="仿宋_GB2312" w:cs="仿宋_GB2312"/>
          <w:sz w:val="32"/>
          <w:szCs w:val="32"/>
        </w:rPr>
      </w:pPr>
      <w:r>
        <w:rPr>
          <w:rFonts w:hint="eastAsia" w:eastAsia="仿宋_GB2312" w:cs="仿宋_GB2312"/>
          <w:sz w:val="32"/>
          <w:szCs w:val="32"/>
        </w:rPr>
        <w:t>15.社会保障和就业（类）（款）（项）：指</w:t>
      </w:r>
    </w:p>
    <w:p>
      <w:pPr>
        <w:spacing w:line="600" w:lineRule="exact"/>
        <w:ind w:firstLine="640"/>
        <w:rPr>
          <w:rFonts w:eastAsia="仿宋_GB2312" w:cs="仿宋_GB2312"/>
          <w:sz w:val="32"/>
          <w:szCs w:val="32"/>
        </w:rPr>
      </w:pPr>
      <w:r>
        <w:rPr>
          <w:rFonts w:hint="eastAsia" w:eastAsia="仿宋_GB2312" w:cs="仿宋_GB2312"/>
          <w:sz w:val="32"/>
          <w:szCs w:val="32"/>
        </w:rPr>
        <w:t>16.卫生健康（类）（款）（项）：指</w:t>
      </w:r>
    </w:p>
    <w:p>
      <w:pPr>
        <w:spacing w:line="600" w:lineRule="exact"/>
        <w:ind w:firstLine="640"/>
        <w:rPr>
          <w:rFonts w:eastAsia="仿宋_GB2312" w:cs="仿宋_GB2312"/>
          <w:sz w:val="32"/>
          <w:szCs w:val="32"/>
        </w:rPr>
      </w:pPr>
      <w:r>
        <w:rPr>
          <w:rFonts w:hint="eastAsia" w:eastAsia="仿宋_GB2312" w:cs="仿宋_GB2312"/>
          <w:sz w:val="32"/>
          <w:szCs w:val="32"/>
        </w:rPr>
        <w:t>17.节能环保（类）（款）（项）：指</w:t>
      </w:r>
    </w:p>
    <w:p>
      <w:pPr>
        <w:spacing w:line="600" w:lineRule="exact"/>
        <w:ind w:firstLine="640"/>
        <w:rPr>
          <w:rFonts w:eastAsia="仿宋_GB2312" w:cs="仿宋_GB2312"/>
          <w:sz w:val="32"/>
          <w:szCs w:val="32"/>
        </w:rPr>
      </w:pPr>
      <w:r>
        <w:rPr>
          <w:rFonts w:hint="eastAsia" w:eastAsia="仿宋_GB2312" w:cs="仿宋_GB2312"/>
          <w:sz w:val="32"/>
          <w:szCs w:val="32"/>
        </w:rPr>
        <w:t>18.城乡社区（类）（款）（项）：指</w:t>
      </w:r>
    </w:p>
    <w:p>
      <w:pPr>
        <w:spacing w:line="600" w:lineRule="exact"/>
        <w:ind w:firstLine="640"/>
        <w:rPr>
          <w:rFonts w:eastAsia="仿宋_GB2312" w:cs="仿宋_GB2312"/>
          <w:sz w:val="32"/>
          <w:szCs w:val="32"/>
        </w:rPr>
      </w:pPr>
      <w:r>
        <w:rPr>
          <w:rFonts w:hint="eastAsia" w:eastAsia="仿宋_GB2312" w:cs="仿宋_GB2312"/>
          <w:sz w:val="32"/>
          <w:szCs w:val="32"/>
        </w:rPr>
        <w:t>19.农林水（类）（款）（项）：指</w:t>
      </w:r>
    </w:p>
    <w:p>
      <w:pPr>
        <w:spacing w:line="600" w:lineRule="exact"/>
        <w:ind w:firstLine="640"/>
        <w:rPr>
          <w:rFonts w:eastAsia="仿宋_GB2312" w:cs="仿宋_GB2312"/>
          <w:sz w:val="32"/>
          <w:szCs w:val="32"/>
        </w:rPr>
      </w:pPr>
      <w:r>
        <w:rPr>
          <w:rFonts w:hint="eastAsia" w:eastAsia="仿宋_GB2312" w:cs="仿宋_GB2312"/>
          <w:sz w:val="32"/>
          <w:szCs w:val="32"/>
        </w:rPr>
        <w:t>20.交通运输（类）（款）（项）：指</w:t>
      </w:r>
    </w:p>
    <w:p>
      <w:pPr>
        <w:spacing w:line="600" w:lineRule="exact"/>
        <w:ind w:firstLine="640"/>
        <w:rPr>
          <w:rFonts w:eastAsia="仿宋_GB2312" w:cs="仿宋_GB2312"/>
          <w:sz w:val="32"/>
          <w:szCs w:val="32"/>
        </w:rPr>
      </w:pPr>
      <w:r>
        <w:rPr>
          <w:rFonts w:hint="eastAsia" w:eastAsia="仿宋_GB2312" w:cs="仿宋_GB2312"/>
          <w:sz w:val="32"/>
          <w:szCs w:val="32"/>
        </w:rPr>
        <w:t>21.资源勘探工业信息等（类）（款）（项）：指</w:t>
      </w:r>
    </w:p>
    <w:p>
      <w:pPr>
        <w:spacing w:line="600" w:lineRule="exact"/>
        <w:ind w:firstLine="640"/>
        <w:rPr>
          <w:rFonts w:eastAsia="仿宋_GB2312" w:cs="仿宋_GB2312"/>
          <w:sz w:val="32"/>
          <w:szCs w:val="32"/>
        </w:rPr>
      </w:pPr>
      <w:r>
        <w:rPr>
          <w:rFonts w:hint="eastAsia" w:eastAsia="仿宋_GB2312" w:cs="仿宋_GB2312"/>
          <w:sz w:val="32"/>
          <w:szCs w:val="32"/>
        </w:rPr>
        <w:t>22.商业服务业（类）（款）（项）：指</w:t>
      </w:r>
    </w:p>
    <w:p>
      <w:pPr>
        <w:spacing w:line="600" w:lineRule="exact"/>
        <w:ind w:firstLine="640"/>
        <w:rPr>
          <w:rFonts w:eastAsia="仿宋_GB2312" w:cs="仿宋_GB2312"/>
          <w:sz w:val="32"/>
          <w:szCs w:val="32"/>
        </w:rPr>
      </w:pPr>
      <w:r>
        <w:rPr>
          <w:rFonts w:hint="eastAsia" w:eastAsia="仿宋_GB2312" w:cs="仿宋_GB2312"/>
          <w:sz w:val="32"/>
          <w:szCs w:val="32"/>
        </w:rPr>
        <w:t>23.金融（类）（款）（项）：指</w:t>
      </w:r>
    </w:p>
    <w:p>
      <w:pPr>
        <w:spacing w:line="600" w:lineRule="exact"/>
        <w:ind w:firstLine="640"/>
        <w:rPr>
          <w:rFonts w:eastAsia="仿宋_GB2312" w:cs="仿宋_GB2312"/>
          <w:sz w:val="32"/>
          <w:szCs w:val="32"/>
        </w:rPr>
      </w:pPr>
      <w:r>
        <w:rPr>
          <w:rFonts w:hint="eastAsia" w:eastAsia="仿宋_GB2312" w:cs="仿宋_GB2312"/>
          <w:sz w:val="32"/>
          <w:szCs w:val="32"/>
        </w:rPr>
        <w:t>24.自然资源海洋气象等（类）（款）（项）：指</w:t>
      </w:r>
    </w:p>
    <w:p>
      <w:pPr>
        <w:spacing w:line="600" w:lineRule="exact"/>
        <w:ind w:firstLine="640"/>
        <w:rPr>
          <w:rFonts w:eastAsia="仿宋_GB2312" w:cs="仿宋_GB2312"/>
          <w:sz w:val="32"/>
          <w:szCs w:val="32"/>
        </w:rPr>
      </w:pPr>
      <w:r>
        <w:rPr>
          <w:rFonts w:hint="eastAsia" w:eastAsia="仿宋_GB2312" w:cs="仿宋_GB2312"/>
          <w:sz w:val="32"/>
          <w:szCs w:val="32"/>
        </w:rPr>
        <w:t>25.住房保障（类）（款）（项）：指</w:t>
      </w:r>
    </w:p>
    <w:p>
      <w:pPr>
        <w:spacing w:line="600" w:lineRule="exact"/>
        <w:ind w:firstLine="640"/>
        <w:rPr>
          <w:rFonts w:eastAsia="仿宋_GB2312" w:cs="仿宋_GB2312"/>
          <w:sz w:val="32"/>
          <w:szCs w:val="32"/>
        </w:rPr>
      </w:pPr>
      <w:r>
        <w:rPr>
          <w:rFonts w:hint="eastAsia" w:eastAsia="仿宋_GB2312" w:cs="仿宋_GB2312"/>
          <w:sz w:val="32"/>
          <w:szCs w:val="32"/>
        </w:rPr>
        <w:t>26.粮油物资储备（类）（款）（项）：指</w:t>
      </w:r>
    </w:p>
    <w:p>
      <w:pPr>
        <w:spacing w:line="600" w:lineRule="exact"/>
        <w:ind w:firstLine="640"/>
        <w:rPr>
          <w:rFonts w:eastAsia="仿宋_GB2312" w:cs="仿宋_GB2312"/>
          <w:sz w:val="32"/>
          <w:szCs w:val="32"/>
        </w:rPr>
      </w:pPr>
      <w:r>
        <w:rPr>
          <w:rFonts w:hint="eastAsia" w:eastAsia="仿宋_GB2312" w:cs="仿宋_GB2312"/>
          <w:sz w:val="32"/>
          <w:szCs w:val="32"/>
        </w:rPr>
        <w:t>27.基本支出：指为保障机构正常运转、完成日常工作任务而发生的人员支出和公用支出。</w:t>
      </w:r>
    </w:p>
    <w:p>
      <w:pPr>
        <w:spacing w:line="600" w:lineRule="exact"/>
        <w:ind w:firstLine="640"/>
        <w:rPr>
          <w:rFonts w:eastAsia="仿宋_GB2312" w:cs="仿宋_GB2312"/>
          <w:sz w:val="32"/>
          <w:szCs w:val="32"/>
        </w:rPr>
      </w:pPr>
      <w:r>
        <w:rPr>
          <w:rFonts w:hint="eastAsia" w:eastAsia="仿宋_GB2312" w:cs="仿宋_GB2312"/>
          <w:sz w:val="32"/>
          <w:szCs w:val="32"/>
        </w:rPr>
        <w:t xml:space="preserve">28.项目支出：指在基本支出之外为完成特定行政任务和事业发展目标所发生的支出。 </w:t>
      </w:r>
    </w:p>
    <w:p>
      <w:pPr>
        <w:spacing w:line="600" w:lineRule="exact"/>
        <w:ind w:firstLine="640"/>
        <w:rPr>
          <w:rFonts w:eastAsia="仿宋_GB2312" w:cs="仿宋_GB2312"/>
          <w:sz w:val="32"/>
          <w:szCs w:val="32"/>
        </w:rPr>
      </w:pPr>
      <w:r>
        <w:rPr>
          <w:rFonts w:hint="eastAsia" w:eastAsia="仿宋_GB2312" w:cs="仿宋_GB2312"/>
          <w:sz w:val="32"/>
          <w:szCs w:val="32"/>
        </w:rPr>
        <w:t>29.经营支出：指事业单位在专业业务活动及其辅助活动之外开展非独立核算经营活动发生的支出。</w:t>
      </w:r>
    </w:p>
    <w:p>
      <w:pPr>
        <w:spacing w:line="600" w:lineRule="exact"/>
        <w:ind w:firstLine="640"/>
        <w:rPr>
          <w:rFonts w:eastAsia="仿宋_GB2312" w:cs="仿宋_GB2312"/>
          <w:sz w:val="32"/>
          <w:szCs w:val="32"/>
        </w:rPr>
      </w:pPr>
      <w:r>
        <w:rPr>
          <w:rFonts w:hint="eastAsia" w:eastAsia="仿宋_GB2312" w:cs="仿宋_GB2312"/>
          <w:sz w:val="32"/>
          <w:szCs w:val="32"/>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eastAsia="仿宋_GB2312" w:cs="仿宋_GB2312"/>
          <w:sz w:val="32"/>
          <w:szCs w:val="32"/>
        </w:rPr>
      </w:pPr>
      <w:r>
        <w:rPr>
          <w:rFonts w:hint="eastAsia" w:eastAsia="仿宋_GB2312" w:cs="仿宋_GB2312"/>
          <w:sz w:val="32"/>
          <w:szCs w:val="32"/>
        </w:rPr>
        <w:t>31.机关运行经费：为保障行政单位（含参照公务员法管理的事业单位）运行，用于购买货物和服务的各项资金，包括办公及印刷费、邮电费、差旅费、会议费、福利费、日常维修费、专用材料及一般设备购置费、办公用房水电费、办公</w:t>
      </w:r>
      <w:bookmarkStart w:id="50" w:name="_Toc15377226"/>
      <w:r>
        <w:rPr>
          <w:rFonts w:hint="eastAsia" w:eastAsia="仿宋_GB2312" w:cs="仿宋_GB2312"/>
          <w:sz w:val="32"/>
          <w:szCs w:val="32"/>
        </w:rPr>
        <w:t>用房取暖费、办公用房物业管理费、公务用车运行维护费以及其他费用</w:t>
      </w:r>
    </w:p>
    <w:p>
      <w:pPr>
        <w:spacing w:line="600" w:lineRule="exact"/>
        <w:ind w:firstLine="640"/>
        <w:rPr>
          <w:rFonts w:hint="eastAsia" w:eastAsia="黑体"/>
          <w:sz w:val="44"/>
          <w:szCs w:val="44"/>
        </w:rPr>
      </w:pPr>
      <w:bookmarkStart w:id="51" w:name="_Toc15396614"/>
    </w:p>
    <w:p>
      <w:pPr>
        <w:spacing w:line="600" w:lineRule="exact"/>
        <w:ind w:firstLine="640"/>
        <w:rPr>
          <w:rFonts w:hint="eastAsia" w:eastAsia="黑体"/>
          <w:sz w:val="44"/>
          <w:szCs w:val="44"/>
        </w:rPr>
      </w:pPr>
    </w:p>
    <w:p>
      <w:pPr>
        <w:spacing w:line="600" w:lineRule="exact"/>
        <w:ind w:firstLine="640"/>
        <w:rPr>
          <w:rFonts w:hint="eastAsia" w:eastAsia="黑体"/>
          <w:sz w:val="44"/>
          <w:szCs w:val="44"/>
        </w:rPr>
      </w:pPr>
    </w:p>
    <w:p>
      <w:pPr>
        <w:spacing w:line="600" w:lineRule="exact"/>
        <w:ind w:firstLine="640"/>
        <w:rPr>
          <w:rFonts w:hint="eastAsia" w:eastAsia="黑体"/>
          <w:sz w:val="44"/>
          <w:szCs w:val="44"/>
        </w:rPr>
      </w:pPr>
    </w:p>
    <w:p>
      <w:pPr>
        <w:spacing w:line="600" w:lineRule="exact"/>
        <w:ind w:firstLine="640"/>
        <w:rPr>
          <w:rFonts w:hint="eastAsia" w:eastAsia="黑体"/>
          <w:sz w:val="44"/>
          <w:szCs w:val="44"/>
        </w:rPr>
      </w:pPr>
    </w:p>
    <w:p>
      <w:pPr>
        <w:spacing w:line="600" w:lineRule="exact"/>
        <w:ind w:firstLine="640"/>
        <w:rPr>
          <w:rFonts w:hint="eastAsia" w:eastAsia="黑体"/>
          <w:sz w:val="44"/>
          <w:szCs w:val="44"/>
        </w:rPr>
      </w:pPr>
    </w:p>
    <w:p>
      <w:pPr>
        <w:spacing w:line="600" w:lineRule="exact"/>
        <w:ind w:firstLine="640"/>
        <w:rPr>
          <w:rFonts w:hint="eastAsia" w:eastAsia="黑体"/>
          <w:sz w:val="44"/>
          <w:szCs w:val="44"/>
        </w:rPr>
      </w:pPr>
    </w:p>
    <w:p>
      <w:pPr>
        <w:spacing w:line="600" w:lineRule="exact"/>
        <w:ind w:firstLine="640"/>
        <w:rPr>
          <w:rFonts w:hint="eastAsia" w:eastAsia="黑体"/>
          <w:sz w:val="44"/>
          <w:szCs w:val="44"/>
        </w:rPr>
      </w:pPr>
    </w:p>
    <w:p>
      <w:pPr>
        <w:spacing w:line="600" w:lineRule="exact"/>
        <w:ind w:firstLine="640"/>
        <w:rPr>
          <w:rFonts w:hint="eastAsia" w:eastAsia="黑体"/>
          <w:sz w:val="44"/>
          <w:szCs w:val="44"/>
        </w:rPr>
      </w:pPr>
    </w:p>
    <w:p>
      <w:pPr>
        <w:spacing w:line="600" w:lineRule="exact"/>
        <w:ind w:firstLine="640"/>
        <w:rPr>
          <w:rFonts w:hint="eastAsia" w:eastAsia="黑体"/>
          <w:sz w:val="44"/>
          <w:szCs w:val="44"/>
        </w:rPr>
      </w:pPr>
    </w:p>
    <w:p>
      <w:pPr>
        <w:spacing w:line="600" w:lineRule="exact"/>
        <w:ind w:firstLine="640"/>
        <w:rPr>
          <w:rFonts w:hint="eastAsia" w:eastAsia="黑体"/>
          <w:sz w:val="44"/>
          <w:szCs w:val="44"/>
        </w:rPr>
      </w:pPr>
    </w:p>
    <w:p>
      <w:pPr>
        <w:spacing w:line="600" w:lineRule="exact"/>
        <w:ind w:firstLine="640"/>
        <w:rPr>
          <w:rFonts w:eastAsia="黑体"/>
          <w:bCs/>
          <w:kern w:val="44"/>
          <w:sz w:val="44"/>
          <w:szCs w:val="44"/>
        </w:rPr>
      </w:pPr>
      <w:r>
        <w:rPr>
          <w:rFonts w:hint="eastAsia" w:eastAsia="黑体"/>
          <w:sz w:val="44"/>
          <w:szCs w:val="44"/>
        </w:rPr>
        <w:t>第四部分 附件</w:t>
      </w:r>
      <w:bookmarkEnd w:id="51"/>
    </w:p>
    <w:p>
      <w:pPr>
        <w:spacing w:line="572" w:lineRule="exact"/>
        <w:jc w:val="left"/>
        <w:outlineLvl w:val="0"/>
        <w:rPr>
          <w:rFonts w:eastAsia="黑体" w:cs="黑体"/>
          <w:sz w:val="32"/>
          <w:szCs w:val="32"/>
        </w:rPr>
      </w:pPr>
      <w:r>
        <w:rPr>
          <w:rFonts w:hint="eastAsia" w:eastAsia="黑体" w:cs="黑体"/>
          <w:sz w:val="32"/>
          <w:szCs w:val="32"/>
        </w:rPr>
        <w:t>附件1</w:t>
      </w:r>
    </w:p>
    <w:p>
      <w:pPr>
        <w:pStyle w:val="6"/>
        <w:numPr>
          <w:ilvl w:val="0"/>
          <w:numId w:val="3"/>
        </w:numPr>
        <w:rPr>
          <w:rFonts w:ascii="Times New Roman" w:hAnsi="Times New Roman" w:eastAsia="黑体"/>
          <w:b w:val="0"/>
        </w:rPr>
      </w:pPr>
      <w:r>
        <w:rPr>
          <w:rFonts w:hint="eastAsia" w:ascii="Times New Roman" w:hAnsi="Times New Roman" w:eastAsia="黑体"/>
          <w:b w:val="0"/>
        </w:rPr>
        <w:t>部门职责</w:t>
      </w:r>
    </w:p>
    <w:p>
      <w:pPr>
        <w:snapToGrid w:val="0"/>
        <w:spacing w:line="520" w:lineRule="exact"/>
        <w:ind w:left="567"/>
        <w:rPr>
          <w:rFonts w:ascii="楷体" w:eastAsia="楷体" w:cs="楷体"/>
          <w:b/>
          <w:bCs/>
          <w:sz w:val="32"/>
          <w:szCs w:val="32"/>
        </w:rPr>
      </w:pPr>
      <w:r>
        <w:rPr>
          <w:rFonts w:hint="eastAsia" w:ascii="楷体" w:eastAsia="楷体" w:cs="楷体"/>
          <w:b/>
          <w:bCs/>
          <w:sz w:val="32"/>
          <w:szCs w:val="32"/>
        </w:rPr>
        <w:t>主要职能</w:t>
      </w:r>
    </w:p>
    <w:p>
      <w:pPr>
        <w:autoSpaceDE w:val="0"/>
        <w:autoSpaceDN w:val="0"/>
        <w:adjustRightInd w:val="0"/>
        <w:spacing w:line="560" w:lineRule="exact"/>
        <w:ind w:firstLine="640" w:firstLineChars="200"/>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w:t>
      </w:r>
      <w:r>
        <w:rPr>
          <w:rFonts w:hint="eastAsia" w:ascii="仿宋_GB2312" w:eastAsia="仿宋_GB2312" w:cs="仿宋_GB2312"/>
          <w:kern w:val="0"/>
          <w:sz w:val="32"/>
          <w:szCs w:val="32"/>
        </w:rPr>
        <w:t>一</w:t>
      </w:r>
      <w:r>
        <w:rPr>
          <w:rFonts w:hint="eastAsia" w:ascii="仿宋_GB2312" w:eastAsia="仿宋_GB2312" w:cs="仿宋_GB2312"/>
          <w:kern w:val="0"/>
          <w:sz w:val="32"/>
          <w:szCs w:val="32"/>
          <w:lang w:val="zh-CN"/>
        </w:rPr>
        <w:t>）负责全县林业和草原及生态保护修复的监督管理。</w:t>
      </w:r>
    </w:p>
    <w:p>
      <w:pPr>
        <w:autoSpaceDE w:val="0"/>
        <w:autoSpaceDN w:val="0"/>
        <w:adjustRightInd w:val="0"/>
        <w:spacing w:line="560" w:lineRule="exact"/>
        <w:ind w:firstLine="640" w:firstLineChars="200"/>
        <w:rPr>
          <w:rFonts w:ascii="仿宋_GB2312" w:eastAsia="仿宋_GB2312"/>
          <w:kern w:val="0"/>
          <w:sz w:val="32"/>
          <w:szCs w:val="32"/>
          <w:lang w:val="zh-CN"/>
        </w:rPr>
      </w:pPr>
      <w:r>
        <w:rPr>
          <w:rFonts w:hint="eastAsia" w:ascii="仿宋_GB2312" w:eastAsia="仿宋_GB2312" w:cs="仿宋_GB2312"/>
          <w:kern w:val="0"/>
          <w:sz w:val="32"/>
          <w:szCs w:val="32"/>
          <w:lang w:val="zh-CN"/>
        </w:rPr>
        <w:t>（二）组织全县林业和草原生态保护修复和造林绿化工作。</w:t>
      </w:r>
    </w:p>
    <w:p>
      <w:pPr>
        <w:autoSpaceDE w:val="0"/>
        <w:autoSpaceDN w:val="0"/>
        <w:adjustRightInd w:val="0"/>
        <w:spacing w:line="560" w:lineRule="exact"/>
        <w:ind w:firstLine="640" w:firstLineChars="200"/>
        <w:rPr>
          <w:rFonts w:ascii="仿宋_GB2312" w:eastAsia="仿宋_GB2312"/>
          <w:kern w:val="0"/>
          <w:sz w:val="32"/>
          <w:szCs w:val="32"/>
          <w:lang w:val="zh-CN"/>
        </w:rPr>
      </w:pPr>
      <w:r>
        <w:rPr>
          <w:rFonts w:hint="eastAsia" w:ascii="仿宋_GB2312" w:eastAsia="仿宋_GB2312" w:cs="仿宋_GB2312"/>
          <w:kern w:val="0"/>
          <w:sz w:val="32"/>
          <w:szCs w:val="32"/>
          <w:lang w:val="zh-CN"/>
        </w:rPr>
        <w:t>（三）负责全县森林、草原、湿地资源的监督管理。组织编制并监督执行全县森林采伐限额。</w:t>
      </w:r>
    </w:p>
    <w:p>
      <w:pPr>
        <w:autoSpaceDE w:val="0"/>
        <w:autoSpaceDN w:val="0"/>
        <w:adjustRightInd w:val="0"/>
        <w:spacing w:line="560" w:lineRule="exact"/>
        <w:ind w:firstLine="640" w:firstLineChars="200"/>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（四）负责监督管理全县荒漠化防治工作。</w:t>
      </w:r>
    </w:p>
    <w:p>
      <w:pPr>
        <w:autoSpaceDE w:val="0"/>
        <w:autoSpaceDN w:val="0"/>
        <w:adjustRightInd w:val="0"/>
        <w:spacing w:line="560" w:lineRule="exact"/>
        <w:ind w:firstLine="640" w:firstLineChars="200"/>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（五）负责全县陆生野生动植物资源监督管理。</w:t>
      </w:r>
    </w:p>
    <w:p>
      <w:pPr>
        <w:autoSpaceDE w:val="0"/>
        <w:autoSpaceDN w:val="0"/>
        <w:adjustRightInd w:val="0"/>
        <w:spacing w:line="560" w:lineRule="exact"/>
        <w:ind w:firstLine="640" w:firstLineChars="200"/>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（六）负责监督管理全县各类自然保护地。</w:t>
      </w:r>
    </w:p>
    <w:p>
      <w:pPr>
        <w:autoSpaceDE w:val="0"/>
        <w:autoSpaceDN w:val="0"/>
        <w:adjustRightInd w:val="0"/>
        <w:spacing w:line="560" w:lineRule="exact"/>
        <w:ind w:firstLine="640" w:firstLineChars="200"/>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（七）负责推进全县林业和草原改革相关工作。</w:t>
      </w:r>
    </w:p>
    <w:p>
      <w:pPr>
        <w:autoSpaceDE w:val="0"/>
        <w:autoSpaceDN w:val="0"/>
        <w:adjustRightInd w:val="0"/>
        <w:spacing w:line="560" w:lineRule="exact"/>
        <w:ind w:firstLine="640" w:firstLineChars="200"/>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（八）拟订全县林业和草原资源优化配置及木材利用政策，拟订相关林业产业地方标准并监督实施，组织、指导林草产品质量监督，实施生态扶贫相关工作。</w:t>
      </w:r>
    </w:p>
    <w:p>
      <w:pPr>
        <w:autoSpaceDE w:val="0"/>
        <w:autoSpaceDN w:val="0"/>
        <w:adjustRightInd w:val="0"/>
        <w:spacing w:line="560" w:lineRule="exact"/>
        <w:ind w:firstLine="640" w:firstLineChars="200"/>
        <w:rPr>
          <w:rFonts w:ascii="仿宋_GB2312" w:eastAsia="仿宋_GB2312"/>
          <w:kern w:val="0"/>
          <w:sz w:val="32"/>
          <w:szCs w:val="32"/>
          <w:lang w:val="zh-CN"/>
        </w:rPr>
      </w:pPr>
      <w:r>
        <w:rPr>
          <w:rFonts w:hint="eastAsia" w:ascii="仿宋_GB2312" w:eastAsia="仿宋_GB2312" w:cs="仿宋_GB2312"/>
          <w:kern w:val="0"/>
          <w:sz w:val="32"/>
          <w:szCs w:val="32"/>
          <w:lang w:val="zh-CN"/>
        </w:rPr>
        <w:t>（九）指导全县国有林区基本建设和发展，组织林木种子、草种种质资源普查，组织建立种质资源库，负责良种选育推广，管理林木种苗、草种生产经营行为，监管林木种苗、草种质量。监督管理林业和草原生物种质资源、转基因生物安全、植物新品种保护。</w:t>
      </w:r>
    </w:p>
    <w:p>
      <w:pPr>
        <w:autoSpaceDE w:val="0"/>
        <w:autoSpaceDN w:val="0"/>
        <w:adjustRightInd w:val="0"/>
        <w:spacing w:line="560" w:lineRule="exact"/>
        <w:ind w:firstLine="800" w:firstLineChars="250"/>
        <w:rPr>
          <w:rFonts w:ascii="仿宋_GB2312" w:eastAsia="仿宋_GB2312"/>
          <w:kern w:val="0"/>
          <w:sz w:val="32"/>
          <w:szCs w:val="32"/>
          <w:lang w:val="zh-CN"/>
        </w:rPr>
      </w:pPr>
      <w:r>
        <w:rPr>
          <w:rFonts w:hint="eastAsia" w:ascii="仿宋_GB2312" w:eastAsia="仿宋_GB2312" w:cs="仿宋_GB2312"/>
          <w:kern w:val="0"/>
          <w:sz w:val="32"/>
          <w:szCs w:val="32"/>
          <w:lang w:val="zh-CN"/>
        </w:rPr>
        <w:t>（十）负责落实全县综合防灾减灾规划相关要求，组织编制森林和草原火灾防治规划和防护标准并指导实施，组织、指导开展防火巡护、火源管理、防火设施建设等工作。负责森林和草原火情监测预警、火灾预防工作，发送森林和草原火险信息。组织指导国有林场林区和草原开展宣传教育、监测预警、督促检查等防火工作。</w:t>
      </w:r>
    </w:p>
    <w:p>
      <w:pPr>
        <w:autoSpaceDE w:val="0"/>
        <w:autoSpaceDN w:val="0"/>
        <w:adjustRightInd w:val="0"/>
        <w:spacing w:line="560" w:lineRule="exact"/>
        <w:ind w:firstLine="800" w:firstLineChars="250"/>
        <w:rPr>
          <w:rFonts w:ascii="仿宋_GB2312" w:eastAsia="仿宋_GB2312"/>
          <w:kern w:val="0"/>
          <w:sz w:val="32"/>
          <w:szCs w:val="32"/>
          <w:lang w:val="zh-CN"/>
        </w:rPr>
      </w:pPr>
      <w:r>
        <w:rPr>
          <w:rFonts w:hint="eastAsia" w:ascii="仿宋_GB2312" w:eastAsia="仿宋_GB2312" w:cs="仿宋_GB2312"/>
          <w:kern w:val="0"/>
          <w:sz w:val="32"/>
          <w:szCs w:val="32"/>
          <w:lang w:val="zh-CN"/>
        </w:rPr>
        <w:t>（十一）监督管理全县林业和草原资金和国有资产，提出林业和草原预算内投资、县级财政性资金安排建议，按县政府规定权限，核报、核准规划内和年度计划内投资项目。参与拟订全县林业和草原经济调节政策，组织实施林业和草原生态补偿工作。</w:t>
      </w:r>
    </w:p>
    <w:p>
      <w:pPr>
        <w:autoSpaceDE w:val="0"/>
        <w:autoSpaceDN w:val="0"/>
        <w:adjustRightInd w:val="0"/>
        <w:spacing w:line="560" w:lineRule="exact"/>
        <w:ind w:firstLine="800" w:firstLineChars="250"/>
        <w:rPr>
          <w:rFonts w:ascii="仿宋_GB2312" w:eastAsia="仿宋_GB2312"/>
          <w:kern w:val="0"/>
          <w:sz w:val="32"/>
          <w:szCs w:val="32"/>
          <w:lang w:val="zh-CN"/>
        </w:rPr>
      </w:pPr>
      <w:r>
        <w:rPr>
          <w:rFonts w:hint="eastAsia" w:ascii="仿宋_GB2312" w:eastAsia="仿宋_GB2312" w:cs="仿宋_GB2312"/>
          <w:kern w:val="0"/>
          <w:sz w:val="32"/>
          <w:szCs w:val="32"/>
          <w:lang w:val="zh-CN"/>
        </w:rPr>
        <w:t>（十二）负责林业和草原科技、教育和对外交流工作，指导全县林业和草原人才队伍建设，组织实施林业和草原对外交流与合作事务，承担湿地、防治荒漠化、濒危野生动植物等国际公约履约有关工作。</w:t>
      </w:r>
    </w:p>
    <w:p>
      <w:pPr>
        <w:autoSpaceDE w:val="0"/>
        <w:autoSpaceDN w:val="0"/>
        <w:adjustRightInd w:val="0"/>
        <w:spacing w:line="560" w:lineRule="exact"/>
        <w:ind w:firstLine="800" w:firstLineChars="250"/>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（十</w:t>
      </w:r>
      <w:r>
        <w:rPr>
          <w:rFonts w:hint="eastAsia" w:ascii="仿宋_GB2312" w:eastAsia="仿宋_GB2312" w:cs="仿宋_GB2312"/>
          <w:kern w:val="0"/>
          <w:sz w:val="32"/>
          <w:szCs w:val="32"/>
        </w:rPr>
        <w:t>三</w:t>
      </w:r>
      <w:r>
        <w:rPr>
          <w:rFonts w:hint="eastAsia" w:ascii="仿宋_GB2312" w:eastAsia="仿宋_GB2312" w:cs="仿宋_GB2312"/>
          <w:kern w:val="0"/>
          <w:sz w:val="32"/>
          <w:szCs w:val="32"/>
          <w:lang w:val="zh-CN"/>
        </w:rPr>
        <w:t>）负责县属林业企业监督管理。</w:t>
      </w:r>
    </w:p>
    <w:p>
      <w:pPr>
        <w:autoSpaceDE w:val="0"/>
        <w:autoSpaceDN w:val="0"/>
        <w:adjustRightInd w:val="0"/>
        <w:spacing w:line="560" w:lineRule="exact"/>
        <w:ind w:firstLine="800" w:firstLineChars="250"/>
        <w:rPr>
          <w:rFonts w:ascii="仿宋_GB2312" w:eastAsia="仿宋_GB2312"/>
          <w:kern w:val="0"/>
          <w:sz w:val="32"/>
          <w:szCs w:val="32"/>
          <w:lang w:val="zh-CN"/>
        </w:rPr>
      </w:pPr>
      <w:r>
        <w:rPr>
          <w:rFonts w:hint="eastAsia" w:ascii="仿宋_GB2312" w:eastAsia="仿宋_GB2312" w:cs="仿宋_GB2312"/>
          <w:kern w:val="0"/>
          <w:sz w:val="32"/>
          <w:szCs w:val="32"/>
          <w:lang w:val="zh-CN"/>
        </w:rPr>
        <w:t>（十</w:t>
      </w:r>
      <w:r>
        <w:rPr>
          <w:rFonts w:hint="eastAsia" w:ascii="仿宋_GB2312" w:eastAsia="仿宋_GB2312" w:cs="仿宋_GB2312"/>
          <w:kern w:val="0"/>
          <w:sz w:val="32"/>
          <w:szCs w:val="32"/>
        </w:rPr>
        <w:t>四</w:t>
      </w:r>
      <w:r>
        <w:rPr>
          <w:rFonts w:hint="eastAsia" w:ascii="仿宋_GB2312" w:eastAsia="仿宋_GB2312" w:cs="仿宋_GB2312"/>
          <w:kern w:val="0"/>
          <w:sz w:val="32"/>
          <w:szCs w:val="32"/>
          <w:lang w:val="zh-CN"/>
        </w:rPr>
        <w:t>）承担职责范围内的安全生产和职业健康、生态环境保护、审批服务便民化等工作。</w:t>
      </w:r>
    </w:p>
    <w:p>
      <w:pPr>
        <w:ind w:firstLine="960" w:firstLineChars="300"/>
      </w:pPr>
      <w:r>
        <w:rPr>
          <w:rFonts w:hint="eastAsia" w:ascii="仿宋_GB2312" w:eastAsia="仿宋_GB2312" w:cs="仿宋_GB2312"/>
          <w:kern w:val="0"/>
          <w:sz w:val="32"/>
          <w:szCs w:val="32"/>
          <w:lang w:val="zh-CN"/>
        </w:rPr>
        <w:t>（十</w:t>
      </w:r>
      <w:r>
        <w:rPr>
          <w:rFonts w:hint="eastAsia" w:ascii="仿宋_GB2312" w:eastAsia="仿宋_GB2312" w:cs="仿宋_GB2312"/>
          <w:kern w:val="0"/>
          <w:sz w:val="32"/>
          <w:szCs w:val="32"/>
        </w:rPr>
        <w:t>五</w:t>
      </w:r>
      <w:r>
        <w:rPr>
          <w:rFonts w:hint="eastAsia" w:ascii="仿宋_GB2312" w:eastAsia="仿宋_GB2312" w:cs="仿宋_GB2312"/>
          <w:kern w:val="0"/>
          <w:sz w:val="32"/>
          <w:szCs w:val="32"/>
          <w:lang w:val="zh-CN"/>
        </w:rPr>
        <w:t>）完成县委和县政府交办的其他任务。</w:t>
      </w:r>
    </w:p>
    <w:p>
      <w:pPr>
        <w:pStyle w:val="6"/>
        <w:rPr>
          <w:rStyle w:val="29"/>
          <w:rFonts w:ascii="Times New Roman" w:hAnsi="Times New Roman"/>
          <w:b w:val="0"/>
          <w:bCs w:val="0"/>
        </w:rPr>
      </w:pPr>
      <w:r>
        <w:rPr>
          <w:rFonts w:hint="eastAsia" w:ascii="Times New Roman" w:hAnsi="Times New Roman" w:eastAsia="黑体"/>
          <w:b w:val="0"/>
        </w:rPr>
        <w:t>二、机</w:t>
      </w:r>
      <w:r>
        <w:rPr>
          <w:rStyle w:val="29"/>
          <w:rFonts w:hint="eastAsia" w:ascii="Times New Roman" w:hAnsi="Times New Roman" w:eastAsia="黑体"/>
          <w:b w:val="0"/>
          <w:bCs w:val="0"/>
        </w:rPr>
        <w:t>构设置</w:t>
      </w:r>
    </w:p>
    <w:p>
      <w:pPr>
        <w:ind w:firstLine="800" w:firstLineChars="250"/>
        <w:rPr>
          <w:rFonts w:eastAsia="仿宋_GB2312" w:cs="仿宋_GB2312"/>
          <w:sz w:val="32"/>
          <w:szCs w:val="32"/>
        </w:rPr>
      </w:pPr>
      <w:r>
        <w:rPr>
          <w:rFonts w:hint="eastAsia" w:ascii="仿宋_GB2312" w:hAnsi="仿宋_GB2312" w:eastAsia="仿宋_GB2312" w:cs="仿宋_GB2312"/>
          <w:sz w:val="32"/>
          <w:szCs w:val="32"/>
        </w:rPr>
        <w:t>壤塘县林业和草原局</w:t>
      </w:r>
      <w:r>
        <w:rPr>
          <w:rFonts w:hint="eastAsia" w:eastAsia="仿宋_GB2312" w:cs="仿宋_GB2312"/>
          <w:sz w:val="32"/>
          <w:szCs w:val="32"/>
        </w:rPr>
        <w:t>下属二级预算单位0个，其中行政单位0个，参照公务员法管理的事业单位</w:t>
      </w:r>
      <w:r>
        <w:rPr>
          <w:rFonts w:hint="eastAsia" w:eastAsia="仿宋_GB2312" w:cs="仿宋_GB2312"/>
          <w:bCs/>
          <w:sz w:val="32"/>
          <w:szCs w:val="32"/>
        </w:rPr>
        <w:t>0</w:t>
      </w:r>
      <w:r>
        <w:rPr>
          <w:rFonts w:hint="eastAsia" w:eastAsia="仿宋_GB2312" w:cs="仿宋_GB2312"/>
          <w:sz w:val="32"/>
          <w:szCs w:val="32"/>
        </w:rPr>
        <w:t>个，其他事业单位0个。</w:t>
      </w:r>
    </w:p>
    <w:p>
      <w:pPr>
        <w:snapToGrid w:val="0"/>
        <w:spacing w:line="520" w:lineRule="exact"/>
        <w:ind w:firstLine="640" w:firstLineChars="200"/>
        <w:rPr>
          <w:rFonts w:cs="仿宋_GB2312"/>
          <w:sz w:val="32"/>
          <w:szCs w:val="32"/>
        </w:rPr>
      </w:pPr>
      <w:r>
        <w:rPr>
          <w:rFonts w:hint="eastAsia" w:eastAsia="仿宋_GB2312" w:cs="仿宋_GB2312"/>
          <w:sz w:val="32"/>
          <w:szCs w:val="32"/>
        </w:rPr>
        <w:t>纳入</w:t>
      </w:r>
      <w:r>
        <w:rPr>
          <w:rFonts w:hint="eastAsia" w:ascii="仿宋_GB2312" w:hAnsi="仿宋_GB2312" w:eastAsia="仿宋_GB2312" w:cs="仿宋_GB2312"/>
          <w:sz w:val="32"/>
          <w:szCs w:val="32"/>
        </w:rPr>
        <w:t>壤塘县林业和草原局</w:t>
      </w:r>
      <w:r>
        <w:rPr>
          <w:rFonts w:hint="eastAsia" w:cs="仿宋_GB2312"/>
          <w:sz w:val="32"/>
          <w:szCs w:val="32"/>
        </w:rPr>
        <w:t>2025年度</w:t>
      </w:r>
      <w:r>
        <w:rPr>
          <w:rFonts w:hint="eastAsia" w:eastAsia="仿宋_GB2312" w:cs="仿宋_GB2312"/>
          <w:sz w:val="32"/>
          <w:szCs w:val="32"/>
        </w:rPr>
        <w:t>部门决算编制范围的二级预算单位</w:t>
      </w:r>
      <w:r>
        <w:rPr>
          <w:rFonts w:hint="eastAsia" w:cs="仿宋_GB2312"/>
          <w:sz w:val="32"/>
          <w:szCs w:val="32"/>
        </w:rPr>
        <w:t>0个。</w:t>
      </w:r>
    </w:p>
    <w:p>
      <w:pPr>
        <w:snapToGrid w:val="0"/>
        <w:spacing w:line="520" w:lineRule="exact"/>
        <w:ind w:firstLine="640" w:firstLineChars="200"/>
        <w:rPr>
          <w:rFonts w:ascii="楷体" w:hAnsi="楷体" w:eastAsia="楷体" w:cs="楷体"/>
          <w:b/>
          <w:kern w:val="0"/>
          <w:sz w:val="32"/>
          <w:szCs w:val="32"/>
        </w:rPr>
      </w:pPr>
      <w:r>
        <w:rPr>
          <w:rFonts w:hint="eastAsia" w:ascii="楷体" w:hAnsi="楷体" w:eastAsia="楷体" w:cs="楷体"/>
          <w:sz w:val="32"/>
          <w:szCs w:val="32"/>
        </w:rPr>
        <w:t>1.</w:t>
      </w:r>
      <w:r>
        <w:rPr>
          <w:rFonts w:hint="eastAsia" w:ascii="楷体" w:hAnsi="楷体" w:eastAsia="楷体" w:cs="楷体"/>
          <w:b/>
          <w:kern w:val="0"/>
          <w:sz w:val="32"/>
          <w:szCs w:val="32"/>
        </w:rPr>
        <w:t>机构情况</w:t>
      </w:r>
    </w:p>
    <w:p>
      <w:pPr>
        <w:snapToGrid w:val="0"/>
        <w:spacing w:line="520" w:lineRule="exact"/>
        <w:ind w:firstLine="640" w:firstLineChars="200"/>
        <w:rPr>
          <w:rFonts w:eastAsia="仿宋_GB2312"/>
        </w:rPr>
      </w:pPr>
      <w:r>
        <w:rPr>
          <w:rFonts w:hint="eastAsia" w:ascii="仿宋_GB2312" w:hAnsi="仿宋_GB2312" w:eastAsia="仿宋_GB2312" w:cs="仿宋_GB2312"/>
          <w:kern w:val="0"/>
          <w:sz w:val="32"/>
          <w:szCs w:val="32"/>
        </w:rPr>
        <w:t>内设</w:t>
      </w:r>
      <w:r>
        <w:rPr>
          <w:rFonts w:ascii="仿宋_GB2312" w:hAnsi="仿宋_GB2312" w:eastAsia="仿宋_GB2312" w:cs="仿宋_GB2312"/>
          <w:kern w:val="0"/>
          <w:sz w:val="32"/>
          <w:szCs w:val="32"/>
        </w:rPr>
        <w:t>4</w:t>
      </w:r>
      <w:r>
        <w:rPr>
          <w:rFonts w:hint="eastAsia" w:ascii="仿宋_GB2312" w:hAnsi="仿宋_GB2312" w:eastAsia="仿宋_GB2312" w:cs="仿宋_GB2312"/>
          <w:kern w:val="0"/>
          <w:sz w:val="32"/>
          <w:szCs w:val="32"/>
        </w:rPr>
        <w:t>个行政股室、</w:t>
      </w:r>
      <w:r>
        <w:rPr>
          <w:rFonts w:ascii="仿宋_GB2312" w:hAnsi="仿宋_GB2312" w:eastAsia="仿宋_GB2312" w:cs="仿宋_GB2312"/>
          <w:kern w:val="0"/>
          <w:sz w:val="32"/>
          <w:szCs w:val="32"/>
        </w:rPr>
        <w:t>12</w:t>
      </w:r>
      <w:r>
        <w:rPr>
          <w:rFonts w:hint="eastAsia" w:ascii="仿宋_GB2312" w:hAnsi="仿宋_GB2312" w:eastAsia="仿宋_GB2312" w:cs="仿宋_GB2312"/>
          <w:kern w:val="0"/>
          <w:sz w:val="32"/>
          <w:szCs w:val="32"/>
        </w:rPr>
        <w:t>个事业股室。</w:t>
      </w:r>
    </w:p>
    <w:p>
      <w:pPr>
        <w:widowControl/>
        <w:spacing w:line="600" w:lineRule="exact"/>
        <w:ind w:left="210" w:leftChars="100" w:firstLine="642" w:firstLineChars="200"/>
        <w:jc w:val="left"/>
        <w:outlineLvl w:val="0"/>
        <w:rPr>
          <w:rFonts w:ascii="楷体" w:hAnsi="楷体" w:eastAsia="楷体" w:cs="楷体"/>
          <w:b/>
          <w:kern w:val="0"/>
          <w:sz w:val="32"/>
          <w:szCs w:val="32"/>
        </w:rPr>
      </w:pPr>
      <w:r>
        <w:rPr>
          <w:rFonts w:hint="eastAsia" w:ascii="楷体" w:hAnsi="楷体" w:eastAsia="楷体" w:cs="楷体"/>
          <w:b/>
          <w:kern w:val="0"/>
          <w:sz w:val="32"/>
          <w:szCs w:val="32"/>
        </w:rPr>
        <w:t>2.人员情况</w:t>
      </w:r>
    </w:p>
    <w:p>
      <w:pPr>
        <w:ind w:firstLine="640" w:firstLineChars="200"/>
        <w:rPr>
          <w:rFonts w:ascii="仿宋_GB2312" w:eastAsia="仿宋_GB2312"/>
          <w:color w:val="FF0000"/>
          <w:sz w:val="32"/>
          <w:szCs w:val="32"/>
        </w:rPr>
      </w:pPr>
      <w:r>
        <w:rPr>
          <w:rFonts w:hint="eastAsia" w:ascii="仿宋_GB2312" w:eastAsia="仿宋_GB2312"/>
          <w:sz w:val="32"/>
          <w:szCs w:val="32"/>
        </w:rPr>
        <w:t>林业和草原局核定行政编制7名，其中：局长1名（兼任县自然资源局党组成员），副局长2名，股级领导职数4名，机关工勤人员1名；事业编制58名，其中参公16名，事业编制42名。</w:t>
      </w:r>
    </w:p>
    <w:p>
      <w:pPr>
        <w:pStyle w:val="27"/>
        <w:widowControl/>
        <w:numPr>
          <w:ilvl w:val="0"/>
          <w:numId w:val="3"/>
        </w:numPr>
        <w:adjustRightInd w:val="0"/>
        <w:snapToGrid w:val="0"/>
        <w:spacing w:line="578" w:lineRule="exact"/>
        <w:ind w:firstLineChars="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部门资金收支情况</w:t>
      </w:r>
    </w:p>
    <w:p>
      <w:pPr>
        <w:pStyle w:val="2"/>
        <w:rPr>
          <w:lang w:val="zh-CN"/>
        </w:rPr>
      </w:pPr>
    </w:p>
    <w:p>
      <w:pPr>
        <w:pStyle w:val="27"/>
        <w:spacing w:line="600" w:lineRule="exact"/>
        <w:ind w:firstLine="643"/>
        <w:outlineLvl w:val="1"/>
        <w:rPr>
          <w:rFonts w:eastAsia="仿宋_GB2312" w:cs="仿宋_GB2312"/>
          <w:sz w:val="32"/>
          <w:szCs w:val="32"/>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收入情况</w:t>
      </w: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林业和草原局2</w:t>
      </w:r>
      <w:r>
        <w:rPr>
          <w:rFonts w:hint="eastAsia" w:eastAsia="仿宋_GB2312" w:cs="仿宋_GB2312"/>
          <w:sz w:val="32"/>
          <w:szCs w:val="32"/>
        </w:rPr>
        <w:t>025年</w:t>
      </w:r>
      <w:r>
        <w:rPr>
          <w:rFonts w:hint="eastAsia" w:eastAsia="仿宋_GB2312"/>
          <w:sz w:val="32"/>
          <w:szCs w:val="32"/>
        </w:rPr>
        <w:t>年初预算收入</w:t>
      </w:r>
      <w:r>
        <w:rPr>
          <w:rFonts w:hint="eastAsia" w:ascii="仿宋_GB2312" w:hAnsi="仿宋_GB2312" w:eastAsia="仿宋_GB2312" w:cs="仿宋_GB2312"/>
          <w:sz w:val="32"/>
          <w:szCs w:val="32"/>
        </w:rPr>
        <w:t>9095.95</w:t>
      </w:r>
      <w:r>
        <w:rPr>
          <w:rFonts w:hint="eastAsia" w:eastAsia="仿宋_GB2312" w:cs="仿宋_GB2312"/>
          <w:sz w:val="32"/>
          <w:szCs w:val="32"/>
        </w:rPr>
        <w:t>万元。</w:t>
      </w:r>
      <w:r>
        <w:rPr>
          <w:rFonts w:hint="eastAsia" w:eastAsia="仿宋_GB2312"/>
          <w:sz w:val="32"/>
          <w:szCs w:val="32"/>
        </w:rPr>
        <w:t>决算报表收入</w:t>
      </w:r>
      <w:r>
        <w:rPr>
          <w:rFonts w:hint="eastAsia" w:ascii="仿宋_GB2312" w:hAnsi="仿宋_GB2312" w:eastAsia="仿宋_GB2312" w:cs="仿宋_GB2312"/>
          <w:sz w:val="32"/>
          <w:szCs w:val="32"/>
        </w:rPr>
        <w:t>9095.95</w:t>
      </w:r>
      <w:r>
        <w:rPr>
          <w:rFonts w:hint="eastAsia" w:eastAsia="仿宋_GB2312" w:cs="仿宋_GB2312"/>
          <w:sz w:val="32"/>
          <w:szCs w:val="32"/>
        </w:rPr>
        <w:t>万元。</w:t>
      </w:r>
    </w:p>
    <w:p>
      <w:pPr>
        <w:widowControl/>
        <w:adjustRightInd w:val="0"/>
        <w:snapToGrid w:val="0"/>
        <w:spacing w:line="578" w:lineRule="exact"/>
        <w:ind w:firstLine="642" w:firstLineChars="200"/>
        <w:contextualSpacing/>
        <w:jc w:val="left"/>
        <w:rPr>
          <w:szCs w:val="32"/>
          <w:lang w:val="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二</w:t>
      </w: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支出情况</w:t>
      </w:r>
      <w:r>
        <w:rPr>
          <w:rFonts w:eastAsia="楷体_GB2312"/>
          <w:b/>
          <w:bCs/>
          <w:color w:val="000000"/>
          <w:kern w:val="0"/>
          <w:sz w:val="32"/>
          <w:szCs w:val="32"/>
          <w:shd w:val="clear" w:color="auto" w:fill="FFFFFF"/>
          <w:lang w:val="zh-CN"/>
        </w:rPr>
        <w:t>。</w:t>
      </w:r>
      <w:r>
        <w:rPr>
          <w:rFonts w:hint="eastAsia" w:eastAsia="仿宋_GB2312" w:cs="仿宋_GB2312"/>
          <w:sz w:val="32"/>
          <w:szCs w:val="32"/>
        </w:rPr>
        <w:t>林业和草原局</w:t>
      </w:r>
      <w:r>
        <w:rPr>
          <w:rFonts w:hint="eastAsia" w:eastAsia="仿宋_GB2312"/>
          <w:sz w:val="32"/>
          <w:szCs w:val="32"/>
        </w:rPr>
        <w:t>2025年年初预算支出</w:t>
      </w:r>
      <w:r>
        <w:rPr>
          <w:rFonts w:hint="eastAsia" w:ascii="仿宋_GB2312" w:hAnsi="仿宋_GB2312" w:eastAsia="仿宋_GB2312" w:cs="仿宋_GB2312"/>
          <w:sz w:val="32"/>
          <w:szCs w:val="32"/>
        </w:rPr>
        <w:t>9095.95</w:t>
      </w:r>
      <w:r>
        <w:rPr>
          <w:rFonts w:hint="eastAsia" w:eastAsia="仿宋_GB2312" w:cs="仿宋_GB2312"/>
          <w:sz w:val="32"/>
          <w:szCs w:val="32"/>
        </w:rPr>
        <w:t>万元。</w:t>
      </w:r>
      <w:r>
        <w:rPr>
          <w:rFonts w:hint="eastAsia" w:eastAsia="仿宋_GB2312"/>
          <w:sz w:val="32"/>
          <w:szCs w:val="32"/>
        </w:rPr>
        <w:t>决算报表收入</w:t>
      </w:r>
      <w:r>
        <w:rPr>
          <w:rFonts w:hint="eastAsia" w:ascii="仿宋_GB2312" w:hAnsi="仿宋_GB2312" w:eastAsia="仿宋_GB2312" w:cs="仿宋_GB2312"/>
          <w:sz w:val="32"/>
          <w:szCs w:val="32"/>
        </w:rPr>
        <w:t>9095.95</w:t>
      </w:r>
      <w:r>
        <w:rPr>
          <w:rFonts w:hint="eastAsia" w:eastAsia="仿宋_GB2312" w:cs="仿宋_GB2312"/>
          <w:sz w:val="32"/>
          <w:szCs w:val="32"/>
        </w:rPr>
        <w:t>万元</w:t>
      </w:r>
      <w:r>
        <w:rPr>
          <w:rFonts w:hint="eastAsia" w:eastAsia="仿宋_GB2312"/>
          <w:sz w:val="32"/>
          <w:szCs w:val="32"/>
        </w:rPr>
        <w:t>。</w:t>
      </w:r>
    </w:p>
    <w:p>
      <w:pPr>
        <w:widowControl/>
        <w:adjustRightInd w:val="0"/>
        <w:snapToGrid w:val="0"/>
        <w:spacing w:line="578" w:lineRule="exact"/>
        <w:ind w:firstLine="642" w:firstLineChars="200"/>
        <w:contextualSpacing/>
        <w:jc w:val="left"/>
        <w:rPr>
          <w:rFonts w:eastAsia="仿宋_GB2312"/>
          <w:color w:val="000000"/>
          <w:kern w:val="0"/>
          <w:szCs w:val="32"/>
          <w:shd w:val="clear" w:color="auto" w:fill="FFFFFF"/>
          <w:lang w:val="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）结余分配和结转结余情况</w:t>
      </w:r>
      <w:r>
        <w:rPr>
          <w:rFonts w:hint="eastAsia" w:eastAsia="楷体_GB2312"/>
          <w:b/>
          <w:bCs/>
          <w:color w:val="000000"/>
          <w:kern w:val="0"/>
          <w:sz w:val="32"/>
          <w:szCs w:val="32"/>
          <w:shd w:val="clear" w:color="auto" w:fill="FFFFFF"/>
          <w:lang w:val="zh-CN"/>
        </w:rPr>
        <w:t>。</w:t>
      </w:r>
      <w:r>
        <w:rPr>
          <w:rFonts w:hint="eastAsia" w:eastAsia="仿宋_GB2312" w:cs="仿宋_GB2312"/>
          <w:sz w:val="32"/>
          <w:szCs w:val="32"/>
        </w:rPr>
        <w:t>林业和草原局</w:t>
      </w:r>
      <w:r>
        <w:rPr>
          <w:rFonts w:hint="eastAsia" w:eastAsia="仿宋_GB2312"/>
          <w:sz w:val="32"/>
          <w:szCs w:val="32"/>
        </w:rPr>
        <w:t>2025年决算报表</w:t>
      </w:r>
      <w:r>
        <w:rPr>
          <w:rFonts w:eastAsia="仿宋_GB2312"/>
          <w:sz w:val="32"/>
          <w:szCs w:val="32"/>
        </w:rPr>
        <w:t>结转结余</w:t>
      </w:r>
      <w:r>
        <w:rPr>
          <w:rFonts w:hint="eastAsia" w:eastAsia="仿宋_GB2312"/>
          <w:sz w:val="32"/>
          <w:szCs w:val="32"/>
        </w:rPr>
        <w:t>55.68万元</w:t>
      </w:r>
      <w:r>
        <w:rPr>
          <w:rFonts w:eastAsia="仿宋_GB2312"/>
          <w:sz w:val="32"/>
          <w:szCs w:val="32"/>
        </w:rPr>
        <w:t>。</w:t>
      </w:r>
    </w:p>
    <w:p>
      <w:pPr>
        <w:pStyle w:val="2"/>
      </w:pPr>
    </w:p>
    <w:p>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三、部门预算绩效分析</w:t>
      </w:r>
    </w:p>
    <w:p>
      <w:pPr>
        <w:adjustRightInd w:val="0"/>
        <w:snapToGrid w:val="0"/>
        <w:spacing w:line="578" w:lineRule="exact"/>
        <w:ind w:firstLine="642" w:firstLineChars="200"/>
        <w:contextualSpacing/>
        <w:jc w:val="left"/>
        <w:rPr>
          <w:rFonts w:eastAsia="仿宋_GB2312" w:cs="仿宋_GB2312"/>
          <w:sz w:val="32"/>
          <w:szCs w:val="32"/>
          <w:lang w:val="zh-CN"/>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部门预算</w:t>
      </w:r>
      <w:r>
        <w:rPr>
          <w:rFonts w:eastAsia="楷体_GB2312"/>
          <w:b/>
          <w:bCs/>
          <w:color w:val="000000"/>
          <w:kern w:val="0"/>
          <w:sz w:val="32"/>
          <w:szCs w:val="32"/>
          <w:shd w:val="clear" w:color="auto" w:fill="FFFFFF"/>
          <w:lang w:val="zh-CN"/>
        </w:rPr>
        <w:t>总体绩效分析。</w:t>
      </w:r>
      <w:r>
        <w:rPr>
          <w:rFonts w:eastAsia="仿宋_GB2312" w:cs="仿宋_GB2312"/>
          <w:sz w:val="32"/>
          <w:szCs w:val="32"/>
          <w:lang w:val="zh-CN"/>
        </w:rPr>
        <w:t>根据部门预算绩效评价指标体系</w:t>
      </w:r>
      <w:r>
        <w:rPr>
          <w:rFonts w:hint="eastAsia" w:eastAsia="仿宋_GB2312" w:cs="仿宋_GB2312"/>
          <w:sz w:val="32"/>
          <w:szCs w:val="32"/>
          <w:lang w:val="zh-CN"/>
        </w:rPr>
        <w:t>“</w:t>
      </w:r>
      <w:r>
        <w:rPr>
          <w:rFonts w:eastAsia="仿宋_GB2312" w:cs="仿宋_GB2312"/>
          <w:sz w:val="32"/>
          <w:szCs w:val="32"/>
          <w:lang w:val="zh-CN"/>
        </w:rPr>
        <w:t>总体绩效</w:t>
      </w:r>
      <w:r>
        <w:rPr>
          <w:rFonts w:hint="eastAsia" w:eastAsia="仿宋_GB2312" w:cs="仿宋_GB2312"/>
          <w:sz w:val="32"/>
          <w:szCs w:val="32"/>
          <w:lang w:val="zh-CN"/>
        </w:rPr>
        <w:t>”</w:t>
      </w:r>
      <w:r>
        <w:rPr>
          <w:rFonts w:eastAsia="仿宋_GB2312" w:cs="仿宋_GB2312"/>
          <w:sz w:val="32"/>
          <w:szCs w:val="32"/>
          <w:lang w:val="zh-CN"/>
        </w:rPr>
        <w:t>涉及</w:t>
      </w:r>
      <w:r>
        <w:rPr>
          <w:rFonts w:hint="eastAsia" w:eastAsia="仿宋_GB2312" w:cs="仿宋_GB2312"/>
          <w:sz w:val="32"/>
          <w:szCs w:val="32"/>
          <w:lang w:val="zh-CN"/>
        </w:rPr>
        <w:t>二、三级</w:t>
      </w:r>
      <w:r>
        <w:rPr>
          <w:rFonts w:eastAsia="仿宋_GB2312" w:cs="仿宋_GB2312"/>
          <w:sz w:val="32"/>
          <w:szCs w:val="32"/>
          <w:lang w:val="zh-CN"/>
        </w:rPr>
        <w:t>指标进行</w:t>
      </w:r>
      <w:r>
        <w:rPr>
          <w:rFonts w:hint="eastAsia" w:eastAsia="仿宋_GB2312" w:cs="仿宋_GB2312"/>
          <w:sz w:val="32"/>
          <w:szCs w:val="32"/>
          <w:lang w:val="zh-CN"/>
        </w:rPr>
        <w:t>逐项</w:t>
      </w:r>
      <w:r>
        <w:rPr>
          <w:rFonts w:eastAsia="仿宋_GB2312" w:cs="仿宋_GB2312"/>
          <w:sz w:val="32"/>
          <w:szCs w:val="32"/>
          <w:lang w:val="zh-CN"/>
        </w:rPr>
        <w:t>绩效分析</w:t>
      </w:r>
      <w:r>
        <w:rPr>
          <w:rFonts w:hint="eastAsia" w:eastAsia="仿宋_GB2312" w:cs="仿宋_GB2312"/>
          <w:sz w:val="32"/>
          <w:szCs w:val="32"/>
          <w:lang w:val="zh-CN"/>
        </w:rPr>
        <w:t>并评分</w:t>
      </w:r>
      <w:r>
        <w:rPr>
          <w:rFonts w:eastAsia="仿宋_GB2312" w:cs="仿宋_GB2312"/>
          <w:sz w:val="32"/>
          <w:szCs w:val="32"/>
          <w:lang w:val="zh-CN"/>
        </w:rPr>
        <w:t>，依次包括履职效能、预算管理、财务管理、资产管理、采购管理等情况。</w:t>
      </w:r>
    </w:p>
    <w:p>
      <w:pPr>
        <w:adjustRightInd w:val="0"/>
        <w:snapToGrid w:val="0"/>
        <w:spacing w:line="578" w:lineRule="exact"/>
        <w:ind w:firstLine="640" w:firstLineChars="200"/>
        <w:contextualSpacing/>
        <w:jc w:val="left"/>
        <w:rPr>
          <w:rFonts w:eastAsia="仿宋_GB2312" w:cs="仿宋_GB2312"/>
          <w:color w:val="FF0000"/>
          <w:sz w:val="32"/>
          <w:szCs w:val="32"/>
        </w:rPr>
      </w:pPr>
      <w:r>
        <w:rPr>
          <w:rFonts w:hint="eastAsia" w:eastAsia="仿宋_GB2312" w:cs="仿宋_GB2312"/>
          <w:sz w:val="32"/>
          <w:szCs w:val="32"/>
        </w:rPr>
        <w:t>1.</w:t>
      </w:r>
      <w:r>
        <w:rPr>
          <w:rFonts w:hint="eastAsia" w:eastAsia="仿宋_GB2312" w:cs="仿宋_GB2312"/>
          <w:sz w:val="32"/>
          <w:szCs w:val="32"/>
          <w:lang w:val="zh-CN"/>
        </w:rPr>
        <w:t>履职效能。本单位围绕年度核心职能目标，选定3-5项重点工作开展绩效分析。本年度严格落实各项工作职责，有序推进重点任务落地，按时完成既定工作目标，履职效能稳步提升。工作成效基本达到预期，较好履行部门职能；部分工作受客观因素影响进度略有滞后，后续将优化工作举措，进一步提升履职质效。</w:t>
      </w:r>
    </w:p>
    <w:p>
      <w:pPr>
        <w:adjustRightInd w:val="0"/>
        <w:snapToGrid w:val="0"/>
        <w:spacing w:line="578" w:lineRule="exact"/>
        <w:ind w:firstLine="640" w:firstLineChars="200"/>
        <w:contextualSpacing/>
        <w:jc w:val="left"/>
        <w:rPr>
          <w:rFonts w:eastAsia="仿宋_GB2312" w:cs="仿宋_GB2312"/>
          <w:color w:val="FF0000"/>
          <w:sz w:val="32"/>
          <w:szCs w:val="32"/>
        </w:rPr>
      </w:pPr>
      <w:r>
        <w:rPr>
          <w:rFonts w:hint="eastAsia" w:eastAsia="仿宋_GB2312" w:cs="仿宋_GB2312"/>
          <w:sz w:val="32"/>
          <w:szCs w:val="32"/>
        </w:rPr>
        <w:t>2.</w:t>
      </w:r>
      <w:r>
        <w:rPr>
          <w:rFonts w:eastAsia="仿宋_GB2312" w:cs="仿宋_GB2312"/>
          <w:sz w:val="32"/>
          <w:szCs w:val="32"/>
          <w:lang w:val="zh-CN"/>
        </w:rPr>
        <w:t>预算管理</w:t>
      </w:r>
      <w:r>
        <w:rPr>
          <w:rFonts w:hint="eastAsia" w:eastAsia="仿宋_GB2312" w:cs="仿宋_GB2312"/>
          <w:sz w:val="32"/>
          <w:szCs w:val="32"/>
          <w:lang w:val="zh-CN"/>
        </w:rPr>
        <w:t>。提高预算编制精准度，科学测算收支需求；收入统筹管理到位，各项收入及时足额上缴。支出执行进度合理，严控一般性支出，厉行节约压减非必要开支。预算年终结余资金按规定管理，盘活存量资金，预算管理规范化水平持续提升。</w:t>
      </w:r>
    </w:p>
    <w:p>
      <w:pPr>
        <w:adjustRightInd w:val="0"/>
        <w:snapToGrid w:val="0"/>
        <w:spacing w:line="578" w:lineRule="exact"/>
        <w:ind w:firstLine="640" w:firstLineChars="200"/>
        <w:contextualSpacing/>
        <w:jc w:val="left"/>
        <w:rPr>
          <w:rFonts w:eastAsia="仿宋_GB2312" w:cs="仿宋_GB2312"/>
          <w:color w:val="FF0000"/>
          <w:sz w:val="32"/>
          <w:szCs w:val="32"/>
        </w:rPr>
      </w:pPr>
      <w:r>
        <w:rPr>
          <w:rFonts w:hint="eastAsia" w:eastAsia="仿宋_GB2312" w:cs="仿宋_GB2312"/>
          <w:sz w:val="32"/>
          <w:szCs w:val="32"/>
        </w:rPr>
        <w:t>3.</w:t>
      </w:r>
      <w:r>
        <w:rPr>
          <w:rFonts w:eastAsia="仿宋_GB2312" w:cs="仿宋_GB2312"/>
          <w:sz w:val="32"/>
          <w:szCs w:val="32"/>
          <w:lang w:val="zh-CN"/>
        </w:rPr>
        <w:t>财务管理</w:t>
      </w:r>
      <w:r>
        <w:rPr>
          <w:rFonts w:hint="eastAsia" w:eastAsia="仿宋_GB2312" w:cs="仿宋_GB2312"/>
          <w:sz w:val="32"/>
          <w:szCs w:val="32"/>
          <w:lang w:val="zh-CN"/>
        </w:rPr>
        <w:t>。建立健全财务管理制度，财务岗位设置规范，落实不相容岗位分离要求。资金审批流程完整，资金使用合规，严格执行国库支付、费用报销等规定，未发生资金挤占、挪用等问题，财务风险防控到位。</w:t>
      </w:r>
    </w:p>
    <w:p>
      <w:pPr>
        <w:adjustRightInd w:val="0"/>
        <w:snapToGrid w:val="0"/>
        <w:spacing w:line="578" w:lineRule="exact"/>
        <w:ind w:firstLine="640" w:firstLineChars="200"/>
        <w:contextualSpacing/>
        <w:jc w:val="left"/>
        <w:rPr>
          <w:rFonts w:eastAsia="仿宋_GB2312" w:cs="仿宋_GB2312"/>
          <w:sz w:val="32"/>
          <w:szCs w:val="32"/>
          <w:lang w:val="zh-CN"/>
        </w:rPr>
      </w:pPr>
      <w:r>
        <w:rPr>
          <w:rFonts w:hint="eastAsia" w:eastAsia="仿宋_GB2312" w:cs="仿宋_GB2312"/>
          <w:sz w:val="32"/>
          <w:szCs w:val="32"/>
        </w:rPr>
        <w:t>4.</w:t>
      </w:r>
      <w:r>
        <w:rPr>
          <w:rFonts w:eastAsia="仿宋_GB2312" w:cs="仿宋_GB2312"/>
          <w:sz w:val="32"/>
          <w:szCs w:val="32"/>
          <w:lang w:val="zh-CN"/>
        </w:rPr>
        <w:t>资产管理</w:t>
      </w:r>
      <w:r>
        <w:rPr>
          <w:rFonts w:hint="eastAsia" w:eastAsia="仿宋_GB2312" w:cs="仿宋_GB2312"/>
          <w:sz w:val="32"/>
          <w:szCs w:val="32"/>
          <w:lang w:val="zh-CN"/>
        </w:rPr>
        <w:t>。规范开展资产核算与处置，动态更新资产台账。资产使用率、资产盘活率保持良好水平，严控新增低效闲置资产；人均资产变化平稳。定期开展资产盘点，保障资产安全完整，不断提升资产使用效益。</w:t>
      </w:r>
    </w:p>
    <w:p>
      <w:pPr>
        <w:adjustRightInd w:val="0"/>
        <w:snapToGrid w:val="0"/>
        <w:spacing w:line="578" w:lineRule="exact"/>
        <w:ind w:firstLine="640" w:firstLineChars="200"/>
        <w:contextualSpacing/>
        <w:jc w:val="left"/>
        <w:rPr>
          <w:rFonts w:eastAsia="仿宋_GB2312" w:cs="仿宋_GB2312"/>
          <w:sz w:val="32"/>
          <w:szCs w:val="32"/>
          <w:lang w:val="zh-CN"/>
        </w:rPr>
      </w:pPr>
      <w:r>
        <w:rPr>
          <w:rFonts w:hint="eastAsia" w:eastAsia="仿宋_GB2312" w:cs="仿宋_GB2312"/>
          <w:sz w:val="32"/>
          <w:szCs w:val="32"/>
        </w:rPr>
        <w:t>5.</w:t>
      </w:r>
      <w:r>
        <w:rPr>
          <w:rFonts w:eastAsia="仿宋_GB2312" w:cs="仿宋_GB2312"/>
          <w:sz w:val="32"/>
          <w:szCs w:val="32"/>
          <w:lang w:val="zh-CN"/>
        </w:rPr>
        <w:t>采购管理</w:t>
      </w:r>
      <w:r>
        <w:rPr>
          <w:rFonts w:hint="eastAsia" w:eastAsia="仿宋_GB2312" w:cs="仿宋_GB2312"/>
          <w:sz w:val="32"/>
          <w:szCs w:val="32"/>
          <w:lang w:val="zh-CN"/>
        </w:rPr>
        <w:t>。采购工作严格执行相关法律法规，积极落实扶持中小企业政策，预留份额支持中小企业参与采购。采购计划执行到位，采购执行率达标，采购流程规范透明，采购项目有序实施。</w:t>
      </w:r>
    </w:p>
    <w:p>
      <w:pPr>
        <w:adjustRightInd w:val="0"/>
        <w:snapToGrid w:val="0"/>
        <w:spacing w:line="578" w:lineRule="exact"/>
        <w:ind w:firstLine="642" w:firstLineChars="200"/>
        <w:contextualSpacing/>
        <w:jc w:val="left"/>
        <w:rPr>
          <w:rFonts w:eastAsia="仿宋_GB2312" w:cs="仿宋_GB2312"/>
          <w:sz w:val="32"/>
          <w:szCs w:val="32"/>
        </w:rPr>
      </w:pPr>
      <w:r>
        <w:rPr>
          <w:rFonts w:eastAsia="楷体_GB2312"/>
          <w:b/>
          <w:bCs/>
          <w:color w:val="000000"/>
          <w:kern w:val="0"/>
          <w:sz w:val="32"/>
          <w:szCs w:val="32"/>
          <w:shd w:val="clear" w:color="auto" w:fill="FFFFFF"/>
          <w:lang w:val="zh-CN"/>
        </w:rPr>
        <w:t>（二）部门预算项目绩效分析。</w:t>
      </w:r>
      <w:r>
        <w:rPr>
          <w:rFonts w:hint="eastAsia" w:eastAsia="仿宋_GB2312" w:cs="仿宋_GB2312"/>
          <w:sz w:val="32"/>
          <w:szCs w:val="32"/>
          <w:lang w:val="zh-CN"/>
        </w:rPr>
        <w:t>填报以下数据，并</w:t>
      </w:r>
      <w:r>
        <w:rPr>
          <w:rFonts w:eastAsia="仿宋_GB2312" w:cs="仿宋_GB2312"/>
          <w:sz w:val="32"/>
          <w:szCs w:val="32"/>
          <w:lang w:val="zh-CN"/>
        </w:rPr>
        <w:t>根据部门预算绩效评价指标体系</w:t>
      </w:r>
      <w:r>
        <w:rPr>
          <w:rFonts w:hint="eastAsia" w:eastAsia="仿宋_GB2312" w:cs="仿宋_GB2312"/>
          <w:sz w:val="32"/>
          <w:szCs w:val="32"/>
          <w:lang w:val="zh-CN"/>
        </w:rPr>
        <w:t>“</w:t>
      </w:r>
      <w:r>
        <w:rPr>
          <w:rFonts w:eastAsia="仿宋_GB2312" w:cs="仿宋_GB2312"/>
          <w:sz w:val="32"/>
          <w:szCs w:val="32"/>
          <w:lang w:val="zh-CN"/>
        </w:rPr>
        <w:t>项目绩效</w:t>
      </w:r>
      <w:r>
        <w:rPr>
          <w:rFonts w:hint="eastAsia" w:eastAsia="仿宋_GB2312" w:cs="仿宋_GB2312"/>
          <w:sz w:val="32"/>
          <w:szCs w:val="32"/>
          <w:lang w:val="zh-CN"/>
        </w:rPr>
        <w:t>”</w:t>
      </w:r>
      <w:r>
        <w:rPr>
          <w:rFonts w:eastAsia="仿宋_GB2312" w:cs="仿宋_GB2312"/>
          <w:sz w:val="32"/>
          <w:szCs w:val="32"/>
          <w:lang w:val="zh-CN"/>
        </w:rPr>
        <w:t>涉及</w:t>
      </w:r>
      <w:r>
        <w:rPr>
          <w:rFonts w:hint="eastAsia" w:eastAsia="仿宋_GB2312" w:cs="仿宋_GB2312"/>
          <w:sz w:val="32"/>
          <w:szCs w:val="32"/>
          <w:lang w:val="zh-CN"/>
        </w:rPr>
        <w:t>二、三级</w:t>
      </w:r>
      <w:r>
        <w:rPr>
          <w:rFonts w:eastAsia="仿宋_GB2312" w:cs="仿宋_GB2312"/>
          <w:sz w:val="32"/>
          <w:szCs w:val="32"/>
          <w:lang w:val="zh-CN"/>
        </w:rPr>
        <w:t>指标进行</w:t>
      </w:r>
      <w:r>
        <w:rPr>
          <w:rFonts w:hint="eastAsia" w:eastAsia="仿宋_GB2312" w:cs="仿宋_GB2312"/>
          <w:sz w:val="32"/>
          <w:szCs w:val="32"/>
          <w:lang w:val="zh-CN"/>
        </w:rPr>
        <w:t>逐项</w:t>
      </w:r>
      <w:r>
        <w:rPr>
          <w:rFonts w:eastAsia="仿宋_GB2312" w:cs="仿宋_GB2312"/>
          <w:sz w:val="32"/>
          <w:szCs w:val="32"/>
          <w:lang w:val="zh-CN"/>
        </w:rPr>
        <w:t>绩效分析</w:t>
      </w:r>
      <w:r>
        <w:rPr>
          <w:rFonts w:hint="eastAsia" w:eastAsia="仿宋_GB2312" w:cs="仿宋_GB2312"/>
          <w:sz w:val="32"/>
          <w:szCs w:val="32"/>
          <w:lang w:val="zh-CN"/>
        </w:rPr>
        <w:t>并评分</w:t>
      </w:r>
      <w:r>
        <w:rPr>
          <w:rFonts w:eastAsia="仿宋_GB2312" w:cs="仿宋_GB2312"/>
          <w:sz w:val="32"/>
          <w:szCs w:val="32"/>
          <w:lang w:val="zh-CN"/>
        </w:rPr>
        <w:t>，依次包括项目</w:t>
      </w:r>
      <w:r>
        <w:rPr>
          <w:rFonts w:eastAsia="仿宋_GB2312" w:cs="仿宋_GB2312"/>
          <w:sz w:val="32"/>
          <w:szCs w:val="32"/>
        </w:rPr>
        <w:t>决策、项目执行、目标实现等情况</w:t>
      </w:r>
      <w:r>
        <w:rPr>
          <w:rFonts w:hint="eastAsia" w:eastAsia="仿宋_GB2312" w:cs="仿宋_GB2312"/>
          <w:sz w:val="32"/>
          <w:szCs w:val="32"/>
        </w:rPr>
        <w:t>。</w:t>
      </w:r>
    </w:p>
    <w:p>
      <w:pPr>
        <w:adjustRightInd w:val="0"/>
        <w:snapToGrid w:val="0"/>
        <w:spacing w:line="578" w:lineRule="exact"/>
        <w:ind w:firstLine="640" w:firstLineChars="200"/>
        <w:contextualSpacing/>
        <w:rPr>
          <w:rFonts w:eastAsia="仿宋_GB2312" w:cs="仿宋_GB2312"/>
          <w:sz w:val="32"/>
          <w:szCs w:val="32"/>
          <w:lang w:val="zh-CN"/>
        </w:rPr>
      </w:pPr>
      <w:r>
        <w:rPr>
          <w:rFonts w:eastAsia="仿宋_GB2312" w:cs="仿宋_GB2312"/>
          <w:sz w:val="32"/>
          <w:szCs w:val="32"/>
        </w:rPr>
        <w:t>常年项目绩效分析。</w:t>
      </w:r>
      <w:r>
        <w:rPr>
          <w:rFonts w:eastAsia="仿宋_GB2312" w:cs="仿宋_GB2312"/>
          <w:sz w:val="32"/>
          <w:szCs w:val="32"/>
          <w:lang w:val="zh-CN"/>
        </w:rPr>
        <w:t>该类项目总数</w:t>
      </w:r>
      <w:r>
        <w:rPr>
          <w:rFonts w:hint="eastAsia" w:eastAsia="仿宋_GB2312" w:cs="仿宋_GB2312"/>
          <w:sz w:val="32"/>
          <w:szCs w:val="32"/>
        </w:rPr>
        <w:t>4</w:t>
      </w:r>
      <w:r>
        <w:rPr>
          <w:rFonts w:eastAsia="仿宋_GB2312" w:cs="仿宋_GB2312"/>
          <w:sz w:val="32"/>
          <w:szCs w:val="32"/>
          <w:lang w:val="zh-CN"/>
        </w:rPr>
        <w:t>个，涉及预算总金额</w:t>
      </w:r>
      <w:r>
        <w:rPr>
          <w:rFonts w:hint="eastAsia" w:eastAsia="仿宋_GB2312" w:cs="仿宋_GB2312"/>
          <w:sz w:val="32"/>
          <w:szCs w:val="32"/>
        </w:rPr>
        <w:t>1197.17</w:t>
      </w:r>
      <w:r>
        <w:rPr>
          <w:rFonts w:eastAsia="仿宋_GB2312" w:cs="仿宋_GB2312"/>
          <w:sz w:val="32"/>
          <w:szCs w:val="32"/>
          <w:lang w:val="zh-CN"/>
        </w:rPr>
        <w:t>万元，1</w:t>
      </w:r>
      <w:r>
        <w:rPr>
          <w:rFonts w:hint="eastAsia" w:eastAsia="仿宋_GB2312" w:cs="仿宋_GB2312"/>
          <w:sz w:val="32"/>
          <w:szCs w:val="32"/>
          <w:lang w:val="zh-CN"/>
        </w:rPr>
        <w:t>—</w:t>
      </w:r>
      <w:r>
        <w:rPr>
          <w:rFonts w:eastAsia="仿宋_GB2312" w:cs="仿宋_GB2312"/>
          <w:sz w:val="32"/>
          <w:szCs w:val="32"/>
          <w:lang w:val="zh-CN"/>
        </w:rPr>
        <w:t>1</w:t>
      </w:r>
      <w:r>
        <w:rPr>
          <w:rFonts w:eastAsia="仿宋_GB2312" w:cs="仿宋_GB2312"/>
          <w:sz w:val="32"/>
          <w:szCs w:val="32"/>
        </w:rPr>
        <w:t>2</w:t>
      </w:r>
      <w:r>
        <w:rPr>
          <w:rFonts w:eastAsia="仿宋_GB2312" w:cs="仿宋_GB2312"/>
          <w:sz w:val="32"/>
          <w:szCs w:val="32"/>
          <w:lang w:val="zh-CN"/>
        </w:rPr>
        <w:t>月预算执行总体进度为</w:t>
      </w:r>
      <w:r>
        <w:rPr>
          <w:rFonts w:hint="eastAsia" w:eastAsia="仿宋_GB2312" w:cs="仿宋_GB2312"/>
          <w:sz w:val="32"/>
          <w:szCs w:val="32"/>
        </w:rPr>
        <w:t>100</w:t>
      </w:r>
      <w:r>
        <w:rPr>
          <w:rFonts w:eastAsia="仿宋_GB2312" w:cs="仿宋_GB2312"/>
          <w:sz w:val="32"/>
          <w:szCs w:val="32"/>
          <w:lang w:val="zh-CN"/>
        </w:rPr>
        <w:t>%</w:t>
      </w:r>
      <w:r>
        <w:rPr>
          <w:rFonts w:hint="eastAsia" w:eastAsia="仿宋_GB2312" w:cs="仿宋_GB2312"/>
          <w:sz w:val="32"/>
          <w:szCs w:val="32"/>
          <w:lang w:val="zh-CN"/>
        </w:rPr>
        <w:t>。</w:t>
      </w:r>
      <w:r>
        <w:rPr>
          <w:rFonts w:eastAsia="仿宋_GB2312" w:cs="仿宋_GB2312"/>
          <w:sz w:val="32"/>
          <w:szCs w:val="32"/>
          <w:lang w:val="zh-CN"/>
        </w:rPr>
        <w:t>其中：预算结余率大于</w:t>
      </w:r>
      <w:r>
        <w:rPr>
          <w:rFonts w:eastAsia="仿宋_GB2312" w:cs="仿宋_GB2312"/>
          <w:sz w:val="32"/>
          <w:szCs w:val="32"/>
        </w:rPr>
        <w:t>10%</w:t>
      </w:r>
      <w:r>
        <w:rPr>
          <w:rFonts w:eastAsia="仿宋_GB2312" w:cs="仿宋_GB2312"/>
          <w:sz w:val="32"/>
          <w:szCs w:val="32"/>
          <w:lang w:val="zh-CN"/>
        </w:rPr>
        <w:t>的项目共计</w:t>
      </w:r>
      <w:r>
        <w:rPr>
          <w:rFonts w:hint="eastAsia" w:eastAsia="仿宋_GB2312" w:cs="仿宋_GB2312"/>
          <w:sz w:val="32"/>
          <w:szCs w:val="32"/>
        </w:rPr>
        <w:t>0</w:t>
      </w:r>
      <w:r>
        <w:rPr>
          <w:rFonts w:eastAsia="仿宋_GB2312" w:cs="仿宋_GB2312"/>
          <w:sz w:val="32"/>
          <w:szCs w:val="32"/>
          <w:lang w:val="zh-CN"/>
        </w:rPr>
        <w:t>个。</w:t>
      </w:r>
    </w:p>
    <w:p>
      <w:pPr>
        <w:adjustRightInd w:val="0"/>
        <w:snapToGrid w:val="0"/>
        <w:spacing w:line="578" w:lineRule="exact"/>
        <w:ind w:firstLine="640" w:firstLineChars="200"/>
        <w:contextualSpacing/>
        <w:rPr>
          <w:rFonts w:eastAsia="仿宋_GB2312" w:cs="仿宋_GB2312"/>
          <w:sz w:val="32"/>
          <w:szCs w:val="32"/>
          <w:lang w:val="zh-CN"/>
        </w:rPr>
      </w:pPr>
      <w:r>
        <w:rPr>
          <w:rFonts w:eastAsia="仿宋_GB2312" w:cs="仿宋_GB2312"/>
          <w:sz w:val="32"/>
          <w:szCs w:val="32"/>
        </w:rPr>
        <w:t>阶段</w:t>
      </w:r>
      <w:r>
        <w:rPr>
          <w:rFonts w:hint="eastAsia" w:eastAsia="仿宋_GB2312" w:cs="仿宋_GB2312"/>
          <w:sz w:val="32"/>
          <w:szCs w:val="32"/>
        </w:rPr>
        <w:t>（</w:t>
      </w:r>
      <w:r>
        <w:rPr>
          <w:rFonts w:eastAsia="仿宋_GB2312" w:cs="仿宋_GB2312"/>
          <w:sz w:val="32"/>
          <w:szCs w:val="32"/>
        </w:rPr>
        <w:t>一次性</w:t>
      </w:r>
      <w:r>
        <w:rPr>
          <w:rFonts w:hint="eastAsia" w:eastAsia="仿宋_GB2312" w:cs="仿宋_GB2312"/>
          <w:sz w:val="32"/>
          <w:szCs w:val="32"/>
        </w:rPr>
        <w:t>）</w:t>
      </w:r>
      <w:r>
        <w:rPr>
          <w:rFonts w:eastAsia="仿宋_GB2312" w:cs="仿宋_GB2312"/>
          <w:sz w:val="32"/>
          <w:szCs w:val="32"/>
        </w:rPr>
        <w:t>项目绩效分析。</w:t>
      </w:r>
      <w:r>
        <w:rPr>
          <w:rFonts w:eastAsia="仿宋_GB2312" w:cs="仿宋_GB2312"/>
          <w:sz w:val="32"/>
          <w:szCs w:val="32"/>
          <w:lang w:val="zh-CN"/>
        </w:rPr>
        <w:t>该类项目总数</w:t>
      </w:r>
      <w:r>
        <w:rPr>
          <w:rFonts w:hint="eastAsia" w:eastAsia="仿宋_GB2312" w:cs="仿宋_GB2312"/>
          <w:sz w:val="32"/>
          <w:szCs w:val="32"/>
        </w:rPr>
        <w:t>1</w:t>
      </w:r>
      <w:r>
        <w:rPr>
          <w:rFonts w:eastAsia="仿宋_GB2312" w:cs="仿宋_GB2312"/>
          <w:sz w:val="32"/>
          <w:szCs w:val="32"/>
          <w:lang w:val="zh-CN"/>
        </w:rPr>
        <w:t>个，涉及预算总金额</w:t>
      </w:r>
      <w:r>
        <w:rPr>
          <w:rFonts w:hint="eastAsia" w:eastAsia="仿宋_GB2312" w:cs="仿宋_GB2312"/>
          <w:sz w:val="32"/>
          <w:szCs w:val="32"/>
        </w:rPr>
        <w:t>215</w:t>
      </w:r>
      <w:r>
        <w:rPr>
          <w:rFonts w:eastAsia="仿宋_GB2312" w:cs="仿宋_GB2312"/>
          <w:sz w:val="32"/>
          <w:szCs w:val="32"/>
          <w:lang w:val="zh-CN"/>
        </w:rPr>
        <w:t>万元，1</w:t>
      </w:r>
      <w:r>
        <w:rPr>
          <w:rFonts w:hint="eastAsia" w:eastAsia="仿宋_GB2312" w:cs="仿宋_GB2312"/>
          <w:sz w:val="32"/>
          <w:szCs w:val="32"/>
          <w:lang w:val="zh-CN"/>
        </w:rPr>
        <w:t>—</w:t>
      </w:r>
      <w:r>
        <w:rPr>
          <w:rFonts w:eastAsia="仿宋_GB2312" w:cs="仿宋_GB2312"/>
          <w:sz w:val="32"/>
          <w:szCs w:val="32"/>
          <w:lang w:val="zh-CN"/>
        </w:rPr>
        <w:t>1</w:t>
      </w:r>
      <w:r>
        <w:rPr>
          <w:rFonts w:eastAsia="仿宋_GB2312" w:cs="仿宋_GB2312"/>
          <w:sz w:val="32"/>
          <w:szCs w:val="32"/>
        </w:rPr>
        <w:t>2</w:t>
      </w:r>
      <w:r>
        <w:rPr>
          <w:rFonts w:eastAsia="仿宋_GB2312" w:cs="仿宋_GB2312"/>
          <w:sz w:val="32"/>
          <w:szCs w:val="32"/>
          <w:lang w:val="zh-CN"/>
        </w:rPr>
        <w:t>月预算执行总体进度为</w:t>
      </w:r>
      <w:r>
        <w:rPr>
          <w:rFonts w:hint="eastAsia" w:eastAsia="仿宋_GB2312" w:cs="仿宋_GB2312"/>
          <w:sz w:val="32"/>
          <w:szCs w:val="32"/>
        </w:rPr>
        <w:t>100</w:t>
      </w:r>
      <w:r>
        <w:rPr>
          <w:rFonts w:eastAsia="仿宋_GB2312" w:cs="仿宋_GB2312"/>
          <w:sz w:val="32"/>
          <w:szCs w:val="32"/>
          <w:lang w:val="zh-CN"/>
        </w:rPr>
        <w:t>%，其中：预算结余率大于</w:t>
      </w:r>
      <w:r>
        <w:rPr>
          <w:rFonts w:eastAsia="仿宋_GB2312" w:cs="仿宋_GB2312"/>
          <w:sz w:val="32"/>
          <w:szCs w:val="32"/>
        </w:rPr>
        <w:t>10%</w:t>
      </w:r>
      <w:r>
        <w:rPr>
          <w:rFonts w:eastAsia="仿宋_GB2312" w:cs="仿宋_GB2312"/>
          <w:sz w:val="32"/>
          <w:szCs w:val="32"/>
          <w:lang w:val="zh-CN"/>
        </w:rPr>
        <w:t>的项目共计</w:t>
      </w:r>
      <w:r>
        <w:rPr>
          <w:rFonts w:hint="eastAsia" w:eastAsia="仿宋_GB2312" w:cs="仿宋_GB2312"/>
          <w:sz w:val="32"/>
          <w:szCs w:val="32"/>
        </w:rPr>
        <w:t>0</w:t>
      </w:r>
      <w:r>
        <w:rPr>
          <w:rFonts w:eastAsia="仿宋_GB2312" w:cs="仿宋_GB2312"/>
          <w:sz w:val="32"/>
          <w:szCs w:val="32"/>
          <w:lang w:val="zh-CN"/>
        </w:rPr>
        <w:t>个。</w:t>
      </w:r>
    </w:p>
    <w:p>
      <w:pPr>
        <w:adjustRightInd w:val="0"/>
        <w:snapToGrid w:val="0"/>
        <w:spacing w:line="578" w:lineRule="exact"/>
        <w:ind w:firstLine="640" w:firstLineChars="200"/>
        <w:contextualSpacing/>
        <w:jc w:val="left"/>
        <w:rPr>
          <w:rFonts w:ascii="仿宋_GB2312" w:eastAsia="仿宋_GB2312" w:cs="仿宋_GB2312"/>
          <w:color w:val="FF0000"/>
          <w:sz w:val="32"/>
          <w:szCs w:val="32"/>
          <w:lang w:val="zh-CN"/>
        </w:rPr>
      </w:pPr>
      <w:r>
        <w:rPr>
          <w:rFonts w:hint="eastAsia" w:eastAsia="仿宋_GB2312" w:cs="仿宋_GB2312"/>
          <w:sz w:val="32"/>
          <w:szCs w:val="32"/>
        </w:rPr>
        <w:t>1.</w:t>
      </w:r>
      <w:r>
        <w:rPr>
          <w:rFonts w:hint="eastAsia" w:eastAsia="仿宋_GB2312" w:cs="仿宋_GB2312"/>
          <w:sz w:val="32"/>
          <w:szCs w:val="32"/>
          <w:lang w:val="zh-CN"/>
        </w:rPr>
        <w:t xml:space="preserve">项目决策。围绕决策程序、目标设置、项目入库开展绩效分析，重点核查项目立项论证是否充分、申报流程是否规范，绩效指标设定是否科学合理，项目入库审核把关是否严格，从源头防范项目储备质量不高、目标脱离实际等风险。     </w:t>
      </w:r>
    </w:p>
    <w:p>
      <w:pPr>
        <w:ind w:firstLine="640" w:firstLineChars="200"/>
        <w:rPr>
          <w:rFonts w:ascii="仿宋_GB2312" w:eastAsia="仿宋_GB2312"/>
          <w:sz w:val="32"/>
          <w:szCs w:val="32"/>
        </w:rPr>
      </w:pPr>
      <w:r>
        <w:rPr>
          <w:rFonts w:hint="eastAsia" w:eastAsia="仿宋_GB2312" w:cs="仿宋_GB2312"/>
          <w:sz w:val="32"/>
          <w:szCs w:val="32"/>
        </w:rPr>
        <w:t>2.项目执行</w:t>
      </w:r>
      <w:r>
        <w:rPr>
          <w:rFonts w:hint="eastAsia" w:eastAsia="仿宋_GB2312" w:cs="仿宋_GB2312"/>
          <w:sz w:val="32"/>
          <w:szCs w:val="32"/>
          <w:lang w:val="zh-CN"/>
        </w:rPr>
        <w:t>。</w:t>
      </w:r>
      <w:r>
        <w:rPr>
          <w:rFonts w:hint="eastAsia" w:ascii="仿宋_GB2312" w:eastAsia="仿宋_GB2312"/>
          <w:sz w:val="32"/>
          <w:szCs w:val="32"/>
        </w:rPr>
        <w:t>围绕资金执行进度、项目调整、执行结果开展绩效分析，跟踪资金拨付与项目实施匹配情况，核查项目变更调整是否履行报批程序，分析资金慢支出、沉淀结余的成因，压实项目实施和资金管理责任。</w:t>
      </w:r>
    </w:p>
    <w:p>
      <w:pPr>
        <w:ind w:firstLine="640" w:firstLineChars="200"/>
        <w:rPr>
          <w:rFonts w:ascii="仿宋_GB2312" w:eastAsia="仿宋_GB2312"/>
          <w:sz w:val="32"/>
          <w:szCs w:val="32"/>
        </w:rPr>
      </w:pPr>
      <w:r>
        <w:rPr>
          <w:rFonts w:hint="eastAsia" w:eastAsia="仿宋_GB2312" w:cs="仿宋_GB2312"/>
          <w:sz w:val="32"/>
          <w:szCs w:val="32"/>
        </w:rPr>
        <w:t>3.</w:t>
      </w:r>
      <w:r>
        <w:rPr>
          <w:rFonts w:hint="eastAsia" w:eastAsia="仿宋_GB2312" w:cs="仿宋_GB2312"/>
          <w:sz w:val="32"/>
          <w:szCs w:val="32"/>
          <w:lang w:val="zh-CN"/>
        </w:rPr>
        <w:t>目标实现。</w:t>
      </w:r>
      <w:r>
        <w:rPr>
          <w:rFonts w:hint="eastAsia" w:ascii="仿宋_GB2312" w:eastAsia="仿宋_GB2312"/>
          <w:sz w:val="32"/>
          <w:szCs w:val="32"/>
        </w:rPr>
        <w:t>围绕目标完成、目标偏离、实施效果开展绩效分析，对照年初设定绩效指标逐项核验完成情况，对指标未达标、存在偏差的项目深挖原因，客观评价项目产出效益、社会效益，总结经验并提出改进措施。</w:t>
      </w:r>
    </w:p>
    <w:p>
      <w:pPr>
        <w:ind w:firstLine="642" w:firstLineChars="200"/>
        <w:rPr>
          <w:rFonts w:ascii="仿宋_GB2312" w:eastAsia="仿宋_GB2312"/>
          <w:sz w:val="32"/>
          <w:szCs w:val="32"/>
        </w:rPr>
      </w:pPr>
      <w:r>
        <w:rPr>
          <w:rFonts w:eastAsia="楷体_GB2312"/>
          <w:b/>
          <w:bCs/>
          <w:color w:val="000000"/>
          <w:sz w:val="32"/>
          <w:szCs w:val="32"/>
          <w:shd w:val="clear" w:color="auto" w:fill="FFFFFF"/>
          <w:lang w:val="zh-CN"/>
        </w:rPr>
        <w:t>（</w:t>
      </w:r>
      <w:r>
        <w:rPr>
          <w:rFonts w:hint="eastAsia" w:eastAsia="楷体_GB2312"/>
          <w:b/>
          <w:bCs/>
          <w:color w:val="000000"/>
          <w:sz w:val="32"/>
          <w:szCs w:val="32"/>
          <w:shd w:val="clear" w:color="auto" w:fill="FFFFFF"/>
        </w:rPr>
        <w:t>三</w:t>
      </w:r>
      <w:r>
        <w:rPr>
          <w:rFonts w:eastAsia="楷体_GB2312"/>
          <w:b/>
          <w:bCs/>
          <w:color w:val="000000"/>
          <w:sz w:val="32"/>
          <w:szCs w:val="32"/>
          <w:shd w:val="clear" w:color="auto" w:fill="FFFFFF"/>
          <w:lang w:val="zh-CN"/>
        </w:rPr>
        <w:t>）绩效结果应用情况</w:t>
      </w:r>
      <w:r>
        <w:rPr>
          <w:rFonts w:hint="eastAsia" w:eastAsia="楷体_GB2312"/>
          <w:b/>
          <w:bCs/>
          <w:color w:val="000000"/>
          <w:sz w:val="32"/>
          <w:szCs w:val="32"/>
          <w:shd w:val="clear" w:color="auto" w:fill="FFFFFF"/>
          <w:lang w:val="zh-CN"/>
        </w:rPr>
        <w:t>。</w:t>
      </w:r>
      <w:r>
        <w:rPr>
          <w:rFonts w:hint="eastAsia" w:ascii="仿宋_GB2312" w:eastAsia="仿宋_GB2312"/>
          <w:sz w:val="32"/>
          <w:szCs w:val="32"/>
        </w:rPr>
        <w:t>项目整体实施推进有序，立项决策科学规范，管理制度健全完善，资金使用合规严谨，预算执行平稳有序，各项既定绩效目标基本圆满完成。项目顺利落地实施，全面发挥项目建设实效，有效补齐工作短板、夯实基层工作基础，圆满完成年度各项工作任务，社会效益、实际工作成效均达到预期目标，项目整体实施成效显著。</w:t>
      </w:r>
    </w:p>
    <w:p>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四、评价结论及建议</w:t>
      </w:r>
    </w:p>
    <w:p>
      <w:pPr>
        <w:pStyle w:val="8"/>
        <w:spacing w:before="93" w:line="600" w:lineRule="exact"/>
        <w:ind w:firstLine="642" w:firstLineChars="200"/>
        <w:rPr>
          <w:rFonts w:ascii="Times New Roman"/>
          <w:kern w:val="2"/>
          <w:sz w:val="32"/>
          <w:szCs w:val="32"/>
        </w:rPr>
      </w:pPr>
      <w:r>
        <w:rPr>
          <w:rFonts w:eastAsia="楷体_GB2312"/>
          <w:b/>
          <w:bCs/>
          <w:color w:val="000000"/>
          <w:sz w:val="32"/>
          <w:szCs w:val="32"/>
          <w:shd w:val="clear" w:color="auto" w:fill="FFFFFF"/>
          <w:lang w:val="zh-CN"/>
        </w:rPr>
        <w:t>（一）评价结论。</w:t>
      </w:r>
      <w:r>
        <w:rPr>
          <w:rFonts w:ascii="Times New Roman"/>
          <w:sz w:val="32"/>
          <w:szCs w:val="32"/>
        </w:rPr>
        <w:t>项目顺利落地实施，全面发挥项目建设实效，有效补齐工作短板、夯实基层工作基础，圆满完成年度各项工作任务，社会效益、实际工作成效均达到预期目标，项目整体实施成效显著</w:t>
      </w:r>
      <w:r>
        <w:rPr>
          <w:rFonts w:hint="eastAsia" w:ascii="Times New Roman"/>
          <w:sz w:val="32"/>
          <w:szCs w:val="32"/>
        </w:rPr>
        <w:t>，</w:t>
      </w:r>
      <w:r>
        <w:rPr>
          <w:rFonts w:ascii="Times New Roman"/>
          <w:sz w:val="32"/>
          <w:szCs w:val="32"/>
        </w:rPr>
        <w:t>本次项目绩效自评综合得分</w:t>
      </w:r>
      <w:r>
        <w:rPr>
          <w:rFonts w:hint="eastAsia" w:ascii="Times New Roman"/>
          <w:sz w:val="32"/>
          <w:szCs w:val="32"/>
        </w:rPr>
        <w:t>98</w:t>
      </w:r>
      <w:r>
        <w:rPr>
          <w:rFonts w:ascii="Times New Roman"/>
          <w:sz w:val="32"/>
          <w:szCs w:val="32"/>
        </w:rPr>
        <w:t>分，整体绩效等级为优秀。</w:t>
      </w:r>
    </w:p>
    <w:p>
      <w:pPr>
        <w:widowControl/>
        <w:adjustRightInd w:val="0"/>
        <w:snapToGrid w:val="0"/>
        <w:spacing w:line="578" w:lineRule="exact"/>
        <w:ind w:firstLine="642" w:firstLineChars="200"/>
        <w:contextualSpacing/>
        <w:jc w:val="left"/>
        <w:rPr>
          <w:rFonts w:eastAsia="仿宋_GB2312"/>
          <w:sz w:val="32"/>
          <w:szCs w:val="32"/>
        </w:rPr>
      </w:pPr>
      <w:r>
        <w:rPr>
          <w:rFonts w:eastAsia="楷体_GB2312"/>
          <w:b/>
          <w:bCs/>
          <w:color w:val="000000"/>
          <w:kern w:val="0"/>
          <w:sz w:val="32"/>
          <w:szCs w:val="32"/>
          <w:shd w:val="clear" w:color="auto" w:fill="FFFFFF"/>
          <w:lang w:val="zh-CN"/>
        </w:rPr>
        <w:t>（二）存在问题。</w:t>
      </w:r>
      <w:r>
        <w:rPr>
          <w:rFonts w:eastAsia="仿宋_GB2312"/>
          <w:sz w:val="32"/>
          <w:szCs w:val="32"/>
        </w:rPr>
        <w:t>项目前期精细化调研仍有不足，部分细分任务谋划不够细致，个别绩效目标设定贴合实际程度有待提升</w:t>
      </w:r>
      <w:r>
        <w:rPr>
          <w:rFonts w:hint="eastAsia" w:eastAsia="仿宋_GB2312"/>
          <w:sz w:val="32"/>
          <w:szCs w:val="32"/>
        </w:rPr>
        <w:t>。</w:t>
      </w:r>
    </w:p>
    <w:p>
      <w:pPr>
        <w:widowControl/>
        <w:adjustRightInd w:val="0"/>
        <w:snapToGrid w:val="0"/>
        <w:spacing w:line="578" w:lineRule="exact"/>
        <w:ind w:firstLine="642" w:firstLineChars="200"/>
        <w:contextualSpacing/>
        <w:jc w:val="left"/>
        <w:rPr>
          <w:rFonts w:ascii="仿宋_GB2312" w:hAnsi="仿宋_GB2312" w:eastAsia="仿宋_GB2312" w:cs="仿宋_GB2312"/>
          <w:sz w:val="32"/>
          <w:szCs w:val="32"/>
        </w:rPr>
      </w:pPr>
      <w:r>
        <w:rPr>
          <w:rFonts w:eastAsia="楷体_GB2312"/>
          <w:b/>
          <w:bCs/>
          <w:color w:val="000000"/>
          <w:kern w:val="0"/>
          <w:sz w:val="32"/>
          <w:szCs w:val="32"/>
          <w:shd w:val="clear" w:color="auto" w:fill="FFFFFF"/>
          <w:lang w:val="zh-CN"/>
        </w:rPr>
        <w:t>（三）改进建议。</w:t>
      </w:r>
      <w:r>
        <w:rPr>
          <w:rFonts w:hint="eastAsia" w:ascii="仿宋_GB2312" w:eastAsia="仿宋_GB2312"/>
          <w:kern w:val="0"/>
          <w:sz w:val="32"/>
          <w:szCs w:val="32"/>
        </w:rPr>
        <w:t>优化项目前期谋划。进一步做实做细项目前期调研论证，结合基层实际科学精准设定绩效目标，细化项目实施内容，提升项目立项与实际需求契合度。</w:t>
      </w:r>
    </w:p>
    <w:p>
      <w:pPr>
        <w:pStyle w:val="8"/>
        <w:spacing w:before="93"/>
        <w:rPr>
          <w:rFonts w:ascii="Times New Roman" w:eastAsia="黑体" w:cs="黑体"/>
          <w:sz w:val="32"/>
          <w:szCs w:val="32"/>
          <w:shd w:val="clear" w:color="auto" w:fill="FFFFFF"/>
          <w:lang w:val="zh-CN"/>
        </w:rPr>
      </w:pPr>
    </w:p>
    <w:p>
      <w:pPr>
        <w:pStyle w:val="8"/>
        <w:spacing w:before="93"/>
        <w:rPr>
          <w:rFonts w:ascii="Times New Roman" w:eastAsia="黑体" w:cs="黑体"/>
          <w:sz w:val="32"/>
          <w:szCs w:val="32"/>
          <w:shd w:val="clear" w:color="auto" w:fill="FFFFFF"/>
          <w:lang w:val="zh-CN"/>
        </w:rPr>
      </w:pPr>
    </w:p>
    <w:p>
      <w:pPr>
        <w:pStyle w:val="8"/>
        <w:spacing w:before="93"/>
        <w:rPr>
          <w:rFonts w:ascii="Times New Roman" w:eastAsia="黑体" w:cs="黑体"/>
          <w:sz w:val="32"/>
          <w:szCs w:val="32"/>
          <w:shd w:val="clear" w:color="auto" w:fill="FFFFFF"/>
          <w:lang w:val="zh-CN"/>
        </w:rPr>
      </w:pPr>
    </w:p>
    <w:p>
      <w:pPr>
        <w:pStyle w:val="8"/>
        <w:spacing w:before="93"/>
        <w:rPr>
          <w:rFonts w:ascii="Times New Roman" w:eastAsia="黑体" w:cs="黑体"/>
          <w:sz w:val="32"/>
          <w:szCs w:val="32"/>
          <w:shd w:val="clear" w:color="auto" w:fill="FFFFFF"/>
          <w:lang w:val="zh-CN"/>
        </w:rPr>
      </w:pPr>
    </w:p>
    <w:p>
      <w:pPr>
        <w:pStyle w:val="8"/>
        <w:spacing w:before="93"/>
        <w:rPr>
          <w:rFonts w:ascii="Times New Roman" w:eastAsia="黑体" w:cs="黑体"/>
          <w:sz w:val="32"/>
          <w:szCs w:val="32"/>
          <w:shd w:val="clear" w:color="auto" w:fill="FFFFFF"/>
          <w:lang w:val="zh-CN"/>
        </w:rPr>
      </w:pPr>
    </w:p>
    <w:p>
      <w:pPr>
        <w:pStyle w:val="8"/>
        <w:spacing w:before="93"/>
        <w:rPr>
          <w:rFonts w:ascii="Times New Roman" w:eastAsia="黑体" w:cs="黑体"/>
          <w:sz w:val="32"/>
          <w:szCs w:val="32"/>
          <w:shd w:val="clear" w:color="auto" w:fill="FFFFFF"/>
          <w:lang w:val="zh-CN"/>
        </w:rPr>
      </w:pPr>
    </w:p>
    <w:p>
      <w:pPr>
        <w:pStyle w:val="8"/>
        <w:spacing w:before="93"/>
        <w:rPr>
          <w:rFonts w:ascii="Times New Roman" w:eastAsia="黑体" w:cs="黑体"/>
          <w:sz w:val="32"/>
          <w:szCs w:val="32"/>
          <w:shd w:val="clear" w:color="auto" w:fill="FFFFFF"/>
          <w:lang w:val="zh-CN"/>
        </w:rPr>
      </w:pPr>
    </w:p>
    <w:p>
      <w:pPr>
        <w:pStyle w:val="8"/>
        <w:spacing w:before="93"/>
        <w:rPr>
          <w:rFonts w:ascii="Times New Roman" w:eastAsia="黑体" w:cs="黑体"/>
          <w:sz w:val="32"/>
          <w:szCs w:val="32"/>
          <w:shd w:val="clear" w:color="auto" w:fill="FFFFFF"/>
          <w:lang w:val="zh-CN"/>
        </w:rPr>
      </w:pPr>
    </w:p>
    <w:p>
      <w:pPr>
        <w:pStyle w:val="8"/>
        <w:spacing w:before="93"/>
        <w:rPr>
          <w:rFonts w:ascii="Times New Roman" w:eastAsia="黑体" w:cs="黑体"/>
          <w:sz w:val="32"/>
          <w:szCs w:val="32"/>
          <w:shd w:val="clear" w:color="auto" w:fill="FFFFFF"/>
          <w:lang w:val="zh-CN"/>
        </w:rPr>
      </w:pPr>
    </w:p>
    <w:p>
      <w:pPr>
        <w:pStyle w:val="8"/>
        <w:spacing w:before="93"/>
        <w:rPr>
          <w:rFonts w:ascii="Times New Roman" w:eastAsia="黑体" w:cs="黑体"/>
          <w:sz w:val="32"/>
          <w:szCs w:val="32"/>
        </w:rPr>
      </w:pPr>
      <w:r>
        <w:rPr>
          <w:rFonts w:hint="eastAsia" w:ascii="Times New Roman" w:eastAsia="黑体" w:cs="黑体"/>
          <w:sz w:val="32"/>
          <w:szCs w:val="32"/>
          <w:shd w:val="clear" w:color="auto" w:fill="FFFFFF"/>
          <w:lang w:val="zh-CN"/>
        </w:rPr>
        <w:t>附件</w:t>
      </w:r>
      <w:r>
        <w:rPr>
          <w:rFonts w:hint="eastAsia" w:ascii="Times New Roman" w:eastAsia="黑体" w:cs="黑体"/>
          <w:sz w:val="32"/>
          <w:szCs w:val="32"/>
          <w:shd w:val="clear" w:color="auto" w:fill="FFFFFF"/>
        </w:rPr>
        <w:t>2</w:t>
      </w:r>
    </w:p>
    <w:p>
      <w:pPr>
        <w:spacing w:line="560" w:lineRule="exact"/>
        <w:jc w:val="center"/>
        <w:rPr>
          <w:rFonts w:ascii="Arial Unicode MS" w:hAnsi="方正小标宋_GBK" w:eastAsia="Arial Unicode MS" w:cs="方正小标宋_GBK"/>
          <w:bCs/>
          <w:sz w:val="44"/>
          <w:szCs w:val="44"/>
        </w:rPr>
      </w:pPr>
      <w:r>
        <w:rPr>
          <w:rFonts w:hint="eastAsia" w:ascii="Arial Unicode MS" w:hAnsi="方正小标宋_GBK" w:eastAsia="Arial Unicode MS" w:cs="方正小标宋_GBK"/>
          <w:bCs/>
          <w:sz w:val="44"/>
          <w:szCs w:val="44"/>
        </w:rPr>
        <w:t>壤塘县林业和草原局</w:t>
      </w:r>
    </w:p>
    <w:p>
      <w:pPr>
        <w:spacing w:line="560" w:lineRule="exact"/>
        <w:jc w:val="center"/>
        <w:rPr>
          <w:rFonts w:ascii="Arial Unicode MS" w:hAnsi="宋体" w:eastAsia="Arial Unicode MS"/>
          <w:b/>
          <w:sz w:val="44"/>
          <w:szCs w:val="44"/>
        </w:rPr>
      </w:pPr>
      <w:r>
        <w:rPr>
          <w:rFonts w:hint="eastAsia" w:ascii="Arial Unicode MS" w:hAnsi="方正小标宋_GBK" w:eastAsia="Arial Unicode MS" w:cs="方正小标宋_GBK"/>
          <w:bCs/>
          <w:sz w:val="44"/>
          <w:szCs w:val="44"/>
        </w:rPr>
        <w:t>关于壤塘县2025年森林草原防灭火物资采购项目专项预算绩效评价自评报告</w:t>
      </w:r>
    </w:p>
    <w:p>
      <w:pPr>
        <w:adjustRightInd w:val="0"/>
        <w:snapToGrid w:val="0"/>
        <w:spacing w:line="578" w:lineRule="exact"/>
        <w:ind w:firstLine="642" w:firstLineChars="200"/>
        <w:rPr>
          <w:rFonts w:ascii="楷体_GB2312" w:eastAsia="楷体_GB2312"/>
          <w:b/>
          <w:sz w:val="32"/>
          <w:szCs w:val="32"/>
          <w:lang w:val="zh-CN"/>
        </w:rPr>
      </w:pPr>
      <w:r>
        <w:rPr>
          <w:rFonts w:hint="eastAsia" w:ascii="楷体_GB2312" w:eastAsia="楷体_GB2312"/>
          <w:b/>
          <w:sz w:val="32"/>
          <w:szCs w:val="32"/>
        </w:rPr>
        <w:t>一、</w:t>
      </w:r>
      <w:r>
        <w:rPr>
          <w:rFonts w:hint="eastAsia" w:ascii="楷体_GB2312" w:eastAsia="楷体_GB2312"/>
          <w:b/>
          <w:sz w:val="32"/>
          <w:szCs w:val="32"/>
          <w:lang w:val="zh-CN"/>
        </w:rPr>
        <w:t>项目概况</w:t>
      </w:r>
    </w:p>
    <w:p>
      <w:pPr>
        <w:ind w:firstLine="642" w:firstLineChars="200"/>
        <w:rPr>
          <w:rFonts w:ascii="仿宋_GB2312" w:eastAsia="仿宋_GB2312"/>
          <w:sz w:val="32"/>
          <w:szCs w:val="32"/>
        </w:rPr>
      </w:pPr>
      <w:r>
        <w:rPr>
          <w:rFonts w:eastAsia="楷体_GB2312"/>
          <w:b/>
          <w:sz w:val="32"/>
          <w:szCs w:val="32"/>
          <w:lang w:val="zh-CN"/>
        </w:rPr>
        <w:t>（一）设立背景及基本情况。</w:t>
      </w:r>
      <w:r>
        <w:rPr>
          <w:rFonts w:hint="eastAsia" w:ascii="仿宋_GB2312" w:eastAsia="仿宋_GB2312" w:cs="仿宋_GB2312"/>
          <w:color w:val="000000"/>
          <w:sz w:val="32"/>
          <w:szCs w:val="32"/>
        </w:rPr>
        <w:t>根据《阿坝州财政局  阿坝州林业和草原局关于下达2025年省级财政林业草原专项资金预算（第四批）的通知》（阿州财资环〔2025〕9号），</w:t>
      </w:r>
      <w:r>
        <w:rPr>
          <w:rFonts w:hint="eastAsia" w:ascii="仿宋_GB2312" w:hAnsi="宋体" w:eastAsia="仿宋_GB2312" w:cs="仿宋_GB2312"/>
          <w:color w:val="000000"/>
          <w:kern w:val="0"/>
          <w:sz w:val="32"/>
          <w:szCs w:val="32"/>
        </w:rPr>
        <w:t>下达2025年省级财政林</w:t>
      </w:r>
      <w:r>
        <w:rPr>
          <w:rFonts w:hint="eastAsia" w:ascii="仿宋_GB2312" w:eastAsia="仿宋_GB2312" w:cs="仿宋_GB2312"/>
          <w:color w:val="000000"/>
          <w:sz w:val="32"/>
          <w:szCs w:val="32"/>
        </w:rPr>
        <w:t>业草原专项资金预算（第四批）215万元，</w:t>
      </w:r>
      <w:r>
        <w:rPr>
          <w:rFonts w:hint="eastAsia" w:ascii="仿宋_GB2312" w:hAnsi="宋体" w:eastAsia="仿宋_GB2312" w:cs="仿宋_GB2312"/>
          <w:color w:val="000000"/>
          <w:kern w:val="0"/>
          <w:sz w:val="32"/>
          <w:szCs w:val="32"/>
        </w:rPr>
        <w:t>用于林业草原支撑保障体系建设方面支出</w:t>
      </w:r>
      <w:r>
        <w:rPr>
          <w:rFonts w:hint="eastAsia" w:ascii="仿宋_GB2312" w:eastAsia="仿宋_GB2312" w:cs="仿宋_GB2312"/>
          <w:color w:val="000000"/>
          <w:sz w:val="32"/>
          <w:szCs w:val="32"/>
        </w:rPr>
        <w:t>。壤塘县林业和草原局承接实施壤塘县2025年森林草原防灭火物资采购项目总投资215万元，合同价：209.96万元，已完成46台便携式高扬程水泵、1000个背负式水桶的采购工作。</w:t>
      </w:r>
      <w:r>
        <w:rPr>
          <w:rFonts w:hint="eastAsia" w:ascii="仿宋_GB2312" w:hAnsi="仿宋_GB2312" w:eastAsia="仿宋_GB2312" w:cs="仿宋_GB2312"/>
          <w:sz w:val="32"/>
          <w:szCs w:val="32"/>
        </w:rPr>
        <w:t>资金的管理按照《中华人民共和国会计法》等法律法规进行单独建账，专款专用，专人管理，专账核算。</w:t>
      </w:r>
    </w:p>
    <w:p>
      <w:pPr>
        <w:ind w:firstLine="642" w:firstLineChars="200"/>
        <w:rPr>
          <w:rFonts w:ascii="仿宋_GB2312" w:eastAsia="仿宋_GB2312"/>
          <w:b/>
          <w:sz w:val="32"/>
          <w:szCs w:val="32"/>
          <w:lang w:val="zh-CN"/>
        </w:rPr>
      </w:pPr>
      <w:r>
        <w:rPr>
          <w:rFonts w:hint="eastAsia" w:ascii="仿宋_GB2312" w:eastAsia="仿宋_GB2312"/>
          <w:b/>
          <w:sz w:val="32"/>
          <w:szCs w:val="32"/>
          <w:lang w:val="zh-CN"/>
        </w:rPr>
        <w:t>（二）</w:t>
      </w:r>
      <w:r>
        <w:rPr>
          <w:rFonts w:hint="eastAsia" w:ascii="仿宋_GB2312" w:eastAsia="仿宋_GB2312"/>
          <w:b/>
          <w:sz w:val="32"/>
          <w:szCs w:val="32"/>
        </w:rPr>
        <w:t>实施目的及支持方向。</w:t>
      </w:r>
      <w:r>
        <w:rPr>
          <w:rFonts w:hint="eastAsia" w:ascii="仿宋_GB2312" w:hAnsi="宋体" w:eastAsia="仿宋_GB2312" w:cs="仿宋_GB2312"/>
          <w:color w:val="000000"/>
          <w:kern w:val="0"/>
          <w:sz w:val="32"/>
          <w:szCs w:val="32"/>
        </w:rPr>
        <w:t>省级财政林业草原专项资金215万元，主要用于林业草原支撑保障体系建设方面支出。</w:t>
      </w:r>
      <w:r>
        <w:rPr>
          <w:rFonts w:hint="eastAsia" w:ascii="仿宋_GB2312" w:eastAsia="仿宋_GB2312"/>
          <w:sz w:val="32"/>
          <w:szCs w:val="32"/>
        </w:rPr>
        <w:t>通过项目实施，将增强一线单兵和团队的灭火作战能力，有效提高消防队伍灭火响应速度和灵活性，降低消防人员灭火风险，推动森林草原消防向高效化、专业化方向发展。进一步提升壤塘县森林草原防灭火综合能力。</w:t>
      </w:r>
    </w:p>
    <w:p>
      <w:pPr>
        <w:ind w:firstLine="642" w:firstLineChars="200"/>
        <w:rPr>
          <w:rFonts w:ascii="仿宋_GB2312" w:eastAsia="仿宋_GB2312"/>
          <w:kern w:val="0"/>
          <w:sz w:val="32"/>
          <w:szCs w:val="32"/>
          <w:shd w:val="clear" w:color="auto" w:fill="FFFFFF"/>
          <w:lang w:val="zh-CN"/>
        </w:rPr>
      </w:pPr>
      <w:r>
        <w:rPr>
          <w:rFonts w:hint="eastAsia" w:ascii="仿宋_GB2312" w:eastAsia="仿宋_GB2312"/>
          <w:b/>
          <w:sz w:val="32"/>
          <w:szCs w:val="32"/>
          <w:lang w:val="zh-CN"/>
        </w:rPr>
        <w:t>（三）</w:t>
      </w:r>
      <w:r>
        <w:rPr>
          <w:rFonts w:hint="eastAsia" w:ascii="仿宋_GB2312" w:eastAsia="仿宋_GB2312"/>
          <w:b/>
          <w:sz w:val="32"/>
          <w:szCs w:val="32"/>
        </w:rPr>
        <w:t>预算安排及分配管理</w:t>
      </w:r>
      <w:r>
        <w:rPr>
          <w:rFonts w:hint="eastAsia" w:ascii="仿宋_GB2312" w:eastAsia="仿宋_GB2312"/>
          <w:b/>
          <w:sz w:val="32"/>
          <w:szCs w:val="32"/>
          <w:lang w:val="zh-CN"/>
        </w:rPr>
        <w:t>。</w:t>
      </w:r>
      <w:r>
        <w:rPr>
          <w:rFonts w:hint="eastAsia" w:ascii="仿宋_GB2312" w:eastAsia="仿宋_GB2312"/>
          <w:sz w:val="32"/>
          <w:szCs w:val="32"/>
        </w:rPr>
        <w:t>项目总投资215万元，均为工程直接费用，属设施设备购置费。其中高扬程水泵207万元，占总投资96.3%；背负式水桶8万元，占总投资3.7%。</w:t>
      </w:r>
    </w:p>
    <w:p>
      <w:pPr>
        <w:adjustRightInd w:val="0"/>
        <w:snapToGrid w:val="0"/>
        <w:spacing w:line="600" w:lineRule="exact"/>
        <w:ind w:firstLine="642" w:firstLineChars="200"/>
        <w:rPr>
          <w:rFonts w:ascii="仿宋_GB2312" w:eastAsia="仿宋_GB2312"/>
          <w:kern w:val="0"/>
          <w:sz w:val="32"/>
          <w:szCs w:val="32"/>
          <w:shd w:val="clear" w:color="auto" w:fill="FFFFFF"/>
          <w:lang w:val="zh-CN"/>
        </w:rPr>
      </w:pPr>
      <w:r>
        <w:rPr>
          <w:rFonts w:hint="eastAsia" w:ascii="仿宋_GB2312" w:eastAsia="仿宋_GB2312"/>
          <w:b/>
          <w:sz w:val="32"/>
          <w:szCs w:val="32"/>
          <w:lang w:val="zh-CN"/>
        </w:rPr>
        <w:t>（四）项目绩效目标设置。</w:t>
      </w:r>
      <w:r>
        <w:rPr>
          <w:rFonts w:hint="eastAsia" w:ascii="仿宋_GB2312" w:eastAsia="仿宋_GB2312"/>
          <w:kern w:val="0"/>
          <w:sz w:val="32"/>
          <w:szCs w:val="32"/>
          <w:shd w:val="clear" w:color="auto" w:fill="FFFFFF"/>
          <w:lang w:val="zh-CN"/>
        </w:rPr>
        <w:t>立足项目实施初衷与行业发展、民生保障、履职建设总体需求，紧扣政策导向与年度重点工作任务，统筹资金使用效益、项目实施成效、社会效益及可持续发展，明确项目整体完成标准、预期综合成效、资金规范使用目标，确保项目落地见效，发挥全域整体作用，圆满达成年度既定总体工作任务。</w:t>
      </w:r>
    </w:p>
    <w:p>
      <w:pPr>
        <w:adjustRightInd w:val="0"/>
        <w:snapToGrid w:val="0"/>
        <w:spacing w:line="600" w:lineRule="exact"/>
        <w:ind w:firstLine="640" w:firstLineChars="200"/>
        <w:rPr>
          <w:rFonts w:ascii="仿宋_GB2312" w:hAnsi="黑体" w:eastAsia="仿宋_GB2312" w:cs="仿宋_GB2312"/>
          <w:b/>
          <w:bCs/>
          <w:sz w:val="32"/>
          <w:szCs w:val="32"/>
        </w:rPr>
      </w:pPr>
      <w:r>
        <w:rPr>
          <w:rFonts w:hint="eastAsia" w:ascii="仿宋_GB2312" w:hAnsi="宋体" w:eastAsia="仿宋_GB2312"/>
          <w:sz w:val="32"/>
          <w:szCs w:val="32"/>
        </w:rPr>
        <w:t>1.</w:t>
      </w:r>
      <w:r>
        <w:rPr>
          <w:rFonts w:hint="eastAsia" w:ascii="仿宋_GB2312" w:hAnsi="仿宋" w:eastAsia="仿宋_GB2312" w:cs="仿宋_GB2312"/>
          <w:sz w:val="32"/>
          <w:szCs w:val="32"/>
          <w:lang w:val="zh-CN"/>
        </w:rPr>
        <w:t>成立以局长</w:t>
      </w:r>
      <w:r>
        <w:rPr>
          <w:rFonts w:hint="eastAsia" w:ascii="仿宋_GB2312" w:hAnsi="仿宋" w:eastAsia="仿宋_GB2312" w:cs="仿宋_GB2312"/>
          <w:sz w:val="32"/>
          <w:szCs w:val="32"/>
        </w:rPr>
        <w:t>江央夺尔基</w:t>
      </w:r>
      <w:r>
        <w:rPr>
          <w:rFonts w:hint="eastAsia" w:ascii="仿宋_GB2312" w:hAnsi="仿宋" w:eastAsia="仿宋_GB2312" w:cs="仿宋_GB2312"/>
          <w:sz w:val="32"/>
          <w:szCs w:val="32"/>
          <w:lang w:val="zh-CN"/>
        </w:rPr>
        <w:t>为组长，副局长</w:t>
      </w:r>
      <w:r>
        <w:rPr>
          <w:rFonts w:hint="eastAsia" w:ascii="仿宋_GB2312" w:hAnsi="仿宋" w:eastAsia="仿宋_GB2312" w:cs="仿宋_GB2312"/>
          <w:sz w:val="32"/>
          <w:szCs w:val="32"/>
        </w:rPr>
        <w:t>谢让</w:t>
      </w:r>
      <w:r>
        <w:rPr>
          <w:rFonts w:hint="eastAsia" w:ascii="仿宋_GB2312" w:hAnsi="仿宋" w:eastAsia="仿宋_GB2312" w:cs="仿宋_GB2312"/>
          <w:sz w:val="32"/>
          <w:szCs w:val="32"/>
          <w:lang w:val="zh-CN"/>
        </w:rPr>
        <w:t>、</w:t>
      </w:r>
      <w:r>
        <w:rPr>
          <w:rFonts w:hint="eastAsia" w:ascii="仿宋_GB2312" w:hAnsi="仿宋" w:eastAsia="仿宋_GB2312" w:cs="仿宋_GB2312"/>
          <w:sz w:val="32"/>
          <w:szCs w:val="32"/>
        </w:rPr>
        <w:t>丁艳</w:t>
      </w:r>
      <w:r>
        <w:rPr>
          <w:rFonts w:hint="eastAsia" w:ascii="仿宋_GB2312" w:hAnsi="仿宋" w:eastAsia="仿宋_GB2312" w:cs="仿宋_GB2312"/>
          <w:sz w:val="32"/>
          <w:szCs w:val="32"/>
          <w:lang w:val="zh-CN"/>
        </w:rPr>
        <w:t>为副组长，相关股室为成员的项目绩效自评小组，严格按照项目绩效评价指标逐一评价。</w:t>
      </w:r>
      <w:r>
        <w:rPr>
          <w:rFonts w:hint="eastAsia" w:ascii="仿宋_GB2312" w:hAnsi="仿宋" w:eastAsia="仿宋_GB2312" w:cs="仿宋_GB2312"/>
          <w:sz w:val="32"/>
          <w:szCs w:val="32"/>
        </w:rPr>
        <w:t xml:space="preserve"> </w:t>
      </w:r>
      <w:r>
        <w:rPr>
          <w:rFonts w:hint="eastAsia" w:ascii="仿宋_GB2312" w:hAnsi="黑体" w:eastAsia="仿宋_GB2312" w:cs="仿宋_GB2312"/>
          <w:b/>
          <w:bCs/>
          <w:sz w:val="32"/>
          <w:szCs w:val="32"/>
        </w:rPr>
        <w:t xml:space="preserve">   </w:t>
      </w:r>
    </w:p>
    <w:p>
      <w:pPr>
        <w:snapToGrid w:val="0"/>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2.</w:t>
      </w:r>
      <w:r>
        <w:rPr>
          <w:rFonts w:hint="eastAsia" w:ascii="仿宋_GB2312" w:hAnsi="仿宋_GB2312" w:eastAsia="仿宋_GB2312" w:cs="仿宋_GB2312"/>
          <w:sz w:val="32"/>
          <w:szCs w:val="32"/>
        </w:rPr>
        <w:t>经评价小组综合考虑，评价结果为100分。</w:t>
      </w:r>
    </w:p>
    <w:p>
      <w:pPr>
        <w:widowControl/>
        <w:ind w:firstLine="640" w:firstLineChars="200"/>
        <w:jc w:val="left"/>
        <w:rPr>
          <w:rFonts w:ascii="仿宋_GB2312" w:hAnsi="仿宋_GB2312" w:eastAsia="仿宋_GB2312" w:cs="仿宋_GB2312"/>
          <w:sz w:val="32"/>
          <w:szCs w:val="32"/>
        </w:rPr>
      </w:pPr>
      <w:r>
        <w:rPr>
          <w:rFonts w:hint="eastAsia" w:ascii="仿宋_GB2312" w:hAnsi="宋体" w:eastAsia="仿宋_GB2312"/>
          <w:sz w:val="32"/>
          <w:szCs w:val="32"/>
        </w:rPr>
        <w:t>3.</w:t>
      </w:r>
      <w:r>
        <w:rPr>
          <w:rFonts w:hint="eastAsia" w:ascii="仿宋_GB2312" w:hAnsi="仿宋_GB2312" w:eastAsia="仿宋_GB2312" w:cs="仿宋_GB2312"/>
          <w:sz w:val="32"/>
          <w:szCs w:val="32"/>
        </w:rPr>
        <w:t>经评价小组自查，项目于2025年8月进行招标，由四川运通盛川消防设备有限公司中标，并进行公告与备案工作。</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宋体" w:eastAsia="仿宋_GB2312"/>
          <w:sz w:val="32"/>
          <w:szCs w:val="32"/>
        </w:rPr>
        <w:t>4.</w:t>
      </w:r>
      <w:r>
        <w:rPr>
          <w:rFonts w:hint="eastAsia" w:ascii="仿宋_GB2312" w:hAnsi="仿宋_GB2312" w:eastAsia="仿宋_GB2312" w:cs="仿宋_GB2312"/>
          <w:sz w:val="32"/>
          <w:szCs w:val="32"/>
        </w:rPr>
        <w:t>经评价小组自查，截至目前，该项目已完成全部采购和资金拨付。</w:t>
      </w:r>
    </w:p>
    <w:p>
      <w:pPr>
        <w:spacing w:line="560" w:lineRule="exact"/>
        <w:ind w:firstLine="640" w:firstLineChars="200"/>
        <w:rPr>
          <w:rFonts w:ascii="仿宋_GB2312" w:eastAsia="仿宋_GB2312"/>
          <w:kern w:val="0"/>
          <w:sz w:val="32"/>
          <w:szCs w:val="32"/>
          <w:shd w:val="clear" w:color="auto" w:fill="FFFFFF"/>
          <w:lang w:val="zh-CN"/>
        </w:rPr>
      </w:pPr>
      <w:r>
        <w:rPr>
          <w:rFonts w:hint="eastAsia" w:ascii="仿宋_GB2312" w:hAnsi="宋体" w:eastAsia="仿宋_GB2312"/>
          <w:sz w:val="32"/>
          <w:szCs w:val="32"/>
        </w:rPr>
        <w:t>5.</w:t>
      </w:r>
      <w:r>
        <w:rPr>
          <w:rFonts w:hint="eastAsia" w:ascii="仿宋_GB2312" w:hAnsi="仿宋_GB2312" w:eastAsia="仿宋_GB2312" w:cs="仿宋_GB2312"/>
          <w:sz w:val="32"/>
          <w:szCs w:val="32"/>
        </w:rPr>
        <w:t>经评价小组自查，该项目截至目前已完成履约验收。</w:t>
      </w:r>
    </w:p>
    <w:p>
      <w:pPr>
        <w:adjustRightInd w:val="0"/>
        <w:snapToGrid w:val="0"/>
        <w:spacing w:line="578" w:lineRule="exact"/>
        <w:ind w:firstLine="642" w:firstLineChars="200"/>
        <w:rPr>
          <w:rFonts w:ascii="仿宋_GB2312" w:eastAsia="仿宋_GB2312"/>
          <w:b/>
          <w:sz w:val="32"/>
          <w:szCs w:val="32"/>
        </w:rPr>
      </w:pPr>
      <w:r>
        <w:rPr>
          <w:rFonts w:hint="eastAsia" w:ascii="仿宋_GB2312" w:eastAsia="仿宋_GB2312"/>
          <w:b/>
          <w:sz w:val="32"/>
          <w:szCs w:val="32"/>
        </w:rPr>
        <w:t>二、评价实施</w:t>
      </w:r>
    </w:p>
    <w:p>
      <w:pPr>
        <w:spacing w:line="578" w:lineRule="exact"/>
        <w:ind w:firstLine="640"/>
        <w:rPr>
          <w:rFonts w:ascii="仿宋_GB2312" w:eastAsia="仿宋_GB2312"/>
          <w:b/>
          <w:sz w:val="32"/>
          <w:szCs w:val="32"/>
          <w:lang w:val="zh-CN"/>
        </w:rPr>
      </w:pPr>
      <w:r>
        <w:rPr>
          <w:rFonts w:hint="eastAsia" w:ascii="仿宋_GB2312" w:eastAsia="仿宋_GB2312"/>
          <w:b/>
          <w:sz w:val="32"/>
          <w:szCs w:val="32"/>
          <w:lang w:val="zh-CN"/>
        </w:rPr>
        <w:t>（一）评价目的。</w:t>
      </w:r>
    </w:p>
    <w:p>
      <w:pPr>
        <w:spacing w:line="560" w:lineRule="exact"/>
        <w:ind w:firstLine="640" w:firstLineChars="200"/>
        <w:rPr>
          <w:rFonts w:ascii="仿宋_GB2312" w:hAnsi="宋体" w:eastAsia="仿宋_GB2312"/>
          <w:sz w:val="32"/>
          <w:szCs w:val="32"/>
          <w:lang w:val="zh-CN"/>
        </w:rPr>
      </w:pPr>
      <w:r>
        <w:rPr>
          <w:rFonts w:hint="eastAsia" w:ascii="仿宋_GB2312" w:hAnsi="宋体" w:eastAsia="仿宋_GB2312"/>
          <w:sz w:val="32"/>
          <w:szCs w:val="32"/>
        </w:rPr>
        <w:t>1.</w:t>
      </w:r>
      <w:r>
        <w:rPr>
          <w:rFonts w:hint="eastAsia" w:ascii="仿宋_GB2312" w:hAnsi="宋体" w:eastAsia="仿宋_GB2312"/>
          <w:sz w:val="32"/>
          <w:szCs w:val="32"/>
          <w:lang w:val="zh-CN"/>
        </w:rPr>
        <w:t>全面核查项目实施进展、任务完成实效与预算执行情况，精准检验既定绩效目标的落地成效。</w:t>
      </w:r>
    </w:p>
    <w:p>
      <w:pPr>
        <w:spacing w:line="560" w:lineRule="exact"/>
        <w:ind w:firstLine="640" w:firstLineChars="200"/>
        <w:rPr>
          <w:rFonts w:ascii="仿宋_GB2312" w:hAnsi="宋体" w:eastAsia="仿宋_GB2312"/>
          <w:sz w:val="32"/>
          <w:szCs w:val="32"/>
          <w:lang w:val="zh-CN"/>
        </w:rPr>
      </w:pPr>
      <w:r>
        <w:rPr>
          <w:rFonts w:hint="eastAsia" w:ascii="仿宋_GB2312" w:hAnsi="宋体" w:eastAsia="仿宋_GB2312"/>
          <w:sz w:val="32"/>
          <w:szCs w:val="32"/>
        </w:rPr>
        <w:t>2.</w:t>
      </w:r>
      <w:r>
        <w:rPr>
          <w:rFonts w:hint="eastAsia" w:ascii="仿宋_GB2312" w:hAnsi="宋体" w:eastAsia="仿宋_GB2312"/>
          <w:sz w:val="32"/>
          <w:szCs w:val="32"/>
          <w:lang w:val="zh-CN"/>
        </w:rPr>
        <w:t>客观梳理项目实施亮点，深入查摆推进过程中存在的短板和不足，剖析问题根源。</w:t>
      </w:r>
    </w:p>
    <w:p>
      <w:pPr>
        <w:spacing w:line="560" w:lineRule="exact"/>
        <w:ind w:firstLine="640" w:firstLineChars="200"/>
        <w:rPr>
          <w:rFonts w:ascii="仿宋_GB2312" w:hAnsi="宋体" w:eastAsia="仿宋_GB2312"/>
          <w:sz w:val="32"/>
          <w:szCs w:val="32"/>
          <w:lang w:val="zh-CN"/>
        </w:rPr>
      </w:pPr>
      <w:r>
        <w:rPr>
          <w:rFonts w:hint="eastAsia" w:ascii="仿宋_GB2312" w:hAnsi="宋体" w:eastAsia="仿宋_GB2312"/>
          <w:sz w:val="32"/>
          <w:szCs w:val="32"/>
        </w:rPr>
        <w:t>3.</w:t>
      </w:r>
      <w:r>
        <w:rPr>
          <w:rFonts w:hint="eastAsia" w:ascii="仿宋_GB2312" w:hAnsi="宋体" w:eastAsia="仿宋_GB2312"/>
          <w:sz w:val="32"/>
          <w:szCs w:val="32"/>
          <w:lang w:val="zh-CN"/>
        </w:rPr>
        <w:t>规范财政资金使用管理，压实资金使用责任，提升财政资金的统筹使用效益和配置效率。</w:t>
      </w:r>
    </w:p>
    <w:p>
      <w:pPr>
        <w:spacing w:line="560" w:lineRule="exact"/>
        <w:ind w:firstLine="640" w:firstLineChars="200"/>
        <w:rPr>
          <w:rFonts w:ascii="仿宋_GB2312" w:hAnsi="宋体" w:eastAsia="仿宋_GB2312"/>
          <w:sz w:val="32"/>
          <w:szCs w:val="32"/>
          <w:lang w:val="zh-CN"/>
        </w:rPr>
      </w:pPr>
      <w:r>
        <w:rPr>
          <w:rFonts w:hint="eastAsia" w:ascii="仿宋_GB2312" w:hAnsi="宋体" w:eastAsia="仿宋_GB2312"/>
          <w:sz w:val="32"/>
          <w:szCs w:val="32"/>
        </w:rPr>
        <w:t>4.</w:t>
      </w:r>
      <w:r>
        <w:rPr>
          <w:rFonts w:hint="eastAsia" w:ascii="仿宋_GB2312" w:hAnsi="宋体" w:eastAsia="仿宋_GB2312"/>
          <w:sz w:val="32"/>
          <w:szCs w:val="32"/>
          <w:lang w:val="zh-CN"/>
        </w:rPr>
        <w:t>总结项目建设管理经验，补齐工作薄弱环节，制定针对性整改措施，健全长效管控机制。</w:t>
      </w:r>
    </w:p>
    <w:p>
      <w:pPr>
        <w:spacing w:line="560" w:lineRule="exact"/>
        <w:ind w:firstLine="640" w:firstLineChars="200"/>
        <w:rPr>
          <w:rFonts w:ascii="仿宋_GB2312" w:hAnsi="宋体" w:eastAsia="仿宋_GB2312"/>
          <w:sz w:val="32"/>
          <w:szCs w:val="32"/>
          <w:lang w:val="zh-CN"/>
        </w:rPr>
      </w:pPr>
      <w:r>
        <w:rPr>
          <w:rFonts w:hint="eastAsia" w:ascii="仿宋_GB2312" w:hAnsi="宋体" w:eastAsia="仿宋_GB2312"/>
          <w:sz w:val="32"/>
          <w:szCs w:val="32"/>
        </w:rPr>
        <w:t>5.</w:t>
      </w:r>
      <w:r>
        <w:rPr>
          <w:rFonts w:hint="eastAsia" w:ascii="仿宋_GB2312" w:hAnsi="宋体" w:eastAsia="仿宋_GB2312"/>
          <w:sz w:val="32"/>
          <w:szCs w:val="32"/>
          <w:lang w:val="zh-CN"/>
        </w:rPr>
        <w:t>为后续同类项目立项审批、预算编制、方案优化、决策部署提供真实可靠的数据支撑和实践依据。</w:t>
      </w:r>
    </w:p>
    <w:p>
      <w:pPr>
        <w:spacing w:line="560" w:lineRule="exact"/>
        <w:ind w:firstLine="640" w:firstLineChars="200"/>
        <w:rPr>
          <w:rFonts w:ascii="仿宋_GB2312" w:eastAsia="仿宋_GB2312"/>
          <w:sz w:val="32"/>
          <w:szCs w:val="32"/>
        </w:rPr>
      </w:pPr>
      <w:r>
        <w:rPr>
          <w:rFonts w:hint="eastAsia" w:ascii="仿宋_GB2312" w:hAnsi="宋体" w:eastAsia="仿宋_GB2312"/>
          <w:sz w:val="32"/>
          <w:szCs w:val="32"/>
        </w:rPr>
        <w:t>6.</w:t>
      </w:r>
      <w:r>
        <w:rPr>
          <w:rFonts w:hint="eastAsia" w:ascii="仿宋_GB2312" w:hAnsi="宋体" w:eastAsia="仿宋_GB2312"/>
          <w:sz w:val="32"/>
          <w:szCs w:val="32"/>
          <w:lang w:val="zh-CN"/>
        </w:rPr>
        <w:t>压实项目主体管理责任，强化全过程绩效管理意识，持续提升项目建设质量和综合服务效能。</w:t>
      </w:r>
    </w:p>
    <w:p>
      <w:pPr>
        <w:adjustRightInd w:val="0"/>
        <w:snapToGrid w:val="0"/>
        <w:spacing w:line="578" w:lineRule="exact"/>
        <w:ind w:firstLine="642" w:firstLineChars="200"/>
        <w:rPr>
          <w:rFonts w:ascii="仿宋_GB2312" w:eastAsia="仿宋_GB2312"/>
          <w:b/>
          <w:sz w:val="32"/>
          <w:szCs w:val="32"/>
          <w:lang w:val="zh-CN"/>
        </w:rPr>
      </w:pPr>
      <w:r>
        <w:rPr>
          <w:rFonts w:hint="eastAsia" w:ascii="仿宋_GB2312" w:eastAsia="仿宋_GB2312"/>
          <w:b/>
          <w:sz w:val="32"/>
          <w:szCs w:val="32"/>
          <w:lang w:val="zh-CN"/>
        </w:rPr>
        <w:t>（二）预设问题及评价重点。</w:t>
      </w:r>
    </w:p>
    <w:p>
      <w:pPr>
        <w:adjustRightInd w:val="0"/>
        <w:snapToGrid w:val="0"/>
        <w:spacing w:line="578" w:lineRule="exact"/>
        <w:ind w:firstLine="642" w:firstLineChars="200"/>
        <w:rPr>
          <w:rFonts w:ascii="仿宋_GB2312" w:eastAsia="仿宋_GB2312"/>
          <w:sz w:val="32"/>
          <w:szCs w:val="32"/>
        </w:rPr>
      </w:pPr>
      <w:r>
        <w:rPr>
          <w:rFonts w:hint="eastAsia" w:ascii="仿宋_GB2312" w:eastAsia="仿宋_GB2312"/>
          <w:b/>
          <w:sz w:val="32"/>
          <w:szCs w:val="32"/>
        </w:rPr>
        <w:t>1.预设问题：</w:t>
      </w:r>
      <w:r>
        <w:rPr>
          <w:rFonts w:hint="eastAsia" w:ascii="仿宋_GB2312" w:eastAsia="仿宋_GB2312"/>
          <w:sz w:val="32"/>
          <w:szCs w:val="32"/>
        </w:rPr>
        <w:t>项目预算编制是否科学合理，资金测算依据是否充分，预算是否匹配项目实际需求；资金拨付流程是否规范，拨付进度是否与项目实施进度同步，有无滞留、挤占、挪用资金的情况；资金支出是否严格执行财务制度和开支标准，票据凭证是否齐全合规，账务核算是否清晰完整；项目实施流程是否严谨，建设内容、实施范围是否与批复方案一致，有无擅自变更调整的情况；项目各项产出指标是否按期保质完成，建设规模、实施数量、工作频次等是否达标；项目实施实际成效是否达到预期，社会效益、工作实效、民生保障、安全防护等效益发挥是否充分；项目后期运维管护机制是否健全，成果能否长效稳定发挥作用；项目实施过程监管是否到位，风险防控、督查督办工作是否落实到位。</w:t>
      </w:r>
    </w:p>
    <w:p>
      <w:pPr>
        <w:adjustRightInd w:val="0"/>
        <w:snapToGrid w:val="0"/>
        <w:spacing w:line="578" w:lineRule="exact"/>
        <w:ind w:firstLine="642" w:firstLineChars="200"/>
        <w:rPr>
          <w:rFonts w:ascii="仿宋_GB2312" w:eastAsia="仿宋_GB2312"/>
          <w:sz w:val="32"/>
          <w:szCs w:val="32"/>
        </w:rPr>
      </w:pPr>
      <w:r>
        <w:rPr>
          <w:rFonts w:hint="eastAsia" w:ascii="仿宋_GB2312" w:eastAsia="仿宋_GB2312"/>
          <w:b/>
          <w:sz w:val="32"/>
          <w:szCs w:val="32"/>
        </w:rPr>
        <w:t>2. 评价重点：</w:t>
      </w:r>
      <w:r>
        <w:rPr>
          <w:rFonts w:hint="eastAsia" w:ascii="仿宋_GB2312" w:eastAsia="仿宋_GB2312"/>
          <w:sz w:val="32"/>
          <w:szCs w:val="32"/>
        </w:rPr>
        <w:t>严格对照绩效评价指标体系，围绕资金使用、项目实施、绩效产出、实施效益四大维度开展综合研判；</w:t>
      </w:r>
      <w:r>
        <w:rPr>
          <w:rFonts w:hint="eastAsia" w:ascii="仿宋_GB2312" w:eastAsia="仿宋_GB2312"/>
          <w:b/>
          <w:bCs/>
          <w:sz w:val="32"/>
          <w:szCs w:val="32"/>
        </w:rPr>
        <w:t>资金管理重点</w:t>
      </w:r>
      <w:r>
        <w:rPr>
          <w:rFonts w:hint="eastAsia" w:ascii="仿宋_GB2312" w:eastAsia="仿宋_GB2312"/>
          <w:sz w:val="32"/>
          <w:szCs w:val="32"/>
        </w:rPr>
        <w:t>：核查资金筹措、拨付、支出、结余全流程的合规性，审核预算执行率、资金使用规范性、专款专用落实情况，严控资金使用风险；</w:t>
      </w:r>
      <w:r>
        <w:rPr>
          <w:rFonts w:hint="eastAsia" w:ascii="仿宋_GB2312" w:eastAsia="仿宋_GB2312"/>
          <w:b/>
          <w:bCs/>
          <w:sz w:val="32"/>
          <w:szCs w:val="32"/>
        </w:rPr>
        <w:t>项目管理重点：</w:t>
      </w:r>
      <w:r>
        <w:rPr>
          <w:rFonts w:hint="eastAsia" w:ascii="仿宋_GB2312" w:eastAsia="仿宋_GB2312"/>
          <w:sz w:val="32"/>
          <w:szCs w:val="32"/>
        </w:rPr>
        <w:t>核查项目立项审批、方案执行、招投标、施工实施、验收归档等全流程管理情况，核实项目实施合规性和进度管控成效。</w:t>
      </w:r>
      <w:r>
        <w:rPr>
          <w:rFonts w:hint="eastAsia" w:ascii="仿宋_GB2312" w:eastAsia="仿宋_GB2312"/>
          <w:b/>
          <w:bCs/>
          <w:sz w:val="32"/>
          <w:szCs w:val="32"/>
        </w:rPr>
        <w:t>产出完成情况重点：</w:t>
      </w:r>
      <w:r>
        <w:rPr>
          <w:rFonts w:hint="eastAsia" w:ascii="仿宋_GB2312" w:eastAsia="仿宋_GB2312"/>
          <w:sz w:val="32"/>
          <w:szCs w:val="32"/>
        </w:rPr>
        <w:t>对照绩效目标，逐项核实数量、质量、时效、成本等产出指标的完成情况，精准核查任务落地实效。</w:t>
      </w:r>
    </w:p>
    <w:p>
      <w:pPr>
        <w:adjustRightInd w:val="0"/>
        <w:snapToGrid w:val="0"/>
        <w:spacing w:line="578" w:lineRule="exact"/>
        <w:ind w:firstLine="642" w:firstLineChars="200"/>
        <w:rPr>
          <w:rFonts w:ascii="仿宋_GB2312" w:eastAsia="仿宋_GB2312"/>
          <w:b/>
          <w:sz w:val="32"/>
          <w:szCs w:val="32"/>
          <w:lang w:val="zh-CN"/>
        </w:rPr>
      </w:pPr>
      <w:r>
        <w:rPr>
          <w:rFonts w:hint="eastAsia" w:ascii="仿宋_GB2312" w:eastAsia="仿宋_GB2312"/>
          <w:b/>
          <w:sz w:val="32"/>
          <w:szCs w:val="32"/>
          <w:lang w:val="zh-CN"/>
        </w:rPr>
        <w:t>（三）评价选点。</w:t>
      </w:r>
    </w:p>
    <w:p>
      <w:pPr>
        <w:spacing w:line="578" w:lineRule="exact"/>
        <w:ind w:firstLine="640"/>
        <w:rPr>
          <w:rFonts w:ascii="仿宋_GB2312" w:eastAsia="仿宋_GB2312"/>
          <w:sz w:val="32"/>
          <w:szCs w:val="32"/>
        </w:rPr>
      </w:pPr>
      <w:r>
        <w:rPr>
          <w:rFonts w:hint="eastAsia" w:ascii="仿宋_GB2312" w:eastAsia="仿宋_GB2312"/>
          <w:b/>
          <w:sz w:val="32"/>
          <w:szCs w:val="32"/>
          <w:lang w:val="zh-CN"/>
        </w:rPr>
        <w:t>（四）评价方法。</w:t>
      </w:r>
      <w:r>
        <w:rPr>
          <w:rFonts w:hint="eastAsia" w:ascii="仿宋_GB2312" w:eastAsia="仿宋_GB2312"/>
          <w:sz w:val="32"/>
          <w:szCs w:val="32"/>
        </w:rPr>
        <w:t>单位自评法。</w:t>
      </w:r>
    </w:p>
    <w:p>
      <w:pPr>
        <w:spacing w:line="578" w:lineRule="exact"/>
        <w:ind w:firstLine="640"/>
        <w:rPr>
          <w:rFonts w:ascii="仿宋_GB2312" w:eastAsia="仿宋_GB2312"/>
          <w:bCs/>
          <w:sz w:val="32"/>
          <w:szCs w:val="32"/>
        </w:rPr>
      </w:pPr>
      <w:r>
        <w:rPr>
          <w:rFonts w:hint="eastAsia" w:ascii="仿宋_GB2312" w:eastAsia="仿宋_GB2312"/>
          <w:b/>
          <w:sz w:val="32"/>
          <w:szCs w:val="32"/>
          <w:lang w:val="zh-CN"/>
        </w:rPr>
        <w:t>（五）评价组织。</w:t>
      </w:r>
      <w:r>
        <w:rPr>
          <w:rFonts w:hint="eastAsia" w:ascii="仿宋_GB2312" w:hAnsi="仿宋" w:eastAsia="仿宋_GB2312" w:cs="仿宋_GB2312"/>
          <w:sz w:val="32"/>
          <w:szCs w:val="32"/>
          <w:lang w:val="zh-CN"/>
        </w:rPr>
        <w:t>成立以局长</w:t>
      </w:r>
      <w:r>
        <w:rPr>
          <w:rFonts w:hint="eastAsia" w:ascii="仿宋_GB2312" w:hAnsi="仿宋" w:eastAsia="仿宋_GB2312" w:cs="仿宋_GB2312"/>
          <w:sz w:val="32"/>
          <w:szCs w:val="32"/>
        </w:rPr>
        <w:t>江央夺尔基</w:t>
      </w:r>
      <w:r>
        <w:rPr>
          <w:rFonts w:hint="eastAsia" w:ascii="仿宋_GB2312" w:hAnsi="仿宋" w:eastAsia="仿宋_GB2312" w:cs="仿宋_GB2312"/>
          <w:sz w:val="32"/>
          <w:szCs w:val="32"/>
          <w:lang w:val="zh-CN"/>
        </w:rPr>
        <w:t>为组长，副局长</w:t>
      </w:r>
      <w:r>
        <w:rPr>
          <w:rFonts w:hint="eastAsia" w:ascii="仿宋_GB2312" w:hAnsi="仿宋" w:eastAsia="仿宋_GB2312" w:cs="仿宋_GB2312"/>
          <w:sz w:val="32"/>
          <w:szCs w:val="32"/>
        </w:rPr>
        <w:t>谢让</w:t>
      </w:r>
      <w:r>
        <w:rPr>
          <w:rFonts w:hint="eastAsia" w:ascii="仿宋_GB2312" w:hAnsi="仿宋" w:eastAsia="仿宋_GB2312" w:cs="仿宋_GB2312"/>
          <w:sz w:val="32"/>
          <w:szCs w:val="32"/>
          <w:lang w:val="zh-CN"/>
        </w:rPr>
        <w:t>、</w:t>
      </w:r>
      <w:r>
        <w:rPr>
          <w:rFonts w:hint="eastAsia" w:ascii="仿宋_GB2312" w:hAnsi="仿宋" w:eastAsia="仿宋_GB2312" w:cs="仿宋_GB2312"/>
          <w:sz w:val="32"/>
          <w:szCs w:val="32"/>
        </w:rPr>
        <w:t>丁艳</w:t>
      </w:r>
      <w:r>
        <w:rPr>
          <w:rFonts w:hint="eastAsia" w:ascii="仿宋_GB2312" w:hAnsi="仿宋" w:eastAsia="仿宋_GB2312" w:cs="仿宋_GB2312"/>
          <w:sz w:val="32"/>
          <w:szCs w:val="32"/>
          <w:lang w:val="zh-CN"/>
        </w:rPr>
        <w:t>为副组长，相关股室为成员的项目绩效自评小组，严格按照项目绩效评价指标逐一评价。</w:t>
      </w:r>
    </w:p>
    <w:p>
      <w:pPr>
        <w:adjustRightInd w:val="0"/>
        <w:snapToGrid w:val="0"/>
        <w:spacing w:line="578" w:lineRule="exact"/>
        <w:ind w:firstLine="642" w:firstLineChars="200"/>
        <w:rPr>
          <w:rFonts w:ascii="仿宋_GB2312" w:eastAsia="仿宋_GB2312"/>
          <w:b/>
          <w:bCs/>
          <w:sz w:val="32"/>
          <w:szCs w:val="32"/>
          <w:lang w:val="zh-CN"/>
        </w:rPr>
      </w:pPr>
      <w:r>
        <w:rPr>
          <w:rFonts w:hint="eastAsia" w:ascii="仿宋_GB2312" w:eastAsia="仿宋_GB2312"/>
          <w:b/>
          <w:bCs/>
          <w:sz w:val="32"/>
          <w:szCs w:val="32"/>
        </w:rPr>
        <w:t>三、绩效分析</w:t>
      </w:r>
      <w:r>
        <w:rPr>
          <w:rFonts w:hint="eastAsia" w:ascii="仿宋_GB2312" w:eastAsia="仿宋_GB2312"/>
          <w:b/>
          <w:bCs/>
          <w:sz w:val="32"/>
          <w:szCs w:val="32"/>
          <w:lang w:val="zh-CN"/>
        </w:rPr>
        <w:tab/>
      </w:r>
    </w:p>
    <w:p>
      <w:pPr>
        <w:spacing w:line="578" w:lineRule="exact"/>
        <w:ind w:firstLine="640"/>
        <w:rPr>
          <w:rFonts w:ascii="仿宋_GB2312" w:eastAsia="仿宋_GB2312"/>
          <w:sz w:val="32"/>
          <w:szCs w:val="32"/>
        </w:rPr>
      </w:pPr>
      <w:r>
        <w:rPr>
          <w:rFonts w:hint="eastAsia" w:ascii="仿宋_GB2312" w:eastAsia="仿宋_GB2312"/>
          <w:sz w:val="32"/>
          <w:szCs w:val="32"/>
          <w:lang w:val="zh-CN"/>
        </w:rPr>
        <w:t>严格对照项目预算绩效评价指标体系，区分通用指标、专用指标、个性指标，对所有二级、三级指标逐项开展完成情况研判、成效梳理并进行自评打分。</w:t>
      </w:r>
    </w:p>
    <w:p>
      <w:pPr>
        <w:spacing w:line="578" w:lineRule="exact"/>
        <w:ind w:firstLine="640"/>
        <w:rPr>
          <w:rFonts w:ascii="仿宋_GB2312" w:eastAsia="仿宋_GB2312"/>
          <w:b/>
          <w:sz w:val="32"/>
          <w:szCs w:val="32"/>
        </w:rPr>
      </w:pPr>
      <w:r>
        <w:rPr>
          <w:rFonts w:hint="eastAsia" w:ascii="仿宋_GB2312" w:eastAsia="仿宋_GB2312"/>
          <w:b/>
          <w:sz w:val="32"/>
          <w:szCs w:val="32"/>
          <w:lang w:val="zh-CN"/>
        </w:rPr>
        <w:t>（一）</w:t>
      </w:r>
      <w:r>
        <w:rPr>
          <w:rFonts w:hint="eastAsia" w:ascii="仿宋_GB2312" w:eastAsia="仿宋_GB2312"/>
          <w:b/>
          <w:sz w:val="32"/>
          <w:szCs w:val="32"/>
        </w:rPr>
        <w:t>通用指标</w:t>
      </w:r>
      <w:r>
        <w:rPr>
          <w:rFonts w:hint="eastAsia" w:ascii="仿宋_GB2312" w:eastAsia="仿宋_GB2312"/>
          <w:b/>
          <w:bCs/>
          <w:color w:val="000000"/>
          <w:kern w:val="0"/>
          <w:sz w:val="32"/>
          <w:szCs w:val="32"/>
          <w:shd w:val="clear" w:color="auto" w:fill="FFFFFF"/>
          <w:lang w:val="zh-CN"/>
        </w:rPr>
        <w:t>绩效分析。</w:t>
      </w:r>
    </w:p>
    <w:p>
      <w:pPr>
        <w:spacing w:line="578" w:lineRule="exact"/>
        <w:ind w:firstLine="640"/>
        <w:rPr>
          <w:rFonts w:ascii="仿宋_GB2312" w:eastAsia="仿宋_GB2312"/>
          <w:sz w:val="32"/>
          <w:szCs w:val="32"/>
        </w:rPr>
      </w:pPr>
      <w:r>
        <w:rPr>
          <w:rFonts w:hint="eastAsia" w:ascii="仿宋_GB2312" w:eastAsia="仿宋_GB2312"/>
          <w:b/>
          <w:sz w:val="32"/>
          <w:szCs w:val="32"/>
        </w:rPr>
        <w:t>1.项目决策。</w:t>
      </w:r>
      <w:r>
        <w:rPr>
          <w:rFonts w:hint="eastAsia" w:ascii="仿宋_GB2312" w:eastAsia="仿宋_GB2312"/>
          <w:sz w:val="32"/>
          <w:szCs w:val="32"/>
        </w:rPr>
        <w:t>严格履行项目立项申报、调研论证、集体研究等决策流程，前期调研充分，项目立项依据充分，贴合年度工作重点和区域发展实际；项目整体规划科学合理，实施内容清晰明确；资金投向精准聚焦既定工作任务，资金安排与项目实施内容高度匹配，投向合规无偏离。</w:t>
      </w:r>
    </w:p>
    <w:p>
      <w:pPr>
        <w:spacing w:line="578" w:lineRule="exact"/>
        <w:ind w:firstLine="640"/>
        <w:rPr>
          <w:rFonts w:ascii="仿宋_GB2312" w:eastAsia="仿宋_GB2312"/>
          <w:sz w:val="32"/>
          <w:szCs w:val="32"/>
        </w:rPr>
      </w:pPr>
      <w:r>
        <w:rPr>
          <w:rFonts w:hint="eastAsia" w:ascii="仿宋_GB2312" w:eastAsia="仿宋_GB2312"/>
          <w:b/>
          <w:sz w:val="32"/>
          <w:szCs w:val="32"/>
        </w:rPr>
        <w:t>2.项目管理</w:t>
      </w:r>
      <w:r>
        <w:rPr>
          <w:rFonts w:hint="eastAsia" w:ascii="仿宋_GB2312" w:eastAsia="仿宋_GB2312"/>
          <w:sz w:val="32"/>
          <w:szCs w:val="32"/>
        </w:rPr>
        <w:t>。已建立健全项目实施、资金管理、内控管理等相关制度机制，各项管理制度执行到位；资金分配科学规范，分配流程公开透明，分配标准统一合理；全过程落实绩效运行监控，定期梳理项目推进、资金使用及指标完成情况，及时跟踪调度，绩效监管常态化。</w:t>
      </w:r>
    </w:p>
    <w:p>
      <w:pPr>
        <w:ind w:firstLine="642" w:firstLineChars="200"/>
        <w:rPr>
          <w:rFonts w:ascii="仿宋_GB2312" w:eastAsia="仿宋_GB2312"/>
          <w:sz w:val="32"/>
          <w:szCs w:val="32"/>
        </w:rPr>
      </w:pPr>
      <w:r>
        <w:rPr>
          <w:rFonts w:hint="eastAsia" w:ascii="仿宋_GB2312" w:eastAsia="仿宋_GB2312"/>
          <w:b/>
          <w:sz w:val="32"/>
          <w:szCs w:val="32"/>
        </w:rPr>
        <w:t>3.项目实施。</w:t>
      </w:r>
      <w:r>
        <w:rPr>
          <w:rFonts w:hint="eastAsia" w:ascii="仿宋_GB2312" w:eastAsia="仿宋_GB2312"/>
          <w:sz w:val="32"/>
          <w:szCs w:val="32"/>
        </w:rPr>
        <w:t>严格按照下达预算统筹推进项目实施，预算执行进度有序推进，资金拨付、支出节奏与项目实施进度基本保持同步；资金使用严格遵守财经纪律及财务管理制度，支出范围、开支标准合规，账务处理规范，做到专款专用、专账管理，无违规使用资金现象。</w:t>
      </w:r>
    </w:p>
    <w:p>
      <w:pPr>
        <w:ind w:firstLine="642" w:firstLineChars="200"/>
        <w:rPr>
          <w:rFonts w:ascii="仿宋_GB2312" w:eastAsia="仿宋_GB2312"/>
          <w:sz w:val="32"/>
          <w:szCs w:val="32"/>
        </w:rPr>
      </w:pPr>
      <w:r>
        <w:rPr>
          <w:rFonts w:hint="eastAsia" w:ascii="仿宋_GB2312" w:eastAsia="仿宋_GB2312"/>
          <w:b/>
          <w:sz w:val="32"/>
          <w:szCs w:val="32"/>
        </w:rPr>
        <w:t>4.项目结果</w:t>
      </w:r>
      <w:r>
        <w:rPr>
          <w:rFonts w:hint="eastAsia" w:ascii="仿宋_GB2312" w:eastAsia="仿宋_GB2312"/>
          <w:sz w:val="32"/>
          <w:szCs w:val="32"/>
        </w:rPr>
        <w:t>。对照设定各项绩效目标，项目既定工作任务、建设内容、工作举措基本全面落地落实；各项工作按期有序推进，整体完成时效达标，未出现大面积滞后延误情况，阶段性及年度既定任务基本完成。</w:t>
      </w:r>
    </w:p>
    <w:p>
      <w:pPr>
        <w:spacing w:line="578" w:lineRule="exact"/>
        <w:ind w:firstLine="642" w:firstLineChars="200"/>
        <w:rPr>
          <w:rFonts w:ascii="仿宋_GB2312" w:eastAsia="仿宋_GB2312"/>
          <w:sz w:val="32"/>
          <w:szCs w:val="32"/>
          <w:lang w:val="zh-CN"/>
        </w:rPr>
      </w:pPr>
      <w:r>
        <w:rPr>
          <w:rFonts w:hint="eastAsia" w:ascii="仿宋_GB2312" w:eastAsia="仿宋_GB2312"/>
          <w:b/>
          <w:sz w:val="32"/>
          <w:szCs w:val="32"/>
          <w:lang w:val="zh-CN"/>
        </w:rPr>
        <w:t>（二）</w:t>
      </w:r>
      <w:r>
        <w:rPr>
          <w:rFonts w:hint="eastAsia" w:ascii="仿宋_GB2312" w:eastAsia="仿宋_GB2312"/>
          <w:b/>
          <w:sz w:val="32"/>
          <w:szCs w:val="32"/>
        </w:rPr>
        <w:t>专用指标</w:t>
      </w:r>
      <w:r>
        <w:rPr>
          <w:rFonts w:hint="eastAsia" w:ascii="仿宋_GB2312" w:eastAsia="仿宋_GB2312"/>
          <w:b/>
          <w:bCs/>
          <w:color w:val="000000"/>
          <w:kern w:val="0"/>
          <w:sz w:val="32"/>
          <w:szCs w:val="32"/>
          <w:shd w:val="clear" w:color="auto" w:fill="FFFFFF"/>
          <w:lang w:val="zh-CN"/>
        </w:rPr>
        <w:t>绩效分析。</w:t>
      </w:r>
      <w:r>
        <w:rPr>
          <w:rFonts w:hint="eastAsia" w:ascii="仿宋_GB2312" w:eastAsia="仿宋_GB2312"/>
          <w:sz w:val="32"/>
          <w:szCs w:val="32"/>
          <w:lang w:val="zh-CN"/>
        </w:rPr>
        <w:t>本项目属于行政运转类项目，对应开展专项指标绩效分析：</w:t>
      </w:r>
    </w:p>
    <w:p>
      <w:pPr>
        <w:spacing w:line="578" w:lineRule="exact"/>
        <w:ind w:firstLine="640" w:firstLineChars="200"/>
        <w:rPr>
          <w:rFonts w:ascii="仿宋_GB2312" w:eastAsia="仿宋_GB2312"/>
          <w:sz w:val="32"/>
          <w:szCs w:val="32"/>
          <w:lang w:val="zh-CN"/>
        </w:rPr>
      </w:pPr>
      <w:r>
        <w:rPr>
          <w:rFonts w:hint="eastAsia" w:ascii="仿宋_GB2312" w:eastAsia="仿宋_GB2312"/>
          <w:sz w:val="32"/>
          <w:szCs w:val="32"/>
          <w:lang w:val="zh-CN"/>
        </w:rPr>
        <w:t>行政运转</w:t>
      </w:r>
      <w:r>
        <w:rPr>
          <w:rFonts w:hint="eastAsia" w:ascii="仿宋_GB2312" w:eastAsia="仿宋_GB2312"/>
          <w:sz w:val="32"/>
          <w:szCs w:val="32"/>
        </w:rPr>
        <w:t>类</w:t>
      </w:r>
      <w:r>
        <w:rPr>
          <w:rFonts w:hint="eastAsia" w:ascii="仿宋_GB2312" w:eastAsia="仿宋_GB2312"/>
          <w:sz w:val="32"/>
          <w:szCs w:val="32"/>
          <w:lang w:val="zh-CN"/>
        </w:rPr>
        <w:t>。项目资金使用用途清晰明确，全部用于日常履职保障及业务运转；各项经费使用、物资采购、事项办理流程完整规范；严格执行经费开支、物资配备统一标准，全程合规有序。</w:t>
      </w:r>
    </w:p>
    <w:p>
      <w:pPr>
        <w:spacing w:line="578" w:lineRule="exact"/>
        <w:ind w:firstLine="640"/>
        <w:rPr>
          <w:rFonts w:ascii="仿宋_GB2312" w:eastAsia="仿宋_GB2312"/>
          <w:sz w:val="32"/>
          <w:szCs w:val="32"/>
        </w:rPr>
      </w:pPr>
      <w:r>
        <w:rPr>
          <w:rFonts w:hint="eastAsia" w:ascii="仿宋_GB2312" w:eastAsia="仿宋_GB2312"/>
          <w:b/>
          <w:sz w:val="32"/>
          <w:szCs w:val="32"/>
          <w:lang w:val="zh-CN"/>
        </w:rPr>
        <w:t>（三）</w:t>
      </w:r>
      <w:r>
        <w:rPr>
          <w:rFonts w:hint="eastAsia" w:ascii="仿宋_GB2312" w:eastAsia="仿宋_GB2312"/>
          <w:b/>
          <w:sz w:val="32"/>
          <w:szCs w:val="32"/>
        </w:rPr>
        <w:t>个性指标</w:t>
      </w:r>
      <w:r>
        <w:rPr>
          <w:rFonts w:hint="eastAsia" w:ascii="仿宋_GB2312" w:eastAsia="仿宋_GB2312"/>
          <w:b/>
          <w:bCs/>
          <w:color w:val="000000"/>
          <w:kern w:val="0"/>
          <w:sz w:val="32"/>
          <w:szCs w:val="32"/>
          <w:shd w:val="clear" w:color="auto" w:fill="FFFFFF"/>
          <w:lang w:val="zh-CN"/>
        </w:rPr>
        <w:t>绩效分析。</w:t>
      </w:r>
      <w:r>
        <w:rPr>
          <w:rFonts w:hint="eastAsia" w:ascii="仿宋_GB2312" w:eastAsia="仿宋_GB2312"/>
          <w:sz w:val="32"/>
          <w:szCs w:val="32"/>
          <w:lang w:val="zh-CN"/>
        </w:rPr>
        <w:t>各项个性化工作任务、特色工作举措均按计划推进落实，既定特色目标基本达成，有效凸显项目实施专项作用与实际成效。</w:t>
      </w:r>
    </w:p>
    <w:p>
      <w:pPr>
        <w:pStyle w:val="8"/>
        <w:tabs>
          <w:tab w:val="left" w:pos="2160"/>
        </w:tabs>
        <w:spacing w:before="93" w:line="600" w:lineRule="exact"/>
        <w:ind w:firstLine="642" w:firstLineChars="200"/>
        <w:rPr>
          <w:b/>
          <w:sz w:val="32"/>
          <w:szCs w:val="32"/>
        </w:rPr>
      </w:pPr>
      <w:r>
        <w:rPr>
          <w:rFonts w:hint="eastAsia"/>
          <w:b/>
          <w:sz w:val="32"/>
          <w:szCs w:val="32"/>
        </w:rPr>
        <w:t>四、评价结论</w:t>
      </w:r>
    </w:p>
    <w:p>
      <w:pPr>
        <w:pStyle w:val="8"/>
        <w:tabs>
          <w:tab w:val="left" w:pos="2160"/>
        </w:tabs>
        <w:spacing w:before="93" w:line="600" w:lineRule="exact"/>
        <w:ind w:firstLine="640" w:firstLineChars="200"/>
        <w:rPr>
          <w:kern w:val="2"/>
          <w:sz w:val="32"/>
          <w:szCs w:val="32"/>
        </w:rPr>
      </w:pPr>
      <w:r>
        <w:rPr>
          <w:rFonts w:hint="eastAsia"/>
          <w:sz w:val="32"/>
          <w:szCs w:val="32"/>
        </w:rPr>
        <w:t>本次项目绩效自评综合得分98分，整体绩效等级为优秀。项目整体实施推进有序，立项决策科学规范，管理制度健全完善，资金使用合规严谨，预算执行平稳有序，各项既定绩效目标基本圆满完成。项目顺利落地实施，全面发挥项目建设实效，有效补齐工作短板、夯实基层工作基础，圆满完成年度各项工作任务，社会效益、实际工作成效均达到预期目标，项目整体实施成效显著。</w:t>
      </w:r>
    </w:p>
    <w:p>
      <w:pPr>
        <w:pStyle w:val="8"/>
        <w:tabs>
          <w:tab w:val="left" w:pos="2160"/>
        </w:tabs>
        <w:spacing w:before="93" w:line="600" w:lineRule="exact"/>
        <w:ind w:firstLine="642" w:firstLineChars="200"/>
        <w:rPr>
          <w:b/>
          <w:sz w:val="32"/>
          <w:szCs w:val="32"/>
        </w:rPr>
      </w:pPr>
      <w:r>
        <w:rPr>
          <w:rFonts w:hint="eastAsia"/>
          <w:b/>
          <w:sz w:val="32"/>
          <w:szCs w:val="32"/>
        </w:rPr>
        <w:t>五、存在主要问题</w:t>
      </w:r>
    </w:p>
    <w:p>
      <w:pPr>
        <w:pStyle w:val="8"/>
        <w:tabs>
          <w:tab w:val="left" w:pos="2160"/>
        </w:tabs>
        <w:spacing w:before="93" w:line="600" w:lineRule="exact"/>
        <w:ind w:firstLine="640" w:firstLineChars="200"/>
        <w:rPr>
          <w:kern w:val="2"/>
          <w:sz w:val="32"/>
          <w:szCs w:val="32"/>
        </w:rPr>
      </w:pPr>
      <w:r>
        <w:rPr>
          <w:rFonts w:hint="eastAsia"/>
          <w:sz w:val="32"/>
          <w:szCs w:val="32"/>
        </w:rPr>
        <w:t>项目前期精细化调研仍有不足，部分细分任务谋划不够细致，个别绩效目标设定贴合实际程度有待提升。</w:t>
      </w:r>
    </w:p>
    <w:p>
      <w:pPr>
        <w:pStyle w:val="8"/>
        <w:tabs>
          <w:tab w:val="left" w:pos="2160"/>
        </w:tabs>
        <w:spacing w:before="93" w:line="600" w:lineRule="exact"/>
        <w:ind w:firstLine="642" w:firstLineChars="200"/>
        <w:rPr>
          <w:b/>
          <w:position w:val="3"/>
          <w:sz w:val="32"/>
          <w:szCs w:val="32"/>
          <w:lang w:val="zh-CN"/>
        </w:rPr>
      </w:pPr>
      <w:r>
        <w:rPr>
          <w:rFonts w:hint="eastAsia"/>
          <w:b/>
          <w:position w:val="3"/>
          <w:sz w:val="32"/>
          <w:szCs w:val="32"/>
          <w:lang w:val="zh-CN"/>
        </w:rPr>
        <w:t>六、改进建议</w:t>
      </w:r>
    </w:p>
    <w:p>
      <w:pPr>
        <w:tabs>
          <w:tab w:val="left" w:pos="1911"/>
        </w:tabs>
        <w:jc w:val="left"/>
        <w:rPr>
          <w:rFonts w:ascii="仿宋_GB2312" w:eastAsia="仿宋_GB2312"/>
          <w:kern w:val="0"/>
          <w:sz w:val="32"/>
          <w:szCs w:val="32"/>
        </w:rPr>
      </w:pPr>
      <w:r>
        <w:rPr>
          <w:rFonts w:hint="eastAsia" w:ascii="仿宋_GB2312" w:eastAsia="仿宋_GB2312"/>
          <w:kern w:val="0"/>
          <w:sz w:val="32"/>
          <w:szCs w:val="32"/>
          <w:shd w:val="clear" w:color="auto" w:fill="FFFFFF"/>
          <w:lang w:val="zh-CN"/>
        </w:rPr>
        <w:t xml:space="preserve"> </w:t>
      </w:r>
      <w:r>
        <w:rPr>
          <w:rFonts w:hint="eastAsia" w:ascii="仿宋_GB2312" w:eastAsia="仿宋_GB2312"/>
          <w:kern w:val="0"/>
          <w:sz w:val="32"/>
          <w:szCs w:val="32"/>
        </w:rPr>
        <w:t xml:space="preserve">   </w:t>
      </w:r>
      <w:bookmarkStart w:id="52" w:name="_Hlk110546638"/>
      <w:r>
        <w:rPr>
          <w:rFonts w:hint="eastAsia" w:ascii="仿宋_GB2312" w:eastAsia="仿宋_GB2312"/>
          <w:kern w:val="0"/>
          <w:sz w:val="32"/>
          <w:szCs w:val="32"/>
        </w:rPr>
        <w:t>优化项目前期谋划。进一步做实做细项目前期调研论证，结合基层实际科学精准设定绩效目标，细化项目实施内容，提升项目立项与实际需求契合度。</w:t>
      </w:r>
    </w:p>
    <w:bookmarkEnd w:id="52"/>
    <w:p>
      <w:pPr>
        <w:pStyle w:val="3"/>
        <w:spacing w:line="560" w:lineRule="exact"/>
        <w:ind w:left="0" w:leftChars="0" w:firstLine="640"/>
        <w:rPr>
          <w:rFonts w:eastAsia="仿宋_GB2312"/>
          <w:sz w:val="32"/>
        </w:rPr>
      </w:pPr>
      <w:r>
        <w:rPr>
          <w:rFonts w:hint="eastAsia" w:eastAsia="仿宋_GB2312"/>
          <w:sz w:val="32"/>
          <w:lang w:val="zh-CN"/>
        </w:rPr>
        <w:t>附表：</w:t>
      </w:r>
      <w:r>
        <w:rPr>
          <w:rFonts w:hint="eastAsia" w:eastAsia="仿宋_GB2312"/>
          <w:sz w:val="32"/>
        </w:rPr>
        <w:t>部门预算项目支出绩效自评表（2025年度）</w:t>
      </w:r>
    </w:p>
    <w:tbl>
      <w:tblPr>
        <w:tblStyle w:val="15"/>
        <w:tblW w:w="10233" w:type="dxa"/>
        <w:jc w:val="center"/>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CellMar>
            <w:top w:w="15" w:type="dxa"/>
            <w:left w:w="15" w:type="dxa"/>
            <w:bottom w:w="15" w:type="dxa"/>
            <w:right w:w="15" w:type="dxa"/>
          </w:tblCellMar>
        </w:tblPrEx>
        <w:trPr>
          <w:trHeight w:val="576" w:hRule="atLeast"/>
          <w:jc w:val="center"/>
        </w:trPr>
        <w:tc>
          <w:tcPr>
            <w:tcW w:w="10233" w:type="dxa"/>
            <w:gridSpan w:val="9"/>
            <w:vAlign w:val="center"/>
          </w:tcPr>
          <w:p>
            <w:pPr>
              <w:widowControl/>
              <w:spacing w:line="600" w:lineRule="exact"/>
              <w:jc w:val="center"/>
              <w:textAlignment w:val="center"/>
              <w:rPr>
                <w:rFonts w:eastAsia="Arial Unicode MS"/>
                <w:color w:val="000000"/>
                <w:kern w:val="0"/>
                <w:sz w:val="40"/>
                <w:szCs w:val="40"/>
              </w:rPr>
            </w:pPr>
          </w:p>
          <w:p>
            <w:pPr>
              <w:widowControl/>
              <w:spacing w:line="600" w:lineRule="exact"/>
              <w:jc w:val="center"/>
              <w:textAlignment w:val="center"/>
              <w:rPr>
                <w:rFonts w:eastAsia="Arial Unicode MS"/>
                <w:color w:val="000000"/>
                <w:kern w:val="0"/>
                <w:sz w:val="40"/>
                <w:szCs w:val="40"/>
              </w:rPr>
            </w:pPr>
          </w:p>
          <w:p>
            <w:pPr>
              <w:widowControl/>
              <w:spacing w:line="600" w:lineRule="exact"/>
              <w:jc w:val="center"/>
              <w:textAlignment w:val="center"/>
              <w:rPr>
                <w:rFonts w:eastAsia="Arial Unicode MS"/>
                <w:color w:val="000000"/>
                <w:kern w:val="0"/>
                <w:sz w:val="40"/>
                <w:szCs w:val="40"/>
              </w:rPr>
            </w:pPr>
          </w:p>
          <w:p>
            <w:pPr>
              <w:widowControl/>
              <w:spacing w:line="600" w:lineRule="exact"/>
              <w:jc w:val="center"/>
              <w:textAlignment w:val="center"/>
              <w:rPr>
                <w:rFonts w:eastAsia="Arial Unicode MS"/>
                <w:color w:val="000000"/>
                <w:kern w:val="0"/>
                <w:sz w:val="40"/>
                <w:szCs w:val="40"/>
              </w:rPr>
            </w:pPr>
          </w:p>
          <w:p>
            <w:pPr>
              <w:widowControl/>
              <w:spacing w:line="600" w:lineRule="exact"/>
              <w:jc w:val="center"/>
              <w:textAlignment w:val="center"/>
              <w:rPr>
                <w:rFonts w:eastAsia="Arial Unicode MS"/>
                <w:color w:val="000000"/>
                <w:kern w:val="0"/>
                <w:sz w:val="40"/>
                <w:szCs w:val="40"/>
              </w:rPr>
            </w:pPr>
          </w:p>
          <w:p>
            <w:pPr>
              <w:widowControl/>
              <w:spacing w:line="600" w:lineRule="exact"/>
              <w:jc w:val="center"/>
              <w:textAlignment w:val="center"/>
              <w:rPr>
                <w:rFonts w:eastAsia="Arial Unicode MS"/>
                <w:color w:val="000000"/>
                <w:kern w:val="0"/>
                <w:sz w:val="40"/>
                <w:szCs w:val="40"/>
              </w:rPr>
            </w:pPr>
          </w:p>
          <w:p>
            <w:pPr>
              <w:widowControl/>
              <w:spacing w:line="600" w:lineRule="exact"/>
              <w:jc w:val="center"/>
              <w:textAlignment w:val="center"/>
              <w:rPr>
                <w:rFonts w:eastAsia="Arial Unicode MS"/>
                <w:color w:val="000000"/>
                <w:kern w:val="0"/>
                <w:sz w:val="40"/>
                <w:szCs w:val="40"/>
              </w:rPr>
            </w:pPr>
          </w:p>
          <w:p>
            <w:pPr>
              <w:widowControl/>
              <w:spacing w:line="600" w:lineRule="exact"/>
              <w:jc w:val="center"/>
              <w:textAlignment w:val="center"/>
              <w:rPr>
                <w:rFonts w:eastAsia="黑体"/>
                <w:color w:val="000000"/>
                <w:sz w:val="30"/>
                <w:szCs w:val="30"/>
              </w:rPr>
            </w:pPr>
            <w:r>
              <w:rPr>
                <w:rFonts w:eastAsia="Arial Unicode MS"/>
                <w:color w:val="000000"/>
                <w:kern w:val="0"/>
                <w:sz w:val="40"/>
                <w:szCs w:val="40"/>
              </w:rPr>
              <w:t>专项预算项目绩效目标完成情况自评表</w:t>
            </w:r>
          </w:p>
        </w:tc>
      </w:tr>
      <w:tr>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color w:val="000000"/>
                <w:sz w:val="24"/>
              </w:rPr>
            </w:pPr>
            <w:r>
              <w:rPr>
                <w:color w:val="000000"/>
                <w:kern w:val="0"/>
                <w:sz w:val="24"/>
              </w:rPr>
              <w:t>项目名称</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pPr>
              <w:spacing w:line="300" w:lineRule="exact"/>
              <w:rPr>
                <w:color w:val="000000"/>
                <w:sz w:val="24"/>
              </w:rPr>
            </w:pPr>
            <w:r>
              <w:rPr>
                <w:rFonts w:hint="eastAsia" w:ascii="宋体" w:hAnsi="宋体" w:cs="宋体"/>
                <w:sz w:val="24"/>
                <w:u w:val="single"/>
              </w:rPr>
              <w:t xml:space="preserve"> 壤塘县2025年森林草原防灭火物资采购项目</w:t>
            </w:r>
          </w:p>
        </w:tc>
      </w:tr>
      <w:tr>
        <w:tblPrEx>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color w:val="000000"/>
                <w:sz w:val="24"/>
              </w:rPr>
            </w:pPr>
            <w:r>
              <w:rPr>
                <w:color w:val="000000"/>
                <w:kern w:val="0"/>
                <w:sz w:val="24"/>
              </w:rPr>
              <w:t>预算单位</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pPr>
              <w:spacing w:line="300" w:lineRule="exact"/>
              <w:rPr>
                <w:color w:val="000000"/>
                <w:sz w:val="24"/>
              </w:rPr>
            </w:pPr>
            <w:r>
              <w:rPr>
                <w:rFonts w:hint="eastAsia"/>
                <w:color w:val="000000"/>
                <w:sz w:val="24"/>
              </w:rPr>
              <w:t>壤塘县林业和草原局</w:t>
            </w:r>
          </w:p>
        </w:tc>
      </w:tr>
      <w:tr>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color w:val="000000"/>
                <w:sz w:val="24"/>
              </w:rPr>
            </w:pPr>
            <w:r>
              <w:rPr>
                <w:color w:val="000000"/>
                <w:kern w:val="0"/>
                <w:sz w:val="24"/>
              </w:rPr>
              <w:t>项目类型</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pPr>
              <w:spacing w:line="300" w:lineRule="exact"/>
              <w:jc w:val="left"/>
              <w:rPr>
                <w:color w:val="000000"/>
                <w:sz w:val="24"/>
              </w:rPr>
            </w:pPr>
            <w:r>
              <w:rPr>
                <w:rFonts w:hint="eastAsia"/>
                <w:color w:val="000000"/>
                <w:sz w:val="24"/>
              </w:rPr>
              <w:t>采购类</w:t>
            </w:r>
          </w:p>
        </w:tc>
      </w:tr>
      <w:tr>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rPr>
              <w:t>项目 概况</w:t>
            </w:r>
          </w:p>
        </w:tc>
        <w:tc>
          <w:tcPr>
            <w:tcW w:w="3643"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color w:val="000000"/>
                <w:kern w:val="0"/>
                <w:sz w:val="24"/>
              </w:rPr>
            </w:pPr>
            <w:r>
              <w:rPr>
                <w:color w:val="000000"/>
                <w:kern w:val="0"/>
                <w:sz w:val="24"/>
              </w:rPr>
              <w:t>中长期规划（名称、文号，仅指</w:t>
            </w:r>
          </w:p>
          <w:p>
            <w:pPr>
              <w:widowControl/>
              <w:spacing w:line="300" w:lineRule="exact"/>
              <w:jc w:val="left"/>
              <w:textAlignment w:val="center"/>
              <w:rPr>
                <w:color w:val="000000"/>
                <w:sz w:val="24"/>
              </w:rPr>
            </w:pPr>
            <w:r>
              <w:rPr>
                <w:color w:val="000000"/>
                <w:kern w:val="0"/>
                <w:sz w:val="24"/>
              </w:rPr>
              <w:t>常年项目）</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pPr>
              <w:spacing w:line="300" w:lineRule="exact"/>
              <w:jc w:val="left"/>
              <w:rPr>
                <w:color w:val="000000"/>
                <w:sz w:val="24"/>
              </w:rPr>
            </w:pP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color w:val="000000"/>
                <w:sz w:val="24"/>
              </w:rPr>
            </w:pPr>
          </w:p>
        </w:tc>
        <w:tc>
          <w:tcPr>
            <w:tcW w:w="3643"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color w:val="000000"/>
                <w:sz w:val="24"/>
              </w:rPr>
            </w:pPr>
            <w:r>
              <w:rPr>
                <w:color w:val="000000"/>
                <w:kern w:val="0"/>
                <w:sz w:val="24"/>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pPr>
              <w:spacing w:line="300" w:lineRule="exact"/>
              <w:jc w:val="left"/>
              <w:rPr>
                <w:color w:val="000000"/>
                <w:sz w:val="24"/>
              </w:rPr>
            </w:pPr>
            <w:r>
              <w:rPr>
                <w:rFonts w:hint="eastAsia"/>
                <w:color w:val="000000"/>
                <w:sz w:val="24"/>
              </w:rPr>
              <w:t>《阿坝州财政局  阿坝州林业和草原局关于下达2025年省级财政林业草原专项资金预算（第四批）的通知</w:t>
            </w:r>
            <w:r>
              <w:rPr>
                <w:color w:val="000000"/>
                <w:sz w:val="24"/>
              </w:rPr>
              <w:t>》（阿州财资环〔202</w:t>
            </w:r>
            <w:r>
              <w:rPr>
                <w:rFonts w:hint="eastAsia"/>
                <w:color w:val="000000"/>
                <w:sz w:val="24"/>
              </w:rPr>
              <w:t>5</w:t>
            </w:r>
            <w:r>
              <w:rPr>
                <w:color w:val="000000"/>
                <w:sz w:val="24"/>
              </w:rPr>
              <w:t>〕</w:t>
            </w:r>
            <w:r>
              <w:rPr>
                <w:rFonts w:hint="eastAsia"/>
                <w:color w:val="000000"/>
                <w:sz w:val="24"/>
              </w:rPr>
              <w:t>9</w:t>
            </w:r>
            <w:r>
              <w:rPr>
                <w:color w:val="000000"/>
                <w:sz w:val="24"/>
              </w:rPr>
              <w:t>号）</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color w:val="000000"/>
                <w:sz w:val="24"/>
              </w:rPr>
            </w:pPr>
          </w:p>
        </w:tc>
        <w:tc>
          <w:tcPr>
            <w:tcW w:w="3643"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color w:val="000000"/>
                <w:sz w:val="24"/>
              </w:rPr>
            </w:pPr>
            <w:r>
              <w:rPr>
                <w:color w:val="000000"/>
                <w:kern w:val="0"/>
                <w:sz w:val="24"/>
              </w:rPr>
              <w:t>绩效分配方式</w:t>
            </w:r>
          </w:p>
        </w:tc>
        <w:tc>
          <w:tcPr>
            <w:tcW w:w="1127"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eastAsia="Wingdings 2"/>
                <w:color w:val="000000"/>
                <w:sz w:val="24"/>
              </w:rPr>
            </w:pPr>
            <w:r>
              <w:rPr>
                <w:rFonts w:eastAsia="Wingdings 2"/>
                <w:color w:val="000000"/>
                <w:kern w:val="0"/>
                <w:sz w:val="24"/>
              </w:rPr>
              <w:t>£</w:t>
            </w:r>
            <w:r>
              <w:rPr>
                <w:color w:val="000000"/>
                <w:kern w:val="0"/>
                <w:sz w:val="24"/>
              </w:rPr>
              <w:t>因素法</w:t>
            </w:r>
          </w:p>
        </w:tc>
        <w:tc>
          <w:tcPr>
            <w:tcW w:w="20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eastAsia="Wingdings 2"/>
                <w:color w:val="000000"/>
                <w:sz w:val="24"/>
              </w:rPr>
            </w:pPr>
            <w:r>
              <w:rPr>
                <w:rFonts w:eastAsia="Wingdings 2"/>
                <w:color w:val="000000"/>
                <w:kern w:val="0"/>
                <w:sz w:val="24"/>
              </w:rPr>
              <w:t>£项目法</w:t>
            </w:r>
          </w:p>
        </w:tc>
        <w:tc>
          <w:tcPr>
            <w:tcW w:w="938"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eastAsia="Wingdings 2"/>
                <w:color w:val="000000"/>
                <w:sz w:val="24"/>
              </w:rPr>
            </w:pPr>
            <w:r>
              <w:rPr>
                <w:rFonts w:eastAsia="Wingdings 2"/>
                <w:color w:val="000000"/>
                <w:kern w:val="0"/>
                <w:sz w:val="24"/>
              </w:rPr>
              <w:t>£</w:t>
            </w:r>
            <w:r>
              <w:rPr>
                <w:color w:val="000000"/>
                <w:kern w:val="0"/>
                <w:sz w:val="24"/>
              </w:rPr>
              <w:t>据实据效</w:t>
            </w:r>
          </w:p>
        </w:tc>
        <w:tc>
          <w:tcPr>
            <w:tcW w:w="1841"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eastAsia="Wingdings 2"/>
                <w:color w:val="000000"/>
                <w:sz w:val="24"/>
              </w:rPr>
            </w:pPr>
            <w:r>
              <w:rPr>
                <w:rFonts w:eastAsia="Wingdings 2"/>
                <w:color w:val="000000"/>
                <w:kern w:val="0"/>
                <w:sz w:val="24"/>
              </w:rPr>
              <w:t>£</w:t>
            </w:r>
            <w:r>
              <w:rPr>
                <w:color w:val="000000"/>
                <w:kern w:val="0"/>
                <w:sz w:val="24"/>
              </w:rPr>
              <w:t>因素法与项目法相结合</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color w:val="000000"/>
                <w:sz w:val="24"/>
              </w:rPr>
            </w:pPr>
          </w:p>
        </w:tc>
        <w:tc>
          <w:tcPr>
            <w:tcW w:w="3643"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color w:val="000000"/>
                <w:sz w:val="24"/>
              </w:rPr>
            </w:pPr>
            <w:r>
              <w:rPr>
                <w:color w:val="000000"/>
                <w:kern w:val="0"/>
                <w:sz w:val="24"/>
              </w:rPr>
              <w:t>立项依据</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pPr>
              <w:spacing w:line="300" w:lineRule="exact"/>
              <w:jc w:val="left"/>
              <w:rPr>
                <w:color w:val="000000"/>
                <w:sz w:val="24"/>
              </w:rPr>
            </w:pPr>
            <w:r>
              <w:rPr>
                <w:rFonts w:hint="eastAsia"/>
                <w:color w:val="000000"/>
                <w:sz w:val="24"/>
              </w:rPr>
              <w:t>2023年中共中央办公厅、国务院办公厅印发《关于全面加强新形势下森林草原防灭火工作的意见》，2024年四川发布《关于切实加强当前森林草原防灭火重点工作的令》，连同《中华人民共和国草原法》《中华人民共和国水土保持法》等法律法规为本项目建设提供了政策保障。</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color w:val="000000"/>
                <w:sz w:val="24"/>
              </w:rPr>
            </w:pPr>
          </w:p>
        </w:tc>
        <w:tc>
          <w:tcPr>
            <w:tcW w:w="3643"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color w:val="000000"/>
                <w:sz w:val="24"/>
              </w:rPr>
            </w:pPr>
            <w:r>
              <w:rPr>
                <w:color w:val="000000"/>
                <w:kern w:val="0"/>
                <w:sz w:val="24"/>
              </w:rPr>
              <w:t>使用范围</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pPr>
              <w:spacing w:line="300" w:lineRule="exact"/>
              <w:jc w:val="left"/>
              <w:rPr>
                <w:color w:val="000000"/>
                <w:sz w:val="24"/>
              </w:rPr>
            </w:pPr>
            <w:r>
              <w:rPr>
                <w:rFonts w:hint="eastAsia"/>
                <w:color w:val="000000"/>
                <w:sz w:val="24"/>
              </w:rPr>
              <w:t>用于林业草原支撑保障体系建设方面支出</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color w:val="000000"/>
                <w:sz w:val="24"/>
              </w:rPr>
            </w:pPr>
          </w:p>
        </w:tc>
        <w:tc>
          <w:tcPr>
            <w:tcW w:w="3643"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color w:val="000000"/>
                <w:sz w:val="24"/>
              </w:rPr>
            </w:pPr>
            <w:r>
              <w:rPr>
                <w:color w:val="000000"/>
                <w:kern w:val="0"/>
                <w:sz w:val="24"/>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pPr>
              <w:spacing w:line="300" w:lineRule="exact"/>
              <w:jc w:val="left"/>
              <w:rPr>
                <w:color w:val="000000"/>
                <w:sz w:val="24"/>
              </w:rPr>
            </w:pP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color w:val="000000"/>
                <w:sz w:val="24"/>
              </w:rPr>
            </w:pPr>
          </w:p>
        </w:tc>
        <w:tc>
          <w:tcPr>
            <w:tcW w:w="3643"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color w:val="000000"/>
                <w:sz w:val="24"/>
              </w:rPr>
            </w:pPr>
            <w:r>
              <w:rPr>
                <w:color w:val="000000"/>
                <w:kern w:val="0"/>
                <w:sz w:val="24"/>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pPr>
              <w:spacing w:line="300" w:lineRule="exact"/>
              <w:rPr>
                <w:color w:val="000000"/>
                <w:sz w:val="24"/>
              </w:rPr>
            </w:pPr>
            <w:r>
              <w:rPr>
                <w:rFonts w:hint="eastAsia"/>
                <w:color w:val="000000"/>
                <w:sz w:val="24"/>
              </w:rPr>
              <w:t>2025年8月-2025年12月</w:t>
            </w:r>
          </w:p>
        </w:tc>
      </w:tr>
      <w:tr>
        <w:tblPrEx>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kern w:val="0"/>
                <w:sz w:val="24"/>
              </w:rPr>
            </w:pPr>
            <w:r>
              <w:rPr>
                <w:color w:val="000000"/>
                <w:kern w:val="0"/>
                <w:sz w:val="24"/>
              </w:rPr>
              <w:t>项目资金</w:t>
            </w:r>
          </w:p>
          <w:p>
            <w:pPr>
              <w:widowControl/>
              <w:spacing w:line="300" w:lineRule="exact"/>
              <w:jc w:val="center"/>
              <w:textAlignment w:val="center"/>
              <w:rPr>
                <w:color w:val="000000"/>
                <w:sz w:val="24"/>
              </w:rPr>
            </w:pPr>
            <w:r>
              <w:rPr>
                <w:color w:val="000000"/>
                <w:kern w:val="0"/>
                <w:sz w:val="24"/>
              </w:rPr>
              <w:t>（万元）</w:t>
            </w:r>
          </w:p>
        </w:tc>
        <w:tc>
          <w:tcPr>
            <w:tcW w:w="256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color w:val="000000"/>
                <w:sz w:val="24"/>
              </w:rPr>
            </w:pPr>
            <w:r>
              <w:rPr>
                <w:color w:val="000000"/>
                <w:kern w:val="0"/>
                <w:sz w:val="24"/>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pPr>
              <w:tabs>
                <w:tab w:val="left" w:pos="1680"/>
              </w:tabs>
              <w:spacing w:line="300" w:lineRule="exact"/>
              <w:jc w:val="left"/>
              <w:rPr>
                <w:color w:val="000000"/>
                <w:sz w:val="24"/>
              </w:rPr>
            </w:pPr>
            <w:r>
              <w:rPr>
                <w:rFonts w:hint="eastAsia"/>
                <w:color w:val="000000"/>
                <w:sz w:val="24"/>
              </w:rPr>
              <w:tab/>
            </w:r>
            <w:r>
              <w:rPr>
                <w:rFonts w:hint="eastAsia"/>
                <w:color w:val="000000"/>
                <w:sz w:val="24"/>
              </w:rPr>
              <w:t>215万元</w:t>
            </w:r>
          </w:p>
        </w:tc>
      </w:tr>
      <w:tr>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color w:val="000000"/>
                <w:sz w:val="24"/>
              </w:rPr>
            </w:pPr>
          </w:p>
        </w:tc>
        <w:tc>
          <w:tcPr>
            <w:tcW w:w="256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color w:val="000000"/>
                <w:sz w:val="24"/>
              </w:rPr>
            </w:pPr>
            <w:r>
              <w:rPr>
                <w:color w:val="000000"/>
                <w:kern w:val="0"/>
                <w:sz w:val="24"/>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pPr>
              <w:tabs>
                <w:tab w:val="left" w:pos="2027"/>
              </w:tabs>
              <w:spacing w:line="300" w:lineRule="exact"/>
              <w:ind w:firstLine="1680" w:firstLineChars="700"/>
              <w:jc w:val="left"/>
              <w:rPr>
                <w:color w:val="000000"/>
                <w:sz w:val="24"/>
              </w:rPr>
            </w:pPr>
            <w:r>
              <w:rPr>
                <w:rFonts w:hint="eastAsia"/>
                <w:color w:val="000000"/>
                <w:sz w:val="24"/>
              </w:rPr>
              <w:t>215万元</w:t>
            </w:r>
          </w:p>
        </w:tc>
      </w:tr>
      <w:tr>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color w:val="000000"/>
                <w:sz w:val="24"/>
              </w:rPr>
            </w:pPr>
          </w:p>
        </w:tc>
        <w:tc>
          <w:tcPr>
            <w:tcW w:w="256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color w:val="000000"/>
                <w:sz w:val="24"/>
              </w:rPr>
            </w:pPr>
            <w:r>
              <w:rPr>
                <w:color w:val="000000"/>
                <w:kern w:val="0"/>
                <w:sz w:val="24"/>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pPr>
              <w:spacing w:line="300" w:lineRule="exact"/>
              <w:jc w:val="right"/>
              <w:rPr>
                <w:color w:val="000000"/>
                <w:sz w:val="24"/>
              </w:rPr>
            </w:pPr>
          </w:p>
        </w:tc>
      </w:tr>
      <w:tr>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rPr>
              <w:t>总体 目标</w:t>
            </w:r>
          </w:p>
        </w:tc>
        <w:tc>
          <w:tcPr>
            <w:tcW w:w="9581" w:type="dxa"/>
            <w:gridSpan w:val="8"/>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rPr>
              <w:t>年度目标</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color w:val="000000"/>
                <w:sz w:val="24"/>
              </w:rPr>
            </w:pPr>
          </w:p>
        </w:tc>
        <w:tc>
          <w:tcPr>
            <w:tcW w:w="9581" w:type="dxa"/>
            <w:gridSpan w:val="8"/>
            <w:tcBorders>
              <w:top w:val="single" w:color="000000" w:sz="4" w:space="0"/>
              <w:left w:val="single" w:color="000000" w:sz="4" w:space="0"/>
              <w:bottom w:val="single" w:color="000000" w:sz="4" w:space="0"/>
              <w:right w:val="single" w:color="000000" w:sz="4" w:space="0"/>
            </w:tcBorders>
            <w:vAlign w:val="center"/>
          </w:tcPr>
          <w:p>
            <w:pPr>
              <w:spacing w:line="300" w:lineRule="exact"/>
              <w:rPr>
                <w:color w:val="000000"/>
                <w:sz w:val="24"/>
              </w:rPr>
            </w:pPr>
          </w:p>
        </w:tc>
      </w:tr>
      <w:tr>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vAlign w:val="center"/>
          </w:tcPr>
          <w:p>
            <w:pPr>
              <w:widowControl/>
              <w:spacing w:line="300" w:lineRule="exact"/>
              <w:jc w:val="center"/>
              <w:textAlignment w:val="center"/>
              <w:rPr>
                <w:color w:val="000000"/>
                <w:sz w:val="24"/>
              </w:rPr>
            </w:pPr>
            <w:r>
              <w:rPr>
                <w:color w:val="000000"/>
                <w:kern w:val="0"/>
                <w:sz w:val="24"/>
              </w:rPr>
              <w:t>绩效 指标</w:t>
            </w:r>
          </w:p>
        </w:tc>
        <w:tc>
          <w:tcPr>
            <w:tcW w:w="1081"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rPr>
              <w:t>一级指标</w:t>
            </w:r>
          </w:p>
        </w:tc>
        <w:tc>
          <w:tcPr>
            <w:tcW w:w="125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rPr>
              <w:t>二级指标</w:t>
            </w:r>
          </w:p>
        </w:tc>
        <w:tc>
          <w:tcPr>
            <w:tcW w:w="1312"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rPr>
              <w:t>三级指标</w:t>
            </w:r>
          </w:p>
        </w:tc>
        <w:tc>
          <w:tcPr>
            <w:tcW w:w="1127"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rPr>
              <w:t>指标性质</w:t>
            </w:r>
          </w:p>
        </w:tc>
        <w:tc>
          <w:tcPr>
            <w:tcW w:w="971"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rPr>
              <w:t>指标值</w:t>
            </w:r>
          </w:p>
        </w:tc>
        <w:tc>
          <w:tcPr>
            <w:tcW w:w="1061"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rPr>
              <w:t>度量单位</w:t>
            </w:r>
          </w:p>
        </w:tc>
        <w:tc>
          <w:tcPr>
            <w:tcW w:w="938"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rPr>
              <w:t>权重</w:t>
            </w:r>
          </w:p>
        </w:tc>
        <w:tc>
          <w:tcPr>
            <w:tcW w:w="1841"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rPr>
              <w:t>实际完成指标值</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pPr>
              <w:spacing w:line="300" w:lineRule="exact"/>
              <w:jc w:val="center"/>
              <w:rPr>
                <w:color w:val="000000"/>
                <w:sz w:val="24"/>
              </w:rPr>
            </w:pPr>
          </w:p>
        </w:tc>
        <w:tc>
          <w:tcPr>
            <w:tcW w:w="108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rPr>
              <w:t>数量指标</w:t>
            </w:r>
          </w:p>
        </w:tc>
        <w:tc>
          <w:tcPr>
            <w:tcW w:w="1312"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新购高扬程抽关于切实加强当前森林草原防灭火重点工作的令水泵</w:t>
            </w:r>
          </w:p>
        </w:tc>
        <w:tc>
          <w:tcPr>
            <w:tcW w:w="1127"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46</w:t>
            </w:r>
          </w:p>
        </w:tc>
        <w:tc>
          <w:tcPr>
            <w:tcW w:w="97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100%</w:t>
            </w:r>
          </w:p>
        </w:tc>
        <w:tc>
          <w:tcPr>
            <w:tcW w:w="106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台</w:t>
            </w:r>
          </w:p>
        </w:tc>
        <w:tc>
          <w:tcPr>
            <w:tcW w:w="938"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20</w:t>
            </w:r>
          </w:p>
        </w:tc>
        <w:tc>
          <w:tcPr>
            <w:tcW w:w="184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100%</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pPr>
              <w:spacing w:line="300" w:lineRule="exact"/>
              <w:jc w:val="center"/>
              <w:rPr>
                <w:color w:val="000000"/>
                <w:sz w:val="24"/>
              </w:rPr>
            </w:pPr>
          </w:p>
        </w:tc>
        <w:tc>
          <w:tcPr>
            <w:tcW w:w="1081"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250"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312"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新购背负式水桶</w:t>
            </w:r>
          </w:p>
        </w:tc>
        <w:tc>
          <w:tcPr>
            <w:tcW w:w="1127"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1000</w:t>
            </w:r>
          </w:p>
        </w:tc>
        <w:tc>
          <w:tcPr>
            <w:tcW w:w="97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100%</w:t>
            </w:r>
          </w:p>
        </w:tc>
        <w:tc>
          <w:tcPr>
            <w:tcW w:w="106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个</w:t>
            </w:r>
          </w:p>
        </w:tc>
        <w:tc>
          <w:tcPr>
            <w:tcW w:w="938"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20</w:t>
            </w:r>
          </w:p>
        </w:tc>
        <w:tc>
          <w:tcPr>
            <w:tcW w:w="184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100%</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pPr>
              <w:spacing w:line="300" w:lineRule="exact"/>
              <w:jc w:val="center"/>
              <w:rPr>
                <w:color w:val="000000"/>
                <w:sz w:val="24"/>
              </w:rPr>
            </w:pPr>
          </w:p>
        </w:tc>
        <w:tc>
          <w:tcPr>
            <w:tcW w:w="1081"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250" w:type="dxa"/>
            <w:vMerge w:val="restart"/>
            <w:tcBorders>
              <w:top w:val="single" w:color="000000" w:sz="4" w:space="0"/>
              <w:left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rPr>
              <w:t>质量指标</w:t>
            </w:r>
          </w:p>
        </w:tc>
        <w:tc>
          <w:tcPr>
            <w:tcW w:w="1312" w:type="dxa"/>
            <w:tcBorders>
              <w:top w:val="single" w:color="000000" w:sz="4" w:space="0"/>
              <w:left w:val="single" w:color="000000" w:sz="4" w:space="0"/>
              <w:bottom w:val="single" w:color="000000" w:sz="4" w:space="0"/>
              <w:right w:val="single" w:color="000000" w:sz="4" w:space="0"/>
            </w:tcBorders>
            <w:vAlign w:val="center"/>
          </w:tcPr>
          <w:p>
            <w:pPr>
              <w:spacing w:line="300" w:lineRule="exact"/>
              <w:rPr>
                <w:color w:val="000000"/>
                <w:sz w:val="24"/>
              </w:rPr>
            </w:pPr>
            <w:r>
              <w:rPr>
                <w:rFonts w:hint="eastAsia"/>
                <w:color w:val="000000"/>
                <w:sz w:val="24"/>
              </w:rPr>
              <w:t>物资合格率</w:t>
            </w:r>
          </w:p>
        </w:tc>
        <w:tc>
          <w:tcPr>
            <w:tcW w:w="1127"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ascii="宋体" w:hAnsi="宋体" w:cs="宋体"/>
                <w:color w:val="000000"/>
                <w:sz w:val="24"/>
              </w:rPr>
              <w:t>≧</w:t>
            </w:r>
            <w:r>
              <w:rPr>
                <w:rFonts w:hint="eastAsia"/>
                <w:color w:val="000000"/>
                <w:sz w:val="24"/>
              </w:rPr>
              <w:t>95</w:t>
            </w:r>
          </w:p>
        </w:tc>
        <w:tc>
          <w:tcPr>
            <w:tcW w:w="97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100%</w:t>
            </w:r>
          </w:p>
        </w:tc>
        <w:tc>
          <w:tcPr>
            <w:tcW w:w="106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w:t>
            </w:r>
          </w:p>
        </w:tc>
        <w:tc>
          <w:tcPr>
            <w:tcW w:w="938"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10</w:t>
            </w:r>
          </w:p>
        </w:tc>
        <w:tc>
          <w:tcPr>
            <w:tcW w:w="184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100%</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pPr>
              <w:spacing w:line="300" w:lineRule="exact"/>
              <w:jc w:val="center"/>
              <w:rPr>
                <w:color w:val="000000"/>
                <w:sz w:val="24"/>
              </w:rPr>
            </w:pPr>
          </w:p>
        </w:tc>
        <w:tc>
          <w:tcPr>
            <w:tcW w:w="1081"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250" w:type="dxa"/>
            <w:vMerge w:val="continue"/>
            <w:tcBorders>
              <w:left w:val="single" w:color="000000" w:sz="4" w:space="0"/>
              <w:right w:val="single" w:color="000000" w:sz="4" w:space="0"/>
            </w:tcBorders>
            <w:vAlign w:val="center"/>
          </w:tcPr>
          <w:p>
            <w:pPr>
              <w:spacing w:line="300" w:lineRule="exact"/>
              <w:jc w:val="center"/>
              <w:rPr>
                <w:color w:val="000000"/>
                <w:sz w:val="24"/>
              </w:rPr>
            </w:pPr>
          </w:p>
        </w:tc>
        <w:tc>
          <w:tcPr>
            <w:tcW w:w="1312" w:type="dxa"/>
            <w:tcBorders>
              <w:top w:val="single" w:color="000000" w:sz="4" w:space="0"/>
              <w:left w:val="single" w:color="000000" w:sz="4" w:space="0"/>
              <w:bottom w:val="single" w:color="000000" w:sz="4" w:space="0"/>
              <w:right w:val="single" w:color="000000" w:sz="4" w:space="0"/>
            </w:tcBorders>
            <w:vAlign w:val="center"/>
          </w:tcPr>
          <w:p>
            <w:pPr>
              <w:spacing w:line="300" w:lineRule="exact"/>
              <w:rPr>
                <w:color w:val="000000"/>
                <w:sz w:val="24"/>
              </w:rPr>
            </w:pPr>
          </w:p>
        </w:tc>
        <w:tc>
          <w:tcPr>
            <w:tcW w:w="1127"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97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06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938"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84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pPr>
              <w:spacing w:line="300" w:lineRule="exact"/>
              <w:jc w:val="center"/>
              <w:rPr>
                <w:color w:val="000000"/>
                <w:sz w:val="24"/>
              </w:rPr>
            </w:pPr>
          </w:p>
        </w:tc>
        <w:tc>
          <w:tcPr>
            <w:tcW w:w="1081"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250" w:type="dxa"/>
            <w:vMerge w:val="continue"/>
            <w:tcBorders>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312" w:type="dxa"/>
            <w:tcBorders>
              <w:top w:val="single" w:color="000000" w:sz="4" w:space="0"/>
              <w:left w:val="single" w:color="000000" w:sz="4" w:space="0"/>
              <w:bottom w:val="single" w:color="000000" w:sz="4" w:space="0"/>
              <w:right w:val="single" w:color="000000" w:sz="4" w:space="0"/>
            </w:tcBorders>
            <w:vAlign w:val="center"/>
          </w:tcPr>
          <w:p>
            <w:pPr>
              <w:spacing w:line="300" w:lineRule="exact"/>
              <w:rPr>
                <w:color w:val="000000"/>
                <w:sz w:val="24"/>
              </w:rPr>
            </w:pPr>
          </w:p>
        </w:tc>
        <w:tc>
          <w:tcPr>
            <w:tcW w:w="1127"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97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06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938"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84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pPr>
              <w:spacing w:line="300" w:lineRule="exact"/>
              <w:jc w:val="center"/>
              <w:rPr>
                <w:color w:val="000000"/>
                <w:sz w:val="24"/>
              </w:rPr>
            </w:pPr>
          </w:p>
        </w:tc>
        <w:tc>
          <w:tcPr>
            <w:tcW w:w="1081"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250" w:type="dxa"/>
            <w:vMerge w:val="restart"/>
            <w:tcBorders>
              <w:top w:val="single" w:color="000000" w:sz="4" w:space="0"/>
              <w:left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rPr>
              <w:t>时效指标</w:t>
            </w:r>
          </w:p>
        </w:tc>
        <w:tc>
          <w:tcPr>
            <w:tcW w:w="1312"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工期控制在时限内</w:t>
            </w:r>
          </w:p>
        </w:tc>
        <w:tc>
          <w:tcPr>
            <w:tcW w:w="1127"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ascii="宋体" w:hAnsi="宋体" w:cs="宋体"/>
                <w:color w:val="000000"/>
                <w:sz w:val="24"/>
              </w:rPr>
              <w:t>≦</w:t>
            </w:r>
            <w:r>
              <w:rPr>
                <w:rFonts w:hint="eastAsia"/>
                <w:color w:val="000000"/>
                <w:sz w:val="24"/>
              </w:rPr>
              <w:t>12</w:t>
            </w:r>
          </w:p>
        </w:tc>
        <w:tc>
          <w:tcPr>
            <w:tcW w:w="97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100%</w:t>
            </w:r>
          </w:p>
        </w:tc>
        <w:tc>
          <w:tcPr>
            <w:tcW w:w="106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月</w:t>
            </w:r>
          </w:p>
        </w:tc>
        <w:tc>
          <w:tcPr>
            <w:tcW w:w="938"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10</w:t>
            </w:r>
          </w:p>
        </w:tc>
        <w:tc>
          <w:tcPr>
            <w:tcW w:w="184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100%</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pPr>
              <w:spacing w:line="300" w:lineRule="exact"/>
              <w:jc w:val="center"/>
              <w:rPr>
                <w:color w:val="000000"/>
                <w:sz w:val="24"/>
              </w:rPr>
            </w:pPr>
          </w:p>
        </w:tc>
        <w:tc>
          <w:tcPr>
            <w:tcW w:w="1081"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250" w:type="dxa"/>
            <w:vMerge w:val="continue"/>
            <w:tcBorders>
              <w:left w:val="single" w:color="000000" w:sz="4" w:space="0"/>
              <w:right w:val="single" w:color="000000" w:sz="4" w:space="0"/>
            </w:tcBorders>
            <w:vAlign w:val="center"/>
          </w:tcPr>
          <w:p>
            <w:pPr>
              <w:spacing w:line="300" w:lineRule="exact"/>
              <w:jc w:val="center"/>
              <w:rPr>
                <w:color w:val="000000"/>
                <w:sz w:val="24"/>
              </w:rPr>
            </w:pPr>
          </w:p>
        </w:tc>
        <w:tc>
          <w:tcPr>
            <w:tcW w:w="1312" w:type="dxa"/>
            <w:tcBorders>
              <w:top w:val="single" w:color="000000" w:sz="4" w:space="0"/>
              <w:left w:val="single" w:color="000000" w:sz="4" w:space="0"/>
              <w:bottom w:val="single" w:color="000000" w:sz="4" w:space="0"/>
              <w:right w:val="single" w:color="000000" w:sz="4" w:space="0"/>
            </w:tcBorders>
            <w:vAlign w:val="center"/>
          </w:tcPr>
          <w:p>
            <w:pPr>
              <w:spacing w:line="300" w:lineRule="exact"/>
              <w:rPr>
                <w:color w:val="000000"/>
                <w:sz w:val="24"/>
              </w:rPr>
            </w:pPr>
          </w:p>
        </w:tc>
        <w:tc>
          <w:tcPr>
            <w:tcW w:w="1127"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97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06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938"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84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pPr>
              <w:spacing w:line="300" w:lineRule="exact"/>
              <w:jc w:val="center"/>
              <w:rPr>
                <w:color w:val="000000"/>
                <w:sz w:val="24"/>
              </w:rPr>
            </w:pPr>
          </w:p>
        </w:tc>
        <w:tc>
          <w:tcPr>
            <w:tcW w:w="1081"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250" w:type="dxa"/>
            <w:vMerge w:val="continue"/>
            <w:tcBorders>
              <w:left w:val="single" w:color="000000" w:sz="4" w:space="0"/>
              <w:right w:val="single" w:color="000000" w:sz="4" w:space="0"/>
            </w:tcBorders>
            <w:vAlign w:val="center"/>
          </w:tcPr>
          <w:p>
            <w:pPr>
              <w:widowControl/>
              <w:spacing w:line="300" w:lineRule="exact"/>
              <w:jc w:val="center"/>
              <w:textAlignment w:val="center"/>
              <w:rPr>
                <w:color w:val="000000"/>
                <w:sz w:val="24"/>
              </w:rPr>
            </w:pPr>
          </w:p>
        </w:tc>
        <w:tc>
          <w:tcPr>
            <w:tcW w:w="1312" w:type="dxa"/>
            <w:tcBorders>
              <w:top w:val="single" w:color="000000" w:sz="4" w:space="0"/>
              <w:left w:val="single" w:color="000000" w:sz="4" w:space="0"/>
              <w:bottom w:val="single" w:color="000000" w:sz="4" w:space="0"/>
              <w:right w:val="single" w:color="000000" w:sz="4" w:space="0"/>
            </w:tcBorders>
            <w:vAlign w:val="center"/>
          </w:tcPr>
          <w:p>
            <w:pPr>
              <w:spacing w:line="300" w:lineRule="exact"/>
              <w:rPr>
                <w:color w:val="000000"/>
                <w:sz w:val="24"/>
              </w:rPr>
            </w:pPr>
          </w:p>
        </w:tc>
        <w:tc>
          <w:tcPr>
            <w:tcW w:w="1127"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97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06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938"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84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pPr>
              <w:spacing w:line="300" w:lineRule="exact"/>
              <w:jc w:val="center"/>
              <w:rPr>
                <w:color w:val="000000"/>
                <w:sz w:val="24"/>
              </w:rPr>
            </w:pPr>
          </w:p>
        </w:tc>
        <w:tc>
          <w:tcPr>
            <w:tcW w:w="108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250" w:type="dxa"/>
            <w:vMerge w:val="continue"/>
            <w:tcBorders>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p>
        </w:tc>
        <w:tc>
          <w:tcPr>
            <w:tcW w:w="1312" w:type="dxa"/>
            <w:tcBorders>
              <w:top w:val="single" w:color="000000" w:sz="4" w:space="0"/>
              <w:left w:val="single" w:color="000000" w:sz="4" w:space="0"/>
              <w:bottom w:val="single" w:color="000000" w:sz="4" w:space="0"/>
              <w:right w:val="single" w:color="000000" w:sz="4" w:space="0"/>
            </w:tcBorders>
            <w:vAlign w:val="center"/>
          </w:tcPr>
          <w:p>
            <w:pPr>
              <w:spacing w:line="300" w:lineRule="exact"/>
              <w:rPr>
                <w:color w:val="000000"/>
                <w:sz w:val="24"/>
              </w:rPr>
            </w:pPr>
          </w:p>
        </w:tc>
        <w:tc>
          <w:tcPr>
            <w:tcW w:w="1127"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97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06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938"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84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pPr>
              <w:spacing w:line="300" w:lineRule="exact"/>
              <w:jc w:val="center"/>
              <w:rPr>
                <w:color w:val="000000"/>
                <w:sz w:val="24"/>
              </w:rPr>
            </w:pPr>
          </w:p>
        </w:tc>
        <w:tc>
          <w:tcPr>
            <w:tcW w:w="108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rPr>
              <w:t>效益指标</w:t>
            </w:r>
          </w:p>
        </w:tc>
        <w:tc>
          <w:tcPr>
            <w:tcW w:w="1250" w:type="dxa"/>
            <w:vMerge w:val="restart"/>
            <w:tcBorders>
              <w:top w:val="single" w:color="000000" w:sz="4" w:space="0"/>
              <w:left w:val="single" w:color="000000" w:sz="4" w:space="0"/>
              <w:right w:val="single" w:color="000000" w:sz="4" w:space="0"/>
            </w:tcBorders>
            <w:vAlign w:val="center"/>
          </w:tcPr>
          <w:p>
            <w:pPr>
              <w:widowControl/>
              <w:spacing w:line="300" w:lineRule="exact"/>
              <w:jc w:val="center"/>
              <w:textAlignment w:val="center"/>
              <w:rPr>
                <w:color w:val="000000"/>
                <w:kern w:val="0"/>
                <w:sz w:val="24"/>
              </w:rPr>
            </w:pPr>
            <w:r>
              <w:rPr>
                <w:color w:val="000000"/>
                <w:kern w:val="0"/>
                <w:sz w:val="24"/>
              </w:rPr>
              <w:t>经济效益</w:t>
            </w:r>
          </w:p>
          <w:p>
            <w:pPr>
              <w:widowControl/>
              <w:spacing w:line="300" w:lineRule="exact"/>
              <w:jc w:val="center"/>
              <w:textAlignment w:val="center"/>
              <w:rPr>
                <w:color w:val="000000"/>
                <w:sz w:val="24"/>
              </w:rPr>
            </w:pPr>
            <w:r>
              <w:rPr>
                <w:color w:val="000000"/>
                <w:kern w:val="0"/>
                <w:sz w:val="24"/>
              </w:rPr>
              <w:t>指标</w:t>
            </w:r>
          </w:p>
        </w:tc>
        <w:tc>
          <w:tcPr>
            <w:tcW w:w="1312"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127"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97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06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938"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84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pPr>
              <w:spacing w:line="300" w:lineRule="exact"/>
              <w:jc w:val="center"/>
              <w:rPr>
                <w:color w:val="000000"/>
                <w:sz w:val="24"/>
              </w:rPr>
            </w:pPr>
          </w:p>
        </w:tc>
        <w:tc>
          <w:tcPr>
            <w:tcW w:w="1081"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250" w:type="dxa"/>
            <w:vMerge w:val="continue"/>
            <w:tcBorders>
              <w:left w:val="single" w:color="000000" w:sz="4" w:space="0"/>
              <w:right w:val="single" w:color="000000" w:sz="4" w:space="0"/>
            </w:tcBorders>
            <w:vAlign w:val="center"/>
          </w:tcPr>
          <w:p>
            <w:pPr>
              <w:spacing w:line="300" w:lineRule="exact"/>
              <w:jc w:val="center"/>
              <w:rPr>
                <w:color w:val="000000"/>
                <w:sz w:val="24"/>
              </w:rPr>
            </w:pPr>
          </w:p>
        </w:tc>
        <w:tc>
          <w:tcPr>
            <w:tcW w:w="1312" w:type="dxa"/>
            <w:tcBorders>
              <w:top w:val="single" w:color="000000" w:sz="4" w:space="0"/>
              <w:left w:val="single" w:color="000000" w:sz="4" w:space="0"/>
              <w:bottom w:val="single" w:color="000000" w:sz="4" w:space="0"/>
              <w:right w:val="single" w:color="000000" w:sz="4" w:space="0"/>
            </w:tcBorders>
            <w:vAlign w:val="center"/>
          </w:tcPr>
          <w:p>
            <w:pPr>
              <w:spacing w:line="300" w:lineRule="exact"/>
              <w:rPr>
                <w:color w:val="000000"/>
                <w:sz w:val="24"/>
              </w:rPr>
            </w:pPr>
          </w:p>
        </w:tc>
        <w:tc>
          <w:tcPr>
            <w:tcW w:w="1127"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97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06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938"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84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pPr>
              <w:spacing w:line="300" w:lineRule="exact"/>
              <w:jc w:val="center"/>
              <w:rPr>
                <w:color w:val="000000"/>
                <w:sz w:val="24"/>
              </w:rPr>
            </w:pPr>
          </w:p>
        </w:tc>
        <w:tc>
          <w:tcPr>
            <w:tcW w:w="1081"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250" w:type="dxa"/>
            <w:vMerge w:val="continue"/>
            <w:tcBorders>
              <w:left w:val="single" w:color="000000" w:sz="4" w:space="0"/>
              <w:right w:val="single" w:color="000000" w:sz="4" w:space="0"/>
            </w:tcBorders>
            <w:vAlign w:val="center"/>
          </w:tcPr>
          <w:p>
            <w:pPr>
              <w:spacing w:line="300" w:lineRule="exact"/>
              <w:jc w:val="center"/>
              <w:rPr>
                <w:color w:val="000000"/>
                <w:sz w:val="24"/>
              </w:rPr>
            </w:pPr>
          </w:p>
        </w:tc>
        <w:tc>
          <w:tcPr>
            <w:tcW w:w="1312" w:type="dxa"/>
            <w:tcBorders>
              <w:top w:val="single" w:color="000000" w:sz="4" w:space="0"/>
              <w:left w:val="single" w:color="000000" w:sz="4" w:space="0"/>
              <w:bottom w:val="single" w:color="000000" w:sz="4" w:space="0"/>
              <w:right w:val="single" w:color="000000" w:sz="4" w:space="0"/>
            </w:tcBorders>
            <w:vAlign w:val="center"/>
          </w:tcPr>
          <w:p>
            <w:pPr>
              <w:spacing w:line="300" w:lineRule="exact"/>
              <w:rPr>
                <w:color w:val="000000"/>
                <w:sz w:val="24"/>
              </w:rPr>
            </w:pPr>
          </w:p>
        </w:tc>
        <w:tc>
          <w:tcPr>
            <w:tcW w:w="1127"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97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06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938"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84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pPr>
              <w:spacing w:line="300" w:lineRule="exact"/>
              <w:jc w:val="center"/>
              <w:rPr>
                <w:color w:val="000000"/>
                <w:sz w:val="24"/>
              </w:rPr>
            </w:pPr>
          </w:p>
        </w:tc>
        <w:tc>
          <w:tcPr>
            <w:tcW w:w="1081"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250" w:type="dxa"/>
            <w:vMerge w:val="continue"/>
            <w:tcBorders>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312" w:type="dxa"/>
            <w:tcBorders>
              <w:top w:val="single" w:color="000000" w:sz="4" w:space="0"/>
              <w:left w:val="single" w:color="000000" w:sz="4" w:space="0"/>
              <w:bottom w:val="single" w:color="000000" w:sz="4" w:space="0"/>
              <w:right w:val="single" w:color="000000" w:sz="4" w:space="0"/>
            </w:tcBorders>
            <w:vAlign w:val="center"/>
          </w:tcPr>
          <w:p>
            <w:pPr>
              <w:spacing w:line="300" w:lineRule="exact"/>
              <w:rPr>
                <w:color w:val="000000"/>
                <w:sz w:val="24"/>
              </w:rPr>
            </w:pPr>
          </w:p>
        </w:tc>
        <w:tc>
          <w:tcPr>
            <w:tcW w:w="1127"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97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06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938"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84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pPr>
              <w:spacing w:line="300" w:lineRule="exact"/>
              <w:jc w:val="center"/>
              <w:rPr>
                <w:color w:val="000000"/>
                <w:sz w:val="24"/>
              </w:rPr>
            </w:pPr>
          </w:p>
        </w:tc>
        <w:tc>
          <w:tcPr>
            <w:tcW w:w="1081"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250" w:type="dxa"/>
            <w:vMerge w:val="restart"/>
            <w:tcBorders>
              <w:top w:val="single" w:color="000000" w:sz="4" w:space="0"/>
              <w:left w:val="single" w:color="000000" w:sz="4" w:space="0"/>
              <w:right w:val="single" w:color="000000" w:sz="4" w:space="0"/>
            </w:tcBorders>
            <w:vAlign w:val="center"/>
          </w:tcPr>
          <w:p>
            <w:pPr>
              <w:widowControl/>
              <w:spacing w:line="300" w:lineRule="exact"/>
              <w:jc w:val="center"/>
              <w:textAlignment w:val="center"/>
              <w:rPr>
                <w:color w:val="000000"/>
                <w:kern w:val="0"/>
                <w:sz w:val="24"/>
              </w:rPr>
            </w:pPr>
            <w:r>
              <w:rPr>
                <w:color w:val="000000"/>
                <w:kern w:val="0"/>
                <w:sz w:val="24"/>
              </w:rPr>
              <w:t>社会效益</w:t>
            </w:r>
          </w:p>
          <w:p>
            <w:pPr>
              <w:widowControl/>
              <w:spacing w:line="300" w:lineRule="exact"/>
              <w:jc w:val="center"/>
              <w:textAlignment w:val="center"/>
              <w:rPr>
                <w:color w:val="000000"/>
                <w:sz w:val="24"/>
              </w:rPr>
            </w:pPr>
            <w:r>
              <w:rPr>
                <w:color w:val="000000"/>
                <w:kern w:val="0"/>
                <w:sz w:val="24"/>
              </w:rPr>
              <w:t>指标</w:t>
            </w:r>
          </w:p>
        </w:tc>
        <w:tc>
          <w:tcPr>
            <w:tcW w:w="1312" w:type="dxa"/>
            <w:tcBorders>
              <w:top w:val="single" w:color="000000" w:sz="4" w:space="0"/>
              <w:left w:val="single" w:color="000000" w:sz="4" w:space="0"/>
              <w:bottom w:val="single" w:color="000000" w:sz="4" w:space="0"/>
              <w:right w:val="single" w:color="000000" w:sz="4" w:space="0"/>
            </w:tcBorders>
            <w:vAlign w:val="center"/>
          </w:tcPr>
          <w:p>
            <w:pPr>
              <w:spacing w:line="300" w:lineRule="exact"/>
              <w:rPr>
                <w:color w:val="000000"/>
                <w:sz w:val="24"/>
              </w:rPr>
            </w:pPr>
            <w:r>
              <w:rPr>
                <w:rFonts w:hint="eastAsia"/>
                <w:color w:val="000000"/>
                <w:sz w:val="24"/>
              </w:rPr>
              <w:t>是否有助于提升壤塘县森林草原防灭火综合能力</w:t>
            </w:r>
          </w:p>
        </w:tc>
        <w:tc>
          <w:tcPr>
            <w:tcW w:w="1127"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定性</w:t>
            </w:r>
          </w:p>
        </w:tc>
        <w:tc>
          <w:tcPr>
            <w:tcW w:w="97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是</w:t>
            </w:r>
          </w:p>
        </w:tc>
        <w:tc>
          <w:tcPr>
            <w:tcW w:w="106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938"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10</w:t>
            </w:r>
          </w:p>
        </w:tc>
        <w:tc>
          <w:tcPr>
            <w:tcW w:w="184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100%</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pPr>
              <w:spacing w:line="300" w:lineRule="exact"/>
              <w:jc w:val="center"/>
              <w:rPr>
                <w:color w:val="000000"/>
                <w:sz w:val="24"/>
              </w:rPr>
            </w:pPr>
          </w:p>
        </w:tc>
        <w:tc>
          <w:tcPr>
            <w:tcW w:w="1081"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250" w:type="dxa"/>
            <w:vMerge w:val="continue"/>
            <w:tcBorders>
              <w:left w:val="single" w:color="000000" w:sz="4" w:space="0"/>
              <w:right w:val="single" w:color="000000" w:sz="4" w:space="0"/>
            </w:tcBorders>
            <w:vAlign w:val="center"/>
          </w:tcPr>
          <w:p>
            <w:pPr>
              <w:spacing w:line="300" w:lineRule="exact"/>
              <w:jc w:val="center"/>
              <w:rPr>
                <w:color w:val="000000"/>
                <w:sz w:val="24"/>
              </w:rPr>
            </w:pPr>
          </w:p>
        </w:tc>
        <w:tc>
          <w:tcPr>
            <w:tcW w:w="1312" w:type="dxa"/>
            <w:tcBorders>
              <w:top w:val="single" w:color="000000" w:sz="4" w:space="0"/>
              <w:left w:val="single" w:color="000000" w:sz="4" w:space="0"/>
              <w:bottom w:val="single" w:color="000000" w:sz="4" w:space="0"/>
              <w:right w:val="single" w:color="000000" w:sz="4" w:space="0"/>
            </w:tcBorders>
            <w:vAlign w:val="center"/>
          </w:tcPr>
          <w:p>
            <w:pPr>
              <w:spacing w:line="300" w:lineRule="exact"/>
              <w:rPr>
                <w:color w:val="000000"/>
                <w:sz w:val="24"/>
              </w:rPr>
            </w:pPr>
          </w:p>
        </w:tc>
        <w:tc>
          <w:tcPr>
            <w:tcW w:w="1127"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97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06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938"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84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pPr>
              <w:spacing w:line="300" w:lineRule="exact"/>
              <w:jc w:val="center"/>
              <w:rPr>
                <w:color w:val="000000"/>
                <w:sz w:val="24"/>
              </w:rPr>
            </w:pPr>
          </w:p>
        </w:tc>
        <w:tc>
          <w:tcPr>
            <w:tcW w:w="1081"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250" w:type="dxa"/>
            <w:vMerge w:val="continue"/>
            <w:tcBorders>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p>
        </w:tc>
        <w:tc>
          <w:tcPr>
            <w:tcW w:w="1312" w:type="dxa"/>
            <w:tcBorders>
              <w:top w:val="single" w:color="000000" w:sz="4" w:space="0"/>
              <w:left w:val="single" w:color="000000" w:sz="4" w:space="0"/>
              <w:bottom w:val="single" w:color="000000" w:sz="4" w:space="0"/>
              <w:right w:val="single" w:color="000000" w:sz="4" w:space="0"/>
            </w:tcBorders>
            <w:vAlign w:val="center"/>
          </w:tcPr>
          <w:p>
            <w:pPr>
              <w:spacing w:line="300" w:lineRule="exact"/>
              <w:rPr>
                <w:color w:val="000000"/>
                <w:sz w:val="24"/>
              </w:rPr>
            </w:pPr>
          </w:p>
        </w:tc>
        <w:tc>
          <w:tcPr>
            <w:tcW w:w="1127"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97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06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938"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84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pPr>
              <w:spacing w:line="300" w:lineRule="exact"/>
              <w:jc w:val="center"/>
              <w:rPr>
                <w:color w:val="000000"/>
                <w:sz w:val="24"/>
              </w:rPr>
            </w:pPr>
          </w:p>
        </w:tc>
        <w:tc>
          <w:tcPr>
            <w:tcW w:w="1081" w:type="dxa"/>
            <w:tcBorders>
              <w:top w:val="single" w:color="000000" w:sz="4" w:space="0"/>
              <w:left w:val="single" w:color="000000" w:sz="4" w:space="0"/>
              <w:right w:val="single" w:color="000000" w:sz="4" w:space="0"/>
            </w:tcBorders>
            <w:vAlign w:val="center"/>
          </w:tcPr>
          <w:p>
            <w:pPr>
              <w:widowControl/>
              <w:spacing w:line="300" w:lineRule="exact"/>
              <w:jc w:val="center"/>
              <w:textAlignment w:val="center"/>
              <w:rPr>
                <w:color w:val="000000"/>
                <w:kern w:val="0"/>
                <w:sz w:val="24"/>
              </w:rPr>
            </w:pPr>
            <w:r>
              <w:rPr>
                <w:color w:val="000000"/>
                <w:kern w:val="0"/>
                <w:sz w:val="24"/>
              </w:rPr>
              <w:t>满意度</w:t>
            </w:r>
          </w:p>
          <w:p>
            <w:pPr>
              <w:widowControl/>
              <w:spacing w:line="300" w:lineRule="exact"/>
              <w:jc w:val="center"/>
              <w:textAlignment w:val="center"/>
              <w:rPr>
                <w:color w:val="000000"/>
                <w:sz w:val="24"/>
              </w:rPr>
            </w:pPr>
            <w:r>
              <w:rPr>
                <w:color w:val="000000"/>
                <w:kern w:val="0"/>
                <w:sz w:val="24"/>
              </w:rPr>
              <w:t>指标</w:t>
            </w:r>
          </w:p>
        </w:tc>
        <w:tc>
          <w:tcPr>
            <w:tcW w:w="1250" w:type="dxa"/>
            <w:tcBorders>
              <w:top w:val="single" w:color="000000" w:sz="4" w:space="0"/>
              <w:left w:val="single" w:color="000000" w:sz="4" w:space="0"/>
              <w:right w:val="single" w:color="000000" w:sz="4" w:space="0"/>
            </w:tcBorders>
            <w:vAlign w:val="center"/>
          </w:tcPr>
          <w:p>
            <w:pPr>
              <w:widowControl/>
              <w:spacing w:line="300" w:lineRule="exact"/>
              <w:jc w:val="center"/>
              <w:textAlignment w:val="center"/>
              <w:rPr>
                <w:color w:val="000000"/>
                <w:kern w:val="0"/>
                <w:sz w:val="24"/>
              </w:rPr>
            </w:pPr>
            <w:r>
              <w:rPr>
                <w:color w:val="000000"/>
                <w:kern w:val="0"/>
                <w:sz w:val="24"/>
              </w:rPr>
              <w:t>服务对象</w:t>
            </w:r>
          </w:p>
          <w:p>
            <w:pPr>
              <w:widowControl/>
              <w:spacing w:line="300" w:lineRule="exact"/>
              <w:jc w:val="center"/>
              <w:textAlignment w:val="center"/>
              <w:rPr>
                <w:color w:val="000000"/>
                <w:sz w:val="24"/>
              </w:rPr>
            </w:pPr>
            <w:r>
              <w:rPr>
                <w:color w:val="000000"/>
                <w:kern w:val="0"/>
                <w:sz w:val="24"/>
              </w:rPr>
              <w:t>满意度指标</w:t>
            </w:r>
          </w:p>
        </w:tc>
        <w:tc>
          <w:tcPr>
            <w:tcW w:w="1312"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使用对象满意度</w:t>
            </w:r>
          </w:p>
        </w:tc>
        <w:tc>
          <w:tcPr>
            <w:tcW w:w="1127"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ascii="宋体" w:hAnsi="宋体" w:cs="宋体"/>
                <w:color w:val="000000"/>
                <w:sz w:val="24"/>
              </w:rPr>
              <w:t>≧</w:t>
            </w:r>
            <w:r>
              <w:rPr>
                <w:rFonts w:hint="eastAsia"/>
                <w:color w:val="000000"/>
                <w:sz w:val="24"/>
              </w:rPr>
              <w:t>98</w:t>
            </w:r>
          </w:p>
        </w:tc>
        <w:tc>
          <w:tcPr>
            <w:tcW w:w="97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100%</w:t>
            </w:r>
          </w:p>
        </w:tc>
        <w:tc>
          <w:tcPr>
            <w:tcW w:w="106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w:t>
            </w:r>
          </w:p>
        </w:tc>
        <w:tc>
          <w:tcPr>
            <w:tcW w:w="938"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10</w:t>
            </w:r>
          </w:p>
        </w:tc>
        <w:tc>
          <w:tcPr>
            <w:tcW w:w="184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100%</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pPr>
              <w:spacing w:line="300" w:lineRule="exact"/>
              <w:jc w:val="center"/>
              <w:rPr>
                <w:color w:val="000000"/>
                <w:sz w:val="24"/>
              </w:rPr>
            </w:pPr>
          </w:p>
        </w:tc>
        <w:tc>
          <w:tcPr>
            <w:tcW w:w="108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r>
              <w:rPr>
                <w:color w:val="000000"/>
                <w:kern w:val="0"/>
                <w:sz w:val="24"/>
              </w:rPr>
              <w:t>成本指标</w:t>
            </w:r>
          </w:p>
        </w:tc>
        <w:tc>
          <w:tcPr>
            <w:tcW w:w="1250" w:type="dxa"/>
            <w:vMerge w:val="restart"/>
            <w:tcBorders>
              <w:top w:val="single" w:color="000000" w:sz="4" w:space="0"/>
              <w:left w:val="single" w:color="000000" w:sz="4" w:space="0"/>
              <w:right w:val="single" w:color="000000" w:sz="4" w:space="0"/>
            </w:tcBorders>
            <w:vAlign w:val="center"/>
          </w:tcPr>
          <w:p>
            <w:pPr>
              <w:widowControl/>
              <w:spacing w:line="300" w:lineRule="exact"/>
              <w:jc w:val="center"/>
              <w:textAlignment w:val="center"/>
              <w:rPr>
                <w:color w:val="000000"/>
                <w:kern w:val="0"/>
                <w:sz w:val="24"/>
              </w:rPr>
            </w:pPr>
            <w:r>
              <w:rPr>
                <w:color w:val="000000"/>
                <w:kern w:val="0"/>
                <w:sz w:val="24"/>
              </w:rPr>
              <w:t>经济成本</w:t>
            </w:r>
          </w:p>
          <w:p>
            <w:pPr>
              <w:widowControl/>
              <w:spacing w:line="300" w:lineRule="exact"/>
              <w:jc w:val="center"/>
              <w:textAlignment w:val="center"/>
              <w:rPr>
                <w:color w:val="000000"/>
                <w:sz w:val="24"/>
              </w:rPr>
            </w:pPr>
            <w:r>
              <w:rPr>
                <w:color w:val="000000"/>
                <w:kern w:val="0"/>
                <w:sz w:val="24"/>
              </w:rPr>
              <w:t>指标</w:t>
            </w:r>
          </w:p>
        </w:tc>
        <w:tc>
          <w:tcPr>
            <w:tcW w:w="1312" w:type="dxa"/>
            <w:tcBorders>
              <w:top w:val="single" w:color="000000" w:sz="4" w:space="0"/>
              <w:bottom w:val="single" w:color="000000" w:sz="4" w:space="0"/>
              <w:right w:val="single" w:color="000000" w:sz="4" w:space="0"/>
            </w:tcBorders>
            <w:vAlign w:val="center"/>
          </w:tcPr>
          <w:p>
            <w:pPr>
              <w:spacing w:line="300" w:lineRule="exact"/>
              <w:rPr>
                <w:color w:val="000000"/>
                <w:sz w:val="24"/>
              </w:rPr>
            </w:pPr>
            <w:r>
              <w:rPr>
                <w:rFonts w:hint="eastAsia"/>
                <w:color w:val="000000"/>
                <w:sz w:val="24"/>
              </w:rPr>
              <w:t>成本控制在预算内</w:t>
            </w:r>
          </w:p>
        </w:tc>
        <w:tc>
          <w:tcPr>
            <w:tcW w:w="1127"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ascii="宋体" w:hAnsi="宋体" w:cs="宋体"/>
                <w:color w:val="000000"/>
                <w:sz w:val="24"/>
              </w:rPr>
              <w:t>≦</w:t>
            </w:r>
            <w:r>
              <w:rPr>
                <w:rFonts w:hint="eastAsia"/>
                <w:color w:val="000000"/>
                <w:sz w:val="24"/>
              </w:rPr>
              <w:t>215</w:t>
            </w:r>
          </w:p>
        </w:tc>
        <w:tc>
          <w:tcPr>
            <w:tcW w:w="97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100%</w:t>
            </w:r>
          </w:p>
        </w:tc>
        <w:tc>
          <w:tcPr>
            <w:tcW w:w="106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万元</w:t>
            </w:r>
          </w:p>
        </w:tc>
        <w:tc>
          <w:tcPr>
            <w:tcW w:w="938"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20</w:t>
            </w:r>
          </w:p>
        </w:tc>
        <w:tc>
          <w:tcPr>
            <w:tcW w:w="184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r>
              <w:rPr>
                <w:rFonts w:hint="eastAsia"/>
                <w:color w:val="000000"/>
                <w:sz w:val="24"/>
              </w:rPr>
              <w:t>100%</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pPr>
              <w:spacing w:line="300" w:lineRule="exact"/>
              <w:jc w:val="center"/>
              <w:rPr>
                <w:color w:val="000000"/>
                <w:sz w:val="24"/>
              </w:rPr>
            </w:pPr>
          </w:p>
        </w:tc>
        <w:tc>
          <w:tcPr>
            <w:tcW w:w="1081"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jc w:val="left"/>
              <w:rPr>
                <w:color w:val="000000"/>
                <w:sz w:val="24"/>
              </w:rPr>
            </w:pPr>
          </w:p>
        </w:tc>
        <w:tc>
          <w:tcPr>
            <w:tcW w:w="1250" w:type="dxa"/>
            <w:vMerge w:val="continue"/>
            <w:tcBorders>
              <w:left w:val="single" w:color="000000" w:sz="4" w:space="0"/>
              <w:bottom w:val="single" w:color="000000" w:sz="4" w:space="0"/>
              <w:right w:val="single" w:color="000000" w:sz="4" w:space="0"/>
            </w:tcBorders>
            <w:vAlign w:val="center"/>
          </w:tcPr>
          <w:p>
            <w:pPr>
              <w:widowControl/>
              <w:spacing w:line="300" w:lineRule="exact"/>
              <w:jc w:val="center"/>
              <w:textAlignment w:val="center"/>
              <w:rPr>
                <w:color w:val="000000"/>
                <w:sz w:val="24"/>
              </w:rPr>
            </w:pPr>
          </w:p>
        </w:tc>
        <w:tc>
          <w:tcPr>
            <w:tcW w:w="1312" w:type="dxa"/>
            <w:tcBorders>
              <w:top w:val="single" w:color="000000" w:sz="4" w:space="0"/>
              <w:bottom w:val="single" w:color="000000" w:sz="4" w:space="0"/>
              <w:right w:val="single" w:color="000000" w:sz="4" w:space="0"/>
            </w:tcBorders>
            <w:vAlign w:val="center"/>
          </w:tcPr>
          <w:p>
            <w:pPr>
              <w:spacing w:line="300" w:lineRule="exact"/>
              <w:rPr>
                <w:color w:val="000000"/>
                <w:sz w:val="24"/>
              </w:rPr>
            </w:pPr>
          </w:p>
        </w:tc>
        <w:tc>
          <w:tcPr>
            <w:tcW w:w="1127"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97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06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938"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c>
          <w:tcPr>
            <w:tcW w:w="184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color w:val="000000"/>
                <w:sz w:val="24"/>
              </w:rPr>
            </w:pPr>
          </w:p>
        </w:tc>
      </w:tr>
    </w:tbl>
    <w:p>
      <w:pPr>
        <w:spacing w:line="578" w:lineRule="exact"/>
        <w:rPr>
          <w:rFonts w:eastAsia="仿宋_GB2312" w:cs="仿宋_GB2312"/>
          <w:kern w:val="0"/>
          <w:sz w:val="32"/>
          <w:szCs w:val="32"/>
        </w:rPr>
      </w:pPr>
    </w:p>
    <w:p>
      <w:pPr>
        <w:widowControl/>
        <w:jc w:val="center"/>
        <w:rPr>
          <w:rFonts w:eastAsia="仿宋"/>
        </w:rPr>
      </w:pPr>
      <w:bookmarkStart w:id="53" w:name="_Toc15396618"/>
      <w:r>
        <w:rPr>
          <w:rFonts w:hint="eastAsia" w:eastAsia="黑体"/>
          <w:sz w:val="44"/>
          <w:szCs w:val="44"/>
        </w:rPr>
        <w:t>第</w:t>
      </w:r>
      <w:r>
        <w:rPr>
          <w:rStyle w:val="28"/>
          <w:rFonts w:hint="eastAsia" w:eastAsia="黑体"/>
          <w:b w:val="0"/>
        </w:rPr>
        <w:t>五部分 附表</w:t>
      </w:r>
      <w:bookmarkEnd w:id="50"/>
      <w:bookmarkEnd w:id="53"/>
      <w:bookmarkStart w:id="54" w:name="_Toc15396619"/>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54"/>
    </w:p>
    <w:p>
      <w:pPr>
        <w:pStyle w:val="14"/>
        <w:adjustRightInd w:val="0"/>
        <w:snapToGrid w:val="0"/>
        <w:spacing w:line="560" w:lineRule="exact"/>
        <w:jc w:val="left"/>
        <w:rPr>
          <w:rFonts w:eastAsia="仿宋_GB2312" w:cs="仿宋_GB2312"/>
          <w:sz w:val="32"/>
          <w:szCs w:val="32"/>
        </w:rPr>
      </w:pPr>
      <w:bookmarkStart w:id="55" w:name="_Toc15396620"/>
      <w:r>
        <w:rPr>
          <w:rFonts w:hint="eastAsia" w:eastAsia="仿宋_GB2312" w:cs="仿宋_GB2312"/>
          <w:sz w:val="32"/>
          <w:szCs w:val="32"/>
        </w:rPr>
        <w:t>二、收入决算表</w:t>
      </w:r>
      <w:bookmarkEnd w:id="55"/>
    </w:p>
    <w:p>
      <w:pPr>
        <w:pStyle w:val="14"/>
        <w:adjustRightInd w:val="0"/>
        <w:snapToGrid w:val="0"/>
        <w:spacing w:line="560" w:lineRule="exact"/>
        <w:jc w:val="left"/>
        <w:rPr>
          <w:rFonts w:eastAsia="仿宋_GB2312" w:cs="仿宋_GB2312"/>
          <w:sz w:val="32"/>
          <w:szCs w:val="32"/>
        </w:rPr>
      </w:pPr>
      <w:bookmarkStart w:id="56" w:name="_Toc15396621"/>
      <w:r>
        <w:rPr>
          <w:rFonts w:hint="eastAsia" w:eastAsia="仿宋_GB2312" w:cs="仿宋_GB2312"/>
          <w:sz w:val="32"/>
          <w:szCs w:val="32"/>
        </w:rPr>
        <w:t>三、支出决算表</w:t>
      </w:r>
      <w:bookmarkEnd w:id="56"/>
    </w:p>
    <w:p>
      <w:pPr>
        <w:pStyle w:val="14"/>
        <w:adjustRightInd w:val="0"/>
        <w:snapToGrid w:val="0"/>
        <w:spacing w:line="560" w:lineRule="exact"/>
        <w:jc w:val="left"/>
        <w:rPr>
          <w:rFonts w:eastAsia="仿宋_GB2312" w:cs="仿宋_GB2312"/>
          <w:sz w:val="32"/>
          <w:szCs w:val="32"/>
        </w:rPr>
      </w:pPr>
      <w:bookmarkStart w:id="57" w:name="_Toc15396622"/>
      <w:r>
        <w:rPr>
          <w:rFonts w:hint="eastAsia" w:eastAsia="仿宋_GB2312" w:cs="仿宋_GB2312"/>
          <w:sz w:val="32"/>
          <w:szCs w:val="32"/>
        </w:rPr>
        <w:t>四、财政拨款收入支出决算总表</w:t>
      </w:r>
      <w:bookmarkEnd w:id="57"/>
    </w:p>
    <w:p>
      <w:pPr>
        <w:pStyle w:val="14"/>
        <w:adjustRightInd w:val="0"/>
        <w:snapToGrid w:val="0"/>
        <w:spacing w:line="560" w:lineRule="exact"/>
        <w:jc w:val="left"/>
        <w:rPr>
          <w:rFonts w:eastAsia="仿宋_GB2312" w:cs="仿宋_GB2312"/>
          <w:sz w:val="32"/>
          <w:szCs w:val="32"/>
        </w:rPr>
      </w:pPr>
      <w:bookmarkStart w:id="58" w:name="_Toc15396623"/>
      <w:r>
        <w:rPr>
          <w:rFonts w:hint="eastAsia" w:eastAsia="仿宋_GB2312" w:cs="仿宋_GB2312"/>
          <w:sz w:val="32"/>
          <w:szCs w:val="32"/>
        </w:rPr>
        <w:t>五、财政拨款支出决算明细表</w:t>
      </w:r>
      <w:bookmarkEnd w:id="58"/>
      <w:bookmarkStart w:id="59" w:name="_Toc15396624"/>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59"/>
    </w:p>
    <w:p>
      <w:pPr>
        <w:pStyle w:val="14"/>
        <w:adjustRightInd w:val="0"/>
        <w:snapToGrid w:val="0"/>
        <w:spacing w:line="560" w:lineRule="exact"/>
        <w:jc w:val="left"/>
        <w:rPr>
          <w:rFonts w:eastAsia="仿宋_GB2312" w:cs="仿宋_GB2312"/>
          <w:sz w:val="32"/>
          <w:szCs w:val="32"/>
        </w:rPr>
      </w:pPr>
      <w:bookmarkStart w:id="60" w:name="_Toc15396625"/>
      <w:r>
        <w:rPr>
          <w:rFonts w:hint="eastAsia" w:eastAsia="仿宋_GB2312" w:cs="仿宋_GB2312"/>
          <w:sz w:val="32"/>
          <w:szCs w:val="32"/>
        </w:rPr>
        <w:t>七、一般公共预算财政拨款支出决算明细表</w:t>
      </w:r>
      <w:bookmarkEnd w:id="60"/>
    </w:p>
    <w:p>
      <w:pPr>
        <w:pStyle w:val="14"/>
        <w:adjustRightInd w:val="0"/>
        <w:snapToGrid w:val="0"/>
        <w:spacing w:line="560" w:lineRule="exact"/>
        <w:jc w:val="left"/>
        <w:rPr>
          <w:rFonts w:eastAsia="仿宋_GB2312" w:cs="仿宋_GB2312"/>
          <w:sz w:val="32"/>
          <w:szCs w:val="32"/>
        </w:rPr>
      </w:pPr>
      <w:bookmarkStart w:id="61" w:name="_Toc15396626"/>
      <w:r>
        <w:rPr>
          <w:rFonts w:hint="eastAsia" w:eastAsia="仿宋_GB2312" w:cs="仿宋_GB2312"/>
          <w:sz w:val="32"/>
          <w:szCs w:val="32"/>
        </w:rPr>
        <w:t>八、一般公共预算财政拨款基本支出决算表</w:t>
      </w:r>
      <w:bookmarkEnd w:id="61"/>
    </w:p>
    <w:p>
      <w:pPr>
        <w:pStyle w:val="14"/>
        <w:adjustRightInd w:val="0"/>
        <w:snapToGrid w:val="0"/>
        <w:spacing w:line="560" w:lineRule="exact"/>
        <w:jc w:val="left"/>
        <w:rPr>
          <w:rFonts w:eastAsia="仿宋_GB2312" w:cs="仿宋_GB2312"/>
          <w:sz w:val="32"/>
          <w:szCs w:val="32"/>
        </w:rPr>
      </w:pPr>
      <w:bookmarkStart w:id="62" w:name="_Toc15396627"/>
      <w:r>
        <w:rPr>
          <w:rFonts w:hint="eastAsia" w:eastAsia="仿宋_GB2312" w:cs="仿宋_GB2312"/>
          <w:sz w:val="32"/>
          <w:szCs w:val="32"/>
        </w:rPr>
        <w:t>九、一般公共预算财政拨款项目支出决算表</w:t>
      </w:r>
      <w:bookmarkEnd w:id="62"/>
    </w:p>
    <w:p>
      <w:pPr>
        <w:pStyle w:val="14"/>
        <w:adjustRightInd w:val="0"/>
        <w:snapToGrid w:val="0"/>
        <w:spacing w:line="560" w:lineRule="exact"/>
        <w:jc w:val="left"/>
        <w:rPr>
          <w:rFonts w:eastAsia="仿宋_GB2312" w:cs="仿宋_GB2312"/>
          <w:sz w:val="32"/>
          <w:szCs w:val="32"/>
        </w:rPr>
      </w:pPr>
      <w:bookmarkStart w:id="63" w:name="_Toc15396628"/>
      <w:r>
        <w:rPr>
          <w:rFonts w:hint="eastAsia" w:eastAsia="仿宋_GB2312" w:cs="仿宋_GB2312"/>
          <w:sz w:val="32"/>
          <w:szCs w:val="32"/>
        </w:rPr>
        <w:t>十、</w:t>
      </w:r>
      <w:bookmarkEnd w:id="63"/>
      <w:r>
        <w:rPr>
          <w:rFonts w:hint="eastAsia" w:eastAsia="仿宋_GB2312" w:cs="仿宋_GB2312"/>
          <w:sz w:val="32"/>
          <w:szCs w:val="32"/>
        </w:rPr>
        <w:t>政府性基金预算财政拨款收入支出决算表</w:t>
      </w:r>
    </w:p>
    <w:p>
      <w:pPr>
        <w:pStyle w:val="14"/>
        <w:adjustRightInd w:val="0"/>
        <w:snapToGrid w:val="0"/>
        <w:spacing w:line="560" w:lineRule="exact"/>
        <w:jc w:val="left"/>
        <w:rPr>
          <w:rFonts w:eastAsia="仿宋_GB2312" w:cs="仿宋_GB2312"/>
          <w:sz w:val="32"/>
          <w:szCs w:val="32"/>
        </w:rPr>
      </w:pPr>
      <w:bookmarkStart w:id="64" w:name="_Toc15396629"/>
      <w:r>
        <w:rPr>
          <w:rFonts w:hint="eastAsia" w:eastAsia="仿宋_GB2312" w:cs="仿宋_GB2312"/>
          <w:sz w:val="32"/>
          <w:szCs w:val="32"/>
        </w:rPr>
        <w:t>十一、</w:t>
      </w:r>
      <w:bookmarkEnd w:id="64"/>
      <w:r>
        <w:rPr>
          <w:rFonts w:hint="eastAsia" w:eastAsia="仿宋_GB2312" w:cs="仿宋_GB2312"/>
          <w:sz w:val="32"/>
          <w:szCs w:val="32"/>
        </w:rPr>
        <w:t>国有资本经营预算财政拨款收入支出决算表</w:t>
      </w:r>
    </w:p>
    <w:p>
      <w:pPr>
        <w:pStyle w:val="14"/>
        <w:adjustRightInd w:val="0"/>
        <w:snapToGrid w:val="0"/>
        <w:spacing w:line="560" w:lineRule="exact"/>
        <w:jc w:val="left"/>
        <w:rPr>
          <w:rFonts w:eastAsia="仿宋_GB2312" w:cs="仿宋_GB2312"/>
          <w:sz w:val="32"/>
          <w:szCs w:val="32"/>
        </w:rPr>
      </w:pPr>
      <w:bookmarkStart w:id="65" w:name="_Toc15396630"/>
      <w:r>
        <w:rPr>
          <w:rFonts w:hint="eastAsia" w:eastAsia="仿宋_GB2312" w:cs="仿宋_GB2312"/>
          <w:sz w:val="32"/>
          <w:szCs w:val="32"/>
        </w:rPr>
        <w:t>十二、</w:t>
      </w:r>
      <w:bookmarkEnd w:id="65"/>
      <w:r>
        <w:rPr>
          <w:rFonts w:hint="eastAsia" w:eastAsia="仿宋_GB2312" w:cs="仿宋_GB2312"/>
          <w:sz w:val="32"/>
          <w:szCs w:val="32"/>
        </w:rPr>
        <w:t>国有资本经营预算财政拨款支出决算表</w:t>
      </w:r>
    </w:p>
    <w:p>
      <w:pPr>
        <w:pStyle w:val="14"/>
        <w:adjustRightInd w:val="0"/>
        <w:snapToGrid w:val="0"/>
        <w:spacing w:line="560" w:lineRule="exact"/>
        <w:jc w:val="left"/>
        <w:rPr>
          <w:rFonts w:eastAsia="仿宋_GB2312" w:cs="仿宋_GB2312"/>
          <w:sz w:val="32"/>
          <w:szCs w:val="32"/>
        </w:rPr>
      </w:pPr>
      <w:bookmarkStart w:id="66" w:name="_Toc15396631"/>
      <w:r>
        <w:rPr>
          <w:rFonts w:hint="eastAsia" w:eastAsia="仿宋_GB2312" w:cs="仿宋_GB2312"/>
          <w:sz w:val="32"/>
          <w:szCs w:val="32"/>
        </w:rPr>
        <w:t>十三、</w:t>
      </w:r>
      <w:bookmarkEnd w:id="66"/>
      <w:r>
        <w:rPr>
          <w:rFonts w:hint="eastAsia" w:eastAsia="仿宋_GB2312" w:cs="仿宋_GB2312"/>
          <w:sz w:val="32"/>
          <w:szCs w:val="32"/>
        </w:rPr>
        <w:t>财政拨款“三公”经费支出决算表</w:t>
      </w:r>
    </w:p>
    <w:sectPr>
      <w:footerReference r:id="rId4" w:type="first"/>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0000000" w:usb3="00000000" w:csb0="000000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altName w:val="Times New Roman"/>
    <w:panose1 w:val="020B0604020202020204"/>
    <w:charset w:val="00"/>
    <w:family w:val="swiss"/>
    <w:pitch w:val="default"/>
    <w:sig w:usb0="00000000" w:usb1="00000000" w:usb2="00000008" w:usb3="00000000" w:csb0="000001FF" w:csb1="00000000"/>
  </w:font>
  <w:font w:name="??">
    <w:altName w:val="Times New Roman"/>
    <w:panose1 w:val="00000000000000000000"/>
    <w:charset w:val="00"/>
    <w:family w:val="roman"/>
    <w:pitch w:val="default"/>
    <w:sig w:usb0="00000000" w:usb1="00000000" w:usb2="00000000" w:usb3="00000000" w:csb0="00000000" w:csb1="00000000"/>
  </w:font>
  <w:font w:name="Arial Unicode MS">
    <w:altName w:val="Times New Roman"/>
    <w:panose1 w:val="020B0604020202020204"/>
    <w:charset w:val="00"/>
    <w:family w:val="roman"/>
    <w:pitch w:val="default"/>
    <w:sig w:usb0="00000000" w:usb1="00000000" w:usb2="00000000" w:usb3="00000000" w:csb0="00000001"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仿宋_GB2312">
    <w:altName w:val="仿宋"/>
    <w:panose1 w:val="00000000000000000000"/>
    <w:charset w:val="86"/>
    <w:family w:val="auto"/>
    <w:pitch w:val="default"/>
    <w:sig w:usb0="00000000" w:usb1="00000000" w:usb2="00000012" w:usb3="00000000" w:csb0="00040001" w:csb1="00000000"/>
  </w:font>
  <w:font w:name="方正小标宋_GBK">
    <w:panose1 w:val="03000502000000000000"/>
    <w:charset w:val="86"/>
    <w:family w:val="auto"/>
    <w:pitch w:val="default"/>
    <w:sig w:usb0="00000001" w:usb1="080E0000" w:usb2="00000000" w:usb3="00000000" w:csb0="00040000" w:csb1="00000000"/>
  </w:font>
  <w:font w:name="Wingdings 2">
    <w:panose1 w:val="05020102010507070707"/>
    <w:charset w:val="02"/>
    <w:family w:val="auto"/>
    <w:pitch w:val="default"/>
    <w:sig w:usb0="00000000" w:usb1="00000000" w:usb2="00000000" w:usb3="00000000" w:csb0="8000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rFonts w:hint="eastAsia"/>
      </w:rPr>
    </w:pPr>
  </w:p>
  <w:p>
    <w:pPr>
      <w:pStyle w:val="11"/>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hint="eastAsia"/>
      </w:rPr>
    </w:pPr>
    <w:r>
      <w:rPr>
        <w:rFonts w:hint="eastAsia"/>
      </w:rPr>
      <w:pict>
        <v:shape id="_x0000_s2049" o:spid="_x0000_s2049"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path/>
          <v:fill on="f" focussize="0,0"/>
          <v:stroke on="f" weight="0.5pt" joinstyle="miter"/>
          <v:imagedata o:title=""/>
          <o:lock v:ext="edit"/>
          <v:textbox inset="0mm,0mm,0mm,0mm" style="mso-fit-shape-to-text:t;">
            <w:txbxContent>
              <w:p>
                <w:pPr>
                  <w:pStyle w:val="11"/>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6DC061"/>
    <w:multiLevelType w:val="singleLevel"/>
    <w:tmpl w:val="A56DC061"/>
    <w:lvl w:ilvl="0" w:tentative="0">
      <w:start w:val="1"/>
      <w:numFmt w:val="chineseCounting"/>
      <w:suff w:val="nothing"/>
      <w:lvlText w:val="%1、"/>
      <w:lvlJc w:val="left"/>
      <w:rPr>
        <w:rFonts w:hint="eastAsia"/>
      </w:rPr>
    </w:lvl>
  </w:abstractNum>
  <w:abstractNum w:abstractNumId="1">
    <w:nsid w:val="E27B8404"/>
    <w:multiLevelType w:val="singleLevel"/>
    <w:tmpl w:val="E27B8404"/>
    <w:lvl w:ilvl="0" w:tentative="0">
      <w:start w:val="1"/>
      <w:numFmt w:val="decimal"/>
      <w:lvlText w:val="%1."/>
      <w:lvlJc w:val="left"/>
      <w:pPr>
        <w:tabs>
          <w:tab w:val="left" w:pos="312"/>
        </w:tabs>
      </w:pPr>
    </w:lvl>
  </w:abstractNum>
  <w:abstractNum w:abstractNumId="2">
    <w:nsid w:val="641D6DFF"/>
    <w:multiLevelType w:val="multilevel"/>
    <w:tmpl w:val="641D6DFF"/>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HorizontalSpacing w:val="105"/>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F1361C"/>
    <w:rsid w:val="000222C6"/>
    <w:rsid w:val="0002549F"/>
    <w:rsid w:val="000468DB"/>
    <w:rsid w:val="0006487A"/>
    <w:rsid w:val="00065F8F"/>
    <w:rsid w:val="00070A43"/>
    <w:rsid w:val="000768F2"/>
    <w:rsid w:val="0009184B"/>
    <w:rsid w:val="00092BED"/>
    <w:rsid w:val="00094236"/>
    <w:rsid w:val="0009593C"/>
    <w:rsid w:val="00097322"/>
    <w:rsid w:val="000A6A92"/>
    <w:rsid w:val="000B047F"/>
    <w:rsid w:val="000B5923"/>
    <w:rsid w:val="000B5A48"/>
    <w:rsid w:val="000B6FF3"/>
    <w:rsid w:val="000C3467"/>
    <w:rsid w:val="000C3CA6"/>
    <w:rsid w:val="000D1267"/>
    <w:rsid w:val="000D1D50"/>
    <w:rsid w:val="000D5782"/>
    <w:rsid w:val="000E4056"/>
    <w:rsid w:val="000E6613"/>
    <w:rsid w:val="000E7119"/>
    <w:rsid w:val="00114E9B"/>
    <w:rsid w:val="00142216"/>
    <w:rsid w:val="00144D6A"/>
    <w:rsid w:val="0014729F"/>
    <w:rsid w:val="00157BAB"/>
    <w:rsid w:val="001654D1"/>
    <w:rsid w:val="00174518"/>
    <w:rsid w:val="0018106D"/>
    <w:rsid w:val="001877A7"/>
    <w:rsid w:val="00191536"/>
    <w:rsid w:val="00196687"/>
    <w:rsid w:val="001A6F78"/>
    <w:rsid w:val="001C0962"/>
    <w:rsid w:val="001D04F6"/>
    <w:rsid w:val="001D7531"/>
    <w:rsid w:val="001E737D"/>
    <w:rsid w:val="001F0592"/>
    <w:rsid w:val="001F7506"/>
    <w:rsid w:val="002006CD"/>
    <w:rsid w:val="00202B36"/>
    <w:rsid w:val="00204B7A"/>
    <w:rsid w:val="00204CDE"/>
    <w:rsid w:val="0021101A"/>
    <w:rsid w:val="00220536"/>
    <w:rsid w:val="00235629"/>
    <w:rsid w:val="00241C93"/>
    <w:rsid w:val="00260C38"/>
    <w:rsid w:val="002616C0"/>
    <w:rsid w:val="00265372"/>
    <w:rsid w:val="002662AA"/>
    <w:rsid w:val="00280496"/>
    <w:rsid w:val="00294DC9"/>
    <w:rsid w:val="00295495"/>
    <w:rsid w:val="002A31DE"/>
    <w:rsid w:val="002B2613"/>
    <w:rsid w:val="002B72BB"/>
    <w:rsid w:val="002D6D05"/>
    <w:rsid w:val="002F1818"/>
    <w:rsid w:val="002F51EA"/>
    <w:rsid w:val="002F567B"/>
    <w:rsid w:val="003216A9"/>
    <w:rsid w:val="00335A74"/>
    <w:rsid w:val="0036561B"/>
    <w:rsid w:val="0037013F"/>
    <w:rsid w:val="00380C92"/>
    <w:rsid w:val="003A484F"/>
    <w:rsid w:val="003A4883"/>
    <w:rsid w:val="003B04E9"/>
    <w:rsid w:val="003B0BE0"/>
    <w:rsid w:val="003B0C1B"/>
    <w:rsid w:val="003B688C"/>
    <w:rsid w:val="003C0291"/>
    <w:rsid w:val="003C39AE"/>
    <w:rsid w:val="003C7B60"/>
    <w:rsid w:val="003D0C0F"/>
    <w:rsid w:val="003D1FB2"/>
    <w:rsid w:val="003D66DA"/>
    <w:rsid w:val="003E1310"/>
    <w:rsid w:val="003E6F55"/>
    <w:rsid w:val="00406254"/>
    <w:rsid w:val="004223DE"/>
    <w:rsid w:val="00426AD2"/>
    <w:rsid w:val="00434489"/>
    <w:rsid w:val="00437085"/>
    <w:rsid w:val="00443880"/>
    <w:rsid w:val="004464F4"/>
    <w:rsid w:val="004606C6"/>
    <w:rsid w:val="00471401"/>
    <w:rsid w:val="00473F31"/>
    <w:rsid w:val="0048263A"/>
    <w:rsid w:val="00487E5D"/>
    <w:rsid w:val="004A711F"/>
    <w:rsid w:val="004B199D"/>
    <w:rsid w:val="004B4690"/>
    <w:rsid w:val="004E04EA"/>
    <w:rsid w:val="004E0A2D"/>
    <w:rsid w:val="004E206B"/>
    <w:rsid w:val="004E6DF7"/>
    <w:rsid w:val="004F0FBD"/>
    <w:rsid w:val="00505A47"/>
    <w:rsid w:val="00506F3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17596"/>
    <w:rsid w:val="0062270A"/>
    <w:rsid w:val="00622830"/>
    <w:rsid w:val="00623DA0"/>
    <w:rsid w:val="00630AEF"/>
    <w:rsid w:val="006325F8"/>
    <w:rsid w:val="00633463"/>
    <w:rsid w:val="00634C9A"/>
    <w:rsid w:val="006440E4"/>
    <w:rsid w:val="0066343B"/>
    <w:rsid w:val="00664777"/>
    <w:rsid w:val="006748A4"/>
    <w:rsid w:val="00676067"/>
    <w:rsid w:val="00681A31"/>
    <w:rsid w:val="00683E73"/>
    <w:rsid w:val="00685AA6"/>
    <w:rsid w:val="006A3141"/>
    <w:rsid w:val="006A5E34"/>
    <w:rsid w:val="006B2422"/>
    <w:rsid w:val="006B2B9A"/>
    <w:rsid w:val="006B753F"/>
    <w:rsid w:val="006C1937"/>
    <w:rsid w:val="006F020C"/>
    <w:rsid w:val="006F5517"/>
    <w:rsid w:val="007127B7"/>
    <w:rsid w:val="0071798E"/>
    <w:rsid w:val="007416B6"/>
    <w:rsid w:val="00746F48"/>
    <w:rsid w:val="0075404D"/>
    <w:rsid w:val="0076182A"/>
    <w:rsid w:val="00767B7E"/>
    <w:rsid w:val="007770C3"/>
    <w:rsid w:val="00784D24"/>
    <w:rsid w:val="00785FBA"/>
    <w:rsid w:val="00786E4A"/>
    <w:rsid w:val="007875EB"/>
    <w:rsid w:val="0079426B"/>
    <w:rsid w:val="007C4852"/>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0F48"/>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10D1"/>
    <w:rsid w:val="00A733B2"/>
    <w:rsid w:val="00A741C2"/>
    <w:rsid w:val="00A81CEE"/>
    <w:rsid w:val="00A91760"/>
    <w:rsid w:val="00A926DA"/>
    <w:rsid w:val="00A93B00"/>
    <w:rsid w:val="00A93C21"/>
    <w:rsid w:val="00AA58E5"/>
    <w:rsid w:val="00AB64C9"/>
    <w:rsid w:val="00AC3C6A"/>
    <w:rsid w:val="00AD5620"/>
    <w:rsid w:val="00AD656B"/>
    <w:rsid w:val="00AD7C1B"/>
    <w:rsid w:val="00AE16BA"/>
    <w:rsid w:val="00AE1EBE"/>
    <w:rsid w:val="00AF1009"/>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31B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95A12"/>
    <w:rsid w:val="00CB4E70"/>
    <w:rsid w:val="00CC09B6"/>
    <w:rsid w:val="00CC666F"/>
    <w:rsid w:val="00CD1E3F"/>
    <w:rsid w:val="00CE44F6"/>
    <w:rsid w:val="00CE49DA"/>
    <w:rsid w:val="00CE7B61"/>
    <w:rsid w:val="00D00095"/>
    <w:rsid w:val="00D02BB4"/>
    <w:rsid w:val="00D114F0"/>
    <w:rsid w:val="00D20620"/>
    <w:rsid w:val="00D254F7"/>
    <w:rsid w:val="00D26091"/>
    <w:rsid w:val="00D2685C"/>
    <w:rsid w:val="00D3292D"/>
    <w:rsid w:val="00D34E7C"/>
    <w:rsid w:val="00D35489"/>
    <w:rsid w:val="00D36AFE"/>
    <w:rsid w:val="00D51276"/>
    <w:rsid w:val="00D668E8"/>
    <w:rsid w:val="00D7035F"/>
    <w:rsid w:val="00DA634F"/>
    <w:rsid w:val="00DA65AC"/>
    <w:rsid w:val="00DB1913"/>
    <w:rsid w:val="00DC410D"/>
    <w:rsid w:val="00DC5A81"/>
    <w:rsid w:val="00DC68CA"/>
    <w:rsid w:val="00DC7CBA"/>
    <w:rsid w:val="00DD73B7"/>
    <w:rsid w:val="00DF28BC"/>
    <w:rsid w:val="00DF34B9"/>
    <w:rsid w:val="00E01053"/>
    <w:rsid w:val="00E07ACF"/>
    <w:rsid w:val="00E10086"/>
    <w:rsid w:val="00E331A1"/>
    <w:rsid w:val="00E33202"/>
    <w:rsid w:val="00E336A9"/>
    <w:rsid w:val="00E340D1"/>
    <w:rsid w:val="00E472B1"/>
    <w:rsid w:val="00E50624"/>
    <w:rsid w:val="00E54633"/>
    <w:rsid w:val="00E568DF"/>
    <w:rsid w:val="00E56B8A"/>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53F35"/>
    <w:rsid w:val="00F55882"/>
    <w:rsid w:val="00F602DF"/>
    <w:rsid w:val="00F754A1"/>
    <w:rsid w:val="00F81FD9"/>
    <w:rsid w:val="00F841AA"/>
    <w:rsid w:val="00F84A94"/>
    <w:rsid w:val="00F87E96"/>
    <w:rsid w:val="00FA23E8"/>
    <w:rsid w:val="00FD3CC1"/>
    <w:rsid w:val="00FF1E02"/>
    <w:rsid w:val="00FF30B4"/>
    <w:rsid w:val="015975B8"/>
    <w:rsid w:val="01A23516"/>
    <w:rsid w:val="02317B1B"/>
    <w:rsid w:val="024912E2"/>
    <w:rsid w:val="02FEBE30"/>
    <w:rsid w:val="056D353A"/>
    <w:rsid w:val="061E35DE"/>
    <w:rsid w:val="066E0107"/>
    <w:rsid w:val="07391925"/>
    <w:rsid w:val="07996F6E"/>
    <w:rsid w:val="07DFD8BA"/>
    <w:rsid w:val="08DB07E4"/>
    <w:rsid w:val="09867E8F"/>
    <w:rsid w:val="0A116B8A"/>
    <w:rsid w:val="0A1B3F65"/>
    <w:rsid w:val="0A2032A3"/>
    <w:rsid w:val="0C012C2E"/>
    <w:rsid w:val="0C665759"/>
    <w:rsid w:val="0C6C4794"/>
    <w:rsid w:val="0CA8290A"/>
    <w:rsid w:val="0D35B1ED"/>
    <w:rsid w:val="0DE07E2B"/>
    <w:rsid w:val="0E941B37"/>
    <w:rsid w:val="0F98263C"/>
    <w:rsid w:val="10034799"/>
    <w:rsid w:val="101860EC"/>
    <w:rsid w:val="10C055FF"/>
    <w:rsid w:val="11772AA4"/>
    <w:rsid w:val="118107EC"/>
    <w:rsid w:val="11F65B24"/>
    <w:rsid w:val="13957196"/>
    <w:rsid w:val="13D50BC4"/>
    <w:rsid w:val="14022904"/>
    <w:rsid w:val="152F2A07"/>
    <w:rsid w:val="15495480"/>
    <w:rsid w:val="165E0673"/>
    <w:rsid w:val="16BB723D"/>
    <w:rsid w:val="16F13FCB"/>
    <w:rsid w:val="182340E6"/>
    <w:rsid w:val="186504BB"/>
    <w:rsid w:val="190478B9"/>
    <w:rsid w:val="1938089F"/>
    <w:rsid w:val="19A445FC"/>
    <w:rsid w:val="1B59213E"/>
    <w:rsid w:val="1B7D550C"/>
    <w:rsid w:val="1BE8440E"/>
    <w:rsid w:val="1BF718C8"/>
    <w:rsid w:val="1C273F78"/>
    <w:rsid w:val="1C2C7853"/>
    <w:rsid w:val="1D155CEE"/>
    <w:rsid w:val="1DE178F3"/>
    <w:rsid w:val="1E740ACF"/>
    <w:rsid w:val="1FA34EA2"/>
    <w:rsid w:val="1FF35744"/>
    <w:rsid w:val="1FF6BC77"/>
    <w:rsid w:val="20727108"/>
    <w:rsid w:val="21962A9E"/>
    <w:rsid w:val="21AE7C77"/>
    <w:rsid w:val="22BC3C41"/>
    <w:rsid w:val="23860B96"/>
    <w:rsid w:val="240371BF"/>
    <w:rsid w:val="24B30B11"/>
    <w:rsid w:val="260F557C"/>
    <w:rsid w:val="2661190E"/>
    <w:rsid w:val="26BC1CB8"/>
    <w:rsid w:val="281408E2"/>
    <w:rsid w:val="289A7177"/>
    <w:rsid w:val="29C63A81"/>
    <w:rsid w:val="29FD04D3"/>
    <w:rsid w:val="2A1013C2"/>
    <w:rsid w:val="2BFF7BC6"/>
    <w:rsid w:val="2C8A61B5"/>
    <w:rsid w:val="2CFB177D"/>
    <w:rsid w:val="2D2E01CF"/>
    <w:rsid w:val="2DF04E50"/>
    <w:rsid w:val="2E9545B0"/>
    <w:rsid w:val="2F040D46"/>
    <w:rsid w:val="2FAE5751"/>
    <w:rsid w:val="2FB1A395"/>
    <w:rsid w:val="2FD9A7D8"/>
    <w:rsid w:val="319F7F4E"/>
    <w:rsid w:val="321B2544"/>
    <w:rsid w:val="3304709D"/>
    <w:rsid w:val="33B823B2"/>
    <w:rsid w:val="34281836"/>
    <w:rsid w:val="34305EBE"/>
    <w:rsid w:val="349D6851"/>
    <w:rsid w:val="352F5680"/>
    <w:rsid w:val="35BA6CAF"/>
    <w:rsid w:val="35D37231"/>
    <w:rsid w:val="364D14C1"/>
    <w:rsid w:val="36AA5135"/>
    <w:rsid w:val="36BE0DA7"/>
    <w:rsid w:val="376B6AA6"/>
    <w:rsid w:val="376D39B2"/>
    <w:rsid w:val="37E16F03"/>
    <w:rsid w:val="37F53A3B"/>
    <w:rsid w:val="38207B5C"/>
    <w:rsid w:val="384D0964"/>
    <w:rsid w:val="389B6C89"/>
    <w:rsid w:val="38D469F0"/>
    <w:rsid w:val="39627CCD"/>
    <w:rsid w:val="397BAF1F"/>
    <w:rsid w:val="3A1F73B2"/>
    <w:rsid w:val="3AB79AF3"/>
    <w:rsid w:val="3B6B0161"/>
    <w:rsid w:val="3B7EF35A"/>
    <w:rsid w:val="3B9FDB6C"/>
    <w:rsid w:val="3BF5BC2F"/>
    <w:rsid w:val="3CEBA265"/>
    <w:rsid w:val="3D98207C"/>
    <w:rsid w:val="3D9B0D99"/>
    <w:rsid w:val="3DEE7CF3"/>
    <w:rsid w:val="3DF02244"/>
    <w:rsid w:val="3E78745D"/>
    <w:rsid w:val="3F731171"/>
    <w:rsid w:val="3FF4CAE0"/>
    <w:rsid w:val="3FF7B227"/>
    <w:rsid w:val="40524739"/>
    <w:rsid w:val="40E54C45"/>
    <w:rsid w:val="41313393"/>
    <w:rsid w:val="41AC3523"/>
    <w:rsid w:val="41F25FE6"/>
    <w:rsid w:val="434A075F"/>
    <w:rsid w:val="4367430C"/>
    <w:rsid w:val="43A407DF"/>
    <w:rsid w:val="44515BEA"/>
    <w:rsid w:val="44C46F12"/>
    <w:rsid w:val="44E268DA"/>
    <w:rsid w:val="453F7E5B"/>
    <w:rsid w:val="47E50732"/>
    <w:rsid w:val="486A6C7A"/>
    <w:rsid w:val="48BD4A27"/>
    <w:rsid w:val="48D17C0D"/>
    <w:rsid w:val="49176D9B"/>
    <w:rsid w:val="494006BD"/>
    <w:rsid w:val="4A627F82"/>
    <w:rsid w:val="4B0E749A"/>
    <w:rsid w:val="4B4F25DA"/>
    <w:rsid w:val="4B5B335D"/>
    <w:rsid w:val="4BDA0CFB"/>
    <w:rsid w:val="4BE068DB"/>
    <w:rsid w:val="4D3C0CCC"/>
    <w:rsid w:val="4D577224"/>
    <w:rsid w:val="4D846A35"/>
    <w:rsid w:val="4DBF1CEB"/>
    <w:rsid w:val="4EAB630A"/>
    <w:rsid w:val="4ECE2238"/>
    <w:rsid w:val="4F833267"/>
    <w:rsid w:val="4FE9BD67"/>
    <w:rsid w:val="4FFB052F"/>
    <w:rsid w:val="519E599C"/>
    <w:rsid w:val="53083A92"/>
    <w:rsid w:val="537E6D0A"/>
    <w:rsid w:val="53AF27A2"/>
    <w:rsid w:val="53F74C96"/>
    <w:rsid w:val="569021B1"/>
    <w:rsid w:val="56B74F73"/>
    <w:rsid w:val="56D402F0"/>
    <w:rsid w:val="56E47B74"/>
    <w:rsid w:val="57BD3DD4"/>
    <w:rsid w:val="5983291E"/>
    <w:rsid w:val="5AF92295"/>
    <w:rsid w:val="5BDD79E6"/>
    <w:rsid w:val="5BF561CA"/>
    <w:rsid w:val="5BFF5DFC"/>
    <w:rsid w:val="5C337C61"/>
    <w:rsid w:val="5CD71FC4"/>
    <w:rsid w:val="5CE609FA"/>
    <w:rsid w:val="5D1F11B5"/>
    <w:rsid w:val="5DAE1B18"/>
    <w:rsid w:val="5DE7D9E5"/>
    <w:rsid w:val="5E2E41FE"/>
    <w:rsid w:val="5ECEC941"/>
    <w:rsid w:val="5F493CB7"/>
    <w:rsid w:val="5FBF9FF3"/>
    <w:rsid w:val="5FCD4E2C"/>
    <w:rsid w:val="5FD15F49"/>
    <w:rsid w:val="5FEF394A"/>
    <w:rsid w:val="5FF67715"/>
    <w:rsid w:val="60010B59"/>
    <w:rsid w:val="61613A3E"/>
    <w:rsid w:val="62BF3928"/>
    <w:rsid w:val="647F5392"/>
    <w:rsid w:val="664B1D71"/>
    <w:rsid w:val="66D81D68"/>
    <w:rsid w:val="67AA3209"/>
    <w:rsid w:val="6808604B"/>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05867DB"/>
    <w:rsid w:val="70673B2B"/>
    <w:rsid w:val="712A28F1"/>
    <w:rsid w:val="715C0E4B"/>
    <w:rsid w:val="72233669"/>
    <w:rsid w:val="72393079"/>
    <w:rsid w:val="72734D90"/>
    <w:rsid w:val="7316712E"/>
    <w:rsid w:val="7332FE48"/>
    <w:rsid w:val="738E6768"/>
    <w:rsid w:val="73AB61DA"/>
    <w:rsid w:val="73AD73D5"/>
    <w:rsid w:val="73B6EB34"/>
    <w:rsid w:val="73FA497D"/>
    <w:rsid w:val="744731E5"/>
    <w:rsid w:val="74527205"/>
    <w:rsid w:val="74BBD01D"/>
    <w:rsid w:val="74ED5379"/>
    <w:rsid w:val="74FC2395"/>
    <w:rsid w:val="756B7C19"/>
    <w:rsid w:val="75DEEEC2"/>
    <w:rsid w:val="76E3355F"/>
    <w:rsid w:val="76FF5125"/>
    <w:rsid w:val="775547FE"/>
    <w:rsid w:val="776F6FFA"/>
    <w:rsid w:val="778769C8"/>
    <w:rsid w:val="77DC22F5"/>
    <w:rsid w:val="77E5542C"/>
    <w:rsid w:val="79086DAD"/>
    <w:rsid w:val="79974F09"/>
    <w:rsid w:val="79D7FD79"/>
    <w:rsid w:val="79EE5BA4"/>
    <w:rsid w:val="7A894339"/>
    <w:rsid w:val="7AFF7572"/>
    <w:rsid w:val="7B6C7DFB"/>
    <w:rsid w:val="7BBFBED0"/>
    <w:rsid w:val="7BC3E394"/>
    <w:rsid w:val="7C1F3737"/>
    <w:rsid w:val="7C4A252D"/>
    <w:rsid w:val="7C9B6AAB"/>
    <w:rsid w:val="7CBFC87B"/>
    <w:rsid w:val="7CFE0F48"/>
    <w:rsid w:val="7D7EC23E"/>
    <w:rsid w:val="7D916348"/>
    <w:rsid w:val="7E2D569D"/>
    <w:rsid w:val="7E8ADEBF"/>
    <w:rsid w:val="7EEF11D3"/>
    <w:rsid w:val="7F0971A6"/>
    <w:rsid w:val="7F2257ED"/>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7BD3F26"/>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oleObject" Target="embeddings/oleObject2.bin"/><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4.emf"/><Relationship Id="rId15" Type="http://schemas.openxmlformats.org/officeDocument/2006/relationships/oleObject" Target="embeddings/oleObject5.bin"/><Relationship Id="rId14" Type="http://schemas.openxmlformats.org/officeDocument/2006/relationships/image" Target="media/image3.emf"/><Relationship Id="rId13" Type="http://schemas.openxmlformats.org/officeDocument/2006/relationships/oleObject" Target="embeddings/oleObject4.bin"/><Relationship Id="rId12" Type="http://schemas.openxmlformats.org/officeDocument/2006/relationships/chart" Target="charts/chart2.xml"/><Relationship Id="rId11" Type="http://schemas.openxmlformats.org/officeDocument/2006/relationships/oleObject" Target="embeddings/oleObject3.bin"/><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dk1">
                    <a:lumMod val="75000"/>
                    <a:lumOff val="25000"/>
                  </a:schemeClr>
                </a:solidFill>
                <a:latin typeface="+mn-lt"/>
                <a:ea typeface="+mn-ea"/>
                <a:cs typeface="+mn-cs"/>
              </a:defRPr>
            </a:pPr>
            <a:r>
              <a:t>基本支出</a:t>
            </a:r>
          </a:p>
        </c:rich>
      </c:tx>
      <c:layout/>
      <c:overlay val="0"/>
      <c:spPr>
        <a:noFill/>
        <a:ln>
          <a:noFill/>
        </a:ln>
        <a:effectLst/>
      </c:spPr>
    </c:title>
    <c:autoTitleDeleted val="0"/>
    <c:plotArea>
      <c:layout/>
      <c:pieChart>
        <c:varyColors val="1"/>
        <c:ser>
          <c:idx val="0"/>
          <c:order val="0"/>
          <c:tx>
            <c:strRef>
              <c:extLst>
                <c:ext xmlns:c15="http://schemas.microsoft.com/office/drawing/2012/chart" uri="{02D57815-91ED-43cb-92C2-25804820EDAC}">
                  <c15:fullRef>
                    <c15:sqref>Sheet1!$B$1</c15:sqref>
                  </c15:fullRef>
                  <c15:levelRef>
                    <c15:sqref>Sheet1!$B$1</c15:sqref>
                  </c15:levelRef>
                </c:ext>
              </c:extLst>
              <c:f>Sheet1!$B$1</c:f>
              <c:strCache>
                <c:ptCount val="1"/>
                <c:pt idx="0">
                  <c:v>列1</c:v>
                </c:pt>
              </c:strCache>
            </c:strRef>
          </c:tx>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delete val="1"/>
          </c:dLbls>
          <c:cat>
            <c:strRef>
              <c:f>Sheet1!$A$2:$A$5</c:f>
              <c:strCache>
                <c:ptCount val="4"/>
                <c:pt idx="0">
                  <c:v>基本支出：1496.34万元占16.45%</c:v>
                </c:pt>
                <c:pt idx="1">
                  <c:v>项目支出：7599.60万元占83.55%</c:v>
                </c:pt>
                <c:pt idx="2">
                  <c:v>上缴上级支出：0万元</c:v>
                </c:pt>
                <c:pt idx="3">
                  <c:v>经营支出：0万元</c:v>
                </c:pt>
              </c:strCache>
            </c:strRef>
          </c:cat>
          <c:val>
            <c:numRef>
              <c:f>Sheet1!$B$2:$B$5</c:f>
              <c:numCache>
                <c:formatCode>General</c:formatCode>
                <c:ptCount val="4"/>
                <c:pt idx="0">
                  <c:v>8.2</c:v>
                </c:pt>
                <c:pt idx="1">
                  <c:v>3.2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支出情况</a:t>
            </a:r>
          </a:p>
        </c:rich>
      </c:tx>
      <c:layout>
        <c:manualLayout>
          <c:xMode val="edge"/>
          <c:yMode val="edge"/>
          <c:x val="0.425268267756771"/>
          <c:y val="0.0289832610043397"/>
        </c:manualLayout>
      </c:layout>
      <c:overlay val="0"/>
      <c:spPr>
        <a:noFill/>
        <a:ln>
          <a:noFill/>
        </a:ln>
        <a:effectLst/>
      </c:spPr>
    </c:title>
    <c:autoTitleDeleted val="0"/>
    <c:plotArea>
      <c:layout>
        <c:manualLayout>
          <c:layoutTarget val="inner"/>
          <c:xMode val="edge"/>
          <c:yMode val="edge"/>
          <c:x val="0.0506986586612161"/>
          <c:y val="0.104256708714856"/>
          <c:w val="0.943425000000001"/>
          <c:h val="0.829314277026"/>
        </c:manualLayout>
      </c:layout>
      <c:barChart>
        <c:barDir val="col"/>
        <c:grouping val="clustered"/>
        <c:varyColors val="0"/>
        <c:ser>
          <c:idx val="0"/>
          <c:order val="0"/>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9095.94万元</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5251.76万元</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2025年支出</c:v>
                </c:pt>
                <c:pt idx="1">
                  <c:v>2024年支出</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5</c:v>
                </c:pt>
                <c:pt idx="1">
                  <c:v>3.8</c:v>
                </c:pt>
              </c:numCache>
            </c:numRef>
          </c:val>
          <c:extLst>
            <c:ext xmlns:c15="http://schemas.microsoft.com/office/drawing/2012/chart" uri="{02D57815-91ED-43cb-92C2-25804820EDAC}">
              <c15:filteredSeriesTitle>
                <c15:tx>
                  <c:strRef>
                    <c:extLst>
                      <c:ext uri="{02D57815-91ED-43cb-92C2-25804820EDAC}">
                        <c15:formulaRef>
                          <c15:sqref>Sheet1!$B$1</c15:sqref>
                        </c15:formulaRef>
                      </c:ext>
                    </c:extLst>
                    <c:strCache>
                      <c:ptCount val="1"/>
                      <c:pt idx="0">
                        <c:v>系列 1</c:v>
                      </c:pt>
                    </c:strCache>
                  </c:strRef>
                </c15:tx>
              </c15:filteredSeriesTitle>
            </c:ext>
            <c:ext xmlns:c15="http://schemas.microsoft.com/office/drawing/2012/chart" uri="{02D57815-91ED-43cb-92C2-25804820EDAC}">
              <c15:filteredCategoryTitle>
                <c15:cat>
                  <c:strRef>
                    <c:extLst>
                      <c:ext xmlns:c15="http://schemas.microsoft.com/office/drawing/2012/chart" uri="{02D57815-91ED-43cb-92C2-25804820EDAC}">
                        <c15:fullRef>
                          <c15:sqref>Sheet1!$A$2:$A$5</c15:sqref>
                        </c15:fullRef>
                      </c:ext>
                    </c:extLst>
                    <c:f>Sheet1!$A$2:$A$3</c:f>
                    <c:strCache>
                      <c:ptCount val="2"/>
                      <c:pt idx="0">
                        <c:v>2025年支出</c:v>
                      </c:pt>
                      <c:pt idx="1">
                        <c:v>2024年支出</c:v>
                      </c:pt>
                    </c:strCache>
                  </c:strRef>
                </c15:cat>
              </c15:filteredCategoryTitle>
            </c:ext>
          </c:extLst>
        </c:ser>
        <c:dLbls>
          <c:showLegendKey val="0"/>
          <c:showVal val="1"/>
          <c:showCatName val="0"/>
          <c:showSerName val="0"/>
          <c:showPercent val="0"/>
          <c:showBubbleSize val="0"/>
        </c:dLbls>
        <c:gapWidth val="219"/>
        <c:overlap val="-27"/>
        <c:axId val="78406016"/>
        <c:axId val="78407552"/>
      </c:barChart>
      <c:catAx>
        <c:axId val="78406016"/>
        <c:scaling>
          <c:orientation val="minMax"/>
        </c:scaling>
        <c:delete val="0"/>
        <c:axPos val="b"/>
        <c:majorTickMark val="out"/>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407552"/>
        <c:crosses val="autoZero"/>
        <c:auto val="1"/>
        <c:lblAlgn val="ctr"/>
        <c:lblOffset val="100"/>
        <c:noMultiLvlLbl val="0"/>
      </c:catAx>
      <c:valAx>
        <c:axId val="7840755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out"/>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4060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33</Pages>
  <Words>11977</Words>
  <Characters>1610</Characters>
  <Lines>13</Lines>
  <Paragraphs>27</Paragraphs>
  <TotalTime>29</TotalTime>
  <ScaleCrop>false</ScaleCrop>
  <LinksUpToDate>false</LinksUpToDate>
  <CharactersWithSpaces>13560</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2026-10-23T09:38:00Z</cp:lastPrinted>
  <dcterms:modified xsi:type="dcterms:W3CDTF">2026-10-23T16:40:42Z</dcterms:modified>
  <dc:title>四川省***</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400D301575C74348A5277D00A7902E06</vt:lpwstr>
  </property>
  <property fmtid="{D5CDD505-2E9C-101B-9397-08002B2CF9AE}" pid="4" name="KSOTemplateDocerSaveRecord">
    <vt:lpwstr>eyJoZGlkIjoiYzE2YzA0ODM1NWJjNjc5MDJhNmZhZDdiMTUxMTc2ZDciLCJ1c2VySWQiOiIyMDg2NzkyNjgifQ==</vt:lpwstr>
  </property>
</Properties>
</file>