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72"/>
          <w:szCs w:val="72"/>
        </w:rPr>
      </w:pPr>
      <w:bookmarkStart w:id="0" w:name="_Toc15378441"/>
      <w:bookmarkStart w:id="1" w:name="_Toc15396597"/>
      <w:bookmarkStart w:id="2" w:name="_Toc15377425"/>
      <w:bookmarkStart w:id="3" w:name="_Toc15377193"/>
      <w:bookmarkStart w:id="4" w:name="_Toc15396475"/>
    </w:p>
    <w:p>
      <w:pPr>
        <w:jc w:val="center"/>
        <w:rPr>
          <w:sz w:val="72"/>
          <w:szCs w:val="72"/>
        </w:rPr>
      </w:pPr>
    </w:p>
    <w:p>
      <w:pPr>
        <w:jc w:val="center"/>
        <w:rPr>
          <w:rFonts w:ascii="方正小标宋简体" w:hAnsi="宋体" w:eastAsia="方正小标宋简体"/>
          <w:sz w:val="72"/>
          <w:szCs w:val="72"/>
        </w:rPr>
      </w:pPr>
      <w:r>
        <w:rPr>
          <w:sz w:val="72"/>
          <w:szCs w:val="72"/>
        </w:rPr>
        <w:t>201</w:t>
      </w:r>
      <w:r>
        <w:rPr>
          <w:rFonts w:hint="eastAsia"/>
          <w:sz w:val="72"/>
          <w:szCs w:val="72"/>
        </w:rPr>
        <w:t>9</w:t>
      </w:r>
      <w:r>
        <w:rPr>
          <w:rFonts w:hint="eastAsia" w:ascii="方正小标宋简体" w:hAnsi="宋体" w:eastAsia="方正小标宋简体"/>
          <w:sz w:val="72"/>
          <w:szCs w:val="72"/>
        </w:rPr>
        <w:t>年度</w:t>
      </w:r>
      <w:bookmarkEnd w:id="0"/>
      <w:bookmarkEnd w:id="1"/>
      <w:bookmarkEnd w:id="2"/>
      <w:bookmarkEnd w:id="3"/>
      <w:bookmarkEnd w:id="4"/>
    </w:p>
    <w:p>
      <w:pPr>
        <w:adjustRightInd w:val="0"/>
        <w:snapToGrid w:val="0"/>
        <w:spacing w:line="360" w:lineRule="auto"/>
        <w:jc w:val="center"/>
        <w:outlineLvl w:val="0"/>
        <w:rPr>
          <w:rFonts w:ascii="方正小标宋简体" w:hAnsi="宋体" w:eastAsia="方正小标宋简体"/>
          <w:color w:val="000000"/>
          <w:sz w:val="72"/>
          <w:szCs w:val="72"/>
        </w:rPr>
      </w:pPr>
      <w:bookmarkStart w:id="5" w:name="_Toc15396476"/>
      <w:bookmarkStart w:id="6" w:name="_Toc15396598"/>
      <w:bookmarkStart w:id="7" w:name="_Toc15377194"/>
      <w:bookmarkStart w:id="8" w:name="_Toc15377426"/>
      <w:bookmarkStart w:id="9" w:name="_Toc15378442"/>
      <w:r>
        <w:rPr>
          <w:rFonts w:hint="eastAsia" w:ascii="方正小标宋简体" w:hAnsi="宋体" w:eastAsia="方正小标宋简体"/>
          <w:color w:val="000000"/>
          <w:sz w:val="72"/>
          <w:szCs w:val="72"/>
        </w:rPr>
        <w:t>四川省阿坝州壤塘县</w:t>
      </w:r>
    </w:p>
    <w:p>
      <w:pPr>
        <w:adjustRightInd w:val="0"/>
        <w:snapToGrid w:val="0"/>
        <w:spacing w:line="360" w:lineRule="auto"/>
        <w:jc w:val="center"/>
        <w:outlineLvl w:val="0"/>
        <w:rPr>
          <w:rFonts w:ascii="方正小标宋简体" w:hAnsi="宋体" w:eastAsia="方正小标宋简体"/>
          <w:color w:val="000000"/>
          <w:sz w:val="72"/>
          <w:szCs w:val="72"/>
        </w:rPr>
      </w:pPr>
      <w:bookmarkStart w:id="10" w:name="_Toc15306268"/>
      <w:r>
        <w:rPr>
          <w:rFonts w:hint="eastAsia" w:ascii="方正小标宋简体" w:hAnsi="宋体" w:eastAsia="方正小标宋简体"/>
          <w:color w:val="000000"/>
          <w:sz w:val="72"/>
          <w:szCs w:val="72"/>
        </w:rPr>
        <w:t>林业和草原局部门</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决算</w:t>
      </w:r>
      <w:bookmarkEnd w:id="5"/>
      <w:bookmarkEnd w:id="6"/>
      <w:bookmarkEnd w:id="7"/>
      <w:bookmarkEnd w:id="8"/>
      <w:bookmarkEnd w:id="9"/>
      <w:bookmarkEnd w:id="10"/>
      <w:r>
        <w:rPr>
          <w:rFonts w:hint="eastAsia" w:ascii="方正小标宋简体" w:hAnsi="宋体" w:eastAsia="方正小标宋简体"/>
          <w:color w:val="000000"/>
          <w:sz w:val="72"/>
          <w:szCs w:val="72"/>
        </w:rPr>
        <w:t>说明</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事业</w:t>
      </w:r>
    </w:p>
    <w:p>
      <w:pPr>
        <w:autoSpaceDE w:val="0"/>
        <w:autoSpaceDN w:val="0"/>
        <w:adjustRightInd w:val="0"/>
        <w:jc w:val="center"/>
        <w:rPr>
          <w:rFonts w:ascii="黑体" w:hAnsi="黑体" w:eastAsia="黑体"/>
          <w:color w:val="000000"/>
          <w:sz w:val="48"/>
          <w:szCs w:val="48"/>
        </w:rPr>
      </w:pPr>
    </w:p>
    <w:p>
      <w:pPr>
        <w:autoSpaceDE w:val="0"/>
        <w:autoSpaceDN w:val="0"/>
        <w:adjustRightInd w:val="0"/>
        <w:jc w:val="center"/>
        <w:rPr>
          <w:rFonts w:ascii="黑体" w:hAnsi="黑体" w:eastAsia="黑体"/>
          <w:color w:val="000000"/>
          <w:sz w:val="48"/>
          <w:szCs w:val="48"/>
        </w:rPr>
      </w:pPr>
    </w:p>
    <w:p>
      <w:pPr>
        <w:autoSpaceDE w:val="0"/>
        <w:autoSpaceDN w:val="0"/>
        <w:adjustRightInd w:val="0"/>
        <w:jc w:val="center"/>
        <w:rPr>
          <w:rFonts w:ascii="黑体" w:hAnsi="黑体" w:eastAsia="黑体"/>
          <w:color w:val="000000"/>
          <w:sz w:val="48"/>
          <w:szCs w:val="48"/>
        </w:rPr>
        <w:sectPr>
          <w:footerReference r:id="rId3" w:type="default"/>
          <w:pgSz w:w="11906" w:h="16838"/>
          <w:pgMar w:top="1440" w:right="1800" w:bottom="1440" w:left="1800" w:header="851" w:footer="992" w:gutter="0"/>
          <w:pgNumType w:start="1"/>
          <w:cols w:space="720" w:num="1"/>
          <w:docGrid w:type="lines" w:linePitch="312" w:charSpace="0"/>
        </w:sectPr>
      </w:pPr>
    </w:p>
    <w:p>
      <w:pPr>
        <w:autoSpaceDE w:val="0"/>
        <w:autoSpaceDN w:val="0"/>
        <w:adjustRightInd w:val="0"/>
        <w:jc w:val="center"/>
        <w:rPr>
          <w:rFonts w:eastAsia="仿宋_GB2312"/>
          <w:sz w:val="32"/>
          <w:szCs w:val="32"/>
        </w:rPr>
      </w:pPr>
      <w:r>
        <w:rPr>
          <w:rFonts w:hint="eastAsia" w:ascii="黑体" w:hAnsi="黑体" w:eastAsia="黑体"/>
          <w:color w:val="000000"/>
          <w:sz w:val="48"/>
          <w:szCs w:val="48"/>
        </w:rPr>
        <w:t>目 录</w:t>
      </w:r>
    </w:p>
    <w:p>
      <w:pPr>
        <w:widowControl/>
        <w:jc w:val="center"/>
        <w:rPr>
          <w:rFonts w:ascii="黑体" w:hAnsi="黑体" w:eastAsia="黑体"/>
          <w:sz w:val="28"/>
          <w:szCs w:val="28"/>
        </w:rPr>
      </w:pPr>
    </w:p>
    <w:p/>
    <w:p>
      <w:pPr>
        <w:pStyle w:val="8"/>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部门概况...........................................1</w:t>
      </w:r>
    </w:p>
    <w:p>
      <w:pPr>
        <w:pStyle w:val="9"/>
        <w:adjustRightInd w:val="0"/>
        <w:snapToGrid w:val="0"/>
        <w:spacing w:line="440" w:lineRule="exact"/>
        <w:jc w:val="left"/>
        <w:rPr>
          <w:rFonts w:ascii="仿宋" w:hAnsi="仿宋"/>
          <w:sz w:val="24"/>
        </w:rPr>
      </w:pPr>
      <w:r>
        <w:rPr>
          <w:rFonts w:hint="eastAsia"/>
          <w:sz w:val="24"/>
        </w:rPr>
        <w:t>一、基本职能及主要工作....................................................................1</w:t>
      </w:r>
    </w:p>
    <w:p>
      <w:pPr>
        <w:pStyle w:val="9"/>
        <w:adjustRightInd w:val="0"/>
        <w:snapToGrid w:val="0"/>
        <w:spacing w:line="440" w:lineRule="exact"/>
        <w:jc w:val="left"/>
        <w:rPr>
          <w:rFonts w:ascii="仿宋" w:hAnsi="仿宋"/>
          <w:sz w:val="24"/>
        </w:rPr>
      </w:pPr>
      <w:r>
        <w:rPr>
          <w:rFonts w:hint="eastAsia"/>
          <w:sz w:val="24"/>
        </w:rPr>
        <w:t>二、机构设置........................................................................................4</w:t>
      </w:r>
    </w:p>
    <w:p>
      <w:pPr>
        <w:pStyle w:val="8"/>
        <w:adjustRightInd w:val="0"/>
        <w:snapToGrid w:val="0"/>
        <w:spacing w:before="0" w:line="440" w:lineRule="exact"/>
        <w:jc w:val="left"/>
        <w:rPr>
          <w:sz w:val="24"/>
          <w:szCs w:val="24"/>
        </w:rPr>
      </w:pPr>
      <w:r>
        <w:rPr>
          <w:rFonts w:hint="eastAsia"/>
          <w:sz w:val="24"/>
        </w:rPr>
        <w:t>第二部分度部门决算情况说明.................................5</w:t>
      </w:r>
    </w:p>
    <w:p>
      <w:pPr>
        <w:pStyle w:val="9"/>
        <w:adjustRightInd w:val="0"/>
        <w:snapToGrid w:val="0"/>
        <w:spacing w:line="440" w:lineRule="exact"/>
        <w:jc w:val="left"/>
        <w:rPr>
          <w:rFonts w:ascii="仿宋" w:hAnsi="仿宋"/>
          <w:sz w:val="24"/>
        </w:rPr>
      </w:pPr>
      <w:r>
        <w:rPr>
          <w:rFonts w:hint="eastAsia"/>
          <w:sz w:val="24"/>
        </w:rPr>
        <w:t>一、收入支出决算总体情况说明........................................................6</w:t>
      </w:r>
    </w:p>
    <w:p>
      <w:pPr>
        <w:pStyle w:val="9"/>
        <w:adjustRightInd w:val="0"/>
        <w:snapToGrid w:val="0"/>
        <w:spacing w:line="440" w:lineRule="exact"/>
        <w:jc w:val="left"/>
        <w:rPr>
          <w:rFonts w:ascii="仿宋" w:hAnsi="仿宋"/>
          <w:sz w:val="24"/>
        </w:rPr>
      </w:pPr>
      <w:r>
        <w:rPr>
          <w:rFonts w:hint="eastAsia"/>
          <w:sz w:val="24"/>
        </w:rPr>
        <w:t>二、收入决算情况说明........................................................................6</w:t>
      </w:r>
    </w:p>
    <w:p>
      <w:pPr>
        <w:pStyle w:val="9"/>
        <w:adjustRightInd w:val="0"/>
        <w:snapToGrid w:val="0"/>
        <w:spacing w:line="440" w:lineRule="exact"/>
        <w:jc w:val="left"/>
        <w:rPr>
          <w:rFonts w:ascii="仿宋" w:hAnsi="仿宋"/>
          <w:sz w:val="24"/>
        </w:rPr>
      </w:pPr>
      <w:r>
        <w:rPr>
          <w:rFonts w:hint="eastAsia"/>
          <w:sz w:val="24"/>
        </w:rPr>
        <w:t>三、支出决算情况说明.......................................................................7</w:t>
      </w:r>
    </w:p>
    <w:p>
      <w:pPr>
        <w:pStyle w:val="9"/>
        <w:adjustRightInd w:val="0"/>
        <w:snapToGrid w:val="0"/>
        <w:spacing w:line="440" w:lineRule="exact"/>
        <w:jc w:val="left"/>
        <w:rPr>
          <w:rFonts w:ascii="仿宋" w:hAnsi="仿宋"/>
          <w:sz w:val="24"/>
        </w:rPr>
      </w:pPr>
      <w:r>
        <w:rPr>
          <w:rFonts w:hint="eastAsia"/>
          <w:sz w:val="24"/>
        </w:rPr>
        <w:t>四、财政拨款收入支出决算总体情况说明.........................................8</w:t>
      </w:r>
    </w:p>
    <w:p>
      <w:pPr>
        <w:pStyle w:val="9"/>
        <w:adjustRightInd w:val="0"/>
        <w:snapToGrid w:val="0"/>
        <w:spacing w:line="440" w:lineRule="exact"/>
        <w:jc w:val="left"/>
        <w:rPr>
          <w:rFonts w:ascii="仿宋" w:hAnsi="仿宋"/>
          <w:sz w:val="24"/>
        </w:rPr>
      </w:pPr>
      <w:r>
        <w:rPr>
          <w:rFonts w:hint="eastAsia"/>
          <w:sz w:val="24"/>
        </w:rPr>
        <w:t>五、一般公共预算财政拨款支出决算情况说明.................................8</w:t>
      </w:r>
    </w:p>
    <w:p>
      <w:pPr>
        <w:pStyle w:val="9"/>
        <w:adjustRightInd w:val="0"/>
        <w:snapToGrid w:val="0"/>
        <w:spacing w:line="440" w:lineRule="exact"/>
        <w:jc w:val="left"/>
        <w:rPr>
          <w:rFonts w:ascii="仿宋" w:hAnsi="仿宋"/>
          <w:sz w:val="24"/>
        </w:rPr>
      </w:pPr>
      <w:r>
        <w:rPr>
          <w:rFonts w:hint="eastAsia"/>
          <w:sz w:val="24"/>
        </w:rPr>
        <w:t>六、一般公共预算财政拨款基本支出决算情况说明.........................11</w:t>
      </w:r>
    </w:p>
    <w:p>
      <w:pPr>
        <w:pStyle w:val="9"/>
        <w:adjustRightInd w:val="0"/>
        <w:snapToGrid w:val="0"/>
        <w:spacing w:line="440" w:lineRule="exact"/>
        <w:jc w:val="left"/>
        <w:rPr>
          <w:rFonts w:ascii="仿宋" w:hAnsi="仿宋"/>
          <w:sz w:val="24"/>
        </w:rPr>
      </w:pPr>
      <w:r>
        <w:rPr>
          <w:rFonts w:hint="eastAsia"/>
          <w:sz w:val="24"/>
        </w:rPr>
        <w:t>七、</w:t>
      </w:r>
      <w:r>
        <w:rPr>
          <w:sz w:val="24"/>
        </w:rPr>
        <w:t>“</w:t>
      </w:r>
      <w:r>
        <w:rPr>
          <w:rFonts w:hint="eastAsia"/>
          <w:sz w:val="24"/>
        </w:rPr>
        <w:t>三公”经费财政拨款支出决算情况说明..................................12</w:t>
      </w:r>
    </w:p>
    <w:p>
      <w:pPr>
        <w:pStyle w:val="9"/>
        <w:adjustRightInd w:val="0"/>
        <w:snapToGrid w:val="0"/>
        <w:spacing w:line="440" w:lineRule="exact"/>
        <w:jc w:val="left"/>
        <w:rPr>
          <w:rFonts w:ascii="仿宋" w:hAnsi="仿宋"/>
          <w:sz w:val="24"/>
        </w:rPr>
      </w:pPr>
      <w:r>
        <w:rPr>
          <w:rFonts w:hint="eastAsia"/>
          <w:sz w:val="24"/>
        </w:rPr>
        <w:t>八、政府性基金预算支出决算情况说明...........................................13</w:t>
      </w:r>
    </w:p>
    <w:p>
      <w:pPr>
        <w:pStyle w:val="9"/>
        <w:adjustRightInd w:val="0"/>
        <w:snapToGrid w:val="0"/>
        <w:spacing w:line="440" w:lineRule="exact"/>
        <w:ind w:leftChars="0"/>
        <w:jc w:val="left"/>
        <w:rPr>
          <w:rFonts w:ascii="仿宋" w:hAnsi="仿宋"/>
          <w:sz w:val="24"/>
        </w:rPr>
      </w:pPr>
      <w:r>
        <w:rPr>
          <w:rFonts w:hint="eastAsia" w:ascii="仿宋" w:hAnsi="仿宋" w:eastAsia="仿宋"/>
          <w:sz w:val="24"/>
        </w:rPr>
        <w:t>九、</w:t>
      </w:r>
      <w:r>
        <w:rPr>
          <w:sz w:val="24"/>
        </w:rPr>
        <w:t xml:space="preserve"> 国</w:t>
      </w:r>
      <w:r>
        <w:rPr>
          <w:rFonts w:hint="eastAsia"/>
          <w:sz w:val="24"/>
        </w:rPr>
        <w:t>有资本经营预算支出决算情况说明.......................................13</w:t>
      </w:r>
    </w:p>
    <w:p>
      <w:pPr>
        <w:adjustRightInd w:val="0"/>
        <w:snapToGrid w:val="0"/>
        <w:spacing w:line="440" w:lineRule="exact"/>
        <w:ind w:firstLine="480" w:firstLineChars="200"/>
        <w:jc w:val="left"/>
        <w:rPr>
          <w:rFonts w:ascii="仿宋" w:hAnsi="仿宋" w:eastAsia="仿宋"/>
          <w:sz w:val="24"/>
        </w:rPr>
      </w:pPr>
      <w:r>
        <w:rPr>
          <w:rStyle w:val="13"/>
          <w:rFonts w:hint="eastAsia" w:ascii="仿宋" w:hAnsi="仿宋" w:eastAsia="仿宋"/>
          <w:color w:val="000000"/>
          <w:sz w:val="24"/>
        </w:rPr>
        <w:t>十、</w:t>
      </w:r>
      <w:r>
        <w:rPr>
          <w:rFonts w:hint="eastAsia"/>
          <w:sz w:val="24"/>
        </w:rPr>
        <w:t>其他重要事项的情况说明............................................................14</w:t>
      </w:r>
      <w:r>
        <w:rPr>
          <w:rFonts w:ascii="仿宋" w:hAnsi="仿宋" w:eastAsia="仿宋"/>
          <w:sz w:val="24"/>
        </w:rPr>
        <w:tab/>
      </w:r>
    </w:p>
    <w:p>
      <w:pPr>
        <w:pStyle w:val="8"/>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Pr>
          <w:rFonts w:hint="eastAsia"/>
          <w:sz w:val="24"/>
          <w:szCs w:val="24"/>
        </w:rPr>
        <w:t>...........................................18</w:t>
      </w:r>
    </w:p>
    <w:p>
      <w:pPr>
        <w:pStyle w:val="9"/>
        <w:adjustRightInd w:val="0"/>
        <w:snapToGrid w:val="0"/>
        <w:spacing w:line="440" w:lineRule="exact"/>
        <w:jc w:val="left"/>
        <w:rPr>
          <w:rFonts w:ascii="仿宋" w:hAnsi="仿宋"/>
          <w:sz w:val="24"/>
        </w:rPr>
      </w:pPr>
      <w:r>
        <w:rPr>
          <w:rFonts w:hint="eastAsia"/>
          <w:sz w:val="24"/>
        </w:rPr>
        <w:t>附件</w:t>
      </w:r>
      <w:r>
        <w:rPr>
          <w:sz w:val="24"/>
        </w:rPr>
        <w:t>1</w:t>
      </w:r>
      <w:r>
        <w:rPr>
          <w:rFonts w:hint="eastAsia"/>
          <w:sz w:val="24"/>
        </w:rPr>
        <w:t>.....................................................................................................</w:t>
      </w:r>
    </w:p>
    <w:p>
      <w:pPr>
        <w:pStyle w:val="9"/>
        <w:adjustRightInd w:val="0"/>
        <w:snapToGrid w:val="0"/>
        <w:spacing w:line="440" w:lineRule="exact"/>
        <w:jc w:val="left"/>
        <w:rPr>
          <w:rFonts w:ascii="仿宋" w:hAnsi="仿宋"/>
          <w:sz w:val="24"/>
        </w:rPr>
      </w:pPr>
      <w:r>
        <w:rPr>
          <w:rFonts w:hint="eastAsia"/>
          <w:sz w:val="24"/>
        </w:rPr>
        <w:t>附件</w:t>
      </w:r>
      <w:r>
        <w:rPr>
          <w:sz w:val="24"/>
        </w:rPr>
        <w:t>2</w:t>
      </w:r>
      <w:r>
        <w:rPr>
          <w:rFonts w:hint="eastAsia"/>
          <w:sz w:val="24"/>
        </w:rPr>
        <w:t>.....................................................................................................</w:t>
      </w:r>
    </w:p>
    <w:p>
      <w:pPr>
        <w:pStyle w:val="8"/>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附表...............................................19</w:t>
      </w:r>
    </w:p>
    <w:p>
      <w:pPr>
        <w:pStyle w:val="9"/>
        <w:adjustRightInd w:val="0"/>
        <w:snapToGrid w:val="0"/>
        <w:spacing w:line="440" w:lineRule="exact"/>
        <w:jc w:val="left"/>
        <w:rPr>
          <w:rFonts w:ascii="仿宋" w:hAnsi="仿宋"/>
          <w:sz w:val="24"/>
        </w:rPr>
      </w:pPr>
      <w:r>
        <w:rPr>
          <w:rFonts w:hint="eastAsia" w:ascii="仿宋" w:hAnsi="仿宋" w:eastAsia="仿宋"/>
          <w:sz w:val="24"/>
        </w:rPr>
        <w:t>一、</w:t>
      </w:r>
      <w:r>
        <w:rPr>
          <w:rFonts w:hint="eastAsia"/>
          <w:sz w:val="24"/>
        </w:rPr>
        <w:t>收入支出决算总表...........................................................................20</w:t>
      </w:r>
    </w:p>
    <w:p>
      <w:pPr>
        <w:pStyle w:val="9"/>
        <w:adjustRightInd w:val="0"/>
        <w:snapToGrid w:val="0"/>
        <w:spacing w:line="440" w:lineRule="exact"/>
        <w:jc w:val="left"/>
        <w:rPr>
          <w:rFonts w:ascii="仿宋" w:hAnsi="仿宋"/>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表.......................................................................................21</w:t>
      </w:r>
    </w:p>
    <w:p>
      <w:pPr>
        <w:pStyle w:val="9"/>
        <w:adjustRightInd w:val="0"/>
        <w:snapToGrid w:val="0"/>
        <w:spacing w:line="440" w:lineRule="exact"/>
        <w:jc w:val="left"/>
        <w:rPr>
          <w:rFonts w:ascii="仿宋" w:hAnsi="仿宋"/>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表.......................................................................................22</w:t>
      </w:r>
    </w:p>
    <w:p>
      <w:pPr>
        <w:pStyle w:val="9"/>
        <w:adjustRightInd w:val="0"/>
        <w:snapToGrid w:val="0"/>
        <w:spacing w:line="440" w:lineRule="exact"/>
        <w:jc w:val="left"/>
        <w:rPr>
          <w:rFonts w:ascii="仿宋" w:hAnsi="仿宋"/>
          <w:sz w:val="24"/>
        </w:rPr>
      </w:pPr>
      <w:r>
        <w:rPr>
          <w:rFonts w:hint="eastAsia" w:ascii="仿宋" w:hAnsi="仿宋" w:eastAsia="仿宋"/>
          <w:sz w:val="24"/>
        </w:rPr>
        <w:t>四、</w:t>
      </w:r>
      <w:r>
        <w:rPr>
          <w:rFonts w:hint="eastAsia"/>
          <w:sz w:val="24"/>
        </w:rPr>
        <w:t>财政拨款收入支出决算总表................................................................23</w:t>
      </w:r>
    </w:p>
    <w:p>
      <w:pPr>
        <w:pStyle w:val="9"/>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五、财政拨款支出决算明细表..................................24</w:t>
      </w:r>
    </w:p>
    <w:p>
      <w:pPr>
        <w:pStyle w:val="9"/>
        <w:adjustRightInd w:val="0"/>
        <w:snapToGrid w:val="0"/>
        <w:spacing w:line="440" w:lineRule="exact"/>
        <w:jc w:val="left"/>
        <w:rPr>
          <w:rFonts w:ascii="仿宋" w:hAnsi="仿宋"/>
          <w:sz w:val="24"/>
        </w:rPr>
      </w:pPr>
      <w:r>
        <w:rPr>
          <w:rFonts w:hint="eastAsia" w:ascii="仿宋" w:hAnsi="仿宋" w:eastAsia="仿宋"/>
          <w:sz w:val="24"/>
        </w:rPr>
        <w:t>六、</w:t>
      </w:r>
      <w:r>
        <w:rPr>
          <w:rFonts w:hint="eastAsia"/>
          <w:sz w:val="24"/>
        </w:rPr>
        <w:t>一般公共预算财政拨款支出决算表.........................................................25</w:t>
      </w:r>
    </w:p>
    <w:p>
      <w:pPr>
        <w:pStyle w:val="9"/>
        <w:adjustRightInd w:val="0"/>
        <w:snapToGrid w:val="0"/>
        <w:spacing w:line="440" w:lineRule="exact"/>
        <w:jc w:val="left"/>
        <w:rPr>
          <w:rFonts w:ascii="仿宋" w:hAnsi="仿宋"/>
          <w:sz w:val="24"/>
        </w:rPr>
      </w:pPr>
      <w:r>
        <w:rPr>
          <w:rFonts w:hint="eastAsia" w:ascii="仿宋" w:hAnsi="仿宋" w:eastAsia="仿宋"/>
          <w:sz w:val="24"/>
        </w:rPr>
        <w:t>七、</w:t>
      </w:r>
      <w:r>
        <w:rPr>
          <w:rFonts w:hint="eastAsia"/>
          <w:sz w:val="24"/>
        </w:rPr>
        <w:t>一般公共预算财政拨款支出决算明细表................................................26</w:t>
      </w:r>
    </w:p>
    <w:p>
      <w:pPr>
        <w:pStyle w:val="9"/>
        <w:adjustRightInd w:val="0"/>
        <w:snapToGrid w:val="0"/>
        <w:spacing w:line="440" w:lineRule="exact"/>
        <w:jc w:val="left"/>
        <w:rPr>
          <w:rFonts w:ascii="仿宋" w:hAnsi="仿宋"/>
          <w:sz w:val="24"/>
        </w:rPr>
      </w:pPr>
      <w:r>
        <w:rPr>
          <w:rFonts w:hint="eastAsia" w:ascii="仿宋" w:hAnsi="仿宋" w:eastAsia="仿宋"/>
          <w:sz w:val="24"/>
        </w:rPr>
        <w:t>八、</w:t>
      </w:r>
      <w:r>
        <w:rPr>
          <w:rFonts w:hint="eastAsia"/>
          <w:sz w:val="24"/>
        </w:rPr>
        <w:t>一般公共预算财政拨款基本支出决算表.................................................27</w:t>
      </w:r>
    </w:p>
    <w:p>
      <w:pPr>
        <w:pStyle w:val="9"/>
        <w:adjustRightInd w:val="0"/>
        <w:snapToGrid w:val="0"/>
        <w:spacing w:line="440" w:lineRule="exact"/>
        <w:jc w:val="left"/>
        <w:rPr>
          <w:rFonts w:ascii="仿宋" w:hAnsi="仿宋"/>
          <w:sz w:val="24"/>
        </w:rPr>
      </w:pPr>
      <w:r>
        <w:rPr>
          <w:rFonts w:hint="eastAsia" w:ascii="仿宋" w:hAnsi="仿宋" w:eastAsia="仿宋"/>
          <w:sz w:val="24"/>
        </w:rPr>
        <w:t>九、</w:t>
      </w:r>
      <w:r>
        <w:rPr>
          <w:rFonts w:hint="eastAsia"/>
          <w:sz w:val="24"/>
        </w:rPr>
        <w:t>一般公共预算财政拨款项目支出决算表................................................28</w:t>
      </w:r>
    </w:p>
    <w:p>
      <w:pPr>
        <w:pStyle w:val="9"/>
        <w:adjustRightInd w:val="0"/>
        <w:snapToGrid w:val="0"/>
        <w:spacing w:line="440" w:lineRule="exact"/>
        <w:jc w:val="left"/>
        <w:rPr>
          <w:rFonts w:ascii="仿宋" w:hAnsi="仿宋"/>
          <w:sz w:val="24"/>
        </w:rPr>
      </w:pPr>
      <w:r>
        <w:rPr>
          <w:rFonts w:hint="eastAsia" w:ascii="仿宋" w:hAnsi="仿宋" w:eastAsia="仿宋"/>
          <w:sz w:val="24"/>
        </w:rPr>
        <w:t>十、</w:t>
      </w:r>
      <w:r>
        <w:rPr>
          <w:rFonts w:hint="eastAsia"/>
          <w:sz w:val="24"/>
        </w:rPr>
        <w:t>一般公共预算财政拨款“三公”经费支出决算表..................................29</w:t>
      </w:r>
    </w:p>
    <w:p>
      <w:pPr>
        <w:pStyle w:val="9"/>
        <w:adjustRightInd w:val="0"/>
        <w:snapToGrid w:val="0"/>
        <w:spacing w:line="440" w:lineRule="exact"/>
        <w:jc w:val="left"/>
        <w:rPr>
          <w:rFonts w:ascii="仿宋" w:hAnsi="仿宋"/>
          <w:sz w:val="24"/>
        </w:rPr>
      </w:pPr>
      <w:r>
        <w:rPr>
          <w:rFonts w:hint="eastAsia" w:ascii="仿宋" w:hAnsi="仿宋" w:eastAsia="仿宋"/>
          <w:sz w:val="24"/>
        </w:rPr>
        <w:t>十一、</w:t>
      </w:r>
      <w:r>
        <w:rPr>
          <w:rFonts w:hint="eastAsia"/>
          <w:sz w:val="24"/>
        </w:rPr>
        <w:t>政府性基金预算财政拨款收入支出决算表........................................30</w:t>
      </w:r>
    </w:p>
    <w:p>
      <w:pPr>
        <w:pStyle w:val="9"/>
        <w:adjustRightInd w:val="0"/>
        <w:snapToGrid w:val="0"/>
        <w:spacing w:line="440" w:lineRule="exact"/>
        <w:jc w:val="left"/>
        <w:rPr>
          <w:rFonts w:ascii="仿宋" w:hAnsi="仿宋"/>
          <w:sz w:val="24"/>
        </w:rPr>
      </w:pPr>
      <w:r>
        <w:rPr>
          <w:rFonts w:hint="eastAsia" w:ascii="仿宋" w:hAnsi="仿宋" w:eastAsia="仿宋"/>
          <w:sz w:val="24"/>
        </w:rPr>
        <w:t>十二、</w:t>
      </w:r>
      <w:r>
        <w:rPr>
          <w:rFonts w:hint="eastAsia"/>
          <w:sz w:val="24"/>
        </w:rPr>
        <w:t>政府性基金预算财政拨款“三公”经费支出决算表............................31</w:t>
      </w:r>
    </w:p>
    <w:p>
      <w:pPr>
        <w:pStyle w:val="9"/>
        <w:adjustRightInd w:val="0"/>
        <w:snapToGrid w:val="0"/>
        <w:spacing w:line="440" w:lineRule="exact"/>
        <w:jc w:val="left"/>
        <w:rPr>
          <w:rFonts w:ascii="仿宋" w:hAnsi="仿宋"/>
          <w:sz w:val="24"/>
        </w:rPr>
      </w:pPr>
      <w:r>
        <w:rPr>
          <w:rFonts w:hint="eastAsia" w:ascii="仿宋" w:hAnsi="仿宋" w:eastAsia="仿宋"/>
          <w:sz w:val="24"/>
        </w:rPr>
        <w:t>十三、</w:t>
      </w:r>
      <w:r>
        <w:rPr>
          <w:rFonts w:hint="eastAsia"/>
          <w:sz w:val="24"/>
        </w:rPr>
        <w:t>国有资本经营预算支出决算表.........................................................  32</w:t>
      </w:r>
    </w:p>
    <w:p>
      <w:pPr>
        <w:adjustRightInd w:val="0"/>
        <w:snapToGrid w:val="0"/>
        <w:spacing w:line="360" w:lineRule="auto"/>
        <w:jc w:val="center"/>
        <w:outlineLvl w:val="0"/>
        <w:rPr>
          <w:rFonts w:ascii="仿宋" w:hAnsi="仿宋" w:eastAsia="仿宋" w:cs="仿宋"/>
          <w:color w:val="FF0000"/>
          <w:sz w:val="32"/>
          <w:szCs w:val="32"/>
        </w:rPr>
      </w:pPr>
      <w:bookmarkStart w:id="40" w:name="_GoBack"/>
      <w:bookmarkEnd w:id="40"/>
    </w:p>
    <w:p>
      <w:pPr>
        <w:adjustRightInd w:val="0"/>
        <w:snapToGrid w:val="0"/>
        <w:spacing w:line="360" w:lineRule="auto"/>
        <w:jc w:val="center"/>
        <w:outlineLvl w:val="0"/>
        <w:rPr>
          <w:rFonts w:ascii="仿宋" w:hAnsi="仿宋" w:eastAsia="仿宋" w:cs="仿宋"/>
          <w:color w:val="FF0000"/>
          <w:sz w:val="32"/>
          <w:szCs w:val="32"/>
        </w:rPr>
      </w:pPr>
    </w:p>
    <w:p>
      <w:pPr>
        <w:adjustRightInd w:val="0"/>
        <w:snapToGrid w:val="0"/>
        <w:spacing w:line="360" w:lineRule="auto"/>
        <w:jc w:val="center"/>
        <w:outlineLvl w:val="0"/>
        <w:rPr>
          <w:rFonts w:ascii="仿宋" w:hAnsi="仿宋" w:eastAsia="仿宋" w:cs="仿宋"/>
          <w:color w:val="FF0000"/>
          <w:sz w:val="32"/>
          <w:szCs w:val="32"/>
        </w:rPr>
        <w:sectPr>
          <w:pgSz w:w="11906" w:h="16838"/>
          <w:pgMar w:top="1440" w:right="1800" w:bottom="1440" w:left="1800" w:header="851" w:footer="992" w:gutter="0"/>
          <w:pgNumType w:start="1"/>
          <w:cols w:space="720" w:num="1"/>
          <w:docGrid w:type="lines" w:linePitch="312" w:charSpace="0"/>
        </w:sectPr>
      </w:pPr>
    </w:p>
    <w:p>
      <w:pPr>
        <w:adjustRightInd w:val="0"/>
        <w:snapToGrid w:val="0"/>
        <w:spacing w:line="360" w:lineRule="auto"/>
        <w:jc w:val="center"/>
        <w:outlineLvl w:val="0"/>
        <w:rPr>
          <w:rFonts w:ascii="仿宋" w:hAnsi="仿宋" w:eastAsia="仿宋" w:cs="仿宋"/>
          <w:color w:val="FF0000"/>
          <w:sz w:val="32"/>
          <w:szCs w:val="32"/>
        </w:rPr>
      </w:pPr>
    </w:p>
    <w:p>
      <w:pPr>
        <w:pStyle w:val="2"/>
        <w:jc w:val="center"/>
        <w:rPr>
          <w:rFonts w:ascii="黑体" w:hAnsi="黑体" w:eastAsia="黑体"/>
        </w:rPr>
      </w:pPr>
      <w:r>
        <w:rPr>
          <w:rFonts w:hint="eastAsia" w:ascii="黑体" w:hAnsi="黑体" w:eastAsia="黑体"/>
        </w:rPr>
        <w:t xml:space="preserve">第一部分 </w:t>
      </w:r>
      <w:r>
        <w:rPr>
          <w:rStyle w:val="16"/>
          <w:rFonts w:hint="eastAsia" w:ascii="黑体" w:hAnsi="黑体" w:eastAsia="黑体"/>
          <w:b w:val="0"/>
          <w:bCs w:val="0"/>
        </w:rPr>
        <w:t>部门概况</w:t>
      </w:r>
    </w:p>
    <w:p>
      <w:pPr>
        <w:pStyle w:val="3"/>
        <w:rPr>
          <w:rStyle w:val="17"/>
          <w:rFonts w:ascii="仿宋" w:hAnsi="仿宋" w:eastAsia="仿宋"/>
          <w:b w:val="0"/>
          <w:bCs w:val="0"/>
        </w:rPr>
      </w:pPr>
      <w:bookmarkStart w:id="11" w:name="_Toc15396600"/>
      <w:bookmarkStart w:id="12" w:name="_Toc15377197"/>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1"/>
      <w:bookmarkEnd w:id="12"/>
    </w:p>
    <w:p>
      <w:pPr>
        <w:snapToGrid w:val="0"/>
        <w:spacing w:line="520" w:lineRule="exact"/>
        <w:ind w:firstLine="643" w:firstLineChars="200"/>
        <w:rPr>
          <w:rFonts w:ascii="楷体" w:hAnsi="楷体" w:eastAsia="楷体"/>
          <w:b/>
          <w:bCs/>
          <w:sz w:val="32"/>
          <w:szCs w:val="32"/>
        </w:rPr>
      </w:pPr>
      <w:r>
        <w:rPr>
          <w:rFonts w:hint="eastAsia" w:ascii="楷体" w:hAnsi="楷体" w:eastAsia="楷体" w:cs="楷体"/>
          <w:b/>
          <w:bCs/>
          <w:sz w:val="32"/>
          <w:szCs w:val="32"/>
        </w:rPr>
        <w:t>(一)主要职能</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1）负责全县林业和草原及其生态保护修复的监督管理。拟订全县林业和草原及其生态保护修复的政策、规划、地方标准并组织实施，起草相关地方性法规、规章草案。组织开展全县森林、草原、湿地、荒漠和陆生野生动植物资源动态监测与评价，推进全县林业和草原数字化建设。</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2）组织全县林业和草原生态保护修复和造林绿化工作。组织实施林业和草原重点生态保护修复工程，指导公益林和商品林的培育，指导、监督全民义务植树、城乡绿化工作。指导林业和草原有害生物防治、检疫工作。承担林业和草原应对气候变化的相关工作。</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3）负责全县森林、草原、湿地资源的监督管理。组织编制并监督执行全县森林采伐限额。负责林地管理，拟订林地保护利用规划并组织实施，组织实施公益林划定和管理工作，管理国有森林资源。负责草原禁牧、草畜平衡和草原生态修复治理工作，监督管理草原的开发利用。负责湿地生态保护修复工作，拟订全县湿地保护规划和相关地方标准，监督管理湿地的开发利用。</w:t>
      </w:r>
    </w:p>
    <w:p>
      <w:pPr>
        <w:autoSpaceDE w:val="0"/>
        <w:autoSpaceDN w:val="0"/>
        <w:adjustRightInd w:val="0"/>
        <w:spacing w:line="560" w:lineRule="exact"/>
        <w:ind w:firstLine="640"/>
        <w:rPr>
          <w:rFonts w:ascii="仿宋_GB2312" w:eastAsia="仿宋_GB2312" w:cs="仿宋_GB2312"/>
          <w:color w:val="000000"/>
          <w:kern w:val="0"/>
          <w:sz w:val="32"/>
          <w:szCs w:val="32"/>
          <w:lang w:val="zh-CN"/>
        </w:rPr>
      </w:pPr>
      <w:r>
        <w:rPr>
          <w:rFonts w:hint="eastAsia" w:ascii="仿宋_GB2312" w:eastAsia="仿宋_GB2312" w:cs="仿宋_GB2312"/>
          <w:color w:val="000000"/>
          <w:kern w:val="0"/>
          <w:sz w:val="32"/>
          <w:szCs w:val="32"/>
          <w:lang w:val="zh-CN"/>
        </w:rPr>
        <w:t>（4）负责监督管理全县荒漠化防治工作。组织开展荒漠调查，组织拟订防沙治沙、石漠化防治及沙化土地封禁保护区建设规划，拟订相关地方标准，监督管理沙化土地的开</w:t>
      </w:r>
    </w:p>
    <w:p>
      <w:pPr>
        <w:autoSpaceDE w:val="0"/>
        <w:autoSpaceDN w:val="0"/>
        <w:adjustRightInd w:val="0"/>
        <w:spacing w:line="560" w:lineRule="exact"/>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发利用，组织沙尘暴灾害预测预报和应急处置。</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5）负责全县陆生野生动植物资源监督管理。组织开展陆生野生动植物资源调查，拟订及调整全县重点保护陆生野生动物、植物名录，指导陆生野生动植物的救护繁育、栖息地恢复发展、疫源疫病监测，监督管理陆生野生动植物猎捕或采集、驯养繁殖或培植、经营利用，按分工监督管理野生动植物进出口。</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6）负责监督管理全县各类自然保护地。拟订各类自然保护地规划和相关地方标准。负责国家公园申报设立、规划、建设和特许经营等工作，负责县级政府直接行使和代理行使全民所有权的国家公园等自然保护地的自然资源资产管理和国土空间用途管制。提出新建、调整各类自然保护地的审核建议并按程序报批，组织世界自然遗产和世界文化遗产的申报。负责生物多样性保护相关工作。</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7）负责推进全县林业和草原改革相关工作。拟订集体林权制度、国有林区、国有林场、草原等重大改革意见并监督实施。拟订农村林业发展、维护林业经营者合法权益的政策措施。指导农村林地承包经营工作。开展退耕（牧）还林还草，负责天然林保护修复工作。</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8）拟订全县林业和草原资源优化配置及木材利用政策，拟订相关林业产业地方标准并监督实施，组织、指导林草产品质量监督，实施生态扶贫相关工作。指导开展林业和草原现代园区建设、花卉、特色经济林、森林林下经济、森林康养和生态旅游产业发展。推进林业和草原绿色产业发展。</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9）指导全县国有林区基本建设和发展，组织林木种子、草种种质资源普查，组织建立种质资源库，负责良种选育推广，管理林木种苗、草种生产经营行为，监管林木种苗、草种质量。监督管理林业和草原生物种质资源、转基因生物安全、植物新品种保护。</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10）负责落实全县综合防灾减灾规划相关要求，组织编制森林和草原火灾防治规划和防护标准并指导实施，组织、指导开展防火巡护、火源管理、防火设施建设等工作。负责森林和草原火情监测预警、火灾预防工作，发送森林和草原火险信息。组织指导国有林场林区和草原开展宣传教育、监测预警、督促检查等防火工作。</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11）监督管理全县林业和草原资金和国有资产，提出林业和草原预算内投资、县级财政性资金安排建议，按县政府规定权限，核报、核准规划内和年度计划内投资项目。参与拟订全县林业和草原经济调节政策，组织实施林业和草原生态补偿工作。</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（12）负责林业和草原科技、教育和对外交流工作，指导全县林业和草原人才队伍建设，组织实施林业和草原对外交流与合作事务，承担湿地、防治荒漠化、濒危野生动植物等国际公约履约有关工作。</w:t>
      </w:r>
    </w:p>
    <w:p>
      <w:pPr>
        <w:ind w:firstLine="640" w:firstLineChars="20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（13）指导县森林公安工作</w:t>
      </w:r>
      <w:r>
        <w:rPr>
          <w:rFonts w:ascii="仿宋_GB2312" w:eastAsia="仿宋_GB2312" w:cs="仿宋_GB2312"/>
          <w:color w:val="000000"/>
          <w:kern w:val="0"/>
          <w:sz w:val="32"/>
          <w:szCs w:val="32"/>
          <w:lang w:val="zh-CN"/>
        </w:rPr>
        <w:t>,</w:t>
      </w:r>
      <w:r>
        <w:rPr>
          <w:rFonts w:hint="eastAsia" w:ascii="仿宋_GB2312" w:eastAsia="仿宋_GB2312" w:cs="仿宋_GB2312"/>
          <w:color w:val="000000"/>
          <w:kern w:val="0"/>
          <w:sz w:val="32"/>
          <w:szCs w:val="32"/>
          <w:lang w:val="zh-CN"/>
        </w:rPr>
        <w:t>监督管理森林公安队伍</w:t>
      </w:r>
      <w:r>
        <w:rPr>
          <w:rFonts w:ascii="仿宋_GB2312" w:eastAsia="仿宋_GB2312" w:cs="仿宋_GB2312"/>
          <w:color w:val="000000"/>
          <w:kern w:val="0"/>
          <w:sz w:val="32"/>
          <w:szCs w:val="32"/>
          <w:lang w:val="zh-CN"/>
        </w:rPr>
        <w:t>,</w:t>
      </w:r>
      <w:r>
        <w:rPr>
          <w:rFonts w:hint="eastAsia" w:ascii="仿宋_GB2312" w:eastAsia="仿宋_GB2312" w:cs="仿宋_GB2312"/>
          <w:color w:val="000000"/>
          <w:kern w:val="0"/>
          <w:sz w:val="32"/>
          <w:szCs w:val="32"/>
          <w:lang w:val="zh-CN"/>
        </w:rPr>
        <w:t>指导全县林业重大违法案件的查处</w:t>
      </w:r>
      <w:r>
        <w:rPr>
          <w:rFonts w:ascii="仿宋_GB2312" w:eastAsia="仿宋_GB2312" w:cs="仿宋_GB2312"/>
          <w:color w:val="000000"/>
          <w:kern w:val="0"/>
          <w:sz w:val="32"/>
          <w:szCs w:val="32"/>
          <w:lang w:val="zh-CN"/>
        </w:rPr>
        <w:t>,</w:t>
      </w:r>
      <w:r>
        <w:rPr>
          <w:rFonts w:hint="eastAsia" w:ascii="仿宋_GB2312" w:eastAsia="仿宋_GB2312" w:cs="仿宋_GB2312"/>
          <w:color w:val="000000"/>
          <w:kern w:val="0"/>
          <w:sz w:val="32"/>
          <w:szCs w:val="32"/>
          <w:lang w:val="zh-CN"/>
        </w:rPr>
        <w:t>负责相关行政执法监管工作，指导林区社会治安治理工作。</w:t>
      </w:r>
    </w:p>
    <w:p>
      <w:pPr>
        <w:autoSpaceDE w:val="0"/>
        <w:autoSpaceDN w:val="0"/>
        <w:adjustRightInd w:val="0"/>
        <w:spacing w:line="560" w:lineRule="exact"/>
        <w:ind w:firstLine="640"/>
        <w:rPr>
          <w:rFonts w:ascii="仿宋_GB2312" w:eastAsia="仿宋_GB2312" w:cs="仿宋_GB2312"/>
          <w:color w:val="000000"/>
          <w:kern w:val="0"/>
          <w:sz w:val="32"/>
          <w:szCs w:val="32"/>
          <w:lang w:val="zh-CN"/>
        </w:rPr>
      </w:pPr>
      <w:r>
        <w:rPr>
          <w:rFonts w:hint="eastAsia" w:ascii="仿宋_GB2312" w:eastAsia="仿宋_GB2312" w:cs="仿宋_GB2312"/>
          <w:color w:val="000000"/>
          <w:kern w:val="0"/>
          <w:sz w:val="32"/>
          <w:szCs w:val="32"/>
          <w:lang w:val="zh-CN"/>
        </w:rPr>
        <w:t>（14）负责县属林业企业监督管理。协助县委组织部指</w:t>
      </w:r>
    </w:p>
    <w:p>
      <w:pPr>
        <w:autoSpaceDE w:val="0"/>
        <w:autoSpaceDN w:val="0"/>
        <w:adjustRightInd w:val="0"/>
        <w:spacing w:line="560" w:lineRule="exact"/>
        <w:ind w:firstLine="640"/>
        <w:rPr>
          <w:rFonts w:ascii="仿宋_GB2312" w:eastAsia="仿宋_GB2312" w:cs="仿宋_GB2312"/>
          <w:color w:val="000000"/>
          <w:kern w:val="0"/>
          <w:sz w:val="32"/>
          <w:szCs w:val="32"/>
          <w:lang w:val="zh-CN"/>
        </w:rPr>
      </w:pP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导县属林业企业党的建设和人才队伍建设工作。指导协调县属林业企业退休人员信访、稳定工作。</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（15）承担职责范围内的安全生产和职业健康、生态环境保护、审批服务便民化等工作。</w:t>
      </w:r>
    </w:p>
    <w:p>
      <w:pPr>
        <w:autoSpaceDE w:val="0"/>
        <w:autoSpaceDN w:val="0"/>
        <w:adjustRightInd w:val="0"/>
        <w:spacing w:line="560" w:lineRule="exact"/>
        <w:ind w:left="638"/>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（16）完成县委和县政府交办的其他任务。</w:t>
      </w:r>
    </w:p>
    <w:p>
      <w:pPr>
        <w:autoSpaceDE w:val="0"/>
        <w:autoSpaceDN w:val="0"/>
        <w:adjustRightInd w:val="0"/>
        <w:spacing w:line="560" w:lineRule="exact"/>
        <w:ind w:firstLine="64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17）职能转变。围绕高质量筑牢长江上游生态屏障，加强森林、草原、湿地监督管理的统筹协调，切实加大生态系统保护力度，实施重要生态系统保护和修复工程，高质量实施绿化全县行动，高水平推进数字林业草原建设，加快实现林业草原生态、经济、社会三大效益。统一推进全县各类自然保护地清理规范和归并整合。</w:t>
      </w:r>
    </w:p>
    <w:p>
      <w:pPr>
        <w:snapToGrid w:val="0"/>
        <w:spacing w:line="520" w:lineRule="exact"/>
        <w:ind w:firstLine="640" w:firstLineChars="200"/>
        <w:rPr>
          <w:rFonts w:ascii="仿宋_GB2312" w:eastAsia="仿宋_GB2312" w:cs="仿宋_GB2312"/>
          <w:color w:val="000000"/>
          <w:kern w:val="0"/>
          <w:sz w:val="32"/>
          <w:szCs w:val="32"/>
          <w:lang w:val="zh-CN"/>
        </w:rPr>
      </w:pPr>
      <w:r>
        <w:rPr>
          <w:rFonts w:hint="eastAsia" w:ascii="仿宋_GB2312" w:eastAsia="仿宋_GB2312" w:cs="仿宋_GB2312"/>
          <w:color w:val="000000"/>
          <w:kern w:val="0"/>
          <w:sz w:val="32"/>
          <w:szCs w:val="32"/>
          <w:lang w:val="zh-CN"/>
        </w:rPr>
        <w:t>（18）与县应急管理局的有关职责分工。县林草局和县应急局要做到各司其职、无缝对接。县应急局负责统一组织、统一指挥、统一协调自然灾害类突发事件应急救援救灾工作。县林草局依法依规承担相关行业领域的灾害监测、预警、防治工作及抢险救援的技术保障工作。必要时，县林草局可以提请县应急局，以县应急指挥机构名义部署相关防治工作。</w:t>
      </w:r>
    </w:p>
    <w:p>
      <w:pPr>
        <w:pStyle w:val="4"/>
        <w:adjustRightInd w:val="0"/>
        <w:snapToGrid w:val="0"/>
        <w:spacing w:before="72" w:line="600" w:lineRule="exact"/>
        <w:ind w:firstLine="675" w:firstLineChars="210"/>
        <w:outlineLvl w:val="2"/>
        <w:rPr>
          <w:rFonts w:ascii="仿宋" w:hAnsi="仿宋" w:eastAsia="仿宋"/>
          <w:b/>
          <w:bCs/>
          <w:color w:val="000000"/>
          <w:sz w:val="32"/>
          <w:szCs w:val="32"/>
        </w:rPr>
      </w:pPr>
      <w:bookmarkStart w:id="13" w:name="_Toc15378446"/>
      <w:bookmarkStart w:id="14" w:name="_Toc15377199"/>
      <w:r>
        <w:rPr>
          <w:rFonts w:hint="eastAsia" w:ascii="仿宋" w:hAnsi="仿宋" w:eastAsia="仿宋"/>
          <w:b/>
          <w:bCs/>
          <w:color w:val="000000"/>
          <w:sz w:val="32"/>
          <w:szCs w:val="32"/>
        </w:rPr>
        <w:t>（二）</w:t>
      </w:r>
      <w:r>
        <w:rPr>
          <w:rFonts w:ascii="仿宋" w:hAnsi="仿宋" w:eastAsia="仿宋"/>
          <w:b/>
          <w:bCs/>
          <w:color w:val="000000"/>
          <w:sz w:val="32"/>
          <w:szCs w:val="32"/>
        </w:rPr>
        <w:t>201</w:t>
      </w:r>
      <w:r>
        <w:rPr>
          <w:rFonts w:hint="eastAsia" w:ascii="仿宋" w:hAnsi="仿宋" w:eastAsia="仿宋"/>
          <w:b/>
          <w:bCs/>
          <w:color w:val="000000"/>
          <w:sz w:val="32"/>
          <w:szCs w:val="32"/>
        </w:rPr>
        <w:t>9年重点工作完成情况。</w:t>
      </w:r>
      <w:bookmarkEnd w:id="13"/>
      <w:bookmarkEnd w:id="14"/>
    </w:p>
    <w:p>
      <w:pPr>
        <w:snapToGrid w:val="0"/>
        <w:spacing w:line="520" w:lineRule="exact"/>
        <w:ind w:firstLine="640" w:firstLineChars="200"/>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2019</w:t>
      </w:r>
      <w:r>
        <w:rPr>
          <w:rFonts w:hint="eastAsia" w:ascii="仿宋_GB2312" w:hAnsi="仿宋_GB2312" w:eastAsia="仿宋_GB2312" w:cs="仿宋_GB2312"/>
          <w:color w:val="000000"/>
          <w:kern w:val="0"/>
          <w:sz w:val="32"/>
          <w:szCs w:val="32"/>
        </w:rPr>
        <w:t>年我局林业工作按照县委、县政府和省林业厅加快生态建设、实现追赶超越总体部署，以增绿增质增效为目标，以深化改革和生态脱贫为重点，精心谋划，真抓实干，重点推进，全县造林绿化、资源管护、林业改革、生态脱贫和党的建设各项工作取得新成效，林业生态建设追赶超越转型发展实现新突破。为助力脱贫攻坚工作，兑现生态扶贫管护补助</w:t>
      </w:r>
      <w:r>
        <w:rPr>
          <w:rFonts w:ascii="仿宋_GB2312" w:hAnsi="仿宋_GB2312" w:eastAsia="仿宋_GB2312" w:cs="仿宋_GB2312"/>
          <w:color w:val="000000"/>
          <w:kern w:val="0"/>
          <w:sz w:val="32"/>
          <w:szCs w:val="32"/>
        </w:rPr>
        <w:t>1752.25</w:t>
      </w:r>
      <w:r>
        <w:rPr>
          <w:rFonts w:hint="eastAsia" w:ascii="仿宋_GB2312" w:hAnsi="仿宋_GB2312" w:eastAsia="仿宋_GB2312" w:cs="仿宋_GB2312"/>
          <w:color w:val="000000"/>
          <w:kern w:val="0"/>
          <w:sz w:val="32"/>
          <w:szCs w:val="32"/>
        </w:rPr>
        <w:t>万元，森林生态效益补偿（集体和个人部分）</w:t>
      </w:r>
      <w:r>
        <w:rPr>
          <w:rFonts w:ascii="仿宋_GB2312" w:hAnsi="仿宋_GB2312" w:eastAsia="仿宋_GB2312" w:cs="仿宋_GB2312"/>
          <w:color w:val="000000"/>
          <w:kern w:val="0"/>
          <w:sz w:val="32"/>
          <w:szCs w:val="32"/>
        </w:rPr>
        <w:t>268.94</w:t>
      </w:r>
      <w:r>
        <w:rPr>
          <w:rFonts w:hint="eastAsia" w:ascii="仿宋_GB2312" w:hAnsi="仿宋_GB2312" w:eastAsia="仿宋_GB2312" w:cs="仿宋_GB2312"/>
          <w:color w:val="000000"/>
          <w:kern w:val="0"/>
          <w:sz w:val="32"/>
          <w:szCs w:val="32"/>
        </w:rPr>
        <w:t>万元等。</w:t>
      </w:r>
    </w:p>
    <w:p>
      <w:pPr>
        <w:pStyle w:val="3"/>
      </w:pPr>
      <w:r>
        <w:rPr>
          <w:rStyle w:val="17"/>
          <w:rFonts w:hint="eastAsia" w:ascii="黑体" w:hAnsi="黑体" w:eastAsia="黑体"/>
          <w:b w:val="0"/>
          <w:bCs w:val="0"/>
        </w:rPr>
        <w:t>二、机构设置</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1．机构情况：</w:t>
      </w:r>
      <w:r>
        <w:rPr>
          <w:rFonts w:hint="eastAsia" w:ascii="仿宋_GB2312" w:hAnsi="仿宋_GB2312" w:eastAsia="仿宋_GB2312" w:cs="仿宋_GB2312"/>
          <w:color w:val="000000"/>
          <w:kern w:val="0"/>
          <w:sz w:val="32"/>
          <w:szCs w:val="32"/>
        </w:rPr>
        <w:t>内设</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个行政股室、</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个下属股级事业单位</w:t>
      </w:r>
    </w:p>
    <w:p>
      <w:pPr>
        <w:snapToGrid w:val="0"/>
        <w:spacing w:line="520" w:lineRule="exact"/>
        <w:ind w:firstLine="640" w:firstLineChars="200"/>
        <w:rPr>
          <w:rFonts w:ascii="仿宋_GB2312" w:hAnsi="仿宋_GB2312" w:eastAsia="仿宋_GB2312" w:cs="仿宋_GB2312"/>
          <w:color w:val="000000"/>
          <w:kern w:val="0"/>
          <w:sz w:val="32"/>
          <w:szCs w:val="32"/>
        </w:rPr>
      </w:pPr>
      <w:r>
        <w:rPr>
          <w:rFonts w:hint="eastAsia" w:ascii="仿宋_GB2312" w:hAnsi="仿宋" w:eastAsia="仿宋_GB2312" w:cs="仿宋_GB2312"/>
          <w:sz w:val="32"/>
          <w:szCs w:val="32"/>
        </w:rPr>
        <w:t>2．人员情况：</w:t>
      </w:r>
      <w:r>
        <w:rPr>
          <w:rFonts w:hint="eastAsia" w:ascii="仿宋_GB2312" w:hAnsi="仿宋_GB2312" w:eastAsia="仿宋_GB2312" w:cs="仿宋_GB2312"/>
          <w:color w:val="000000"/>
          <w:kern w:val="0"/>
          <w:sz w:val="32"/>
          <w:szCs w:val="32"/>
        </w:rPr>
        <w:t>壤塘县林业和草原局核定行政编制</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名，其中：局长</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名（兼任县自然资源局副局长），副局长</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名，股级领导职数</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名，机关工勤人员事业编制</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名；事业编制</w:t>
      </w:r>
      <w:r>
        <w:rPr>
          <w:rFonts w:ascii="仿宋_GB2312" w:hAnsi="仿宋_GB2312" w:eastAsia="仿宋_GB2312" w:cs="仿宋_GB2312"/>
          <w:color w:val="000000"/>
          <w:kern w:val="0"/>
          <w:sz w:val="32"/>
          <w:szCs w:val="32"/>
        </w:rPr>
        <w:t>60</w:t>
      </w:r>
      <w:r>
        <w:rPr>
          <w:rFonts w:hint="eastAsia" w:ascii="仿宋_GB2312" w:hAnsi="仿宋_GB2312" w:eastAsia="仿宋_GB2312" w:cs="仿宋_GB2312"/>
          <w:color w:val="000000"/>
          <w:kern w:val="0"/>
          <w:sz w:val="32"/>
          <w:szCs w:val="32"/>
        </w:rPr>
        <w:t>名，其中参公</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名，事业编制：</w:t>
      </w:r>
      <w:r>
        <w:rPr>
          <w:rFonts w:ascii="仿宋_GB2312" w:hAnsi="仿宋_GB2312" w:eastAsia="仿宋_GB2312" w:cs="仿宋_GB2312"/>
          <w:color w:val="000000"/>
          <w:kern w:val="0"/>
          <w:sz w:val="32"/>
          <w:szCs w:val="32"/>
        </w:rPr>
        <w:t>48</w:t>
      </w:r>
      <w:r>
        <w:rPr>
          <w:rFonts w:hint="eastAsia" w:ascii="仿宋_GB2312" w:hAnsi="仿宋_GB2312" w:eastAsia="仿宋_GB2312" w:cs="仿宋_GB2312"/>
          <w:color w:val="000000"/>
          <w:kern w:val="0"/>
          <w:sz w:val="32"/>
          <w:szCs w:val="32"/>
        </w:rPr>
        <w:t>名.</w:t>
      </w:r>
    </w:p>
    <w:p>
      <w:pPr>
        <w:widowControl/>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br w:type="page"/>
      </w:r>
    </w:p>
    <w:p>
      <w:pPr>
        <w:snapToGrid w:val="0"/>
        <w:spacing w:line="520" w:lineRule="exact"/>
        <w:ind w:firstLine="640" w:firstLineChars="200"/>
        <w:rPr>
          <w:rFonts w:ascii="仿宋_GB2312" w:hAnsi="仿宋_GB2312" w:eastAsia="仿宋_GB2312" w:cs="仿宋_GB2312"/>
          <w:color w:val="000000"/>
          <w:kern w:val="0"/>
          <w:sz w:val="32"/>
          <w:szCs w:val="32"/>
        </w:rPr>
      </w:pPr>
    </w:p>
    <w:p>
      <w:pPr>
        <w:pStyle w:val="2"/>
        <w:ind w:right="440"/>
        <w:jc w:val="right"/>
        <w:rPr>
          <w:rStyle w:val="16"/>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16"/>
          <w:rFonts w:hint="eastAsia" w:ascii="黑体" w:hAnsi="黑体" w:eastAsia="黑体"/>
          <w:b w:val="0"/>
          <w:bCs w:val="0"/>
        </w:rPr>
        <w:t>2019年度部门决算情况说明</w:t>
      </w:r>
      <w:bookmarkStart w:id="15" w:name="_Toc15377205"/>
      <w:bookmarkStart w:id="16" w:name="_Toc15396603"/>
    </w:p>
    <w:p>
      <w:pPr>
        <w:pStyle w:val="2"/>
        <w:ind w:right="440"/>
        <w:jc w:val="right"/>
        <w:rPr>
          <w:rStyle w:val="17"/>
          <w:rFonts w:ascii="黑体" w:hAnsi="黑体" w:eastAsia="黑体"/>
          <w:b w:val="0"/>
          <w:bCs w:val="0"/>
        </w:rPr>
      </w:pPr>
      <w:r>
        <w:rPr>
          <w:rFonts w:hint="eastAsia" w:ascii="黑体" w:hAnsi="黑体" w:eastAsia="黑体"/>
          <w:color w:val="000000"/>
          <w:sz w:val="32"/>
          <w:szCs w:val="32"/>
        </w:rPr>
        <w:t>一、收</w:t>
      </w:r>
      <w:r>
        <w:rPr>
          <w:rStyle w:val="17"/>
          <w:rFonts w:hint="eastAsia" w:ascii="黑体" w:hAnsi="黑体" w:eastAsia="黑体"/>
          <w:b w:val="0"/>
          <w:bCs w:val="0"/>
        </w:rPr>
        <w:t>入支出决算总体情况说明</w:t>
      </w:r>
      <w:bookmarkEnd w:id="15"/>
      <w:bookmarkEnd w:id="16"/>
    </w:p>
    <w:p>
      <w:pPr>
        <w:spacing w:line="560" w:lineRule="exact"/>
        <w:ind w:firstLine="640" w:firstLineChars="200"/>
        <w:rPr>
          <w:rFonts w:ascii="仿宋_GB2312" w:hAnsi="仿宋_GB2312" w:eastAsia="仿宋_GB2312"/>
          <w:sz w:val="32"/>
          <w:szCs w:val="32"/>
        </w:rPr>
      </w:pPr>
      <w:r>
        <w:rPr>
          <w:rFonts w:ascii="仿宋_GB2312" w:hAnsi="仿宋" w:eastAsia="仿宋_GB2312"/>
          <w:sz w:val="32"/>
          <w:szCs w:val="32"/>
        </w:rPr>
        <w:tab/>
      </w:r>
      <w:r>
        <w:rPr>
          <w:rFonts w:hint="eastAsia" w:ascii="仿宋" w:hAnsi="仿宋" w:eastAsia="仿宋"/>
          <w:color w:val="000000"/>
          <w:sz w:val="32"/>
          <w:szCs w:val="32"/>
        </w:rPr>
        <w:t>2019年度收、支总计</w:t>
      </w:r>
      <w:r>
        <w:rPr>
          <w:rFonts w:hint="eastAsia" w:ascii="仿宋_GB2312" w:hAnsi="仿宋_GB2312" w:eastAsia="仿宋_GB2312" w:cs="仿宋_GB2312"/>
          <w:sz w:val="32"/>
          <w:szCs w:val="32"/>
        </w:rPr>
        <w:t>714.41万</w:t>
      </w:r>
      <w:r>
        <w:rPr>
          <w:rFonts w:hint="eastAsia" w:ascii="仿宋" w:hAnsi="仿宋" w:eastAsia="仿宋"/>
          <w:color w:val="000000"/>
          <w:sz w:val="32"/>
          <w:szCs w:val="32"/>
        </w:rPr>
        <w:t>元</w:t>
      </w:r>
      <w:r>
        <w:rPr>
          <w:rFonts w:hint="eastAsia" w:ascii="仿宋_GB2312" w:hAnsi="仿宋_GB2312" w:eastAsia="仿宋_GB2312" w:cs="仿宋_GB2312"/>
          <w:sz w:val="32"/>
          <w:szCs w:val="32"/>
        </w:rPr>
        <w:t>，</w:t>
      </w:r>
      <w:r>
        <w:rPr>
          <w:rFonts w:hint="eastAsia" w:ascii="仿宋" w:hAnsi="仿宋" w:eastAsia="仿宋"/>
          <w:color w:val="000000"/>
          <w:sz w:val="32"/>
          <w:szCs w:val="32"/>
        </w:rPr>
        <w:t>与2018年相比，收、支总计各增加181.77万元，增长34.13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hAnsi="仿宋_GB2312" w:eastAsia="仿宋_GB2312" w:cs="仿宋_GB2312"/>
          <w:sz w:val="32"/>
          <w:szCs w:val="32"/>
        </w:rPr>
        <w:t>社会保障、卫生健康、农林水支出、住房保障增加。</w:t>
      </w:r>
    </w:p>
    <w:p>
      <w:pPr>
        <w:pStyle w:val="2"/>
        <w:ind w:right="440"/>
        <w:jc w:val="right"/>
        <w:rPr>
          <w:rFonts w:ascii="黑体" w:hAnsi="黑体" w:eastAsia="黑体"/>
          <w:b w:val="0"/>
          <w:color w:val="000000"/>
        </w:rPr>
      </w:pPr>
      <w:r>
        <w:rPr>
          <w:rFonts w:ascii="楷体_GB2312" w:hAnsi="仿宋" w:eastAsia="楷体_GB2312" w:cs="楷体_GB2312"/>
          <w:b w:val="0"/>
          <w:bCs w:val="0"/>
          <w:sz w:val="32"/>
          <w:szCs w:val="32"/>
        </w:rPr>
        <w:pict>
          <v:shape id="_x0000_s1045" o:spid="_x0000_s1045" o:spt="202" type="#_x0000_t202" style="position:absolute;left:0pt;margin-left:-2.25pt;margin-top:28.35pt;height:335.55pt;width:416.05pt;mso-wrap-style:none;z-index:251655168;mso-width-relative:page;mso-height-relative:page;" coordsize="21600,21600">
            <v:path/>
            <v:fill focussize="0,0"/>
            <v:stroke joinstyle="miter"/>
            <v:imagedata o:title=""/>
            <o:lock v:ext="edit"/>
            <v:textbox style="mso-fit-shape-to-text:t;">
              <w:txbxContent>
                <w:p>
                  <w:r>
                    <w:rPr>
                      <w:rFonts w:ascii="仿宋_GB2312" w:hAnsi="仿宋_GB2312" w:eastAsia="仿宋_GB2312"/>
                      <w:sz w:val="32"/>
                      <w:szCs w:val="32"/>
                    </w:rPr>
                    <w:drawing>
                      <wp:inline distT="0" distB="0" distL="0" distR="0">
                        <wp:extent cx="5210175" cy="3905250"/>
                        <wp:effectExtent l="0" t="0" r="0" b="0"/>
                        <wp:docPr id="19"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v:shape>
        </w:pict>
      </w:r>
    </w:p>
    <w:p>
      <w:pPr>
        <w:pStyle w:val="2"/>
        <w:ind w:right="440"/>
        <w:jc w:val="right"/>
        <w:rPr>
          <w:rFonts w:ascii="黑体" w:hAnsi="黑体" w:eastAsia="黑体"/>
          <w:b w:val="0"/>
          <w:color w:val="000000"/>
        </w:rPr>
      </w:pPr>
    </w:p>
    <w:p>
      <w:pPr>
        <w:pStyle w:val="2"/>
        <w:ind w:right="440"/>
        <w:jc w:val="right"/>
        <w:rPr>
          <w:rFonts w:ascii="黑体" w:hAnsi="黑体" w:eastAsia="黑体"/>
          <w:b w:val="0"/>
          <w:color w:val="000000"/>
        </w:rPr>
      </w:pPr>
    </w:p>
    <w:p/>
    <w:p>
      <w:pPr>
        <w:snapToGrid w:val="0"/>
        <w:spacing w:line="520" w:lineRule="exact"/>
        <w:ind w:firstLine="643" w:firstLineChars="200"/>
        <w:rPr>
          <w:rFonts w:ascii="楷体_GB2312" w:hAnsi="仿宋" w:eastAsia="楷体_GB2312" w:cs="楷体_GB2312"/>
          <w:b/>
          <w:bCs/>
          <w:sz w:val="32"/>
          <w:szCs w:val="32"/>
        </w:rPr>
      </w:pPr>
    </w:p>
    <w:p>
      <w:pPr>
        <w:snapToGrid w:val="0"/>
        <w:spacing w:line="520" w:lineRule="exact"/>
        <w:ind w:firstLine="643" w:firstLineChars="200"/>
        <w:rPr>
          <w:rFonts w:ascii="楷体_GB2312" w:hAnsi="仿宋" w:eastAsia="楷体_GB2312" w:cs="楷体_GB2312"/>
          <w:b/>
          <w:bCs/>
          <w:sz w:val="32"/>
          <w:szCs w:val="32"/>
        </w:rPr>
      </w:pPr>
    </w:p>
    <w:p>
      <w:pPr>
        <w:snapToGrid w:val="0"/>
        <w:spacing w:line="520" w:lineRule="exact"/>
        <w:ind w:firstLine="643" w:firstLineChars="200"/>
        <w:rPr>
          <w:rFonts w:ascii="楷体_GB2312" w:hAnsi="仿宋" w:eastAsia="楷体_GB2312" w:cs="楷体_GB2312"/>
          <w:b/>
          <w:bCs/>
          <w:sz w:val="32"/>
          <w:szCs w:val="32"/>
        </w:rPr>
      </w:pPr>
    </w:p>
    <w:p>
      <w:pPr>
        <w:snapToGrid w:val="0"/>
        <w:spacing w:line="520" w:lineRule="exact"/>
        <w:ind w:firstLine="643" w:firstLineChars="200"/>
        <w:rPr>
          <w:rFonts w:ascii="楷体_GB2312" w:hAnsi="仿宋" w:eastAsia="楷体_GB2312" w:cs="楷体_GB2312"/>
          <w:b/>
          <w:bCs/>
          <w:sz w:val="32"/>
          <w:szCs w:val="32"/>
        </w:rPr>
      </w:pPr>
    </w:p>
    <w:p>
      <w:pPr>
        <w:snapToGrid w:val="0"/>
        <w:spacing w:line="520" w:lineRule="exact"/>
        <w:ind w:firstLine="643" w:firstLineChars="200"/>
        <w:rPr>
          <w:rFonts w:ascii="楷体_GB2312" w:hAnsi="仿宋" w:eastAsia="楷体_GB2312" w:cs="楷体_GB2312"/>
          <w:b/>
          <w:bCs/>
          <w:sz w:val="32"/>
          <w:szCs w:val="32"/>
        </w:rPr>
      </w:pPr>
    </w:p>
    <w:p>
      <w:pPr>
        <w:snapToGrid w:val="0"/>
        <w:spacing w:line="520" w:lineRule="exact"/>
        <w:ind w:firstLine="643" w:firstLineChars="200"/>
        <w:rPr>
          <w:rFonts w:ascii="楷体_GB2312" w:hAnsi="仿宋" w:eastAsia="楷体_GB2312" w:cs="楷体_GB2312"/>
          <w:b/>
          <w:bCs/>
          <w:sz w:val="32"/>
          <w:szCs w:val="32"/>
        </w:rPr>
      </w:pPr>
    </w:p>
    <w:p>
      <w:pPr>
        <w:snapToGrid w:val="0"/>
        <w:spacing w:line="520" w:lineRule="exact"/>
        <w:ind w:firstLine="643" w:firstLineChars="200"/>
        <w:rPr>
          <w:rFonts w:ascii="楷体_GB2312" w:hAnsi="仿宋" w:eastAsia="楷体_GB2312" w:cs="楷体_GB2312"/>
          <w:b/>
          <w:bCs/>
          <w:sz w:val="32"/>
          <w:szCs w:val="32"/>
        </w:rPr>
      </w:pPr>
    </w:p>
    <w:p>
      <w:pPr>
        <w:pStyle w:val="19"/>
        <w:numPr>
          <w:ilvl w:val="0"/>
          <w:numId w:val="1"/>
        </w:numPr>
        <w:spacing w:line="600" w:lineRule="exact"/>
        <w:ind w:firstLineChars="0"/>
        <w:outlineLvl w:val="1"/>
        <w:rPr>
          <w:rStyle w:val="17"/>
          <w:rFonts w:ascii="黑体" w:hAnsi="黑体" w:eastAsia="黑体"/>
          <w:b w:val="0"/>
        </w:rPr>
      </w:pPr>
      <w:bookmarkStart w:id="17" w:name="_Toc15396604"/>
      <w:bookmarkStart w:id="18" w:name="_Toc15377206"/>
      <w:r>
        <w:rPr>
          <w:rFonts w:hint="eastAsia" w:ascii="黑体" w:hAnsi="黑体" w:eastAsia="黑体"/>
          <w:color w:val="000000"/>
          <w:sz w:val="32"/>
          <w:szCs w:val="32"/>
        </w:rPr>
        <w:t>收</w:t>
      </w:r>
      <w:r>
        <w:rPr>
          <w:rStyle w:val="17"/>
          <w:rFonts w:hint="eastAsia" w:ascii="黑体" w:hAnsi="黑体" w:eastAsia="黑体"/>
        </w:rPr>
        <w:t>入决算情况说明</w:t>
      </w:r>
      <w:bookmarkEnd w:id="17"/>
      <w:bookmarkEnd w:id="18"/>
    </w:p>
    <w:p>
      <w:pPr>
        <w:spacing w:line="600" w:lineRule="exact"/>
        <w:ind w:firstLine="640" w:firstLineChars="200"/>
        <w:outlineLvl w:val="1"/>
        <w:rPr>
          <w:rFonts w:ascii="仿宋" w:hAnsi="仿宋" w:eastAsia="仿宋"/>
          <w:color w:val="000000"/>
          <w:sz w:val="32"/>
          <w:szCs w:val="32"/>
        </w:rPr>
      </w:pPr>
      <w:r>
        <w:rPr>
          <w:rFonts w:hint="eastAsia" w:ascii="仿宋_GB2312" w:hAnsi="仿宋_GB2312" w:eastAsia="仿宋_GB2312" w:cs="仿宋_GB2312"/>
          <w:sz w:val="32"/>
          <w:szCs w:val="32"/>
        </w:rPr>
        <w:t>2019年本年收入合计714.41万元，</w:t>
      </w:r>
      <w:r>
        <w:rPr>
          <w:rFonts w:hint="eastAsia" w:ascii="仿宋" w:hAnsi="仿宋" w:eastAsia="仿宋"/>
          <w:color w:val="000000"/>
          <w:sz w:val="32"/>
          <w:szCs w:val="32"/>
        </w:rPr>
        <w:t>其中：一般公共预算财政拨款收入714.41万元，占100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napToGrid w:val="0"/>
        <w:spacing w:line="520" w:lineRule="exact"/>
        <w:rPr>
          <w:rFonts w:ascii="楷体_GB2312" w:hAnsi="仿宋" w:eastAsia="楷体_GB2312" w:cs="楷体_GB2312"/>
          <w:b/>
          <w:bCs/>
          <w:sz w:val="32"/>
          <w:szCs w:val="32"/>
        </w:rPr>
      </w:pPr>
      <w:r>
        <w:rPr>
          <w:rFonts w:ascii="楷体_GB2312" w:hAnsi="仿宋" w:eastAsia="楷体_GB2312" w:cs="楷体_GB2312"/>
          <w:b/>
          <w:bCs/>
          <w:sz w:val="32"/>
          <w:szCs w:val="32"/>
        </w:rPr>
        <w:pict>
          <v:shape id="_x0000_s1046" o:spid="_x0000_s1046" o:spt="202" type="#_x0000_t202" style="position:absolute;left:0pt;margin-left:7.5pt;margin-top:4.2pt;height:230.55pt;width:400.55pt;mso-wrap-style:none;z-index:251656192;mso-width-relative:page;mso-height-relative:page;" coordsize="21600,21600">
            <v:path/>
            <v:fill focussize="0,0"/>
            <v:stroke joinstyle="miter"/>
            <v:imagedata o:title=""/>
            <o:lock v:ext="edit"/>
            <v:textbox>
              <w:txbxContent>
                <w:p>
                  <w:r>
                    <w:rPr>
                      <w:rFonts w:ascii="仿宋_GB2312" w:hAnsi="仿宋" w:eastAsia="仿宋_GB2312"/>
                      <w:b/>
                      <w:bCs/>
                      <w:sz w:val="32"/>
                      <w:szCs w:val="32"/>
                    </w:rPr>
                    <w:drawing>
                      <wp:inline distT="0" distB="0" distL="0" distR="0">
                        <wp:extent cx="4895850" cy="3143250"/>
                        <wp:effectExtent l="0" t="0" r="0" b="0"/>
                        <wp:docPr id="20"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p>
    <w:p>
      <w:pPr>
        <w:snapToGrid w:val="0"/>
        <w:spacing w:line="520" w:lineRule="exact"/>
        <w:rPr>
          <w:rFonts w:ascii="楷体_GB2312" w:hAnsi="仿宋" w:eastAsia="楷体_GB2312" w:cs="楷体_GB2312"/>
          <w:b/>
          <w:bCs/>
          <w:sz w:val="32"/>
          <w:szCs w:val="32"/>
        </w:rPr>
      </w:pPr>
    </w:p>
    <w:p>
      <w:pPr>
        <w:snapToGrid w:val="0"/>
        <w:spacing w:line="520" w:lineRule="exact"/>
        <w:rPr>
          <w:rFonts w:ascii="楷体_GB2312" w:hAnsi="仿宋" w:eastAsia="楷体_GB2312" w:cs="楷体_GB2312"/>
          <w:b/>
          <w:bCs/>
          <w:sz w:val="32"/>
          <w:szCs w:val="32"/>
        </w:rPr>
      </w:pPr>
    </w:p>
    <w:p>
      <w:pPr>
        <w:snapToGrid w:val="0"/>
        <w:spacing w:line="520" w:lineRule="exact"/>
        <w:rPr>
          <w:rFonts w:ascii="楷体_GB2312" w:hAnsi="仿宋" w:eastAsia="楷体_GB2312" w:cs="楷体_GB2312"/>
          <w:b/>
          <w:bCs/>
          <w:sz w:val="32"/>
          <w:szCs w:val="32"/>
        </w:rPr>
      </w:pPr>
    </w:p>
    <w:p>
      <w:pPr>
        <w:snapToGrid w:val="0"/>
        <w:spacing w:line="520" w:lineRule="exact"/>
        <w:rPr>
          <w:rFonts w:ascii="楷体_GB2312" w:hAnsi="仿宋" w:eastAsia="楷体_GB2312" w:cs="楷体_GB2312"/>
          <w:b/>
          <w:bCs/>
          <w:sz w:val="32"/>
          <w:szCs w:val="32"/>
        </w:rPr>
      </w:pPr>
    </w:p>
    <w:p>
      <w:pPr>
        <w:snapToGrid w:val="0"/>
        <w:spacing w:line="520" w:lineRule="exact"/>
        <w:rPr>
          <w:rFonts w:ascii="楷体_GB2312" w:hAnsi="仿宋" w:eastAsia="楷体_GB2312" w:cs="楷体_GB2312"/>
          <w:b/>
          <w:bCs/>
          <w:sz w:val="32"/>
          <w:szCs w:val="32"/>
        </w:rPr>
      </w:pPr>
    </w:p>
    <w:p>
      <w:pPr>
        <w:snapToGrid w:val="0"/>
        <w:spacing w:line="520" w:lineRule="exact"/>
        <w:rPr>
          <w:rFonts w:ascii="楷体_GB2312" w:hAnsi="仿宋" w:eastAsia="楷体_GB2312" w:cs="楷体_GB2312"/>
          <w:b/>
          <w:bCs/>
          <w:sz w:val="32"/>
          <w:szCs w:val="32"/>
        </w:rPr>
      </w:pPr>
    </w:p>
    <w:p>
      <w:pPr>
        <w:snapToGrid w:val="0"/>
        <w:spacing w:line="520" w:lineRule="exact"/>
        <w:rPr>
          <w:rFonts w:ascii="楷体_GB2312" w:hAnsi="仿宋" w:eastAsia="楷体_GB2312" w:cs="楷体_GB2312"/>
          <w:b/>
          <w:bCs/>
          <w:sz w:val="32"/>
          <w:szCs w:val="32"/>
        </w:rPr>
      </w:pPr>
    </w:p>
    <w:p>
      <w:pPr>
        <w:snapToGrid w:val="0"/>
        <w:spacing w:line="520" w:lineRule="exact"/>
        <w:rPr>
          <w:rFonts w:ascii="仿宋_GB2312" w:hAnsi="仿宋_GB2312" w:eastAsia="仿宋_GB2312" w:cs="仿宋_GB2312"/>
          <w:color w:val="000000"/>
          <w:kern w:val="0"/>
          <w:sz w:val="32"/>
          <w:szCs w:val="32"/>
        </w:rPr>
      </w:pPr>
    </w:p>
    <w:p>
      <w:pPr>
        <w:pStyle w:val="19"/>
        <w:numPr>
          <w:ilvl w:val="0"/>
          <w:numId w:val="2"/>
        </w:numPr>
        <w:spacing w:line="600" w:lineRule="exact"/>
        <w:ind w:firstLineChars="0"/>
        <w:outlineLvl w:val="1"/>
        <w:rPr>
          <w:rStyle w:val="17"/>
          <w:rFonts w:ascii="黑体" w:hAnsi="黑体" w:eastAsia="黑体"/>
          <w:b w:val="0"/>
        </w:rPr>
      </w:pPr>
      <w:bookmarkStart w:id="19" w:name="_Toc15377207"/>
      <w:bookmarkStart w:id="20" w:name="_Toc15396605"/>
      <w:r>
        <w:rPr>
          <w:rFonts w:hint="eastAsia" w:ascii="黑体" w:hAnsi="黑体" w:eastAsia="黑体"/>
          <w:color w:val="000000"/>
          <w:sz w:val="32"/>
          <w:szCs w:val="32"/>
        </w:rPr>
        <w:t>支</w:t>
      </w:r>
      <w:r>
        <w:rPr>
          <w:rStyle w:val="17"/>
          <w:rFonts w:hint="eastAsia" w:ascii="黑体" w:hAnsi="黑体" w:eastAsia="黑体"/>
        </w:rPr>
        <w:t>出决算情况说明</w:t>
      </w:r>
      <w:bookmarkEnd w:id="19"/>
      <w:bookmarkEnd w:id="20"/>
    </w:p>
    <w:p>
      <w:pPr>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宋体" w:hAnsi="宋体" w:cs="Arial"/>
          <w:b/>
          <w:bCs/>
          <w:color w:val="000000"/>
          <w:kern w:val="0"/>
          <w:sz w:val="32"/>
          <w:szCs w:val="32"/>
        </w:rPr>
        <w:t>714.41</w:t>
      </w:r>
      <w:r>
        <w:rPr>
          <w:rFonts w:hint="eastAsia" w:ascii="仿宋" w:hAnsi="仿宋" w:eastAsia="仿宋"/>
          <w:color w:val="000000"/>
          <w:sz w:val="32"/>
          <w:szCs w:val="32"/>
        </w:rPr>
        <w:t>万元，其中：基本支出714.4元，占100</w:t>
      </w:r>
      <w:r>
        <w:rPr>
          <w:rFonts w:ascii="仿宋" w:hAnsi="仿宋" w:eastAsia="仿宋"/>
          <w:color w:val="000000"/>
          <w:sz w:val="32"/>
          <w:szCs w:val="32"/>
        </w:rPr>
        <w:t>%</w:t>
      </w:r>
      <w:r>
        <w:rPr>
          <w:rFonts w:hint="eastAsia" w:ascii="仿宋" w:hAnsi="仿宋" w:eastAsia="仿宋"/>
          <w:color w:val="000000"/>
          <w:sz w:val="32"/>
          <w:szCs w:val="32"/>
        </w:rPr>
        <w:t>；项目支出0万元，占0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ind w:firstLine="640" w:firstLineChars="200"/>
        <w:rPr>
          <w:rFonts w:ascii="仿宋" w:hAnsi="仿宋" w:eastAsia="仿宋"/>
          <w:color w:val="000000"/>
          <w:sz w:val="32"/>
          <w:szCs w:val="32"/>
        </w:rPr>
      </w:pPr>
      <w:r>
        <w:rPr>
          <w:rFonts w:ascii="仿宋" w:hAnsi="仿宋" w:eastAsia="仿宋"/>
          <w:color w:val="000000"/>
          <w:sz w:val="32"/>
          <w:szCs w:val="32"/>
        </w:rPr>
        <w:pict>
          <v:shape id="_x0000_s1047" o:spid="_x0000_s1047" o:spt="202" type="#_x0000_t202" style="position:absolute;left:0pt;margin-left:35.25pt;margin-top:9.2pt;height:163.2pt;width:333.2pt;mso-wrap-style:none;z-index:251657216;mso-width-relative:page;mso-height-relative:page;" coordsize="21600,21600">
            <v:path/>
            <v:fill focussize="0,0"/>
            <v:stroke joinstyle="miter"/>
            <v:imagedata o:title=""/>
            <o:lock v:ext="edit"/>
            <v:textbox>
              <w:txbxContent>
                <w:p>
                  <w:r>
                    <w:drawing>
                      <wp:inline distT="0" distB="0" distL="0" distR="0">
                        <wp:extent cx="4038600" cy="2171700"/>
                        <wp:effectExtent l="0" t="0" r="0" b="0"/>
                        <wp:docPr id="21"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spacing w:line="600" w:lineRule="exact"/>
        <w:ind w:firstLine="640" w:firstLineChars="200"/>
        <w:outlineLvl w:val="1"/>
        <w:rPr>
          <w:rStyle w:val="17"/>
          <w:rFonts w:ascii="黑体" w:hAnsi="黑体" w:eastAsia="黑体"/>
          <w:b w:val="0"/>
        </w:rPr>
      </w:pPr>
      <w:bookmarkStart w:id="21" w:name="_Toc15377208"/>
      <w:bookmarkStart w:id="22" w:name="_Toc15396606"/>
      <w:r>
        <w:rPr>
          <w:rFonts w:hint="eastAsia" w:ascii="黑体" w:hAnsi="黑体" w:eastAsia="黑体"/>
          <w:color w:val="000000"/>
          <w:sz w:val="32"/>
          <w:szCs w:val="32"/>
        </w:rPr>
        <w:t>四、财</w:t>
      </w:r>
      <w:r>
        <w:rPr>
          <w:rStyle w:val="17"/>
          <w:rFonts w:hint="eastAsia" w:ascii="黑体" w:hAnsi="黑体" w:eastAsia="黑体"/>
        </w:rPr>
        <w:t>政拨款收入支出决算总体情况说明</w:t>
      </w:r>
      <w:bookmarkEnd w:id="21"/>
      <w:bookmarkEnd w:id="22"/>
    </w:p>
    <w:p>
      <w:pPr>
        <w:spacing w:line="560" w:lineRule="exact"/>
        <w:ind w:firstLine="640" w:firstLineChars="200"/>
        <w:rPr>
          <w:rFonts w:ascii="仿宋_GB2312" w:hAnsi="仿宋_GB2312" w:eastAsia="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_GB2312" w:hAnsi="仿宋_GB2312" w:eastAsia="仿宋_GB2312" w:cs="仿宋_GB2312"/>
          <w:sz w:val="32"/>
          <w:szCs w:val="32"/>
        </w:rPr>
        <w:t>714.41万</w:t>
      </w:r>
      <w:r>
        <w:rPr>
          <w:rFonts w:hint="eastAsia" w:ascii="仿宋" w:hAnsi="仿宋" w:eastAsia="仿宋"/>
          <w:color w:val="000000"/>
          <w:sz w:val="32"/>
          <w:szCs w:val="32"/>
        </w:rPr>
        <w:t>元</w:t>
      </w:r>
      <w:r>
        <w:rPr>
          <w:rFonts w:hint="eastAsia" w:ascii="仿宋_GB2312" w:hAnsi="仿宋_GB2312" w:eastAsia="仿宋_GB2312" w:cs="仿宋_GB2312"/>
          <w:sz w:val="32"/>
          <w:szCs w:val="32"/>
        </w:rPr>
        <w:t>，</w:t>
      </w:r>
      <w:r>
        <w:rPr>
          <w:rFonts w:hint="eastAsia" w:ascii="仿宋" w:hAnsi="仿宋" w:eastAsia="仿宋"/>
          <w:color w:val="000000"/>
          <w:sz w:val="32"/>
          <w:szCs w:val="32"/>
        </w:rPr>
        <w:t>与2018年相比，收、支总计各增加181.77万元，增长34.13</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_GB2312" w:hAnsi="仿宋_GB2312" w:eastAsia="仿宋_GB2312" w:cs="仿宋_GB2312"/>
          <w:sz w:val="32"/>
          <w:szCs w:val="32"/>
        </w:rPr>
        <w:t>社会保障、卫生健康、农林水支出、住房保障增加。</w:t>
      </w:r>
    </w:p>
    <w:p>
      <w:pPr>
        <w:ind w:firstLine="640" w:firstLineChars="200"/>
        <w:rPr>
          <w:rFonts w:ascii="仿宋" w:hAnsi="仿宋" w:eastAsia="仿宋"/>
          <w:color w:val="000000"/>
          <w:sz w:val="32"/>
          <w:szCs w:val="32"/>
        </w:rPr>
      </w:pPr>
      <w:r>
        <w:rPr>
          <w:rFonts w:ascii="仿宋" w:hAnsi="仿宋" w:eastAsia="仿宋"/>
          <w:color w:val="000000"/>
          <w:sz w:val="32"/>
          <w:szCs w:val="32"/>
        </w:rPr>
        <w:pict>
          <v:shape id="_x0000_s1048" o:spid="_x0000_s1048" o:spt="202" type="#_x0000_t202" style="position:absolute;left:0pt;margin-left:30pt;margin-top:25.5pt;height:335.55pt;width:416.05pt;mso-wrap-style:none;z-index:251658240;mso-width-relative:page;mso-height-relative:page;" coordsize="21600,21600">
            <v:path/>
            <v:fill focussize="0,0"/>
            <v:stroke joinstyle="miter"/>
            <v:imagedata o:title=""/>
            <o:lock v:ext="edit"/>
            <v:textbox style="mso-fit-shape-to-text:t;">
              <w:txbxContent>
                <w:p>
                  <w:r>
                    <w:rPr>
                      <w:rFonts w:ascii="仿宋_GB2312" w:hAnsi="仿宋_GB2312" w:eastAsia="仿宋_GB2312"/>
                      <w:sz w:val="32"/>
                      <w:szCs w:val="32"/>
                    </w:rPr>
                    <w:drawing>
                      <wp:inline distT="0" distB="0" distL="0" distR="0">
                        <wp:extent cx="5200650" cy="3905250"/>
                        <wp:effectExtent l="0" t="0" r="0" b="0"/>
                        <wp:docPr id="22"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spacing w:line="600" w:lineRule="exact"/>
        <w:ind w:firstLine="640" w:firstLineChars="200"/>
        <w:outlineLvl w:val="1"/>
        <w:rPr>
          <w:rStyle w:val="17"/>
          <w:rFonts w:ascii="黑体" w:hAnsi="黑体" w:eastAsia="黑体"/>
          <w:b w:val="0"/>
        </w:rPr>
      </w:pPr>
      <w:bookmarkStart w:id="23" w:name="_Toc15396607"/>
      <w:bookmarkStart w:id="24"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rPr>
        <w:t>般公共预算财政拨款支出决算情况说明</w:t>
      </w:r>
      <w:bookmarkEnd w:id="23"/>
      <w:bookmarkEnd w:id="24"/>
    </w:p>
    <w:p>
      <w:pPr>
        <w:spacing w:line="600" w:lineRule="exact"/>
        <w:ind w:firstLine="643" w:firstLineChars="200"/>
        <w:outlineLvl w:val="2"/>
        <w:rPr>
          <w:rFonts w:ascii="仿宋" w:hAnsi="仿宋" w:eastAsia="仿宋"/>
          <w:b/>
          <w:color w:val="000000"/>
          <w:sz w:val="32"/>
          <w:szCs w:val="32"/>
        </w:rPr>
      </w:pPr>
      <w:bookmarkStart w:id="25" w:name="_Toc15377210"/>
      <w:r>
        <w:rPr>
          <w:rFonts w:hint="eastAsia" w:ascii="仿宋" w:hAnsi="仿宋" w:eastAsia="仿宋"/>
          <w:b/>
          <w:color w:val="000000"/>
          <w:sz w:val="32"/>
          <w:szCs w:val="32"/>
        </w:rPr>
        <w:t>（一）一般公共预算财政拨款支出决算总体情况</w:t>
      </w:r>
      <w:bookmarkEnd w:id="25"/>
    </w:p>
    <w:p>
      <w:pPr>
        <w:spacing w:line="560" w:lineRule="exact"/>
        <w:ind w:firstLine="640" w:firstLineChars="200"/>
        <w:rPr>
          <w:rFonts w:ascii="仿宋_GB2312" w:hAnsi="仿宋_GB2312" w:eastAsia="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9年一般公共预算财政拨款支出714.41万元，占本年支出合计的100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8年相比，一般公共预算财政拨款增加181.77万元，增长34.13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hAnsi="仿宋_GB2312" w:eastAsia="仿宋_GB2312" w:cs="仿宋_GB2312"/>
          <w:sz w:val="32"/>
          <w:szCs w:val="32"/>
        </w:rPr>
        <w:t>社会保障、卫生健康、农林水支出、住房保障增加。</w: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r>
        <w:rPr>
          <w:rFonts w:ascii="仿宋" w:hAnsi="仿宋" w:eastAsia="仿宋"/>
          <w:color w:val="000000"/>
          <w:sz w:val="32"/>
          <w:szCs w:val="32"/>
        </w:rPr>
        <w:pict>
          <v:shape id="_x0000_s1049" o:spid="_x0000_s1049" o:spt="202" type="#_x0000_t202" style="position:absolute;left:0pt;margin-left:40.5pt;margin-top:11.25pt;height:288.75pt;width:375.8pt;mso-wrap-style:none;z-index:251659264;mso-width-relative:page;mso-height-relative:page;" coordsize="21600,21600">
            <v:path/>
            <v:fill focussize="0,0"/>
            <v:stroke joinstyle="miter"/>
            <v:imagedata o:title=""/>
            <o:lock v:ext="edit"/>
            <v:textbox style="mso-fit-shape-to-text:t;">
              <w:txbxContent>
                <w:p>
                  <w:r>
                    <w:rPr>
                      <w:rFonts w:ascii="仿宋_GB2312" w:hAnsi="仿宋_GB2312" w:eastAsia="仿宋_GB2312"/>
                      <w:sz w:val="32"/>
                      <w:szCs w:val="32"/>
                    </w:rPr>
                    <w:drawing>
                      <wp:inline distT="0" distB="0" distL="0" distR="0">
                        <wp:extent cx="4581525" cy="3448050"/>
                        <wp:effectExtent l="0" t="0" r="0" b="0"/>
                        <wp:docPr id="23"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pacing w:line="600" w:lineRule="exact"/>
        <w:ind w:firstLine="643" w:firstLineChars="200"/>
        <w:outlineLvl w:val="2"/>
        <w:rPr>
          <w:rFonts w:ascii="仿宋" w:hAnsi="仿宋" w:eastAsia="仿宋"/>
          <w:b/>
          <w:color w:val="000000"/>
          <w:sz w:val="32"/>
          <w:szCs w:val="32"/>
        </w:rPr>
      </w:pPr>
      <w:bookmarkStart w:id="26" w:name="_Toc15377211"/>
      <w:r>
        <w:rPr>
          <w:rFonts w:hint="eastAsia" w:ascii="仿宋" w:hAnsi="仿宋" w:eastAsia="仿宋"/>
          <w:b/>
          <w:color w:val="000000"/>
          <w:sz w:val="32"/>
          <w:szCs w:val="32"/>
        </w:rPr>
        <w:t>（二）一般公共预算财政拨款支出决算结构情况</w:t>
      </w:r>
      <w:bookmarkEnd w:id="26"/>
    </w:p>
    <w:p>
      <w:pPr>
        <w:snapToGrid w:val="0"/>
        <w:spacing w:line="520" w:lineRule="exact"/>
        <w:ind w:firstLine="640" w:firstLineChars="200"/>
        <w:rPr>
          <w:rFonts w:ascii="仿宋_GB2312" w:hAnsi="仿宋_GB2312" w:eastAsia="仿宋_GB2312" w:cs="仿宋_GB2312"/>
          <w:color w:val="000000"/>
          <w:kern w:val="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9年一般公共预算财政拨款支出714.41万元，主要用于以下方面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支出85.94万元，占12.03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30.24万元，占4.23</w:t>
      </w:r>
      <w:r>
        <w:rPr>
          <w:rFonts w:ascii="仿宋" w:hAnsi="仿宋" w:eastAsia="仿宋"/>
          <w:color w:val="000000"/>
          <w:sz w:val="32"/>
          <w:szCs w:val="32"/>
        </w:rPr>
        <w:t>%</w:t>
      </w:r>
      <w:r>
        <w:rPr>
          <w:rFonts w:hint="eastAsia" w:ascii="仿宋" w:hAnsi="仿宋" w:eastAsia="仿宋"/>
          <w:color w:val="000000"/>
          <w:sz w:val="32"/>
          <w:szCs w:val="32"/>
        </w:rPr>
        <w:t>；住房保障支出53.85万元，占7.54</w:t>
      </w:r>
      <w:r>
        <w:rPr>
          <w:rFonts w:ascii="仿宋" w:hAnsi="仿宋" w:eastAsia="仿宋"/>
          <w:color w:val="000000"/>
          <w:sz w:val="32"/>
          <w:szCs w:val="32"/>
        </w:rPr>
        <w:t>%</w:t>
      </w:r>
      <w:r>
        <w:rPr>
          <w:rFonts w:hint="eastAsia" w:ascii="仿宋" w:hAnsi="仿宋" w:eastAsia="仿宋"/>
          <w:color w:val="000000"/>
          <w:sz w:val="32"/>
          <w:szCs w:val="32"/>
        </w:rPr>
        <w:t>；</w:t>
      </w: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pict>
          <v:shape id="_x0000_s1050" o:spid="_x0000_s1050" o:spt="202" type="#_x0000_t202" style="position:absolute;left:0pt;margin-left:27.75pt;margin-top:18.75pt;height:273.15pt;width:416.05pt;mso-wrap-style:none;z-index:251660288;mso-width-relative:page;mso-height-relative:page;" coordsize="21600,21600">
            <v:path/>
            <v:fill focussize="0,0"/>
            <v:stroke joinstyle="miter"/>
            <v:imagedata o:title=""/>
            <o:lock v:ext="edit"/>
            <v:textbox style="mso-fit-shape-to-text:t;">
              <w:txbxContent>
                <w:p>
                  <w:r>
                    <w:drawing>
                      <wp:inline distT="0" distB="0" distL="0" distR="0">
                        <wp:extent cx="5105400" cy="3143250"/>
                        <wp:effectExtent l="0" t="0" r="0" b="0"/>
                        <wp:docPr id="24"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napToGrid w:val="0"/>
        <w:spacing w:line="520" w:lineRule="exact"/>
        <w:ind w:firstLine="640" w:firstLineChars="200"/>
        <w:rPr>
          <w:rFonts w:ascii="仿宋_GB2312" w:hAnsi="仿宋_GB2312" w:eastAsia="仿宋_GB2312" w:cs="仿宋_GB2312"/>
          <w:color w:val="000000"/>
          <w:kern w:val="0"/>
          <w:sz w:val="32"/>
          <w:szCs w:val="32"/>
        </w:rPr>
      </w:pPr>
    </w:p>
    <w:p>
      <w:pPr>
        <w:spacing w:line="600" w:lineRule="exact"/>
        <w:ind w:firstLine="643" w:firstLineChars="200"/>
        <w:outlineLvl w:val="2"/>
        <w:rPr>
          <w:rFonts w:ascii="仿宋" w:hAnsi="仿宋" w:eastAsia="仿宋"/>
          <w:b/>
          <w:color w:val="000000"/>
          <w:sz w:val="32"/>
          <w:szCs w:val="32"/>
        </w:rPr>
      </w:pPr>
      <w:bookmarkStart w:id="27" w:name="_Toc15377212"/>
      <w:r>
        <w:rPr>
          <w:rFonts w:hint="eastAsia" w:ascii="仿宋" w:hAnsi="仿宋" w:eastAsia="仿宋"/>
          <w:b/>
          <w:color w:val="000000"/>
          <w:sz w:val="32"/>
          <w:szCs w:val="32"/>
        </w:rPr>
        <w:t>（三）一般公共预算财政拨款支出决算具体情况</w:t>
      </w:r>
      <w:bookmarkEnd w:id="27"/>
    </w:p>
    <w:p>
      <w:pPr>
        <w:spacing w:line="600" w:lineRule="exact"/>
        <w:ind w:firstLine="643" w:firstLineChars="200"/>
        <w:outlineLvl w:val="2"/>
        <w:rPr>
          <w:rFonts w:ascii="仿宋" w:hAnsi="仿宋" w:eastAsia="仿宋"/>
          <w:color w:val="FF0000"/>
          <w:sz w:val="32"/>
          <w:szCs w:val="32"/>
        </w:rPr>
      </w:pPr>
      <w:bookmarkStart w:id="28" w:name="_Toc15377213"/>
      <w:bookmarkStart w:id="29" w:name="_Toc15377444"/>
      <w:bookmarkStart w:id="30" w:name="_Toc15378460"/>
      <w:r>
        <w:rPr>
          <w:rFonts w:hint="eastAsia" w:ascii="仿宋" w:hAnsi="仿宋" w:eastAsia="仿宋"/>
          <w:b/>
          <w:color w:val="000000"/>
          <w:sz w:val="32"/>
          <w:szCs w:val="32"/>
        </w:rPr>
        <w:t>2019一年般公共预算支出决算数为714.41万元</w:t>
      </w:r>
      <w:r>
        <w:rPr>
          <w:rFonts w:hint="eastAsia" w:ascii="仿宋" w:hAnsi="仿宋" w:eastAsia="仿宋"/>
          <w:color w:val="000000"/>
          <w:sz w:val="32"/>
          <w:szCs w:val="32"/>
        </w:rPr>
        <w:t>，</w:t>
      </w:r>
      <w:r>
        <w:rPr>
          <w:rStyle w:val="12"/>
          <w:rFonts w:hint="eastAsia" w:ascii="仿宋" w:hAnsi="仿宋" w:eastAsia="仿宋"/>
          <w:bCs/>
          <w:color w:val="000000"/>
          <w:sz w:val="32"/>
          <w:szCs w:val="32"/>
        </w:rPr>
        <w:t>完成预算100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28"/>
      <w:bookmarkEnd w:id="29"/>
      <w:bookmarkEnd w:id="30"/>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1.</w:t>
      </w:r>
      <w:r>
        <w:rPr>
          <w:rStyle w:val="12"/>
          <w:rFonts w:hint="eastAsia" w:ascii="仿宋" w:hAnsi="仿宋" w:eastAsia="仿宋"/>
          <w:bCs/>
          <w:color w:val="000000"/>
          <w:sz w:val="32"/>
          <w:szCs w:val="32"/>
        </w:rPr>
        <w:t>一般公共服务（类）</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（款）</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（项）</w:t>
      </w:r>
      <w:r>
        <w:rPr>
          <w:rStyle w:val="12"/>
          <w:rFonts w:ascii="仿宋" w:hAnsi="仿宋" w:eastAsia="仿宋"/>
          <w:bCs/>
          <w:color w:val="000000"/>
          <w:sz w:val="32"/>
          <w:szCs w:val="32"/>
        </w:rPr>
        <w:t xml:space="preserve">: </w:t>
      </w:r>
      <w:r>
        <w:rPr>
          <w:rStyle w:val="12"/>
          <w:rFonts w:hint="eastAsia" w:ascii="仿宋" w:hAnsi="仿宋" w:eastAsia="仿宋"/>
          <w:bCs/>
          <w:color w:val="000000"/>
          <w:sz w:val="32"/>
          <w:szCs w:val="32"/>
        </w:rPr>
        <w:t>支出决算为0万元，完成预算0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，决算数小于</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2.</w:t>
      </w:r>
      <w:r>
        <w:rPr>
          <w:rStyle w:val="12"/>
          <w:rFonts w:hint="eastAsia" w:ascii="仿宋" w:hAnsi="仿宋" w:eastAsia="仿宋"/>
          <w:bCs/>
          <w:color w:val="000000"/>
          <w:sz w:val="32"/>
          <w:szCs w:val="32"/>
        </w:rPr>
        <w:t>教育（类）</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（款）</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（项）</w:t>
      </w:r>
      <w:r>
        <w:rPr>
          <w:rStyle w:val="12"/>
          <w:rFonts w:ascii="仿宋" w:hAnsi="仿宋" w:eastAsia="仿宋"/>
          <w:bCs/>
          <w:color w:val="000000"/>
          <w:sz w:val="32"/>
          <w:szCs w:val="32"/>
        </w:rPr>
        <w:t xml:space="preserve">: </w:t>
      </w:r>
      <w:r>
        <w:rPr>
          <w:rStyle w:val="12"/>
          <w:rFonts w:hint="eastAsia" w:ascii="仿宋" w:hAnsi="仿宋" w:eastAsia="仿宋"/>
          <w:bCs/>
          <w:color w:val="000000"/>
          <w:sz w:val="32"/>
          <w:szCs w:val="32"/>
        </w:rPr>
        <w:t>支出决算为0万元，完成预算0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，决算数小于</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3.</w:t>
      </w:r>
      <w:r>
        <w:rPr>
          <w:rStyle w:val="12"/>
          <w:rFonts w:hint="eastAsia" w:ascii="仿宋" w:hAnsi="仿宋" w:eastAsia="仿宋"/>
          <w:bCs/>
          <w:color w:val="000000"/>
          <w:sz w:val="32"/>
          <w:szCs w:val="32"/>
        </w:rPr>
        <w:t>科学技术（类）</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（款）</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（项）</w:t>
      </w:r>
      <w:r>
        <w:rPr>
          <w:rStyle w:val="12"/>
          <w:rFonts w:ascii="仿宋" w:hAnsi="仿宋" w:eastAsia="仿宋"/>
          <w:bCs/>
          <w:color w:val="000000"/>
          <w:sz w:val="32"/>
          <w:szCs w:val="32"/>
        </w:rPr>
        <w:t xml:space="preserve">: </w:t>
      </w:r>
      <w:r>
        <w:rPr>
          <w:rStyle w:val="12"/>
          <w:rFonts w:hint="eastAsia" w:ascii="仿宋" w:hAnsi="仿宋" w:eastAsia="仿宋"/>
          <w:bCs/>
          <w:color w:val="000000"/>
          <w:sz w:val="32"/>
          <w:szCs w:val="32"/>
        </w:rPr>
        <w:t>支出决算为0万元，完成预算0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，决算数小于</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4.</w:t>
      </w:r>
      <w:r>
        <w:rPr>
          <w:rStyle w:val="12"/>
          <w:rFonts w:hint="eastAsia" w:ascii="仿宋" w:hAnsi="仿宋" w:eastAsia="仿宋"/>
          <w:bCs/>
          <w:color w:val="000000"/>
          <w:sz w:val="32"/>
          <w:szCs w:val="32"/>
        </w:rPr>
        <w:t>文化旅游体育与传媒（类）</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（款）</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（项）</w:t>
      </w:r>
      <w:r>
        <w:rPr>
          <w:rStyle w:val="12"/>
          <w:rFonts w:ascii="仿宋" w:hAnsi="仿宋" w:eastAsia="仿宋"/>
          <w:bCs/>
          <w:color w:val="000000"/>
          <w:sz w:val="32"/>
          <w:szCs w:val="32"/>
        </w:rPr>
        <w:t xml:space="preserve">: </w:t>
      </w:r>
      <w:r>
        <w:rPr>
          <w:rStyle w:val="12"/>
          <w:rFonts w:hint="eastAsia" w:ascii="仿宋" w:hAnsi="仿宋" w:eastAsia="仿宋"/>
          <w:bCs/>
          <w:color w:val="000000"/>
          <w:sz w:val="32"/>
          <w:szCs w:val="32"/>
        </w:rPr>
        <w:t>支出决算为0万元，完成预算0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，决算数小于</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5.</w:t>
      </w:r>
      <w:r>
        <w:rPr>
          <w:rStyle w:val="12"/>
          <w:rFonts w:hint="eastAsia" w:ascii="仿宋" w:hAnsi="仿宋" w:eastAsia="仿宋"/>
          <w:bCs/>
          <w:color w:val="000000"/>
          <w:sz w:val="32"/>
          <w:szCs w:val="32"/>
        </w:rPr>
        <w:t>社会保障和就业（类）208（款）</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（项）</w:t>
      </w:r>
      <w:r>
        <w:rPr>
          <w:rStyle w:val="12"/>
          <w:rFonts w:ascii="仿宋" w:hAnsi="仿宋" w:eastAsia="仿宋"/>
          <w:bCs/>
          <w:color w:val="000000"/>
          <w:sz w:val="32"/>
          <w:szCs w:val="32"/>
        </w:rPr>
        <w:t xml:space="preserve">: </w:t>
      </w:r>
      <w:r>
        <w:rPr>
          <w:rStyle w:val="12"/>
          <w:rFonts w:hint="eastAsia" w:ascii="仿宋" w:hAnsi="仿宋" w:eastAsia="仿宋"/>
          <w:bCs/>
          <w:color w:val="000000"/>
          <w:sz w:val="32"/>
          <w:szCs w:val="32"/>
        </w:rPr>
        <w:t>支出决算为85.94万元，完成预算12.03</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，决算数小于</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等于预算数的主要原因是部分支出压减。</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（类）210（款）</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（项）</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支出决算为30.24万元，完成预算4.23</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，决算数小于</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等于预算数的主要原因是部分支出压减。</w:t>
      </w:r>
    </w:p>
    <w:p>
      <w:pPr>
        <w:tabs>
          <w:tab w:val="right" w:pos="8306"/>
        </w:tabs>
        <w:spacing w:line="600" w:lineRule="exact"/>
        <w:ind w:firstLine="640"/>
        <w:outlineLvl w:val="1"/>
        <w:rPr>
          <w:rStyle w:val="17"/>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rPr>
        <w:t>般公共预算财政拨款基本支出决算情况说明</w:t>
      </w:r>
      <w:r>
        <w:rPr>
          <w:rStyle w:val="17"/>
          <w:rFonts w:ascii="黑体" w:hAnsi="黑体" w:eastAsia="黑体"/>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9年一般公共预算财政拨款基本支出714.41万元，其中：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681.08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25.15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hAnsi="黑体" w:eastAsia="黑体"/>
          <w:b w:val="0"/>
        </w:rPr>
      </w:pPr>
      <w:r>
        <w:rPr>
          <w:rFonts w:hint="eastAsia" w:ascii="黑体" w:eastAsia="黑体"/>
          <w:color w:val="000000"/>
          <w:sz w:val="32"/>
          <w:szCs w:val="32"/>
        </w:rPr>
        <w:t>七、</w:t>
      </w:r>
      <w:r>
        <w:rPr>
          <w:rStyle w:val="17"/>
          <w:rFonts w:hint="eastAsia" w:ascii="黑体" w:hAnsi="黑体" w:eastAsia="黑体"/>
        </w:rPr>
        <w:t>“三公”经费财政拨款支出决算情况说明</w:t>
      </w:r>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（一）“三公”经费财政拨款支出决算总体情况说明</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9年“三公”经费财政拨款支出决算为0万元，完成预算0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（二）“三公”经费财政拨款支出决算具体情况说明</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2"/>
          <w:rFonts w:hint="eastAsia" w:ascii="仿宋" w:hAnsi="仿宋" w:eastAsia="仿宋"/>
          <w:bCs/>
          <w:color w:val="000000"/>
          <w:sz w:val="32"/>
          <w:szCs w:val="32"/>
        </w:rPr>
        <w:t>完成预算0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2"/>
          <w:rFonts w:hint="eastAsia" w:ascii="仿宋" w:hAnsi="仿宋" w:eastAsia="仿宋"/>
          <w:bCs/>
          <w:color w:val="000000"/>
          <w:sz w:val="32"/>
          <w:szCs w:val="32"/>
        </w:rPr>
        <w:t>完成预算0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w:t>
      </w:r>
      <w:r>
        <w:rPr>
          <w:rFonts w:hint="eastAsia" w:ascii="仿宋_GB2312" w:eastAsia="仿宋_GB2312"/>
          <w:color w:val="000000"/>
          <w:sz w:val="32"/>
          <w:szCs w:val="32"/>
        </w:rPr>
        <w:t>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月底，单位共有公务用车0辆，其中：主要领导干部用车0辆、机要通信用车0辆、应急保障用车0辆、 执法执勤用车0辆…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0.45万元，</w:t>
      </w:r>
      <w:r>
        <w:rPr>
          <w:rStyle w:val="12"/>
          <w:rFonts w:hint="eastAsia" w:ascii="仿宋" w:hAnsi="仿宋" w:eastAsia="仿宋"/>
          <w:bCs/>
          <w:color w:val="000000"/>
          <w:sz w:val="32"/>
          <w:szCs w:val="32"/>
        </w:rPr>
        <w:t>完成预算0.06</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万元，主要用于……(执行公务、开展业务活动开支的交通费、住宿费、用餐费等)。国内公务接待0批次，0人次（不包括陪同人员），共计支出0万元，具体内容包括：…（接待具体项目、金额）。</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w:t>
      </w:r>
      <w:r>
        <w:rPr>
          <w:rFonts w:hint="eastAsia" w:ascii="仿宋_GB2312" w:eastAsia="仿宋_GB2312"/>
          <w:color w:val="000000"/>
          <w:sz w:val="32"/>
          <w:szCs w:val="32"/>
        </w:rPr>
        <w:t>批次，0人，共计支出0万元，主要用于接待</w:t>
      </w:r>
      <w:r>
        <w:rPr>
          <w:rFonts w:ascii="仿宋_GB2312" w:eastAsia="仿宋_GB2312"/>
          <w:color w:val="000000"/>
          <w:sz w:val="32"/>
          <w:szCs w:val="32"/>
        </w:rPr>
        <w:t>…</w:t>
      </w:r>
      <w:r>
        <w:rPr>
          <w:rFonts w:hint="eastAsia" w:ascii="仿宋_GB2312" w:eastAsia="仿宋_GB2312"/>
          <w:color w:val="000000"/>
          <w:sz w:val="32"/>
          <w:szCs w:val="32"/>
        </w:rPr>
        <w:t>（具体项目）</w:t>
      </w:r>
    </w:p>
    <w:p>
      <w:pPr>
        <w:spacing w:line="600" w:lineRule="exact"/>
        <w:ind w:firstLine="640"/>
        <w:outlineLvl w:val="1"/>
        <w:rPr>
          <w:rFonts w:ascii="黑体" w:eastAsia="黑体"/>
          <w:color w:val="000000"/>
          <w:sz w:val="32"/>
          <w:szCs w:val="32"/>
        </w:rPr>
      </w:pPr>
      <w:bookmarkStart w:id="31" w:name="_Toc15396610"/>
      <w:bookmarkStart w:id="32" w:name="_Toc15377218"/>
    </w:p>
    <w:p>
      <w:pPr>
        <w:spacing w:line="600" w:lineRule="exact"/>
        <w:ind w:firstLine="640"/>
        <w:outlineLvl w:val="1"/>
        <w:rPr>
          <w:rStyle w:val="17"/>
          <w:rFonts w:ascii="黑体" w:hAnsi="黑体" w:eastAsia="黑体"/>
        </w:rPr>
      </w:pPr>
      <w:r>
        <w:rPr>
          <w:rFonts w:hint="eastAsia" w:ascii="黑体" w:eastAsia="黑体"/>
          <w:color w:val="000000"/>
          <w:sz w:val="32"/>
          <w:szCs w:val="32"/>
        </w:rPr>
        <w:t>八、</w:t>
      </w:r>
      <w:r>
        <w:rPr>
          <w:rStyle w:val="17"/>
          <w:rFonts w:hint="eastAsia" w:ascii="黑体" w:hAnsi="黑体" w:eastAsia="黑体"/>
        </w:rPr>
        <w:t>政府性基金预算支出决算情况说明</w:t>
      </w:r>
      <w:bookmarkEnd w:id="31"/>
      <w:bookmarkEnd w:id="3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7"/>
          <w:rFonts w:ascii="黑体" w:hAnsi="黑体" w:eastAsia="黑体"/>
          <w:b w:val="0"/>
        </w:rPr>
      </w:pPr>
      <w:bookmarkStart w:id="33" w:name="_Toc15377219"/>
      <w:bookmarkStart w:id="34" w:name="_Toc15396611"/>
      <w:r>
        <w:rPr>
          <w:rStyle w:val="17"/>
          <w:rFonts w:hint="eastAsia" w:ascii="黑体" w:hAnsi="黑体" w:eastAsia="黑体"/>
        </w:rPr>
        <w:t>国有资本经营预算支出决算情况说明</w:t>
      </w:r>
      <w:bookmarkEnd w:id="33"/>
      <w:bookmarkEnd w:id="3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7"/>
          <w:rFonts w:ascii="黑体" w:hAnsi="黑体" w:eastAsia="黑体"/>
        </w:rPr>
      </w:pPr>
      <w:bookmarkStart w:id="35" w:name="_Toc15377221"/>
      <w:bookmarkStart w:id="36" w:name="_Toc15396612"/>
      <w:r>
        <w:rPr>
          <w:rFonts w:hint="eastAsia" w:ascii="黑体" w:hAnsi="黑体" w:eastAsia="黑体"/>
          <w:color w:val="000000"/>
          <w:sz w:val="32"/>
          <w:szCs w:val="32"/>
        </w:rPr>
        <w:t>十</w:t>
      </w:r>
      <w:r>
        <w:rPr>
          <w:rStyle w:val="17"/>
          <w:rFonts w:hint="eastAsia" w:ascii="黑体" w:hAnsi="黑体" w:eastAsia="黑体"/>
        </w:rPr>
        <w:t>、其他重要事项的情况说明</w:t>
      </w:r>
      <w:bookmarkEnd w:id="35"/>
      <w:bookmarkEnd w:id="36"/>
    </w:p>
    <w:p>
      <w:pPr>
        <w:spacing w:line="600" w:lineRule="exact"/>
        <w:ind w:firstLine="643" w:firstLineChars="200"/>
        <w:outlineLvl w:val="2"/>
        <w:rPr>
          <w:rFonts w:ascii="仿宋" w:hAnsi="仿宋" w:eastAsia="仿宋"/>
          <w:color w:val="000000"/>
          <w:sz w:val="32"/>
          <w:szCs w:val="32"/>
        </w:rPr>
      </w:pPr>
      <w:bookmarkStart w:id="37" w:name="_Toc15377222"/>
      <w:r>
        <w:rPr>
          <w:rFonts w:hint="eastAsia" w:ascii="仿宋" w:hAnsi="仿宋" w:eastAsia="仿宋"/>
          <w:b/>
          <w:color w:val="000000"/>
          <w:sz w:val="32"/>
          <w:szCs w:val="32"/>
        </w:rPr>
        <w:t>（一）机关运行经费支出情况</w:t>
      </w:r>
      <w:bookmarkEnd w:id="3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9年，杜苟拉自然保护区机关运行经费支出0万元，比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8年决算数持平）。主要原因是……</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38" w:name="_Toc15377223"/>
      <w:r>
        <w:rPr>
          <w:rFonts w:hint="eastAsia" w:ascii="仿宋" w:hAnsi="仿宋" w:eastAsia="仿宋"/>
          <w:b/>
          <w:color w:val="000000"/>
          <w:sz w:val="32"/>
          <w:szCs w:val="32"/>
        </w:rPr>
        <w:t>（二）政府采购支出情况</w:t>
      </w:r>
      <w:bookmarkEnd w:id="3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9年，杜苟拉自然保护区政府采购支出总额0万元，其中：政府采购货物支出0万元、政府采购工程支出0万元、政府采购服务支出0万元。主要用于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39" w:name="_Toc15377224"/>
      <w:r>
        <w:rPr>
          <w:rFonts w:hint="eastAsia" w:ascii="仿宋" w:hAnsi="仿宋" w:eastAsia="仿宋"/>
          <w:b/>
          <w:color w:val="000000"/>
          <w:sz w:val="32"/>
          <w:szCs w:val="32"/>
        </w:rPr>
        <w:t>（三）国有资产占有使用情况</w:t>
      </w:r>
      <w:bookmarkEnd w:id="39"/>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日，杜苟拉自然保护区共有车辆0辆，其中：主要领导干部用车0辆、机要通信用车0辆、应急保障用车0辆、其他用车0辆……其他用车主要是用于……单价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XXX项目（项目名称）开展了预算事前绩效评估，对XX个项目编制了绩效目标，预算执行过程中，选取XX个项目开展绩效监控，年终执行完毕后，对XX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简要说明整体绩效情况）。本部门还自行组织了X个项目支出绩效评价，从评价情况来看…………（简要说明项目绩效情况；若未开展项目支出绩效评价，则说明未开展情况。如：本部门无专项预算项目，因此未组织开展项目支出绩效评价/本部门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本部门按要求对2019年部门整体支出绩效评价情况开展自评，《XX部门2019年部门整体支出绩效评价报告》见附件（附件1）。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XXX项目、XXX项目开展了绩效评价，《XXX项目2019年绩效评价报告》见附件（附件2）。（非涉密部门均需公开部门整体支出评价报告，部门自行组织的绩效评价情况根据部门实际公开，若未组织项目绩效评价，则只需说明部门整体支出绩效评价情况）</w:t>
      </w:r>
    </w:p>
    <w:p>
      <w:pPr>
        <w:numPr>
          <w:ilvl w:val="0"/>
          <w:numId w:val="4"/>
        </w:numPr>
        <w:spacing w:line="600" w:lineRule="exact"/>
        <w:ind w:firstLine="660" w:firstLineChars="150"/>
        <w:jc w:val="center"/>
        <w:outlineLvl w:val="0"/>
        <w:rPr>
          <w:rStyle w:val="22"/>
          <w:rFonts w:ascii="黑体" w:hAnsi="黑体" w:eastAsia="黑体"/>
          <w:b w:val="0"/>
        </w:rPr>
      </w:pPr>
      <w:r>
        <w:rPr>
          <w:rFonts w:hint="eastAsia" w:ascii="黑体" w:hAnsi="黑体" w:eastAsia="黑体"/>
          <w:color w:val="000000"/>
          <w:sz w:val="44"/>
          <w:szCs w:val="44"/>
        </w:rPr>
        <w:t>名</w:t>
      </w:r>
      <w:r>
        <w:rPr>
          <w:rStyle w:val="22"/>
          <w:rFonts w:hint="eastAsia" w:ascii="黑体" w:hAnsi="黑体" w:eastAsia="黑体"/>
          <w:b w:val="0"/>
        </w:rPr>
        <w:t>词解释</w:t>
      </w:r>
    </w:p>
    <w:p>
      <w:pPr>
        <w:spacing w:line="600" w:lineRule="exact"/>
        <w:jc w:val="left"/>
        <w:rPr>
          <w:rFonts w:ascii="宋体"/>
          <w:b/>
          <w:color w:val="000000"/>
          <w:sz w:val="44"/>
          <w:szCs w:val="44"/>
        </w:rPr>
      </w:pPr>
    </w:p>
    <w:p>
      <w:pPr>
        <w:pStyle w:val="21"/>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社会保障和就业（类）208（款）…（项）：指……。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1"/>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97894"/>
      <w:docPartObj>
        <w:docPartGallery w:val="AutoText"/>
      </w:docPartObj>
    </w:sdtPr>
    <w:sdt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sdtContent>
  </w:sdt>
  <w:p>
    <w:pPr>
      <w:pStyle w:val="6"/>
      <w:ind w:right="27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14425"/>
      <w:docPartObj>
        <w:docPartGallery w:val="AutoText"/>
      </w:docPartObj>
    </w:sdtPr>
    <w:sdtContent>
      <w:p>
        <w:pPr>
          <w:pStyle w:val="6"/>
          <w:jc w:val="center"/>
        </w:pPr>
        <w:r>
          <w:rPr>
            <w:lang w:val="zh-CN"/>
          </w:rPr>
          <w:fldChar w:fldCharType="begin"/>
        </w:r>
        <w:r>
          <w:rPr>
            <w:lang w:val="zh-CN"/>
          </w:rPr>
          <w:instrText xml:space="preserve"> PAGE   \* MERGEFORMAT </w:instrText>
        </w:r>
        <w:r>
          <w:rPr>
            <w:lang w:val="zh-CN"/>
          </w:rPr>
          <w:fldChar w:fldCharType="separate"/>
        </w:r>
        <w:r>
          <w:rPr>
            <w:lang w:val="zh-CN"/>
          </w:rPr>
          <w:t>20</w:t>
        </w:r>
        <w:r>
          <w:rPr>
            <w:lang w:val="zh-CN"/>
          </w:rPr>
          <w:fldChar w:fldCharType="end"/>
        </w:r>
      </w:p>
    </w:sdtContent>
  </w:sdt>
  <w:p>
    <w:pPr>
      <w:pStyle w:val="6"/>
      <w:ind w:right="27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06A93276"/>
    <w:multiLevelType w:val="multilevel"/>
    <w:tmpl w:val="06A93276"/>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09F2"/>
    <w:rsid w:val="000673B4"/>
    <w:rsid w:val="00103F9C"/>
    <w:rsid w:val="00217636"/>
    <w:rsid w:val="00253BE6"/>
    <w:rsid w:val="005139A1"/>
    <w:rsid w:val="00574EA6"/>
    <w:rsid w:val="0061282C"/>
    <w:rsid w:val="006B28D5"/>
    <w:rsid w:val="007132D1"/>
    <w:rsid w:val="00791E54"/>
    <w:rsid w:val="007C09F2"/>
    <w:rsid w:val="007E7411"/>
    <w:rsid w:val="00953DDF"/>
    <w:rsid w:val="009C54DD"/>
    <w:rsid w:val="009E0C30"/>
    <w:rsid w:val="00A204A1"/>
    <w:rsid w:val="00A21FB6"/>
    <w:rsid w:val="00A75C46"/>
    <w:rsid w:val="00DC1161"/>
    <w:rsid w:val="00E33872"/>
    <w:rsid w:val="00EA3775"/>
    <w:rsid w:val="00EC0EEC"/>
    <w:rsid w:val="00EF0CA4"/>
    <w:rsid w:val="00F40E73"/>
    <w:rsid w:val="00F63A68"/>
    <w:rsid w:val="00F640FB"/>
    <w:rsid w:val="49B5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link w:val="18"/>
    <w:qFormat/>
    <w:uiPriority w:val="99"/>
    <w:pPr>
      <w:widowControl/>
      <w:spacing w:before="100" w:beforeAutospacing="1" w:after="100" w:afterAutospacing="1"/>
      <w:jc w:val="left"/>
    </w:pPr>
    <w:rPr>
      <w:rFonts w:ascii="宋体" w:hAnsi="宋体" w:cs="宋体"/>
      <w:kern w:val="0"/>
      <w:sz w:val="24"/>
      <w:szCs w:val="24"/>
    </w:rPr>
  </w:style>
  <w:style w:type="paragraph" w:styleId="5">
    <w:name w:val="Balloon Text"/>
    <w:basedOn w:val="1"/>
    <w:link w:val="20"/>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rPr>
      <w:szCs w:val="24"/>
    </w:rPr>
  </w:style>
  <w:style w:type="character" w:styleId="12">
    <w:name w:val="Strong"/>
    <w:basedOn w:val="11"/>
    <w:qFormat/>
    <w:uiPriority w:val="99"/>
    <w:rPr>
      <w:b/>
    </w:rPr>
  </w:style>
  <w:style w:type="character" w:styleId="13">
    <w:name w:val="Hyperlink"/>
    <w:basedOn w:val="11"/>
    <w:qFormat/>
    <w:uiPriority w:val="99"/>
    <w:rPr>
      <w:color w:val="0000FF"/>
      <w:u w:val="singl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标题 1 Char"/>
    <w:basedOn w:val="11"/>
    <w:link w:val="2"/>
    <w:qFormat/>
    <w:uiPriority w:val="9"/>
    <w:rPr>
      <w:rFonts w:ascii="Times New Roman" w:hAnsi="Times New Roman" w:eastAsia="宋体" w:cs="Times New Roman"/>
      <w:b/>
      <w:bCs/>
      <w:kern w:val="44"/>
      <w:sz w:val="44"/>
      <w:szCs w:val="44"/>
    </w:rPr>
  </w:style>
  <w:style w:type="character" w:customStyle="1" w:styleId="17">
    <w:name w:val="标题 2 Char"/>
    <w:basedOn w:val="11"/>
    <w:link w:val="3"/>
    <w:qFormat/>
    <w:uiPriority w:val="9"/>
    <w:rPr>
      <w:rFonts w:ascii="Cambria" w:hAnsi="Cambria" w:eastAsia="宋体" w:cs="Times New Roman"/>
      <w:b/>
      <w:bCs/>
      <w:sz w:val="32"/>
      <w:szCs w:val="32"/>
    </w:rPr>
  </w:style>
  <w:style w:type="character" w:customStyle="1" w:styleId="18">
    <w:name w:val="正文文本 Char"/>
    <w:basedOn w:val="11"/>
    <w:link w:val="4"/>
    <w:qFormat/>
    <w:uiPriority w:val="99"/>
    <w:rPr>
      <w:rFonts w:ascii="宋体" w:hAnsi="宋体" w:eastAsia="宋体" w:cs="宋体"/>
      <w:kern w:val="0"/>
      <w:sz w:val="24"/>
      <w:szCs w:val="24"/>
    </w:rPr>
  </w:style>
  <w:style w:type="paragraph" w:styleId="19">
    <w:name w:val="List Paragraph"/>
    <w:basedOn w:val="1"/>
    <w:qFormat/>
    <w:uiPriority w:val="34"/>
    <w:pPr>
      <w:ind w:firstLine="420" w:firstLineChars="200"/>
    </w:pPr>
    <w:rPr>
      <w:szCs w:val="24"/>
    </w:rPr>
  </w:style>
  <w:style w:type="character" w:customStyle="1" w:styleId="20">
    <w:name w:val="批注框文本 Char"/>
    <w:basedOn w:val="11"/>
    <w:link w:val="5"/>
    <w:semiHidden/>
    <w:qFormat/>
    <w:uiPriority w:val="99"/>
    <w:rPr>
      <w:rFonts w:ascii="Times New Roman" w:hAnsi="Times New Roman" w:eastAsia="宋体" w:cs="Times New Roman"/>
      <w:sz w:val="18"/>
      <w:szCs w:val="18"/>
    </w:rPr>
  </w:style>
  <w:style w:type="paragraph" w:customStyle="1" w:styleId="21">
    <w:name w:val="Defaul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character" w:customStyle="1" w:styleId="22">
    <w:name w:val="Heading 1 Char"/>
    <w:basedOn w:val="11"/>
    <w:locked/>
    <w:uiPriority w:val="0"/>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75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2019</a:t>
            </a:r>
            <a:r>
              <a:rPr lang="zh-CN" altLang="en-US"/>
              <a:t>年收入支出对比分析图</a:t>
            </a:r>
            <a:endParaRPr lang="zh-CN" altLang="en-US"/>
          </a:p>
        </c:rich>
      </c:tx>
      <c:layout>
        <c:manualLayout>
          <c:xMode val="edge"/>
          <c:yMode val="edge"/>
          <c:x val="0.23463687150838"/>
          <c:y val="0.02"/>
        </c:manualLayout>
      </c:layout>
      <c:overlay val="0"/>
      <c:spPr>
        <a:noFill/>
        <a:ln w="25400">
          <a:noFill/>
        </a:ln>
      </c:spPr>
    </c:title>
    <c:autoTitleDeleted val="0"/>
    <c:plotArea>
      <c:layout>
        <c:manualLayout>
          <c:layoutTarget val="inner"/>
          <c:xMode val="edge"/>
          <c:yMode val="edge"/>
          <c:x val="0.128491620111732"/>
          <c:y val="0.205"/>
          <c:w val="0.50651769087523"/>
          <c:h val="0.640000000000002"/>
        </c:manualLayout>
      </c:layout>
      <c:barChart>
        <c:barDir val="col"/>
        <c:grouping val="clustered"/>
        <c:varyColors val="0"/>
        <c:ser>
          <c:idx val="0"/>
          <c:order val="0"/>
          <c:tx>
            <c:strRef>
              <c:f>Sheet1!$A$2</c:f>
              <c:strCache>
                <c:ptCount val="1"/>
                <c:pt idx="0">
                  <c:v>收入支出（万元）</c:v>
                </c:pt>
              </c:strCache>
            </c:strRef>
          </c:tx>
          <c:spPr>
            <a:solidFill>
              <a:srgbClr val="9999FF"/>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7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收入</c:v>
                </c:pt>
                <c:pt idx="1">
                  <c:v>支出</c:v>
                </c:pt>
              </c:strCache>
            </c:strRef>
          </c:cat>
          <c:val>
            <c:numRef>
              <c:f>Sheet1!$B$2:$C$2</c:f>
              <c:numCache>
                <c:formatCode>General</c:formatCode>
                <c:ptCount val="2"/>
                <c:pt idx="0">
                  <c:v>714.41</c:v>
                </c:pt>
                <c:pt idx="1" c:formatCode="0.00_ ">
                  <c:v>714.41</c:v>
                </c:pt>
              </c:numCache>
            </c:numRef>
          </c:val>
        </c:ser>
        <c:dLbls>
          <c:showLegendKey val="0"/>
          <c:showVal val="1"/>
          <c:showCatName val="0"/>
          <c:showSerName val="0"/>
          <c:showPercent val="0"/>
          <c:showBubbleSize val="0"/>
        </c:dLbls>
        <c:gapWidth val="150"/>
        <c:axId val="738200640"/>
        <c:axId val="738201032"/>
      </c:barChart>
      <c:catAx>
        <c:axId val="738200640"/>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7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38201032"/>
        <c:crosses val="autoZero"/>
        <c:auto val="1"/>
        <c:lblAlgn val="ctr"/>
        <c:lblOffset val="100"/>
        <c:tickLblSkip val="1"/>
        <c:noMultiLvlLbl val="0"/>
      </c:catAx>
      <c:valAx>
        <c:axId val="738201032"/>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7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38200640"/>
        <c:crosses val="autoZero"/>
        <c:crossBetween val="between"/>
      </c:valAx>
      <c:spPr>
        <a:solidFill>
          <a:srgbClr val="FFFFFF"/>
        </a:solidFill>
        <a:ln w="25400">
          <a:noFill/>
        </a:ln>
      </c:spPr>
    </c:plotArea>
    <c:legend>
      <c:legendPos val="r"/>
      <c:layout>
        <c:manualLayout>
          <c:xMode val="edge"/>
          <c:yMode val="edge"/>
          <c:x val="0.653631284916201"/>
          <c:y val="0.4875"/>
          <c:w val="0.340782122905028"/>
          <c:h val="0.0725"/>
        </c:manualLayout>
      </c:layout>
      <c:overlay val="0"/>
      <c:spPr>
        <a:noFill/>
        <a:ln w="25400">
          <a:noFill/>
        </a:ln>
      </c:spPr>
      <c:txPr>
        <a:bodyPr rot="0" spcFirstLastPara="0" vertOverflow="ellipsis" vert="horz" wrap="square" anchor="ctr" anchorCtr="1"/>
        <a:lstStyle/>
        <a:p>
          <a:pPr>
            <a:defRPr lang="zh-CN" sz="128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7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57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2019</a:t>
            </a:r>
            <a:r>
              <a:rPr lang="zh-CN" altLang="en-US"/>
              <a:t>年收入情况图</a:t>
            </a:r>
            <a:endParaRPr lang="zh-CN" altLang="en-US"/>
          </a:p>
        </c:rich>
      </c:tx>
      <c:layout>
        <c:manualLayout>
          <c:xMode val="edge"/>
          <c:yMode val="edge"/>
          <c:x val="0.421782178217823"/>
          <c:y val="0.00312500000000001"/>
        </c:manualLayout>
      </c:layout>
      <c:overlay val="0"/>
      <c:spPr>
        <a:noFill/>
        <a:ln w="25351">
          <a:noFill/>
        </a:ln>
      </c:spPr>
    </c:title>
    <c:autoTitleDeleted val="0"/>
    <c:plotArea>
      <c:layout>
        <c:manualLayout>
          <c:layoutTarget val="inner"/>
          <c:xMode val="edge"/>
          <c:yMode val="edge"/>
          <c:x val="0.126732673267327"/>
          <c:y val="0.146875"/>
          <c:w val="0.427722772277229"/>
          <c:h val="0.675000000000002"/>
        </c:manualLayout>
      </c:layout>
      <c:pieChart>
        <c:varyColors val="1"/>
        <c:ser>
          <c:idx val="0"/>
          <c:order val="0"/>
          <c:tx>
            <c:strRef>
              <c:f>Sheet1!$A$2</c:f>
              <c:strCache>
                <c:ptCount val="1"/>
                <c:pt idx="0">
                  <c:v>一般财政拨款收（万元）</c:v>
                </c:pt>
              </c:strCache>
            </c:strRef>
          </c:tx>
          <c:spPr>
            <a:solidFill>
              <a:srgbClr val="9999FF"/>
            </a:solidFill>
            <a:ln w="25351">
              <a:noFill/>
            </a:ln>
          </c:spPr>
          <c:explosion val="0"/>
          <c:dPt>
            <c:idx val="0"/>
            <c:bubble3D val="0"/>
            <c:spPr>
              <a:solidFill>
                <a:srgbClr val="9999FF"/>
              </a:solidFill>
              <a:ln w="25351">
                <a:noFill/>
              </a:ln>
            </c:spPr>
          </c:dPt>
          <c:dPt>
            <c:idx val="1"/>
            <c:bubble3D val="0"/>
            <c:spPr>
              <a:solidFill>
                <a:srgbClr val="993366"/>
              </a:solidFill>
              <a:ln w="25351">
                <a:noFill/>
              </a:ln>
            </c:spPr>
          </c:dPt>
          <c:dLbls>
            <c:dLbl>
              <c:idx val="0"/>
              <c:layout/>
              <c:numFmt formatCode="0.00_ " sourceLinked="0"/>
              <c:spPr>
                <a:noFill/>
                <a:ln w="25351">
                  <a:noFill/>
                </a:ln>
                <a:effectLst/>
              </c:spPr>
              <c:txPr>
                <a:bodyPr rot="0" spcFirstLastPara="0" vertOverflow="ellipsis" vert="horz" wrap="square" lIns="38100" tIns="19050" rIns="38100" bIns="19050" anchor="ctr" anchorCtr="1"/>
                <a:lstStyle/>
                <a:p>
                  <a:pPr>
                    <a:defRPr lang="zh-CN" sz="10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extLst>
            </c:dLbl>
            <c:numFmt formatCode="@" sourceLinked="0"/>
            <c:spPr>
              <a:noFill/>
              <a:ln w="25351">
                <a:noFill/>
              </a:ln>
              <a:effectLst/>
            </c:spPr>
            <c:txPr>
              <a:bodyPr rot="0" spcFirstLastPara="0" vertOverflow="ellipsis" vert="horz" wrap="square" lIns="38100" tIns="19050" rIns="38100" bIns="19050" anchor="ctr" anchorCtr="1"/>
              <a:lstStyle/>
              <a:p>
                <a:pPr>
                  <a:defRPr lang="zh-CN" sz="10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收入</c:v>
                </c:pt>
                <c:pt idx="1">
                  <c:v>支出</c:v>
                </c:pt>
              </c:strCache>
            </c:strRef>
          </c:cat>
          <c:val>
            <c:numRef>
              <c:f>Sheet1!$B$2:$C$2</c:f>
              <c:numCache>
                <c:formatCode>General</c:formatCode>
                <c:ptCount val="2"/>
                <c:pt idx="0">
                  <c:v>714.41</c:v>
                </c:pt>
                <c:pt idx="1">
                  <c:v>714.41</c:v>
                </c:pt>
              </c:numCache>
            </c:numRef>
          </c:val>
        </c:ser>
        <c:dLbls>
          <c:showLegendKey val="0"/>
          <c:showVal val="1"/>
          <c:showCatName val="0"/>
          <c:showSerName val="0"/>
          <c:showPercent val="0"/>
          <c:showBubbleSize val="0"/>
          <c:showLeaderLines val="0"/>
        </c:dLbls>
        <c:firstSliceAng val="0"/>
      </c:pieChart>
      <c:spPr>
        <a:solidFill>
          <a:srgbClr val="FFFFFF"/>
        </a:solidFill>
        <a:ln w="12675">
          <a:solidFill>
            <a:srgbClr val="FFFFFF"/>
          </a:solidFill>
          <a:prstDash val="solid"/>
        </a:ln>
      </c:spPr>
    </c:plotArea>
    <c:legend>
      <c:legendPos val="r"/>
      <c:layout>
        <c:manualLayout>
          <c:xMode val="edge"/>
          <c:yMode val="edge"/>
          <c:x val="0.851485148514852"/>
          <c:y val="0.496875000000001"/>
          <c:w val="0.148514851485149"/>
          <c:h val="0.190625"/>
        </c:manualLayout>
      </c:layout>
      <c:overlay val="0"/>
      <c:spPr>
        <a:noFill/>
        <a:ln w="25351">
          <a:noFill/>
        </a:ln>
      </c:spPr>
      <c:txPr>
        <a:bodyPr rot="0" spcFirstLastPara="0" vertOverflow="ellipsis" vert="horz" wrap="square" anchor="ctr" anchorCtr="1"/>
        <a:lstStyle/>
        <a:p>
          <a:pPr>
            <a:defRPr lang="zh-CN" sz="144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57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2019</a:t>
            </a:r>
            <a:r>
              <a:rPr lang="zh-CN" altLang="en-US"/>
              <a:t>年支出情况图</a:t>
            </a:r>
            <a:endParaRPr lang="zh-CN" altLang="en-US"/>
          </a:p>
        </c:rich>
      </c:tx>
      <c:layout>
        <c:manualLayout>
          <c:xMode val="edge"/>
          <c:yMode val="edge"/>
          <c:x val="0.359903381642513"/>
          <c:y val="0.018348623853211"/>
        </c:manualLayout>
      </c:layout>
      <c:overlay val="0"/>
      <c:spPr>
        <a:noFill/>
        <a:ln w="25401">
          <a:noFill/>
        </a:ln>
      </c:spPr>
    </c:title>
    <c:autoTitleDeleted val="0"/>
    <c:plotArea>
      <c:layout>
        <c:manualLayout>
          <c:layoutTarget val="inner"/>
          <c:xMode val="edge"/>
          <c:yMode val="edge"/>
          <c:x val="0.227053140096618"/>
          <c:y val="0.270642201834864"/>
          <c:w val="0.243961352657006"/>
          <c:h val="0.463302752293578"/>
        </c:manualLayout>
      </c:layout>
      <c:pieChart>
        <c:varyColors val="1"/>
        <c:ser>
          <c:idx val="0"/>
          <c:order val="0"/>
          <c:tx>
            <c:strRef>
              <c:f>Sheet1!$A$2</c:f>
              <c:strCache>
                <c:ptCount val="1"/>
                <c:pt idx="0">
                  <c:v>支出（万元）</c:v>
                </c:pt>
              </c:strCache>
            </c:strRef>
          </c:tx>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dLbl>
              <c:idx val="1"/>
              <c:layout/>
              <c:numFmt formatCode="General" sourceLinked="1"/>
              <c:spPr>
                <a:solidFill>
                  <a:srgbClr val="FFFFFF"/>
                </a:solidFill>
                <a:ln w="3175">
                  <a:solidFill>
                    <a:srgbClr val="000000"/>
                  </a:solidFill>
                  <a:prstDash val="solid"/>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extLst>
            </c:dLbl>
            <c:spPr>
              <a:noFill/>
              <a:ln w="3175">
                <a:solidFill>
                  <a:srgbClr val="000000"/>
                </a:solidFill>
                <a:prstDash val="solid"/>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Sheet1!$B$1:$C$1</c:f>
              <c:strCache>
                <c:ptCount val="2"/>
                <c:pt idx="0">
                  <c:v>基本支出</c:v>
                </c:pt>
                <c:pt idx="1">
                  <c:v>项目支出</c:v>
                </c:pt>
              </c:strCache>
            </c:strRef>
          </c:cat>
          <c:val>
            <c:numRef>
              <c:f>Sheet1!$B$2:$C$2</c:f>
              <c:numCache>
                <c:formatCode>0.00_ </c:formatCode>
                <c:ptCount val="2"/>
                <c:pt idx="0">
                  <c:v>714.41</c:v>
                </c:pt>
                <c:pt idx="1">
                  <c:v>714.41</c:v>
                </c:pt>
              </c:numCache>
            </c:numRef>
          </c:val>
        </c:ser>
        <c:ser>
          <c:idx val="1"/>
          <c:order val="1"/>
          <c:tx>
            <c:strRef>
              <c:f>Sheet1!$A$24</c:f>
              <c:strCache>
                <c:ptCount val="1"/>
                <c:pt idx="0">
                  <c:v>支出（万元）399.99</c:v>
                </c:pt>
              </c:strCache>
            </c:strRef>
          </c:tx>
          <c:spPr>
            <a:solidFill>
              <a:srgbClr val="993366"/>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spPr>
              <a:noFill/>
              <a:ln w="25401">
                <a:noFill/>
              </a:ln>
              <a:effectLst/>
            </c:spPr>
            <c:txPr>
              <a:bodyPr rot="0" spcFirstLastPara="0" vertOverflow="ellipsis" vert="horz" wrap="square" lIns="38100" tIns="19050" rIns="38100" bIns="19050" anchor="ctr" anchorCtr="1"/>
              <a:lstStyle/>
              <a:p>
                <a:pPr>
                  <a:defRPr lang="zh-CN" sz="20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Sheet1!$B$1:$C$1</c:f>
              <c:strCache>
                <c:ptCount val="2"/>
                <c:pt idx="0">
                  <c:v>基本支出</c:v>
                </c:pt>
                <c:pt idx="1">
                  <c:v>项目支出</c:v>
                </c:pt>
              </c:strCache>
            </c:strRef>
          </c:cat>
          <c:val>
            <c:numRef>
              <c:f>Sheet1!$B$24:$C$24</c:f>
              <c:numCache>
                <c:formatCode>General</c:formatCode>
                <c:ptCount val="2"/>
                <c:pt idx="1">
                  <c:v>10123.73</c:v>
                </c:pt>
              </c:numCache>
            </c:numRef>
          </c:val>
        </c:ser>
        <c:dLbls>
          <c:showLegendKey val="0"/>
          <c:showVal val="1"/>
          <c:showCatName val="0"/>
          <c:showSerName val="0"/>
          <c:showPercent val="0"/>
          <c:showBubbleSize val="0"/>
          <c:showLeaderLines val="1"/>
        </c:dLbls>
        <c:firstSliceAng val="0"/>
      </c:pieChart>
      <c:spPr>
        <a:solidFill>
          <a:srgbClr val="FFFFFF"/>
        </a:solidFill>
        <a:ln w="25401">
          <a:noFill/>
        </a:ln>
      </c:spPr>
    </c:plotArea>
    <c:legend>
      <c:legendPos val="r"/>
      <c:layout>
        <c:manualLayout>
          <c:xMode val="edge"/>
          <c:yMode val="edge"/>
          <c:x val="0.804347826086957"/>
          <c:y val="0.44954128440367"/>
          <c:w val="0.18840579710145"/>
          <c:h val="0.178899082568808"/>
        </c:manualLayout>
      </c:layout>
      <c:overlay val="0"/>
      <c:spPr>
        <a:noFill/>
        <a:ln w="25401">
          <a:noFill/>
        </a:ln>
      </c:spPr>
      <c:txPr>
        <a:bodyPr rot="0" spcFirstLastPara="0" vertOverflow="ellipsis" vert="horz" wrap="square" anchor="ctr" anchorCtr="1"/>
        <a:lstStyle/>
        <a:p>
          <a:pPr>
            <a:defRPr lang="zh-CN" sz="98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07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74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2019</a:t>
            </a:r>
            <a:r>
              <a:rPr lang="zh-CN" altLang="en-US"/>
              <a:t>年收入支出对比分析图</a:t>
            </a:r>
            <a:endParaRPr lang="zh-CN" altLang="en-US"/>
          </a:p>
        </c:rich>
      </c:tx>
      <c:layout>
        <c:manualLayout>
          <c:xMode val="edge"/>
          <c:yMode val="edge"/>
          <c:x val="0.23463687150838"/>
          <c:y val="0.02"/>
        </c:manualLayout>
      </c:layout>
      <c:overlay val="0"/>
      <c:spPr>
        <a:noFill/>
        <a:ln w="25354">
          <a:noFill/>
        </a:ln>
      </c:spPr>
    </c:title>
    <c:autoTitleDeleted val="0"/>
    <c:plotArea>
      <c:layout>
        <c:manualLayout>
          <c:layoutTarget val="inner"/>
          <c:xMode val="edge"/>
          <c:yMode val="edge"/>
          <c:x val="0.128491620111732"/>
          <c:y val="0.205"/>
          <c:w val="0.50651769087523"/>
          <c:h val="0.640000000000002"/>
        </c:manualLayout>
      </c:layout>
      <c:barChart>
        <c:barDir val="col"/>
        <c:grouping val="clustered"/>
        <c:varyColors val="0"/>
        <c:ser>
          <c:idx val="0"/>
          <c:order val="0"/>
          <c:tx>
            <c:strRef>
              <c:f>Sheet1!$A$2</c:f>
              <c:strCache>
                <c:ptCount val="1"/>
                <c:pt idx="0">
                  <c:v>收支总体情况（万元）</c:v>
                </c:pt>
              </c:strCache>
            </c:strRef>
          </c:tx>
          <c:spPr>
            <a:solidFill>
              <a:srgbClr val="9999FF"/>
            </a:solidFill>
            <a:ln w="12677">
              <a:solidFill>
                <a:srgbClr val="000000"/>
              </a:solidFill>
              <a:prstDash val="solid"/>
            </a:ln>
          </c:spPr>
          <c:invertIfNegative val="0"/>
          <c:dLbls>
            <c:spPr>
              <a:noFill/>
              <a:ln w="25354">
                <a:noFill/>
              </a:ln>
              <a:effectLst/>
            </c:spPr>
            <c:txPr>
              <a:bodyPr rot="0" spcFirstLastPara="0" vertOverflow="ellipsis" vert="horz" wrap="square" lIns="38100" tIns="19050" rIns="38100" bIns="19050" anchor="ctr" anchorCtr="1"/>
              <a:lstStyle/>
              <a:p>
                <a:pPr>
                  <a:defRPr lang="zh-CN" sz="174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收入</c:v>
                </c:pt>
                <c:pt idx="1">
                  <c:v>支出</c:v>
                </c:pt>
              </c:strCache>
            </c:strRef>
          </c:cat>
          <c:val>
            <c:numRef>
              <c:f>Sheet1!$B$2:$C$2</c:f>
              <c:numCache>
                <c:formatCode>General</c:formatCode>
                <c:ptCount val="2"/>
                <c:pt idx="0">
                  <c:v>714.41</c:v>
                </c:pt>
                <c:pt idx="1" c:formatCode="0.00_ ">
                  <c:v>714.41</c:v>
                </c:pt>
              </c:numCache>
            </c:numRef>
          </c:val>
        </c:ser>
        <c:dLbls>
          <c:showLegendKey val="0"/>
          <c:showVal val="1"/>
          <c:showCatName val="0"/>
          <c:showSerName val="0"/>
          <c:showPercent val="0"/>
          <c:showBubbleSize val="0"/>
        </c:dLbls>
        <c:gapWidth val="150"/>
        <c:axId val="738202600"/>
        <c:axId val="738202992"/>
      </c:barChart>
      <c:catAx>
        <c:axId val="738202600"/>
        <c:scaling>
          <c:orientation val="minMax"/>
        </c:scaling>
        <c:delete val="0"/>
        <c:axPos val="b"/>
        <c:numFmt formatCode="General" sourceLinked="1"/>
        <c:majorTickMark val="in"/>
        <c:minorTickMark val="none"/>
        <c:tickLblPos val="nextTo"/>
        <c:spPr>
          <a:ln w="3169" cap="flat" cmpd="sng" algn="ctr">
            <a:solidFill>
              <a:srgbClr val="000000"/>
            </a:solidFill>
            <a:prstDash val="solid"/>
            <a:round/>
          </a:ln>
        </c:spPr>
        <c:txPr>
          <a:bodyPr rot="0" spcFirstLastPara="0" vertOverflow="ellipsis" vert="horz" wrap="square" anchor="ctr" anchorCtr="1"/>
          <a:lstStyle/>
          <a:p>
            <a:pPr>
              <a:defRPr lang="zh-CN" sz="174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38202992"/>
        <c:crosses val="autoZero"/>
        <c:auto val="1"/>
        <c:lblAlgn val="ctr"/>
        <c:lblOffset val="100"/>
        <c:tickLblSkip val="1"/>
        <c:noMultiLvlLbl val="0"/>
      </c:catAx>
      <c:valAx>
        <c:axId val="738202992"/>
        <c:scaling>
          <c:orientation val="minMax"/>
        </c:scaling>
        <c:delete val="0"/>
        <c:axPos val="l"/>
        <c:majorGridlines>
          <c:spPr>
            <a:ln w="3169" cap="flat" cmpd="sng" algn="ctr">
              <a:solidFill>
                <a:srgbClr val="000000"/>
              </a:solidFill>
              <a:prstDash val="solid"/>
              <a:round/>
            </a:ln>
          </c:spPr>
        </c:majorGridlines>
        <c:numFmt formatCode="General" sourceLinked="1"/>
        <c:majorTickMark val="in"/>
        <c:minorTickMark val="none"/>
        <c:tickLblPos val="nextTo"/>
        <c:spPr>
          <a:ln w="3169" cap="flat" cmpd="sng" algn="ctr">
            <a:solidFill>
              <a:srgbClr val="000000"/>
            </a:solidFill>
            <a:prstDash val="solid"/>
            <a:round/>
          </a:ln>
        </c:spPr>
        <c:txPr>
          <a:bodyPr rot="0" spcFirstLastPara="0" vertOverflow="ellipsis" vert="horz" wrap="square" anchor="ctr" anchorCtr="1"/>
          <a:lstStyle/>
          <a:p>
            <a:pPr>
              <a:defRPr lang="zh-CN" sz="174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38202600"/>
        <c:crosses val="autoZero"/>
        <c:crossBetween val="between"/>
      </c:valAx>
      <c:spPr>
        <a:solidFill>
          <a:srgbClr val="FFFFFF"/>
        </a:solidFill>
        <a:ln w="25354">
          <a:noFill/>
        </a:ln>
      </c:spPr>
    </c:plotArea>
    <c:legend>
      <c:legendPos val="r"/>
      <c:layout>
        <c:manualLayout>
          <c:xMode val="edge"/>
          <c:yMode val="edge"/>
          <c:x val="0.653631284916201"/>
          <c:y val="0.4575"/>
          <c:w val="0.340782122905028"/>
          <c:h val="0.13"/>
        </c:manualLayout>
      </c:layout>
      <c:overlay val="0"/>
      <c:spPr>
        <a:noFill/>
        <a:ln w="25354">
          <a:noFill/>
        </a:ln>
      </c:spPr>
      <c:txPr>
        <a:bodyPr rot="0" spcFirstLastPara="0" vertOverflow="ellipsis" vert="horz" wrap="square" anchor="ctr" anchorCtr="1"/>
        <a:lstStyle/>
        <a:p>
          <a:pPr>
            <a:defRPr lang="zh-CN" sz="128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74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52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2019</a:t>
            </a:r>
            <a:r>
              <a:rPr lang="zh-CN" altLang="en-US"/>
              <a:t>年收入支出对比分析图</a:t>
            </a:r>
            <a:endParaRPr lang="zh-CN" altLang="en-US"/>
          </a:p>
        </c:rich>
      </c:tx>
      <c:layout>
        <c:manualLayout>
          <c:xMode val="edge"/>
          <c:yMode val="edge"/>
          <c:x val="0.239406779661017"/>
          <c:y val="0.0198863636363637"/>
        </c:manualLayout>
      </c:layout>
      <c:overlay val="0"/>
      <c:spPr>
        <a:noFill/>
        <a:ln w="25347">
          <a:noFill/>
        </a:ln>
      </c:spPr>
    </c:title>
    <c:autoTitleDeleted val="0"/>
    <c:plotArea>
      <c:layout>
        <c:manualLayout>
          <c:layoutTarget val="inner"/>
          <c:xMode val="edge"/>
          <c:yMode val="edge"/>
          <c:x val="0.213983050847458"/>
          <c:y val="0.215909090909092"/>
          <c:w val="0.436440677966103"/>
          <c:h val="0.622159090909093"/>
        </c:manualLayout>
      </c:layout>
      <c:barChart>
        <c:barDir val="col"/>
        <c:grouping val="clustered"/>
        <c:varyColors val="0"/>
        <c:ser>
          <c:idx val="0"/>
          <c:order val="0"/>
          <c:tx>
            <c:strRef>
              <c:f>Sheet1!$A$2</c:f>
              <c:strCache>
                <c:ptCount val="1"/>
                <c:pt idx="0">
                  <c:v>一般公共预算支出（万元）</c:v>
                </c:pt>
              </c:strCache>
            </c:strRef>
          </c:tx>
          <c:spPr>
            <a:solidFill>
              <a:srgbClr val="9999FF"/>
            </a:solidFill>
            <a:ln w="12673">
              <a:solidFill>
                <a:srgbClr val="000000"/>
              </a:solidFill>
              <a:prstDash val="solid"/>
            </a:ln>
          </c:spPr>
          <c:invertIfNegative val="0"/>
          <c:dLbls>
            <c:spPr>
              <a:noFill/>
              <a:ln w="25347">
                <a:noFill/>
              </a:ln>
              <a:effectLst/>
            </c:spPr>
            <c:txPr>
              <a:bodyPr rot="0" spcFirstLastPara="0" vertOverflow="ellipsis" vert="horz" wrap="square" lIns="38100" tIns="19050" rIns="38100" bIns="19050" anchor="ctr" anchorCtr="1"/>
              <a:lstStyle/>
              <a:p>
                <a:pPr>
                  <a:defRPr lang="zh-CN" sz="15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1"/>
                <c:pt idx="0">
                  <c:v>支出</c:v>
                </c:pt>
              </c:strCache>
            </c:strRef>
          </c:cat>
          <c:val>
            <c:numRef>
              <c:f>Sheet1!$B$2:$C$2</c:f>
              <c:numCache>
                <c:formatCode>0.00_ </c:formatCode>
                <c:ptCount val="2"/>
                <c:pt idx="0">
                  <c:v>714.41</c:v>
                </c:pt>
              </c:numCache>
            </c:numRef>
          </c:val>
        </c:ser>
        <c:dLbls>
          <c:showLegendKey val="0"/>
          <c:showVal val="1"/>
          <c:showCatName val="0"/>
          <c:showSerName val="0"/>
          <c:showPercent val="0"/>
          <c:showBubbleSize val="0"/>
        </c:dLbls>
        <c:gapWidth val="150"/>
        <c:axId val="738203776"/>
        <c:axId val="738204168"/>
      </c:barChart>
      <c:catAx>
        <c:axId val="738203776"/>
        <c:scaling>
          <c:orientation val="minMax"/>
        </c:scaling>
        <c:delete val="0"/>
        <c:axPos val="b"/>
        <c:numFmt formatCode="General" sourceLinked="1"/>
        <c:majorTickMark val="in"/>
        <c:minorTickMark val="none"/>
        <c:tickLblPos val="nextTo"/>
        <c:spPr>
          <a:ln w="3168" cap="flat" cmpd="sng" algn="ctr">
            <a:solidFill>
              <a:srgbClr val="000000"/>
            </a:solidFill>
            <a:prstDash val="solid"/>
            <a:round/>
          </a:ln>
        </c:spPr>
        <c:txPr>
          <a:bodyPr rot="0" spcFirstLastPara="0" vertOverflow="ellipsis" vert="horz" wrap="square" anchor="ctr" anchorCtr="1"/>
          <a:lstStyle/>
          <a:p>
            <a:pPr>
              <a:defRPr lang="zh-CN" sz="15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38204168"/>
        <c:crosses val="autoZero"/>
        <c:auto val="1"/>
        <c:lblAlgn val="ctr"/>
        <c:lblOffset val="100"/>
        <c:tickLblSkip val="1"/>
        <c:noMultiLvlLbl val="0"/>
      </c:catAx>
      <c:valAx>
        <c:axId val="738204168"/>
        <c:scaling>
          <c:orientation val="minMax"/>
        </c:scaling>
        <c:delete val="0"/>
        <c:axPos val="l"/>
        <c:majorGridlines>
          <c:spPr>
            <a:ln w="3168" cap="flat" cmpd="sng" algn="ctr">
              <a:solidFill>
                <a:srgbClr val="000000"/>
              </a:solidFill>
              <a:prstDash val="solid"/>
              <a:round/>
            </a:ln>
          </c:spPr>
        </c:majorGridlines>
        <c:numFmt formatCode="0.00_ " sourceLinked="1"/>
        <c:majorTickMark val="in"/>
        <c:minorTickMark val="none"/>
        <c:tickLblPos val="nextTo"/>
        <c:spPr>
          <a:ln w="3168" cap="flat" cmpd="sng" algn="ctr">
            <a:solidFill>
              <a:srgbClr val="000000"/>
            </a:solidFill>
            <a:prstDash val="solid"/>
            <a:round/>
          </a:ln>
        </c:spPr>
        <c:txPr>
          <a:bodyPr rot="0" spcFirstLastPara="0" vertOverflow="ellipsis" vert="horz" wrap="square" anchor="ctr" anchorCtr="1"/>
          <a:lstStyle/>
          <a:p>
            <a:pPr>
              <a:defRPr lang="zh-CN" sz="15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38203776"/>
        <c:crosses val="autoZero"/>
        <c:crossBetween val="between"/>
      </c:valAx>
      <c:spPr>
        <a:solidFill>
          <a:srgbClr val="FFFFFF"/>
        </a:solidFill>
        <a:ln w="25347">
          <a:noFill/>
        </a:ln>
      </c:spPr>
    </c:plotArea>
    <c:legend>
      <c:legendPos val="r"/>
      <c:layout>
        <c:manualLayout>
          <c:xMode val="edge"/>
          <c:yMode val="edge"/>
          <c:x val="0.671610169491526"/>
          <c:y val="0.46875"/>
          <c:w val="0.322033898305086"/>
          <c:h val="0.113636363636364"/>
        </c:manualLayout>
      </c:layout>
      <c:overlay val="0"/>
      <c:spPr>
        <a:noFill/>
        <a:ln w="25347">
          <a:noFill/>
        </a:ln>
      </c:spPr>
      <c:txPr>
        <a:bodyPr rot="0" spcFirstLastPara="0" vertOverflow="ellipsis" vert="horz" wrap="square" anchor="ctr" anchorCtr="1"/>
        <a:lstStyle/>
        <a:p>
          <a:pPr>
            <a:defRPr lang="zh-CN" sz="11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52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5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2019</a:t>
            </a:r>
            <a:r>
              <a:rPr lang="zh-CN" altLang="en-US"/>
              <a:t>年支出情况图</a:t>
            </a:r>
            <a:endParaRPr lang="zh-CN" altLang="en-US"/>
          </a:p>
        </c:rich>
      </c:tx>
      <c:layout>
        <c:manualLayout>
          <c:xMode val="edge"/>
          <c:yMode val="edge"/>
          <c:x val="0.332699619771864"/>
          <c:y val="0.01875"/>
        </c:manualLayout>
      </c:layout>
      <c:overlay val="0"/>
      <c:spPr>
        <a:noFill/>
        <a:ln w="25399">
          <a:noFill/>
        </a:ln>
      </c:spPr>
    </c:title>
    <c:autoTitleDeleted val="0"/>
    <c:plotArea>
      <c:layout>
        <c:manualLayout>
          <c:layoutTarget val="inner"/>
          <c:xMode val="edge"/>
          <c:yMode val="edge"/>
          <c:x val="0.182509505703423"/>
          <c:y val="0.25"/>
          <c:w val="0.309885931558936"/>
          <c:h val="0.509375"/>
        </c:manualLayout>
      </c:layout>
      <c:pieChart>
        <c:varyColors val="1"/>
        <c:ser>
          <c:idx val="0"/>
          <c:order val="0"/>
          <c:tx>
            <c:strRef>
              <c:f>Sheet1!$A$2</c:f>
              <c:strCache>
                <c:ptCount val="1"/>
                <c:pt idx="0">
                  <c:v>一般公共预算支出（万元）</c:v>
                </c:pt>
              </c:strCache>
            </c:strRef>
          </c:tx>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dLbl>
              <c:idx val="1"/>
              <c:layout/>
              <c:numFmt formatCode="General" sourceLinked="1"/>
              <c:spPr>
                <a:solidFill>
                  <a:srgbClr val="FFFFFF"/>
                </a:solidFill>
                <a:ln w="3175">
                  <a:solidFill>
                    <a:srgbClr val="000000"/>
                  </a:solidFill>
                  <a:prstDash val="solid"/>
                </a:ln>
                <a:effectLst/>
              </c:spPr>
              <c:txPr>
                <a:bodyPr rot="0" spcFirstLastPara="0" vertOverflow="ellipsis" vert="horz" wrap="square" lIns="38100" tIns="19050" rIns="38100" bIns="19050" anchor="ctr" anchorCtr="1"/>
                <a:lstStyle/>
                <a:p>
                  <a:pPr>
                    <a:defRPr lang="zh-CN" sz="9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extLst>
            </c:dLbl>
            <c:spPr>
              <a:noFill/>
              <a:ln w="3175">
                <a:solidFill>
                  <a:srgbClr val="000000"/>
                </a:solidFill>
                <a:prstDash val="solid"/>
              </a:ln>
              <a:effectLst/>
            </c:spPr>
            <c:txPr>
              <a:bodyPr rot="0" spcFirstLastPara="0" vertOverflow="ellipsis" vert="horz" wrap="square" lIns="38100" tIns="19050" rIns="38100" bIns="19050" anchor="ctr" anchorCtr="1"/>
              <a:lstStyle/>
              <a:p>
                <a:pPr>
                  <a:defRPr lang="zh-CN" sz="9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Sheet1!$B$1:$H$1</c:f>
              <c:strCache>
                <c:ptCount val="7"/>
                <c:pt idx="0">
                  <c:v>一般公共服务</c:v>
                </c:pt>
                <c:pt idx="1">
                  <c:v>教育支出</c:v>
                </c:pt>
                <c:pt idx="2">
                  <c:v>科学技术支出</c:v>
                </c:pt>
                <c:pt idx="3">
                  <c:v>文化旅游</c:v>
                </c:pt>
                <c:pt idx="4">
                  <c:v>社会保险</c:v>
                </c:pt>
                <c:pt idx="5">
                  <c:v>卫生健康</c:v>
                </c:pt>
                <c:pt idx="6">
                  <c:v>住房保障</c:v>
                </c:pt>
              </c:strCache>
            </c:strRef>
          </c:cat>
          <c:val>
            <c:numRef>
              <c:f>Sheet1!$B$2:$H$2</c:f>
              <c:numCache>
                <c:formatCode>0.00_ </c:formatCode>
                <c:ptCount val="7"/>
                <c:pt idx="0">
                  <c:v>0</c:v>
                </c:pt>
                <c:pt idx="1">
                  <c:v>0</c:v>
                </c:pt>
                <c:pt idx="2" c:formatCode="General">
                  <c:v>0</c:v>
                </c:pt>
                <c:pt idx="3" c:formatCode="General">
                  <c:v>0</c:v>
                </c:pt>
                <c:pt idx="4" c:formatCode="General">
                  <c:v>85.94</c:v>
                </c:pt>
                <c:pt idx="5" c:formatCode="General">
                  <c:v>30.24</c:v>
                </c:pt>
                <c:pt idx="6" c:formatCode="General">
                  <c:v>53.85</c:v>
                </c:pt>
              </c:numCache>
            </c:numRef>
          </c:val>
        </c:ser>
        <c:ser>
          <c:idx val="2"/>
          <c:order val="1"/>
          <c:tx>
            <c:strRef>
              <c:f>Sheet1!$A$8</c:f>
              <c:strCache>
                <c:ptCount val="1"/>
                <c:pt idx="0">
                  <c:v/>
                </c:pt>
              </c:strCache>
            </c:strRef>
          </c:tx>
          <c:spPr>
            <a:solidFill>
              <a:srgbClr val="FFFFCC"/>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spPr>
              <a:noFill/>
              <a:ln w="25399">
                <a:noFill/>
              </a:ln>
              <a:effectLst/>
            </c:spPr>
            <c:txPr>
              <a:bodyPr rot="0" spcFirstLastPara="0" vertOverflow="ellipsis" vert="horz" wrap="square" lIns="38100" tIns="19050" rIns="38100" bIns="19050" anchor="ctr" anchorCtr="1"/>
              <a:lstStyle/>
              <a:p>
                <a:pPr>
                  <a:defRPr lang="zh-CN" sz="26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Sheet1!$B$1:$H$1</c:f>
              <c:strCache>
                <c:ptCount val="7"/>
                <c:pt idx="0">
                  <c:v>一般公共服务</c:v>
                </c:pt>
                <c:pt idx="1">
                  <c:v>教育支出</c:v>
                </c:pt>
                <c:pt idx="2">
                  <c:v>科学技术支出</c:v>
                </c:pt>
                <c:pt idx="3">
                  <c:v>文化旅游</c:v>
                </c:pt>
                <c:pt idx="4">
                  <c:v>社会保险</c:v>
                </c:pt>
                <c:pt idx="5">
                  <c:v>卫生健康</c:v>
                </c:pt>
                <c:pt idx="6">
                  <c:v>住房保障</c:v>
                </c:pt>
              </c:strCache>
            </c:strRef>
          </c:cat>
          <c:val>
            <c:numRef>
              <c:f>Sheet1!$B$8:$H$8</c:f>
              <c:numCache>
                <c:formatCode>General</c:formatCode>
                <c:ptCount val="7"/>
                <c:pt idx="0">
                  <c:v>0</c:v>
                </c:pt>
                <c:pt idx="1">
                  <c:v>0</c:v>
                </c:pt>
                <c:pt idx="2">
                  <c:v>0</c:v>
                </c:pt>
                <c:pt idx="3">
                  <c:v>0</c:v>
                </c:pt>
                <c:pt idx="4">
                  <c:v>55.62</c:v>
                </c:pt>
                <c:pt idx="5">
                  <c:v>16.76</c:v>
                </c:pt>
                <c:pt idx="6">
                  <c:v>72.05</c:v>
                </c:pt>
              </c:numCache>
            </c:numRef>
          </c:val>
        </c:ser>
        <c:ser>
          <c:idx val="1"/>
          <c:order val="2"/>
          <c:tx>
            <c:strRef>
              <c:f>Sheet1!$A$24</c:f>
              <c:strCache>
                <c:ptCount val="1"/>
                <c:pt idx="0">
                  <c:v>支出（万元）399.99</c:v>
                </c:pt>
              </c:strCache>
            </c:strRef>
          </c:tx>
          <c:spPr>
            <a:solidFill>
              <a:srgbClr val="993366"/>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spPr>
              <a:noFill/>
              <a:ln w="25399">
                <a:noFill/>
              </a:ln>
              <a:effectLst/>
            </c:spPr>
            <c:txPr>
              <a:bodyPr rot="0" spcFirstLastPara="0" vertOverflow="ellipsis" vert="horz" wrap="square" lIns="38100" tIns="19050" rIns="38100" bIns="19050" anchor="ctr" anchorCtr="1"/>
              <a:lstStyle/>
              <a:p>
                <a:pPr>
                  <a:defRPr lang="zh-CN" sz="26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Sheet1!$B$1:$H$1</c:f>
              <c:strCache>
                <c:ptCount val="7"/>
                <c:pt idx="0">
                  <c:v>一般公共服务</c:v>
                </c:pt>
                <c:pt idx="1">
                  <c:v>教育支出</c:v>
                </c:pt>
                <c:pt idx="2">
                  <c:v>科学技术支出</c:v>
                </c:pt>
                <c:pt idx="3">
                  <c:v>文化旅游</c:v>
                </c:pt>
                <c:pt idx="4">
                  <c:v>社会保险</c:v>
                </c:pt>
                <c:pt idx="5">
                  <c:v>卫生健康</c:v>
                </c:pt>
                <c:pt idx="6">
                  <c:v>住房保障</c:v>
                </c:pt>
              </c:strCache>
            </c:strRef>
          </c:cat>
          <c:val>
            <c:numRef>
              <c:f>Sheet1!$B$24:$H$24</c:f>
              <c:numCache>
                <c:formatCode>General</c:formatCode>
                <c:ptCount val="7"/>
                <c:pt idx="1">
                  <c:v>10123.73</c:v>
                </c:pt>
              </c:numCache>
            </c:numRef>
          </c:val>
        </c:ser>
        <c:dLbls>
          <c:showLegendKey val="0"/>
          <c:showVal val="1"/>
          <c:showCatName val="0"/>
          <c:showSerName val="0"/>
          <c:showPercent val="0"/>
          <c:showBubbleSize val="0"/>
          <c:showLeaderLines val="1"/>
        </c:dLbls>
        <c:firstSliceAng val="0"/>
      </c:pieChart>
      <c:spPr>
        <a:solidFill>
          <a:srgbClr val="FFFFFF"/>
        </a:solidFill>
        <a:ln w="25399">
          <a:noFill/>
        </a:ln>
      </c:spPr>
    </c:plotArea>
    <c:legend>
      <c:legendPos val="r"/>
      <c:layout>
        <c:manualLayout>
          <c:xMode val="edge"/>
          <c:yMode val="edge"/>
          <c:x val="0.692015209125476"/>
          <c:y val="0.215625"/>
          <c:w val="0.302281368821293"/>
          <c:h val="0.659375000000002"/>
        </c:manualLayout>
      </c:layout>
      <c:overlay val="0"/>
      <c:spPr>
        <a:noFill/>
        <a:ln w="25399">
          <a:noFill/>
        </a:ln>
      </c:spPr>
      <c:txPr>
        <a:bodyPr rot="0" spcFirstLastPara="0" vertOverflow="ellipsis" vert="horz" wrap="square" anchor="ctr" anchorCtr="1"/>
        <a:lstStyle/>
        <a:p>
          <a:pPr>
            <a:defRPr lang="zh-CN" sz="144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57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5"/>
    <customShpInfo spid="_x0000_s1046"/>
    <customShpInfo spid="_x0000_s1047"/>
    <customShpInfo spid="_x0000_s1048"/>
    <customShpInfo spid="_x0000_s1049"/>
    <customShpInfo spid="_x0000_s1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CC3489-C0D4-444E-9E4F-399C8F861F0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1569</Words>
  <Characters>8944</Characters>
  <Lines>74</Lines>
  <Paragraphs>20</Paragraphs>
  <TotalTime>4</TotalTime>
  <ScaleCrop>false</ScaleCrop>
  <LinksUpToDate>false</LinksUpToDate>
  <CharactersWithSpaces>10493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2020-10-27T07:44:00Z</dcterms:created>
  <dc:creator>china</dc:creator>
  <cp:lastModifiedBy>陶淑群 </cp:lastModifiedBy>
  <dcterms:modified xsi:type="dcterms:W3CDTF">2020-10-27T09:06:00Z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