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kinsoku/>
        <w:wordWrap/>
        <w:overflowPunct/>
        <w:topLinePunct w:val="0"/>
        <w:bidi w:val="0"/>
        <w:spacing w:beforeLines="0" w:line="576" w:lineRule="exact"/>
        <w:ind w:left="0" w:leftChars="0" w:firstLine="1440" w:firstLineChars="200"/>
        <w:rPr>
          <w:rFonts w:hint="default"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78441"/>
      <w:bookmarkStart w:id="3" w:name="_Toc15306267"/>
      <w:bookmarkStart w:id="4" w:name="_Toc15377193"/>
      <w:bookmarkStart w:id="5" w:name="_Toc15396475"/>
    </w:p>
    <w:p>
      <w:pPr>
        <w:pStyle w:val="5"/>
        <w:pageBreakBefore w:val="0"/>
        <w:kinsoku/>
        <w:wordWrap/>
        <w:overflowPunct/>
        <w:topLinePunct w:val="0"/>
        <w:bidi w:val="0"/>
        <w:spacing w:beforeLines="0" w:line="576" w:lineRule="exact"/>
        <w:ind w:left="0" w:leftChars="0" w:firstLine="1440" w:firstLineChars="200"/>
        <w:rPr>
          <w:rFonts w:hint="default" w:ascii="Times New Roman" w:hAnsi="Times New Roman" w:eastAsia="方正小标宋简体" w:cs="Times New Roman"/>
          <w:color w:val="auto"/>
          <w:kern w:val="2"/>
          <w:sz w:val="72"/>
          <w:szCs w:val="72"/>
          <w:highlight w:val="none"/>
          <w:lang w:val="en-US" w:eastAsia="zh-CN" w:bidi="ar-SA"/>
        </w:rPr>
      </w:pPr>
    </w:p>
    <w:p>
      <w:pPr>
        <w:pStyle w:val="5"/>
        <w:pageBreakBefore w:val="0"/>
        <w:kinsoku/>
        <w:wordWrap/>
        <w:overflowPunct/>
        <w:topLinePunct w:val="0"/>
        <w:bidi w:val="0"/>
        <w:spacing w:beforeLines="0" w:line="576" w:lineRule="exact"/>
        <w:ind w:left="0" w:leftChars="0" w:firstLine="1440" w:firstLineChars="200"/>
        <w:rPr>
          <w:rFonts w:hint="default" w:ascii="Times New Roman" w:hAnsi="Times New Roman" w:eastAsia="方正小标宋简体" w:cs="Times New Roman"/>
          <w:color w:val="auto"/>
          <w:kern w:val="2"/>
          <w:sz w:val="72"/>
          <w:szCs w:val="72"/>
          <w:highlight w:val="none"/>
          <w:lang w:val="en-US" w:eastAsia="zh-CN" w:bidi="ar-SA"/>
        </w:rPr>
      </w:pPr>
    </w:p>
    <w:p>
      <w:pPr>
        <w:pStyle w:val="6"/>
        <w:rPr>
          <w:rFonts w:hint="default" w:ascii="Times New Roman" w:hAnsi="Times New Roman" w:eastAsia="方正小标宋简体" w:cs="Times New Roman"/>
          <w:color w:val="auto"/>
          <w:kern w:val="2"/>
          <w:sz w:val="72"/>
          <w:szCs w:val="72"/>
          <w:highlight w:val="none"/>
          <w:lang w:val="en-US" w:eastAsia="zh-CN" w:bidi="ar-SA"/>
        </w:rPr>
      </w:pPr>
    </w:p>
    <w:p>
      <w:pPr>
        <w:rPr>
          <w:rFonts w:hint="default" w:ascii="Times New Roman" w:hAnsi="Times New Roman" w:eastAsia="方正小标宋简体" w:cs="Times New Roman"/>
          <w:color w:val="auto"/>
          <w:kern w:val="2"/>
          <w:sz w:val="72"/>
          <w:szCs w:val="72"/>
          <w:highlight w:val="none"/>
          <w:lang w:val="en-US" w:eastAsia="zh-CN" w:bidi="ar-SA"/>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eastAsia="zh-CN" w:bidi="ar-SA"/>
        </w:rPr>
      </w:pPr>
      <w:r>
        <w:rPr>
          <w:rFonts w:hint="eastAsia" w:ascii="方正小标宋简体" w:hAnsi="方正小标宋简体" w:eastAsia="方正小标宋简体" w:cs="方正小标宋简体"/>
          <w:sz w:val="44"/>
          <w:szCs w:val="44"/>
          <w:lang w:val="en-US" w:eastAsia="zh-CN" w:bidi="ar-SA"/>
        </w:rPr>
        <w:t>阿坝州</w:t>
      </w:r>
      <w:r>
        <w:rPr>
          <w:rFonts w:hint="eastAsia" w:ascii="方正小标宋简体" w:hAnsi="方正小标宋简体" w:eastAsia="方正小标宋简体" w:cs="方正小标宋简体"/>
          <w:sz w:val="44"/>
          <w:szCs w:val="44"/>
          <w:lang w:bidi="ar-SA"/>
        </w:rPr>
        <w:t>壤塘县202</w:t>
      </w:r>
      <w:r>
        <w:rPr>
          <w:rFonts w:hint="eastAsia" w:ascii="方正小标宋简体" w:hAnsi="方正小标宋简体" w:eastAsia="方正小标宋简体" w:cs="方正小标宋简体"/>
          <w:sz w:val="44"/>
          <w:szCs w:val="44"/>
          <w:lang w:val="en-US" w:eastAsia="zh-CN" w:bidi="ar-SA"/>
        </w:rPr>
        <w:t>5</w:t>
      </w:r>
      <w:r>
        <w:rPr>
          <w:rFonts w:hint="eastAsia" w:ascii="方正小标宋简体" w:hAnsi="方正小标宋简体" w:eastAsia="方正小标宋简体" w:cs="方正小标宋简体"/>
          <w:sz w:val="44"/>
          <w:szCs w:val="44"/>
          <w:lang w:bidi="ar-SA"/>
        </w:rPr>
        <w:t>年</w:t>
      </w:r>
      <w:r>
        <w:rPr>
          <w:rFonts w:hint="eastAsia" w:ascii="方正小标宋简体" w:hAnsi="方正小标宋简体" w:eastAsia="方正小标宋简体" w:cs="方正小标宋简体"/>
          <w:sz w:val="44"/>
          <w:szCs w:val="44"/>
          <w:lang w:val="en-US" w:eastAsia="zh-CN" w:bidi="ar-SA"/>
        </w:rPr>
        <w:t>度</w:t>
      </w:r>
      <w:r>
        <w:rPr>
          <w:rFonts w:hint="eastAsia" w:ascii="方正小标宋简体" w:hAnsi="方正小标宋简体" w:eastAsia="方正小标宋简体" w:cs="方正小标宋简体"/>
          <w:sz w:val="44"/>
          <w:szCs w:val="44"/>
          <w:lang w:bidi="ar-SA"/>
        </w:rPr>
        <w:t>住房和城乡建设局部门</w:t>
      </w:r>
      <w:r>
        <w:rPr>
          <w:rFonts w:hint="eastAsia" w:ascii="方正小标宋简体" w:hAnsi="方正小标宋简体" w:eastAsia="方正小标宋简体" w:cs="方正小标宋简体"/>
          <w:sz w:val="44"/>
          <w:szCs w:val="44"/>
          <w:lang w:eastAsia="zh-CN" w:bidi="ar-SA"/>
        </w:rPr>
        <w:t>决</w:t>
      </w:r>
      <w:r>
        <w:rPr>
          <w:rFonts w:hint="eastAsia" w:ascii="方正小标宋简体" w:hAnsi="方正小标宋简体" w:eastAsia="方正小标宋简体" w:cs="方正小标宋简体"/>
          <w:sz w:val="44"/>
          <w:szCs w:val="44"/>
          <w:lang w:bidi="ar-SA"/>
        </w:rPr>
        <w:t>算</w:t>
      </w:r>
      <w:r>
        <w:rPr>
          <w:rFonts w:hint="eastAsia" w:ascii="方正小标宋简体" w:hAnsi="方正小标宋简体" w:eastAsia="方正小标宋简体" w:cs="方正小标宋简体"/>
          <w:sz w:val="44"/>
          <w:szCs w:val="44"/>
          <w:lang w:eastAsia="zh-CN" w:bidi="ar-SA"/>
        </w:rPr>
        <w:t>公开</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1040" w:firstLineChars="200"/>
        <w:jc w:val="both"/>
        <w:textAlignment w:val="auto"/>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040" w:firstLineChars="200"/>
        <w:jc w:val="both"/>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040" w:firstLineChars="200"/>
        <w:jc w:val="both"/>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040" w:firstLineChars="200"/>
        <w:jc w:val="both"/>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040" w:firstLineChars="200"/>
        <w:jc w:val="both"/>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040" w:firstLineChars="200"/>
        <w:jc w:val="both"/>
        <w:rPr>
          <w:rFonts w:hint="default" w:ascii="Times New Roman" w:hAnsi="Times New Roman" w:eastAsia="黑体" w:cs="Times New Roman"/>
          <w:sz w:val="52"/>
          <w:szCs w:val="52"/>
          <w:lang w:val="en-US" w:eastAsia="zh-CN" w:bidi="ar-SA"/>
        </w:rPr>
      </w:pPr>
    </w:p>
    <w:p>
      <w:pPr>
        <w:pageBreakBefore w:val="0"/>
        <w:kinsoku/>
        <w:wordWrap/>
        <w:overflowPunct/>
        <w:topLinePunct w:val="0"/>
        <w:bidi w:val="0"/>
        <w:spacing w:line="576" w:lineRule="exact"/>
        <w:ind w:left="0" w:leftChars="0" w:firstLine="1440" w:firstLineChars="200"/>
        <w:jc w:val="center"/>
        <w:outlineLvl w:val="0"/>
        <w:rPr>
          <w:rFonts w:hint="default" w:ascii="Times New Roman" w:hAnsi="Times New Roman" w:eastAsia="方正小标宋简体" w:cs="Times New Roman"/>
          <w:color w:val="auto"/>
          <w:sz w:val="72"/>
          <w:szCs w:val="72"/>
          <w:highlight w:val="none"/>
        </w:rPr>
      </w:pPr>
    </w:p>
    <w:p>
      <w:pPr>
        <w:pStyle w:val="15"/>
        <w:pageBreakBefore w:val="0"/>
        <w:kinsoku/>
        <w:wordWrap/>
        <w:overflowPunct/>
        <w:topLinePunct w:val="0"/>
        <w:bidi w:val="0"/>
        <w:spacing w:before="0" w:after="0" w:line="576" w:lineRule="exact"/>
        <w:ind w:left="0" w:leftChars="0" w:firstLine="481" w:firstLineChars="200"/>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pageBreakBefore w:val="0"/>
        <w:widowControl/>
        <w:kinsoku/>
        <w:wordWrap/>
        <w:overflowPunct/>
        <w:topLinePunct w:val="0"/>
        <w:bidi w:val="0"/>
        <w:spacing w:line="576" w:lineRule="exact"/>
        <w:ind w:left="0" w:leftChars="0" w:firstLine="960" w:firstLineChars="200"/>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pageBreakBefore w:val="0"/>
        <w:widowControl/>
        <w:kinsoku/>
        <w:wordWrap/>
        <w:overflowPunct/>
        <w:topLinePunct w:val="0"/>
        <w:bidi w:val="0"/>
        <w:spacing w:line="576" w:lineRule="exact"/>
        <w:ind w:left="0" w:leftChars="0" w:firstLine="560" w:firstLineChars="200"/>
        <w:jc w:val="center"/>
        <w:rPr>
          <w:rFonts w:hint="default" w:ascii="Times New Roman" w:hAnsi="Times New Roman" w:eastAsia="黑体" w:cs="Times New Roman"/>
          <w:color w:val="auto"/>
          <w:sz w:val="28"/>
          <w:szCs w:val="28"/>
          <w:highlight w:val="none"/>
        </w:rPr>
      </w:pPr>
    </w:p>
    <w:p>
      <w:pPr>
        <w:pStyle w:val="9"/>
        <w:pageBreakBefore w:val="0"/>
        <w:kinsoku/>
        <w:wordWrap/>
        <w:overflowPunct/>
        <w:topLinePunct w:val="0"/>
        <w:bidi w:val="0"/>
        <w:spacing w:before="0"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10月22</w:t>
      </w:r>
      <w:r>
        <w:rPr>
          <w:rFonts w:hint="default" w:ascii="Times New Roman" w:hAnsi="Times New Roman" w:eastAsia="仿宋_GB2312" w:cs="Times New Roman"/>
          <w:color w:val="auto"/>
          <w:sz w:val="32"/>
          <w:szCs w:val="32"/>
          <w:highlight w:val="none"/>
        </w:rPr>
        <w:t>日</w:t>
      </w:r>
    </w:p>
    <w:p>
      <w:pPr>
        <w:pageBreakBefore w:val="0"/>
        <w:kinsoku/>
        <w:wordWrap/>
        <w:overflowPunct/>
        <w:topLinePunct w:val="0"/>
        <w:bidi w:val="0"/>
        <w:spacing w:line="576" w:lineRule="exact"/>
        <w:ind w:left="0" w:leftChars="0" w:firstLine="420" w:firstLineChars="200"/>
        <w:rPr>
          <w:rFonts w:hint="default" w:ascii="Times New Roman" w:hAnsi="Times New Roman" w:cs="Times New Roman"/>
          <w:color w:val="auto"/>
          <w:highlight w:val="none"/>
        </w:rPr>
      </w:pPr>
    </w:p>
    <w:p>
      <w:pPr>
        <w:pStyle w:val="9"/>
        <w:tabs>
          <w:tab w:val="right" w:leader="dot" w:pos="8306"/>
          <w:tab w:val="clear" w:pos="8296"/>
        </w:tabs>
        <w:rPr>
          <w:rFonts w:hint="default" w:ascii="Times New Roman" w:hAnsi="Times New Roman" w:eastAsia="仿宋" w:cs="Times New Roman"/>
          <w:sz w:val="32"/>
          <w:szCs w:val="32"/>
        </w:rPr>
      </w:pPr>
      <w:bookmarkStart w:id="6" w:name="_Toc15396599"/>
      <w:bookmarkStart w:id="7" w:name="_Toc15377196"/>
      <w:r>
        <w:rPr>
          <w:rFonts w:hint="default" w:ascii="Times New Roman" w:hAnsi="Times New Roman" w:eastAsia="仿宋" w:cs="Times New Roman"/>
          <w:b w:val="0"/>
          <w:color w:val="auto"/>
          <w:sz w:val="32"/>
          <w:szCs w:val="32"/>
          <w:highlight w:val="none"/>
        </w:rPr>
        <w:fldChar w:fldCharType="begin"/>
      </w:r>
      <w:r>
        <w:rPr>
          <w:rFonts w:hint="default" w:ascii="Times New Roman" w:hAnsi="Times New Roman" w:eastAsia="仿宋" w:cs="Times New Roman"/>
          <w:b w:val="0"/>
          <w:color w:val="auto"/>
          <w:sz w:val="32"/>
          <w:szCs w:val="32"/>
          <w:highlight w:val="none"/>
        </w:rPr>
        <w:instrText xml:space="preserve">TOC \o "1-2" \h \u </w:instrText>
      </w:r>
      <w:r>
        <w:rPr>
          <w:rFonts w:hint="default" w:ascii="Times New Roman" w:hAnsi="Times New Roman" w:eastAsia="仿宋" w:cs="Times New Roman"/>
          <w:b w:val="0"/>
          <w:color w:val="auto"/>
          <w:sz w:val="32"/>
          <w:szCs w:val="32"/>
          <w:highlight w:val="none"/>
        </w:rPr>
        <w:fldChar w:fldCharType="separate"/>
      </w: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_Toc19675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第一部分</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bCs w:val="0"/>
          <w:sz w:val="32"/>
          <w:szCs w:val="32"/>
          <w:highlight w:val="none"/>
        </w:rPr>
        <w:t>部门概况</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_Toc19675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4</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_Toc8272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default" w:ascii="Times New Roman" w:hAnsi="Times New Roman" w:eastAsia="仿宋" w:cs="Times New Roman"/>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_Toc8272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_Toc8272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9"/>
        <w:tabs>
          <w:tab w:val="right" w:leader="dot" w:pos="8306"/>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_Toc1938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第二部分</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2025年度</w:t>
      </w:r>
      <w:r>
        <w:rPr>
          <w:rFonts w:hint="default" w:ascii="Times New Roman" w:hAnsi="Times New Roman" w:eastAsia="黑体" w:cs="Times New Roman"/>
          <w:sz w:val="32"/>
          <w:szCs w:val="32"/>
          <w:highlight w:val="none"/>
        </w:rPr>
        <w:t>部门决算情况说明</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_Toc1938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_Toc26662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一、</w:t>
      </w:r>
      <w:r>
        <w:rPr>
          <w:rFonts w:hint="eastAsia" w:ascii="仿宋" w:hAnsi="仿宋" w:eastAsia="仿宋" w:cs="仿宋"/>
          <w:sz w:val="32"/>
          <w:szCs w:val="32"/>
          <w:highlight w:val="none"/>
        </w:rPr>
        <w:t>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_Toc26662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_Toc1914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_Toc1914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_Toc12127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三、</w:t>
      </w:r>
      <w:r>
        <w:rPr>
          <w:rFonts w:hint="eastAsia" w:ascii="仿宋" w:hAnsi="仿宋" w:eastAsia="仿宋" w:cs="仿宋"/>
          <w:sz w:val="32"/>
          <w:szCs w:val="32"/>
          <w:highlight w:val="none"/>
        </w:rPr>
        <w:t>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_Toc12127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_Toc24110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_Toc24110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_Toc11531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_Toc11531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_Toc20388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_Toc20388 \h </w:instrText>
      </w:r>
      <w:r>
        <w:rPr>
          <w:rFonts w:hint="eastAsia" w:ascii="仿宋" w:hAnsi="仿宋" w:eastAsia="仿宋" w:cs="仿宋"/>
          <w:sz w:val="32"/>
          <w:szCs w:val="32"/>
        </w:rPr>
        <w:fldChar w:fldCharType="separate"/>
      </w:r>
      <w:r>
        <w:rPr>
          <w:rFonts w:hint="eastAsia" w:ascii="仿宋" w:hAnsi="仿宋" w:eastAsia="仿宋" w:cs="仿宋"/>
          <w:sz w:val="32"/>
          <w:szCs w:val="32"/>
        </w:rPr>
        <w:t>17</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bidi w:val="0"/>
        <w:rPr>
          <w:rFonts w:hint="eastAsia" w:ascii="仿宋" w:hAnsi="仿宋" w:eastAsia="仿宋" w:cs="仿宋"/>
          <w:lang w:val="en-US" w:eastAsia="zh-CN"/>
        </w:rPr>
      </w:pPr>
      <w:r>
        <w:rPr>
          <w:rFonts w:hint="eastAsia" w:ascii="仿宋" w:hAnsi="仿宋" w:eastAsia="仿宋" w:cs="仿宋"/>
          <w:sz w:val="32"/>
          <w:szCs w:val="32"/>
          <w:lang w:eastAsia="zh-CN"/>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13</w:t>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_Toc27262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_Toc27262 \h </w:instrText>
      </w:r>
      <w:r>
        <w:rPr>
          <w:rFonts w:hint="eastAsia" w:ascii="仿宋" w:hAnsi="仿宋" w:eastAsia="仿宋" w:cs="仿宋"/>
          <w:sz w:val="32"/>
          <w:szCs w:val="32"/>
        </w:rPr>
        <w:fldChar w:fldCharType="separate"/>
      </w:r>
      <w:r>
        <w:rPr>
          <w:rFonts w:hint="eastAsia" w:ascii="仿宋" w:hAnsi="仿宋" w:eastAsia="仿宋" w:cs="仿宋"/>
          <w:sz w:val="32"/>
          <w:szCs w:val="32"/>
        </w:rPr>
        <w:t>19</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_Toc16751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九、</w:t>
      </w:r>
      <w:r>
        <w:rPr>
          <w:rFonts w:hint="eastAsia" w:ascii="仿宋" w:hAnsi="仿宋" w:eastAsia="仿宋" w:cs="仿宋"/>
          <w:sz w:val="32"/>
          <w:szCs w:val="32"/>
          <w:highlight w:val="none"/>
        </w:rPr>
        <w:t>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_Toc16751 \h </w:instrText>
      </w:r>
      <w:r>
        <w:rPr>
          <w:rFonts w:hint="eastAsia" w:ascii="仿宋" w:hAnsi="仿宋" w:eastAsia="仿宋" w:cs="仿宋"/>
          <w:sz w:val="32"/>
          <w:szCs w:val="32"/>
        </w:rPr>
        <w:fldChar w:fldCharType="separate"/>
      </w:r>
      <w:r>
        <w:rPr>
          <w:rFonts w:hint="eastAsia" w:ascii="仿宋" w:hAnsi="仿宋" w:eastAsia="仿宋" w:cs="仿宋"/>
          <w:sz w:val="32"/>
          <w:szCs w:val="32"/>
        </w:rPr>
        <w:t>19</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10"/>
        <w:tabs>
          <w:tab w:val="right" w:leader="dot" w:pos="8306"/>
          <w:tab w:val="clear" w:pos="8296"/>
        </w:tabs>
        <w:rPr>
          <w:rFonts w:hint="default" w:ascii="Times New Roman" w:hAnsi="Times New Roman" w:eastAsia="仿宋" w:cs="Times New Roman"/>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_Toc30667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十、</w:t>
      </w:r>
      <w:r>
        <w:rPr>
          <w:rFonts w:hint="eastAsia" w:ascii="仿宋" w:hAnsi="仿宋" w:eastAsia="仿宋" w:cs="仿宋"/>
          <w:sz w:val="32"/>
          <w:szCs w:val="32"/>
          <w:highlight w:val="none"/>
        </w:rPr>
        <w:t>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_Toc30667 \h </w:instrText>
      </w:r>
      <w:r>
        <w:rPr>
          <w:rFonts w:hint="eastAsia" w:ascii="仿宋" w:hAnsi="仿宋" w:eastAsia="仿宋" w:cs="仿宋"/>
          <w:sz w:val="32"/>
          <w:szCs w:val="32"/>
        </w:rPr>
        <w:fldChar w:fldCharType="separate"/>
      </w:r>
      <w:r>
        <w:rPr>
          <w:rFonts w:hint="eastAsia" w:ascii="仿宋" w:hAnsi="仿宋" w:eastAsia="仿宋" w:cs="仿宋"/>
          <w:sz w:val="32"/>
          <w:szCs w:val="32"/>
        </w:rPr>
        <w:t>19</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pPr>
        <w:pStyle w:val="9"/>
        <w:tabs>
          <w:tab w:val="right" w:leader="dot" w:pos="8306"/>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_Toc19997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lang w:eastAsia="zh-CN"/>
        </w:rPr>
        <w:t>第三部分</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名词解释</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_Toc19997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pPr>
        <w:pStyle w:val="9"/>
        <w:tabs>
          <w:tab w:val="right" w:leader="dot" w:pos="8306"/>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_Toc7718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第四部分 附件</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_Toc7718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24</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_Toc14209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一、收</w:t>
      </w:r>
      <w:r>
        <w:rPr>
          <w:rFonts w:hint="eastAsia" w:ascii="仿宋_GB2312" w:hAnsi="仿宋_GB2312" w:eastAsia="仿宋_GB2312" w:cs="仿宋_GB2312"/>
          <w:bCs w:val="0"/>
          <w:sz w:val="32"/>
          <w:szCs w:val="32"/>
          <w:highlight w:val="none"/>
        </w:rPr>
        <w:t>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_Toc14209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_Toc1981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二、收</w:t>
      </w:r>
      <w:r>
        <w:rPr>
          <w:rFonts w:hint="eastAsia" w:ascii="仿宋_GB2312" w:hAnsi="仿宋_GB2312" w:eastAsia="仿宋_GB2312" w:cs="仿宋_GB2312"/>
          <w:bCs w:val="0"/>
          <w:sz w:val="32"/>
          <w:szCs w:val="32"/>
          <w:highlight w:val="none"/>
        </w:rPr>
        <w:t>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_Toc22546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三、</w:t>
      </w:r>
      <w:r>
        <w:rPr>
          <w:rFonts w:hint="eastAsia" w:ascii="仿宋_GB2312" w:hAnsi="仿宋_GB2312" w:eastAsia="仿宋_GB2312" w:cs="仿宋_GB2312"/>
          <w:sz w:val="32"/>
          <w:szCs w:val="32"/>
          <w:highlight w:val="none"/>
        </w:rPr>
        <w:t>支</w:t>
      </w:r>
      <w:r>
        <w:rPr>
          <w:rFonts w:hint="eastAsia" w:ascii="仿宋_GB2312" w:hAnsi="仿宋_GB2312" w:eastAsia="仿宋_GB2312" w:cs="仿宋_GB2312"/>
          <w:bCs w:val="0"/>
          <w:sz w:val="32"/>
          <w:szCs w:val="32"/>
          <w:highlight w:val="none"/>
        </w:rPr>
        <w:t>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_Toc22546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_Toc8742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四、</w:t>
      </w:r>
      <w:r>
        <w:rPr>
          <w:rFonts w:hint="eastAsia" w:ascii="仿宋_GB2312" w:hAnsi="仿宋_GB2312" w:eastAsia="仿宋_GB2312" w:cs="仿宋_GB2312"/>
          <w:sz w:val="32"/>
          <w:szCs w:val="32"/>
          <w:highlight w:val="none"/>
        </w:rPr>
        <w:t>财</w:t>
      </w:r>
      <w:r>
        <w:rPr>
          <w:rFonts w:hint="eastAsia" w:ascii="仿宋_GB2312" w:hAnsi="仿宋_GB2312" w:eastAsia="仿宋_GB2312" w:cs="仿宋_GB2312"/>
          <w:bCs w:val="0"/>
          <w:sz w:val="32"/>
          <w:szCs w:val="32"/>
          <w:highlight w:val="none"/>
        </w:rPr>
        <w:t>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_Toc8742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_Toc22563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五、</w:t>
      </w:r>
      <w:r>
        <w:rPr>
          <w:rFonts w:hint="eastAsia" w:ascii="仿宋_GB2312" w:hAnsi="仿宋_GB2312" w:eastAsia="仿宋_GB2312" w:cs="仿宋_GB2312"/>
          <w:sz w:val="32"/>
          <w:szCs w:val="32"/>
          <w:highlight w:val="none"/>
        </w:rPr>
        <w:t>财</w:t>
      </w:r>
      <w:r>
        <w:rPr>
          <w:rFonts w:hint="eastAsia" w:ascii="仿宋_GB2312" w:hAnsi="仿宋_GB2312" w:eastAsia="仿宋_GB2312" w:cs="仿宋_GB2312"/>
          <w:bCs w:val="0"/>
          <w:sz w:val="32"/>
          <w:szCs w:val="32"/>
          <w:highlight w:val="none"/>
        </w:rPr>
        <w:t>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_Toc22563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_Toc26930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六、</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val="0"/>
          <w:sz w:val="32"/>
          <w:szCs w:val="32"/>
          <w:highlight w:val="none"/>
        </w:rPr>
        <w:t>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_Toc26930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_Toc3552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七、</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val="0"/>
          <w:sz w:val="32"/>
          <w:szCs w:val="32"/>
          <w:highlight w:val="none"/>
        </w:rPr>
        <w:t>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_Toc3552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_Toc1399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八、</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val="0"/>
          <w:sz w:val="32"/>
          <w:szCs w:val="32"/>
          <w:highlight w:val="none"/>
        </w:rPr>
        <w:t>般公共预算财政拨款基本支出决算</w:t>
      </w:r>
      <w:r>
        <w:rPr>
          <w:rFonts w:hint="eastAsia" w:ascii="仿宋_GB2312" w:hAnsi="仿宋_GB2312" w:eastAsia="仿宋_GB2312" w:cs="仿宋_GB2312"/>
          <w:bCs w:val="0"/>
          <w:sz w:val="32"/>
          <w:szCs w:val="32"/>
          <w:highlight w:val="none"/>
          <w:lang w:eastAsia="zh-CN"/>
        </w:rPr>
        <w:t>明细</w:t>
      </w:r>
      <w:r>
        <w:rPr>
          <w:rFonts w:hint="eastAsia" w:ascii="仿宋_GB2312" w:hAnsi="仿宋_GB2312" w:eastAsia="仿宋_GB2312" w:cs="仿宋_GB2312"/>
          <w:bCs w:val="0"/>
          <w:sz w:val="32"/>
          <w:szCs w:val="32"/>
          <w:highlight w:val="none"/>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_Toc26170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九、</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val="0"/>
          <w:sz w:val="32"/>
          <w:szCs w:val="32"/>
          <w:highlight w:val="none"/>
        </w:rPr>
        <w:t>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_Toc26170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_Toc17424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十、</w:t>
      </w:r>
      <w:r>
        <w:rPr>
          <w:rFonts w:hint="eastAsia" w:ascii="仿宋_GB2312" w:hAnsi="仿宋_GB2312" w:eastAsia="仿宋_GB2312" w:cs="仿宋_GB2312"/>
          <w:sz w:val="32"/>
          <w:szCs w:val="32"/>
          <w:highlight w:val="none"/>
        </w:rPr>
        <w:t>政</w:t>
      </w:r>
      <w:r>
        <w:rPr>
          <w:rFonts w:hint="eastAsia" w:ascii="仿宋_GB2312" w:hAnsi="仿宋_GB2312" w:eastAsia="仿宋_GB2312" w:cs="仿宋_GB2312"/>
          <w:bCs w:val="0"/>
          <w:sz w:val="32"/>
          <w:szCs w:val="32"/>
          <w:highlight w:val="none"/>
        </w:rPr>
        <w:t>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_Toc17424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_Toc26146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十一、</w:t>
      </w:r>
      <w:r>
        <w:rPr>
          <w:rFonts w:hint="eastAsia" w:ascii="仿宋_GB2312" w:hAnsi="仿宋_GB2312" w:eastAsia="仿宋_GB2312" w:cs="仿宋_GB2312"/>
          <w:sz w:val="32"/>
          <w:szCs w:val="32"/>
          <w:highlight w:val="none"/>
        </w:rPr>
        <w:t>国</w:t>
      </w:r>
      <w:r>
        <w:rPr>
          <w:rFonts w:hint="eastAsia" w:ascii="仿宋_GB2312" w:hAnsi="仿宋_GB2312" w:eastAsia="仿宋_GB2312" w:cs="仿宋_GB2312"/>
          <w:bCs w:val="0"/>
          <w:sz w:val="32"/>
          <w:szCs w:val="32"/>
          <w:highlight w:val="none"/>
        </w:rPr>
        <w:t>有资本经营预算</w:t>
      </w:r>
      <w:r>
        <w:rPr>
          <w:rFonts w:hint="eastAsia" w:ascii="仿宋_GB2312" w:hAnsi="仿宋_GB2312" w:eastAsia="仿宋_GB2312" w:cs="仿宋_GB2312"/>
          <w:bCs w:val="0"/>
          <w:sz w:val="32"/>
          <w:szCs w:val="32"/>
          <w:highlight w:val="none"/>
          <w:lang w:eastAsia="zh-CN"/>
        </w:rPr>
        <w:t>财政拨款收入</w:t>
      </w:r>
      <w:r>
        <w:rPr>
          <w:rFonts w:hint="eastAsia" w:ascii="仿宋_GB2312" w:hAnsi="仿宋_GB2312" w:eastAsia="仿宋_GB2312" w:cs="仿宋_GB2312"/>
          <w:bCs w:val="0"/>
          <w:sz w:val="32"/>
          <w:szCs w:val="32"/>
          <w:highlight w:val="none"/>
        </w:rPr>
        <w:t>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_Toc26146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_Toc22876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十二、</w:t>
      </w:r>
      <w:r>
        <w:rPr>
          <w:rFonts w:hint="eastAsia" w:ascii="仿宋_GB2312" w:hAnsi="仿宋_GB2312" w:eastAsia="仿宋_GB2312" w:cs="仿宋_GB2312"/>
          <w:bCs w:val="0"/>
          <w:sz w:val="32"/>
          <w:szCs w:val="32"/>
          <w:highlight w:val="none"/>
          <w:lang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_Toc22876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10"/>
        <w:tabs>
          <w:tab w:val="right" w:leader="dot" w:pos="8306"/>
          <w:tab w:val="clear" w:pos="8296"/>
        </w:tabs>
        <w:rPr>
          <w:rFonts w:hint="default" w:ascii="Times New Roman" w:hAnsi="Times New Roman" w:eastAsia="仿宋" w:cs="Times New Roman"/>
          <w:sz w:val="32"/>
          <w:szCs w:val="32"/>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_Toc3790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val="0"/>
          <w:sz w:val="32"/>
          <w:szCs w:val="32"/>
          <w:highlight w:val="none"/>
        </w:rPr>
        <w:t>十三、</w:t>
      </w:r>
      <w:r>
        <w:rPr>
          <w:rFonts w:hint="eastAsia" w:ascii="仿宋_GB2312" w:hAnsi="仿宋_GB2312" w:eastAsia="仿宋_GB2312" w:cs="仿宋_GB2312"/>
          <w:bCs w:val="0"/>
          <w:sz w:val="32"/>
          <w:szCs w:val="32"/>
          <w:highlight w:val="none"/>
          <w:lang w:eastAsia="zh-CN"/>
        </w:rPr>
        <w:t>财政拨款“三公”经费支出决算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_Toc3790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highlight w:val="none"/>
        </w:rPr>
        <w:fldChar w:fldCharType="end"/>
      </w:r>
    </w:p>
    <w:p>
      <w:pPr>
        <w:pStyle w:val="3"/>
        <w:pageBreakBefore w:val="0"/>
        <w:kinsoku/>
        <w:wordWrap/>
        <w:overflowPunct/>
        <w:topLinePunct w:val="0"/>
        <w:bidi w:val="0"/>
        <w:spacing w:before="0" w:after="0" w:line="576" w:lineRule="exact"/>
        <w:ind w:left="0" w:leftChars="0" w:firstLine="642" w:firstLineChars="200"/>
        <w:jc w:val="both"/>
        <w:rPr>
          <w:rFonts w:hint="default" w:ascii="Times New Roman" w:hAnsi="Times New Roman" w:eastAsia="仿宋" w:cs="Times New Roman"/>
          <w:b w:val="0"/>
          <w:color w:val="auto"/>
          <w:sz w:val="32"/>
          <w:szCs w:val="32"/>
          <w:highlight w:val="none"/>
        </w:rPr>
      </w:pPr>
      <w:r>
        <w:rPr>
          <w:rFonts w:hint="default" w:ascii="Times New Roman" w:hAnsi="Times New Roman" w:eastAsia="仿宋" w:cs="Times New Roman"/>
          <w:color w:val="auto"/>
          <w:sz w:val="32"/>
          <w:szCs w:val="32"/>
          <w:highlight w:val="none"/>
        </w:rPr>
        <w:fldChar w:fldCharType="end"/>
      </w:r>
    </w:p>
    <w:p>
      <w:pPr>
        <w:pStyle w:val="3"/>
        <w:pageBreakBefore w:val="0"/>
        <w:kinsoku/>
        <w:wordWrap/>
        <w:overflowPunct/>
        <w:topLinePunct w:val="0"/>
        <w:bidi w:val="0"/>
        <w:spacing w:before="0" w:after="0" w:line="576" w:lineRule="exact"/>
        <w:ind w:left="0" w:leftChars="0" w:firstLine="880" w:firstLineChars="200"/>
        <w:jc w:val="both"/>
        <w:rPr>
          <w:rFonts w:hint="default" w:ascii="Times New Roman" w:hAnsi="Times New Roman" w:eastAsia="方正小标宋简体" w:cs="Times New Roman"/>
          <w:b w:val="0"/>
          <w:color w:val="auto"/>
          <w:highlight w:val="none"/>
        </w:rPr>
      </w:pPr>
    </w:p>
    <w:p>
      <w:pPr>
        <w:pStyle w:val="3"/>
        <w:pageBreakBefore w:val="0"/>
        <w:kinsoku/>
        <w:wordWrap/>
        <w:overflowPunct/>
        <w:topLinePunct w:val="0"/>
        <w:bidi w:val="0"/>
        <w:spacing w:before="0" w:after="0" w:line="576" w:lineRule="exact"/>
        <w:ind w:left="0" w:leftChars="0" w:firstLine="880" w:firstLineChars="200"/>
        <w:jc w:val="both"/>
        <w:rPr>
          <w:rFonts w:hint="default" w:ascii="Times New Roman" w:hAnsi="Times New Roman" w:eastAsia="方正小标宋简体" w:cs="Times New Roman"/>
          <w:b w:val="0"/>
          <w:color w:val="auto"/>
          <w:highlight w:val="none"/>
        </w:rPr>
      </w:pPr>
    </w:p>
    <w:p>
      <w:pPr>
        <w:pStyle w:val="3"/>
        <w:pageBreakBefore w:val="0"/>
        <w:tabs>
          <w:tab w:val="left" w:pos="2233"/>
        </w:tabs>
        <w:kinsoku/>
        <w:wordWrap/>
        <w:overflowPunct/>
        <w:topLinePunct w:val="0"/>
        <w:bidi w:val="0"/>
        <w:spacing w:before="0" w:after="0" w:line="576" w:lineRule="exact"/>
        <w:ind w:left="0" w:leftChars="0" w:firstLine="880" w:firstLineChars="200"/>
        <w:jc w:val="both"/>
        <w:rPr>
          <w:rFonts w:hint="eastAsia" w:ascii="Times New Roman" w:hAnsi="Times New Roman" w:eastAsia="方正小标宋简体" w:cs="Times New Roman"/>
          <w:b w:val="0"/>
          <w:color w:val="auto"/>
          <w:highlight w:val="none"/>
          <w:lang w:eastAsia="zh-CN"/>
        </w:rPr>
      </w:pPr>
      <w:r>
        <w:rPr>
          <w:rFonts w:hint="eastAsia" w:eastAsia="方正小标宋简体" w:cs="Times New Roman"/>
          <w:b w:val="0"/>
          <w:color w:val="auto"/>
          <w:highlight w:val="none"/>
          <w:lang w:eastAsia="zh-CN"/>
        </w:rPr>
        <w:tab/>
      </w:r>
    </w:p>
    <w:p>
      <w:pPr>
        <w:pStyle w:val="3"/>
        <w:pageBreakBefore w:val="0"/>
        <w:kinsoku/>
        <w:wordWrap/>
        <w:overflowPunct/>
        <w:topLinePunct w:val="0"/>
        <w:bidi w:val="0"/>
        <w:spacing w:before="0" w:after="0" w:line="576" w:lineRule="exact"/>
        <w:ind w:left="0" w:leftChars="0" w:firstLine="880" w:firstLineChars="200"/>
        <w:jc w:val="both"/>
        <w:rPr>
          <w:rFonts w:hint="default" w:ascii="Times New Roman" w:hAnsi="Times New Roman" w:eastAsia="方正小标宋简体" w:cs="Times New Roman"/>
          <w:b w:val="0"/>
          <w:color w:val="auto"/>
          <w:highlight w:val="none"/>
        </w:rPr>
      </w:pPr>
    </w:p>
    <w:bookmarkEnd w:id="6"/>
    <w:bookmarkEnd w:id="7"/>
    <w:p>
      <w:pPr>
        <w:pageBreakBefore w:val="0"/>
        <w:widowControl/>
        <w:kinsoku/>
        <w:wordWrap/>
        <w:overflowPunct/>
        <w:topLinePunct w:val="0"/>
        <w:bidi w:val="0"/>
        <w:spacing w:line="576" w:lineRule="exact"/>
        <w:ind w:left="0" w:leftChars="0" w:firstLine="640" w:firstLineChars="200"/>
        <w:jc w:val="left"/>
        <w:rPr>
          <w:rFonts w:hint="default" w:ascii="Times New Roman" w:hAnsi="Times New Roman" w:eastAsia="黑体" w:cs="Times New Roman"/>
          <w:color w:val="auto"/>
          <w:sz w:val="32"/>
          <w:szCs w:val="32"/>
          <w:highlight w:val="none"/>
        </w:rPr>
      </w:pPr>
    </w:p>
    <w:p>
      <w:pPr>
        <w:pStyle w:val="3"/>
        <w:pageBreakBefore w:val="0"/>
        <w:kinsoku/>
        <w:wordWrap/>
        <w:overflowPunct/>
        <w:topLinePunct w:val="0"/>
        <w:bidi w:val="0"/>
        <w:spacing w:before="0" w:after="0" w:line="576" w:lineRule="exact"/>
        <w:ind w:left="0" w:leftChars="0" w:firstLine="880" w:firstLineChars="200"/>
        <w:jc w:val="both"/>
        <w:rPr>
          <w:rFonts w:hint="default" w:ascii="Times New Roman" w:hAnsi="Times New Roman" w:eastAsia="方正小标宋简体" w:cs="Times New Roman"/>
          <w:b w:val="0"/>
          <w:color w:val="auto"/>
          <w:highlight w:val="none"/>
        </w:rPr>
        <w:sectPr>
          <w:footerReference r:id="rId5" w:type="default"/>
          <w:pgSz w:w="11906" w:h="16838"/>
          <w:pgMar w:top="1440" w:right="1800" w:bottom="1440" w:left="1800" w:header="851" w:footer="992" w:gutter="0"/>
          <w:pgNumType w:fmt="decimal" w:start="4"/>
          <w:cols w:space="425" w:num="1"/>
          <w:docGrid w:type="lines" w:linePitch="312" w:charSpace="0"/>
        </w:sectPr>
      </w:pPr>
      <w:bookmarkStart w:id="8" w:name="_Toc15396600"/>
      <w:bookmarkStart w:id="9" w:name="_Toc15377197"/>
    </w:p>
    <w:p>
      <w:pPr>
        <w:pStyle w:val="3"/>
        <w:pageBreakBefore w:val="0"/>
        <w:kinsoku/>
        <w:wordWrap/>
        <w:overflowPunct/>
        <w:topLinePunct w:val="0"/>
        <w:autoSpaceDE/>
        <w:autoSpaceDN/>
        <w:bidi w:val="0"/>
        <w:spacing w:before="0" w:after="0" w:line="560" w:lineRule="exact"/>
        <w:jc w:val="center"/>
        <w:rPr>
          <w:rStyle w:val="16"/>
          <w:rFonts w:hint="default" w:ascii="Times New Roman" w:hAnsi="Times New Roman" w:eastAsia="方正小标宋简体" w:cs="Times New Roman"/>
          <w:b w:val="0"/>
          <w:bCs w:val="0"/>
          <w:color w:val="auto"/>
          <w:highlight w:val="none"/>
        </w:rPr>
      </w:pPr>
      <w:bookmarkStart w:id="10" w:name="_Toc19675"/>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16"/>
          <w:rFonts w:hint="default" w:ascii="Times New Roman" w:hAnsi="Times New Roman" w:eastAsia="方正小标宋简体" w:cs="Times New Roman"/>
          <w:b w:val="0"/>
          <w:bCs w:val="0"/>
          <w:color w:val="auto"/>
          <w:highlight w:val="none"/>
        </w:rPr>
        <w:t>部门概况</w:t>
      </w:r>
      <w:bookmarkEnd w:id="10"/>
    </w:p>
    <w:p>
      <w:pPr>
        <w:pageBreakBefore w:val="0"/>
        <w:kinsoku/>
        <w:wordWrap/>
        <w:overflowPunct/>
        <w:topLinePunct w:val="0"/>
        <w:autoSpaceDE/>
        <w:autoSpaceDN/>
        <w:bidi w:val="0"/>
        <w:spacing w:line="560" w:lineRule="exact"/>
        <w:rPr>
          <w:rFonts w:hint="default" w:ascii="Times New Roman" w:hAnsi="Times New Roman" w:cs="Times New Roman"/>
        </w:rPr>
      </w:pPr>
    </w:p>
    <w:p>
      <w:pPr>
        <w:pStyle w:val="4"/>
        <w:pageBreakBefore w:val="0"/>
        <w:kinsoku/>
        <w:wordWrap/>
        <w:overflowPunct/>
        <w:topLinePunct w:val="0"/>
        <w:autoSpaceDE/>
        <w:autoSpaceDN/>
        <w:bidi w:val="0"/>
        <w:spacing w:before="0" w:line="560" w:lineRule="exact"/>
        <w:rPr>
          <w:rFonts w:hint="default"/>
          <w:lang w:eastAsia="zh-CN"/>
        </w:rPr>
      </w:pPr>
      <w:r>
        <w:rPr>
          <w:rFonts w:hint="default"/>
        </w:rPr>
        <w:t>一、</w:t>
      </w:r>
      <w:bookmarkEnd w:id="8"/>
      <w:bookmarkEnd w:id="9"/>
      <w:r>
        <w:rPr>
          <w:rFonts w:hint="default"/>
          <w:lang w:eastAsia="zh-CN"/>
        </w:rPr>
        <w:t>部门职责</w:t>
      </w:r>
      <w:bookmarkStart w:id="11" w:name="_Toc15377198"/>
      <w:bookmarkStart w:id="12" w:name="_Toc15378445"/>
      <w:bookmarkStart w:id="13" w:name="_Toc79163853"/>
      <w:bookmarkStart w:id="14" w:name="_Toc79163603"/>
    </w:p>
    <w:p>
      <w:pPr>
        <w:pStyle w:val="5"/>
        <w:keepNext w:val="0"/>
        <w:keepLines w:val="0"/>
        <w:pageBreakBefore w:val="0"/>
        <w:widowControl w:val="0"/>
        <w:numPr>
          <w:ilvl w:val="0"/>
          <w:numId w:val="1"/>
        </w:numPr>
        <w:kinsoku/>
        <w:wordWrap/>
        <w:overflowPunct/>
        <w:topLinePunct w:val="0"/>
        <w:autoSpaceDE/>
        <w:autoSpaceDN/>
        <w:bidi w:val="0"/>
        <w:adjustRightInd w:val="0"/>
        <w:snapToGrid w:val="0"/>
        <w:spacing w:beforeLines="0" w:line="560" w:lineRule="exact"/>
        <w:ind w:left="0" w:leftChars="0" w:firstLine="642" w:firstLineChars="200"/>
        <w:outlineLvl w:val="2"/>
        <w:rPr>
          <w:rFonts w:hint="default" w:ascii="Times New Roman" w:hAnsi="Times New Roman" w:eastAsia="楷体" w:cs="Times New Roman"/>
          <w:b/>
          <w:bCs w:val="0"/>
          <w:color w:val="333333"/>
          <w:sz w:val="32"/>
          <w:szCs w:val="32"/>
          <w:shd w:val="clear" w:color="auto" w:fill="FFFFFF"/>
          <w:lang w:eastAsia="zh-CN" w:bidi="ar-SA"/>
        </w:rPr>
      </w:pPr>
      <w:r>
        <w:rPr>
          <w:rFonts w:hint="default" w:ascii="Times New Roman" w:hAnsi="Times New Roman" w:eastAsia="楷体" w:cs="Times New Roman"/>
          <w:b/>
          <w:bCs w:val="0"/>
          <w:color w:val="000000"/>
          <w:sz w:val="32"/>
          <w:szCs w:val="32"/>
        </w:rPr>
        <w:t>主要职能</w:t>
      </w:r>
    </w:p>
    <w:p>
      <w:pPr>
        <w:pStyle w:val="5"/>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Lines="0" w:line="560" w:lineRule="exact"/>
        <w:ind w:left="0" w:leftChars="0" w:firstLine="640" w:firstLineChars="200"/>
        <w:outlineLvl w:val="2"/>
        <w:rPr>
          <w:rFonts w:hint="default" w:ascii="Times New Roman" w:hAnsi="Times New Roman" w:eastAsia="仿宋_GB2312" w:cs="Times New Roman"/>
          <w:color w:val="333333"/>
          <w:sz w:val="32"/>
          <w:szCs w:val="32"/>
          <w:shd w:val="clear" w:color="auto" w:fill="FFFFFF"/>
          <w:lang w:eastAsia="zh-CN" w:bidi="ar-SA"/>
        </w:rPr>
      </w:pPr>
      <w:r>
        <w:rPr>
          <w:rFonts w:hint="default" w:ascii="Times New Roman" w:hAnsi="Times New Roman" w:eastAsia="仿宋_GB2312" w:cs="Times New Roman"/>
          <w:color w:val="333333"/>
          <w:sz w:val="32"/>
          <w:szCs w:val="32"/>
          <w:shd w:val="clear" w:color="auto" w:fill="FFFFFF"/>
          <w:lang w:bidi="ar-SA"/>
        </w:rPr>
        <w:t>负责各类房屋建筑及其附属设施的建设与配套的线路、管道、设备安装项目和市政工程项目的初步设计审查、施工图审批、开工审批和招标活动的执法监督</w:t>
      </w:r>
      <w:r>
        <w:rPr>
          <w:rFonts w:hint="default" w:ascii="Times New Roman" w:hAnsi="Times New Roman" w:eastAsia="仿宋_GB2312" w:cs="Times New Roman"/>
          <w:color w:val="333333"/>
          <w:sz w:val="32"/>
          <w:szCs w:val="32"/>
          <w:shd w:val="clear" w:color="auto" w:fill="FFFFFF"/>
          <w:lang w:eastAsia="zh-CN" w:bidi="ar-SA"/>
        </w:rPr>
        <w:t>。</w:t>
      </w:r>
    </w:p>
    <w:bookmarkEnd w:id="11"/>
    <w:bookmarkEnd w:id="12"/>
    <w:bookmarkEnd w:id="13"/>
    <w:bookmarkEnd w:id="14"/>
    <w:p>
      <w:pPr>
        <w:pStyle w:val="17"/>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2"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楷体" w:cs="Times New Roman"/>
          <w:b/>
          <w:bCs w:val="0"/>
          <w:color w:val="000000"/>
          <w:sz w:val="32"/>
          <w:szCs w:val="32"/>
        </w:rPr>
        <w:t>202</w:t>
      </w:r>
      <w:r>
        <w:rPr>
          <w:rFonts w:hint="default" w:ascii="Times New Roman" w:hAnsi="Times New Roman" w:eastAsia="楷体" w:cs="Times New Roman"/>
          <w:b/>
          <w:bCs w:val="0"/>
          <w:color w:val="000000"/>
          <w:sz w:val="32"/>
          <w:szCs w:val="32"/>
          <w:lang w:val="en-US" w:eastAsia="zh-CN"/>
        </w:rPr>
        <w:t>5</w:t>
      </w:r>
      <w:r>
        <w:rPr>
          <w:rFonts w:hint="default" w:ascii="Times New Roman" w:hAnsi="Times New Roman" w:eastAsia="楷体" w:cs="Times New Roman"/>
          <w:b/>
          <w:bCs w:val="0"/>
          <w:color w:val="000000"/>
          <w:sz w:val="32"/>
          <w:szCs w:val="32"/>
        </w:rPr>
        <w:t>年重点工作完成情况</w:t>
      </w:r>
    </w:p>
    <w:p>
      <w:pPr>
        <w:keepNext w:val="0"/>
        <w:keepLines w:val="0"/>
        <w:pageBreakBefore w:val="0"/>
        <w:widowControl w:val="0"/>
        <w:numPr>
          <w:ilvl w:val="0"/>
          <w:numId w:val="0"/>
        </w:numPr>
        <w:tabs>
          <w:tab w:val="left" w:pos="1760"/>
        </w:tabs>
        <w:kinsoku/>
        <w:wordWrap/>
        <w:overflowPunct/>
        <w:topLinePunct w:val="0"/>
        <w:autoSpaceDE/>
        <w:autoSpaceDN/>
        <w:bidi w:val="0"/>
        <w:snapToGrid/>
        <w:spacing w:line="560" w:lineRule="exact"/>
        <w:ind w:left="0" w:leftChars="0" w:firstLine="640" w:firstLineChars="200"/>
        <w:textAlignment w:val="baseline"/>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sz w:val="32"/>
          <w:szCs w:val="32"/>
          <w:lang w:val="en-US" w:eastAsia="zh-CN" w:bidi="ar-SA"/>
        </w:rPr>
        <w:t>1.安全生产。工程质量安全方面。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结合季节特点和安全生产形势，开展了建筑起重机械、深基坑、脚手架、施工用电、动火作业等危险性较大分部分项工程的专项整治行动。发现安全隐患252处，已整改252处，有效防范了安全事故的发生。</w:t>
      </w:r>
      <w:r>
        <w:rPr>
          <w:rFonts w:hint="default" w:ascii="Times New Roman" w:hAnsi="Times New Roman" w:eastAsia="仿宋_GB2312" w:cs="Times New Roman"/>
          <w:b w:val="0"/>
          <w:bCs w:val="0"/>
          <w:color w:val="000000"/>
          <w:spacing w:val="0"/>
          <w:w w:val="100"/>
          <w:sz w:val="32"/>
          <w:szCs w:val="32"/>
          <w:lang w:val="en-US" w:eastAsia="zh-CN" w:bidi="ar-SA"/>
        </w:rPr>
        <w:t>城镇燃气安全方面。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结合9.3阅兵和国庆、中秋等重要节假日即将临近。9月1日制定印发了《壤塘县城镇燃气安全专项整治专班办公室关于开展城镇燃气安全专项整治工作方案》（壤燃气整治办〔2025〕1号），会同应急管理、市场监管、消防救援、经信等部门累计开展燃气安全隐患排查和执法检查34次，累计排查燃气点位1700余处，排查出燃气隐患121个，督促整改落实121处（其中：下达燃气问题隐患整改通知书24份，限期整改问题39处，均已整改完毕）。督促燃气经营企业淘汰老旧钢瓶704只，购买新钢瓶400只。</w:t>
      </w:r>
      <w:r>
        <w:rPr>
          <w:rFonts w:hint="default" w:ascii="Times New Roman" w:hAnsi="Times New Roman" w:eastAsia="仿宋_GB2312" w:cs="Times New Roman"/>
          <w:b w:val="0"/>
          <w:bCs w:val="0"/>
          <w:color w:val="000000"/>
          <w:spacing w:val="0"/>
          <w:w w:val="100"/>
          <w:sz w:val="32"/>
          <w:szCs w:val="32"/>
          <w:lang w:val="en-US" w:eastAsia="zh-CN" w:bidi="ar-SA"/>
        </w:rPr>
        <w:t>自建房安全方面。</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为进一步健全制度措施，形成自建房安全全链条监管机制，将自建房安全隐患排查整治形成常态化管理，纳入日常重点工作一体推进，于2025年3月向全县各乡镇下发了2025年自建房安全隐患排查整治相关工作的通知，要求各乡镇开展常规化动态监测及入户排查工作于每月25日前向县住建局报送隐患台账及排查报告。采取随机抽查的方式，开展督导检查，截至目前开展督导检查9次，检查房屋195栋。</w:t>
      </w:r>
      <w:r>
        <w:rPr>
          <w:rFonts w:hint="default" w:ascii="Times New Roman" w:hAnsi="Times New Roman" w:eastAsia="仿宋_GB2312" w:cs="Times New Roman"/>
          <w:b w:val="0"/>
          <w:bCs w:val="0"/>
          <w:color w:val="000000"/>
          <w:spacing w:val="0"/>
          <w:w w:val="100"/>
          <w:sz w:val="32"/>
          <w:szCs w:val="32"/>
          <w:lang w:val="en-US" w:eastAsia="zh-CN" w:bidi="ar-SA"/>
        </w:rPr>
        <w:t>市政设施安全运行。</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今年以来，对我县建制镇内市政设施、桥梁等进行了安全隐患排查。截至目前，共计排查桥梁11座、市政管网13处，除部分管网存在堵漏与老化现象外（正在整改），均无异常。</w:t>
      </w:r>
    </w:p>
    <w:p>
      <w:pPr>
        <w:pStyle w:val="1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2.住房保障。危房改造。</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持续巩固拓展脱贫攻坚成果同乡村振兴有效衔接、抓好住房安全保障工作。为筑实筑牢农村住房安全底线，切实保障农牧民群众住房安全。已完成2024年农村危房改造项目工作，已全额拨付补助资金。结合三月群众工作月各乡镇初排数据，我局聘请第三方专业鉴定公司，开展现场鉴定工作，依据鉴定报告，向上申请了2025年危房改造项目，上级部门共下达我县76户危房改造任务数，目前已全部已完工76户，资金拨付0户。我局每日进行调度，切实跟踪指导农户建房过程中存在的技术问题。截至目前，已深入危房改造建设现场进行监督指导9次。</w:t>
      </w:r>
      <w:r>
        <w:rPr>
          <w:rFonts w:hint="default" w:ascii="Times New Roman" w:hAnsi="Times New Roman" w:eastAsia="仿宋_GB2312" w:cs="Times New Roman"/>
          <w:b w:val="0"/>
          <w:bCs w:val="0"/>
          <w:color w:val="000000"/>
          <w:spacing w:val="0"/>
          <w:w w:val="100"/>
          <w:kern w:val="2"/>
          <w:sz w:val="32"/>
          <w:szCs w:val="32"/>
          <w:lang w:val="en-US" w:eastAsia="zh-CN" w:bidi="ar-SA"/>
        </w:rPr>
        <w:t>房地产市场管理：</w:t>
      </w:r>
      <w:r>
        <w:rPr>
          <w:rFonts w:hint="default" w:ascii="Times New Roman" w:hAnsi="Times New Roman" w:eastAsia="仿宋_GB2312" w:cs="Times New Roman"/>
          <w:b w:val="0"/>
          <w:bCs w:val="0"/>
          <w:color w:val="333333"/>
          <w:kern w:val="0"/>
          <w:sz w:val="32"/>
          <w:szCs w:val="32"/>
          <w:shd w:val="clear" w:color="auto" w:fill="FFFFFF"/>
          <w:lang w:val="en-US" w:eastAsia="zh-CN" w:bidi="ar-SA"/>
        </w:rPr>
        <w:t>积极做好房地产去库存化解工作。一是对我县5宗商品房交易进行网签备案，交易面积为0.05万平方米，交易金额195.51万元。二是对我县26宗存量房交易进行网签备案，交易面积为0.2482万平方米，交易金额达720.18万元。三是配合省州完成领导干部房产信息核查1100余条，并按时完成《房地产市场交易统计》月报表工作10份及其他日常工作。</w:t>
      </w:r>
      <w:r>
        <w:rPr>
          <w:rFonts w:hint="default" w:ascii="Times New Roman" w:hAnsi="Times New Roman" w:eastAsia="仿宋_GB2312" w:cs="Times New Roman"/>
          <w:b w:val="0"/>
          <w:bCs w:val="0"/>
          <w:color w:val="000000"/>
          <w:spacing w:val="0"/>
          <w:w w:val="100"/>
          <w:kern w:val="2"/>
          <w:sz w:val="32"/>
          <w:szCs w:val="32"/>
          <w:lang w:val="en-US" w:eastAsia="zh-CN" w:bidi="ar-SA"/>
        </w:rPr>
        <w:t>老旧小区改造工作。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全力推进保障性安居工程项目。实施壤塘县2025年城镇老旧小区改造建设项目，惠及壤塘县老城关小区、老人社局小区、老税务卫健小区、老中学住宿小区、林产品公司小区、农行邮电小区、人大小区、森工发改小区8个小区，目前已竣工验收。下一步，继续实施壤塘县2025年城镇老旧小区改造查漏补缺建设项目工作，每日定期开展项目督查，确保年内完工。</w:t>
      </w:r>
    </w:p>
    <w:p>
      <w:pPr>
        <w:pStyle w:val="1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3.“省级百强中心镇”申报。</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我县中壤塘镇申报创建“省级百强中心镇”工作推进情况：按照《壤塘县住房和城乡建设局关于补充“省级百强中心镇”申报资料工作的通知》（壤住建发〔2025〕33号）文件精神，全县相关部门已补充中心镇相关数据及基础佐证资料。目前第三方机构对收集资料进行查漏补缺和归类，为即将开展编制中心镇专项规划和申报资料汇编做准备。</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4.在建项目工程质量监督。</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随叫随到”的工作原则，不分上下班、不分工作日，专业技术人员深入工地开展工程质量监督工作200余次，避免了因质量监督影响工期情况。各在建项目从地基开挖到竣工验收，都做到全程参与、全程监督，确保监管不留死角，在日常监督中，坚持以地基基础、主体结构和影响使用安全及使用功能的关键部位为监督工作重点，严格监督程序，重视对基础、主体结构等重要部位、构件质量进行监督检查，提高监督工作质量和水平，确保监督工作的到位率、工程验收合格率、备案报审率达到100%，从源头上堵住建筑工程质量隐患。</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5.质量监督检查</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加大对在建工程项目的日常巡查和专项检查力度，共计检查项目46个，发现质量问题35处。针对钢筋弯锚不符合设计要求，基础开挖深度等常见问题，下达整改通知书12份，要求责任单位限期整改，并跟踪复查，确保问题整改到位。</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6.行业治理。工程项目审批制度改革工作。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并联审批、联合验收、限时办结的要求，加快推进各项事项审批办理，截至目前，建设工程质量监督备案56件、建设工程竣工验收备案19件、建设工程招标投标情况书面报告31件、建设工程勘察文件及施工图设计文件审查备案40件、建筑工程施工许可证核发68件、安全施工措施备案54件、其他建设工程消防验收备案2件。工程审批系统辅事项累计办件555件，其中数字审图26件、联合验收0件、方案联审6件、中介超市86件、水电报装416件、勘察设计21件。特殊建设工程消防设计审查1件。</w:t>
      </w:r>
      <w:r>
        <w:rPr>
          <w:rFonts w:hint="default" w:ascii="Times New Roman" w:hAnsi="Times New Roman" w:eastAsia="仿宋_GB2312" w:cs="Times New Roman"/>
          <w:b w:val="0"/>
          <w:bCs w:val="0"/>
          <w:color w:val="000000"/>
          <w:spacing w:val="0"/>
          <w:w w:val="100"/>
          <w:kern w:val="2"/>
          <w:sz w:val="32"/>
          <w:szCs w:val="32"/>
          <w:lang w:val="en-US" w:eastAsia="zh-CN" w:bidi="ar-SA"/>
        </w:rPr>
        <w:t>招投标监管工作</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按照公平、公正、公开的要求，通过事前、事中、事后监管，有效遏制了围标串标、虚假投标等招投标违法行为的产生，截至目前，开展项目招投标监督25起，发放提示函11份。</w:t>
      </w:r>
      <w:r>
        <w:rPr>
          <w:rFonts w:hint="default" w:ascii="Times New Roman" w:hAnsi="Times New Roman" w:eastAsia="仿宋_GB2312" w:cs="Times New Roman"/>
          <w:b w:val="0"/>
          <w:bCs w:val="0"/>
          <w:color w:val="000000"/>
          <w:spacing w:val="0"/>
          <w:w w:val="100"/>
          <w:kern w:val="2"/>
          <w:sz w:val="32"/>
          <w:szCs w:val="32"/>
          <w:lang w:val="en-US" w:eastAsia="zh-CN" w:bidi="ar-SA"/>
        </w:rPr>
        <w:t>建筑业高质量发展工作。</w:t>
      </w:r>
      <w:r>
        <w:rPr>
          <w:rFonts w:hint="default" w:ascii="Times New Roman" w:hAnsi="Times New Roman" w:eastAsia="仿宋_GB2312" w:cs="Times New Roman"/>
          <w:b w:val="0"/>
          <w:bCs w:val="0"/>
          <w:color w:val="auto"/>
          <w:sz w:val="32"/>
          <w:szCs w:val="32"/>
          <w:lang w:val="en-US" w:eastAsia="zh-CN"/>
        </w:rPr>
        <w:t>我</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县共有9家建筑业企业，均为二级建筑企业。一季度完成总产值0.42亿元，州定目标增速9.5%，实际增速30%。上半年完成建筑业产值1.45亿元，同比增长95.6%，实现建筑业增加值0.28亿元、同比增长15.8%，占全县地区生产总值比例为13%，对GDP贡献率为5.5%，拉动全县地区生产总值增长0.39百分点。三季度已完成建筑业产值2.28亿元，增速55.2%，建筑业占全县地区生产总值比例为1.74 %，对GDP贡献率为0.03%，拉动全县地区生产总值增长0.19百分点。为实现全年增速目标，继续保持正增长势头，我局计划</w:t>
      </w:r>
      <w:r>
        <w:rPr>
          <w:rFonts w:hint="eastAsia" w:eastAsia="仿宋_GB2312" w:cs="Times New Roman"/>
          <w:b w:val="0"/>
          <w:bCs w:val="0"/>
          <w:color w:val="333333"/>
          <w:kern w:val="0"/>
          <w:sz w:val="32"/>
          <w:szCs w:val="32"/>
          <w:shd w:val="clear" w:color="auto" w:fill="FFFFFF"/>
          <w:lang w:val="en-US" w:eastAsia="zh-CN" w:bidi="ar-SA"/>
        </w:rPr>
        <w:t>召开2025年度</w:t>
      </w:r>
      <w:r>
        <w:rPr>
          <w:rFonts w:hint="default" w:ascii="Times New Roman" w:hAnsi="Times New Roman" w:eastAsia="仿宋_GB2312" w:cs="Times New Roman"/>
          <w:b w:val="0"/>
          <w:bCs w:val="0"/>
          <w:color w:val="333333"/>
          <w:kern w:val="0"/>
          <w:sz w:val="32"/>
          <w:szCs w:val="32"/>
          <w:shd w:val="clear" w:color="auto" w:fill="FFFFFF"/>
          <w:lang w:val="en-US" w:eastAsia="zh-CN" w:bidi="ar-SA"/>
        </w:rPr>
        <w:t>建筑业发展大会，分析研判企业发展的难点堵点，畅通沟通渠道，为企业发展提供有力支撑，实现产值再增长。</w:t>
      </w:r>
      <w:r>
        <w:rPr>
          <w:rFonts w:hint="default" w:ascii="Times New Roman" w:hAnsi="Times New Roman" w:eastAsia="仿宋_GB2312" w:cs="Times New Roman"/>
          <w:b w:val="0"/>
          <w:bCs w:val="0"/>
          <w:color w:val="000000"/>
          <w:spacing w:val="0"/>
          <w:w w:val="100"/>
          <w:kern w:val="2"/>
          <w:sz w:val="32"/>
          <w:szCs w:val="32"/>
          <w:lang w:val="en-US" w:eastAsia="zh-CN" w:bidi="ar-SA"/>
        </w:rPr>
        <w:t>农民工欠薪治理工作。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治理要求，全覆盖排查在建项目46个，实名制管理项目8个，发现欠薪隐患13个，已督促施工方整改，召开农民工大会3期。收到12345欠薪投诉4起，已处理3起。其中汽车站工人讨薪2.4万元，已付清。中壤塘污水管网工人讨薪25万元，已付清。人行天桥工人讨薪15万元，已向财政局申请资金。汽车站工人讨薪30万元，已付清。无新增信访案件。</w:t>
      </w:r>
      <w:r>
        <w:rPr>
          <w:rFonts w:hint="default" w:ascii="Times New Roman" w:hAnsi="Times New Roman" w:eastAsia="仿宋_GB2312" w:cs="Times New Roman"/>
          <w:b w:val="0"/>
          <w:bCs w:val="0"/>
          <w:color w:val="000000"/>
          <w:spacing w:val="0"/>
          <w:w w:val="100"/>
          <w:kern w:val="2"/>
          <w:sz w:val="32"/>
          <w:szCs w:val="32"/>
          <w:lang w:val="en-US" w:eastAsia="zh-CN" w:bidi="ar-SA"/>
        </w:rPr>
        <w:t>招投标领域整治工作。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按照工作要求，已从265个项目中抽取13个项目备查，涉及8个建设单位，按照月调度、半年阶段总结，此项工作已于8月20日启动。</w:t>
      </w:r>
      <w:r>
        <w:rPr>
          <w:rFonts w:hint="default" w:ascii="Times New Roman" w:hAnsi="Times New Roman" w:eastAsia="仿宋_GB2312" w:cs="Times New Roman"/>
          <w:b w:val="0"/>
          <w:bCs w:val="0"/>
          <w:color w:val="000000"/>
          <w:spacing w:val="0"/>
          <w:w w:val="100"/>
          <w:kern w:val="2"/>
          <w:sz w:val="32"/>
          <w:szCs w:val="32"/>
          <w:lang w:val="en-US" w:eastAsia="zh-CN" w:bidi="ar-SA"/>
        </w:rPr>
        <w:t>违法案件查处工作。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本年州住建局移交案件2起，（壤塘县人民医院综合楼建设项目、粮食局粮油仓库建设项目施工许可未办理擅自开工），州纪委检查发现移交1起，（壤塘县人民医院综合楼建设项目涉嫌违法转包），其中壤塘县人民医院综合楼建设项目涉嫌违法转包案件已发出处罚决定书，处罚金额19万元。施工许可未办理擅自开工已立案调查，目前正在开展调查工作。</w:t>
      </w:r>
      <w:r>
        <w:rPr>
          <w:rFonts w:hint="default" w:ascii="Times New Roman" w:hAnsi="Times New Roman" w:eastAsia="仿宋_GB2312" w:cs="Times New Roman"/>
          <w:b w:val="0"/>
          <w:bCs w:val="0"/>
          <w:color w:val="000000"/>
          <w:spacing w:val="0"/>
          <w:w w:val="100"/>
          <w:kern w:val="2"/>
          <w:sz w:val="32"/>
          <w:szCs w:val="32"/>
          <w:lang w:val="en-US" w:eastAsia="zh-CN" w:bidi="ar-SA"/>
        </w:rPr>
        <w:t>施工许可证通报。</w:t>
      </w:r>
      <w:r>
        <w:rPr>
          <w:rFonts w:hint="default" w:ascii="Times New Roman" w:hAnsi="Times New Roman" w:eastAsia="仿宋_GB2312" w:cs="Times New Roman"/>
          <w:b w:val="0"/>
          <w:bCs w:val="0"/>
          <w:color w:val="auto"/>
          <w:sz w:val="32"/>
          <w:szCs w:val="32"/>
          <w:lang w:val="en-US" w:eastAsia="zh-CN"/>
        </w:rPr>
        <w:t>截</w:t>
      </w:r>
      <w:r>
        <w:rPr>
          <w:rFonts w:hint="default" w:ascii="Times New Roman" w:hAnsi="Times New Roman" w:eastAsia="仿宋_GB2312" w:cs="Times New Roman"/>
          <w:b w:val="0"/>
          <w:bCs w:val="0"/>
          <w:color w:val="333333"/>
          <w:kern w:val="0"/>
          <w:sz w:val="32"/>
          <w:szCs w:val="32"/>
          <w:shd w:val="clear" w:color="auto" w:fill="FFFFFF"/>
          <w:lang w:val="en-US" w:eastAsia="zh-CN" w:bidi="ar-SA"/>
        </w:rPr>
        <w:t>至目前，组织自然资源、水务、环保、行政审批、建设单位等单位召开施工许可办理协调会3期，通报5期，未办理施工许可证12个，涉及6个建设单位，我局已发整改通知要求限时整改。</w:t>
      </w:r>
      <w:r>
        <w:rPr>
          <w:rFonts w:hint="default" w:ascii="Times New Roman" w:hAnsi="Times New Roman" w:eastAsia="仿宋_GB2312" w:cs="Times New Roman"/>
          <w:b w:val="0"/>
          <w:bCs w:val="0"/>
          <w:color w:val="000000"/>
          <w:spacing w:val="0"/>
          <w:w w:val="100"/>
          <w:kern w:val="2"/>
          <w:sz w:val="32"/>
          <w:szCs w:val="32"/>
          <w:lang w:val="en-US" w:eastAsia="zh-CN" w:bidi="ar-SA"/>
        </w:rPr>
        <w:t>消防审验系统治理工作。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根据整治工作要求，已确定专人（牟芳慧）负责，结合消防事项办理情况开展此项工作，已发出提示函3份，点对点指导消防办理项目3个，检查发现消防审验问题4个，目前正在整改。</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7.供暖运行保障。</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供暖系统升级改造后，于2025年10月25日正式投入运行，先后组织国资公司、供暖监理、施工方、电力公司等单位召开调试协调会3次，目前，供暖系统已顺利上线运行，群众反映良好，同时打通维保、投诉渠道，打击违规取暖行为，维护供、用热双方合法权益，保障供暖系统稳定。</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cs="Times New Roman"/>
          <w:b w:val="0"/>
          <w:bCs w:val="0"/>
          <w:color w:val="333333"/>
          <w:kern w:val="0"/>
          <w:sz w:val="32"/>
          <w:szCs w:val="32"/>
          <w:shd w:val="clear" w:color="auto" w:fill="FFFFFF"/>
          <w:lang w:val="en-US" w:eastAsia="zh-CN" w:bidi="ar-SA"/>
        </w:rPr>
      </w:pPr>
      <w:r>
        <w:rPr>
          <w:rFonts w:hint="default" w:ascii="Times New Roman" w:hAnsi="Times New Roman" w:eastAsia="仿宋_GB2312" w:cs="Times New Roman"/>
          <w:b w:val="0"/>
          <w:bCs w:val="0"/>
          <w:color w:val="000000"/>
          <w:spacing w:val="0"/>
          <w:w w:val="100"/>
          <w:kern w:val="2"/>
          <w:sz w:val="32"/>
          <w:szCs w:val="32"/>
          <w:lang w:val="en-US" w:eastAsia="zh-CN" w:bidi="ar-SA"/>
        </w:rPr>
        <w:t>8.商混站监督管理。</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333333"/>
          <w:kern w:val="0"/>
          <w:sz w:val="32"/>
          <w:szCs w:val="32"/>
          <w:shd w:val="clear" w:color="auto" w:fill="FFFFFF"/>
          <w:lang w:val="en-US" w:eastAsia="zh-CN" w:bidi="ar-SA"/>
        </w:rPr>
        <w:t>阿坝藏族羌族自治州散装水泥发展应用专项规划（2025—2030年）》已正式印发，我县规划4个点位分别是岗木达、尕多、吾依，目前仅祥塘商混站成功办理资质续期，存在安全问题正在整改，国资商混站已申请建站申请，按照规划指标符合申请要求，已安排专人负责指导建站程序流程，吉祥、壤熙商混站在规定时限内未能办理资质续期，经州住建局审查发现各类问题12个，已发文停业整改。</w:t>
      </w:r>
    </w:p>
    <w:p>
      <w:pPr>
        <w:pStyle w:val="1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Style w:val="19"/>
          <w:rFonts w:hint="default" w:ascii="Times New Roman" w:hAnsi="Times New Roman" w:eastAsia="仿宋_GB2312" w:cs="Times New Roman"/>
          <w:b w:val="0"/>
          <w:bCs w:val="0"/>
          <w:color w:val="auto"/>
          <w:highlight w:val="none"/>
          <w:lang w:eastAsia="zh-CN"/>
        </w:rPr>
      </w:pPr>
      <w:r>
        <w:rPr>
          <w:rFonts w:hint="default" w:ascii="Times New Roman" w:hAnsi="Times New Roman" w:eastAsia="仿宋_GB2312" w:cs="Times New Roman"/>
          <w:b w:val="0"/>
          <w:bCs w:val="0"/>
          <w:color w:val="000000"/>
          <w:spacing w:val="0"/>
          <w:w w:val="100"/>
          <w:kern w:val="2"/>
          <w:sz w:val="32"/>
          <w:szCs w:val="32"/>
          <w:lang w:val="en-US" w:eastAsia="zh-CN" w:bidi="ar-SA"/>
        </w:rPr>
        <w:t>9.项目。</w:t>
      </w:r>
      <w:r>
        <w:rPr>
          <w:rFonts w:hint="default" w:ascii="Times New Roman" w:hAnsi="Times New Roman" w:eastAsia="仿宋_GB2312" w:cs="Times New Roman"/>
          <w:b w:val="0"/>
          <w:bCs w:val="0"/>
          <w:color w:val="333333"/>
          <w:kern w:val="0"/>
          <w:sz w:val="32"/>
          <w:szCs w:val="32"/>
          <w:shd w:val="clear" w:color="auto" w:fill="FFFFFF"/>
          <w:lang w:val="en-US" w:eastAsia="zh-CN" w:bidi="ar-SA"/>
        </w:rPr>
        <w:t>今年我县共实施市政设施提升改造、供水、供暖、城市更新等13个项目，重点项目5个，总投资7.35亿元。我们坚持实施项目责任制，实行日调度、周总结的工作机制，对项目进行全生命周期管理、推进，通过倒排工期、顺排工序，加强资源要素保障和部门间的协同配合，目前已完成投资2.3亿元，截至目前完成5项目，10月底完工2个。</w:t>
      </w:r>
    </w:p>
    <w:p>
      <w:pPr>
        <w:pStyle w:val="4"/>
        <w:pageBreakBefore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黑体" w:cs="Times New Roman"/>
          <w:b w:val="0"/>
          <w:bCs w:val="0"/>
        </w:rPr>
      </w:pPr>
      <w:bookmarkStart w:id="15" w:name="_Toc15377200"/>
      <w:bookmarkStart w:id="16" w:name="_Toc15396601"/>
      <w:bookmarkStart w:id="17" w:name="_Toc8272"/>
      <w:r>
        <w:rPr>
          <w:rFonts w:hint="default" w:ascii="Times New Roman" w:hAnsi="Times New Roman" w:eastAsia="黑体" w:cs="Times New Roman"/>
          <w:b w:val="0"/>
          <w:bCs w:val="0"/>
        </w:rPr>
        <w:t>二、机构设置</w:t>
      </w:r>
      <w:bookmarkEnd w:id="15"/>
      <w:bookmarkEnd w:id="16"/>
      <w:bookmarkEnd w:id="17"/>
    </w:p>
    <w:p>
      <w:pPr>
        <w:pStyle w:val="4"/>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bookmarkStart w:id="18" w:name="_Toc9876"/>
      <w:r>
        <w:rPr>
          <w:rFonts w:hint="default" w:ascii="Times New Roman" w:hAnsi="Times New Roman" w:eastAsia="仿宋_GB2312" w:cs="Times New Roman"/>
          <w:b w:val="0"/>
          <w:bCs w:val="0"/>
          <w:kern w:val="2"/>
          <w:sz w:val="32"/>
          <w:szCs w:val="32"/>
          <w:lang w:val="en-US" w:eastAsia="zh-CN" w:bidi="ar-SA"/>
        </w:rPr>
        <w:t>壤塘县住房和城乡建设局下设二级单位2个，其中行政单位1个，参照公务员法管理的事业单位0个，其他事业单位1个。</w:t>
      </w:r>
      <w:bookmarkEnd w:id="18"/>
    </w:p>
    <w:p>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纳入壤塘县住房和城乡建设局2024年度部门决算编制范围的二级预算单位包括：</w:t>
      </w:r>
    </w:p>
    <w:p>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1.壤塘县住房和城乡建设局</w:t>
      </w:r>
    </w:p>
    <w:p>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2.壤塘县住房和城乡建设局质量监督站</w:t>
      </w:r>
    </w:p>
    <w:p>
      <w:pPr>
        <w:pageBreakBefore w:val="0"/>
        <w:widowControl/>
        <w:kinsoku/>
        <w:wordWrap/>
        <w:overflowPunct/>
        <w:topLinePunct w:val="0"/>
        <w:autoSpaceDE/>
        <w:autoSpaceDN/>
        <w:bidi w:val="0"/>
        <w:adjustRightInd/>
        <w:snapToGrid/>
        <w:spacing w:line="576" w:lineRule="exact"/>
        <w:ind w:left="0" w:leftChars="0" w:firstLine="640" w:firstLineChars="200"/>
        <w:jc w:val="left"/>
        <w:textAlignment w:val="auto"/>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pPr>
        <w:pStyle w:val="3"/>
        <w:pageBreakBefore w:val="0"/>
        <w:kinsoku/>
        <w:wordWrap/>
        <w:overflowPunct/>
        <w:topLinePunct w:val="0"/>
        <w:bidi w:val="0"/>
        <w:spacing w:before="0" w:after="0" w:line="576" w:lineRule="exact"/>
        <w:jc w:val="center"/>
        <w:rPr>
          <w:rFonts w:hint="default" w:ascii="Times New Roman" w:hAnsi="Times New Roman" w:eastAsia="方正小标宋简体" w:cs="Times New Roman"/>
          <w:b w:val="0"/>
          <w:color w:val="auto"/>
          <w:highlight w:val="none"/>
        </w:rPr>
      </w:pPr>
      <w:bookmarkStart w:id="19" w:name="_Toc15396602"/>
      <w:bookmarkStart w:id="20" w:name="_Toc15377204"/>
      <w:bookmarkStart w:id="21" w:name="_Toc1938"/>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9"/>
      <w:bookmarkEnd w:id="20"/>
      <w:bookmarkEnd w:id="21"/>
    </w:p>
    <w:p>
      <w:pPr>
        <w:rPr>
          <w:rFonts w:hint="default" w:ascii="Times New Roman" w:hAnsi="Times New Roman" w:cs="Times New Roma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19"/>
          <w:rFonts w:hint="default" w:ascii="Times New Roman" w:hAnsi="Times New Roman" w:eastAsia="黑体" w:cs="Times New Roman"/>
          <w:b w:val="0"/>
          <w:color w:val="auto"/>
          <w:highlight w:val="none"/>
        </w:rPr>
      </w:pPr>
      <w:bookmarkStart w:id="22" w:name="_Toc15396603"/>
      <w:bookmarkStart w:id="23" w:name="_Toc26662"/>
      <w:bookmarkStart w:id="24"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19"/>
          <w:rFonts w:hint="default" w:ascii="Times New Roman" w:hAnsi="Times New Roman" w:eastAsia="黑体" w:cs="Times New Roman"/>
          <w:b w:val="0"/>
          <w:color w:val="auto"/>
          <w:highlight w:val="none"/>
        </w:rPr>
        <w:t>入支出决算总体情况说明</w:t>
      </w:r>
      <w:bookmarkEnd w:id="22"/>
      <w:bookmarkEnd w:id="23"/>
      <w:bookmarkEnd w:id="24"/>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年度收</w:t>
      </w:r>
      <w:r>
        <w:rPr>
          <w:rFonts w:hint="default" w:ascii="Times New Roman" w:hAnsi="Times New Roman" w:eastAsia="仿宋_GB2312" w:cs="Times New Roman"/>
          <w:color w:val="000000"/>
          <w:sz w:val="32"/>
          <w:szCs w:val="32"/>
          <w:lang w:eastAsia="zh-CN"/>
        </w:rPr>
        <w:t>入总计</w:t>
      </w:r>
      <w:r>
        <w:rPr>
          <w:rFonts w:hint="default" w:ascii="Times New Roman" w:hAnsi="Times New Roman" w:eastAsia="仿宋_GB2312" w:cs="Times New Roman"/>
          <w:color w:val="000000"/>
          <w:sz w:val="32"/>
          <w:szCs w:val="32"/>
          <w:lang w:val="en-US" w:eastAsia="zh-CN"/>
        </w:rPr>
        <w:t>16193.45</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rPr>
        <w:t>总计</w:t>
      </w:r>
      <w:r>
        <w:rPr>
          <w:rFonts w:hint="default" w:ascii="Times New Roman" w:hAnsi="Times New Roman" w:eastAsia="仿宋_GB2312" w:cs="Times New Roman"/>
          <w:color w:val="000000"/>
          <w:sz w:val="32"/>
          <w:szCs w:val="32"/>
          <w:lang w:val="en-US" w:eastAsia="zh-CN"/>
        </w:rPr>
        <w:t>16193.45</w:t>
      </w:r>
      <w:r>
        <w:rPr>
          <w:rFonts w:hint="default" w:ascii="Times New Roman" w:hAnsi="Times New Roman" w:eastAsia="仿宋_GB2312" w:cs="Times New Roman"/>
          <w:color w:val="000000"/>
          <w:sz w:val="32"/>
          <w:szCs w:val="32"/>
        </w:rPr>
        <w:t>万元。与202</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年相比，收</w:t>
      </w:r>
      <w:r>
        <w:rPr>
          <w:rFonts w:hint="default" w:ascii="Times New Roman" w:hAnsi="Times New Roman" w:eastAsia="仿宋_GB2312" w:cs="Times New Roman"/>
          <w:color w:val="000000"/>
          <w:sz w:val="32"/>
          <w:szCs w:val="32"/>
          <w:lang w:eastAsia="zh-CN"/>
        </w:rPr>
        <w:t>入</w:t>
      </w:r>
      <w:r>
        <w:rPr>
          <w:rFonts w:hint="default" w:ascii="Times New Roman" w:hAnsi="Times New Roman" w:eastAsia="仿宋_GB2312" w:cs="Times New Roman"/>
          <w:color w:val="000000"/>
          <w:sz w:val="32"/>
          <w:szCs w:val="32"/>
          <w:lang w:val="en-US" w:eastAsia="zh-CN"/>
        </w:rPr>
        <w:t>增加1866.9元，增长13.03%；</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w:t>
      </w:r>
      <w:r>
        <w:rPr>
          <w:rFonts w:hint="default" w:ascii="Times New Roman" w:hAnsi="Times New Roman" w:eastAsia="仿宋_GB2312" w:cs="Times New Roman"/>
          <w:color w:val="000000"/>
          <w:sz w:val="32"/>
          <w:szCs w:val="32"/>
          <w:lang w:val="en-US" w:eastAsia="zh-CN"/>
        </w:rPr>
        <w:t>增加1866.9</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增长13.03%</w:t>
      </w:r>
      <w:r>
        <w:rPr>
          <w:rFonts w:hint="default" w:ascii="Times New Roman" w:hAnsi="Times New Roman" w:eastAsia="仿宋_GB2312" w:cs="Times New Roman"/>
          <w:color w:val="000000"/>
          <w:sz w:val="32"/>
          <w:szCs w:val="32"/>
        </w:rPr>
        <w:t>。主要变动原因是</w:t>
      </w:r>
      <w:r>
        <w:rPr>
          <w:rFonts w:hint="default" w:ascii="Times New Roman" w:hAnsi="Times New Roman" w:eastAsia="仿宋_GB2312" w:cs="Times New Roman"/>
          <w:color w:val="000000"/>
          <w:sz w:val="32"/>
          <w:szCs w:val="32"/>
          <w:lang w:val="en-US" w:eastAsia="zh-CN"/>
        </w:rPr>
        <w:t>当年项目增加，收入支出增加</w:t>
      </w:r>
      <w:r>
        <w:rPr>
          <w:rFonts w:hint="default" w:ascii="Times New Roman" w:hAnsi="Times New Roman" w:eastAsia="仿宋_GB2312" w:cs="Times New Roman"/>
          <w:color w:val="000000"/>
          <w:sz w:val="32"/>
          <w:szCs w:val="32"/>
          <w:lang w:eastAsia="zh-CN"/>
        </w:rPr>
        <w:t>。</w:t>
      </w: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rPr>
      </w:pPr>
      <w:bookmarkStart w:id="25" w:name="_Toc24303"/>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bookmarkEnd w:id="25"/>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101600</wp:posOffset>
            </wp:positionH>
            <wp:positionV relativeFrom="paragraph">
              <wp:posOffset>213360</wp:posOffset>
            </wp:positionV>
            <wp:extent cx="5256530" cy="2988310"/>
            <wp:effectExtent l="5080" t="4445" r="15240" b="1714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6" w:name="_Toc1914"/>
      <w:bookmarkStart w:id="27" w:name="_Toc15377206"/>
      <w:bookmarkStart w:id="28" w:name="_Toc15396604"/>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二、收入决算情况说明</w:t>
      </w:r>
      <w:bookmarkEnd w:id="26"/>
      <w:bookmarkEnd w:id="27"/>
      <w:bookmarkEnd w:id="28"/>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仿宋_GB2312" w:cs="Times New Roman"/>
          <w:color w:val="auto"/>
          <w:sz w:val="32"/>
          <w:szCs w:val="32"/>
          <w:highlight w:val="none"/>
        </w:rPr>
      </w:pPr>
      <w:bookmarkStart w:id="29" w:name="_Toc9170"/>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本年收入合计</w:t>
      </w:r>
      <w:r>
        <w:rPr>
          <w:rFonts w:hint="default" w:ascii="Times New Roman" w:hAnsi="Times New Roman" w:eastAsia="仿宋_GB2312" w:cs="Times New Roman"/>
          <w:color w:val="auto"/>
          <w:sz w:val="32"/>
          <w:szCs w:val="32"/>
          <w:highlight w:val="none"/>
          <w:lang w:val="en-US" w:eastAsia="zh-CN"/>
        </w:rPr>
        <w:t>16188.45</w:t>
      </w:r>
      <w:r>
        <w:rPr>
          <w:rFonts w:hint="default" w:ascii="Times New Roman" w:hAnsi="Times New Roman" w:eastAsia="仿宋_GB2312" w:cs="Times New Roman"/>
          <w:color w:val="auto"/>
          <w:sz w:val="32"/>
          <w:szCs w:val="32"/>
          <w:highlight w:val="none"/>
        </w:rPr>
        <w:t>万元，其中：一般公共预算财政拨款收入</w:t>
      </w:r>
      <w:r>
        <w:rPr>
          <w:rFonts w:hint="default" w:ascii="Times New Roman" w:hAnsi="Times New Roman" w:eastAsia="仿宋_GB2312" w:cs="Times New Roman"/>
          <w:color w:val="auto"/>
          <w:sz w:val="32"/>
          <w:szCs w:val="32"/>
          <w:highlight w:val="none"/>
          <w:lang w:val="en-US" w:eastAsia="zh-CN"/>
        </w:rPr>
        <w:t>9431.21</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58.26</w:t>
      </w:r>
      <w:r>
        <w:rPr>
          <w:rFonts w:hint="default" w:ascii="Times New Roman" w:hAnsi="Times New Roman" w:eastAsia="仿宋_GB2312" w:cs="Times New Roman"/>
          <w:color w:val="auto"/>
          <w:sz w:val="32"/>
          <w:szCs w:val="32"/>
          <w:highlight w:val="none"/>
        </w:rPr>
        <w:t>%；政府性基金预算财政拨款收入</w:t>
      </w:r>
      <w:r>
        <w:rPr>
          <w:rFonts w:hint="default" w:ascii="Times New Roman" w:hAnsi="Times New Roman" w:eastAsia="仿宋_GB2312" w:cs="Times New Roman"/>
          <w:color w:val="auto"/>
          <w:sz w:val="32"/>
          <w:szCs w:val="32"/>
          <w:highlight w:val="none"/>
          <w:lang w:val="en-US" w:eastAsia="zh-CN"/>
        </w:rPr>
        <w:t>6742.24</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41.64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%；上级补助收入</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%；事业收入</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%；经营收入</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%；附属单位上缴收入</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%；其他收入</w:t>
      </w: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0.16</w:t>
      </w:r>
      <w:r>
        <w:rPr>
          <w:rFonts w:hint="default" w:ascii="Times New Roman" w:hAnsi="Times New Roman" w:eastAsia="仿宋_GB2312" w:cs="Times New Roman"/>
          <w:color w:val="auto"/>
          <w:sz w:val="32"/>
          <w:szCs w:val="32"/>
          <w:highlight w:val="none"/>
        </w:rPr>
        <w:t>%。</w:t>
      </w:r>
      <w:bookmarkEnd w:id="29"/>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2" w:firstLineChars="200"/>
        <w:textAlignment w:val="auto"/>
        <w:outlineLvl w:val="1"/>
        <w:rPr>
          <w:rFonts w:hint="default" w:ascii="Times New Roman" w:hAnsi="Times New Roman" w:eastAsia="仿宋_GB2312" w:cs="Times New Roman"/>
          <w:b/>
          <w:bCs/>
          <w:color w:val="auto"/>
          <w:sz w:val="32"/>
          <w:szCs w:val="32"/>
          <w:highlight w:val="none"/>
          <w:lang w:eastAsia="zh-CN"/>
        </w:rPr>
      </w:pPr>
      <w:bookmarkStart w:id="30" w:name="_Toc5838"/>
      <w:r>
        <w:rPr>
          <w:rFonts w:hint="default" w:ascii="Times New Roman" w:hAnsi="Times New Roman" w:eastAsia="仿宋_GB2312" w:cs="Times New Roman"/>
          <w:b/>
          <w:bCs/>
          <w:color w:val="auto"/>
          <w:sz w:val="32"/>
          <w:szCs w:val="32"/>
          <w:highlight w:val="none"/>
          <w:lang w:eastAsia="zh-CN"/>
        </w:rPr>
        <w:t>（注：仅罗列本部门涉及的收入）</w:t>
      </w:r>
      <w:bookmarkEnd w:id="30"/>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1" w:name="_Toc2050"/>
      <w:r>
        <w:rPr>
          <w:rFonts w:hint="default" w:ascii="Times New Roman" w:hAnsi="Times New Roman" w:eastAsia="仿宋_GB2312" w:cs="Times New Roman"/>
          <w:color w:val="auto"/>
          <w:sz w:val="32"/>
          <w:szCs w:val="32"/>
          <w:highlight w:val="none"/>
          <w:lang w:eastAsia="zh-CN"/>
        </w:rPr>
        <w:t>（图2：收入决算结构图）（饼状图）</w:t>
      </w:r>
      <w:bookmarkEnd w:id="31"/>
    </w:p>
    <w:p>
      <w:pPr>
        <w:pageBreakBefore w:val="0"/>
        <w:kinsoku/>
        <w:wordWrap/>
        <w:overflowPunct/>
        <w:topLinePunct w:val="0"/>
        <w:bidi w:val="0"/>
        <w:spacing w:line="576" w:lineRule="exact"/>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328930</wp:posOffset>
            </wp:positionH>
            <wp:positionV relativeFrom="paragraph">
              <wp:posOffset>144145</wp:posOffset>
            </wp:positionV>
            <wp:extent cx="4864735" cy="2787015"/>
            <wp:effectExtent l="4445" t="4445" r="7620" b="889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32" w:name="_Toc15396605"/>
      <w:bookmarkStart w:id="33" w:name="_Toc15377207"/>
      <w:bookmarkStart w:id="34" w:name="_Toc12127"/>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default" w:ascii="Times New Roman" w:hAnsi="Times New Roman" w:eastAsia="黑体" w:cs="Times New Roman"/>
          <w:color w:val="auto"/>
          <w:sz w:val="32"/>
          <w:szCs w:val="32"/>
          <w:highlight w:val="none"/>
          <w:lang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19"/>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19"/>
          <w:rFonts w:hint="default" w:ascii="Times New Roman" w:hAnsi="Times New Roman" w:eastAsia="黑体" w:cs="Times New Roman"/>
          <w:b w:val="0"/>
          <w:color w:val="auto"/>
          <w:highlight w:val="none"/>
        </w:rPr>
        <w:t>出决算情况说明</w:t>
      </w:r>
      <w:bookmarkEnd w:id="32"/>
      <w:bookmarkEnd w:id="33"/>
      <w:bookmarkEnd w:id="34"/>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仿宋_GB2312" w:cs="Times New Roman"/>
          <w:color w:val="auto"/>
          <w:sz w:val="32"/>
          <w:szCs w:val="32"/>
          <w:highlight w:val="none"/>
          <w:shd w:val="pct10" w:color="auto" w:fill="FFFFFF"/>
        </w:rPr>
      </w:pPr>
      <w:bookmarkStart w:id="35" w:name="_Toc31757"/>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本年支出合计</w:t>
      </w:r>
      <w:r>
        <w:rPr>
          <w:rFonts w:hint="default" w:ascii="Times New Roman" w:hAnsi="Times New Roman" w:eastAsia="仿宋_GB2312" w:cs="Times New Roman"/>
          <w:color w:val="auto"/>
          <w:sz w:val="32"/>
          <w:szCs w:val="32"/>
          <w:highlight w:val="none"/>
          <w:lang w:val="en-US" w:eastAsia="zh-CN"/>
        </w:rPr>
        <w:t>16163.45</w:t>
      </w:r>
      <w:r>
        <w:rPr>
          <w:rFonts w:hint="default" w:ascii="Times New Roman" w:hAnsi="Times New Roman" w:eastAsia="仿宋_GB2312" w:cs="Times New Roman"/>
          <w:color w:val="auto"/>
          <w:sz w:val="32"/>
          <w:szCs w:val="32"/>
          <w:highlight w:val="none"/>
        </w:rPr>
        <w:t>万元，其中：基本支出</w:t>
      </w:r>
      <w:r>
        <w:rPr>
          <w:rFonts w:hint="default" w:ascii="Times New Roman" w:hAnsi="Times New Roman" w:eastAsia="仿宋_GB2312" w:cs="Times New Roman"/>
          <w:color w:val="auto"/>
          <w:sz w:val="32"/>
          <w:szCs w:val="32"/>
          <w:highlight w:val="none"/>
          <w:lang w:val="en-US" w:eastAsia="zh-CN"/>
        </w:rPr>
        <w:t>276.77</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1.71</w:t>
      </w:r>
      <w:r>
        <w:rPr>
          <w:rFonts w:hint="default" w:ascii="Times New Roman" w:hAnsi="Times New Roman" w:eastAsia="仿宋_GB2312" w:cs="Times New Roman"/>
          <w:color w:val="auto"/>
          <w:sz w:val="32"/>
          <w:szCs w:val="32"/>
          <w:highlight w:val="none"/>
        </w:rPr>
        <w:t>%；项目支出</w:t>
      </w:r>
      <w:r>
        <w:rPr>
          <w:rFonts w:hint="default" w:ascii="Times New Roman" w:hAnsi="Times New Roman" w:eastAsia="仿宋_GB2312" w:cs="Times New Roman"/>
          <w:color w:val="auto"/>
          <w:sz w:val="32"/>
          <w:szCs w:val="32"/>
          <w:highlight w:val="none"/>
          <w:lang w:val="en-US" w:eastAsia="zh-CN"/>
        </w:rPr>
        <w:t>15916.69</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98.47</w:t>
      </w:r>
      <w:r>
        <w:rPr>
          <w:rFonts w:hint="default" w:ascii="Times New Roman" w:hAnsi="Times New Roman" w:eastAsia="仿宋_GB2312" w:cs="Times New Roman"/>
          <w:color w:val="auto"/>
          <w:sz w:val="32"/>
          <w:szCs w:val="32"/>
          <w:highlight w:val="none"/>
        </w:rPr>
        <w:t>%；上缴上级支出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%；经营支出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%；对附属单位补助支出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w:t>
      </w:r>
      <w:bookmarkEnd w:id="35"/>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2" w:firstLineChars="200"/>
        <w:textAlignment w:val="auto"/>
        <w:outlineLvl w:val="1"/>
        <w:rPr>
          <w:rFonts w:hint="default" w:ascii="Times New Roman" w:hAnsi="Times New Roman" w:eastAsia="仿宋_GB2312" w:cs="Times New Roman"/>
          <w:b/>
          <w:bCs/>
          <w:color w:val="auto"/>
          <w:sz w:val="32"/>
          <w:szCs w:val="32"/>
          <w:highlight w:val="none"/>
          <w:lang w:eastAsia="zh-CN"/>
        </w:rPr>
      </w:pPr>
      <w:bookmarkStart w:id="36" w:name="_Toc29348"/>
      <w:r>
        <w:rPr>
          <w:rFonts w:hint="default" w:ascii="Times New Roman" w:hAnsi="Times New Roman" w:eastAsia="仿宋_GB2312" w:cs="Times New Roman"/>
          <w:b/>
          <w:bCs/>
          <w:color w:val="auto"/>
          <w:sz w:val="32"/>
          <w:szCs w:val="32"/>
          <w:highlight w:val="none"/>
          <w:lang w:eastAsia="zh-CN"/>
        </w:rPr>
        <w:t>（注：仅罗列本部门涉及的支出）</w:t>
      </w:r>
      <w:bookmarkEnd w:id="36"/>
    </w:p>
    <w:p>
      <w:pPr>
        <w:pStyle w:val="20"/>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7" w:name="_Toc18986"/>
      <w:r>
        <w:rPr>
          <w:rFonts w:hint="default" w:ascii="Times New Roman" w:hAnsi="Times New Roman" w:eastAsia="仿宋_GB2312" w:cs="Times New Roman"/>
          <w:color w:val="auto"/>
          <w:sz w:val="32"/>
          <w:szCs w:val="32"/>
          <w:highlight w:val="none"/>
          <w:lang w:eastAsia="zh-CN"/>
        </w:rPr>
        <w:t>（图3：支出决算结构图）（饼状图）</w:t>
      </w:r>
      <w:bookmarkEnd w:id="37"/>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423545</wp:posOffset>
            </wp:positionH>
            <wp:positionV relativeFrom="paragraph">
              <wp:posOffset>127000</wp:posOffset>
            </wp:positionV>
            <wp:extent cx="4613910" cy="2691765"/>
            <wp:effectExtent l="4445" t="4445" r="10795" b="889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bookmarkStart w:id="38" w:name="_Toc15396606"/>
      <w:bookmarkStart w:id="39" w:name="_Toc15377208"/>
      <w:bookmarkStart w:id="40" w:name="_Toc24110"/>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Style w:val="19"/>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四、财</w:t>
      </w:r>
      <w:r>
        <w:rPr>
          <w:rStyle w:val="19"/>
          <w:rFonts w:hint="default" w:ascii="Times New Roman" w:hAnsi="Times New Roman" w:eastAsia="黑体" w:cs="Times New Roman"/>
          <w:b w:val="0"/>
          <w:color w:val="auto"/>
          <w:highlight w:val="none"/>
        </w:rPr>
        <w:t>政拨款收入支出决算总体情况说明</w:t>
      </w:r>
      <w:bookmarkEnd w:id="38"/>
      <w:bookmarkEnd w:id="39"/>
      <w:bookmarkEnd w:id="40"/>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2025年度财政拨款收入16173.45万元，支出总计为16173.45万元。与上年度相比，财政拨款收入增加1851.9万元，</w:t>
      </w:r>
      <w:r>
        <w:rPr>
          <w:rFonts w:hint="default" w:ascii="Times New Roman" w:hAnsi="Times New Roman" w:eastAsia="仿宋_GB2312" w:cs="Times New Roman"/>
          <w:color w:val="000000"/>
          <w:sz w:val="32"/>
          <w:szCs w:val="32"/>
          <w:lang w:val="en-US" w:eastAsia="zh-CN"/>
        </w:rPr>
        <w:t>支出总计增加1851.9万元，增长12.93%。</w:t>
      </w:r>
      <w:r>
        <w:rPr>
          <w:rFonts w:hint="default" w:ascii="Times New Roman" w:hAnsi="Times New Roman" w:eastAsia="仿宋_GB2312" w:cs="Times New Roman"/>
          <w:color w:val="000000"/>
          <w:sz w:val="32"/>
          <w:szCs w:val="32"/>
        </w:rPr>
        <w:t>主要变动原因是</w:t>
      </w:r>
      <w:r>
        <w:rPr>
          <w:rFonts w:hint="default" w:ascii="Times New Roman" w:hAnsi="Times New Roman" w:eastAsia="仿宋_GB2312" w:cs="Times New Roman"/>
          <w:color w:val="000000"/>
          <w:sz w:val="32"/>
          <w:szCs w:val="32"/>
          <w:lang w:val="en-US" w:eastAsia="zh-CN"/>
        </w:rPr>
        <w:t>当年项目增加，收入支出增加。</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（图4：财政拨款收、支决算总计变动情况）（柱状图）</w:t>
      </w:r>
    </w:p>
    <w:p>
      <w:pPr>
        <w:pageBreakBefore w:val="0"/>
        <w:kinsoku/>
        <w:wordWrap/>
        <w:overflowPunct/>
        <w:topLinePunct w:val="0"/>
        <w:bidi w:val="0"/>
        <w:spacing w:line="576" w:lineRule="exact"/>
        <w:ind w:left="0" w:leftChars="0" w:firstLine="420" w:firstLineChars="200"/>
        <w:rPr>
          <w:rFonts w:hint="default" w:ascii="Times New Roman" w:hAnsi="Times New Roman" w:eastAsia="宋体" w:cs="Times New Roman"/>
          <w:lang w:eastAsia="zh-CN"/>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bookmarkStart w:id="41" w:name="_Toc11531"/>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420" w:firstLineChars="200"/>
        <w:outlineLvl w:val="1"/>
        <w:rPr>
          <w:rFonts w:hint="default" w:ascii="Times New Roman" w:hAnsi="Times New Roman" w:eastAsia="黑体" w:cs="Times New Roman"/>
          <w:color w:val="auto"/>
          <w:sz w:val="32"/>
          <w:szCs w:val="32"/>
          <w:highlight w:val="none"/>
        </w:rPr>
      </w:pPr>
      <w:r>
        <w:rPr>
          <w:rFonts w:hint="default" w:ascii="Times New Roman" w:hAnsi="Times New Roman" w:eastAsia="宋体" w:cs="Times New Roman"/>
          <w:lang w:eastAsia="zh-CN"/>
        </w:rPr>
        <w:drawing>
          <wp:anchor distT="0" distB="0" distL="114300" distR="114300" simplePos="0" relativeHeight="251660288" behindDoc="1" locked="0" layoutInCell="1" allowOverlap="1">
            <wp:simplePos x="0" y="0"/>
            <wp:positionH relativeFrom="column">
              <wp:posOffset>271145</wp:posOffset>
            </wp:positionH>
            <wp:positionV relativeFrom="paragraph">
              <wp:posOffset>-2293620</wp:posOffset>
            </wp:positionV>
            <wp:extent cx="4816475" cy="2868930"/>
            <wp:effectExtent l="4445" t="4445" r="17780" b="222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kinsoku/>
        <w:wordWrap/>
        <w:overflowPunct/>
        <w:topLinePunct w:val="0"/>
        <w:bidi w:val="0"/>
        <w:spacing w:line="576" w:lineRule="exact"/>
        <w:ind w:left="0" w:leftChars="0" w:firstLine="640" w:firstLineChars="200"/>
        <w:outlineLvl w:val="1"/>
        <w:rPr>
          <w:rFonts w:hint="default" w:ascii="Times New Roman" w:hAnsi="Times New Roman" w:eastAsia="黑体" w:cs="Times New Roman"/>
          <w:color w:val="auto"/>
          <w:sz w:val="32"/>
          <w:szCs w:val="32"/>
          <w:highlight w:val="none"/>
        </w:rPr>
      </w:pPr>
    </w:p>
    <w:p>
      <w:pPr>
        <w:pageBreakBefore w:val="0"/>
        <w:kinsoku/>
        <w:wordWrap/>
        <w:overflowPunct/>
        <w:topLinePunct w:val="0"/>
        <w:bidi w:val="0"/>
        <w:spacing w:line="576" w:lineRule="exact"/>
        <w:ind w:left="0" w:leftChars="0" w:firstLine="640" w:firstLineChars="200"/>
        <w:outlineLvl w:val="1"/>
        <w:rPr>
          <w:rStyle w:val="19"/>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19"/>
          <w:rFonts w:hint="default" w:ascii="Times New Roman" w:hAnsi="Times New Roman" w:eastAsia="黑体" w:cs="Times New Roman"/>
          <w:b w:val="0"/>
          <w:color w:val="auto"/>
          <w:highlight w:val="none"/>
        </w:rPr>
        <w:t>般公共预算财政拨款支出决算情况说明</w:t>
      </w:r>
      <w:bookmarkEnd w:id="41"/>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bookmarkStart w:id="42"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42"/>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一般公共预算财政拨款支出</w:t>
      </w:r>
      <w:r>
        <w:rPr>
          <w:rFonts w:hint="default" w:ascii="Times New Roman" w:hAnsi="Times New Roman" w:eastAsia="仿宋_GB2312" w:cs="Times New Roman"/>
          <w:color w:val="auto"/>
          <w:sz w:val="32"/>
          <w:szCs w:val="32"/>
          <w:highlight w:val="none"/>
          <w:lang w:val="en-US" w:eastAsia="zh-CN"/>
        </w:rPr>
        <w:t>9431.21</w:t>
      </w:r>
      <w:r>
        <w:rPr>
          <w:rFonts w:hint="default" w:ascii="Times New Roman" w:hAnsi="Times New Roman" w:eastAsia="仿宋_GB2312" w:cs="Times New Roman"/>
          <w:color w:val="auto"/>
          <w:sz w:val="32"/>
          <w:szCs w:val="32"/>
          <w:highlight w:val="none"/>
        </w:rPr>
        <w:t>万元，占本年支出合计的</w:t>
      </w:r>
      <w:r>
        <w:rPr>
          <w:rFonts w:hint="default" w:ascii="Times New Roman" w:hAnsi="Times New Roman" w:eastAsia="仿宋_GB2312" w:cs="Times New Roman"/>
          <w:color w:val="auto"/>
          <w:sz w:val="32"/>
          <w:szCs w:val="32"/>
          <w:highlight w:val="none"/>
          <w:lang w:val="en-US" w:eastAsia="zh-CN"/>
        </w:rPr>
        <w:t>58.24</w:t>
      </w:r>
      <w:r>
        <w:rPr>
          <w:rFonts w:hint="default" w:ascii="Times New Roman" w:hAnsi="Times New Roman" w:eastAsia="仿宋_GB2312" w:cs="Times New Roman"/>
          <w:color w:val="auto"/>
          <w:sz w:val="32"/>
          <w:szCs w:val="32"/>
          <w:highlight w:val="none"/>
        </w:rPr>
        <w:t>%。与</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相比，一般公共预算财政拨款</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lang w:val="en-US" w:eastAsia="zh-CN"/>
        </w:rPr>
        <w:t>增加2566.7</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增长37.39</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val="en-US" w:eastAsia="zh-CN"/>
        </w:rPr>
        <w:t>是当年</w:t>
      </w:r>
      <w:r>
        <w:rPr>
          <w:rFonts w:hint="default" w:ascii="Times New Roman" w:hAnsi="Times New Roman" w:eastAsia="仿宋_GB2312" w:cs="Times New Roman"/>
          <w:color w:val="000000"/>
          <w:sz w:val="32"/>
          <w:szCs w:val="32"/>
          <w:lang w:val="en-US" w:eastAsia="zh-CN"/>
        </w:rPr>
        <w:t>项目增加，收入支出增加</w:t>
      </w:r>
      <w:r>
        <w:rPr>
          <w:rFonts w:hint="default" w:ascii="Times New Roman" w:hAnsi="Times New Roman" w:eastAsia="仿宋_GB2312" w:cs="Times New Roman"/>
          <w:color w:val="auto"/>
          <w:sz w:val="32"/>
          <w:szCs w:val="32"/>
          <w:highlight w:val="none"/>
          <w:lang w:val="en-US" w:eastAsia="zh-CN"/>
        </w:rPr>
        <w:t>。</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pPr>
        <w:pageBreakBefore w:val="0"/>
        <w:kinsoku/>
        <w:wordWrap/>
        <w:overflowPunct/>
        <w:topLinePunct w:val="0"/>
        <w:bidi w:val="0"/>
        <w:spacing w:line="576" w:lineRule="exact"/>
        <w:ind w:left="0" w:leftChars="0" w:firstLine="420" w:firstLineChars="200"/>
        <w:rPr>
          <w:rFonts w:hint="default" w:ascii="Times New Roman" w:hAnsi="Times New Roman" w:eastAsia="宋体" w:cs="Times New Roman"/>
          <w:lang w:eastAsia="zh-CN"/>
        </w:rPr>
      </w:pPr>
    </w:p>
    <w:p>
      <w:pPr>
        <w:pageBreakBefore w:val="0"/>
        <w:kinsoku/>
        <w:wordWrap/>
        <w:overflowPunct/>
        <w:topLinePunct w:val="0"/>
        <w:bidi w:val="0"/>
        <w:spacing w:line="576" w:lineRule="exact"/>
        <w:ind w:left="0" w:leftChars="0" w:firstLine="420" w:firstLineChars="200"/>
        <w:outlineLvl w:val="2"/>
        <w:rPr>
          <w:rFonts w:hint="default" w:ascii="Times New Roman" w:hAnsi="Times New Roman" w:eastAsia="楷体_GB2312" w:cs="Times New Roman"/>
          <w:b/>
          <w:color w:val="auto"/>
          <w:sz w:val="32"/>
          <w:szCs w:val="32"/>
          <w:highlight w:val="none"/>
        </w:rPr>
      </w:pPr>
      <w:bookmarkStart w:id="43" w:name="_Toc15377211"/>
      <w:r>
        <w:rPr>
          <w:rFonts w:hint="default" w:ascii="Times New Roman" w:hAnsi="Times New Roman" w:eastAsia="宋体" w:cs="Times New Roman"/>
          <w:lang w:eastAsia="zh-CN"/>
        </w:rPr>
        <w:drawing>
          <wp:anchor distT="0" distB="0" distL="114300" distR="114300" simplePos="0" relativeHeight="251660288" behindDoc="1" locked="0" layoutInCell="1" allowOverlap="1">
            <wp:simplePos x="0" y="0"/>
            <wp:positionH relativeFrom="column">
              <wp:posOffset>331470</wp:posOffset>
            </wp:positionH>
            <wp:positionV relativeFrom="paragraph">
              <wp:posOffset>80645</wp:posOffset>
            </wp:positionV>
            <wp:extent cx="4625975" cy="2654935"/>
            <wp:effectExtent l="4445" t="5080" r="17780" b="698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43"/>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20</w:t>
      </w:r>
      <w:r>
        <w:rPr>
          <w:rFonts w:hint="default" w:ascii="Times New Roman" w:hAnsi="Times New Roman" w:eastAsia="仿宋_GB2312" w:cs="Times New Roman"/>
          <w:b w:val="0"/>
          <w:bCs w:val="0"/>
          <w:color w:val="auto"/>
          <w:sz w:val="32"/>
          <w:szCs w:val="32"/>
          <w:highlight w:val="none"/>
          <w:lang w:val="en-US" w:eastAsia="zh-CN"/>
        </w:rPr>
        <w:t>25</w:t>
      </w:r>
      <w:r>
        <w:rPr>
          <w:rFonts w:hint="default" w:ascii="Times New Roman" w:hAnsi="Times New Roman" w:eastAsia="仿宋_GB2312" w:cs="Times New Roman"/>
          <w:b w:val="0"/>
          <w:bCs w:val="0"/>
          <w:color w:val="auto"/>
          <w:sz w:val="32"/>
          <w:szCs w:val="32"/>
          <w:highlight w:val="none"/>
        </w:rPr>
        <w:t>年一般公共预算财政拨款支出</w:t>
      </w:r>
      <w:r>
        <w:rPr>
          <w:rFonts w:hint="default" w:ascii="Times New Roman" w:hAnsi="Times New Roman" w:eastAsia="仿宋_GB2312" w:cs="Times New Roman"/>
          <w:b w:val="0"/>
          <w:bCs w:val="0"/>
          <w:color w:val="auto"/>
          <w:sz w:val="32"/>
          <w:szCs w:val="32"/>
          <w:highlight w:val="none"/>
          <w:lang w:val="en-US" w:eastAsia="zh-CN"/>
        </w:rPr>
        <w:t>9431.21</w:t>
      </w:r>
      <w:r>
        <w:rPr>
          <w:rFonts w:hint="default" w:ascii="Times New Roman" w:hAnsi="Times New Roman" w:eastAsia="仿宋_GB2312" w:cs="Times New Roman"/>
          <w:b w:val="0"/>
          <w:bCs w:val="0"/>
          <w:color w:val="auto"/>
          <w:sz w:val="32"/>
          <w:szCs w:val="32"/>
          <w:highlight w:val="none"/>
        </w:rPr>
        <w:t>万元，主要用于以下方面</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一般公共服务支出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%；科学技术支出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0</w:t>
      </w:r>
      <w:r>
        <w:rPr>
          <w:rFonts w:hint="eastAsia" w:eastAsia="仿宋_GB2312" w:cs="Times New Roman"/>
          <w:b w:val="0"/>
          <w:bCs w:val="0"/>
          <w:color w:val="auto"/>
          <w:sz w:val="32"/>
          <w:szCs w:val="32"/>
          <w:highlight w:val="none"/>
          <w:lang w:val="en-US" w:eastAsia="zh-CN"/>
        </w:rPr>
        <w:t>万元</w:t>
      </w:r>
      <w:r>
        <w:rPr>
          <w:rFonts w:hint="default" w:ascii="Times New Roman" w:hAnsi="Times New Roman" w:eastAsia="仿宋_GB2312" w:cs="Times New Roman"/>
          <w:b w:val="0"/>
          <w:bCs w:val="0"/>
          <w:color w:val="auto"/>
          <w:sz w:val="32"/>
          <w:szCs w:val="32"/>
          <w:highlight w:val="none"/>
        </w:rPr>
        <w:t>，占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%；文化旅游体育与传媒支出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%；社会保障和就业支出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29.51</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0.3</w:t>
      </w:r>
      <w:r>
        <w:rPr>
          <w:rFonts w:hint="default" w:ascii="Times New Roman" w:hAnsi="Times New Roman" w:eastAsia="仿宋_GB2312" w:cs="Times New Roman"/>
          <w:b w:val="0"/>
          <w:bCs w:val="0"/>
          <w:color w:val="auto"/>
          <w:sz w:val="32"/>
          <w:szCs w:val="32"/>
          <w:highlight w:val="none"/>
        </w:rPr>
        <w:t>%；卫生健康支出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212.69</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2.25</w:t>
      </w:r>
      <w:r>
        <w:rPr>
          <w:rFonts w:hint="default" w:ascii="Times New Roman" w:hAnsi="Times New Roman" w:eastAsia="仿宋_GB2312" w:cs="Times New Roman"/>
          <w:b w:val="0"/>
          <w:bCs w:val="0"/>
          <w:color w:val="auto"/>
          <w:sz w:val="32"/>
          <w:szCs w:val="32"/>
          <w:highlight w:val="none"/>
        </w:rPr>
        <w:t>%；住房保障支出</w:t>
      </w:r>
      <w:r>
        <w:rPr>
          <w:rFonts w:hint="default" w:ascii="Times New Roman" w:hAnsi="Times New Roman" w:eastAsia="仿宋_GB2312" w:cs="Times New Roman"/>
          <w:b w:val="0"/>
          <w:bCs w:val="0"/>
          <w:color w:val="auto"/>
          <w:sz w:val="32"/>
          <w:szCs w:val="32"/>
          <w:highlight w:val="none"/>
          <w:lang w:eastAsia="zh-CN"/>
        </w:rPr>
        <w:t>（类）（类）</w:t>
      </w:r>
      <w:r>
        <w:rPr>
          <w:rFonts w:hint="default" w:ascii="Times New Roman" w:hAnsi="Times New Roman" w:eastAsia="仿宋_GB2312" w:cs="Times New Roman"/>
          <w:b w:val="0"/>
          <w:bCs w:val="0"/>
          <w:color w:val="auto"/>
          <w:sz w:val="32"/>
          <w:szCs w:val="32"/>
          <w:highlight w:val="none"/>
          <w:lang w:val="en-US" w:eastAsia="zh-CN"/>
        </w:rPr>
        <w:t>440.88</w:t>
      </w:r>
      <w:r>
        <w:rPr>
          <w:rFonts w:hint="default" w:ascii="Times New Roman" w:hAnsi="Times New Roman" w:eastAsia="仿宋_GB2312" w:cs="Times New Roman"/>
          <w:b w:val="0"/>
          <w:bCs w:val="0"/>
          <w:color w:val="auto"/>
          <w:sz w:val="32"/>
          <w:szCs w:val="32"/>
          <w:highlight w:val="none"/>
        </w:rPr>
        <w:t>万元，占</w:t>
      </w:r>
      <w:r>
        <w:rPr>
          <w:rFonts w:hint="default" w:ascii="Times New Roman" w:hAnsi="Times New Roman" w:eastAsia="仿宋_GB2312" w:cs="Times New Roman"/>
          <w:b w:val="0"/>
          <w:bCs w:val="0"/>
          <w:color w:val="auto"/>
          <w:sz w:val="32"/>
          <w:szCs w:val="32"/>
          <w:highlight w:val="none"/>
          <w:lang w:val="en-US" w:eastAsia="zh-CN"/>
        </w:rPr>
        <w:t>4.67</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bidi="ar-SA"/>
        </w:rPr>
        <w:t>节能环保支出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544.87</w:t>
      </w:r>
      <w:r>
        <w:rPr>
          <w:rFonts w:hint="default" w:ascii="Times New Roman" w:hAnsi="Times New Roman" w:eastAsia="仿宋_GB2312" w:cs="Times New Roman"/>
          <w:b w:val="0"/>
          <w:bCs w:val="0"/>
          <w:color w:val="auto"/>
          <w:sz w:val="32"/>
          <w:szCs w:val="32"/>
          <w:highlight w:val="none"/>
          <w:lang w:val="en-US" w:eastAsia="zh-CN" w:bidi="ar-SA"/>
        </w:rPr>
        <w:t>万元，占5.78%；城乡社区支出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7956.64</w:t>
      </w:r>
      <w:r>
        <w:rPr>
          <w:rFonts w:hint="default" w:ascii="Times New Roman" w:hAnsi="Times New Roman" w:eastAsia="仿宋_GB2312" w:cs="Times New Roman"/>
          <w:b w:val="0"/>
          <w:bCs w:val="0"/>
          <w:color w:val="auto"/>
          <w:sz w:val="32"/>
          <w:szCs w:val="32"/>
          <w:highlight w:val="none"/>
          <w:lang w:val="en-US" w:eastAsia="zh-CN" w:bidi="ar-SA"/>
        </w:rPr>
        <w:t>万元，占84.36%；农林水支出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40</w:t>
      </w:r>
      <w:r>
        <w:rPr>
          <w:rFonts w:hint="default" w:ascii="Times New Roman" w:hAnsi="Times New Roman" w:eastAsia="仿宋_GB2312" w:cs="Times New Roman"/>
          <w:b w:val="0"/>
          <w:bCs w:val="0"/>
          <w:color w:val="auto"/>
          <w:sz w:val="32"/>
          <w:szCs w:val="32"/>
          <w:highlight w:val="none"/>
          <w:lang w:val="en-US" w:eastAsia="zh-CN" w:bidi="ar-SA"/>
        </w:rPr>
        <w:t>万元，占0.4%；灾害防治及应急管理支出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lang w:val="en-US" w:eastAsia="zh-CN" w:bidi="ar-SA"/>
        </w:rPr>
        <w:t>万元，占0%；其他支出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lang w:val="en-US" w:eastAsia="zh-CN" w:bidi="ar-SA"/>
        </w:rPr>
        <w:t>万元，占0%，公共安全支出</w:t>
      </w:r>
      <w:r>
        <w:rPr>
          <w:rFonts w:hint="default" w:ascii="Times New Roman" w:hAnsi="Times New Roman" w:eastAsia="仿宋_GB2312" w:cs="Times New Roman"/>
          <w:b w:val="0"/>
          <w:bCs w:val="0"/>
          <w:color w:val="auto"/>
          <w:sz w:val="32"/>
          <w:szCs w:val="32"/>
          <w:highlight w:val="none"/>
          <w:lang w:eastAsia="zh-CN"/>
        </w:rPr>
        <w:t>（类）</w:t>
      </w:r>
      <w:r>
        <w:rPr>
          <w:rFonts w:hint="default" w:ascii="Times New Roman" w:hAnsi="Times New Roman" w:eastAsia="仿宋_GB2312" w:cs="Times New Roman"/>
          <w:b w:val="0"/>
          <w:bCs w:val="0"/>
          <w:color w:val="auto"/>
          <w:sz w:val="32"/>
          <w:szCs w:val="32"/>
          <w:highlight w:val="none"/>
          <w:lang w:val="en-US" w:eastAsia="zh-CN"/>
        </w:rPr>
        <w:t>205.78万元，占2.18</w:t>
      </w:r>
      <w:r>
        <w:rPr>
          <w:rFonts w:hint="default" w:ascii="Times New Roman" w:hAnsi="Times New Roman" w:eastAsia="仿宋_GB2312" w:cs="Times New Roman"/>
          <w:b w:val="0"/>
          <w:bCs w:val="0"/>
          <w:color w:val="auto"/>
          <w:sz w:val="32"/>
          <w:szCs w:val="32"/>
          <w:highlight w:val="none"/>
          <w:lang w:val="en-US" w:eastAsia="zh-CN" w:bidi="ar-SA"/>
        </w:rPr>
        <w:t>%；</w:t>
      </w:r>
      <w:r>
        <w:rPr>
          <w:rFonts w:hint="default" w:ascii="Times New Roman" w:hAnsi="Times New Roman" w:eastAsia="仿宋_GB2312" w:cs="Times New Roman"/>
          <w:b w:val="0"/>
          <w:bCs w:val="0"/>
          <w:color w:val="auto"/>
          <w:sz w:val="32"/>
          <w:szCs w:val="32"/>
          <w:highlight w:val="none"/>
          <w:lang w:val="en-US" w:eastAsia="zh-CN"/>
        </w:rPr>
        <w:t>教育支出（类）0.83万元，占0%</w:t>
      </w:r>
      <w:r>
        <w:rPr>
          <w:rFonts w:hint="default" w:ascii="Times New Roman" w:hAnsi="Times New Roman" w:eastAsia="仿宋_GB2312" w:cs="Times New Roman"/>
          <w:b w:val="0"/>
          <w:bCs w:val="0"/>
          <w:color w:val="auto"/>
          <w:sz w:val="32"/>
          <w:szCs w:val="32"/>
          <w:highlight w:val="none"/>
          <w:lang w:val="en-US" w:eastAsia="zh-CN" w:bidi="ar-SA"/>
        </w:rPr>
        <w:t>。</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pageBreakBefore w:val="0"/>
        <w:kinsoku/>
        <w:wordWrap/>
        <w:overflowPunct/>
        <w:topLinePunct w:val="0"/>
        <w:bidi w:val="0"/>
        <w:spacing w:line="576" w:lineRule="exact"/>
        <w:ind w:left="0" w:leftChars="0" w:firstLine="420" w:firstLineChars="200"/>
        <w:rPr>
          <w:rFonts w:hint="default" w:ascii="Times New Roman" w:hAnsi="Times New Roman" w:eastAsia="宋体" w:cs="Times New Roman"/>
          <w:lang w:eastAsia="zh-CN"/>
        </w:rPr>
      </w:pPr>
    </w:p>
    <w:p>
      <w:pPr>
        <w:pageBreakBefore w:val="0"/>
        <w:kinsoku/>
        <w:wordWrap/>
        <w:overflowPunct/>
        <w:topLinePunct w:val="0"/>
        <w:bidi w:val="0"/>
        <w:spacing w:line="576" w:lineRule="exact"/>
        <w:ind w:left="0" w:leftChars="0" w:firstLine="420" w:firstLineChars="200"/>
        <w:rPr>
          <w:rFonts w:hint="default" w:ascii="Times New Roman" w:hAnsi="Times New Roman" w:eastAsia="宋体" w:cs="Times New Roman"/>
          <w:lang w:eastAsia="zh-CN"/>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bookmarkStart w:id="44" w:name="_Toc15377212"/>
    </w:p>
    <w:p>
      <w:pPr>
        <w:pageBreakBefore w:val="0"/>
        <w:kinsoku/>
        <w:wordWrap/>
        <w:overflowPunct/>
        <w:topLinePunct w:val="0"/>
        <w:bidi w:val="0"/>
        <w:spacing w:line="576" w:lineRule="exact"/>
        <w:ind w:left="0" w:leftChars="0" w:firstLine="420"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宋体" w:cs="Times New Roman"/>
          <w:lang w:eastAsia="zh-CN"/>
        </w:rPr>
        <w:drawing>
          <wp:anchor distT="0" distB="0" distL="114300" distR="114300" simplePos="0" relativeHeight="251660288" behindDoc="1" locked="0" layoutInCell="1" allowOverlap="1">
            <wp:simplePos x="0" y="0"/>
            <wp:positionH relativeFrom="column">
              <wp:posOffset>271780</wp:posOffset>
            </wp:positionH>
            <wp:positionV relativeFrom="paragraph">
              <wp:posOffset>-563245</wp:posOffset>
            </wp:positionV>
            <wp:extent cx="4912360" cy="2667635"/>
            <wp:effectExtent l="4445" t="4445" r="17145" b="1397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_GB2312" w:cs="Times New Roman"/>
          <w:b/>
          <w:color w:val="auto"/>
          <w:sz w:val="32"/>
          <w:szCs w:val="32"/>
          <w:highlight w:val="none"/>
        </w:rPr>
      </w:pPr>
    </w:p>
    <w:p>
      <w:pPr>
        <w:pageBreakBefore w:val="0"/>
        <w:kinsoku/>
        <w:wordWrap/>
        <w:overflowPunct/>
        <w:topLinePunct w:val="0"/>
        <w:bidi w:val="0"/>
        <w:spacing w:line="576" w:lineRule="exact"/>
        <w:ind w:firstLine="642"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（三）一般公共预算财政拨款支出决算具体情况</w:t>
      </w:r>
      <w:bookmarkEnd w:id="44"/>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kern w:val="2"/>
          <w:sz w:val="32"/>
          <w:szCs w:val="32"/>
          <w:highlight w:val="none"/>
          <w:lang w:val="en-US" w:eastAsia="zh-CN" w:bidi="ar-SA"/>
        </w:rPr>
      </w:pPr>
      <w:bookmarkStart w:id="45" w:name="_Toc15377444"/>
      <w:bookmarkStart w:id="46" w:name="_Toc15377213"/>
      <w:bookmarkStart w:id="47" w:name="_Toc15378460"/>
      <w:r>
        <w:rPr>
          <w:rFonts w:hint="default" w:ascii="Times New Roman" w:hAnsi="Times New Roman" w:eastAsia="仿宋_GB2312" w:cs="Times New Roman"/>
          <w:b w:val="0"/>
          <w:bCs w:val="0"/>
          <w:color w:val="auto"/>
          <w:kern w:val="2"/>
          <w:sz w:val="32"/>
          <w:szCs w:val="32"/>
          <w:highlight w:val="none"/>
          <w:lang w:val="en-US" w:eastAsia="zh-CN" w:bidi="ar-SA"/>
        </w:rPr>
        <w:t>2025年度一般公共预算支出决算数为9431.21，完成预算100%。其中：</w:t>
      </w:r>
      <w:bookmarkEnd w:id="45"/>
      <w:bookmarkEnd w:id="46"/>
      <w:bookmarkEnd w:id="47"/>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sz w:val="32"/>
          <w:szCs w:val="32"/>
          <w:highlight w:val="none"/>
          <w:lang w:val="en-US" w:eastAsia="zh-CN"/>
        </w:rPr>
        <w:t>1</w:t>
      </w:r>
      <w:r>
        <w:rPr>
          <w:rStyle w:val="14"/>
          <w:rFonts w:hint="default" w:ascii="Times New Roman" w:hAnsi="Times New Roman" w:eastAsia="仿宋_GB2312" w:cs="Times New Roman"/>
          <w:b w:val="0"/>
          <w:bCs w:val="0"/>
          <w:color w:val="auto"/>
          <w:sz w:val="32"/>
          <w:szCs w:val="32"/>
          <w:highlight w:val="none"/>
        </w:rPr>
        <w:t>.社会保障和就业</w:t>
      </w:r>
      <w:r>
        <w:rPr>
          <w:rStyle w:val="14"/>
          <w:rFonts w:hint="default" w:ascii="Times New Roman" w:hAnsi="Times New Roman" w:eastAsia="仿宋_GB2312" w:cs="Times New Roman"/>
          <w:b w:val="0"/>
          <w:bCs w:val="0"/>
          <w:color w:val="auto"/>
          <w:sz w:val="32"/>
          <w:szCs w:val="32"/>
          <w:highlight w:val="none"/>
          <w:lang w:eastAsia="zh-CN"/>
        </w:rPr>
        <w:t>支出</w:t>
      </w:r>
      <w:r>
        <w:rPr>
          <w:rStyle w:val="14"/>
          <w:rFonts w:hint="default" w:ascii="Times New Roman" w:hAnsi="Times New Roman" w:eastAsia="仿宋_GB2312" w:cs="Times New Roman"/>
          <w:b w:val="0"/>
          <w:bCs w:val="0"/>
          <w:color w:val="auto"/>
          <w:sz w:val="32"/>
          <w:szCs w:val="32"/>
          <w:highlight w:val="none"/>
        </w:rPr>
        <w:t>（类）行政事业单位养老支出（款）机关事业单位基本养老保险缴费支出（项）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 xml:space="preserve"> 支出决算为</w:t>
      </w:r>
      <w:r>
        <w:rPr>
          <w:rStyle w:val="14"/>
          <w:rFonts w:hint="default" w:ascii="Times New Roman" w:hAnsi="Times New Roman" w:eastAsia="仿宋_GB2312" w:cs="Times New Roman"/>
          <w:b w:val="0"/>
          <w:bCs w:val="0"/>
          <w:color w:val="auto"/>
          <w:sz w:val="32"/>
          <w:szCs w:val="32"/>
          <w:highlight w:val="none"/>
          <w:lang w:val="en-US" w:eastAsia="zh-CN"/>
        </w:rPr>
        <w:t>19.67</w:t>
      </w:r>
      <w:r>
        <w:rPr>
          <w:rStyle w:val="14"/>
          <w:rFonts w:hint="default" w:ascii="Times New Roman" w:hAnsi="Times New Roman" w:eastAsia="仿宋_GB2312" w:cs="Times New Roman"/>
          <w:b w:val="0"/>
          <w:bCs w:val="0"/>
          <w:color w:val="auto"/>
          <w:sz w:val="32"/>
          <w:szCs w:val="32"/>
          <w:highlight w:val="none"/>
        </w:rPr>
        <w:t>万元，完成预算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lang w:eastAsia="zh-CN" w:bidi="ar-SA"/>
        </w:rPr>
        <w:t>机关事业单位职业年金缴费支出</w:t>
      </w:r>
      <w:r>
        <w:rPr>
          <w:rStyle w:val="14"/>
          <w:rFonts w:hint="default" w:ascii="Times New Roman" w:hAnsi="Times New Roman" w:eastAsia="仿宋_GB2312" w:cs="Times New Roman"/>
          <w:b w:val="0"/>
          <w:bCs w:val="0"/>
          <w:color w:val="auto"/>
          <w:sz w:val="32"/>
          <w:szCs w:val="32"/>
          <w:highlight w:val="none"/>
          <w:lang w:bidi="ar-SA"/>
        </w:rPr>
        <w:t>（项）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9.84万元，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决算数等于预算数。</w:t>
      </w:r>
    </w:p>
    <w:p>
      <w:pPr>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sz w:val="32"/>
          <w:szCs w:val="32"/>
          <w:highlight w:val="none"/>
          <w:lang w:val="en-US" w:eastAsia="zh-CN"/>
        </w:rPr>
        <w:t>2</w:t>
      </w:r>
      <w:r>
        <w:rPr>
          <w:rStyle w:val="14"/>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rPr>
        <w:t>卫生健康</w:t>
      </w:r>
      <w:r>
        <w:rPr>
          <w:rFonts w:hint="default" w:ascii="Times New Roman" w:hAnsi="Times New Roman" w:eastAsia="仿宋_GB2312" w:cs="Times New Roman"/>
          <w:b w:val="0"/>
          <w:bCs w:val="0"/>
          <w:color w:val="auto"/>
          <w:sz w:val="32"/>
          <w:szCs w:val="32"/>
          <w:highlight w:val="none"/>
          <w:lang w:eastAsia="zh-CN"/>
        </w:rPr>
        <w:t>支出</w:t>
      </w:r>
      <w:r>
        <w:rPr>
          <w:rStyle w:val="14"/>
          <w:rFonts w:hint="default" w:ascii="Times New Roman" w:hAnsi="Times New Roman" w:eastAsia="仿宋_GB2312" w:cs="Times New Roman"/>
          <w:b w:val="0"/>
          <w:bCs w:val="0"/>
          <w:color w:val="auto"/>
          <w:sz w:val="32"/>
          <w:szCs w:val="32"/>
          <w:highlight w:val="none"/>
        </w:rPr>
        <w:t>（类）</w:t>
      </w:r>
      <w:r>
        <w:rPr>
          <w:rStyle w:val="14"/>
          <w:rFonts w:hint="default" w:ascii="Times New Roman" w:hAnsi="Times New Roman" w:eastAsia="仿宋_GB2312" w:cs="Times New Roman"/>
          <w:b w:val="0"/>
          <w:bCs w:val="0"/>
          <w:color w:val="auto"/>
          <w:sz w:val="32"/>
          <w:szCs w:val="32"/>
          <w:highlight w:val="none"/>
          <w:lang w:eastAsia="zh-CN" w:bidi="ar-SA"/>
        </w:rPr>
        <w:t>行政</w:t>
      </w:r>
      <w:r>
        <w:rPr>
          <w:rFonts w:hint="default" w:ascii="Times New Roman" w:hAnsi="Times New Roman" w:eastAsia="仿宋_GB2312" w:cs="Times New Roman"/>
          <w:b w:val="0"/>
          <w:bCs w:val="0"/>
          <w:color w:val="auto"/>
          <w:sz w:val="32"/>
          <w:szCs w:val="32"/>
          <w:highlight w:val="none"/>
          <w:lang w:eastAsia="zh-CN" w:bidi="ar-SA"/>
        </w:rPr>
        <w:t>事业单位医疗</w:t>
      </w:r>
      <w:r>
        <w:rPr>
          <w:rStyle w:val="14"/>
          <w:rFonts w:hint="default" w:ascii="Times New Roman" w:hAnsi="Times New Roman" w:eastAsia="仿宋_GB2312" w:cs="Times New Roman"/>
          <w:b w:val="0"/>
          <w:bCs w:val="0"/>
          <w:color w:val="auto"/>
          <w:sz w:val="32"/>
          <w:szCs w:val="32"/>
          <w:highlight w:val="none"/>
        </w:rPr>
        <w:t>（款）行政单位医疗（项）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8.37万元，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val="en-US" w:eastAsia="zh-CN"/>
        </w:rPr>
        <w:t xml:space="preserve"> ；</w:t>
      </w:r>
      <w:r>
        <w:rPr>
          <w:rStyle w:val="14"/>
          <w:rFonts w:hint="default" w:ascii="Times New Roman" w:hAnsi="Times New Roman" w:eastAsia="仿宋_GB2312" w:cs="Times New Roman"/>
          <w:b w:val="0"/>
          <w:bCs w:val="0"/>
          <w:color w:val="auto"/>
          <w:sz w:val="32"/>
          <w:szCs w:val="32"/>
          <w:highlight w:val="none"/>
          <w:lang w:val="en-US" w:eastAsia="zh-CN" w:bidi="ar-SA"/>
        </w:rPr>
        <w:t>公</w:t>
      </w:r>
      <w:r>
        <w:rPr>
          <w:rFonts w:hint="default" w:ascii="Times New Roman" w:hAnsi="Times New Roman" w:eastAsia="仿宋_GB2312" w:cs="Times New Roman"/>
          <w:b w:val="0"/>
          <w:bCs w:val="0"/>
          <w:color w:val="auto"/>
          <w:sz w:val="32"/>
          <w:szCs w:val="32"/>
          <w:highlight w:val="none"/>
          <w:lang w:val="en-US" w:eastAsia="zh-CN" w:bidi="ar-SA"/>
        </w:rPr>
        <w:t>务员医疗补助</w:t>
      </w:r>
      <w:r>
        <w:rPr>
          <w:rStyle w:val="14"/>
          <w:rFonts w:hint="default" w:ascii="Times New Roman" w:hAnsi="Times New Roman" w:eastAsia="仿宋_GB2312" w:cs="Times New Roman"/>
          <w:b w:val="0"/>
          <w:bCs w:val="0"/>
          <w:color w:val="auto"/>
          <w:sz w:val="32"/>
          <w:szCs w:val="32"/>
          <w:highlight w:val="none"/>
        </w:rPr>
        <w:t>（项）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4.33万元，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bidi="ar-SA"/>
        </w:rPr>
        <w:t>公共卫生（款)重大卫生公共服务（项):</w:t>
      </w:r>
      <w:r>
        <w:rPr>
          <w:rStyle w:val="14"/>
          <w:rFonts w:hint="default" w:ascii="Times New Roman" w:hAnsi="Times New Roman" w:eastAsia="仿宋_GB2312" w:cs="Times New Roman"/>
          <w:b w:val="0"/>
          <w:bCs w:val="0"/>
          <w:color w:val="auto"/>
          <w:sz w:val="32"/>
          <w:szCs w:val="32"/>
          <w:highlight w:val="none"/>
          <w:lang w:val="en-US" w:eastAsia="zh-CN"/>
        </w:rPr>
        <w:t>支出决算数200万元，</w:t>
      </w:r>
      <w:r>
        <w:rPr>
          <w:rStyle w:val="14"/>
          <w:rFonts w:hint="default" w:ascii="Times New Roman" w:hAnsi="Times New Roman" w:eastAsia="仿宋_GB2312" w:cs="Times New Roman"/>
          <w:b w:val="0"/>
          <w:bCs w:val="0"/>
          <w:color w:val="auto"/>
          <w:sz w:val="32"/>
          <w:szCs w:val="32"/>
          <w:highlight w:val="none"/>
        </w:rPr>
        <w:t>决算数等于预算数。</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sz w:val="32"/>
          <w:szCs w:val="32"/>
          <w:highlight w:val="none"/>
          <w:lang w:val="en-US" w:eastAsia="zh-CN" w:bidi="ar-SA"/>
        </w:rPr>
        <w:t>3.住房保障支出</w:t>
      </w:r>
      <w:r>
        <w:rPr>
          <w:rStyle w:val="14"/>
          <w:rFonts w:hint="default" w:ascii="Times New Roman" w:hAnsi="Times New Roman" w:eastAsia="仿宋_GB2312" w:cs="Times New Roman"/>
          <w:b w:val="0"/>
          <w:bCs w:val="0"/>
          <w:color w:val="auto"/>
          <w:sz w:val="32"/>
          <w:szCs w:val="32"/>
          <w:highlight w:val="none"/>
        </w:rPr>
        <w:t>（类）保障性安居工程支出（款）</w:t>
      </w:r>
      <w:r>
        <w:rPr>
          <w:rStyle w:val="14"/>
          <w:rFonts w:hint="default" w:ascii="Times New Roman" w:hAnsi="Times New Roman" w:eastAsia="仿宋_GB2312" w:cs="Times New Roman"/>
          <w:b w:val="0"/>
          <w:bCs w:val="0"/>
          <w:color w:val="auto"/>
          <w:sz w:val="32"/>
          <w:szCs w:val="32"/>
          <w:highlight w:val="none"/>
          <w:lang w:val="en-US" w:eastAsia="zh-CN"/>
        </w:rPr>
        <w:t>农村危房改造</w:t>
      </w:r>
      <w:r>
        <w:rPr>
          <w:rStyle w:val="14"/>
          <w:rFonts w:hint="default" w:ascii="Times New Roman" w:hAnsi="Times New Roman" w:eastAsia="仿宋_GB2312" w:cs="Times New Roman"/>
          <w:b w:val="0"/>
          <w:bCs w:val="0"/>
          <w:color w:val="auto"/>
          <w:sz w:val="32"/>
          <w:szCs w:val="32"/>
          <w:highlight w:val="none"/>
        </w:rPr>
        <w:t>（项）支出决算为</w:t>
      </w:r>
      <w:r>
        <w:rPr>
          <w:rStyle w:val="14"/>
          <w:rFonts w:hint="default" w:ascii="Times New Roman" w:hAnsi="Times New Roman" w:eastAsia="仿宋_GB2312" w:cs="Times New Roman"/>
          <w:b w:val="0"/>
          <w:bCs w:val="0"/>
          <w:color w:val="auto"/>
          <w:sz w:val="32"/>
          <w:szCs w:val="32"/>
          <w:highlight w:val="none"/>
          <w:lang w:val="en-US" w:eastAsia="zh-CN"/>
        </w:rPr>
        <w:t>176.91</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lang w:val="en-US" w:eastAsia="zh-CN"/>
        </w:rPr>
        <w:t>老旧小区改造（</w:t>
      </w:r>
      <w:r>
        <w:rPr>
          <w:rStyle w:val="14"/>
          <w:rFonts w:hint="default" w:ascii="Times New Roman" w:hAnsi="Times New Roman" w:eastAsia="仿宋_GB2312" w:cs="Times New Roman"/>
          <w:b w:val="0"/>
          <w:bCs w:val="0"/>
          <w:color w:val="auto"/>
          <w:sz w:val="32"/>
          <w:szCs w:val="32"/>
          <w:highlight w:val="none"/>
        </w:rPr>
        <w:t>项）支出决算为</w:t>
      </w:r>
      <w:r>
        <w:rPr>
          <w:rStyle w:val="14"/>
          <w:rFonts w:hint="default" w:ascii="Times New Roman" w:hAnsi="Times New Roman" w:eastAsia="仿宋_GB2312" w:cs="Times New Roman"/>
          <w:b w:val="0"/>
          <w:bCs w:val="0"/>
          <w:color w:val="auto"/>
          <w:sz w:val="32"/>
          <w:szCs w:val="32"/>
          <w:highlight w:val="none"/>
          <w:lang w:val="en-US" w:eastAsia="zh-CN"/>
        </w:rPr>
        <w:t>249.26</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lang w:val="en-US" w:eastAsia="zh-CN" w:bidi="ar-SA"/>
        </w:rPr>
        <w:t>住房改革支出</w:t>
      </w:r>
      <w:r>
        <w:rPr>
          <w:rStyle w:val="14"/>
          <w:rFonts w:hint="default" w:ascii="Times New Roman" w:hAnsi="Times New Roman" w:eastAsia="仿宋_GB2312" w:cs="Times New Roman"/>
          <w:b w:val="0"/>
          <w:bCs w:val="0"/>
          <w:color w:val="auto"/>
          <w:sz w:val="32"/>
          <w:szCs w:val="32"/>
          <w:highlight w:val="none"/>
        </w:rPr>
        <w:t>（款）住房公积金（项）支出决算为</w:t>
      </w:r>
      <w:r>
        <w:rPr>
          <w:rStyle w:val="14"/>
          <w:rFonts w:hint="default" w:ascii="Times New Roman" w:hAnsi="Times New Roman" w:eastAsia="仿宋_GB2312" w:cs="Times New Roman"/>
          <w:b w:val="0"/>
          <w:bCs w:val="0"/>
          <w:color w:val="auto"/>
          <w:sz w:val="32"/>
          <w:szCs w:val="32"/>
          <w:highlight w:val="none"/>
          <w:lang w:val="en-US" w:eastAsia="zh-CN"/>
        </w:rPr>
        <w:t>14.71</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 xml:space="preserve">； </w:t>
      </w:r>
      <w:r>
        <w:rPr>
          <w:rStyle w:val="14"/>
          <w:rFonts w:hint="default" w:ascii="Times New Roman" w:hAnsi="Times New Roman" w:eastAsia="仿宋_GB2312" w:cs="Times New Roman"/>
          <w:b w:val="0"/>
          <w:bCs w:val="0"/>
          <w:color w:val="auto"/>
          <w:sz w:val="32"/>
          <w:szCs w:val="32"/>
          <w:highlight w:val="none"/>
        </w:rPr>
        <w:t>决算数等于预算数。</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kern w:val="2"/>
          <w:sz w:val="32"/>
          <w:szCs w:val="32"/>
          <w:highlight w:val="none"/>
          <w:lang w:val="en-US" w:eastAsia="zh-CN" w:bidi="ar-SA"/>
        </w:rPr>
        <w:t>4.城乡社区支出</w:t>
      </w:r>
      <w:r>
        <w:rPr>
          <w:rStyle w:val="14"/>
          <w:rFonts w:hint="default" w:ascii="Times New Roman" w:hAnsi="Times New Roman" w:eastAsia="仿宋_GB2312" w:cs="Times New Roman"/>
          <w:b w:val="0"/>
          <w:bCs w:val="0"/>
          <w:color w:val="auto"/>
          <w:sz w:val="32"/>
          <w:szCs w:val="32"/>
          <w:highlight w:val="none"/>
        </w:rPr>
        <w:t>（类）城乡社区管理事务（款）行政运行（项）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219.85</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；一</w:t>
      </w:r>
      <w:r>
        <w:rPr>
          <w:rStyle w:val="14"/>
          <w:rFonts w:hint="default" w:ascii="Times New Roman" w:hAnsi="Times New Roman" w:eastAsia="仿宋_GB2312" w:cs="Times New Roman"/>
          <w:b w:val="0"/>
          <w:bCs w:val="0"/>
          <w:color w:val="auto"/>
          <w:sz w:val="32"/>
          <w:szCs w:val="32"/>
          <w:highlight w:val="none"/>
          <w:lang w:eastAsia="zh-CN" w:bidi="ar-SA"/>
        </w:rPr>
        <w:t>般行政管理事务</w:t>
      </w:r>
      <w:r>
        <w:rPr>
          <w:rStyle w:val="14"/>
          <w:rFonts w:hint="default" w:ascii="Times New Roman" w:hAnsi="Times New Roman" w:eastAsia="仿宋_GB2312" w:cs="Times New Roman"/>
          <w:b w:val="0"/>
          <w:bCs w:val="0"/>
          <w:color w:val="auto"/>
          <w:sz w:val="32"/>
          <w:szCs w:val="32"/>
          <w:highlight w:val="none"/>
        </w:rPr>
        <w:t>（项）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32.72</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lang w:eastAsia="zh-CN" w:bidi="ar-SA"/>
        </w:rPr>
        <w:t>其他城乡社区管理事务支出</w:t>
      </w:r>
      <w:r>
        <w:rPr>
          <w:rStyle w:val="14"/>
          <w:rFonts w:hint="default" w:ascii="Times New Roman" w:hAnsi="Times New Roman" w:eastAsia="仿宋_GB2312" w:cs="Times New Roman"/>
          <w:b w:val="0"/>
          <w:bCs w:val="0"/>
          <w:color w:val="auto"/>
          <w:sz w:val="32"/>
          <w:szCs w:val="32"/>
          <w:highlight w:val="none"/>
        </w:rPr>
        <w:t>（项）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856.69</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val="en-US" w:eastAsia="zh-CN"/>
        </w:rPr>
        <w:t>；</w:t>
      </w:r>
      <w:r>
        <w:rPr>
          <w:rStyle w:val="14"/>
          <w:rFonts w:hint="default" w:ascii="Times New Roman" w:hAnsi="Times New Roman" w:eastAsia="仿宋_GB2312" w:cs="Times New Roman"/>
          <w:b w:val="0"/>
          <w:bCs w:val="0"/>
          <w:color w:val="auto"/>
          <w:sz w:val="32"/>
          <w:szCs w:val="32"/>
          <w:highlight w:val="none"/>
          <w:lang w:eastAsia="zh-CN" w:bidi="ar-SA"/>
        </w:rPr>
        <w:t>城乡社区公共设施</w:t>
      </w:r>
      <w:r>
        <w:rPr>
          <w:rFonts w:hint="default" w:ascii="Times New Roman" w:hAnsi="Times New Roman" w:eastAsia="仿宋_GB2312" w:cs="Times New Roman"/>
          <w:b w:val="0"/>
          <w:bCs w:val="0"/>
          <w:color w:val="auto"/>
          <w:sz w:val="32"/>
          <w:szCs w:val="32"/>
          <w:highlight w:val="none"/>
        </w:rPr>
        <w:t xml:space="preserve"> </w:t>
      </w:r>
      <w:r>
        <w:rPr>
          <w:rStyle w:val="14"/>
          <w:rFonts w:hint="default" w:ascii="Times New Roman" w:hAnsi="Times New Roman" w:eastAsia="仿宋_GB2312" w:cs="Times New Roman"/>
          <w:b w:val="0"/>
          <w:bCs w:val="0"/>
          <w:color w:val="auto"/>
          <w:sz w:val="32"/>
          <w:szCs w:val="32"/>
          <w:highlight w:val="none"/>
        </w:rPr>
        <w:t>（款）小城镇基础设施建设（项）</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3390.34</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lang w:val="en-US" w:eastAsia="zh-CN"/>
        </w:rPr>
        <w:t>其他城乡社区公共设施支出</w:t>
      </w:r>
      <w:r>
        <w:rPr>
          <w:rStyle w:val="14"/>
          <w:rFonts w:hint="default" w:ascii="Times New Roman" w:hAnsi="Times New Roman" w:eastAsia="仿宋_GB2312" w:cs="Times New Roman"/>
          <w:b w:val="0"/>
          <w:bCs w:val="0"/>
          <w:color w:val="auto"/>
          <w:sz w:val="32"/>
          <w:szCs w:val="32"/>
          <w:highlight w:val="none"/>
        </w:rPr>
        <w:t>（项）支出决算为</w:t>
      </w:r>
      <w:r>
        <w:rPr>
          <w:rStyle w:val="14"/>
          <w:rFonts w:hint="default" w:ascii="Times New Roman" w:hAnsi="Times New Roman" w:eastAsia="仿宋_GB2312" w:cs="Times New Roman"/>
          <w:b w:val="0"/>
          <w:bCs w:val="0"/>
          <w:color w:val="auto"/>
          <w:sz w:val="32"/>
          <w:szCs w:val="32"/>
          <w:highlight w:val="none"/>
          <w:lang w:val="en-US" w:eastAsia="zh-CN"/>
        </w:rPr>
        <w:t>1639.83</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 xml:space="preserve"> ；</w:t>
      </w:r>
      <w:r>
        <w:rPr>
          <w:rStyle w:val="14"/>
          <w:rFonts w:hint="default" w:ascii="Times New Roman" w:hAnsi="Times New Roman" w:eastAsia="仿宋_GB2312" w:cs="Times New Roman"/>
          <w:b w:val="0"/>
          <w:bCs w:val="0"/>
          <w:color w:val="auto"/>
          <w:sz w:val="32"/>
          <w:szCs w:val="32"/>
          <w:highlight w:val="none"/>
          <w:lang w:val="en-US" w:eastAsia="zh-CN" w:bidi="ar-SA"/>
        </w:rPr>
        <w:t>城乡社区环境卫生</w:t>
      </w:r>
      <w:r>
        <w:rPr>
          <w:rStyle w:val="14"/>
          <w:rFonts w:hint="default" w:ascii="Times New Roman" w:hAnsi="Times New Roman" w:eastAsia="仿宋_GB2312" w:cs="Times New Roman"/>
          <w:b w:val="0"/>
          <w:bCs w:val="0"/>
          <w:color w:val="auto"/>
          <w:sz w:val="32"/>
          <w:szCs w:val="32"/>
          <w:highlight w:val="none"/>
        </w:rPr>
        <w:t>（款）</w:t>
      </w:r>
      <w:r>
        <w:rPr>
          <w:rStyle w:val="14"/>
          <w:rFonts w:hint="default" w:ascii="Times New Roman" w:hAnsi="Times New Roman" w:eastAsia="仿宋_GB2312" w:cs="Times New Roman"/>
          <w:b w:val="0"/>
          <w:bCs w:val="0"/>
          <w:color w:val="auto"/>
          <w:sz w:val="32"/>
          <w:szCs w:val="32"/>
          <w:highlight w:val="none"/>
          <w:lang w:val="en-US" w:eastAsia="zh-CN" w:bidi="ar-SA"/>
        </w:rPr>
        <w:t>城乡社区环境卫生</w:t>
      </w:r>
      <w:r>
        <w:rPr>
          <w:rStyle w:val="14"/>
          <w:rFonts w:hint="default" w:ascii="Times New Roman" w:hAnsi="Times New Roman" w:eastAsia="仿宋_GB2312" w:cs="Times New Roman"/>
          <w:b w:val="0"/>
          <w:bCs w:val="0"/>
          <w:color w:val="auto"/>
          <w:sz w:val="32"/>
          <w:szCs w:val="32"/>
          <w:highlight w:val="none"/>
        </w:rPr>
        <w:t>（项）支出决算为</w:t>
      </w:r>
      <w:r>
        <w:rPr>
          <w:rStyle w:val="14"/>
          <w:rFonts w:hint="default" w:ascii="Times New Roman" w:hAnsi="Times New Roman" w:eastAsia="仿宋_GB2312" w:cs="Times New Roman"/>
          <w:b w:val="0"/>
          <w:bCs w:val="0"/>
          <w:color w:val="auto"/>
          <w:sz w:val="32"/>
          <w:szCs w:val="32"/>
          <w:highlight w:val="none"/>
          <w:lang w:val="en-US" w:eastAsia="zh-CN"/>
        </w:rPr>
        <w:t>181.9</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 xml:space="preserve"> ；</w:t>
      </w:r>
      <w:r>
        <w:rPr>
          <w:rStyle w:val="14"/>
          <w:rFonts w:hint="default" w:ascii="Times New Roman" w:hAnsi="Times New Roman" w:eastAsia="仿宋_GB2312" w:cs="Times New Roman"/>
          <w:b w:val="0"/>
          <w:bCs w:val="0"/>
          <w:color w:val="auto"/>
          <w:sz w:val="32"/>
          <w:szCs w:val="32"/>
          <w:highlight w:val="none"/>
          <w:lang w:val="en-US" w:eastAsia="zh-CN" w:bidi="ar-SA"/>
        </w:rPr>
        <w:t>其他城乡社区支出（款）其他城乡社区支出（项）</w:t>
      </w:r>
      <w:r>
        <w:rPr>
          <w:rStyle w:val="14"/>
          <w:rFonts w:hint="default" w:ascii="Times New Roman" w:hAnsi="Times New Roman" w:eastAsia="仿宋_GB2312" w:cs="Times New Roman"/>
          <w:b w:val="0"/>
          <w:bCs w:val="0"/>
          <w:color w:val="auto"/>
          <w:sz w:val="32"/>
          <w:szCs w:val="32"/>
          <w:highlight w:val="none"/>
        </w:rPr>
        <w:t>支出决算为</w:t>
      </w:r>
      <w:r>
        <w:rPr>
          <w:rStyle w:val="14"/>
          <w:rFonts w:hint="default" w:ascii="Times New Roman" w:hAnsi="Times New Roman" w:eastAsia="仿宋_GB2312" w:cs="Times New Roman"/>
          <w:b w:val="0"/>
          <w:bCs w:val="0"/>
          <w:color w:val="auto"/>
          <w:sz w:val="32"/>
          <w:szCs w:val="32"/>
          <w:highlight w:val="none"/>
          <w:lang w:val="en-US" w:eastAsia="zh-CN"/>
        </w:rPr>
        <w:t>1635.31</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 xml:space="preserve"> ，</w:t>
      </w:r>
      <w:r>
        <w:rPr>
          <w:rStyle w:val="14"/>
          <w:rFonts w:hint="default" w:ascii="Times New Roman" w:hAnsi="Times New Roman" w:eastAsia="仿宋_GB2312" w:cs="Times New Roman"/>
          <w:b w:val="0"/>
          <w:bCs w:val="0"/>
          <w:color w:val="auto"/>
          <w:sz w:val="32"/>
          <w:szCs w:val="32"/>
          <w:highlight w:val="none"/>
        </w:rPr>
        <w:t>决算数等于预算数。</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sz w:val="32"/>
          <w:szCs w:val="32"/>
          <w:highlight w:val="none"/>
          <w:lang w:val="en-US" w:eastAsia="zh-CN" w:bidi="ar-SA"/>
        </w:rPr>
        <w:t>5.农林水支出</w:t>
      </w:r>
      <w:r>
        <w:rPr>
          <w:rStyle w:val="14"/>
          <w:rFonts w:hint="default" w:ascii="Times New Roman" w:hAnsi="Times New Roman" w:eastAsia="仿宋_GB2312" w:cs="Times New Roman"/>
          <w:b w:val="0"/>
          <w:bCs w:val="0"/>
          <w:color w:val="auto"/>
          <w:sz w:val="32"/>
          <w:szCs w:val="32"/>
          <w:highlight w:val="none"/>
        </w:rPr>
        <w:t>（类）</w:t>
      </w:r>
      <w:r>
        <w:rPr>
          <w:rStyle w:val="14"/>
          <w:rFonts w:hint="eastAsia" w:ascii="Times New Roman" w:hAnsi="Times New Roman" w:eastAsia="仿宋_GB2312" w:cs="Times New Roman"/>
          <w:b w:val="0"/>
          <w:bCs w:val="0"/>
          <w:color w:val="auto"/>
          <w:sz w:val="32"/>
          <w:szCs w:val="32"/>
          <w:highlight w:val="none"/>
          <w:lang w:eastAsia="zh-CN" w:bidi="ar-SA"/>
        </w:rPr>
        <w:t>巩固拓展脱贫攻坚成果</w:t>
      </w:r>
      <w:r>
        <w:rPr>
          <w:rStyle w:val="14"/>
          <w:rFonts w:hint="default" w:ascii="Times New Roman" w:hAnsi="Times New Roman" w:eastAsia="仿宋_GB2312" w:cs="Times New Roman"/>
          <w:b w:val="0"/>
          <w:bCs w:val="0"/>
          <w:color w:val="auto"/>
          <w:sz w:val="32"/>
          <w:szCs w:val="32"/>
          <w:highlight w:val="none"/>
          <w:lang w:val="en-US" w:eastAsia="zh-CN" w:bidi="ar-SA"/>
        </w:rPr>
        <w:t>衔接乡村振兴</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val="en-US" w:eastAsia="zh-CN"/>
        </w:rPr>
        <w:t>款</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val="en-US" w:eastAsia="zh-CN"/>
        </w:rPr>
        <w:t>其他</w:t>
      </w:r>
      <w:r>
        <w:rPr>
          <w:rStyle w:val="14"/>
          <w:rFonts w:hint="eastAsia" w:ascii="Times New Roman" w:hAnsi="Times New Roman" w:eastAsia="仿宋_GB2312" w:cs="Times New Roman"/>
          <w:b w:val="0"/>
          <w:bCs w:val="0"/>
          <w:color w:val="auto"/>
          <w:sz w:val="32"/>
          <w:szCs w:val="32"/>
          <w:highlight w:val="none"/>
          <w:lang w:val="en-US" w:eastAsia="zh-CN"/>
        </w:rPr>
        <w:t>巩固拓展脱贫攻坚成果</w:t>
      </w:r>
      <w:r>
        <w:rPr>
          <w:rStyle w:val="14"/>
          <w:rFonts w:hint="default" w:ascii="Times New Roman" w:hAnsi="Times New Roman" w:eastAsia="仿宋_GB2312" w:cs="Times New Roman"/>
          <w:b w:val="0"/>
          <w:bCs w:val="0"/>
          <w:color w:val="auto"/>
          <w:sz w:val="32"/>
          <w:szCs w:val="32"/>
          <w:highlight w:val="none"/>
          <w:lang w:val="en-US" w:eastAsia="zh-CN"/>
        </w:rPr>
        <w:t>衔接乡村振兴支出（项）支出决算数40万元，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w:t>
      </w:r>
      <w:bookmarkStart w:id="86" w:name="_GoBack"/>
      <w:bookmarkEnd w:id="86"/>
      <w:r>
        <w:rPr>
          <w:rStyle w:val="14"/>
          <w:rFonts w:hint="default" w:ascii="Times New Roman" w:hAnsi="Times New Roman" w:eastAsia="仿宋_GB2312" w:cs="Times New Roman"/>
          <w:b w:val="0"/>
          <w:bCs w:val="0"/>
          <w:color w:val="auto"/>
          <w:sz w:val="32"/>
          <w:szCs w:val="32"/>
          <w:highlight w:val="none"/>
        </w:rPr>
        <w:t>决算数等于预算数。</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rPr>
      </w:pPr>
      <w:r>
        <w:rPr>
          <w:rStyle w:val="14"/>
          <w:rFonts w:hint="default" w:ascii="Times New Roman" w:hAnsi="Times New Roman" w:eastAsia="仿宋_GB2312" w:cs="Times New Roman"/>
          <w:b w:val="0"/>
          <w:bCs w:val="0"/>
          <w:color w:val="auto"/>
          <w:sz w:val="32"/>
          <w:szCs w:val="32"/>
          <w:highlight w:val="none"/>
          <w:lang w:val="en-US" w:eastAsia="zh-CN" w:bidi="ar-SA"/>
        </w:rPr>
        <w:t>6.公共安全支出</w:t>
      </w:r>
      <w:r>
        <w:rPr>
          <w:rStyle w:val="14"/>
          <w:rFonts w:hint="default" w:ascii="Times New Roman" w:hAnsi="Times New Roman" w:eastAsia="仿宋_GB2312" w:cs="Times New Roman"/>
          <w:b w:val="0"/>
          <w:bCs w:val="0"/>
          <w:color w:val="auto"/>
          <w:sz w:val="32"/>
          <w:szCs w:val="32"/>
          <w:highlight w:val="none"/>
        </w:rPr>
        <w:t>（类）</w:t>
      </w:r>
      <w:r>
        <w:rPr>
          <w:rStyle w:val="14"/>
          <w:rFonts w:hint="default" w:ascii="Times New Roman" w:hAnsi="Times New Roman" w:eastAsia="仿宋_GB2312" w:cs="Times New Roman"/>
          <w:b w:val="0"/>
          <w:bCs w:val="0"/>
          <w:color w:val="auto"/>
          <w:sz w:val="32"/>
          <w:szCs w:val="32"/>
          <w:highlight w:val="none"/>
          <w:lang w:val="en-US" w:eastAsia="zh-CN"/>
        </w:rPr>
        <w:t>其他公共安全</w:t>
      </w:r>
      <w:r>
        <w:rPr>
          <w:rStyle w:val="14"/>
          <w:rFonts w:hint="default" w:ascii="Times New Roman" w:hAnsi="Times New Roman" w:eastAsia="仿宋_GB2312" w:cs="Times New Roman"/>
          <w:b w:val="0"/>
          <w:bCs w:val="0"/>
          <w:color w:val="auto"/>
          <w:sz w:val="32"/>
          <w:szCs w:val="32"/>
          <w:highlight w:val="none"/>
          <w:lang w:eastAsia="zh-CN" w:bidi="ar-SA"/>
        </w:rPr>
        <w:t>支出</w:t>
      </w:r>
      <w:r>
        <w:rPr>
          <w:rStyle w:val="14"/>
          <w:rFonts w:hint="default" w:ascii="Times New Roman" w:hAnsi="Times New Roman" w:eastAsia="仿宋_GB2312" w:cs="Times New Roman"/>
          <w:b w:val="0"/>
          <w:bCs w:val="0"/>
          <w:color w:val="auto"/>
          <w:sz w:val="32"/>
          <w:szCs w:val="32"/>
          <w:highlight w:val="none"/>
        </w:rPr>
        <w:t>（款）</w:t>
      </w:r>
      <w:r>
        <w:rPr>
          <w:rStyle w:val="14"/>
          <w:rFonts w:hint="default" w:ascii="Times New Roman" w:hAnsi="Times New Roman" w:eastAsia="仿宋_GB2312" w:cs="Times New Roman"/>
          <w:b w:val="0"/>
          <w:bCs w:val="0"/>
          <w:color w:val="auto"/>
          <w:sz w:val="32"/>
          <w:szCs w:val="32"/>
          <w:highlight w:val="none"/>
          <w:lang w:val="en-US" w:eastAsia="zh-CN"/>
        </w:rPr>
        <w:t>其他公共安全支出</w:t>
      </w:r>
      <w:r>
        <w:rPr>
          <w:rStyle w:val="14"/>
          <w:rFonts w:hint="default" w:ascii="Times New Roman" w:hAnsi="Times New Roman" w:eastAsia="仿宋_GB2312" w:cs="Times New Roman"/>
          <w:b w:val="0"/>
          <w:bCs w:val="0"/>
          <w:color w:val="auto"/>
          <w:sz w:val="32"/>
          <w:szCs w:val="32"/>
          <w:highlight w:val="none"/>
          <w:lang w:bidi="ar-SA"/>
        </w:rPr>
        <w:t>（</w:t>
      </w:r>
      <w:r>
        <w:rPr>
          <w:rStyle w:val="14"/>
          <w:rFonts w:hint="default" w:ascii="Times New Roman" w:hAnsi="Times New Roman" w:eastAsia="仿宋_GB2312" w:cs="Times New Roman"/>
          <w:b w:val="0"/>
          <w:bCs w:val="0"/>
          <w:color w:val="auto"/>
          <w:sz w:val="32"/>
          <w:szCs w:val="32"/>
          <w:highlight w:val="none"/>
        </w:rPr>
        <w:t>项）支出决算为</w:t>
      </w:r>
      <w:r>
        <w:rPr>
          <w:rStyle w:val="14"/>
          <w:rFonts w:hint="default" w:ascii="Times New Roman" w:hAnsi="Times New Roman" w:eastAsia="仿宋_GB2312" w:cs="Times New Roman"/>
          <w:b w:val="0"/>
          <w:bCs w:val="0"/>
          <w:color w:val="auto"/>
          <w:sz w:val="32"/>
          <w:szCs w:val="32"/>
          <w:highlight w:val="none"/>
          <w:lang w:val="en-US" w:eastAsia="zh-CN"/>
        </w:rPr>
        <w:t>205.78</w:t>
      </w:r>
      <w:r>
        <w:rPr>
          <w:rStyle w:val="14"/>
          <w:rFonts w:hint="default" w:ascii="Times New Roman" w:hAnsi="Times New Roman" w:eastAsia="仿宋_GB2312" w:cs="Times New Roman"/>
          <w:b w:val="0"/>
          <w:bCs w:val="0"/>
          <w:color w:val="auto"/>
          <w:sz w:val="32"/>
          <w:szCs w:val="32"/>
          <w:highlight w:val="none"/>
        </w:rPr>
        <w:t>万元</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rPr>
        <w:t>；</w:t>
      </w:r>
      <w:r>
        <w:rPr>
          <w:rStyle w:val="14"/>
          <w:rFonts w:hint="default" w:ascii="Times New Roman" w:hAnsi="Times New Roman" w:eastAsia="仿宋_GB2312" w:cs="Times New Roman"/>
          <w:b w:val="0"/>
          <w:bCs w:val="0"/>
          <w:color w:val="auto"/>
          <w:sz w:val="32"/>
          <w:szCs w:val="32"/>
          <w:highlight w:val="none"/>
        </w:rPr>
        <w:t>决算数等于预算数。</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lang w:val="en-US" w:eastAsia="zh-CN"/>
        </w:rPr>
      </w:pPr>
      <w:r>
        <w:rPr>
          <w:rStyle w:val="14"/>
          <w:rFonts w:hint="default" w:ascii="Times New Roman" w:hAnsi="Times New Roman" w:eastAsia="仿宋_GB2312" w:cs="Times New Roman"/>
          <w:b w:val="0"/>
          <w:bCs w:val="0"/>
          <w:color w:val="auto"/>
          <w:sz w:val="32"/>
          <w:szCs w:val="32"/>
          <w:highlight w:val="none"/>
          <w:lang w:val="en-US" w:eastAsia="zh-CN" w:bidi="ar-SA"/>
        </w:rPr>
        <w:t>7.教育支出（类）教育管理事务（款）其他教育管理事务支出（项）</w:t>
      </w:r>
      <w:r>
        <w:rPr>
          <w:rStyle w:val="14"/>
          <w:rFonts w:hint="default" w:ascii="Times New Roman" w:hAnsi="Times New Roman" w:eastAsia="仿宋_GB2312" w:cs="Times New Roman"/>
          <w:b w:val="0"/>
          <w:bCs w:val="0"/>
          <w:color w:val="auto"/>
          <w:sz w:val="32"/>
          <w:szCs w:val="32"/>
          <w:highlight w:val="none"/>
          <w:lang w:val="en-US" w:eastAsia="zh-CN"/>
        </w:rPr>
        <w:t>支出决算为0.83万元，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w:t>
      </w:r>
      <w:r>
        <w:rPr>
          <w:rStyle w:val="14"/>
          <w:rFonts w:hint="default" w:ascii="Times New Roman" w:hAnsi="Times New Roman" w:eastAsia="仿宋_GB2312" w:cs="Times New Roman"/>
          <w:b w:val="0"/>
          <w:bCs w:val="0"/>
          <w:color w:val="auto"/>
          <w:sz w:val="32"/>
          <w:szCs w:val="32"/>
          <w:highlight w:val="none"/>
        </w:rPr>
        <w:t>决算数等于预算数</w:t>
      </w:r>
      <w:r>
        <w:rPr>
          <w:rStyle w:val="14"/>
          <w:rFonts w:hint="default" w:ascii="Times New Roman" w:hAnsi="Times New Roman" w:eastAsia="仿宋_GB2312" w:cs="Times New Roman"/>
          <w:b w:val="0"/>
          <w:bCs w:val="0"/>
          <w:color w:val="auto"/>
          <w:sz w:val="32"/>
          <w:szCs w:val="32"/>
          <w:highlight w:val="none"/>
          <w:lang w:val="en-US" w:eastAsia="zh-CN"/>
        </w:rPr>
        <w:t>。</w:t>
      </w:r>
    </w:p>
    <w:p>
      <w:pPr>
        <w:pStyle w:val="21"/>
        <w:pageBreakBefore w:val="0"/>
        <w:kinsoku/>
        <w:wordWrap/>
        <w:overflowPunct/>
        <w:topLinePunct w:val="0"/>
        <w:bidi w:val="0"/>
        <w:spacing w:line="576" w:lineRule="exact"/>
        <w:ind w:left="0" w:leftChars="0" w:firstLine="640" w:firstLineChars="200"/>
        <w:rPr>
          <w:rStyle w:val="14"/>
          <w:rFonts w:hint="default" w:ascii="Times New Roman" w:hAnsi="Times New Roman" w:eastAsia="仿宋_GB2312" w:cs="Times New Roman"/>
          <w:b w:val="0"/>
          <w:bCs w:val="0"/>
          <w:color w:val="auto"/>
          <w:sz w:val="32"/>
          <w:szCs w:val="32"/>
          <w:highlight w:val="none"/>
          <w:lang w:val="en-US" w:eastAsia="zh-CN"/>
        </w:rPr>
      </w:pPr>
      <w:r>
        <w:rPr>
          <w:rStyle w:val="14"/>
          <w:rFonts w:hint="default" w:ascii="Times New Roman" w:hAnsi="Times New Roman" w:eastAsia="仿宋_GB2312" w:cs="Times New Roman"/>
          <w:b w:val="0"/>
          <w:bCs w:val="0"/>
          <w:color w:val="auto"/>
          <w:sz w:val="32"/>
          <w:szCs w:val="32"/>
          <w:highlight w:val="none"/>
          <w:lang w:val="en-US" w:eastAsia="zh-CN" w:bidi="ar-SA"/>
        </w:rPr>
        <w:t xml:space="preserve"> 8.节能环保支出（类）污染整治（款）其他污染防治支出（项）</w:t>
      </w:r>
      <w:r>
        <w:rPr>
          <w:rStyle w:val="14"/>
          <w:rFonts w:hint="default" w:ascii="Times New Roman" w:hAnsi="Times New Roman" w:eastAsia="仿宋_GB2312" w:cs="Times New Roman"/>
          <w:b w:val="0"/>
          <w:bCs w:val="0"/>
          <w:color w:val="auto"/>
          <w:sz w:val="32"/>
          <w:szCs w:val="32"/>
          <w:highlight w:val="none"/>
          <w:lang w:val="en-US" w:eastAsia="zh-CN"/>
        </w:rPr>
        <w:t>支出决算为468.21万元，完成预算100%；</w:t>
      </w:r>
      <w:r>
        <w:rPr>
          <w:rStyle w:val="14"/>
          <w:rFonts w:hint="default" w:ascii="Times New Roman" w:hAnsi="Times New Roman" w:eastAsia="仿宋_GB2312" w:cs="Times New Roman"/>
          <w:b w:val="0"/>
          <w:bCs w:val="0"/>
          <w:color w:val="auto"/>
          <w:sz w:val="32"/>
          <w:szCs w:val="32"/>
          <w:highlight w:val="none"/>
          <w:lang w:val="en-US" w:eastAsia="zh-CN" w:bidi="ar-SA"/>
        </w:rPr>
        <w:t>自然生态保护（款）生态保护（项）</w:t>
      </w:r>
      <w:r>
        <w:rPr>
          <w:rStyle w:val="14"/>
          <w:rFonts w:hint="default" w:ascii="Times New Roman" w:hAnsi="Times New Roman" w:eastAsia="仿宋_GB2312" w:cs="Times New Roman"/>
          <w:b w:val="0"/>
          <w:bCs w:val="0"/>
          <w:color w:val="auto"/>
          <w:sz w:val="32"/>
          <w:szCs w:val="32"/>
          <w:highlight w:val="none"/>
          <w:lang w:val="en-US" w:eastAsia="zh-CN"/>
        </w:rPr>
        <w:t>支出决算为76.67万元，</w:t>
      </w:r>
      <w:r>
        <w:rPr>
          <w:rStyle w:val="14"/>
          <w:rFonts w:hint="default" w:ascii="Times New Roman" w:hAnsi="Times New Roman" w:eastAsia="仿宋_GB2312" w:cs="Times New Roman"/>
          <w:b w:val="0"/>
          <w:bCs w:val="0"/>
          <w:color w:val="auto"/>
          <w:sz w:val="32"/>
          <w:szCs w:val="32"/>
          <w:highlight w:val="none"/>
        </w:rPr>
        <w:t>完成预算</w:t>
      </w:r>
      <w:r>
        <w:rPr>
          <w:rStyle w:val="14"/>
          <w:rFonts w:hint="default" w:ascii="Times New Roman" w:hAnsi="Times New Roman" w:eastAsia="仿宋_GB2312" w:cs="Times New Roman"/>
          <w:b w:val="0"/>
          <w:bCs w:val="0"/>
          <w:color w:val="auto"/>
          <w:sz w:val="32"/>
          <w:szCs w:val="32"/>
          <w:highlight w:val="none"/>
          <w:lang w:val="en-US" w:eastAsia="zh-CN"/>
        </w:rPr>
        <w:t>100</w:t>
      </w:r>
      <w:r>
        <w:rPr>
          <w:rStyle w:val="14"/>
          <w:rFonts w:hint="default" w:ascii="Times New Roman" w:hAnsi="Times New Roman" w:eastAsia="仿宋_GB2312" w:cs="Times New Roman"/>
          <w:b w:val="0"/>
          <w:bCs w:val="0"/>
          <w:color w:val="auto"/>
          <w:sz w:val="32"/>
          <w:szCs w:val="32"/>
          <w:highlight w:val="none"/>
        </w:rPr>
        <w:t>%</w:t>
      </w:r>
      <w:r>
        <w:rPr>
          <w:rStyle w:val="14"/>
          <w:rFonts w:hint="default" w:ascii="Times New Roman" w:hAnsi="Times New Roman" w:eastAsia="仿宋_GB2312" w:cs="Times New Roman"/>
          <w:b w:val="0"/>
          <w:bCs w:val="0"/>
          <w:color w:val="auto"/>
          <w:sz w:val="32"/>
          <w:szCs w:val="32"/>
          <w:highlight w:val="none"/>
          <w:lang w:eastAsia="zh-CN" w:bidi="ar-SA"/>
        </w:rPr>
        <w:t>；</w:t>
      </w:r>
      <w:r>
        <w:rPr>
          <w:rStyle w:val="14"/>
          <w:rFonts w:hint="default" w:ascii="Times New Roman" w:hAnsi="Times New Roman" w:eastAsia="仿宋_GB2312" w:cs="Times New Roman"/>
          <w:b w:val="0"/>
          <w:bCs w:val="0"/>
          <w:color w:val="auto"/>
          <w:sz w:val="32"/>
          <w:szCs w:val="32"/>
          <w:highlight w:val="none"/>
        </w:rPr>
        <w:t>决算数等于预算数</w:t>
      </w:r>
      <w:r>
        <w:rPr>
          <w:rStyle w:val="14"/>
          <w:rFonts w:hint="default" w:ascii="Times New Roman" w:hAnsi="Times New Roman" w:eastAsia="仿宋_GB2312" w:cs="Times New Roman"/>
          <w:b w:val="0"/>
          <w:bCs w:val="0"/>
          <w:color w:val="auto"/>
          <w:sz w:val="32"/>
          <w:szCs w:val="32"/>
          <w:highlight w:val="none"/>
          <w:lang w:val="en-US" w:eastAsia="zh-CN"/>
        </w:rPr>
        <w:t>。</w:t>
      </w:r>
    </w:p>
    <w:p>
      <w:pPr>
        <w:pageBreakBefore w:val="0"/>
        <w:tabs>
          <w:tab w:val="right" w:pos="8306"/>
        </w:tabs>
        <w:kinsoku/>
        <w:wordWrap/>
        <w:overflowPunct/>
        <w:topLinePunct w:val="0"/>
        <w:bidi w:val="0"/>
        <w:spacing w:line="576" w:lineRule="exact"/>
        <w:ind w:left="0" w:leftChars="0" w:firstLine="640" w:firstLineChars="200"/>
        <w:outlineLvl w:val="1"/>
        <w:rPr>
          <w:rStyle w:val="19"/>
          <w:rFonts w:hint="default" w:ascii="Times New Roman" w:hAnsi="Times New Roman" w:cs="Times New Roman"/>
          <w:color w:val="auto"/>
          <w:highlight w:val="none"/>
        </w:rPr>
      </w:pPr>
      <w:bookmarkStart w:id="48" w:name="_Toc20388"/>
      <w:bookmarkStart w:id="49" w:name="_Toc15396608"/>
      <w:bookmarkStart w:id="50"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19"/>
          <w:rFonts w:hint="default" w:ascii="Times New Roman" w:hAnsi="Times New Roman" w:eastAsia="黑体" w:cs="Times New Roman"/>
          <w:b w:val="0"/>
          <w:color w:val="auto"/>
          <w:highlight w:val="none"/>
        </w:rPr>
        <w:t>般公共预算财政拨款基本支出决算情况说明</w:t>
      </w:r>
      <w:bookmarkEnd w:id="48"/>
      <w:bookmarkEnd w:id="49"/>
      <w:bookmarkEnd w:id="50"/>
      <w:r>
        <w:rPr>
          <w:rStyle w:val="19"/>
          <w:rFonts w:hint="default" w:ascii="Times New Roman" w:hAnsi="Times New Roman" w:eastAsia="黑体" w:cs="Times New Roman"/>
          <w:b w:val="0"/>
          <w:color w:val="auto"/>
          <w:highlight w:val="none"/>
        </w:rPr>
        <w:tab/>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一般公共预算财政拨款基本支出</w:t>
      </w:r>
      <w:r>
        <w:rPr>
          <w:rFonts w:hint="default" w:ascii="Times New Roman" w:hAnsi="Times New Roman" w:eastAsia="仿宋_GB2312" w:cs="Times New Roman"/>
          <w:color w:val="auto"/>
          <w:sz w:val="32"/>
          <w:szCs w:val="32"/>
          <w:highlight w:val="none"/>
          <w:lang w:val="en-US" w:eastAsia="zh-CN"/>
        </w:rPr>
        <w:t>276.77</w:t>
      </w:r>
      <w:r>
        <w:rPr>
          <w:rFonts w:hint="default" w:ascii="Times New Roman" w:hAnsi="Times New Roman" w:eastAsia="仿宋_GB2312" w:cs="Times New Roman"/>
          <w:color w:val="auto"/>
          <w:sz w:val="32"/>
          <w:szCs w:val="32"/>
          <w:highlight w:val="none"/>
        </w:rPr>
        <w:t>万元，其中：</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人员经费</w:t>
      </w:r>
      <w:r>
        <w:rPr>
          <w:rFonts w:hint="default" w:ascii="Times New Roman" w:hAnsi="Times New Roman" w:eastAsia="仿宋_GB2312" w:cs="Times New Roman"/>
          <w:color w:val="auto"/>
          <w:sz w:val="32"/>
          <w:szCs w:val="32"/>
          <w:highlight w:val="none"/>
          <w:lang w:val="en-US" w:eastAsia="zh-CN"/>
        </w:rPr>
        <w:t>259.62</w:t>
      </w:r>
      <w:r>
        <w:rPr>
          <w:rFonts w:hint="default" w:ascii="Times New Roman" w:hAnsi="Times New Roman" w:eastAsia="仿宋_GB2312" w:cs="Times New Roman"/>
          <w:color w:val="auto"/>
          <w:sz w:val="32"/>
          <w:szCs w:val="32"/>
          <w:highlight w:val="none"/>
        </w:rPr>
        <w:t>万元，主要包括：基本工资、津贴补贴、奖金、伙食补助费、绩效工资、机关事业单位基本养老保险缴费、职业年金缴费、</w:t>
      </w:r>
      <w:r>
        <w:rPr>
          <w:rFonts w:hint="default" w:ascii="Times New Roman" w:hAnsi="Times New Roman" w:eastAsia="仿宋_GB2312" w:cs="Times New Roman"/>
          <w:color w:val="auto"/>
          <w:sz w:val="32"/>
          <w:szCs w:val="32"/>
          <w:highlight w:val="none"/>
          <w:lang w:eastAsia="zh-CN"/>
        </w:rPr>
        <w:t>职工基本医疗保险费、公务员补助医疗缴费、</w:t>
      </w:r>
      <w:r>
        <w:rPr>
          <w:rFonts w:hint="default" w:ascii="Times New Roman" w:hAnsi="Times New Roman" w:eastAsia="仿宋_GB2312" w:cs="Times New Roman"/>
          <w:color w:val="auto"/>
          <w:sz w:val="32"/>
          <w:szCs w:val="32"/>
          <w:highlight w:val="none"/>
        </w:rPr>
        <w:t>其他社会保障缴费、</w:t>
      </w:r>
      <w:r>
        <w:rPr>
          <w:rFonts w:hint="default" w:ascii="Times New Roman" w:hAnsi="Times New Roman" w:eastAsia="仿宋_GB2312" w:cs="Times New Roman"/>
          <w:color w:val="auto"/>
          <w:sz w:val="32"/>
          <w:szCs w:val="32"/>
          <w:highlight w:val="none"/>
          <w:lang w:eastAsia="zh-CN"/>
        </w:rPr>
        <w:t>医疗费</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其他工资福利支出、</w:t>
      </w:r>
      <w:r>
        <w:rPr>
          <w:rFonts w:hint="default" w:ascii="Times New Roman" w:hAnsi="Times New Roman" w:eastAsia="仿宋_GB2312" w:cs="Times New Roman"/>
          <w:color w:val="000000"/>
          <w:sz w:val="32"/>
          <w:szCs w:val="32"/>
          <w:highlight w:val="none"/>
          <w:lang w:eastAsia="zh-CN"/>
        </w:rPr>
        <w:t>对个人和家庭补助、</w:t>
      </w:r>
      <w:r>
        <w:rPr>
          <w:rFonts w:hint="default" w:ascii="Times New Roman" w:hAnsi="Times New Roman" w:eastAsia="仿宋_GB2312" w:cs="Times New Roman"/>
          <w:color w:val="000000"/>
          <w:sz w:val="32"/>
          <w:szCs w:val="32"/>
          <w:highlight w:val="none"/>
        </w:rPr>
        <w:t>离休费、退休费、</w:t>
      </w:r>
      <w:r>
        <w:rPr>
          <w:rFonts w:hint="default" w:ascii="Times New Roman" w:hAnsi="Times New Roman" w:eastAsia="仿宋_GB2312" w:cs="Times New Roman"/>
          <w:color w:val="000000"/>
          <w:sz w:val="32"/>
          <w:szCs w:val="32"/>
          <w:highlight w:val="none"/>
          <w:lang w:eastAsia="zh-CN"/>
        </w:rPr>
        <w:t>退职（役）费、</w:t>
      </w:r>
      <w:r>
        <w:rPr>
          <w:rFonts w:hint="default" w:ascii="Times New Roman" w:hAnsi="Times New Roman" w:eastAsia="仿宋_GB2312" w:cs="Times New Roman"/>
          <w:color w:val="000000"/>
          <w:sz w:val="32"/>
          <w:szCs w:val="32"/>
          <w:highlight w:val="none"/>
        </w:rPr>
        <w:t>抚恤金、生活补助、</w:t>
      </w:r>
      <w:r>
        <w:rPr>
          <w:rFonts w:hint="default" w:ascii="Times New Roman" w:hAnsi="Times New Roman" w:eastAsia="仿宋_GB2312" w:cs="Times New Roman"/>
          <w:color w:val="000000"/>
          <w:sz w:val="32"/>
          <w:szCs w:val="32"/>
          <w:highlight w:val="none"/>
          <w:lang w:eastAsia="zh-CN"/>
        </w:rPr>
        <w:t>救济费、</w:t>
      </w:r>
      <w:r>
        <w:rPr>
          <w:rFonts w:hint="default" w:ascii="Times New Roman" w:hAnsi="Times New Roman" w:eastAsia="仿宋_GB2312" w:cs="Times New Roman"/>
          <w:color w:val="000000"/>
          <w:sz w:val="32"/>
          <w:szCs w:val="32"/>
          <w:highlight w:val="none"/>
        </w:rPr>
        <w:t>医疗费补助、</w:t>
      </w:r>
      <w:r>
        <w:rPr>
          <w:rFonts w:hint="default" w:ascii="Times New Roman" w:hAnsi="Times New Roman" w:eastAsia="仿宋_GB2312" w:cs="Times New Roman"/>
          <w:color w:val="000000"/>
          <w:sz w:val="32"/>
          <w:szCs w:val="32"/>
          <w:highlight w:val="none"/>
          <w:lang w:eastAsia="zh-CN"/>
        </w:rPr>
        <w:t>助学金、</w:t>
      </w:r>
      <w:r>
        <w:rPr>
          <w:rFonts w:hint="default" w:ascii="Times New Roman" w:hAnsi="Times New Roman" w:eastAsia="仿宋_GB2312" w:cs="Times New Roman"/>
          <w:color w:val="000000"/>
          <w:sz w:val="32"/>
          <w:szCs w:val="32"/>
          <w:highlight w:val="none"/>
        </w:rPr>
        <w:t>奖励金、住房公积金、</w:t>
      </w:r>
      <w:r>
        <w:rPr>
          <w:rFonts w:hint="default" w:ascii="Times New Roman" w:hAnsi="Times New Roman" w:eastAsia="仿宋_GB2312" w:cs="Times New Roman"/>
          <w:color w:val="000000"/>
          <w:sz w:val="32"/>
          <w:szCs w:val="32"/>
          <w:highlight w:val="none"/>
          <w:lang w:eastAsia="zh-CN"/>
        </w:rPr>
        <w:t>个人农业生产补贴、代缴社会保险费、</w:t>
      </w:r>
      <w:r>
        <w:rPr>
          <w:rFonts w:hint="default" w:ascii="Times New Roman" w:hAnsi="Times New Roman" w:eastAsia="仿宋_GB2312" w:cs="Times New Roman"/>
          <w:color w:val="000000"/>
          <w:sz w:val="32"/>
          <w:szCs w:val="32"/>
          <w:highlight w:val="none"/>
        </w:rPr>
        <w:t>其他对个人和家庭的补助支出等。</w:t>
      </w:r>
      <w:r>
        <w:rPr>
          <w:rFonts w:hint="default" w:ascii="Times New Roman" w:hAnsi="Times New Roman" w:eastAsia="仿宋_GB2312" w:cs="Times New Roman"/>
          <w:color w:val="000000"/>
          <w:sz w:val="32"/>
          <w:szCs w:val="32"/>
          <w:highlight w:val="none"/>
        </w:rPr>
        <w:br w:type="textWrapping"/>
      </w:r>
      <w:r>
        <w:rPr>
          <w:rFonts w:hint="default" w:ascii="Times New Roman" w:hAnsi="Times New Roman" w:eastAsia="仿宋_GB2312" w:cs="Times New Roman"/>
          <w:color w:val="auto"/>
          <w:sz w:val="32"/>
          <w:szCs w:val="32"/>
          <w:highlight w:val="none"/>
        </w:rPr>
        <w:t>　　公用经费</w:t>
      </w:r>
      <w:r>
        <w:rPr>
          <w:rFonts w:hint="default" w:ascii="Times New Roman" w:hAnsi="Times New Roman" w:eastAsia="仿宋_GB2312" w:cs="Times New Roman"/>
          <w:color w:val="auto"/>
          <w:sz w:val="32"/>
          <w:szCs w:val="32"/>
          <w:highlight w:val="none"/>
          <w:lang w:val="en-US" w:eastAsia="zh-CN"/>
        </w:rPr>
        <w:t>17.15</w:t>
      </w:r>
      <w:r>
        <w:rPr>
          <w:rFonts w:hint="default" w:ascii="Times New Roman" w:hAnsi="Times New Roman" w:eastAsia="仿宋_GB2312" w:cs="Times New Roman"/>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bookmarkStart w:id="51" w:name="_Toc15377215"/>
      <w:bookmarkStart w:id="52" w:name="_Toc15396609"/>
    </w:p>
    <w:p>
      <w:pPr>
        <w:pageBreakBefore w:val="0"/>
        <w:kinsoku/>
        <w:wordWrap/>
        <w:overflowPunct/>
        <w:topLinePunct w:val="0"/>
        <w:bidi w:val="0"/>
        <w:spacing w:line="576" w:lineRule="exact"/>
        <w:ind w:left="0" w:leftChars="0" w:firstLine="640" w:firstLineChars="200"/>
        <w:rPr>
          <w:rStyle w:val="19"/>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七、</w:t>
      </w:r>
      <w:r>
        <w:rPr>
          <w:rStyle w:val="19"/>
          <w:rFonts w:hint="default" w:ascii="Times New Roman" w:hAnsi="Times New Roman" w:eastAsia="黑体" w:cs="Times New Roman"/>
          <w:b w:val="0"/>
          <w:color w:val="auto"/>
          <w:highlight w:val="none"/>
        </w:rPr>
        <w:t>财政拨款</w:t>
      </w:r>
      <w:r>
        <w:rPr>
          <w:rStyle w:val="19"/>
          <w:rFonts w:hint="default" w:ascii="Times New Roman" w:hAnsi="Times New Roman" w:eastAsia="黑体" w:cs="Times New Roman"/>
          <w:color w:val="auto"/>
          <w:highlight w:val="none"/>
        </w:rPr>
        <w:t>“</w:t>
      </w:r>
      <w:r>
        <w:rPr>
          <w:rStyle w:val="19"/>
          <w:rFonts w:hint="default" w:ascii="Times New Roman" w:hAnsi="Times New Roman" w:eastAsia="黑体" w:cs="Times New Roman"/>
          <w:b w:val="0"/>
          <w:color w:val="auto"/>
          <w:highlight w:val="none"/>
        </w:rPr>
        <w:t>三公”经费支出决算情况说明</w:t>
      </w:r>
      <w:bookmarkEnd w:id="51"/>
      <w:bookmarkEnd w:id="52"/>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（一）“三公”经费财政拨款支出决算总体情况说明</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年“三公”经费财政拨款支出决算为</w:t>
      </w:r>
      <w:r>
        <w:rPr>
          <w:rFonts w:hint="default" w:ascii="Times New Roman" w:hAnsi="Times New Roman" w:eastAsia="仿宋_GB2312" w:cs="Times New Roman"/>
          <w:color w:val="auto"/>
          <w:sz w:val="32"/>
          <w:szCs w:val="32"/>
          <w:highlight w:val="none"/>
          <w:lang w:val="en-US" w:eastAsia="zh-CN"/>
        </w:rPr>
        <w:t>6.94</w:t>
      </w:r>
      <w:r>
        <w:rPr>
          <w:rFonts w:hint="default" w:ascii="Times New Roman" w:hAnsi="Times New Roman" w:eastAsia="仿宋_GB2312" w:cs="Times New Roman"/>
          <w:color w:val="auto"/>
          <w:sz w:val="32"/>
          <w:szCs w:val="32"/>
          <w:highlight w:val="none"/>
        </w:rPr>
        <w:t>万元，完成预算</w:t>
      </w:r>
      <w:r>
        <w:rPr>
          <w:rFonts w:hint="default" w:ascii="Times New Roman" w:hAnsi="Times New Roman" w:eastAsia="仿宋_GB2312" w:cs="Times New Roman"/>
          <w:color w:val="auto"/>
          <w:sz w:val="32"/>
          <w:szCs w:val="32"/>
          <w:highlight w:val="none"/>
          <w:lang w:val="en-US" w:eastAsia="zh-CN"/>
        </w:rPr>
        <w:t>99.14%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较上年</w:t>
      </w:r>
      <w:r>
        <w:rPr>
          <w:rFonts w:hint="default" w:ascii="Times New Roman" w:hAnsi="Times New Roman" w:eastAsia="仿宋_GB2312" w:cs="Times New Roman"/>
          <w:color w:val="auto"/>
          <w:sz w:val="32"/>
          <w:szCs w:val="32"/>
          <w:highlight w:val="none"/>
          <w:lang w:val="en-US" w:eastAsia="zh-CN"/>
        </w:rPr>
        <w:t>增加0.09万元，增长1.29%。</w:t>
      </w:r>
      <w:r>
        <w:rPr>
          <w:rFonts w:hint="default" w:ascii="Times New Roman" w:hAnsi="Times New Roman" w:eastAsia="仿宋_GB2312" w:cs="Times New Roman"/>
          <w:color w:val="auto"/>
          <w:sz w:val="32"/>
          <w:szCs w:val="32"/>
          <w:highlight w:val="none"/>
        </w:rPr>
        <w:t>决算数小</w:t>
      </w:r>
      <w:r>
        <w:rPr>
          <w:rFonts w:hint="default" w:ascii="Times New Roman" w:hAnsi="Times New Roman" w:eastAsia="仿宋_GB2312" w:cs="Times New Roman"/>
          <w:color w:val="auto"/>
          <w:sz w:val="32"/>
          <w:szCs w:val="32"/>
          <w:highlight w:val="none"/>
          <w:lang w:eastAsia="zh-CN"/>
        </w:rPr>
        <w:t>于</w:t>
      </w:r>
      <w:r>
        <w:rPr>
          <w:rFonts w:hint="default" w:ascii="Times New Roman" w:hAnsi="Times New Roman" w:eastAsia="仿宋_GB2312" w:cs="Times New Roman"/>
          <w:color w:val="auto"/>
          <w:sz w:val="32"/>
          <w:szCs w:val="32"/>
          <w:highlight w:val="none"/>
        </w:rPr>
        <w:t>预算数。</w:t>
      </w:r>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（二）“三公”经费财政拨款支出决算具体情况说明</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“三公”经费财政拨款支出决算中，因公出国（境）费支出决算</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%；公务用车购置及运行维护费支出决算</w:t>
      </w:r>
      <w:r>
        <w:rPr>
          <w:rFonts w:hint="default" w:ascii="Times New Roman" w:hAnsi="Times New Roman" w:eastAsia="仿宋_GB2312" w:cs="Times New Roman"/>
          <w:color w:val="auto"/>
          <w:sz w:val="32"/>
          <w:szCs w:val="32"/>
          <w:highlight w:val="none"/>
          <w:lang w:val="en-US" w:eastAsia="zh-CN"/>
        </w:rPr>
        <w:t>6.94</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其中：公务用车运行费</w:t>
      </w:r>
      <w:r>
        <w:rPr>
          <w:rFonts w:hint="default" w:ascii="Times New Roman" w:hAnsi="Times New Roman" w:eastAsia="仿宋_GB2312" w:cs="Times New Roman"/>
          <w:color w:val="auto"/>
          <w:sz w:val="32"/>
          <w:szCs w:val="32"/>
          <w:highlight w:val="none"/>
          <w:lang w:val="en-US" w:eastAsia="zh-CN"/>
        </w:rPr>
        <w:t>6.94元，</w:t>
      </w:r>
      <w:r>
        <w:rPr>
          <w:rFonts w:hint="default" w:ascii="Times New Roman" w:hAnsi="Times New Roman" w:eastAsia="仿宋_GB2312" w:cs="Times New Roman"/>
          <w:color w:val="auto"/>
          <w:sz w:val="32"/>
          <w:szCs w:val="32"/>
          <w:highlight w:val="none"/>
        </w:rPr>
        <w:t>占</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，公务用车购置费</w:t>
      </w:r>
      <w:r>
        <w:rPr>
          <w:rFonts w:hint="default" w:ascii="Times New Roman" w:hAnsi="Times New Roman" w:eastAsia="仿宋_GB2312" w:cs="Times New Roman"/>
          <w:color w:val="auto"/>
          <w:sz w:val="32"/>
          <w:szCs w:val="32"/>
          <w:highlight w:val="none"/>
          <w:lang w:val="en-US" w:eastAsia="zh-CN"/>
        </w:rPr>
        <w:t>0元</w:t>
      </w:r>
      <w:r>
        <w:rPr>
          <w:rFonts w:hint="default" w:ascii="Times New Roman" w:hAnsi="Times New Roman" w:eastAsia="仿宋_GB2312" w:cs="Times New Roman"/>
          <w:color w:val="auto"/>
          <w:sz w:val="32"/>
          <w:szCs w:val="32"/>
          <w:highlight w:val="none"/>
        </w:rPr>
        <w:t>，占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%；公务接待费支出决算</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万元，占</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%。具体情况如下：</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color w:val="auto"/>
          <w:sz w:val="32"/>
          <w:szCs w:val="32"/>
          <w:highlight w:val="none"/>
        </w:rPr>
      </w:pPr>
      <w:r>
        <w:rPr>
          <w:rFonts w:hint="default" w:ascii="Times New Roman" w:hAnsi="Times New Roman" w:eastAsia="仿宋_GB2312" w:cs="Times New Roman"/>
          <w:color w:val="auto"/>
          <w:sz w:val="32"/>
          <w:szCs w:val="32"/>
          <w:highlight w:val="none"/>
        </w:rPr>
        <w:t>（图7：“三公”经费财政拨款支出结构）（饼状图）</w:t>
      </w:r>
    </w:p>
    <w:p>
      <w:pPr>
        <w:pageBreakBefore w:val="0"/>
        <w:kinsoku/>
        <w:wordWrap/>
        <w:overflowPunct/>
        <w:topLinePunct w:val="0"/>
        <w:bidi w:val="0"/>
        <w:spacing w:line="576" w:lineRule="exact"/>
        <w:ind w:left="0" w:leftChars="0"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anchor distT="0" distB="0" distL="114300" distR="114300" simplePos="0" relativeHeight="251660288" behindDoc="1" locked="0" layoutInCell="1" allowOverlap="1">
            <wp:simplePos x="0" y="0"/>
            <wp:positionH relativeFrom="column">
              <wp:posOffset>176530</wp:posOffset>
            </wp:positionH>
            <wp:positionV relativeFrom="paragraph">
              <wp:posOffset>101600</wp:posOffset>
            </wp:positionV>
            <wp:extent cx="5256530" cy="2988310"/>
            <wp:effectExtent l="5080" t="4445" r="15240" b="1714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1.</w:t>
      </w:r>
      <w:r>
        <w:rPr>
          <w:rFonts w:hint="default" w:ascii="Times New Roman" w:hAnsi="Times New Roman" w:eastAsia="仿宋_GB2312" w:cs="Times New Roman"/>
          <w:b w:val="0"/>
          <w:bCs/>
          <w:color w:val="auto"/>
          <w:sz w:val="32"/>
          <w:szCs w:val="32"/>
          <w:highlight w:val="none"/>
        </w:rPr>
        <w:t>因公出国（境）经费支出</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w:t>
      </w:r>
      <w:r>
        <w:rPr>
          <w:rStyle w:val="14"/>
          <w:rFonts w:hint="default" w:ascii="Times New Roman" w:hAnsi="Times New Roman" w:eastAsia="仿宋_GB2312" w:cs="Times New Roman"/>
          <w:b w:val="0"/>
          <w:bCs/>
          <w:color w:val="auto"/>
          <w:sz w:val="32"/>
          <w:szCs w:val="32"/>
          <w:highlight w:val="none"/>
        </w:rPr>
        <w:t>完成预算</w:t>
      </w:r>
      <w:r>
        <w:rPr>
          <w:rStyle w:val="14"/>
          <w:rFonts w:hint="default" w:ascii="Times New Roman" w:hAnsi="Times New Roman" w:eastAsia="仿宋_GB2312" w:cs="Times New Roman"/>
          <w:b w:val="0"/>
          <w:bCs/>
          <w:color w:val="auto"/>
          <w:sz w:val="32"/>
          <w:szCs w:val="32"/>
          <w:highlight w:val="none"/>
          <w:lang w:val="en-US" w:eastAsia="zh-CN"/>
        </w:rPr>
        <w:t>0</w:t>
      </w:r>
      <w:r>
        <w:rPr>
          <w:rStyle w:val="14"/>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rPr>
        <w:t>全年安排因公出国（境）团组</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次，出国（境）</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人。因公出国（境）支出决算比20</w:t>
      </w:r>
      <w:r>
        <w:rPr>
          <w:rFonts w:hint="default" w:ascii="Times New Roman" w:hAnsi="Times New Roman" w:eastAsia="仿宋_GB2312" w:cs="Times New Roman"/>
          <w:b w:val="0"/>
          <w:bCs/>
          <w:color w:val="auto"/>
          <w:sz w:val="32"/>
          <w:szCs w:val="32"/>
          <w:highlight w:val="none"/>
          <w:lang w:val="en-US" w:eastAsia="zh-CN"/>
        </w:rPr>
        <w:t>24</w:t>
      </w:r>
      <w:r>
        <w:rPr>
          <w:rFonts w:hint="default" w:ascii="Times New Roman" w:hAnsi="Times New Roman" w:eastAsia="仿宋_GB2312" w:cs="Times New Roman"/>
          <w:b w:val="0"/>
          <w:bCs/>
          <w:color w:val="auto"/>
          <w:sz w:val="32"/>
          <w:szCs w:val="32"/>
          <w:highlight w:val="none"/>
        </w:rPr>
        <w:t>年</w:t>
      </w:r>
      <w:r>
        <w:rPr>
          <w:rFonts w:hint="default" w:ascii="Times New Roman" w:hAnsi="Times New Roman" w:eastAsia="仿宋_GB2312" w:cs="Times New Roman"/>
          <w:b w:val="0"/>
          <w:bCs/>
          <w:color w:val="auto"/>
          <w:sz w:val="32"/>
          <w:szCs w:val="32"/>
          <w:highlight w:val="none"/>
          <w:lang w:eastAsia="zh-CN"/>
        </w:rPr>
        <w:t>无变化</w:t>
      </w:r>
      <w:r>
        <w:rPr>
          <w:rFonts w:hint="default" w:ascii="Times New Roman" w:hAnsi="Times New Roman" w:eastAsia="仿宋_GB2312" w:cs="Times New Roman"/>
          <w:b w:val="0"/>
          <w:bCs/>
          <w:color w:val="auto"/>
          <w:sz w:val="32"/>
          <w:szCs w:val="32"/>
          <w:highlight w:val="none"/>
        </w:rPr>
        <w:t>。</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2.公务用车购置及运行维护费支出</w:t>
      </w:r>
      <w:r>
        <w:rPr>
          <w:rFonts w:hint="default" w:ascii="Times New Roman" w:hAnsi="Times New Roman" w:eastAsia="仿宋_GB2312" w:cs="Times New Roman"/>
          <w:b w:val="0"/>
          <w:bCs/>
          <w:color w:val="auto"/>
          <w:sz w:val="32"/>
          <w:szCs w:val="32"/>
          <w:highlight w:val="none"/>
          <w:lang w:val="en-US" w:eastAsia="zh-CN"/>
        </w:rPr>
        <w:t>6.94</w:t>
      </w:r>
      <w:r>
        <w:rPr>
          <w:rFonts w:hint="default" w:ascii="Times New Roman" w:hAnsi="Times New Roman" w:eastAsia="仿宋_GB2312" w:cs="Times New Roman"/>
          <w:b w:val="0"/>
          <w:bCs/>
          <w:color w:val="auto"/>
          <w:sz w:val="32"/>
          <w:szCs w:val="32"/>
          <w:highlight w:val="none"/>
        </w:rPr>
        <w:t>元</w:t>
      </w:r>
      <w:r>
        <w:rPr>
          <w:rFonts w:hint="default" w:ascii="Times New Roman" w:hAnsi="Times New Roman" w:eastAsia="仿宋_GB2312" w:cs="Times New Roman"/>
          <w:b w:val="0"/>
          <w:bCs/>
          <w:color w:val="auto"/>
          <w:sz w:val="32"/>
          <w:szCs w:val="32"/>
          <w:highlight w:val="none"/>
          <w:lang w:eastAsia="zh-CN"/>
        </w:rPr>
        <w:t>，</w:t>
      </w:r>
      <w:r>
        <w:rPr>
          <w:rStyle w:val="14"/>
          <w:rFonts w:hint="default" w:ascii="Times New Roman" w:hAnsi="Times New Roman" w:eastAsia="仿宋_GB2312" w:cs="Times New Roman"/>
          <w:b w:val="0"/>
          <w:bCs/>
          <w:color w:val="auto"/>
          <w:sz w:val="32"/>
          <w:szCs w:val="32"/>
          <w:highlight w:val="none"/>
        </w:rPr>
        <w:t>完成预算</w:t>
      </w:r>
      <w:r>
        <w:rPr>
          <w:rStyle w:val="14"/>
          <w:rFonts w:hint="default" w:ascii="Times New Roman" w:hAnsi="Times New Roman" w:eastAsia="仿宋_GB2312" w:cs="Times New Roman"/>
          <w:b w:val="0"/>
          <w:bCs/>
          <w:color w:val="auto"/>
          <w:sz w:val="32"/>
          <w:szCs w:val="32"/>
          <w:highlight w:val="none"/>
          <w:lang w:val="en-US" w:eastAsia="zh-CN"/>
        </w:rPr>
        <w:t>99.14</w:t>
      </w:r>
      <w:r>
        <w:rPr>
          <w:rStyle w:val="14"/>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rPr>
        <w:t>公务用车购置及运行维护费支出决算比</w:t>
      </w:r>
      <w:r>
        <w:rPr>
          <w:rFonts w:hint="default" w:ascii="Times New Roman" w:hAnsi="Times New Roman" w:eastAsia="仿宋_GB2312" w:cs="Times New Roman"/>
          <w:b w:val="0"/>
          <w:bCs/>
          <w:color w:val="auto"/>
          <w:sz w:val="32"/>
          <w:szCs w:val="32"/>
          <w:highlight w:val="none"/>
          <w:lang w:eastAsia="zh-CN"/>
        </w:rPr>
        <w:t>202</w:t>
      </w:r>
      <w:r>
        <w:rPr>
          <w:rFonts w:hint="default" w:ascii="Times New Roman" w:hAnsi="Times New Roman" w:eastAsia="仿宋_GB2312" w:cs="Times New Roman"/>
          <w:b w:val="0"/>
          <w:bCs/>
          <w:color w:val="auto"/>
          <w:sz w:val="32"/>
          <w:szCs w:val="32"/>
          <w:highlight w:val="none"/>
          <w:lang w:val="en-US" w:eastAsia="zh-CN"/>
        </w:rPr>
        <w:t>4</w:t>
      </w:r>
      <w:r>
        <w:rPr>
          <w:rFonts w:hint="default" w:ascii="Times New Roman" w:hAnsi="Times New Roman" w:eastAsia="仿宋_GB2312" w:cs="Times New Roman"/>
          <w:b w:val="0"/>
          <w:bCs/>
          <w:color w:val="auto"/>
          <w:sz w:val="32"/>
          <w:szCs w:val="32"/>
          <w:highlight w:val="none"/>
        </w:rPr>
        <w:t>年</w:t>
      </w:r>
      <w:r>
        <w:rPr>
          <w:rFonts w:hint="default" w:ascii="Times New Roman" w:hAnsi="Times New Roman" w:eastAsia="仿宋_GB2312" w:cs="Times New Roman"/>
          <w:b w:val="0"/>
          <w:bCs/>
          <w:color w:val="auto"/>
          <w:sz w:val="32"/>
          <w:szCs w:val="32"/>
          <w:highlight w:val="none"/>
          <w:lang w:eastAsia="zh-CN"/>
        </w:rPr>
        <w:t>度</w:t>
      </w:r>
      <w:r>
        <w:rPr>
          <w:rFonts w:hint="default" w:ascii="Times New Roman" w:hAnsi="Times New Roman" w:eastAsia="仿宋_GB2312" w:cs="Times New Roman"/>
          <w:b w:val="0"/>
          <w:bCs/>
          <w:color w:val="auto"/>
          <w:sz w:val="32"/>
          <w:szCs w:val="32"/>
          <w:highlight w:val="none"/>
          <w:lang w:val="en-US" w:eastAsia="zh-CN"/>
        </w:rPr>
        <w:t>增加0.09</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b w:val="0"/>
          <w:bCs/>
          <w:color w:val="auto"/>
          <w:sz w:val="32"/>
          <w:szCs w:val="32"/>
          <w:highlight w:val="none"/>
          <w:lang w:val="en-US" w:eastAsia="zh-CN"/>
        </w:rPr>
        <w:t>增长1.29%。</w:t>
      </w:r>
      <w:r>
        <w:rPr>
          <w:rFonts w:hint="default" w:ascii="Times New Roman" w:hAnsi="Times New Roman" w:eastAsia="仿宋_GB2312" w:cs="Times New Roman"/>
          <w:b w:val="0"/>
          <w:bCs/>
          <w:color w:val="auto"/>
          <w:sz w:val="32"/>
          <w:szCs w:val="32"/>
          <w:highlight w:val="none"/>
        </w:rPr>
        <w:t>主要原因是</w:t>
      </w:r>
      <w:r>
        <w:rPr>
          <w:rFonts w:hint="default" w:ascii="Times New Roman" w:hAnsi="Times New Roman" w:eastAsia="仿宋_GB2312" w:cs="Times New Roman"/>
          <w:b w:val="0"/>
          <w:bCs/>
          <w:color w:val="auto"/>
          <w:sz w:val="32"/>
          <w:szCs w:val="32"/>
          <w:highlight w:val="none"/>
          <w:lang w:val="en-US" w:eastAsia="zh-CN"/>
        </w:rPr>
        <w:t>项目增加，下乡次数增加</w:t>
      </w:r>
      <w:r>
        <w:rPr>
          <w:rFonts w:hint="default" w:ascii="Times New Roman" w:hAnsi="Times New Roman" w:eastAsia="仿宋_GB2312" w:cs="Times New Roman"/>
          <w:b w:val="0"/>
          <w:bCs/>
          <w:color w:val="auto"/>
          <w:sz w:val="32"/>
          <w:szCs w:val="32"/>
          <w:highlight w:val="none"/>
        </w:rPr>
        <w:t>。</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其中：公务用车购置支出</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万元。全年按规定更新购置公务用车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辆，其中：轿车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辆、金额</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万元，越野车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辆、金额</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万元，载客汽车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辆、金额</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截至20</w:t>
      </w:r>
      <w:r>
        <w:rPr>
          <w:rFonts w:hint="default" w:ascii="Times New Roman" w:hAnsi="Times New Roman" w:eastAsia="仿宋_GB2312" w:cs="Times New Roman"/>
          <w:b w:val="0"/>
          <w:bCs/>
          <w:color w:val="auto"/>
          <w:sz w:val="32"/>
          <w:szCs w:val="32"/>
          <w:highlight w:val="none"/>
          <w:lang w:val="en-US" w:eastAsia="zh-CN"/>
        </w:rPr>
        <w:t>22</w:t>
      </w:r>
      <w:r>
        <w:rPr>
          <w:rFonts w:hint="default" w:ascii="Times New Roman" w:hAnsi="Times New Roman" w:eastAsia="仿宋_GB2312" w:cs="Times New Roman"/>
          <w:b w:val="0"/>
          <w:bCs/>
          <w:color w:val="auto"/>
          <w:sz w:val="32"/>
          <w:szCs w:val="32"/>
          <w:highlight w:val="none"/>
        </w:rPr>
        <w:t>年12月底，单位共有公务用车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辆，其中：轿车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辆、越野车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辆、载客汽车</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辆。</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b w:val="0"/>
          <w:bCs/>
          <w:color w:val="000000"/>
          <w:sz w:val="32"/>
          <w:szCs w:val="32"/>
          <w:lang w:bidi="ar-SA"/>
        </w:rPr>
      </w:pPr>
      <w:r>
        <w:rPr>
          <w:rFonts w:hint="default" w:ascii="Times New Roman" w:hAnsi="Times New Roman" w:eastAsia="仿宋_GB2312" w:cs="Times New Roman"/>
          <w:b w:val="0"/>
          <w:bCs/>
          <w:color w:val="auto"/>
          <w:sz w:val="32"/>
          <w:szCs w:val="32"/>
          <w:highlight w:val="none"/>
        </w:rPr>
        <w:t>公务用车运行维护费支出</w:t>
      </w:r>
      <w:r>
        <w:rPr>
          <w:rFonts w:hint="default" w:ascii="Times New Roman" w:hAnsi="Times New Roman" w:eastAsia="仿宋_GB2312" w:cs="Times New Roman"/>
          <w:b w:val="0"/>
          <w:bCs/>
          <w:color w:val="auto"/>
          <w:sz w:val="32"/>
          <w:szCs w:val="32"/>
          <w:highlight w:val="none"/>
          <w:lang w:val="en-US" w:eastAsia="zh-CN"/>
        </w:rPr>
        <w:t>6.94</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b w:val="0"/>
          <w:bCs/>
          <w:color w:val="000000"/>
          <w:sz w:val="32"/>
          <w:szCs w:val="32"/>
          <w:lang w:bidi="ar-SA"/>
        </w:rPr>
        <w:t>主要用</w:t>
      </w:r>
      <w:r>
        <w:rPr>
          <w:rFonts w:hint="default" w:ascii="Times New Roman" w:hAnsi="Times New Roman" w:eastAsia="仿宋_GB2312" w:cs="Times New Roman"/>
          <w:b w:val="0"/>
          <w:bCs/>
          <w:color w:val="000000"/>
          <w:sz w:val="32"/>
          <w:szCs w:val="32"/>
          <w:lang w:eastAsia="zh-CN" w:bidi="ar-SA"/>
        </w:rPr>
        <w:t>于下乡、项目审核、培训、出差</w:t>
      </w:r>
      <w:r>
        <w:rPr>
          <w:rFonts w:hint="default" w:ascii="Times New Roman" w:hAnsi="Times New Roman" w:eastAsia="仿宋_GB2312" w:cs="Times New Roman"/>
          <w:b w:val="0"/>
          <w:bCs/>
          <w:color w:val="000000"/>
          <w:sz w:val="32"/>
          <w:szCs w:val="32"/>
          <w:lang w:bidi="ar-SA"/>
        </w:rPr>
        <w:t>等所需的公务用车燃料费、维修费、过路过桥费、保险费等支出。</w:t>
      </w:r>
    </w:p>
    <w:p>
      <w:pPr>
        <w:pageBreakBefore w:val="0"/>
        <w:numPr>
          <w:ilvl w:val="0"/>
          <w:numId w:val="0"/>
        </w:numPr>
        <w:kinsoku/>
        <w:wordWrap/>
        <w:overflowPunct/>
        <w:topLinePunct w:val="0"/>
        <w:bidi w:val="0"/>
        <w:spacing w:line="576" w:lineRule="exact"/>
        <w:ind w:firstLine="640" w:firstLineChars="200"/>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3.三</w:t>
      </w:r>
      <w:r>
        <w:rPr>
          <w:rFonts w:hint="default" w:ascii="Times New Roman" w:hAnsi="Times New Roman" w:eastAsia="仿宋_GB2312" w:cs="Times New Roman"/>
          <w:b w:val="0"/>
          <w:bCs/>
          <w:color w:val="auto"/>
          <w:sz w:val="32"/>
          <w:szCs w:val="32"/>
          <w:highlight w:val="none"/>
        </w:rPr>
        <w:t>公务接待费支出</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w:t>
      </w:r>
      <w:r>
        <w:rPr>
          <w:rStyle w:val="14"/>
          <w:rFonts w:hint="default" w:ascii="Times New Roman" w:hAnsi="Times New Roman" w:eastAsia="仿宋_GB2312" w:cs="Times New Roman"/>
          <w:b w:val="0"/>
          <w:bCs/>
          <w:color w:val="auto"/>
          <w:sz w:val="32"/>
          <w:szCs w:val="32"/>
          <w:highlight w:val="none"/>
        </w:rPr>
        <w:t>完成预算</w:t>
      </w:r>
      <w:r>
        <w:rPr>
          <w:rStyle w:val="14"/>
          <w:rFonts w:hint="default" w:ascii="Times New Roman" w:hAnsi="Times New Roman" w:eastAsia="仿宋_GB2312" w:cs="Times New Roman"/>
          <w:b w:val="0"/>
          <w:bCs/>
          <w:color w:val="auto"/>
          <w:sz w:val="32"/>
          <w:szCs w:val="32"/>
          <w:highlight w:val="none"/>
          <w:lang w:val="en-US" w:eastAsia="zh-CN"/>
        </w:rPr>
        <w:t>0</w:t>
      </w:r>
      <w:r>
        <w:rPr>
          <w:rStyle w:val="14"/>
          <w:rFonts w:hint="default" w:ascii="Times New Roman" w:hAnsi="Times New Roman" w:eastAsia="仿宋_GB2312" w:cs="Times New Roman"/>
          <w:b w:val="0"/>
          <w:bCs/>
          <w:color w:val="auto"/>
          <w:sz w:val="32"/>
          <w:szCs w:val="32"/>
          <w:highlight w:val="none"/>
        </w:rPr>
        <w:t>%。</w:t>
      </w:r>
    </w:p>
    <w:p>
      <w:pPr>
        <w:pageBreakBefore w:val="0"/>
        <w:numPr>
          <w:ilvl w:val="0"/>
          <w:numId w:val="0"/>
        </w:numPr>
        <w:kinsoku/>
        <w:wordWrap/>
        <w:overflowPunct/>
        <w:topLinePunct w:val="0"/>
        <w:bidi w:val="0"/>
        <w:spacing w:line="576" w:lineRule="exact"/>
        <w:ind w:firstLine="640" w:firstLineChars="200"/>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4.</w:t>
      </w:r>
      <w:r>
        <w:rPr>
          <w:rFonts w:hint="default" w:ascii="Times New Roman" w:hAnsi="Times New Roman" w:eastAsia="仿宋_GB2312" w:cs="Times New Roman"/>
          <w:b w:val="0"/>
          <w:bCs/>
          <w:color w:val="auto"/>
          <w:sz w:val="32"/>
          <w:szCs w:val="32"/>
          <w:highlight w:val="none"/>
        </w:rPr>
        <w:t>国内公务接待支出</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w:t>
      </w:r>
      <w:r>
        <w:rPr>
          <w:rStyle w:val="14"/>
          <w:rFonts w:hint="default" w:ascii="Times New Roman" w:hAnsi="Times New Roman" w:eastAsia="仿宋_GB2312" w:cs="Times New Roman"/>
          <w:b w:val="0"/>
          <w:bCs/>
          <w:color w:val="auto"/>
          <w:sz w:val="32"/>
          <w:szCs w:val="32"/>
          <w:highlight w:val="none"/>
        </w:rPr>
        <w:t>完成预算</w:t>
      </w:r>
      <w:r>
        <w:rPr>
          <w:rStyle w:val="14"/>
          <w:rFonts w:hint="default" w:ascii="Times New Roman" w:hAnsi="Times New Roman" w:eastAsia="仿宋_GB2312" w:cs="Times New Roman"/>
          <w:b w:val="0"/>
          <w:bCs/>
          <w:color w:val="auto"/>
          <w:sz w:val="32"/>
          <w:szCs w:val="32"/>
          <w:highlight w:val="none"/>
          <w:lang w:val="en-US" w:eastAsia="zh-CN"/>
        </w:rPr>
        <w:t>0</w:t>
      </w:r>
      <w:r>
        <w:rPr>
          <w:rStyle w:val="14"/>
          <w:rFonts w:hint="default" w:ascii="Times New Roman" w:hAnsi="Times New Roman" w:eastAsia="仿宋_GB2312" w:cs="Times New Roman"/>
          <w:b w:val="0"/>
          <w:bCs/>
          <w:color w:val="auto"/>
          <w:sz w:val="32"/>
          <w:szCs w:val="32"/>
          <w:highlight w:val="none"/>
        </w:rPr>
        <w:t>%。</w:t>
      </w:r>
    </w:p>
    <w:p>
      <w:pPr>
        <w:pageBreakBefore w:val="0"/>
        <w:numPr>
          <w:ilvl w:val="0"/>
          <w:numId w:val="0"/>
        </w:numPr>
        <w:kinsoku/>
        <w:wordWrap/>
        <w:overflowPunct/>
        <w:topLinePunct w:val="0"/>
        <w:bidi w:val="0"/>
        <w:spacing w:line="576"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5.</w:t>
      </w:r>
      <w:r>
        <w:rPr>
          <w:rFonts w:hint="default" w:ascii="Times New Roman" w:hAnsi="Times New Roman" w:eastAsia="仿宋_GB2312" w:cs="Times New Roman"/>
          <w:b w:val="0"/>
          <w:bCs/>
          <w:color w:val="auto"/>
          <w:sz w:val="32"/>
          <w:szCs w:val="32"/>
          <w:highlight w:val="none"/>
        </w:rPr>
        <w:t>外事接待支出</w:t>
      </w:r>
      <w:r>
        <w:rPr>
          <w:rFonts w:hint="default" w:ascii="Times New Roman" w:hAnsi="Times New Roman" w:eastAsia="仿宋_GB2312" w:cs="Times New Roman"/>
          <w:b w:val="0"/>
          <w:bCs/>
          <w:color w:val="auto"/>
          <w:sz w:val="32"/>
          <w:szCs w:val="32"/>
          <w:highlight w:val="none"/>
          <w:lang w:val="en-US" w:eastAsia="zh-CN"/>
        </w:rPr>
        <w:t>0</w:t>
      </w:r>
      <w:r>
        <w:rPr>
          <w:rFonts w:hint="default" w:ascii="Times New Roman" w:hAnsi="Times New Roman" w:eastAsia="仿宋_GB2312" w:cs="Times New Roman"/>
          <w:b w:val="0"/>
          <w:bCs/>
          <w:color w:val="auto"/>
          <w:sz w:val="32"/>
          <w:szCs w:val="32"/>
          <w:highlight w:val="none"/>
        </w:rPr>
        <w:t>万元，</w:t>
      </w:r>
      <w:r>
        <w:rPr>
          <w:rStyle w:val="14"/>
          <w:rFonts w:hint="default" w:ascii="Times New Roman" w:hAnsi="Times New Roman" w:eastAsia="仿宋_GB2312" w:cs="Times New Roman"/>
          <w:b w:val="0"/>
          <w:bCs/>
          <w:color w:val="auto"/>
          <w:sz w:val="32"/>
          <w:szCs w:val="32"/>
          <w:highlight w:val="none"/>
        </w:rPr>
        <w:t>完成预算</w:t>
      </w:r>
      <w:r>
        <w:rPr>
          <w:rStyle w:val="14"/>
          <w:rFonts w:hint="default" w:ascii="Times New Roman" w:hAnsi="Times New Roman" w:eastAsia="仿宋_GB2312" w:cs="Times New Roman"/>
          <w:b w:val="0"/>
          <w:bCs/>
          <w:color w:val="auto"/>
          <w:sz w:val="32"/>
          <w:szCs w:val="32"/>
          <w:highlight w:val="none"/>
          <w:lang w:val="en-US" w:eastAsia="zh-CN"/>
        </w:rPr>
        <w:t>0</w:t>
      </w:r>
      <w:r>
        <w:rPr>
          <w:rStyle w:val="14"/>
          <w:rFonts w:hint="default" w:ascii="Times New Roman" w:hAnsi="Times New Roman" w:eastAsia="仿宋_GB2312" w:cs="Times New Roman"/>
          <w:b w:val="0"/>
          <w:bCs/>
          <w:color w:val="auto"/>
          <w:sz w:val="32"/>
          <w:szCs w:val="32"/>
          <w:highlight w:val="none"/>
        </w:rPr>
        <w:t>%。</w:t>
      </w:r>
    </w:p>
    <w:p>
      <w:pPr>
        <w:pageBreakBefore w:val="0"/>
        <w:kinsoku/>
        <w:wordWrap/>
        <w:overflowPunct/>
        <w:topLinePunct w:val="0"/>
        <w:bidi w:val="0"/>
        <w:spacing w:line="576" w:lineRule="exact"/>
        <w:ind w:left="0" w:leftChars="0" w:firstLine="640" w:firstLineChars="200"/>
        <w:outlineLvl w:val="1"/>
        <w:rPr>
          <w:rStyle w:val="19"/>
          <w:rFonts w:hint="default" w:ascii="Times New Roman" w:hAnsi="Times New Roman" w:eastAsia="黑体" w:cs="Times New Roman"/>
          <w:color w:val="auto"/>
          <w:highlight w:val="none"/>
        </w:rPr>
      </w:pPr>
      <w:bookmarkStart w:id="53" w:name="_Toc27262"/>
      <w:r>
        <w:rPr>
          <w:rFonts w:hint="default" w:ascii="Times New Roman" w:hAnsi="Times New Roman" w:eastAsia="黑体" w:cs="Times New Roman"/>
          <w:color w:val="auto"/>
          <w:sz w:val="32"/>
          <w:szCs w:val="32"/>
          <w:highlight w:val="none"/>
        </w:rPr>
        <w:t>八、</w:t>
      </w:r>
      <w:r>
        <w:rPr>
          <w:rStyle w:val="19"/>
          <w:rFonts w:hint="default" w:ascii="Times New Roman" w:hAnsi="Times New Roman" w:eastAsia="黑体" w:cs="Times New Roman"/>
          <w:b w:val="0"/>
          <w:color w:val="auto"/>
          <w:highlight w:val="none"/>
        </w:rPr>
        <w:t>政府性基金预算支出决算情况说明</w:t>
      </w:r>
      <w:bookmarkEnd w:id="53"/>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6742.24</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19"/>
          <w:rFonts w:hint="default" w:ascii="Times New Roman" w:hAnsi="Times New Roman" w:eastAsia="黑体" w:cs="Times New Roman"/>
          <w:b w:val="0"/>
          <w:color w:val="auto"/>
          <w:highlight w:val="none"/>
        </w:rPr>
      </w:pPr>
      <w:bookmarkStart w:id="54" w:name="_Toc16751"/>
      <w:r>
        <w:rPr>
          <w:rStyle w:val="19"/>
          <w:rFonts w:hint="default" w:ascii="Times New Roman" w:hAnsi="Times New Roman" w:eastAsia="黑体" w:cs="Times New Roman"/>
          <w:b w:val="0"/>
          <w:color w:val="auto"/>
          <w:highlight w:val="none"/>
          <w:lang w:eastAsia="zh-CN"/>
        </w:rPr>
        <w:t>九、</w:t>
      </w:r>
      <w:r>
        <w:rPr>
          <w:rStyle w:val="19"/>
          <w:rFonts w:hint="default" w:ascii="Times New Roman" w:hAnsi="Times New Roman" w:eastAsia="黑体" w:cs="Times New Roman"/>
          <w:b w:val="0"/>
          <w:color w:val="auto"/>
          <w:highlight w:val="none"/>
        </w:rPr>
        <w:t>国有资本经营预算支出决算情况说明</w:t>
      </w:r>
      <w:bookmarkEnd w:id="54"/>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19"/>
          <w:rFonts w:hint="default" w:ascii="Times New Roman" w:hAnsi="Times New Roman" w:eastAsia="黑体" w:cs="Times New Roman"/>
          <w:b w:val="0"/>
          <w:color w:val="auto"/>
          <w:highlight w:val="none"/>
        </w:rPr>
      </w:pPr>
      <w:bookmarkStart w:id="55" w:name="_Toc30667"/>
      <w:r>
        <w:rPr>
          <w:rStyle w:val="19"/>
          <w:rFonts w:hint="default" w:ascii="Times New Roman" w:hAnsi="Times New Roman" w:eastAsia="黑体" w:cs="Times New Roman"/>
          <w:b w:val="0"/>
          <w:color w:val="auto"/>
          <w:highlight w:val="none"/>
          <w:lang w:eastAsia="zh-CN"/>
        </w:rPr>
        <w:t>十、</w:t>
      </w:r>
      <w:r>
        <w:rPr>
          <w:rStyle w:val="19"/>
          <w:rFonts w:hint="default" w:ascii="Times New Roman" w:hAnsi="Times New Roman" w:eastAsia="黑体" w:cs="Times New Roman"/>
          <w:b w:val="0"/>
          <w:color w:val="auto"/>
          <w:highlight w:val="none"/>
        </w:rPr>
        <w:t>其他重要事项的情况说明</w:t>
      </w:r>
      <w:bookmarkEnd w:id="55"/>
    </w:p>
    <w:p>
      <w:pPr>
        <w:pageBreakBefore w:val="0"/>
        <w:kinsoku/>
        <w:wordWrap/>
        <w:overflowPunct/>
        <w:topLinePunct w:val="0"/>
        <w:bidi w:val="0"/>
        <w:spacing w:line="576" w:lineRule="exact"/>
        <w:ind w:left="0" w:leftChars="0" w:firstLine="642" w:firstLineChars="200"/>
        <w:outlineLvl w:val="2"/>
        <w:rPr>
          <w:rFonts w:hint="default" w:ascii="Times New Roman" w:hAnsi="Times New Roman" w:eastAsia="仿宋" w:cs="Times New Roman"/>
          <w:color w:val="auto"/>
          <w:sz w:val="32"/>
          <w:szCs w:val="32"/>
          <w:highlight w:val="none"/>
        </w:rPr>
      </w:pPr>
      <w:r>
        <w:rPr>
          <w:rFonts w:hint="default" w:ascii="Times New Roman" w:hAnsi="Times New Roman" w:eastAsia="楷体" w:cs="Times New Roman"/>
          <w:b/>
          <w:color w:val="auto"/>
          <w:sz w:val="32"/>
          <w:szCs w:val="32"/>
          <w:highlight w:val="none"/>
        </w:rPr>
        <w:t>（一）机关运行经费支出情况</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壤塘县住房和城乡建设局</w:t>
      </w:r>
      <w:r>
        <w:rPr>
          <w:rFonts w:hint="default" w:ascii="Times New Roman" w:hAnsi="Times New Roman" w:eastAsia="仿宋_GB2312" w:cs="Times New Roman"/>
          <w:color w:val="auto"/>
          <w:sz w:val="32"/>
          <w:szCs w:val="32"/>
          <w:highlight w:val="none"/>
        </w:rPr>
        <w:t>机关运行经费支出</w:t>
      </w:r>
      <w:r>
        <w:rPr>
          <w:rFonts w:hint="default" w:ascii="Times New Roman" w:hAnsi="Times New Roman" w:eastAsia="仿宋_GB2312" w:cs="Times New Roman"/>
          <w:color w:val="auto"/>
          <w:sz w:val="32"/>
          <w:szCs w:val="32"/>
          <w:highlight w:val="none"/>
          <w:lang w:val="en-US" w:eastAsia="zh-CN"/>
        </w:rPr>
        <w:t>36.54</w:t>
      </w:r>
      <w:r>
        <w:rPr>
          <w:rFonts w:hint="default" w:ascii="Times New Roman" w:hAnsi="Times New Roman" w:eastAsia="仿宋_GB2312" w:cs="Times New Roman"/>
          <w:color w:val="auto"/>
          <w:sz w:val="32"/>
          <w:szCs w:val="32"/>
          <w:highlight w:val="none"/>
        </w:rPr>
        <w:t>万元，比</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lang w:val="en-US" w:eastAsia="zh-CN"/>
        </w:rPr>
        <w:t>增加了2.31</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增长6.75</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主要原因是</w:t>
      </w:r>
      <w:r>
        <w:rPr>
          <w:rFonts w:hint="default" w:ascii="Times New Roman" w:hAnsi="Times New Roman" w:eastAsia="仿宋_GB2312" w:cs="Times New Roman"/>
          <w:color w:val="auto"/>
          <w:sz w:val="32"/>
          <w:szCs w:val="32"/>
          <w:highlight w:val="none"/>
          <w:lang w:val="en-US" w:eastAsia="zh-CN"/>
        </w:rPr>
        <w:t>项目增加、下乡次数增加</w:t>
      </w:r>
      <w:r>
        <w:rPr>
          <w:rFonts w:hint="default" w:ascii="Times New Roman" w:hAnsi="Times New Roman" w:eastAsia="仿宋_GB2312" w:cs="Times New Roman"/>
          <w:color w:val="auto"/>
          <w:sz w:val="32"/>
          <w:szCs w:val="32"/>
          <w:highlight w:val="none"/>
          <w:lang w:eastAsia="zh-CN"/>
        </w:rPr>
        <w:t>。</w:t>
      </w:r>
    </w:p>
    <w:p>
      <w:pPr>
        <w:pageBreakBefore w:val="0"/>
        <w:kinsoku/>
        <w:wordWrap/>
        <w:overflowPunct/>
        <w:topLinePunct w:val="0"/>
        <w:autoSpaceDE w:val="0"/>
        <w:autoSpaceDN w:val="0"/>
        <w:bidi w:val="0"/>
        <w:adjustRightInd w:val="0"/>
        <w:spacing w:line="576" w:lineRule="exact"/>
        <w:ind w:left="0" w:leftChars="0" w:firstLine="642" w:firstLineChars="200"/>
        <w:jc w:val="left"/>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（二）政府采购支出情况</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壤塘县住房和城乡建设局</w:t>
      </w:r>
      <w:r>
        <w:rPr>
          <w:rFonts w:hint="default" w:ascii="Times New Roman" w:hAnsi="Times New Roman" w:eastAsia="仿宋_GB2312" w:cs="Times New Roman"/>
          <w:color w:val="auto"/>
          <w:sz w:val="32"/>
          <w:szCs w:val="32"/>
          <w:highlight w:val="none"/>
        </w:rPr>
        <w:t>政府采购支出总额</w:t>
      </w:r>
      <w:r>
        <w:rPr>
          <w:rFonts w:hint="default" w:ascii="Times New Roman" w:hAnsi="Times New Roman" w:eastAsia="仿宋_GB2312" w:cs="Times New Roman"/>
          <w:color w:val="auto"/>
          <w:sz w:val="32"/>
          <w:szCs w:val="32"/>
          <w:highlight w:val="none"/>
          <w:lang w:val="en-US" w:eastAsia="zh-CN"/>
        </w:rPr>
        <w:t>662.03</w:t>
      </w:r>
      <w:r>
        <w:rPr>
          <w:rFonts w:hint="default" w:ascii="Times New Roman" w:hAnsi="Times New Roman" w:eastAsia="仿宋_GB2312" w:cs="Times New Roman"/>
          <w:color w:val="auto"/>
          <w:sz w:val="32"/>
          <w:szCs w:val="32"/>
          <w:highlight w:val="none"/>
        </w:rPr>
        <w:t>万元，其中：政府采购货物支出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万元、政府采购工程支出</w:t>
      </w:r>
      <w:r>
        <w:rPr>
          <w:rFonts w:hint="default" w:ascii="Times New Roman" w:hAnsi="Times New Roman" w:eastAsia="仿宋_GB2312" w:cs="Times New Roman"/>
          <w:color w:val="auto"/>
          <w:sz w:val="32"/>
          <w:szCs w:val="32"/>
          <w:highlight w:val="none"/>
          <w:lang w:val="en-US" w:eastAsia="zh-CN"/>
        </w:rPr>
        <w:t>239.57</w:t>
      </w:r>
      <w:r>
        <w:rPr>
          <w:rFonts w:hint="default" w:ascii="Times New Roman" w:hAnsi="Times New Roman" w:eastAsia="仿宋_GB2312" w:cs="Times New Roman"/>
          <w:color w:val="auto"/>
          <w:sz w:val="32"/>
          <w:szCs w:val="32"/>
          <w:highlight w:val="none"/>
        </w:rPr>
        <w:t>万元、政府采购服务支出</w:t>
      </w:r>
      <w:r>
        <w:rPr>
          <w:rFonts w:hint="default" w:ascii="Times New Roman" w:hAnsi="Times New Roman" w:eastAsia="仿宋_GB2312" w:cs="Times New Roman"/>
          <w:color w:val="auto"/>
          <w:sz w:val="32"/>
          <w:szCs w:val="32"/>
          <w:highlight w:val="none"/>
          <w:lang w:val="en-US" w:eastAsia="zh-CN"/>
        </w:rPr>
        <w:t>422.46</w:t>
      </w:r>
      <w:r>
        <w:rPr>
          <w:rFonts w:hint="default" w:ascii="Times New Roman" w:hAnsi="Times New Roman" w:eastAsia="仿宋_GB2312" w:cs="Times New Roman"/>
          <w:color w:val="auto"/>
          <w:sz w:val="32"/>
          <w:szCs w:val="32"/>
          <w:highlight w:val="none"/>
        </w:rPr>
        <w:t>万元。授予中小企业合同金额</w:t>
      </w:r>
      <w:r>
        <w:rPr>
          <w:rFonts w:hint="default" w:ascii="Times New Roman" w:hAnsi="Times New Roman" w:eastAsia="仿宋_GB2312" w:cs="Times New Roman"/>
          <w:color w:val="auto"/>
          <w:sz w:val="32"/>
          <w:szCs w:val="32"/>
          <w:highlight w:val="none"/>
          <w:lang w:val="en-US" w:eastAsia="zh-CN"/>
        </w:rPr>
        <w:t>662.03</w:t>
      </w:r>
      <w:r>
        <w:rPr>
          <w:rFonts w:hint="default" w:ascii="Times New Roman" w:hAnsi="Times New Roman" w:eastAsia="仿宋_GB2312" w:cs="Times New Roman"/>
          <w:color w:val="auto"/>
          <w:sz w:val="32"/>
          <w:szCs w:val="32"/>
          <w:highlight w:val="none"/>
        </w:rPr>
        <w:t>万元，占政府采购支出总额的</w:t>
      </w:r>
      <w:r>
        <w:rPr>
          <w:rFonts w:hint="default" w:ascii="Times New Roman" w:hAnsi="Times New Roman" w:eastAsia="仿宋_GB2312" w:cs="Times New Roman"/>
          <w:color w:val="auto"/>
          <w:sz w:val="32"/>
          <w:szCs w:val="32"/>
          <w:highlight w:val="none"/>
          <w:lang w:val="en-US" w:eastAsia="zh-CN"/>
        </w:rPr>
        <w:t>50%</w:t>
      </w:r>
      <w:r>
        <w:rPr>
          <w:rFonts w:hint="default" w:ascii="Times New Roman" w:hAnsi="Times New Roman" w:eastAsia="仿宋_GB2312" w:cs="Times New Roman"/>
          <w:color w:val="auto"/>
          <w:sz w:val="32"/>
          <w:szCs w:val="32"/>
          <w:highlight w:val="none"/>
        </w:rPr>
        <w:t>，其中：授予小微企业合同金额</w:t>
      </w:r>
      <w:r>
        <w:rPr>
          <w:rFonts w:hint="default" w:ascii="Times New Roman" w:hAnsi="Times New Roman" w:eastAsia="仿宋_GB2312" w:cs="Times New Roman"/>
          <w:color w:val="auto"/>
          <w:sz w:val="32"/>
          <w:szCs w:val="32"/>
          <w:highlight w:val="none"/>
          <w:lang w:val="en-US" w:eastAsia="zh-CN"/>
        </w:rPr>
        <w:t>662.03</w:t>
      </w:r>
      <w:r>
        <w:rPr>
          <w:rFonts w:hint="default" w:ascii="Times New Roman" w:hAnsi="Times New Roman" w:eastAsia="仿宋_GB2312" w:cs="Times New Roman"/>
          <w:color w:val="auto"/>
          <w:sz w:val="32"/>
          <w:szCs w:val="32"/>
          <w:highlight w:val="none"/>
        </w:rPr>
        <w:t>万元，占政府采购支出总额的</w:t>
      </w:r>
      <w:r>
        <w:rPr>
          <w:rFonts w:hint="default" w:ascii="Times New Roman" w:hAnsi="Times New Roman" w:eastAsia="仿宋_GB2312" w:cs="Times New Roman"/>
          <w:color w:val="auto"/>
          <w:sz w:val="32"/>
          <w:szCs w:val="32"/>
          <w:highlight w:val="none"/>
          <w:lang w:val="en-US" w:eastAsia="zh-CN"/>
        </w:rPr>
        <w:t>50</w:t>
      </w:r>
      <w:r>
        <w:rPr>
          <w:rFonts w:hint="default" w:ascii="Times New Roman" w:hAnsi="Times New Roman" w:eastAsia="仿宋_GB2312" w:cs="Times New Roman"/>
          <w:color w:val="auto"/>
          <w:sz w:val="32"/>
          <w:szCs w:val="32"/>
          <w:highlight w:val="none"/>
        </w:rPr>
        <w:t>%。</w:t>
      </w:r>
    </w:p>
    <w:p>
      <w:pPr>
        <w:pageBreakBefore w:val="0"/>
        <w:kinsoku/>
        <w:wordWrap/>
        <w:overflowPunct/>
        <w:topLinePunct w:val="0"/>
        <w:autoSpaceDE w:val="0"/>
        <w:autoSpaceDN w:val="0"/>
        <w:bidi w:val="0"/>
        <w:adjustRightInd w:val="0"/>
        <w:spacing w:line="576" w:lineRule="exact"/>
        <w:ind w:left="0" w:leftChars="0" w:firstLine="642" w:firstLineChars="200"/>
        <w:jc w:val="left"/>
        <w:outlineLvl w:val="2"/>
        <w:rPr>
          <w:rFonts w:hint="default" w:ascii="Times New Roman" w:hAnsi="Times New Roman" w:eastAsia="楷体" w:cs="Times New Roman"/>
          <w:b/>
          <w:color w:val="auto"/>
          <w:sz w:val="32"/>
          <w:szCs w:val="32"/>
          <w:highlight w:val="none"/>
        </w:rPr>
      </w:pPr>
      <w:r>
        <w:rPr>
          <w:rFonts w:hint="default" w:ascii="Times New Roman" w:hAnsi="Times New Roman" w:eastAsia="楷体" w:cs="Times New Roman"/>
          <w:b/>
          <w:color w:val="auto"/>
          <w:sz w:val="32"/>
          <w:szCs w:val="32"/>
          <w:highlight w:val="none"/>
        </w:rPr>
        <w:t>（三）国有资产占有使用情况</w:t>
      </w:r>
    </w:p>
    <w:p>
      <w:pPr>
        <w:pageBreakBefore w:val="0"/>
        <w:kinsoku/>
        <w:wordWrap/>
        <w:overflowPunct/>
        <w:topLinePunct w:val="0"/>
        <w:autoSpaceDE w:val="0"/>
        <w:autoSpaceDN w:val="0"/>
        <w:bidi w:val="0"/>
        <w:adjustRightInd w:val="0"/>
        <w:spacing w:line="576" w:lineRule="exact"/>
        <w:ind w:left="0" w:leftChars="0" w:firstLine="640" w:firstLineChars="20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年12月31日，</w:t>
      </w:r>
      <w:r>
        <w:rPr>
          <w:rFonts w:hint="default" w:ascii="Times New Roman" w:hAnsi="Times New Roman" w:eastAsia="仿宋_GB2312" w:cs="Times New Roman"/>
          <w:color w:val="000000"/>
          <w:sz w:val="32"/>
          <w:szCs w:val="32"/>
          <w:lang w:eastAsia="zh-CN" w:bidi="ar-SA"/>
        </w:rPr>
        <w:t>住房和城乡建设局</w:t>
      </w:r>
      <w:r>
        <w:rPr>
          <w:rFonts w:hint="default" w:ascii="Times New Roman" w:hAnsi="Times New Roman" w:eastAsia="仿宋_GB2312" w:cs="Times New Roman"/>
          <w:color w:val="auto"/>
          <w:sz w:val="32"/>
          <w:szCs w:val="32"/>
          <w:highlight w:val="none"/>
        </w:rPr>
        <w:t>共有车辆</w:t>
      </w:r>
      <w:r>
        <w:rPr>
          <w:rFonts w:hint="default" w:ascii="Times New Roman" w:hAnsi="Times New Roman" w:eastAsia="仿宋_GB2312" w:cs="Times New Roman"/>
          <w:color w:val="auto"/>
          <w:sz w:val="32"/>
          <w:szCs w:val="32"/>
          <w:highlight w:val="none"/>
          <w:lang w:val="en-US" w:eastAsia="zh-CN"/>
        </w:rPr>
        <w:t>35</w:t>
      </w:r>
      <w:r>
        <w:rPr>
          <w:rFonts w:hint="default" w:ascii="Times New Roman" w:hAnsi="Times New Roman" w:eastAsia="仿宋_GB2312" w:cs="Times New Roman"/>
          <w:color w:val="auto"/>
          <w:sz w:val="32"/>
          <w:szCs w:val="32"/>
          <w:highlight w:val="none"/>
        </w:rPr>
        <w:t>辆，其中：主要领导干部用车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辆、机要通信用车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辆、应急保障用车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辆、其他用车</w:t>
      </w:r>
      <w:r>
        <w:rPr>
          <w:rFonts w:hint="default" w:ascii="Times New Roman" w:hAnsi="Times New Roman" w:eastAsia="仿宋_GB2312" w:cs="Times New Roman"/>
          <w:color w:val="auto"/>
          <w:sz w:val="32"/>
          <w:szCs w:val="32"/>
          <w:highlight w:val="none"/>
          <w:lang w:val="en-US" w:eastAsia="zh-CN"/>
        </w:rPr>
        <w:t>35</w:t>
      </w:r>
      <w:r>
        <w:rPr>
          <w:rFonts w:hint="default" w:ascii="Times New Roman" w:hAnsi="Times New Roman" w:eastAsia="仿宋_GB2312" w:cs="Times New Roman"/>
          <w:color w:val="auto"/>
          <w:sz w:val="32"/>
          <w:szCs w:val="32"/>
          <w:highlight w:val="none"/>
        </w:rPr>
        <w:t>辆</w:t>
      </w:r>
      <w:r>
        <w:rPr>
          <w:rFonts w:hint="default" w:ascii="Times New Roman" w:hAnsi="Times New Roman" w:eastAsia="仿宋_GB2312" w:cs="Times New Roman"/>
          <w:color w:val="auto"/>
          <w:sz w:val="32"/>
          <w:szCs w:val="32"/>
          <w:highlight w:val="none"/>
          <w:lang w:eastAsia="zh-CN"/>
        </w:rPr>
        <w:t>。</w:t>
      </w:r>
    </w:p>
    <w:p>
      <w:pPr>
        <w:pageBreakBefore w:val="0"/>
        <w:kinsoku/>
        <w:wordWrap/>
        <w:overflowPunct/>
        <w:topLinePunct w:val="0"/>
        <w:autoSpaceDE w:val="0"/>
        <w:autoSpaceDN w:val="0"/>
        <w:bidi w:val="0"/>
        <w:adjustRightInd w:val="0"/>
        <w:spacing w:line="576" w:lineRule="exact"/>
        <w:ind w:left="0" w:leftChars="0" w:firstLine="642" w:firstLineChars="200"/>
        <w:jc w:val="left"/>
        <w:outlineLvl w:val="2"/>
        <w:rPr>
          <w:rFonts w:hint="default" w:ascii="Times New Roman" w:hAnsi="Times New Roman" w:eastAsia="楷体" w:cs="Times New Roman"/>
          <w:b/>
          <w:color w:val="auto"/>
          <w:sz w:val="32"/>
          <w:szCs w:val="32"/>
          <w:highlight w:val="none"/>
          <w:lang w:eastAsia="zh-CN"/>
        </w:rPr>
      </w:pPr>
      <w:r>
        <w:rPr>
          <w:rFonts w:hint="default" w:ascii="Times New Roman" w:hAnsi="Times New Roman" w:eastAsia="楷体" w:cs="Times New Roman"/>
          <w:b/>
          <w:color w:val="auto"/>
          <w:sz w:val="32"/>
          <w:szCs w:val="32"/>
          <w:highlight w:val="none"/>
        </w:rPr>
        <w:t>（四）预算绩效管理情况</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1.</w:t>
      </w:r>
      <w:r>
        <w:rPr>
          <w:rFonts w:hint="default" w:ascii="Times New Roman" w:hAnsi="Times New Roman" w:eastAsia="仿宋_GB2312" w:cs="Times New Roman"/>
          <w:sz w:val="32"/>
          <w:szCs w:val="32"/>
          <w:lang w:bidi="ar-SA"/>
        </w:rPr>
        <w:t>根据预算绩效管理要求，本单位在年初预算编制阶段，</w:t>
      </w:r>
      <w:r>
        <w:rPr>
          <w:rFonts w:hint="default" w:ascii="Times New Roman" w:hAnsi="Times New Roman" w:eastAsia="仿宋_GB2312" w:cs="Times New Roman"/>
          <w:sz w:val="32"/>
          <w:szCs w:val="32"/>
          <w:lang w:eastAsia="zh-CN" w:bidi="ar-SA"/>
        </w:rPr>
        <w:t>未对项目进行申报。</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333333"/>
          <w:sz w:val="32"/>
          <w:szCs w:val="32"/>
          <w:shd w:val="clear" w:color="auto" w:fill="FFFFFF"/>
          <w:lang w:bidi="ar-SA"/>
        </w:rPr>
      </w:pPr>
      <w:r>
        <w:rPr>
          <w:rFonts w:hint="default" w:ascii="Times New Roman" w:hAnsi="Times New Roman" w:eastAsia="仿宋_GB2312" w:cs="Times New Roman"/>
          <w:sz w:val="32"/>
          <w:szCs w:val="32"/>
          <w:lang w:bidi="ar-SA"/>
        </w:rPr>
        <w:t>本部门按要求对202</w:t>
      </w:r>
      <w:r>
        <w:rPr>
          <w:rFonts w:hint="default" w:ascii="Times New Roman" w:hAnsi="Times New Roman" w:eastAsia="仿宋_GB2312" w:cs="Times New Roman"/>
          <w:sz w:val="32"/>
          <w:szCs w:val="32"/>
          <w:lang w:val="en-US" w:eastAsia="zh-CN" w:bidi="ar-SA"/>
        </w:rPr>
        <w:t>5</w:t>
      </w:r>
      <w:r>
        <w:rPr>
          <w:rFonts w:hint="default" w:ascii="Times New Roman" w:hAnsi="Times New Roman" w:eastAsia="仿宋_GB2312" w:cs="Times New Roman"/>
          <w:sz w:val="32"/>
          <w:szCs w:val="32"/>
          <w:lang w:bidi="ar-SA"/>
        </w:rPr>
        <w:t>年部门整体支出开展绩效自评，从评价情况来看</w:t>
      </w:r>
      <w:r>
        <w:rPr>
          <w:rFonts w:hint="default" w:ascii="Times New Roman" w:hAnsi="Times New Roman" w:eastAsia="仿宋_GB2312" w:cs="Times New Roman"/>
          <w:color w:val="333333"/>
          <w:sz w:val="32"/>
          <w:szCs w:val="32"/>
          <w:shd w:val="clear" w:color="auto" w:fill="FFFFFF"/>
          <w:lang w:bidi="ar-SA"/>
        </w:rPr>
        <w:t>本部门预算绩效评估</w:t>
      </w:r>
      <w:r>
        <w:rPr>
          <w:rFonts w:hint="default" w:ascii="Times New Roman" w:hAnsi="Times New Roman" w:eastAsia="仿宋_GB2312" w:cs="Times New Roman"/>
          <w:color w:val="333333"/>
          <w:sz w:val="32"/>
          <w:szCs w:val="32"/>
          <w:shd w:val="clear" w:color="auto" w:fill="FFFFFF"/>
          <w:lang w:eastAsia="zh-CN" w:bidi="ar-SA"/>
        </w:rPr>
        <w:t>较好地完成</w:t>
      </w:r>
      <w:r>
        <w:rPr>
          <w:rFonts w:hint="default" w:ascii="Times New Roman" w:hAnsi="Times New Roman" w:eastAsia="仿宋_GB2312" w:cs="Times New Roman"/>
          <w:color w:val="333333"/>
          <w:sz w:val="32"/>
          <w:szCs w:val="32"/>
          <w:shd w:val="clear" w:color="auto" w:fill="FFFFFF"/>
          <w:lang w:bidi="ar-SA"/>
        </w:rPr>
        <w:t>了项目目标任务。</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2.部门绩效评价结果。</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本部门按要求对202</w:t>
      </w:r>
      <w:r>
        <w:rPr>
          <w:rFonts w:hint="default" w:ascii="Times New Roman" w:hAnsi="Times New Roman" w:eastAsia="仿宋_GB2312" w:cs="Times New Roman"/>
          <w:sz w:val="32"/>
          <w:szCs w:val="32"/>
          <w:lang w:val="en-US" w:eastAsia="zh-CN" w:bidi="ar-SA"/>
        </w:rPr>
        <w:t>5</w:t>
      </w:r>
      <w:r>
        <w:rPr>
          <w:rFonts w:hint="default" w:ascii="Times New Roman" w:hAnsi="Times New Roman" w:eastAsia="仿宋_GB2312" w:cs="Times New Roman"/>
          <w:sz w:val="32"/>
          <w:szCs w:val="32"/>
          <w:lang w:bidi="ar-SA"/>
        </w:rPr>
        <w:t>年部门整体支出绩效评价情况开展自评，《</w:t>
      </w:r>
      <w:r>
        <w:rPr>
          <w:rFonts w:hint="default" w:ascii="Times New Roman" w:hAnsi="Times New Roman" w:eastAsia="仿宋_GB2312" w:cs="Times New Roman"/>
          <w:color w:val="000000"/>
          <w:sz w:val="32"/>
          <w:szCs w:val="32"/>
          <w:lang w:eastAsia="zh-CN"/>
        </w:rPr>
        <w:t>住房和城乡建设局</w:t>
      </w:r>
      <w:r>
        <w:rPr>
          <w:rFonts w:hint="default" w:ascii="Times New Roman" w:hAnsi="Times New Roman" w:eastAsia="仿宋_GB2312" w:cs="Times New Roman"/>
          <w:sz w:val="32"/>
          <w:szCs w:val="32"/>
          <w:lang w:bidi="ar-SA"/>
        </w:rPr>
        <w:t>202</w:t>
      </w:r>
      <w:r>
        <w:rPr>
          <w:rFonts w:hint="default" w:ascii="Times New Roman" w:hAnsi="Times New Roman" w:eastAsia="仿宋_GB2312" w:cs="Times New Roman"/>
          <w:sz w:val="32"/>
          <w:szCs w:val="32"/>
          <w:lang w:val="en-US" w:eastAsia="zh-CN" w:bidi="ar-SA"/>
        </w:rPr>
        <w:t>5</w:t>
      </w:r>
      <w:r>
        <w:rPr>
          <w:rFonts w:hint="default" w:ascii="Times New Roman" w:hAnsi="Times New Roman" w:eastAsia="仿宋_GB2312" w:cs="Times New Roman"/>
          <w:sz w:val="32"/>
          <w:szCs w:val="32"/>
          <w:lang w:bidi="ar-SA"/>
        </w:rPr>
        <w:t>年部门整体支出绩效评价报告》见附件。</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keepNext w:val="0"/>
        <w:keepLines w:val="0"/>
        <w:pageBreakBefore w:val="0"/>
        <w:numPr>
          <w:ilvl w:val="0"/>
          <w:numId w:val="0"/>
        </w:numPr>
        <w:kinsoku/>
        <w:wordWrap/>
        <w:overflowPunct/>
        <w:topLinePunct w:val="0"/>
        <w:bidi w:val="0"/>
        <w:snapToGrid/>
        <w:spacing w:line="560" w:lineRule="exact"/>
        <w:ind w:left="0" w:leftChars="0"/>
        <w:jc w:val="center"/>
        <w:textAlignment w:val="auto"/>
        <w:outlineLvl w:val="0"/>
        <w:rPr>
          <w:rStyle w:val="16"/>
          <w:rFonts w:hint="default" w:ascii="Times New Roman" w:hAnsi="Times New Roman" w:eastAsia="黑体" w:cs="Times New Roman"/>
          <w:b w:val="0"/>
          <w:color w:val="auto"/>
          <w:highlight w:val="none"/>
        </w:rPr>
      </w:pPr>
      <w:bookmarkStart w:id="56" w:name="_Toc19997"/>
      <w:r>
        <w:rPr>
          <w:rFonts w:hint="default" w:ascii="Times New Roman" w:hAnsi="Times New Roman" w:eastAsia="黑体" w:cs="Times New Roman"/>
          <w:color w:val="auto"/>
          <w:sz w:val="44"/>
          <w:szCs w:val="44"/>
          <w:highlight w:val="none"/>
          <w:lang w:eastAsia="zh-CN"/>
        </w:rPr>
        <w:t>第三部分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w:t>
      </w:r>
      <w:r>
        <w:rPr>
          <w:rStyle w:val="16"/>
          <w:rFonts w:hint="default" w:ascii="Times New Roman" w:hAnsi="Times New Roman" w:eastAsia="黑体" w:cs="Times New Roman"/>
          <w:b w:val="0"/>
          <w:color w:val="auto"/>
          <w:highlight w:val="none"/>
        </w:rPr>
        <w:t>词解释</w:t>
      </w:r>
      <w:bookmarkEnd w:id="56"/>
    </w:p>
    <w:p>
      <w:pPr>
        <w:pStyle w:val="2"/>
        <w:keepNext w:val="0"/>
        <w:keepLines w:val="0"/>
        <w:pageBreakBefore w:val="0"/>
        <w:kinsoku/>
        <w:wordWrap/>
        <w:overflowPunct/>
        <w:topLinePunct w:val="0"/>
        <w:bidi w:val="0"/>
        <w:snapToGrid/>
        <w:spacing w:line="560" w:lineRule="exact"/>
        <w:ind w:left="420" w:leftChars="0"/>
        <w:textAlignment w:val="auto"/>
        <w:rPr>
          <w:rFonts w:hint="default" w:ascii="Times New Roman" w:hAnsi="Times New Roman" w:cs="Times New Roman"/>
        </w:rPr>
      </w:pP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b w:val="0"/>
          <w:bCs w:val="0"/>
          <w:color w:val="333333"/>
          <w:kern w:val="2"/>
          <w:sz w:val="32"/>
          <w:szCs w:val="32"/>
          <w:shd w:val="clear" w:color="auto" w:fill="FFFFFF"/>
          <w:lang w:val="en-US" w:eastAsia="zh-CN" w:bidi="ar-SA"/>
        </w:rPr>
        <w:t>财政拨款收入（类）</w:t>
      </w:r>
      <w:r>
        <w:rPr>
          <w:rFonts w:hint="default" w:ascii="Times New Roman" w:hAnsi="Times New Roman" w:eastAsia="仿宋_GB2312" w:cs="Times New Roman"/>
          <w:b w:val="0"/>
          <w:bCs w:val="0"/>
          <w:sz w:val="32"/>
          <w:szCs w:val="32"/>
        </w:rPr>
        <w:t xml:space="preserve">：指单位从同级财政部门取得的财政预算资金。 </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color w:val="333333"/>
          <w:kern w:val="2"/>
          <w:sz w:val="32"/>
          <w:szCs w:val="32"/>
          <w:shd w:val="clear" w:color="auto" w:fill="FFFFFF"/>
          <w:lang w:val="en-US" w:eastAsia="zh-CN" w:bidi="ar-SA"/>
        </w:rPr>
        <w:t>年初结转和结余（类）</w:t>
      </w:r>
      <w:r>
        <w:rPr>
          <w:rFonts w:hint="default" w:ascii="Times New Roman" w:hAnsi="Times New Roman" w:eastAsia="仿宋_GB2312" w:cs="Times New Roman"/>
          <w:b w:val="0"/>
          <w:bCs w:val="0"/>
          <w:sz w:val="32"/>
          <w:szCs w:val="32"/>
        </w:rPr>
        <w:t xml:space="preserve">：指以前年度尚未完成、结转到本年按有关规定继续使用的资金。 </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color w:val="333333"/>
          <w:kern w:val="2"/>
          <w:sz w:val="32"/>
          <w:szCs w:val="32"/>
          <w:shd w:val="clear" w:color="auto" w:fill="FFFFFF"/>
          <w:lang w:val="en-US" w:eastAsia="zh-CN" w:bidi="ar-SA"/>
        </w:rPr>
        <w:t>年末结转和结余（类）</w:t>
      </w:r>
      <w:r>
        <w:rPr>
          <w:rFonts w:hint="default" w:ascii="Times New Roman" w:hAnsi="Times New Roman" w:eastAsia="仿宋_GB2312" w:cs="Times New Roman"/>
          <w:b w:val="0"/>
          <w:bCs w:val="0"/>
          <w:sz w:val="32"/>
          <w:szCs w:val="32"/>
        </w:rPr>
        <w:t>：指单位按有关规定结转到下年或以后年度继续使用的资金。</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color w:val="333333"/>
          <w:sz w:val="32"/>
          <w:szCs w:val="32"/>
          <w:shd w:val="clear" w:color="auto" w:fill="FFFFFF"/>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4</w:t>
      </w:r>
      <w:r>
        <w:rPr>
          <w:rFonts w:hint="default" w:ascii="Times New Roman" w:hAnsi="Times New Roman" w:eastAsia="仿宋_GB2312" w:cs="Times New Roman"/>
          <w:b w:val="0"/>
          <w:bCs w:val="0"/>
          <w:color w:val="333333"/>
          <w:sz w:val="32"/>
          <w:szCs w:val="32"/>
          <w:shd w:val="clear" w:color="auto" w:fill="FFFFFF"/>
          <w:lang w:bidi="ar-SA"/>
        </w:rPr>
        <w:t>.一般公共服务（类）组织事务，其他组织事务</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其他用于中国共产党组织部门的事务支出。</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5</w:t>
      </w:r>
      <w:r>
        <w:rPr>
          <w:rFonts w:hint="default" w:ascii="Times New Roman" w:hAnsi="Times New Roman" w:eastAsia="仿宋_GB2312" w:cs="Times New Roman"/>
          <w:b w:val="0"/>
          <w:bCs w:val="0"/>
          <w:color w:val="333333"/>
          <w:sz w:val="32"/>
          <w:szCs w:val="32"/>
          <w:shd w:val="clear" w:color="auto" w:fill="FFFFFF"/>
          <w:lang w:bidi="ar-SA"/>
        </w:rPr>
        <w:t>.社会保障和就业（类）行政事业单位离退休（款）机关事业养老保险</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是指机关事业单位实施养老保险制度由单位缴纳的基本养老保险制度，机关事业单位职业年金：是指机关事业单位实施养老保险制度由单位缴纳的职业年金支出。</w:t>
      </w:r>
    </w:p>
    <w:p>
      <w:pPr>
        <w:pStyle w:val="11"/>
        <w:keepNext w:val="0"/>
        <w:keepLines w:val="0"/>
        <w:pageBreakBefore w:val="0"/>
        <w:widowControl/>
        <w:suppressLineNumbers w:val="0"/>
        <w:suppressAutoHyphens/>
        <w:kinsoku/>
        <w:wordWrap/>
        <w:overflowPunct/>
        <w:topLinePunct w:val="0"/>
        <w:bidi w:val="0"/>
        <w:snapToGrid/>
        <w:spacing w:beforeAutospacing="0" w:afterAutospacing="0" w:line="560" w:lineRule="exact"/>
        <w:ind w:left="0" w:leftChars="0" w:right="0" w:firstLine="640" w:firstLineChars="200"/>
        <w:textAlignment w:val="auto"/>
        <w:rPr>
          <w:rFonts w:hint="default" w:ascii="Times New Roman" w:hAnsi="Times New Roman" w:eastAsia="仿宋_GB2312" w:cs="Times New Roman"/>
          <w:b w:val="0"/>
          <w:bCs w:val="0"/>
          <w:color w:val="333333"/>
          <w:sz w:val="32"/>
          <w:szCs w:val="32"/>
          <w:shd w:val="clear" w:color="auto" w:fill="FFFFFF"/>
          <w:lang w:eastAsia="zh-CN"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6</w:t>
      </w:r>
      <w:r>
        <w:rPr>
          <w:rFonts w:hint="default" w:ascii="Times New Roman" w:hAnsi="Times New Roman" w:eastAsia="仿宋_GB2312" w:cs="Times New Roman"/>
          <w:b w:val="0"/>
          <w:bCs w:val="0"/>
          <w:color w:val="333333"/>
          <w:sz w:val="32"/>
          <w:szCs w:val="32"/>
          <w:shd w:val="clear" w:color="auto" w:fill="FFFFFF"/>
          <w:lang w:bidi="ar-SA"/>
        </w:rPr>
        <w:t>.医疗卫生与计划生育（类）行政单位医疗（款）行政单位医疗（项）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是指财政部门集中安排的行政单位基本医疗保险费经费</w:t>
      </w:r>
      <w:r>
        <w:rPr>
          <w:rFonts w:hint="default" w:ascii="Times New Roman" w:hAnsi="Times New Roman" w:eastAsia="仿宋_GB2312" w:cs="Times New Roman"/>
          <w:b w:val="0"/>
          <w:bCs w:val="0"/>
          <w:color w:val="333333"/>
          <w:sz w:val="32"/>
          <w:szCs w:val="32"/>
          <w:shd w:val="clear" w:color="auto" w:fill="FFFFFF"/>
          <w:lang w:eastAsia="zh-CN" w:bidi="ar-SA"/>
        </w:rPr>
        <w:t>。</w:t>
      </w:r>
    </w:p>
    <w:p>
      <w:pPr>
        <w:pStyle w:val="11"/>
        <w:keepNext w:val="0"/>
        <w:keepLines w:val="0"/>
        <w:pageBreakBefore w:val="0"/>
        <w:widowControl/>
        <w:suppressLineNumbers w:val="0"/>
        <w:suppressAutoHyphens/>
        <w:kinsoku/>
        <w:wordWrap/>
        <w:overflowPunct/>
        <w:topLinePunct w:val="0"/>
        <w:bidi w:val="0"/>
        <w:snapToGrid/>
        <w:spacing w:beforeAutospacing="0" w:afterAutospacing="0" w:line="560" w:lineRule="exact"/>
        <w:ind w:left="0" w:leftChars="0" w:right="0" w:firstLine="640" w:firstLineChars="200"/>
        <w:textAlignment w:val="auto"/>
        <w:rPr>
          <w:rFonts w:hint="default" w:ascii="Times New Roman" w:hAnsi="Times New Roman" w:eastAsia="仿宋_GB2312" w:cs="Times New Roman"/>
          <w:b w:val="0"/>
          <w:bCs w:val="0"/>
          <w:color w:val="333333"/>
          <w:sz w:val="32"/>
          <w:szCs w:val="32"/>
          <w:shd w:val="clear" w:color="auto" w:fill="FFFFFF"/>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7</w:t>
      </w:r>
      <w:r>
        <w:rPr>
          <w:rFonts w:hint="default" w:ascii="Times New Roman" w:hAnsi="Times New Roman" w:eastAsia="仿宋_GB2312" w:cs="Times New Roman"/>
          <w:b w:val="0"/>
          <w:bCs w:val="0"/>
          <w:color w:val="333333"/>
          <w:sz w:val="32"/>
          <w:szCs w:val="32"/>
          <w:shd w:val="clear" w:color="auto" w:fill="FFFFFF"/>
          <w:lang w:bidi="ar-SA"/>
        </w:rPr>
        <w:t>.节能环保</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val="en-US" w:eastAsia="zh-CN" w:bidi="ar-SA"/>
        </w:rPr>
        <w:t>类</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：生态保护：是指用于生态功能保护区、生态示范区，生态省（市、县）管理及能力建设，日常管护、宣教、试点示范等支出。农村环境保护：是指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用于农村环境方面的支出。</w:t>
      </w:r>
    </w:p>
    <w:p>
      <w:pPr>
        <w:pStyle w:val="11"/>
        <w:keepNext w:val="0"/>
        <w:keepLines w:val="0"/>
        <w:pageBreakBefore w:val="0"/>
        <w:widowControl/>
        <w:suppressLineNumbers w:val="0"/>
        <w:suppressAutoHyphens/>
        <w:kinsoku/>
        <w:wordWrap/>
        <w:overflowPunct/>
        <w:topLinePunct w:val="0"/>
        <w:bidi w:val="0"/>
        <w:snapToGrid/>
        <w:spacing w:beforeAutospacing="0" w:afterAutospacing="0" w:line="560" w:lineRule="exact"/>
        <w:ind w:left="0" w:leftChars="0" w:right="0" w:firstLine="640" w:firstLineChars="200"/>
        <w:textAlignment w:val="auto"/>
        <w:rPr>
          <w:rFonts w:hint="default" w:ascii="Times New Roman" w:hAnsi="Times New Roman" w:eastAsia="仿宋_GB2312" w:cs="Times New Roman"/>
          <w:b w:val="0"/>
          <w:bCs w:val="0"/>
          <w:sz w:val="32"/>
          <w:szCs w:val="32"/>
          <w:lang w:eastAsia="zh-CN"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8</w:t>
      </w:r>
      <w:r>
        <w:rPr>
          <w:rFonts w:hint="default" w:ascii="Times New Roman" w:hAnsi="Times New Roman" w:eastAsia="仿宋_GB2312" w:cs="Times New Roman"/>
          <w:b w:val="0"/>
          <w:bCs w:val="0"/>
          <w:color w:val="333333"/>
          <w:sz w:val="32"/>
          <w:szCs w:val="32"/>
          <w:shd w:val="clear" w:color="auto" w:fill="FFFFFF"/>
          <w:lang w:bidi="ar-SA"/>
        </w:rPr>
        <w:t>.城乡社区（类）城乡社区管理事务（款）行政运行支出（项）：是指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单位的基本支出，城管执法：是指城市管理综合执法加强城市市容</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环境卫生管理等方面的支出。其他城乡社区管理事务支出：是指其他用于城乡社区管理事务方面的支出，城乡社区规划与管理防震减灾、历史名城规划制定与管理方面的支出。城乡社区公共设施、其他城乡社区公共设施：用于城乡社区公共设施方面的支出。城乡社区环境卫生：是指城乡社区道路清扫、垃圾清运与处理、公厕建设与维护、园林绿化等方面的支出。国有土地</w:t>
      </w:r>
      <w:r>
        <w:rPr>
          <w:rFonts w:hint="eastAsia" w:ascii="Times New Roman" w:hAnsi="Times New Roman" w:eastAsia="仿宋_GB2312" w:cs="Times New Roman"/>
          <w:b w:val="0"/>
          <w:bCs w:val="0"/>
          <w:color w:val="333333"/>
          <w:sz w:val="32"/>
          <w:szCs w:val="32"/>
          <w:shd w:val="clear" w:color="auto" w:fill="FFFFFF"/>
          <w:lang w:eastAsia="zh-CN" w:bidi="ar-SA"/>
        </w:rPr>
        <w:t>使用权出让收入</w:t>
      </w:r>
      <w:r>
        <w:rPr>
          <w:rFonts w:hint="default" w:ascii="Times New Roman" w:hAnsi="Times New Roman" w:eastAsia="仿宋_GB2312" w:cs="Times New Roman"/>
          <w:b w:val="0"/>
          <w:bCs w:val="0"/>
          <w:color w:val="333333"/>
          <w:sz w:val="32"/>
          <w:szCs w:val="32"/>
          <w:shd w:val="clear" w:color="auto" w:fill="FFFFFF"/>
          <w:lang w:bidi="ar-SA"/>
        </w:rPr>
        <w:t>及对应专项债务收入安排的支出：廉租住房支出：用：是指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城乡社区、风景名胜区</w:t>
      </w:r>
      <w:r>
        <w:rPr>
          <w:rFonts w:hint="eastAsia"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新建、改建购买租赁廉租住房支出。国有土地收益基金及对应专项债务收入安排的支出</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其他城乡社区支出</w:t>
      </w:r>
      <w:r>
        <w:rPr>
          <w:rFonts w:hint="default" w:ascii="Times New Roman" w:hAnsi="Times New Roman" w:eastAsia="仿宋_GB2312" w:cs="Times New Roman"/>
          <w:b w:val="0"/>
          <w:bCs w:val="0"/>
          <w:color w:val="333333"/>
          <w:sz w:val="32"/>
          <w:szCs w:val="32"/>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其他社区支出</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用于城乡社区方面的支出</w:t>
      </w:r>
      <w:r>
        <w:rPr>
          <w:rFonts w:hint="default" w:ascii="Times New Roman" w:hAnsi="Times New Roman" w:eastAsia="仿宋_GB2312" w:cs="Times New Roman"/>
          <w:b w:val="0"/>
          <w:bCs w:val="0"/>
          <w:color w:val="333333"/>
          <w:sz w:val="32"/>
          <w:szCs w:val="32"/>
          <w:shd w:val="clear" w:color="auto" w:fill="FFFFFF"/>
          <w:lang w:eastAsia="zh-CN" w:bidi="ar-SA"/>
        </w:rPr>
        <w:t>。</w:t>
      </w:r>
    </w:p>
    <w:p>
      <w:pPr>
        <w:pStyle w:val="11"/>
        <w:keepNext w:val="0"/>
        <w:keepLines w:val="0"/>
        <w:pageBreakBefore w:val="0"/>
        <w:widowControl/>
        <w:suppressLineNumbers w:val="0"/>
        <w:suppressAutoHyphens/>
        <w:kinsoku/>
        <w:wordWrap/>
        <w:overflowPunct/>
        <w:topLinePunct w:val="0"/>
        <w:bidi w:val="0"/>
        <w:snapToGrid/>
        <w:spacing w:beforeAutospacing="0" w:afterAutospacing="0" w:line="560" w:lineRule="exact"/>
        <w:ind w:left="0" w:leftChars="0" w:right="0" w:firstLine="640" w:firstLineChars="200"/>
        <w:textAlignment w:val="auto"/>
        <w:rPr>
          <w:rFonts w:hint="default" w:ascii="Times New Roman" w:hAnsi="Times New Roman" w:eastAsia="仿宋_GB2312" w:cs="Times New Roman"/>
          <w:b w:val="0"/>
          <w:bCs w:val="0"/>
          <w:color w:val="333333"/>
          <w:sz w:val="32"/>
          <w:szCs w:val="32"/>
          <w:shd w:val="clear" w:color="auto" w:fill="FFFFFF"/>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9</w:t>
      </w:r>
      <w:r>
        <w:rPr>
          <w:rFonts w:hint="default" w:ascii="Times New Roman" w:hAnsi="Times New Roman" w:eastAsia="仿宋_GB2312" w:cs="Times New Roman"/>
          <w:b w:val="0"/>
          <w:bCs w:val="0"/>
          <w:color w:val="333333"/>
          <w:sz w:val="32"/>
          <w:szCs w:val="32"/>
          <w:shd w:val="clear" w:color="auto" w:fill="FFFFFF"/>
          <w:lang w:bidi="ar-SA"/>
        </w:rPr>
        <w:t>.农林水支出（类）水利（款）其他水利支出（项）：是指其他用于水利方面的支出扶贫</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农村基础设施建设：用于农村</w:t>
      </w:r>
      <w:r>
        <w:rPr>
          <w:rFonts w:hint="default" w:ascii="Times New Roman" w:hAnsi="Times New Roman" w:eastAsia="仿宋_GB2312" w:cs="Times New Roman"/>
          <w:b w:val="0"/>
          <w:bCs w:val="0"/>
          <w:color w:val="333333"/>
          <w:sz w:val="32"/>
          <w:szCs w:val="32"/>
          <w:shd w:val="clear" w:color="auto" w:fill="FFFFFF"/>
          <w:lang w:eastAsia="zh-CN" w:bidi="ar-SA"/>
        </w:rPr>
        <w:t>贫困地区</w:t>
      </w:r>
      <w:r>
        <w:rPr>
          <w:rFonts w:hint="default" w:ascii="Times New Roman" w:hAnsi="Times New Roman" w:eastAsia="仿宋_GB2312" w:cs="Times New Roman"/>
          <w:b w:val="0"/>
          <w:bCs w:val="0"/>
          <w:color w:val="333333"/>
          <w:sz w:val="32"/>
          <w:szCs w:val="32"/>
          <w:shd w:val="clear" w:color="auto" w:fill="FFFFFF"/>
          <w:lang w:bidi="ar-SA"/>
        </w:rPr>
        <w:t>乡村道路，住房、基本农田水利设施、人畜饮水生态环境保护等生产生活条件改善方面的支出。其他农林水支出：是指其他用于农林水的支出。</w:t>
      </w:r>
    </w:p>
    <w:p>
      <w:pPr>
        <w:pStyle w:val="11"/>
        <w:keepNext w:val="0"/>
        <w:keepLines w:val="0"/>
        <w:pageBreakBefore w:val="0"/>
        <w:widowControl/>
        <w:suppressLineNumbers w:val="0"/>
        <w:suppressAutoHyphens/>
        <w:kinsoku/>
        <w:wordWrap/>
        <w:overflowPunct/>
        <w:topLinePunct w:val="0"/>
        <w:bidi w:val="0"/>
        <w:snapToGrid/>
        <w:spacing w:beforeAutospacing="0" w:afterAutospacing="0" w:line="560" w:lineRule="exact"/>
        <w:ind w:left="0" w:leftChars="0" w:right="0" w:firstLine="640" w:firstLineChars="200"/>
        <w:textAlignment w:val="auto"/>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333333"/>
          <w:sz w:val="32"/>
          <w:szCs w:val="32"/>
          <w:shd w:val="clear" w:color="auto" w:fill="FFFFFF"/>
          <w:lang w:val="en-US" w:eastAsia="zh-CN" w:bidi="ar-SA"/>
        </w:rPr>
        <w:t>10</w:t>
      </w:r>
      <w:r>
        <w:rPr>
          <w:rFonts w:hint="default" w:ascii="Times New Roman" w:hAnsi="Times New Roman" w:eastAsia="仿宋_GB2312" w:cs="Times New Roman"/>
          <w:b w:val="0"/>
          <w:bCs w:val="0"/>
          <w:color w:val="333333"/>
          <w:sz w:val="32"/>
          <w:szCs w:val="32"/>
          <w:shd w:val="clear" w:color="auto" w:fill="FFFFFF"/>
          <w:lang w:bidi="ar-SA"/>
        </w:rPr>
        <w:t>.住房保障支出（类）保障性安居工程（款）廉租住房（项）：是指廉租住房支出</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用于新建、改建购买租赁廉租住房支出。棚户区改造：是指</w:t>
      </w:r>
      <w:r>
        <w:rPr>
          <w:rFonts w:hint="default" w:ascii="Times New Roman" w:hAnsi="Times New Roman" w:eastAsia="仿宋_GB2312" w:cs="Times New Roman"/>
          <w:b w:val="0"/>
          <w:bCs w:val="0"/>
          <w:color w:val="333333"/>
          <w:sz w:val="32"/>
          <w:szCs w:val="32"/>
          <w:shd w:val="clear" w:color="auto" w:fill="FFFFFF"/>
          <w:lang w:eastAsia="zh-CN" w:bidi="ar-SA"/>
        </w:rPr>
        <w:t>反映</w:t>
      </w:r>
      <w:r>
        <w:rPr>
          <w:rFonts w:hint="default" w:ascii="Times New Roman" w:hAnsi="Times New Roman" w:eastAsia="仿宋_GB2312" w:cs="Times New Roman"/>
          <w:b w:val="0"/>
          <w:bCs w:val="0"/>
          <w:color w:val="333333"/>
          <w:sz w:val="32"/>
          <w:szCs w:val="32"/>
          <w:shd w:val="clear" w:color="auto" w:fill="FFFFFF"/>
          <w:lang w:bidi="ar-SA"/>
        </w:rPr>
        <w:t>棚户区改造的支出。农村危房改造：用于农村</w:t>
      </w:r>
      <w:r>
        <w:rPr>
          <w:rFonts w:hint="default" w:ascii="Times New Roman" w:hAnsi="Times New Roman" w:eastAsia="仿宋_GB2312" w:cs="Times New Roman"/>
          <w:b w:val="0"/>
          <w:bCs w:val="0"/>
          <w:color w:val="333333"/>
          <w:sz w:val="32"/>
          <w:szCs w:val="32"/>
          <w:shd w:val="clear" w:color="auto" w:fill="FFFFFF"/>
          <w:lang w:eastAsia="zh-CN" w:bidi="ar-SA"/>
        </w:rPr>
        <w:t>危房改造</w:t>
      </w:r>
      <w:r>
        <w:rPr>
          <w:rFonts w:hint="default" w:ascii="Times New Roman" w:hAnsi="Times New Roman" w:eastAsia="仿宋_GB2312" w:cs="Times New Roman"/>
          <w:b w:val="0"/>
          <w:bCs w:val="0"/>
          <w:color w:val="333333"/>
          <w:sz w:val="32"/>
          <w:szCs w:val="32"/>
          <w:shd w:val="clear" w:color="auto" w:fill="FFFFFF"/>
          <w:lang w:bidi="ar-SA"/>
        </w:rPr>
        <w:t>支出</w:t>
      </w:r>
      <w:r>
        <w:rPr>
          <w:rFonts w:hint="default" w:ascii="Times New Roman" w:hAnsi="Times New Roman" w:eastAsia="仿宋_GB2312" w:cs="Times New Roman"/>
          <w:b w:val="0"/>
          <w:bCs w:val="0"/>
          <w:color w:val="333333"/>
          <w:sz w:val="32"/>
          <w:szCs w:val="32"/>
          <w:highlight w:val="none"/>
          <w:shd w:val="clear" w:color="auto" w:fill="FFFFFF"/>
          <w:lang w:bidi="ar-SA"/>
        </w:rPr>
        <w:t>、</w:t>
      </w:r>
      <w:r>
        <w:rPr>
          <w:rFonts w:hint="default" w:ascii="Times New Roman" w:hAnsi="Times New Roman" w:eastAsia="仿宋_GB2312" w:cs="Times New Roman"/>
          <w:b w:val="0"/>
          <w:bCs w:val="0"/>
          <w:color w:val="333333"/>
          <w:sz w:val="32"/>
          <w:szCs w:val="32"/>
          <w:shd w:val="clear" w:color="auto" w:fill="FFFFFF"/>
          <w:lang w:bidi="ar-SA"/>
        </w:rPr>
        <w:t>住房改革支出</w:t>
      </w:r>
      <w:r>
        <w:rPr>
          <w:rFonts w:hint="default" w:ascii="Times New Roman" w:hAnsi="Times New Roman" w:eastAsia="仿宋_GB2312" w:cs="Times New Roman"/>
          <w:b w:val="0"/>
          <w:bCs w:val="0"/>
          <w:color w:val="333333"/>
          <w:sz w:val="32"/>
          <w:szCs w:val="32"/>
          <w:highlight w:val="none"/>
          <w:shd w:val="clear" w:color="auto" w:fill="FFFFFF"/>
          <w:lang w:eastAsia="zh-CN" w:bidi="ar-SA"/>
        </w:rPr>
        <w:t>。</w:t>
      </w:r>
      <w:r>
        <w:rPr>
          <w:rFonts w:hint="default" w:ascii="Times New Roman" w:hAnsi="Times New Roman" w:eastAsia="仿宋_GB2312" w:cs="Times New Roman"/>
          <w:b w:val="0"/>
          <w:bCs w:val="0"/>
          <w:color w:val="333333"/>
          <w:sz w:val="32"/>
          <w:szCs w:val="32"/>
          <w:shd w:val="clear" w:color="auto" w:fill="FFFFFF"/>
          <w:lang w:bidi="ar-SA"/>
        </w:rPr>
        <w:t>住房公积金：是指按规定缴纳的公积金</w:t>
      </w:r>
      <w:r>
        <w:rPr>
          <w:rFonts w:hint="default" w:ascii="Times New Roman" w:hAnsi="Times New Roman" w:eastAsia="仿宋_GB2312" w:cs="Times New Roman"/>
          <w:b w:val="0"/>
          <w:bCs w:val="0"/>
          <w:color w:val="000000"/>
          <w:sz w:val="32"/>
          <w:szCs w:val="32"/>
          <w:lang w:bidi="ar-SA"/>
        </w:rPr>
        <w:t>。</w:t>
      </w:r>
    </w:p>
    <w:p>
      <w:pPr>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11.基本支出（类）：</w:t>
      </w:r>
      <w:r>
        <w:rPr>
          <w:rFonts w:hint="default" w:ascii="Times New Roman" w:hAnsi="Times New Roman" w:eastAsia="仿宋_GB2312" w:cs="Times New Roman"/>
          <w:b w:val="0"/>
          <w:bCs w:val="0"/>
          <w:color w:val="000000"/>
          <w:sz w:val="32"/>
          <w:szCs w:val="32"/>
          <w:lang w:bidi="ar-SA"/>
        </w:rPr>
        <w:t>指为保障机构正常运转、完成日常工作任务而发生的人员支出和公用支出。</w:t>
      </w:r>
    </w:p>
    <w:p>
      <w:pPr>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color w:val="00000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12.项目支出（类）：</w:t>
      </w:r>
      <w:r>
        <w:rPr>
          <w:rFonts w:hint="default" w:ascii="Times New Roman" w:hAnsi="Times New Roman" w:eastAsia="仿宋_GB2312" w:cs="Times New Roman"/>
          <w:b w:val="0"/>
          <w:bCs w:val="0"/>
          <w:color w:val="000000"/>
          <w:sz w:val="32"/>
          <w:szCs w:val="32"/>
          <w:lang w:bidi="ar-SA"/>
        </w:rPr>
        <w:t xml:space="preserve">指在基本支出之外为完成特定行政任务和事业发展目标所发生的支出。 </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13.“三公”经费（类）：</w:t>
      </w:r>
      <w:r>
        <w:rPr>
          <w:rFonts w:hint="default" w:ascii="Times New Roman" w:hAnsi="Times New Roman" w:eastAsia="仿宋_GB2312" w:cs="Times New Roman"/>
          <w:b w:val="0"/>
          <w:bCs w:val="0"/>
          <w:sz w:val="32"/>
          <w:szCs w:val="32"/>
          <w:lang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2"/>
        <w:keepNext w:val="0"/>
        <w:keepLines w:val="0"/>
        <w:pageBreakBefore w:val="0"/>
        <w:kinsoku/>
        <w:wordWrap/>
        <w:overflowPunct/>
        <w:topLinePunct w:val="0"/>
        <w:bidi w:val="0"/>
        <w:snapToGrid/>
        <w:spacing w:line="560" w:lineRule="exact"/>
        <w:ind w:left="0" w:leftChars="0"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b w:val="0"/>
          <w:bCs w:val="0"/>
          <w:color w:val="333333"/>
          <w:kern w:val="2"/>
          <w:sz w:val="32"/>
          <w:szCs w:val="32"/>
          <w:shd w:val="clear" w:color="auto" w:fill="FFFFFF"/>
          <w:lang w:val="en-US" w:eastAsia="zh-CN" w:bidi="ar-SA"/>
        </w:rPr>
        <w:t>14.机关运行经费（类）：</w:t>
      </w:r>
      <w:r>
        <w:rPr>
          <w:rFonts w:hint="default" w:ascii="Times New Roman" w:hAnsi="Times New Roman" w:eastAsia="仿宋_GB2312" w:cs="Times New Roman"/>
          <w:b w:val="0"/>
          <w:bCs w:val="0"/>
          <w:sz w:val="32"/>
          <w:szCs w:val="32"/>
          <w:lang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pageBreakBefore w:val="0"/>
        <w:kinsoku/>
        <w:wordWrap/>
        <w:overflowPunct/>
        <w:topLinePunct w:val="0"/>
        <w:bidi w:val="0"/>
        <w:spacing w:line="576" w:lineRule="exact"/>
        <w:jc w:val="center"/>
        <w:outlineLvl w:val="0"/>
        <w:rPr>
          <w:rFonts w:hint="default" w:ascii="Times New Roman" w:hAnsi="Times New Roman" w:eastAsia="仿宋_GB2312" w:cs="Times New Roman"/>
          <w:color w:val="auto"/>
          <w:sz w:val="32"/>
          <w:szCs w:val="32"/>
          <w:highlight w:val="none"/>
        </w:rPr>
      </w:pPr>
      <w:bookmarkStart w:id="57" w:name="_Toc7718"/>
      <w:r>
        <w:rPr>
          <w:rFonts w:hint="default" w:ascii="Times New Roman" w:hAnsi="Times New Roman" w:eastAsia="黑体" w:cs="Times New Roman"/>
          <w:color w:val="auto"/>
          <w:sz w:val="44"/>
          <w:szCs w:val="44"/>
          <w:highlight w:val="none"/>
        </w:rPr>
        <w:t>第</w:t>
      </w:r>
      <w:r>
        <w:rPr>
          <w:rStyle w:val="16"/>
          <w:rFonts w:hint="default" w:ascii="Times New Roman" w:hAnsi="Times New Roman" w:eastAsia="黑体" w:cs="Times New Roman"/>
          <w:b w:val="0"/>
          <w:color w:val="auto"/>
          <w:highlight w:val="none"/>
        </w:rPr>
        <w:t>四部分 附件</w:t>
      </w:r>
      <w:bookmarkEnd w:id="57"/>
    </w:p>
    <w:p>
      <w:pPr>
        <w:pStyle w:val="22"/>
        <w:pageBreakBefore w:val="0"/>
        <w:kinsoku/>
        <w:wordWrap/>
        <w:overflowPunct/>
        <w:topLinePunct w:val="0"/>
        <w:bidi w:val="0"/>
        <w:spacing w:line="576" w:lineRule="exact"/>
        <w:ind w:left="0" w:leftChars="0" w:firstLine="640" w:firstLineChars="200"/>
        <w:rPr>
          <w:rFonts w:hint="default" w:ascii="Times New Roman" w:hAnsi="Times New Roman" w:eastAsia="仿宋" w:cs="Times New Roman"/>
          <w:sz w:val="32"/>
          <w:szCs w:val="32"/>
          <w:lang w:bidi="ar-SA"/>
        </w:rPr>
      </w:pPr>
    </w:p>
    <w:p>
      <w:pPr>
        <w:keepNext w:val="0"/>
        <w:keepLines w:val="0"/>
        <w:pageBreakBefore w:val="0"/>
        <w:widowControl/>
        <w:kinsoku/>
        <w:wordWrap/>
        <w:overflowPunct/>
        <w:topLinePunct w:val="0"/>
        <w:autoSpaceDE/>
        <w:autoSpaceDN/>
        <w:bidi w:val="0"/>
        <w:spacing w:line="560" w:lineRule="exact"/>
        <w:contextualSpacing/>
        <w:jc w:val="center"/>
        <w:textAlignment w:val="auto"/>
        <w:rPr>
          <w:rFonts w:hint="default" w:ascii="Times New Roman" w:hAnsi="Times New Roman" w:eastAsia="方正小标宋_GBK" w:cs="Times New Roman"/>
          <w:b w:val="0"/>
          <w:bCs/>
          <w:sz w:val="44"/>
          <w:szCs w:val="44"/>
          <w:shd w:val="clear" w:color="auto" w:fill="FFFFFF"/>
          <w:lang w:val="en-US" w:eastAsia="zh-CN"/>
        </w:rPr>
      </w:pPr>
      <w:r>
        <w:rPr>
          <w:rFonts w:hint="default" w:ascii="Times New Roman" w:hAnsi="Times New Roman" w:eastAsia="方正小标宋_GBK" w:cs="Times New Roman"/>
          <w:b w:val="0"/>
          <w:bCs/>
          <w:sz w:val="44"/>
          <w:szCs w:val="44"/>
          <w:shd w:val="clear" w:color="auto" w:fill="FFFFFF"/>
          <w:lang w:eastAsia="zh-CN"/>
        </w:rPr>
        <w:t>壤塘县</w:t>
      </w:r>
      <w:r>
        <w:rPr>
          <w:rFonts w:hint="default" w:ascii="Times New Roman" w:hAnsi="Times New Roman" w:eastAsia="方正小标宋_GBK" w:cs="Times New Roman"/>
          <w:b w:val="0"/>
          <w:bCs/>
          <w:sz w:val="44"/>
          <w:szCs w:val="44"/>
          <w:shd w:val="clear" w:color="auto" w:fill="FFFFFF"/>
          <w:lang w:val="en-US" w:eastAsia="zh-CN"/>
        </w:rPr>
        <w:t>住房和城乡建设局</w:t>
      </w:r>
    </w:p>
    <w:p>
      <w:pPr>
        <w:keepNext w:val="0"/>
        <w:keepLines w:val="0"/>
        <w:pageBreakBefore w:val="0"/>
        <w:widowControl/>
        <w:kinsoku/>
        <w:wordWrap/>
        <w:overflowPunct/>
        <w:topLinePunct w:val="0"/>
        <w:autoSpaceDE/>
        <w:autoSpaceDN/>
        <w:bidi w:val="0"/>
        <w:spacing w:line="560" w:lineRule="exact"/>
        <w:contextualSpacing/>
        <w:jc w:val="center"/>
        <w:textAlignment w:val="auto"/>
        <w:rPr>
          <w:rStyle w:val="16"/>
          <w:rFonts w:hint="default" w:ascii="Times New Roman" w:hAnsi="Times New Roman" w:eastAsia="方正小标宋_GBK" w:cs="Times New Roman"/>
          <w:b w:val="0"/>
          <w:bCs/>
        </w:rPr>
      </w:pPr>
      <w:r>
        <w:rPr>
          <w:rFonts w:hint="default" w:ascii="Times New Roman" w:hAnsi="Times New Roman" w:eastAsia="方正小标宋_GBK" w:cs="Times New Roman"/>
          <w:b w:val="0"/>
          <w:bCs/>
          <w:sz w:val="44"/>
          <w:szCs w:val="44"/>
          <w:shd w:val="clear" w:color="auto" w:fill="FFFFFF"/>
        </w:rPr>
        <w:t>2</w:t>
      </w:r>
      <w:r>
        <w:rPr>
          <w:rFonts w:hint="default" w:ascii="Times New Roman" w:hAnsi="Times New Roman" w:eastAsia="方正小标宋_GBK" w:cs="Times New Roman"/>
          <w:b w:val="0"/>
          <w:bCs/>
          <w:sz w:val="44"/>
          <w:szCs w:val="44"/>
          <w:shd w:val="clear" w:color="auto" w:fill="FFFFFF"/>
          <w:lang w:val="en-US" w:eastAsia="zh-CN"/>
        </w:rPr>
        <w:t>025</w:t>
      </w:r>
      <w:r>
        <w:rPr>
          <w:rStyle w:val="16"/>
          <w:rFonts w:hint="default" w:ascii="Times New Roman" w:hAnsi="Times New Roman" w:eastAsia="方正小标宋_GBK" w:cs="Times New Roman"/>
          <w:b w:val="0"/>
          <w:bCs/>
          <w:lang w:val="en-US" w:eastAsia="zh-CN"/>
        </w:rPr>
        <w:t>年度部门整体支出绩效评价自评报告</w:t>
      </w:r>
    </w:p>
    <w:p>
      <w:pPr>
        <w:keepNext w:val="0"/>
        <w:keepLines w:val="0"/>
        <w:pageBreakBefore w:val="0"/>
        <w:widowControl/>
        <w:kinsoku/>
        <w:wordWrap/>
        <w:overflowPunct/>
        <w:topLinePunct w:val="0"/>
        <w:autoSpaceDE/>
        <w:autoSpaceDN/>
        <w:bidi w:val="0"/>
        <w:spacing w:line="560" w:lineRule="exact"/>
        <w:ind w:left="0" w:leftChars="0" w:firstLine="880" w:firstLineChars="200"/>
        <w:contextualSpacing/>
        <w:jc w:val="center"/>
        <w:textAlignment w:val="auto"/>
        <w:rPr>
          <w:rFonts w:hint="default" w:ascii="Times New Roman" w:hAnsi="Times New Roman" w:eastAsia="方正小标宋_GBK" w:cs="Times New Roman"/>
          <w:b w:val="0"/>
          <w:bCs/>
          <w:sz w:val="44"/>
          <w:szCs w:val="44"/>
          <w:shd w:val="clear" w:color="auto" w:fill="FFFFFF"/>
        </w:rPr>
      </w:pPr>
    </w:p>
    <w:p>
      <w:pPr>
        <w:keepNext w:val="0"/>
        <w:keepLines w:val="0"/>
        <w:pageBreakBefore w:val="0"/>
        <w:widowControl/>
        <w:numPr>
          <w:ilvl w:val="0"/>
          <w:numId w:val="2"/>
        </w:numPr>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zh-CN" w:eastAsia="zh-CN" w:bidi="ar-SA"/>
        </w:rPr>
        <w:t>壤塘县住房和城乡建设局（以下简称“住房和城乡建设局”），机构性质：机关，机构地址：壤塘县九千综合办公大楼三楼，负责人：韩格洛</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eastAsia="zh-CN"/>
        </w:rPr>
      </w:pPr>
      <w:r>
        <w:rPr>
          <w:rFonts w:hint="default" w:ascii="Times New Roman" w:hAnsi="Times New Roman" w:eastAsia="楷体_GB2312" w:cs="Times New Roman"/>
          <w:b/>
          <w:color w:val="auto"/>
          <w:sz w:val="32"/>
          <w:szCs w:val="32"/>
          <w:highlight w:val="none"/>
          <w:lang w:val="zh-CN" w:eastAsia="zh-CN"/>
        </w:rPr>
        <w:t>（一）机构组成</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zh-CN" w:eastAsia="zh-CN" w:bidi="ar-SA"/>
        </w:rPr>
        <w:t>住房和城乡建设局机关下设</w:t>
      </w:r>
      <w:r>
        <w:rPr>
          <w:rFonts w:hint="default" w:ascii="Times New Roman" w:hAnsi="Times New Roman" w:eastAsia="仿宋_GB2312" w:cs="Times New Roman"/>
          <w:color w:val="auto"/>
          <w:sz w:val="32"/>
          <w:szCs w:val="32"/>
          <w:lang w:val="en-US" w:eastAsia="zh-CN" w:bidi="ar-SA"/>
        </w:rPr>
        <w:t>3</w:t>
      </w:r>
      <w:r>
        <w:rPr>
          <w:rFonts w:hint="default" w:ascii="Times New Roman" w:hAnsi="Times New Roman" w:eastAsia="仿宋_GB2312" w:cs="Times New Roman"/>
          <w:color w:val="auto"/>
          <w:sz w:val="32"/>
          <w:szCs w:val="32"/>
          <w:lang w:val="zh-CN" w:eastAsia="zh-CN" w:bidi="ar-SA"/>
        </w:rPr>
        <w:t>个公益一类事业单位，为</w:t>
      </w:r>
      <w:r>
        <w:rPr>
          <w:rFonts w:hint="default" w:ascii="Times New Roman" w:hAnsi="Times New Roman" w:eastAsia="仿宋_GB2312" w:cs="Times New Roman"/>
          <w:color w:val="auto"/>
          <w:sz w:val="32"/>
          <w:szCs w:val="32"/>
          <w:lang w:val="en-US" w:eastAsia="zh-CN" w:bidi="ar-SA"/>
        </w:rPr>
        <w:t>县建设工程质量安全监督站、县市政建设中心、壤塘县城市民生综合管理服务中心，下设3个股室，为</w:t>
      </w:r>
      <w:r>
        <w:rPr>
          <w:rFonts w:hint="default" w:ascii="Times New Roman" w:hAnsi="Times New Roman" w:eastAsia="仿宋_GB2312" w:cs="Times New Roman"/>
          <w:color w:val="auto"/>
          <w:sz w:val="32"/>
          <w:szCs w:val="32"/>
          <w:lang w:val="zh-CN" w:eastAsia="zh-CN" w:bidi="ar-SA"/>
        </w:rPr>
        <w:t>办公室（</w:t>
      </w:r>
      <w:r>
        <w:rPr>
          <w:rFonts w:hint="default" w:ascii="Times New Roman" w:hAnsi="Times New Roman" w:eastAsia="仿宋_GB2312" w:cs="Times New Roman"/>
          <w:color w:val="auto"/>
          <w:sz w:val="32"/>
          <w:szCs w:val="32"/>
          <w:lang w:val="en-US" w:eastAsia="zh-CN" w:bidi="ar-SA"/>
        </w:rPr>
        <w:t>行政审批股</w:t>
      </w:r>
      <w:r>
        <w:rPr>
          <w:rFonts w:hint="default" w:ascii="Times New Roman" w:hAnsi="Times New Roman" w:eastAsia="仿宋_GB2312" w:cs="Times New Roman"/>
          <w:color w:val="auto"/>
          <w:sz w:val="32"/>
          <w:szCs w:val="32"/>
          <w:lang w:val="zh-CN" w:eastAsia="zh-CN" w:bidi="ar-SA"/>
        </w:rPr>
        <w:t>）、</w:t>
      </w:r>
      <w:r>
        <w:rPr>
          <w:rFonts w:hint="default" w:ascii="Times New Roman" w:hAnsi="Times New Roman" w:eastAsia="仿宋_GB2312" w:cs="Times New Roman"/>
          <w:color w:val="auto"/>
          <w:sz w:val="32"/>
          <w:szCs w:val="32"/>
          <w:lang w:val="en-US" w:eastAsia="zh-CN" w:bidi="ar-SA"/>
        </w:rPr>
        <w:t>住房和城乡建设股、建设管理股</w:t>
      </w:r>
      <w:r>
        <w:rPr>
          <w:rFonts w:hint="default" w:ascii="Times New Roman" w:hAnsi="Times New Roman" w:eastAsia="仿宋_GB2312" w:cs="Times New Roman"/>
          <w:color w:val="auto"/>
          <w:sz w:val="32"/>
          <w:szCs w:val="32"/>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eastAsia="zh-CN"/>
        </w:rPr>
      </w:pPr>
      <w:r>
        <w:rPr>
          <w:rFonts w:hint="default" w:ascii="Times New Roman" w:hAnsi="Times New Roman" w:eastAsia="楷体_GB2312" w:cs="Times New Roman"/>
          <w:b/>
          <w:color w:val="auto"/>
          <w:sz w:val="32"/>
          <w:szCs w:val="32"/>
          <w:highlight w:val="none"/>
          <w:lang w:val="zh-CN" w:eastAsia="zh-CN"/>
        </w:rPr>
        <w:t>（二）机构职能</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zh-CN" w:eastAsia="zh-CN" w:bidi="ar-SA"/>
        </w:rPr>
      </w:pPr>
      <w:r>
        <w:rPr>
          <w:rFonts w:hint="default" w:ascii="Times New Roman" w:hAnsi="Times New Roman" w:eastAsia="仿宋_GB2312" w:cs="Times New Roman"/>
          <w:b w:val="0"/>
          <w:bCs/>
          <w:color w:val="auto"/>
          <w:sz w:val="32"/>
          <w:szCs w:val="32"/>
          <w:highlight w:val="none"/>
          <w:lang w:val="zh-CN" w:eastAsia="zh-CN"/>
        </w:rPr>
        <w:t>1</w:t>
      </w:r>
      <w:r>
        <w:rPr>
          <w:rFonts w:hint="default" w:ascii="Times New Roman" w:hAnsi="Times New Roman" w:eastAsia="仿宋_GB2312" w:cs="Times New Roman"/>
          <w:b w:val="0"/>
          <w:bCs/>
          <w:color w:val="auto"/>
          <w:sz w:val="32"/>
          <w:szCs w:val="32"/>
          <w:highlight w:val="none"/>
          <w:lang w:val="en-US" w:eastAsia="zh-CN"/>
        </w:rPr>
        <w:t>.</w:t>
      </w:r>
      <w:r>
        <w:rPr>
          <w:rFonts w:hint="default" w:ascii="Times New Roman" w:hAnsi="Times New Roman" w:eastAsia="仿宋_GB2312" w:cs="Times New Roman"/>
          <w:b w:val="0"/>
          <w:bCs/>
          <w:color w:val="auto"/>
          <w:sz w:val="32"/>
          <w:szCs w:val="32"/>
          <w:highlight w:val="none"/>
          <w:lang w:val="zh-CN" w:eastAsia="zh-CN"/>
        </w:rPr>
        <w:t>办公室（行政审批股）。</w:t>
      </w:r>
      <w:r>
        <w:rPr>
          <w:rFonts w:hint="default" w:ascii="Times New Roman" w:hAnsi="Times New Roman" w:eastAsia="仿宋_GB2312" w:cs="Times New Roman"/>
          <w:b w:val="0"/>
          <w:bCs/>
          <w:color w:val="auto"/>
          <w:sz w:val="32"/>
          <w:szCs w:val="32"/>
          <w:lang w:val="zh-CN" w:eastAsia="zh-CN" w:bidi="ar-SA"/>
        </w:rPr>
        <w:t>负责机关日常运转，承担文电会务、机要保密、宣传、深化改革、机关安全、目标管理、固定资产管理等工作；组织办理人大代表建议和政协委员提案；负责年报年鉴工作；负责绩效考核、综合性文稿把关；负责档案管理和利用工作。</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2.住房和城乡建设股。</w:t>
      </w:r>
      <w:r>
        <w:rPr>
          <w:rFonts w:hint="default" w:ascii="Times New Roman" w:hAnsi="Times New Roman" w:eastAsia="仿宋_GB2312" w:cs="Times New Roman"/>
          <w:b w:val="0"/>
          <w:bCs/>
          <w:color w:val="auto"/>
          <w:sz w:val="32"/>
          <w:szCs w:val="32"/>
          <w:lang w:val="en-US" w:eastAsia="zh-CN" w:bidi="ar-SA"/>
        </w:rPr>
        <w:t xml:space="preserve">主要职责是：拟定全县住房政策、规章制度并组织实施。指导全县住房建设和住房制度改革。承办全县廉租房等保障性住房资金安排的有关事项。组织编制全县保障性住房建设规划、住房保障发展规划和年度计划并监督实施。负责县住房保障性安居工程协调小组和县住房改革领导小组办公室的具体工作。拟定全县房地产市场监督管理和稳定住房价格政策、措施并监督执行。拟定房地产业的发展规划、产业政策和规章制度。拟定商品住宅发展规划。组织拟定城镇住宅建设、房地产开发、房屋征收拆迁、房地产交易、房屋面积管理、房地产中介、物业管理、房屋安全鉴定、白蚁防治等工作的规章制度并监督实施。会同有关部门处理房屋产权纠纷。 </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3.建设管理股。</w:t>
      </w:r>
      <w:r>
        <w:rPr>
          <w:rFonts w:hint="default" w:ascii="Times New Roman" w:hAnsi="Times New Roman" w:eastAsia="仿宋_GB2312" w:cs="Times New Roman"/>
          <w:b w:val="0"/>
          <w:bCs/>
          <w:color w:val="auto"/>
          <w:sz w:val="32"/>
          <w:szCs w:val="32"/>
          <w:lang w:val="en-US" w:eastAsia="zh-CN" w:bidi="ar-SA"/>
        </w:rPr>
        <w:t>负责实施全县城市和市政公用事业发展的中长期规划、年度计划。负责全县城市综合开发。贯彻执行国家、省、州关于县城以下建制镇、集镇和村庄建设的方针政策，指导和管理全县乡村建设工作。组织编制全县住房和城乡建设事业（行业）发展规划。负责行业经济信息统计和分析工作。指导城市基础设施发展工作。拟定城市建设的政策法规、发展计划、管理措施、技术标准并监督实施。指导城市相关市政基础设施专项规划编制工作。负责统筹协调城市重大市政基础设施建设项目的推进。指导城镇供水（节水）的建设运营维护监督管理工作。指导城市（县城）建成区防汛抗旱相关工作。指导乡镇和村庄建设工作。拟定村镇建设发展战略和政策并监督实施。组织村镇建设相关试点工作，指导全县小城镇建设、传统村落建设工作。指导乡村建筑风貌引导、保护利用乡土建筑文化等工作，指导村镇生活垃圾处理及收转运处置管理等工作。指导农村住房建设、危旧房改造及农房建设管理人才培训等工作。承担历史文化名镇、名村的审核报批、保护和监督管理有关工作。指导城镇燃气、热力（供暖）及相关配套设施的建设运营维护监督管理工作。完成领导交办的其他任务。</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4.县建设工程质量安全监督站。</w:t>
      </w:r>
      <w:r>
        <w:rPr>
          <w:rFonts w:hint="default" w:ascii="Times New Roman" w:hAnsi="Times New Roman" w:eastAsia="仿宋_GB2312" w:cs="Times New Roman"/>
          <w:b w:val="0"/>
          <w:bCs/>
          <w:color w:val="auto"/>
          <w:sz w:val="32"/>
          <w:szCs w:val="32"/>
          <w:lang w:val="en-US" w:eastAsia="zh-CN" w:bidi="ar-SA"/>
        </w:rPr>
        <w:t xml:space="preserve">真贯彻执行国家和上级主管部门颁布的政策、法律法规、技术标准和文件。在行政主管部门的授权下，对工程建设单位、勘察单位、设计单位、施工单位、监理单位和有关机构等责任主体按照建设工程质量有关法律法规和工程建设强制性标准履行质量责任和义务的行为监督检查；对工程实施过程中的实体质量进行必要的监督抽查和监督检测；对施工技术资料、监理资料、检测报告等相关工程质量文件和资料进行监督检查；对工程竣工验收进行监督；对施工单位的质量管理进行评价；向工程竣工验收部门提交工程质量监督报告或办理备案；对本地区主材进行价格调查，并及时上报上级主管部门；对工程建设项目的安全进行监督。完成领导交办的其他工作。       </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5.县市政建设中心。</w:t>
      </w:r>
      <w:r>
        <w:rPr>
          <w:rFonts w:hint="default" w:ascii="Times New Roman" w:hAnsi="Times New Roman" w:eastAsia="仿宋_GB2312" w:cs="Times New Roman"/>
          <w:b w:val="0"/>
          <w:bCs/>
          <w:color w:val="auto"/>
          <w:sz w:val="32"/>
          <w:szCs w:val="32"/>
          <w:lang w:val="en-US" w:eastAsia="zh-CN" w:bidi="ar-SA"/>
        </w:rPr>
        <w:t>行政主管部门的授权下，负责本单位所有承建项目的前期工作、项目储备申报、报批报建、招投标、协调服务、合同管理、监督合同执行、工程变更、督促建设进度、质量管理、计量支付管理等工作；组织建设项目的中间验收、预验收和竣工验收工作；负责竣工资料的收集、整理、归档和移交工作；负责工程保修期的管理工作；负责项目实施情况汇总、统计工作。完成领导交办的其他工作。</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6.县城市民生综合管理服务中心。</w:t>
      </w:r>
      <w:r>
        <w:rPr>
          <w:rFonts w:hint="default" w:ascii="Times New Roman" w:hAnsi="Times New Roman" w:eastAsia="仿宋_GB2312" w:cs="Times New Roman"/>
          <w:b w:val="0"/>
          <w:bCs/>
          <w:color w:val="auto"/>
          <w:sz w:val="32"/>
          <w:szCs w:val="32"/>
          <w:lang w:val="en-US" w:eastAsia="zh-CN" w:bidi="ar-SA"/>
        </w:rPr>
        <w:t>主要负责指导城镇供水（节水）的建设运营维护监督管理工作，指导城镇燃气、热力（供暖）及相关配套设施的建设运营维护监督管理工作。完成领导交办的其他任务。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（三）人员概况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en-US" w:eastAsia="zh-CN" w:bidi="ar-SA"/>
        </w:rPr>
        <w:t>壤塘县住房和城乡建设局编制人数29人；截至2024年12月底，实有28人，其中行政人员7人、事业人员221人，退休人员16人。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（一）收入情况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en-US" w:eastAsia="zh-CN" w:bidi="ar-SA"/>
        </w:rPr>
        <w:t xml:space="preserve">2025年财政下达住房和城乡建设局年初预算收入3286.45万元，调整预算金额16647.29万元。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（二）支出情况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住房和城乡建设局2025年财政拨款数为16647.29万元，本年度无结余。其中基本支出730.6万元，项目支出15916.69万元。2025年实际收到16647.29万元，实际支出16647.29万元，以上资金</w:t>
      </w:r>
      <w:r>
        <w:rPr>
          <w:rFonts w:hint="eastAsia" w:eastAsia="仿宋_GB2312" w:cs="Times New Roman"/>
          <w:color w:val="auto"/>
          <w:sz w:val="32"/>
          <w:szCs w:val="32"/>
          <w:lang w:val="en-US" w:eastAsia="zh-CN" w:bidi="ar-SA"/>
        </w:rPr>
        <w:t>均为</w:t>
      </w:r>
      <w:r>
        <w:rPr>
          <w:rFonts w:hint="default" w:ascii="Times New Roman" w:hAnsi="Times New Roman" w:eastAsia="仿宋_GB2312" w:cs="Times New Roman"/>
          <w:color w:val="auto"/>
          <w:sz w:val="32"/>
          <w:szCs w:val="32"/>
          <w:lang w:val="en-US" w:eastAsia="zh-CN" w:bidi="ar-SA"/>
        </w:rPr>
        <w:t>中央财政资金及省级财政资金和地方财政资金。</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zh-CN" w:eastAsia="zh-CN" w:bidi="ar-SA"/>
        </w:rPr>
        <w:t>结余分配和结转结余情况。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住房和城乡建设局2025年无结余分配和结转结余。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（一）部门预算总体绩效分析</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我局围绕履职效能、预算管理、财务管理、资产管理、财务管理、资产管理、采购管理五大维度，逐项开展绩效分析，内容贴合住建业务。</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en-US" w:eastAsia="zh-CN"/>
        </w:rPr>
        <w:t>1.</w:t>
      </w:r>
      <w:r>
        <w:rPr>
          <w:rFonts w:hint="default" w:ascii="Times New Roman" w:hAnsi="Times New Roman" w:eastAsia="仿宋_GB2312" w:cs="Times New Roman"/>
          <w:b w:val="0"/>
          <w:bCs/>
          <w:color w:val="auto"/>
          <w:sz w:val="32"/>
          <w:szCs w:val="32"/>
          <w:highlight w:val="none"/>
          <w:lang w:val="zh-CN" w:eastAsia="zh-CN"/>
        </w:rPr>
        <w:t>履职效能。</w:t>
      </w:r>
      <w:r>
        <w:rPr>
          <w:rFonts w:hint="default" w:ascii="Times New Roman" w:hAnsi="Times New Roman" w:eastAsia="仿宋_GB2312" w:cs="Times New Roman"/>
          <w:b w:val="0"/>
          <w:bCs/>
          <w:color w:val="auto"/>
          <w:sz w:val="32"/>
          <w:szCs w:val="32"/>
          <w:lang w:val="en-US" w:eastAsia="zh-CN" w:bidi="ar-SA"/>
        </w:rPr>
        <w:t>围绕城乡基础设施建设、保障性住房管理、住房保障、建筑市场监管等核心职能，按年度预算及工作计划有序推进，老旧小区改造、市政道路维护、农村危房改造等项目按期实施，按时完成住建领域年度目标任务，履职成效总体达标。</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2.预算管理。</w:t>
      </w:r>
      <w:r>
        <w:rPr>
          <w:rFonts w:hint="default" w:ascii="Times New Roman" w:hAnsi="Times New Roman" w:eastAsia="仿宋_GB2312" w:cs="Times New Roman"/>
          <w:b w:val="0"/>
          <w:bCs/>
          <w:color w:val="auto"/>
          <w:sz w:val="32"/>
          <w:szCs w:val="32"/>
          <w:lang w:val="en-US" w:eastAsia="zh-CN" w:bidi="ar-SA"/>
        </w:rPr>
        <w:t>预算编制科学性：预算编制贴合单位年度工作实际，人员经费、公用经费、项目经费测算依据充分，与住建项目建设、日常运转需求基本匹配，编制较为规范，但部分专项预算精细化程度仍可提升；预算执行进度：全年预算资金基本按序时进度执行，人员工资、社保、日常公用支出执行到位；预算调整规范性：年度预算调整严格按照财政部门规定程序报批，调整事由合理，手续完备，无未经审批擅自调整预算情况；绩效目标管理：按时完成绩效目标申报，监控与自评工作，绩效目标设置贴合业务实际，监控及时，能够有效</w:t>
      </w:r>
      <w:r>
        <w:rPr>
          <w:rFonts w:hint="eastAsia" w:eastAsia="仿宋_GB2312" w:cs="Times New Roman"/>
          <w:b w:val="0"/>
          <w:bCs/>
          <w:color w:val="auto"/>
          <w:sz w:val="32"/>
          <w:szCs w:val="32"/>
          <w:lang w:val="en-US" w:eastAsia="zh-CN" w:bidi="ar-SA"/>
        </w:rPr>
        <w:t>反映</w:t>
      </w:r>
      <w:r>
        <w:rPr>
          <w:rFonts w:hint="default" w:ascii="Times New Roman" w:hAnsi="Times New Roman" w:eastAsia="仿宋_GB2312" w:cs="Times New Roman"/>
          <w:b w:val="0"/>
          <w:bCs/>
          <w:color w:val="auto"/>
          <w:sz w:val="32"/>
          <w:szCs w:val="32"/>
          <w:lang w:val="en-US" w:eastAsia="zh-CN" w:bidi="ar-SA"/>
        </w:rPr>
        <w:t>预算资金使用效果。</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3.财务管理。</w:t>
      </w:r>
      <w:r>
        <w:rPr>
          <w:rFonts w:hint="default" w:ascii="Times New Roman" w:hAnsi="Times New Roman" w:eastAsia="仿宋_GB2312" w:cs="Times New Roman"/>
          <w:b w:val="0"/>
          <w:bCs/>
          <w:color w:val="auto"/>
          <w:sz w:val="32"/>
          <w:szCs w:val="32"/>
          <w:lang w:val="en-US" w:eastAsia="zh-CN" w:bidi="ar-SA"/>
        </w:rPr>
        <w:t>内控制度建设：建立健全财务报销、资金审批、会计核算等内控制度，岗位设置合理，会计、出纳岗位分离，财务流程规范，内控运行有效；会计核算规范性：严格执行政府会计制度，账务处理及时准确，收入、费用、在建工程、固定资产核算规范，凭证附件完整，报表编制真实完整，无违规列支情况；资金使用合规性：所有资金均按预算用途使用，严格执行中央八项规定精神，</w:t>
      </w:r>
      <w:r>
        <w:rPr>
          <w:rFonts w:hint="eastAsia" w:eastAsia="仿宋_GB2312" w:cs="Times New Roman"/>
          <w:b w:val="0"/>
          <w:bCs/>
          <w:color w:val="auto"/>
          <w:sz w:val="32"/>
          <w:szCs w:val="32"/>
          <w:lang w:val="en-US" w:eastAsia="zh-CN" w:bidi="ar-SA"/>
        </w:rPr>
        <w:t>“三公”经费</w:t>
      </w:r>
      <w:r>
        <w:rPr>
          <w:rFonts w:hint="default" w:ascii="Times New Roman" w:hAnsi="Times New Roman" w:eastAsia="仿宋_GB2312" w:cs="Times New Roman"/>
          <w:b w:val="0"/>
          <w:bCs/>
          <w:color w:val="auto"/>
          <w:sz w:val="32"/>
          <w:szCs w:val="32"/>
          <w:lang w:val="en-US" w:eastAsia="zh-CN" w:bidi="ar-SA"/>
        </w:rPr>
        <w:t>管控严格，无挤占、挪用、截留专项资金问题，资金使用合规安全；财务监督落实：定期开展内部财务自查，主动接受财政、审计监督检查，</w:t>
      </w:r>
      <w:r>
        <w:rPr>
          <w:rFonts w:hint="eastAsia" w:eastAsia="仿宋_GB2312" w:cs="Times New Roman"/>
          <w:b w:val="0"/>
          <w:bCs/>
          <w:color w:val="auto"/>
          <w:sz w:val="32"/>
          <w:szCs w:val="32"/>
          <w:lang w:val="en-US" w:eastAsia="zh-CN" w:bidi="ar-SA"/>
        </w:rPr>
        <w:t>对发现的问题</w:t>
      </w:r>
      <w:r>
        <w:rPr>
          <w:rFonts w:hint="default" w:ascii="Times New Roman" w:hAnsi="Times New Roman" w:eastAsia="仿宋_GB2312" w:cs="Times New Roman"/>
          <w:b w:val="0"/>
          <w:bCs/>
          <w:color w:val="auto"/>
          <w:sz w:val="32"/>
          <w:szCs w:val="32"/>
          <w:lang w:val="en-US" w:eastAsia="zh-CN" w:bidi="ar-SA"/>
        </w:rPr>
        <w:t>及时整改，财务管理水平持续提升。</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4.资产管理。</w:t>
      </w:r>
      <w:r>
        <w:rPr>
          <w:rFonts w:hint="default" w:ascii="Times New Roman" w:hAnsi="Times New Roman" w:eastAsia="仿宋_GB2312" w:cs="Times New Roman"/>
          <w:b w:val="0"/>
          <w:bCs/>
          <w:color w:val="auto"/>
          <w:sz w:val="32"/>
          <w:szCs w:val="32"/>
          <w:lang w:val="en-US" w:eastAsia="zh-CN" w:bidi="ar-SA"/>
        </w:rPr>
        <w:t>资产配置严格执行政府采购及配置标准，办公设备，专用设备按需配置，与单位履职需求相适应，无超标准配置资产情况。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5.采购管理。</w:t>
      </w:r>
      <w:r>
        <w:rPr>
          <w:rFonts w:hint="default" w:ascii="Times New Roman" w:hAnsi="Times New Roman" w:eastAsia="仿宋_GB2312" w:cs="Times New Roman"/>
          <w:b w:val="0"/>
          <w:bCs/>
          <w:color w:val="auto"/>
          <w:sz w:val="32"/>
          <w:szCs w:val="32"/>
          <w:lang w:val="en-US" w:eastAsia="zh-CN" w:bidi="ar-SA"/>
        </w:rPr>
        <w:t>采购计划编制：政府采购计划与年度预算、项目实施需求衔接紧密，采购范围、规模合理，计划编制较为规范；采购程序执行：严格按照政府采购法及相关规定执行，工程、货物、服务类采购依法采用公开招标、竞争性谈判等方式，程序合法合规；采购合同管理：采购合同签订规范，条款完整，履约跟踪到位，及时完成验收结算，无合同履约纠纷；采购档案管理：采购招标文件、合同、验收资料、付款凭证等档案整理归档完整，查阅方便，采购管理规范有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（二）部门预算项目绩效分析</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zh-CN" w:eastAsia="zh-CN" w:bidi="ar-SA"/>
        </w:rPr>
        <w:t>我局</w:t>
      </w:r>
      <w:r>
        <w:rPr>
          <w:rFonts w:hint="default" w:ascii="Times New Roman" w:hAnsi="Times New Roman" w:eastAsia="仿宋_GB2312" w:cs="Times New Roman"/>
          <w:color w:val="auto"/>
          <w:sz w:val="32"/>
          <w:szCs w:val="32"/>
          <w:lang w:val="en-US" w:eastAsia="zh-CN" w:bidi="ar-SA"/>
        </w:rPr>
        <w:t>2025年所有项目经费、人员经费及公用经费都申报目标绩效，当年所有新增项目资金都完成事前目标绩效申报，事中、事后已完成目标绩效评价工作，2025年年初预算收入3286.45万元，调整预算数16647.29万元，实际支出19933.74万元，其中项目支出16647.29万元，基本支出3286.45万元，本年度无结余，预算编制准确，根据工程完工量及合同约定按时支付工程款及各项费用。</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zh-CN" w:eastAsia="zh-CN" w:bidi="ar-SA"/>
        </w:rPr>
      </w:pPr>
      <w:r>
        <w:rPr>
          <w:rFonts w:hint="default" w:ascii="Times New Roman" w:hAnsi="Times New Roman" w:eastAsia="仿宋_GB2312" w:cs="Times New Roman"/>
          <w:b w:val="0"/>
          <w:bCs/>
          <w:color w:val="auto"/>
          <w:sz w:val="32"/>
          <w:szCs w:val="32"/>
          <w:highlight w:val="none"/>
          <w:lang w:val="en-US" w:eastAsia="zh-CN"/>
        </w:rPr>
        <w:t>1.</w:t>
      </w:r>
      <w:r>
        <w:rPr>
          <w:rFonts w:hint="default" w:ascii="Times New Roman" w:hAnsi="Times New Roman" w:eastAsia="仿宋_GB2312" w:cs="Times New Roman"/>
          <w:b w:val="0"/>
          <w:bCs/>
          <w:color w:val="auto"/>
          <w:sz w:val="32"/>
          <w:szCs w:val="32"/>
          <w:highlight w:val="none"/>
          <w:lang w:val="zh-CN" w:eastAsia="zh-CN"/>
        </w:rPr>
        <w:t>项目决策。</w:t>
      </w:r>
      <w:r>
        <w:rPr>
          <w:rFonts w:hint="default" w:ascii="Times New Roman" w:hAnsi="Times New Roman" w:eastAsia="仿宋_GB2312" w:cs="Times New Roman"/>
          <w:b w:val="0"/>
          <w:bCs/>
          <w:color w:val="auto"/>
          <w:sz w:val="32"/>
          <w:szCs w:val="32"/>
          <w:lang w:val="en-US" w:eastAsia="zh-CN" w:bidi="ar-SA"/>
        </w:rPr>
        <w:t>本单位本年度所有预算项目，均严格依据住建部门职能职责、县域城乡建设发展规划、年度重点工作任务及专项资金管理办法开展立项决策。项目立项前期论证充分，贴合市政运维、住房保障、工程监管，立项依据合法合规、真实充分。项目申报、调研论证、集体研究、上报审批等决策流程完善规范，严格履行单位内部决策程序，无随意立项、无程序缺失、无依据不足立项情况，项目决策程序严谨合规。</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b w:val="0"/>
          <w:bCs/>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2.项目执行。</w:t>
      </w:r>
      <w:r>
        <w:rPr>
          <w:rFonts w:hint="default" w:ascii="Times New Roman" w:hAnsi="Times New Roman" w:eastAsia="仿宋_GB2312" w:cs="Times New Roman"/>
          <w:b w:val="0"/>
          <w:bCs/>
          <w:color w:val="auto"/>
          <w:sz w:val="32"/>
          <w:szCs w:val="32"/>
          <w:lang w:val="en-US" w:eastAsia="zh-CN" w:bidi="ar-SA"/>
        </w:rPr>
        <w:t>本年度项目资金管理规范、执行基本到位，项目调整程序严谨合规，项目整体实施进度可控，项目执行管理总体规范有效。</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b w:val="0"/>
          <w:bCs/>
          <w:color w:val="auto"/>
          <w:sz w:val="32"/>
          <w:szCs w:val="32"/>
          <w:highlight w:val="none"/>
          <w:lang w:val="zh-CN" w:eastAsia="zh-CN"/>
        </w:rPr>
        <w:t>3.目标实现。</w:t>
      </w:r>
      <w:r>
        <w:rPr>
          <w:rFonts w:hint="default" w:ascii="Times New Roman" w:hAnsi="Times New Roman" w:eastAsia="仿宋_GB2312" w:cs="Times New Roman"/>
          <w:b w:val="0"/>
          <w:bCs/>
          <w:color w:val="auto"/>
          <w:sz w:val="32"/>
          <w:szCs w:val="32"/>
          <w:lang w:val="en-US" w:eastAsia="zh-CN" w:bidi="ar-SA"/>
        </w:rPr>
        <w:t>本年度项目总体目标完成度高，整体偏差可控，项目实施社会效益、履职成效显著。仅存在个别阶段性进度小幅滞后的轻微问题。下一步将进一步细化年度目标序时管理，提前谋划项目推进节点，最大限度缩小目标偏差，全面提升项目整体实施质量和资金使用效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（三）绩效结果应用情况</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住房和城乡建设局已经按财政要求及时完成预算、决算、绩效等信息公开工作，信息公开在壤塘县门户网站中，针对各类绩效评价发现的问题都已完成整改，并根据问题总结经验。我局按照工作计划任务和目标，严格按照预算绩效管理工作，实行专款专用，做好预算执行，在规定时间内完成了各项工作任务，保障我局日常工作有效运行，不断提高财政资金使用效益。</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zh-CN" w:eastAsia="zh-CN" w:bidi="ar-SA"/>
        </w:rPr>
        <w:t>我局通过加强预算收支管理，不断建立健全内部管理制度，强化内部管理流程，部门整体支出管理情况得到提升，也能较好完成部门决算的编制工作。严格执行财务管理制度，财务处理及时，申报目标合理可行。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eastAsia="zh-CN"/>
        </w:rPr>
        <w:t>存在问题</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eastAsia="zh-CN" w:bidi="ar-SA"/>
        </w:rPr>
      </w:pPr>
      <w:r>
        <w:rPr>
          <w:rFonts w:hint="default" w:ascii="Times New Roman" w:hAnsi="Times New Roman" w:eastAsia="仿宋_GB2312" w:cs="Times New Roman"/>
          <w:color w:val="auto"/>
          <w:sz w:val="32"/>
          <w:szCs w:val="32"/>
          <w:lang w:val="en-US" w:eastAsia="zh-CN" w:bidi="ar-SA"/>
        </w:rPr>
        <w:t>一是项目与城区其他市政建设项目交叉作业，工作面有限，只有先后交替施工，造成工期延误；二是</w:t>
      </w:r>
      <w:r>
        <w:rPr>
          <w:rFonts w:hint="default" w:ascii="Times New Roman" w:hAnsi="Times New Roman" w:eastAsia="仿宋_GB2312" w:cs="Times New Roman"/>
          <w:color w:val="auto"/>
          <w:sz w:val="32"/>
          <w:szCs w:val="32"/>
          <w:lang w:val="zh-CN" w:eastAsia="zh-CN" w:bidi="ar-SA"/>
        </w:rPr>
        <w:t>随着市政房建项目的逐渐增多，工作量与工作任务成倍递增，人员不足的问题日益突出，造成现有人员已不能满足当前工作任务。同时，因本单位职工大部分是事业人员，待遇问题得不到落实，留不住人心。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zh-CN" w:eastAsia="zh-CN" w:bidi="ar-SA"/>
        </w:rPr>
        <w:t>一是加强管理，狠抓落实，针对项目推进缓慢的问题要及时召开专题推进会，下任务、定目标，细化责任到各个班组，加强沟通；二是要加强项目前期审查和管理工作，加强对施工图的核对、审核以及管理工作；三是</w:t>
      </w:r>
      <w:r>
        <w:rPr>
          <w:rFonts w:hint="default" w:ascii="Times New Roman" w:hAnsi="Times New Roman" w:eastAsia="仿宋_GB2312" w:cs="Times New Roman"/>
          <w:color w:val="auto"/>
          <w:sz w:val="32"/>
          <w:szCs w:val="32"/>
          <w:lang w:val="en-US" w:eastAsia="zh-CN" w:bidi="ar-SA"/>
        </w:rPr>
        <w:t>加强对建筑市场的监管，进一步制定与社会经济发展相适应的管理体系和制度。</w:t>
      </w:r>
    </w:p>
    <w:p>
      <w:pPr>
        <w:keepNext w:val="0"/>
        <w:keepLines w:val="0"/>
        <w:pageBreakBefore w:val="0"/>
        <w:kinsoku/>
        <w:wordWrap/>
        <w:overflowPunct/>
        <w:topLinePunct w:val="0"/>
        <w:autoSpaceDE/>
        <w:autoSpaceDN/>
        <w:bidi w:val="0"/>
        <w:spacing w:line="560" w:lineRule="exact"/>
        <w:ind w:left="0" w:leftChars="0" w:firstLine="420" w:firstLineChars="200"/>
        <w:contextualSpacing/>
        <w:jc w:val="left"/>
        <w:textAlignment w:val="auto"/>
        <w:rPr>
          <w:rFonts w:hint="default" w:ascii="Times New Roman" w:hAnsi="Times New Roman" w:eastAsia="黑体" w:cs="Times New Roman"/>
          <w:szCs w:val="32"/>
        </w:rPr>
      </w:pPr>
    </w:p>
    <w:p>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rPr>
      </w:pPr>
    </w:p>
    <w:p>
      <w:pPr>
        <w:pageBreakBefore w:val="0"/>
        <w:kinsoku/>
        <w:wordWrap/>
        <w:overflowPunct/>
        <w:topLinePunct w:val="0"/>
        <w:bidi w:val="0"/>
        <w:spacing w:line="576" w:lineRule="exact"/>
        <w:jc w:val="center"/>
        <w:rPr>
          <w:rFonts w:hint="default" w:ascii="Times New Roman" w:hAnsi="Times New Roman" w:eastAsia="方正公文小标宋" w:cs="Times New Roman"/>
          <w:sz w:val="44"/>
          <w:szCs w:val="44"/>
        </w:rPr>
      </w:pPr>
      <w:r>
        <w:rPr>
          <w:rFonts w:hint="default" w:ascii="Times New Roman" w:hAnsi="Times New Roman" w:eastAsia="方正公文小标宋" w:cs="Times New Roman"/>
          <w:sz w:val="44"/>
          <w:szCs w:val="44"/>
        </w:rPr>
        <w:t>壤塘县</w:t>
      </w:r>
      <w:r>
        <w:rPr>
          <w:rFonts w:hint="default" w:ascii="Times New Roman" w:hAnsi="Times New Roman" w:eastAsia="方正公文小标宋" w:cs="Times New Roman"/>
          <w:sz w:val="44"/>
          <w:szCs w:val="44"/>
          <w:lang w:val="en-US" w:eastAsia="zh-CN"/>
        </w:rPr>
        <w:t>上寨集镇市政基础</w:t>
      </w:r>
      <w:r>
        <w:rPr>
          <w:rFonts w:hint="default" w:ascii="Times New Roman" w:hAnsi="Times New Roman" w:eastAsia="方正公文小标宋" w:cs="Times New Roman"/>
          <w:sz w:val="44"/>
          <w:szCs w:val="44"/>
        </w:rPr>
        <w:t>建设项目</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公文小标宋" w:cs="Times New Roman"/>
          <w:sz w:val="44"/>
          <w:szCs w:val="44"/>
        </w:rPr>
      </w:pPr>
      <w:r>
        <w:rPr>
          <w:rFonts w:hint="default" w:ascii="Times New Roman" w:hAnsi="Times New Roman" w:eastAsia="方正公文小标宋" w:cs="Times New Roman"/>
          <w:sz w:val="44"/>
          <w:szCs w:val="44"/>
        </w:rPr>
        <w:t>绩效自评报告</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center"/>
        <w:textAlignment w:val="auto"/>
        <w:rPr>
          <w:rFonts w:hint="default" w:ascii="Times New Roman" w:hAnsi="Times New Roman" w:eastAsia="方正仿宋_GB2312" w:cs="Times New Roman"/>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pPr>
        <w:pageBreakBefore w:val="0"/>
        <w:kinsoku/>
        <w:wordWrap/>
        <w:overflowPunct/>
        <w:topLinePunct w:val="0"/>
        <w:bidi w:val="0"/>
        <w:spacing w:line="576" w:lineRule="exact"/>
        <w:ind w:left="0" w:leftChars="0" w:firstLine="642" w:firstLineChars="200"/>
        <w:rPr>
          <w:rFonts w:hint="default" w:ascii="Times New Roman" w:hAnsi="Times New Roman" w:eastAsia="黑体" w:cs="Times New Roman"/>
          <w:sz w:val="32"/>
          <w:szCs w:val="32"/>
        </w:rPr>
      </w:pPr>
      <w:r>
        <w:rPr>
          <w:rFonts w:hint="default" w:ascii="Times New Roman" w:hAnsi="Times New Roman" w:eastAsia="楷体_GB2312" w:cs="Times New Roman"/>
          <w:b/>
          <w:sz w:val="32"/>
          <w:szCs w:val="32"/>
          <w:lang w:val="zh-CN"/>
        </w:rPr>
        <w:t>（一）项目</w:t>
      </w:r>
      <w:r>
        <w:rPr>
          <w:rFonts w:hint="default" w:ascii="Times New Roman" w:hAnsi="Times New Roman" w:eastAsia="楷体_GB2312" w:cs="Times New Roman"/>
          <w:b/>
          <w:sz w:val="32"/>
          <w:szCs w:val="32"/>
          <w:lang w:val="en-US" w:eastAsia="zh-CN"/>
        </w:rPr>
        <w:t>基本</w:t>
      </w:r>
      <w:r>
        <w:rPr>
          <w:rFonts w:hint="default" w:ascii="Times New Roman" w:hAnsi="Times New Roman" w:eastAsia="楷体_GB2312" w:cs="Times New Roman"/>
          <w:b/>
          <w:sz w:val="32"/>
          <w:szCs w:val="32"/>
          <w:lang w:val="zh-CN"/>
        </w:rPr>
        <w:t>情况</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该项目计划总投资1560万元，其中施工合同价1150.873762万元。主要内容包括：改造市政车行道路1400米，人行道路1800米，新建污水管道1800米，雨水管道600米，电力通信管道800米，地面硬化5200平方米，改造厕所2个及其他配套附属设施</w:t>
      </w:r>
      <w:r>
        <w:rPr>
          <w:rFonts w:hint="default" w:ascii="Times New Roman" w:hAnsi="Times New Roman" w:eastAsia="仿宋_GB2312" w:cs="Times New Roman"/>
          <w:color w:val="000000"/>
          <w:sz w:val="32"/>
          <w:szCs w:val="32"/>
          <w:lang w:eastAsia="zh-CN"/>
        </w:rPr>
        <w:t>。</w:t>
      </w:r>
    </w:p>
    <w:p>
      <w:pPr>
        <w:pageBreakBefore w:val="0"/>
        <w:kinsoku/>
        <w:wordWrap/>
        <w:overflowPunct/>
        <w:topLinePunct w:val="0"/>
        <w:bidi w:val="0"/>
        <w:spacing w:line="576" w:lineRule="exact"/>
        <w:ind w:left="0" w:leftChars="0" w:firstLine="642" w:firstLineChars="200"/>
        <w:rPr>
          <w:rFonts w:hint="default" w:ascii="Times New Roman" w:hAnsi="Times New Roman" w:eastAsia="楷体" w:cs="Times New Roman"/>
          <w:b/>
          <w:bCs/>
          <w:sz w:val="32"/>
          <w:szCs w:val="32"/>
          <w:lang w:eastAsia="zh-CN"/>
        </w:rPr>
      </w:pPr>
      <w:r>
        <w:rPr>
          <w:rFonts w:hint="default" w:ascii="Times New Roman" w:hAnsi="Times New Roman" w:eastAsia="楷体" w:cs="Times New Roman"/>
          <w:b/>
          <w:bCs/>
          <w:sz w:val="32"/>
          <w:szCs w:val="32"/>
          <w:lang w:eastAsia="zh-CN"/>
        </w:rPr>
        <w:t>（二）项目绩效目标</w:t>
      </w:r>
    </w:p>
    <w:p>
      <w:pPr>
        <w:pageBreakBefore w:val="0"/>
        <w:kinsoku/>
        <w:wordWrap/>
        <w:overflowPunct/>
        <w:topLinePunct w:val="0"/>
        <w:bidi w:val="0"/>
        <w:spacing w:line="576" w:lineRule="exact"/>
        <w:ind w:left="0" w:leftChars="0" w:firstLine="640" w:firstLineChars="200"/>
        <w:rPr>
          <w:rFonts w:hint="default" w:ascii="Times New Roman" w:hAnsi="Times New Roman" w:eastAsia="楷体" w:cs="Times New Roman"/>
          <w:b/>
          <w:bCs/>
          <w:sz w:val="32"/>
          <w:szCs w:val="32"/>
        </w:rPr>
      </w:pPr>
      <w:r>
        <w:rPr>
          <w:rFonts w:hint="default" w:ascii="Times New Roman" w:hAnsi="Times New Roman" w:eastAsia="仿宋_GB2312" w:cs="Times New Roman"/>
          <w:sz w:val="32"/>
          <w:szCs w:val="32"/>
        </w:rPr>
        <w:t>力争通过该项目建设，基础设施有改善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通过项目的实施，让受益群众</w:t>
      </w:r>
      <w:r>
        <w:rPr>
          <w:rFonts w:hint="default" w:ascii="Times New Roman" w:hAnsi="Times New Roman" w:eastAsia="仿宋_GB2312" w:cs="Times New Roman"/>
          <w:sz w:val="32"/>
          <w:szCs w:val="32"/>
          <w:lang w:val="en-US" w:eastAsia="zh-CN"/>
        </w:rPr>
        <w:t>享受更加完善的市政基础设施</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楷体" w:cs="Times New Roman"/>
          <w:b/>
          <w:bCs/>
          <w:sz w:val="32"/>
          <w:szCs w:val="32"/>
          <w:lang w:eastAsia="zh-CN"/>
        </w:rPr>
        <w:t>（三）</w:t>
      </w:r>
      <w:r>
        <w:rPr>
          <w:rFonts w:hint="default" w:ascii="Times New Roman" w:hAnsi="Times New Roman" w:eastAsia="楷体" w:cs="Times New Roman"/>
          <w:b/>
          <w:bCs/>
          <w:sz w:val="32"/>
          <w:szCs w:val="32"/>
        </w:rPr>
        <w:t>项目资金申报相符性</w:t>
      </w: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项目申报内容</w:t>
      </w:r>
      <w:r>
        <w:rPr>
          <w:rFonts w:hint="default" w:ascii="Times New Roman" w:hAnsi="Times New Roman" w:eastAsia="仿宋_GB2312" w:cs="Times New Roman"/>
          <w:sz w:val="32"/>
          <w:szCs w:val="32"/>
          <w:lang w:eastAsia="zh-CN"/>
        </w:rPr>
        <w:t>与</w:t>
      </w:r>
      <w:r>
        <w:rPr>
          <w:rFonts w:hint="default" w:ascii="Times New Roman" w:hAnsi="Times New Roman" w:eastAsia="仿宋_GB2312" w:cs="Times New Roman"/>
          <w:sz w:val="32"/>
          <w:szCs w:val="32"/>
        </w:rPr>
        <w:t>具体实施内容相符，申报目标合理可行。</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8" w:leftChars="304" w:firstLine="0" w:firstLineChars="0"/>
        <w:textAlignment w:val="auto"/>
        <w:rPr>
          <w:rFonts w:hint="default" w:ascii="Times New Roman" w:hAnsi="Times New Roman" w:eastAsia="方正仿宋_GB2312" w:cs="Times New Roman"/>
          <w:sz w:val="32"/>
          <w:szCs w:val="32"/>
        </w:rPr>
      </w:pPr>
      <w:r>
        <w:rPr>
          <w:rFonts w:hint="default" w:ascii="Times New Roman" w:hAnsi="Times New Roman" w:eastAsia="楷体" w:cs="Times New Roman"/>
          <w:b/>
          <w:bCs/>
          <w:sz w:val="32"/>
          <w:szCs w:val="32"/>
          <w:lang w:val="en-US" w:eastAsia="zh-CN"/>
        </w:rPr>
        <w:t>（一）资金计划、到位及使用情况。</w:t>
      </w:r>
      <w:r>
        <w:rPr>
          <w:rFonts w:hint="default" w:ascii="Times New Roman" w:hAnsi="Times New Roman" w:eastAsia="方正仿宋_GB2312" w:cs="Times New Roman"/>
          <w:sz w:val="32"/>
          <w:szCs w:val="32"/>
        </w:rPr>
        <w:br w:type="textWrapping"/>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资金计划及到位。该项目资金总投资1560万元，实际资金到位1248万元与资金计划相比资金到位率80%。2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资金使用。2025年项目实际支出932.8132622万元，截至评价时点项目资金的实际支出932.8132622万元，资金开支范围主要为基础设施建设标准及支付进度、支付依据合规合法。</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2" w:firstLineChars="200"/>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（二）项目财务管理情况</w:t>
      </w:r>
      <w:r>
        <w:rPr>
          <w:rFonts w:hint="default" w:ascii="Times New Roman" w:hAnsi="Times New Roman" w:eastAsia="方正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1.资金到位后，</w:t>
      </w:r>
      <w:r>
        <w:rPr>
          <w:rFonts w:hint="default" w:ascii="Times New Roman" w:hAnsi="Times New Roman" w:eastAsia="仿宋_GB2312" w:cs="Times New Roman"/>
          <w:sz w:val="32"/>
          <w:szCs w:val="32"/>
        </w:rPr>
        <w:t>我</w:t>
      </w:r>
      <w:r>
        <w:rPr>
          <w:rFonts w:hint="default"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将加强对项目资金使用情况的监督管理，做到专款专用，确保不挪用转借和挤占项目工程款</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将按县发改委</w:t>
      </w:r>
      <w:r>
        <w:rPr>
          <w:rFonts w:hint="eastAsia" w:eastAsia="仿宋_GB2312" w:cs="Times New Roman"/>
          <w:sz w:val="32"/>
          <w:szCs w:val="32"/>
          <w:lang w:eastAsia="zh-CN"/>
        </w:rPr>
        <w:t>、县</w:t>
      </w:r>
      <w:r>
        <w:rPr>
          <w:rFonts w:hint="default" w:ascii="Times New Roman" w:hAnsi="Times New Roman" w:eastAsia="仿宋_GB2312" w:cs="Times New Roman"/>
          <w:sz w:val="32"/>
          <w:szCs w:val="32"/>
        </w:rPr>
        <w:t>财政局的督导要求积极配合。</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2.项目实施后，</w:t>
      </w:r>
      <w:r>
        <w:rPr>
          <w:rFonts w:hint="default" w:ascii="Times New Roman" w:hAnsi="Times New Roman" w:eastAsia="仿宋_GB2312" w:cs="Times New Roman"/>
          <w:sz w:val="32"/>
          <w:szCs w:val="32"/>
        </w:rPr>
        <w:t>待项目主体工程完工，通过使用证明工程质量各项指标均合格后方可拨付。</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3.项目组织实施情况。</w:t>
      </w:r>
      <w:r>
        <w:rPr>
          <w:rFonts w:hint="default" w:ascii="Times New Roman" w:hAnsi="Times New Roman" w:eastAsia="仿宋_GB2312" w:cs="Times New Roman"/>
          <w:sz w:val="32"/>
          <w:szCs w:val="32"/>
        </w:rPr>
        <w:t>项目严格按照壤塘县</w:t>
      </w:r>
      <w:r>
        <w:rPr>
          <w:rFonts w:hint="default" w:ascii="Times New Roman" w:hAnsi="Times New Roman" w:eastAsia="仿宋_GB2312" w:cs="Times New Roman"/>
          <w:sz w:val="32"/>
          <w:szCs w:val="32"/>
          <w:lang w:val="en-US" w:eastAsia="zh-CN"/>
        </w:rPr>
        <w:t>上寨集镇市政基础</w:t>
      </w:r>
      <w:r>
        <w:rPr>
          <w:rFonts w:hint="default" w:ascii="Times New Roman" w:hAnsi="Times New Roman" w:eastAsia="仿宋_GB2312" w:cs="Times New Roman"/>
          <w:sz w:val="32"/>
          <w:szCs w:val="32"/>
        </w:rPr>
        <w:t>建设项目实施方案执行。</w:t>
      </w:r>
      <w:r>
        <w:rPr>
          <w:rFonts w:hint="default" w:ascii="Times New Roman" w:hAnsi="Times New Roman" w:eastAsia="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黑体" w:cs="Times New Roman"/>
          <w:sz w:val="32"/>
          <w:szCs w:val="32"/>
          <w:lang w:eastAsia="zh-CN"/>
        </w:rPr>
        <w:t>三、目标完成情况</w:t>
      </w:r>
      <w:r>
        <w:rPr>
          <w:rFonts w:hint="default" w:ascii="Times New Roman" w:hAnsi="Times New Roman" w:eastAsia="方正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楷体" w:cs="Times New Roman"/>
          <w:b/>
          <w:bCs/>
          <w:sz w:val="32"/>
          <w:szCs w:val="32"/>
          <w:lang w:val="en-US" w:eastAsia="zh-CN"/>
        </w:rPr>
        <w:t>（一）目标任务量完成情况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仿宋_GB2312" w:cs="Times New Roman"/>
          <w:sz w:val="32"/>
          <w:szCs w:val="32"/>
        </w:rPr>
        <w:t>项目成立了项目管理办公室，专人负责，并配备监理协助抓好工程工期与质量等工作。</w:t>
      </w:r>
      <w:r>
        <w:rPr>
          <w:rFonts w:hint="default" w:ascii="Times New Roman" w:hAnsi="Times New Roman" w:eastAsia="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楷体" w:cs="Times New Roman"/>
          <w:b/>
          <w:bCs/>
          <w:sz w:val="32"/>
          <w:szCs w:val="32"/>
          <w:lang w:val="en-US" w:eastAsia="zh-CN"/>
        </w:rPr>
        <w:t>（二）目标质量完成情况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项目按施工合同约定，如期保质保量完成。</w:t>
      </w:r>
      <w:r>
        <w:rPr>
          <w:rFonts w:hint="default" w:ascii="Times New Roman" w:hAnsi="Times New Roman" w:eastAsia="方正仿宋_GB2312" w:cs="Times New Roman"/>
          <w:sz w:val="32"/>
          <w:szCs w:val="32"/>
        </w:rPr>
        <w:br w:type="textWrapping"/>
      </w:r>
      <w:r>
        <w:rPr>
          <w:rFonts w:hint="default" w:ascii="Times New Roman" w:hAnsi="Times New Roman" w:eastAsia="方正仿宋_GB2312" w:cs="Times New Roman"/>
          <w:sz w:val="32"/>
          <w:szCs w:val="32"/>
          <w:lang w:val="en-US" w:eastAsia="zh-CN"/>
        </w:rPr>
        <w:t xml:space="preserve">    </w:t>
      </w:r>
      <w:r>
        <w:rPr>
          <w:rFonts w:hint="default" w:ascii="Times New Roman" w:hAnsi="Times New Roman" w:eastAsia="黑体" w:cs="Times New Roman"/>
          <w:sz w:val="32"/>
          <w:szCs w:val="32"/>
          <w:lang w:eastAsia="zh-CN"/>
        </w:rPr>
        <w:t>四、项目效益情况</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该项目是全面改善</w:t>
      </w:r>
      <w:r>
        <w:rPr>
          <w:rFonts w:hint="default" w:ascii="Times New Roman" w:hAnsi="Times New Roman" w:eastAsia="仿宋_GB2312" w:cs="Times New Roman"/>
          <w:sz w:val="32"/>
          <w:szCs w:val="32"/>
          <w:lang w:val="en-US" w:eastAsia="zh-CN"/>
        </w:rPr>
        <w:t>上寨集镇市政基础设施不完善</w:t>
      </w:r>
      <w:r>
        <w:rPr>
          <w:rFonts w:hint="default" w:ascii="Times New Roman" w:hAnsi="Times New Roman" w:eastAsia="仿宋_GB2312" w:cs="Times New Roman"/>
          <w:sz w:val="32"/>
          <w:szCs w:val="32"/>
          <w:lang w:eastAsia="zh-CN"/>
        </w:rPr>
        <w:t>的问题</w:t>
      </w:r>
      <w:r>
        <w:rPr>
          <w:rFonts w:hint="default" w:ascii="Times New Roman" w:hAnsi="Times New Roman" w:eastAsia="仿宋_GB2312" w:cs="Times New Roman"/>
          <w:sz w:val="32"/>
          <w:szCs w:val="32"/>
        </w:rPr>
        <w:t>，以解决突出制约问题为重点为目的的建设项目，改善生产生活条件的惠民项目。项目按照抓重点、补短板、强弱项的要求，围绕群众最关心最直接最现实的利益问题，项目完成后，将使该</w:t>
      </w:r>
      <w:r>
        <w:rPr>
          <w:rFonts w:hint="default" w:ascii="Times New Roman" w:hAnsi="Times New Roman" w:eastAsia="仿宋_GB2312" w:cs="Times New Roman"/>
          <w:sz w:val="32"/>
          <w:szCs w:val="32"/>
          <w:lang w:val="en-US" w:eastAsia="zh-CN"/>
        </w:rPr>
        <w:t>集镇</w:t>
      </w:r>
      <w:r>
        <w:rPr>
          <w:rFonts w:hint="default" w:ascii="Times New Roman" w:hAnsi="Times New Roman" w:eastAsia="仿宋_GB2312" w:cs="Times New Roman"/>
          <w:sz w:val="32"/>
          <w:szCs w:val="32"/>
        </w:rPr>
        <w:t>基础设施条件得到极大改善，为</w:t>
      </w:r>
      <w:r>
        <w:rPr>
          <w:rFonts w:hint="default" w:ascii="Times New Roman" w:hAnsi="Times New Roman" w:eastAsia="仿宋_GB2312" w:cs="Times New Roman"/>
          <w:sz w:val="32"/>
          <w:szCs w:val="32"/>
          <w:lang w:eastAsia="zh-CN"/>
        </w:rPr>
        <w:t>壤塘县</w:t>
      </w:r>
      <w:r>
        <w:rPr>
          <w:rFonts w:hint="default" w:ascii="Times New Roman" w:hAnsi="Times New Roman" w:eastAsia="仿宋_GB2312" w:cs="Times New Roman"/>
          <w:sz w:val="32"/>
          <w:szCs w:val="32"/>
          <w:lang w:val="en-US" w:eastAsia="zh-CN"/>
        </w:rPr>
        <w:t>上寨集镇</w:t>
      </w:r>
      <w:r>
        <w:rPr>
          <w:rFonts w:hint="default" w:ascii="Times New Roman" w:hAnsi="Times New Roman" w:eastAsia="仿宋_GB2312" w:cs="Times New Roman"/>
          <w:sz w:val="32"/>
          <w:szCs w:val="32"/>
        </w:rPr>
        <w:t>的经济发展创造良好的设施环境，</w:t>
      </w:r>
      <w:r>
        <w:rPr>
          <w:rFonts w:hint="default" w:ascii="Times New Roman" w:hAnsi="Times New Roman" w:eastAsia="仿宋_GB2312" w:cs="Times New Roman"/>
          <w:sz w:val="32"/>
          <w:szCs w:val="32"/>
          <w:lang w:val="en-US" w:eastAsia="zh-CN"/>
        </w:rPr>
        <w:t>群众</w:t>
      </w:r>
      <w:r>
        <w:rPr>
          <w:rFonts w:hint="default" w:ascii="Times New Roman" w:hAnsi="Times New Roman" w:eastAsia="仿宋_GB2312" w:cs="Times New Roman"/>
          <w:sz w:val="32"/>
          <w:szCs w:val="32"/>
        </w:rPr>
        <w:t>生活水平和质量进一步提高，项目建设将有效推进我</w:t>
      </w:r>
      <w:r>
        <w:rPr>
          <w:rFonts w:hint="default"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乡村</w:t>
      </w:r>
      <w:r>
        <w:rPr>
          <w:rFonts w:hint="default" w:ascii="Times New Roman" w:hAnsi="Times New Roman" w:eastAsia="仿宋_GB2312" w:cs="Times New Roman"/>
          <w:sz w:val="32"/>
          <w:szCs w:val="32"/>
          <w:lang w:val="en-US" w:eastAsia="zh-CN"/>
        </w:rPr>
        <w:t>基础设施完善度</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五、问题及建议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2" w:firstLineChars="200"/>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（一）存在的问题</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无</w:t>
      </w:r>
    </w:p>
    <w:tbl>
      <w:tblPr>
        <w:tblStyle w:val="12"/>
        <w:tblpPr w:leftFromText="180" w:rightFromText="180" w:vertAnchor="text" w:horzAnchor="page" w:tblpX="1440" w:tblpY="1115"/>
        <w:tblOverlap w:val="never"/>
        <w:tblW w:w="101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816"/>
        <w:gridCol w:w="996"/>
        <w:gridCol w:w="816"/>
        <w:gridCol w:w="222"/>
        <w:gridCol w:w="906"/>
        <w:gridCol w:w="1155"/>
        <w:gridCol w:w="1581"/>
        <w:gridCol w:w="816"/>
        <w:gridCol w:w="1191"/>
        <w:gridCol w:w="8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628" w:type="dxa"/>
            <w:gridSpan w:val="3"/>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bidi w:val="0"/>
              <w:spacing w:line="576" w:lineRule="exact"/>
              <w:ind w:left="0" w:leftChars="0" w:firstLine="480" w:firstLineChars="200"/>
              <w:jc w:val="left"/>
              <w:textAlignment w:val="center"/>
              <w:rPr>
                <w:rFonts w:hint="default" w:ascii="Times New Roman" w:hAnsi="Times New Roman" w:eastAsia="黑体" w:cs="Times New Roman"/>
                <w:i w:val="0"/>
                <w:iCs w:val="0"/>
                <w:color w:val="000000"/>
                <w:sz w:val="24"/>
                <w:szCs w:val="24"/>
                <w:u w:val="none"/>
              </w:rPr>
            </w:pPr>
          </w:p>
        </w:tc>
        <w:tc>
          <w:tcPr>
            <w:tcW w:w="816"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黑体" w:cs="Times New Roman"/>
                <w:i w:val="0"/>
                <w:iCs w:val="0"/>
                <w:color w:val="000000"/>
                <w:sz w:val="24"/>
                <w:szCs w:val="24"/>
                <w:u w:val="none"/>
              </w:rPr>
            </w:pPr>
          </w:p>
        </w:tc>
        <w:tc>
          <w:tcPr>
            <w:tcW w:w="222"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906"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1155"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1581"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816"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1191"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c>
          <w:tcPr>
            <w:tcW w:w="816" w:type="dxa"/>
            <w:tcBorders>
              <w:top w:val="nil"/>
              <w:left w:val="nil"/>
              <w:bottom w:val="nil"/>
              <w:right w:val="nil"/>
            </w:tcBorders>
            <w:shd w:val="clear" w:color="auto" w:fill="auto"/>
            <w:vAlign w:val="center"/>
          </w:tcPr>
          <w:p>
            <w:pPr>
              <w:pageBreakBefore w:val="0"/>
              <w:kinsoku/>
              <w:wordWrap/>
              <w:overflowPunct/>
              <w:topLinePunct w:val="0"/>
              <w:bidi w:val="0"/>
              <w:spacing w:line="576" w:lineRule="exact"/>
              <w:ind w:left="0" w:leftChars="0" w:firstLine="480" w:firstLineChars="200"/>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131" w:type="dxa"/>
            <w:gridSpan w:val="11"/>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642" w:firstLineChars="200"/>
              <w:jc w:val="center"/>
              <w:textAlignment w:val="center"/>
              <w:rPr>
                <w:rFonts w:hint="default" w:ascii="Times New Roman" w:hAnsi="Times New Roman" w:eastAsia="宋体" w:cs="Times New Roman"/>
                <w:i w:val="0"/>
                <w:iCs w:val="0"/>
                <w:color w:val="000000"/>
                <w:sz w:val="32"/>
                <w:szCs w:val="32"/>
                <w:u w:val="none"/>
              </w:rPr>
            </w:pPr>
            <w:r>
              <w:rPr>
                <w:rStyle w:val="31"/>
                <w:rFonts w:hint="default" w:ascii="Times New Roman" w:hAnsi="Times New Roman" w:cs="Times New Roman"/>
                <w:lang w:val="en-US" w:eastAsia="zh-CN" w:bidi="ar"/>
              </w:rPr>
              <w:t>绩效目标自评表</w:t>
            </w:r>
            <w:r>
              <w:rPr>
                <w:rFonts w:hint="default" w:ascii="Times New Roman" w:hAnsi="Times New Roman" w:eastAsia="宋体" w:cs="Times New Roman"/>
                <w:i w:val="0"/>
                <w:iCs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131" w:type="dxa"/>
            <w:gridSpan w:val="11"/>
            <w:tcBorders>
              <w:top w:val="nil"/>
              <w:left w:val="nil"/>
              <w:bottom w:val="single" w:color="000000" w:sz="4" w:space="0"/>
              <w:right w:val="nil"/>
            </w:tcBorders>
            <w:shd w:val="clear" w:color="auto" w:fill="auto"/>
            <w:vAlign w:val="top"/>
          </w:tcPr>
          <w:p>
            <w:pPr>
              <w:keepNext w:val="0"/>
              <w:keepLines w:val="0"/>
              <w:pageBreakBefore w:val="0"/>
              <w:widowControl/>
              <w:suppressLineNumbers w:val="0"/>
              <w:kinsoku/>
              <w:wordWrap/>
              <w:overflowPunct/>
              <w:topLinePunct w:val="0"/>
              <w:bidi w:val="0"/>
              <w:spacing w:line="576" w:lineRule="exact"/>
              <w:ind w:left="0" w:leftChars="0" w:firstLine="440" w:firstLineChars="20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6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壤塘县上寨集镇市政基础设施建设项目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项目负责人及电话</w:t>
            </w:r>
          </w:p>
        </w:tc>
        <w:tc>
          <w:tcPr>
            <w:tcW w:w="4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何远钦18190167083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阿坝州住房和城乡建设局</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w:t>
            </w:r>
          </w:p>
        </w:tc>
        <w:tc>
          <w:tcPr>
            <w:tcW w:w="44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壤塘县住房和城乡建设局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6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资金情况</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（万元）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全年预算数（A）</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全年执行数（B）</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执行率（B/A</w:t>
            </w:r>
            <w:r>
              <w:rPr>
                <w:rFonts w:hint="eastAsia" w:cs="Times New Roman"/>
                <w:i w:val="0"/>
                <w:iCs w:val="0"/>
                <w:color w:val="000000"/>
                <w:kern w:val="0"/>
                <w:sz w:val="18"/>
                <w:szCs w:val="18"/>
                <w:u w:val="none"/>
                <w:lang w:val="en-US" w:eastAsia="zh-CN" w:bidi="ar"/>
              </w:rPr>
              <w:t>）</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年度资金总额：</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1248万元</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932.8132622万元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74.74%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其中：本年财政拨款</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1248万元</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932.8132622万元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74.74%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6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其他资金</w:t>
            </w:r>
          </w:p>
        </w:tc>
        <w:tc>
          <w:tcPr>
            <w:tcW w:w="1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left"/>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w:t>
            </w:r>
          </w:p>
        </w:tc>
        <w:tc>
          <w:tcPr>
            <w:tcW w:w="3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年初设定目标</w:t>
            </w:r>
          </w:p>
        </w:tc>
        <w:tc>
          <w:tcPr>
            <w:tcW w:w="55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3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改造市政车行道路人行道路，新建污水管道、雨水管道、电力通信管道，改造厕所及其他配套附属设施，完成总工程量100%预计2025年11月完工。</w:t>
            </w:r>
          </w:p>
        </w:tc>
        <w:tc>
          <w:tcPr>
            <w:tcW w:w="55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改造市政车行道</w:t>
            </w:r>
            <w:r>
              <w:rPr>
                <w:rFonts w:hint="eastAsia" w:cs="Times New Roman"/>
                <w:i w:val="0"/>
                <w:iCs w:val="0"/>
                <w:color w:val="000000"/>
                <w:kern w:val="0"/>
                <w:sz w:val="18"/>
                <w:szCs w:val="18"/>
                <w:u w:val="none"/>
                <w:lang w:val="en-US" w:eastAsia="zh-CN" w:bidi="ar"/>
              </w:rPr>
              <w:t>路和</w:t>
            </w:r>
            <w:r>
              <w:rPr>
                <w:rFonts w:hint="default" w:ascii="Times New Roman" w:hAnsi="Times New Roman" w:eastAsia="宋体" w:cs="Times New Roman"/>
                <w:i w:val="0"/>
                <w:iCs w:val="0"/>
                <w:color w:val="000000"/>
                <w:kern w:val="0"/>
                <w:sz w:val="18"/>
                <w:szCs w:val="18"/>
                <w:u w:val="none"/>
                <w:lang w:val="en-US" w:eastAsia="zh-CN" w:bidi="ar"/>
              </w:rPr>
              <w:t>人行道路，新建污水管道、雨水管道、电力通信管道，改造厕所及其他配套附属设施，总工程量于2025年11月进度达到100%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年度指标值</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全年实际值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出</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(50分</w:t>
            </w:r>
            <w:r>
              <w:rPr>
                <w:rFonts w:hint="eastAsia" w:cs="Times New Roman"/>
                <w:i w:val="0"/>
                <w:iCs w:val="0"/>
                <w:color w:val="000000"/>
                <w:kern w:val="0"/>
                <w:sz w:val="18"/>
                <w:szCs w:val="18"/>
                <w:u w:val="none"/>
                <w:lang w:val="en-US" w:eastAsia="zh-CN" w:bidi="ar"/>
              </w:rPr>
              <w:t>）</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0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改造、硬化道路</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=8400米</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7796米</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根据现场实际情况，项目进行变更减少了改造、硬化道路的工程量。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竣工验收合格率</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建设工期</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≤12个月</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8个月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≤1560万</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932.8132622</w:t>
            </w:r>
            <w:r>
              <w:rPr>
                <w:rFonts w:hint="eastAsia" w:cs="Times New Roman"/>
                <w:i w:val="0"/>
                <w:iCs w:val="0"/>
                <w:color w:val="000000"/>
                <w:kern w:val="0"/>
                <w:sz w:val="18"/>
                <w:szCs w:val="18"/>
                <w:u w:val="none"/>
                <w:lang w:val="en-US" w:eastAsia="zh-CN" w:bidi="ar"/>
              </w:rPr>
              <w:t>万元</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(30分</w:t>
            </w:r>
            <w:r>
              <w:rPr>
                <w:rFonts w:hint="eastAsia" w:cs="Times New Roman"/>
                <w:i w:val="0"/>
                <w:iCs w:val="0"/>
                <w:color w:val="000000"/>
                <w:kern w:val="0"/>
                <w:sz w:val="18"/>
                <w:szCs w:val="18"/>
                <w:u w:val="none"/>
                <w:lang w:val="en-US" w:eastAsia="zh-CN" w:bidi="ar"/>
              </w:rPr>
              <w:t>）</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指标</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指标</w:t>
            </w:r>
          </w:p>
        </w:tc>
        <w:tc>
          <w:tcPr>
            <w:tcW w:w="10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提高当地居民就业率</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≥15人</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left"/>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生态效益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指标</w:t>
            </w:r>
          </w:p>
        </w:tc>
        <w:tc>
          <w:tcPr>
            <w:tcW w:w="10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是否改善当地环境</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雨污分流管网未实现上寨集镇片区的全覆盖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(10分</w:t>
            </w:r>
            <w:r>
              <w:rPr>
                <w:rFonts w:hint="eastAsia" w:cs="Times New Roman"/>
                <w:i w:val="0"/>
                <w:iCs w:val="0"/>
                <w:color w:val="000000"/>
                <w:kern w:val="0"/>
                <w:sz w:val="18"/>
                <w:szCs w:val="18"/>
                <w:u w:val="none"/>
                <w:lang w:val="en-US" w:eastAsia="zh-CN" w:bidi="ar"/>
              </w:rPr>
              <w:t>）</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使用对象满意度≥95%</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0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未实现上寨集镇片区的全覆盖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20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rPr>
                <w:rFonts w:hint="default" w:ascii="Times New Roman" w:hAnsi="Times New Roman" w:eastAsia="宋体" w:cs="Times New Roman"/>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6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1" w:firstLineChars="20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总分</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1" w:firstLineChars="20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100</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1" w:firstLineChars="200"/>
              <w:jc w:val="center"/>
              <w:rPr>
                <w:rFonts w:hint="default" w:ascii="Times New Roman" w:hAnsi="Times New Roman" w:eastAsia="宋体" w:cs="Times New Roman"/>
                <w:b/>
                <w:bCs/>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1" w:firstLineChars="20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88</w:t>
            </w:r>
          </w:p>
        </w:tc>
        <w:tc>
          <w:tcPr>
            <w:tcW w:w="20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pacing w:line="576" w:lineRule="exact"/>
              <w:ind w:left="0" w:leftChars="0" w:firstLine="360" w:firstLineChars="20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0131" w:type="dxa"/>
            <w:gridSpan w:val="11"/>
            <w:tcBorders>
              <w:top w:val="single" w:color="000000" w:sz="4" w:space="0"/>
              <w:left w:val="nil"/>
              <w:bottom w:val="nil"/>
              <w:right w:val="nil"/>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注：1.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0131" w:type="dxa"/>
            <w:gridSpan w:val="11"/>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w:t>
            </w: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含80%</w:t>
            </w: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、80-60%</w:t>
            </w: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含60%</w:t>
            </w: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、60-0%合理确定得分。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131" w:type="dxa"/>
            <w:gridSpan w:val="11"/>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bidi w:val="0"/>
              <w:spacing w:line="576" w:lineRule="exact"/>
              <w:ind w:left="0" w:leftChars="0" w:firstLine="360" w:firstLineChars="20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3.定量指标若为正向指标（即指标值为≥*），则得分计算方法应用全年实际值/年度指标值╳该指标分值；若定量指标为反向指标（即指标值为≤*），则得分计算方法应用年度指标值/全年实际值╳该指标分值；定量指标得分最高不得超过该指标分值上限。</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2" w:firstLineChars="200"/>
        <w:textAlignment w:val="auto"/>
        <w:rPr>
          <w:rFonts w:hint="default" w:ascii="Times New Roman" w:hAnsi="Times New Roman" w:eastAsia="楷体" w:cs="Times New Roman"/>
          <w:b/>
          <w:bCs/>
          <w:sz w:val="32"/>
          <w:szCs w:val="32"/>
          <w:lang w:val="en-US" w:eastAsia="zh-CN"/>
        </w:rPr>
      </w:pPr>
      <w:r>
        <w:rPr>
          <w:rFonts w:hint="default" w:ascii="Times New Roman" w:hAnsi="Times New Roman" w:eastAsia="楷体" w:cs="Times New Roman"/>
          <w:b/>
          <w:bCs/>
          <w:sz w:val="32"/>
          <w:szCs w:val="32"/>
          <w:lang w:val="en-US" w:eastAsia="zh-CN"/>
        </w:rPr>
        <w:t>（二）</w:t>
      </w:r>
      <w:r>
        <w:rPr>
          <w:rFonts w:hint="eastAsia" w:eastAsia="楷体" w:cs="Times New Roman"/>
          <w:b/>
          <w:bCs/>
          <w:sz w:val="32"/>
          <w:szCs w:val="32"/>
          <w:lang w:val="en-US" w:eastAsia="zh-CN"/>
        </w:rPr>
        <w:t>相关</w:t>
      </w:r>
      <w:r>
        <w:rPr>
          <w:rFonts w:hint="default" w:ascii="Times New Roman" w:hAnsi="Times New Roman" w:eastAsia="楷体" w:cs="Times New Roman"/>
          <w:b/>
          <w:bCs/>
          <w:sz w:val="32"/>
          <w:szCs w:val="32"/>
          <w:lang w:val="en-US" w:eastAsia="zh-CN"/>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方正仿宋_GB2312" w:cs="Times New Roman"/>
          <w:sz w:val="32"/>
          <w:szCs w:val="32"/>
          <w:lang w:val="en-US" w:eastAsia="zh-CN"/>
        </w:rPr>
      </w:pPr>
    </w:p>
    <w:p>
      <w:pPr>
        <w:pStyle w:val="2"/>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Style w:val="2"/>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Style w:val="2"/>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eastAsia="zh-CN"/>
        </w:rPr>
      </w:pPr>
    </w:p>
    <w:p>
      <w:pPr>
        <w:pStyle w:val="2"/>
        <w:rPr>
          <w:rFonts w:hint="default" w:ascii="Times New Roman" w:hAnsi="Times New Roman" w:eastAsia="仿宋_GB2312" w:cs="Times New Roman"/>
          <w:color w:val="auto"/>
          <w:sz w:val="32"/>
          <w:szCs w:val="32"/>
          <w:highlight w:val="none"/>
          <w:lang w:eastAsia="zh-CN"/>
        </w:rPr>
      </w:pPr>
    </w:p>
    <w:p>
      <w:pPr>
        <w:rPr>
          <w:rFonts w:hint="default" w:ascii="Times New Roman" w:hAnsi="Times New Roman" w:eastAsia="仿宋_GB2312" w:cs="Times New Roman"/>
          <w:color w:val="auto"/>
          <w:sz w:val="32"/>
          <w:szCs w:val="32"/>
          <w:highlight w:val="none"/>
          <w:lang w:eastAsia="zh-CN"/>
        </w:rPr>
      </w:pPr>
    </w:p>
    <w:p>
      <w:pPr>
        <w:pStyle w:val="2"/>
        <w:rPr>
          <w:rFonts w:hint="default" w:ascii="Times New Roman" w:hAnsi="Times New Roman" w:eastAsia="仿宋_GB2312" w:cs="Times New Roman"/>
          <w:color w:val="auto"/>
          <w:sz w:val="32"/>
          <w:szCs w:val="32"/>
          <w:highlight w:val="none"/>
          <w:lang w:eastAsia="zh-CN"/>
        </w:rPr>
      </w:pPr>
    </w:p>
    <w:p>
      <w:pPr>
        <w:rPr>
          <w:rFonts w:hint="default" w:ascii="Times New Roman" w:hAnsi="Times New Roman" w:eastAsia="仿宋_GB2312" w:cs="Times New Roman"/>
          <w:color w:val="auto"/>
          <w:sz w:val="32"/>
          <w:szCs w:val="32"/>
          <w:highlight w:val="none"/>
          <w:lang w:eastAsia="zh-CN"/>
        </w:rPr>
      </w:pPr>
    </w:p>
    <w:p>
      <w:pPr>
        <w:pStyle w:val="2"/>
        <w:rPr>
          <w:rFonts w:hint="default" w:ascii="Times New Roman" w:hAnsi="Times New Roman" w:eastAsia="仿宋_GB2312" w:cs="Times New Roman"/>
          <w:color w:val="auto"/>
          <w:sz w:val="32"/>
          <w:szCs w:val="32"/>
          <w:highlight w:val="none"/>
          <w:lang w:eastAsia="zh-CN"/>
        </w:rPr>
      </w:pPr>
    </w:p>
    <w:p>
      <w:pPr>
        <w:rPr>
          <w:rFonts w:hint="default" w:ascii="Times New Roman" w:hAnsi="Times New Roman" w:eastAsia="仿宋_GB2312" w:cs="Times New Roman"/>
          <w:color w:val="auto"/>
          <w:sz w:val="32"/>
          <w:szCs w:val="32"/>
          <w:highlight w:val="none"/>
          <w:lang w:eastAsia="zh-CN"/>
        </w:rPr>
      </w:pPr>
    </w:p>
    <w:p>
      <w:pPr>
        <w:pStyle w:val="2"/>
        <w:rPr>
          <w:rFonts w:hint="default" w:ascii="Times New Roman" w:hAnsi="Times New Roman" w:eastAsia="仿宋_GB2312" w:cs="Times New Roman"/>
          <w:color w:val="auto"/>
          <w:sz w:val="32"/>
          <w:szCs w:val="32"/>
          <w:highlight w:val="none"/>
          <w:lang w:eastAsia="zh-CN"/>
        </w:rPr>
      </w:pPr>
    </w:p>
    <w:p>
      <w:pPr>
        <w:rPr>
          <w:rFonts w:hint="default" w:ascii="Times New Roman" w:hAnsi="Times New Roman" w:eastAsia="仿宋_GB2312" w:cs="Times New Roman"/>
          <w:color w:val="auto"/>
          <w:sz w:val="32"/>
          <w:szCs w:val="32"/>
          <w:highlight w:val="none"/>
          <w:lang w:eastAsia="zh-CN"/>
        </w:rPr>
      </w:pPr>
    </w:p>
    <w:p>
      <w:pPr>
        <w:pStyle w:val="2"/>
        <w:rPr>
          <w:rFonts w:hint="default" w:ascii="Times New Roman" w:hAnsi="Times New Roman" w:eastAsia="仿宋_GB2312" w:cs="Times New Roman"/>
          <w:color w:val="auto"/>
          <w:sz w:val="32"/>
          <w:szCs w:val="32"/>
          <w:highlight w:val="none"/>
          <w:lang w:eastAsia="zh-CN"/>
        </w:rPr>
      </w:pPr>
    </w:p>
    <w:p>
      <w:pPr>
        <w:pageBreakBefore w:val="0"/>
        <w:kinsoku/>
        <w:wordWrap/>
        <w:overflowPunct/>
        <w:topLinePunct w:val="0"/>
        <w:bidi w:val="0"/>
        <w:spacing w:line="576" w:lineRule="exact"/>
        <w:rPr>
          <w:rFonts w:hint="default" w:ascii="Times New Roman" w:hAnsi="Times New Roman" w:eastAsia="仿宋_GB2312" w:cs="Times New Roman"/>
          <w:color w:val="auto"/>
          <w:sz w:val="32"/>
          <w:szCs w:val="32"/>
          <w:highlight w:val="none"/>
        </w:rPr>
      </w:pPr>
    </w:p>
    <w:p>
      <w:pPr>
        <w:pageBreakBefore w:val="0"/>
        <w:widowControl/>
        <w:suppressAutoHyphens/>
        <w:kinsoku/>
        <w:wordWrap/>
        <w:overflowPunct/>
        <w:topLinePunct w:val="0"/>
        <w:bidi w:val="0"/>
        <w:spacing w:line="576" w:lineRule="exact"/>
        <w:ind w:left="0" w:leftChars="0" w:firstLine="880" w:firstLineChars="200"/>
        <w:jc w:val="center"/>
        <w:rPr>
          <w:rStyle w:val="16"/>
          <w:rFonts w:hint="default" w:ascii="Times New Roman" w:hAnsi="Times New Roman" w:eastAsia="黑体" w:cs="Times New Roman"/>
          <w:b w:val="0"/>
          <w:color w:val="auto"/>
          <w:highlight w:val="none"/>
        </w:rPr>
      </w:pPr>
      <w:bookmarkStart w:id="58" w:name="_Toc15377226"/>
      <w:bookmarkStart w:id="59" w:name="_Toc15396618"/>
      <w:r>
        <w:rPr>
          <w:rFonts w:hint="default" w:ascii="Times New Roman" w:hAnsi="Times New Roman" w:eastAsia="黑体" w:cs="Times New Roman"/>
          <w:color w:val="auto"/>
          <w:sz w:val="44"/>
          <w:szCs w:val="44"/>
          <w:highlight w:val="none"/>
        </w:rPr>
        <w:t>第</w:t>
      </w:r>
      <w:r>
        <w:rPr>
          <w:rStyle w:val="16"/>
          <w:rFonts w:hint="default" w:ascii="Times New Roman" w:hAnsi="Times New Roman" w:eastAsia="黑体" w:cs="Times New Roman"/>
          <w:b w:val="0"/>
          <w:color w:val="auto"/>
          <w:highlight w:val="none"/>
        </w:rPr>
        <w:t>五部分 附表</w:t>
      </w:r>
      <w:bookmarkEnd w:id="58"/>
      <w:bookmarkEnd w:id="59"/>
      <w:bookmarkStart w:id="60" w:name="_Toc15396619"/>
    </w:p>
    <w:p>
      <w:pPr>
        <w:pStyle w:val="2"/>
        <w:rPr>
          <w:rFonts w:hint="default" w:ascii="Times New Roman" w:hAnsi="Times New Roman" w:cs="Times New Roman"/>
        </w:rPr>
      </w:pPr>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61" w:name="_Toc14209"/>
      <w:r>
        <w:rPr>
          <w:rFonts w:hint="default" w:ascii="Times New Roman" w:hAnsi="Times New Roman" w:eastAsia="仿宋_GB2312" w:cs="Times New Roman"/>
          <w:b w:val="0"/>
          <w:color w:val="auto"/>
          <w:highlight w:val="none"/>
        </w:rPr>
        <w:t>一、收</w:t>
      </w:r>
      <w:r>
        <w:rPr>
          <w:rStyle w:val="19"/>
          <w:rFonts w:hint="default" w:ascii="Times New Roman" w:hAnsi="Times New Roman" w:eastAsia="仿宋_GB2312" w:cs="Times New Roman"/>
          <w:b w:val="0"/>
          <w:bCs w:val="0"/>
          <w:color w:val="auto"/>
          <w:highlight w:val="none"/>
        </w:rPr>
        <w:t>入支出决算总表</w:t>
      </w:r>
      <w:bookmarkEnd w:id="60"/>
      <w:bookmarkEnd w:id="61"/>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62" w:name="_Toc15396620"/>
      <w:bookmarkStart w:id="63" w:name="_Toc1981"/>
      <w:r>
        <w:rPr>
          <w:rFonts w:hint="default" w:ascii="Times New Roman" w:hAnsi="Times New Roman" w:eastAsia="仿宋_GB2312" w:cs="Times New Roman"/>
          <w:b w:val="0"/>
          <w:color w:val="auto"/>
          <w:highlight w:val="none"/>
        </w:rPr>
        <w:t>二、收</w:t>
      </w:r>
      <w:r>
        <w:rPr>
          <w:rStyle w:val="19"/>
          <w:rFonts w:hint="default" w:ascii="Times New Roman" w:hAnsi="Times New Roman" w:eastAsia="仿宋_GB2312" w:cs="Times New Roman"/>
          <w:b w:val="0"/>
          <w:bCs w:val="0"/>
          <w:color w:val="auto"/>
          <w:highlight w:val="none"/>
        </w:rPr>
        <w:t>入决算表</w:t>
      </w:r>
      <w:bookmarkEnd w:id="62"/>
      <w:bookmarkEnd w:id="63"/>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64" w:name="_Toc22546"/>
      <w:bookmarkStart w:id="65" w:name="_Toc15396621"/>
      <w:r>
        <w:rPr>
          <w:rStyle w:val="19"/>
          <w:rFonts w:hint="default" w:ascii="Times New Roman" w:hAnsi="Times New Roman" w:eastAsia="仿宋_GB2312" w:cs="Times New Roman"/>
          <w:b w:val="0"/>
          <w:bCs w:val="0"/>
          <w:color w:val="auto"/>
          <w:highlight w:val="none"/>
        </w:rPr>
        <w:t>三、</w:t>
      </w:r>
      <w:r>
        <w:rPr>
          <w:rFonts w:hint="default" w:ascii="Times New Roman" w:hAnsi="Times New Roman" w:eastAsia="仿宋_GB2312" w:cs="Times New Roman"/>
          <w:b w:val="0"/>
          <w:color w:val="auto"/>
          <w:highlight w:val="none"/>
        </w:rPr>
        <w:t>支</w:t>
      </w:r>
      <w:r>
        <w:rPr>
          <w:rStyle w:val="19"/>
          <w:rFonts w:hint="default" w:ascii="Times New Roman" w:hAnsi="Times New Roman" w:eastAsia="仿宋_GB2312" w:cs="Times New Roman"/>
          <w:b w:val="0"/>
          <w:bCs w:val="0"/>
          <w:color w:val="auto"/>
          <w:highlight w:val="none"/>
        </w:rPr>
        <w:t>出决算表</w:t>
      </w:r>
      <w:bookmarkEnd w:id="64"/>
      <w:bookmarkEnd w:id="65"/>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b w:val="0"/>
          <w:color w:val="auto"/>
          <w:highlight w:val="none"/>
        </w:rPr>
      </w:pPr>
      <w:bookmarkStart w:id="66" w:name="_Toc8742"/>
      <w:bookmarkStart w:id="67" w:name="_Toc15396622"/>
      <w:r>
        <w:rPr>
          <w:rStyle w:val="19"/>
          <w:rFonts w:hint="default" w:ascii="Times New Roman" w:hAnsi="Times New Roman" w:eastAsia="仿宋_GB2312" w:cs="Times New Roman"/>
          <w:b w:val="0"/>
          <w:bCs w:val="0"/>
          <w:color w:val="auto"/>
          <w:highlight w:val="none"/>
        </w:rPr>
        <w:t>四、</w:t>
      </w:r>
      <w:r>
        <w:rPr>
          <w:rFonts w:hint="default" w:ascii="Times New Roman" w:hAnsi="Times New Roman" w:eastAsia="仿宋_GB2312" w:cs="Times New Roman"/>
          <w:b w:val="0"/>
          <w:color w:val="auto"/>
          <w:highlight w:val="none"/>
        </w:rPr>
        <w:t>财</w:t>
      </w:r>
      <w:r>
        <w:rPr>
          <w:rStyle w:val="19"/>
          <w:rFonts w:hint="default" w:ascii="Times New Roman" w:hAnsi="Times New Roman" w:eastAsia="仿宋_GB2312" w:cs="Times New Roman"/>
          <w:b w:val="0"/>
          <w:bCs w:val="0"/>
          <w:color w:val="auto"/>
          <w:highlight w:val="none"/>
        </w:rPr>
        <w:t>政拨款收入支出决算总表</w:t>
      </w:r>
      <w:bookmarkEnd w:id="66"/>
      <w:bookmarkEnd w:id="67"/>
    </w:p>
    <w:p>
      <w:pPr>
        <w:pStyle w:val="4"/>
        <w:pageBreakBefore w:val="0"/>
        <w:kinsoku/>
        <w:wordWrap/>
        <w:overflowPunct/>
        <w:topLinePunct w:val="0"/>
        <w:bidi w:val="0"/>
        <w:spacing w:before="0" w:after="0" w:line="576" w:lineRule="exact"/>
        <w:ind w:left="0" w:leftChars="0" w:firstLine="640" w:firstLineChars="200"/>
        <w:rPr>
          <w:rStyle w:val="19"/>
          <w:rFonts w:hint="default" w:ascii="Times New Roman" w:hAnsi="Times New Roman" w:eastAsia="仿宋_GB2312" w:cs="Times New Roman"/>
          <w:b w:val="0"/>
          <w:bCs w:val="0"/>
          <w:color w:val="auto"/>
          <w:highlight w:val="none"/>
        </w:rPr>
      </w:pPr>
      <w:bookmarkStart w:id="68" w:name="_Toc22563"/>
      <w:bookmarkStart w:id="69" w:name="_Toc15396623"/>
      <w:r>
        <w:rPr>
          <w:rStyle w:val="19"/>
          <w:rFonts w:hint="default" w:ascii="Times New Roman" w:hAnsi="Times New Roman" w:eastAsia="仿宋_GB2312" w:cs="Times New Roman"/>
          <w:b w:val="0"/>
          <w:bCs w:val="0"/>
          <w:color w:val="auto"/>
          <w:highlight w:val="none"/>
        </w:rPr>
        <w:t>五、</w:t>
      </w:r>
      <w:r>
        <w:rPr>
          <w:rFonts w:hint="default" w:ascii="Times New Roman" w:hAnsi="Times New Roman" w:eastAsia="仿宋_GB2312" w:cs="Times New Roman"/>
          <w:b w:val="0"/>
          <w:color w:val="auto"/>
          <w:highlight w:val="none"/>
        </w:rPr>
        <w:t>财</w:t>
      </w:r>
      <w:r>
        <w:rPr>
          <w:rStyle w:val="19"/>
          <w:rFonts w:hint="default" w:ascii="Times New Roman" w:hAnsi="Times New Roman" w:eastAsia="仿宋_GB2312" w:cs="Times New Roman"/>
          <w:b w:val="0"/>
          <w:bCs w:val="0"/>
          <w:color w:val="auto"/>
          <w:highlight w:val="none"/>
        </w:rPr>
        <w:t>政拨款支出决算明细表</w:t>
      </w:r>
      <w:bookmarkEnd w:id="68"/>
      <w:bookmarkEnd w:id="69"/>
      <w:bookmarkStart w:id="70" w:name="_Toc15396624"/>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71" w:name="_Toc26930"/>
      <w:r>
        <w:rPr>
          <w:rStyle w:val="19"/>
          <w:rFonts w:hint="default" w:ascii="Times New Roman" w:hAnsi="Times New Roman" w:eastAsia="仿宋_GB2312" w:cs="Times New Roman"/>
          <w:b w:val="0"/>
          <w:bCs w:val="0"/>
          <w:color w:val="auto"/>
          <w:highlight w:val="none"/>
        </w:rPr>
        <w:t>六、</w:t>
      </w:r>
      <w:r>
        <w:rPr>
          <w:rFonts w:hint="default" w:ascii="Times New Roman" w:hAnsi="Times New Roman" w:eastAsia="仿宋_GB2312" w:cs="Times New Roman"/>
          <w:b w:val="0"/>
          <w:color w:val="auto"/>
          <w:highlight w:val="none"/>
        </w:rPr>
        <w:t>一</w:t>
      </w:r>
      <w:r>
        <w:rPr>
          <w:rStyle w:val="19"/>
          <w:rFonts w:hint="default" w:ascii="Times New Roman" w:hAnsi="Times New Roman" w:eastAsia="仿宋_GB2312" w:cs="Times New Roman"/>
          <w:b w:val="0"/>
          <w:bCs w:val="0"/>
          <w:color w:val="auto"/>
          <w:highlight w:val="none"/>
        </w:rPr>
        <w:t>般公共预算财政拨款支出决算表</w:t>
      </w:r>
      <w:bookmarkEnd w:id="70"/>
      <w:bookmarkEnd w:id="71"/>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72" w:name="_Toc3552"/>
      <w:bookmarkStart w:id="73" w:name="_Toc15396625"/>
      <w:r>
        <w:rPr>
          <w:rStyle w:val="19"/>
          <w:rFonts w:hint="default" w:ascii="Times New Roman" w:hAnsi="Times New Roman" w:eastAsia="仿宋_GB2312" w:cs="Times New Roman"/>
          <w:b w:val="0"/>
          <w:bCs w:val="0"/>
          <w:color w:val="auto"/>
          <w:highlight w:val="none"/>
        </w:rPr>
        <w:t>七、</w:t>
      </w:r>
      <w:r>
        <w:rPr>
          <w:rFonts w:hint="default" w:ascii="Times New Roman" w:hAnsi="Times New Roman" w:eastAsia="仿宋_GB2312" w:cs="Times New Roman"/>
          <w:b w:val="0"/>
          <w:color w:val="auto"/>
          <w:highlight w:val="none"/>
        </w:rPr>
        <w:t>一</w:t>
      </w:r>
      <w:r>
        <w:rPr>
          <w:rStyle w:val="19"/>
          <w:rFonts w:hint="default" w:ascii="Times New Roman" w:hAnsi="Times New Roman" w:eastAsia="仿宋_GB2312" w:cs="Times New Roman"/>
          <w:b w:val="0"/>
          <w:bCs w:val="0"/>
          <w:color w:val="auto"/>
          <w:highlight w:val="none"/>
        </w:rPr>
        <w:t>般公共预算财政拨款支出决算明细表</w:t>
      </w:r>
      <w:bookmarkEnd w:id="72"/>
      <w:bookmarkEnd w:id="73"/>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74" w:name="_Toc15396626"/>
      <w:bookmarkStart w:id="75" w:name="_Toc1399"/>
      <w:r>
        <w:rPr>
          <w:rStyle w:val="19"/>
          <w:rFonts w:hint="default" w:ascii="Times New Roman" w:hAnsi="Times New Roman" w:eastAsia="仿宋_GB2312" w:cs="Times New Roman"/>
          <w:b w:val="0"/>
          <w:bCs w:val="0"/>
          <w:color w:val="auto"/>
          <w:highlight w:val="none"/>
        </w:rPr>
        <w:t>八、</w:t>
      </w:r>
      <w:r>
        <w:rPr>
          <w:rFonts w:hint="default" w:ascii="Times New Roman" w:hAnsi="Times New Roman" w:eastAsia="仿宋_GB2312" w:cs="Times New Roman"/>
          <w:b w:val="0"/>
          <w:color w:val="auto"/>
          <w:highlight w:val="none"/>
        </w:rPr>
        <w:t>一</w:t>
      </w:r>
      <w:r>
        <w:rPr>
          <w:rStyle w:val="19"/>
          <w:rFonts w:hint="default" w:ascii="Times New Roman" w:hAnsi="Times New Roman" w:eastAsia="仿宋_GB2312" w:cs="Times New Roman"/>
          <w:b w:val="0"/>
          <w:bCs w:val="0"/>
          <w:color w:val="auto"/>
          <w:highlight w:val="none"/>
        </w:rPr>
        <w:t>般公共预算财政拨款基本支出决算表</w:t>
      </w:r>
      <w:bookmarkEnd w:id="74"/>
      <w:bookmarkEnd w:id="75"/>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76" w:name="_Toc15396627"/>
      <w:bookmarkStart w:id="77" w:name="_Toc26170"/>
      <w:r>
        <w:rPr>
          <w:rStyle w:val="19"/>
          <w:rFonts w:hint="default" w:ascii="Times New Roman" w:hAnsi="Times New Roman" w:eastAsia="仿宋_GB2312" w:cs="Times New Roman"/>
          <w:b w:val="0"/>
          <w:bCs w:val="0"/>
          <w:color w:val="auto"/>
          <w:highlight w:val="none"/>
        </w:rPr>
        <w:t>九、</w:t>
      </w:r>
      <w:r>
        <w:rPr>
          <w:rFonts w:hint="default" w:ascii="Times New Roman" w:hAnsi="Times New Roman" w:eastAsia="仿宋_GB2312" w:cs="Times New Roman"/>
          <w:b w:val="0"/>
          <w:color w:val="auto"/>
          <w:highlight w:val="none"/>
        </w:rPr>
        <w:t>一</w:t>
      </w:r>
      <w:r>
        <w:rPr>
          <w:rStyle w:val="19"/>
          <w:rFonts w:hint="default" w:ascii="Times New Roman" w:hAnsi="Times New Roman" w:eastAsia="仿宋_GB2312" w:cs="Times New Roman"/>
          <w:b w:val="0"/>
          <w:bCs w:val="0"/>
          <w:color w:val="auto"/>
          <w:highlight w:val="none"/>
        </w:rPr>
        <w:t>般公共预算财政拨款项目支出决算表</w:t>
      </w:r>
      <w:bookmarkEnd w:id="76"/>
      <w:bookmarkEnd w:id="77"/>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78" w:name="_Toc15396628"/>
      <w:bookmarkStart w:id="79" w:name="_Toc17424"/>
      <w:r>
        <w:rPr>
          <w:rStyle w:val="19"/>
          <w:rFonts w:hint="default" w:ascii="Times New Roman" w:hAnsi="Times New Roman" w:eastAsia="仿宋_GB2312" w:cs="Times New Roman"/>
          <w:b w:val="0"/>
          <w:bCs w:val="0"/>
          <w:color w:val="auto"/>
          <w:highlight w:val="none"/>
        </w:rPr>
        <w:t>十、</w:t>
      </w:r>
      <w:bookmarkEnd w:id="78"/>
      <w:r>
        <w:rPr>
          <w:rFonts w:hint="default" w:ascii="Times New Roman" w:hAnsi="Times New Roman" w:eastAsia="仿宋_GB2312" w:cs="Times New Roman"/>
          <w:b w:val="0"/>
          <w:color w:val="auto"/>
          <w:highlight w:val="none"/>
        </w:rPr>
        <w:t>政</w:t>
      </w:r>
      <w:r>
        <w:rPr>
          <w:rStyle w:val="19"/>
          <w:rFonts w:hint="default" w:ascii="Times New Roman" w:hAnsi="Times New Roman" w:eastAsia="仿宋_GB2312" w:cs="Times New Roman"/>
          <w:b w:val="0"/>
          <w:bCs w:val="0"/>
          <w:color w:val="auto"/>
          <w:highlight w:val="none"/>
        </w:rPr>
        <w:t>府性基金预算财政拨款收入支出决算表</w:t>
      </w:r>
      <w:bookmarkEnd w:id="79"/>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80" w:name="_Toc15396629"/>
      <w:bookmarkStart w:id="81" w:name="_Toc26146"/>
      <w:r>
        <w:rPr>
          <w:rStyle w:val="19"/>
          <w:rFonts w:hint="default" w:ascii="Times New Roman" w:hAnsi="Times New Roman" w:eastAsia="仿宋_GB2312" w:cs="Times New Roman"/>
          <w:b w:val="0"/>
          <w:bCs w:val="0"/>
          <w:color w:val="auto"/>
          <w:highlight w:val="none"/>
        </w:rPr>
        <w:t>十一、</w:t>
      </w:r>
      <w:bookmarkEnd w:id="80"/>
      <w:r>
        <w:rPr>
          <w:rFonts w:hint="default" w:ascii="Times New Roman" w:hAnsi="Times New Roman" w:eastAsia="仿宋_GB2312" w:cs="Times New Roman"/>
          <w:b w:val="0"/>
          <w:color w:val="auto"/>
          <w:highlight w:val="none"/>
        </w:rPr>
        <w:t>国</w:t>
      </w:r>
      <w:r>
        <w:rPr>
          <w:rStyle w:val="19"/>
          <w:rFonts w:hint="default" w:ascii="Times New Roman" w:hAnsi="Times New Roman" w:eastAsia="仿宋_GB2312" w:cs="Times New Roman"/>
          <w:b w:val="0"/>
          <w:bCs w:val="0"/>
          <w:color w:val="auto"/>
          <w:highlight w:val="none"/>
        </w:rPr>
        <w:t>有资本经营预算</w:t>
      </w:r>
      <w:r>
        <w:rPr>
          <w:rStyle w:val="19"/>
          <w:rFonts w:hint="default" w:ascii="Times New Roman" w:hAnsi="Times New Roman" w:eastAsia="仿宋_GB2312" w:cs="Times New Roman"/>
          <w:b w:val="0"/>
          <w:bCs w:val="0"/>
          <w:color w:val="auto"/>
          <w:highlight w:val="none"/>
          <w:lang w:eastAsia="zh-CN"/>
        </w:rPr>
        <w:t>财政拨款收入</w:t>
      </w:r>
      <w:r>
        <w:rPr>
          <w:rStyle w:val="19"/>
          <w:rFonts w:hint="default" w:ascii="Times New Roman" w:hAnsi="Times New Roman" w:eastAsia="仿宋_GB2312" w:cs="Times New Roman"/>
          <w:b w:val="0"/>
          <w:bCs w:val="0"/>
          <w:color w:val="auto"/>
          <w:highlight w:val="none"/>
        </w:rPr>
        <w:t>支出决算表</w:t>
      </w:r>
      <w:bookmarkEnd w:id="81"/>
    </w:p>
    <w:p>
      <w:pPr>
        <w:pStyle w:val="4"/>
        <w:pageBreakBefore w:val="0"/>
        <w:kinsoku/>
        <w:wordWrap/>
        <w:overflowPunct/>
        <w:topLinePunct w:val="0"/>
        <w:bidi w:val="0"/>
        <w:spacing w:before="0" w:after="0" w:line="576" w:lineRule="exact"/>
        <w:ind w:left="0" w:leftChars="0" w:firstLine="640" w:firstLineChars="200"/>
        <w:rPr>
          <w:rFonts w:hint="default" w:ascii="Times New Roman" w:hAnsi="Times New Roman" w:eastAsia="仿宋_GB2312" w:cs="Times New Roman"/>
          <w:color w:val="auto"/>
          <w:highlight w:val="none"/>
        </w:rPr>
      </w:pPr>
      <w:bookmarkStart w:id="82" w:name="_Toc15396630"/>
      <w:bookmarkStart w:id="83" w:name="_Toc22876"/>
      <w:r>
        <w:rPr>
          <w:rStyle w:val="19"/>
          <w:rFonts w:hint="default" w:ascii="Times New Roman" w:hAnsi="Times New Roman" w:eastAsia="仿宋_GB2312" w:cs="Times New Roman"/>
          <w:b w:val="0"/>
          <w:bCs w:val="0"/>
          <w:color w:val="auto"/>
          <w:highlight w:val="none"/>
        </w:rPr>
        <w:t>十二、</w:t>
      </w:r>
      <w:bookmarkEnd w:id="82"/>
      <w:r>
        <w:rPr>
          <w:rStyle w:val="19"/>
          <w:rFonts w:hint="default" w:ascii="Times New Roman" w:hAnsi="Times New Roman" w:eastAsia="仿宋_GB2312" w:cs="Times New Roman"/>
          <w:b w:val="0"/>
          <w:bCs w:val="0"/>
          <w:color w:val="auto"/>
          <w:highlight w:val="none"/>
          <w:lang w:eastAsia="zh-CN"/>
        </w:rPr>
        <w:t>国有资本经营预算财政拨款支出决算表</w:t>
      </w:r>
      <w:bookmarkEnd w:id="83"/>
    </w:p>
    <w:p>
      <w:pPr>
        <w:pageBreakBefore w:val="0"/>
        <w:numPr>
          <w:ilvl w:val="0"/>
          <w:numId w:val="0"/>
        </w:numPr>
        <w:kinsoku/>
        <w:wordWrap/>
        <w:overflowPunct/>
        <w:topLinePunct w:val="0"/>
        <w:bidi w:val="0"/>
        <w:spacing w:line="576" w:lineRule="exact"/>
        <w:ind w:left="0" w:leftChars="0" w:firstLine="640" w:firstLineChars="200"/>
        <w:rPr>
          <w:rFonts w:hint="default" w:ascii="Times New Roman" w:hAnsi="Times New Roman" w:eastAsia="仿宋_GB2312" w:cs="Times New Roman"/>
          <w:color w:val="auto"/>
          <w:sz w:val="32"/>
          <w:szCs w:val="32"/>
          <w:highlight w:val="none"/>
          <w:lang w:val="en-US" w:eastAsia="zh-CN"/>
        </w:rPr>
      </w:pPr>
      <w:bookmarkStart w:id="84" w:name="_Toc15396631"/>
      <w:bookmarkStart w:id="85" w:name="_Toc3790"/>
      <w:r>
        <w:rPr>
          <w:rStyle w:val="19"/>
          <w:rFonts w:hint="default" w:ascii="Times New Roman" w:hAnsi="Times New Roman" w:eastAsia="仿宋_GB2312" w:cs="Times New Roman"/>
          <w:b w:val="0"/>
          <w:bCs w:val="0"/>
          <w:color w:val="auto"/>
          <w:highlight w:val="none"/>
        </w:rPr>
        <w:t>十三、</w:t>
      </w:r>
      <w:bookmarkEnd w:id="84"/>
      <w:r>
        <w:rPr>
          <w:rStyle w:val="19"/>
          <w:rFonts w:hint="default" w:ascii="Times New Roman" w:hAnsi="Times New Roman" w:eastAsia="仿宋_GB2312" w:cs="Times New Roman"/>
          <w:b w:val="0"/>
          <w:bCs w:val="0"/>
          <w:color w:val="auto"/>
          <w:highlight w:val="none"/>
          <w:lang w:eastAsia="zh-CN"/>
        </w:rPr>
        <w:t>财政拨款“三公”经费支出决算</w:t>
      </w:r>
      <w:bookmarkEnd w:id="85"/>
    </w:p>
    <w:sectPr>
      <w:headerReference r:id="rId6" w:type="default"/>
      <w:footerReference r:id="rId7" w:type="default"/>
      <w:pgSz w:w="11906" w:h="16838"/>
      <w:pgMar w:top="1440" w:right="1800" w:bottom="1440" w:left="1800" w:header="851" w:footer="992" w:gutter="0"/>
      <w:pgNumType w:fmt="decimal" w:start="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libri Light">
    <w:altName w:val="DejaVu Sans"/>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公文小标宋">
    <w:panose1 w:val="02000000000000000000"/>
    <w:charset w:val="86"/>
    <w:family w:val="auto"/>
    <w:pitch w:val="default"/>
    <w:sig w:usb0="00000001" w:usb1="08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AF9951"/>
    <w:multiLevelType w:val="singleLevel"/>
    <w:tmpl w:val="DAAF9951"/>
    <w:lvl w:ilvl="0" w:tentative="0">
      <w:start w:val="1"/>
      <w:numFmt w:val="chineseCounting"/>
      <w:suff w:val="nothing"/>
      <w:lvlText w:val="%1、"/>
      <w:lvlJc w:val="left"/>
      <w:rPr>
        <w:rFonts w:hint="eastAsia"/>
      </w:rPr>
    </w:lvl>
  </w:abstractNum>
  <w:abstractNum w:abstractNumId="1">
    <w:nsid w:val="F83839CC"/>
    <w:multiLevelType w:val="singleLevel"/>
    <w:tmpl w:val="F83839CC"/>
    <w:lvl w:ilvl="0" w:tentative="0">
      <w:start w:val="1"/>
      <w:numFmt w:val="chineseCounting"/>
      <w:suff w:val="nothing"/>
      <w:lvlText w:val="（%1）"/>
      <w:lvlJc w:val="left"/>
      <w:pPr>
        <w:tabs>
          <w:tab w:val="left" w:pos="0"/>
        </w:tabs>
        <w:ind w:left="-42" w:firstLine="0"/>
      </w:pPr>
      <w:rPr>
        <w:rFonts w:hint="eastAsia" w:ascii="楷体" w:hAnsi="楷体" w:eastAsia="楷体" w:cs="楷体"/>
        <w:b/>
        <w:bCs/>
      </w:rPr>
    </w:lvl>
  </w:abstractNum>
  <w:abstractNum w:abstractNumId="2">
    <w:nsid w:val="236F3FC5"/>
    <w:multiLevelType w:val="singleLevel"/>
    <w:tmpl w:val="236F3FC5"/>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B14D2"/>
    <w:rsid w:val="0045796D"/>
    <w:rsid w:val="02F72AEC"/>
    <w:rsid w:val="036A5B8D"/>
    <w:rsid w:val="04671920"/>
    <w:rsid w:val="04BD38C2"/>
    <w:rsid w:val="0539563E"/>
    <w:rsid w:val="06D849E3"/>
    <w:rsid w:val="07D94EB6"/>
    <w:rsid w:val="087921F6"/>
    <w:rsid w:val="09093579"/>
    <w:rsid w:val="0CAA0BCF"/>
    <w:rsid w:val="0CC2416B"/>
    <w:rsid w:val="0D07587F"/>
    <w:rsid w:val="0D265A3A"/>
    <w:rsid w:val="0E6E3480"/>
    <w:rsid w:val="0EFE121C"/>
    <w:rsid w:val="0F7A6F7F"/>
    <w:rsid w:val="0F864220"/>
    <w:rsid w:val="11845E93"/>
    <w:rsid w:val="14FE7404"/>
    <w:rsid w:val="15EE4223"/>
    <w:rsid w:val="177B5642"/>
    <w:rsid w:val="18D972FB"/>
    <w:rsid w:val="1A822603"/>
    <w:rsid w:val="1AC612CA"/>
    <w:rsid w:val="1C890801"/>
    <w:rsid w:val="1DC37D43"/>
    <w:rsid w:val="1E42510C"/>
    <w:rsid w:val="1E935967"/>
    <w:rsid w:val="1F617814"/>
    <w:rsid w:val="1FAB4F33"/>
    <w:rsid w:val="20C778AD"/>
    <w:rsid w:val="21050366"/>
    <w:rsid w:val="22F17100"/>
    <w:rsid w:val="22F504E6"/>
    <w:rsid w:val="25007ACF"/>
    <w:rsid w:val="25B966B3"/>
    <w:rsid w:val="26003694"/>
    <w:rsid w:val="26FB43A8"/>
    <w:rsid w:val="27F136FF"/>
    <w:rsid w:val="28961DA6"/>
    <w:rsid w:val="29B50E88"/>
    <w:rsid w:val="2AD74E2E"/>
    <w:rsid w:val="2D6C21DE"/>
    <w:rsid w:val="2E395ACE"/>
    <w:rsid w:val="2E3F3416"/>
    <w:rsid w:val="2E454CF5"/>
    <w:rsid w:val="2FB76FDC"/>
    <w:rsid w:val="30BD4237"/>
    <w:rsid w:val="327318E0"/>
    <w:rsid w:val="32AA7A12"/>
    <w:rsid w:val="3344327C"/>
    <w:rsid w:val="33791178"/>
    <w:rsid w:val="375F26DA"/>
    <w:rsid w:val="38E17D08"/>
    <w:rsid w:val="39C96289"/>
    <w:rsid w:val="3A612966"/>
    <w:rsid w:val="3C7431CF"/>
    <w:rsid w:val="3CE95BCD"/>
    <w:rsid w:val="3D1B14D2"/>
    <w:rsid w:val="3E043D34"/>
    <w:rsid w:val="3F0B2EA0"/>
    <w:rsid w:val="3FBA6DA0"/>
    <w:rsid w:val="409A44DC"/>
    <w:rsid w:val="40E65AF9"/>
    <w:rsid w:val="42552DB0"/>
    <w:rsid w:val="4416656F"/>
    <w:rsid w:val="460639F9"/>
    <w:rsid w:val="464E1FF0"/>
    <w:rsid w:val="474271A0"/>
    <w:rsid w:val="476B5615"/>
    <w:rsid w:val="47BC02ED"/>
    <w:rsid w:val="4812529F"/>
    <w:rsid w:val="4C07336D"/>
    <w:rsid w:val="4CB15087"/>
    <w:rsid w:val="4CBB4158"/>
    <w:rsid w:val="4CE216E4"/>
    <w:rsid w:val="4EA824BA"/>
    <w:rsid w:val="50175B49"/>
    <w:rsid w:val="519531C9"/>
    <w:rsid w:val="51CF545D"/>
    <w:rsid w:val="51D45A26"/>
    <w:rsid w:val="524D7600"/>
    <w:rsid w:val="534103F4"/>
    <w:rsid w:val="536F17F8"/>
    <w:rsid w:val="565C2507"/>
    <w:rsid w:val="58C106A9"/>
    <w:rsid w:val="59330810"/>
    <w:rsid w:val="5ACE63A1"/>
    <w:rsid w:val="5B044F1C"/>
    <w:rsid w:val="5C2238AB"/>
    <w:rsid w:val="5C50666A"/>
    <w:rsid w:val="5D647EF4"/>
    <w:rsid w:val="5E856373"/>
    <w:rsid w:val="5FC501C6"/>
    <w:rsid w:val="607448F1"/>
    <w:rsid w:val="60B80F32"/>
    <w:rsid w:val="61357BDD"/>
    <w:rsid w:val="62842E61"/>
    <w:rsid w:val="651B17E0"/>
    <w:rsid w:val="653F727C"/>
    <w:rsid w:val="657B5DDA"/>
    <w:rsid w:val="673D2BE3"/>
    <w:rsid w:val="6784541A"/>
    <w:rsid w:val="68307350"/>
    <w:rsid w:val="69CC30A8"/>
    <w:rsid w:val="69E71C90"/>
    <w:rsid w:val="6AAD4C88"/>
    <w:rsid w:val="6B5E5F82"/>
    <w:rsid w:val="6B7668D2"/>
    <w:rsid w:val="6BAF2C82"/>
    <w:rsid w:val="6BD6583E"/>
    <w:rsid w:val="6C2B67AC"/>
    <w:rsid w:val="6C384A25"/>
    <w:rsid w:val="6C4C76F6"/>
    <w:rsid w:val="6DE64945"/>
    <w:rsid w:val="6E3953A4"/>
    <w:rsid w:val="6FEC6252"/>
    <w:rsid w:val="70B55435"/>
    <w:rsid w:val="71282AD1"/>
    <w:rsid w:val="715C7408"/>
    <w:rsid w:val="71D40D4C"/>
    <w:rsid w:val="72AC4102"/>
    <w:rsid w:val="72F86CBC"/>
    <w:rsid w:val="73D70FC8"/>
    <w:rsid w:val="742A7349"/>
    <w:rsid w:val="75750A98"/>
    <w:rsid w:val="76FB2192"/>
    <w:rsid w:val="77470212"/>
    <w:rsid w:val="785F456A"/>
    <w:rsid w:val="792E3438"/>
    <w:rsid w:val="7AAF05A8"/>
    <w:rsid w:val="7AEA15E0"/>
    <w:rsid w:val="7C6333F8"/>
    <w:rsid w:val="7C662EE9"/>
    <w:rsid w:val="7CC3033B"/>
    <w:rsid w:val="7D006E99"/>
    <w:rsid w:val="7DB7C782"/>
    <w:rsid w:val="7DDD542C"/>
    <w:rsid w:val="7E6478FC"/>
    <w:rsid w:val="7EEA6053"/>
    <w:rsid w:val="7F7E49ED"/>
    <w:rsid w:val="EFFE1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5">
    <w:name w:val="Body Text"/>
    <w:basedOn w:val="1"/>
    <w:next w:val="6"/>
    <w:qFormat/>
    <w:uiPriority w:val="99"/>
    <w:pPr>
      <w:spacing w:beforeLines="30"/>
    </w:pPr>
    <w:rPr>
      <w:rFonts w:ascii="仿宋_GB2312" w:eastAsia="仿宋_GB2312"/>
      <w:kern w:val="0"/>
      <w:sz w:val="30"/>
    </w:rPr>
  </w:style>
  <w:style w:type="paragraph" w:styleId="6">
    <w:name w:val="Date"/>
    <w:basedOn w:val="1"/>
    <w:next w:val="1"/>
    <w:qFormat/>
    <w:uiPriority w:val="0"/>
    <w:pPr>
      <w:ind w:left="2500" w:leftChars="2500"/>
    </w:pPr>
  </w:style>
  <w:style w:type="paragraph" w:styleId="7">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toc 2"/>
    <w:basedOn w:val="1"/>
    <w:next w:val="1"/>
    <w:unhideWhenUsed/>
    <w:qFormat/>
    <w:uiPriority w:val="39"/>
    <w:pPr>
      <w:tabs>
        <w:tab w:val="right" w:leader="dot" w:pos="8296"/>
      </w:tabs>
      <w:ind w:left="420" w:leftChars="200"/>
    </w:pPr>
  </w:style>
  <w:style w:type="paragraph" w:styleId="11">
    <w:name w:val="Normal (Web)"/>
    <w:basedOn w:val="1"/>
    <w:qFormat/>
    <w:uiPriority w:val="0"/>
    <w:pPr>
      <w:widowControl w:val="0"/>
      <w:spacing w:beforeAutospacing="1" w:afterAutospacing="1"/>
      <w:jc w:val="left"/>
    </w:pPr>
    <w:rPr>
      <w:rFonts w:ascii="Calibri" w:hAnsi="Calibri" w:eastAsia="宋体" w:cs="Times New Roman"/>
      <w:kern w:val="0"/>
      <w:sz w:val="24"/>
      <w:szCs w:val="24"/>
      <w:lang w:val="en-US" w:eastAsia="zh-CN" w:bidi="ar-SA"/>
    </w:rPr>
  </w:style>
  <w:style w:type="character" w:styleId="14">
    <w:name w:val="Strong"/>
    <w:basedOn w:val="13"/>
    <w:qFormat/>
    <w:uiPriority w:val="99"/>
    <w:rPr>
      <w:b/>
    </w:rPr>
  </w:style>
  <w:style w:type="paragraph" w:customStyle="1" w:styleId="1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16">
    <w:name w:val="标题 1 Char"/>
    <w:basedOn w:val="13"/>
    <w:link w:val="3"/>
    <w:qFormat/>
    <w:uiPriority w:val="9"/>
    <w:rPr>
      <w:b/>
      <w:bCs/>
      <w:kern w:val="44"/>
      <w:sz w:val="44"/>
      <w:szCs w:val="44"/>
    </w:rPr>
  </w:style>
  <w:style w:type="paragraph" w:customStyle="1" w:styleId="17">
    <w:name w:val="Body Text First Indent 21"/>
    <w:basedOn w:val="18"/>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18">
    <w:name w:val="Body Text Indent1"/>
    <w:basedOn w:val="1"/>
    <w:qFormat/>
    <w:uiPriority w:val="0"/>
    <w:pPr>
      <w:ind w:firstLine="624"/>
    </w:pPr>
  </w:style>
  <w:style w:type="character" w:customStyle="1" w:styleId="19">
    <w:name w:val="标题 2 Char"/>
    <w:basedOn w:val="13"/>
    <w:link w:val="4"/>
    <w:qFormat/>
    <w:uiPriority w:val="9"/>
    <w:rPr>
      <w:rFonts w:asciiTheme="majorHAnsi" w:hAnsiTheme="majorHAnsi" w:eastAsiaTheme="majorEastAsia" w:cstheme="majorBidi"/>
      <w:b/>
      <w:bCs/>
      <w:sz w:val="32"/>
      <w:szCs w:val="32"/>
    </w:rPr>
  </w:style>
  <w:style w:type="paragraph" w:styleId="20">
    <w:name w:val="List Paragraph"/>
    <w:basedOn w:val="1"/>
    <w:qFormat/>
    <w:uiPriority w:val="34"/>
    <w:pPr>
      <w:ind w:firstLine="420" w:firstLineChars="200"/>
    </w:pPr>
  </w:style>
  <w:style w:type="paragraph" w:customStyle="1" w:styleId="21">
    <w:name w:val="列出段落1"/>
    <w:basedOn w:val="1"/>
    <w:qFormat/>
    <w:uiPriority w:val="0"/>
    <w:pPr>
      <w:ind w:firstLine="200" w:firstLineChars="200"/>
    </w:pPr>
    <w:rPr>
      <w:rFonts w:ascii="Calibri" w:hAnsi="Calibri" w:eastAsia="宋体" w:cs="Times New Roman"/>
      <w:lang w:bidi="ar-SA"/>
    </w:r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3">
    <w:name w:val="font161"/>
    <w:basedOn w:val="13"/>
    <w:qFormat/>
    <w:uiPriority w:val="0"/>
    <w:rPr>
      <w:rFonts w:hint="eastAsia" w:ascii="宋体" w:hAnsi="宋体" w:eastAsia="宋体" w:cs="宋体"/>
      <w:b/>
      <w:bCs/>
      <w:color w:val="000000"/>
      <w:sz w:val="32"/>
      <w:szCs w:val="32"/>
      <w:u w:val="none"/>
    </w:rPr>
  </w:style>
  <w:style w:type="character" w:customStyle="1" w:styleId="24">
    <w:name w:val="font41"/>
    <w:basedOn w:val="13"/>
    <w:qFormat/>
    <w:uiPriority w:val="0"/>
    <w:rPr>
      <w:rFonts w:hint="eastAsia" w:ascii="宋体" w:hAnsi="宋体" w:eastAsia="宋体" w:cs="宋体"/>
      <w:color w:val="000000"/>
      <w:sz w:val="32"/>
      <w:szCs w:val="32"/>
      <w:u w:val="none"/>
    </w:rPr>
  </w:style>
  <w:style w:type="character" w:customStyle="1" w:styleId="25">
    <w:name w:val="font21"/>
    <w:basedOn w:val="13"/>
    <w:qFormat/>
    <w:uiPriority w:val="0"/>
    <w:rPr>
      <w:rFonts w:hint="eastAsia" w:ascii="宋体" w:hAnsi="宋体" w:eastAsia="宋体" w:cs="宋体"/>
      <w:color w:val="000000"/>
      <w:sz w:val="20"/>
      <w:szCs w:val="20"/>
      <w:u w:val="none"/>
    </w:rPr>
  </w:style>
  <w:style w:type="character" w:customStyle="1" w:styleId="26">
    <w:name w:val="font171"/>
    <w:basedOn w:val="13"/>
    <w:qFormat/>
    <w:uiPriority w:val="0"/>
    <w:rPr>
      <w:rFonts w:hint="eastAsia" w:ascii="宋体" w:hAnsi="宋体" w:eastAsia="宋体" w:cs="宋体"/>
      <w:color w:val="000000"/>
      <w:sz w:val="20"/>
      <w:szCs w:val="20"/>
      <w:u w:val="none"/>
    </w:rPr>
  </w:style>
  <w:style w:type="character" w:customStyle="1" w:styleId="27">
    <w:name w:val="font131"/>
    <w:basedOn w:val="13"/>
    <w:qFormat/>
    <w:uiPriority w:val="0"/>
    <w:rPr>
      <w:rFonts w:hint="eastAsia" w:ascii="宋体" w:hAnsi="宋体" w:eastAsia="宋体" w:cs="宋体"/>
      <w:color w:val="000000"/>
      <w:sz w:val="18"/>
      <w:szCs w:val="18"/>
      <w:u w:val="none"/>
    </w:rPr>
  </w:style>
  <w:style w:type="character" w:customStyle="1" w:styleId="28">
    <w:name w:val="font181"/>
    <w:basedOn w:val="13"/>
    <w:qFormat/>
    <w:uiPriority w:val="0"/>
    <w:rPr>
      <w:rFonts w:hint="eastAsia" w:ascii="宋体" w:hAnsi="宋体" w:eastAsia="宋体" w:cs="宋体"/>
      <w:color w:val="000000"/>
      <w:sz w:val="18"/>
      <w:szCs w:val="18"/>
      <w:u w:val="none"/>
    </w:rPr>
  </w:style>
  <w:style w:type="character" w:customStyle="1" w:styleId="29">
    <w:name w:val="font191"/>
    <w:basedOn w:val="13"/>
    <w:qFormat/>
    <w:uiPriority w:val="0"/>
    <w:rPr>
      <w:rFonts w:hint="eastAsia" w:ascii="宋体" w:hAnsi="宋体" w:eastAsia="宋体" w:cs="宋体"/>
      <w:color w:val="000000"/>
      <w:sz w:val="18"/>
      <w:szCs w:val="18"/>
      <w:u w:val="none"/>
    </w:rPr>
  </w:style>
  <w:style w:type="character" w:customStyle="1" w:styleId="30">
    <w:name w:val="font201"/>
    <w:basedOn w:val="13"/>
    <w:qFormat/>
    <w:uiPriority w:val="0"/>
    <w:rPr>
      <w:rFonts w:hint="eastAsia" w:ascii="宋体" w:hAnsi="宋体" w:eastAsia="宋体" w:cs="宋体"/>
      <w:color w:val="000000"/>
      <w:sz w:val="12"/>
      <w:szCs w:val="12"/>
      <w:u w:val="none"/>
    </w:rPr>
  </w:style>
  <w:style w:type="character" w:customStyle="1" w:styleId="31">
    <w:name w:val="font151"/>
    <w:basedOn w:val="13"/>
    <w:qFormat/>
    <w:uiPriority w:val="0"/>
    <w:rPr>
      <w:rFonts w:hint="eastAsia" w:ascii="宋体" w:hAnsi="宋体" w:eastAsia="宋体" w:cs="宋体"/>
      <w:b/>
      <w:bCs/>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收、支决算总计变动情况表</a:t>
            </a:r>
          </a:p>
        </c:rich>
      </c:tx>
      <c:layout/>
      <c:overlay val="0"/>
      <c:spPr>
        <a:noFill/>
        <a:ln>
          <a:noFill/>
        </a:ln>
        <a:effectLst/>
      </c:spPr>
    </c:title>
    <c:autoTitleDeleted val="0"/>
    <c:plotArea>
      <c:layout>
        <c:manualLayout>
          <c:layoutTarget val="inner"/>
          <c:xMode val="edge"/>
          <c:yMode val="edge"/>
          <c:x val="0.0322058468229041"/>
          <c:y val="0.161920951976201"/>
          <c:w val="0.930345494080696"/>
          <c:h val="0.638631534211645"/>
        </c:manualLayout>
      </c:layout>
      <c:barChart>
        <c:barDir val="col"/>
        <c:grouping val="clustered"/>
        <c:varyColors val="0"/>
        <c:ser>
          <c:idx val="0"/>
          <c:order val="0"/>
          <c:tx>
            <c:strRef>
              <c:f>Sheet1!$B$1</c:f>
              <c:strCache>
                <c:ptCount val="1"/>
                <c:pt idx="0">
                  <c:v>收、支总计变动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Sheet1!$B$2:$B$5</c:f>
              <c:numCache>
                <c:formatCode>General</c:formatCode>
                <c:ptCount val="4"/>
                <c:pt idx="0">
                  <c:v>14326.55</c:v>
                </c:pt>
                <c:pt idx="1">
                  <c:v>16193.45</c:v>
                </c:pt>
                <c:pt idx="2">
                  <c:v>14326.55</c:v>
                </c:pt>
                <c:pt idx="3">
                  <c:v>16193.45</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2025年收入</c:v>
                </c:pt>
                <c:pt idx="2">
                  <c:v>2024年支出</c:v>
                </c:pt>
                <c:pt idx="3">
                  <c:v>2025年支出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193666162"/>
        <c:axId val="739862439"/>
      </c:barChart>
      <c:catAx>
        <c:axId val="1936661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9862439"/>
        <c:crosses val="autoZero"/>
        <c:auto val="1"/>
        <c:lblAlgn val="ctr"/>
        <c:lblOffset val="100"/>
        <c:noMultiLvlLbl val="0"/>
      </c:catAx>
      <c:valAx>
        <c:axId val="7398624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3666162"/>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总收入</c:v>
                </c:pt>
              </c:strCache>
            </c:strRef>
          </c:tx>
          <c:spPr/>
          <c:explosion val="0"/>
          <c:dPt>
            <c:idx val="0"/>
            <c:bubble3D val="0"/>
            <c:spPr>
              <a:solidFill>
                <a:schemeClr val="accent1">
                  <a:shade val="58000"/>
                </a:schemeClr>
              </a:solidFill>
              <a:ln>
                <a:solidFill>
                  <a:schemeClr val="bg1"/>
                </a:solidFill>
              </a:ln>
              <a:effectLst/>
            </c:spPr>
          </c:dPt>
          <c:dPt>
            <c:idx val="1"/>
            <c:bubble3D val="0"/>
            <c:spPr>
              <a:solidFill>
                <a:schemeClr val="accent1">
                  <a:shade val="86000"/>
                </a:schemeClr>
              </a:solidFill>
              <a:ln>
                <a:solidFill>
                  <a:schemeClr val="bg1"/>
                </a:solidFill>
              </a:ln>
              <a:effectLst/>
            </c:spPr>
          </c:dPt>
          <c:dPt>
            <c:idx val="2"/>
            <c:bubble3D val="0"/>
            <c:spPr>
              <a:solidFill>
                <a:schemeClr val="accent1">
                  <a:tint val="86000"/>
                </a:schemeClr>
              </a:solidFill>
              <a:ln>
                <a:solidFill>
                  <a:schemeClr val="bg1"/>
                </a:solidFill>
              </a:ln>
              <a:effectLst/>
            </c:spPr>
          </c:dPt>
          <c:dPt>
            <c:idx val="3"/>
            <c:bubble3D val="0"/>
            <c:spPr>
              <a:solidFill>
                <a:schemeClr val="accent1">
                  <a:tint val="58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其他收入</c:v>
                </c:pt>
              </c:strCache>
            </c:strRef>
          </c:cat>
          <c:val>
            <c:numRef>
              <c:f>Sheet1!$B$2:$B$5</c:f>
              <c:numCache>
                <c:formatCode>General</c:formatCode>
                <c:ptCount val="4"/>
                <c:pt idx="0">
                  <c:v>9431.21</c:v>
                </c:pt>
                <c:pt idx="1">
                  <c:v>6742.24</c:v>
                </c:pt>
                <c:pt idx="2">
                  <c:v>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总支出</c:v>
                </c:pt>
              </c:strCache>
            </c:strRef>
          </c:tx>
          <c:spPr/>
          <c:explosion val="0"/>
          <c:dPt>
            <c:idx val="0"/>
            <c:bubble3D val="0"/>
            <c:spPr>
              <a:solidFill>
                <a:schemeClr val="accent1">
                  <a:shade val="58000"/>
                </a:schemeClr>
              </a:solidFill>
              <a:ln>
                <a:solidFill>
                  <a:schemeClr val="bg1"/>
                </a:solidFill>
              </a:ln>
              <a:effectLst/>
            </c:spPr>
          </c:dPt>
          <c:dPt>
            <c:idx val="1"/>
            <c:bubble3D val="0"/>
            <c:spPr>
              <a:solidFill>
                <a:schemeClr val="accent1">
                  <a:shade val="86000"/>
                </a:schemeClr>
              </a:solidFill>
              <a:ln>
                <a:solidFill>
                  <a:schemeClr val="bg1"/>
                </a:solidFill>
              </a:ln>
              <a:effectLst/>
            </c:spPr>
          </c:dPt>
          <c:dPt>
            <c:idx val="2"/>
            <c:bubble3D val="0"/>
            <c:spPr>
              <a:solidFill>
                <a:schemeClr val="accent1">
                  <a:tint val="86000"/>
                </a:schemeClr>
              </a:solidFill>
              <a:ln>
                <a:solidFill>
                  <a:schemeClr val="bg1"/>
                </a:solidFill>
              </a:ln>
              <a:effectLst/>
            </c:spPr>
          </c:dPt>
          <c:dPt>
            <c:idx val="3"/>
            <c:bubble3D val="0"/>
            <c:spPr>
              <a:solidFill>
                <a:schemeClr val="accent1">
                  <a:tint val="58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276.77</c:v>
                </c:pt>
                <c:pt idx="1">
                  <c:v>15916.69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收、支总计变动情况表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收、支总计变动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2024年财政拨款收入</c:v>
                </c:pt>
                <c:pt idx="1">
                  <c:v>2025年财政拨款收入</c:v>
                </c:pt>
                <c:pt idx="2">
                  <c:v>2024年财政拨款支出</c:v>
                </c:pt>
                <c:pt idx="3">
                  <c:v>2025年财政拨款支出</c:v>
                </c:pt>
              </c:strCache>
            </c:strRef>
          </c:cat>
          <c:val>
            <c:numRef>
              <c:f>Sheet1!$B$2:$B$5</c:f>
              <c:numCache>
                <c:formatCode>General</c:formatCode>
                <c:ptCount val="4"/>
                <c:pt idx="0">
                  <c:v>14321.55</c:v>
                </c:pt>
                <c:pt idx="1">
                  <c:v>16173.45</c:v>
                </c:pt>
                <c:pt idx="2">
                  <c:v>14321.55</c:v>
                </c:pt>
                <c:pt idx="3">
                  <c:v>16167.45</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2024年财政拨款收入</c:v>
                </c:pt>
                <c:pt idx="1">
                  <c:v>2025年财政拨款收入</c:v>
                </c:pt>
                <c:pt idx="2">
                  <c:v>2024年财政拨款支出</c:v>
                </c:pt>
                <c:pt idx="3">
                  <c:v>2025年财政拨款支出</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2024年财政拨款收入</c:v>
                </c:pt>
                <c:pt idx="1">
                  <c:v>2025年财政拨款收入</c:v>
                </c:pt>
                <c:pt idx="2">
                  <c:v>2024年财政拨款支出</c:v>
                </c:pt>
                <c:pt idx="3">
                  <c:v>2025年财政拨款支出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667919519"/>
        <c:axId val="761301319"/>
      </c:barChart>
      <c:catAx>
        <c:axId val="6679195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301319"/>
        <c:crosses val="autoZero"/>
        <c:auto val="1"/>
        <c:lblAlgn val="ctr"/>
        <c:lblOffset val="100"/>
        <c:noMultiLvlLbl val="0"/>
      </c:catAx>
      <c:valAx>
        <c:axId val="76130131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7919519"/>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2024年财政拨款支出</c:v>
                </c:pt>
                <c:pt idx="1">
                  <c:v>2025年财政拨款收入</c:v>
                </c:pt>
              </c:strCache>
            </c:strRef>
          </c:cat>
          <c:val>
            <c:numRef>
              <c:f>Sheet1!$B$2:$B$5</c:f>
              <c:numCache>
                <c:formatCode>General</c:formatCode>
                <c:ptCount val="4"/>
                <c:pt idx="0">
                  <c:v>6864.51</c:v>
                </c:pt>
                <c:pt idx="1">
                  <c:v>9431.21</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2024年财政拨款支出</c:v>
                </c:pt>
                <c:pt idx="1">
                  <c:v>2025年财政拨款收入</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2024年财政拨款支出</c:v>
                </c:pt>
                <c:pt idx="1">
                  <c:v>2025年财政拨款收入</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528076366"/>
        <c:axId val="553739103"/>
      </c:barChart>
      <c:catAx>
        <c:axId val="5280763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739103"/>
        <c:crosses val="autoZero"/>
        <c:auto val="1"/>
        <c:lblAlgn val="ctr"/>
        <c:lblOffset val="100"/>
        <c:noMultiLvlLbl val="0"/>
      </c:catAx>
      <c:valAx>
        <c:axId val="55373910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0763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Pt>
            <c:idx val="2"/>
            <c:bubble3D val="0"/>
            <c:spPr>
              <a:solidFill>
                <a:schemeClr val="accent4"/>
              </a:solidFill>
              <a:ln>
                <a:solidFill>
                  <a:schemeClr val="bg1"/>
                </a:solidFill>
              </a:ln>
              <a:effectLst/>
            </c:spPr>
          </c:dPt>
          <c:dPt>
            <c:idx val="3"/>
            <c:bubble3D val="0"/>
            <c:spPr>
              <a:solidFill>
                <a:schemeClr val="accent6">
                  <a:lumMod val="60000"/>
                </a:schemeClr>
              </a:solidFill>
              <a:ln>
                <a:solidFill>
                  <a:schemeClr val="bg1"/>
                </a:solidFill>
              </a:ln>
              <a:effectLst/>
            </c:spPr>
          </c:dPt>
          <c:dPt>
            <c:idx val="4"/>
            <c:bubble3D val="0"/>
            <c:spPr>
              <a:solidFill>
                <a:schemeClr val="accent5">
                  <a:lumMod val="60000"/>
                </a:schemeClr>
              </a:solidFill>
              <a:ln>
                <a:solidFill>
                  <a:schemeClr val="bg1"/>
                </a:solidFill>
              </a:ln>
              <a:effectLst/>
            </c:spPr>
          </c:dPt>
          <c:dPt>
            <c:idx val="5"/>
            <c:bubble3D val="0"/>
            <c:spPr>
              <a:solidFill>
                <a:schemeClr val="accent4">
                  <a:lumMod val="60000"/>
                </a:schemeClr>
              </a:solidFill>
              <a:ln>
                <a:solidFill>
                  <a:schemeClr val="bg1"/>
                </a:solidFill>
              </a:ln>
              <a:effectLst/>
            </c:spPr>
          </c:dPt>
          <c:dPt>
            <c:idx val="6"/>
            <c:bubble3D val="0"/>
            <c:spPr>
              <a:solidFill>
                <a:schemeClr val="accent6">
                  <a:lumMod val="80000"/>
                  <a:lumOff val="20000"/>
                </a:schemeClr>
              </a:solidFill>
              <a:ln>
                <a:solidFill>
                  <a:schemeClr val="bg1"/>
                </a:solidFill>
              </a:ln>
              <a:effectLst/>
            </c:spPr>
          </c:dPt>
          <c:dPt>
            <c:idx val="7"/>
            <c:bubble3D val="0"/>
            <c:spPr>
              <a:solidFill>
                <a:schemeClr val="accent5">
                  <a:lumMod val="80000"/>
                  <a:lumOff val="2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公共安全支出</c:v>
                </c:pt>
                <c:pt idx="1">
                  <c:v>教育支出</c:v>
                </c:pt>
                <c:pt idx="2">
                  <c:v>社会保障和就业支出</c:v>
                </c:pt>
                <c:pt idx="3">
                  <c:v>卫生健康支出</c:v>
                </c:pt>
                <c:pt idx="4">
                  <c:v>节能环保支出</c:v>
                </c:pt>
                <c:pt idx="5">
                  <c:v>城乡社区支出</c:v>
                </c:pt>
                <c:pt idx="6">
                  <c:v>农林水支出</c:v>
                </c:pt>
                <c:pt idx="7">
                  <c:v>住房保障支出</c:v>
                </c:pt>
              </c:strCache>
            </c:strRef>
          </c:cat>
          <c:val>
            <c:numRef>
              <c:f>Sheet1!$B$2:$B$9</c:f>
              <c:numCache>
                <c:formatCode>General</c:formatCode>
                <c:ptCount val="8"/>
                <c:pt idx="0">
                  <c:v>205.78</c:v>
                </c:pt>
                <c:pt idx="1">
                  <c:v>0.83</c:v>
                </c:pt>
                <c:pt idx="2">
                  <c:v>29.51</c:v>
                </c:pt>
                <c:pt idx="3">
                  <c:v>212.69</c:v>
                </c:pt>
                <c:pt idx="4">
                  <c:v>544.87</c:v>
                </c:pt>
                <c:pt idx="5">
                  <c:v>7956.64</c:v>
                </c:pt>
                <c:pt idx="6">
                  <c:v>40</c:v>
                </c:pt>
                <c:pt idx="7">
                  <c:v>440.88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公务用车购置及运行维护费</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公务用车运行费</c:v>
                </c:pt>
                <c:pt idx="1">
                  <c:v>公务用车购置费</c:v>
                </c:pt>
                <c:pt idx="2">
                  <c:v>公务接待支出</c:v>
                </c:pt>
              </c:strCache>
            </c:strRef>
          </c:cat>
          <c:val>
            <c:numRef>
              <c:f>Sheet1!$B$2:$B$5</c:f>
              <c:numCache>
                <c:formatCode>General</c:formatCode>
                <c:ptCount val="4"/>
                <c:pt idx="0">
                  <c:v>6.94</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496</Words>
  <Characters>529</Characters>
  <Lines>0</Lines>
  <Paragraphs>0</Paragraphs>
  <TotalTime>7</TotalTime>
  <ScaleCrop>false</ScaleCrop>
  <LinksUpToDate>false</LinksUpToDate>
  <CharactersWithSpaces>567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2026-10-18T17:47:00Z</dcterms:created>
  <dc:creator>Administrator</dc:creator>
  <cp:lastModifiedBy>user</cp:lastModifiedBy>
  <cp:lastPrinted>2026-10-21T09:44:00Z</cp:lastPrinted>
  <dcterms:modified xsi:type="dcterms:W3CDTF">2026-10-22T09:54:13Z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B253EA1626134DCE9D686D737240FDAE_13</vt:lpwstr>
  </property>
  <property fmtid="{D5CDD505-2E9C-101B-9397-08002B2CF9AE}" pid="4" name="KSOTemplateDocerSaveRecord">
    <vt:lpwstr>eyJoZGlkIjoiOTE5YmIwMDQ5Y2I0OWU1NGQzYzI3N2IzNjY1NWY1ZWYiLCJ1c2VySWQiOiIzNDM2MzU0MDAifQ==</vt:lpwstr>
  </property>
</Properties>
</file>