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9A187">
      <w:pPr>
        <w:pageBreakBefore w:val="0"/>
        <w:kinsoku/>
        <w:wordWrap/>
        <w:overflowPunct/>
        <w:topLinePunct w:val="0"/>
        <w:bidi w:val="0"/>
        <w:spacing w:line="576" w:lineRule="exact"/>
        <w:ind w:left="0" w:leftChars="0" w:firstLine="960" w:firstLineChars="200"/>
        <w:rPr>
          <w:rFonts w:hint="default" w:ascii="Times New Roman" w:hAnsi="Times New Roman" w:eastAsia="黑体" w:cs="Times New Roman"/>
          <w:color w:val="auto"/>
          <w:sz w:val="48"/>
          <w:szCs w:val="48"/>
          <w:highlight w:val="none"/>
        </w:rPr>
      </w:pPr>
    </w:p>
    <w:p w14:paraId="66D17187">
      <w:pPr>
        <w:pStyle w:val="2"/>
        <w:pageBreakBefore w:val="0"/>
        <w:kinsoku/>
        <w:wordWrap/>
        <w:overflowPunct/>
        <w:topLinePunct w:val="0"/>
        <w:bidi w:val="0"/>
        <w:spacing w:line="576" w:lineRule="exact"/>
        <w:ind w:left="0" w:leftChars="0" w:firstLine="960" w:firstLineChars="200"/>
        <w:rPr>
          <w:rFonts w:hint="default" w:ascii="Times New Roman" w:hAnsi="Times New Roman" w:eastAsia="黑体" w:cs="Times New Roman"/>
          <w:color w:val="auto"/>
          <w:sz w:val="48"/>
          <w:szCs w:val="48"/>
          <w:highlight w:val="none"/>
        </w:rPr>
      </w:pPr>
    </w:p>
    <w:p w14:paraId="4596B072">
      <w:pPr>
        <w:pageBreakBefore w:val="0"/>
        <w:kinsoku/>
        <w:wordWrap/>
        <w:overflowPunct/>
        <w:topLinePunct w:val="0"/>
        <w:bidi w:val="0"/>
        <w:spacing w:line="576" w:lineRule="exact"/>
        <w:ind w:left="0" w:leftChars="0" w:firstLine="960" w:firstLineChars="200"/>
        <w:rPr>
          <w:rFonts w:hint="default" w:ascii="Times New Roman" w:hAnsi="Times New Roman" w:eastAsia="黑体" w:cs="Times New Roman"/>
          <w:color w:val="auto"/>
          <w:sz w:val="48"/>
          <w:szCs w:val="48"/>
          <w:highlight w:val="none"/>
        </w:rPr>
      </w:pPr>
    </w:p>
    <w:p w14:paraId="1C4758DC">
      <w:pPr>
        <w:pStyle w:val="2"/>
        <w:pageBreakBefore w:val="0"/>
        <w:kinsoku/>
        <w:wordWrap/>
        <w:overflowPunct/>
        <w:topLinePunct w:val="0"/>
        <w:bidi w:val="0"/>
        <w:spacing w:line="576" w:lineRule="exact"/>
        <w:ind w:left="0" w:leftChars="0" w:firstLine="420" w:firstLineChars="200"/>
        <w:rPr>
          <w:rFonts w:hint="default" w:ascii="Times New Roman" w:hAnsi="Times New Roman" w:cs="Times New Roman"/>
        </w:rPr>
      </w:pPr>
    </w:p>
    <w:p w14:paraId="64DA743B">
      <w:pPr>
        <w:rPr>
          <w:rFonts w:hint="default"/>
        </w:rPr>
      </w:pPr>
    </w:p>
    <w:p w14:paraId="09CCF819">
      <w:pPr>
        <w:rPr>
          <w:rFonts w:hint="default" w:ascii="Times New Roman" w:hAnsi="Times New Roman" w:cs="Times New Roman"/>
        </w:rPr>
      </w:pPr>
    </w:p>
    <w:p w14:paraId="470A1AAB">
      <w:pPr>
        <w:pStyle w:val="2"/>
        <w:rPr>
          <w:rFonts w:hint="default" w:ascii="Times New Roman" w:hAnsi="Times New Roman" w:cs="Times New Roman"/>
        </w:rPr>
      </w:pPr>
    </w:p>
    <w:p w14:paraId="033F679B">
      <w:pPr>
        <w:rPr>
          <w:rFonts w:hint="default"/>
        </w:rPr>
      </w:pPr>
    </w:p>
    <w:p w14:paraId="73F9A189">
      <w:pPr>
        <w:pStyle w:val="6"/>
        <w:keepNext w:val="0"/>
        <w:keepLines w:val="0"/>
        <w:pageBreakBefore w:val="0"/>
        <w:widowControl w:val="0"/>
        <w:kinsoku/>
        <w:wordWrap/>
        <w:overflowPunct/>
        <w:topLinePunct w:val="0"/>
        <w:autoSpaceDE/>
        <w:autoSpaceDN/>
        <w:bidi w:val="0"/>
        <w:adjustRightInd/>
        <w:snapToGrid/>
        <w:spacing w:beforeLines="0" w:line="576"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阿坝州壤塘县</w:t>
      </w:r>
    </w:p>
    <w:p w14:paraId="65636C7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w:t>
      </w:r>
      <w:r>
        <w:rPr>
          <w:rFonts w:hint="default" w:ascii="Times New Roman" w:hAnsi="Times New Roman" w:eastAsia="方正小标宋简体" w:cs="Times New Roman"/>
          <w:sz w:val="44"/>
          <w:szCs w:val="44"/>
          <w:lang w:bidi="ar-SA"/>
        </w:rPr>
        <w:t>住房和城乡建设局</w:t>
      </w:r>
      <w:r>
        <w:rPr>
          <w:rFonts w:hint="default" w:ascii="Times New Roman" w:hAnsi="Times New Roman" w:eastAsia="方正小标宋简体" w:cs="Times New Roman"/>
          <w:sz w:val="44"/>
          <w:szCs w:val="44"/>
          <w:lang w:eastAsia="zh-CN" w:bidi="ar-SA"/>
        </w:rPr>
        <w:t>质量监督站</w:t>
      </w:r>
    </w:p>
    <w:p w14:paraId="42C65996">
      <w:pPr>
        <w:pStyle w:val="6"/>
        <w:keepNext w:val="0"/>
        <w:keepLines w:val="0"/>
        <w:pageBreakBefore w:val="0"/>
        <w:widowControl w:val="0"/>
        <w:kinsoku/>
        <w:wordWrap/>
        <w:overflowPunct/>
        <w:topLinePunct w:val="0"/>
        <w:autoSpaceDE/>
        <w:autoSpaceDN/>
        <w:bidi w:val="0"/>
        <w:adjustRightInd/>
        <w:snapToGrid/>
        <w:spacing w:beforeLines="0" w:line="576"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部门决算公开</w:t>
      </w:r>
    </w:p>
    <w:p w14:paraId="03F5D4CF">
      <w:pPr>
        <w:pageBreakBefore w:val="0"/>
        <w:widowControl/>
        <w:kinsoku/>
        <w:wordWrap/>
        <w:overflowPunct/>
        <w:topLinePunct w:val="0"/>
        <w:bidi w:val="0"/>
        <w:spacing w:line="576" w:lineRule="exact"/>
        <w:ind w:left="0" w:leftChars="0" w:firstLine="960" w:firstLineChars="200"/>
        <w:jc w:val="center"/>
        <w:rPr>
          <w:rFonts w:hint="default" w:ascii="Times New Roman" w:hAnsi="Times New Roman" w:eastAsia="黑体" w:cs="Times New Roman"/>
          <w:color w:val="auto"/>
          <w:sz w:val="48"/>
          <w:szCs w:val="48"/>
          <w:highlight w:val="none"/>
        </w:rPr>
      </w:pPr>
    </w:p>
    <w:p w14:paraId="02AAFA83">
      <w:pPr>
        <w:pageBreakBefore w:val="0"/>
        <w:widowControl/>
        <w:kinsoku/>
        <w:wordWrap/>
        <w:overflowPunct/>
        <w:topLinePunct w:val="0"/>
        <w:bidi w:val="0"/>
        <w:spacing w:line="576" w:lineRule="exact"/>
        <w:ind w:left="0" w:leftChars="0" w:firstLine="960" w:firstLineChars="200"/>
        <w:jc w:val="center"/>
        <w:rPr>
          <w:rFonts w:hint="default" w:ascii="Times New Roman" w:hAnsi="Times New Roman" w:eastAsia="黑体" w:cs="Times New Roman"/>
          <w:color w:val="auto"/>
          <w:sz w:val="48"/>
          <w:szCs w:val="48"/>
          <w:highlight w:val="none"/>
        </w:rPr>
        <w:sectPr>
          <w:pgSz w:w="11906" w:h="16838"/>
          <w:pgMar w:top="1440" w:right="1800" w:bottom="1440" w:left="1800" w:header="851" w:footer="992" w:gutter="0"/>
          <w:pgNumType w:fmt="decimal" w:start="1"/>
          <w:cols w:space="720" w:num="1"/>
          <w:docGrid w:type="lines" w:linePitch="312" w:charSpace="0"/>
        </w:sectPr>
      </w:pPr>
    </w:p>
    <w:p w14:paraId="06E080CD">
      <w:pPr>
        <w:pageBreakBefore w:val="0"/>
        <w:widowControl/>
        <w:kinsoku/>
        <w:wordWrap/>
        <w:overflowPunct/>
        <w:topLinePunct w:val="0"/>
        <w:bidi w:val="0"/>
        <w:spacing w:line="576" w:lineRule="exact"/>
        <w:ind w:left="0" w:leftChars="0" w:firstLine="960" w:firstLineChars="200"/>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7328EFC9">
      <w:pPr>
        <w:pageBreakBefore w:val="0"/>
        <w:widowControl/>
        <w:kinsoku/>
        <w:wordWrap/>
        <w:overflowPunct/>
        <w:topLinePunct w:val="0"/>
        <w:bidi w:val="0"/>
        <w:spacing w:line="576" w:lineRule="exact"/>
        <w:ind w:left="0" w:leftChars="0" w:firstLine="560" w:firstLineChars="200"/>
        <w:jc w:val="center"/>
        <w:rPr>
          <w:rFonts w:hint="default" w:ascii="Times New Roman" w:hAnsi="Times New Roman" w:eastAsia="黑体" w:cs="Times New Roman"/>
          <w:color w:val="auto"/>
          <w:sz w:val="28"/>
          <w:szCs w:val="28"/>
          <w:highlight w:val="none"/>
        </w:rPr>
      </w:pPr>
    </w:p>
    <w:p w14:paraId="2578BD04">
      <w:pPr>
        <w:pStyle w:val="14"/>
        <w:pageBreakBefore w:val="0"/>
        <w:kinsoku/>
        <w:wordWrap/>
        <w:overflowPunct/>
        <w:topLinePunct w:val="0"/>
        <w:bidi w:val="0"/>
        <w:spacing w:before="0"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rPr>
        <w:t>日</w:t>
      </w:r>
    </w:p>
    <w:p w14:paraId="54B59780">
      <w:pPr>
        <w:pageBreakBefore w:val="0"/>
        <w:kinsoku/>
        <w:wordWrap/>
        <w:overflowPunct/>
        <w:topLinePunct w:val="0"/>
        <w:bidi w:val="0"/>
        <w:spacing w:line="576" w:lineRule="exact"/>
        <w:ind w:left="0" w:leftChars="0" w:firstLine="420" w:firstLineChars="200"/>
        <w:rPr>
          <w:rFonts w:hint="default" w:ascii="Times New Roman" w:hAnsi="Times New Roman" w:cs="Times New Roman"/>
          <w:color w:val="auto"/>
          <w:highlight w:val="none"/>
        </w:rPr>
      </w:pPr>
    </w:p>
    <w:p w14:paraId="23FA74BA">
      <w:pPr>
        <w:pStyle w:val="14"/>
        <w:pageBreakBefore w:val="0"/>
        <w:tabs>
          <w:tab w:val="right" w:leader="dot" w:pos="8306"/>
          <w:tab w:val="clear" w:pos="8296"/>
        </w:tabs>
        <w:kinsoku/>
        <w:wordWrap/>
        <w:overflowPunct/>
        <w:topLinePunct w:val="0"/>
        <w:bidi w:val="0"/>
        <w:spacing w:before="0" w:line="576" w:lineRule="exact"/>
        <w:jc w:val="both"/>
        <w:rPr>
          <w:rFonts w:hint="default" w:ascii="Times New Roman" w:hAnsi="Times New Roman" w:eastAsia="仿宋_GB2312" w:cs="Times New Roman"/>
          <w:sz w:val="32"/>
          <w:szCs w:val="32"/>
        </w:rPr>
      </w:pPr>
      <w:bookmarkStart w:id="0" w:name="_Toc15377196"/>
      <w:bookmarkStart w:id="1" w:name="_Toc15396599"/>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_Toc29434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highlight w:val="none"/>
        </w:rPr>
        <w:t>第一部分</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bCs w:val="0"/>
          <w:sz w:val="32"/>
          <w:szCs w:val="32"/>
          <w:highlight w:val="none"/>
        </w:rPr>
        <w:t>部门概况</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_Toc29434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4</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29271A5B">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_Toc23783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部门职责</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_Toc23783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17AE820B">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_Toc9953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二、机</w:t>
      </w:r>
      <w:r>
        <w:rPr>
          <w:rFonts w:hint="default" w:ascii="Times New Roman" w:hAnsi="Times New Roman" w:eastAsia="仿宋_GB2312" w:cs="Times New Roman"/>
          <w:bCs w:val="0"/>
          <w:sz w:val="32"/>
          <w:szCs w:val="32"/>
          <w:highlight w:val="none"/>
        </w:rPr>
        <w:t>构设置</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_Toc9953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10</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D065195">
      <w:pPr>
        <w:pStyle w:val="14"/>
        <w:pageBreakBefore w:val="0"/>
        <w:tabs>
          <w:tab w:val="right" w:leader="dot" w:pos="8306"/>
          <w:tab w:val="clear" w:pos="8296"/>
        </w:tabs>
        <w:kinsoku/>
        <w:wordWrap/>
        <w:overflowPunct/>
        <w:topLinePunct w:val="0"/>
        <w:bidi w:val="0"/>
        <w:spacing w:before="0" w:line="576" w:lineRule="exact"/>
        <w:jc w:val="both"/>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_Toc23454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highlight w:val="none"/>
        </w:rPr>
        <w:t>第二部分</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sz w:val="32"/>
          <w:szCs w:val="32"/>
          <w:highlight w:val="none"/>
          <w:lang w:val="en-US" w:eastAsia="zh-CN"/>
        </w:rPr>
        <w:t>2025年度</w:t>
      </w:r>
      <w:r>
        <w:rPr>
          <w:rFonts w:hint="default" w:ascii="Times New Roman" w:hAnsi="Times New Roman" w:eastAsia="黑体" w:cs="Times New Roman"/>
          <w:sz w:val="32"/>
          <w:szCs w:val="32"/>
          <w:highlight w:val="none"/>
        </w:rPr>
        <w:t>部门决算情况说明</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_Toc23454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11</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242D2A16">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_Toc18329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_Toc18329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15256B4">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_Toc23749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二、收入决算情况说明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_Toc23749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5D415CED">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_Toc22635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_Toc22635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21B22502">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_Toc5871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四、财政拨款收入支出决算总体情况说明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_Toc5871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41978272">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_Toc15459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五、一般公共预算财政拨款支出决算情况说明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_Toc15459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13</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41DC8D6F">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_Toc27760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六、一般公共预算财政拨款基本支出决算情况说明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_Toc27760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D84B0D4">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_Toc19646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七、财政拨款“三公”经费支出决算情况说明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_Toc19646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E81E798">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_Toc9570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八、政府性基金预算支出决算情况说明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_Toc9570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E0665C6">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_Toc3580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九、</w:t>
      </w:r>
      <w:r>
        <w:rPr>
          <w:rFonts w:hint="default" w:ascii="Times New Roman" w:hAnsi="Times New Roman" w:eastAsia="仿宋_GB2312" w:cs="Times New Roman"/>
          <w:sz w:val="32"/>
          <w:szCs w:val="32"/>
          <w:highlight w:val="none"/>
        </w:rPr>
        <w:t>国有资本经营预算支出决算情况说明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_Toc3580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24396FAD">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_Toc7948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十、</w:t>
      </w:r>
      <w:r>
        <w:rPr>
          <w:rFonts w:hint="default" w:ascii="Times New Roman" w:hAnsi="Times New Roman" w:eastAsia="仿宋_GB2312" w:cs="Times New Roman"/>
          <w:sz w:val="32"/>
          <w:szCs w:val="32"/>
          <w:highlight w:val="none"/>
        </w:rPr>
        <w:t>其他重要事项的情况说明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_Toc7948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5C61B4A7">
      <w:pPr>
        <w:pStyle w:val="14"/>
        <w:pageBreakBefore w:val="0"/>
        <w:tabs>
          <w:tab w:val="right" w:leader="dot" w:pos="8306"/>
          <w:tab w:val="clear" w:pos="8296"/>
        </w:tabs>
        <w:kinsoku/>
        <w:wordWrap/>
        <w:overflowPunct/>
        <w:topLinePunct w:val="0"/>
        <w:bidi w:val="0"/>
        <w:spacing w:before="0" w:line="576" w:lineRule="exact"/>
        <w:jc w:val="both"/>
        <w:rPr>
          <w:rFonts w:hint="default" w:ascii="Times New Roman" w:hAnsi="Times New Roman" w:eastAsia="黑体" w:cs="Times New Roman"/>
          <w:sz w:val="32"/>
          <w:szCs w:val="32"/>
        </w:rPr>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_Toc25587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highlight w:val="none"/>
        </w:rPr>
        <w:t>第</w:t>
      </w:r>
      <w:r>
        <w:rPr>
          <w:rFonts w:hint="default" w:ascii="Times New Roman" w:hAnsi="Times New Roman" w:eastAsia="黑体" w:cs="Times New Roman"/>
          <w:sz w:val="32"/>
          <w:szCs w:val="32"/>
          <w:highlight w:val="none"/>
          <w:lang w:eastAsia="zh-CN"/>
        </w:rPr>
        <w:t>三</w:t>
      </w:r>
      <w:r>
        <w:rPr>
          <w:rFonts w:hint="default" w:ascii="Times New Roman" w:hAnsi="Times New Roman" w:eastAsia="黑体" w:cs="Times New Roman"/>
          <w:sz w:val="32"/>
          <w:szCs w:val="32"/>
          <w:highlight w:val="none"/>
        </w:rPr>
        <w:t>部分</w:t>
      </w:r>
      <w:r>
        <w:rPr>
          <w:rFonts w:hint="default" w:ascii="Times New Roman" w:hAnsi="Times New Roman" w:eastAsia="黑体" w:cs="Times New Roman"/>
          <w:sz w:val="32"/>
          <w:szCs w:val="32"/>
          <w:highlight w:val="none"/>
          <w:lang w:val="en-US" w:eastAsia="zh-CN"/>
        </w:rPr>
        <w:t xml:space="preserve"> </w:t>
      </w:r>
      <w:r>
        <w:rPr>
          <w:rFonts w:hint="eastAsia"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名词解释</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_Toc25587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18</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77FFFA95">
      <w:pPr>
        <w:pStyle w:val="14"/>
        <w:pageBreakBefore w:val="0"/>
        <w:tabs>
          <w:tab w:val="right" w:leader="dot" w:pos="8306"/>
          <w:tab w:val="clear" w:pos="8296"/>
        </w:tabs>
        <w:kinsoku/>
        <w:wordWrap/>
        <w:overflowPunct/>
        <w:topLinePunct w:val="0"/>
        <w:bidi w:val="0"/>
        <w:spacing w:before="0" w:line="576" w:lineRule="exact"/>
        <w:jc w:val="both"/>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_Toc25327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 xml:space="preserve">部分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附表</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_Toc25327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21</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6B52DCFF">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_Toc6934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一、收入支出决算总表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_Toc6934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47998780">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_Toc14529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二、收入决算表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_Toc14529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63C1C637">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_Toc7438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三、支出决算表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_Toc7438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2A16CB99">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_Toc18730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四、财政拨款收入支出决算总表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_Toc18730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04C6953">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_Toc18176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五、财政拨款支出决算明细表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_Toc18176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41268023">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_Toc24428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六、一般公共预算财政拨款支出决算表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_Toc24428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3CE408E">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_Toc22286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七、一般公共预算财政拨款支出决算明细表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_Toc22286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7CCBD6F4">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_Toc2406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八、一般公共预算财政拨款基本支出决算表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_Toc2406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620A478">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_Toc21206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九、一般公共预算财政拨款项目支出决算表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_Toc21206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789EC175">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_Toc4238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十、政府性基金预算财政拨款收入支出决算表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_Toc4238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DAF8686">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_Toc5885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十一、国有资本经营预算</w:t>
      </w:r>
      <w:r>
        <w:rPr>
          <w:rFonts w:hint="default" w:ascii="Times New Roman" w:hAnsi="Times New Roman" w:eastAsia="仿宋_GB2312" w:cs="Times New Roman"/>
          <w:sz w:val="32"/>
          <w:szCs w:val="32"/>
          <w:lang w:eastAsia="zh-CN"/>
        </w:rPr>
        <w:t>财政拨款收入</w:t>
      </w:r>
      <w:r>
        <w:rPr>
          <w:rFonts w:hint="default" w:ascii="Times New Roman" w:hAnsi="Times New Roman" w:eastAsia="仿宋_GB2312" w:cs="Times New Roman"/>
          <w:sz w:val="32"/>
          <w:szCs w:val="32"/>
        </w:rPr>
        <w:t>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_Toc5885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57BE29C4">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_Toc23510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十二、</w:t>
      </w:r>
      <w:r>
        <w:rPr>
          <w:rFonts w:hint="default" w:ascii="Times New Roman" w:hAnsi="Times New Roman" w:eastAsia="仿宋_GB2312" w:cs="Times New Roman"/>
          <w:sz w:val="32"/>
          <w:szCs w:val="32"/>
          <w:lang w:eastAsia="zh-CN"/>
        </w:rPr>
        <w:t>国有资本经营预算财政拨款支出决算表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_Toc23510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560026D9">
      <w:pPr>
        <w:pStyle w:val="16"/>
        <w:pageBreakBefore w:val="0"/>
        <w:tabs>
          <w:tab w:val="right" w:leader="dot" w:pos="8306"/>
          <w:tab w:val="clear" w:pos="8296"/>
        </w:tabs>
        <w:kinsoku/>
        <w:wordWrap/>
        <w:overflowPunct/>
        <w:topLinePunct w:val="0"/>
        <w:bidi w:val="0"/>
        <w:spacing w:line="576" w:lineRule="exact"/>
        <w:ind w:left="0" w:leftChars="0" w:firstLine="640" w:firstLineChars="200"/>
        <w:rPr>
          <w:rFonts w:hint="default" w:ascii="Times New Roman" w:hAnsi="Times New Roman" w:cs="Times New Roma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十三、</w:t>
      </w:r>
      <w:r>
        <w:rPr>
          <w:rFonts w:hint="default" w:ascii="Times New Roman" w:hAnsi="Times New Roman" w:eastAsia="仿宋_GB2312" w:cs="Times New Roman"/>
          <w:sz w:val="32"/>
          <w:szCs w:val="32"/>
          <w:lang w:eastAsia="zh-CN"/>
        </w:rPr>
        <w:t>财政拨款“三公”经费支出决算表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7EC72AA">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r>
        <w:rPr>
          <w:rFonts w:hint="default" w:ascii="Times New Roman" w:hAnsi="Times New Roman" w:cs="Times New Roman"/>
        </w:rPr>
        <w:fldChar w:fldCharType="end"/>
      </w:r>
    </w:p>
    <w:p w14:paraId="69628419">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38CC4857">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57652704">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095E9F7A">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5382AD23">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393B9AE3">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4B439EF9">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3E5C28C1">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09D00948">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bookmarkStart w:id="93" w:name="_GoBack"/>
      <w:bookmarkEnd w:id="93"/>
    </w:p>
    <w:p w14:paraId="03450EC9">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4F64BBD2">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6BD46F63">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7E40C2E5">
      <w:pPr>
        <w:pageBreakBefore w:val="0"/>
        <w:kinsoku/>
        <w:wordWrap/>
        <w:overflowPunct/>
        <w:topLinePunct w:val="0"/>
        <w:bidi w:val="0"/>
        <w:spacing w:before="0" w:beforeLines="0" w:after="0" w:line="576" w:lineRule="exact"/>
        <w:ind w:left="0" w:leftChars="0" w:firstLine="420" w:firstLineChars="200"/>
        <w:rPr>
          <w:rFonts w:hint="default" w:ascii="Times New Roman" w:hAnsi="Times New Roman" w:cs="Times New Roman"/>
        </w:rPr>
      </w:pPr>
    </w:p>
    <w:p w14:paraId="453202CD">
      <w:pPr>
        <w:pageBreakBefore w:val="0"/>
        <w:kinsoku/>
        <w:wordWrap/>
        <w:overflowPunct/>
        <w:topLinePunct w:val="0"/>
        <w:bidi w:val="0"/>
        <w:spacing w:before="0" w:beforeLines="0" w:after="0" w:line="576" w:lineRule="exact"/>
        <w:rPr>
          <w:rFonts w:hint="default" w:ascii="Times New Roman" w:hAnsi="Times New Roman" w:cs="Times New Roman"/>
        </w:rPr>
      </w:pPr>
    </w:p>
    <w:p w14:paraId="4C862E27">
      <w:pPr>
        <w:pStyle w:val="3"/>
        <w:pageBreakBefore w:val="0"/>
        <w:kinsoku/>
        <w:wordWrap/>
        <w:overflowPunct/>
        <w:topLinePunct w:val="0"/>
        <w:bidi w:val="0"/>
        <w:spacing w:before="0" w:after="0" w:line="576" w:lineRule="exact"/>
        <w:ind w:left="0" w:leftChars="0" w:firstLine="880" w:firstLineChars="200"/>
        <w:jc w:val="center"/>
        <w:rPr>
          <w:rFonts w:hint="default" w:ascii="Times New Roman" w:hAnsi="Times New Roman" w:eastAsia="方正小标宋简体" w:cs="Times New Roman"/>
          <w:b w:val="0"/>
          <w:color w:val="auto"/>
          <w:highlight w:val="none"/>
        </w:rPr>
        <w:sectPr>
          <w:footerReference r:id="rId3" w:type="default"/>
          <w:pgSz w:w="11906" w:h="16838"/>
          <w:pgMar w:top="1440" w:right="1800" w:bottom="1440" w:left="1800" w:header="851" w:footer="992" w:gutter="0"/>
          <w:pgNumType w:fmt="decimal" w:start="4"/>
          <w:cols w:space="720" w:num="1"/>
          <w:docGrid w:type="lines" w:linePitch="312" w:charSpace="0"/>
        </w:sectPr>
      </w:pPr>
      <w:bookmarkStart w:id="2" w:name="_Toc29434"/>
    </w:p>
    <w:p w14:paraId="5FC6F724">
      <w:pPr>
        <w:pStyle w:val="3"/>
        <w:pageBreakBefore w:val="0"/>
        <w:kinsoku/>
        <w:wordWrap/>
        <w:overflowPunct/>
        <w:topLinePunct w:val="0"/>
        <w:bidi w:val="0"/>
        <w:spacing w:before="0" w:after="0" w:line="576" w:lineRule="exact"/>
        <w:ind w:left="0" w:leftChars="0" w:firstLine="880" w:firstLineChars="200"/>
        <w:jc w:val="center"/>
        <w:rPr>
          <w:rFonts w:hint="default" w:ascii="Times New Roman" w:hAnsi="Times New Roman" w:eastAsia="黑体" w:cs="Times New Roman"/>
          <w:color w:val="auto"/>
          <w:sz w:val="32"/>
          <w:szCs w:val="32"/>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1"/>
          <w:rFonts w:hint="default" w:ascii="Times New Roman" w:hAnsi="Times New Roman" w:eastAsia="方正小标宋简体" w:cs="Times New Roman"/>
          <w:b w:val="0"/>
          <w:bCs w:val="0"/>
          <w:color w:val="auto"/>
          <w:highlight w:val="none"/>
        </w:rPr>
        <w:t>部门概况</w:t>
      </w:r>
      <w:bookmarkEnd w:id="0"/>
      <w:bookmarkEnd w:id="1"/>
      <w:bookmarkEnd w:id="2"/>
    </w:p>
    <w:p w14:paraId="7F011C71">
      <w:pPr>
        <w:pStyle w:val="4"/>
        <w:pageBreakBefore w:val="0"/>
        <w:kinsoku/>
        <w:wordWrap/>
        <w:overflowPunct/>
        <w:topLinePunct w:val="0"/>
        <w:bidi w:val="0"/>
        <w:spacing w:before="0" w:after="0" w:line="576" w:lineRule="exact"/>
        <w:rPr>
          <w:rFonts w:hint="default" w:ascii="Times New Roman" w:hAnsi="Times New Roman" w:eastAsia="黑体" w:cs="Times New Roman"/>
          <w:b w:val="0"/>
          <w:bCs w:val="0"/>
          <w:lang w:eastAsia="zh-CN"/>
        </w:rPr>
      </w:pPr>
      <w:bookmarkStart w:id="3" w:name="_Toc15377197"/>
      <w:bookmarkStart w:id="4" w:name="_Toc15396600"/>
      <w:bookmarkStart w:id="5" w:name="_Toc23783"/>
      <w:bookmarkStart w:id="6" w:name="_Toc15377200"/>
      <w:bookmarkStart w:id="7" w:name="_Toc15396601"/>
      <w:r>
        <w:rPr>
          <w:rFonts w:hint="default" w:ascii="Times New Roman" w:hAnsi="Times New Roman" w:eastAsia="黑体" w:cs="Times New Roman"/>
          <w:b w:val="0"/>
          <w:bCs w:val="0"/>
        </w:rPr>
        <w:t>一、</w:t>
      </w:r>
      <w:bookmarkEnd w:id="3"/>
      <w:bookmarkEnd w:id="4"/>
      <w:r>
        <w:rPr>
          <w:rFonts w:hint="default" w:ascii="Times New Roman" w:hAnsi="Times New Roman" w:eastAsia="黑体" w:cs="Times New Roman"/>
          <w:b w:val="0"/>
          <w:bCs w:val="0"/>
          <w:lang w:eastAsia="zh-CN"/>
        </w:rPr>
        <w:t>部门职责</w:t>
      </w:r>
      <w:bookmarkEnd w:id="5"/>
      <w:bookmarkStart w:id="8" w:name="_Toc15377198"/>
      <w:bookmarkStart w:id="9" w:name="_Toc15378445"/>
      <w:bookmarkStart w:id="10" w:name="_Toc79163603"/>
      <w:bookmarkStart w:id="11" w:name="_Toc79163853"/>
    </w:p>
    <w:p w14:paraId="0AC30234">
      <w:pPr>
        <w:pStyle w:val="6"/>
        <w:pageBreakBefore w:val="0"/>
        <w:numPr>
          <w:ilvl w:val="0"/>
          <w:numId w:val="1"/>
        </w:numPr>
        <w:kinsoku/>
        <w:wordWrap/>
        <w:overflowPunct/>
        <w:topLinePunct w:val="0"/>
        <w:bidi w:val="0"/>
        <w:adjustRightInd w:val="0"/>
        <w:snapToGrid w:val="0"/>
        <w:spacing w:beforeLines="0" w:line="576" w:lineRule="exact"/>
        <w:ind w:left="0" w:leftChars="0" w:firstLine="643" w:firstLineChars="200"/>
        <w:outlineLvl w:val="2"/>
        <w:rPr>
          <w:rFonts w:hint="default" w:ascii="Times New Roman" w:hAnsi="Times New Roman" w:eastAsia="楷体" w:cs="Times New Roman"/>
          <w:b/>
          <w:bCs w:val="0"/>
          <w:color w:val="333333"/>
          <w:sz w:val="32"/>
          <w:szCs w:val="32"/>
          <w:shd w:val="clear" w:color="auto" w:fill="FFFFFF"/>
          <w:lang w:eastAsia="zh-CN" w:bidi="ar-SA"/>
        </w:rPr>
      </w:pPr>
      <w:r>
        <w:rPr>
          <w:rFonts w:hint="default" w:ascii="Times New Roman" w:hAnsi="Times New Roman" w:eastAsia="楷体" w:cs="Times New Roman"/>
          <w:b/>
          <w:bCs w:val="0"/>
          <w:color w:val="000000"/>
          <w:sz w:val="32"/>
          <w:szCs w:val="32"/>
        </w:rPr>
        <w:t>主要职能</w:t>
      </w:r>
    </w:p>
    <w:p w14:paraId="35D789E6">
      <w:pPr>
        <w:pStyle w:val="6"/>
        <w:pageBreakBefore w:val="0"/>
        <w:numPr>
          <w:ilvl w:val="0"/>
          <w:numId w:val="0"/>
        </w:numPr>
        <w:tabs>
          <w:tab w:val="left" w:pos="0"/>
        </w:tabs>
        <w:kinsoku/>
        <w:wordWrap/>
        <w:overflowPunct/>
        <w:topLinePunct w:val="0"/>
        <w:bidi w:val="0"/>
        <w:adjustRightInd w:val="0"/>
        <w:snapToGrid w:val="0"/>
        <w:spacing w:beforeLines="0" w:line="576" w:lineRule="exact"/>
        <w:ind w:left="0" w:leftChars="0" w:firstLine="640" w:firstLineChars="200"/>
        <w:outlineLvl w:val="2"/>
        <w:rPr>
          <w:rFonts w:hint="default" w:ascii="Times New Roman" w:hAnsi="Times New Roman" w:eastAsia="仿宋" w:cs="Times New Roman"/>
          <w:color w:val="333333"/>
          <w:sz w:val="32"/>
          <w:szCs w:val="32"/>
          <w:shd w:val="clear" w:color="auto" w:fill="FFFFFF"/>
          <w:lang w:eastAsia="zh-CN" w:bidi="ar-SA"/>
        </w:rPr>
      </w:pPr>
      <w:r>
        <w:rPr>
          <w:rFonts w:hint="default" w:ascii="Times New Roman" w:hAnsi="Times New Roman" w:eastAsia="仿宋" w:cs="Times New Roman"/>
          <w:color w:val="333333"/>
          <w:sz w:val="32"/>
          <w:szCs w:val="32"/>
          <w:shd w:val="clear" w:color="auto" w:fill="FFFFFF"/>
          <w:lang w:bidi="ar-SA"/>
        </w:rPr>
        <w:t>负责各类房屋建筑及其附属设施的建设与配套的线路、管道、设备安装项目和市政工程项目的初步设计审查、施工图审批、开工审批和招标活动的执法监督</w:t>
      </w:r>
      <w:r>
        <w:rPr>
          <w:rFonts w:hint="default" w:ascii="Times New Roman" w:hAnsi="Times New Roman" w:eastAsia="仿宋" w:cs="Times New Roman"/>
          <w:color w:val="333333"/>
          <w:sz w:val="32"/>
          <w:szCs w:val="32"/>
          <w:shd w:val="clear" w:color="auto" w:fill="FFFFFF"/>
          <w:lang w:eastAsia="zh-CN" w:bidi="ar-SA"/>
        </w:rPr>
        <w:t>。</w:t>
      </w:r>
    </w:p>
    <w:bookmarkEnd w:id="8"/>
    <w:bookmarkEnd w:id="9"/>
    <w:bookmarkEnd w:id="10"/>
    <w:bookmarkEnd w:id="11"/>
    <w:p w14:paraId="39CD8F6C">
      <w:pPr>
        <w:pStyle w:val="38"/>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3" w:firstLineChars="200"/>
        <w:jc w:val="both"/>
        <w:textAlignment w:val="auto"/>
        <w:rPr>
          <w:rFonts w:hint="default" w:ascii="Times New Roman" w:hAnsi="Times New Roman" w:eastAsia="楷体" w:cs="Times New Roman"/>
          <w:b/>
          <w:bCs w:val="0"/>
          <w:color w:val="000000"/>
          <w:sz w:val="32"/>
          <w:szCs w:val="32"/>
        </w:rPr>
      </w:pPr>
      <w:r>
        <w:rPr>
          <w:rFonts w:hint="default" w:ascii="Times New Roman" w:hAnsi="Times New Roman" w:eastAsia="楷体" w:cs="Times New Roman"/>
          <w:b/>
          <w:bCs w:val="0"/>
          <w:color w:val="000000"/>
          <w:sz w:val="32"/>
          <w:szCs w:val="32"/>
        </w:rPr>
        <w:t>202</w:t>
      </w:r>
      <w:r>
        <w:rPr>
          <w:rFonts w:hint="default" w:ascii="Times New Roman" w:hAnsi="Times New Roman" w:eastAsia="楷体" w:cs="Times New Roman"/>
          <w:b/>
          <w:bCs w:val="0"/>
          <w:color w:val="000000"/>
          <w:sz w:val="32"/>
          <w:szCs w:val="32"/>
          <w:lang w:val="en-US" w:eastAsia="zh-CN"/>
        </w:rPr>
        <w:t>5</w:t>
      </w:r>
      <w:r>
        <w:rPr>
          <w:rFonts w:hint="default" w:ascii="Times New Roman" w:hAnsi="Times New Roman" w:eastAsia="楷体" w:cs="Times New Roman"/>
          <w:b/>
          <w:bCs w:val="0"/>
          <w:color w:val="000000"/>
          <w:sz w:val="32"/>
          <w:szCs w:val="32"/>
        </w:rPr>
        <w:t>年重点工作完成情况</w:t>
      </w:r>
    </w:p>
    <w:p w14:paraId="57E0857A">
      <w:pPr>
        <w:keepNext w:val="0"/>
        <w:keepLines w:val="0"/>
        <w:pageBreakBefore w:val="0"/>
        <w:widowControl w:val="0"/>
        <w:numPr>
          <w:ilvl w:val="0"/>
          <w:numId w:val="0"/>
        </w:numPr>
        <w:tabs>
          <w:tab w:val="left" w:pos="1760"/>
        </w:tabs>
        <w:kinsoku/>
        <w:wordWrap/>
        <w:overflowPunct/>
        <w:topLinePunct w:val="0"/>
        <w:bidi w:val="0"/>
        <w:snapToGrid/>
        <w:spacing w:line="576" w:lineRule="exact"/>
        <w:ind w:left="0" w:leftChars="0" w:firstLine="640" w:firstLineChars="200"/>
        <w:textAlignment w:val="baseline"/>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sz w:val="32"/>
          <w:szCs w:val="32"/>
          <w:lang w:val="en-US" w:eastAsia="zh-CN" w:bidi="ar-SA"/>
        </w:rPr>
        <w:t>1.安全生产。工程质量安全方面。</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结合季节特点和安全生产形势，开展了建筑起重机械、深基坑、脚手架、施工用电、动火作业等危险性较大分部分项工程的专项整治行动。发现安全隐患252处，已整改252处，有效防范了安全事故的发生。</w:t>
      </w:r>
      <w:r>
        <w:rPr>
          <w:rFonts w:hint="default" w:ascii="Times New Roman" w:hAnsi="Times New Roman" w:eastAsia="仿宋_GB2312" w:cs="Times New Roman"/>
          <w:b w:val="0"/>
          <w:bCs w:val="0"/>
          <w:color w:val="000000"/>
          <w:spacing w:val="0"/>
          <w:w w:val="100"/>
          <w:sz w:val="32"/>
          <w:szCs w:val="32"/>
          <w:lang w:val="en-US" w:eastAsia="zh-CN" w:bidi="ar-SA"/>
        </w:rPr>
        <w:t>城镇燃气安全方面。</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结合9.3阅兵和国庆、中秋等重要节假日即将临近。9月1日制定印发了《壤塘县城镇燃气安全专项整治专班办公室关于开展城镇燃气安全专项整治工作方案》（壤燃气整治办〔2025〕1号），会同应急管理、市场监管、消防救援、经信等部门累计开展燃气安全隐患排查和执法检查34次，累计排查燃气点位1700余处，排查出燃气隐患121个，督促整改落实121处（其中：下达燃气问题隐患整改通知书24份，限期整改问题39处，均已整改完毕）。督促燃气经营企业淘汰老旧钢瓶704只，购买新钢瓶400只。</w:t>
      </w:r>
      <w:r>
        <w:rPr>
          <w:rFonts w:hint="default" w:ascii="Times New Roman" w:hAnsi="Times New Roman" w:eastAsia="仿宋_GB2312" w:cs="Times New Roman"/>
          <w:b w:val="0"/>
          <w:bCs w:val="0"/>
          <w:color w:val="000000"/>
          <w:spacing w:val="0"/>
          <w:w w:val="100"/>
          <w:sz w:val="32"/>
          <w:szCs w:val="32"/>
          <w:lang w:val="en-US" w:eastAsia="zh-CN" w:bidi="ar-SA"/>
        </w:rPr>
        <w:t>自建房安全方面。</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为进一步健全制度措施，形成自建房安全全链条监管机制，将自建房安全隐患排查整治形成常态化管理，纳入日常重点工作一体推进，于2025年3月向全县各乡镇下发了2025年自建房安全隐患排查整治相关工作的通知，要求各乡镇开展常规化动态监测及入户排查工作于每月25日前向县住建局报送隐患台账及排查报告。采取随机抽查的方式，开展督导检查，截至目前开展督导检查9次，检查房屋195栋。</w:t>
      </w:r>
      <w:r>
        <w:rPr>
          <w:rFonts w:hint="default" w:ascii="Times New Roman" w:hAnsi="Times New Roman" w:eastAsia="仿宋_GB2312" w:cs="Times New Roman"/>
          <w:b w:val="0"/>
          <w:bCs w:val="0"/>
          <w:color w:val="000000"/>
          <w:spacing w:val="0"/>
          <w:w w:val="100"/>
          <w:sz w:val="32"/>
          <w:szCs w:val="32"/>
          <w:lang w:val="en-US" w:eastAsia="zh-CN" w:bidi="ar-SA"/>
        </w:rPr>
        <w:t>市政设施安全运行。</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今年以来，对我县建制镇内市政设施、桥梁等进行了安全隐患排查。截至目前，共计排查桥梁11座、市政管网13处，除部分管网存在堵漏与老化现象外（正在整改），均无异常。</w:t>
      </w:r>
    </w:p>
    <w:p w14:paraId="7C819355">
      <w:pPr>
        <w:pStyle w:val="17"/>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2.住房保障。危房改造。</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持续巩固拓展脱贫攻坚成果同乡村振兴有效衔接、抓好住房安全保障工作。为筑实筑牢农村住房安全底线，切实保障农牧民群众住房安全。已完成2024年农村危房改造项目工作，已全额拨付补助资金。结合三月群众工作月各乡镇初排数据，我局聘请第三方专业鉴定公司，开展现场鉴定工作，依据鉴定报告，向上申请了2025年危房改造项目，上级部门共下达我县76户危房改造任务数，目前已全部已完工76户，资金拨付0户。我局每日进行调度，切实跟踪指导农户建房过程中存在的技术问题。截至目前，已深入危房改造建设现场进行监督指导9次。</w:t>
      </w:r>
      <w:r>
        <w:rPr>
          <w:rFonts w:hint="default" w:ascii="Times New Roman" w:hAnsi="Times New Roman" w:eastAsia="仿宋_GB2312" w:cs="Times New Roman"/>
          <w:b w:val="0"/>
          <w:bCs w:val="0"/>
          <w:color w:val="000000"/>
          <w:spacing w:val="0"/>
          <w:w w:val="100"/>
          <w:kern w:val="2"/>
          <w:sz w:val="32"/>
          <w:szCs w:val="32"/>
          <w:lang w:val="en-US" w:eastAsia="zh-CN" w:bidi="ar-SA"/>
        </w:rPr>
        <w:t>房地产市场管理：</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积极做好房地产去库存化解工作。一是对我县5宗商品房交易进行网签备案，交易面积为0.05万平方米，交易金额195.51万元。二是对我县26宗存量房交易进行网签备案，交易面积为0.2482万平方米，交易金额达720.18万元。三是配合省州完成领导干部房产信息核查1100余条，并按时完成《房地产市场交易统计》月报表工作10份及其他日常工作。</w:t>
      </w:r>
      <w:r>
        <w:rPr>
          <w:rFonts w:hint="default" w:ascii="Times New Roman" w:hAnsi="Times New Roman" w:eastAsia="仿宋_GB2312" w:cs="Times New Roman"/>
          <w:b w:val="0"/>
          <w:bCs w:val="0"/>
          <w:color w:val="000000"/>
          <w:spacing w:val="0"/>
          <w:w w:val="100"/>
          <w:kern w:val="2"/>
          <w:sz w:val="32"/>
          <w:szCs w:val="32"/>
          <w:lang w:val="en-US" w:eastAsia="zh-CN" w:bidi="ar-SA"/>
        </w:rPr>
        <w:t>老旧小区改造工作。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全力推进保障性安居工程项目。实施壤塘县2025年城镇老旧小区改造建设项目，惠及壤塘县老城关小区、老人社局小区、老税务卫健小区、老中学住宿小区、林产品公司小区、农行邮电小区、人大小区、森工发改小区8个小区，目前已竣工验收。下一步，继续实施壤塘县2025年城镇老旧小区改造查漏补缺建设项目工作，每日定期开展项目督查，确保年内完工。</w:t>
      </w:r>
    </w:p>
    <w:p w14:paraId="3E10B5F6">
      <w:pPr>
        <w:pStyle w:val="17"/>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3.</w:t>
      </w:r>
      <w:r>
        <w:rPr>
          <w:rFonts w:hint="eastAsia" w:ascii="Times New Roman" w:hAnsi="Times New Roman" w:eastAsia="仿宋_GB2312" w:cs="Times New Roman"/>
          <w:b w:val="0"/>
          <w:bCs w:val="0"/>
          <w:color w:val="000000"/>
          <w:spacing w:val="0"/>
          <w:w w:val="100"/>
          <w:kern w:val="2"/>
          <w:sz w:val="32"/>
          <w:szCs w:val="32"/>
          <w:lang w:val="en-US" w:eastAsia="zh-CN" w:bidi="ar-SA"/>
        </w:rPr>
        <w:t>“</w:t>
      </w:r>
      <w:r>
        <w:rPr>
          <w:rFonts w:hint="default" w:ascii="Times New Roman" w:hAnsi="Times New Roman" w:eastAsia="仿宋_GB2312" w:cs="Times New Roman"/>
          <w:b w:val="0"/>
          <w:bCs w:val="0"/>
          <w:color w:val="000000"/>
          <w:spacing w:val="0"/>
          <w:w w:val="100"/>
          <w:kern w:val="2"/>
          <w:sz w:val="32"/>
          <w:szCs w:val="32"/>
          <w:lang w:val="en-US" w:eastAsia="zh-CN" w:bidi="ar-SA"/>
        </w:rPr>
        <w:t>省级百强中心镇</w:t>
      </w:r>
      <w:r>
        <w:rPr>
          <w:rFonts w:hint="eastAsia" w:ascii="Times New Roman" w:hAnsi="Times New Roman" w:eastAsia="仿宋_GB2312" w:cs="Times New Roman"/>
          <w:b w:val="0"/>
          <w:bCs w:val="0"/>
          <w:color w:val="000000"/>
          <w:spacing w:val="0"/>
          <w:w w:val="100"/>
          <w:kern w:val="2"/>
          <w:sz w:val="32"/>
          <w:szCs w:val="32"/>
          <w:lang w:val="en-US" w:eastAsia="zh-CN" w:bidi="ar-SA"/>
        </w:rPr>
        <w:t>”</w:t>
      </w:r>
      <w:r>
        <w:rPr>
          <w:rFonts w:hint="default" w:ascii="Times New Roman" w:hAnsi="Times New Roman" w:eastAsia="仿宋_GB2312" w:cs="Times New Roman"/>
          <w:b w:val="0"/>
          <w:bCs w:val="0"/>
          <w:color w:val="000000"/>
          <w:spacing w:val="0"/>
          <w:w w:val="100"/>
          <w:kern w:val="2"/>
          <w:sz w:val="32"/>
          <w:szCs w:val="32"/>
          <w:lang w:val="en-US" w:eastAsia="zh-CN" w:bidi="ar-SA"/>
        </w:rPr>
        <w:t>申报。</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我县中壤塘镇申报创建</w:t>
      </w:r>
      <w:r>
        <w:rPr>
          <w:rFonts w:hint="eastAsia" w:ascii="Times New Roman" w:hAnsi="Times New Roman" w:eastAsia="仿宋_GB2312" w:cs="Times New Roman"/>
          <w:b w:val="0"/>
          <w:bCs w:val="0"/>
          <w:color w:val="333333"/>
          <w:kern w:val="0"/>
          <w:sz w:val="32"/>
          <w:szCs w:val="32"/>
          <w:shd w:val="clear" w:color="auto" w:fill="FFFFFF"/>
          <w:lang w:val="en-US" w:eastAsia="zh-CN" w:bidi="ar-SA"/>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省级百强中心镇</w:t>
      </w:r>
      <w:r>
        <w:rPr>
          <w:rFonts w:hint="eastAsia" w:ascii="Times New Roman" w:hAnsi="Times New Roman" w:eastAsia="仿宋_GB2312" w:cs="Times New Roman"/>
          <w:b w:val="0"/>
          <w:bCs w:val="0"/>
          <w:color w:val="333333"/>
          <w:kern w:val="0"/>
          <w:sz w:val="32"/>
          <w:szCs w:val="32"/>
          <w:shd w:val="clear" w:color="auto" w:fill="FFFFFF"/>
          <w:lang w:val="en-US" w:eastAsia="zh-CN" w:bidi="ar-SA"/>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工作推进情况：按照《壤塘县住房和城乡建设局关于补充</w:t>
      </w:r>
      <w:r>
        <w:rPr>
          <w:rFonts w:hint="eastAsia" w:ascii="Times New Roman" w:hAnsi="Times New Roman" w:eastAsia="仿宋_GB2312" w:cs="Times New Roman"/>
          <w:b w:val="0"/>
          <w:bCs w:val="0"/>
          <w:color w:val="333333"/>
          <w:kern w:val="0"/>
          <w:sz w:val="32"/>
          <w:szCs w:val="32"/>
          <w:shd w:val="clear" w:color="auto" w:fill="FFFFFF"/>
          <w:lang w:val="en-US" w:eastAsia="zh-CN" w:bidi="ar-SA"/>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省级百强中心镇</w:t>
      </w:r>
      <w:r>
        <w:rPr>
          <w:rFonts w:hint="eastAsia" w:ascii="Times New Roman" w:hAnsi="Times New Roman" w:eastAsia="仿宋_GB2312" w:cs="Times New Roman"/>
          <w:b w:val="0"/>
          <w:bCs w:val="0"/>
          <w:color w:val="333333"/>
          <w:kern w:val="0"/>
          <w:sz w:val="32"/>
          <w:szCs w:val="32"/>
          <w:shd w:val="clear" w:color="auto" w:fill="FFFFFF"/>
          <w:lang w:val="en-US" w:eastAsia="zh-CN" w:bidi="ar-SA"/>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申报资料工作的通知》（壤住建发〔2025〕33号）文件精神，全县相关部门已补充中心镇相关数据及基础佐证资料。目前第三方机构对收集资料进行查漏补缺和归类，为即将开展编制中心镇专项规划和申报资料汇编做准备。</w:t>
      </w:r>
    </w:p>
    <w:p w14:paraId="745CAC80">
      <w:pPr>
        <w:keepNext w:val="0"/>
        <w:keepLines w:val="0"/>
        <w:pageBreakBefore w:val="0"/>
        <w:widowControl w:val="0"/>
        <w:kinsoku/>
        <w:wordWrap/>
        <w:overflowPunct/>
        <w:topLinePunct w:val="0"/>
        <w:autoSpaceDE/>
        <w:autoSpaceDN/>
        <w:bidi w:val="0"/>
        <w:snapToGrid/>
        <w:spacing w:line="576"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4.在建项目工程质量监督。</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w:t>
      </w:r>
      <w:r>
        <w:rPr>
          <w:rFonts w:hint="eastAsia" w:ascii="Times New Roman" w:hAnsi="Times New Roman" w:eastAsia="仿宋_GB2312" w:cs="Times New Roman"/>
          <w:b w:val="0"/>
          <w:bCs w:val="0"/>
          <w:color w:val="333333"/>
          <w:kern w:val="0"/>
          <w:sz w:val="32"/>
          <w:szCs w:val="32"/>
          <w:shd w:val="clear" w:color="auto" w:fill="FFFFFF"/>
          <w:lang w:val="en-US" w:eastAsia="zh-CN" w:bidi="ar-SA"/>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随叫随到</w:t>
      </w:r>
      <w:r>
        <w:rPr>
          <w:rFonts w:hint="eastAsia" w:ascii="Times New Roman" w:hAnsi="Times New Roman" w:eastAsia="仿宋_GB2312" w:cs="Times New Roman"/>
          <w:b w:val="0"/>
          <w:bCs w:val="0"/>
          <w:color w:val="333333"/>
          <w:kern w:val="0"/>
          <w:sz w:val="32"/>
          <w:szCs w:val="32"/>
          <w:shd w:val="clear" w:color="auto" w:fill="FFFFFF"/>
          <w:lang w:val="en-US" w:eastAsia="zh-CN" w:bidi="ar-SA"/>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的工作原则，不分上下班、不分工作日，专业技术人员深入工地开展工程质量监督工作200余次，避免了因质量监督影响工期情况。各在建项目从地基开挖到竣工验收，都做到全程参与、全程监督，确保监管不留死角，在日常监督中，坚持以地基基础、主体结构和影响使用安全及使用功能的关键部位为监督工作重点，严格监督程序，重视对基础、主体结构等重要部位、构件质量进行监督检查，提高监督工作质量和水平，确保监督工作的到位率、工程验收合格率、备案报审率达到100%，从源头上堵住建筑工程质量隐患。</w:t>
      </w:r>
    </w:p>
    <w:p w14:paraId="3B695399">
      <w:pPr>
        <w:keepNext w:val="0"/>
        <w:keepLines w:val="0"/>
        <w:pageBreakBefore w:val="0"/>
        <w:widowControl w:val="0"/>
        <w:kinsoku/>
        <w:wordWrap/>
        <w:overflowPunct/>
        <w:topLinePunct w:val="0"/>
        <w:autoSpaceDE/>
        <w:autoSpaceDN/>
        <w:bidi w:val="0"/>
        <w:snapToGrid/>
        <w:spacing w:line="576"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5.质量监督检查</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加大对在建工程项目的日常巡查和专项检查力度，共计检查项目46个，发现质量问题35处。针对钢筋弯锚不符合设计要求，基础开挖深度等常见问题，下达整改通知书12份，要求责任单位限期整改，并跟踪复查，确保问题整改到位。</w:t>
      </w:r>
    </w:p>
    <w:p w14:paraId="74C239AF">
      <w:pPr>
        <w:keepNext w:val="0"/>
        <w:keepLines w:val="0"/>
        <w:pageBreakBefore w:val="0"/>
        <w:widowControl w:val="0"/>
        <w:kinsoku/>
        <w:wordWrap/>
        <w:overflowPunct/>
        <w:topLinePunct w:val="0"/>
        <w:autoSpaceDE/>
        <w:autoSpaceDN/>
        <w:bidi w:val="0"/>
        <w:snapToGrid/>
        <w:spacing w:line="576"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6.行业治理。工程项目审批制度改革工作。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并联审批、联合验收、限时办结的要求，加快推进各项事项审批办理，截至目前，建设工程质量监督备案56件、建设工程竣工验收备案19件、建设工程招标投标情况书面报告31件、建设工程勘察文件及施工图设计文件审查备案40件、建筑工程施工许可证核发68件、安全施工措施备案54件、其他建设工程消防验收备案2件。工程审批系统辅事项累计办件555件，其中数字审图26件、联合验收0件、方案联审6件、中介超市86件、水电报装416件、勘察设计21件。特殊建设工程消防设计审查1件。</w:t>
      </w:r>
      <w:r>
        <w:rPr>
          <w:rFonts w:hint="default" w:ascii="Times New Roman" w:hAnsi="Times New Roman" w:eastAsia="仿宋_GB2312" w:cs="Times New Roman"/>
          <w:b w:val="0"/>
          <w:bCs w:val="0"/>
          <w:color w:val="000000"/>
          <w:spacing w:val="0"/>
          <w:w w:val="100"/>
          <w:kern w:val="2"/>
          <w:sz w:val="32"/>
          <w:szCs w:val="32"/>
          <w:lang w:val="en-US" w:eastAsia="zh-CN" w:bidi="ar-SA"/>
        </w:rPr>
        <w:t>招投标监管工作</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按照公平、公正、公开的要求，通过事前、事中、事后监管，有效遏制了围标串标、虚假投标等招投标违法行为的产生，截至目前，开展项目招投标监督25起，发放提示函11份。</w:t>
      </w:r>
      <w:r>
        <w:rPr>
          <w:rFonts w:hint="default" w:ascii="Times New Roman" w:hAnsi="Times New Roman" w:eastAsia="仿宋_GB2312" w:cs="Times New Roman"/>
          <w:b w:val="0"/>
          <w:bCs w:val="0"/>
          <w:color w:val="000000"/>
          <w:spacing w:val="0"/>
          <w:w w:val="100"/>
          <w:kern w:val="2"/>
          <w:sz w:val="32"/>
          <w:szCs w:val="32"/>
          <w:lang w:val="en-US" w:eastAsia="zh-CN" w:bidi="ar-SA"/>
        </w:rPr>
        <w:t>建筑业高质量发展工作。</w:t>
      </w:r>
      <w:r>
        <w:rPr>
          <w:rFonts w:hint="default" w:ascii="Times New Roman" w:hAnsi="Times New Roman" w:eastAsia="仿宋_GB2312" w:cs="Times New Roman"/>
          <w:b w:val="0"/>
          <w:bCs w:val="0"/>
          <w:color w:val="auto"/>
          <w:sz w:val="32"/>
          <w:szCs w:val="32"/>
          <w:lang w:val="en-US" w:eastAsia="zh-CN"/>
        </w:rPr>
        <w:t>我</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县共有9家建筑业企业，均为二级建筑企业。一季度完成总产值0.42亿元，州定目标增速9.5%，实际增速30%。上半年完成建筑业产值1.45亿元，同比增长95.6%，实现建筑业增加值0.28亿元、同比增长15.8%，占全县地区生产总值比例为13%，对GDP贡献率为5.5%，拉动全县地区生产总值增长0.39百分点。三季度已完成建筑业产值2.28亿元，增速55.2%，建筑业占全县地区生产总值比例为1.74 %，对GDP贡献率为0.03%，拉动全县地区生产总值增长0.19百分点。为实现全年增速目标，继续保持正增长势头，我局计划召开2025年建筑业发展大会，分析研判企业发展的难点堵点，畅通沟通渠道，为企业发展提供有力支撑，实现产值再增长。</w:t>
      </w:r>
      <w:r>
        <w:rPr>
          <w:rFonts w:hint="default" w:ascii="Times New Roman" w:hAnsi="Times New Roman" w:eastAsia="仿宋_GB2312" w:cs="Times New Roman"/>
          <w:b w:val="0"/>
          <w:bCs w:val="0"/>
          <w:color w:val="000000"/>
          <w:spacing w:val="0"/>
          <w:w w:val="100"/>
          <w:kern w:val="2"/>
          <w:sz w:val="32"/>
          <w:szCs w:val="32"/>
          <w:lang w:val="en-US" w:eastAsia="zh-CN" w:bidi="ar-SA"/>
        </w:rPr>
        <w:t>农民工欠薪治理工作。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治理要求，全覆盖排查在建项目46个，实名制管理项目8个，发现欠薪隐患13个，已督促施工方整改，召开农民工大会3期。收到12345欠薪投诉4起，已处理3起。其中汽车站工人讨薪2.4万元，已付清。中壤塘污水管网工人讨薪25万元，已付清。人行天桥工人讨薪15万元，已向财政局申请资金。汽车站工人讨薪30万元，已付清。无新增信访案件。</w:t>
      </w:r>
      <w:r>
        <w:rPr>
          <w:rFonts w:hint="default" w:ascii="Times New Roman" w:hAnsi="Times New Roman" w:eastAsia="仿宋_GB2312" w:cs="Times New Roman"/>
          <w:b w:val="0"/>
          <w:bCs w:val="0"/>
          <w:color w:val="000000"/>
          <w:spacing w:val="0"/>
          <w:w w:val="100"/>
          <w:kern w:val="2"/>
          <w:sz w:val="32"/>
          <w:szCs w:val="32"/>
          <w:lang w:val="en-US" w:eastAsia="zh-CN" w:bidi="ar-SA"/>
        </w:rPr>
        <w:t>招投标领域整治工作。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按照工作要求，已从265个项目中抽取13个项目备查，涉及8个建设单位，按照月调度、半年阶段总结，此项工作已于8月20日启动。</w:t>
      </w:r>
      <w:r>
        <w:rPr>
          <w:rFonts w:hint="default" w:ascii="Times New Roman" w:hAnsi="Times New Roman" w:eastAsia="仿宋_GB2312" w:cs="Times New Roman"/>
          <w:b w:val="0"/>
          <w:bCs w:val="0"/>
          <w:color w:val="000000"/>
          <w:spacing w:val="0"/>
          <w:w w:val="100"/>
          <w:kern w:val="2"/>
          <w:sz w:val="32"/>
          <w:szCs w:val="32"/>
          <w:lang w:val="en-US" w:eastAsia="zh-CN" w:bidi="ar-SA"/>
        </w:rPr>
        <w:t>违法案件查处工作。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本年州住建局移交案件2起，（壤塘县人民医院综合楼建设项目、粮食局粮油仓库建设项目施工许可未办理擅自开工），州纪委检查发现移交1起，（壤塘县人民医院综合楼建设项目涉嫌违法转包），其中壤塘县人民医院综合楼建设项目涉嫌违法转包案件已发出处罚决定书，处罚金额19万元。施工许可未办理擅自开工已立案调查，目前正在开展调查工作。</w:t>
      </w:r>
      <w:r>
        <w:rPr>
          <w:rFonts w:hint="default" w:ascii="Times New Roman" w:hAnsi="Times New Roman" w:eastAsia="仿宋_GB2312" w:cs="Times New Roman"/>
          <w:b w:val="0"/>
          <w:bCs w:val="0"/>
          <w:color w:val="000000"/>
          <w:spacing w:val="0"/>
          <w:w w:val="100"/>
          <w:kern w:val="2"/>
          <w:sz w:val="32"/>
          <w:szCs w:val="32"/>
          <w:lang w:val="en-US" w:eastAsia="zh-CN" w:bidi="ar-SA"/>
        </w:rPr>
        <w:t>施工许可证通报。</w:t>
      </w:r>
      <w:r>
        <w:rPr>
          <w:rFonts w:hint="default" w:ascii="Times New Roman" w:hAnsi="Times New Roman" w:eastAsia="仿宋_GB2312" w:cs="Times New Roman"/>
          <w:b w:val="0"/>
          <w:bCs w:val="0"/>
          <w:color w:val="auto"/>
          <w:sz w:val="32"/>
          <w:szCs w:val="32"/>
          <w:lang w:val="en-US" w:eastAsia="zh-CN"/>
        </w:rPr>
        <w:t>截</w:t>
      </w:r>
      <w:r>
        <w:rPr>
          <w:rFonts w:hint="default" w:ascii="Times New Roman" w:hAnsi="Times New Roman" w:eastAsia="仿宋_GB2312" w:cs="Times New Roman"/>
          <w:b w:val="0"/>
          <w:bCs w:val="0"/>
          <w:color w:val="333333"/>
          <w:kern w:val="0"/>
          <w:sz w:val="32"/>
          <w:szCs w:val="32"/>
          <w:shd w:val="clear" w:color="auto" w:fill="FFFFFF"/>
          <w:lang w:val="en-US" w:eastAsia="zh-CN" w:bidi="ar-SA"/>
        </w:rPr>
        <w:t>至目前，组织自然资源、水务、环保、行政审批、建设单位等单位召开施工许可办理协调会3期，通报5期，未办理施工许可证12个，涉及6个建设单位，我局已发整改通知要求限时整改。</w:t>
      </w:r>
      <w:r>
        <w:rPr>
          <w:rFonts w:hint="default" w:ascii="Times New Roman" w:hAnsi="Times New Roman" w:eastAsia="仿宋_GB2312" w:cs="Times New Roman"/>
          <w:b w:val="0"/>
          <w:bCs w:val="0"/>
          <w:color w:val="000000"/>
          <w:spacing w:val="0"/>
          <w:w w:val="100"/>
          <w:kern w:val="2"/>
          <w:sz w:val="32"/>
          <w:szCs w:val="32"/>
          <w:lang w:val="en-US" w:eastAsia="zh-CN" w:bidi="ar-SA"/>
        </w:rPr>
        <w:t>消防审验系统治理工作。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根据整治工作要求，已确定专人（牟芳慧）负责，结合消防事项办理情况开展此项工作，已发出提示函3份，点对点指导消防办理项目3个，检查发现消防审验问题4个，目前正在整改。</w:t>
      </w:r>
    </w:p>
    <w:p w14:paraId="73FE0827">
      <w:pPr>
        <w:keepNext w:val="0"/>
        <w:keepLines w:val="0"/>
        <w:pageBreakBefore w:val="0"/>
        <w:widowControl w:val="0"/>
        <w:kinsoku/>
        <w:wordWrap/>
        <w:overflowPunct/>
        <w:topLinePunct w:val="0"/>
        <w:autoSpaceDE/>
        <w:autoSpaceDN/>
        <w:bidi w:val="0"/>
        <w:snapToGrid/>
        <w:spacing w:line="576"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7.供暖运行保障。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供暖系统升级改造后，于2025年10月25日正式投入运行，先后组织国资公司、供暖监理、施工方、电力公司等单位召开调试协调会3次，目前，供暖系统已顺利上线运行，群众反映良好，同时打通维保、投诉渠道，打击违规取暖行为，维护供、用热双方合法权益，保障供暖系统稳定。</w:t>
      </w:r>
    </w:p>
    <w:p w14:paraId="0F550550">
      <w:pPr>
        <w:keepNext w:val="0"/>
        <w:keepLines w:val="0"/>
        <w:pageBreakBefore w:val="0"/>
        <w:widowControl w:val="0"/>
        <w:kinsoku/>
        <w:wordWrap/>
        <w:overflowPunct/>
        <w:topLinePunct w:val="0"/>
        <w:autoSpaceDE/>
        <w:autoSpaceDN/>
        <w:bidi w:val="0"/>
        <w:snapToGrid/>
        <w:spacing w:line="576"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8.商混站监督管理。</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阿坝藏族羌族自治州散装水泥发展应用专项规划（2025—2030年）》已正式印发，我县规划4个点位分别是岗木达、尕多、吾依，目前仅祥塘商混站成功办理资质续期，存在安全问题正在整改，国资商混站已申请建站申请，按照规划指标符合申请要求，已安排专人负责指导建站程序流程，吉祥、壤熙商混站在规定时限内未能办理资质续期，经州住建局审查发现各类问题12个，已发文停业整改。</w:t>
      </w:r>
    </w:p>
    <w:p w14:paraId="53BD25C3">
      <w:pPr>
        <w:pStyle w:val="17"/>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9.项目。</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今年我县共实施市政设施提升改造、供水、供暖、城市更新等13个项目，重点项目5个，总投资7.35亿元。我们坚持实施项目责任制，实行日调度、周总结的工作机制，对项目进行全生命周期管理、推进，通过倒排工期、顺排工序，加强资源要素保障和部门间的协同配合，目前已完成投资2.3亿元，截至目前完成5项目，10月底完工2个。</w:t>
      </w:r>
    </w:p>
    <w:p w14:paraId="1E469449">
      <w:pPr>
        <w:pStyle w:val="6"/>
        <w:pageBreakBefore w:val="0"/>
        <w:kinsoku/>
        <w:wordWrap/>
        <w:overflowPunct/>
        <w:topLinePunct w:val="0"/>
        <w:bidi w:val="0"/>
        <w:adjustRightInd w:val="0"/>
        <w:snapToGrid w:val="0"/>
        <w:spacing w:beforeLines="0" w:line="576" w:lineRule="exact"/>
        <w:ind w:left="0" w:leftChars="0" w:firstLine="640" w:firstLineChars="200"/>
        <w:outlineLvl w:val="2"/>
        <w:rPr>
          <w:rFonts w:hint="default" w:ascii="Times New Roman" w:hAnsi="Times New Roman" w:eastAsia="仿宋_GB2312" w:cs="Times New Roman"/>
          <w:b w:val="0"/>
          <w:bCs w:val="0"/>
          <w:spacing w:val="0"/>
          <w:w w:val="100"/>
          <w:sz w:val="32"/>
          <w:szCs w:val="32"/>
          <w:lang w:val="en-US" w:eastAsia="zh-CN" w:bidi="ar-SA"/>
        </w:rPr>
      </w:pPr>
    </w:p>
    <w:p w14:paraId="5E83C899">
      <w:pPr>
        <w:pStyle w:val="4"/>
        <w:pageBreakBefore w:val="0"/>
        <w:kinsoku/>
        <w:wordWrap/>
        <w:overflowPunct/>
        <w:topLinePunct w:val="0"/>
        <w:bidi w:val="0"/>
        <w:spacing w:before="0" w:after="0" w:line="576" w:lineRule="exact"/>
        <w:rPr>
          <w:rStyle w:val="32"/>
          <w:rFonts w:hint="default" w:ascii="Times New Roman" w:hAnsi="Times New Roman" w:cs="Times New Roman"/>
          <w:b w:val="0"/>
          <w:bCs w:val="0"/>
          <w:color w:val="auto"/>
          <w:highlight w:val="none"/>
        </w:rPr>
      </w:pPr>
      <w:bookmarkStart w:id="12" w:name="_Toc9953"/>
      <w:r>
        <w:rPr>
          <w:rFonts w:hint="default" w:ascii="Times New Roman" w:hAnsi="Times New Roman" w:eastAsia="黑体" w:cs="Times New Roman"/>
          <w:b w:val="0"/>
          <w:color w:val="auto"/>
          <w:highlight w:val="none"/>
        </w:rPr>
        <w:t>二、机</w:t>
      </w:r>
      <w:r>
        <w:rPr>
          <w:rStyle w:val="32"/>
          <w:rFonts w:hint="default" w:ascii="Times New Roman" w:hAnsi="Times New Roman" w:eastAsia="黑体" w:cs="Times New Roman"/>
          <w:b w:val="0"/>
          <w:bCs w:val="0"/>
          <w:color w:val="auto"/>
          <w:highlight w:val="none"/>
        </w:rPr>
        <w:t>构设置</w:t>
      </w:r>
      <w:bookmarkEnd w:id="6"/>
      <w:bookmarkEnd w:id="7"/>
      <w:bookmarkEnd w:id="12"/>
    </w:p>
    <w:p w14:paraId="0D717D16">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color w:val="333333"/>
          <w:sz w:val="32"/>
          <w:szCs w:val="32"/>
          <w:shd w:val="clear" w:color="auto" w:fill="FFFFFF"/>
          <w:lang w:bidi="ar-SA"/>
        </w:rPr>
        <w:t>壤塘县</w:t>
      </w:r>
      <w:r>
        <w:rPr>
          <w:rFonts w:hint="default" w:ascii="Times New Roman" w:hAnsi="Times New Roman" w:eastAsia="仿宋_GB2312" w:cs="Times New Roman"/>
          <w:color w:val="333333"/>
          <w:sz w:val="32"/>
          <w:szCs w:val="32"/>
          <w:shd w:val="clear" w:color="auto" w:fill="FFFFFF"/>
          <w:lang w:eastAsia="zh-CN" w:bidi="ar-SA"/>
        </w:rPr>
        <w:t>住房和城乡建设局</w:t>
      </w:r>
      <w:r>
        <w:rPr>
          <w:rFonts w:hint="default" w:ascii="Times New Roman" w:hAnsi="Times New Roman" w:eastAsia="仿宋_GB2312" w:cs="Times New Roman"/>
          <w:color w:val="333333"/>
          <w:sz w:val="32"/>
          <w:szCs w:val="32"/>
          <w:shd w:val="clear" w:color="auto" w:fill="FFFFFF"/>
          <w:lang w:bidi="ar-SA"/>
        </w:rPr>
        <w:t>质量监督站下属事业单位1个</w:t>
      </w:r>
      <w:r>
        <w:rPr>
          <w:rFonts w:hint="default" w:ascii="Times New Roman" w:hAnsi="Times New Roman" w:eastAsia="仿宋_GB2312" w:cs="Times New Roman"/>
          <w:color w:val="333333"/>
          <w:sz w:val="32"/>
          <w:szCs w:val="32"/>
          <w:shd w:val="clear" w:color="auto" w:fill="FFFFFF"/>
          <w:lang w:eastAsia="zh-CN" w:bidi="ar-SA"/>
        </w:rPr>
        <w:t>。</w:t>
      </w:r>
    </w:p>
    <w:p w14:paraId="697880B3">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color w:val="333333"/>
          <w:sz w:val="32"/>
          <w:szCs w:val="32"/>
          <w:shd w:val="clear" w:color="auto" w:fill="FFFFFF"/>
          <w:lang w:bidi="ar-SA"/>
        </w:rPr>
        <w:t>纳入20</w:t>
      </w:r>
      <w:r>
        <w:rPr>
          <w:rFonts w:hint="default" w:ascii="Times New Roman" w:hAnsi="Times New Roman" w:eastAsia="仿宋_GB2312" w:cs="Times New Roman"/>
          <w:color w:val="333333"/>
          <w:sz w:val="32"/>
          <w:szCs w:val="32"/>
          <w:shd w:val="clear" w:color="auto" w:fill="FFFFFF"/>
          <w:lang w:val="en-US" w:eastAsia="zh-CN" w:bidi="ar-SA"/>
        </w:rPr>
        <w:t>25</w:t>
      </w:r>
      <w:r>
        <w:rPr>
          <w:rFonts w:hint="default" w:ascii="Times New Roman" w:hAnsi="Times New Roman" w:eastAsia="仿宋_GB2312" w:cs="Times New Roman"/>
          <w:color w:val="333333"/>
          <w:sz w:val="32"/>
          <w:szCs w:val="32"/>
          <w:shd w:val="clear" w:color="auto" w:fill="FFFFFF"/>
          <w:lang w:bidi="ar-SA"/>
        </w:rPr>
        <w:t>年部门决算范围：</w:t>
      </w:r>
    </w:p>
    <w:p w14:paraId="547BE57B">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color w:val="333333"/>
          <w:sz w:val="32"/>
          <w:szCs w:val="32"/>
          <w:shd w:val="clear" w:color="auto" w:fill="FFFFFF"/>
          <w:lang w:bidi="ar-SA"/>
        </w:rPr>
        <w:t>1.壤塘县住房和城乡建设局质量监督站</w:t>
      </w:r>
    </w:p>
    <w:p w14:paraId="507BEBC9">
      <w:pPr>
        <w:pageBreakBefore w:val="0"/>
        <w:widowControl/>
        <w:kinsoku/>
        <w:wordWrap/>
        <w:overflowPunct/>
        <w:topLinePunct w:val="0"/>
        <w:bidi w:val="0"/>
        <w:spacing w:line="576" w:lineRule="exact"/>
        <w:ind w:left="0" w:leftChars="0" w:firstLine="640" w:firstLineChars="200"/>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14:paraId="682789CB">
      <w:pPr>
        <w:pStyle w:val="3"/>
        <w:pageBreakBefore w:val="0"/>
        <w:kinsoku/>
        <w:wordWrap/>
        <w:overflowPunct/>
        <w:topLinePunct w:val="0"/>
        <w:bidi w:val="0"/>
        <w:spacing w:before="0" w:after="0" w:line="576" w:lineRule="exact"/>
        <w:jc w:val="center"/>
        <w:rPr>
          <w:rFonts w:hint="default" w:ascii="Times New Roman" w:hAnsi="Times New Roman" w:eastAsia="方正小标宋简体" w:cs="Times New Roman"/>
          <w:b w:val="0"/>
          <w:color w:val="auto"/>
          <w:highlight w:val="none"/>
        </w:rPr>
      </w:pPr>
      <w:bookmarkStart w:id="13" w:name="_Toc23454"/>
      <w:bookmarkStart w:id="14" w:name="_Toc15396602"/>
      <w:bookmarkStart w:id="15" w:name="_Toc15377204"/>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3"/>
      <w:bookmarkEnd w:id="14"/>
      <w:bookmarkEnd w:id="15"/>
    </w:p>
    <w:p w14:paraId="44901567">
      <w:pPr>
        <w:rPr>
          <w:rFonts w:hint="default"/>
        </w:rPr>
      </w:pPr>
    </w:p>
    <w:p w14:paraId="168E1B1C">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32"/>
          <w:rFonts w:hint="default" w:ascii="Times New Roman" w:hAnsi="Times New Roman" w:eastAsia="黑体" w:cs="Times New Roman"/>
          <w:b w:val="0"/>
          <w:color w:val="auto"/>
          <w:highlight w:val="none"/>
        </w:rPr>
      </w:pPr>
      <w:bookmarkStart w:id="16" w:name="_Toc18329"/>
      <w:bookmarkStart w:id="17" w:name="_Toc15396603"/>
      <w:bookmarkStart w:id="18"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2"/>
          <w:rFonts w:hint="default" w:ascii="Times New Roman" w:hAnsi="Times New Roman" w:eastAsia="黑体" w:cs="Times New Roman"/>
          <w:b w:val="0"/>
          <w:color w:val="auto"/>
          <w:highlight w:val="none"/>
        </w:rPr>
        <w:t>入支出决算总体情况说明</w:t>
      </w:r>
      <w:bookmarkEnd w:id="16"/>
      <w:bookmarkEnd w:id="17"/>
      <w:bookmarkEnd w:id="18"/>
    </w:p>
    <w:p w14:paraId="318D5D21">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年度收</w:t>
      </w:r>
      <w:r>
        <w:rPr>
          <w:rFonts w:hint="default" w:ascii="Times New Roman" w:hAnsi="Times New Roman" w:eastAsia="仿宋_GB2312" w:cs="Times New Roman"/>
          <w:color w:val="000000"/>
          <w:sz w:val="32"/>
          <w:szCs w:val="32"/>
          <w:lang w:eastAsia="zh-CN"/>
        </w:rPr>
        <w:t>入总计</w:t>
      </w:r>
      <w:r>
        <w:rPr>
          <w:rFonts w:hint="default" w:ascii="Times New Roman" w:hAnsi="Times New Roman" w:eastAsia="仿宋_GB2312" w:cs="Times New Roman"/>
          <w:color w:val="000000"/>
          <w:sz w:val="32"/>
          <w:szCs w:val="32"/>
          <w:lang w:val="en-US" w:eastAsia="zh-CN"/>
        </w:rPr>
        <w:t>453.84</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w:t>
      </w:r>
      <w:r>
        <w:rPr>
          <w:rFonts w:hint="default" w:ascii="Times New Roman" w:hAnsi="Times New Roman" w:eastAsia="仿宋_GB2312" w:cs="Times New Roman"/>
          <w:color w:val="000000"/>
          <w:sz w:val="32"/>
          <w:szCs w:val="32"/>
        </w:rPr>
        <w:t>总计</w:t>
      </w:r>
      <w:r>
        <w:rPr>
          <w:rFonts w:hint="default" w:ascii="Times New Roman" w:hAnsi="Times New Roman" w:eastAsia="仿宋_GB2312" w:cs="Times New Roman"/>
          <w:color w:val="000000"/>
          <w:sz w:val="32"/>
          <w:szCs w:val="32"/>
          <w:lang w:val="en-US" w:eastAsia="zh-CN"/>
        </w:rPr>
        <w:t>453.84</w:t>
      </w:r>
      <w:r>
        <w:rPr>
          <w:rFonts w:hint="default" w:ascii="Times New Roman" w:hAnsi="Times New Roman" w:eastAsia="仿宋_GB2312" w:cs="Times New Roman"/>
          <w:color w:val="000000"/>
          <w:sz w:val="32"/>
          <w:szCs w:val="32"/>
        </w:rPr>
        <w:t>万元。与202</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年相比，收</w:t>
      </w:r>
      <w:r>
        <w:rPr>
          <w:rFonts w:hint="default" w:ascii="Times New Roman" w:hAnsi="Times New Roman" w:eastAsia="仿宋_GB2312" w:cs="Times New Roman"/>
          <w:color w:val="000000"/>
          <w:sz w:val="32"/>
          <w:szCs w:val="32"/>
          <w:lang w:eastAsia="zh-CN"/>
        </w:rPr>
        <w:t>入增加</w:t>
      </w:r>
      <w:r>
        <w:rPr>
          <w:rFonts w:hint="default" w:ascii="Times New Roman" w:hAnsi="Times New Roman" w:eastAsia="仿宋_GB2312" w:cs="Times New Roman"/>
          <w:color w:val="000000"/>
          <w:sz w:val="32"/>
          <w:szCs w:val="32"/>
          <w:lang w:val="en-US" w:eastAsia="zh-CN"/>
        </w:rPr>
        <w:t>32.36万元，增长7.68%；</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w:t>
      </w:r>
      <w:r>
        <w:rPr>
          <w:rFonts w:hint="default" w:ascii="Times New Roman" w:hAnsi="Times New Roman" w:eastAsia="仿宋_GB2312" w:cs="Times New Roman"/>
          <w:color w:val="000000"/>
          <w:sz w:val="32"/>
          <w:szCs w:val="32"/>
          <w:lang w:val="en-US" w:eastAsia="zh-CN"/>
        </w:rPr>
        <w:t>增加32.36</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val="en-US" w:eastAsia="zh-CN"/>
        </w:rPr>
        <w:t>增长7.68</w:t>
      </w:r>
      <w:r>
        <w:rPr>
          <w:rFonts w:hint="default" w:ascii="Times New Roman" w:hAnsi="Times New Roman" w:eastAsia="仿宋_GB2312" w:cs="Times New Roman"/>
          <w:color w:val="000000"/>
          <w:sz w:val="32"/>
          <w:szCs w:val="32"/>
        </w:rPr>
        <w:t>%。主要变动原因</w:t>
      </w:r>
      <w:r>
        <w:rPr>
          <w:rFonts w:hint="default" w:ascii="Times New Roman" w:hAnsi="Times New Roman" w:eastAsia="仿宋_GB2312" w:cs="Times New Roman"/>
          <w:color w:val="000000"/>
          <w:sz w:val="32"/>
          <w:szCs w:val="32"/>
          <w:lang w:val="en-US" w:eastAsia="zh-CN"/>
        </w:rPr>
        <w:t>是</w:t>
      </w:r>
      <w:r>
        <w:rPr>
          <w:rFonts w:hint="default" w:ascii="Times New Roman" w:hAnsi="Times New Roman" w:eastAsia="仿宋_GB2312" w:cs="Times New Roman"/>
          <w:color w:val="000000"/>
          <w:sz w:val="32"/>
          <w:szCs w:val="32"/>
          <w:lang w:eastAsia="zh-CN"/>
        </w:rPr>
        <w:t>人员变动。</w:t>
      </w:r>
    </w:p>
    <w:p w14:paraId="37BBAC3A">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rPr>
      </w:pPr>
      <w:bookmarkStart w:id="19" w:name="_Toc2240"/>
      <w:bookmarkStart w:id="20" w:name="_Toc24201"/>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bookmarkEnd w:id="19"/>
      <w:bookmarkEnd w:id="20"/>
    </w:p>
    <w:p w14:paraId="64505092">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cs="Times New Roma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411480</wp:posOffset>
            </wp:positionH>
            <wp:positionV relativeFrom="paragraph">
              <wp:posOffset>168275</wp:posOffset>
            </wp:positionV>
            <wp:extent cx="4840605" cy="2560320"/>
            <wp:effectExtent l="4445" t="5080" r="12700" b="635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D099FDF">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1" w:name="_Toc15377206"/>
      <w:bookmarkStart w:id="22" w:name="_Toc23749"/>
      <w:bookmarkStart w:id="23" w:name="_Toc15396604"/>
    </w:p>
    <w:p w14:paraId="6F99798C">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14:paraId="4F3608CC">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14:paraId="0E6FAC8F">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14:paraId="1FB32FCF">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14:paraId="3367565D">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default" w:ascii="Times New Roman" w:hAnsi="Times New Roman" w:eastAsia="黑体" w:cs="Times New Roman"/>
          <w:color w:val="auto"/>
          <w:sz w:val="32"/>
          <w:szCs w:val="32"/>
          <w:highlight w:val="none"/>
          <w:lang w:eastAsia="zh-CN"/>
        </w:rPr>
      </w:pPr>
    </w:p>
    <w:p w14:paraId="001C2804">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14:paraId="16F744F3">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二、收入决算情况说明</w:t>
      </w:r>
      <w:bookmarkEnd w:id="21"/>
      <w:bookmarkEnd w:id="22"/>
      <w:bookmarkEnd w:id="23"/>
    </w:p>
    <w:p w14:paraId="3FE499DB">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24" w:name="_Toc7076"/>
      <w:bookmarkStart w:id="25" w:name="_Toc24026"/>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本年收入合计</w:t>
      </w:r>
      <w:r>
        <w:rPr>
          <w:rFonts w:hint="default" w:ascii="Times New Roman" w:hAnsi="Times New Roman" w:eastAsia="仿宋_GB2312" w:cs="Times New Roman"/>
          <w:color w:val="auto"/>
          <w:sz w:val="32"/>
          <w:szCs w:val="32"/>
          <w:highlight w:val="none"/>
          <w:lang w:val="en-US" w:eastAsia="zh-CN"/>
        </w:rPr>
        <w:t>453.84</w:t>
      </w:r>
      <w:r>
        <w:rPr>
          <w:rFonts w:hint="default" w:ascii="Times New Roman" w:hAnsi="Times New Roman" w:eastAsia="仿宋_GB2312" w:cs="Times New Roman"/>
          <w:color w:val="auto"/>
          <w:sz w:val="32"/>
          <w:szCs w:val="32"/>
          <w:highlight w:val="none"/>
        </w:rPr>
        <w:t>万元，其中：一般公共预算财政拨款收入</w:t>
      </w:r>
      <w:r>
        <w:rPr>
          <w:rFonts w:hint="default" w:ascii="Times New Roman" w:hAnsi="Times New Roman" w:eastAsia="仿宋_GB2312" w:cs="Times New Roman"/>
          <w:color w:val="auto"/>
          <w:sz w:val="32"/>
          <w:szCs w:val="32"/>
          <w:highlight w:val="none"/>
          <w:lang w:val="en-US" w:eastAsia="zh-CN"/>
        </w:rPr>
        <w:t>421.48</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（图2：收入决算结构图）（饼状图）</w:t>
      </w:r>
      <w:bookmarkEnd w:id="24"/>
      <w:bookmarkEnd w:id="25"/>
    </w:p>
    <w:p w14:paraId="6696F398">
      <w:pPr>
        <w:pStyle w:val="2"/>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542290</wp:posOffset>
            </wp:positionH>
            <wp:positionV relativeFrom="paragraph">
              <wp:posOffset>60325</wp:posOffset>
            </wp:positionV>
            <wp:extent cx="4648835" cy="2190115"/>
            <wp:effectExtent l="4445" t="4445" r="13970" b="1524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7E6B788">
      <w:pPr>
        <w:pageBreakBefore w:val="0"/>
        <w:kinsoku/>
        <w:wordWrap/>
        <w:overflowPunct/>
        <w:topLinePunct w:val="0"/>
        <w:bidi w:val="0"/>
        <w:spacing w:line="576" w:lineRule="exact"/>
        <w:ind w:left="0" w:leftChars="0" w:firstLine="420" w:firstLineChars="200"/>
        <w:rPr>
          <w:rFonts w:hint="default" w:ascii="Times New Roman" w:hAnsi="Times New Roman" w:cs="Times New Roman"/>
          <w:lang w:eastAsia="zh-CN"/>
        </w:rPr>
      </w:pPr>
    </w:p>
    <w:p w14:paraId="25FF1472">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6" w:name="_Toc15396605"/>
      <w:bookmarkStart w:id="27" w:name="_Toc22635"/>
      <w:bookmarkStart w:id="28" w:name="_Toc15377207"/>
    </w:p>
    <w:p w14:paraId="3F01E8B4">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14:paraId="7725D3D5">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14:paraId="2919EB0A">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32"/>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2"/>
          <w:rFonts w:hint="default" w:ascii="Times New Roman" w:hAnsi="Times New Roman" w:eastAsia="黑体" w:cs="Times New Roman"/>
          <w:b w:val="0"/>
          <w:color w:val="auto"/>
          <w:highlight w:val="none"/>
        </w:rPr>
        <w:t>出决算情况说明</w:t>
      </w:r>
      <w:bookmarkEnd w:id="26"/>
      <w:bookmarkEnd w:id="27"/>
      <w:bookmarkEnd w:id="28"/>
    </w:p>
    <w:p w14:paraId="4DED105E">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仿宋_GB2312" w:cs="Times New Roman"/>
          <w:b/>
          <w:color w:val="auto"/>
          <w:sz w:val="32"/>
          <w:szCs w:val="32"/>
          <w:highlight w:val="none"/>
        </w:rPr>
      </w:pPr>
      <w:bookmarkStart w:id="29" w:name="_Toc23479"/>
      <w:bookmarkStart w:id="30" w:name="_Toc26569"/>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本年支出合计</w:t>
      </w:r>
      <w:r>
        <w:rPr>
          <w:rFonts w:hint="default" w:ascii="Times New Roman" w:hAnsi="Times New Roman" w:eastAsia="仿宋_GB2312" w:cs="Times New Roman"/>
          <w:color w:val="auto"/>
          <w:sz w:val="32"/>
          <w:szCs w:val="32"/>
          <w:highlight w:val="none"/>
          <w:lang w:val="en-US" w:eastAsia="zh-CN"/>
        </w:rPr>
        <w:t>435.84</w:t>
      </w:r>
      <w:r>
        <w:rPr>
          <w:rFonts w:hint="default" w:ascii="Times New Roman" w:hAnsi="Times New Roman" w:eastAsia="仿宋_GB2312" w:cs="Times New Roman"/>
          <w:color w:val="auto"/>
          <w:sz w:val="32"/>
          <w:szCs w:val="32"/>
          <w:highlight w:val="none"/>
        </w:rPr>
        <w:t>万元，其中：基本支出</w:t>
      </w:r>
      <w:r>
        <w:rPr>
          <w:rFonts w:hint="default" w:ascii="Times New Roman" w:hAnsi="Times New Roman" w:eastAsia="仿宋_GB2312" w:cs="Times New Roman"/>
          <w:color w:val="auto"/>
          <w:sz w:val="32"/>
          <w:szCs w:val="32"/>
          <w:highlight w:val="none"/>
          <w:lang w:val="en-US" w:eastAsia="zh-CN"/>
        </w:rPr>
        <w:t>435.84</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w:t>
      </w:r>
      <w:bookmarkEnd w:id="29"/>
      <w:bookmarkEnd w:id="30"/>
    </w:p>
    <w:p w14:paraId="1C7E35EB">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31" w:name="_Toc29575"/>
      <w:bookmarkStart w:id="32" w:name="_Toc28214"/>
      <w:r>
        <w:rPr>
          <w:rFonts w:hint="default" w:ascii="Times New Roman" w:hAnsi="Times New Roman" w:eastAsia="仿宋_GB2312" w:cs="Times New Roman"/>
          <w:color w:val="auto"/>
          <w:sz w:val="32"/>
          <w:szCs w:val="32"/>
          <w:highlight w:val="none"/>
          <w:lang w:eastAsia="zh-CN"/>
        </w:rPr>
        <w:t>（图3：支出决算结构图）（饼状图）</w:t>
      </w:r>
      <w:bookmarkEnd w:id="31"/>
      <w:bookmarkEnd w:id="32"/>
    </w:p>
    <w:p w14:paraId="17869266">
      <w:pPr>
        <w:pageBreakBefore w:val="0"/>
        <w:kinsoku/>
        <w:wordWrap/>
        <w:overflowPunct/>
        <w:topLinePunct w:val="0"/>
        <w:bidi w:val="0"/>
        <w:spacing w:line="576" w:lineRule="exact"/>
        <w:ind w:left="0" w:leftChars="0" w:firstLine="640" w:firstLineChars="200"/>
        <w:rPr>
          <w:rFonts w:hint="default" w:ascii="Times New Roman" w:hAnsi="Times New Roman" w:cs="Times New Roman"/>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447040</wp:posOffset>
            </wp:positionH>
            <wp:positionV relativeFrom="paragraph">
              <wp:posOffset>119380</wp:posOffset>
            </wp:positionV>
            <wp:extent cx="4697730" cy="2798445"/>
            <wp:effectExtent l="4445" t="4445" r="22225" b="16510"/>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0558215">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bookmarkStart w:id="33" w:name="_Toc15377208"/>
      <w:bookmarkStart w:id="34" w:name="_Toc5871"/>
      <w:bookmarkStart w:id="35" w:name="_Toc15396606"/>
    </w:p>
    <w:p w14:paraId="7E365892">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3B013F6F">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1A69D430">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6F36768A">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54E43A54">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4F5F3D2C">
      <w:pPr>
        <w:pageBreakBefore w:val="0"/>
        <w:kinsoku/>
        <w:wordWrap/>
        <w:overflowPunct/>
        <w:topLinePunct w:val="0"/>
        <w:bidi w:val="0"/>
        <w:spacing w:line="576" w:lineRule="exact"/>
        <w:outlineLvl w:val="1"/>
        <w:rPr>
          <w:rFonts w:hint="default" w:ascii="Times New Roman" w:hAnsi="Times New Roman" w:eastAsia="黑体" w:cs="Times New Roman"/>
          <w:color w:val="auto"/>
          <w:sz w:val="32"/>
          <w:szCs w:val="32"/>
          <w:highlight w:val="none"/>
        </w:rPr>
      </w:pPr>
    </w:p>
    <w:p w14:paraId="201BA3C3">
      <w:pPr>
        <w:pageBreakBefore w:val="0"/>
        <w:kinsoku/>
        <w:wordWrap/>
        <w:overflowPunct/>
        <w:topLinePunct w:val="0"/>
        <w:bidi w:val="0"/>
        <w:spacing w:line="576" w:lineRule="exact"/>
        <w:ind w:left="0" w:leftChars="0" w:firstLine="640" w:firstLineChars="200"/>
        <w:outlineLvl w:val="1"/>
        <w:rPr>
          <w:rStyle w:val="32"/>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四、财</w:t>
      </w:r>
      <w:r>
        <w:rPr>
          <w:rStyle w:val="32"/>
          <w:rFonts w:hint="default" w:ascii="Times New Roman" w:hAnsi="Times New Roman" w:eastAsia="黑体" w:cs="Times New Roman"/>
          <w:b w:val="0"/>
          <w:color w:val="auto"/>
          <w:highlight w:val="none"/>
        </w:rPr>
        <w:t>政拨款收入支出决算总体情况说明</w:t>
      </w:r>
      <w:bookmarkEnd w:id="33"/>
      <w:bookmarkEnd w:id="34"/>
      <w:bookmarkEnd w:id="35"/>
    </w:p>
    <w:p w14:paraId="5CD66F94">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年度收</w:t>
      </w:r>
      <w:r>
        <w:rPr>
          <w:rFonts w:hint="default" w:ascii="Times New Roman" w:hAnsi="Times New Roman" w:eastAsia="仿宋_GB2312" w:cs="Times New Roman"/>
          <w:color w:val="000000"/>
          <w:sz w:val="32"/>
          <w:szCs w:val="32"/>
          <w:lang w:eastAsia="zh-CN"/>
        </w:rPr>
        <w:t>入总计</w:t>
      </w:r>
      <w:r>
        <w:rPr>
          <w:rFonts w:hint="default" w:ascii="Times New Roman" w:hAnsi="Times New Roman" w:eastAsia="仿宋_GB2312" w:cs="Times New Roman"/>
          <w:color w:val="000000"/>
          <w:sz w:val="32"/>
          <w:szCs w:val="32"/>
          <w:lang w:val="en-US" w:eastAsia="zh-CN"/>
        </w:rPr>
        <w:t>453.84</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w:t>
      </w:r>
      <w:r>
        <w:rPr>
          <w:rFonts w:hint="default" w:ascii="Times New Roman" w:hAnsi="Times New Roman" w:eastAsia="仿宋_GB2312" w:cs="Times New Roman"/>
          <w:color w:val="000000"/>
          <w:sz w:val="32"/>
          <w:szCs w:val="32"/>
        </w:rPr>
        <w:t>总计</w:t>
      </w:r>
      <w:r>
        <w:rPr>
          <w:rFonts w:hint="default" w:ascii="Times New Roman" w:hAnsi="Times New Roman" w:eastAsia="仿宋_GB2312" w:cs="Times New Roman"/>
          <w:color w:val="000000"/>
          <w:sz w:val="32"/>
          <w:szCs w:val="32"/>
          <w:lang w:val="en-US" w:eastAsia="zh-CN"/>
        </w:rPr>
        <w:t>453.84</w:t>
      </w:r>
      <w:r>
        <w:rPr>
          <w:rFonts w:hint="default" w:ascii="Times New Roman" w:hAnsi="Times New Roman" w:eastAsia="仿宋_GB2312" w:cs="Times New Roman"/>
          <w:color w:val="000000"/>
          <w:sz w:val="32"/>
          <w:szCs w:val="32"/>
        </w:rPr>
        <w:t>万元。与202</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年相比，收</w:t>
      </w:r>
      <w:r>
        <w:rPr>
          <w:rFonts w:hint="default" w:ascii="Times New Roman" w:hAnsi="Times New Roman" w:eastAsia="仿宋_GB2312" w:cs="Times New Roman"/>
          <w:color w:val="000000"/>
          <w:sz w:val="32"/>
          <w:szCs w:val="32"/>
          <w:lang w:eastAsia="zh-CN"/>
        </w:rPr>
        <w:t>入增加</w:t>
      </w:r>
      <w:r>
        <w:rPr>
          <w:rFonts w:hint="default" w:ascii="Times New Roman" w:hAnsi="Times New Roman" w:eastAsia="仿宋_GB2312" w:cs="Times New Roman"/>
          <w:color w:val="000000"/>
          <w:sz w:val="32"/>
          <w:szCs w:val="32"/>
          <w:lang w:val="en-US" w:eastAsia="zh-CN"/>
        </w:rPr>
        <w:t>32.36万元，增长7.68%；</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出增加</w:t>
      </w:r>
      <w:r>
        <w:rPr>
          <w:rFonts w:hint="default" w:ascii="Times New Roman" w:hAnsi="Times New Roman" w:eastAsia="仿宋_GB2312" w:cs="Times New Roman"/>
          <w:color w:val="000000"/>
          <w:sz w:val="32"/>
          <w:szCs w:val="32"/>
          <w:lang w:val="en-US" w:eastAsia="zh-CN"/>
        </w:rPr>
        <w:t>32.36万元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增长7.68%</w:t>
      </w:r>
      <w:r>
        <w:rPr>
          <w:rFonts w:hint="default" w:ascii="Times New Roman" w:hAnsi="Times New Roman" w:eastAsia="仿宋_GB2312" w:cs="Times New Roman"/>
          <w:color w:val="000000"/>
          <w:sz w:val="32"/>
          <w:szCs w:val="32"/>
        </w:rPr>
        <w:t>。主要变动原因是</w:t>
      </w:r>
      <w:r>
        <w:rPr>
          <w:rFonts w:hint="default" w:ascii="Times New Roman" w:hAnsi="Times New Roman" w:eastAsia="仿宋_GB2312" w:cs="Times New Roman"/>
          <w:color w:val="000000"/>
          <w:sz w:val="32"/>
          <w:szCs w:val="32"/>
          <w:lang w:eastAsia="zh-CN"/>
        </w:rPr>
        <w:t>人员</w:t>
      </w:r>
      <w:r>
        <w:rPr>
          <w:rFonts w:hint="default" w:ascii="Times New Roman" w:hAnsi="Times New Roman" w:eastAsia="仿宋_GB2312" w:cs="Times New Roman"/>
          <w:color w:val="000000"/>
          <w:sz w:val="32"/>
          <w:szCs w:val="32"/>
          <w:lang w:val="en-US" w:eastAsia="zh-CN"/>
        </w:rPr>
        <w:t>变动</w:t>
      </w:r>
      <w:r>
        <w:rPr>
          <w:rFonts w:hint="default" w:ascii="Times New Roman" w:hAnsi="Times New Roman" w:eastAsia="仿宋_GB2312" w:cs="Times New Roman"/>
          <w:color w:val="000000"/>
          <w:sz w:val="32"/>
          <w:szCs w:val="32"/>
          <w:lang w:eastAsia="zh-CN"/>
        </w:rPr>
        <w:t>。</w:t>
      </w:r>
    </w:p>
    <w:p w14:paraId="41E7B255">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14:paraId="6A91DAAE">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2336" behindDoc="1" locked="0" layoutInCell="1" allowOverlap="1">
            <wp:simplePos x="0" y="0"/>
            <wp:positionH relativeFrom="column">
              <wp:posOffset>411480</wp:posOffset>
            </wp:positionH>
            <wp:positionV relativeFrom="paragraph">
              <wp:posOffset>172085</wp:posOffset>
            </wp:positionV>
            <wp:extent cx="4911725" cy="2298065"/>
            <wp:effectExtent l="4445" t="4445" r="17780" b="2159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602429D">
      <w:pPr>
        <w:pStyle w:val="2"/>
        <w:pageBreakBefore w:val="0"/>
        <w:kinsoku/>
        <w:wordWrap/>
        <w:overflowPunct/>
        <w:topLinePunct w:val="0"/>
        <w:bidi w:val="0"/>
        <w:spacing w:line="576" w:lineRule="exact"/>
        <w:ind w:left="0" w:leftChars="0" w:firstLine="420" w:firstLineChars="200"/>
        <w:rPr>
          <w:rFonts w:hint="default" w:ascii="Times New Roman" w:hAnsi="Times New Roman" w:cs="Times New Roman"/>
          <w:lang w:val="en-US" w:eastAsia="zh-CN"/>
        </w:rPr>
      </w:pPr>
    </w:p>
    <w:p w14:paraId="2A049455">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bookmarkStart w:id="36" w:name="_Toc15396607"/>
      <w:bookmarkStart w:id="37" w:name="_Toc15459"/>
      <w:bookmarkStart w:id="38" w:name="_Toc15377209"/>
    </w:p>
    <w:p w14:paraId="01420282">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75657704">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132EE8D2">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5F8E7D94">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14:paraId="720AC349">
      <w:pPr>
        <w:pageBreakBefore w:val="0"/>
        <w:kinsoku/>
        <w:wordWrap/>
        <w:overflowPunct/>
        <w:topLinePunct w:val="0"/>
        <w:bidi w:val="0"/>
        <w:spacing w:line="576" w:lineRule="exact"/>
        <w:ind w:left="0" w:leftChars="0" w:firstLine="640" w:firstLineChars="200"/>
        <w:outlineLvl w:val="1"/>
        <w:rPr>
          <w:rStyle w:val="32"/>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般公共预算财政拨款支出决算情况说明</w:t>
      </w:r>
      <w:bookmarkEnd w:id="36"/>
      <w:bookmarkEnd w:id="37"/>
      <w:bookmarkEnd w:id="38"/>
    </w:p>
    <w:p w14:paraId="7F56D4D8">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bookmarkStart w:id="39"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39"/>
    </w:p>
    <w:p w14:paraId="76ECBEB1">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一般公共预算财政拨款支出</w:t>
      </w:r>
      <w:r>
        <w:rPr>
          <w:rFonts w:hint="default" w:ascii="Times New Roman" w:hAnsi="Times New Roman" w:eastAsia="仿宋_GB2312" w:cs="Times New Roman"/>
          <w:color w:val="auto"/>
          <w:sz w:val="32"/>
          <w:szCs w:val="32"/>
          <w:highlight w:val="none"/>
          <w:lang w:val="en-US" w:eastAsia="zh-CN"/>
        </w:rPr>
        <w:t>453.84</w:t>
      </w:r>
      <w:r>
        <w:rPr>
          <w:rFonts w:hint="default" w:ascii="Times New Roman" w:hAnsi="Times New Roman" w:eastAsia="仿宋_GB2312" w:cs="Times New Roman"/>
          <w:color w:val="auto"/>
          <w:sz w:val="32"/>
          <w:szCs w:val="32"/>
          <w:highlight w:val="none"/>
        </w:rPr>
        <w:t>万元，占本年支出合计的</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%。与</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相比，一般公共预算财政拨款</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lang w:val="en-US" w:eastAsia="zh-CN"/>
        </w:rPr>
        <w:t>增加32.36</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val="en-US" w:eastAsia="zh-CN"/>
        </w:rPr>
        <w:t>增长7.68</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000000"/>
          <w:sz w:val="32"/>
          <w:szCs w:val="32"/>
          <w:lang w:eastAsia="zh-CN"/>
        </w:rPr>
        <w:t>人员</w:t>
      </w:r>
      <w:r>
        <w:rPr>
          <w:rFonts w:hint="default" w:ascii="Times New Roman" w:hAnsi="Times New Roman" w:eastAsia="仿宋_GB2312" w:cs="Times New Roman"/>
          <w:color w:val="000000"/>
          <w:sz w:val="32"/>
          <w:szCs w:val="32"/>
          <w:lang w:val="en-US" w:eastAsia="zh-CN"/>
        </w:rPr>
        <w:t>变动</w:t>
      </w:r>
      <w:r>
        <w:rPr>
          <w:rFonts w:hint="default" w:ascii="Times New Roman" w:hAnsi="Times New Roman" w:eastAsia="仿宋_GB2312" w:cs="Times New Roman"/>
          <w:color w:val="000000"/>
          <w:sz w:val="32"/>
          <w:szCs w:val="32"/>
          <w:lang w:eastAsia="zh-CN"/>
        </w:rPr>
        <w:t>。</w:t>
      </w:r>
    </w:p>
    <w:p w14:paraId="5F413394">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14:paraId="6ECE5A08">
      <w:pPr>
        <w:pStyle w:val="2"/>
        <w:pageBreakBefore w:val="0"/>
        <w:kinsoku/>
        <w:wordWrap/>
        <w:overflowPunct/>
        <w:topLinePunct w:val="0"/>
        <w:bidi w:val="0"/>
        <w:spacing w:line="576" w:lineRule="exact"/>
        <w:ind w:left="0" w:leftChars="0" w:firstLine="640" w:firstLineChars="200"/>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3360" behindDoc="1" locked="0" layoutInCell="1" allowOverlap="1">
            <wp:simplePos x="0" y="0"/>
            <wp:positionH relativeFrom="column">
              <wp:posOffset>422910</wp:posOffset>
            </wp:positionH>
            <wp:positionV relativeFrom="paragraph">
              <wp:posOffset>100330</wp:posOffset>
            </wp:positionV>
            <wp:extent cx="4982210" cy="2477135"/>
            <wp:effectExtent l="4445" t="4445" r="23495" b="1397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EF0C3B5">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bookmarkStart w:id="40" w:name="_Toc15377211"/>
    </w:p>
    <w:p w14:paraId="53F4C186">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5E48EAAF">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19CF7A2B">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3B78AD6E">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7B678B64">
      <w:pPr>
        <w:pageBreakBefore w:val="0"/>
        <w:kinsoku/>
        <w:wordWrap/>
        <w:overflowPunct/>
        <w:topLinePunct w:val="0"/>
        <w:bidi w:val="0"/>
        <w:spacing w:line="576" w:lineRule="exact"/>
        <w:outlineLvl w:val="2"/>
        <w:rPr>
          <w:rFonts w:hint="default" w:ascii="Times New Roman" w:hAnsi="Times New Roman" w:eastAsia="楷体_GB2312" w:cs="Times New Roman"/>
          <w:b/>
          <w:color w:val="auto"/>
          <w:sz w:val="32"/>
          <w:szCs w:val="32"/>
          <w:highlight w:val="none"/>
        </w:rPr>
      </w:pPr>
    </w:p>
    <w:p w14:paraId="497B7CB0">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（二）一般公共预算财政拨款支出决算结构情况</w:t>
      </w:r>
      <w:bookmarkEnd w:id="40"/>
    </w:p>
    <w:p w14:paraId="3F2AD29F">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color w:val="auto"/>
          <w:sz w:val="32"/>
          <w:szCs w:val="32"/>
          <w:highlight w:val="none"/>
        </w:rPr>
        <w:t>20</w:t>
      </w:r>
      <w:r>
        <w:rPr>
          <w:rFonts w:hint="default" w:ascii="Times New Roman" w:hAnsi="Times New Roman" w:eastAsia="仿宋_GB2312" w:cs="Times New Roman"/>
          <w:b w:val="0"/>
          <w:bCs w:val="0"/>
          <w:color w:val="auto"/>
          <w:sz w:val="32"/>
          <w:szCs w:val="32"/>
          <w:highlight w:val="none"/>
          <w:lang w:val="en-US" w:eastAsia="zh-CN"/>
        </w:rPr>
        <w:t>25</w:t>
      </w:r>
      <w:r>
        <w:rPr>
          <w:rFonts w:hint="default" w:ascii="Times New Roman" w:hAnsi="Times New Roman" w:eastAsia="仿宋_GB2312" w:cs="Times New Roman"/>
          <w:b w:val="0"/>
          <w:bCs w:val="0"/>
          <w:color w:val="auto"/>
          <w:sz w:val="32"/>
          <w:szCs w:val="32"/>
          <w:highlight w:val="none"/>
        </w:rPr>
        <w:t>年一般公共预算财政拨款支出</w:t>
      </w:r>
      <w:r>
        <w:rPr>
          <w:rFonts w:hint="default" w:ascii="Times New Roman" w:hAnsi="Times New Roman" w:eastAsia="仿宋_GB2312" w:cs="Times New Roman"/>
          <w:b w:val="0"/>
          <w:bCs w:val="0"/>
          <w:color w:val="auto"/>
          <w:sz w:val="32"/>
          <w:szCs w:val="32"/>
          <w:highlight w:val="none"/>
          <w:lang w:val="en-US" w:eastAsia="zh-CN"/>
        </w:rPr>
        <w:t>453.84</w:t>
      </w:r>
      <w:r>
        <w:rPr>
          <w:rFonts w:hint="default" w:ascii="Times New Roman" w:hAnsi="Times New Roman" w:eastAsia="仿宋_GB2312" w:cs="Times New Roman"/>
          <w:b w:val="0"/>
          <w:bCs w:val="0"/>
          <w:color w:val="auto"/>
          <w:sz w:val="32"/>
          <w:szCs w:val="32"/>
          <w:highlight w:val="none"/>
        </w:rPr>
        <w:t>万元，主要用于以下方面</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社会保障和就业支出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67.45</w:t>
      </w:r>
      <w:r>
        <w:rPr>
          <w:rFonts w:hint="default" w:ascii="Times New Roman" w:hAnsi="Times New Roman" w:eastAsia="仿宋_GB2312" w:cs="Times New Roman"/>
          <w:b w:val="0"/>
          <w:bCs w:val="0"/>
          <w:color w:val="auto"/>
          <w:sz w:val="32"/>
          <w:szCs w:val="32"/>
          <w:highlight w:val="none"/>
        </w:rPr>
        <w:t>万元</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占</w:t>
      </w:r>
      <w:r>
        <w:rPr>
          <w:rFonts w:hint="default" w:ascii="Times New Roman" w:hAnsi="Times New Roman" w:eastAsia="仿宋_GB2312" w:cs="Times New Roman"/>
          <w:b w:val="0"/>
          <w:bCs w:val="0"/>
          <w:color w:val="auto"/>
          <w:sz w:val="32"/>
          <w:szCs w:val="32"/>
          <w:highlight w:val="none"/>
          <w:lang w:val="en-US" w:eastAsia="zh-CN"/>
        </w:rPr>
        <w:t>14.86</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val="en-US" w:eastAsia="zh-CN"/>
        </w:rPr>
        <w:t>卫生健康支出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22.63万元，占4.99%；城乡社区支出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330.06万元，占72.73%；住房保障支出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33.7万元，占7.42%。</w:t>
      </w:r>
    </w:p>
    <w:p w14:paraId="3EEFE644">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（图6：一般公共预算财政拨款支出决算结构）（饼状图）</w:t>
      </w:r>
    </w:p>
    <w:p w14:paraId="6BAC586E">
      <w:pPr>
        <w:pStyle w:val="2"/>
        <w:pageBreakBefore w:val="0"/>
        <w:kinsoku/>
        <w:wordWrap/>
        <w:overflowPunct/>
        <w:topLinePunct w:val="0"/>
        <w:bidi w:val="0"/>
        <w:spacing w:line="576" w:lineRule="exact"/>
        <w:ind w:left="0" w:leftChars="0" w:firstLine="420" w:firstLineChars="200"/>
        <w:rPr>
          <w:rFonts w:hint="default" w:ascii="Times New Roman" w:hAnsi="Times New Roman" w:cs="Times New Roman"/>
          <w:lang w:val="en-US" w:eastAsia="zh-CN"/>
        </w:rPr>
      </w:pPr>
    </w:p>
    <w:p w14:paraId="123AD4E6">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bookmarkStart w:id="41" w:name="_Toc15377212"/>
    </w:p>
    <w:p w14:paraId="6AF768BE">
      <w:pPr>
        <w:pageBreakBefore w:val="0"/>
        <w:kinsoku/>
        <w:wordWrap/>
        <w:overflowPunct/>
        <w:topLinePunct w:val="0"/>
        <w:bidi w:val="0"/>
        <w:spacing w:line="576" w:lineRule="exact"/>
        <w:ind w:left="0" w:leftChars="0" w:firstLine="640"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4384" behindDoc="1" locked="0" layoutInCell="1" allowOverlap="1">
            <wp:simplePos x="0" y="0"/>
            <wp:positionH relativeFrom="column">
              <wp:posOffset>410845</wp:posOffset>
            </wp:positionH>
            <wp:positionV relativeFrom="paragraph">
              <wp:posOffset>-539115</wp:posOffset>
            </wp:positionV>
            <wp:extent cx="4608830" cy="2656205"/>
            <wp:effectExtent l="4445" t="5080" r="15875" b="571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6AE123C6">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2A43E3D4">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744B23D1">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57A56C89">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p>
    <w:p w14:paraId="769A3F4C">
      <w:pPr>
        <w:pageBreakBefore w:val="0"/>
        <w:kinsoku/>
        <w:wordWrap/>
        <w:overflowPunct/>
        <w:topLinePunct w:val="0"/>
        <w:bidi w:val="0"/>
        <w:spacing w:line="576" w:lineRule="exact"/>
        <w:outlineLvl w:val="2"/>
        <w:rPr>
          <w:rFonts w:hint="default" w:ascii="Times New Roman" w:hAnsi="Times New Roman" w:eastAsia="楷体_GB2312" w:cs="Times New Roman"/>
          <w:b/>
          <w:color w:val="auto"/>
          <w:sz w:val="32"/>
          <w:szCs w:val="32"/>
          <w:highlight w:val="none"/>
        </w:rPr>
      </w:pPr>
    </w:p>
    <w:p w14:paraId="59973B7A">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（三）一般公共预算财政拨款支出决算具体情况</w:t>
      </w:r>
      <w:bookmarkEnd w:id="41"/>
    </w:p>
    <w:p w14:paraId="32475434">
      <w:pPr>
        <w:pageBreakBefore w:val="0"/>
        <w:kinsoku/>
        <w:wordWrap/>
        <w:overflowPunct/>
        <w:topLinePunct w:val="0"/>
        <w:bidi w:val="0"/>
        <w:spacing w:line="576" w:lineRule="exact"/>
        <w:ind w:left="0" w:leftChars="0" w:firstLine="640" w:firstLineChars="200"/>
        <w:outlineLvl w:val="2"/>
        <w:rPr>
          <w:rFonts w:hint="default" w:ascii="Times New Roman" w:hAnsi="Times New Roman" w:eastAsia="仿宋_GB2312" w:cs="Times New Roman"/>
          <w:b w:val="0"/>
          <w:bCs/>
          <w:color w:val="auto"/>
          <w:sz w:val="32"/>
          <w:szCs w:val="32"/>
          <w:highlight w:val="none"/>
        </w:rPr>
      </w:pPr>
      <w:bookmarkStart w:id="42" w:name="_Toc15377214"/>
      <w:bookmarkStart w:id="43" w:name="_Toc15396608"/>
      <w:r>
        <w:rPr>
          <w:rFonts w:hint="default" w:ascii="Times New Roman" w:hAnsi="Times New Roman" w:eastAsia="仿宋_GB2312" w:cs="Times New Roman"/>
          <w:b w:val="0"/>
          <w:bCs/>
          <w:color w:val="auto"/>
          <w:sz w:val="32"/>
          <w:szCs w:val="32"/>
          <w:highlight w:val="none"/>
          <w:lang w:eastAsia="zh-CN"/>
        </w:rPr>
        <w:t>202</w:t>
      </w:r>
      <w:r>
        <w:rPr>
          <w:rFonts w:hint="default" w:ascii="Times New Roman" w:hAnsi="Times New Roman" w:eastAsia="仿宋_GB2312" w:cs="Times New Roman"/>
          <w:b w:val="0"/>
          <w:bCs/>
          <w:color w:val="auto"/>
          <w:sz w:val="32"/>
          <w:szCs w:val="32"/>
          <w:highlight w:val="none"/>
          <w:lang w:val="en-US" w:eastAsia="zh-CN"/>
        </w:rPr>
        <w:t>5</w:t>
      </w:r>
      <w:r>
        <w:rPr>
          <w:rFonts w:hint="default" w:ascii="Times New Roman" w:hAnsi="Times New Roman" w:eastAsia="仿宋_GB2312" w:cs="Times New Roman"/>
          <w:b w:val="0"/>
          <w:bCs/>
          <w:color w:val="auto"/>
          <w:sz w:val="32"/>
          <w:szCs w:val="32"/>
          <w:highlight w:val="none"/>
        </w:rPr>
        <w:t>年</w:t>
      </w:r>
      <w:r>
        <w:rPr>
          <w:rFonts w:hint="default" w:ascii="Times New Roman" w:hAnsi="Times New Roman" w:eastAsia="仿宋_GB2312" w:cs="Times New Roman"/>
          <w:b w:val="0"/>
          <w:bCs/>
          <w:color w:val="auto"/>
          <w:sz w:val="32"/>
          <w:szCs w:val="32"/>
          <w:highlight w:val="none"/>
          <w:lang w:eastAsia="zh-CN"/>
        </w:rPr>
        <w:t>度一</w:t>
      </w:r>
      <w:r>
        <w:rPr>
          <w:rFonts w:hint="default" w:ascii="Times New Roman" w:hAnsi="Times New Roman" w:eastAsia="仿宋_GB2312" w:cs="Times New Roman"/>
          <w:b w:val="0"/>
          <w:bCs/>
          <w:color w:val="auto"/>
          <w:sz w:val="32"/>
          <w:szCs w:val="32"/>
          <w:highlight w:val="none"/>
        </w:rPr>
        <w:t>般公共预算支出决算数为</w:t>
      </w:r>
      <w:r>
        <w:rPr>
          <w:rFonts w:hint="default" w:ascii="Times New Roman" w:hAnsi="Times New Roman" w:eastAsia="仿宋_GB2312" w:cs="Times New Roman"/>
          <w:b w:val="0"/>
          <w:bCs/>
          <w:color w:val="auto"/>
          <w:sz w:val="32"/>
          <w:szCs w:val="32"/>
          <w:highlight w:val="none"/>
          <w:lang w:val="en-US" w:eastAsia="zh-CN"/>
        </w:rPr>
        <w:t>453.84万元</w:t>
      </w:r>
      <w:r>
        <w:rPr>
          <w:rFonts w:hint="default" w:ascii="Times New Roman" w:hAnsi="Times New Roman" w:eastAsia="仿宋_GB2312" w:cs="Times New Roman"/>
          <w:b w:val="0"/>
          <w:bCs/>
          <w:color w:val="auto"/>
          <w:sz w:val="32"/>
          <w:szCs w:val="32"/>
          <w:highlight w:val="none"/>
        </w:rPr>
        <w:t>，</w:t>
      </w:r>
      <w:r>
        <w:rPr>
          <w:rStyle w:val="20"/>
          <w:rFonts w:hint="default" w:ascii="Times New Roman" w:hAnsi="Times New Roman" w:eastAsia="仿宋_GB2312" w:cs="Times New Roman"/>
          <w:b w:val="0"/>
          <w:bCs/>
          <w:color w:val="auto"/>
          <w:sz w:val="32"/>
          <w:szCs w:val="32"/>
          <w:highlight w:val="none"/>
        </w:rPr>
        <w:t>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%。其中：</w:t>
      </w:r>
    </w:p>
    <w:p w14:paraId="67C1FB54">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color w:val="auto"/>
          <w:sz w:val="32"/>
          <w:szCs w:val="32"/>
          <w:highlight w:val="none"/>
        </w:rPr>
      </w:pPr>
      <w:r>
        <w:rPr>
          <w:rStyle w:val="20"/>
          <w:rFonts w:hint="default" w:ascii="Times New Roman" w:hAnsi="Times New Roman" w:eastAsia="仿宋_GB2312" w:cs="Times New Roman"/>
          <w:b w:val="0"/>
          <w:bCs/>
          <w:color w:val="auto"/>
          <w:sz w:val="32"/>
          <w:szCs w:val="32"/>
          <w:highlight w:val="none"/>
          <w:lang w:val="en-US" w:eastAsia="zh-CN"/>
        </w:rPr>
        <w:t>1</w:t>
      </w:r>
      <w:r>
        <w:rPr>
          <w:rStyle w:val="20"/>
          <w:rFonts w:hint="default" w:ascii="Times New Roman" w:hAnsi="Times New Roman" w:eastAsia="仿宋_GB2312" w:cs="Times New Roman"/>
          <w:b w:val="0"/>
          <w:bCs/>
          <w:color w:val="auto"/>
          <w:sz w:val="32"/>
          <w:szCs w:val="32"/>
          <w:highlight w:val="none"/>
        </w:rPr>
        <w:t>.社会保障和就业支出</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类）行政事业单位养老支出（款） 机关事业单位基本养老保险缴费支出（项）</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 xml:space="preserve"> 支出决算为</w:t>
      </w:r>
      <w:r>
        <w:rPr>
          <w:rStyle w:val="20"/>
          <w:rFonts w:hint="default" w:ascii="Times New Roman" w:hAnsi="Times New Roman" w:eastAsia="仿宋_GB2312" w:cs="Times New Roman"/>
          <w:b w:val="0"/>
          <w:bCs/>
          <w:color w:val="auto"/>
          <w:sz w:val="32"/>
          <w:szCs w:val="32"/>
          <w:highlight w:val="none"/>
          <w:lang w:val="en-US" w:eastAsia="zh-CN"/>
        </w:rPr>
        <w:t>44.97</w:t>
      </w:r>
      <w:r>
        <w:rPr>
          <w:rStyle w:val="20"/>
          <w:rFonts w:hint="default" w:ascii="Times New Roman" w:hAnsi="Times New Roman" w:eastAsia="仿宋_GB2312" w:cs="Times New Roman"/>
          <w:b w:val="0"/>
          <w:bCs/>
          <w:color w:val="auto"/>
          <w:sz w:val="32"/>
          <w:szCs w:val="32"/>
          <w:highlight w:val="none"/>
        </w:rPr>
        <w:t>万元，完成预算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%，机关事业单位职业年金缴费支出（项）</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default" w:ascii="Times New Roman" w:hAnsi="Times New Roman" w:eastAsia="仿宋_GB2312" w:cs="Times New Roman"/>
          <w:b w:val="0"/>
          <w:bCs/>
          <w:color w:val="auto"/>
          <w:sz w:val="32"/>
          <w:szCs w:val="32"/>
          <w:highlight w:val="none"/>
          <w:lang w:val="en-US" w:eastAsia="zh-CN"/>
        </w:rPr>
        <w:t>22.48万元，</w:t>
      </w:r>
      <w:r>
        <w:rPr>
          <w:rStyle w:val="20"/>
          <w:rFonts w:hint="default" w:ascii="Times New Roman" w:hAnsi="Times New Roman" w:eastAsia="仿宋_GB2312" w:cs="Times New Roman"/>
          <w:b w:val="0"/>
          <w:bCs/>
          <w:color w:val="auto"/>
          <w:sz w:val="32"/>
          <w:szCs w:val="32"/>
          <w:highlight w:val="none"/>
        </w:rPr>
        <w:t>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%，决算数等于预算数。</w:t>
      </w:r>
    </w:p>
    <w:p w14:paraId="283CF7B3">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color w:val="auto"/>
          <w:sz w:val="32"/>
          <w:szCs w:val="32"/>
          <w:highlight w:val="none"/>
        </w:rPr>
      </w:pPr>
      <w:r>
        <w:rPr>
          <w:rStyle w:val="20"/>
          <w:rFonts w:hint="default" w:ascii="Times New Roman" w:hAnsi="Times New Roman" w:eastAsia="仿宋_GB2312" w:cs="Times New Roman"/>
          <w:b w:val="0"/>
          <w:bCs/>
          <w:color w:val="auto"/>
          <w:sz w:val="32"/>
          <w:szCs w:val="32"/>
          <w:highlight w:val="none"/>
          <w:lang w:val="en-US" w:eastAsia="zh-CN"/>
        </w:rPr>
        <w:t>2</w:t>
      </w:r>
      <w:r>
        <w:rPr>
          <w:rStyle w:val="20"/>
          <w:rFonts w:hint="default" w:ascii="Times New Roman" w:hAnsi="Times New Roman" w:eastAsia="仿宋_GB2312" w:cs="Times New Roman"/>
          <w:b w:val="0"/>
          <w:bCs/>
          <w:color w:val="auto"/>
          <w:sz w:val="32"/>
          <w:szCs w:val="32"/>
          <w:highlight w:val="none"/>
        </w:rPr>
        <w:t>.卫生健康支出</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类）行政事业单位医疗（款）事业单位医疗（项）</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default" w:ascii="Times New Roman" w:hAnsi="Times New Roman" w:eastAsia="仿宋_GB2312" w:cs="Times New Roman"/>
          <w:b w:val="0"/>
          <w:bCs/>
          <w:color w:val="auto"/>
          <w:sz w:val="32"/>
          <w:szCs w:val="32"/>
          <w:highlight w:val="none"/>
          <w:lang w:val="en-US" w:eastAsia="zh-CN"/>
        </w:rPr>
        <w:t>19.03万元，</w:t>
      </w:r>
      <w:r>
        <w:rPr>
          <w:rStyle w:val="20"/>
          <w:rFonts w:hint="default" w:ascii="Times New Roman" w:hAnsi="Times New Roman" w:eastAsia="仿宋_GB2312" w:cs="Times New Roman"/>
          <w:b w:val="0"/>
          <w:bCs/>
          <w:color w:val="auto"/>
          <w:sz w:val="32"/>
          <w:szCs w:val="32"/>
          <w:highlight w:val="none"/>
        </w:rPr>
        <w:t>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其他行政事业单位医疗支出（项）</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default" w:ascii="Times New Roman" w:hAnsi="Times New Roman" w:eastAsia="仿宋_GB2312" w:cs="Times New Roman"/>
          <w:b w:val="0"/>
          <w:bCs/>
          <w:color w:val="auto"/>
          <w:sz w:val="32"/>
          <w:szCs w:val="32"/>
          <w:highlight w:val="none"/>
          <w:lang w:val="en-US" w:eastAsia="zh-CN"/>
        </w:rPr>
        <w:t>3.59万元，</w:t>
      </w:r>
      <w:r>
        <w:rPr>
          <w:rStyle w:val="20"/>
          <w:rFonts w:hint="default" w:ascii="Times New Roman" w:hAnsi="Times New Roman" w:eastAsia="仿宋_GB2312" w:cs="Times New Roman"/>
          <w:b w:val="0"/>
          <w:bCs/>
          <w:color w:val="auto"/>
          <w:sz w:val="32"/>
          <w:szCs w:val="32"/>
          <w:highlight w:val="none"/>
        </w:rPr>
        <w:t>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%，决算数等于预算数。</w:t>
      </w:r>
    </w:p>
    <w:p w14:paraId="62911572">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color w:val="auto"/>
          <w:sz w:val="32"/>
          <w:szCs w:val="32"/>
          <w:highlight w:val="none"/>
        </w:rPr>
      </w:pPr>
      <w:r>
        <w:rPr>
          <w:rStyle w:val="20"/>
          <w:rFonts w:hint="default" w:ascii="Times New Roman" w:hAnsi="Times New Roman" w:eastAsia="仿宋_GB2312" w:cs="Times New Roman"/>
          <w:b w:val="0"/>
          <w:bCs/>
          <w:color w:val="auto"/>
          <w:sz w:val="32"/>
          <w:szCs w:val="32"/>
          <w:highlight w:val="none"/>
          <w:lang w:val="en-US" w:eastAsia="zh-CN"/>
        </w:rPr>
        <w:t>3</w:t>
      </w:r>
      <w:r>
        <w:rPr>
          <w:rStyle w:val="20"/>
          <w:rFonts w:hint="default" w:ascii="Times New Roman" w:hAnsi="Times New Roman" w:eastAsia="仿宋_GB2312" w:cs="Times New Roman"/>
          <w:b w:val="0"/>
          <w:bCs/>
          <w:color w:val="auto"/>
          <w:sz w:val="32"/>
          <w:szCs w:val="32"/>
          <w:highlight w:val="none"/>
        </w:rPr>
        <w:t>.城乡社区支出</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类）城乡社区管理事务（款）机关服务</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项）</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default" w:ascii="Times New Roman" w:hAnsi="Times New Roman" w:eastAsia="仿宋_GB2312" w:cs="Times New Roman"/>
          <w:b w:val="0"/>
          <w:bCs/>
          <w:color w:val="auto"/>
          <w:sz w:val="32"/>
          <w:szCs w:val="32"/>
          <w:highlight w:val="none"/>
          <w:lang w:val="en-US" w:eastAsia="zh-CN"/>
        </w:rPr>
        <w:t>330.06万元，</w:t>
      </w:r>
      <w:r>
        <w:rPr>
          <w:rStyle w:val="20"/>
          <w:rFonts w:hint="default" w:ascii="Times New Roman" w:hAnsi="Times New Roman" w:eastAsia="仿宋_GB2312" w:cs="Times New Roman"/>
          <w:b w:val="0"/>
          <w:bCs/>
          <w:color w:val="auto"/>
          <w:sz w:val="32"/>
          <w:szCs w:val="32"/>
          <w:highlight w:val="none"/>
        </w:rPr>
        <w:t>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%，决算数等于预算数。</w:t>
      </w:r>
    </w:p>
    <w:p w14:paraId="3AB43EF8">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color w:val="auto"/>
          <w:sz w:val="32"/>
          <w:szCs w:val="32"/>
          <w:highlight w:val="none"/>
        </w:rPr>
      </w:pPr>
      <w:r>
        <w:rPr>
          <w:rStyle w:val="20"/>
          <w:rFonts w:hint="default" w:ascii="Times New Roman" w:hAnsi="Times New Roman" w:eastAsia="仿宋_GB2312" w:cs="Times New Roman"/>
          <w:b w:val="0"/>
          <w:bCs/>
          <w:color w:val="auto"/>
          <w:kern w:val="2"/>
          <w:sz w:val="32"/>
          <w:szCs w:val="32"/>
          <w:highlight w:val="none"/>
          <w:lang w:val="en-US" w:eastAsia="zh-CN" w:bidi="ar-SA"/>
        </w:rPr>
        <w:t>4.住房保障支出</w:t>
      </w:r>
      <w:r>
        <w:rPr>
          <w:rStyle w:val="20"/>
          <w:rFonts w:hint="default" w:ascii="Times New Roman" w:hAnsi="Times New Roman" w:eastAsia="仿宋_GB2312" w:cs="Times New Roman"/>
          <w:b w:val="0"/>
          <w:bCs/>
          <w:color w:val="auto"/>
          <w:sz w:val="32"/>
          <w:szCs w:val="32"/>
          <w:highlight w:val="none"/>
        </w:rPr>
        <w:t>（类）住房改革支出（款）住房公积金</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项）</w:t>
      </w:r>
      <w:r>
        <w:rPr>
          <w:rStyle w:val="20"/>
          <w:rFonts w:hint="default" w:ascii="Times New Roman" w:hAnsi="Times New Roman" w:eastAsia="仿宋_GB2312" w:cs="Times New Roman"/>
          <w:b w:val="0"/>
          <w:bCs/>
          <w:color w:val="auto"/>
          <w:sz w:val="32"/>
          <w:szCs w:val="32"/>
          <w:highlight w:val="none"/>
          <w:lang w:eastAsia="zh-CN"/>
        </w:rPr>
        <w:t>：</w:t>
      </w:r>
      <w:r>
        <w:rPr>
          <w:rStyle w:val="20"/>
          <w:rFonts w:hint="default" w:ascii="Times New Roman" w:hAnsi="Times New Roman" w:eastAsia="仿宋_GB2312" w:cs="Times New Roman"/>
          <w:b w:val="0"/>
          <w:bCs/>
          <w:color w:val="auto"/>
          <w:sz w:val="32"/>
          <w:szCs w:val="32"/>
          <w:highlight w:val="none"/>
        </w:rPr>
        <w:t>支出决算为</w:t>
      </w:r>
      <w:r>
        <w:rPr>
          <w:rStyle w:val="20"/>
          <w:rFonts w:hint="default" w:ascii="Times New Roman" w:hAnsi="Times New Roman" w:eastAsia="仿宋_GB2312" w:cs="Times New Roman"/>
          <w:b w:val="0"/>
          <w:bCs/>
          <w:color w:val="auto"/>
          <w:sz w:val="32"/>
          <w:szCs w:val="32"/>
          <w:highlight w:val="none"/>
          <w:lang w:val="en-US" w:eastAsia="zh-CN"/>
        </w:rPr>
        <w:t>33.7万元，</w:t>
      </w:r>
      <w:r>
        <w:rPr>
          <w:rStyle w:val="20"/>
          <w:rFonts w:hint="default" w:ascii="Times New Roman" w:hAnsi="Times New Roman" w:eastAsia="仿宋_GB2312" w:cs="Times New Roman"/>
          <w:b w:val="0"/>
          <w:bCs/>
          <w:color w:val="auto"/>
          <w:sz w:val="32"/>
          <w:szCs w:val="32"/>
          <w:highlight w:val="none"/>
        </w:rPr>
        <w:t>完成预算</w:t>
      </w:r>
      <w:r>
        <w:rPr>
          <w:rStyle w:val="20"/>
          <w:rFonts w:hint="default" w:ascii="Times New Roman" w:hAnsi="Times New Roman" w:eastAsia="仿宋_GB2312" w:cs="Times New Roman"/>
          <w:b w:val="0"/>
          <w:bCs/>
          <w:color w:val="auto"/>
          <w:sz w:val="32"/>
          <w:szCs w:val="32"/>
          <w:highlight w:val="none"/>
          <w:lang w:val="en-US" w:eastAsia="zh-CN"/>
        </w:rPr>
        <w:t>100</w:t>
      </w:r>
      <w:r>
        <w:rPr>
          <w:rStyle w:val="20"/>
          <w:rFonts w:hint="default" w:ascii="Times New Roman" w:hAnsi="Times New Roman" w:eastAsia="仿宋_GB2312" w:cs="Times New Roman"/>
          <w:b w:val="0"/>
          <w:bCs/>
          <w:color w:val="auto"/>
          <w:sz w:val="32"/>
          <w:szCs w:val="32"/>
          <w:highlight w:val="none"/>
        </w:rPr>
        <w:t>%，决算数等于预算数。</w:t>
      </w:r>
    </w:p>
    <w:p w14:paraId="57F85A58">
      <w:pPr>
        <w:pageBreakBefore w:val="0"/>
        <w:tabs>
          <w:tab w:val="right" w:pos="8306"/>
        </w:tabs>
        <w:kinsoku/>
        <w:wordWrap/>
        <w:overflowPunct/>
        <w:topLinePunct w:val="0"/>
        <w:bidi w:val="0"/>
        <w:spacing w:line="576" w:lineRule="exact"/>
        <w:ind w:left="0" w:leftChars="0" w:firstLine="640" w:firstLineChars="200"/>
        <w:outlineLvl w:val="1"/>
        <w:rPr>
          <w:rStyle w:val="32"/>
          <w:rFonts w:hint="default" w:ascii="Times New Roman" w:hAnsi="Times New Roman" w:cs="Times New Roman"/>
          <w:color w:val="auto"/>
          <w:highlight w:val="none"/>
        </w:rPr>
      </w:pPr>
      <w:bookmarkStart w:id="44" w:name="_Toc27760"/>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般公共预算财政拨款基本支出决算情况说明</w:t>
      </w:r>
      <w:bookmarkEnd w:id="42"/>
      <w:bookmarkEnd w:id="43"/>
      <w:bookmarkEnd w:id="44"/>
      <w:r>
        <w:rPr>
          <w:rStyle w:val="32"/>
          <w:rFonts w:hint="default" w:ascii="Times New Roman" w:hAnsi="Times New Roman" w:eastAsia="黑体" w:cs="Times New Roman"/>
          <w:b w:val="0"/>
          <w:color w:val="auto"/>
          <w:highlight w:val="none"/>
        </w:rPr>
        <w:tab/>
      </w:r>
    </w:p>
    <w:p w14:paraId="7D7A4A26">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2025年度一般公共预算财政拨款基本支出407.35万元，其中：</w:t>
      </w:r>
    </w:p>
    <w:p w14:paraId="069CA1E6">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人员经费377.55万元，主要包括：</w:t>
      </w:r>
      <w:r>
        <w:rPr>
          <w:rFonts w:hint="default" w:ascii="Times New Roman" w:hAnsi="Times New Roman" w:eastAsia="仿宋_GB2312" w:cs="Times New Roman"/>
          <w:color w:val="auto"/>
          <w:sz w:val="32"/>
          <w:szCs w:val="32"/>
          <w:highlight w:val="none"/>
        </w:rPr>
        <w:t>主要包括：</w:t>
      </w:r>
      <w:r>
        <w:rPr>
          <w:rFonts w:hint="default" w:ascii="Times New Roman" w:hAnsi="Times New Roman" w:eastAsia="仿宋_GB2312" w:cs="Times New Roman"/>
          <w:color w:val="000000"/>
          <w:sz w:val="32"/>
          <w:szCs w:val="32"/>
        </w:rPr>
        <w:t>主要包括：基本工资、津贴补贴、奖金、绩效工资、</w:t>
      </w:r>
      <w:r>
        <w:rPr>
          <w:rFonts w:hint="default" w:ascii="Times New Roman" w:hAnsi="Times New Roman" w:eastAsia="仿宋_GB2312" w:cs="Times New Roman"/>
          <w:color w:val="000000"/>
          <w:sz w:val="32"/>
          <w:szCs w:val="32"/>
          <w:lang w:val="en-US" w:eastAsia="zh-CN"/>
        </w:rPr>
        <w:t>伙食补助费</w:t>
      </w:r>
      <w:r>
        <w:rPr>
          <w:rFonts w:hint="default" w:ascii="Times New Roman" w:hAnsi="Times New Roman" w:eastAsia="仿宋_GB2312" w:cs="Times New Roman"/>
          <w:color w:val="000000"/>
          <w:sz w:val="32"/>
          <w:szCs w:val="32"/>
        </w:rPr>
        <w:t>、机关事业单位基本养老保险缴费、职业年金缴费、</w:t>
      </w:r>
      <w:r>
        <w:rPr>
          <w:rFonts w:hint="default" w:ascii="Times New Roman" w:hAnsi="Times New Roman" w:eastAsia="仿宋_GB2312" w:cs="Times New Roman"/>
          <w:color w:val="000000"/>
          <w:sz w:val="32"/>
          <w:szCs w:val="32"/>
          <w:lang w:val="en-US" w:eastAsia="zh-CN"/>
        </w:rPr>
        <w:t>职工基本医疗保险缴费</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公务员补助医疗缴费</w:t>
      </w:r>
      <w:r>
        <w:rPr>
          <w:rFonts w:hint="default" w:ascii="Times New Roman" w:hAnsi="Times New Roman" w:eastAsia="仿宋_GB2312" w:cs="Times New Roman"/>
          <w:color w:val="000000"/>
          <w:sz w:val="32"/>
          <w:szCs w:val="32"/>
        </w:rPr>
        <w:t>、其他社会保障缴费、其他工资福利支出、医疗费、奖励金、住房公积金、其他对个人和家庭的补助支出等</w:t>
      </w:r>
      <w:r>
        <w:rPr>
          <w:rFonts w:hint="default" w:ascii="Times New Roman" w:hAnsi="Times New Roman" w:eastAsia="仿宋_GB2312" w:cs="Times New Roman"/>
          <w:color w:val="000000"/>
          <w:sz w:val="32"/>
          <w:szCs w:val="32"/>
          <w:lang w:eastAsia="zh-CN"/>
        </w:rPr>
        <w:t>。</w:t>
      </w:r>
    </w:p>
    <w:p w14:paraId="1A95644D">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公用经费29.8万元，</w:t>
      </w:r>
      <w:r>
        <w:rPr>
          <w:rFonts w:hint="default" w:ascii="Times New Roman" w:hAnsi="Times New Roman" w:eastAsia="仿宋_GB2312" w:cs="Times New Roman"/>
          <w:color w:val="auto"/>
          <w:sz w:val="32"/>
          <w:szCs w:val="32"/>
          <w:highlight w:val="none"/>
        </w:rPr>
        <w:t>主要包括</w:t>
      </w:r>
      <w:r>
        <w:rPr>
          <w:rFonts w:hint="default" w:ascii="Times New Roman" w:hAnsi="Times New Roman" w:eastAsia="仿宋_GB2312" w:cs="Times New Roman"/>
          <w:color w:val="000000"/>
          <w:sz w:val="32"/>
          <w:szCs w:val="32"/>
          <w:highlight w:val="none"/>
        </w:rPr>
        <w:t>：办公费、印刷费、咨询费、手续费、水费、电费、邮电费、取暖费、物业管理费、差旅费、维修（护）费、租赁费、会议费、培训费、</w:t>
      </w:r>
      <w:r>
        <w:rPr>
          <w:rFonts w:hint="default" w:ascii="Times New Roman" w:hAnsi="Times New Roman" w:eastAsia="仿宋_GB2312" w:cs="Times New Roman"/>
          <w:color w:val="000000"/>
          <w:sz w:val="32"/>
          <w:szCs w:val="32"/>
          <w:highlight w:val="none"/>
          <w:lang w:eastAsia="zh-CN"/>
        </w:rPr>
        <w:t>专用材料费、被装购置费、专用燃料费、</w:t>
      </w:r>
      <w:r>
        <w:rPr>
          <w:rFonts w:hint="default" w:ascii="Times New Roman" w:hAnsi="Times New Roman" w:eastAsia="仿宋_GB2312" w:cs="Times New Roman"/>
          <w:color w:val="000000"/>
          <w:sz w:val="32"/>
          <w:szCs w:val="32"/>
          <w:highlight w:val="none"/>
        </w:rPr>
        <w:t>劳务费、委托业务费、工会经费、福利费、公务用车运行维护费、其他交通费、税金及附加费用、其他商品和服务支出。</w:t>
      </w:r>
    </w:p>
    <w:p w14:paraId="7D374B1A">
      <w:pPr>
        <w:pageBreakBefore w:val="0"/>
        <w:kinsoku/>
        <w:wordWrap/>
        <w:overflowPunct/>
        <w:topLinePunct w:val="0"/>
        <w:bidi w:val="0"/>
        <w:spacing w:line="576" w:lineRule="exact"/>
        <w:ind w:left="0" w:leftChars="0" w:firstLine="640" w:firstLineChars="200"/>
        <w:outlineLvl w:val="1"/>
        <w:rPr>
          <w:rStyle w:val="32"/>
          <w:rFonts w:hint="default" w:ascii="Times New Roman" w:hAnsi="Times New Roman" w:eastAsia="黑体" w:cs="Times New Roman"/>
          <w:b w:val="0"/>
          <w:color w:val="auto"/>
          <w:highlight w:val="none"/>
        </w:rPr>
      </w:pPr>
      <w:bookmarkStart w:id="45" w:name="_Toc15377215"/>
      <w:bookmarkStart w:id="46" w:name="_Toc15396609"/>
      <w:bookmarkStart w:id="47" w:name="_Toc19646"/>
      <w:r>
        <w:rPr>
          <w:rFonts w:hint="default" w:ascii="Times New Roman" w:hAnsi="Times New Roman" w:eastAsia="黑体" w:cs="Times New Roman"/>
          <w:color w:val="auto"/>
          <w:sz w:val="32"/>
          <w:szCs w:val="32"/>
          <w:highlight w:val="none"/>
        </w:rPr>
        <w:t>七、</w:t>
      </w:r>
      <w:r>
        <w:rPr>
          <w:rStyle w:val="32"/>
          <w:rFonts w:hint="default" w:ascii="Times New Roman" w:hAnsi="Times New Roman" w:eastAsia="黑体" w:cs="Times New Roman"/>
          <w:b w:val="0"/>
          <w:color w:val="auto"/>
          <w:highlight w:val="none"/>
        </w:rPr>
        <w:t>财政拨款</w:t>
      </w:r>
      <w:r>
        <w:rPr>
          <w:rStyle w:val="32"/>
          <w:rFonts w:hint="eastAsia" w:ascii="Times New Roman" w:hAnsi="Times New Roman" w:eastAsia="黑体" w:cs="Times New Roman"/>
          <w:color w:val="auto"/>
          <w:highlight w:val="none"/>
          <w:lang w:eastAsia="zh-CN"/>
        </w:rPr>
        <w:t>“</w:t>
      </w:r>
      <w:r>
        <w:rPr>
          <w:rStyle w:val="32"/>
          <w:rFonts w:hint="default" w:ascii="Times New Roman" w:hAnsi="Times New Roman" w:eastAsia="黑体" w:cs="Times New Roman"/>
          <w:b w:val="0"/>
          <w:color w:val="auto"/>
          <w:highlight w:val="none"/>
        </w:rPr>
        <w:t>三公</w:t>
      </w:r>
      <w:r>
        <w:rPr>
          <w:rStyle w:val="32"/>
          <w:rFonts w:hint="eastAsia" w:ascii="Times New Roman" w:hAnsi="Times New Roman" w:eastAsia="黑体" w:cs="Times New Roman"/>
          <w:b w:val="0"/>
          <w:color w:val="auto"/>
          <w:highlight w:val="none"/>
          <w:lang w:eastAsia="zh-CN"/>
        </w:rPr>
        <w:t>”</w:t>
      </w:r>
      <w:r>
        <w:rPr>
          <w:rStyle w:val="32"/>
          <w:rFonts w:hint="default" w:ascii="Times New Roman" w:hAnsi="Times New Roman" w:eastAsia="黑体" w:cs="Times New Roman"/>
          <w:b w:val="0"/>
          <w:color w:val="auto"/>
          <w:highlight w:val="none"/>
        </w:rPr>
        <w:t>经费支出决算情况说明</w:t>
      </w:r>
      <w:bookmarkEnd w:id="45"/>
      <w:bookmarkEnd w:id="46"/>
      <w:bookmarkEnd w:id="47"/>
    </w:p>
    <w:p w14:paraId="1D6C08AF">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bookmarkStart w:id="48"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48"/>
    </w:p>
    <w:p w14:paraId="334A0B62">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年“三公”经费财政拨款支出决算为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64D0A4BC">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bookmarkStart w:id="49"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49"/>
    </w:p>
    <w:p w14:paraId="11BE0ACA">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sz w:val="32"/>
          <w:szCs w:val="32"/>
          <w:highlight w:val="none"/>
        </w:rPr>
      </w:pPr>
      <w:bookmarkStart w:id="50" w:name="_Toc15396610"/>
      <w:bookmarkStart w:id="51" w:name="_Toc15377218"/>
      <w:r>
        <w:rPr>
          <w:rFonts w:hint="default" w:ascii="Times New Roman" w:hAnsi="Times New Roman" w:eastAsia="仿宋_GB2312" w:cs="Times New Roman"/>
          <w:b w:val="0"/>
          <w:bCs w:val="0"/>
          <w:color w:val="auto"/>
          <w:sz w:val="32"/>
          <w:szCs w:val="32"/>
          <w:highlight w:val="none"/>
        </w:rPr>
        <w:t>20</w:t>
      </w:r>
      <w:r>
        <w:rPr>
          <w:rFonts w:hint="default" w:ascii="Times New Roman" w:hAnsi="Times New Roman" w:eastAsia="仿宋_GB2312" w:cs="Times New Roman"/>
          <w:b w:val="0"/>
          <w:bCs w:val="0"/>
          <w:color w:val="auto"/>
          <w:sz w:val="32"/>
          <w:szCs w:val="32"/>
          <w:highlight w:val="none"/>
          <w:lang w:val="en-US" w:eastAsia="zh-CN"/>
        </w:rPr>
        <w:t>25</w:t>
      </w:r>
      <w:r>
        <w:rPr>
          <w:rFonts w:hint="default" w:ascii="Times New Roman" w:hAnsi="Times New Roman" w:eastAsia="仿宋_GB2312" w:cs="Times New Roman"/>
          <w:b w:val="0"/>
          <w:bCs w:val="0"/>
          <w:color w:val="auto"/>
          <w:sz w:val="32"/>
          <w:szCs w:val="32"/>
          <w:highlight w:val="none"/>
        </w:rPr>
        <w:t>年“三公”经费财政拨款支出决算中，因公出国（境）费支出决算</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%；公务用车购置及运行维护费</w:t>
      </w:r>
      <w:r>
        <w:rPr>
          <w:rFonts w:hint="default" w:ascii="Times New Roman" w:hAnsi="Times New Roman" w:eastAsia="仿宋_GB2312" w:cs="Times New Roman"/>
          <w:b w:val="0"/>
          <w:bCs w:val="0"/>
          <w:color w:val="auto"/>
          <w:sz w:val="32"/>
          <w:szCs w:val="32"/>
          <w:highlight w:val="none"/>
          <w:lang w:eastAsia="zh-CN"/>
        </w:rPr>
        <w:t>（公务用车购置费、公务用车运行费）</w:t>
      </w:r>
      <w:r>
        <w:rPr>
          <w:rFonts w:hint="default" w:ascii="Times New Roman" w:hAnsi="Times New Roman" w:eastAsia="仿宋_GB2312" w:cs="Times New Roman"/>
          <w:b w:val="0"/>
          <w:bCs w:val="0"/>
          <w:color w:val="auto"/>
          <w:sz w:val="32"/>
          <w:szCs w:val="32"/>
          <w:highlight w:val="none"/>
        </w:rPr>
        <w:t>支出决算</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%；公务接待费支出决算</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%。具体情况如下：</w:t>
      </w:r>
    </w:p>
    <w:p w14:paraId="248157D3">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auto"/>
          <w:sz w:val="32"/>
          <w:szCs w:val="32"/>
          <w:highlight w:val="none"/>
          <w:lang w:val="en-US" w:eastAsia="zh-CN"/>
        </w:rPr>
        <w:t xml:space="preserve">1. </w:t>
      </w:r>
      <w:r>
        <w:rPr>
          <w:rFonts w:hint="default" w:ascii="Times New Roman" w:hAnsi="Times New Roman" w:eastAsia="仿宋_GB2312" w:cs="Times New Roman"/>
          <w:b w:val="0"/>
          <w:bCs w:val="0"/>
          <w:color w:val="auto"/>
          <w:sz w:val="32"/>
          <w:szCs w:val="32"/>
          <w:highlight w:val="none"/>
        </w:rPr>
        <w:t>因公出国（境）经费支出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000000"/>
          <w:sz w:val="32"/>
          <w:szCs w:val="32"/>
        </w:rPr>
        <w:t>万元，</w:t>
      </w:r>
      <w:r>
        <w:rPr>
          <w:rStyle w:val="20"/>
          <w:rFonts w:hint="default" w:ascii="Times New Roman" w:hAnsi="Times New Roman" w:eastAsia="仿宋_GB2312" w:cs="Times New Roman"/>
          <w:b w:val="0"/>
          <w:bCs w:val="0"/>
          <w:color w:val="000000"/>
          <w:sz w:val="32"/>
          <w:szCs w:val="32"/>
        </w:rPr>
        <w:t>完成预算</w:t>
      </w:r>
      <w:r>
        <w:rPr>
          <w:rStyle w:val="20"/>
          <w:rFonts w:hint="default" w:ascii="Times New Roman" w:hAnsi="Times New Roman" w:eastAsia="仿宋_GB2312" w:cs="Times New Roman"/>
          <w:b w:val="0"/>
          <w:bCs w:val="0"/>
          <w:color w:val="000000"/>
          <w:sz w:val="32"/>
          <w:szCs w:val="32"/>
          <w:lang w:val="en-US" w:eastAsia="zh-CN"/>
        </w:rPr>
        <w:t>0</w:t>
      </w:r>
      <w:r>
        <w:rPr>
          <w:rStyle w:val="20"/>
          <w:rFonts w:hint="default" w:ascii="Times New Roman" w:hAnsi="Times New Roman" w:eastAsia="仿宋_GB2312" w:cs="Times New Roman"/>
          <w:b w:val="0"/>
          <w:bCs w:val="0"/>
          <w:color w:val="000000"/>
          <w:sz w:val="32"/>
          <w:szCs w:val="32"/>
        </w:rPr>
        <w:t>%。</w:t>
      </w:r>
      <w:r>
        <w:rPr>
          <w:rFonts w:hint="default" w:ascii="Times New Roman" w:hAnsi="Times New Roman" w:eastAsia="仿宋_GB2312" w:cs="Times New Roman"/>
          <w:b w:val="0"/>
          <w:bCs w:val="0"/>
          <w:color w:val="000000"/>
          <w:sz w:val="32"/>
          <w:szCs w:val="32"/>
        </w:rPr>
        <w:t>全年安排因公出国（境）团组</w:t>
      </w:r>
      <w:r>
        <w:rPr>
          <w:rFonts w:hint="default" w:ascii="Times New Roman" w:hAnsi="Times New Roman" w:eastAsia="仿宋_GB2312" w:cs="Times New Roman"/>
          <w:b w:val="0"/>
          <w:bCs w:val="0"/>
          <w:color w:val="000000"/>
          <w:sz w:val="32"/>
          <w:szCs w:val="32"/>
          <w:lang w:val="en-US" w:eastAsia="zh-CN"/>
        </w:rPr>
        <w:t>0</w:t>
      </w:r>
      <w:r>
        <w:rPr>
          <w:rFonts w:hint="default" w:ascii="Times New Roman" w:hAnsi="Times New Roman" w:eastAsia="仿宋_GB2312" w:cs="Times New Roman"/>
          <w:b w:val="0"/>
          <w:bCs w:val="0"/>
          <w:color w:val="000000"/>
          <w:sz w:val="32"/>
          <w:szCs w:val="32"/>
        </w:rPr>
        <w:t>次，出国（境）</w:t>
      </w:r>
      <w:r>
        <w:rPr>
          <w:rFonts w:hint="default" w:ascii="Times New Roman" w:hAnsi="Times New Roman" w:eastAsia="仿宋_GB2312" w:cs="Times New Roman"/>
          <w:b w:val="0"/>
          <w:bCs w:val="0"/>
          <w:color w:val="000000"/>
          <w:sz w:val="32"/>
          <w:szCs w:val="32"/>
          <w:lang w:val="en-US" w:eastAsia="zh-CN"/>
        </w:rPr>
        <w:t>0</w:t>
      </w:r>
      <w:r>
        <w:rPr>
          <w:rFonts w:hint="default" w:ascii="Times New Roman" w:hAnsi="Times New Roman" w:eastAsia="仿宋_GB2312" w:cs="Times New Roman"/>
          <w:b w:val="0"/>
          <w:bCs w:val="0"/>
          <w:color w:val="000000"/>
          <w:sz w:val="32"/>
          <w:szCs w:val="32"/>
        </w:rPr>
        <w:t>人。</w:t>
      </w:r>
    </w:p>
    <w:p w14:paraId="1A024CD1">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2.公务用车购置及运行维护费支出</w:t>
      </w:r>
      <w:r>
        <w:rPr>
          <w:rFonts w:hint="default" w:ascii="Times New Roman" w:hAnsi="Times New Roman" w:eastAsia="仿宋_GB2312" w:cs="Times New Roman"/>
          <w:b w:val="0"/>
          <w:bCs w:val="0"/>
          <w:color w:val="000000"/>
          <w:sz w:val="32"/>
          <w:szCs w:val="32"/>
        </w:rPr>
        <w:t>公务用车购置及运行维护费支出</w:t>
      </w:r>
      <w:r>
        <w:rPr>
          <w:rFonts w:hint="default" w:ascii="Times New Roman" w:hAnsi="Times New Roman" w:eastAsia="仿宋_GB2312" w:cs="Times New Roman"/>
          <w:b w:val="0"/>
          <w:bCs w:val="0"/>
          <w:color w:val="000000"/>
          <w:sz w:val="32"/>
          <w:szCs w:val="32"/>
          <w:lang w:val="en-US" w:eastAsia="zh-CN"/>
        </w:rPr>
        <w:t>0</w:t>
      </w:r>
      <w:r>
        <w:rPr>
          <w:rFonts w:hint="default" w:ascii="Times New Roman" w:hAnsi="Times New Roman" w:eastAsia="仿宋_GB2312" w:cs="Times New Roman"/>
          <w:b w:val="0"/>
          <w:bCs w:val="0"/>
          <w:color w:val="000000"/>
          <w:sz w:val="32"/>
          <w:szCs w:val="32"/>
        </w:rPr>
        <w:t>万元</w:t>
      </w:r>
      <w:r>
        <w:rPr>
          <w:rFonts w:hint="default" w:ascii="Times New Roman" w:hAnsi="Times New Roman" w:eastAsia="仿宋_GB2312" w:cs="Times New Roman"/>
          <w:b w:val="0"/>
          <w:bCs w:val="0"/>
          <w:color w:val="000000"/>
          <w:sz w:val="32"/>
          <w:szCs w:val="32"/>
          <w:lang w:eastAsia="zh-CN"/>
        </w:rPr>
        <w:t>，</w:t>
      </w:r>
      <w:r>
        <w:rPr>
          <w:rStyle w:val="20"/>
          <w:rFonts w:hint="default" w:ascii="Times New Roman" w:hAnsi="Times New Roman" w:eastAsia="仿宋_GB2312" w:cs="Times New Roman"/>
          <w:b w:val="0"/>
          <w:bCs w:val="0"/>
          <w:color w:val="000000"/>
          <w:sz w:val="32"/>
          <w:szCs w:val="32"/>
        </w:rPr>
        <w:t>完成预算</w:t>
      </w:r>
      <w:r>
        <w:rPr>
          <w:rStyle w:val="20"/>
          <w:rFonts w:hint="default" w:ascii="Times New Roman" w:hAnsi="Times New Roman" w:eastAsia="仿宋_GB2312" w:cs="Times New Roman"/>
          <w:b w:val="0"/>
          <w:bCs w:val="0"/>
          <w:color w:val="000000"/>
          <w:sz w:val="32"/>
          <w:szCs w:val="32"/>
          <w:lang w:val="en-US" w:eastAsia="zh-CN"/>
        </w:rPr>
        <w:t>0</w:t>
      </w:r>
      <w:r>
        <w:rPr>
          <w:rStyle w:val="20"/>
          <w:rFonts w:hint="default" w:ascii="Times New Roman" w:hAnsi="Times New Roman" w:eastAsia="仿宋_GB2312" w:cs="Times New Roman"/>
          <w:b w:val="0"/>
          <w:bCs w:val="0"/>
          <w:color w:val="000000"/>
          <w:sz w:val="32"/>
          <w:szCs w:val="32"/>
        </w:rPr>
        <w:t>%。</w:t>
      </w:r>
    </w:p>
    <w:p w14:paraId="70BE4099">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000000"/>
          <w:sz w:val="32"/>
          <w:szCs w:val="32"/>
          <w:lang w:bidi="ar-SA"/>
        </w:rPr>
      </w:pPr>
      <w:r>
        <w:rPr>
          <w:rFonts w:hint="default" w:ascii="Times New Roman" w:hAnsi="Times New Roman" w:eastAsia="仿宋_GB2312" w:cs="Times New Roman"/>
          <w:b w:val="0"/>
          <w:bCs w:val="0"/>
          <w:color w:val="auto"/>
          <w:sz w:val="32"/>
          <w:szCs w:val="32"/>
          <w:highlight w:val="none"/>
        </w:rPr>
        <w:t>其中：公务用车购置支出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万元。全年按规定更新购置公务用车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辆，其中：轿车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辆、金额</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万元，越野车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辆、金额</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万元，载客汽车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辆、金额</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截至20</w:t>
      </w:r>
      <w:r>
        <w:rPr>
          <w:rFonts w:hint="default" w:ascii="Times New Roman" w:hAnsi="Times New Roman" w:eastAsia="仿宋_GB2312" w:cs="Times New Roman"/>
          <w:b w:val="0"/>
          <w:bCs w:val="0"/>
          <w:color w:val="auto"/>
          <w:sz w:val="32"/>
          <w:szCs w:val="32"/>
          <w:highlight w:val="none"/>
          <w:lang w:val="en-US" w:eastAsia="zh-CN"/>
        </w:rPr>
        <w:t>22</w:t>
      </w:r>
      <w:r>
        <w:rPr>
          <w:rFonts w:hint="default" w:ascii="Times New Roman" w:hAnsi="Times New Roman" w:eastAsia="仿宋_GB2312" w:cs="Times New Roman"/>
          <w:b w:val="0"/>
          <w:bCs w:val="0"/>
          <w:color w:val="auto"/>
          <w:sz w:val="32"/>
          <w:szCs w:val="32"/>
          <w:highlight w:val="none"/>
        </w:rPr>
        <w:t>年12月底，单位共有公务用车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辆，其中：轿车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辆、越野车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辆、载客汽车</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辆。公务用车运行维护费支出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w:t>
      </w:r>
    </w:p>
    <w:p w14:paraId="651599F9">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3.公务接待费支出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w:t>
      </w:r>
      <w:r>
        <w:rPr>
          <w:rStyle w:val="20"/>
          <w:rFonts w:hint="default" w:ascii="Times New Roman" w:hAnsi="Times New Roman" w:eastAsia="仿宋_GB2312" w:cs="Times New Roman"/>
          <w:b w:val="0"/>
          <w:bCs w:val="0"/>
          <w:color w:val="auto"/>
          <w:sz w:val="32"/>
          <w:szCs w:val="32"/>
          <w:highlight w:val="none"/>
        </w:rPr>
        <w:t>完成预算</w:t>
      </w:r>
      <w:r>
        <w:rPr>
          <w:rStyle w:val="20"/>
          <w:rFonts w:hint="default" w:ascii="Times New Roman" w:hAnsi="Times New Roman" w:eastAsia="仿宋_GB2312" w:cs="Times New Roman"/>
          <w:b w:val="0"/>
          <w:bCs w:val="0"/>
          <w:color w:val="auto"/>
          <w:sz w:val="32"/>
          <w:szCs w:val="32"/>
          <w:highlight w:val="none"/>
          <w:lang w:val="en-US" w:eastAsia="zh-CN"/>
        </w:rPr>
        <w:t>0</w:t>
      </w:r>
      <w:r>
        <w:rPr>
          <w:rStyle w:val="20"/>
          <w:rFonts w:hint="default" w:ascii="Times New Roman" w:hAnsi="Times New Roman" w:eastAsia="仿宋_GB2312" w:cs="Times New Roman"/>
          <w:b w:val="0"/>
          <w:bCs w:val="0"/>
          <w:color w:val="auto"/>
          <w:sz w:val="32"/>
          <w:szCs w:val="32"/>
          <w:highlight w:val="none"/>
        </w:rPr>
        <w:t>%。</w:t>
      </w:r>
    </w:p>
    <w:p w14:paraId="757CE121">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4.</w:t>
      </w:r>
      <w:r>
        <w:rPr>
          <w:rFonts w:hint="default" w:ascii="Times New Roman" w:hAnsi="Times New Roman" w:eastAsia="仿宋_GB2312" w:cs="Times New Roman"/>
          <w:b w:val="0"/>
          <w:bCs w:val="0"/>
          <w:color w:val="auto"/>
          <w:sz w:val="32"/>
          <w:szCs w:val="32"/>
          <w:highlight w:val="none"/>
        </w:rPr>
        <w:t>国内公务接待支出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w:t>
      </w:r>
      <w:r>
        <w:rPr>
          <w:rStyle w:val="20"/>
          <w:rFonts w:hint="default" w:ascii="Times New Roman" w:hAnsi="Times New Roman" w:eastAsia="仿宋_GB2312" w:cs="Times New Roman"/>
          <w:b w:val="0"/>
          <w:bCs w:val="0"/>
          <w:color w:val="auto"/>
          <w:sz w:val="32"/>
          <w:szCs w:val="32"/>
          <w:highlight w:val="none"/>
        </w:rPr>
        <w:t>完成预算</w:t>
      </w:r>
      <w:r>
        <w:rPr>
          <w:rStyle w:val="20"/>
          <w:rFonts w:hint="default" w:ascii="Times New Roman" w:hAnsi="Times New Roman" w:eastAsia="仿宋_GB2312" w:cs="Times New Roman"/>
          <w:b w:val="0"/>
          <w:bCs w:val="0"/>
          <w:color w:val="auto"/>
          <w:sz w:val="32"/>
          <w:szCs w:val="32"/>
          <w:highlight w:val="none"/>
          <w:lang w:val="en-US" w:eastAsia="zh-CN"/>
        </w:rPr>
        <w:t>0</w:t>
      </w:r>
      <w:r>
        <w:rPr>
          <w:rStyle w:val="20"/>
          <w:rFonts w:hint="default" w:ascii="Times New Roman" w:hAnsi="Times New Roman" w:eastAsia="仿宋_GB2312" w:cs="Times New Roman"/>
          <w:b w:val="0"/>
          <w:bCs w:val="0"/>
          <w:color w:val="auto"/>
          <w:sz w:val="32"/>
          <w:szCs w:val="32"/>
          <w:highlight w:val="none"/>
        </w:rPr>
        <w:t>%。</w:t>
      </w:r>
    </w:p>
    <w:p w14:paraId="6ADFFB99">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rPr>
        <w:t>外事接待支出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w:t>
      </w:r>
      <w:r>
        <w:rPr>
          <w:rStyle w:val="20"/>
          <w:rFonts w:hint="default" w:ascii="Times New Roman" w:hAnsi="Times New Roman" w:eastAsia="仿宋_GB2312" w:cs="Times New Roman"/>
          <w:b w:val="0"/>
          <w:bCs w:val="0"/>
          <w:color w:val="auto"/>
          <w:sz w:val="32"/>
          <w:szCs w:val="32"/>
          <w:highlight w:val="none"/>
        </w:rPr>
        <w:t>完成预算</w:t>
      </w:r>
      <w:r>
        <w:rPr>
          <w:rStyle w:val="20"/>
          <w:rFonts w:hint="default" w:ascii="Times New Roman" w:hAnsi="Times New Roman" w:eastAsia="仿宋_GB2312" w:cs="Times New Roman"/>
          <w:b w:val="0"/>
          <w:bCs w:val="0"/>
          <w:color w:val="auto"/>
          <w:sz w:val="32"/>
          <w:szCs w:val="32"/>
          <w:highlight w:val="none"/>
          <w:lang w:val="en-US" w:eastAsia="zh-CN"/>
        </w:rPr>
        <w:t>0</w:t>
      </w:r>
      <w:r>
        <w:rPr>
          <w:rStyle w:val="20"/>
          <w:rFonts w:hint="default" w:ascii="Times New Roman" w:hAnsi="Times New Roman" w:eastAsia="仿宋_GB2312" w:cs="Times New Roman"/>
          <w:b w:val="0"/>
          <w:bCs w:val="0"/>
          <w:color w:val="auto"/>
          <w:sz w:val="32"/>
          <w:szCs w:val="32"/>
          <w:highlight w:val="none"/>
        </w:rPr>
        <w:t>%。</w:t>
      </w:r>
    </w:p>
    <w:p w14:paraId="452951A6">
      <w:pPr>
        <w:pageBreakBefore w:val="0"/>
        <w:kinsoku/>
        <w:wordWrap/>
        <w:overflowPunct/>
        <w:topLinePunct w:val="0"/>
        <w:bidi w:val="0"/>
        <w:spacing w:line="576" w:lineRule="exact"/>
        <w:ind w:left="0" w:leftChars="0" w:firstLine="640" w:firstLineChars="200"/>
        <w:outlineLvl w:val="1"/>
        <w:rPr>
          <w:rStyle w:val="32"/>
          <w:rFonts w:hint="default" w:ascii="Times New Roman" w:hAnsi="Times New Roman" w:eastAsia="黑体" w:cs="Times New Roman"/>
          <w:color w:val="auto"/>
          <w:highlight w:val="none"/>
        </w:rPr>
      </w:pPr>
      <w:bookmarkStart w:id="52" w:name="_Toc9570"/>
      <w:r>
        <w:rPr>
          <w:rFonts w:hint="default" w:ascii="Times New Roman" w:hAnsi="Times New Roman" w:eastAsia="黑体" w:cs="Times New Roman"/>
          <w:color w:val="auto"/>
          <w:sz w:val="32"/>
          <w:szCs w:val="32"/>
          <w:highlight w:val="none"/>
        </w:rPr>
        <w:t>八、</w:t>
      </w:r>
      <w:r>
        <w:rPr>
          <w:rStyle w:val="32"/>
          <w:rFonts w:hint="default" w:ascii="Times New Roman" w:hAnsi="Times New Roman" w:eastAsia="黑体" w:cs="Times New Roman"/>
          <w:b w:val="0"/>
          <w:color w:val="auto"/>
          <w:highlight w:val="none"/>
        </w:rPr>
        <w:t>政府性基金预算支出决算情况说明</w:t>
      </w:r>
      <w:bookmarkEnd w:id="50"/>
      <w:bookmarkEnd w:id="51"/>
      <w:bookmarkEnd w:id="52"/>
    </w:p>
    <w:p w14:paraId="305BC514">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政府性基金预算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05712B78">
      <w:pPr>
        <w:pageBreakBefore w:val="0"/>
        <w:numPr>
          <w:ilvl w:val="0"/>
          <w:numId w:val="0"/>
        </w:numPr>
        <w:kinsoku/>
        <w:wordWrap/>
        <w:overflowPunct/>
        <w:topLinePunct w:val="0"/>
        <w:bidi w:val="0"/>
        <w:spacing w:line="576" w:lineRule="exact"/>
        <w:ind w:left="0" w:leftChars="0" w:firstLine="640" w:firstLineChars="200"/>
        <w:outlineLvl w:val="1"/>
        <w:rPr>
          <w:rStyle w:val="32"/>
          <w:rFonts w:hint="default" w:ascii="Times New Roman" w:hAnsi="Times New Roman" w:eastAsia="黑体" w:cs="Times New Roman"/>
          <w:b w:val="0"/>
          <w:color w:val="auto"/>
          <w:highlight w:val="none"/>
        </w:rPr>
      </w:pPr>
      <w:bookmarkStart w:id="53" w:name="_Toc15396611"/>
      <w:bookmarkStart w:id="54" w:name="_Toc15377219"/>
      <w:bookmarkStart w:id="55" w:name="_Toc3580"/>
      <w:r>
        <w:rPr>
          <w:rStyle w:val="32"/>
          <w:rFonts w:hint="default" w:ascii="Times New Roman" w:hAnsi="Times New Roman" w:eastAsia="黑体" w:cs="Times New Roman"/>
          <w:b w:val="0"/>
          <w:color w:val="auto"/>
          <w:highlight w:val="none"/>
          <w:lang w:eastAsia="zh-CN"/>
        </w:rPr>
        <w:t>九、</w:t>
      </w:r>
      <w:r>
        <w:rPr>
          <w:rStyle w:val="32"/>
          <w:rFonts w:hint="default" w:ascii="Times New Roman" w:hAnsi="Times New Roman" w:eastAsia="黑体" w:cs="Times New Roman"/>
          <w:b w:val="0"/>
          <w:color w:val="auto"/>
          <w:highlight w:val="none"/>
        </w:rPr>
        <w:t>国有资本经营预算支出决算情况说明</w:t>
      </w:r>
      <w:bookmarkEnd w:id="53"/>
      <w:bookmarkEnd w:id="54"/>
      <w:bookmarkEnd w:id="55"/>
    </w:p>
    <w:p w14:paraId="517233B1">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42F6D24C">
      <w:pPr>
        <w:pageBreakBefore w:val="0"/>
        <w:numPr>
          <w:ilvl w:val="0"/>
          <w:numId w:val="0"/>
        </w:numPr>
        <w:kinsoku/>
        <w:wordWrap/>
        <w:overflowPunct/>
        <w:topLinePunct w:val="0"/>
        <w:bidi w:val="0"/>
        <w:spacing w:line="576" w:lineRule="exact"/>
        <w:ind w:left="0" w:leftChars="0" w:firstLine="640" w:firstLineChars="200"/>
        <w:outlineLvl w:val="1"/>
        <w:rPr>
          <w:rStyle w:val="32"/>
          <w:rFonts w:hint="default" w:ascii="Times New Roman" w:hAnsi="Times New Roman" w:eastAsia="黑体" w:cs="Times New Roman"/>
          <w:b w:val="0"/>
          <w:color w:val="auto"/>
          <w:highlight w:val="none"/>
        </w:rPr>
      </w:pPr>
      <w:bookmarkStart w:id="56" w:name="_Toc15377221"/>
      <w:bookmarkStart w:id="57" w:name="_Toc15396612"/>
      <w:bookmarkStart w:id="58" w:name="_Toc7948"/>
      <w:r>
        <w:rPr>
          <w:rStyle w:val="32"/>
          <w:rFonts w:hint="default" w:ascii="Times New Roman" w:hAnsi="Times New Roman" w:eastAsia="黑体" w:cs="Times New Roman"/>
          <w:b w:val="0"/>
          <w:color w:val="auto"/>
          <w:highlight w:val="none"/>
          <w:lang w:eastAsia="zh-CN"/>
        </w:rPr>
        <w:t>十、</w:t>
      </w:r>
      <w:r>
        <w:rPr>
          <w:rStyle w:val="32"/>
          <w:rFonts w:hint="default" w:ascii="Times New Roman" w:hAnsi="Times New Roman" w:eastAsia="黑体" w:cs="Times New Roman"/>
          <w:b w:val="0"/>
          <w:color w:val="auto"/>
          <w:highlight w:val="none"/>
        </w:rPr>
        <w:t>其他重要事项的情况说明</w:t>
      </w:r>
      <w:bookmarkEnd w:id="56"/>
      <w:bookmarkEnd w:id="57"/>
      <w:bookmarkEnd w:id="58"/>
    </w:p>
    <w:p w14:paraId="3FB060DA">
      <w:pPr>
        <w:pageBreakBefore w:val="0"/>
        <w:kinsoku/>
        <w:wordWrap/>
        <w:overflowPunct/>
        <w:topLinePunct w:val="0"/>
        <w:bidi w:val="0"/>
        <w:spacing w:line="576" w:lineRule="exact"/>
        <w:ind w:left="0" w:leftChars="0" w:firstLine="643" w:firstLineChars="200"/>
        <w:outlineLvl w:val="2"/>
        <w:rPr>
          <w:rFonts w:hint="default" w:ascii="Times New Roman" w:hAnsi="Times New Roman" w:eastAsia="楷体_GB2312" w:cs="Times New Roman"/>
          <w:b/>
          <w:color w:val="auto"/>
          <w:sz w:val="32"/>
          <w:szCs w:val="32"/>
          <w:highlight w:val="none"/>
        </w:rPr>
      </w:pPr>
      <w:bookmarkStart w:id="59" w:name="_Toc15377222"/>
      <w:r>
        <w:rPr>
          <w:rFonts w:hint="default" w:ascii="Times New Roman" w:hAnsi="Times New Roman" w:eastAsia="楷体_GB2312" w:cs="Times New Roman"/>
          <w:b/>
          <w:color w:val="auto"/>
          <w:sz w:val="32"/>
          <w:szCs w:val="32"/>
          <w:highlight w:val="none"/>
        </w:rPr>
        <w:t>（一）机关运行经费支出情况</w:t>
      </w:r>
      <w:bookmarkEnd w:id="59"/>
    </w:p>
    <w:p w14:paraId="0EDE362A">
      <w:pPr>
        <w:pageBreakBefore w:val="0"/>
        <w:kinsoku/>
        <w:wordWrap/>
        <w:overflowPunct/>
        <w:topLinePunct w:val="0"/>
        <w:autoSpaceDE w:val="0"/>
        <w:autoSpaceDN w:val="0"/>
        <w:bidi w:val="0"/>
        <w:adjustRightInd w:val="0"/>
        <w:spacing w:line="576" w:lineRule="exact"/>
        <w:ind w:left="0" w:leftChars="0" w:firstLine="640" w:firstLineChars="200"/>
        <w:jc w:val="left"/>
        <w:outlineLvl w:val="2"/>
        <w:rPr>
          <w:rFonts w:hint="default" w:ascii="Times New Roman" w:hAnsi="Times New Roman" w:eastAsia="仿宋" w:cs="Times New Roman"/>
          <w:b/>
          <w:color w:val="auto"/>
          <w:sz w:val="32"/>
          <w:szCs w:val="32"/>
          <w:highlight w:val="none"/>
        </w:rPr>
      </w:pPr>
      <w:bookmarkStart w:id="60" w:name="_Toc15377225"/>
      <w:bookmarkStart w:id="61" w:name="_Toc15396613"/>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壤塘县住房和城乡建设局</w:t>
      </w:r>
      <w:r>
        <w:rPr>
          <w:rFonts w:hint="default" w:ascii="Times New Roman" w:hAnsi="Times New Roman" w:eastAsia="仿宋_GB2312" w:cs="Times New Roman"/>
          <w:color w:val="auto"/>
          <w:sz w:val="32"/>
          <w:szCs w:val="32"/>
          <w:highlight w:val="none"/>
        </w:rPr>
        <w:t>机关运行经费支出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万元，比20</w:t>
      </w:r>
      <w:r>
        <w:rPr>
          <w:rFonts w:hint="default" w:ascii="Times New Roman" w:hAnsi="Times New Roman" w:eastAsia="仿宋_GB2312" w:cs="Times New Roman"/>
          <w:color w:val="auto"/>
          <w:sz w:val="32"/>
          <w:szCs w:val="32"/>
          <w:highlight w:val="none"/>
          <w:lang w:val="en-US" w:eastAsia="zh-CN"/>
        </w:rPr>
        <w:t>24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相比无变化。</w:t>
      </w:r>
    </w:p>
    <w:p w14:paraId="47AF1198">
      <w:pPr>
        <w:pageBreakBefore w:val="0"/>
        <w:kinsoku/>
        <w:wordWrap/>
        <w:overflowPunct/>
        <w:topLinePunct w:val="0"/>
        <w:autoSpaceDE w:val="0"/>
        <w:autoSpaceDN w:val="0"/>
        <w:bidi w:val="0"/>
        <w:adjustRightInd w:val="0"/>
        <w:spacing w:line="576" w:lineRule="exact"/>
        <w:ind w:left="0" w:leftChars="0" w:firstLine="643" w:firstLineChars="200"/>
        <w:jc w:val="left"/>
        <w:outlineLvl w:val="2"/>
        <w:rPr>
          <w:rFonts w:hint="default" w:ascii="Times New Roman" w:hAnsi="Times New Roman" w:eastAsia="楷体" w:cs="Times New Roman"/>
          <w:b/>
          <w:color w:val="auto"/>
          <w:sz w:val="32"/>
          <w:szCs w:val="32"/>
          <w:highlight w:val="none"/>
        </w:rPr>
      </w:pPr>
      <w:r>
        <w:rPr>
          <w:rFonts w:hint="default" w:ascii="Times New Roman" w:hAnsi="Times New Roman" w:eastAsia="楷体" w:cs="Times New Roman"/>
          <w:b/>
          <w:color w:val="auto"/>
          <w:sz w:val="32"/>
          <w:szCs w:val="32"/>
          <w:highlight w:val="none"/>
        </w:rPr>
        <w:t>（二）政府采购支出情况</w:t>
      </w:r>
    </w:p>
    <w:p w14:paraId="138860A5">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壤塘县住房和城乡建设局质量监督站</w:t>
      </w:r>
      <w:r>
        <w:rPr>
          <w:rFonts w:hint="default" w:ascii="Times New Roman" w:hAnsi="Times New Roman" w:eastAsia="仿宋_GB2312" w:cs="Times New Roman"/>
          <w:color w:val="auto"/>
          <w:sz w:val="32"/>
          <w:szCs w:val="32"/>
          <w:highlight w:val="none"/>
        </w:rPr>
        <w:t>政府采购支出总额</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万元，其中：政府采购货物支出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万元、政府采购工程支出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万元、政府采购服务支出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万元。授予中小企业合同金额</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万元，占政府采购支出总额的</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%，其中：授予小微企业合同金额</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万元，占政府采购支出总额的</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w:t>
      </w:r>
    </w:p>
    <w:p w14:paraId="68A337CF">
      <w:pPr>
        <w:pageBreakBefore w:val="0"/>
        <w:kinsoku/>
        <w:wordWrap/>
        <w:overflowPunct/>
        <w:topLinePunct w:val="0"/>
        <w:autoSpaceDE w:val="0"/>
        <w:autoSpaceDN w:val="0"/>
        <w:bidi w:val="0"/>
        <w:adjustRightInd w:val="0"/>
        <w:spacing w:line="576" w:lineRule="exact"/>
        <w:ind w:left="0" w:leftChars="0" w:firstLine="643" w:firstLineChars="200"/>
        <w:jc w:val="left"/>
        <w:outlineLvl w:val="2"/>
        <w:rPr>
          <w:rFonts w:hint="default" w:ascii="Times New Roman" w:hAnsi="Times New Roman" w:eastAsia="楷体" w:cs="Times New Roman"/>
          <w:b/>
          <w:color w:val="auto"/>
          <w:sz w:val="32"/>
          <w:szCs w:val="32"/>
          <w:highlight w:val="none"/>
        </w:rPr>
      </w:pPr>
      <w:r>
        <w:rPr>
          <w:rFonts w:hint="default" w:ascii="Times New Roman" w:hAnsi="Times New Roman" w:eastAsia="楷体" w:cs="Times New Roman"/>
          <w:b/>
          <w:color w:val="auto"/>
          <w:sz w:val="32"/>
          <w:szCs w:val="32"/>
          <w:highlight w:val="none"/>
        </w:rPr>
        <w:t>（三）国有资产占有使用情况</w:t>
      </w:r>
    </w:p>
    <w:p w14:paraId="0582129E">
      <w:pPr>
        <w:pageBreakBefore w:val="0"/>
        <w:kinsoku/>
        <w:wordWrap/>
        <w:overflowPunct/>
        <w:topLinePunct w:val="0"/>
        <w:autoSpaceDE w:val="0"/>
        <w:autoSpaceDN w:val="0"/>
        <w:bidi w:val="0"/>
        <w:adjustRightInd w:val="0"/>
        <w:spacing w:line="576" w:lineRule="exact"/>
        <w:ind w:left="0" w:leftChars="0" w:firstLine="640" w:firstLineChars="200"/>
        <w:jc w:val="left"/>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sz w:val="32"/>
          <w:szCs w:val="32"/>
          <w:highlight w:val="none"/>
        </w:rPr>
        <w:t>截至</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年12月31日</w:t>
      </w:r>
      <w:r>
        <w:rPr>
          <w:rFonts w:hint="default" w:ascii="Times New Roman" w:hAnsi="Times New Roman" w:eastAsia="仿宋_GB2312" w:cs="Times New Roman"/>
          <w:color w:val="000000"/>
          <w:sz w:val="32"/>
          <w:szCs w:val="32"/>
          <w:lang w:eastAsia="zh-CN" w:bidi="ar-SA"/>
        </w:rPr>
        <w:t>住房和城乡建设局</w:t>
      </w:r>
      <w:r>
        <w:rPr>
          <w:rFonts w:hint="default" w:ascii="Times New Roman" w:hAnsi="Times New Roman" w:eastAsia="仿宋_GB2312" w:cs="Times New Roman"/>
          <w:color w:val="auto"/>
          <w:sz w:val="32"/>
          <w:szCs w:val="32"/>
          <w:highlight w:val="none"/>
          <w:lang w:eastAsia="zh-CN"/>
        </w:rPr>
        <w:t>质量监督站</w:t>
      </w:r>
      <w:r>
        <w:rPr>
          <w:rFonts w:hint="default" w:ascii="Times New Roman" w:hAnsi="Times New Roman" w:eastAsia="仿宋_GB2312" w:cs="Times New Roman"/>
          <w:color w:val="000000"/>
          <w:sz w:val="32"/>
          <w:szCs w:val="32"/>
        </w:rPr>
        <w:t>共有车辆</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w:t>
      </w:r>
      <w:r>
        <w:rPr>
          <w:rFonts w:hint="default" w:ascii="Times New Roman" w:hAnsi="Times New Roman" w:eastAsia="仿宋_GB2312" w:cs="Times New Roman"/>
          <w:color w:val="auto"/>
          <w:sz w:val="32"/>
          <w:szCs w:val="32"/>
          <w:highlight w:val="none"/>
        </w:rPr>
        <w:t>应急保障用车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辆、其他用车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w:t>
      </w:r>
      <w:r>
        <w:rPr>
          <w:rFonts w:hint="default" w:ascii="Times New Roman" w:hAnsi="Times New Roman" w:eastAsia="仿宋_GB2312" w:cs="Times New Roman"/>
          <w:color w:val="auto"/>
          <w:sz w:val="32"/>
          <w:szCs w:val="32"/>
          <w:highlight w:val="none"/>
          <w:lang w:eastAsia="zh-CN"/>
        </w:rPr>
        <w:t>。</w:t>
      </w:r>
    </w:p>
    <w:p w14:paraId="50853C10">
      <w:pPr>
        <w:pageBreakBefore w:val="0"/>
        <w:kinsoku/>
        <w:wordWrap/>
        <w:overflowPunct/>
        <w:topLinePunct w:val="0"/>
        <w:autoSpaceDE w:val="0"/>
        <w:autoSpaceDN w:val="0"/>
        <w:bidi w:val="0"/>
        <w:adjustRightInd w:val="0"/>
        <w:spacing w:line="576" w:lineRule="exact"/>
        <w:ind w:left="0" w:leftChars="0" w:firstLine="643" w:firstLineChars="200"/>
        <w:jc w:val="left"/>
        <w:outlineLvl w:val="2"/>
        <w:rPr>
          <w:rFonts w:hint="default" w:ascii="Times New Roman" w:hAnsi="Times New Roman" w:eastAsia="楷体" w:cs="Times New Roman"/>
          <w:b/>
          <w:color w:val="auto"/>
          <w:sz w:val="32"/>
          <w:szCs w:val="32"/>
          <w:highlight w:val="none"/>
        </w:rPr>
      </w:pPr>
      <w:r>
        <w:rPr>
          <w:rFonts w:hint="default" w:ascii="Times New Roman" w:hAnsi="Times New Roman" w:eastAsia="楷体" w:cs="Times New Roman"/>
          <w:b/>
          <w:color w:val="auto"/>
          <w:sz w:val="32"/>
          <w:szCs w:val="32"/>
          <w:highlight w:val="none"/>
        </w:rPr>
        <w:t>（四）预算绩效管理情况</w:t>
      </w:r>
    </w:p>
    <w:p w14:paraId="611403C6">
      <w:pPr>
        <w:pageBreakBefore w:val="0"/>
        <w:kinsoku/>
        <w:wordWrap/>
        <w:overflowPunct/>
        <w:topLinePunct w:val="0"/>
        <w:autoSpaceDE w:val="0"/>
        <w:autoSpaceDN w:val="0"/>
        <w:bidi w:val="0"/>
        <w:adjustRightInd w:val="0"/>
        <w:spacing w:line="576" w:lineRule="exact"/>
        <w:ind w:left="0" w:leftChars="0" w:firstLine="640" w:firstLineChars="200"/>
        <w:jc w:val="left"/>
        <w:outlineLvl w:val="2"/>
        <w:rPr>
          <w:rFonts w:hint="default" w:ascii="Times New Roman" w:hAnsi="Times New Roman" w:eastAsia="仿宋" w:cs="Times New Roman"/>
          <w:sz w:val="32"/>
          <w:szCs w:val="32"/>
          <w:lang w:val="en-US" w:eastAsia="zh-CN" w:bidi="ar-SA"/>
        </w:rPr>
      </w:pPr>
      <w:r>
        <w:rPr>
          <w:rFonts w:hint="default" w:ascii="Times New Roman" w:hAnsi="Times New Roman" w:eastAsia="仿宋" w:cs="Times New Roman"/>
          <w:color w:val="333333"/>
          <w:sz w:val="32"/>
          <w:szCs w:val="32"/>
          <w:shd w:val="clear" w:color="auto" w:fill="FFFFFF"/>
          <w:lang w:bidi="ar-SA"/>
        </w:rPr>
        <w:t>根据预算绩效管理要求，由于本部门无专项预算项目，因此未组织开展项目支出绩效评价</w:t>
      </w:r>
      <w:r>
        <w:rPr>
          <w:rFonts w:hint="default" w:ascii="Times New Roman" w:hAnsi="Times New Roman" w:eastAsia="仿宋" w:cs="Times New Roman"/>
          <w:color w:val="333333"/>
          <w:sz w:val="32"/>
          <w:szCs w:val="32"/>
          <w:shd w:val="clear" w:color="auto" w:fill="FFFFFF"/>
          <w:lang w:eastAsia="zh-CN" w:bidi="ar-SA"/>
        </w:rPr>
        <w:t>。</w:t>
      </w:r>
    </w:p>
    <w:p w14:paraId="12963877">
      <w:pPr>
        <w:pageBreakBefore w:val="0"/>
        <w:kinsoku/>
        <w:wordWrap/>
        <w:overflowPunct/>
        <w:topLinePunct w:val="0"/>
        <w:bidi w:val="0"/>
        <w:spacing w:line="576" w:lineRule="exact"/>
        <w:ind w:left="0" w:leftChars="0" w:firstLine="643" w:firstLineChars="200"/>
        <w:rPr>
          <w:rFonts w:hint="default" w:ascii="Times New Roman" w:hAnsi="Times New Roman" w:eastAsia="仿宋_GB2312" w:cs="Times New Roman"/>
          <w:b/>
          <w:color w:val="auto"/>
          <w:sz w:val="32"/>
          <w:szCs w:val="32"/>
          <w:highlight w:val="none"/>
        </w:rPr>
        <w:sectPr>
          <w:footerReference r:id="rId4" w:type="default"/>
          <w:pgSz w:w="11906" w:h="16838"/>
          <w:pgMar w:top="1440" w:right="1800" w:bottom="1440" w:left="1800" w:header="851" w:footer="992" w:gutter="0"/>
          <w:pgNumType w:fmt="decimal" w:start="4"/>
          <w:cols w:space="720" w:num="1"/>
          <w:docGrid w:type="lines" w:linePitch="312" w:charSpace="0"/>
        </w:sectPr>
      </w:pPr>
    </w:p>
    <w:p w14:paraId="4DB1E805">
      <w:pPr>
        <w:pStyle w:val="3"/>
        <w:bidi w:val="0"/>
        <w:jc w:val="center"/>
        <w:rPr>
          <w:rFonts w:hint="eastAsia" w:ascii="方正小标宋简体" w:hAnsi="方正小标宋简体" w:eastAsia="方正小标宋简体" w:cs="方正小标宋简体"/>
          <w:b w:val="0"/>
          <w:bCs w:val="0"/>
        </w:rPr>
      </w:pPr>
      <w:bookmarkStart w:id="62" w:name="_Toc25587"/>
      <w:r>
        <w:rPr>
          <w:rFonts w:hint="eastAsia" w:ascii="方正小标宋简体" w:hAnsi="方正小标宋简体" w:eastAsia="方正小标宋简体" w:cs="方正小标宋简体"/>
          <w:b w:val="0"/>
          <w:bCs w:val="0"/>
        </w:rPr>
        <w:t>第</w:t>
      </w:r>
      <w:r>
        <w:rPr>
          <w:rFonts w:hint="eastAsia" w:ascii="方正小标宋简体" w:hAnsi="方正小标宋简体" w:eastAsia="方正小标宋简体" w:cs="方正小标宋简体"/>
          <w:b w:val="0"/>
          <w:bCs w:val="0"/>
          <w:lang w:eastAsia="zh-CN"/>
        </w:rPr>
        <w:t>三</w:t>
      </w:r>
      <w:r>
        <w:rPr>
          <w:rFonts w:hint="eastAsia" w:ascii="方正小标宋简体" w:hAnsi="方正小标宋简体" w:eastAsia="方正小标宋简体" w:cs="方正小标宋简体"/>
          <w:b w:val="0"/>
          <w:bCs w:val="0"/>
        </w:rPr>
        <w:t>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名词解释</w:t>
      </w:r>
      <w:bookmarkEnd w:id="60"/>
      <w:bookmarkEnd w:id="61"/>
      <w:bookmarkEnd w:id="62"/>
    </w:p>
    <w:p w14:paraId="1A7DFEB5">
      <w:pPr>
        <w:pStyle w:val="29"/>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sz w:val="32"/>
          <w:szCs w:val="32"/>
        </w:rPr>
      </w:pPr>
      <w:bookmarkStart w:id="63" w:name="_Toc15396614"/>
      <w:bookmarkStart w:id="64" w:name="_Toc15377226"/>
      <w:r>
        <w:rPr>
          <w:rFonts w:hint="default" w:ascii="Times New Roman" w:hAnsi="Times New Roman" w:eastAsia="仿宋_GB2312" w:cs="Times New Roman"/>
          <w:b w:val="0"/>
          <w:bCs w:val="0"/>
          <w:color w:val="333333"/>
          <w:kern w:val="2"/>
          <w:sz w:val="32"/>
          <w:szCs w:val="32"/>
          <w:shd w:val="clear" w:color="auto" w:fill="FFFFFF"/>
          <w:lang w:val="en-US" w:eastAsia="zh-CN" w:bidi="ar-SA"/>
        </w:rPr>
        <w:t>1.财政拨款收入（类）</w:t>
      </w:r>
      <w:r>
        <w:rPr>
          <w:rFonts w:hint="default" w:ascii="Times New Roman" w:hAnsi="Times New Roman" w:eastAsia="仿宋_GB2312" w:cs="Times New Roman"/>
          <w:b w:val="0"/>
          <w:bCs w:val="0"/>
          <w:sz w:val="32"/>
          <w:szCs w:val="32"/>
        </w:rPr>
        <w:t xml:space="preserve">：指单位从同级财政部门取得的财政预算资金。 </w:t>
      </w:r>
    </w:p>
    <w:p w14:paraId="6A2D469D">
      <w:pPr>
        <w:pStyle w:val="29"/>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2.年初结转和结余（类）：</w:t>
      </w:r>
      <w:r>
        <w:rPr>
          <w:rFonts w:hint="default" w:ascii="Times New Roman" w:hAnsi="Times New Roman" w:eastAsia="仿宋_GB2312" w:cs="Times New Roman"/>
          <w:b w:val="0"/>
          <w:bCs w:val="0"/>
          <w:sz w:val="32"/>
          <w:szCs w:val="32"/>
        </w:rPr>
        <w:t xml:space="preserve">指以前年度尚未完成、结转到本年按有关规定继续使用的资金。 </w:t>
      </w:r>
    </w:p>
    <w:p w14:paraId="7BD6D37A">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3.年末结转和结余（类）：</w:t>
      </w:r>
      <w:r>
        <w:rPr>
          <w:rFonts w:hint="default" w:ascii="Times New Roman" w:hAnsi="Times New Roman" w:eastAsia="仿宋_GB2312" w:cs="Times New Roman"/>
          <w:b w:val="0"/>
          <w:bCs w:val="0"/>
          <w:sz w:val="32"/>
          <w:szCs w:val="32"/>
        </w:rPr>
        <w:t>指单位按有关规定结转到下年或以后年度继续使用的资金。</w:t>
      </w:r>
    </w:p>
    <w:p w14:paraId="4D4509D9">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4</w:t>
      </w:r>
      <w:r>
        <w:rPr>
          <w:rFonts w:hint="default" w:ascii="Times New Roman" w:hAnsi="Times New Roman" w:eastAsia="仿宋_GB2312" w:cs="Times New Roman"/>
          <w:b w:val="0"/>
          <w:bCs w:val="0"/>
          <w:color w:val="333333"/>
          <w:sz w:val="32"/>
          <w:szCs w:val="32"/>
          <w:shd w:val="clear" w:color="auto" w:fill="FFFFFF"/>
          <w:lang w:bidi="ar-SA"/>
        </w:rPr>
        <w:t>.一般公共服务（类）组织事务</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款</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其他组织事务</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项</w:t>
      </w:r>
      <w:r>
        <w:rPr>
          <w:rFonts w:hint="default" w:ascii="Times New Roman" w:hAnsi="Times New Roman" w:eastAsia="仿宋_GB2312" w:cs="Times New Roman"/>
          <w:b w:val="0"/>
          <w:bCs w:val="0"/>
          <w:color w:val="333333"/>
          <w:sz w:val="32"/>
          <w:szCs w:val="32"/>
          <w:shd w:val="clear" w:color="auto" w:fill="FFFFFF"/>
          <w:lang w:eastAsia="zh-CN" w:bidi="ar-SA"/>
        </w:rPr>
        <w:t>）：反映其他</w:t>
      </w:r>
      <w:r>
        <w:rPr>
          <w:rFonts w:hint="default" w:ascii="Times New Roman" w:hAnsi="Times New Roman" w:eastAsia="仿宋_GB2312" w:cs="Times New Roman"/>
          <w:b w:val="0"/>
          <w:bCs w:val="0"/>
          <w:color w:val="333333"/>
          <w:sz w:val="32"/>
          <w:szCs w:val="32"/>
          <w:shd w:val="clear" w:color="auto" w:fill="FFFFFF"/>
          <w:lang w:bidi="ar-SA"/>
        </w:rPr>
        <w:t>用于中国共产党组织部门的事务支出。</w:t>
      </w:r>
    </w:p>
    <w:p w14:paraId="7A4471DF">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5</w:t>
      </w:r>
      <w:r>
        <w:rPr>
          <w:rFonts w:hint="default" w:ascii="Times New Roman" w:hAnsi="Times New Roman" w:eastAsia="仿宋_GB2312" w:cs="Times New Roman"/>
          <w:b w:val="0"/>
          <w:bCs w:val="0"/>
          <w:color w:val="333333"/>
          <w:sz w:val="32"/>
          <w:szCs w:val="32"/>
          <w:shd w:val="clear" w:color="auto" w:fill="FFFFFF"/>
          <w:lang w:bidi="ar-SA"/>
        </w:rPr>
        <w:t>.社会保障和就业（类）行政事业单位离退休（款）机关事业养老保险</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项</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是指机关事业单位实施养老保险制度由单位缴纳的基本养老保险制度，机关事业单位职业年金：是指机关事业单位实施养老保险制度由单位缴纳的职业年金支出。</w:t>
      </w:r>
    </w:p>
    <w:p w14:paraId="11BA94F0">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sz w:val="32"/>
          <w:szCs w:val="32"/>
          <w:lang w:eastAsia="zh-CN"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6</w:t>
      </w:r>
      <w:r>
        <w:rPr>
          <w:rFonts w:hint="default" w:ascii="Times New Roman" w:hAnsi="Times New Roman" w:eastAsia="仿宋_GB2312" w:cs="Times New Roman"/>
          <w:b w:val="0"/>
          <w:bCs w:val="0"/>
          <w:color w:val="333333"/>
          <w:sz w:val="32"/>
          <w:szCs w:val="32"/>
          <w:shd w:val="clear" w:color="auto" w:fill="FFFFFF"/>
          <w:lang w:bidi="ar-SA"/>
        </w:rPr>
        <w:t>.医疗卫生与计划生育（类）行政单位医疗（款）行政单位医疗</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项</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是指财政部门集中安排的行政单位基本医疗保险费经费</w:t>
      </w:r>
      <w:r>
        <w:rPr>
          <w:rFonts w:hint="default" w:ascii="Times New Roman" w:hAnsi="Times New Roman" w:eastAsia="仿宋_GB2312" w:cs="Times New Roman"/>
          <w:b w:val="0"/>
          <w:bCs w:val="0"/>
          <w:color w:val="333333"/>
          <w:sz w:val="32"/>
          <w:szCs w:val="32"/>
          <w:shd w:val="clear" w:color="auto" w:fill="FFFFFF"/>
          <w:lang w:eastAsia="zh-CN" w:bidi="ar-SA"/>
        </w:rPr>
        <w:t>。</w:t>
      </w:r>
    </w:p>
    <w:p w14:paraId="727D2C35">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7</w:t>
      </w:r>
      <w:r>
        <w:rPr>
          <w:rFonts w:hint="default" w:ascii="Times New Roman" w:hAnsi="Times New Roman" w:eastAsia="仿宋_GB2312" w:cs="Times New Roman"/>
          <w:b w:val="0"/>
          <w:bCs w:val="0"/>
          <w:color w:val="333333"/>
          <w:sz w:val="32"/>
          <w:szCs w:val="32"/>
          <w:shd w:val="clear" w:color="auto" w:fill="FFFFFF"/>
          <w:lang w:bidi="ar-SA"/>
        </w:rPr>
        <w:t>.节能环保</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类</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生态保护</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款）</w:t>
      </w:r>
      <w:r>
        <w:rPr>
          <w:rFonts w:hint="default" w:ascii="Times New Roman" w:hAnsi="Times New Roman" w:eastAsia="仿宋_GB2312" w:cs="Times New Roman"/>
          <w:b w:val="0"/>
          <w:bCs w:val="0"/>
          <w:color w:val="333333"/>
          <w:sz w:val="32"/>
          <w:szCs w:val="32"/>
          <w:shd w:val="clear" w:color="auto" w:fill="FFFFFF"/>
          <w:lang w:bidi="ar-SA"/>
        </w:rPr>
        <w:t>：是指用于生态功能保护区、生态示范区，生态省（市、县）管理及能力建设，日常管护、宣教、试点示范等支出。农村环境保护：是指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用于农村环境方面的支出。</w:t>
      </w:r>
    </w:p>
    <w:p w14:paraId="1D9F4432">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sz w:val="32"/>
          <w:szCs w:val="32"/>
          <w:lang w:eastAsia="zh-CN"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8</w:t>
      </w:r>
      <w:r>
        <w:rPr>
          <w:rFonts w:hint="default" w:ascii="Times New Roman" w:hAnsi="Times New Roman" w:eastAsia="仿宋_GB2312" w:cs="Times New Roman"/>
          <w:b w:val="0"/>
          <w:bCs w:val="0"/>
          <w:color w:val="333333"/>
          <w:sz w:val="32"/>
          <w:szCs w:val="32"/>
          <w:shd w:val="clear" w:color="auto" w:fill="FFFFFF"/>
          <w:lang w:bidi="ar-SA"/>
        </w:rPr>
        <w:t>.城乡社区（类）城乡社区管理事务</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款</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行政运行支出</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项</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单位的基本支出，城管执法：是指城市管理综合执法加强城市市容</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环境卫生管理等方面的支出。其他城乡社区管理事务支出：是指其他用于城乡社区管理事务方面的支出，城乡社区规划与管理：是指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城乡社区、风景名胜区、防震减灾、历史名城规划制定与管理方面的支出。城乡社区公共设施、其他城乡社区公共设施：用于城乡社区公共设施方面的支出。城乡社区环境卫生：是指城乡社区道路清扫、垃圾清运与处理、公厕建设与维护、园林绿化等方面的支出。国有土地使用出让收入及对应专项债务收入安排的支出：廉租住房支出：用于新建、改建购买租赁廉租住房支出。国有土地收益基金及对应专项债务收入安排的支出</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其他城乡社区支出</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其他社区支出</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用于城乡社区方面的支出</w:t>
      </w:r>
      <w:r>
        <w:rPr>
          <w:rFonts w:hint="default" w:ascii="Times New Roman" w:hAnsi="Times New Roman" w:eastAsia="仿宋_GB2312" w:cs="Times New Roman"/>
          <w:b w:val="0"/>
          <w:bCs w:val="0"/>
          <w:color w:val="333333"/>
          <w:sz w:val="32"/>
          <w:szCs w:val="32"/>
          <w:shd w:val="clear" w:color="auto" w:fill="FFFFFF"/>
          <w:lang w:eastAsia="zh-CN" w:bidi="ar-SA"/>
        </w:rPr>
        <w:t>。</w:t>
      </w:r>
    </w:p>
    <w:p w14:paraId="2DE61ABA">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9</w:t>
      </w:r>
      <w:r>
        <w:rPr>
          <w:rFonts w:hint="default" w:ascii="Times New Roman" w:hAnsi="Times New Roman" w:eastAsia="仿宋_GB2312" w:cs="Times New Roman"/>
          <w:b w:val="0"/>
          <w:bCs w:val="0"/>
          <w:color w:val="333333"/>
          <w:sz w:val="32"/>
          <w:szCs w:val="32"/>
          <w:shd w:val="clear" w:color="auto" w:fill="FFFFFF"/>
          <w:lang w:bidi="ar-SA"/>
        </w:rPr>
        <w:t>.农林水支出（类）水利（款）其他水利支出（项）：是指其他用于水利方面的支出扶贫</w:t>
      </w:r>
      <w:r>
        <w:rPr>
          <w:rFonts w:hint="default" w:ascii="Times New Roman" w:hAnsi="Times New Roman" w:eastAsia="仿宋_GB2312" w:cs="Times New Roman"/>
          <w:b w:val="0"/>
          <w:bCs w:val="0"/>
          <w:color w:val="333333"/>
          <w:sz w:val="32"/>
          <w:szCs w:val="32"/>
          <w:highlight w:val="none"/>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农村基础设施建设：用于农村</w:t>
      </w:r>
      <w:r>
        <w:rPr>
          <w:rFonts w:hint="default" w:ascii="Times New Roman" w:hAnsi="Times New Roman" w:eastAsia="仿宋_GB2312" w:cs="Times New Roman"/>
          <w:b w:val="0"/>
          <w:bCs w:val="0"/>
          <w:color w:val="333333"/>
          <w:sz w:val="32"/>
          <w:szCs w:val="32"/>
          <w:shd w:val="clear" w:color="auto" w:fill="FFFFFF"/>
          <w:lang w:eastAsia="zh-CN" w:bidi="ar-SA"/>
        </w:rPr>
        <w:t>贫困地区</w:t>
      </w:r>
      <w:r>
        <w:rPr>
          <w:rFonts w:hint="default" w:ascii="Times New Roman" w:hAnsi="Times New Roman" w:eastAsia="仿宋_GB2312" w:cs="Times New Roman"/>
          <w:b w:val="0"/>
          <w:bCs w:val="0"/>
          <w:color w:val="333333"/>
          <w:sz w:val="32"/>
          <w:szCs w:val="32"/>
          <w:shd w:val="clear" w:color="auto" w:fill="FFFFFF"/>
          <w:lang w:bidi="ar-SA"/>
        </w:rPr>
        <w:t>乡村道路，住房、基本农田水利设施、人畜饮水生态环境保护等生产生活条件改善方面的支出。其他农林水支出：是指其他用于农林水的支出。</w:t>
      </w:r>
    </w:p>
    <w:p w14:paraId="0BFC6D5F">
      <w:pPr>
        <w:pStyle w:val="17"/>
        <w:keepNext w:val="0"/>
        <w:keepLines w:val="0"/>
        <w:pageBreakBefore w:val="0"/>
        <w:widowControl/>
        <w:suppressLineNumbers w:val="0"/>
        <w:suppressAutoHyphens/>
        <w:kinsoku/>
        <w:wordWrap/>
        <w:overflowPunct/>
        <w:topLinePunct w:val="0"/>
        <w:bidi w:val="0"/>
        <w:spacing w:beforeAutospacing="0" w:afterAutospacing="0" w:line="576" w:lineRule="exact"/>
        <w:ind w:left="0" w:leftChars="0" w:right="0" w:firstLine="640" w:firstLineChars="200"/>
        <w:rPr>
          <w:rFonts w:hint="default" w:ascii="Times New Roman" w:hAnsi="Times New Roman" w:eastAsia="仿宋_GB2312" w:cs="Times New Roman"/>
          <w:b w:val="0"/>
          <w:bCs w:val="0"/>
          <w:color w:val="000000"/>
          <w:sz w:val="32"/>
          <w:szCs w:val="32"/>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10</w:t>
      </w:r>
      <w:r>
        <w:rPr>
          <w:rFonts w:hint="default" w:ascii="Times New Roman" w:hAnsi="Times New Roman" w:eastAsia="仿宋_GB2312" w:cs="Times New Roman"/>
          <w:b w:val="0"/>
          <w:bCs w:val="0"/>
          <w:color w:val="333333"/>
          <w:sz w:val="32"/>
          <w:szCs w:val="32"/>
          <w:shd w:val="clear" w:color="auto" w:fill="FFFFFF"/>
          <w:lang w:bidi="ar-SA"/>
        </w:rPr>
        <w:t>.住房保障支出（类）保障性安居工程（款）廉租住房（项）：是指廉租住房支出</w:t>
      </w:r>
      <w:r>
        <w:rPr>
          <w:rFonts w:hint="default" w:ascii="Times New Roman" w:hAnsi="Times New Roman" w:eastAsia="仿宋_GB2312" w:cs="Times New Roman"/>
          <w:b w:val="0"/>
          <w:bCs w:val="0"/>
          <w:color w:val="333333"/>
          <w:sz w:val="32"/>
          <w:szCs w:val="32"/>
          <w:highlight w:val="none"/>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用于新建、改建购买租赁廉租住房支出。棚户区改造：是指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棚户区改造的支出。农村危房改造：用于农村</w:t>
      </w:r>
      <w:r>
        <w:rPr>
          <w:rFonts w:hint="default" w:ascii="Times New Roman" w:hAnsi="Times New Roman" w:eastAsia="仿宋_GB2312" w:cs="Times New Roman"/>
          <w:b w:val="0"/>
          <w:bCs w:val="0"/>
          <w:color w:val="333333"/>
          <w:sz w:val="32"/>
          <w:szCs w:val="32"/>
          <w:shd w:val="clear" w:color="auto" w:fill="FFFFFF"/>
          <w:lang w:eastAsia="zh-CN" w:bidi="ar-SA"/>
        </w:rPr>
        <w:t>危房改造</w:t>
      </w:r>
      <w:r>
        <w:rPr>
          <w:rFonts w:hint="default" w:ascii="Times New Roman" w:hAnsi="Times New Roman" w:eastAsia="仿宋_GB2312" w:cs="Times New Roman"/>
          <w:b w:val="0"/>
          <w:bCs w:val="0"/>
          <w:color w:val="333333"/>
          <w:sz w:val="32"/>
          <w:szCs w:val="32"/>
          <w:shd w:val="clear" w:color="auto" w:fill="FFFFFF"/>
          <w:lang w:bidi="ar-SA"/>
        </w:rPr>
        <w:t>支出</w:t>
      </w:r>
      <w:r>
        <w:rPr>
          <w:rFonts w:hint="default" w:ascii="Times New Roman" w:hAnsi="Times New Roman" w:eastAsia="仿宋_GB2312" w:cs="Times New Roman"/>
          <w:b w:val="0"/>
          <w:bCs w:val="0"/>
          <w:color w:val="333333"/>
          <w:sz w:val="32"/>
          <w:szCs w:val="32"/>
          <w:highlight w:val="none"/>
          <w:shd w:val="clear" w:color="auto" w:fill="FFFFFF"/>
          <w:lang w:bidi="ar-SA"/>
        </w:rPr>
        <w:t>、</w:t>
      </w:r>
      <w:r>
        <w:rPr>
          <w:rFonts w:hint="default" w:ascii="Times New Roman" w:hAnsi="Times New Roman" w:eastAsia="仿宋_GB2312" w:cs="Times New Roman"/>
          <w:b w:val="0"/>
          <w:bCs w:val="0"/>
          <w:color w:val="333333"/>
          <w:sz w:val="32"/>
          <w:szCs w:val="32"/>
          <w:shd w:val="clear" w:color="auto" w:fill="FFFFFF"/>
          <w:lang w:bidi="ar-SA"/>
        </w:rPr>
        <w:t>住房改革支出</w:t>
      </w:r>
      <w:r>
        <w:rPr>
          <w:rFonts w:hint="default" w:ascii="Times New Roman" w:hAnsi="Times New Roman" w:eastAsia="仿宋_GB2312" w:cs="Times New Roman"/>
          <w:b w:val="0"/>
          <w:bCs w:val="0"/>
          <w:color w:val="333333"/>
          <w:sz w:val="32"/>
          <w:szCs w:val="32"/>
          <w:highlight w:val="none"/>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住房公积金：是指按规定缴纳的公积金</w:t>
      </w:r>
      <w:r>
        <w:rPr>
          <w:rFonts w:hint="default" w:ascii="Times New Roman" w:hAnsi="Times New Roman" w:eastAsia="仿宋_GB2312" w:cs="Times New Roman"/>
          <w:b w:val="0"/>
          <w:bCs w:val="0"/>
          <w:color w:val="000000"/>
          <w:sz w:val="32"/>
          <w:szCs w:val="32"/>
          <w:lang w:bidi="ar-SA"/>
        </w:rPr>
        <w:t>。</w:t>
      </w:r>
    </w:p>
    <w:p w14:paraId="71969F9A">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000000"/>
          <w:sz w:val="32"/>
          <w:szCs w:val="32"/>
          <w:lang w:bidi="ar-SA"/>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11.基本支出（类）：</w:t>
      </w:r>
      <w:r>
        <w:rPr>
          <w:rFonts w:hint="default" w:ascii="Times New Roman" w:hAnsi="Times New Roman" w:eastAsia="仿宋_GB2312" w:cs="Times New Roman"/>
          <w:b w:val="0"/>
          <w:bCs w:val="0"/>
          <w:color w:val="000000"/>
          <w:sz w:val="32"/>
          <w:szCs w:val="32"/>
          <w:lang w:bidi="ar-SA"/>
        </w:rPr>
        <w:t>指为保障机构正常运转、完成日常工作任务而发生的人员支出和公用支出。</w:t>
      </w:r>
    </w:p>
    <w:p w14:paraId="27C27D3E">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000000"/>
          <w:sz w:val="32"/>
          <w:szCs w:val="32"/>
          <w:lang w:bidi="ar-SA"/>
        </w:rPr>
      </w:pPr>
      <w:r>
        <w:rPr>
          <w:rFonts w:hint="default" w:ascii="Times New Roman" w:hAnsi="Times New Roman" w:eastAsia="仿宋_GB2312" w:cs="Times New Roman"/>
          <w:b w:val="0"/>
          <w:bCs w:val="0"/>
          <w:color w:val="000000"/>
          <w:sz w:val="32"/>
          <w:szCs w:val="32"/>
          <w:lang w:val="en-US" w:eastAsia="zh-CN" w:bidi="ar-SA"/>
        </w:rPr>
        <w:t>1</w:t>
      </w:r>
      <w:r>
        <w:rPr>
          <w:rFonts w:hint="default" w:ascii="Times New Roman" w:hAnsi="Times New Roman" w:eastAsia="仿宋_GB2312" w:cs="Times New Roman"/>
          <w:b w:val="0"/>
          <w:bCs w:val="0"/>
          <w:color w:val="333333"/>
          <w:kern w:val="2"/>
          <w:sz w:val="32"/>
          <w:szCs w:val="32"/>
          <w:shd w:val="clear" w:color="auto" w:fill="FFFFFF"/>
          <w:lang w:val="en-US" w:eastAsia="zh-CN" w:bidi="ar-SA"/>
        </w:rPr>
        <w:t>2.项目支出（类）：</w:t>
      </w:r>
      <w:r>
        <w:rPr>
          <w:rFonts w:hint="default" w:ascii="Times New Roman" w:hAnsi="Times New Roman" w:eastAsia="仿宋_GB2312" w:cs="Times New Roman"/>
          <w:b w:val="0"/>
          <w:bCs w:val="0"/>
          <w:color w:val="000000"/>
          <w:sz w:val="32"/>
          <w:szCs w:val="32"/>
          <w:lang w:bidi="ar-SA"/>
        </w:rPr>
        <w:t xml:space="preserve">指在基本支出之外为完成特定行政任务和事业发展目标所发生的支出。 </w:t>
      </w:r>
    </w:p>
    <w:p w14:paraId="23BF9ED6">
      <w:pPr>
        <w:pStyle w:val="29"/>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13.“三公”经费（类）：</w:t>
      </w:r>
      <w:r>
        <w:rPr>
          <w:rFonts w:hint="default" w:ascii="Times New Roman" w:hAnsi="Times New Roman" w:eastAsia="仿宋_GB2312" w:cs="Times New Roman"/>
          <w:b w:val="0"/>
          <w:bCs w:val="0"/>
          <w:sz w:val="32"/>
          <w:szCs w:val="32"/>
          <w:lang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17F34BA">
      <w:pPr>
        <w:pStyle w:val="29"/>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14.机关运行经费（类）：</w:t>
      </w:r>
      <w:r>
        <w:rPr>
          <w:rFonts w:hint="default" w:ascii="Times New Roman" w:hAnsi="Times New Roman" w:eastAsia="仿宋_GB2312" w:cs="Times New Roman"/>
          <w:b w:val="0"/>
          <w:bCs w:val="0"/>
          <w:sz w:val="32"/>
          <w:szCs w:val="32"/>
          <w:lang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5AF9814">
      <w:pPr>
        <w:pageBreakBefore w:val="0"/>
        <w:kinsoku/>
        <w:wordWrap/>
        <w:overflowPunct/>
        <w:topLinePunct w:val="0"/>
        <w:bidi w:val="0"/>
        <w:spacing w:line="576" w:lineRule="exact"/>
        <w:ind w:left="0" w:leftChars="0" w:firstLine="640" w:firstLineChars="200"/>
        <w:contextualSpacing/>
        <w:rPr>
          <w:rFonts w:hint="default" w:ascii="Times New Roman" w:hAnsi="Times New Roman" w:eastAsia="仿宋_GB2312" w:cs="Times New Roman"/>
          <w:b w:val="0"/>
          <w:bCs w:val="0"/>
          <w:sz w:val="32"/>
          <w:szCs w:val="32"/>
          <w:lang w:val="en-US" w:eastAsia="zh-CN"/>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p>
    <w:bookmarkEnd w:id="63"/>
    <w:p w14:paraId="5C5ABD81">
      <w:pPr>
        <w:pStyle w:val="3"/>
        <w:pageBreakBefore w:val="0"/>
        <w:kinsoku/>
        <w:wordWrap/>
        <w:overflowPunct/>
        <w:topLinePunct w:val="0"/>
        <w:bidi w:val="0"/>
        <w:spacing w:before="0" w:after="0" w:line="576" w:lineRule="exact"/>
        <w:ind w:left="0" w:leftChars="0" w:firstLine="880" w:firstLineChars="200"/>
        <w:jc w:val="center"/>
        <w:rPr>
          <w:rFonts w:hint="eastAsia" w:ascii="方正小标宋简体" w:hAnsi="方正小标宋简体" w:eastAsia="方正小标宋简体" w:cs="方正小标宋简体"/>
          <w:b w:val="0"/>
          <w:bCs w:val="0"/>
        </w:rPr>
      </w:pPr>
      <w:bookmarkStart w:id="65" w:name="_Toc15396618"/>
      <w:bookmarkStart w:id="66" w:name="_Toc25327"/>
      <w:r>
        <w:rPr>
          <w:rFonts w:hint="eastAsia" w:ascii="方正小标宋简体" w:hAnsi="方正小标宋简体" w:eastAsia="方正小标宋简体" w:cs="方正小标宋简体"/>
          <w:b w:val="0"/>
          <w:bCs w:val="0"/>
        </w:rPr>
        <w:t>第</w:t>
      </w:r>
      <w:r>
        <w:rPr>
          <w:rFonts w:hint="eastAsia" w:ascii="方正小标宋简体" w:hAnsi="方正小标宋简体" w:eastAsia="方正小标宋简体" w:cs="方正小标宋简体"/>
          <w:b w:val="0"/>
          <w:bCs w:val="0"/>
          <w:lang w:eastAsia="zh-CN"/>
        </w:rPr>
        <w:t>四</w:t>
      </w:r>
      <w:r>
        <w:rPr>
          <w:rFonts w:hint="eastAsia" w:ascii="方正小标宋简体" w:hAnsi="方正小标宋简体" w:eastAsia="方正小标宋简体" w:cs="方正小标宋简体"/>
          <w:b w:val="0"/>
          <w:bCs w:val="0"/>
        </w:rPr>
        <w:t xml:space="preserve">部分 </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附表</w:t>
      </w:r>
      <w:bookmarkEnd w:id="64"/>
      <w:bookmarkEnd w:id="65"/>
      <w:bookmarkEnd w:id="66"/>
      <w:bookmarkStart w:id="67" w:name="_Toc15396619"/>
    </w:p>
    <w:p w14:paraId="46ED952E">
      <w:pPr>
        <w:rPr>
          <w:rFonts w:hint="eastAsia"/>
        </w:rPr>
      </w:pPr>
    </w:p>
    <w:p w14:paraId="5267B6A9">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68" w:name="_Toc6934"/>
      <w:r>
        <w:rPr>
          <w:rFonts w:hint="default" w:ascii="Times New Roman" w:hAnsi="Times New Roman" w:eastAsia="仿宋_GB2312" w:cs="Times New Roman"/>
          <w:b w:val="0"/>
          <w:bCs w:val="0"/>
        </w:rPr>
        <w:t>一、收入支出决算总表</w:t>
      </w:r>
      <w:bookmarkEnd w:id="67"/>
      <w:bookmarkEnd w:id="68"/>
    </w:p>
    <w:p w14:paraId="4627CF91">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69" w:name="_Toc15396620"/>
      <w:bookmarkStart w:id="70" w:name="_Toc14529"/>
      <w:r>
        <w:rPr>
          <w:rFonts w:hint="default" w:ascii="Times New Roman" w:hAnsi="Times New Roman" w:eastAsia="仿宋_GB2312" w:cs="Times New Roman"/>
          <w:b w:val="0"/>
          <w:bCs w:val="0"/>
        </w:rPr>
        <w:t>二、收入决算表</w:t>
      </w:r>
      <w:bookmarkEnd w:id="69"/>
      <w:bookmarkEnd w:id="70"/>
    </w:p>
    <w:p w14:paraId="3E533737">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71" w:name="_Toc15396621"/>
      <w:bookmarkStart w:id="72" w:name="_Toc7438"/>
      <w:r>
        <w:rPr>
          <w:rFonts w:hint="default" w:ascii="Times New Roman" w:hAnsi="Times New Roman" w:eastAsia="仿宋_GB2312" w:cs="Times New Roman"/>
          <w:b w:val="0"/>
          <w:bCs w:val="0"/>
        </w:rPr>
        <w:t>三、支出决算表</w:t>
      </w:r>
      <w:bookmarkEnd w:id="71"/>
      <w:bookmarkEnd w:id="72"/>
    </w:p>
    <w:p w14:paraId="198CE0BF">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73" w:name="_Toc15396622"/>
      <w:bookmarkStart w:id="74" w:name="_Toc18730"/>
      <w:r>
        <w:rPr>
          <w:rFonts w:hint="default" w:ascii="Times New Roman" w:hAnsi="Times New Roman" w:eastAsia="仿宋_GB2312" w:cs="Times New Roman"/>
          <w:b w:val="0"/>
          <w:bCs w:val="0"/>
        </w:rPr>
        <w:t>四、财政拨款收入支出决算总表</w:t>
      </w:r>
      <w:bookmarkEnd w:id="73"/>
      <w:bookmarkEnd w:id="74"/>
    </w:p>
    <w:p w14:paraId="6DB59511">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75" w:name="_Toc18176"/>
      <w:bookmarkStart w:id="76" w:name="_Toc15396623"/>
      <w:r>
        <w:rPr>
          <w:rFonts w:hint="default" w:ascii="Times New Roman" w:hAnsi="Times New Roman" w:eastAsia="仿宋_GB2312" w:cs="Times New Roman"/>
          <w:b w:val="0"/>
          <w:bCs w:val="0"/>
        </w:rPr>
        <w:t>五、财政拨款支出决算明细表</w:t>
      </w:r>
      <w:bookmarkEnd w:id="75"/>
      <w:bookmarkEnd w:id="76"/>
      <w:bookmarkStart w:id="77" w:name="_Toc15396624"/>
    </w:p>
    <w:p w14:paraId="5D97DDF7">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78" w:name="_Toc24428"/>
      <w:r>
        <w:rPr>
          <w:rFonts w:hint="default" w:ascii="Times New Roman" w:hAnsi="Times New Roman" w:eastAsia="仿宋_GB2312" w:cs="Times New Roman"/>
          <w:b w:val="0"/>
          <w:bCs w:val="0"/>
        </w:rPr>
        <w:t>六、一般公共预算财政拨款支出决算表</w:t>
      </w:r>
      <w:bookmarkEnd w:id="77"/>
      <w:bookmarkEnd w:id="78"/>
    </w:p>
    <w:p w14:paraId="56C6FBA2">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79" w:name="_Toc15396625"/>
      <w:bookmarkStart w:id="80" w:name="_Toc22286"/>
      <w:r>
        <w:rPr>
          <w:rFonts w:hint="default" w:ascii="Times New Roman" w:hAnsi="Times New Roman" w:eastAsia="仿宋_GB2312" w:cs="Times New Roman"/>
          <w:b w:val="0"/>
          <w:bCs w:val="0"/>
        </w:rPr>
        <w:t>七、一般公共预算财政拨款支出决算明细表</w:t>
      </w:r>
      <w:bookmarkEnd w:id="79"/>
      <w:bookmarkEnd w:id="80"/>
    </w:p>
    <w:p w14:paraId="5F299D12">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81" w:name="_Toc15396626"/>
      <w:bookmarkStart w:id="82" w:name="_Toc2406"/>
      <w:r>
        <w:rPr>
          <w:rFonts w:hint="default" w:ascii="Times New Roman" w:hAnsi="Times New Roman" w:eastAsia="仿宋_GB2312" w:cs="Times New Roman"/>
          <w:b w:val="0"/>
          <w:bCs w:val="0"/>
        </w:rPr>
        <w:t>八、一般公共预算财政拨款基本支出决算表</w:t>
      </w:r>
      <w:bookmarkEnd w:id="81"/>
      <w:bookmarkEnd w:id="82"/>
    </w:p>
    <w:p w14:paraId="1CE5B8B9">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83" w:name="_Toc21206"/>
      <w:bookmarkStart w:id="84" w:name="_Toc15396627"/>
      <w:r>
        <w:rPr>
          <w:rFonts w:hint="default" w:ascii="Times New Roman" w:hAnsi="Times New Roman" w:eastAsia="仿宋_GB2312" w:cs="Times New Roman"/>
          <w:b w:val="0"/>
          <w:bCs w:val="0"/>
        </w:rPr>
        <w:t>九、一般公共预算财政拨款项目支出决算表</w:t>
      </w:r>
      <w:bookmarkEnd w:id="83"/>
      <w:bookmarkEnd w:id="84"/>
    </w:p>
    <w:p w14:paraId="394B5C40">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85" w:name="_Toc15396628"/>
      <w:bookmarkStart w:id="86" w:name="_Toc4238"/>
      <w:r>
        <w:rPr>
          <w:rFonts w:hint="default" w:ascii="Times New Roman" w:hAnsi="Times New Roman" w:eastAsia="仿宋_GB2312" w:cs="Times New Roman"/>
          <w:b w:val="0"/>
          <w:bCs w:val="0"/>
        </w:rPr>
        <w:t>十、</w:t>
      </w:r>
      <w:bookmarkEnd w:id="85"/>
      <w:r>
        <w:rPr>
          <w:rFonts w:hint="default" w:ascii="Times New Roman" w:hAnsi="Times New Roman" w:eastAsia="仿宋_GB2312" w:cs="Times New Roman"/>
          <w:b w:val="0"/>
          <w:bCs w:val="0"/>
        </w:rPr>
        <w:t>政府性基金预算财政拨款收入支出决算表</w:t>
      </w:r>
      <w:bookmarkEnd w:id="86"/>
    </w:p>
    <w:p w14:paraId="2AC336B4">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87" w:name="_Toc15396629"/>
      <w:bookmarkStart w:id="88" w:name="_Toc5885"/>
      <w:r>
        <w:rPr>
          <w:rFonts w:hint="default" w:ascii="Times New Roman" w:hAnsi="Times New Roman" w:eastAsia="仿宋_GB2312" w:cs="Times New Roman"/>
          <w:b w:val="0"/>
          <w:bCs w:val="0"/>
        </w:rPr>
        <w:t>十一、</w:t>
      </w:r>
      <w:bookmarkEnd w:id="87"/>
      <w:r>
        <w:rPr>
          <w:rFonts w:hint="default" w:ascii="Times New Roman" w:hAnsi="Times New Roman" w:eastAsia="仿宋_GB2312" w:cs="Times New Roman"/>
          <w:b w:val="0"/>
          <w:bCs w:val="0"/>
        </w:rPr>
        <w:t>国有资本经营预算</w:t>
      </w:r>
      <w:r>
        <w:rPr>
          <w:rFonts w:hint="default" w:ascii="Times New Roman" w:hAnsi="Times New Roman" w:eastAsia="仿宋_GB2312" w:cs="Times New Roman"/>
          <w:b w:val="0"/>
          <w:bCs w:val="0"/>
          <w:lang w:eastAsia="zh-CN"/>
        </w:rPr>
        <w:t>财政拨款收入</w:t>
      </w:r>
      <w:r>
        <w:rPr>
          <w:rFonts w:hint="default" w:ascii="Times New Roman" w:hAnsi="Times New Roman" w:eastAsia="仿宋_GB2312" w:cs="Times New Roman"/>
          <w:b w:val="0"/>
          <w:bCs w:val="0"/>
        </w:rPr>
        <w:t>支出决算表</w:t>
      </w:r>
      <w:bookmarkEnd w:id="88"/>
    </w:p>
    <w:p w14:paraId="6810A3DB">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rPr>
      </w:pPr>
      <w:bookmarkStart w:id="89" w:name="_Toc15396630"/>
      <w:bookmarkStart w:id="90" w:name="_Toc23510"/>
      <w:r>
        <w:rPr>
          <w:rFonts w:hint="default" w:ascii="Times New Roman" w:hAnsi="Times New Roman" w:eastAsia="仿宋_GB2312" w:cs="Times New Roman"/>
          <w:b w:val="0"/>
          <w:bCs w:val="0"/>
        </w:rPr>
        <w:t>十二、</w:t>
      </w:r>
      <w:bookmarkEnd w:id="89"/>
      <w:r>
        <w:rPr>
          <w:rFonts w:hint="default" w:ascii="Times New Roman" w:hAnsi="Times New Roman" w:eastAsia="仿宋_GB2312" w:cs="Times New Roman"/>
          <w:b w:val="0"/>
          <w:bCs w:val="0"/>
          <w:lang w:eastAsia="zh-CN"/>
        </w:rPr>
        <w:t>国有资本经营预算财政拨款支出决算表</w:t>
      </w:r>
      <w:bookmarkEnd w:id="90"/>
    </w:p>
    <w:p w14:paraId="46F0EB0B">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bCs w:val="0"/>
          <w:lang w:eastAsia="zh-CN"/>
        </w:rPr>
      </w:pPr>
      <w:bookmarkStart w:id="91" w:name="_Toc15396631"/>
      <w:bookmarkStart w:id="92" w:name="_Toc13"/>
      <w:r>
        <w:rPr>
          <w:rFonts w:hint="default" w:ascii="Times New Roman" w:hAnsi="Times New Roman" w:eastAsia="仿宋_GB2312" w:cs="Times New Roman"/>
          <w:b w:val="0"/>
          <w:bCs w:val="0"/>
        </w:rPr>
        <w:t>十三、</w:t>
      </w:r>
      <w:bookmarkEnd w:id="91"/>
      <w:r>
        <w:rPr>
          <w:rFonts w:hint="default" w:ascii="Times New Roman" w:hAnsi="Times New Roman" w:eastAsia="仿宋_GB2312" w:cs="Times New Roman"/>
          <w:b w:val="0"/>
          <w:bCs w:val="0"/>
          <w:lang w:eastAsia="zh-CN"/>
        </w:rPr>
        <w:t>财政拨款“三公”经费支出决算表</w:t>
      </w:r>
      <w:bookmarkEnd w:id="92"/>
    </w:p>
    <w:p w14:paraId="489928FB">
      <w:pPr>
        <w:pStyle w:val="4"/>
        <w:pageBreakBefore w:val="0"/>
        <w:kinsoku/>
        <w:wordWrap/>
        <w:overflowPunct/>
        <w:topLinePunct w:val="0"/>
        <w:bidi w:val="0"/>
        <w:spacing w:before="0" w:after="0" w:line="576" w:lineRule="exact"/>
        <w:ind w:left="0" w:leftChars="0" w:firstLine="643" w:firstLineChars="200"/>
        <w:rPr>
          <w:rFonts w:hint="default" w:ascii="Times New Roman" w:hAnsi="Times New Roman" w:cs="Times New Roman"/>
          <w:lang w:eastAsia="zh-CN"/>
        </w:rPr>
      </w:pPr>
    </w:p>
    <w:sectPr>
      <w:footerReference r:id="rId9" w:type="first"/>
      <w:headerReference r:id="rId7" w:type="defaul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F9B3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B76F9">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06E0B">
                          <w:pPr>
                            <w:pStyle w:val="1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E006E0B">
                    <w:pPr>
                      <w:pStyle w:val="1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F7905">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C34C9">
                          <w:pPr>
                            <w:pStyle w:val="1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13</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2CC34C9">
                    <w:pPr>
                      <w:pStyle w:val="1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13</w:t>
                    </w:r>
                    <w:r>
                      <w:rPr>
                        <w:sz w:val="28"/>
                        <w:szCs w:val="28"/>
                      </w:rPr>
                      <w:fldChar w:fldCharType="end"/>
                    </w:r>
                    <w:r>
                      <w:rPr>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4AC3D">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EB925E">
                          <w:pPr>
                            <w:pStyle w:val="1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16</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EB925E">
                    <w:pPr>
                      <w:pStyle w:val="1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16</w:t>
                    </w:r>
                    <w:r>
                      <w:rPr>
                        <w:sz w:val="28"/>
                        <w:szCs w:val="28"/>
                      </w:rPr>
                      <w:fldChar w:fldCharType="end"/>
                    </w:r>
                    <w:r>
                      <w:rPr>
                        <w:sz w:val="28"/>
                        <w:szCs w:val="28"/>
                      </w:rPr>
                      <w:t xml:space="preserve"> —</w:t>
                    </w:r>
                  </w:p>
                </w:txbxContent>
              </v:textbox>
            </v:shape>
          </w:pict>
        </mc:Fallback>
      </mc:AlternateContent>
    </w:r>
  </w:p>
  <w:p w14:paraId="4A9E32EE">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0EAD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7E0BD">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517E0BD">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94AE">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B3CCA">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3839CC"/>
    <w:multiLevelType w:val="singleLevel"/>
    <w:tmpl w:val="F83839CC"/>
    <w:lvl w:ilvl="0" w:tentative="0">
      <w:start w:val="1"/>
      <w:numFmt w:val="chineseCounting"/>
      <w:suff w:val="nothing"/>
      <w:lvlText w:val="（%1）"/>
      <w:lvlJc w:val="left"/>
      <w:pPr>
        <w:tabs>
          <w:tab w:val="left" w:pos="0"/>
        </w:tabs>
        <w:ind w:left="-42" w:firstLine="0"/>
      </w:pPr>
      <w:rPr>
        <w:rFonts w:hint="eastAsia" w:ascii="楷体" w:hAnsi="楷体" w:eastAsia="楷体" w:cs="楷体"/>
        <w:b/>
        <w:bCs/>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D46B46"/>
    <w:rsid w:val="02317B1B"/>
    <w:rsid w:val="02FEBE30"/>
    <w:rsid w:val="041A50C8"/>
    <w:rsid w:val="054A15F9"/>
    <w:rsid w:val="061E35DE"/>
    <w:rsid w:val="066E0107"/>
    <w:rsid w:val="06DA69AD"/>
    <w:rsid w:val="073528FC"/>
    <w:rsid w:val="07996F6E"/>
    <w:rsid w:val="07DFD8BA"/>
    <w:rsid w:val="08017F69"/>
    <w:rsid w:val="08D85279"/>
    <w:rsid w:val="08DB07E4"/>
    <w:rsid w:val="09867E8F"/>
    <w:rsid w:val="09A31DD2"/>
    <w:rsid w:val="0A2032A3"/>
    <w:rsid w:val="0C6C4794"/>
    <w:rsid w:val="0C8353F1"/>
    <w:rsid w:val="0CA8290A"/>
    <w:rsid w:val="0CAA388E"/>
    <w:rsid w:val="0D35B1ED"/>
    <w:rsid w:val="0DE07E2B"/>
    <w:rsid w:val="0ED97846"/>
    <w:rsid w:val="0F98263C"/>
    <w:rsid w:val="101860EC"/>
    <w:rsid w:val="102D5D9F"/>
    <w:rsid w:val="10C055FF"/>
    <w:rsid w:val="11772AA4"/>
    <w:rsid w:val="118107EC"/>
    <w:rsid w:val="12070D49"/>
    <w:rsid w:val="13D50BC4"/>
    <w:rsid w:val="14022904"/>
    <w:rsid w:val="1448764C"/>
    <w:rsid w:val="14905E48"/>
    <w:rsid w:val="152F2A07"/>
    <w:rsid w:val="165E0673"/>
    <w:rsid w:val="16BB723D"/>
    <w:rsid w:val="17BF35A9"/>
    <w:rsid w:val="186504BB"/>
    <w:rsid w:val="1938089F"/>
    <w:rsid w:val="19A445FC"/>
    <w:rsid w:val="1A50725A"/>
    <w:rsid w:val="1ABE44AC"/>
    <w:rsid w:val="1B7D550C"/>
    <w:rsid w:val="1BE8440E"/>
    <w:rsid w:val="1D155CEE"/>
    <w:rsid w:val="1D1631C4"/>
    <w:rsid w:val="1E740ACF"/>
    <w:rsid w:val="1EF02DBA"/>
    <w:rsid w:val="1F1620F4"/>
    <w:rsid w:val="1F2B5BA0"/>
    <w:rsid w:val="1F63002C"/>
    <w:rsid w:val="1FF35744"/>
    <w:rsid w:val="1FF6BC77"/>
    <w:rsid w:val="21962A9E"/>
    <w:rsid w:val="21AE7C77"/>
    <w:rsid w:val="22BC3C41"/>
    <w:rsid w:val="22EE13BE"/>
    <w:rsid w:val="23860B96"/>
    <w:rsid w:val="240371BF"/>
    <w:rsid w:val="25706A02"/>
    <w:rsid w:val="260F557C"/>
    <w:rsid w:val="281408E2"/>
    <w:rsid w:val="29FD04D3"/>
    <w:rsid w:val="2AF2240B"/>
    <w:rsid w:val="2BFF7BC6"/>
    <w:rsid w:val="2C8A61B5"/>
    <w:rsid w:val="2D2B7E9D"/>
    <w:rsid w:val="2D2E01CF"/>
    <w:rsid w:val="2DF04E50"/>
    <w:rsid w:val="2E9545B0"/>
    <w:rsid w:val="2F040D46"/>
    <w:rsid w:val="2FAE5751"/>
    <w:rsid w:val="2FB1A395"/>
    <w:rsid w:val="2FD9A7D8"/>
    <w:rsid w:val="319F7F4E"/>
    <w:rsid w:val="321B2544"/>
    <w:rsid w:val="3304709D"/>
    <w:rsid w:val="34281836"/>
    <w:rsid w:val="34757B91"/>
    <w:rsid w:val="349D6851"/>
    <w:rsid w:val="35BA6CAF"/>
    <w:rsid w:val="36486BE0"/>
    <w:rsid w:val="364D14C1"/>
    <w:rsid w:val="36AA5135"/>
    <w:rsid w:val="36BE0DA7"/>
    <w:rsid w:val="376B6AA6"/>
    <w:rsid w:val="376D39B2"/>
    <w:rsid w:val="37E16F03"/>
    <w:rsid w:val="37F53A3B"/>
    <w:rsid w:val="389B6C89"/>
    <w:rsid w:val="38C66E4B"/>
    <w:rsid w:val="38D469F0"/>
    <w:rsid w:val="395C33B6"/>
    <w:rsid w:val="39627CCD"/>
    <w:rsid w:val="397BAF1F"/>
    <w:rsid w:val="39846181"/>
    <w:rsid w:val="3AB79AF3"/>
    <w:rsid w:val="3B48249E"/>
    <w:rsid w:val="3B5A363D"/>
    <w:rsid w:val="3B7EF35A"/>
    <w:rsid w:val="3B9FDB6C"/>
    <w:rsid w:val="3BF5BC2F"/>
    <w:rsid w:val="3CEBA265"/>
    <w:rsid w:val="3D65276D"/>
    <w:rsid w:val="3D98207C"/>
    <w:rsid w:val="3D9B0D99"/>
    <w:rsid w:val="3DEE7CF3"/>
    <w:rsid w:val="3DF02244"/>
    <w:rsid w:val="3DF97B88"/>
    <w:rsid w:val="3E720C9E"/>
    <w:rsid w:val="3E78745D"/>
    <w:rsid w:val="3FB928FC"/>
    <w:rsid w:val="3FE47979"/>
    <w:rsid w:val="3FF4CAE0"/>
    <w:rsid w:val="3FF7B227"/>
    <w:rsid w:val="40E54C45"/>
    <w:rsid w:val="43A407DF"/>
    <w:rsid w:val="44515BEA"/>
    <w:rsid w:val="448B55E5"/>
    <w:rsid w:val="44E268DA"/>
    <w:rsid w:val="453F7E5B"/>
    <w:rsid w:val="46C329DE"/>
    <w:rsid w:val="486A6C7A"/>
    <w:rsid w:val="4883706C"/>
    <w:rsid w:val="49176D9B"/>
    <w:rsid w:val="4A627F82"/>
    <w:rsid w:val="4B0E749A"/>
    <w:rsid w:val="4B4F25DA"/>
    <w:rsid w:val="4BDA0CFB"/>
    <w:rsid w:val="4BE068DB"/>
    <w:rsid w:val="4D3C0CCC"/>
    <w:rsid w:val="4D491763"/>
    <w:rsid w:val="4D577224"/>
    <w:rsid w:val="4DBF1CEB"/>
    <w:rsid w:val="4E027201"/>
    <w:rsid w:val="4EAB630A"/>
    <w:rsid w:val="4ECE2238"/>
    <w:rsid w:val="4F833267"/>
    <w:rsid w:val="4FD742ED"/>
    <w:rsid w:val="4FE9BD67"/>
    <w:rsid w:val="4FFB052F"/>
    <w:rsid w:val="51B86EB8"/>
    <w:rsid w:val="52635075"/>
    <w:rsid w:val="53083A92"/>
    <w:rsid w:val="530E3233"/>
    <w:rsid w:val="537E6D0A"/>
    <w:rsid w:val="53AF27A2"/>
    <w:rsid w:val="53F74C96"/>
    <w:rsid w:val="556914E9"/>
    <w:rsid w:val="56E47B74"/>
    <w:rsid w:val="57BD3DD4"/>
    <w:rsid w:val="58B06B3A"/>
    <w:rsid w:val="58E862D4"/>
    <w:rsid w:val="5AF70A51"/>
    <w:rsid w:val="5AF92295"/>
    <w:rsid w:val="5B5437AD"/>
    <w:rsid w:val="5BDD79E6"/>
    <w:rsid w:val="5BF561CA"/>
    <w:rsid w:val="5BFF5DFC"/>
    <w:rsid w:val="5C233EED"/>
    <w:rsid w:val="5CD71FC4"/>
    <w:rsid w:val="5D1F11B5"/>
    <w:rsid w:val="5DAE1B18"/>
    <w:rsid w:val="5DE7D9E5"/>
    <w:rsid w:val="5ECEC941"/>
    <w:rsid w:val="5F493CB7"/>
    <w:rsid w:val="5FBF9FF3"/>
    <w:rsid w:val="5FCD4E2C"/>
    <w:rsid w:val="5FD15F49"/>
    <w:rsid w:val="5FEF394A"/>
    <w:rsid w:val="5FF67715"/>
    <w:rsid w:val="6261367F"/>
    <w:rsid w:val="62BF3928"/>
    <w:rsid w:val="647F5392"/>
    <w:rsid w:val="664B1D71"/>
    <w:rsid w:val="67AA3209"/>
    <w:rsid w:val="680A15F7"/>
    <w:rsid w:val="681C4F0D"/>
    <w:rsid w:val="68491856"/>
    <w:rsid w:val="69046D0F"/>
    <w:rsid w:val="698D0931"/>
    <w:rsid w:val="6A993CED"/>
    <w:rsid w:val="6B053271"/>
    <w:rsid w:val="6BCE6674"/>
    <w:rsid w:val="6C4A05C8"/>
    <w:rsid w:val="6C8742B8"/>
    <w:rsid w:val="6C8A170F"/>
    <w:rsid w:val="6CB54609"/>
    <w:rsid w:val="6DA700B4"/>
    <w:rsid w:val="6DBF5E93"/>
    <w:rsid w:val="6DFF077E"/>
    <w:rsid w:val="6E396879"/>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F72C8D"/>
    <w:rsid w:val="72233669"/>
    <w:rsid w:val="724367B5"/>
    <w:rsid w:val="72734D90"/>
    <w:rsid w:val="7332FE48"/>
    <w:rsid w:val="73364EFA"/>
    <w:rsid w:val="73AB61DA"/>
    <w:rsid w:val="73AD73D5"/>
    <w:rsid w:val="73B6EB34"/>
    <w:rsid w:val="73FA497D"/>
    <w:rsid w:val="744731E5"/>
    <w:rsid w:val="74527205"/>
    <w:rsid w:val="74BBD01D"/>
    <w:rsid w:val="74ED5379"/>
    <w:rsid w:val="74FC2395"/>
    <w:rsid w:val="75D02172"/>
    <w:rsid w:val="75DEEEC2"/>
    <w:rsid w:val="76516E0F"/>
    <w:rsid w:val="76E3355F"/>
    <w:rsid w:val="76FF5125"/>
    <w:rsid w:val="776F6FFA"/>
    <w:rsid w:val="778769C8"/>
    <w:rsid w:val="77BB389B"/>
    <w:rsid w:val="77DC22F5"/>
    <w:rsid w:val="78886D34"/>
    <w:rsid w:val="79086DAD"/>
    <w:rsid w:val="79974F09"/>
    <w:rsid w:val="79D7FD79"/>
    <w:rsid w:val="79EE5BA4"/>
    <w:rsid w:val="79FA5A10"/>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basedOn w:val="1"/>
    <w:next w:val="7"/>
    <w:link w:val="28"/>
    <w:qFormat/>
    <w:uiPriority w:val="99"/>
    <w:pPr>
      <w:spacing w:beforeLines="30"/>
    </w:pPr>
    <w:rPr>
      <w:rFonts w:ascii="仿宋_GB2312" w:eastAsia="仿宋_GB2312"/>
      <w:kern w:val="0"/>
      <w:sz w:val="30"/>
    </w:rPr>
  </w:style>
  <w:style w:type="paragraph" w:styleId="7">
    <w:name w:val="Date"/>
    <w:basedOn w:val="1"/>
    <w:next w:val="1"/>
    <w:qFormat/>
    <w:uiPriority w:val="0"/>
    <w:pPr>
      <w:ind w:left="2500" w:leftChars="2500"/>
    </w:p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widowControl w:val="0"/>
      <w:spacing w:beforeAutospacing="1" w:afterAutospacing="1"/>
      <w:jc w:val="left"/>
    </w:pPr>
    <w:rPr>
      <w:rFonts w:ascii="Calibri" w:hAnsi="Calibri" w:eastAsia="宋体" w:cs="Times New Roman"/>
      <w:kern w:val="0"/>
      <w:sz w:val="24"/>
      <w:szCs w:val="24"/>
      <w:lang w:val="en-US" w:eastAsia="zh-CN" w:bidi="ar-SA"/>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Body Text First Indent 21"/>
    <w:basedOn w:val="39"/>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39">
    <w:name w:val="Body Text Indent1"/>
    <w:basedOn w:val="1"/>
    <w:qFormat/>
    <w:uiPriority w:val="0"/>
    <w:pPr>
      <w:ind w:firstLine="624"/>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收入、支出总计变动情况表</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收入、支出总计变动</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Sheet1!$B$2:$B$5</c:f>
              <c:numCache>
                <c:formatCode>General</c:formatCode>
                <c:ptCount val="4"/>
                <c:pt idx="0">
                  <c:v>421.48</c:v>
                </c:pt>
                <c:pt idx="1">
                  <c:v>453.84</c:v>
                </c:pt>
                <c:pt idx="2">
                  <c:v>421.48</c:v>
                </c:pt>
                <c:pt idx="3">
                  <c:v>453.84</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268345994"/>
        <c:axId val="762964840"/>
      </c:barChart>
      <c:catAx>
        <c:axId val="2683459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64840"/>
        <c:crosses val="autoZero"/>
        <c:auto val="1"/>
        <c:lblAlgn val="ctr"/>
        <c:lblOffset val="100"/>
        <c:noMultiLvlLbl val="0"/>
      </c:catAx>
      <c:valAx>
        <c:axId val="7629648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8345994"/>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0e002ac-bd48-48d3-92af-35caa5892a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总收入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一般公共预算收入</c:v>
                </c:pt>
              </c:strCache>
            </c:strRef>
          </c:cat>
          <c:val>
            <c:numRef>
              <c:f>Sheet1!$B$2:$B$5</c:f>
              <c:numCache>
                <c:formatCode>General</c:formatCode>
                <c:ptCount val="4"/>
                <c:pt idx="0">
                  <c:v>453.84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1"/>
        <c:delete val="1"/>
      </c:legendEntry>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70809c8-dd8f-4a7f-a5df-38593400ce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总支出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strCache>
            </c:strRef>
          </c:cat>
          <c:val>
            <c:numRef>
              <c:f>Sheet1!$B$2:$B$5</c:f>
              <c:numCache>
                <c:formatCode>General</c:formatCode>
                <c:ptCount val="4"/>
                <c:pt idx="0">
                  <c:v>453.84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1"/>
        <c:delete val="1"/>
      </c:legendEntry>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88e19f-4c85-4ac7-b94d-fcb5304ae1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收入、支出总计变动情况表</a:t>
            </a:r>
          </a:p>
        </c:rich>
      </c:tx>
      <c:layout>
        <c:manualLayout>
          <c:xMode val="edge"/>
          <c:yMode val="edge"/>
          <c:x val="0.419666586131916"/>
          <c:y val="0.0063748406289842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收入、支出总计变动</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Sheet1!$B$2:$B$5</c:f>
              <c:numCache>
                <c:formatCode>General</c:formatCode>
                <c:ptCount val="4"/>
                <c:pt idx="0">
                  <c:v>421.48</c:v>
                </c:pt>
                <c:pt idx="1">
                  <c:v>453.84</c:v>
                </c:pt>
                <c:pt idx="2">
                  <c:v>421.48</c:v>
                </c:pt>
                <c:pt idx="3">
                  <c:v>453.84</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173488568"/>
        <c:axId val="369002615"/>
      </c:barChart>
      <c:catAx>
        <c:axId val="1734885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9002615"/>
        <c:crosses val="autoZero"/>
        <c:auto val="1"/>
        <c:lblAlgn val="ctr"/>
        <c:lblOffset val="100"/>
        <c:noMultiLvlLbl val="0"/>
      </c:catAx>
      <c:valAx>
        <c:axId val="36900261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488568"/>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cc34780-9ed6-4a07-9261-ba89c93ec9d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一般公共预算财政支出</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2024年支出</c:v>
                </c:pt>
                <c:pt idx="1">
                  <c:v>2025年支出</c:v>
                </c:pt>
              </c:strCache>
            </c:strRef>
          </c:cat>
          <c:val>
            <c:numRef>
              <c:f>Sheet1!$B$2:$B$5</c:f>
              <c:numCache>
                <c:formatCode>General</c:formatCode>
                <c:ptCount val="4"/>
                <c:pt idx="0">
                  <c:v>421.48</c:v>
                </c:pt>
                <c:pt idx="1">
                  <c:v>453.84</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2024年支出</c:v>
                </c:pt>
                <c:pt idx="1">
                  <c:v>2025年支出</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2024年支出</c:v>
                </c:pt>
                <c:pt idx="1">
                  <c:v>2025年支出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552209875"/>
        <c:axId val="651676273"/>
      </c:barChart>
      <c:catAx>
        <c:axId val="5522098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1676273"/>
        <c:crosses val="autoZero"/>
        <c:auto val="1"/>
        <c:lblAlgn val="ctr"/>
        <c:lblOffset val="100"/>
        <c:noMultiLvlLbl val="0"/>
      </c:catAx>
      <c:valAx>
        <c:axId val="6516762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209875"/>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3cdc85f-7876-481b-a516-3b86abf0384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社会保障就业支出</c:v>
                </c:pt>
                <c:pt idx="1">
                  <c:v>卫生健康支出</c:v>
                </c:pt>
                <c:pt idx="2">
                  <c:v>城乡社区支出</c:v>
                </c:pt>
                <c:pt idx="3">
                  <c:v>住房保障支出</c:v>
                </c:pt>
              </c:strCache>
            </c:strRef>
          </c:cat>
          <c:val>
            <c:numRef>
              <c:f>Sheet1!$B$2:$B$5</c:f>
              <c:numCache>
                <c:formatCode>General</c:formatCode>
                <c:ptCount val="4"/>
                <c:pt idx="0">
                  <c:v>67.45</c:v>
                </c:pt>
                <c:pt idx="1">
                  <c:v>22.63</c:v>
                </c:pt>
                <c:pt idx="2">
                  <c:v>330.06</c:v>
                </c:pt>
                <c:pt idx="3">
                  <c:v>7.42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7073c2-ff45-4c10-9fb7-d3dec6293fa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4332</Words>
  <Characters>4669</Characters>
  <Lines>61</Lines>
  <Paragraphs>17</Paragraphs>
  <TotalTime>4</TotalTime>
  <ScaleCrop>false</ScaleCrop>
  <LinksUpToDate>false</LinksUpToDate>
  <CharactersWithSpaces>4711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a四叶草</cp:lastModifiedBy>
  <cp:lastPrinted>2026-10-19T13:42:00Z</cp:lastPrinted>
  <dcterms:modified xsi:type="dcterms:W3CDTF">2026-10-21T01:50:48Z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D14260EB951D437BA861D521E8DB5042_13</vt:lpwstr>
  </property>
  <property fmtid="{D5CDD505-2E9C-101B-9397-08002B2CF9AE}" pid="4" name="KSOTemplateDocerSaveRecord">
    <vt:lpwstr>eyJoZGlkIjoiOTE5YmIwMDQ5Y2I0OWU1NGQzYzI3N2IzNjY1NWY1ZWYiLCJ1c2VySWQiOiIzNDM2MzU0MDAifQ==</vt:lpwstr>
  </property>
</Properties>
</file>