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jc w:val="center"/>
        <w:rPr>
          <w:rFonts w:hint="eastAsia" w:ascii="黑体" w:hAnsi="黑体" w:eastAsia="黑体" w:cs="黑体"/>
          <w:sz w:val="48"/>
          <w:szCs w:val="48"/>
          <w:lang w:eastAsia="zh-CN"/>
        </w:rPr>
      </w:pPr>
      <w:r>
        <w:rPr>
          <w:rFonts w:hint="eastAsia" w:ascii="黑体" w:hAnsi="黑体" w:eastAsia="黑体" w:cs="黑体"/>
          <w:sz w:val="48"/>
          <w:szCs w:val="48"/>
        </w:rPr>
        <w:t>壤塘县住房和城乡建设局</w:t>
      </w:r>
      <w:r>
        <w:rPr>
          <w:rFonts w:hint="eastAsia" w:ascii="黑体" w:hAnsi="黑体" w:eastAsia="黑体" w:cs="黑体"/>
          <w:sz w:val="48"/>
          <w:szCs w:val="48"/>
          <w:lang w:eastAsia="zh-CN"/>
        </w:rPr>
        <w:t>质量监督站</w:t>
      </w:r>
    </w:p>
    <w:p>
      <w:pPr>
        <w:pStyle w:val="2"/>
        <w:rPr>
          <w:rFonts w:hint="eastAsia"/>
          <w:lang w:eastAsia="zh-CN"/>
        </w:rPr>
      </w:pPr>
    </w:p>
    <w:p>
      <w:pPr>
        <w:jc w:val="center"/>
        <w:rPr>
          <w:rFonts w:hint="eastAsia" w:ascii="黑体" w:hAnsi="黑体" w:eastAsia="黑体" w:cs="Times New Roman"/>
          <w:sz w:val="48"/>
          <w:szCs w:val="48"/>
          <w:lang w:eastAsia="zh-CN"/>
        </w:rPr>
      </w:pPr>
      <w:r>
        <w:rPr>
          <w:rFonts w:ascii="黑体" w:hAnsi="黑体" w:eastAsia="黑体" w:cs="黑体"/>
          <w:sz w:val="48"/>
          <w:szCs w:val="48"/>
        </w:rPr>
        <w:t>202</w:t>
      </w:r>
      <w:r>
        <w:rPr>
          <w:rFonts w:hint="eastAsia" w:ascii="黑体" w:hAnsi="黑体" w:eastAsia="黑体" w:cs="黑体"/>
          <w:sz w:val="48"/>
          <w:szCs w:val="48"/>
          <w:lang w:val="en-US" w:eastAsia="zh-CN"/>
        </w:rPr>
        <w:t>1</w:t>
      </w:r>
      <w:r>
        <w:rPr>
          <w:rFonts w:ascii="黑体" w:hAnsi="黑体" w:eastAsia="黑体" w:cs="黑体"/>
          <w:sz w:val="48"/>
          <w:szCs w:val="48"/>
        </w:rPr>
        <w:t>年</w:t>
      </w:r>
      <w:r>
        <w:rPr>
          <w:rFonts w:hint="eastAsia" w:ascii="黑体" w:hAnsi="黑体" w:eastAsia="黑体" w:cs="黑体"/>
          <w:sz w:val="48"/>
          <w:szCs w:val="48"/>
        </w:rPr>
        <w:t>部门</w:t>
      </w:r>
      <w:r>
        <w:rPr>
          <w:rFonts w:hint="eastAsia" w:ascii="黑体" w:hAnsi="黑体" w:eastAsia="黑体" w:cs="黑体"/>
          <w:sz w:val="48"/>
          <w:szCs w:val="48"/>
          <w:lang w:eastAsia="zh-CN"/>
        </w:rPr>
        <w:t>决算公开</w:t>
      </w: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2022</w:t>
      </w:r>
      <w:r>
        <w:rPr>
          <w:rFonts w:hint="eastAsia" w:ascii="黑体" w:hAnsi="黑体" w:eastAsia="黑体" w:cs="黑体"/>
          <w:sz w:val="52"/>
          <w:szCs w:val="52"/>
        </w:rPr>
        <w:t>年</w:t>
      </w:r>
      <w:r>
        <w:rPr>
          <w:rFonts w:hint="eastAsia" w:ascii="黑体" w:hAnsi="黑体" w:eastAsia="黑体" w:cs="黑体"/>
          <w:sz w:val="52"/>
          <w:szCs w:val="52"/>
          <w:lang w:val="en-US" w:eastAsia="zh-CN"/>
        </w:rPr>
        <w:t>10</w:t>
      </w:r>
      <w:r>
        <w:rPr>
          <w:rFonts w:ascii="黑体" w:hAnsi="黑体" w:eastAsia="黑体" w:cs="黑体"/>
          <w:sz w:val="52"/>
          <w:szCs w:val="52"/>
        </w:rPr>
        <w:t xml:space="preserve"> </w:t>
      </w:r>
      <w:r>
        <w:rPr>
          <w:rFonts w:hint="eastAsia" w:ascii="黑体" w:hAnsi="黑体" w:eastAsia="黑体" w:cs="黑体"/>
          <w:sz w:val="52"/>
          <w:szCs w:val="52"/>
        </w:rPr>
        <w:t>月</w:t>
      </w:r>
      <w:r>
        <w:rPr>
          <w:rFonts w:ascii="黑体" w:hAnsi="黑体" w:eastAsia="黑体" w:cs="黑体"/>
          <w:sz w:val="52"/>
          <w:szCs w:val="52"/>
        </w:rPr>
        <w:t xml:space="preserve"> </w:t>
      </w:r>
      <w:r>
        <w:rPr>
          <w:rFonts w:hint="eastAsia" w:ascii="黑体" w:hAnsi="黑体" w:eastAsia="黑体" w:cs="黑体"/>
          <w:sz w:val="52"/>
          <w:szCs w:val="52"/>
          <w:lang w:val="en-US" w:eastAsia="zh-CN"/>
        </w:rPr>
        <w:t>20</w:t>
      </w:r>
      <w:r>
        <w:rPr>
          <w:rFonts w:hint="eastAsia" w:ascii="黑体" w:hAnsi="黑体" w:eastAsia="黑体" w:cs="黑体"/>
          <w:sz w:val="52"/>
          <w:szCs w:val="52"/>
        </w:rPr>
        <w:t>日</w:t>
      </w:r>
    </w:p>
    <w:p>
      <w:pPr>
        <w:rPr>
          <w:rFonts w:ascii="黑体" w:hAnsi="黑体" w:eastAsia="黑体" w:cs="Times New Roman"/>
          <w:sz w:val="44"/>
          <w:szCs w:val="44"/>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jc w:val="both"/>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 xml:space="preserve"> 月 </w:t>
      </w:r>
      <w:r>
        <w:rPr>
          <w:rFonts w:hint="eastAsia" w:hAnsiTheme="minorHAnsi"/>
          <w:b w:val="0"/>
          <w:bCs w:val="0"/>
          <w:sz w:val="24"/>
          <w:szCs w:val="24"/>
          <w:lang w:val="en-US" w:eastAsia="zh-CN"/>
        </w:rPr>
        <w:t>20</w:t>
      </w:r>
      <w:r>
        <w:rPr>
          <w:rFonts w:hint="eastAsia" w:hAnsiTheme="minorHAnsi"/>
          <w:b w:val="0"/>
          <w:bCs w:val="0"/>
          <w:sz w:val="24"/>
          <w:szCs w:val="24"/>
        </w:rPr>
        <w:t>日</w:t>
      </w:r>
    </w:p>
    <w:p>
      <w:pPr>
        <w:pStyle w:val="15"/>
        <w:tabs>
          <w:tab w:val="right" w:leader="dot" w:pos="8296"/>
        </w:tabs>
        <w:rPr>
          <w:rFonts w:hint="eastAsia" w:hAnsiTheme="minorHAnsi" w:eastAsiaTheme="minorHAnsi" w:cstheme="minorBidi"/>
          <w:b w:val="0"/>
          <w:bCs w:val="0"/>
          <w:caps w:val="0"/>
          <w:sz w:val="21"/>
          <w:szCs w:val="22"/>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4</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4</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（一）主要职能。</w:t>
      </w:r>
      <w:r>
        <w:tab/>
      </w:r>
      <w:r>
        <w:rPr>
          <w:rFonts w:hint="eastAsia"/>
          <w:lang w:val="en-US" w:eastAsia="zh-CN"/>
        </w:rPr>
        <w:t>4</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rPr>
          <w:rFonts w:hint="eastAsia"/>
          <w:lang w:val="en-US" w:eastAsia="zh-CN"/>
        </w:rPr>
        <w:t>4</w:t>
      </w:r>
    </w:p>
    <w:p>
      <w:pPr>
        <w:pStyle w:val="18"/>
        <w:tabs>
          <w:tab w:val="right" w:leader="dot" w:pos="8296"/>
        </w:tabs>
        <w:rPr>
          <w:rFonts w:hint="default" w:hAnsiTheme="minorHAnsi" w:eastAsiaTheme="minorHAnsi" w:cstheme="minorBidi"/>
          <w:i w:val="0"/>
          <w:iC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5</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rPr>
          <w:rFonts w:hint="eastAsia"/>
          <w:lang w:val="en-US" w:eastAsia="zh-CN"/>
        </w:rPr>
        <w:t>6</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6</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7</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8</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9</w:t>
      </w:r>
    </w:p>
    <w:p>
      <w:pPr>
        <w:pStyle w:val="10"/>
        <w:tabs>
          <w:tab w:val="right" w:leader="dot" w:pos="8296"/>
        </w:tabs>
        <w:rPr>
          <w:rFonts w:hint="eastAsia"/>
          <w:lang w:val="en-US" w:eastAsia="zh-CN"/>
        </w:rPr>
      </w:pPr>
      <w:r>
        <w:rPr>
          <w:rFonts w:ascii="仿宋" w:hAnsi="仿宋" w:eastAsia="仿宋"/>
          <w:b/>
          <w:color w:val="000000"/>
        </w:rPr>
        <w:t>（一）一般公共预算财政拨款支出决算总体情况</w:t>
      </w:r>
      <w:r>
        <w:tab/>
      </w:r>
      <w:r>
        <w:rPr>
          <w:rFonts w:hint="eastAsia"/>
          <w:lang w:val="en-US" w:eastAsia="zh-CN"/>
        </w:rPr>
        <w:t>9</w:t>
      </w:r>
    </w:p>
    <w:p>
      <w:pPr>
        <w:pStyle w:val="10"/>
        <w:tabs>
          <w:tab w:val="right" w:leader="dot" w:pos="8296"/>
        </w:tabs>
        <w:rPr>
          <w:rFonts w:hint="default"/>
          <w:lang w:val="en-US" w:eastAsia="zh-CN"/>
        </w:rPr>
      </w:pPr>
      <w:r>
        <w:rPr>
          <w:rFonts w:ascii="仿宋" w:hAnsi="仿宋" w:eastAsia="仿宋"/>
          <w:b/>
          <w:color w:val="000000"/>
        </w:rPr>
        <w:t>（二）一般公共预算财政拨款支出决算结构情况</w:t>
      </w:r>
      <w:r>
        <w:tab/>
      </w:r>
      <w:r>
        <w:rPr>
          <w:rFonts w:hint="eastAsia"/>
          <w:lang w:val="en-US" w:eastAsia="zh-CN"/>
        </w:rPr>
        <w:t>10</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12</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13</w:t>
      </w:r>
    </w:p>
    <w:p>
      <w:pPr>
        <w:pStyle w:val="18"/>
        <w:tabs>
          <w:tab w:val="right" w:leader="dot" w:pos="8296"/>
        </w:tabs>
        <w:rPr>
          <w:rFonts w:hint="default"/>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13</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13</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13</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13</w:t>
      </w:r>
    </w:p>
    <w:p>
      <w:pPr>
        <w:pStyle w:val="10"/>
        <w:tabs>
          <w:tab w:val="right" w:leader="dot" w:pos="8296"/>
        </w:tabs>
        <w:rPr>
          <w:rFonts w:hint="eastAsia"/>
          <w:lang w:val="en-US" w:eastAsia="zh-CN"/>
        </w:rPr>
      </w:pPr>
      <w:r>
        <w:rPr>
          <w:rFonts w:ascii="仿宋" w:hAnsi="仿宋" w:eastAsia="仿宋"/>
          <w:b/>
          <w:color w:val="000000"/>
        </w:rPr>
        <w:t>（二）政府采购支出情况</w:t>
      </w:r>
      <w:r>
        <w:tab/>
      </w:r>
      <w:r>
        <w:rPr>
          <w:rFonts w:hint="eastAsia"/>
          <w:lang w:val="en-US" w:eastAsia="zh-CN"/>
        </w:rPr>
        <w:t>13</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14</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14</w:t>
      </w:r>
    </w:p>
    <w:p>
      <w:pPr>
        <w:pStyle w:val="15"/>
        <w:tabs>
          <w:tab w:val="right" w:leader="dot" w:pos="8296"/>
        </w:tabs>
        <w:rPr>
          <w:rFonts w:hint="eastAsia"/>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15</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18</w:t>
      </w:r>
    </w:p>
    <w:p>
      <w:pPr>
        <w:pStyle w:val="18"/>
        <w:tabs>
          <w:tab w:val="right" w:leader="dot" w:pos="8296"/>
        </w:tabs>
        <w:rPr>
          <w:rFonts w:hint="eastAsia"/>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18</w:t>
      </w:r>
    </w:p>
    <w:p>
      <w:pPr>
        <w:pStyle w:val="18"/>
        <w:tabs>
          <w:tab w:val="right" w:leader="dot" w:pos="8296"/>
        </w:tabs>
        <w:rPr>
          <w:rFonts w:hint="eastAsia"/>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rPr>
          <w:rFonts w:hint="eastAsia"/>
          <w:lang w:val="en-US" w:eastAsia="zh-CN"/>
        </w:rPr>
        <w:t>18</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18</w:t>
      </w:r>
    </w:p>
    <w:p>
      <w:r>
        <w:rPr>
          <w:rFonts w:asciiTheme="minorHAnsi" w:eastAsiaTheme="minorHAnsi"/>
          <w:b/>
          <w:bCs/>
          <w:caps/>
          <w:sz w:val="20"/>
          <w:szCs w:val="20"/>
        </w:rPr>
        <w:fldChar w:fldCharType="end"/>
      </w:r>
    </w:p>
    <w:p>
      <w:pPr>
        <w:widowControl/>
        <w:spacing w:line="440" w:lineRule="exact"/>
        <w:jc w:val="center"/>
        <w:rPr>
          <w:rStyle w:val="27"/>
          <w:rFonts w:ascii="黑体" w:hAnsi="黑体" w:eastAsia="黑体"/>
          <w:b/>
          <w:bCs w:val="0"/>
        </w:rPr>
      </w:pPr>
      <w:bookmarkStart w:id="1" w:name="_Toc15377196"/>
      <w:bookmarkStart w:id="2" w:name="_Toc15396599"/>
      <w:bookmarkStart w:id="3" w:name="_Toc79163851"/>
      <w:bookmarkStart w:id="4" w:name="_Toc79163601"/>
      <w:r>
        <w:rPr>
          <w:rStyle w:val="27"/>
          <w:rFonts w:hint="eastAsia" w:ascii="黑体" w:hAnsi="黑体" w:eastAsia="黑体"/>
          <w:b w:val="0"/>
          <w:bCs w:val="0"/>
        </w:rPr>
        <w:t>第一部分 部门概况</w:t>
      </w:r>
      <w:bookmarkEnd w:id="1"/>
      <w:bookmarkEnd w:id="2"/>
      <w:bookmarkEnd w:id="3"/>
      <w:bookmarkEnd w:id="4"/>
    </w:p>
    <w:p>
      <w:pPr>
        <w:widowControl/>
        <w:jc w:val="left"/>
        <w:rPr>
          <w:rFonts w:ascii="黑体" w:eastAsia="黑体"/>
          <w:color w:val="000000"/>
          <w:sz w:val="32"/>
          <w:szCs w:val="32"/>
        </w:rPr>
      </w:pPr>
    </w:p>
    <w:p>
      <w:pPr>
        <w:pStyle w:val="4"/>
        <w:rPr>
          <w:rStyle w:val="28"/>
          <w:rFonts w:ascii="仿宋" w:hAnsi="仿宋" w:eastAsia="仿宋"/>
          <w:b w:val="0"/>
          <w:bCs w:val="0"/>
        </w:rPr>
      </w:pPr>
      <w:bookmarkStart w:id="5" w:name="_Toc79163852"/>
      <w:bookmarkStart w:id="6" w:name="_Toc15377197"/>
      <w:bookmarkStart w:id="7" w:name="_Toc15396600"/>
      <w:bookmarkStart w:id="8" w:name="_Toc79163602"/>
      <w:r>
        <w:rPr>
          <w:rFonts w:hint="eastAsia" w:ascii="黑体" w:hAnsi="黑体" w:eastAsia="黑体"/>
          <w:b w:val="0"/>
          <w:color w:val="000000"/>
        </w:rPr>
        <w:t>一、基</w:t>
      </w:r>
      <w:r>
        <w:rPr>
          <w:rStyle w:val="28"/>
          <w:rFonts w:hint="eastAsia" w:ascii="黑体" w:hAnsi="黑体" w:eastAsia="黑体"/>
          <w:b w:val="0"/>
          <w:bCs w:val="0"/>
        </w:rPr>
        <w:t>本职能及主要工作</w:t>
      </w:r>
      <w:bookmarkEnd w:id="5"/>
      <w:bookmarkEnd w:id="6"/>
      <w:bookmarkEnd w:id="7"/>
      <w:bookmarkEnd w:id="8"/>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9" w:name="_Toc79163853"/>
      <w:bookmarkStart w:id="10" w:name="_Toc79163603"/>
      <w:bookmarkStart w:id="11" w:name="_Toc15377198"/>
      <w:bookmarkStart w:id="12" w:name="_Toc15378445"/>
      <w:r>
        <w:rPr>
          <w:rFonts w:hint="eastAsia" w:ascii="仿宋" w:hAnsi="仿宋" w:eastAsia="仿宋"/>
          <w:bCs/>
          <w:color w:val="000000"/>
          <w:sz w:val="32"/>
          <w:szCs w:val="32"/>
        </w:rPr>
        <w:t>（一）主要职能。</w:t>
      </w:r>
      <w:bookmarkEnd w:id="9"/>
      <w:bookmarkEnd w:id="10"/>
    </w:p>
    <w:bookmarkEnd w:id="11"/>
    <w:bookmarkEnd w:id="12"/>
    <w:p>
      <w:pPr>
        <w:pStyle w:val="20"/>
        <w:keepNext w:val="0"/>
        <w:keepLines w:val="0"/>
        <w:widowControl/>
        <w:suppressLineNumbers w:val="0"/>
        <w:spacing w:before="408" w:beforeAutospacing="0" w:after="106" w:afterAutospacing="0" w:line="30" w:lineRule="atLeast"/>
        <w:ind w:right="0" w:firstLine="640" w:firstLineChars="200"/>
        <w:rPr>
          <w:rFonts w:hint="eastAsia" w:ascii="仿宋" w:hAnsi="仿宋" w:eastAsia="仿宋" w:cs="仿宋"/>
          <w:color w:val="333333"/>
          <w:sz w:val="32"/>
          <w:szCs w:val="32"/>
          <w:shd w:val="clear" w:fill="FFFFFF"/>
          <w:lang w:eastAsia="zh-CN"/>
        </w:rPr>
      </w:pPr>
      <w:bookmarkStart w:id="13" w:name="_Toc15378446"/>
      <w:bookmarkStart w:id="14" w:name="_Toc15377199"/>
      <w:bookmarkStart w:id="15" w:name="_Toc79163604"/>
      <w:bookmarkStart w:id="16" w:name="_Toc79163854"/>
      <w:r>
        <w:rPr>
          <w:rFonts w:hint="eastAsia" w:ascii="仿宋" w:hAnsi="仿宋" w:eastAsia="仿宋" w:cs="仿宋"/>
          <w:color w:val="333333"/>
          <w:sz w:val="32"/>
          <w:szCs w:val="32"/>
          <w:shd w:val="clear" w:fill="FFFFFF"/>
        </w:rPr>
        <w:t>负责各类房屋建筑及其附属设施的建设与配套的线路、管道、设备安装项目和市政工程项目的初步设计审查、施工图审批、开工审批和招标活动的执法监督</w:t>
      </w:r>
      <w:r>
        <w:rPr>
          <w:rFonts w:hint="eastAsia" w:ascii="仿宋" w:hAnsi="仿宋" w:eastAsia="仿宋" w:cs="仿宋"/>
          <w:color w:val="333333"/>
          <w:sz w:val="32"/>
          <w:szCs w:val="32"/>
          <w:shd w:val="clear" w:fill="FFFFFF"/>
          <w:lang w:eastAsia="zh-CN"/>
        </w:rPr>
        <w:t>。</w:t>
      </w:r>
    </w:p>
    <w:p>
      <w:pPr>
        <w:pStyle w:val="7"/>
        <w:adjustRightInd w:val="0"/>
        <w:snapToGrid w:val="0"/>
        <w:spacing w:before="93" w:line="600" w:lineRule="exact"/>
        <w:ind w:firstLine="672" w:firstLineChars="210"/>
        <w:outlineLvl w:val="2"/>
        <w:rPr>
          <w:rFonts w:hint="eastAsia" w:ascii="仿宋_GB2312" w:eastAsia="仿宋_GB2312" w:cs="仿宋_GB2312"/>
          <w:b w:val="0"/>
          <w:i w:val="0"/>
          <w:caps w:val="0"/>
          <w:spacing w:val="0"/>
          <w:w w:val="1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13"/>
      <w:bookmarkEnd w:id="14"/>
      <w:bookmarkEnd w:id="15"/>
      <w:bookmarkEnd w:id="16"/>
    </w:p>
    <w:p>
      <w:pPr>
        <w:snapToGrid/>
        <w:spacing w:before="0" w:beforeAutospacing="0" w:after="0" w:afterAutospacing="0" w:line="520" w:lineRule="exact"/>
        <w:ind w:firstLine="643" w:firstLineChars="200"/>
        <w:jc w:val="both"/>
        <w:textAlignment w:val="baseline"/>
        <w:rPr>
          <w:rFonts w:hint="eastAsia" w:ascii="仿宋_GB2312" w:eastAsia="仿宋_GB2312" w:cs="仿宋_GB2312"/>
          <w:b w:val="0"/>
          <w:i w:val="0"/>
          <w:caps w:val="0"/>
          <w:spacing w:val="0"/>
          <w:w w:val="100"/>
          <w:sz w:val="32"/>
          <w:szCs w:val="32"/>
        </w:rPr>
      </w:pPr>
      <w:r>
        <w:rPr>
          <w:rFonts w:hint="eastAsia" w:ascii="楷体_GB2312" w:eastAsia="楷体_GB2312"/>
          <w:b/>
          <w:i w:val="0"/>
          <w:caps w:val="0"/>
          <w:spacing w:val="0"/>
          <w:w w:val="100"/>
          <w:sz w:val="32"/>
          <w:szCs w:val="32"/>
        </w:rPr>
        <w:t>狠抓质量安全，规范建筑市场；</w:t>
      </w:r>
      <w:r>
        <w:rPr>
          <w:rFonts w:hint="eastAsia" w:ascii="仿宋_GB2312" w:eastAsia="仿宋_GB2312"/>
          <w:b/>
          <w:i w:val="0"/>
          <w:caps w:val="0"/>
          <w:spacing w:val="0"/>
          <w:w w:val="100"/>
          <w:sz w:val="32"/>
          <w:szCs w:val="32"/>
        </w:rPr>
        <w:t>一是</w:t>
      </w:r>
      <w:r>
        <w:rPr>
          <w:rFonts w:hint="eastAsia" w:ascii="仿宋_GB2312" w:eastAsia="仿宋_GB2312"/>
          <w:b w:val="0"/>
          <w:i w:val="0"/>
          <w:caps w:val="0"/>
          <w:spacing w:val="0"/>
          <w:w w:val="100"/>
          <w:sz w:val="32"/>
          <w:szCs w:val="32"/>
        </w:rPr>
        <w:t>抓好建设工程质量监督监管，全年共监督项目</w:t>
      </w:r>
      <w:r>
        <w:rPr>
          <w:rFonts w:hint="eastAsia" w:ascii="仿宋_GB2312" w:eastAsia="仿宋_GB2312" w:cs="仿宋_GB2312"/>
          <w:b w:val="0"/>
          <w:i w:val="0"/>
          <w:caps w:val="0"/>
          <w:spacing w:val="0"/>
          <w:w w:val="100"/>
          <w:sz w:val="32"/>
          <w:szCs w:val="32"/>
        </w:rPr>
        <w:t>65</w:t>
      </w:r>
      <w:r>
        <w:rPr>
          <w:rFonts w:hint="eastAsia" w:ascii="仿宋_GB2312" w:eastAsia="仿宋_GB2312"/>
          <w:b w:val="0"/>
          <w:i w:val="0"/>
          <w:caps w:val="0"/>
          <w:spacing w:val="0"/>
          <w:w w:val="100"/>
          <w:sz w:val="32"/>
          <w:szCs w:val="32"/>
        </w:rPr>
        <w:t>个</w:t>
      </w:r>
      <w:r>
        <w:rPr>
          <w:rFonts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rPr>
        <w:t>在日常监督过程中，严格监督程序，提高监督工作质量和水平</w:t>
      </w:r>
      <w:r>
        <w:rPr>
          <w:rFonts w:ascii="仿宋_GB2312" w:eastAsia="仿宋_GB2312"/>
          <w:b w:val="0"/>
          <w:i w:val="0"/>
          <w:caps w:val="0"/>
          <w:spacing w:val="0"/>
          <w:w w:val="100"/>
          <w:sz w:val="32"/>
          <w:szCs w:val="32"/>
        </w:rPr>
        <w:t>，</w:t>
      </w:r>
      <w:r>
        <w:rPr>
          <w:rFonts w:hint="eastAsia" w:ascii="仿宋_GB2312" w:eastAsia="仿宋_GB2312" w:cs="仿宋_GB2312"/>
          <w:b w:val="0"/>
          <w:i w:val="0"/>
          <w:caps w:val="0"/>
          <w:spacing w:val="0"/>
          <w:w w:val="100"/>
          <w:sz w:val="32"/>
          <w:szCs w:val="32"/>
        </w:rPr>
        <w:t>深入工地开展质量、安全监督工作达600余次</w:t>
      </w:r>
      <w:r>
        <w:rPr>
          <w:rFonts w:ascii="仿宋_GB2312" w:eastAsia="仿宋_GB2312" w:cs="仿宋_GB2312"/>
          <w:b w:val="0"/>
          <w:i w:val="0"/>
          <w:caps w:val="0"/>
          <w:spacing w:val="0"/>
          <w:w w:val="100"/>
          <w:sz w:val="32"/>
          <w:szCs w:val="32"/>
        </w:rPr>
        <w:t>，</w:t>
      </w:r>
      <w:r>
        <w:rPr>
          <w:rFonts w:hint="eastAsia" w:ascii="仿宋_GB2312" w:eastAsia="仿宋_GB2312" w:cs="仿宋_GB2312"/>
          <w:b w:val="0"/>
          <w:i w:val="0"/>
          <w:caps w:val="0"/>
          <w:spacing w:val="0"/>
          <w:w w:val="100"/>
          <w:sz w:val="32"/>
          <w:szCs w:val="32"/>
        </w:rPr>
        <w:t>全年开展了13次专项安全大检查，共排查出安全隐患约100余条，及时下发整改通知书，并督促整改完成</w:t>
      </w:r>
      <w:r>
        <w:rPr>
          <w:rFonts w:hint="eastAsia" w:ascii="仿宋_GB2312" w:eastAsia="仿宋_GB2312"/>
          <w:b w:val="0"/>
          <w:i w:val="0"/>
          <w:caps w:val="0"/>
          <w:spacing w:val="0"/>
          <w:w w:val="100"/>
          <w:sz w:val="32"/>
          <w:szCs w:val="32"/>
        </w:rPr>
        <w:t>；</w:t>
      </w:r>
      <w:r>
        <w:rPr>
          <w:rFonts w:hint="eastAsia" w:ascii="仿宋_GB2312" w:eastAsia="仿宋_GB2312"/>
          <w:b/>
          <w:i w:val="0"/>
          <w:caps w:val="0"/>
          <w:spacing w:val="0"/>
          <w:w w:val="100"/>
          <w:sz w:val="32"/>
          <w:szCs w:val="32"/>
        </w:rPr>
        <w:t>二是</w:t>
      </w:r>
      <w:r>
        <w:rPr>
          <w:rFonts w:hint="eastAsia" w:ascii="仿宋_GB2312" w:eastAsia="仿宋_GB2312"/>
          <w:b w:val="0"/>
          <w:i w:val="0"/>
          <w:caps w:val="0"/>
          <w:spacing w:val="0"/>
          <w:w w:val="100"/>
          <w:sz w:val="32"/>
          <w:szCs w:val="32"/>
        </w:rPr>
        <w:t>严格落实安全生产工作责任制，加强排查力度，建立隐患台账，</w:t>
      </w:r>
      <w:r>
        <w:rPr>
          <w:rFonts w:hint="eastAsia" w:ascii="仿宋_GB2312" w:eastAsia="仿宋_GB2312" w:cs="仿宋_GB2312"/>
          <w:b w:val="0"/>
          <w:i w:val="0"/>
          <w:caps w:val="0"/>
          <w:spacing w:val="0"/>
          <w:w w:val="100"/>
          <w:sz w:val="32"/>
          <w:szCs w:val="32"/>
        </w:rPr>
        <w:t>全年积极开展安全生产宣传活动4次，通过施工现场悬挂安全生产宣传标语50余份、发放施工安全知识小册子1000余份</w:t>
      </w:r>
      <w:r>
        <w:rPr>
          <w:rFonts w:ascii="仿宋_GB2312" w:eastAsia="仿宋_GB2312" w:cs="仿宋_GB2312"/>
          <w:b w:val="0"/>
          <w:i w:val="0"/>
          <w:caps w:val="0"/>
          <w:spacing w:val="0"/>
          <w:w w:val="100"/>
          <w:sz w:val="32"/>
          <w:szCs w:val="32"/>
        </w:rPr>
        <w:t>，</w:t>
      </w:r>
      <w:r>
        <w:rPr>
          <w:rFonts w:hint="eastAsia" w:ascii="仿宋_GB2312" w:eastAsia="仿宋_GB2312"/>
          <w:b w:val="0"/>
          <w:i w:val="0"/>
          <w:caps w:val="0"/>
          <w:spacing w:val="0"/>
          <w:w w:val="100"/>
          <w:sz w:val="32"/>
          <w:szCs w:val="32"/>
        </w:rPr>
        <w:t>未发生一起安全质量事故；</w:t>
      </w:r>
      <w:r>
        <w:rPr>
          <w:rFonts w:ascii="仿宋_GB2312" w:eastAsia="仿宋_GB2312"/>
          <w:b/>
          <w:i w:val="0"/>
          <w:caps w:val="0"/>
          <w:spacing w:val="0"/>
          <w:w w:val="100"/>
          <w:sz w:val="32"/>
          <w:szCs w:val="32"/>
        </w:rPr>
        <w:t>三</w:t>
      </w:r>
      <w:r>
        <w:rPr>
          <w:rFonts w:hint="eastAsia" w:ascii="仿宋_GB2312" w:eastAsia="仿宋_GB2312"/>
          <w:b/>
          <w:i w:val="0"/>
          <w:caps w:val="0"/>
          <w:spacing w:val="0"/>
          <w:w w:val="100"/>
          <w:sz w:val="32"/>
          <w:szCs w:val="32"/>
        </w:rPr>
        <w:t>是</w:t>
      </w:r>
      <w:r>
        <w:rPr>
          <w:rFonts w:hint="eastAsia" w:ascii="仿宋_GB2312" w:eastAsia="仿宋_GB2312" w:cs="仿宋_GB2312"/>
          <w:b w:val="0"/>
          <w:i w:val="0"/>
          <w:caps w:val="0"/>
          <w:spacing w:val="0"/>
          <w:w w:val="100"/>
          <w:sz w:val="32"/>
          <w:szCs w:val="32"/>
        </w:rPr>
        <w:t>同第三方检查公司对全县2个龙门吊等特种设备进行了检测，对不达标设备完成了督查整改</w:t>
      </w:r>
      <w:r>
        <w:rPr>
          <w:rFonts w:hint="eastAsia" w:ascii="仿宋_GB2312" w:eastAsia="仿宋_GB2312"/>
          <w:b w:val="0"/>
          <w:i w:val="0"/>
          <w:caps w:val="0"/>
          <w:spacing w:val="0"/>
          <w:w w:val="100"/>
          <w:sz w:val="32"/>
          <w:szCs w:val="32"/>
        </w:rPr>
        <w:t>；</w:t>
      </w:r>
      <w:r>
        <w:rPr>
          <w:rFonts w:ascii="仿宋_GB2312" w:eastAsia="仿宋_GB2312"/>
          <w:b/>
          <w:i w:val="0"/>
          <w:caps w:val="0"/>
          <w:spacing w:val="0"/>
          <w:w w:val="100"/>
          <w:sz w:val="32"/>
          <w:szCs w:val="32"/>
        </w:rPr>
        <w:t>四</w:t>
      </w:r>
      <w:r>
        <w:rPr>
          <w:rFonts w:hint="eastAsia" w:ascii="仿宋_GB2312" w:eastAsia="仿宋_GB2312"/>
          <w:b/>
          <w:i w:val="0"/>
          <w:caps w:val="0"/>
          <w:spacing w:val="0"/>
          <w:w w:val="100"/>
          <w:sz w:val="32"/>
          <w:szCs w:val="32"/>
        </w:rPr>
        <w:t>是</w:t>
      </w:r>
      <w:r>
        <w:rPr>
          <w:rFonts w:hint="eastAsia" w:ascii="仿宋_GB2312" w:eastAsia="仿宋_GB2312"/>
          <w:b w:val="0"/>
          <w:i w:val="0"/>
          <w:caps w:val="0"/>
          <w:spacing w:val="0"/>
          <w:w w:val="100"/>
          <w:sz w:val="32"/>
          <w:szCs w:val="32"/>
        </w:rPr>
        <w:t>大力开展全县工程质量检查专项行动，</w:t>
      </w:r>
      <w:r>
        <w:rPr>
          <w:rFonts w:hint="eastAsia" w:ascii="仿宋_GB2312" w:eastAsia="仿宋_GB2312" w:cs="仿宋_GB2312"/>
          <w:b w:val="0"/>
          <w:i w:val="0"/>
          <w:caps w:val="0"/>
          <w:spacing w:val="0"/>
          <w:w w:val="100"/>
          <w:sz w:val="32"/>
          <w:szCs w:val="32"/>
        </w:rPr>
        <w:t>全年共下发工程质量整改通知书45份，全程督促各责任主体完成了整改</w:t>
      </w:r>
      <w:r>
        <w:rPr>
          <w:rFonts w:hint="eastAsia" w:ascii="仿宋_GB2312" w:eastAsia="仿宋_GB2312"/>
          <w:b w:val="0"/>
          <w:i w:val="0"/>
          <w:caps w:val="0"/>
          <w:spacing w:val="0"/>
          <w:w w:val="100"/>
          <w:sz w:val="32"/>
          <w:szCs w:val="32"/>
        </w:rPr>
        <w:t>；</w:t>
      </w:r>
      <w:r>
        <w:rPr>
          <w:rFonts w:hint="eastAsia" w:ascii="仿宋_GB2312" w:eastAsia="仿宋_GB2312"/>
          <w:b/>
          <w:bCs/>
          <w:i w:val="0"/>
          <w:caps w:val="0"/>
          <w:spacing w:val="0"/>
          <w:w w:val="100"/>
          <w:sz w:val="32"/>
          <w:szCs w:val="32"/>
          <w:lang w:val="en-US" w:eastAsia="zh-CN"/>
        </w:rPr>
        <w:t>七是</w:t>
      </w:r>
      <w:r>
        <w:rPr>
          <w:rFonts w:hint="eastAsia" w:ascii="仿宋_GB2312" w:eastAsia="仿宋_GB2312"/>
          <w:b w:val="0"/>
          <w:i w:val="0"/>
          <w:caps w:val="0"/>
          <w:spacing w:val="0"/>
          <w:w w:val="100"/>
          <w:sz w:val="32"/>
          <w:szCs w:val="32"/>
          <w:lang w:val="en-US" w:eastAsia="zh-CN"/>
        </w:rPr>
        <w:t>加大工程建设问题处罚力度，年内</w:t>
      </w:r>
      <w:r>
        <w:rPr>
          <w:rFonts w:hint="eastAsia" w:ascii="仿宋_GB2312" w:eastAsia="仿宋_GB2312" w:cs="仿宋_GB2312"/>
          <w:b w:val="0"/>
          <w:i w:val="0"/>
          <w:caps w:val="0"/>
          <w:spacing w:val="0"/>
          <w:w w:val="100"/>
          <w:sz w:val="32"/>
          <w:szCs w:val="32"/>
        </w:rPr>
        <w:t>处罚施工单位4起，监理单位4起，共处罚金13.</w:t>
      </w:r>
      <w:r>
        <w:rPr>
          <w:rFonts w:ascii="仿宋_GB2312" w:eastAsia="仿宋_GB2312" w:cs="仿宋_GB2312"/>
          <w:b w:val="0"/>
          <w:i w:val="0"/>
          <w:caps w:val="0"/>
          <w:spacing w:val="0"/>
          <w:w w:val="100"/>
          <w:sz w:val="32"/>
          <w:szCs w:val="32"/>
        </w:rPr>
        <w:t>9</w:t>
      </w:r>
      <w:r>
        <w:rPr>
          <w:rFonts w:hint="eastAsia" w:ascii="仿宋_GB2312" w:eastAsia="仿宋_GB2312" w:cs="仿宋_GB2312"/>
          <w:b w:val="0"/>
          <w:i w:val="0"/>
          <w:caps w:val="0"/>
          <w:spacing w:val="0"/>
          <w:w w:val="100"/>
          <w:sz w:val="32"/>
          <w:szCs w:val="32"/>
        </w:rPr>
        <w:t>7万元</w:t>
      </w:r>
      <w:r>
        <w:rPr>
          <w:rFonts w:ascii="仿宋_GB2312" w:eastAsia="仿宋_GB2312"/>
          <w:b w:val="0"/>
          <w:i w:val="0"/>
          <w:caps w:val="0"/>
          <w:spacing w:val="0"/>
          <w:w w:val="100"/>
          <w:sz w:val="32"/>
          <w:szCs w:val="32"/>
          <w:lang w:val="en-US" w:eastAsia="zh-CN"/>
        </w:rPr>
        <w:t>；</w:t>
      </w:r>
      <w:r>
        <w:rPr>
          <w:rFonts w:ascii="仿宋_GB2312" w:eastAsia="仿宋_GB2312"/>
          <w:b/>
          <w:bCs/>
          <w:i w:val="0"/>
          <w:caps w:val="0"/>
          <w:spacing w:val="0"/>
          <w:w w:val="100"/>
          <w:sz w:val="32"/>
          <w:szCs w:val="32"/>
        </w:rPr>
        <w:t>五</w:t>
      </w:r>
      <w:r>
        <w:rPr>
          <w:rFonts w:hint="eastAsia" w:ascii="仿宋_GB2312" w:eastAsia="仿宋_GB2312"/>
          <w:b/>
          <w:bCs/>
          <w:i w:val="0"/>
          <w:caps w:val="0"/>
          <w:spacing w:val="0"/>
          <w:w w:val="100"/>
          <w:sz w:val="32"/>
          <w:szCs w:val="32"/>
        </w:rPr>
        <w:t>是</w:t>
      </w:r>
      <w:r>
        <w:rPr>
          <w:rFonts w:hint="eastAsia" w:ascii="仿宋_GB2312" w:eastAsia="仿宋_GB2312" w:cs="仿宋_GB2312"/>
          <w:b w:val="0"/>
          <w:i w:val="0"/>
          <w:caps w:val="0"/>
          <w:spacing w:val="0"/>
          <w:w w:val="100"/>
          <w:sz w:val="32"/>
          <w:szCs w:val="32"/>
        </w:rPr>
        <w:t>抓好“瓶装液化气安全整治”工作</w:t>
      </w:r>
      <w:r>
        <w:rPr>
          <w:rFonts w:hint="eastAsia" w:ascii="仿宋_GB2312" w:eastAsia="仿宋_GB2312" w:cs="仿宋_GB2312"/>
          <w:b w:val="0"/>
          <w:i w:val="0"/>
          <w:caps w:val="0"/>
          <w:spacing w:val="0"/>
          <w:w w:val="100"/>
          <w:sz w:val="32"/>
          <w:szCs w:val="32"/>
          <w:lang w:eastAsia="zh-CN"/>
        </w:rPr>
        <w:t>，</w:t>
      </w:r>
      <w:r>
        <w:rPr>
          <w:rFonts w:ascii="仿宋_GB2312" w:eastAsia="仿宋_GB2312" w:cs="仿宋_GB2312"/>
          <w:b w:val="0"/>
          <w:i w:val="0"/>
          <w:caps w:val="0"/>
          <w:spacing w:val="0"/>
          <w:w w:val="100"/>
          <w:sz w:val="32"/>
          <w:szCs w:val="32"/>
        </w:rPr>
        <w:t>全年</w:t>
      </w:r>
      <w:r>
        <w:rPr>
          <w:rFonts w:hint="eastAsia" w:ascii="仿宋_GB2312" w:eastAsia="仿宋_GB2312" w:cs="仿宋_GB2312"/>
          <w:b w:val="0"/>
          <w:i w:val="0"/>
          <w:caps w:val="0"/>
          <w:spacing w:val="0"/>
          <w:w w:val="100"/>
          <w:sz w:val="32"/>
          <w:szCs w:val="32"/>
        </w:rPr>
        <w:t>开展燃气安全专项检查 15 次，检查排查出各类安全隐患 23 处（其中：燃气经营企业8处，餐饮场所15处），督促燃气经营企业及餐饮场所落实立行立改23处，下发整改通知 5份</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六是</w:t>
      </w:r>
      <w:r>
        <w:rPr>
          <w:rFonts w:hint="eastAsia" w:ascii="仿宋_GB2312" w:eastAsia="仿宋_GB2312" w:cs="仿宋_GB2312"/>
          <w:b w:val="0"/>
          <w:bCs w:val="0"/>
          <w:i w:val="0"/>
          <w:caps w:val="0"/>
          <w:spacing w:val="0"/>
          <w:w w:val="100"/>
          <w:sz w:val="32"/>
          <w:szCs w:val="32"/>
          <w:lang w:val="en-US" w:eastAsia="zh-CN" w:bidi="ar-SA"/>
        </w:rPr>
        <w:t>开展壤塘县招投标领域突出问题专项整治行动，检查项目18个，发现问题16个，下发整改通知6份，调查通知书1份</w:t>
      </w:r>
      <w:r>
        <w:rPr>
          <w:rFonts w:ascii="仿宋_GB2312" w:eastAsia="仿宋_GB2312" w:cs="仿宋_GB2312"/>
          <w:b w:val="0"/>
          <w:bCs w:val="0"/>
          <w:i w:val="0"/>
          <w:caps w:val="0"/>
          <w:spacing w:val="0"/>
          <w:w w:val="100"/>
          <w:sz w:val="32"/>
          <w:szCs w:val="32"/>
          <w:lang w:val="en-US" w:eastAsia="zh-CN" w:bidi="ar-SA"/>
        </w:rPr>
        <w:t>；</w:t>
      </w:r>
      <w:r>
        <w:rPr>
          <w:rFonts w:ascii="仿宋_GB2312" w:eastAsia="仿宋_GB2312" w:cs="仿宋_GB2312"/>
          <w:b/>
          <w:bCs/>
          <w:i w:val="0"/>
          <w:caps w:val="0"/>
          <w:spacing w:val="0"/>
          <w:w w:val="100"/>
          <w:sz w:val="32"/>
          <w:szCs w:val="32"/>
          <w:lang w:val="en-US" w:eastAsia="zh-CN" w:bidi="ar-SA"/>
        </w:rPr>
        <w:t>七是</w:t>
      </w:r>
      <w:r>
        <w:rPr>
          <w:rFonts w:hint="eastAsia" w:ascii="仿宋_GB2312" w:eastAsia="仿宋_GB2312" w:cs="仿宋_GB2312"/>
          <w:b w:val="0"/>
          <w:bCs/>
          <w:i w:val="0"/>
          <w:caps w:val="0"/>
          <w:spacing w:val="0"/>
          <w:w w:val="100"/>
          <w:kern w:val="2"/>
          <w:sz w:val="32"/>
          <w:szCs w:val="32"/>
          <w:lang w:val="en-US" w:eastAsia="zh-CN" w:bidi="ar-SA"/>
        </w:rPr>
        <w:t>推行工程量清单计价方法招标和电子评标</w:t>
      </w:r>
      <w:r>
        <w:rPr>
          <w:rFonts w:ascii="仿宋_GB2312" w:eastAsia="仿宋_GB2312" w:cs="仿宋_GB2312"/>
          <w:b w:val="0"/>
          <w:bCs/>
          <w:i w:val="0"/>
          <w:caps w:val="0"/>
          <w:spacing w:val="0"/>
          <w:w w:val="100"/>
          <w:kern w:val="2"/>
          <w:sz w:val="32"/>
          <w:szCs w:val="32"/>
          <w:lang w:val="en-US" w:eastAsia="zh-CN" w:bidi="ar-SA"/>
        </w:rPr>
        <w:t>，</w:t>
      </w:r>
      <w:r>
        <w:rPr>
          <w:rFonts w:hint="eastAsia" w:ascii="仿宋_GB2312" w:eastAsia="仿宋_GB2312" w:cs="仿宋_GB2312"/>
          <w:b w:val="0"/>
          <w:i w:val="0"/>
          <w:caps w:val="0"/>
          <w:spacing w:val="0"/>
          <w:w w:val="100"/>
          <w:sz w:val="32"/>
          <w:szCs w:val="32"/>
          <w:lang w:val="en-US" w:eastAsia="zh-CN"/>
        </w:rPr>
        <w:t>实现城乡建设项目程序资料电子化，更加规范了管理审批程序</w:t>
      </w:r>
      <w:r>
        <w:rPr>
          <w:rFonts w:ascii="仿宋_GB2312" w:eastAsia="仿宋_GB2312" w:cs="仿宋_GB2312"/>
          <w:b w:val="0"/>
          <w:i w:val="0"/>
          <w:caps w:val="0"/>
          <w:spacing w:val="0"/>
          <w:w w:val="100"/>
          <w:sz w:val="32"/>
          <w:szCs w:val="32"/>
          <w:lang w:val="en-US" w:eastAsia="zh-CN"/>
        </w:rPr>
        <w:t>，</w:t>
      </w:r>
      <w:r>
        <w:rPr>
          <w:rFonts w:hint="eastAsia" w:ascii="仿宋_GB2312" w:eastAsia="仿宋_GB2312" w:cs="仿宋_GB2312"/>
          <w:b w:val="0"/>
          <w:i w:val="0"/>
          <w:caps w:val="0"/>
          <w:spacing w:val="0"/>
          <w:w w:val="100"/>
          <w:sz w:val="32"/>
          <w:szCs w:val="32"/>
          <w:lang w:val="en-US" w:eastAsia="zh-CN"/>
        </w:rPr>
        <w:t>本年累计办理质监备案80件、安监备案68件、施工许可80件</w:t>
      </w:r>
      <w:r>
        <w:rPr>
          <w:rFonts w:ascii="仿宋_GB2312" w:eastAsia="仿宋_GB2312" w:cs="仿宋_GB2312"/>
          <w:b w:val="0"/>
          <w:i w:val="0"/>
          <w:caps w:val="0"/>
          <w:spacing w:val="0"/>
          <w:w w:val="100"/>
          <w:sz w:val="32"/>
          <w:szCs w:val="32"/>
          <w:lang w:val="en-US" w:eastAsia="zh-CN"/>
        </w:rPr>
        <w:t>；</w:t>
      </w:r>
      <w:r>
        <w:rPr>
          <w:rFonts w:ascii="仿宋_GB2312" w:eastAsia="仿宋_GB2312" w:cs="仿宋_GB2312"/>
          <w:b/>
          <w:bCs w:val="0"/>
          <w:i w:val="0"/>
          <w:caps w:val="0"/>
          <w:spacing w:val="0"/>
          <w:w w:val="100"/>
          <w:sz w:val="32"/>
          <w:szCs w:val="32"/>
          <w:lang w:val="en-US" w:eastAsia="zh-CN"/>
        </w:rPr>
        <w:t>八</w:t>
      </w:r>
      <w:r>
        <w:rPr>
          <w:rFonts w:hint="eastAsia" w:ascii="仿宋_GB2312" w:eastAsia="仿宋_GB2312" w:cs="仿宋_GB2312"/>
          <w:b/>
          <w:bCs w:val="0"/>
          <w:i w:val="0"/>
          <w:caps w:val="0"/>
          <w:spacing w:val="0"/>
          <w:w w:val="100"/>
          <w:sz w:val="32"/>
          <w:szCs w:val="32"/>
          <w:lang w:val="en-US" w:eastAsia="zh-CN"/>
        </w:rPr>
        <w:t>是</w:t>
      </w:r>
      <w:r>
        <w:rPr>
          <w:rFonts w:hint="eastAsia" w:ascii="仿宋_GB2312" w:eastAsia="仿宋_GB2312" w:cs="仿宋_GB2312"/>
          <w:b w:val="0"/>
          <w:i w:val="0"/>
          <w:caps w:val="0"/>
          <w:spacing w:val="0"/>
          <w:w w:val="100"/>
          <w:sz w:val="32"/>
          <w:szCs w:val="32"/>
          <w:lang w:val="en-US" w:eastAsia="zh-CN"/>
        </w:rPr>
        <w:t>累计监管我县房建和市政公开招标项目21个，发出招投标监督意见书5份，处理投诉案件3起</w:t>
      </w:r>
      <w:r>
        <w:rPr>
          <w:rFonts w:ascii="仿宋_GB2312" w:eastAsia="仿宋_GB2312" w:cs="仿宋_GB2312"/>
          <w:b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九</w:t>
      </w:r>
      <w:r>
        <w:rPr>
          <w:rFonts w:hint="eastAsia" w:ascii="仿宋_GB2312" w:eastAsia="仿宋_GB2312" w:cs="仿宋_GB2312"/>
          <w:b/>
          <w:bCs/>
          <w:i w:val="0"/>
          <w:caps w:val="0"/>
          <w:spacing w:val="0"/>
          <w:w w:val="100"/>
          <w:sz w:val="32"/>
          <w:szCs w:val="32"/>
          <w:lang w:val="en-US" w:eastAsia="zh-CN"/>
        </w:rPr>
        <w:t>是</w:t>
      </w:r>
      <w:r>
        <w:rPr>
          <w:rFonts w:hint="eastAsia" w:ascii="仿宋_GB2312" w:eastAsia="仿宋_GB2312" w:cs="仿宋_GB2312"/>
          <w:b w:val="0"/>
          <w:bCs w:val="0"/>
          <w:i w:val="0"/>
          <w:caps w:val="0"/>
          <w:spacing w:val="0"/>
          <w:w w:val="100"/>
          <w:sz w:val="32"/>
          <w:szCs w:val="32"/>
          <w:lang w:val="en-US" w:eastAsia="zh-CN"/>
        </w:rPr>
        <w:t>根据行业整治要求，严厉查处违法行为，进一步规范我县建筑市场，本年累计查处违法案件8件，罚款金额达13万元</w:t>
      </w:r>
      <w:r>
        <w:rPr>
          <w:rFonts w:ascii="仿宋_GB2312" w:eastAsia="仿宋_GB2312" w:cs="仿宋_GB2312"/>
          <w:b w:val="0"/>
          <w:bCs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十</w:t>
      </w:r>
      <w:r>
        <w:rPr>
          <w:rFonts w:hint="eastAsia" w:ascii="仿宋_GB2312" w:eastAsia="仿宋_GB2312" w:cs="仿宋_GB2312"/>
          <w:b/>
          <w:bCs/>
          <w:i w:val="0"/>
          <w:caps w:val="0"/>
          <w:spacing w:val="0"/>
          <w:w w:val="100"/>
          <w:sz w:val="32"/>
          <w:szCs w:val="32"/>
          <w:lang w:val="en-US" w:eastAsia="zh-CN"/>
        </w:rPr>
        <w:t>是</w:t>
      </w:r>
      <w:r>
        <w:rPr>
          <w:rFonts w:hint="eastAsia" w:ascii="仿宋_GB2312" w:eastAsia="仿宋_GB2312" w:cs="仿宋_GB2312"/>
          <w:b w:val="0"/>
          <w:bCs w:val="0"/>
          <w:i w:val="0"/>
          <w:caps w:val="0"/>
          <w:spacing w:val="0"/>
          <w:w w:val="100"/>
          <w:sz w:val="32"/>
          <w:szCs w:val="32"/>
          <w:lang w:val="en-US" w:eastAsia="zh-CN"/>
        </w:rPr>
        <w:t>建筑企业服务</w:t>
      </w:r>
      <w:r>
        <w:rPr>
          <w:rFonts w:ascii="仿宋_GB2312" w:eastAsia="仿宋_GB2312" w:cs="仿宋_GB2312"/>
          <w:b w:val="0"/>
          <w:bCs w:val="0"/>
          <w:i w:val="0"/>
          <w:caps w:val="0"/>
          <w:spacing w:val="0"/>
          <w:w w:val="100"/>
          <w:sz w:val="32"/>
          <w:szCs w:val="32"/>
          <w:lang w:val="en-US" w:eastAsia="zh-CN"/>
        </w:rPr>
        <w:t>，</w:t>
      </w:r>
      <w:r>
        <w:rPr>
          <w:rFonts w:hint="eastAsia" w:ascii="仿宋_GB2312" w:eastAsia="仿宋_GB2312" w:cs="仿宋_GB2312"/>
          <w:b w:val="0"/>
          <w:bCs w:val="0"/>
          <w:i w:val="0"/>
          <w:caps w:val="0"/>
          <w:spacing w:val="0"/>
          <w:w w:val="100"/>
          <w:sz w:val="32"/>
          <w:szCs w:val="32"/>
          <w:lang w:val="en-US" w:eastAsia="zh-CN"/>
        </w:rPr>
        <w:t>本年召开企业座谈会2次，收集企业反馈意见6条，积极争取政策扶持我县企业稳步健康发展，鼓励本地企业向外扩展业务，拓宽市场</w:t>
      </w:r>
      <w:r>
        <w:rPr>
          <w:rFonts w:ascii="仿宋_GB2312" w:eastAsia="仿宋_GB2312" w:cs="仿宋_GB2312"/>
          <w:b w:val="0"/>
          <w:bCs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十一</w:t>
      </w:r>
      <w:r>
        <w:rPr>
          <w:rFonts w:ascii="仿宋_GB2312" w:eastAsia="仿宋_GB2312" w:cs="仿宋_GB2312"/>
          <w:b w:val="0"/>
          <w:bCs w:val="0"/>
          <w:i w:val="0"/>
          <w:caps w:val="0"/>
          <w:spacing w:val="0"/>
          <w:w w:val="100"/>
          <w:sz w:val="32"/>
          <w:szCs w:val="32"/>
          <w:lang w:val="en-US" w:eastAsia="zh-CN"/>
        </w:rPr>
        <w:t>是</w:t>
      </w:r>
      <w:r>
        <w:rPr>
          <w:rFonts w:hint="eastAsia" w:ascii="仿宋_GB2312" w:eastAsia="仿宋_GB2312" w:cs="仿宋_GB2312"/>
          <w:b w:val="0"/>
          <w:i w:val="0"/>
          <w:caps w:val="0"/>
          <w:spacing w:val="0"/>
          <w:w w:val="100"/>
          <w:sz w:val="32"/>
          <w:szCs w:val="32"/>
          <w:lang w:val="en-US" w:eastAsia="zh-CN"/>
        </w:rPr>
        <w:t>保证民工工资足额支付，杜绝拖欠情况，自2019年启用监管系统，累计纳入系统监管25个项目，</w:t>
      </w:r>
      <w:r>
        <w:rPr>
          <w:rFonts w:ascii="仿宋_GB2312" w:eastAsia="仿宋_GB2312" w:cs="仿宋_GB2312"/>
          <w:b w:val="0"/>
          <w:i w:val="0"/>
          <w:caps w:val="0"/>
          <w:spacing w:val="0"/>
          <w:w w:val="100"/>
          <w:sz w:val="32"/>
          <w:szCs w:val="32"/>
          <w:lang w:val="en-US" w:eastAsia="zh-CN"/>
        </w:rPr>
        <w:t>全年</w:t>
      </w:r>
      <w:r>
        <w:rPr>
          <w:rFonts w:hint="eastAsia" w:ascii="仿宋_GB2312" w:eastAsia="仿宋_GB2312" w:cs="仿宋_GB2312"/>
          <w:b w:val="0"/>
          <w:i w:val="0"/>
          <w:caps w:val="0"/>
          <w:spacing w:val="0"/>
          <w:w w:val="100"/>
          <w:kern w:val="2"/>
          <w:sz w:val="32"/>
          <w:szCs w:val="32"/>
          <w:lang w:val="en-US" w:eastAsia="zh-CN" w:bidi="ar-SA"/>
        </w:rPr>
        <w:t>开展专项检查8次</w:t>
      </w:r>
      <w:r>
        <w:rPr>
          <w:rFonts w:hint="eastAsia" w:ascii="仿宋_GB2312" w:eastAsia="仿宋_GB2312" w:cs="仿宋_GB2312"/>
          <w:b w:val="0"/>
          <w:i w:val="0"/>
          <w:caps w:val="0"/>
          <w:spacing w:val="0"/>
          <w:w w:val="100"/>
          <w:sz w:val="32"/>
          <w:szCs w:val="32"/>
          <w:lang w:val="en-US" w:eastAsia="zh-CN"/>
        </w:rPr>
        <w:t>目前无拖欠情况发生</w:t>
      </w:r>
      <w:r>
        <w:rPr>
          <w:rFonts w:ascii="仿宋_GB2312" w:eastAsia="仿宋_GB2312" w:cs="仿宋_GB2312"/>
          <w:b w:val="0"/>
          <w:i w:val="0"/>
          <w:caps w:val="0"/>
          <w:spacing w:val="0"/>
          <w:w w:val="100"/>
          <w:sz w:val="32"/>
          <w:szCs w:val="32"/>
          <w:lang w:val="en-US" w:eastAsia="zh-CN"/>
        </w:rPr>
        <w:t>。</w:t>
      </w:r>
      <w:r>
        <w:rPr>
          <w:rFonts w:hint="eastAsia" w:ascii="仿宋_GB2312" w:eastAsia="仿宋_GB2312" w:cs="仿宋_GB2312"/>
          <w:b w:val="0"/>
          <w:i w:val="0"/>
          <w:caps w:val="0"/>
          <w:spacing w:val="0"/>
          <w:w w:val="100"/>
          <w:sz w:val="32"/>
          <w:szCs w:val="32"/>
        </w:rPr>
        <w:t xml:space="preserve"> </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4"/>
        <w:numPr>
          <w:ilvl w:val="0"/>
          <w:numId w:val="1"/>
        </w:numPr>
        <w:rPr>
          <w:rStyle w:val="28"/>
          <w:rFonts w:hint="eastAsia" w:ascii="黑体" w:hAnsi="黑体" w:eastAsia="黑体"/>
          <w:b w:val="0"/>
          <w:bCs w:val="0"/>
        </w:rPr>
      </w:pPr>
      <w:bookmarkStart w:id="17" w:name="_Toc15396601"/>
      <w:bookmarkStart w:id="18" w:name="_Toc15377200"/>
      <w:bookmarkStart w:id="19" w:name="_Toc79163855"/>
      <w:bookmarkStart w:id="20" w:name="_Toc79163605"/>
      <w:r>
        <w:rPr>
          <w:rFonts w:hint="eastAsia" w:ascii="黑体" w:hAnsi="黑体" w:eastAsia="黑体"/>
          <w:b w:val="0"/>
          <w:color w:val="000000"/>
        </w:rPr>
        <w:t>机</w:t>
      </w:r>
      <w:r>
        <w:rPr>
          <w:rStyle w:val="28"/>
          <w:rFonts w:hint="eastAsia" w:ascii="黑体" w:hAnsi="黑体" w:eastAsia="黑体"/>
          <w:b w:val="0"/>
          <w:bCs w:val="0"/>
        </w:rPr>
        <w:t>构设置</w:t>
      </w:r>
      <w:bookmarkEnd w:id="17"/>
      <w:bookmarkEnd w:id="18"/>
      <w:bookmarkEnd w:id="19"/>
      <w:bookmarkEnd w:id="20"/>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color w:val="333333"/>
          <w:sz w:val="32"/>
          <w:szCs w:val="32"/>
          <w:shd w:val="clear" w:fill="FFFFFF"/>
        </w:rPr>
        <w:t>壤塘县</w:t>
      </w:r>
      <w:r>
        <w:rPr>
          <w:rFonts w:hint="eastAsia" w:ascii="仿宋" w:hAnsi="仿宋" w:eastAsia="仿宋" w:cs="仿宋"/>
          <w:color w:val="333333"/>
          <w:sz w:val="32"/>
          <w:szCs w:val="32"/>
          <w:shd w:val="clear" w:fill="FFFFFF"/>
          <w:lang w:eastAsia="zh-CN"/>
        </w:rPr>
        <w:t>住房和城乡建设局</w:t>
      </w:r>
      <w:r>
        <w:rPr>
          <w:rFonts w:hint="eastAsia" w:ascii="仿宋" w:hAnsi="仿宋" w:eastAsia="仿宋" w:cs="仿宋"/>
          <w:color w:val="333333"/>
          <w:sz w:val="32"/>
          <w:szCs w:val="32"/>
          <w:shd w:val="clear" w:fill="FFFFFF"/>
        </w:rPr>
        <w:t>质量监督站下属事业单位1个</w:t>
      </w:r>
      <w:r>
        <w:rPr>
          <w:rFonts w:hint="eastAsia" w:ascii="仿宋" w:hAnsi="仿宋" w:eastAsia="仿宋" w:cs="仿宋"/>
          <w:color w:val="333333"/>
          <w:sz w:val="32"/>
          <w:szCs w:val="32"/>
          <w:shd w:val="clear" w:fill="FFFFFF"/>
          <w:lang w:eastAsia="zh-CN"/>
        </w:rPr>
        <w:t>。</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rPr>
        <w:t>纳入20</w:t>
      </w:r>
      <w:r>
        <w:rPr>
          <w:rFonts w:hint="eastAsia" w:ascii="仿宋" w:hAnsi="仿宋" w:eastAsia="仿宋" w:cs="仿宋"/>
          <w:color w:val="333333"/>
          <w:sz w:val="32"/>
          <w:szCs w:val="32"/>
          <w:shd w:val="clear" w:fill="FFFFFF"/>
          <w:lang w:val="en-US" w:eastAsia="zh-CN"/>
        </w:rPr>
        <w:t>21</w:t>
      </w:r>
      <w:r>
        <w:rPr>
          <w:rFonts w:hint="eastAsia" w:ascii="仿宋" w:hAnsi="仿宋" w:eastAsia="仿宋" w:cs="仿宋"/>
          <w:color w:val="333333"/>
          <w:sz w:val="32"/>
          <w:szCs w:val="32"/>
          <w:shd w:val="clear" w:fill="FFFFFF"/>
        </w:rPr>
        <w:t>年部门决算范围：</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rPr>
        <w:t>1.壤塘县住房和城乡建设局质量监督站</w:t>
      </w:r>
    </w:p>
    <w:p>
      <w:pPr>
        <w:widowControl/>
        <w:jc w:val="left"/>
        <w:rPr>
          <w:rStyle w:val="27"/>
          <w:rFonts w:ascii="黑体" w:hAnsi="黑体" w:eastAsia="黑体"/>
          <w:b w:val="0"/>
          <w:bCs w:val="0"/>
        </w:rPr>
      </w:pPr>
      <w:bookmarkStart w:id="21" w:name="_Toc15396602"/>
      <w:bookmarkStart w:id="22" w:name="_Toc15377204"/>
      <w:bookmarkStart w:id="23" w:name="_Toc79163859"/>
      <w:bookmarkStart w:id="24" w:name="_Toc79163609"/>
      <w:bookmarkStart w:id="143" w:name="_GoBack"/>
      <w:bookmarkEnd w:id="143"/>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w:t>
      </w:r>
      <w:r>
        <w:rPr>
          <w:rStyle w:val="27"/>
          <w:rFonts w:hint="eastAsia" w:ascii="黑体" w:hAnsi="黑体" w:eastAsia="黑体"/>
          <w:b w:val="0"/>
          <w:bCs w:val="0"/>
        </w:rPr>
        <w:t>1年度部门决算情况说明</w:t>
      </w:r>
      <w:bookmarkEnd w:id="21"/>
      <w:bookmarkEnd w:id="22"/>
      <w:bookmarkEnd w:id="23"/>
      <w:bookmarkEnd w:id="24"/>
    </w:p>
    <w:p/>
    <w:p>
      <w:pPr>
        <w:pStyle w:val="38"/>
        <w:numPr>
          <w:ilvl w:val="0"/>
          <w:numId w:val="2"/>
        </w:numPr>
        <w:spacing w:line="600" w:lineRule="exact"/>
        <w:ind w:firstLineChars="0"/>
        <w:outlineLvl w:val="1"/>
        <w:rPr>
          <w:rStyle w:val="28"/>
          <w:rFonts w:ascii="黑体" w:hAnsi="黑体" w:eastAsia="黑体"/>
          <w:b w:val="0"/>
        </w:rPr>
      </w:pPr>
      <w:bookmarkStart w:id="25" w:name="_Toc79163610"/>
      <w:bookmarkStart w:id="26" w:name="_Toc79163860"/>
      <w:bookmarkStart w:id="27" w:name="_Toc15396603"/>
      <w:bookmarkStart w:id="28"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5"/>
      <w:bookmarkEnd w:id="26"/>
      <w:bookmarkEnd w:id="27"/>
      <w:bookmarkEnd w:id="2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197.64</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226.09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15.61万元，增长8.6%；</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44.06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
        <w:rPr>
          <w:rFonts w:ascii="仿宋_GB2312" w:eastAsia="仿宋_GB2312"/>
          <w:color w:val="000000"/>
          <w:sz w:val="32"/>
          <w:szCs w:val="32"/>
        </w:rPr>
      </w:pPr>
    </w:p>
    <w:p>
      <w:p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
      <w:pPr>
        <w:pStyle w:val="38"/>
        <w:numPr>
          <w:ilvl w:val="0"/>
          <w:numId w:val="2"/>
        </w:numPr>
        <w:spacing w:line="600" w:lineRule="exact"/>
        <w:ind w:firstLineChars="0"/>
        <w:outlineLvl w:val="1"/>
        <w:rPr>
          <w:rStyle w:val="28"/>
          <w:rFonts w:ascii="黑体" w:hAnsi="黑体" w:eastAsia="黑体"/>
          <w:b w:val="0"/>
        </w:rPr>
      </w:pPr>
      <w:bookmarkStart w:id="29" w:name="_Toc79163611"/>
      <w:bookmarkStart w:id="30" w:name="_Toc15396604"/>
      <w:bookmarkStart w:id="31" w:name="_Toc79163861"/>
      <w:bookmarkStart w:id="32"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9"/>
      <w:bookmarkEnd w:id="30"/>
      <w:bookmarkEnd w:id="31"/>
      <w:bookmarkEnd w:id="32"/>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w:t>
      </w:r>
      <w:r>
        <w:rPr>
          <w:rFonts w:hint="eastAsia" w:ascii="仿宋" w:hAnsi="仿宋" w:eastAsia="仿宋"/>
          <w:color w:val="000000"/>
          <w:sz w:val="32"/>
          <w:szCs w:val="32"/>
          <w:lang w:val="en-US" w:eastAsia="zh-CN"/>
        </w:rPr>
        <w:t>197.64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197.64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rPr>
          <w:rFonts w:hint="eastAsia" w:ascii="仿宋" w:hAnsi="仿宋" w:eastAsia="仿宋"/>
          <w:color w:val="000000"/>
          <w:sz w:val="32"/>
          <w:szCs w:val="32"/>
        </w:rPr>
      </w:pP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38"/>
        <w:numPr>
          <w:ilvl w:val="0"/>
          <w:numId w:val="2"/>
        </w:numPr>
        <w:spacing w:line="600" w:lineRule="exact"/>
        <w:ind w:firstLineChars="0"/>
        <w:outlineLvl w:val="1"/>
        <w:rPr>
          <w:rStyle w:val="28"/>
          <w:rFonts w:ascii="黑体" w:hAnsi="黑体" w:eastAsia="黑体"/>
          <w:b w:val="0"/>
        </w:rPr>
      </w:pPr>
      <w:bookmarkStart w:id="33" w:name="_Toc15396605"/>
      <w:bookmarkStart w:id="34" w:name="_Toc79163862"/>
      <w:bookmarkStart w:id="35" w:name="_Toc79163612"/>
      <w:bookmarkStart w:id="36"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33"/>
      <w:bookmarkEnd w:id="34"/>
      <w:bookmarkEnd w:id="35"/>
      <w:bookmarkEnd w:id="3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w:t>
      </w:r>
      <w:r>
        <w:rPr>
          <w:rFonts w:hint="eastAsia" w:ascii="仿宋_GB2312" w:eastAsia="仿宋_GB2312"/>
          <w:sz w:val="32"/>
          <w:szCs w:val="32"/>
        </w:rPr>
        <w:t>1年本年支出合计</w:t>
      </w:r>
      <w:r>
        <w:rPr>
          <w:rFonts w:hint="eastAsia" w:ascii="仿宋_GB2312" w:eastAsia="仿宋_GB2312"/>
          <w:sz w:val="32"/>
          <w:szCs w:val="32"/>
          <w:lang w:val="en-US" w:eastAsia="zh-CN"/>
        </w:rPr>
        <w:t>226.09</w:t>
      </w:r>
      <w:r>
        <w:rPr>
          <w:rFonts w:hint="eastAsia" w:ascii="仿宋_GB2312" w:eastAsia="仿宋_GB2312"/>
          <w:sz w:val="32"/>
          <w:szCs w:val="32"/>
        </w:rPr>
        <w:t>万元，其中：基本支出</w:t>
      </w:r>
      <w:r>
        <w:rPr>
          <w:rFonts w:hint="eastAsia" w:ascii="仿宋_GB2312" w:eastAsia="仿宋_GB2312"/>
          <w:sz w:val="32"/>
          <w:szCs w:val="32"/>
          <w:lang w:val="en-US" w:eastAsia="zh-CN"/>
        </w:rPr>
        <w:t>226.09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p>
    <w:p>
      <w:pPr>
        <w:rPr>
          <w:rFonts w:ascii="仿宋_GB2312" w:eastAsia="仿宋_GB2312"/>
          <w:sz w:val="32"/>
          <w:szCs w:val="32"/>
        </w:rPr>
      </w:pPr>
    </w:p>
    <w:p>
      <w:pPr>
        <w:pStyle w:val="2"/>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37" w:name="_Toc15377208"/>
      <w:bookmarkStart w:id="38" w:name="_Toc79163613"/>
      <w:bookmarkStart w:id="39" w:name="_Toc79163863"/>
      <w:bookmarkStart w:id="40"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7"/>
      <w:bookmarkEnd w:id="38"/>
      <w:bookmarkEnd w:id="39"/>
      <w:bookmarkEnd w:id="40"/>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197.64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226.09万元，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15.61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8.6</w:t>
      </w:r>
      <w:r>
        <w:rPr>
          <w:rFonts w:ascii="仿宋" w:hAnsi="仿宋" w:eastAsia="仿宋"/>
          <w:color w:val="000000"/>
          <w:sz w:val="32"/>
          <w:szCs w:val="32"/>
        </w:rPr>
        <w:t>%</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44.06万元，增长24.2%，</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p>
    <w:p>
      <w:pPr>
        <w:pStyle w:val="2"/>
        <w:rPr>
          <w:rFonts w:ascii="仿宋" w:hAnsi="仿宋" w:eastAsia="仿宋"/>
          <w:color w:val="000000"/>
          <w:sz w:val="32"/>
          <w:szCs w:val="32"/>
        </w:rPr>
      </w:pPr>
      <w:r>
        <w:rPr>
          <w:rFonts w:hint="eastAsia" w:ascii="仿宋_GB2312" w:eastAsia="仿宋_GB2312"/>
          <w:color w:val="000000"/>
          <w:sz w:val="3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41" w:name="_Toc15377209"/>
      <w:bookmarkStart w:id="42" w:name="_Toc79163864"/>
      <w:bookmarkStart w:id="43" w:name="_Toc79163614"/>
      <w:bookmarkStart w:id="4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1"/>
      <w:bookmarkEnd w:id="42"/>
      <w:bookmarkEnd w:id="43"/>
      <w:bookmarkEnd w:id="44"/>
    </w:p>
    <w:p>
      <w:pPr>
        <w:spacing w:line="600" w:lineRule="exact"/>
        <w:ind w:firstLine="643" w:firstLineChars="200"/>
        <w:outlineLvl w:val="2"/>
        <w:rPr>
          <w:rFonts w:ascii="仿宋" w:hAnsi="仿宋" w:eastAsia="仿宋"/>
          <w:b/>
          <w:color w:val="000000"/>
          <w:sz w:val="32"/>
          <w:szCs w:val="32"/>
        </w:rPr>
      </w:pPr>
      <w:bookmarkStart w:id="45" w:name="_Toc15377210"/>
      <w:bookmarkStart w:id="46" w:name="_Toc79163865"/>
      <w:bookmarkStart w:id="47" w:name="_Toc79163615"/>
      <w:r>
        <w:rPr>
          <w:rFonts w:hint="eastAsia" w:ascii="仿宋" w:hAnsi="仿宋" w:eastAsia="仿宋"/>
          <w:b/>
          <w:color w:val="000000"/>
          <w:sz w:val="32"/>
          <w:szCs w:val="32"/>
        </w:rPr>
        <w:t>（一）一般公共预算财政拨款支出决算总体情况</w:t>
      </w:r>
      <w:bookmarkEnd w:id="45"/>
      <w:bookmarkEnd w:id="46"/>
      <w:bookmarkEnd w:id="4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226.09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44.06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24.2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rPr>
          <w:rFonts w:ascii="仿宋" w:hAnsi="仿宋" w:eastAsia="仿宋"/>
          <w:color w:val="000000"/>
          <w:sz w:val="32"/>
          <w:szCs w:val="32"/>
        </w:rPr>
      </w:pP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48" w:name="_Toc15377211"/>
      <w:bookmarkStart w:id="49" w:name="_Toc79163616"/>
      <w:bookmarkStart w:id="50" w:name="_Toc79163866"/>
      <w:r>
        <w:rPr>
          <w:rFonts w:hint="eastAsia" w:ascii="仿宋" w:hAnsi="仿宋" w:eastAsia="仿宋"/>
          <w:b/>
          <w:color w:val="000000"/>
          <w:sz w:val="32"/>
          <w:szCs w:val="32"/>
        </w:rPr>
        <w:t>（二）一般公共预算财政拨款支出决算结构情况</w:t>
      </w:r>
      <w:bookmarkEnd w:id="48"/>
      <w:bookmarkEnd w:id="49"/>
      <w:bookmarkEnd w:id="5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226.09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28.45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12.58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卫生健康（类）支出</w:t>
      </w:r>
      <w:r>
        <w:rPr>
          <w:rFonts w:hint="eastAsia" w:ascii="仿宋" w:hAnsi="仿宋" w:eastAsia="仿宋"/>
          <w:color w:val="000000"/>
          <w:sz w:val="32"/>
          <w:szCs w:val="32"/>
          <w:lang w:val="en-US" w:eastAsia="zh-CN"/>
        </w:rPr>
        <w:t>11.85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5.24</w:t>
      </w:r>
      <w:r>
        <w:rPr>
          <w:rFonts w:ascii="仿宋" w:hAnsi="仿宋" w:eastAsia="仿宋"/>
          <w:color w:val="000000"/>
          <w:sz w:val="32"/>
          <w:szCs w:val="32"/>
        </w:rPr>
        <w:t>%</w:t>
      </w:r>
      <w:r>
        <w:rPr>
          <w:rFonts w:hint="eastAsia" w:ascii="仿宋" w:hAnsi="仿宋" w:eastAsia="仿宋"/>
          <w:color w:val="000000"/>
          <w:sz w:val="32"/>
          <w:szCs w:val="32"/>
        </w:rPr>
        <w:t>；住房保障</w:t>
      </w:r>
      <w:r>
        <w:rPr>
          <w:rFonts w:hint="eastAsia" w:ascii="仿宋" w:hAnsi="仿宋" w:eastAsia="仿宋"/>
          <w:b/>
          <w:bCs/>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18.63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8.24</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城乡社区</w:t>
      </w:r>
      <w:r>
        <w:rPr>
          <w:rFonts w:hint="eastAsia" w:ascii="仿宋" w:hAnsi="仿宋" w:eastAsia="仿宋"/>
          <w:b/>
          <w:bCs/>
          <w:color w:val="000000"/>
          <w:sz w:val="32"/>
          <w:szCs w:val="32"/>
        </w:rPr>
        <w:t>（类）</w:t>
      </w:r>
      <w:r>
        <w:rPr>
          <w:rFonts w:hint="eastAsia" w:ascii="仿宋" w:hAnsi="仿宋" w:eastAsia="仿宋"/>
          <w:color w:val="000000"/>
          <w:sz w:val="32"/>
          <w:szCs w:val="32"/>
          <w:lang w:val="en-US" w:eastAsia="zh-CN"/>
        </w:rPr>
        <w:t>支出167.16万元，占73.94%，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rPr>
          <w:rFonts w:ascii="仿宋" w:hAnsi="仿宋" w:eastAsia="仿宋"/>
          <w:color w:val="000000"/>
          <w:sz w:val="32"/>
          <w:szCs w:val="32"/>
        </w:rPr>
      </w:pPr>
    </w:p>
    <w:p>
      <w:pPr>
        <w:pStyle w:val="2"/>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Pr>
        <w:spacing w:line="600" w:lineRule="exact"/>
        <w:ind w:firstLine="643" w:firstLineChars="200"/>
        <w:outlineLvl w:val="2"/>
        <w:rPr>
          <w:rFonts w:ascii="仿宋" w:hAnsi="仿宋" w:eastAsia="仿宋"/>
          <w:b/>
          <w:color w:val="000000"/>
          <w:sz w:val="32"/>
          <w:szCs w:val="32"/>
        </w:rPr>
      </w:pPr>
      <w:bookmarkStart w:id="51" w:name="_Toc15377212"/>
      <w:bookmarkStart w:id="52" w:name="_Toc79163867"/>
      <w:bookmarkStart w:id="53" w:name="_Toc79163617"/>
      <w:r>
        <w:rPr>
          <w:rFonts w:hint="eastAsia" w:ascii="仿宋" w:hAnsi="仿宋" w:eastAsia="仿宋"/>
          <w:b/>
          <w:color w:val="000000"/>
          <w:sz w:val="32"/>
          <w:szCs w:val="32"/>
        </w:rPr>
        <w:t>（三）一般公共预算财政拨款支出决算具体情况</w:t>
      </w:r>
      <w:bookmarkEnd w:id="51"/>
      <w:bookmarkEnd w:id="52"/>
      <w:bookmarkEnd w:id="53"/>
    </w:p>
    <w:p>
      <w:pPr>
        <w:spacing w:line="600" w:lineRule="exact"/>
        <w:ind w:firstLine="643" w:firstLineChars="200"/>
        <w:rPr>
          <w:rFonts w:ascii="仿宋_GB2312" w:eastAsia="仿宋_GB2312"/>
          <w:b/>
          <w:bCs/>
          <w:sz w:val="32"/>
          <w:szCs w:val="32"/>
        </w:rPr>
      </w:pPr>
      <w:bookmarkStart w:id="54" w:name="_Toc15377213"/>
      <w:bookmarkStart w:id="55" w:name="_Toc15377444"/>
      <w:bookmarkStart w:id="56" w:name="_Toc15378460"/>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226.09万元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4"/>
      <w:bookmarkEnd w:id="55"/>
      <w:bookmarkEnd w:id="56"/>
    </w:p>
    <w:p>
      <w:pPr>
        <w:numPr>
          <w:ilvl w:val="0"/>
          <w:numId w:val="0"/>
        </w:numPr>
        <w:spacing w:line="600" w:lineRule="exact"/>
        <w:ind w:left="481" w:leftChars="0" w:firstLine="320" w:firstLineChars="1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社会保障和就业支出（类）行政事业单位养老支出（款）机关事业单位基本养老保险缴费支出（项），支出决算数为18.74万元，完成预算100%，决算等于预算数；机关事业单位职业年金缴费支出（项）9.71万元，完成预算100%，决算等于预算数。</w:t>
      </w:r>
    </w:p>
    <w:p>
      <w:pPr>
        <w:pStyle w:val="2"/>
        <w:numPr>
          <w:ilvl w:val="0"/>
          <w:numId w:val="0"/>
        </w:numPr>
        <w:ind w:left="481"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333333"/>
          <w:sz w:val="32"/>
          <w:szCs w:val="32"/>
          <w:shd w:val="clear" w:fill="FFFFFF"/>
          <w:lang w:val="en-US" w:eastAsia="zh-CN"/>
        </w:rPr>
        <w:t>2.</w:t>
      </w:r>
      <w:r>
        <w:rPr>
          <w:rFonts w:hint="eastAsia" w:ascii="仿宋" w:hAnsi="仿宋" w:eastAsia="仿宋" w:cs="仿宋"/>
          <w:b w:val="0"/>
          <w:bCs w:val="0"/>
          <w:color w:val="333333"/>
          <w:sz w:val="32"/>
          <w:szCs w:val="32"/>
          <w:shd w:val="clear" w:fill="FFFFFF"/>
        </w:rPr>
        <w:t>卫生健康（类）行政</w:t>
      </w:r>
      <w:r>
        <w:rPr>
          <w:rFonts w:hint="eastAsia" w:ascii="仿宋" w:hAnsi="仿宋" w:eastAsia="仿宋" w:cs="仿宋"/>
          <w:b w:val="0"/>
          <w:bCs w:val="0"/>
          <w:color w:val="333333"/>
          <w:sz w:val="32"/>
          <w:szCs w:val="32"/>
          <w:shd w:val="clear" w:fill="FFFFFF"/>
          <w:lang w:eastAsia="zh-CN"/>
        </w:rPr>
        <w:t>事业</w:t>
      </w:r>
      <w:r>
        <w:rPr>
          <w:rFonts w:hint="eastAsia" w:ascii="仿宋" w:hAnsi="仿宋" w:eastAsia="仿宋" w:cs="仿宋"/>
          <w:b w:val="0"/>
          <w:bCs w:val="0"/>
          <w:color w:val="333333"/>
          <w:sz w:val="32"/>
          <w:szCs w:val="32"/>
          <w:shd w:val="clear" w:fill="FFFFFF"/>
        </w:rPr>
        <w:t>单位医疗（款）</w:t>
      </w:r>
      <w:r>
        <w:rPr>
          <w:rFonts w:hint="eastAsia" w:ascii="仿宋" w:hAnsi="仿宋" w:eastAsia="仿宋" w:cs="仿宋"/>
          <w:b w:val="0"/>
          <w:bCs w:val="0"/>
          <w:color w:val="333333"/>
          <w:sz w:val="32"/>
          <w:szCs w:val="32"/>
          <w:shd w:val="clear" w:fill="FFFFFF"/>
          <w:lang w:eastAsia="zh-CN"/>
        </w:rPr>
        <w:t>事业</w:t>
      </w:r>
      <w:r>
        <w:rPr>
          <w:rFonts w:hint="eastAsia" w:ascii="仿宋" w:hAnsi="仿宋" w:eastAsia="仿宋" w:cs="仿宋"/>
          <w:b w:val="0"/>
          <w:bCs w:val="0"/>
          <w:color w:val="333333"/>
          <w:sz w:val="32"/>
          <w:szCs w:val="32"/>
          <w:shd w:val="clear" w:fill="FFFFFF"/>
        </w:rPr>
        <w:t>单位医疗</w:t>
      </w:r>
      <w:r>
        <w:rPr>
          <w:rFonts w:hint="eastAsia" w:ascii="仿宋" w:hAnsi="仿宋" w:eastAsia="仿宋" w:cs="仿宋"/>
          <w:b w:val="0"/>
          <w:bCs w:val="0"/>
          <w:color w:val="333333"/>
          <w:sz w:val="32"/>
          <w:szCs w:val="32"/>
          <w:shd w:val="clear" w:fill="FFFFFF"/>
          <w:lang w:eastAsia="zh-CN"/>
        </w:rPr>
        <w:t>（项），</w:t>
      </w:r>
      <w:r>
        <w:rPr>
          <w:rFonts w:hint="eastAsia" w:ascii="仿宋" w:hAnsi="仿宋" w:eastAsia="仿宋" w:cs="仿宋"/>
          <w:b w:val="0"/>
          <w:bCs w:val="0"/>
          <w:color w:val="333333"/>
          <w:sz w:val="32"/>
          <w:szCs w:val="32"/>
          <w:shd w:val="clear" w:fill="FFFFFF"/>
        </w:rPr>
        <w:t>支出决算为</w:t>
      </w:r>
      <w:r>
        <w:rPr>
          <w:rFonts w:hint="eastAsia" w:ascii="仿宋" w:hAnsi="仿宋" w:eastAsia="仿宋" w:cs="仿宋"/>
          <w:b w:val="0"/>
          <w:bCs w:val="0"/>
          <w:color w:val="333333"/>
          <w:sz w:val="32"/>
          <w:szCs w:val="32"/>
          <w:shd w:val="clear" w:fill="FFFFFF"/>
          <w:lang w:val="en-US" w:eastAsia="zh-CN"/>
        </w:rPr>
        <w:t>9.4</w:t>
      </w:r>
      <w:r>
        <w:rPr>
          <w:rFonts w:hint="eastAsia" w:ascii="仿宋" w:hAnsi="仿宋" w:eastAsia="仿宋" w:cs="仿宋"/>
          <w:b w:val="0"/>
          <w:bCs w:val="0"/>
          <w:color w:val="333333"/>
          <w:sz w:val="32"/>
          <w:szCs w:val="32"/>
          <w:shd w:val="clear" w:fill="FFFFFF"/>
        </w:rPr>
        <w:t>万元，完成预算100%，决算数等于预算数</w:t>
      </w:r>
      <w:r>
        <w:rPr>
          <w:rFonts w:hint="eastAsia" w:ascii="仿宋" w:hAnsi="仿宋" w:eastAsia="仿宋" w:cs="仿宋"/>
          <w:b w:val="0"/>
          <w:bCs w:val="0"/>
          <w:color w:val="333333"/>
          <w:sz w:val="32"/>
          <w:szCs w:val="32"/>
          <w:shd w:val="clear" w:fill="FFFFFF"/>
          <w:lang w:eastAsia="zh-CN"/>
        </w:rPr>
        <w:t>；其他行政事业单位医疗支出（项）</w:t>
      </w:r>
      <w:r>
        <w:rPr>
          <w:rFonts w:hint="eastAsia" w:ascii="仿宋" w:hAnsi="仿宋" w:eastAsia="仿宋" w:cs="仿宋"/>
          <w:b w:val="0"/>
          <w:bCs w:val="0"/>
          <w:color w:val="333333"/>
          <w:sz w:val="32"/>
          <w:szCs w:val="32"/>
          <w:shd w:val="clear" w:fill="FFFFFF"/>
          <w:lang w:val="en-US" w:eastAsia="zh-CN"/>
        </w:rPr>
        <w:t>2.45万元，</w:t>
      </w:r>
      <w:r>
        <w:rPr>
          <w:rFonts w:hint="eastAsia" w:ascii="仿宋" w:hAnsi="仿宋" w:eastAsia="仿宋" w:cs="仿宋"/>
          <w:b w:val="0"/>
          <w:bCs w:val="0"/>
          <w:color w:val="333333"/>
          <w:sz w:val="32"/>
          <w:szCs w:val="32"/>
          <w:shd w:val="clear" w:fill="FFFFFF"/>
        </w:rPr>
        <w:t>完成预算100%，决算数等于预算数</w:t>
      </w:r>
      <w:r>
        <w:rPr>
          <w:rFonts w:hint="eastAsia" w:ascii="仿宋" w:hAnsi="仿宋" w:eastAsia="仿宋" w:cs="仿宋"/>
          <w:b w:val="0"/>
          <w:bCs w:val="0"/>
          <w:color w:val="333333"/>
          <w:sz w:val="32"/>
          <w:szCs w:val="32"/>
          <w:shd w:val="clear" w:fill="FFFFFF"/>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3.城乡社区支出（类）城乡社区管理事务（款）其他城乡社区管理事务（项），支出决算数为167.16万元，完成预算100%，决算数等于预算数；</w:t>
      </w:r>
    </w:p>
    <w:p>
      <w:pPr>
        <w:ind w:firstLine="640" w:firstLineChars="200"/>
        <w:rPr>
          <w:rFonts w:hint="default"/>
          <w:lang w:val="en-US" w:eastAsia="zh-CN"/>
        </w:rPr>
      </w:pPr>
      <w:r>
        <w:rPr>
          <w:rFonts w:hint="eastAsia" w:ascii="仿宋" w:hAnsi="仿宋" w:eastAsia="仿宋" w:cs="仿宋"/>
          <w:b w:val="0"/>
          <w:bCs w:val="0"/>
          <w:color w:val="333333"/>
          <w:sz w:val="32"/>
          <w:szCs w:val="32"/>
          <w:shd w:val="clear" w:fill="FFFFFF"/>
          <w:lang w:val="en-US" w:eastAsia="zh-CN"/>
        </w:rPr>
        <w:t>4.住房保障支出（类）住房改革支出（款）住房公积金（项），支出决算数为18.63万元，完成预算100%，决算数等于预算数；</w:t>
      </w:r>
    </w:p>
    <w:p>
      <w:pPr>
        <w:tabs>
          <w:tab w:val="right" w:pos="8306"/>
        </w:tabs>
        <w:spacing w:line="600" w:lineRule="exact"/>
        <w:ind w:firstLine="640" w:firstLineChars="200"/>
        <w:outlineLvl w:val="1"/>
        <w:rPr>
          <w:rStyle w:val="28"/>
        </w:rPr>
      </w:pPr>
      <w:bookmarkStart w:id="57" w:name="_Toc79163868"/>
      <w:bookmarkStart w:id="58" w:name="_Toc15396608"/>
      <w:bookmarkStart w:id="59" w:name="_Toc79163618"/>
      <w:bookmarkStart w:id="60"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7"/>
      <w:bookmarkEnd w:id="58"/>
      <w:bookmarkEnd w:id="59"/>
      <w:bookmarkEnd w:id="60"/>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w:t>
      </w:r>
      <w:r>
        <w:rPr>
          <w:rFonts w:hint="eastAsia" w:ascii="仿宋" w:hAnsi="仿宋" w:eastAsia="仿宋"/>
          <w:color w:val="000000"/>
          <w:sz w:val="32"/>
          <w:szCs w:val="32"/>
          <w:highlight w:val="none"/>
          <w:lang w:val="en-US" w:eastAsia="zh-CN"/>
        </w:rPr>
        <w:t>226.09</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210.47</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15.6</w:t>
      </w:r>
      <w:r>
        <w:rPr>
          <w:rFonts w:hint="eastAsia" w:ascii="仿宋" w:hAnsi="仿宋" w:eastAsia="仿宋"/>
          <w:color w:val="000000"/>
          <w:sz w:val="32"/>
          <w:szCs w:val="32"/>
        </w:rPr>
        <w:t>万元，主要包括：办公费、印刷费、电费、邮电费、取暖费、物业管理费、差旅费、培训费、公务接待费、劳务费、委托业务费、工会经费、福利费、公务用车运行维护费、其他交通费、其他资本性支出等。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8"/>
          <w:rFonts w:ascii="黑体" w:hAnsi="黑体" w:eastAsia="黑体"/>
          <w:b w:val="0"/>
        </w:rPr>
      </w:pPr>
      <w:bookmarkStart w:id="61" w:name="_Toc15396609"/>
      <w:bookmarkStart w:id="62" w:name="_Toc79163619"/>
      <w:bookmarkStart w:id="63" w:name="_Toc79163869"/>
      <w:bookmarkStart w:id="64"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1"/>
      <w:bookmarkEnd w:id="62"/>
      <w:bookmarkEnd w:id="63"/>
      <w:bookmarkEnd w:id="64"/>
    </w:p>
    <w:p>
      <w:pPr>
        <w:spacing w:line="600" w:lineRule="exact"/>
        <w:ind w:firstLine="640"/>
        <w:outlineLvl w:val="2"/>
        <w:rPr>
          <w:rFonts w:ascii="仿宋" w:hAnsi="仿宋" w:eastAsia="仿宋"/>
          <w:b/>
          <w:color w:val="000000"/>
          <w:sz w:val="32"/>
          <w:szCs w:val="32"/>
        </w:rPr>
      </w:pPr>
      <w:bookmarkStart w:id="65" w:name="_Toc15377216"/>
      <w:bookmarkStart w:id="66" w:name="_Toc79163620"/>
      <w:bookmarkStart w:id="67" w:name="_Toc79163870"/>
      <w:r>
        <w:rPr>
          <w:rFonts w:hint="eastAsia" w:ascii="仿宋" w:hAnsi="仿宋" w:eastAsia="仿宋"/>
          <w:b/>
          <w:color w:val="000000"/>
          <w:sz w:val="32"/>
          <w:szCs w:val="32"/>
        </w:rPr>
        <w:t>（一）“三公”经费财政拨款支出决算总体情况说明</w:t>
      </w:r>
      <w:bookmarkEnd w:id="65"/>
      <w:bookmarkEnd w:id="66"/>
      <w:bookmarkEnd w:id="6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68" w:name="_Toc79163871"/>
      <w:bookmarkStart w:id="69" w:name="_Toc15377217"/>
      <w:bookmarkStart w:id="70" w:name="_Toc79163621"/>
      <w:r>
        <w:rPr>
          <w:rFonts w:hint="eastAsia" w:ascii="仿宋" w:hAnsi="仿宋" w:eastAsia="仿宋"/>
          <w:b/>
          <w:color w:val="000000"/>
          <w:sz w:val="32"/>
          <w:szCs w:val="32"/>
        </w:rPr>
        <w:t>（二）“三公”经费财政拨款支出决算具体情况说明</w:t>
      </w:r>
      <w:bookmarkEnd w:id="68"/>
      <w:bookmarkEnd w:id="69"/>
      <w:bookmarkEnd w:id="70"/>
    </w:p>
    <w:p>
      <w:pPr>
        <w:spacing w:line="600" w:lineRule="exact"/>
        <w:ind w:firstLine="640"/>
        <w:rPr>
          <w:rFonts w:hint="eastAsia" w:eastAsia="仿宋"/>
          <w:lang w:eastAsia="zh-CN"/>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p>
    <w:p>
      <w:pPr>
        <w:numPr>
          <w:ilvl w:val="0"/>
          <w:numId w:val="3"/>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numPr>
          <w:ilvl w:val="0"/>
          <w:numId w:val="4"/>
        </w:numPr>
        <w:spacing w:line="600" w:lineRule="exact"/>
        <w:ind w:firstLine="640"/>
        <w:rPr>
          <w:rStyle w:val="24"/>
          <w:rFonts w:hint="eastAsia"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numPr>
          <w:ilvl w:val="0"/>
          <w:numId w:val="0"/>
        </w:numPr>
        <w:spacing w:line="600" w:lineRule="exact"/>
        <w:ind w:firstLine="1285" w:firstLineChars="4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p>
    <w:p>
      <w:pPr>
        <w:spacing w:line="600" w:lineRule="exact"/>
        <w:ind w:firstLine="1285" w:firstLineChars="400"/>
        <w:outlineLvl w:val="1"/>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71" w:name="_Toc15396610"/>
      <w:bookmarkStart w:id="72" w:name="_Toc79163872"/>
      <w:bookmarkStart w:id="73" w:name="_Toc15377218"/>
      <w:bookmarkStart w:id="74" w:name="_Toc79163622"/>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1"/>
      <w:bookmarkEnd w:id="72"/>
      <w:bookmarkEnd w:id="73"/>
      <w:bookmarkEnd w:id="7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5"/>
        </w:numPr>
        <w:spacing w:line="600" w:lineRule="exact"/>
        <w:ind w:firstLine="640"/>
        <w:outlineLvl w:val="1"/>
        <w:rPr>
          <w:rStyle w:val="28"/>
          <w:rFonts w:ascii="黑体" w:hAnsi="黑体" w:eastAsia="黑体"/>
          <w:b w:val="0"/>
        </w:rPr>
      </w:pPr>
      <w:bookmarkStart w:id="75" w:name="_Toc79163873"/>
      <w:bookmarkStart w:id="76" w:name="_Toc15396611"/>
      <w:bookmarkStart w:id="77" w:name="_Toc15377219"/>
      <w:bookmarkStart w:id="78" w:name="_Toc79163623"/>
      <w:r>
        <w:rPr>
          <w:rStyle w:val="28"/>
          <w:rFonts w:hint="eastAsia" w:ascii="黑体" w:hAnsi="黑体" w:eastAsia="黑体"/>
          <w:b w:val="0"/>
        </w:rPr>
        <w:t>国有资本经营预算支出决算情况说明</w:t>
      </w:r>
      <w:bookmarkEnd w:id="75"/>
      <w:bookmarkEnd w:id="76"/>
      <w:bookmarkEnd w:id="77"/>
      <w:bookmarkEnd w:id="7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79" w:name="_Toc15377221"/>
      <w:bookmarkStart w:id="80" w:name="_Toc15396612"/>
      <w:bookmarkStart w:id="81" w:name="_Toc79163874"/>
      <w:bookmarkStart w:id="82" w:name="_Toc7916362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79"/>
      <w:bookmarkEnd w:id="80"/>
      <w:bookmarkEnd w:id="81"/>
      <w:bookmarkEnd w:id="82"/>
    </w:p>
    <w:p>
      <w:pPr>
        <w:spacing w:line="600" w:lineRule="exact"/>
        <w:ind w:firstLine="643" w:firstLineChars="200"/>
        <w:outlineLvl w:val="2"/>
        <w:rPr>
          <w:rFonts w:ascii="仿宋" w:hAnsi="仿宋" w:eastAsia="仿宋"/>
          <w:color w:val="000000"/>
          <w:sz w:val="32"/>
          <w:szCs w:val="32"/>
        </w:rPr>
      </w:pPr>
      <w:bookmarkStart w:id="83" w:name="_Toc79163625"/>
      <w:bookmarkStart w:id="84" w:name="_Toc15377222"/>
      <w:bookmarkStart w:id="85" w:name="_Toc79163875"/>
      <w:r>
        <w:rPr>
          <w:rFonts w:hint="eastAsia" w:ascii="仿宋" w:hAnsi="仿宋" w:eastAsia="仿宋"/>
          <w:b/>
          <w:color w:val="000000"/>
          <w:sz w:val="32"/>
          <w:szCs w:val="32"/>
        </w:rPr>
        <w:t>（一）机关运行经费支出情况</w:t>
      </w:r>
      <w:bookmarkEnd w:id="83"/>
      <w:bookmarkEnd w:id="84"/>
      <w:bookmarkEnd w:id="85"/>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 w:hAnsi="仿宋" w:eastAsia="仿宋" w:cs="仿宋"/>
          <w:color w:val="333333"/>
          <w:sz w:val="32"/>
          <w:szCs w:val="32"/>
          <w:shd w:val="clear" w:fill="FFFFFF"/>
        </w:rPr>
        <w:t>住房和城乡建设局质量监督站</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5.6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上升</w:t>
      </w:r>
      <w:r>
        <w:rPr>
          <w:rFonts w:hint="eastAsia" w:ascii="仿宋_GB2312" w:eastAsia="仿宋_GB2312"/>
          <w:color w:val="000000"/>
          <w:sz w:val="32"/>
          <w:szCs w:val="32"/>
          <w:lang w:val="en-US" w:eastAsia="zh-CN"/>
        </w:rPr>
        <w:t>56</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是项目增加，人员增加。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79163876"/>
      <w:bookmarkStart w:id="87" w:name="_Toc15377223"/>
      <w:bookmarkStart w:id="88" w:name="_Toc79163626"/>
      <w:r>
        <w:rPr>
          <w:rFonts w:hint="eastAsia" w:ascii="仿宋" w:hAnsi="仿宋" w:eastAsia="仿宋"/>
          <w:b/>
          <w:color w:val="000000"/>
          <w:sz w:val="32"/>
          <w:szCs w:val="32"/>
        </w:rPr>
        <w:t>（二）政府采购支出情况</w:t>
      </w:r>
      <w:bookmarkEnd w:id="86"/>
      <w:bookmarkEnd w:id="87"/>
      <w:bookmarkEnd w:id="88"/>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2021年，</w:t>
      </w:r>
      <w:r>
        <w:rPr>
          <w:rFonts w:hint="eastAsia" w:ascii="仿宋" w:hAnsi="仿宋" w:eastAsia="仿宋" w:cs="仿宋"/>
          <w:color w:val="333333"/>
          <w:sz w:val="32"/>
          <w:szCs w:val="32"/>
          <w:shd w:val="clear" w:fill="FFFFFF"/>
        </w:rPr>
        <w:t>住房和城乡建设局质量监督站</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万元。授予中小企业合同金额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15377224"/>
      <w:bookmarkStart w:id="90" w:name="_Toc79163877"/>
      <w:bookmarkStart w:id="91" w:name="_Toc79163627"/>
      <w:r>
        <w:rPr>
          <w:rFonts w:hint="eastAsia" w:ascii="仿宋" w:hAnsi="仿宋" w:eastAsia="仿宋"/>
          <w:b/>
          <w:color w:val="000000"/>
          <w:sz w:val="32"/>
          <w:szCs w:val="32"/>
        </w:rPr>
        <w:t>（三）国有资产占有使用情况</w:t>
      </w:r>
      <w:bookmarkEnd w:id="89"/>
      <w:bookmarkEnd w:id="90"/>
      <w:bookmarkEnd w:id="91"/>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 w:hAnsi="仿宋" w:eastAsia="仿宋" w:cs="仿宋"/>
          <w:color w:val="000000"/>
          <w:sz w:val="32"/>
          <w:szCs w:val="32"/>
          <w:lang w:eastAsia="zh-CN"/>
        </w:rPr>
        <w:t>住房和城乡建设局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79163628"/>
      <w:bookmarkStart w:id="93" w:name="_Toc79163878"/>
      <w:r>
        <w:rPr>
          <w:rFonts w:hint="eastAsia" w:ascii="仿宋" w:hAnsi="仿宋" w:eastAsia="仿宋"/>
          <w:b/>
          <w:color w:val="000000"/>
          <w:sz w:val="32"/>
          <w:szCs w:val="32"/>
        </w:rPr>
        <w:t>（四）预算绩效管理情况。</w:t>
      </w:r>
      <w:bookmarkEnd w:id="92"/>
      <w:bookmarkEnd w:id="93"/>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val="en-US" w:eastAsia="zh-CN"/>
        </w:rPr>
      </w:pPr>
      <w:r>
        <w:rPr>
          <w:rFonts w:hint="eastAsia" w:ascii="仿宋" w:hAnsi="仿宋" w:eastAsia="仿宋" w:cs="仿宋"/>
          <w:color w:val="333333"/>
          <w:sz w:val="32"/>
          <w:szCs w:val="32"/>
          <w:shd w:val="clear" w:fill="FFFFFF"/>
        </w:rPr>
        <w:t>根据预算绩效管理要求，由于本部门无专项预算项目，因此未组织开展项目支出绩效评价</w:t>
      </w:r>
      <w:r>
        <w:rPr>
          <w:rFonts w:hint="eastAsia" w:ascii="仿宋" w:hAnsi="仿宋" w:eastAsia="仿宋" w:cs="仿宋"/>
          <w:color w:val="333333"/>
          <w:sz w:val="32"/>
          <w:szCs w:val="32"/>
          <w:shd w:val="clear" w:fill="FFFFFF"/>
          <w:lang w:eastAsia="zh-CN"/>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7"/>
          <w:rFonts w:ascii="黑体" w:hAnsi="黑体" w:eastAsia="黑体"/>
          <w:b w:val="0"/>
        </w:rPr>
      </w:pPr>
      <w:bookmarkStart w:id="94" w:name="_Toc79163629"/>
      <w:bookmarkStart w:id="95" w:name="_Toc15396613"/>
      <w:bookmarkStart w:id="96" w:name="_Toc15377225"/>
      <w:bookmarkStart w:id="97" w:name="_Toc79163879"/>
      <w:r>
        <w:rPr>
          <w:rFonts w:hint="eastAsia" w:ascii="黑体" w:hAnsi="黑体" w:eastAsia="黑体"/>
          <w:color w:val="000000"/>
          <w:sz w:val="44"/>
          <w:szCs w:val="44"/>
        </w:rPr>
        <w:t>名</w:t>
      </w:r>
      <w:r>
        <w:rPr>
          <w:rStyle w:val="27"/>
          <w:rFonts w:hint="eastAsia" w:ascii="黑体" w:hAnsi="黑体" w:eastAsia="黑体"/>
          <w:b w:val="0"/>
        </w:rPr>
        <w:t>词解释</w:t>
      </w:r>
      <w:bookmarkEnd w:id="94"/>
      <w:bookmarkEnd w:id="95"/>
      <w:bookmarkEnd w:id="96"/>
      <w:bookmarkEnd w:id="97"/>
    </w:p>
    <w:p>
      <w:pPr>
        <w:spacing w:line="600" w:lineRule="exact"/>
        <w:jc w:val="left"/>
        <w:rPr>
          <w:rFonts w:ascii="宋体"/>
          <w:b/>
          <w:color w:val="000000"/>
          <w:sz w:val="44"/>
          <w:szCs w:val="44"/>
        </w:rPr>
      </w:pPr>
    </w:p>
    <w:p>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4</w:t>
      </w:r>
      <w:r>
        <w:rPr>
          <w:rFonts w:hint="eastAsia" w:ascii="仿宋" w:hAnsi="仿宋" w:eastAsia="仿宋" w:cs="仿宋"/>
          <w:b/>
          <w:bCs/>
          <w:color w:val="333333"/>
          <w:sz w:val="32"/>
          <w:szCs w:val="32"/>
          <w:shd w:val="clear" w:fill="FFFFFF"/>
        </w:rPr>
        <w:t>.一般公共服务（类）组织事务，其他组织事务</w:t>
      </w:r>
      <w:r>
        <w:rPr>
          <w:rFonts w:hint="eastAsia" w:ascii="仿宋" w:hAnsi="仿宋" w:eastAsia="仿宋" w:cs="仿宋"/>
          <w:b/>
          <w:bCs/>
          <w:color w:val="333333"/>
          <w:sz w:val="32"/>
          <w:szCs w:val="32"/>
          <w:shd w:val="clear" w:fill="FFFFFF"/>
          <w:lang w:eastAsia="zh-CN"/>
        </w:rPr>
        <w:t>：反映</w:t>
      </w:r>
      <w:r>
        <w:rPr>
          <w:rFonts w:hint="eastAsia" w:ascii="仿宋" w:hAnsi="仿宋" w:eastAsia="仿宋" w:cs="仿宋"/>
          <w:color w:val="333333"/>
          <w:sz w:val="32"/>
          <w:szCs w:val="32"/>
          <w:shd w:val="clear" w:fill="FFFFFF"/>
        </w:rPr>
        <w:t>其他用于中国共产党组织部门的事务支出。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5</w:t>
      </w:r>
      <w:r>
        <w:rPr>
          <w:rFonts w:hint="eastAsia" w:ascii="仿宋" w:hAnsi="仿宋" w:eastAsia="仿宋" w:cs="仿宋"/>
          <w:b/>
          <w:bCs/>
          <w:color w:val="333333"/>
          <w:sz w:val="32"/>
          <w:szCs w:val="32"/>
          <w:shd w:val="clear" w:fill="FFFFFF"/>
        </w:rPr>
        <w:t>.社会保障和就业（类）行政事业单位离退休（款）</w:t>
      </w:r>
      <w:r>
        <w:rPr>
          <w:rFonts w:hint="eastAsia" w:ascii="仿宋" w:hAnsi="仿宋" w:eastAsia="仿宋" w:cs="仿宋"/>
          <w:color w:val="333333"/>
          <w:sz w:val="32"/>
          <w:szCs w:val="32"/>
          <w:shd w:val="clear" w:fill="FFFFFF"/>
        </w:rPr>
        <w:t>机关事业养老保险</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是指机关事业单位实施养老保险制度由单位缴纳的基本养老保险制度，机关事业单位职业年金：是指机关事业单位实施养老保险制度由单位缴纳的职业年金支出。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6</w:t>
      </w:r>
      <w:r>
        <w:rPr>
          <w:rFonts w:hint="eastAsia" w:ascii="仿宋" w:hAnsi="仿宋" w:eastAsia="仿宋" w:cs="仿宋"/>
          <w:b/>
          <w:bCs/>
          <w:color w:val="333333"/>
          <w:sz w:val="32"/>
          <w:szCs w:val="32"/>
          <w:shd w:val="clear" w:fill="FFFFFF"/>
        </w:rPr>
        <w:t>.医疗卫生与计划生育（类）行政单位医疗（款）行政单位医疗</w:t>
      </w:r>
      <w:r>
        <w:rPr>
          <w:rFonts w:hint="eastAsia" w:ascii="仿宋" w:hAnsi="仿宋" w:eastAsia="仿宋" w:cs="仿宋"/>
          <w:b/>
          <w:bCs/>
          <w:color w:val="333333"/>
          <w:sz w:val="32"/>
          <w:szCs w:val="32"/>
          <w:shd w:val="clear" w:fill="FFFFFF"/>
          <w:lang w:eastAsia="zh-CN"/>
        </w:rPr>
        <w:t>：</w:t>
      </w:r>
      <w:r>
        <w:rPr>
          <w:rFonts w:hint="eastAsia" w:ascii="仿宋" w:hAnsi="仿宋" w:eastAsia="仿宋" w:cs="仿宋"/>
          <w:color w:val="333333"/>
          <w:sz w:val="32"/>
          <w:szCs w:val="32"/>
          <w:shd w:val="clear" w:fill="FFFFFF"/>
        </w:rPr>
        <w:t>是指财政部门集中安排的行政单位基本医疗保险费经费</w:t>
      </w:r>
      <w:r>
        <w:rPr>
          <w:rFonts w:hint="eastAsia" w:ascii="仿宋" w:hAnsi="仿宋" w:eastAsia="仿宋" w:cs="仿宋"/>
          <w:color w:val="333333"/>
          <w:sz w:val="32"/>
          <w:szCs w:val="32"/>
          <w:shd w:val="clear" w:fill="FFFFFF"/>
          <w:lang w:eastAsia="zh-CN"/>
        </w:rPr>
        <w:t>。</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7</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节能环保</w:t>
      </w:r>
      <w:r>
        <w:rPr>
          <w:rFonts w:hint="eastAsia" w:ascii="仿宋" w:hAnsi="仿宋" w:eastAsia="仿宋" w:cs="仿宋"/>
          <w:color w:val="333333"/>
          <w:sz w:val="32"/>
          <w:szCs w:val="32"/>
          <w:shd w:val="clear" w:fill="FFFFFF"/>
        </w:rPr>
        <w:t>：生态保护：是指用于生态功能保护区、生态示范区，生态省（市、县）管理及能力建设，日常管护、宣教、试点示范等支出。农村环境保护：是指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用于农村环境方面的支出。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8</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城乡社区（类）</w:t>
      </w:r>
      <w:r>
        <w:rPr>
          <w:rFonts w:hint="eastAsia" w:ascii="仿宋" w:hAnsi="仿宋" w:eastAsia="仿宋" w:cs="仿宋"/>
          <w:color w:val="333333"/>
          <w:sz w:val="32"/>
          <w:szCs w:val="32"/>
          <w:shd w:val="clear" w:fill="FFFFFF"/>
        </w:rPr>
        <w:t>：城乡社区管理事务</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行政运行支出：是指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单位的基本支出，城管执法：是指城市管理综合执法加强城市市容、和环境卫生管理等方面的支出。其他城乡社区管理事务支出：是指其他用于城乡社区管理事务方面的支出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城乡社区规划与管理：是指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城乡社区、风景名胜区、防震减灾、历史名城规划制定与管理方面的支出。城乡社区公共设施、其他城乡社区公共设施：用于城乡社区公共设施方面的支出。城乡社区环境卫生：是指城乡社区道路清扫、垃圾清运与处理、公厕建设与维护、园林绿化等方面的支出。国有土地使用出让收入及对应专项债务收入安排的支出</w:t>
      </w:r>
      <w:r>
        <w:rPr>
          <w:rFonts w:hint="eastAsia" w:ascii="仿宋" w:hAnsi="仿宋" w:eastAsia="仿宋" w:cs="仿宋"/>
          <w:color w:val="333333"/>
          <w:sz w:val="32"/>
          <w:szCs w:val="32"/>
          <w:highlight w:val="none"/>
          <w:shd w:val="clear" w:fill="FFFFFF"/>
        </w:rPr>
        <w:t>：廉</w:t>
      </w:r>
      <w:r>
        <w:rPr>
          <w:rFonts w:hint="eastAsia" w:ascii="仿宋" w:hAnsi="仿宋" w:eastAsia="仿宋" w:cs="仿宋"/>
          <w:color w:val="333333"/>
          <w:sz w:val="32"/>
          <w:szCs w:val="32"/>
          <w:shd w:val="clear" w:fill="FFFFFF"/>
        </w:rPr>
        <w:t>租住房支出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用于新建、改建购买租赁廉租住房支出。国有土地收益基金及对应专项债务收入安排的支出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其他城乡社区支出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其他社区支出</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用于城乡社区方面的支出</w:t>
      </w:r>
      <w:r>
        <w:rPr>
          <w:rFonts w:hint="eastAsia" w:ascii="仿宋" w:hAnsi="仿宋" w:eastAsia="仿宋" w:cs="仿宋"/>
          <w:color w:val="333333"/>
          <w:sz w:val="32"/>
          <w:szCs w:val="32"/>
          <w:shd w:val="clear" w:fill="FFFFFF"/>
          <w:lang w:eastAsia="zh-CN"/>
        </w:rPr>
        <w:t>。</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9</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农林水支出</w:t>
      </w:r>
      <w:r>
        <w:rPr>
          <w:rFonts w:hint="eastAsia" w:ascii="仿宋" w:hAnsi="仿宋" w:eastAsia="仿宋" w:cs="仿宋"/>
          <w:color w:val="333333"/>
          <w:sz w:val="32"/>
          <w:szCs w:val="32"/>
          <w:shd w:val="clear" w:fill="FFFFFF"/>
        </w:rPr>
        <w:t>（类）水利（款）其他水利支出（项）：是指其他用于水利方面的支出扶贫</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农村基础设施建设：用于农村</w:t>
      </w:r>
      <w:r>
        <w:rPr>
          <w:rFonts w:hint="eastAsia" w:ascii="仿宋" w:hAnsi="仿宋" w:eastAsia="仿宋" w:cs="仿宋"/>
          <w:color w:val="333333"/>
          <w:sz w:val="32"/>
          <w:szCs w:val="32"/>
          <w:shd w:val="clear" w:fill="FFFFFF"/>
          <w:lang w:eastAsia="zh-CN"/>
        </w:rPr>
        <w:t>贫困地区</w:t>
      </w:r>
      <w:r>
        <w:rPr>
          <w:rFonts w:hint="eastAsia" w:ascii="仿宋" w:hAnsi="仿宋" w:eastAsia="仿宋" w:cs="仿宋"/>
          <w:color w:val="333333"/>
          <w:sz w:val="32"/>
          <w:szCs w:val="32"/>
          <w:shd w:val="clear" w:fill="FFFFFF"/>
        </w:rPr>
        <w:t>乡村道路，住房、基本农田水利设施、人畜饮水生态环境保护等生产生活条件改善方面的支出。其他农林水支出：是指其他用于农林水的支出。</w:t>
      </w:r>
    </w:p>
    <w:p>
      <w:pPr>
        <w:pStyle w:val="20"/>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b/>
          <w:color w:val="000000"/>
          <w:sz w:val="32"/>
          <w:szCs w:val="32"/>
        </w:rPr>
      </w:pPr>
      <w:r>
        <w:rPr>
          <w:rFonts w:hint="eastAsia" w:ascii="仿宋" w:hAnsi="仿宋" w:eastAsia="仿宋" w:cs="仿宋"/>
          <w:b/>
          <w:bCs/>
          <w:color w:val="333333"/>
          <w:sz w:val="32"/>
          <w:szCs w:val="32"/>
          <w:shd w:val="clear" w:fill="FFFFFF"/>
          <w:lang w:val="en-US" w:eastAsia="zh-CN"/>
        </w:rPr>
        <w:t>10</w:t>
      </w:r>
      <w:r>
        <w:rPr>
          <w:rFonts w:hint="eastAsia" w:ascii="仿宋" w:hAnsi="仿宋" w:eastAsia="仿宋" w:cs="仿宋"/>
          <w:b/>
          <w:bCs/>
          <w:color w:val="333333"/>
          <w:sz w:val="32"/>
          <w:szCs w:val="32"/>
          <w:shd w:val="clear" w:fill="FFFFFF"/>
        </w:rPr>
        <w:t>.住房保障支出</w:t>
      </w:r>
      <w:r>
        <w:rPr>
          <w:rFonts w:hint="eastAsia" w:ascii="仿宋" w:hAnsi="仿宋" w:eastAsia="仿宋" w:cs="仿宋"/>
          <w:color w:val="333333"/>
          <w:sz w:val="32"/>
          <w:szCs w:val="32"/>
          <w:shd w:val="clear" w:fill="FFFFFF"/>
        </w:rPr>
        <w:t>（类）保障性安居工程（款）廉租住房（项）：是指廉租住房支出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用于新建、改建购买租赁廉租住房支出。棚户区改造：是指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棚户区改造的支出。农村危房改造：用于农村危房改造的支出、住房改革支出：住房公积金：是指按规定缴纳的公积金</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 xml:space="preserve">.项目支出：指在基本支出之外为完成特定行政任务和事业发展目标所发生的支出。 </w:t>
      </w:r>
    </w:p>
    <w:p>
      <w:pPr>
        <w:pStyle w:val="3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13.</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15.</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7"/>
        <w:spacing w:line="560" w:lineRule="exact"/>
        <w:ind w:firstLine="640" w:firstLineChars="200"/>
        <w:rPr>
          <w:rFonts w:ascii="仿宋_GB2312" w:eastAsia="仿宋_GB2312" w:cs="黑体"/>
          <w:sz w:val="32"/>
          <w:szCs w:val="32"/>
        </w:rPr>
      </w:pPr>
    </w:p>
    <w:p>
      <w:pPr>
        <w:spacing w:line="600" w:lineRule="exact"/>
        <w:ind w:firstLine="3520" w:firstLineChars="800"/>
        <w:jc w:val="both"/>
        <w:outlineLvl w:val="0"/>
        <w:rPr>
          <w:rStyle w:val="27"/>
          <w:rFonts w:ascii="黑体" w:hAnsi="黑体" w:eastAsia="黑体"/>
          <w:b w:val="0"/>
        </w:rPr>
      </w:pPr>
      <w:bookmarkStart w:id="98" w:name="_Toc15377226"/>
      <w:bookmarkStart w:id="99" w:name="_Toc15396618"/>
      <w:bookmarkStart w:id="100" w:name="_Toc79163885"/>
      <w:bookmarkStart w:id="101" w:name="_Toc79163635"/>
      <w:r>
        <w:rPr>
          <w:rStyle w:val="27"/>
          <w:rFonts w:hint="eastAsia" w:ascii="黑体" w:hAnsi="黑体" w:eastAsia="黑体"/>
          <w:b w:val="0"/>
        </w:rPr>
        <w:t>部分</w:t>
      </w:r>
      <w:r>
        <w:rPr>
          <w:rStyle w:val="27"/>
          <w:rFonts w:ascii="黑体" w:hAnsi="黑体" w:eastAsia="黑体"/>
          <w:b w:val="0"/>
        </w:rPr>
        <w:t xml:space="preserve"> </w:t>
      </w:r>
      <w:r>
        <w:rPr>
          <w:rStyle w:val="27"/>
          <w:rFonts w:hint="eastAsia" w:ascii="黑体" w:hAnsi="黑体" w:eastAsia="黑体"/>
          <w:b w:val="0"/>
        </w:rPr>
        <w:t>附表</w:t>
      </w:r>
      <w:bookmarkEnd w:id="98"/>
      <w:bookmarkEnd w:id="99"/>
      <w:bookmarkEnd w:id="100"/>
      <w:bookmarkEnd w:id="101"/>
    </w:p>
    <w:p>
      <w:pPr>
        <w:pStyle w:val="4"/>
        <w:rPr>
          <w:rFonts w:ascii="仿宋" w:hAnsi="仿宋" w:eastAsia="仿宋"/>
          <w:color w:val="000000"/>
        </w:rPr>
      </w:pPr>
      <w:bookmarkStart w:id="102" w:name="_Toc79163886"/>
      <w:bookmarkStart w:id="103" w:name="_Toc79163636"/>
      <w:bookmarkStart w:id="104"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102"/>
      <w:bookmarkEnd w:id="103"/>
      <w:bookmarkEnd w:id="104"/>
    </w:p>
    <w:p>
      <w:pPr>
        <w:pStyle w:val="4"/>
        <w:rPr>
          <w:rFonts w:ascii="仿宋" w:hAnsi="仿宋" w:eastAsia="仿宋"/>
          <w:color w:val="000000"/>
        </w:rPr>
      </w:pPr>
      <w:bookmarkStart w:id="105" w:name="_Toc79163887"/>
      <w:bookmarkStart w:id="106" w:name="_Toc79163637"/>
      <w:bookmarkStart w:id="107"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05"/>
      <w:bookmarkEnd w:id="106"/>
      <w:bookmarkEnd w:id="107"/>
    </w:p>
    <w:p>
      <w:pPr>
        <w:pStyle w:val="4"/>
        <w:rPr>
          <w:rFonts w:ascii="仿宋" w:hAnsi="仿宋" w:eastAsia="仿宋"/>
          <w:color w:val="000000"/>
        </w:rPr>
      </w:pPr>
      <w:bookmarkStart w:id="108" w:name="_Toc15396621"/>
      <w:bookmarkStart w:id="109" w:name="_Toc79163638"/>
      <w:bookmarkStart w:id="110" w:name="_Toc79163888"/>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08"/>
      <w:bookmarkEnd w:id="109"/>
      <w:bookmarkEnd w:id="110"/>
    </w:p>
    <w:p>
      <w:pPr>
        <w:pStyle w:val="4"/>
        <w:rPr>
          <w:rFonts w:ascii="仿宋" w:hAnsi="仿宋" w:eastAsia="仿宋"/>
          <w:b w:val="0"/>
          <w:color w:val="000000"/>
        </w:rPr>
      </w:pPr>
      <w:bookmarkStart w:id="111" w:name="_Toc15396622"/>
      <w:bookmarkStart w:id="112" w:name="_Toc79163639"/>
      <w:bookmarkStart w:id="113" w:name="_Toc7916388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11"/>
      <w:bookmarkEnd w:id="112"/>
      <w:bookmarkEnd w:id="113"/>
    </w:p>
    <w:p>
      <w:pPr>
        <w:pStyle w:val="4"/>
        <w:rPr>
          <w:rStyle w:val="28"/>
          <w:rFonts w:ascii="仿宋" w:hAnsi="仿宋" w:eastAsia="仿宋"/>
          <w:b w:val="0"/>
          <w:bCs w:val="0"/>
        </w:rPr>
      </w:pPr>
      <w:bookmarkStart w:id="114" w:name="_Toc15396623"/>
      <w:bookmarkStart w:id="115" w:name="_Toc79163640"/>
      <w:bookmarkStart w:id="116"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14"/>
      <w:bookmarkEnd w:id="115"/>
      <w:bookmarkEnd w:id="116"/>
      <w:bookmarkStart w:id="117" w:name="_Toc15396624"/>
    </w:p>
    <w:p>
      <w:pPr>
        <w:pStyle w:val="4"/>
        <w:rPr>
          <w:rFonts w:ascii="仿宋" w:hAnsi="仿宋" w:eastAsia="仿宋"/>
          <w:color w:val="000000"/>
        </w:rPr>
      </w:pPr>
      <w:bookmarkStart w:id="118" w:name="_Toc79163641"/>
      <w:bookmarkStart w:id="119" w:name="_Toc7916389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17"/>
      <w:bookmarkEnd w:id="118"/>
      <w:bookmarkEnd w:id="119"/>
    </w:p>
    <w:p>
      <w:pPr>
        <w:pStyle w:val="4"/>
        <w:rPr>
          <w:rFonts w:ascii="仿宋" w:hAnsi="仿宋" w:eastAsia="仿宋"/>
          <w:color w:val="000000"/>
        </w:rPr>
      </w:pPr>
      <w:bookmarkStart w:id="120" w:name="_Toc15396625"/>
      <w:bookmarkStart w:id="121" w:name="_Toc79163642"/>
      <w:bookmarkStart w:id="122" w:name="_Toc7916389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0"/>
      <w:bookmarkEnd w:id="121"/>
      <w:bookmarkEnd w:id="122"/>
    </w:p>
    <w:p>
      <w:pPr>
        <w:pStyle w:val="4"/>
        <w:rPr>
          <w:rFonts w:ascii="仿宋" w:hAnsi="仿宋" w:eastAsia="仿宋"/>
          <w:color w:val="000000"/>
        </w:rPr>
      </w:pPr>
      <w:bookmarkStart w:id="123" w:name="_Toc15396626"/>
      <w:bookmarkStart w:id="124" w:name="_Toc79163643"/>
      <w:bookmarkStart w:id="125" w:name="_Toc791638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3"/>
      <w:bookmarkEnd w:id="124"/>
      <w:bookmarkEnd w:id="125"/>
    </w:p>
    <w:p>
      <w:pPr>
        <w:pStyle w:val="4"/>
        <w:rPr>
          <w:rFonts w:ascii="仿宋" w:hAnsi="仿宋" w:eastAsia="仿宋"/>
          <w:color w:val="000000"/>
        </w:rPr>
      </w:pPr>
      <w:bookmarkStart w:id="126" w:name="_Toc15396627"/>
      <w:bookmarkStart w:id="127" w:name="_Toc79163644"/>
      <w:bookmarkStart w:id="128" w:name="_Toc7916389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26"/>
      <w:bookmarkEnd w:id="127"/>
      <w:bookmarkEnd w:id="128"/>
    </w:p>
    <w:p>
      <w:pPr>
        <w:pStyle w:val="4"/>
        <w:rPr>
          <w:rFonts w:ascii="仿宋" w:hAnsi="仿宋" w:eastAsia="仿宋"/>
          <w:color w:val="000000"/>
        </w:rPr>
      </w:pPr>
      <w:bookmarkStart w:id="129" w:name="_Toc15396628"/>
      <w:bookmarkStart w:id="130" w:name="_Toc79163645"/>
      <w:bookmarkStart w:id="131" w:name="_Toc7916389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29"/>
      <w:bookmarkEnd w:id="130"/>
      <w:bookmarkEnd w:id="131"/>
    </w:p>
    <w:p>
      <w:pPr>
        <w:pStyle w:val="4"/>
        <w:rPr>
          <w:rFonts w:ascii="仿宋" w:hAnsi="仿宋" w:eastAsia="仿宋"/>
          <w:color w:val="000000"/>
        </w:rPr>
      </w:pPr>
      <w:bookmarkStart w:id="132" w:name="_Toc15396629"/>
      <w:bookmarkStart w:id="133" w:name="_Toc79163646"/>
      <w:bookmarkStart w:id="134" w:name="_Toc7916389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2"/>
      <w:bookmarkEnd w:id="133"/>
      <w:bookmarkEnd w:id="134"/>
    </w:p>
    <w:p>
      <w:pPr>
        <w:pStyle w:val="4"/>
        <w:rPr>
          <w:rFonts w:ascii="仿宋" w:hAnsi="仿宋" w:eastAsia="仿宋"/>
          <w:color w:val="000000"/>
        </w:rPr>
      </w:pPr>
      <w:bookmarkStart w:id="135" w:name="_Toc15396630"/>
      <w:bookmarkStart w:id="136" w:name="_Toc79163647"/>
      <w:bookmarkStart w:id="137" w:name="_Toc7916389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5"/>
      <w:bookmarkEnd w:id="136"/>
      <w:bookmarkEnd w:id="137"/>
    </w:p>
    <w:p>
      <w:pPr>
        <w:pStyle w:val="4"/>
        <w:rPr>
          <w:rStyle w:val="28"/>
          <w:rFonts w:ascii="仿宋" w:hAnsi="仿宋" w:eastAsia="仿宋"/>
          <w:b w:val="0"/>
          <w:bCs w:val="0"/>
        </w:rPr>
      </w:pPr>
      <w:bookmarkStart w:id="138" w:name="_Toc15396631"/>
      <w:bookmarkStart w:id="139" w:name="_Toc79163648"/>
      <w:bookmarkStart w:id="140" w:name="_Toc7916389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38"/>
      <w:bookmarkEnd w:id="139"/>
      <w:bookmarkEnd w:id="140"/>
    </w:p>
    <w:p>
      <w:pPr>
        <w:pStyle w:val="4"/>
        <w:rPr>
          <w:rStyle w:val="28"/>
          <w:rFonts w:ascii="仿宋" w:hAnsi="仿宋" w:eastAsia="仿宋"/>
          <w:b w:val="0"/>
          <w:bCs w:val="0"/>
        </w:rPr>
      </w:pPr>
      <w:bookmarkStart w:id="141" w:name="_Toc79163649"/>
      <w:bookmarkStart w:id="142" w:name="_Toc79163899"/>
      <w:r>
        <w:rPr>
          <w:rStyle w:val="28"/>
          <w:rFonts w:hint="eastAsia" w:ascii="仿宋" w:hAnsi="仿宋" w:eastAsia="仿宋"/>
          <w:b w:val="0"/>
          <w:bCs w:val="0"/>
        </w:rPr>
        <w:t>十四、国有资本经营预算财政拨款支出决算表</w:t>
      </w:r>
      <w:bookmarkEnd w:id="141"/>
      <w:bookmarkEnd w:id="14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856BD"/>
    <w:multiLevelType w:val="singleLevel"/>
    <w:tmpl w:val="B5E856BD"/>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0EEBD1C"/>
    <w:multiLevelType w:val="singleLevel"/>
    <w:tmpl w:val="D0EEBD1C"/>
    <w:lvl w:ilvl="0" w:tentative="0">
      <w:start w:val="3"/>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073EAEF"/>
    <w:multiLevelType w:val="singleLevel"/>
    <w:tmpl w:val="3073EAEF"/>
    <w:lvl w:ilvl="0" w:tentative="0">
      <w:start w:val="2"/>
      <w:numFmt w:val="chineseCounting"/>
      <w:suff w:val="nothing"/>
      <w:lvlText w:val="%1、"/>
      <w:lvlJc w:val="left"/>
      <w:rPr>
        <w:rFonts w:hint="eastAsia"/>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YmE5OWIxYWFiMGJlZDQ3OTZiNDkxNGZiZmVkZ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17EB"/>
    <w:rsid w:val="038E557E"/>
    <w:rsid w:val="03CF272E"/>
    <w:rsid w:val="0498307A"/>
    <w:rsid w:val="04BF763A"/>
    <w:rsid w:val="05303407"/>
    <w:rsid w:val="054D527E"/>
    <w:rsid w:val="05B66C8F"/>
    <w:rsid w:val="06B95DFC"/>
    <w:rsid w:val="07C5140B"/>
    <w:rsid w:val="08FB4450"/>
    <w:rsid w:val="09641821"/>
    <w:rsid w:val="09B2024C"/>
    <w:rsid w:val="0A2032A3"/>
    <w:rsid w:val="0AFF59E4"/>
    <w:rsid w:val="0B9C1E94"/>
    <w:rsid w:val="0DDB4A67"/>
    <w:rsid w:val="0FD55739"/>
    <w:rsid w:val="106A1121"/>
    <w:rsid w:val="10C055FF"/>
    <w:rsid w:val="118107EC"/>
    <w:rsid w:val="12577104"/>
    <w:rsid w:val="12B41935"/>
    <w:rsid w:val="136B2C3C"/>
    <w:rsid w:val="151E03AD"/>
    <w:rsid w:val="15781FF4"/>
    <w:rsid w:val="157955E3"/>
    <w:rsid w:val="15C906DE"/>
    <w:rsid w:val="165C292D"/>
    <w:rsid w:val="168129A1"/>
    <w:rsid w:val="16BB723D"/>
    <w:rsid w:val="1A053F0B"/>
    <w:rsid w:val="1B26447A"/>
    <w:rsid w:val="1B4273DE"/>
    <w:rsid w:val="1C227427"/>
    <w:rsid w:val="1D155CEE"/>
    <w:rsid w:val="1E555FB4"/>
    <w:rsid w:val="1EFF4E85"/>
    <w:rsid w:val="1F3D3B25"/>
    <w:rsid w:val="1FB35BF2"/>
    <w:rsid w:val="202F2DD4"/>
    <w:rsid w:val="21997BA0"/>
    <w:rsid w:val="21E7293D"/>
    <w:rsid w:val="21F4328B"/>
    <w:rsid w:val="23475B24"/>
    <w:rsid w:val="23582CDC"/>
    <w:rsid w:val="23863A8F"/>
    <w:rsid w:val="240371BF"/>
    <w:rsid w:val="24B77D8F"/>
    <w:rsid w:val="24BA262D"/>
    <w:rsid w:val="24C04FDC"/>
    <w:rsid w:val="25506360"/>
    <w:rsid w:val="25B85020"/>
    <w:rsid w:val="26DD29CB"/>
    <w:rsid w:val="26DE174A"/>
    <w:rsid w:val="274C0DA9"/>
    <w:rsid w:val="2785705F"/>
    <w:rsid w:val="27EA061F"/>
    <w:rsid w:val="287262B9"/>
    <w:rsid w:val="28BC03E1"/>
    <w:rsid w:val="29FD04D3"/>
    <w:rsid w:val="2B8251D5"/>
    <w:rsid w:val="2BCE5399"/>
    <w:rsid w:val="2C1D141C"/>
    <w:rsid w:val="2C332538"/>
    <w:rsid w:val="2CAC43B6"/>
    <w:rsid w:val="2CB06DC3"/>
    <w:rsid w:val="2CCC421C"/>
    <w:rsid w:val="2D5B4C0B"/>
    <w:rsid w:val="2E0429B1"/>
    <w:rsid w:val="2E770821"/>
    <w:rsid w:val="2E7B1F74"/>
    <w:rsid w:val="2F012479"/>
    <w:rsid w:val="2F184D0E"/>
    <w:rsid w:val="2FCF4325"/>
    <w:rsid w:val="3033747A"/>
    <w:rsid w:val="311021A7"/>
    <w:rsid w:val="318B31C4"/>
    <w:rsid w:val="319F7F4E"/>
    <w:rsid w:val="326B7F22"/>
    <w:rsid w:val="333D67A3"/>
    <w:rsid w:val="33711157"/>
    <w:rsid w:val="337B6346"/>
    <w:rsid w:val="35593927"/>
    <w:rsid w:val="35930267"/>
    <w:rsid w:val="36DB5CA6"/>
    <w:rsid w:val="379425A7"/>
    <w:rsid w:val="38AF01D8"/>
    <w:rsid w:val="397841D8"/>
    <w:rsid w:val="39B00724"/>
    <w:rsid w:val="39D8471E"/>
    <w:rsid w:val="3A01217D"/>
    <w:rsid w:val="3C4F74B8"/>
    <w:rsid w:val="3D320BF7"/>
    <w:rsid w:val="3E693B97"/>
    <w:rsid w:val="3E746CFD"/>
    <w:rsid w:val="3FCF3ECE"/>
    <w:rsid w:val="400D4AAB"/>
    <w:rsid w:val="407A6A95"/>
    <w:rsid w:val="42CD045A"/>
    <w:rsid w:val="42ED16E7"/>
    <w:rsid w:val="4379687F"/>
    <w:rsid w:val="44326CCA"/>
    <w:rsid w:val="45520F4A"/>
    <w:rsid w:val="4572236D"/>
    <w:rsid w:val="458631E1"/>
    <w:rsid w:val="458F4E49"/>
    <w:rsid w:val="46E6047B"/>
    <w:rsid w:val="47AE5530"/>
    <w:rsid w:val="48021134"/>
    <w:rsid w:val="49702D47"/>
    <w:rsid w:val="4B23360B"/>
    <w:rsid w:val="4BA33CD8"/>
    <w:rsid w:val="4BB02E05"/>
    <w:rsid w:val="4CB07465"/>
    <w:rsid w:val="4D83038B"/>
    <w:rsid w:val="4D9C735C"/>
    <w:rsid w:val="4ECE2238"/>
    <w:rsid w:val="4F3C3DD6"/>
    <w:rsid w:val="50094338"/>
    <w:rsid w:val="50C70490"/>
    <w:rsid w:val="510559A1"/>
    <w:rsid w:val="514969E2"/>
    <w:rsid w:val="518F4534"/>
    <w:rsid w:val="537B036D"/>
    <w:rsid w:val="53924DD9"/>
    <w:rsid w:val="551663CF"/>
    <w:rsid w:val="55E81DCD"/>
    <w:rsid w:val="56536C7A"/>
    <w:rsid w:val="56605B86"/>
    <w:rsid w:val="5A8C0EE1"/>
    <w:rsid w:val="5A9F0C15"/>
    <w:rsid w:val="5AC0112B"/>
    <w:rsid w:val="5C0A6562"/>
    <w:rsid w:val="5D380EAD"/>
    <w:rsid w:val="5F716113"/>
    <w:rsid w:val="5FFC105B"/>
    <w:rsid w:val="601259E5"/>
    <w:rsid w:val="618446C0"/>
    <w:rsid w:val="61BD259F"/>
    <w:rsid w:val="625642AF"/>
    <w:rsid w:val="62791D4B"/>
    <w:rsid w:val="62871079"/>
    <w:rsid w:val="63A8487F"/>
    <w:rsid w:val="640A5F23"/>
    <w:rsid w:val="6474329C"/>
    <w:rsid w:val="650B4C14"/>
    <w:rsid w:val="661022B5"/>
    <w:rsid w:val="66B05161"/>
    <w:rsid w:val="67673818"/>
    <w:rsid w:val="67BB711C"/>
    <w:rsid w:val="695834E2"/>
    <w:rsid w:val="6C4A05C8"/>
    <w:rsid w:val="6CE626D3"/>
    <w:rsid w:val="6DB75FA4"/>
    <w:rsid w:val="6EC47B21"/>
    <w:rsid w:val="6ECB69B0"/>
    <w:rsid w:val="7013256C"/>
    <w:rsid w:val="70E70CA0"/>
    <w:rsid w:val="71CC00E9"/>
    <w:rsid w:val="72734D90"/>
    <w:rsid w:val="73661E78"/>
    <w:rsid w:val="74950646"/>
    <w:rsid w:val="74A76EB3"/>
    <w:rsid w:val="74CB7AE0"/>
    <w:rsid w:val="752F2361"/>
    <w:rsid w:val="75792336"/>
    <w:rsid w:val="77A83271"/>
    <w:rsid w:val="79021A4E"/>
    <w:rsid w:val="79D12015"/>
    <w:rsid w:val="7B2A7C2F"/>
    <w:rsid w:val="7C86358B"/>
    <w:rsid w:val="7D3923AB"/>
    <w:rsid w:val="7DD53198"/>
    <w:rsid w:val="7E0F6C10"/>
    <w:rsid w:val="7E130973"/>
    <w:rsid w:val="7EFA435C"/>
    <w:rsid w:val="7FC25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6"/>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widowControl w:val="0"/>
      <w:spacing w:line="240" w:lineRule="auto"/>
      <w:jc w:val="both"/>
    </w:pPr>
    <w:rPr>
      <w:rFonts w:ascii="Times New Roman" w:hAnsi="Times New Roman" w:eastAsia="宋体" w:cs="Times New Roman"/>
      <w:kern w:val="2"/>
      <w:sz w:val="24"/>
      <w:szCs w:val="20"/>
      <w:lang w:val="en-US" w:eastAsia="zh-CN" w:bidi="ar-SA"/>
    </w:rPr>
  </w:style>
  <w:style w:type="paragraph" w:styleId="21">
    <w:name w:val="Body Text First Indent 2"/>
    <w:basedOn w:val="8"/>
    <w:qFormat/>
    <w:uiPriority w:val="99"/>
    <w:pPr>
      <w:spacing w:line="240" w:lineRule="auto"/>
      <w:ind w:firstLine="420" w:firstLineChars="200"/>
      <w:textAlignment w:val="auto"/>
    </w:pPr>
    <w:rPr>
      <w:kern w:val="2"/>
      <w:sz w:val="21"/>
      <w:szCs w:val="21"/>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paragraph" w:customStyle="1" w:styleId="26">
    <w:name w:val="列出段落1"/>
    <w:basedOn w:val="1"/>
    <w:qFormat/>
    <w:uiPriority w:val="34"/>
    <w:pPr>
      <w:ind w:firstLine="420" w:firstLineChars="200"/>
    </w:pPr>
    <w:rPr>
      <w:rFonts w:ascii="Calibri" w:hAnsi="Calibri" w:eastAsia="宋体" w:cs="Times New Roman"/>
    </w:rPr>
  </w:style>
  <w:style w:type="character" w:customStyle="1" w:styleId="27">
    <w:name w:val="标题 1 Char"/>
    <w:basedOn w:val="23"/>
    <w:link w:val="3"/>
    <w:qFormat/>
    <w:locked/>
    <w:uiPriority w:val="9"/>
    <w:rPr>
      <w:rFonts w:ascii="Times New Roman" w:hAnsi="Times New Roman" w:cs="Times New Roman"/>
      <w:b/>
      <w:bCs/>
      <w:kern w:val="44"/>
      <w:sz w:val="44"/>
      <w:szCs w:val="44"/>
    </w:rPr>
  </w:style>
  <w:style w:type="character" w:customStyle="1" w:styleId="28">
    <w:name w:val="标题 2 Char"/>
    <w:basedOn w:val="23"/>
    <w:link w:val="4"/>
    <w:qFormat/>
    <w:locked/>
    <w:uiPriority w:val="9"/>
    <w:rPr>
      <w:rFonts w:ascii="Cambria" w:hAnsi="Cambria" w:eastAsia="宋体" w:cs="Times New Roman"/>
      <w:b/>
      <w:bCs/>
      <w:kern w:val="2"/>
      <w:sz w:val="32"/>
      <w:szCs w:val="32"/>
    </w:rPr>
  </w:style>
  <w:style w:type="character" w:customStyle="1" w:styleId="29">
    <w:name w:val="标题 3 Char"/>
    <w:basedOn w:val="23"/>
    <w:link w:val="5"/>
    <w:qFormat/>
    <w:locked/>
    <w:uiPriority w:val="9"/>
    <w:rPr>
      <w:rFonts w:ascii="Times New Roman" w:hAnsi="Times New Roman" w:cs="Times New Roman"/>
      <w:b/>
      <w:bCs/>
      <w:kern w:val="2"/>
      <w:sz w:val="32"/>
      <w:szCs w:val="32"/>
    </w:rPr>
  </w:style>
  <w:style w:type="character" w:customStyle="1" w:styleId="30">
    <w:name w:val="Body Text Char"/>
    <w:basedOn w:val="23"/>
    <w:semiHidden/>
    <w:qFormat/>
    <w:uiPriority w:val="99"/>
    <w:rPr>
      <w:rFonts w:ascii="Times New Roman" w:hAnsi="Times New Roman" w:cs="Times New Roman"/>
      <w:sz w:val="24"/>
      <w:szCs w:val="24"/>
    </w:rPr>
  </w:style>
  <w:style w:type="character" w:customStyle="1" w:styleId="31">
    <w:name w:val="批注框文本 Char"/>
    <w:basedOn w:val="23"/>
    <w:link w:val="12"/>
    <w:semiHidden/>
    <w:qFormat/>
    <w:locked/>
    <w:uiPriority w:val="99"/>
    <w:rPr>
      <w:rFonts w:ascii="Times New Roman" w:hAnsi="Times New Roman" w:cs="Times New Roman"/>
      <w:kern w:val="2"/>
      <w:sz w:val="18"/>
      <w:szCs w:val="18"/>
    </w:rPr>
  </w:style>
  <w:style w:type="character" w:customStyle="1" w:styleId="32">
    <w:name w:val="Footer Char"/>
    <w:basedOn w:val="23"/>
    <w:semiHidden/>
    <w:qFormat/>
    <w:uiPriority w:val="99"/>
    <w:rPr>
      <w:rFonts w:ascii="Times New Roman" w:hAnsi="Times New Roman" w:cs="Times New Roman"/>
      <w:sz w:val="18"/>
      <w:szCs w:val="18"/>
    </w:rPr>
  </w:style>
  <w:style w:type="character" w:customStyle="1" w:styleId="33">
    <w:name w:val="Header Char"/>
    <w:basedOn w:val="23"/>
    <w:semiHidden/>
    <w:qFormat/>
    <w:uiPriority w:val="99"/>
    <w:rPr>
      <w:rFonts w:ascii="Times New Roman" w:hAnsi="Times New Roman" w:cs="Times New Roman"/>
      <w:sz w:val="18"/>
      <w:szCs w:val="18"/>
    </w:rPr>
  </w:style>
  <w:style w:type="character" w:customStyle="1" w:styleId="34">
    <w:name w:val="页眉 Char"/>
    <w:link w:val="14"/>
    <w:semiHidden/>
    <w:qFormat/>
    <w:locked/>
    <w:uiPriority w:val="99"/>
    <w:rPr>
      <w:sz w:val="18"/>
    </w:rPr>
  </w:style>
  <w:style w:type="character" w:customStyle="1" w:styleId="35">
    <w:name w:val="页脚 Char"/>
    <w:link w:val="13"/>
    <w:qFormat/>
    <w:locked/>
    <w:uiPriority w:val="99"/>
    <w:rPr>
      <w:sz w:val="18"/>
    </w:rPr>
  </w:style>
  <w:style w:type="character" w:customStyle="1" w:styleId="36">
    <w:name w:val="正文文本 Char"/>
    <w:link w:val="7"/>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a:t>
            </a:r>
          </a:p>
        </c:rich>
      </c:tx>
      <c:layout>
        <c:manualLayout>
          <c:xMode val="edge"/>
          <c:yMode val="edge"/>
          <c:x val="0.423"/>
          <c:y val="0.0175"/>
        </c:manualLayout>
      </c:layout>
      <c:overlay val="0"/>
      <c:spPr>
        <a:noFill/>
        <a:ln>
          <a:noFill/>
        </a:ln>
        <a:effectLst/>
      </c:spPr>
    </c:title>
    <c:autoTitleDeleted val="0"/>
    <c:plotArea>
      <c:layout>
        <c:manualLayout>
          <c:layoutTarget val="inner"/>
          <c:xMode val="edge"/>
          <c:yMode val="edge"/>
          <c:x val="0.0957"/>
          <c:y val="0.129"/>
          <c:w val="0.8768"/>
          <c:h val="0.707066666666667"/>
        </c:manualLayout>
      </c:layout>
      <c:barChart>
        <c:barDir val="col"/>
        <c:grouping val="clustered"/>
        <c:varyColors val="0"/>
        <c:ser>
          <c:idx val="0"/>
          <c:order val="0"/>
          <c:tx>
            <c:strRef>
              <c:f>Sheet1!$B$1</c:f>
              <c:strCache>
                <c:ptCount val="1"/>
                <c:pt idx="0">
                  <c:v>系列 1</c:v>
                </c:pt>
              </c:strCache>
            </c:strRef>
          </c:tx>
          <c:spPr>
            <a:solidFill>
              <a:schemeClr val="accent5"/>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2020年总收入</c:v>
                </c:pt>
                <c:pt idx="1">
                  <c:v>2021年总收入</c:v>
                </c:pt>
                <c:pt idx="2">
                  <c:v>2020年总支出</c:v>
                </c:pt>
                <c:pt idx="3">
                  <c:v>2021年总支出</c:v>
                </c:pt>
              </c:strCache>
            </c:strRef>
          </c:cat>
          <c:val>
            <c:numRef>
              <c:f>Sheet1!$B$2:$B$5</c:f>
              <c:numCache>
                <c:formatCode>General</c:formatCode>
                <c:ptCount val="4"/>
                <c:pt idx="0">
                  <c:v>182.03</c:v>
                </c:pt>
                <c:pt idx="1">
                  <c:v>197.64</c:v>
                </c:pt>
                <c:pt idx="2">
                  <c:v>182.03</c:v>
                </c:pt>
                <c:pt idx="3">
                  <c:v>226.09</c:v>
                </c:pt>
              </c:numCache>
            </c:numRef>
          </c:val>
        </c:ser>
        <c:dLbls>
          <c:showLegendKey val="0"/>
          <c:showVal val="1"/>
          <c:showCatName val="0"/>
          <c:showSerName val="0"/>
          <c:showPercent val="0"/>
          <c:showBubbleSize val="0"/>
        </c:dLbls>
        <c:gapWidth val="219"/>
        <c:overlap val="-27"/>
        <c:axId val="888224496"/>
        <c:axId val="916470137"/>
      </c:barChart>
      <c:catAx>
        <c:axId val="888224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470137"/>
        <c:crosses val="autoZero"/>
        <c:auto val="1"/>
        <c:lblAlgn val="ctr"/>
        <c:lblOffset val="100"/>
        <c:noMultiLvlLbl val="0"/>
      </c:catAx>
      <c:valAx>
        <c:axId val="9164701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22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总收入</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197.64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3025625"/>
          <c:y val="0.92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strCache>
            </c:strRef>
          </c:cat>
          <c:val>
            <c:numRef>
              <c:f>Sheet1!$B$2:$B$5</c:f>
              <c:numCache>
                <c:formatCode>General</c:formatCode>
                <c:ptCount val="4"/>
                <c:pt idx="0">
                  <c:v>226.09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4200625"/>
          <c:y val="0.921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a:t>
            </a:r>
          </a:p>
        </c:rich>
      </c:tx>
      <c:layout>
        <c:manualLayout>
          <c:xMode val="edge"/>
          <c:yMode val="edge"/>
          <c:x val="0.423"/>
          <c:y val="0.0175"/>
        </c:manualLayout>
      </c:layout>
      <c:overlay val="0"/>
      <c:spPr>
        <a:noFill/>
        <a:ln>
          <a:noFill/>
        </a:ln>
        <a:effectLst/>
      </c:spPr>
    </c:title>
    <c:autoTitleDeleted val="0"/>
    <c:plotArea>
      <c:layout>
        <c:manualLayout>
          <c:layoutTarget val="inner"/>
          <c:xMode val="edge"/>
          <c:yMode val="edge"/>
          <c:x val="0.0957"/>
          <c:y val="0.129"/>
          <c:w val="0.8768"/>
          <c:h val="0.707066666666667"/>
        </c:manualLayout>
      </c:layout>
      <c:barChart>
        <c:barDir val="col"/>
        <c:grouping val="clustered"/>
        <c:varyColors val="0"/>
        <c:ser>
          <c:idx val="0"/>
          <c:order val="0"/>
          <c:tx>
            <c:strRef>
              <c:f>Sheet1!$B$1</c:f>
              <c:strCache>
                <c:ptCount val="1"/>
                <c:pt idx="0">
                  <c:v>系列 1</c:v>
                </c:pt>
              </c:strCache>
            </c:strRef>
          </c:tx>
          <c:spPr>
            <a:solidFill>
              <a:schemeClr val="accent5"/>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2020年总收入</c:v>
                </c:pt>
                <c:pt idx="1">
                  <c:v>2021年总收入</c:v>
                </c:pt>
                <c:pt idx="2">
                  <c:v>2020年总支出</c:v>
                </c:pt>
                <c:pt idx="3">
                  <c:v>2021年总支出</c:v>
                </c:pt>
              </c:strCache>
            </c:strRef>
          </c:cat>
          <c:val>
            <c:numRef>
              <c:f>Sheet1!$B$2:$B$5</c:f>
              <c:numCache>
                <c:formatCode>General</c:formatCode>
                <c:ptCount val="4"/>
                <c:pt idx="0">
                  <c:v>182.03</c:v>
                </c:pt>
                <c:pt idx="1">
                  <c:v>197.64</c:v>
                </c:pt>
                <c:pt idx="2">
                  <c:v>182.03</c:v>
                </c:pt>
                <c:pt idx="3">
                  <c:v>226.09</c:v>
                </c:pt>
              </c:numCache>
            </c:numRef>
          </c:val>
        </c:ser>
        <c:dLbls>
          <c:showLegendKey val="0"/>
          <c:showVal val="1"/>
          <c:showCatName val="0"/>
          <c:showSerName val="0"/>
          <c:showPercent val="0"/>
          <c:showBubbleSize val="0"/>
        </c:dLbls>
        <c:gapWidth val="219"/>
        <c:overlap val="-27"/>
        <c:axId val="888224496"/>
        <c:axId val="916470137"/>
      </c:barChart>
      <c:catAx>
        <c:axId val="888224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470137"/>
        <c:crosses val="autoZero"/>
        <c:auto val="1"/>
        <c:lblAlgn val="ctr"/>
        <c:lblOffset val="100"/>
        <c:noMultiLvlLbl val="0"/>
      </c:catAx>
      <c:valAx>
        <c:axId val="9164701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22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08695"/>
          <c:y val="0.1265"/>
          <c:w val="0.90805"/>
          <c:h val="0.707066666666667"/>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2020年财政拨款支出</c:v>
                </c:pt>
                <c:pt idx="1">
                  <c:v>2021年财政拨款支出</c:v>
                </c:pt>
              </c:strCache>
            </c:strRef>
          </c:cat>
          <c:val>
            <c:numRef>
              <c:f>Sheet1!$B$2:$B$5</c:f>
              <c:numCache>
                <c:formatCode>General</c:formatCode>
                <c:ptCount val="4"/>
                <c:pt idx="0">
                  <c:v>182.03</c:v>
                </c:pt>
                <c:pt idx="1">
                  <c:v>226.09</c:v>
                </c:pt>
              </c:numCache>
            </c:numRef>
          </c:val>
        </c:ser>
        <c:dLbls>
          <c:showLegendKey val="0"/>
          <c:showVal val="1"/>
          <c:showCatName val="0"/>
          <c:showSerName val="0"/>
          <c:showPercent val="0"/>
          <c:showBubbleSize val="0"/>
        </c:dLbls>
        <c:gapWidth val="219"/>
        <c:overlap val="-27"/>
        <c:axId val="786527965"/>
        <c:axId val="536189829"/>
      </c:barChart>
      <c:catAx>
        <c:axId val="7865279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189829"/>
        <c:crosses val="autoZero"/>
        <c:auto val="1"/>
        <c:lblAlgn val="ctr"/>
        <c:lblOffset val="100"/>
        <c:noMultiLvlLbl val="0"/>
      </c:catAx>
      <c:valAx>
        <c:axId val="5361898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5279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Sheet1!$A$1:$A$10</c:f>
              <c:strCache>
                <c:ptCount val="10"/>
                <c:pt idx="0">
                  <c:v> </c:v>
                </c:pt>
                <c:pt idx="2">
                  <c:v>社会保障和就业支出</c:v>
                </c:pt>
                <c:pt idx="3">
                  <c:v>卫生健康支出</c:v>
                </c:pt>
                <c:pt idx="5">
                  <c:v>城乡社区支出</c:v>
                </c:pt>
                <c:pt idx="7">
                  <c:v>住房保障支出</c:v>
                </c:pt>
              </c:strCache>
            </c:strRef>
          </c:cat>
          <c:val>
            <c:numRef>
              <c:f>Sheet1!$B$1:$B$10</c:f>
              <c:numCache>
                <c:formatCode>General</c:formatCode>
                <c:ptCount val="10"/>
                <c:pt idx="0">
                  <c:v>0</c:v>
                </c:pt>
                <c:pt idx="2">
                  <c:v>28.45</c:v>
                </c:pt>
                <c:pt idx="3">
                  <c:v>11.85</c:v>
                </c:pt>
                <c:pt idx="5">
                  <c:v>167.16</c:v>
                </c:pt>
                <c:pt idx="7">
                  <c:v>18.63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elete val="1"/>
          </c:dLbls>
          <c:cat>
            <c:strRef>
              <c:f>Sheet1!$A$1:$A$10</c:f>
              <c:strCache>
                <c:ptCount val="10"/>
                <c:pt idx="0">
                  <c:v> </c:v>
                </c:pt>
                <c:pt idx="2">
                  <c:v>社会保障和就业支出</c:v>
                </c:pt>
                <c:pt idx="3">
                  <c:v>卫生健康支出</c:v>
                </c:pt>
                <c:pt idx="5">
                  <c:v>城乡社区支出</c:v>
                </c:pt>
                <c:pt idx="7">
                  <c:v>住房保障支出</c:v>
                </c:pt>
              </c:strCache>
            </c:strRef>
          </c:cat>
          <c:val>
            <c:numRef>
              <c:f>Sheet1!$C$1:$C$10</c:f>
              <c:numCache>
                <c:formatCode>General</c:formatCode>
                <c:ptCount val="10"/>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legendEntry>
        <c:idx val="4"/>
        <c:delete val="1"/>
      </c:legendEntry>
      <c:legendEntry>
        <c:idx val="6"/>
        <c:delete val="1"/>
      </c:legendEntry>
      <c:legendEntry>
        <c:idx val="8"/>
        <c:delete val="1"/>
      </c:legendEntry>
      <c:legendEntry>
        <c:idx val="9"/>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5134</Words>
  <Characters>5509</Characters>
  <Lines>74</Lines>
  <Paragraphs>21</Paragraphs>
  <TotalTime>46</TotalTime>
  <ScaleCrop>false</ScaleCrop>
  <LinksUpToDate>false</LinksUpToDate>
  <CharactersWithSpaces>5579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拉塞泽克·阿尔法）</cp:lastModifiedBy>
  <cp:lastPrinted>2022-10-19T06:58:47Z</cp:lastPrinted>
  <dcterms:modified xsi:type="dcterms:W3CDTF">2022-10-19T06:59:54Z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3E1ADA13FE5245F3A25624FCBCF9590C</vt:lpwstr>
  </property>
</Properties>
</file>