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bookmarkEnd w:id="0"/>
    <w:p>
      <w:pPr>
        <w:jc w:val="center"/>
        <w:rPr>
          <w:rFonts w:ascii="黑体" w:hAnsi="黑体" w:eastAsia="黑体" w:cs="Times New Roman"/>
          <w:sz w:val="72"/>
          <w:szCs w:val="72"/>
        </w:rPr>
      </w:pPr>
      <w:r>
        <w:rPr>
          <w:rFonts w:hint="eastAsia" w:ascii="黑体" w:hAnsi="黑体" w:eastAsia="黑体" w:cs="黑体"/>
          <w:sz w:val="72"/>
          <w:szCs w:val="72"/>
        </w:rPr>
        <w:t>壤塘县住房和城乡建设局</w:t>
      </w:r>
      <w:r>
        <w:rPr>
          <w:rFonts w:ascii="黑体" w:hAnsi="黑体" w:eastAsia="黑体" w:cs="黑体"/>
          <w:sz w:val="72"/>
          <w:szCs w:val="72"/>
        </w:rPr>
        <w:t>202</w:t>
      </w:r>
      <w:r>
        <w:rPr>
          <w:rFonts w:hint="eastAsia" w:ascii="黑体" w:hAnsi="黑体" w:eastAsia="黑体" w:cs="黑体"/>
          <w:sz w:val="72"/>
          <w:szCs w:val="72"/>
          <w:lang w:val="en-US" w:eastAsia="zh-CN"/>
        </w:rPr>
        <w:t>0</w:t>
      </w:r>
      <w:r>
        <w:rPr>
          <w:rFonts w:ascii="黑体" w:hAnsi="黑体" w:eastAsia="黑体" w:cs="黑体"/>
          <w:sz w:val="72"/>
          <w:szCs w:val="72"/>
        </w:rPr>
        <w:t>年</w:t>
      </w:r>
      <w:r>
        <w:rPr>
          <w:rFonts w:hint="eastAsia" w:ascii="黑体" w:hAnsi="黑体" w:eastAsia="黑体" w:cs="黑体"/>
          <w:sz w:val="72"/>
          <w:szCs w:val="72"/>
        </w:rPr>
        <w:t>部门</w:t>
      </w:r>
      <w:r>
        <w:rPr>
          <w:rFonts w:hint="eastAsia" w:ascii="黑体" w:hAnsi="黑体" w:eastAsia="黑体" w:cs="黑体"/>
          <w:sz w:val="72"/>
          <w:szCs w:val="72"/>
          <w:lang w:eastAsia="zh-CN"/>
        </w:rPr>
        <w:t>决</w:t>
      </w:r>
      <w:r>
        <w:rPr>
          <w:rFonts w:hint="eastAsia" w:ascii="黑体" w:hAnsi="黑体" w:eastAsia="黑体" w:cs="黑体"/>
          <w:sz w:val="72"/>
          <w:szCs w:val="72"/>
        </w:rPr>
        <w:t>算</w:t>
      </w:r>
    </w:p>
    <w:p>
      <w:pPr>
        <w:jc w:val="center"/>
        <w:rPr>
          <w:rFonts w:ascii="黑体" w:hAnsi="黑体" w:eastAsia="黑体" w:cs="Times New Roman"/>
          <w:sz w:val="44"/>
          <w:szCs w:val="44"/>
        </w:rPr>
      </w:pPr>
    </w:p>
    <w:p>
      <w:pPr>
        <w:jc w:val="cente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2021</w:t>
      </w:r>
      <w:r>
        <w:rPr>
          <w:rFonts w:hint="eastAsia" w:ascii="黑体" w:hAnsi="黑体" w:eastAsia="黑体" w:cs="黑体"/>
          <w:sz w:val="52"/>
          <w:szCs w:val="52"/>
        </w:rPr>
        <w:t>年</w:t>
      </w:r>
      <w:r>
        <w:rPr>
          <w:rFonts w:hint="eastAsia" w:ascii="黑体" w:hAnsi="黑体" w:eastAsia="黑体" w:cs="黑体"/>
          <w:sz w:val="52"/>
          <w:szCs w:val="52"/>
          <w:lang w:val="en-US" w:eastAsia="zh-CN"/>
        </w:rPr>
        <w:t>10</w:t>
      </w:r>
      <w:r>
        <w:rPr>
          <w:rFonts w:hint="eastAsia" w:ascii="黑体" w:hAnsi="黑体" w:eastAsia="黑体" w:cs="黑体"/>
          <w:sz w:val="52"/>
          <w:szCs w:val="52"/>
        </w:rPr>
        <w:t>月</w:t>
      </w:r>
      <w:r>
        <w:rPr>
          <w:rFonts w:hint="eastAsia" w:ascii="黑体" w:hAnsi="黑体" w:eastAsia="黑体" w:cs="黑体"/>
          <w:sz w:val="52"/>
          <w:szCs w:val="52"/>
          <w:lang w:val="en-US" w:eastAsia="zh-CN"/>
        </w:rPr>
        <w:t>25</w:t>
      </w:r>
      <w:r>
        <w:rPr>
          <w:rFonts w:hint="eastAsia" w:ascii="黑体" w:hAnsi="黑体" w:eastAsia="黑体" w:cs="黑体"/>
          <w:sz w:val="52"/>
          <w:szCs w:val="52"/>
        </w:rPr>
        <w:t>日</w:t>
      </w:r>
    </w:p>
    <w:p>
      <w:pPr>
        <w:autoSpaceDE w:val="0"/>
        <w:autoSpaceDN w:val="0"/>
        <w:adjustRightInd w:val="0"/>
        <w:ind w:left="420" w:leftChars="200" w:firstLine="3360" w:firstLineChars="700"/>
        <w:jc w:val="both"/>
        <w:rPr>
          <w:rFonts w:hint="eastAsia" w:ascii="黑体" w:hAnsi="黑体" w:eastAsia="黑体"/>
          <w:color w:val="000000"/>
          <w:sz w:val="48"/>
          <w:szCs w:val="48"/>
        </w:rPr>
      </w:pPr>
    </w:p>
    <w:p>
      <w:pPr>
        <w:autoSpaceDE w:val="0"/>
        <w:autoSpaceDN w:val="0"/>
        <w:adjustRightInd w:val="0"/>
        <w:ind w:left="420" w:leftChars="200" w:firstLine="3360" w:firstLineChars="700"/>
        <w:jc w:val="both"/>
        <w:rPr>
          <w:rFonts w:hint="eastAsia" w:ascii="黑体" w:hAnsi="黑体" w:eastAsia="黑体"/>
          <w:color w:val="000000"/>
          <w:sz w:val="48"/>
          <w:szCs w:val="48"/>
        </w:rPr>
      </w:pPr>
    </w:p>
    <w:p>
      <w:pPr>
        <w:autoSpaceDE w:val="0"/>
        <w:autoSpaceDN w:val="0"/>
        <w:adjustRightInd w:val="0"/>
        <w:ind w:left="420" w:leftChars="200" w:firstLine="3360" w:firstLineChars="700"/>
        <w:jc w:val="both"/>
        <w:rPr>
          <w:rFonts w:hint="eastAsia" w:ascii="黑体" w:hAnsi="黑体" w:eastAsia="黑体"/>
          <w:color w:val="000000"/>
          <w:sz w:val="48"/>
          <w:szCs w:val="48"/>
        </w:rPr>
      </w:pPr>
    </w:p>
    <w:p>
      <w:pPr>
        <w:autoSpaceDE w:val="0"/>
        <w:autoSpaceDN w:val="0"/>
        <w:adjustRightInd w:val="0"/>
        <w:ind w:left="420" w:leftChars="200" w:firstLine="3360" w:firstLineChars="700"/>
        <w:jc w:val="both"/>
        <w:rPr>
          <w:rFonts w:hint="eastAsia" w:ascii="黑体" w:hAnsi="黑体" w:eastAsia="黑体"/>
          <w:color w:val="000000"/>
          <w:sz w:val="48"/>
          <w:szCs w:val="48"/>
        </w:rPr>
      </w:pPr>
    </w:p>
    <w:p>
      <w:pPr>
        <w:autoSpaceDE w:val="0"/>
        <w:autoSpaceDN w:val="0"/>
        <w:adjustRightInd w:val="0"/>
        <w:ind w:left="420" w:leftChars="200" w:firstLine="3360" w:firstLineChars="700"/>
        <w:jc w:val="both"/>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1</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25</w:t>
      </w:r>
      <w:r>
        <w:rPr>
          <w:rFonts w:hint="eastAsia" w:hAnsiTheme="minorHAnsi"/>
          <w:b w:val="0"/>
          <w:bCs w:val="0"/>
          <w:sz w:val="24"/>
          <w:szCs w:val="24"/>
        </w:rPr>
        <w:t>日</w:t>
      </w:r>
    </w:p>
    <w:p>
      <w:pPr>
        <w:pStyle w:val="15"/>
        <w:tabs>
          <w:tab w:val="right" w:leader="dot" w:pos="8296"/>
        </w:tabs>
        <w:rPr>
          <w:rFonts w:hint="eastAsia" w:hAnsiTheme="minorHAnsi" w:eastAsiaTheme="minorHAnsi" w:cstheme="minorBidi"/>
          <w:b w:val="0"/>
          <w:bCs w:val="0"/>
          <w:caps w:val="0"/>
          <w:sz w:val="21"/>
          <w:szCs w:val="22"/>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pPr>
        <w:pStyle w:val="18"/>
        <w:tabs>
          <w:tab w:val="right" w:leader="dot" w:pos="8296"/>
        </w:tabs>
        <w:rPr>
          <w:rFonts w:hint="eastAsia" w:hAnsiTheme="minorHAnsi" w:eastAsiaTheme="minorHAnsi" w:cstheme="minorBidi"/>
          <w:smallCaps w:val="0"/>
          <w:sz w:val="21"/>
          <w:szCs w:val="22"/>
          <w:lang w:val="en-US"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5</w:t>
      </w:r>
    </w:p>
    <w:p>
      <w:pPr>
        <w:pStyle w:val="10"/>
        <w:tabs>
          <w:tab w:val="right" w:leader="dot" w:pos="8296"/>
        </w:tabs>
        <w:rPr>
          <w:rFonts w:hint="eastAsia" w:ascii="仿宋" w:hAnsi="仿宋" w:eastAsia="仿宋"/>
          <w:b/>
          <w:color w:val="000000"/>
          <w:lang w:val="en-US" w:eastAsia="zh-CN"/>
        </w:rPr>
      </w:pPr>
      <w:r>
        <w:rPr>
          <w:rFonts w:ascii="仿宋" w:hAnsi="仿宋" w:eastAsia="仿宋"/>
          <w:b/>
          <w:color w:val="000000"/>
        </w:rPr>
        <w:t>（一）主要职能</w:t>
      </w:r>
      <w:r>
        <w:rPr>
          <w:rFonts w:ascii="仿宋" w:hAnsi="仿宋" w:eastAsia="仿宋"/>
          <w:b/>
          <w:color w:val="000000"/>
        </w:rPr>
        <w:tab/>
      </w:r>
      <w:r>
        <w:rPr>
          <w:rFonts w:hint="eastAsia" w:ascii="仿宋" w:hAnsi="仿宋" w:eastAsia="仿宋"/>
          <w:b/>
          <w:color w:val="000000"/>
          <w:lang w:val="en-US" w:eastAsia="zh-CN"/>
        </w:rPr>
        <w:t>5</w:t>
      </w:r>
    </w:p>
    <w:p>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
          <w:color w:val="000000"/>
        </w:rPr>
        <w:t>（二）2020年重点工作完成情况</w:t>
      </w:r>
      <w:r>
        <w:tab/>
      </w:r>
      <w:r>
        <w:rPr>
          <w:rFonts w:hint="eastAsia"/>
          <w:lang w:val="en-US" w:eastAsia="zh-CN"/>
        </w:rPr>
        <w:t>5</w:t>
      </w:r>
    </w:p>
    <w:p>
      <w:pPr>
        <w:pStyle w:val="18"/>
        <w:tabs>
          <w:tab w:val="right" w:leader="dot" w:pos="8296"/>
        </w:tabs>
        <w:rPr>
          <w:rFonts w:hint="default" w:hAnsiTheme="minorHAnsi" w:eastAsiaTheme="minorEastAsia" w:cstheme="minorBidi"/>
          <w:i w:val="0"/>
          <w:iCs w:val="0"/>
          <w:sz w:val="21"/>
          <w:szCs w:val="22"/>
          <w:lang w:val="en-US"/>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20</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21</w:t>
      </w:r>
    </w:p>
    <w:p>
      <w:pPr>
        <w:pStyle w:val="18"/>
        <w:tabs>
          <w:tab w:val="left" w:pos="840"/>
          <w:tab w:val="right" w:leader="dot" w:pos="8296"/>
        </w:tabs>
        <w:rPr>
          <w:rFonts w:hint="eastAsia"/>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21</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22</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23</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24</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24</w:t>
      </w:r>
    </w:p>
    <w:p>
      <w:pPr>
        <w:pStyle w:val="10"/>
        <w:tabs>
          <w:tab w:val="right" w:leader="dot" w:pos="8296"/>
        </w:tabs>
        <w:rPr>
          <w:rFonts w:hint="eastAsia"/>
          <w:lang w:val="en-US" w:eastAsia="zh-CN"/>
        </w:rPr>
      </w:pPr>
      <w:r>
        <w:rPr>
          <w:rFonts w:ascii="仿宋" w:hAnsi="仿宋" w:eastAsia="仿宋"/>
          <w:b/>
          <w:color w:val="000000"/>
        </w:rPr>
        <w:t>（二）一般公共预算财政拨款支出决算结构情况</w:t>
      </w:r>
      <w:r>
        <w:tab/>
      </w:r>
      <w:r>
        <w:rPr>
          <w:rFonts w:hint="eastAsia"/>
          <w:lang w:val="en-US" w:eastAsia="zh-CN"/>
        </w:rPr>
        <w:t>25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26</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28</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28</w:t>
      </w:r>
    </w:p>
    <w:p>
      <w:pPr>
        <w:pStyle w:val="10"/>
        <w:tabs>
          <w:tab w:val="right" w:leader="dot" w:pos="8296"/>
        </w:tabs>
        <w:rPr>
          <w:rFonts w:hint="eastAsia"/>
          <w:lang w:val="en-US" w:eastAsia="zh-CN"/>
        </w:rPr>
      </w:pPr>
      <w:r>
        <w:rPr>
          <w:rFonts w:ascii="仿宋" w:hAnsi="仿宋" w:eastAsia="仿宋"/>
          <w:b/>
          <w:color w:val="000000"/>
        </w:rPr>
        <w:t>（一）“三公”经费财政拨款支出决算总体情况说明</w:t>
      </w:r>
      <w:r>
        <w:tab/>
      </w:r>
      <w:r>
        <w:rPr>
          <w:rFonts w:hint="eastAsia"/>
          <w:lang w:val="en-US" w:eastAsia="zh-CN"/>
        </w:rPr>
        <w:t>28</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29</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30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30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30</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30</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30</w:t>
      </w:r>
    </w:p>
    <w:p>
      <w:pPr>
        <w:pStyle w:val="10"/>
        <w:tabs>
          <w:tab w:val="right" w:leader="dot" w:pos="8296"/>
        </w:tabs>
        <w:rPr>
          <w:rFonts w:hint="eastAsia"/>
          <w:lang w:val="en-US" w:eastAsia="zh-CN"/>
        </w:rPr>
      </w:pPr>
      <w:r>
        <w:rPr>
          <w:rFonts w:ascii="仿宋" w:hAnsi="仿宋" w:eastAsia="仿宋"/>
          <w:b/>
          <w:color w:val="000000"/>
        </w:rPr>
        <w:t>（三）国有资产占有使用情况</w:t>
      </w:r>
      <w:r>
        <w:tab/>
      </w:r>
      <w:r>
        <w:rPr>
          <w:rFonts w:hint="eastAsia"/>
          <w:lang w:val="en-US" w:eastAsia="zh-CN"/>
        </w:rPr>
        <w:t>31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31</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35</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39</w:t>
      </w:r>
    </w:p>
    <w:p>
      <w:pPr>
        <w:pStyle w:val="15"/>
        <w:tabs>
          <w:tab w:val="right" w:leader="dot" w:pos="8296"/>
        </w:tabs>
        <w:rPr>
          <w:rFonts w:hint="eastAsia"/>
          <w:lang w:val="en-US" w:eastAsia="zh-CN"/>
        </w:rPr>
      </w:pPr>
      <w:r>
        <w:rPr>
          <w:rFonts w:ascii="黑体" w:hAnsi="黑体" w:eastAsia="黑体" w:cs="黑体"/>
        </w:rPr>
        <w:t>附件1</w:t>
      </w:r>
      <w:r>
        <w:tab/>
      </w:r>
      <w:r>
        <w:rPr>
          <w:rFonts w:hint="eastAsia"/>
          <w:lang w:val="en-US" w:eastAsia="zh-CN"/>
        </w:rPr>
        <w:t>39</w:t>
      </w:r>
    </w:p>
    <w:p>
      <w:pPr>
        <w:pStyle w:val="15"/>
        <w:tabs>
          <w:tab w:val="right" w:leader="dot" w:pos="8296"/>
        </w:tabs>
        <w:rPr>
          <w:rFonts w:hint="eastAsia"/>
          <w:lang w:val="en-US" w:eastAsia="zh-CN"/>
        </w:rPr>
      </w:pPr>
      <w:r>
        <w:rPr>
          <w:rFonts w:hint="eastAsia" w:ascii="方正小标宋简体" w:hAnsi="黑体" w:eastAsia="方正小标宋简体" w:cs="黑体"/>
          <w:lang w:eastAsia="zh-CN"/>
        </w:rPr>
        <w:t>壤塘县住房和城乡建设局</w:t>
      </w:r>
      <w:r>
        <w:rPr>
          <w:rFonts w:ascii="方正小标宋简体" w:hAnsi="黑体" w:eastAsia="方正小标宋简体" w:cs="黑体"/>
        </w:rPr>
        <w:t>2020年部门整体支出绩效评价报告</w:t>
      </w:r>
      <w:r>
        <w:tab/>
      </w:r>
      <w:r>
        <w:rPr>
          <w:rFonts w:hint="eastAsia"/>
          <w:lang w:val="en-US" w:eastAsia="zh-CN"/>
        </w:rPr>
        <w:t>39</w:t>
      </w:r>
    </w:p>
    <w:p>
      <w:pPr>
        <w:pStyle w:val="15"/>
        <w:tabs>
          <w:tab w:val="right" w:leader="dot" w:pos="8296"/>
        </w:tabs>
        <w:rPr>
          <w:rFonts w:hint="eastAsia"/>
          <w:lang w:val="en-US" w:eastAsia="zh-CN"/>
        </w:rPr>
      </w:pPr>
      <w:r>
        <w:rPr>
          <w:rFonts w:ascii="黑体" w:hAnsi="黑体" w:eastAsia="黑体" w:cs="黑体"/>
        </w:rPr>
        <w:t>附件2</w:t>
      </w:r>
      <w:r>
        <w:tab/>
      </w:r>
      <w:r>
        <w:rPr>
          <w:rFonts w:hint="eastAsia"/>
          <w:lang w:val="en-US" w:eastAsia="zh-CN"/>
        </w:rPr>
        <w:t>43</w:t>
      </w:r>
    </w:p>
    <w:p>
      <w:pPr>
        <w:pStyle w:val="15"/>
        <w:tabs>
          <w:tab w:val="right" w:leader="dot" w:pos="8296"/>
        </w:tabs>
        <w:rPr>
          <w:rFonts w:hint="eastAsia"/>
          <w:lang w:val="en-US" w:eastAsia="zh-CN"/>
        </w:rPr>
      </w:pPr>
      <w:r>
        <w:rPr>
          <w:rFonts w:hint="eastAsia" w:ascii="方正小标宋简体" w:hAnsi="黑体" w:eastAsia="方正小标宋简体" w:cs="黑体"/>
          <w:lang w:eastAsia="zh-CN"/>
        </w:rPr>
        <w:t>壤塘县生活垃圾资源化综合处置项目</w:t>
      </w:r>
      <w:r>
        <w:rPr>
          <w:rFonts w:ascii="方正小标宋简体" w:hAnsi="黑体" w:eastAsia="方正小标宋简体" w:cs="黑体"/>
        </w:rPr>
        <w:t>2020年绩效评价报告</w:t>
      </w:r>
      <w:r>
        <w:tab/>
      </w:r>
      <w:r>
        <w:rPr>
          <w:rFonts w:hint="eastAsia"/>
          <w:lang w:val="en-US" w:eastAsia="zh-CN"/>
        </w:rPr>
        <w:t>43</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48</w:t>
      </w:r>
    </w:p>
    <w:p>
      <w:pPr>
        <w:pStyle w:val="18"/>
        <w:tabs>
          <w:tab w:val="right" w:leader="dot" w:pos="8296"/>
        </w:tabs>
        <w:rPr>
          <w:rFonts w:hint="eastAsia"/>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48</w:t>
      </w:r>
    </w:p>
    <w:p>
      <w:pPr>
        <w:pStyle w:val="18"/>
        <w:tabs>
          <w:tab w:val="right" w:leader="dot" w:pos="8296"/>
        </w:tabs>
        <w:rPr>
          <w:rFonts w:hint="eastAsia"/>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48</w:t>
      </w:r>
    </w:p>
    <w:p>
      <w:pPr>
        <w:pStyle w:val="18"/>
        <w:tabs>
          <w:tab w:val="right" w:leader="dot" w:pos="8296"/>
        </w:tabs>
        <w:rPr>
          <w:rFonts w:hint="eastAsia"/>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48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48</w:t>
      </w:r>
    </w:p>
    <w:p>
      <w:r>
        <w:rPr>
          <w:rFonts w:asciiTheme="minorHAnsi" w:eastAsiaTheme="minorHAnsi"/>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 w:name="_Toc15396599"/>
      <w:bookmarkStart w:id="2" w:name="_Toc15377196"/>
      <w:r>
        <w:rPr>
          <w:rFonts w:ascii="仿宋" w:hAnsi="仿宋" w:eastAsia="仿宋"/>
          <w:b/>
          <w:sz w:val="24"/>
        </w:rPr>
        <w:br w:type="page"/>
      </w:r>
    </w:p>
    <w:p>
      <w:pPr>
        <w:pStyle w:val="3"/>
        <w:jc w:val="center"/>
        <w:rPr>
          <w:rStyle w:val="26"/>
          <w:rFonts w:ascii="黑体" w:hAnsi="黑体" w:eastAsia="黑体"/>
          <w:b/>
          <w:bCs w:val="0"/>
        </w:rPr>
      </w:pPr>
      <w:bookmarkStart w:id="3" w:name="_Toc79163601"/>
      <w:bookmarkStart w:id="4"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
      <w:bookmarkEnd w:id="2"/>
      <w:bookmarkEnd w:id="3"/>
      <w:bookmarkEnd w:id="4"/>
    </w:p>
    <w:p>
      <w:pPr>
        <w:widowControl/>
        <w:jc w:val="left"/>
        <w:rPr>
          <w:rFonts w:ascii="黑体" w:eastAsia="黑体"/>
          <w:color w:val="000000"/>
          <w:sz w:val="32"/>
          <w:szCs w:val="32"/>
        </w:rPr>
      </w:pPr>
    </w:p>
    <w:p>
      <w:pPr>
        <w:pStyle w:val="4"/>
        <w:rPr>
          <w:rStyle w:val="27"/>
          <w:rFonts w:ascii="仿宋" w:hAnsi="仿宋" w:eastAsia="仿宋"/>
          <w:b w:val="0"/>
          <w:bCs w:val="0"/>
        </w:rPr>
      </w:pPr>
      <w:bookmarkStart w:id="5" w:name="_Toc79163602"/>
      <w:bookmarkStart w:id="6" w:name="_Toc15377197"/>
      <w:bookmarkStart w:id="7" w:name="_Toc15396600"/>
      <w:bookmarkStart w:id="8" w:name="_Toc791638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5"/>
      <w:bookmarkEnd w:id="6"/>
      <w:bookmarkEnd w:id="7"/>
      <w:bookmarkEnd w:id="8"/>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9" w:name="_Toc79163603"/>
      <w:bookmarkStart w:id="10" w:name="_Toc79163853"/>
      <w:bookmarkStart w:id="11" w:name="_Toc15377198"/>
      <w:bookmarkStart w:id="12" w:name="_Toc15378445"/>
      <w:r>
        <w:rPr>
          <w:rFonts w:hint="eastAsia" w:ascii="仿宋" w:hAnsi="仿宋" w:eastAsia="仿宋"/>
          <w:bCs/>
          <w:color w:val="000000"/>
          <w:sz w:val="32"/>
          <w:szCs w:val="32"/>
        </w:rPr>
        <w:t>（一）主要职能。</w:t>
      </w:r>
      <w:bookmarkEnd w:id="9"/>
      <w:bookmarkEnd w:id="10"/>
    </w:p>
    <w:p>
      <w:pPr>
        <w:pStyle w:val="7"/>
        <w:adjustRightInd w:val="0"/>
        <w:snapToGrid w:val="0"/>
        <w:spacing w:before="93" w:line="600" w:lineRule="exact"/>
        <w:ind w:firstLine="672" w:firstLineChars="210"/>
        <w:outlineLvl w:val="2"/>
        <w:rPr>
          <w:rFonts w:hint="eastAsia" w:ascii="仿宋" w:hAnsi="仿宋" w:eastAsia="仿宋" w:cs="仿宋"/>
          <w:sz w:val="28"/>
          <w:szCs w:val="28"/>
        </w:rPr>
      </w:pPr>
      <w:r>
        <w:rPr>
          <w:rFonts w:hint="eastAsia" w:ascii="仿宋" w:hAnsi="仿宋" w:eastAsia="仿宋" w:cs="仿宋"/>
          <w:color w:val="333333"/>
          <w:sz w:val="32"/>
          <w:szCs w:val="32"/>
          <w:shd w:val="clear" w:fill="FFFFFF"/>
        </w:rPr>
        <w:t>壤塘县住房和城乡建设局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城市勘察和市政测量工作；指导全县城镇土地使用权有偿转让、房地产开发经营和中介服务，规范房地产市场，指导和推进城镇住宅建设，负责住房制度改革工作。指导城镇园林绿化工作；会同有关部门管理工业与民用建筑的抗震设防建设，承担推进住房制度改革、保障城镇低收入家庭住房的责任，编制住房保障发展规划和年度计划并监督实施等工</w:t>
      </w:r>
      <w:r>
        <w:rPr>
          <w:rFonts w:hint="eastAsia" w:ascii="仿宋" w:hAnsi="仿宋" w:eastAsia="仿宋" w:cs="仿宋"/>
          <w:color w:val="333333"/>
          <w:sz w:val="32"/>
          <w:szCs w:val="32"/>
          <w:shd w:val="clear" w:fill="FFFFFF"/>
          <w:lang w:eastAsia="zh-CN"/>
        </w:rPr>
        <w:t>作。</w:t>
      </w:r>
      <w:r>
        <w:rPr>
          <w:rFonts w:hint="eastAsia" w:ascii="仿宋" w:hAnsi="仿宋" w:eastAsia="仿宋" w:cs="仿宋"/>
          <w:color w:val="333333"/>
          <w:sz w:val="32"/>
          <w:szCs w:val="32"/>
          <w:shd w:val="clear" w:fill="FFFFFF"/>
        </w:rPr>
        <w:t>  </w:t>
      </w:r>
    </w:p>
    <w:bookmarkEnd w:id="11"/>
    <w:bookmarkEnd w:id="12"/>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3" w:name="_Toc15378446"/>
      <w:bookmarkStart w:id="14" w:name="_Toc79163854"/>
      <w:bookmarkStart w:id="15" w:name="_Toc79163604"/>
      <w:bookmarkStart w:id="16"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3"/>
      <w:bookmarkEnd w:id="14"/>
      <w:bookmarkEnd w:id="15"/>
      <w:bookmarkEnd w:id="16"/>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紧盯疫情防控，全力抓好复工复产</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有力、有序推动我县房屋和市政项目开复工，结合省、州、县关于新冠肺炎疫情防控工作部署，我局一手抓疫情防控有力，一手抓复工复产有序，从加快推进项目策划、推动项目尽早开工、复工、竣工等角度研究制定的措施，统筹抓好疫情防控与复工复产工作，充分发挥主管部门审核环节的重要作用，促进全县建筑领域经济社会平稳健康发展。</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1.加强项目人员动向摸排。</w:t>
      </w:r>
      <w:r>
        <w:rPr>
          <w:rFonts w:hint="eastAsia" w:ascii="仿宋" w:hAnsi="仿宋" w:eastAsia="仿宋" w:cs="仿宋"/>
          <w:kern w:val="2"/>
          <w:sz w:val="32"/>
          <w:szCs w:val="32"/>
          <w:lang w:val="en-US" w:eastAsia="zh-CN" w:bidi="ar-SA"/>
        </w:rPr>
        <w:t>针对我县房屋市政建设项目从业人员流量大、异地务工人员多等特点，及时通知各建设、施工、监理、勘察、设计等单位，要求摸清项目管理人员以及拟派驻的务工人员在疫情防控期间的去向以及身体情况，并及时备案。</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2.制定疫情防控复工方案。一是</w:t>
      </w:r>
      <w:r>
        <w:rPr>
          <w:rFonts w:hint="eastAsia" w:ascii="仿宋" w:hAnsi="仿宋" w:eastAsia="仿宋" w:cs="仿宋"/>
          <w:kern w:val="2"/>
          <w:sz w:val="32"/>
          <w:szCs w:val="32"/>
          <w:lang w:val="en-US" w:eastAsia="zh-CN" w:bidi="ar-SA"/>
        </w:rPr>
        <w:t>为规范疫情防控期间建筑项目复工复产，提早筹划，制定了《壤塘县房屋和市政项目新型冠状病毒疫情防控方案》，规范了疫情防控期间建筑项目复工审批管理、企业开工复工自查、开工后疫情管理、安全生产管理等工作；</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在做好疫情防控工作的同时，协助各项目单位制定疫情防控、复工等方案，为后续正式复工奠定基础。</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3.切实解决复工存在问题。一是</w:t>
      </w:r>
      <w:r>
        <w:rPr>
          <w:rFonts w:hint="eastAsia" w:ascii="仿宋" w:hAnsi="仿宋" w:eastAsia="仿宋" w:cs="仿宋"/>
          <w:kern w:val="2"/>
          <w:sz w:val="32"/>
          <w:szCs w:val="32"/>
          <w:lang w:val="en-US" w:eastAsia="zh-CN" w:bidi="ar-SA"/>
        </w:rPr>
        <w:t>强化服务指导，为进一步提高办事效率，利用“四川省住房城乡建设电子政务平台”、“壤塘县建筑市场疫情防控工作群”、“壤塘县建设项目管理群”、“壤塘县建设项目业主群”等线上平台办公，实现不见面办事、当天事当天结，并且及时优化前期要件审批流程，实行“一对一”服务指导，实行申报核查并行；</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强化支持保障，积极协调解决各企业在复工复产中面临的跨多部门办理文件等问题，结合审批制定改革要求，缩短办理时间，简化办理流程，联合其他审批部门，实现“一站式”窗口服务；</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针对项目设计、勘察工作，开通“特殊通道”，设计勘察人员经过健康体检后，由县防疫指挥部指定定点接待酒店，进行半封闭管理，“点对点”、“一站式”开展工作。</w:t>
      </w:r>
      <w:r>
        <w:rPr>
          <w:rFonts w:hint="eastAsia" w:ascii="仿宋" w:hAnsi="仿宋" w:eastAsia="仿宋" w:cs="仿宋"/>
          <w:b/>
          <w:bCs/>
          <w:kern w:val="2"/>
          <w:sz w:val="32"/>
          <w:szCs w:val="32"/>
          <w:lang w:val="en-US" w:eastAsia="zh-CN" w:bidi="ar-SA"/>
        </w:rPr>
        <w:t>四是</w:t>
      </w:r>
      <w:r>
        <w:rPr>
          <w:rFonts w:hint="eastAsia" w:ascii="仿宋" w:hAnsi="仿宋" w:eastAsia="仿宋" w:cs="仿宋"/>
          <w:kern w:val="2"/>
          <w:sz w:val="32"/>
          <w:szCs w:val="32"/>
          <w:lang w:val="en-US" w:eastAsia="zh-CN" w:bidi="ar-SA"/>
        </w:rPr>
        <w:t>针对部分施工企业因物资不足未能复工的情况，主动深入企业，了解实际困难，协调采购必备防疫物资；</w:t>
      </w:r>
      <w:r>
        <w:rPr>
          <w:rFonts w:hint="eastAsia" w:ascii="仿宋" w:hAnsi="仿宋" w:eastAsia="仿宋" w:cs="仿宋"/>
          <w:b/>
          <w:bCs/>
          <w:kern w:val="2"/>
          <w:sz w:val="32"/>
          <w:szCs w:val="32"/>
          <w:lang w:val="en-US" w:eastAsia="zh-CN" w:bidi="ar-SA"/>
        </w:rPr>
        <w:t>五是</w:t>
      </w:r>
      <w:r>
        <w:rPr>
          <w:rFonts w:hint="eastAsia" w:ascii="仿宋" w:hAnsi="仿宋" w:eastAsia="仿宋" w:cs="仿宋"/>
          <w:kern w:val="2"/>
          <w:sz w:val="32"/>
          <w:szCs w:val="32"/>
          <w:lang w:val="en-US" w:eastAsia="zh-CN" w:bidi="ar-SA"/>
        </w:rPr>
        <w:t>针对人员返程难、机械运输难、原料配送难等问题，要求施工企业在保目标、保质量的前提下倒排工期；</w:t>
      </w:r>
      <w:r>
        <w:rPr>
          <w:rFonts w:hint="eastAsia" w:ascii="仿宋" w:hAnsi="仿宋" w:eastAsia="仿宋" w:cs="仿宋"/>
          <w:b/>
          <w:bCs/>
          <w:kern w:val="2"/>
          <w:sz w:val="32"/>
          <w:szCs w:val="32"/>
          <w:lang w:val="en-US" w:eastAsia="zh-CN" w:bidi="ar-SA"/>
        </w:rPr>
        <w:t>六是</w:t>
      </w:r>
      <w:r>
        <w:rPr>
          <w:rFonts w:hint="eastAsia" w:ascii="仿宋" w:hAnsi="仿宋" w:eastAsia="仿宋" w:cs="仿宋"/>
          <w:kern w:val="2"/>
          <w:sz w:val="32"/>
          <w:szCs w:val="32"/>
          <w:lang w:val="en-US" w:eastAsia="zh-CN" w:bidi="ar-SA"/>
        </w:rPr>
        <w:t>提前对接砂石厂，报送需求量，确保复工后材料供应。</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4.抓好项目复工疫情防控。</w:t>
      </w:r>
      <w:r>
        <w:rPr>
          <w:rFonts w:hint="eastAsia" w:ascii="仿宋" w:hAnsi="仿宋" w:eastAsia="仿宋" w:cs="仿宋"/>
          <w:kern w:val="2"/>
          <w:sz w:val="32"/>
          <w:szCs w:val="32"/>
          <w:lang w:val="en-US" w:eastAsia="zh-CN" w:bidi="ar-SA"/>
        </w:rPr>
        <w:t>及时调整工作重心，根据疫情防控的新形势，全力推进在建工程从万无一失的高成本防控到提高警惕、实事求是、重点防控的转变，努力做到复工复产、疫情防控、安全生产三手抓三手硬，按照防控方案的要求督促复工项目备足防疫物资，建立项目复工疫情防控体系，严格落实实名制管理，做好安全教育、现场人员体温检测，搞好施工现场、生活区、办公区及机械设备消毒管理，建立应急预案和信息报送制度，执行“有事报事，无事报平安”的制度，严防工地发生疫情。</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5.加强政策合同管理宣传。</w:t>
      </w:r>
      <w:r>
        <w:rPr>
          <w:rFonts w:hint="eastAsia" w:ascii="仿宋" w:hAnsi="仿宋" w:eastAsia="仿宋" w:cs="仿宋"/>
          <w:kern w:val="2"/>
          <w:sz w:val="32"/>
          <w:szCs w:val="32"/>
          <w:lang w:val="en-US" w:eastAsia="zh-CN" w:bidi="ar-SA"/>
        </w:rPr>
        <w:t>针对新冠肺炎疫情的特殊性，加强对疫情防控期间发承包双方履约合同指导，督促双方适用合同中不可抗力的相关约定，按照公平原则及时处理复工履约存在的问题，加强工期及停工损失、疫情防控费用、材料价格等方面政策的宣传，保障双方的合法利益，避免纠纷，保障项目能够有序推进。</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聚焦脱贫攻坚，巩固拓展扶贫成效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——狠抓脱贫项目推进。一是</w:t>
      </w:r>
      <w:r>
        <w:rPr>
          <w:rFonts w:hint="eastAsia" w:ascii="仿宋" w:hAnsi="仿宋" w:eastAsia="仿宋" w:cs="仿宋"/>
          <w:sz w:val="32"/>
          <w:szCs w:val="32"/>
          <w:lang w:val="en-US" w:eastAsia="zh-CN"/>
        </w:rPr>
        <w:t>加强对脱贫攻坚项目的业务指导，围绕局年度项目建设任务，提前谋划、精准施策、靠上服务，全力推动建设项目有序推进，为全县脱贫奔康保驾护航，全年共计开展质量督查工作200余次，下发整改通知书30余份，监督记录50余份，在监督过程中严格要求施工单位按照规定办理相关程序，加大对施工质量的监督力度，确保脱贫攻坚基础设施建设项目保质、保量完成；</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顺利实施完成</w:t>
      </w:r>
      <w:r>
        <w:rPr>
          <w:rFonts w:hint="eastAsia" w:ascii="仿宋" w:hAnsi="仿宋" w:eastAsia="仿宋" w:cs="仿宋"/>
          <w:kern w:val="0"/>
          <w:sz w:val="32"/>
          <w:szCs w:val="32"/>
          <w:lang w:val="en-US" w:eastAsia="zh-CN" w:bidi="ar"/>
        </w:rPr>
        <w:t>岗木达乡岗木达村章光村农村安全饮水设施水质保障</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bidi="ar"/>
        </w:rPr>
        <w:t>2020年乡村振兴农村人居环境改善基础设施建设</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bidi="ar"/>
        </w:rPr>
        <w:t>尕日寨基础设施提升及环境综合整治</w:t>
      </w:r>
      <w:r>
        <w:rPr>
          <w:rFonts w:hint="eastAsia" w:ascii="仿宋" w:hAnsi="仿宋" w:eastAsia="仿宋" w:cs="仿宋"/>
          <w:sz w:val="32"/>
          <w:szCs w:val="32"/>
          <w:lang w:val="en-US" w:eastAsia="zh-CN"/>
        </w:rPr>
        <w:t>等脱贫攻坚项目。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sz w:val="32"/>
          <w:szCs w:val="32"/>
          <w:lang w:val="en-US" w:eastAsia="zh-CN"/>
        </w:rPr>
        <w:t>——狠抓住房安全保障。一是</w:t>
      </w:r>
      <w:r>
        <w:rPr>
          <w:rFonts w:hint="eastAsia" w:ascii="仿宋" w:hAnsi="仿宋" w:eastAsia="仿宋" w:cs="仿宋"/>
          <w:sz w:val="32"/>
          <w:szCs w:val="32"/>
        </w:rPr>
        <w:t>始终以“两不愁三保障”为工作目标和原则，狠抓全县农房建设的质量、安全监管，配齐配强住房质量监督技术力量，加强对各类住房建设的指导力度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充分发挥督查检查和技术指导的作用</w:t>
      </w:r>
      <w:r>
        <w:rPr>
          <w:rFonts w:hint="eastAsia" w:ascii="仿宋" w:hAnsi="仿宋" w:eastAsia="仿宋" w:cs="仿宋"/>
          <w:sz w:val="32"/>
          <w:szCs w:val="32"/>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为确保按时完成壤塘县脱贫攻坚住房安全保障任务，</w:t>
      </w:r>
      <w:r>
        <w:rPr>
          <w:rFonts w:hint="eastAsia" w:ascii="仿宋" w:hAnsi="仿宋" w:eastAsia="仿宋" w:cs="仿宋"/>
          <w:sz w:val="32"/>
          <w:szCs w:val="32"/>
        </w:rPr>
        <w:t>保障农牧民群众住房安全，</w:t>
      </w:r>
      <w:r>
        <w:rPr>
          <w:rFonts w:hint="eastAsia" w:ascii="仿宋" w:hAnsi="仿宋" w:eastAsia="仿宋" w:cs="仿宋"/>
          <w:sz w:val="32"/>
          <w:szCs w:val="32"/>
          <w:lang w:val="en-US" w:eastAsia="zh-CN"/>
        </w:rPr>
        <w:t>我局大力开展住房安全保障排查工作，及时发现存在的问题并督促整改，同时，聘请</w:t>
      </w:r>
      <w:r>
        <w:rPr>
          <w:rFonts w:hint="eastAsia" w:ascii="仿宋" w:hAnsi="仿宋" w:eastAsia="仿宋" w:cs="仿宋"/>
          <w:sz w:val="32"/>
          <w:szCs w:val="32"/>
        </w:rPr>
        <w:t>专业鉴定公司深入各村、寨，对全县</w:t>
      </w:r>
      <w:r>
        <w:rPr>
          <w:rFonts w:hint="eastAsia" w:ascii="仿宋" w:hAnsi="仿宋" w:eastAsia="仿宋" w:cs="仿宋"/>
          <w:kern w:val="0"/>
          <w:sz w:val="32"/>
          <w:szCs w:val="32"/>
          <w:lang w:val="en-US" w:eastAsia="zh-CN"/>
        </w:rPr>
        <w:t>5000余</w:t>
      </w:r>
      <w:r>
        <w:rPr>
          <w:rFonts w:hint="eastAsia" w:ascii="仿宋" w:hAnsi="仿宋" w:eastAsia="仿宋" w:cs="仿宋"/>
          <w:kern w:val="0"/>
          <w:sz w:val="32"/>
          <w:szCs w:val="32"/>
        </w:rPr>
        <w:t>户住房质量</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安全进行鉴定</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w:t>
      </w:r>
      <w:r>
        <w:rPr>
          <w:rFonts w:hint="eastAsia" w:ascii="仿宋" w:hAnsi="仿宋" w:eastAsia="仿宋" w:cs="仿宋"/>
          <w:b/>
          <w:bCs/>
          <w:kern w:val="0"/>
          <w:sz w:val="32"/>
          <w:szCs w:val="32"/>
          <w:lang w:val="en-US" w:eastAsia="zh-CN"/>
        </w:rPr>
        <w:t>是</w:t>
      </w:r>
      <w:r>
        <w:rPr>
          <w:rFonts w:hint="eastAsia" w:ascii="仿宋" w:hAnsi="仿宋" w:eastAsia="仿宋" w:cs="仿宋"/>
          <w:kern w:val="0"/>
          <w:sz w:val="32"/>
          <w:szCs w:val="32"/>
          <w:lang w:val="en-US" w:eastAsia="zh-CN" w:bidi="ar"/>
        </w:rPr>
        <w:t>由于藏区新居建设项目已全部完成，为进一步巩固我县脱贫攻坚住房安全保障成果，2020年顺利实施完成</w:t>
      </w:r>
      <w:r>
        <w:rPr>
          <w:rFonts w:hint="eastAsia" w:ascii="仿宋" w:hAnsi="仿宋" w:eastAsia="仿宋" w:cs="仿宋"/>
          <w:kern w:val="0"/>
          <w:sz w:val="32"/>
          <w:szCs w:val="32"/>
          <w:lang w:bidi="ar"/>
        </w:rPr>
        <w:t>壤塘县2020年挂牌督战住房保障项目，</w:t>
      </w:r>
      <w:r>
        <w:rPr>
          <w:rFonts w:hint="eastAsia" w:ascii="仿宋" w:hAnsi="仿宋" w:eastAsia="仿宋" w:cs="仿宋"/>
          <w:kern w:val="0"/>
          <w:sz w:val="32"/>
          <w:szCs w:val="32"/>
          <w:lang w:eastAsia="zh-CN" w:bidi="ar"/>
        </w:rPr>
        <w:t>再次</w:t>
      </w:r>
      <w:r>
        <w:rPr>
          <w:rFonts w:hint="eastAsia" w:ascii="仿宋" w:hAnsi="仿宋" w:eastAsia="仿宋" w:cs="仿宋"/>
          <w:kern w:val="0"/>
          <w:sz w:val="32"/>
          <w:szCs w:val="32"/>
          <w:lang w:bidi="ar"/>
        </w:rPr>
        <w:t>解决我县30户住房安全存在问题的农户</w:t>
      </w:r>
      <w:r>
        <w:rPr>
          <w:rFonts w:hint="eastAsia" w:ascii="仿宋" w:hAnsi="仿宋" w:eastAsia="仿宋" w:cs="仿宋"/>
          <w:kern w:val="0"/>
          <w:sz w:val="32"/>
          <w:szCs w:val="32"/>
          <w:lang w:eastAsia="zh-CN" w:bidi="ar"/>
        </w:rPr>
        <w:t>，现该项目已通过县级部门联合验收，正在拨付补助资金</w:t>
      </w:r>
      <w:r>
        <w:rPr>
          <w:rFonts w:hint="eastAsia" w:ascii="仿宋" w:hAnsi="仿宋" w:eastAsia="仿宋" w:cs="仿宋"/>
          <w:kern w:val="0"/>
          <w:sz w:val="32"/>
          <w:szCs w:val="32"/>
          <w:lang w:val="en-US" w:eastAsia="zh-CN"/>
        </w:rPr>
        <w:t>；</w:t>
      </w:r>
      <w:r>
        <w:rPr>
          <w:rFonts w:hint="eastAsia" w:ascii="仿宋" w:hAnsi="仿宋" w:eastAsia="仿宋" w:cs="仿宋"/>
          <w:b/>
          <w:bCs/>
          <w:kern w:val="0"/>
          <w:sz w:val="32"/>
          <w:szCs w:val="32"/>
          <w:lang w:val="en-US" w:eastAsia="zh-CN"/>
        </w:rPr>
        <w:t>四是</w:t>
      </w:r>
      <w:r>
        <w:rPr>
          <w:rFonts w:hint="eastAsia" w:ascii="仿宋" w:hAnsi="仿宋" w:eastAsia="仿宋" w:cs="仿宋"/>
          <w:b w:val="0"/>
          <w:bCs w:val="0"/>
          <w:sz w:val="32"/>
          <w:szCs w:val="32"/>
          <w:lang w:eastAsia="zh-CN"/>
        </w:rPr>
        <w:t>深入</w:t>
      </w:r>
      <w:r>
        <w:rPr>
          <w:rFonts w:hint="eastAsia" w:ascii="仿宋" w:hAnsi="仿宋" w:eastAsia="仿宋" w:cs="仿宋"/>
          <w:b w:val="0"/>
          <w:bCs w:val="0"/>
          <w:sz w:val="32"/>
          <w:szCs w:val="32"/>
          <w:lang w:val="en-US" w:eastAsia="zh-CN"/>
        </w:rPr>
        <w:t>全县11个</w:t>
      </w:r>
      <w:r>
        <w:rPr>
          <w:rFonts w:hint="eastAsia" w:ascii="仿宋" w:hAnsi="仿宋" w:eastAsia="仿宋" w:cs="仿宋"/>
          <w:b w:val="0"/>
          <w:bCs w:val="0"/>
          <w:sz w:val="32"/>
          <w:szCs w:val="32"/>
          <w:lang w:eastAsia="zh-CN"/>
        </w:rPr>
        <w:t>乡（镇），开展全县</w:t>
      </w:r>
      <w:r>
        <w:rPr>
          <w:rFonts w:hint="eastAsia" w:ascii="仿宋" w:hAnsi="仿宋" w:eastAsia="仿宋" w:cs="仿宋"/>
          <w:b w:val="0"/>
          <w:bCs w:val="0"/>
          <w:sz w:val="32"/>
          <w:szCs w:val="32"/>
          <w:lang w:val="en-US" w:eastAsia="zh-CN"/>
        </w:rPr>
        <w:t>2136户建档立卡贫困户住房安全有保障核验APP</w:t>
      </w:r>
      <w:r>
        <w:rPr>
          <w:rFonts w:hint="eastAsia" w:ascii="仿宋" w:hAnsi="仿宋" w:eastAsia="仿宋" w:cs="仿宋"/>
          <w:sz w:val="32"/>
          <w:szCs w:val="32"/>
          <w:lang w:val="en-US" w:eastAsia="zh-CN"/>
        </w:rPr>
        <w:t>录入</w:t>
      </w:r>
      <w:r>
        <w:rPr>
          <w:rFonts w:hint="eastAsia" w:ascii="仿宋" w:hAnsi="仿宋" w:eastAsia="仿宋" w:cs="仿宋"/>
          <w:b w:val="0"/>
          <w:bCs w:val="0"/>
          <w:sz w:val="32"/>
          <w:szCs w:val="32"/>
          <w:lang w:val="en-US" w:eastAsia="zh-CN"/>
        </w:rPr>
        <w:t>工作，完成录入2136户，录入率达100%，并对录入情况进行县级抽查，完成县级抽查266户，督促乡镇完成乡级抽查568户，同时，完成农村危房改造脱贫攻坚三年行动农户档案信息系统录入工作</w:t>
      </w:r>
      <w:r>
        <w:rPr>
          <w:rFonts w:hint="eastAsia" w:ascii="仿宋" w:hAnsi="仿宋" w:eastAsia="仿宋" w:cs="仿宋"/>
          <w:sz w:val="32"/>
          <w:szCs w:val="32"/>
          <w:lang w:val="en-US" w:eastAsia="zh-CN"/>
        </w:rPr>
        <w:t>，完成录入</w:t>
      </w:r>
      <w:r>
        <w:rPr>
          <w:rFonts w:hint="eastAsia" w:ascii="仿宋" w:hAnsi="仿宋" w:eastAsia="仿宋" w:cs="仿宋"/>
          <w:b w:val="0"/>
          <w:bCs w:val="0"/>
          <w:sz w:val="32"/>
          <w:szCs w:val="32"/>
          <w:lang w:val="en-US" w:eastAsia="zh-CN"/>
        </w:rPr>
        <w:t>2136户，录入率达100%。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lang w:val="en-US" w:eastAsia="zh-CN"/>
        </w:rPr>
        <w:t>——狠抓帮村驻村工作。</w:t>
      </w:r>
      <w:r>
        <w:rPr>
          <w:rFonts w:hint="eastAsia" w:ascii="仿宋" w:hAnsi="仿宋" w:eastAsia="仿宋" w:cs="仿宋"/>
          <w:b/>
          <w:bCs/>
          <w:sz w:val="32"/>
          <w:szCs w:val="32"/>
        </w:rPr>
        <w:t>一是</w:t>
      </w:r>
      <w:r>
        <w:rPr>
          <w:rFonts w:hint="eastAsia" w:ascii="仿宋" w:hAnsi="仿宋" w:eastAsia="仿宋" w:cs="仿宋"/>
          <w:bCs/>
          <w:sz w:val="32"/>
          <w:szCs w:val="32"/>
        </w:rPr>
        <w:t>加强沟通联系，要求帮扶责任人平均每月至少入户2次以上，确保了政策宣传到位、家庭情况掌握明晰、收入统计数据真实，为六个精准要求做好了扎实的基础工作</w:t>
      </w:r>
      <w:r>
        <w:rPr>
          <w:rFonts w:hint="eastAsia" w:ascii="仿宋" w:hAnsi="仿宋" w:eastAsia="仿宋" w:cs="仿宋"/>
          <w:bCs/>
          <w:sz w:val="32"/>
          <w:szCs w:val="32"/>
          <w:lang w:eastAsia="zh-CN"/>
        </w:rPr>
        <w:t>；</w:t>
      </w:r>
      <w:r>
        <w:rPr>
          <w:rFonts w:hint="eastAsia" w:ascii="仿宋" w:hAnsi="仿宋" w:eastAsia="仿宋" w:cs="仿宋"/>
          <w:b/>
          <w:bCs/>
          <w:sz w:val="32"/>
          <w:szCs w:val="32"/>
        </w:rPr>
        <w:t>二是</w:t>
      </w:r>
      <w:r>
        <w:rPr>
          <w:rFonts w:hint="eastAsia" w:ascii="仿宋" w:hAnsi="仿宋" w:eastAsia="仿宋" w:cs="仿宋"/>
          <w:bCs/>
          <w:sz w:val="32"/>
          <w:szCs w:val="32"/>
        </w:rPr>
        <w:t>加大项目投入，提升基础设施。为岗木达村争取实施了</w:t>
      </w:r>
      <w:r>
        <w:rPr>
          <w:rFonts w:hint="eastAsia" w:ascii="仿宋" w:hAnsi="仿宋" w:eastAsia="仿宋" w:cs="仿宋"/>
          <w:kern w:val="0"/>
          <w:sz w:val="32"/>
          <w:szCs w:val="32"/>
          <w:lang w:val="en-US" w:eastAsia="zh-CN" w:bidi="ar"/>
        </w:rPr>
        <w:t>尕日寨基础设施提升及环境综合整治项目</w:t>
      </w:r>
      <w:r>
        <w:rPr>
          <w:rFonts w:hint="eastAsia" w:ascii="仿宋" w:hAnsi="仿宋" w:eastAsia="仿宋" w:cs="仿宋"/>
          <w:bCs/>
          <w:sz w:val="32"/>
          <w:szCs w:val="32"/>
        </w:rPr>
        <w:t>，为下一步基础设施再上新台阶打下了坚实的基础</w:t>
      </w:r>
      <w:r>
        <w:rPr>
          <w:rFonts w:hint="eastAsia" w:ascii="仿宋" w:hAnsi="仿宋" w:eastAsia="仿宋" w:cs="仿宋"/>
          <w:bCs/>
          <w:sz w:val="32"/>
          <w:szCs w:val="32"/>
          <w:lang w:eastAsia="zh-CN"/>
        </w:rPr>
        <w:t>；</w:t>
      </w:r>
      <w:r>
        <w:rPr>
          <w:rFonts w:hint="eastAsia" w:ascii="仿宋" w:hAnsi="仿宋" w:eastAsia="仿宋" w:cs="仿宋"/>
          <w:b/>
          <w:bCs/>
          <w:sz w:val="32"/>
          <w:szCs w:val="32"/>
        </w:rPr>
        <w:t>三是</w:t>
      </w:r>
      <w:r>
        <w:rPr>
          <w:rFonts w:hint="eastAsia" w:ascii="仿宋" w:hAnsi="仿宋" w:eastAsia="仿宋" w:cs="仿宋"/>
          <w:bCs/>
          <w:sz w:val="32"/>
          <w:szCs w:val="32"/>
        </w:rPr>
        <w:t>强化对接帮扶，落实帮扶责任。逢年过节时，通过购买米、面、油、被子、衣服等生活物资对帮扶户进行捐赠慰问，</w:t>
      </w:r>
      <w:r>
        <w:rPr>
          <w:rFonts w:hint="eastAsia" w:ascii="仿宋" w:hAnsi="仿宋" w:eastAsia="仿宋" w:cs="仿宋"/>
          <w:bCs/>
          <w:sz w:val="32"/>
          <w:szCs w:val="32"/>
          <w:lang w:val="en-US" w:eastAsia="zh-CN"/>
        </w:rPr>
        <w:t>进一步增进了干群关系，为脱贫攻坚顺利通过国检奠定了坚实基础</w:t>
      </w:r>
      <w:r>
        <w:rPr>
          <w:rFonts w:hint="eastAsia" w:ascii="仿宋" w:hAnsi="仿宋" w:eastAsia="仿宋" w:cs="仿宋"/>
          <w:bCs/>
          <w:sz w:val="32"/>
          <w:szCs w:val="32"/>
        </w:rPr>
        <w:t>。</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sz w:val="32"/>
          <w:szCs w:val="32"/>
        </w:rPr>
        <w:t>——</w:t>
      </w:r>
      <w:r>
        <w:rPr>
          <w:rFonts w:hint="eastAsia" w:ascii="仿宋" w:hAnsi="仿宋" w:eastAsia="仿宋" w:cs="仿宋"/>
          <w:b/>
          <w:sz w:val="32"/>
          <w:szCs w:val="32"/>
          <w:lang w:val="en-US" w:eastAsia="zh-CN"/>
        </w:rPr>
        <w:t>狠抓</w:t>
      </w:r>
      <w:r>
        <w:rPr>
          <w:rFonts w:hint="eastAsia" w:ascii="仿宋" w:hAnsi="仿宋" w:eastAsia="仿宋" w:cs="仿宋"/>
          <w:b/>
          <w:sz w:val="32"/>
          <w:szCs w:val="32"/>
        </w:rPr>
        <w:t>助农增收</w:t>
      </w:r>
      <w:r>
        <w:rPr>
          <w:rFonts w:hint="eastAsia" w:ascii="仿宋" w:hAnsi="仿宋" w:eastAsia="仿宋" w:cs="仿宋"/>
          <w:b/>
          <w:sz w:val="32"/>
          <w:szCs w:val="32"/>
          <w:lang w:val="en-US" w:eastAsia="zh-CN"/>
        </w:rPr>
        <w:t>工作</w:t>
      </w:r>
      <w:r>
        <w:rPr>
          <w:rFonts w:hint="eastAsia" w:ascii="仿宋" w:hAnsi="仿宋" w:eastAsia="仿宋" w:cs="仿宋"/>
          <w:b/>
          <w:sz w:val="32"/>
          <w:szCs w:val="32"/>
        </w:rPr>
        <w:t>。</w:t>
      </w:r>
      <w:r>
        <w:rPr>
          <w:rFonts w:hint="eastAsia" w:ascii="仿宋" w:hAnsi="仿宋" w:eastAsia="仿宋" w:cs="仿宋"/>
          <w:sz w:val="32"/>
          <w:szCs w:val="32"/>
        </w:rPr>
        <w:t>在脱贫攻坚工作开展过程中，</w:t>
      </w:r>
      <w:r>
        <w:rPr>
          <w:rFonts w:hint="eastAsia" w:ascii="仿宋" w:hAnsi="仿宋" w:eastAsia="仿宋" w:cs="仿宋"/>
          <w:sz w:val="32"/>
          <w:szCs w:val="32"/>
          <w:lang w:val="en-US" w:eastAsia="zh-CN"/>
        </w:rPr>
        <w:t>我局始终</w:t>
      </w:r>
      <w:r>
        <w:rPr>
          <w:rFonts w:hint="eastAsia" w:ascii="仿宋" w:hAnsi="仿宋" w:eastAsia="仿宋" w:cs="仿宋"/>
          <w:sz w:val="32"/>
          <w:szCs w:val="32"/>
        </w:rPr>
        <w:t>坚持“授人以鱼不如授人以渔”的工作理念，针对壤塘县农牧民缺乏就业技能的实际情况，组织技术人员</w:t>
      </w:r>
      <w:r>
        <w:rPr>
          <w:rFonts w:hint="eastAsia" w:ascii="仿宋" w:hAnsi="仿宋" w:eastAsia="仿宋" w:cs="仿宋"/>
          <w:sz w:val="32"/>
          <w:szCs w:val="32"/>
          <w:lang w:val="en-US" w:eastAsia="zh-CN"/>
        </w:rPr>
        <w:t>围绕建筑施工基础知识、农村危房改造实施程序、修缮加固、农村自建房等相关知识</w:t>
      </w:r>
      <w:r>
        <w:rPr>
          <w:rFonts w:hint="eastAsia" w:ascii="仿宋" w:hAnsi="仿宋" w:eastAsia="仿宋" w:cs="仿宋"/>
          <w:sz w:val="32"/>
          <w:szCs w:val="32"/>
        </w:rPr>
        <w:t>开展技能培训，</w:t>
      </w:r>
      <w:r>
        <w:rPr>
          <w:rFonts w:hint="eastAsia" w:ascii="仿宋" w:hAnsi="仿宋" w:eastAsia="仿宋" w:cs="仿宋"/>
          <w:sz w:val="32"/>
          <w:szCs w:val="32"/>
          <w:lang w:val="en-US" w:eastAsia="zh-CN"/>
        </w:rPr>
        <w:t>提升</w:t>
      </w:r>
      <w:r>
        <w:rPr>
          <w:rFonts w:hint="eastAsia" w:ascii="仿宋" w:hAnsi="仿宋" w:eastAsia="仿宋" w:cs="仿宋"/>
          <w:sz w:val="32"/>
          <w:szCs w:val="32"/>
        </w:rPr>
        <w:t>农牧民</w:t>
      </w:r>
      <w:r>
        <w:rPr>
          <w:rFonts w:hint="eastAsia" w:ascii="仿宋" w:hAnsi="仿宋" w:eastAsia="仿宋" w:cs="仿宋"/>
          <w:sz w:val="32"/>
          <w:szCs w:val="32"/>
          <w:lang w:val="en-US" w:eastAsia="zh-CN"/>
        </w:rPr>
        <w:t>群众就业能力与水平，同时，</w:t>
      </w:r>
      <w:r>
        <w:rPr>
          <w:rFonts w:hint="eastAsia" w:ascii="仿宋" w:hAnsi="仿宋" w:eastAsia="仿宋" w:cs="仿宋"/>
          <w:sz w:val="32"/>
          <w:szCs w:val="32"/>
        </w:rPr>
        <w:t>积极引导</w:t>
      </w:r>
      <w:r>
        <w:rPr>
          <w:rFonts w:hint="eastAsia" w:ascii="仿宋" w:hAnsi="仿宋" w:eastAsia="仿宋" w:cs="仿宋"/>
          <w:sz w:val="32"/>
          <w:szCs w:val="32"/>
          <w:lang w:val="en-US" w:eastAsia="zh-CN"/>
        </w:rPr>
        <w:t>本县</w:t>
      </w:r>
      <w:r>
        <w:rPr>
          <w:rFonts w:hint="eastAsia" w:ascii="仿宋" w:hAnsi="仿宋" w:eastAsia="仿宋" w:cs="仿宋"/>
          <w:sz w:val="32"/>
          <w:szCs w:val="32"/>
        </w:rPr>
        <w:t>在建项目雇佣本地农民工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增加农牧民群众就业渠道</w:t>
      </w:r>
      <w:r>
        <w:rPr>
          <w:rFonts w:hint="eastAsia" w:ascii="仿宋" w:hAnsi="仿宋" w:eastAsia="仿宋" w:cs="仿宋"/>
          <w:sz w:val="32"/>
          <w:szCs w:val="32"/>
        </w:rPr>
        <w:t>。经初步统计</w:t>
      </w:r>
      <w:r>
        <w:rPr>
          <w:rFonts w:hint="eastAsia" w:ascii="仿宋" w:hAnsi="仿宋" w:eastAsia="仿宋" w:cs="仿宋"/>
          <w:sz w:val="32"/>
          <w:szCs w:val="32"/>
          <w:lang w:val="en-US" w:eastAsia="zh-CN"/>
        </w:rPr>
        <w:t>2020年</w:t>
      </w:r>
      <w:r>
        <w:rPr>
          <w:rFonts w:hint="eastAsia" w:ascii="仿宋" w:hAnsi="仿宋" w:eastAsia="仿宋" w:cs="仿宋"/>
          <w:sz w:val="32"/>
          <w:szCs w:val="32"/>
        </w:rPr>
        <w:t>已吸收本地农民工</w:t>
      </w:r>
      <w:r>
        <w:rPr>
          <w:rFonts w:hint="eastAsia" w:ascii="仿宋" w:hAnsi="仿宋" w:eastAsia="仿宋" w:cs="仿宋"/>
          <w:sz w:val="32"/>
          <w:szCs w:val="32"/>
          <w:lang w:val="en-US" w:eastAsia="zh-CN"/>
        </w:rPr>
        <w:t>256</w:t>
      </w:r>
      <w:r>
        <w:rPr>
          <w:rFonts w:hint="eastAsia" w:ascii="仿宋" w:hAnsi="仿宋" w:eastAsia="仿宋" w:cs="仿宋"/>
          <w:sz w:val="32"/>
          <w:szCs w:val="32"/>
        </w:rPr>
        <w:t>余人，增加收入达</w:t>
      </w:r>
      <w:r>
        <w:rPr>
          <w:rFonts w:hint="eastAsia" w:ascii="仿宋" w:hAnsi="仿宋" w:eastAsia="仿宋" w:cs="仿宋"/>
          <w:sz w:val="32"/>
          <w:szCs w:val="32"/>
          <w:lang w:val="en-US" w:eastAsia="zh-CN"/>
        </w:rPr>
        <w:t>300</w:t>
      </w:r>
      <w:r>
        <w:rPr>
          <w:rFonts w:hint="eastAsia" w:ascii="仿宋" w:hAnsi="仿宋" w:eastAsia="仿宋" w:cs="仿宋"/>
          <w:sz w:val="32"/>
          <w:szCs w:val="32"/>
        </w:rPr>
        <w:t>余万元。</w:t>
      </w:r>
    </w:p>
    <w:p>
      <w:pPr>
        <w:pStyle w:val="4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注重隐患排查，安全生产成效显著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1.项目安全。</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落实安全生产目标责任，项目开工前均与施工单位签订安全生产目标管理责任书，并对全县在建项目进行不定期安全生产检查，全年开展了14次专项安全大检查，共排查出安全隐患约80余条，及时下发整改通知书，并督促整改完成；</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建立安全隐患台账，组织在建项目召开工程质量、安全、进度等工作专题会4次；</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全年积极开展安全生产宣传活动4次，通过施工现场悬挂安全生产宣传标语1000余份、发放施工安全知识小册子1000余份、制作安全生产宣传展板等方式，营造了安全生产的良好舆论环境，使安全生产、预防为主的社会氛围更加浓厚；</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同第三方检查公司对全县2个塔吊和4个龙门吊等特种设备进行了检测，对不达标设备完成了督促整改。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2.汛期安全。一是</w:t>
      </w:r>
      <w:r>
        <w:rPr>
          <w:rFonts w:hint="eastAsia" w:ascii="仿宋" w:hAnsi="仿宋" w:eastAsia="仿宋" w:cs="仿宋"/>
          <w:kern w:val="2"/>
          <w:sz w:val="32"/>
          <w:szCs w:val="32"/>
          <w:lang w:val="en-US" w:eastAsia="zh-CN" w:bidi="ar-SA"/>
        </w:rPr>
        <w:t>制定完善《壤塘县住房和城乡建设局汛期应急预案》；</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自汛期以来，全局分4组执行24小时值班值守制度；</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督促各建设单位、施工单位、监理单位建立台账落实汛期制度，并进行了汛期安全生产检查，针对检查中发现的问题，下达限期整改通知书，督促整改，确保了汛期平稳度过。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4.住房安全。</w:t>
      </w:r>
      <w:r>
        <w:rPr>
          <w:rFonts w:hint="eastAsia" w:ascii="仿宋" w:hAnsi="仿宋" w:eastAsia="仿宋" w:cs="仿宋"/>
          <w:kern w:val="2"/>
          <w:sz w:val="32"/>
          <w:szCs w:val="32"/>
          <w:lang w:val="en-US" w:eastAsia="zh-CN" w:bidi="ar-SA"/>
        </w:rPr>
        <w:t xml:space="preserve">开展各类农村住房隐患排查2次，排查和整治各类建房隐患，特别是针对削坡建房情况，建立和完善整治台账，设置警示牌，制定具体的防灾预案，落实风险防控措施，防止削坡建房引发房屋安全事故，严格防范削坡建房引发地质灾害，保障人民群众生命财产安全。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5.燃气安全。一是</w:t>
      </w:r>
      <w:r>
        <w:rPr>
          <w:rFonts w:hint="eastAsia" w:ascii="仿宋" w:hAnsi="仿宋" w:eastAsia="仿宋" w:cs="仿宋"/>
          <w:kern w:val="2"/>
          <w:sz w:val="32"/>
          <w:szCs w:val="32"/>
          <w:lang w:val="en-US" w:eastAsia="zh-CN" w:bidi="ar-SA"/>
        </w:rPr>
        <w:t>年内开展燃气安全专项检查13次，检查排查出各类安全隐患21起，下发整改通知3份，对整改情况开展复检复查，确保整改落实到位；</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督导壤安液化气站建立完善安全责任清单制，落实安全生产经营主体责任；</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按照国家“安全生产专项整治三年行动”要求，抓好“瓶装液化气安全整治”工作。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发挥部门职能，提升环境治理效能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充分发挥城乡环境综合治理服务中心作用，继续加强对城乡环境综合治理工作的指导、督查、检查、协调力度。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1.建立健全机制，</w:t>
      </w:r>
      <w:r>
        <w:rPr>
          <w:rFonts w:hint="eastAsia" w:ascii="仿宋" w:hAnsi="仿宋" w:eastAsia="仿宋" w:cs="仿宋"/>
          <w:kern w:val="2"/>
          <w:sz w:val="32"/>
          <w:szCs w:val="32"/>
          <w:lang w:val="en-US" w:eastAsia="zh-CN" w:bidi="ar-SA"/>
        </w:rPr>
        <w:t>年初制定印发《壤塘县2020年城乡环综合治理工作方案》，进一步加强了组织保障，明确了任务分工，强调了时间节点，并与各责任单位签订了目标责任书。同时，按照省、州要求，编制完成《壤塘县垃圾分类方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2.强化常态治理，一是</w:t>
      </w:r>
      <w:r>
        <w:rPr>
          <w:rFonts w:hint="eastAsia" w:ascii="仿宋" w:hAnsi="仿宋" w:eastAsia="仿宋" w:cs="仿宋"/>
          <w:kern w:val="2"/>
          <w:sz w:val="32"/>
          <w:szCs w:val="32"/>
          <w:lang w:val="en-US" w:eastAsia="zh-CN" w:bidi="ar-SA"/>
        </w:rPr>
        <w:t>组织、协调城区各单位、小区对各自区域内的环境卫生进行综合大整治2次；</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指导各乡镇建立、完善了日常保洁清扫制度，充分发挥了公益性岗位作用，基本实现了公共区域环境卫生常态化管理；</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全年对全县建筑工地进行了环境卫生专项检查7次，发现问题15起，下发整改通知书12份，督促完成整改12起。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kern w:val="2"/>
          <w:sz w:val="32"/>
          <w:szCs w:val="32"/>
          <w:lang w:val="en-US" w:eastAsia="zh-CN" w:bidi="ar-SA"/>
        </w:rPr>
        <w:t>3.补齐设施短板，</w:t>
      </w:r>
      <w:r>
        <w:rPr>
          <w:rFonts w:hint="eastAsia" w:ascii="仿宋" w:hAnsi="仿宋" w:eastAsia="仿宋" w:cs="仿宋"/>
          <w:kern w:val="2"/>
          <w:sz w:val="32"/>
          <w:szCs w:val="32"/>
          <w:lang w:val="en-US" w:eastAsia="zh-CN" w:bidi="ar-SA"/>
        </w:rPr>
        <w:t>为进一步提升我县垃圾收转运、处理能力，2020年我局以“补短板”为目标，大力实施环境卫生治理基础设施项目。</w:t>
      </w: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投入1900万元实施壤塘县垃圾无害化综合处置项目，新建垃圾无害化处理厂一座，该厂建成后将服务于岗木达、南木达、中壤塘、尕多、吾依等乡镇垃圾无害化处理，目前该项目已基本完工，待附属电力项目完工后，一并投入使用；</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投入1000万元，实施完成壤塘县 2020 年乡村振兴农村人居环境改善基础设施建设项目，新建59座垃圾处理室、18座消防池、17座洗衣台、11座公厕，维修公厕20座及附属设施，该项目现已完成竣工验收，2020年“厕所革命”</w:t>
      </w:r>
      <w:r>
        <w:rPr>
          <w:rFonts w:hint="eastAsia" w:ascii="仿宋" w:hAnsi="仿宋" w:eastAsia="仿宋" w:cs="仿宋"/>
          <w:color w:val="000000" w:themeColor="text1"/>
          <w:kern w:val="2"/>
          <w:sz w:val="32"/>
          <w:szCs w:val="32"/>
          <w:lang w:val="en-US" w:eastAsia="zh-CN" w:bidi="ar-SA"/>
          <w14:textFill>
            <w14:solidFill>
              <w14:schemeClr w14:val="tx1"/>
            </w14:solidFill>
          </w14:textFill>
        </w:rPr>
        <w:t>任务全面完成。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4.加强监督检查，</w:t>
      </w:r>
      <w:r>
        <w:rPr>
          <w:rFonts w:hint="eastAsia" w:ascii="仿宋" w:hAnsi="仿宋" w:eastAsia="仿宋" w:cs="仿宋"/>
          <w:kern w:val="2"/>
          <w:sz w:val="32"/>
          <w:szCs w:val="32"/>
          <w:lang w:val="en-US" w:eastAsia="zh-CN" w:bidi="ar-SA"/>
        </w:rPr>
        <w:t>结合2020年全县城乡环境综合治理工作方案，我局充分利用群众工作月、法定节假日等重要时间节点，采取定期或不定期方式，对全县城乡环境卫生进行专项检查，对发现问题及时提出整改意见，并督促整改，全年共计开展专项检查12次，发现问题20起，督促整改完成20个。</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5.落实河湖长制，一是</w:t>
      </w:r>
      <w:r>
        <w:rPr>
          <w:rFonts w:hint="eastAsia" w:ascii="仿宋" w:hAnsi="仿宋" w:eastAsia="仿宋" w:cs="仿宋"/>
          <w:kern w:val="2"/>
          <w:sz w:val="32"/>
          <w:szCs w:val="32"/>
          <w:lang w:val="en-US" w:eastAsia="zh-CN" w:bidi="ar-SA"/>
        </w:rPr>
        <w:t>大力开展巡河工作，全年对责任河段开展巡河工作12次，发现问题3起，完成整改3起；</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按照河长制工作要求，完成对我局2010年以来涉河项目排查工作，发现问题1起，系祥塘大桥无行洪论证，现已整改完成。</w:t>
      </w:r>
      <w:r>
        <w:rPr>
          <w:rFonts w:hint="eastAsia" w:ascii="仿宋" w:hAnsi="仿宋" w:eastAsia="仿宋" w:cs="仿宋"/>
          <w:b/>
          <w:bCs/>
          <w:kern w:val="2"/>
          <w:sz w:val="32"/>
          <w:szCs w:val="32"/>
          <w:lang w:val="en-US" w:eastAsia="zh-CN" w:bidi="ar-SA"/>
        </w:rPr>
        <w:t>6.推进环保整改，一是</w:t>
      </w:r>
      <w:r>
        <w:rPr>
          <w:rFonts w:hint="eastAsia" w:ascii="仿宋" w:hAnsi="仿宋" w:eastAsia="仿宋" w:cs="仿宋"/>
          <w:kern w:val="2"/>
          <w:sz w:val="32"/>
          <w:szCs w:val="32"/>
          <w:lang w:val="en-US" w:eastAsia="zh-CN" w:bidi="ar-SA"/>
        </w:rPr>
        <w:t>完成城镇污水处理厂试运行工作，试运行期间污水处理率为87%，污水排放总量为73.2万吨，污水处理量为63.8万吨，现试运行工作已结束，污水处理厂已正常投入使用；</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加强扬尘治理工作，完善《建筑施工扬尘治理工作方案》，明确整治任务，要求各工地周边实现围挡封闭、出入口道路硬化、建筑垃圾及时清理、出入车辆统一清洗、现场渣土全面覆盖等，年内</w:t>
      </w:r>
      <w:r>
        <w:rPr>
          <w:rFonts w:hint="eastAsia" w:ascii="仿宋" w:hAnsi="仿宋" w:eastAsia="仿宋" w:cs="仿宋"/>
          <w:sz w:val="32"/>
          <w:szCs w:val="32"/>
        </w:rPr>
        <w:t>规范围挡</w:t>
      </w:r>
      <w:r>
        <w:rPr>
          <w:rFonts w:hint="eastAsia" w:ascii="仿宋" w:hAnsi="仿宋" w:eastAsia="仿宋" w:cs="仿宋"/>
          <w:sz w:val="32"/>
          <w:szCs w:val="32"/>
          <w:lang w:val="en-US" w:eastAsia="zh-CN"/>
        </w:rPr>
        <w:t>2000</w:t>
      </w:r>
      <w:r>
        <w:rPr>
          <w:rFonts w:hint="eastAsia" w:ascii="仿宋" w:hAnsi="仿宋" w:eastAsia="仿宋" w:cs="仿宋"/>
          <w:sz w:val="32"/>
          <w:szCs w:val="32"/>
        </w:rPr>
        <w:t>余米，硬化施工现场道路</w:t>
      </w:r>
      <w:r>
        <w:rPr>
          <w:rFonts w:hint="eastAsia" w:ascii="仿宋" w:hAnsi="仿宋" w:eastAsia="仿宋" w:cs="仿宋"/>
          <w:sz w:val="32"/>
          <w:szCs w:val="32"/>
          <w:lang w:val="en-US" w:eastAsia="zh-CN"/>
        </w:rPr>
        <w:t>5</w:t>
      </w:r>
      <w:r>
        <w:rPr>
          <w:rFonts w:hint="eastAsia" w:ascii="仿宋" w:hAnsi="仿宋" w:eastAsia="仿宋" w:cs="仿宋"/>
          <w:sz w:val="32"/>
          <w:szCs w:val="32"/>
        </w:rPr>
        <w:t>00余米，采用密目网覆盖土方、</w:t>
      </w:r>
      <w:r>
        <w:rPr>
          <w:rFonts w:hint="eastAsia" w:ascii="仿宋" w:hAnsi="仿宋" w:eastAsia="仿宋" w:cs="仿宋"/>
          <w:sz w:val="32"/>
          <w:szCs w:val="32"/>
          <w:lang w:eastAsia="zh-CN"/>
        </w:rPr>
        <w:t>砂石</w:t>
      </w:r>
      <w:r>
        <w:rPr>
          <w:rFonts w:hint="eastAsia" w:ascii="仿宋" w:hAnsi="仿宋" w:eastAsia="仿宋" w:cs="仿宋"/>
          <w:sz w:val="32"/>
          <w:szCs w:val="32"/>
        </w:rPr>
        <w:t>等1000多平方米</w:t>
      </w:r>
      <w:r>
        <w:rPr>
          <w:rFonts w:hint="eastAsia" w:ascii="仿宋" w:hAnsi="仿宋" w:eastAsia="仿宋" w:cs="仿宋"/>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发扬工匠精神，着力打造精品工程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2020年我局着力从工程管理体制、机制入手，充分发扬工匠精神，紧盯细节，不断强化在建项目质量安全管理，加快项目建设进度，继续加大基础设施投入，共计担任18个项目业主，总投资38070万元，其中，续建5个，新建13个；目前完工11个，在建7个；另启动项目前期6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kern w:val="2"/>
          <w:sz w:val="32"/>
          <w:szCs w:val="32"/>
          <w:lang w:val="en-US" w:eastAsia="zh-CN" w:bidi="ar-SA"/>
        </w:rPr>
        <w:t>1.完工项目。</w:t>
      </w:r>
      <w:r>
        <w:rPr>
          <w:rFonts w:hint="eastAsia" w:ascii="仿宋" w:hAnsi="仿宋" w:eastAsia="仿宋" w:cs="仿宋"/>
          <w:kern w:val="2"/>
          <w:sz w:val="32"/>
          <w:szCs w:val="32"/>
          <w:lang w:val="en-US" w:eastAsia="zh-CN" w:bidi="ar-SA"/>
        </w:rPr>
        <w:t>年内相继建设完成</w:t>
      </w:r>
      <w:r>
        <w:rPr>
          <w:rFonts w:hint="eastAsia" w:ascii="仿宋" w:hAnsi="仿宋" w:eastAsia="仿宋" w:cs="仿宋"/>
          <w:b w:val="0"/>
          <w:bCs w:val="0"/>
          <w:color w:val="auto"/>
          <w:sz w:val="32"/>
          <w:szCs w:val="32"/>
          <w:lang w:val="en-US" w:eastAsia="zh-CN"/>
        </w:rPr>
        <w:t>城镇集中供暖、高原</w:t>
      </w:r>
      <w:r>
        <w:rPr>
          <w:rFonts w:hint="eastAsia" w:ascii="仿宋" w:hAnsi="仿宋" w:eastAsia="仿宋" w:cs="仿宋"/>
          <w:b w:val="0"/>
          <w:bCs w:val="0"/>
          <w:color w:val="auto"/>
          <w:sz w:val="32"/>
          <w:szCs w:val="32"/>
          <w:highlight w:val="none"/>
          <w:lang w:val="en-US" w:eastAsia="zh-CN"/>
        </w:rPr>
        <w:t>藏区</w:t>
      </w:r>
      <w:r>
        <w:rPr>
          <w:rFonts w:hint="eastAsia" w:ascii="仿宋" w:hAnsi="仿宋" w:eastAsia="仿宋" w:cs="仿宋"/>
          <w:b w:val="0"/>
          <w:bCs w:val="0"/>
          <w:color w:val="auto"/>
          <w:sz w:val="32"/>
          <w:szCs w:val="32"/>
          <w:lang w:val="en-US" w:eastAsia="zh-CN"/>
        </w:rPr>
        <w:t>城镇供暖末端、壤塘村传统村落保护、</w:t>
      </w:r>
      <w:r>
        <w:rPr>
          <w:rFonts w:hint="eastAsia" w:ascii="仿宋" w:hAnsi="仿宋" w:eastAsia="仿宋" w:cs="仿宋"/>
          <w:color w:val="auto"/>
          <w:sz w:val="32"/>
          <w:szCs w:val="32"/>
          <w:lang w:val="en-US" w:eastAsia="zh-CN"/>
        </w:rPr>
        <w:t>加斯满村传统村落保护、</w:t>
      </w:r>
      <w:r>
        <w:rPr>
          <w:rFonts w:hint="eastAsia" w:ascii="仿宋" w:hAnsi="仿宋" w:eastAsia="仿宋" w:cs="仿宋"/>
          <w:b w:val="0"/>
          <w:bCs w:val="0"/>
          <w:color w:val="auto"/>
          <w:sz w:val="32"/>
          <w:szCs w:val="32"/>
          <w:lang w:val="en-US" w:eastAsia="zh-CN"/>
        </w:rPr>
        <w:t>乡村振兴配套</w:t>
      </w:r>
      <w:r>
        <w:rPr>
          <w:rFonts w:hint="eastAsia" w:ascii="仿宋" w:hAnsi="仿宋" w:eastAsia="仿宋" w:cs="仿宋"/>
          <w:b w:val="0"/>
          <w:bCs w:val="0"/>
          <w:color w:val="auto"/>
          <w:sz w:val="32"/>
          <w:szCs w:val="32"/>
          <w:highlight w:val="none"/>
          <w:lang w:val="en-US" w:eastAsia="zh-CN"/>
        </w:rPr>
        <w:t>垃圾</w:t>
      </w:r>
      <w:r>
        <w:rPr>
          <w:rFonts w:hint="eastAsia" w:ascii="仿宋" w:hAnsi="仿宋" w:eastAsia="仿宋" w:cs="仿宋"/>
          <w:b w:val="0"/>
          <w:bCs w:val="0"/>
          <w:color w:val="auto"/>
          <w:sz w:val="32"/>
          <w:szCs w:val="32"/>
          <w:lang w:val="en-US" w:eastAsia="zh-CN"/>
        </w:rPr>
        <w:t>收转运体系、</w:t>
      </w:r>
      <w:r>
        <w:rPr>
          <w:rFonts w:hint="eastAsia" w:ascii="仿宋" w:hAnsi="仿宋" w:eastAsia="仿宋" w:cs="仿宋"/>
          <w:color w:val="auto"/>
          <w:sz w:val="32"/>
          <w:szCs w:val="32"/>
          <w:lang w:val="en-US" w:eastAsia="zh-CN"/>
        </w:rPr>
        <w:t>2020年脱贫攻坚挂牌督战住房安全有保障、</w:t>
      </w:r>
      <w:r>
        <w:rPr>
          <w:rFonts w:hint="eastAsia" w:ascii="仿宋" w:hAnsi="仿宋" w:eastAsia="仿宋" w:cs="仿宋"/>
          <w:b w:val="0"/>
          <w:bCs w:val="0"/>
          <w:color w:val="auto"/>
          <w:sz w:val="32"/>
          <w:szCs w:val="32"/>
          <w:lang w:val="en-US" w:eastAsia="zh-CN"/>
        </w:rPr>
        <w:t>2018年中壤塘危旧房棚户区不成套厨卫改造配套基础设施、</w:t>
      </w:r>
      <w:r>
        <w:rPr>
          <w:rFonts w:hint="eastAsia" w:ascii="仿宋" w:hAnsi="仿宋" w:eastAsia="仿宋" w:cs="仿宋"/>
          <w:b w:val="0"/>
          <w:bCs w:val="0"/>
          <w:color w:val="auto"/>
          <w:sz w:val="32"/>
          <w:szCs w:val="32"/>
          <w:highlight w:val="none"/>
          <w:lang w:val="en-US" w:eastAsia="zh-CN"/>
        </w:rPr>
        <w:t>2020年乡村振兴农村人居环境改善基础设施、建馨苑屋面改造、岗木达乡岗木达村章光村农村安全饮水设施水质保障、</w:t>
      </w:r>
      <w:r>
        <w:rPr>
          <w:rFonts w:hint="eastAsia" w:ascii="仿宋" w:hAnsi="仿宋" w:eastAsia="仿宋" w:cs="仿宋"/>
          <w:b w:val="0"/>
          <w:bCs w:val="0"/>
          <w:color w:val="auto"/>
          <w:sz w:val="32"/>
          <w:szCs w:val="32"/>
          <w:lang w:val="en-US" w:eastAsia="zh-CN"/>
        </w:rPr>
        <w:t>尕日寨基础设施提升及环境综合整治等建设项目，累计完成投资24355万元。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2.在建项目。</w:t>
      </w:r>
      <w:r>
        <w:rPr>
          <w:rFonts w:hint="eastAsia" w:ascii="仿宋" w:hAnsi="仿宋" w:eastAsia="仿宋" w:cs="仿宋"/>
          <w:b w:val="0"/>
          <w:bCs w:val="0"/>
          <w:color w:val="auto"/>
          <w:sz w:val="32"/>
          <w:szCs w:val="32"/>
          <w:lang w:val="en-US" w:eastAsia="zh-CN"/>
        </w:rPr>
        <w:t>乡村振兴南木达村综合整治、</w:t>
      </w:r>
      <w:r>
        <w:rPr>
          <w:rFonts w:hint="eastAsia" w:ascii="仿宋" w:hAnsi="仿宋" w:eastAsia="仿宋" w:cs="仿宋"/>
          <w:b w:val="0"/>
          <w:bCs w:val="0"/>
          <w:color w:val="auto"/>
          <w:sz w:val="32"/>
          <w:szCs w:val="32"/>
          <w:highlight w:val="none"/>
          <w:lang w:val="en-US" w:eastAsia="zh-CN"/>
        </w:rPr>
        <w:t>生活垃圾资源化综合处置、民兵训练基地、</w:t>
      </w:r>
      <w:r>
        <w:rPr>
          <w:rFonts w:hint="eastAsia" w:ascii="仿宋" w:hAnsi="仿宋" w:eastAsia="仿宋" w:cs="仿宋"/>
          <w:sz w:val="32"/>
          <w:szCs w:val="32"/>
          <w:highlight w:val="none"/>
          <w:lang w:val="en-US" w:eastAsia="zh-CN"/>
        </w:rPr>
        <w:t>建馨苑水厂干休所老旧小区改造、</w:t>
      </w:r>
      <w:r>
        <w:rPr>
          <w:rFonts w:hint="eastAsia" w:ascii="仿宋" w:hAnsi="仿宋" w:eastAsia="仿宋" w:cs="仿宋"/>
          <w:b w:val="0"/>
          <w:bCs w:val="0"/>
          <w:color w:val="auto"/>
          <w:sz w:val="32"/>
          <w:szCs w:val="32"/>
          <w:lang w:val="en-US" w:eastAsia="zh-CN"/>
        </w:rPr>
        <w:t>尕多集镇供水、县级干部职工周转宿舍、</w:t>
      </w:r>
      <w:r>
        <w:rPr>
          <w:rFonts w:hint="eastAsia" w:ascii="仿宋" w:hAnsi="仿宋" w:eastAsia="仿宋" w:cs="仿宋"/>
          <w:color w:val="auto"/>
          <w:sz w:val="32"/>
          <w:szCs w:val="32"/>
          <w:highlight w:val="none"/>
          <w:lang w:val="en-US" w:eastAsia="zh-CN"/>
        </w:rPr>
        <w:t>吾依乡修卡村传统村落保护等建设项目，正在有序推进，其中</w:t>
      </w:r>
      <w:r>
        <w:rPr>
          <w:rFonts w:hint="eastAsia" w:ascii="仿宋" w:hAnsi="仿宋" w:eastAsia="仿宋" w:cs="仿宋"/>
          <w:b w:val="0"/>
          <w:bCs w:val="0"/>
          <w:color w:val="auto"/>
          <w:sz w:val="32"/>
          <w:szCs w:val="32"/>
          <w:highlight w:val="none"/>
          <w:lang w:val="en-US" w:eastAsia="zh-CN"/>
        </w:rPr>
        <w:t>生活垃圾资源化综合处置、</w:t>
      </w:r>
      <w:r>
        <w:rPr>
          <w:rFonts w:hint="eastAsia" w:ascii="仿宋" w:hAnsi="仿宋" w:eastAsia="仿宋" w:cs="仿宋"/>
          <w:b w:val="0"/>
          <w:bCs w:val="0"/>
          <w:color w:val="auto"/>
          <w:sz w:val="32"/>
          <w:szCs w:val="32"/>
          <w:lang w:val="en-US" w:eastAsia="zh-CN"/>
        </w:rPr>
        <w:t>县级干部职工周转宿舍有望年底前完工。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kern w:val="2"/>
          <w:sz w:val="32"/>
          <w:szCs w:val="32"/>
          <w:lang w:val="en-US" w:eastAsia="zh-CN" w:bidi="ar-SA"/>
        </w:rPr>
        <w:t>3.前期项目。</w:t>
      </w:r>
      <w:r>
        <w:rPr>
          <w:rFonts w:hint="eastAsia" w:ascii="仿宋" w:hAnsi="仿宋" w:eastAsia="仿宋" w:cs="仿宋"/>
          <w:color w:val="auto"/>
          <w:sz w:val="32"/>
          <w:szCs w:val="32"/>
          <w:highlight w:val="none"/>
          <w:lang w:val="en-US" w:eastAsia="zh-CN"/>
        </w:rPr>
        <w:t>为进一步完善基础设施建设，按照县委县政府统一安排部署，我局结合实际，提前谋划，启动2021年部分建设项目前期，为2021年项目推进工作奠定坚实基础。以“设计、审查、协调、推进”为抓手，年内顺利启动</w:t>
      </w:r>
      <w:r>
        <w:rPr>
          <w:rFonts w:hint="eastAsia" w:ascii="仿宋" w:hAnsi="仿宋" w:eastAsia="仿宋" w:cs="仿宋"/>
          <w:b w:val="0"/>
          <w:bCs w:val="0"/>
          <w:color w:val="auto"/>
          <w:sz w:val="32"/>
          <w:szCs w:val="32"/>
          <w:lang w:val="en-US" w:eastAsia="zh-CN"/>
        </w:rPr>
        <w:t>壤柯镇城镇供水项目、</w:t>
      </w:r>
      <w:r>
        <w:rPr>
          <w:rFonts w:hint="eastAsia" w:ascii="仿宋" w:hAnsi="仿宋" w:eastAsia="仿宋" w:cs="仿宋"/>
          <w:color w:val="auto"/>
          <w:sz w:val="32"/>
          <w:szCs w:val="32"/>
          <w:lang w:val="en-US" w:eastAsia="zh-CN"/>
        </w:rPr>
        <w:t>供暖支管、配水支管网建设、南木达市政基础设施建设、2020年城镇老旧小区改造配套基础设施、百镇试点壤塘县中壤塘镇建设等项目前期，预计总投资17843万元。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4.项目储备。</w:t>
      </w:r>
      <w:r>
        <w:rPr>
          <w:rFonts w:hint="eastAsia" w:ascii="仿宋" w:hAnsi="仿宋" w:eastAsia="仿宋" w:cs="仿宋"/>
          <w:color w:val="auto"/>
          <w:sz w:val="32"/>
          <w:szCs w:val="32"/>
          <w:lang w:val="en-US" w:eastAsia="zh-CN"/>
        </w:rPr>
        <w:t>结合全县“十四五”项目筹备工作总体要求，</w:t>
      </w:r>
      <w:r>
        <w:rPr>
          <w:rFonts w:hint="eastAsia" w:ascii="仿宋" w:hAnsi="仿宋" w:eastAsia="仿宋" w:cs="仿宋"/>
          <w:sz w:val="32"/>
          <w:szCs w:val="32"/>
        </w:rPr>
        <w:t>坚持以习近平总书记关于城镇建设的重要讲话精神为指引，</w:t>
      </w:r>
      <w:r>
        <w:rPr>
          <w:rFonts w:hint="eastAsia" w:ascii="仿宋" w:hAnsi="仿宋" w:eastAsia="仿宋" w:cs="仿宋"/>
          <w:sz w:val="32"/>
          <w:szCs w:val="32"/>
          <w:lang w:val="en-US" w:eastAsia="zh-CN"/>
        </w:rPr>
        <w:t>充分</w:t>
      </w:r>
      <w:r>
        <w:rPr>
          <w:rFonts w:hint="eastAsia" w:ascii="仿宋" w:hAnsi="仿宋" w:eastAsia="仿宋" w:cs="仿宋"/>
          <w:sz w:val="32"/>
          <w:szCs w:val="32"/>
        </w:rPr>
        <w:t>依托</w:t>
      </w:r>
      <w:r>
        <w:rPr>
          <w:rFonts w:hint="eastAsia" w:ascii="仿宋" w:hAnsi="仿宋" w:eastAsia="仿宋" w:cs="仿宋"/>
          <w:sz w:val="32"/>
          <w:szCs w:val="32"/>
          <w:lang w:val="en-US" w:eastAsia="zh-CN"/>
        </w:rPr>
        <w:t>我县</w:t>
      </w:r>
      <w:r>
        <w:rPr>
          <w:rFonts w:hint="eastAsia" w:ascii="仿宋" w:hAnsi="仿宋" w:eastAsia="仿宋" w:cs="仿宋"/>
          <w:sz w:val="32"/>
          <w:szCs w:val="32"/>
        </w:rPr>
        <w:t>富集的生态文化资源</w:t>
      </w:r>
      <w:r>
        <w:rPr>
          <w:rFonts w:hint="eastAsia" w:ascii="仿宋" w:hAnsi="仿宋" w:eastAsia="仿宋" w:cs="仿宋"/>
          <w:sz w:val="32"/>
          <w:szCs w:val="32"/>
          <w:lang w:eastAsia="zh-CN"/>
        </w:rPr>
        <w:t>，</w:t>
      </w:r>
      <w:r>
        <w:rPr>
          <w:rFonts w:hint="eastAsia" w:ascii="仿宋" w:hAnsi="仿宋" w:eastAsia="仿宋" w:cs="仿宋"/>
          <w:sz w:val="32"/>
          <w:szCs w:val="32"/>
        </w:rPr>
        <w:t>立足壤塘是长江上游水源“涵养地”，川甘青结合部区域“中心地”，藏羌文化走廊“目的地”，非物质文化遗产“保留地”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硬化、亮化、净化、绿化、美化”五个方面入手，梳理、编制了一大批基础设施建设项目，包括：县城地下综合管廊、上寨餐厨垃圾处理厂、天然气、南木达特色小镇、乡镇职工周转房、南木达无害化垃圾处理厂、上杜柯垃圾处理站、中壤塘镇集镇供水等41个建设项目，预计总投资317880万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持续深化改革，建设人民满意机关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i w:val="0"/>
          <w:iCs w:val="0"/>
          <w:kern w:val="2"/>
          <w:sz w:val="32"/>
          <w:szCs w:val="32"/>
          <w:lang w:val="en-US" w:eastAsia="zh-CN" w:bidi="ar-SA"/>
        </w:rPr>
        <w:t>1.深化放管服改革，</w:t>
      </w: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政务服务中心设立住建窗口，抽调1名业务骨干入驻，437项行政权力事项运行正常；</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为层层压实责任，落实行政审批分管领导1名，首席业务代表1名，窗口人员实行AB岗工作制；</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全面推进施工许可证网上申报、限时审批、网上发证，申请人全程网上办理，做到了“宽进、严管、重罚”。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i w:val="0"/>
          <w:iCs w:val="0"/>
          <w:kern w:val="2"/>
          <w:sz w:val="32"/>
          <w:szCs w:val="32"/>
          <w:lang w:val="en-US" w:eastAsia="zh-CN" w:bidi="ar-SA"/>
        </w:rPr>
        <w:t>2.工程建设项目审批制度改革2.0系统，</w:t>
      </w: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加强业务培训，积极派遣业务人员参加州局安排的业务培训3次，邀请绵阳市住建局现场业务指导1次；</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全力推行系统使用，截至目前，已完成事项认领、场景设置等任务，运行工作正在稳步推进；</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全力督促中介服务机构入驻系统，按照审批系统改革工作要求，及时下发通知，要求“应驻尽驻”，截至目前，除我县不涉及事项外，只有县自来水厂已完成入驻。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关注民生实事，保障能力稳步加强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1.住房保障。一是</w:t>
      </w:r>
      <w:r>
        <w:rPr>
          <w:rFonts w:hint="eastAsia" w:ascii="仿宋" w:hAnsi="仿宋" w:eastAsia="仿宋" w:cs="仿宋"/>
          <w:kern w:val="2"/>
          <w:sz w:val="32"/>
          <w:szCs w:val="32"/>
          <w:lang w:val="en-US" w:eastAsia="zh-CN" w:bidi="ar-SA"/>
        </w:rPr>
        <w:t>积极解决历史遗留问题，配合县委县政府解决壤巴拉秀城酒店花园项目</w:t>
      </w:r>
      <w:r>
        <w:rPr>
          <w:rFonts w:hint="eastAsia" w:ascii="仿宋" w:hAnsi="仿宋" w:eastAsia="仿宋" w:cs="仿宋"/>
          <w:sz w:val="32"/>
          <w:szCs w:val="32"/>
          <w:lang w:val="en-US" w:eastAsia="zh-CN"/>
        </w:rPr>
        <w:t>、</w:t>
      </w:r>
      <w:r>
        <w:rPr>
          <w:rFonts w:hint="eastAsia" w:ascii="仿宋" w:hAnsi="仿宋" w:eastAsia="仿宋" w:cs="仿宋"/>
          <w:kern w:val="2"/>
          <w:sz w:val="32"/>
          <w:szCs w:val="32"/>
          <w:lang w:val="en-US" w:eastAsia="zh-CN" w:bidi="ar-SA"/>
        </w:rPr>
        <w:t>壤巴拉花园历史遗留问题，确保房地产市场总体运行平稳，现壤巴拉秀城酒店花园项目已顺利通过综合验收，壤巴拉花园商铺漏水、住房解除备案等工作等问题已解决；</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加强物业管理，建立我县物业管理企业登记台账，启动我县《四川省物业服务企业信用信息管理系统》录入工作，进一步规范我县物业公司经营行为；</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加强公租（廉租）住房管理，完成“两张清单”录入，其中：“房源清单”录入213户，“人员清单”录入200户。实施完成馨苑屋面改造提升项目，对建馨苑228套公租住房屋面进行平改坡提升改造，解决了建馨苑居民长期反映的屋顶漏雨、乱搭乱建、私自占用等问题；</w:t>
      </w:r>
      <w:r>
        <w:rPr>
          <w:rFonts w:hint="eastAsia" w:ascii="仿宋" w:hAnsi="仿宋" w:eastAsia="仿宋" w:cs="仿宋"/>
          <w:b/>
          <w:bCs/>
          <w:kern w:val="2"/>
          <w:sz w:val="32"/>
          <w:szCs w:val="32"/>
          <w:lang w:val="en-US" w:eastAsia="zh-CN" w:bidi="ar-SA"/>
        </w:rPr>
        <w:t>四是</w:t>
      </w:r>
      <w:r>
        <w:rPr>
          <w:rFonts w:hint="eastAsia" w:ascii="仿宋" w:hAnsi="仿宋" w:eastAsia="仿宋" w:cs="仿宋"/>
          <w:kern w:val="2"/>
          <w:sz w:val="32"/>
          <w:szCs w:val="32"/>
          <w:lang w:val="en-US" w:eastAsia="zh-CN" w:bidi="ar-SA"/>
        </w:rPr>
        <w:t>加紧老旧小区改造，年内投资300万元，对干休所住宿小区、水厂住宿楼、建馨苑公租房小区进行基础设施改造，目前项目正在加紧推进；</w:t>
      </w:r>
      <w:r>
        <w:rPr>
          <w:rFonts w:hint="eastAsia" w:ascii="仿宋" w:hAnsi="仿宋" w:eastAsia="仿宋" w:cs="仿宋"/>
          <w:b/>
          <w:bCs/>
          <w:kern w:val="2"/>
          <w:sz w:val="32"/>
          <w:szCs w:val="32"/>
          <w:lang w:val="en-US" w:eastAsia="zh-CN" w:bidi="ar-SA"/>
        </w:rPr>
        <w:t>五是</w:t>
      </w:r>
      <w:r>
        <w:rPr>
          <w:rFonts w:hint="eastAsia" w:ascii="仿宋" w:hAnsi="仿宋" w:eastAsia="仿宋" w:cs="仿宋"/>
          <w:kern w:val="2"/>
          <w:sz w:val="32"/>
          <w:szCs w:val="32"/>
          <w:lang w:val="en-US" w:eastAsia="zh-CN" w:bidi="ar-SA"/>
        </w:rPr>
        <w:t>有序推进保障性安居工程，全力实施2018年中壤塘镇危旧房棚户区改造项目，截至目前，已改造完成653户，拨付补助资金600余万元，正督促乡镇完成资金拨付资料，确保补助资金年内全部兑现；</w:t>
      </w:r>
      <w:r>
        <w:rPr>
          <w:rFonts w:hint="eastAsia" w:ascii="仿宋" w:hAnsi="仿宋" w:eastAsia="仿宋" w:cs="仿宋"/>
          <w:b/>
          <w:bCs/>
          <w:kern w:val="2"/>
          <w:sz w:val="32"/>
          <w:szCs w:val="32"/>
          <w:lang w:val="en-US" w:eastAsia="zh-CN" w:bidi="ar-SA"/>
        </w:rPr>
        <w:t>六是</w:t>
      </w:r>
      <w:r>
        <w:rPr>
          <w:rFonts w:hint="eastAsia" w:ascii="仿宋" w:hAnsi="仿宋" w:eastAsia="仿宋" w:cs="仿宋"/>
          <w:kern w:val="2"/>
          <w:sz w:val="32"/>
          <w:szCs w:val="32"/>
          <w:lang w:val="en-US" w:eastAsia="zh-CN" w:bidi="ar-SA"/>
        </w:rPr>
        <w:t>配合省州完成领导干部房产信息核查800余条；</w:t>
      </w:r>
      <w:r>
        <w:rPr>
          <w:rFonts w:hint="eastAsia" w:ascii="仿宋" w:hAnsi="仿宋" w:eastAsia="仿宋" w:cs="仿宋"/>
          <w:b/>
          <w:bCs/>
          <w:kern w:val="2"/>
          <w:sz w:val="32"/>
          <w:szCs w:val="32"/>
          <w:lang w:val="en-US" w:eastAsia="zh-CN" w:bidi="ar-SA"/>
        </w:rPr>
        <w:t>七是</w:t>
      </w:r>
      <w:r>
        <w:rPr>
          <w:rFonts w:hint="eastAsia" w:ascii="仿宋" w:hAnsi="仿宋" w:eastAsia="仿宋" w:cs="仿宋"/>
          <w:kern w:val="2"/>
          <w:sz w:val="32"/>
          <w:szCs w:val="32"/>
          <w:lang w:val="en-US" w:eastAsia="zh-CN" w:bidi="ar-SA"/>
        </w:rPr>
        <w:t>顺利完成书记县长经济责任审计；州级2019年藏区新居专项审计、2019年藏区新居绩效评价、2018年棚户区改造绩效评价等14项审计发现问题整改工作；</w:t>
      </w:r>
      <w:r>
        <w:rPr>
          <w:rFonts w:hint="eastAsia" w:ascii="仿宋" w:hAnsi="仿宋" w:eastAsia="仿宋" w:cs="仿宋"/>
          <w:b/>
          <w:bCs/>
          <w:kern w:val="2"/>
          <w:sz w:val="32"/>
          <w:szCs w:val="32"/>
          <w:lang w:val="en-US" w:eastAsia="zh-CN" w:bidi="ar-SA"/>
        </w:rPr>
        <w:t>八是</w:t>
      </w:r>
      <w:r>
        <w:rPr>
          <w:rFonts w:hint="eastAsia" w:ascii="仿宋" w:hAnsi="仿宋" w:eastAsia="仿宋" w:cs="仿宋"/>
          <w:kern w:val="2"/>
          <w:sz w:val="32"/>
          <w:szCs w:val="32"/>
          <w:lang w:val="en-US" w:eastAsia="zh-CN" w:bidi="ar-SA"/>
        </w:rPr>
        <w:t xml:space="preserve">按时完成上级安排的每周、每月、每季度及年报表工作，全年共计上报住房保障方面报表64份。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kern w:val="2"/>
          <w:sz w:val="32"/>
          <w:szCs w:val="32"/>
          <w:lang w:val="en-US" w:eastAsia="zh-CN" w:bidi="ar-SA"/>
        </w:rPr>
        <w:t>2.供水保障。一是</w:t>
      </w:r>
      <w:r>
        <w:rPr>
          <w:rFonts w:hint="eastAsia" w:ascii="仿宋" w:hAnsi="仿宋" w:eastAsia="仿宋" w:cs="仿宋"/>
          <w:kern w:val="2"/>
          <w:sz w:val="32"/>
          <w:szCs w:val="32"/>
          <w:lang w:val="en-US" w:eastAsia="zh-CN" w:bidi="ar-SA"/>
        </w:rPr>
        <w:t>全年完成消毒制水180万m³，配合疾控部门完成每月饮用水水质抽样检查，合格率达96%；</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加强管线巡查，</w:t>
      </w:r>
      <w:r>
        <w:rPr>
          <w:rFonts w:hint="eastAsia" w:ascii="仿宋" w:hAnsi="仿宋" w:eastAsia="仿宋" w:cs="仿宋"/>
          <w:kern w:val="2"/>
          <w:sz w:val="32"/>
          <w:szCs w:val="32"/>
          <w:lang w:val="en-US" w:eastAsia="zh-CN" w:bidi="ar-SA"/>
        </w:rPr>
        <w:t>保障设备安全运行，全年完成厂区设备维护维修60余次、管线维修维护300余次；</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加强汛期供水保障，顺利实施完成竹青沟应急抢险项目，确保了城区安全供水。同时，抽调业务骨干，积极支援中壤塘、南木达、上寨等地供水应急抢险工作；</w:t>
      </w:r>
      <w:r>
        <w:rPr>
          <w:rFonts w:hint="eastAsia" w:ascii="仿宋" w:hAnsi="仿宋" w:eastAsia="仿宋" w:cs="仿宋"/>
          <w:b/>
          <w:bCs/>
          <w:kern w:val="2"/>
          <w:sz w:val="32"/>
          <w:szCs w:val="32"/>
          <w:lang w:val="en-US" w:eastAsia="zh-CN" w:bidi="ar-SA"/>
        </w:rPr>
        <w:t>四是</w:t>
      </w:r>
      <w:r>
        <w:rPr>
          <w:rFonts w:hint="eastAsia" w:ascii="仿宋" w:hAnsi="仿宋" w:eastAsia="仿宋" w:cs="仿宋"/>
          <w:kern w:val="2"/>
          <w:sz w:val="32"/>
          <w:szCs w:val="32"/>
          <w:lang w:val="en-US" w:eastAsia="zh-CN" w:bidi="ar-SA"/>
        </w:rPr>
        <w:t>为提升城区供水能力，年内投入200万元，实施</w:t>
      </w:r>
      <w:r>
        <w:rPr>
          <w:rFonts w:hint="eastAsia" w:ascii="仿宋" w:hAnsi="仿宋" w:eastAsia="仿宋" w:cs="仿宋"/>
          <w:b w:val="0"/>
          <w:bCs w:val="0"/>
          <w:color w:val="auto"/>
          <w:sz w:val="32"/>
          <w:szCs w:val="32"/>
          <w:highlight w:val="none"/>
          <w:lang w:val="en-US" w:eastAsia="zh-CN"/>
        </w:rPr>
        <w:t>岗木达乡岗木达村章光村农村安全饮水设施水质保障，完成取水口改造；另一方面，拟投资4980万元实施壤柯镇城镇供水项目，投资3500万元实施配水支管网建设项目，现两个项目已启动前期工作，有望2021年初开工实施；</w:t>
      </w:r>
      <w:r>
        <w:rPr>
          <w:rFonts w:hint="eastAsia" w:ascii="仿宋" w:hAnsi="仿宋" w:eastAsia="仿宋" w:cs="仿宋"/>
          <w:b/>
          <w:bCs/>
          <w:color w:val="auto"/>
          <w:sz w:val="32"/>
          <w:szCs w:val="32"/>
          <w:highlight w:val="none"/>
          <w:lang w:val="en-US" w:eastAsia="zh-CN"/>
        </w:rPr>
        <w:t>五是</w:t>
      </w:r>
      <w:r>
        <w:rPr>
          <w:rFonts w:hint="eastAsia" w:ascii="仿宋" w:hAnsi="仿宋" w:eastAsia="仿宋" w:cs="仿宋"/>
          <w:b w:val="0"/>
          <w:bCs w:val="0"/>
          <w:color w:val="auto"/>
          <w:sz w:val="32"/>
          <w:szCs w:val="32"/>
          <w:highlight w:val="none"/>
          <w:lang w:val="en-US" w:eastAsia="zh-CN"/>
        </w:rPr>
        <w:t>为解决敞放水问题，我局一方面加大节约用水宣传力度，另一方面按照政府工作安排，启动水表安装用水收费工作，全年已收取水费50000余元。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highlight w:val="none"/>
          <w:lang w:val="en-US" w:eastAsia="zh-CN"/>
        </w:rPr>
        <w:t>3.提案议案。</w:t>
      </w:r>
      <w:r>
        <w:rPr>
          <w:rFonts w:hint="eastAsia" w:ascii="仿宋" w:hAnsi="仿宋" w:eastAsia="仿宋" w:cs="仿宋"/>
          <w:b w:val="0"/>
          <w:bCs w:val="0"/>
          <w:color w:val="auto"/>
          <w:sz w:val="32"/>
          <w:szCs w:val="32"/>
          <w:highlight w:val="none"/>
          <w:lang w:val="en-US" w:eastAsia="zh-CN"/>
        </w:rPr>
        <w:t>今年，我局共受理政协委员提案4件、人大代表建议7件，自收到承办事项后，我局高度重视，赓即对承办事项各项工作进行安排部署，明确工作时限，并落实专人负责，确保各项工作推进顺利，圆满完成我局2020年度建议、提案办理工作，做到走访率100%、回复率100%、满意率100%。</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加强行业管理，工程建设规范有序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1.工程质量监管。</w:t>
      </w:r>
      <w:r>
        <w:rPr>
          <w:rFonts w:hint="eastAsia" w:ascii="仿宋" w:hAnsi="仿宋" w:eastAsia="仿宋" w:cs="仿宋"/>
          <w:kern w:val="2"/>
          <w:sz w:val="32"/>
          <w:szCs w:val="32"/>
          <w:lang w:val="en-US" w:eastAsia="zh-CN" w:bidi="ar-SA"/>
        </w:rPr>
        <w:t>全年共监督项目131个。</w:t>
      </w: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按照“随叫随到”的工作原则，不分上下班、不分工作日，专业技术人员深入工地开展质量、安全监督工作达800余次，避免了质量监督影响工期情况；</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积极监督项目建设全过程，各在建项目从地基开挖到竣工验收，都做到全程参与、全程监督，确保监管不留死角；</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进行定期或不定期的全县工程质量检查专项行动，全年共下发工程质量整改通知书43份，全程督促各责任主体完成了整改；</w:t>
      </w:r>
      <w:r>
        <w:rPr>
          <w:rFonts w:hint="eastAsia" w:ascii="仿宋" w:hAnsi="仿宋" w:eastAsia="仿宋" w:cs="仿宋"/>
          <w:b/>
          <w:bCs/>
          <w:kern w:val="2"/>
          <w:sz w:val="32"/>
          <w:szCs w:val="32"/>
          <w:lang w:val="en-US" w:eastAsia="zh-CN" w:bidi="ar-SA"/>
        </w:rPr>
        <w:t>四是</w:t>
      </w:r>
      <w:r>
        <w:rPr>
          <w:rFonts w:hint="eastAsia" w:ascii="仿宋" w:hAnsi="仿宋" w:eastAsia="仿宋" w:cs="仿宋"/>
          <w:kern w:val="2"/>
          <w:sz w:val="32"/>
          <w:szCs w:val="32"/>
          <w:lang w:val="en-US" w:eastAsia="zh-CN" w:bidi="ar-SA"/>
        </w:rPr>
        <w:t>对全县监理单位履职情况进行专项检查。截至目前未发生一起重大质量事故。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2.扫黑除恶斗争。一是</w:t>
      </w:r>
      <w:r>
        <w:rPr>
          <w:rFonts w:hint="eastAsia" w:ascii="仿宋" w:hAnsi="仿宋" w:eastAsia="仿宋" w:cs="仿宋"/>
          <w:kern w:val="2"/>
          <w:sz w:val="32"/>
          <w:szCs w:val="32"/>
          <w:lang w:val="en-US" w:eastAsia="zh-CN" w:bidi="ar-SA"/>
        </w:rPr>
        <w:t>积极开展扫黑除恶法治宣传教育活动，通过集中宣传、在建筑工地悬挂横幅、小区物业张贴公告和公开举报电话等多种方式宣传了“扫黑除恶”专项斗争的重要性，共悬挂横幅6条、张贴公告40张；</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对“承揽工程、渣土运输、暴力执法、充当保护伞”等几类住房建设领域“涉黑、涉恶、涉乱”行为进行了4次全面排查，做到了底数清、情况明。目前，发现问题线索43条已上报县扫黑办。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3.工程项目审批。一是</w:t>
      </w:r>
      <w:r>
        <w:rPr>
          <w:rFonts w:hint="eastAsia" w:ascii="仿宋" w:hAnsi="仿宋" w:eastAsia="仿宋" w:cs="仿宋"/>
          <w:kern w:val="2"/>
          <w:sz w:val="32"/>
          <w:szCs w:val="32"/>
          <w:lang w:val="en-US" w:eastAsia="zh-CN" w:bidi="ar-SA"/>
        </w:rPr>
        <w:t>全年完成项目招标文件备案10个；</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电子政务平台上完成质检备案143条、安监备案140条、施工许可办理142条（包括签订授权书、承诺书）、竣工备案58条；</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全年完成消防设计审查备案5起。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4.农民工工资保障。一是</w:t>
      </w:r>
      <w:r>
        <w:rPr>
          <w:rFonts w:hint="eastAsia" w:ascii="仿宋" w:hAnsi="仿宋" w:eastAsia="仿宋" w:cs="仿宋"/>
          <w:sz w:val="32"/>
          <w:szCs w:val="32"/>
          <w:lang w:val="en-US" w:eastAsia="zh-CN"/>
        </w:rPr>
        <w:t>推广使用农民工实名制管理平台，邀请磊数公司对农民工实名制管理平台功能、操作等到壤进行培训。同时，建立业务交流微信群，保障项目录入过程中的问题能在第一时间得到解决，截至目前全县共有9个项目正在使用该平台，</w:t>
      </w:r>
      <w:r>
        <w:rPr>
          <w:rFonts w:hint="eastAsia" w:ascii="仿宋" w:hAnsi="仿宋" w:eastAsia="仿宋" w:cs="仿宋"/>
          <w:kern w:val="2"/>
          <w:sz w:val="32"/>
          <w:szCs w:val="32"/>
          <w:lang w:val="en-US" w:eastAsia="zh-CN" w:bidi="ar-SA"/>
        </w:rPr>
        <w:t>涉及农民工157人</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加强维权宣传活动，全年共计开展农民工工资保障宣传活动7次，进一步增强农民工维权意识。同时，</w:t>
      </w:r>
      <w:r>
        <w:rPr>
          <w:rFonts w:hint="eastAsia" w:ascii="仿宋" w:hAnsi="仿宋" w:eastAsia="仿宋" w:cs="仿宋"/>
          <w:kern w:val="2"/>
          <w:sz w:val="32"/>
          <w:szCs w:val="32"/>
          <w:lang w:val="en-US" w:eastAsia="zh-CN" w:bidi="ar-SA"/>
        </w:rPr>
        <w:t>配合人事部门解决工资纠纷8起，调查企业项目8起。</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5.加强业务培训。一是</w:t>
      </w:r>
      <w:r>
        <w:rPr>
          <w:rFonts w:hint="eastAsia" w:ascii="仿宋" w:hAnsi="仿宋" w:eastAsia="仿宋" w:cs="仿宋"/>
          <w:kern w:val="2"/>
          <w:sz w:val="32"/>
          <w:szCs w:val="32"/>
          <w:lang w:val="en-US" w:eastAsia="zh-CN" w:bidi="ar-SA"/>
        </w:rPr>
        <w:t>为进一步规范我县项目管理工作，年初，组织各单位项目分管领导、专干180余人进行工程建设项目管理专题培训；</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为加快推进施工许可证办理，我局主动服务、靠前服务，全年共计组织开展业务培训工作4次。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6.构建信用体系。</w:t>
      </w:r>
      <w:r>
        <w:rPr>
          <w:rFonts w:hint="eastAsia" w:ascii="仿宋" w:hAnsi="仿宋" w:eastAsia="仿宋" w:cs="仿宋"/>
          <w:kern w:val="2"/>
          <w:sz w:val="32"/>
          <w:szCs w:val="32"/>
          <w:lang w:val="en-US" w:eastAsia="zh-CN" w:bidi="ar-SA"/>
        </w:rPr>
        <w:t>全年完成不良信用记录1起，系南木达幼儿园二期项目涉及安全、未批先建、拖欠农民工工资等问题。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7.建筑主材调价。</w:t>
      </w:r>
      <w:r>
        <w:rPr>
          <w:rFonts w:hint="eastAsia" w:ascii="仿宋" w:hAnsi="仿宋" w:eastAsia="仿宋" w:cs="仿宋"/>
          <w:kern w:val="2"/>
          <w:sz w:val="32"/>
          <w:szCs w:val="32"/>
          <w:lang w:val="en-US" w:eastAsia="zh-CN" w:bidi="ar-SA"/>
        </w:rPr>
        <w:t>按时完成对建筑市场主材价格进行调查，并及时上报州造价站。同时，要求原材料必须送第三方检测机构进行检测，从源头上杜绝了劣质材料流入建筑市场。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8.市政项目核查。</w:t>
      </w:r>
      <w:r>
        <w:rPr>
          <w:rFonts w:hint="eastAsia" w:ascii="仿宋" w:hAnsi="仿宋" w:eastAsia="仿宋" w:cs="仿宋"/>
          <w:kern w:val="2"/>
          <w:sz w:val="32"/>
          <w:szCs w:val="32"/>
          <w:lang w:val="en-US" w:eastAsia="zh-CN" w:bidi="ar-SA"/>
        </w:rPr>
        <w:t xml:space="preserve">结合“金川县八一水电站事件”，顺利完成我县房屋市政建设项目迎检及赴金川交叉检查工作。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着手乡村振兴，统筹城乡融合发展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年内，我局通过传统村落保护、申报省级百强中心镇、申报最美古村落、百镇试点建设等方面，提前着手乡村振兴，加快推进城乡融合发展，为2021年乡村振兴开局年打下坚实基础保障。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1.传统村落。</w:t>
      </w:r>
      <w:r>
        <w:rPr>
          <w:rFonts w:hint="eastAsia" w:ascii="仿宋" w:hAnsi="仿宋" w:eastAsia="仿宋" w:cs="仿宋"/>
          <w:kern w:val="2"/>
          <w:sz w:val="32"/>
          <w:szCs w:val="32"/>
          <w:lang w:val="en-US" w:eastAsia="zh-CN" w:bidi="ar-SA"/>
        </w:rPr>
        <w:t>目前我县共有5个国家级传统村落，其中宗科加斯满村、吾依修卡村、中壤塘壤塘村传统村落保护资金已下达，年内我局</w:t>
      </w:r>
      <w:r>
        <w:rPr>
          <w:rFonts w:hint="eastAsia" w:ascii="仿宋" w:hAnsi="仿宋" w:eastAsia="仿宋" w:cs="仿宋"/>
          <w:sz w:val="32"/>
          <w:szCs w:val="32"/>
          <w:lang w:val="en-US" w:eastAsia="zh-CN"/>
        </w:rPr>
        <w:t>通过</w:t>
      </w:r>
      <w:r>
        <w:rPr>
          <w:rFonts w:hint="eastAsia" w:ascii="仿宋" w:hAnsi="仿宋" w:eastAsia="仿宋" w:cs="仿宋"/>
          <w:kern w:val="2"/>
          <w:sz w:val="32"/>
          <w:szCs w:val="32"/>
          <w:lang w:val="en-US" w:eastAsia="zh-CN" w:bidi="ar-SA"/>
        </w:rPr>
        <w:t>完善基础设施配套，传统民居修缮加固等方面实施完成3个村落传统保护项目，茸木达乡茸木达村、中壤塘布康木达村待资金下达后赓即实施传统村落保护项目。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2.省级百强中心镇。</w:t>
      </w:r>
      <w:r>
        <w:rPr>
          <w:rFonts w:hint="eastAsia" w:ascii="仿宋" w:hAnsi="仿宋" w:eastAsia="仿宋" w:cs="仿宋"/>
          <w:sz w:val="32"/>
          <w:szCs w:val="32"/>
          <w:lang w:val="en-US" w:eastAsia="zh-CN"/>
        </w:rPr>
        <w:t>按照省、州住建部门关于申报“省级百强中心镇”工作要求，结合我县实际，决定将我县岗木达镇申报为“省级百强中心镇”，现相关申报资料已按要求上报完毕，上级部门正在进行审核。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3.最美古村落。</w:t>
      </w:r>
      <w:r>
        <w:rPr>
          <w:rFonts w:hint="eastAsia" w:ascii="仿宋" w:hAnsi="仿宋" w:eastAsia="仿宋" w:cs="仿宋"/>
          <w:sz w:val="32"/>
          <w:szCs w:val="32"/>
          <w:lang w:val="en-US" w:eastAsia="zh-CN"/>
        </w:rPr>
        <w:t>按照省住建厅“关于申报第三批最美古村落”要求，结合我县各村寨实际，统筹考虑，决定将我县中壤塘镇壤塘村申报为第三批最美古村落，现相关申报资料已按要求上报完毕。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sz w:val="32"/>
          <w:szCs w:val="32"/>
        </w:rPr>
      </w:pPr>
      <w:r>
        <w:rPr>
          <w:rFonts w:hint="eastAsia" w:ascii="仿宋" w:hAnsi="仿宋" w:eastAsia="仿宋" w:cs="仿宋"/>
          <w:b/>
          <w:bCs/>
          <w:sz w:val="32"/>
          <w:szCs w:val="32"/>
          <w:lang w:val="en-US" w:eastAsia="zh-CN"/>
        </w:rPr>
        <w:t>4.百镇试点建设。</w:t>
      </w:r>
      <w:r>
        <w:rPr>
          <w:rFonts w:hint="eastAsia" w:ascii="仿宋" w:hAnsi="仿宋" w:eastAsia="仿宋" w:cs="仿宋"/>
          <w:sz w:val="32"/>
          <w:szCs w:val="32"/>
          <w:lang w:val="en-US" w:eastAsia="zh-CN"/>
        </w:rPr>
        <w:t>根据上级下达资金，年内已启动百镇试点壤塘县中壤塘镇建设项目前期工作，建设内容主要是完</w:t>
      </w:r>
      <w:r>
        <w:rPr>
          <w:rFonts w:hint="eastAsia" w:ascii="仿宋" w:hAnsi="仿宋" w:eastAsia="仿宋" w:cs="仿宋"/>
          <w:sz w:val="32"/>
          <w:szCs w:val="32"/>
        </w:rPr>
        <w:t>善</w:t>
      </w:r>
      <w:r>
        <w:rPr>
          <w:rFonts w:hint="eastAsia" w:ascii="仿宋" w:hAnsi="仿宋" w:eastAsia="仿宋" w:cs="仿宋"/>
          <w:sz w:val="32"/>
          <w:szCs w:val="32"/>
          <w:lang w:eastAsia="zh-CN"/>
        </w:rPr>
        <w:t>、</w:t>
      </w:r>
      <w:r>
        <w:rPr>
          <w:rFonts w:hint="eastAsia" w:ascii="仿宋" w:hAnsi="仿宋" w:eastAsia="仿宋" w:cs="仿宋"/>
          <w:sz w:val="32"/>
          <w:szCs w:val="32"/>
        </w:rPr>
        <w:t>改善</w:t>
      </w:r>
      <w:r>
        <w:rPr>
          <w:rFonts w:hint="eastAsia" w:ascii="仿宋" w:hAnsi="仿宋" w:eastAsia="仿宋" w:cs="仿宋"/>
          <w:sz w:val="32"/>
          <w:szCs w:val="32"/>
          <w:lang w:val="en-US" w:eastAsia="zh-CN"/>
        </w:rPr>
        <w:t>中壤塘镇</w:t>
      </w:r>
      <w:r>
        <w:rPr>
          <w:rFonts w:hint="eastAsia" w:ascii="仿宋" w:hAnsi="仿宋" w:eastAsia="仿宋" w:cs="仿宋"/>
          <w:sz w:val="32"/>
          <w:szCs w:val="32"/>
        </w:rPr>
        <w:t>配套基础设施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项目建成后将极大</w:t>
      </w:r>
      <w:r>
        <w:rPr>
          <w:rFonts w:hint="eastAsia" w:ascii="仿宋" w:hAnsi="仿宋" w:eastAsia="仿宋" w:cs="仿宋"/>
          <w:sz w:val="32"/>
          <w:szCs w:val="32"/>
        </w:rPr>
        <w:t>改善当地老百姓的生活环境，提高老百姓的生活质量，</w:t>
      </w:r>
      <w:r>
        <w:rPr>
          <w:rFonts w:hint="eastAsia" w:ascii="仿宋" w:hAnsi="仿宋" w:eastAsia="仿宋" w:cs="仿宋"/>
          <w:sz w:val="32"/>
          <w:szCs w:val="32"/>
          <w:lang w:val="en-US" w:eastAsia="zh-CN"/>
        </w:rPr>
        <w:t>提升中壤镇综合竞争力。</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4"/>
        <w:rPr>
          <w:rStyle w:val="27"/>
          <w:b w:val="0"/>
          <w:bCs w:val="0"/>
        </w:rPr>
      </w:pPr>
      <w:bookmarkStart w:id="17" w:name="_Toc79163855"/>
      <w:bookmarkStart w:id="18" w:name="_Toc79163605"/>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壤塘县住房和城乡建设局下设二级单位2个，其中行政单位1个，参照公务员法管理的事业单位0个，其他事业单位1个。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纳入壤塘县住房和城乡建设局2020年度部门决算编制范围的二级预算单位包括：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1.壤塘县住房和城乡建设局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2.壤塘县住房和城乡建设局质量监督站</w:t>
      </w:r>
    </w:p>
    <w:p>
      <w:pPr>
        <w:pStyle w:val="7"/>
        <w:adjustRightInd w:val="0"/>
        <w:snapToGrid w:val="0"/>
        <w:spacing w:before="93" w:line="600" w:lineRule="exact"/>
        <w:rPr>
          <w:rStyle w:val="26"/>
          <w:rFonts w:ascii="黑体" w:hAnsi="黑体" w:eastAsia="黑体"/>
          <w:b w:val="0"/>
          <w:bCs w:val="0"/>
        </w:rPr>
      </w:pPr>
      <w:r>
        <w:rPr>
          <w:rFonts w:ascii="仿宋" w:hAnsi="仿宋" w:eastAsia="仿宋"/>
          <w:color w:val="000000"/>
          <w:sz w:val="32"/>
          <w:szCs w:val="32"/>
        </w:rPr>
        <w:br w:type="page"/>
      </w:r>
      <w:bookmarkStart w:id="21" w:name="_Toc15377204"/>
      <w:bookmarkStart w:id="22" w:name="_Toc79163609"/>
      <w:bookmarkStart w:id="23" w:name="_Toc79163859"/>
      <w:bookmarkStart w:id="24" w:name="_Toc15396602"/>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21"/>
      <w:bookmarkEnd w:id="22"/>
      <w:bookmarkEnd w:id="23"/>
      <w:bookmarkEnd w:id="24"/>
    </w:p>
    <w:p/>
    <w:p>
      <w:pPr>
        <w:pStyle w:val="37"/>
        <w:numPr>
          <w:ilvl w:val="0"/>
          <w:numId w:val="1"/>
        </w:numPr>
        <w:spacing w:line="600" w:lineRule="exact"/>
        <w:ind w:firstLineChars="0"/>
        <w:outlineLvl w:val="1"/>
        <w:rPr>
          <w:rStyle w:val="27"/>
          <w:rFonts w:ascii="黑体" w:hAnsi="黑体" w:eastAsia="黑体"/>
          <w:b w:val="0"/>
        </w:rPr>
      </w:pPr>
      <w:bookmarkStart w:id="25" w:name="_Toc79163860"/>
      <w:bookmarkStart w:id="26" w:name="_Toc15377205"/>
      <w:bookmarkStart w:id="27" w:name="_Toc79163610"/>
      <w:bookmarkStart w:id="28"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5"/>
      <w:bookmarkEnd w:id="26"/>
      <w:bookmarkEnd w:id="27"/>
      <w:bookmarkEnd w:id="2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13063.82万元，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11358.31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3546.85万元，增加27.2%；</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2262.53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新建项目增加，未完工项目较多。</w:t>
      </w:r>
    </w:p>
    <w:p>
      <w:pPr>
        <w:pStyle w:val="20"/>
        <w:keepNext w:val="0"/>
        <w:keepLines w:val="0"/>
        <w:widowControl/>
        <w:suppressLineNumbers w:val="0"/>
        <w:spacing w:before="408" w:beforeAutospacing="0" w:after="106" w:afterAutospacing="0" w:line="30" w:lineRule="atLeast"/>
        <w:ind w:right="0" w:firstLine="1680" w:firstLineChars="70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（图1：收、支决算总计变动情况图）（柱状图）</w:t>
      </w:r>
    </w:p>
    <w:p>
      <w:pPr>
        <w:rPr>
          <w:rFonts w:hint="default"/>
          <w:lang w:val="en-US" w:eastAsia="zh-CN"/>
        </w:rPr>
      </w:pPr>
    </w:p>
    <w:p>
      <w:pPr>
        <w:pStyle w:val="2"/>
        <w:ind w:left="0" w:leftChars="0" w:firstLine="0" w:firstLineChars="0"/>
        <w:rPr>
          <w:rFonts w:ascii="仿宋_GB2312" w:eastAsia="仿宋_GB2312"/>
          <w:color w:val="000000"/>
          <w:sz w:val="32"/>
          <w:szCs w:val="32"/>
        </w:rPr>
      </w:pPr>
    </w:p>
    <w:p>
      <w:pPr>
        <w:pStyle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ascii="仿宋_GB2312" w:eastAsia="仿宋_GB2312"/>
          <w:color w:val="000000"/>
          <w:sz w:val="32"/>
          <w:szCs w:val="32"/>
        </w:rPr>
      </w:pP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
      <w:pPr>
        <w:pStyle w:val="37"/>
        <w:numPr>
          <w:ilvl w:val="0"/>
          <w:numId w:val="1"/>
        </w:numPr>
        <w:spacing w:line="600" w:lineRule="exact"/>
        <w:ind w:firstLineChars="0"/>
        <w:outlineLvl w:val="1"/>
        <w:rPr>
          <w:rStyle w:val="27"/>
          <w:rFonts w:ascii="黑体" w:hAnsi="黑体" w:eastAsia="黑体"/>
          <w:b w:val="0"/>
        </w:rPr>
      </w:pPr>
      <w:bookmarkStart w:id="29" w:name="_Toc79163611"/>
      <w:bookmarkStart w:id="30" w:name="_Toc15396604"/>
      <w:bookmarkStart w:id="31" w:name="_Toc15377206"/>
      <w:bookmarkStart w:id="32" w:name="_Toc79163861"/>
      <w:r>
        <w:rPr>
          <w:rFonts w:hint="eastAsia" w:ascii="黑体" w:hAnsi="黑体" w:eastAsia="黑体"/>
          <w:color w:val="000000"/>
          <w:sz w:val="32"/>
          <w:szCs w:val="32"/>
        </w:rPr>
        <w:t>收</w:t>
      </w:r>
      <w:r>
        <w:rPr>
          <w:rStyle w:val="27"/>
          <w:rFonts w:hint="eastAsia" w:ascii="黑体" w:hAnsi="黑体" w:eastAsia="黑体"/>
          <w:b w:val="0"/>
        </w:rPr>
        <w:t>入决算情况说明</w:t>
      </w:r>
      <w:bookmarkEnd w:id="29"/>
      <w:bookmarkEnd w:id="30"/>
      <w:bookmarkEnd w:id="31"/>
      <w:bookmarkEnd w:id="32"/>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13063.82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13063.82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
      </w:pPr>
    </w:p>
    <w:p>
      <w:pPr>
        <w:spacing w:line="600" w:lineRule="exact"/>
        <w:ind w:firstLine="640" w:firstLineChars="200"/>
        <w:rPr>
          <w:rFonts w:ascii="仿宋_GB2312" w:eastAsia="仿宋_GB2312"/>
          <w:color w:val="FF0000"/>
          <w:sz w:val="32"/>
          <w:szCs w:val="32"/>
        </w:rPr>
      </w:pPr>
    </w:p>
    <w:p>
      <w:pPr>
        <w:pStyle w:val="2"/>
        <w:rPr>
          <w:rFonts w:ascii="仿宋_GB2312" w:eastAsia="仿宋_GB2312"/>
          <w:color w:val="FF0000"/>
          <w:sz w:val="32"/>
          <w:szCs w:val="32"/>
        </w:rPr>
      </w:pPr>
    </w:p>
    <w:p>
      <w:pP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ascii="仿宋_GB2312" w:eastAsia="仿宋_GB2312"/>
          <w:color w:val="FF0000"/>
          <w:sz w:val="32"/>
          <w:szCs w:val="32"/>
        </w:rPr>
      </w:pPr>
    </w:p>
    <w:p>
      <w:pPr>
        <w:rPr>
          <w:rFonts w:ascii="仿宋_GB2312" w:eastAsia="仿宋_GB2312"/>
          <w:color w:val="FF0000"/>
          <w:sz w:val="32"/>
          <w:szCs w:val="32"/>
        </w:rPr>
      </w:pPr>
    </w:p>
    <w:p>
      <w:pPr>
        <w:pStyle w:val="2"/>
        <w:rPr>
          <w:rFonts w:ascii="仿宋_GB2312" w:eastAsia="仿宋_GB2312"/>
          <w:color w:val="FF0000"/>
          <w:sz w:val="32"/>
          <w:szCs w:val="32"/>
        </w:rPr>
      </w:pPr>
    </w:p>
    <w:p/>
    <w:p>
      <w:pPr>
        <w:pStyle w:val="37"/>
        <w:numPr>
          <w:ilvl w:val="0"/>
          <w:numId w:val="1"/>
        </w:numPr>
        <w:spacing w:line="600" w:lineRule="exact"/>
        <w:ind w:firstLineChars="0"/>
        <w:outlineLvl w:val="1"/>
        <w:rPr>
          <w:rStyle w:val="27"/>
          <w:rFonts w:ascii="黑体" w:hAnsi="黑体" w:eastAsia="黑体"/>
          <w:b w:val="0"/>
        </w:rPr>
      </w:pPr>
      <w:bookmarkStart w:id="33" w:name="_Toc15396605"/>
      <w:bookmarkStart w:id="34" w:name="_Toc79163612"/>
      <w:bookmarkStart w:id="35" w:name="_Toc15377207"/>
      <w:bookmarkStart w:id="36" w:name="_Toc79163862"/>
      <w:r>
        <w:rPr>
          <w:rFonts w:hint="eastAsia" w:ascii="黑体" w:hAnsi="黑体" w:eastAsia="黑体"/>
          <w:color w:val="000000"/>
          <w:sz w:val="32"/>
          <w:szCs w:val="32"/>
        </w:rPr>
        <w:t>支</w:t>
      </w:r>
      <w:r>
        <w:rPr>
          <w:rStyle w:val="27"/>
          <w:rFonts w:hint="eastAsia" w:ascii="黑体" w:hAnsi="黑体" w:eastAsia="黑体"/>
          <w:b w:val="0"/>
        </w:rPr>
        <w:t>出决算情况说明</w:t>
      </w:r>
      <w:bookmarkEnd w:id="33"/>
      <w:bookmarkEnd w:id="34"/>
      <w:bookmarkEnd w:id="35"/>
      <w:bookmarkEnd w:id="36"/>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2020年本年支出合计</w:t>
      </w:r>
      <w:r>
        <w:rPr>
          <w:rFonts w:hint="eastAsia" w:ascii="仿宋" w:hAnsi="仿宋" w:eastAsia="仿宋" w:cs="仿宋"/>
          <w:sz w:val="32"/>
          <w:szCs w:val="32"/>
          <w:lang w:val="en-US" w:eastAsia="zh-CN"/>
        </w:rPr>
        <w:t>11358.31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230.78</w:t>
      </w:r>
      <w:r>
        <w:rPr>
          <w:rFonts w:hint="eastAsia" w:ascii="仿宋" w:hAnsi="仿宋" w:eastAsia="仿宋" w:cs="仿宋"/>
          <w:sz w:val="32"/>
          <w:szCs w:val="32"/>
        </w:rPr>
        <w:t>万元，占</w:t>
      </w:r>
      <w:r>
        <w:rPr>
          <w:rFonts w:hint="eastAsia" w:ascii="仿宋" w:hAnsi="仿宋" w:eastAsia="仿宋" w:cs="仿宋"/>
          <w:sz w:val="32"/>
          <w:szCs w:val="32"/>
          <w:lang w:val="en-US" w:eastAsia="zh-CN"/>
        </w:rPr>
        <w:t>2</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11127.53</w:t>
      </w:r>
      <w:r>
        <w:rPr>
          <w:rFonts w:hint="eastAsia" w:ascii="仿宋" w:hAnsi="仿宋" w:eastAsia="仿宋" w:cs="仿宋"/>
          <w:sz w:val="32"/>
          <w:szCs w:val="32"/>
        </w:rPr>
        <w:t>万元，占</w:t>
      </w:r>
      <w:r>
        <w:rPr>
          <w:rFonts w:hint="eastAsia" w:ascii="仿宋" w:hAnsi="仿宋" w:eastAsia="仿宋" w:cs="仿宋"/>
          <w:sz w:val="32"/>
          <w:szCs w:val="32"/>
          <w:lang w:val="en-US" w:eastAsia="zh-CN"/>
        </w:rPr>
        <w:t>98</w:t>
      </w:r>
      <w:r>
        <w:rPr>
          <w:rFonts w:hint="eastAsia" w:ascii="仿宋" w:hAnsi="仿宋" w:eastAsia="仿宋" w:cs="仿宋"/>
          <w:sz w:val="32"/>
          <w:szCs w:val="32"/>
        </w:rPr>
        <w:t>%；</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rPr>
          <w:rFonts w:hint="eastAsia" w:ascii="仿宋" w:hAnsi="仿宋" w:eastAsia="仿宋"/>
          <w:color w:val="000000"/>
          <w:sz w:val="32"/>
          <w:szCs w:val="32"/>
        </w:rPr>
      </w:pP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37" w:name="_Toc79163863"/>
      <w:bookmarkStart w:id="38" w:name="_Toc79163613"/>
      <w:bookmarkStart w:id="39" w:name="_Toc15377208"/>
      <w:bookmarkStart w:id="40"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7"/>
      <w:bookmarkEnd w:id="38"/>
      <w:bookmarkEnd w:id="39"/>
      <w:bookmarkEnd w:id="40"/>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13063.82万元，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11358.31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3546.85万元，增加27.2%；</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2262.53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新建项目增加，未完工项目较多。</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pStyle w:val="2"/>
        <w:rPr>
          <w:rFonts w:ascii="仿宋" w:hAnsi="仿宋" w:eastAsia="仿宋"/>
          <w:b/>
          <w:color w:val="00B050"/>
          <w:sz w:val="32"/>
          <w:szCs w:val="32"/>
        </w:rPr>
      </w:pPr>
    </w:p>
    <w:p>
      <w:pPr>
        <w:rPr>
          <w:rFonts w:ascii="仿宋" w:hAnsi="仿宋" w:eastAsia="仿宋"/>
          <w:b/>
          <w:color w:val="00B050"/>
          <w:sz w:val="32"/>
          <w:szCs w:val="32"/>
        </w:rPr>
      </w:pPr>
      <w:r>
        <w:rPr>
          <w:rFonts w:hint="eastAsia" w:ascii="仿宋_GB2312" w:eastAsia="仿宋_GB2312"/>
          <w:color w:val="000000"/>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outlineLvl w:val="1"/>
        <w:rPr>
          <w:rStyle w:val="27"/>
          <w:rFonts w:ascii="黑体" w:hAnsi="黑体" w:eastAsia="黑体"/>
          <w:b w:val="0"/>
        </w:rPr>
      </w:pPr>
      <w:bookmarkStart w:id="41" w:name="_Toc79163864"/>
      <w:bookmarkStart w:id="42" w:name="_Toc15377209"/>
      <w:bookmarkStart w:id="43" w:name="_Toc15396607"/>
      <w:bookmarkStart w:id="44"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1"/>
      <w:bookmarkEnd w:id="42"/>
      <w:bookmarkEnd w:id="43"/>
      <w:bookmarkEnd w:id="44"/>
    </w:p>
    <w:p>
      <w:pPr>
        <w:spacing w:line="600" w:lineRule="exact"/>
        <w:ind w:firstLine="643" w:firstLineChars="200"/>
        <w:outlineLvl w:val="2"/>
        <w:rPr>
          <w:rFonts w:ascii="仿宋" w:hAnsi="仿宋" w:eastAsia="仿宋"/>
          <w:b/>
          <w:color w:val="000000"/>
          <w:sz w:val="32"/>
          <w:szCs w:val="32"/>
        </w:rPr>
      </w:pPr>
      <w:bookmarkStart w:id="45" w:name="_Toc79163865"/>
      <w:bookmarkStart w:id="46" w:name="_Toc79163615"/>
      <w:bookmarkStart w:id="47" w:name="_Toc15377210"/>
      <w:r>
        <w:rPr>
          <w:rFonts w:hint="eastAsia" w:ascii="仿宋" w:hAnsi="仿宋" w:eastAsia="仿宋"/>
          <w:b/>
          <w:color w:val="000000"/>
          <w:sz w:val="32"/>
          <w:szCs w:val="32"/>
        </w:rPr>
        <w:t>（一）一般公共预算财政拨款支出决算总体情况</w:t>
      </w:r>
      <w:bookmarkEnd w:id="45"/>
      <w:bookmarkEnd w:id="46"/>
      <w:bookmarkEnd w:id="4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11358.31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2262.52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未完工项目较多。</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Style w:val="2"/>
      </w:pPr>
    </w:p>
    <w:p/>
    <w:p>
      <w:pPr>
        <w:pStyle w:val="2"/>
      </w:pP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pPr>
    </w:p>
    <w:p/>
    <w:p>
      <w:pPr>
        <w:pStyle w:val="2"/>
      </w:pPr>
    </w:p>
    <w:p/>
    <w:p>
      <w:pPr>
        <w:spacing w:line="600" w:lineRule="exact"/>
        <w:ind w:firstLine="643" w:firstLineChars="200"/>
        <w:outlineLvl w:val="2"/>
        <w:rPr>
          <w:rFonts w:ascii="仿宋" w:hAnsi="仿宋" w:eastAsia="仿宋"/>
          <w:b/>
          <w:color w:val="000000"/>
          <w:sz w:val="32"/>
          <w:szCs w:val="32"/>
        </w:rPr>
      </w:pPr>
      <w:bookmarkStart w:id="48" w:name="_Toc15377211"/>
      <w:bookmarkStart w:id="49" w:name="_Toc79163616"/>
      <w:bookmarkStart w:id="50" w:name="_Toc79163866"/>
      <w:r>
        <w:rPr>
          <w:rFonts w:hint="eastAsia" w:ascii="仿宋" w:hAnsi="仿宋" w:eastAsia="仿宋"/>
          <w:b/>
          <w:color w:val="000000"/>
          <w:sz w:val="32"/>
          <w:szCs w:val="32"/>
        </w:rPr>
        <w:t>（二）一般公共预算财政拨款支出决算结构情况</w:t>
      </w:r>
      <w:bookmarkEnd w:id="48"/>
      <w:bookmarkEnd w:id="49"/>
      <w:bookmarkEnd w:id="50"/>
    </w:p>
    <w:p>
      <w:pPr>
        <w:spacing w:line="600" w:lineRule="exact"/>
        <w:ind w:firstLine="640"/>
        <w:rPr>
          <w:rFonts w:hint="default" w:ascii="仿宋" w:hAnsi="仿宋" w:eastAsia="仿宋"/>
          <w:b/>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11358.31</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14.76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6.55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节能环保支出</w:t>
      </w:r>
      <w:r>
        <w:rPr>
          <w:rFonts w:hint="eastAsia" w:ascii="仿宋" w:hAnsi="仿宋" w:eastAsia="仿宋"/>
          <w:color w:val="000000"/>
          <w:sz w:val="32"/>
          <w:szCs w:val="32"/>
          <w:lang w:val="en-US" w:eastAsia="zh-CN"/>
        </w:rPr>
        <w:t>110.24万元，占1%；城乡社区支出5112.83万元，占45%；农林水支出1760.72万元，占15.4%；住房保障支出3941.20万元，占34.6%；其他支出412.00万元，占3.7%；</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rPr>
          <w:rFonts w:hint="eastAsia" w:eastAsia="仿宋"/>
          <w:lang w:eastAsia="zh-CN"/>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1" w:name="_Toc15377212"/>
      <w:bookmarkStart w:id="52" w:name="_Toc79163617"/>
      <w:bookmarkStart w:id="53" w:name="_Toc79163867"/>
      <w:r>
        <w:rPr>
          <w:rFonts w:hint="eastAsia" w:ascii="仿宋" w:hAnsi="仿宋" w:eastAsia="仿宋"/>
          <w:b/>
          <w:color w:val="000000"/>
          <w:sz w:val="32"/>
          <w:szCs w:val="32"/>
        </w:rPr>
        <w:t>（三）一般公共预算财政拨款支出决算具体情况</w:t>
      </w:r>
      <w:bookmarkEnd w:id="51"/>
      <w:bookmarkEnd w:id="52"/>
      <w:bookmarkEnd w:id="53"/>
    </w:p>
    <w:p>
      <w:pPr>
        <w:spacing w:line="600" w:lineRule="exact"/>
        <w:ind w:firstLine="640" w:firstLineChars="200"/>
        <w:rPr>
          <w:rFonts w:hint="eastAsia" w:ascii="仿宋" w:hAnsi="仿宋" w:eastAsia="仿宋" w:cs="仿宋"/>
          <w:b w:val="0"/>
          <w:bCs w:val="0"/>
          <w:sz w:val="32"/>
          <w:szCs w:val="32"/>
        </w:rPr>
      </w:pPr>
      <w:bookmarkStart w:id="54" w:name="_Toc15378460"/>
      <w:bookmarkStart w:id="55" w:name="_Toc15377213"/>
      <w:bookmarkStart w:id="56" w:name="_Toc15377444"/>
      <w:r>
        <w:rPr>
          <w:rFonts w:hint="eastAsia" w:ascii="仿宋" w:hAnsi="仿宋" w:eastAsia="仿宋" w:cs="仿宋"/>
          <w:b w:val="0"/>
          <w:bCs w:val="0"/>
          <w:sz w:val="32"/>
          <w:szCs w:val="32"/>
        </w:rPr>
        <w:t>2020年一般公共预算支出决算数为</w:t>
      </w:r>
      <w:r>
        <w:rPr>
          <w:rFonts w:hint="eastAsia" w:ascii="仿宋" w:hAnsi="仿宋" w:eastAsia="仿宋" w:cs="仿宋"/>
          <w:b w:val="0"/>
          <w:bCs w:val="0"/>
          <w:sz w:val="32"/>
          <w:szCs w:val="32"/>
          <w:lang w:val="en-US" w:eastAsia="zh-CN"/>
        </w:rPr>
        <w:t>11358.31万元</w:t>
      </w:r>
      <w:r>
        <w:rPr>
          <w:rFonts w:hint="eastAsia" w:ascii="仿宋" w:hAnsi="仿宋" w:eastAsia="仿宋" w:cs="仿宋"/>
          <w:b w:val="0"/>
          <w:bCs w:val="0"/>
          <w:sz w:val="32"/>
          <w:szCs w:val="32"/>
        </w:rPr>
        <w:t>，完成预算</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%。其中：</w:t>
      </w:r>
      <w:bookmarkEnd w:id="54"/>
      <w:bookmarkEnd w:id="55"/>
      <w:bookmarkEnd w:id="56"/>
    </w:p>
    <w:p>
      <w:pPr>
        <w:numPr>
          <w:ilvl w:val="0"/>
          <w:numId w:val="2"/>
        </w:numPr>
        <w:spacing w:line="600" w:lineRule="exact"/>
        <w:ind w:left="481" w:leftChars="0" w:firstLine="0" w:firstLineChars="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社会保障和就业支出（类）行政事业单位养老支出（款）决算为14.76万元，其中机关事业单位基本养老保险缴费支出（项）支出决算数为9.97万元，完成预算100%，决算等于预算数；机关事业单位职业年金缴费支出4.79万元，完成预算100%，决算等于预算数。</w:t>
      </w:r>
    </w:p>
    <w:p>
      <w:pPr>
        <w:pStyle w:val="2"/>
        <w:numPr>
          <w:ilvl w:val="0"/>
          <w:numId w:val="2"/>
        </w:numPr>
        <w:ind w:left="481"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color w:val="333333"/>
          <w:sz w:val="32"/>
          <w:szCs w:val="32"/>
          <w:shd w:val="clear" w:fill="FFFFFF"/>
        </w:rPr>
        <w:t>卫生健康（类）行政</w:t>
      </w:r>
      <w:r>
        <w:rPr>
          <w:rFonts w:hint="eastAsia" w:ascii="仿宋" w:hAnsi="仿宋" w:eastAsia="仿宋" w:cs="仿宋"/>
          <w:b w:val="0"/>
          <w:bCs w:val="0"/>
          <w:color w:val="333333"/>
          <w:sz w:val="32"/>
          <w:szCs w:val="32"/>
          <w:shd w:val="clear" w:fill="FFFFFF"/>
          <w:lang w:eastAsia="zh-CN"/>
        </w:rPr>
        <w:t>事业</w:t>
      </w:r>
      <w:r>
        <w:rPr>
          <w:rFonts w:hint="eastAsia" w:ascii="仿宋" w:hAnsi="仿宋" w:eastAsia="仿宋" w:cs="仿宋"/>
          <w:b w:val="0"/>
          <w:bCs w:val="0"/>
          <w:color w:val="333333"/>
          <w:sz w:val="32"/>
          <w:szCs w:val="32"/>
          <w:shd w:val="clear" w:fill="FFFFFF"/>
        </w:rPr>
        <w:t>单位医疗（款）行政单位医疗</w:t>
      </w:r>
      <w:r>
        <w:rPr>
          <w:rFonts w:hint="eastAsia" w:ascii="仿宋" w:hAnsi="仿宋" w:eastAsia="仿宋" w:cs="仿宋"/>
          <w:b w:val="0"/>
          <w:bCs w:val="0"/>
          <w:color w:val="333333"/>
          <w:sz w:val="32"/>
          <w:szCs w:val="32"/>
          <w:shd w:val="clear" w:fill="FFFFFF"/>
          <w:lang w:eastAsia="zh-CN"/>
        </w:rPr>
        <w:t>（项）：</w:t>
      </w:r>
      <w:r>
        <w:rPr>
          <w:rFonts w:hint="eastAsia" w:ascii="仿宋" w:hAnsi="仿宋" w:eastAsia="仿宋" w:cs="仿宋"/>
          <w:b w:val="0"/>
          <w:bCs w:val="0"/>
          <w:color w:val="333333"/>
          <w:sz w:val="32"/>
          <w:szCs w:val="32"/>
          <w:shd w:val="clear" w:fill="FFFFFF"/>
        </w:rPr>
        <w:t>支出决算为</w:t>
      </w:r>
      <w:r>
        <w:rPr>
          <w:rFonts w:hint="eastAsia" w:ascii="仿宋" w:hAnsi="仿宋" w:eastAsia="仿宋" w:cs="仿宋"/>
          <w:b w:val="0"/>
          <w:bCs w:val="0"/>
          <w:color w:val="333333"/>
          <w:sz w:val="32"/>
          <w:szCs w:val="32"/>
          <w:shd w:val="clear" w:fill="FFFFFF"/>
          <w:lang w:val="en-US" w:eastAsia="zh-CN"/>
        </w:rPr>
        <w:t>6.55</w:t>
      </w:r>
      <w:r>
        <w:rPr>
          <w:rFonts w:hint="eastAsia" w:ascii="仿宋" w:hAnsi="仿宋" w:eastAsia="仿宋" w:cs="仿宋"/>
          <w:b w:val="0"/>
          <w:bCs w:val="0"/>
          <w:color w:val="333333"/>
          <w:sz w:val="32"/>
          <w:szCs w:val="32"/>
          <w:shd w:val="clear" w:fill="FFFFFF"/>
        </w:rPr>
        <w:t>万元，完成预算100%，决算数等于预算数。</w:t>
      </w:r>
    </w:p>
    <w:p>
      <w:pPr>
        <w:numPr>
          <w:ilvl w:val="0"/>
          <w:numId w:val="2"/>
        </w:numPr>
        <w:ind w:left="481" w:leftChars="0" w:firstLine="0" w:firstLineChars="0"/>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节能环保支出（类）自然生态保护（款）生态保护（项）支出决算数为110.24万元，完成预算100%，决算数等于预算数。</w:t>
      </w:r>
    </w:p>
    <w:p>
      <w:pPr>
        <w:pStyle w:val="2"/>
        <w:numPr>
          <w:ilvl w:val="0"/>
          <w:numId w:val="0"/>
        </w:numPr>
        <w:ind w:left="640" w:leftChars="0"/>
        <w:rPr>
          <w:rFonts w:hint="eastAsia" w:ascii="仿宋" w:hAnsi="仿宋" w:eastAsia="仿宋" w:cs="仿宋"/>
          <w:b w:val="0"/>
          <w:bCs w:val="0"/>
          <w:color w:val="FF0000"/>
          <w:sz w:val="32"/>
          <w:szCs w:val="32"/>
        </w:rPr>
      </w:pPr>
      <w:r>
        <w:rPr>
          <w:rFonts w:hint="eastAsia" w:ascii="仿宋" w:hAnsi="仿宋" w:eastAsia="仿宋" w:cs="仿宋"/>
          <w:b w:val="0"/>
          <w:bCs w:val="0"/>
          <w:sz w:val="32"/>
          <w:szCs w:val="32"/>
          <w:lang w:val="en-US" w:eastAsia="zh-CN"/>
        </w:rPr>
        <w:t>4、城乡社区支出（类）城乡社区管理事务（款）行政运行（项）支出决算数为196.45万元，完成预算100%，决算数等于预算数；城乡社区规划与管理（款）城乡社区规划与管理（项）支出决算数为259.00万元，</w:t>
      </w:r>
      <w:r>
        <w:rPr>
          <w:rFonts w:hint="eastAsia" w:ascii="仿宋" w:hAnsi="仿宋" w:eastAsia="仿宋" w:cs="仿宋"/>
          <w:b w:val="0"/>
          <w:bCs w:val="0"/>
          <w:color w:val="000000"/>
          <w:sz w:val="32"/>
          <w:szCs w:val="32"/>
          <w:lang w:eastAsia="zh-CN"/>
        </w:rPr>
        <w:t>完成预算</w:t>
      </w:r>
      <w:r>
        <w:rPr>
          <w:rFonts w:hint="eastAsia" w:ascii="仿宋" w:hAnsi="仿宋" w:eastAsia="仿宋" w:cs="仿宋"/>
          <w:b w:val="0"/>
          <w:bCs w:val="0"/>
          <w:color w:val="000000"/>
          <w:sz w:val="32"/>
          <w:szCs w:val="32"/>
          <w:lang w:val="en-US" w:eastAsia="zh-CN"/>
        </w:rPr>
        <w:t>100%，决算数等于预</w:t>
      </w:r>
      <w:r>
        <w:rPr>
          <w:rFonts w:hint="eastAsia" w:ascii="仿宋" w:hAnsi="仿宋" w:eastAsia="仿宋" w:cs="仿宋"/>
          <w:kern w:val="2"/>
          <w:sz w:val="32"/>
          <w:szCs w:val="32"/>
          <w:lang w:val="en-US" w:eastAsia="zh-CN" w:bidi="ar-SA"/>
        </w:rPr>
        <w:t>算数；城乡社区公共设施（款）其他城乡社区公共设施支出（项）支出决算数为986.43万元，完成预算100%，决算</w:t>
      </w:r>
      <w:r>
        <w:rPr>
          <w:rFonts w:hint="eastAsia" w:ascii="仿宋" w:hAnsi="仿宋" w:eastAsia="仿宋" w:cs="仿宋"/>
          <w:b w:val="0"/>
          <w:bCs w:val="0"/>
          <w:color w:val="000000"/>
          <w:sz w:val="32"/>
          <w:szCs w:val="32"/>
          <w:lang w:val="en-US" w:eastAsia="zh-CN"/>
        </w:rPr>
        <w:t>数等于预算数；其他城乡社区支出（款）其他城乡社区支出（项）支出决算数为3670.96万元，完成预算100%，决算数等于预算数。</w:t>
      </w:r>
      <w:r>
        <w:rPr>
          <w:rFonts w:hint="eastAsia" w:ascii="仿宋" w:hAnsi="仿宋" w:eastAsia="仿宋" w:cs="仿宋"/>
          <w:b w:val="0"/>
          <w:bCs w:val="0"/>
          <w:color w:val="000000"/>
          <w:sz w:val="32"/>
          <w:szCs w:val="32"/>
          <w:lang w:val="en-US" w:eastAsia="zh-CN"/>
        </w:rPr>
        <w:br w:type="textWrapping"/>
      </w:r>
      <w:r>
        <w:rPr>
          <w:rFonts w:hint="eastAsia" w:ascii="仿宋" w:hAnsi="仿宋" w:eastAsia="仿宋" w:cs="仿宋"/>
          <w:b w:val="0"/>
          <w:bCs w:val="0"/>
          <w:color w:val="000000"/>
          <w:sz w:val="32"/>
          <w:szCs w:val="32"/>
          <w:lang w:val="en-US" w:eastAsia="zh-CN"/>
        </w:rPr>
        <w:t>5、农林水支出（类）扶贫（款）农村基础设施建设决算支出数为851.78万元，生产发展（项）决算支出数为716.98万元，其他扶贫支出决算数为191.96万元，完成预算100%，决算数等于预算数。</w:t>
      </w:r>
    </w:p>
    <w:p>
      <w:pPr>
        <w:numPr>
          <w:ilvl w:val="0"/>
          <w:numId w:val="0"/>
        </w:numPr>
        <w:ind w:left="481" w:leftChars="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住房保障支出（类）保障性安居工程（款）廉租住房（项）支出决算数为158.67万元，棚户区改造（项）支出决算数为1647.83万元，农村危房改造（项）支出决算数为340.50万元，老旧小区改造支出决算数为148.35万元，其他保障性安居工程支出决算数为1632.83万元，住房改革支出（款）住房公积金（项）支出决算数为13.02万元，完成预算100%，决算数等于预算数。</w:t>
      </w:r>
    </w:p>
    <w:p>
      <w:pPr>
        <w:spacing w:line="600" w:lineRule="exact"/>
        <w:ind w:firstLine="64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7、其他支出（类）（款）（项）决算数为412.00，完成预算100%，决算数等于预算数。</w:t>
      </w:r>
    </w:p>
    <w:p>
      <w:pPr>
        <w:tabs>
          <w:tab w:val="right" w:pos="8306"/>
        </w:tabs>
        <w:spacing w:line="600" w:lineRule="exact"/>
        <w:ind w:firstLine="640"/>
        <w:outlineLvl w:val="1"/>
        <w:rPr>
          <w:rStyle w:val="27"/>
        </w:rPr>
      </w:pPr>
      <w:bookmarkStart w:id="57" w:name="_Toc15377214"/>
      <w:bookmarkStart w:id="58" w:name="_Toc79163868"/>
      <w:bookmarkStart w:id="59" w:name="_Toc79163618"/>
      <w:bookmarkStart w:id="6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7"/>
      <w:bookmarkEnd w:id="58"/>
      <w:bookmarkEnd w:id="59"/>
      <w:bookmarkEnd w:id="60"/>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230.78</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200.72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42.56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7"/>
          <w:rFonts w:ascii="黑体" w:hAnsi="黑体" w:eastAsia="黑体"/>
          <w:b w:val="0"/>
        </w:rPr>
      </w:pPr>
      <w:bookmarkStart w:id="61" w:name="_Toc15377215"/>
      <w:bookmarkStart w:id="62" w:name="_Toc79163619"/>
      <w:bookmarkStart w:id="63" w:name="_Toc15396609"/>
      <w:bookmarkStart w:id="64" w:name="_Toc7916386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1"/>
      <w:bookmarkEnd w:id="62"/>
      <w:bookmarkEnd w:id="63"/>
      <w:bookmarkEnd w:id="64"/>
    </w:p>
    <w:p>
      <w:pPr>
        <w:spacing w:line="600" w:lineRule="exact"/>
        <w:ind w:firstLine="640"/>
        <w:outlineLvl w:val="2"/>
        <w:rPr>
          <w:rFonts w:ascii="仿宋" w:hAnsi="仿宋" w:eastAsia="仿宋"/>
          <w:b/>
          <w:color w:val="000000"/>
          <w:sz w:val="32"/>
          <w:szCs w:val="32"/>
        </w:rPr>
      </w:pPr>
      <w:bookmarkStart w:id="65" w:name="_Toc79163870"/>
      <w:bookmarkStart w:id="66" w:name="_Toc15377216"/>
      <w:bookmarkStart w:id="67" w:name="_Toc79163620"/>
      <w:r>
        <w:rPr>
          <w:rFonts w:hint="eastAsia" w:ascii="仿宋" w:hAnsi="仿宋" w:eastAsia="仿宋"/>
          <w:b/>
          <w:color w:val="000000"/>
          <w:sz w:val="32"/>
          <w:szCs w:val="32"/>
        </w:rPr>
        <w:t>（一）“三公”经费财政拨款支出决算总体情况说明</w:t>
      </w:r>
      <w:bookmarkEnd w:id="65"/>
      <w:bookmarkEnd w:id="66"/>
      <w:bookmarkEnd w:id="67"/>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4.83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，决算数小于预算数</w:t>
      </w:r>
      <w:r>
        <w:rPr>
          <w:rFonts w:hint="eastAsia" w:ascii="仿宋" w:hAnsi="仿宋" w:eastAsia="仿宋"/>
          <w:color w:val="000000"/>
          <w:sz w:val="32"/>
          <w:szCs w:val="32"/>
          <w:lang w:eastAsia="zh-CN"/>
        </w:rPr>
        <w:t>的原因是车辆维修减少</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68" w:name="_Toc79163871"/>
      <w:bookmarkStart w:id="69" w:name="_Toc15377217"/>
      <w:bookmarkStart w:id="70" w:name="_Toc79163621"/>
      <w:r>
        <w:rPr>
          <w:rFonts w:hint="eastAsia" w:ascii="仿宋" w:hAnsi="仿宋" w:eastAsia="仿宋"/>
          <w:b/>
          <w:color w:val="000000"/>
          <w:sz w:val="32"/>
          <w:szCs w:val="32"/>
        </w:rPr>
        <w:t>（二）“三公”经费财政拨款支出决算具体情况说明</w:t>
      </w:r>
      <w:bookmarkEnd w:id="68"/>
      <w:bookmarkEnd w:id="69"/>
      <w:bookmarkEnd w:id="7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2"/>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 w:hAnsi="仿宋" w:eastAsia="仿宋" w:cs="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w:t>
      </w:r>
      <w:r>
        <w:rPr>
          <w:rFonts w:hint="eastAsia" w:ascii="仿宋" w:hAnsi="仿宋" w:eastAsia="仿宋" w:cs="仿宋"/>
          <w:b/>
          <w:color w:val="000000"/>
          <w:sz w:val="32"/>
          <w:szCs w:val="32"/>
        </w:rPr>
        <w:t>费支出</w:t>
      </w:r>
      <w:r>
        <w:rPr>
          <w:rFonts w:hint="eastAsia" w:ascii="仿宋" w:hAnsi="仿宋" w:eastAsia="仿宋" w:cs="仿宋"/>
          <w:b/>
          <w:color w:val="000000"/>
          <w:sz w:val="32"/>
          <w:szCs w:val="32"/>
          <w:lang w:val="en-US" w:eastAsia="zh-CN"/>
        </w:rPr>
        <w:t>0</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0</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全年安排因公出国（境）团组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次，出国（境）</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w:t>
      </w:r>
    </w:p>
    <w:p>
      <w:pPr>
        <w:spacing w:line="600" w:lineRule="exact"/>
        <w:ind w:firstLine="640"/>
        <w:rPr>
          <w:rFonts w:hint="eastAsia" w:ascii="仿宋" w:hAnsi="仿宋" w:eastAsia="仿宋" w:cs="仿宋"/>
          <w:b/>
          <w:color w:val="000000"/>
          <w:sz w:val="32"/>
          <w:szCs w:val="32"/>
          <w:lang w:eastAsia="zh-CN"/>
        </w:rPr>
      </w:pPr>
      <w:r>
        <w:rPr>
          <w:rFonts w:ascii="仿宋_GB2312" w:eastAsia="仿宋_GB2312"/>
          <w:b/>
          <w:color w:val="000000"/>
          <w:sz w:val="32"/>
          <w:szCs w:val="32"/>
        </w:rPr>
        <w:t>2.</w:t>
      </w:r>
      <w:r>
        <w:rPr>
          <w:rFonts w:hint="eastAsia" w:ascii="仿宋" w:hAnsi="仿宋" w:eastAsia="仿宋" w:cs="仿宋"/>
          <w:b/>
          <w:color w:val="000000"/>
          <w:sz w:val="32"/>
          <w:szCs w:val="32"/>
        </w:rPr>
        <w:t>公务用车购置及运行维护费支出</w:t>
      </w:r>
      <w:r>
        <w:rPr>
          <w:rFonts w:hint="eastAsia" w:ascii="仿宋" w:hAnsi="仿宋" w:eastAsia="仿宋" w:cs="仿宋"/>
          <w:b/>
          <w:color w:val="000000"/>
          <w:sz w:val="32"/>
          <w:szCs w:val="32"/>
          <w:lang w:val="en-US" w:eastAsia="zh-CN"/>
        </w:rPr>
        <w:t>4.83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69</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2.46</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51</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车辆维修减少。</w:t>
      </w:r>
    </w:p>
    <w:p>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b/>
          <w:color w:val="000000"/>
          <w:sz w:val="32"/>
          <w:szCs w:val="32"/>
          <w:lang w:val="en-US" w:eastAsia="zh-CN"/>
        </w:rPr>
        <w:t>0</w:t>
      </w:r>
      <w:r>
        <w:rPr>
          <w:rFonts w:hint="eastAsia" w:ascii="仿宋" w:hAnsi="仿宋" w:eastAsia="仿宋" w:cs="仿宋"/>
          <w:color w:val="000000"/>
          <w:sz w:val="32"/>
          <w:szCs w:val="32"/>
        </w:rPr>
        <w:t>万元。截至2020年12月底，单位共有公务用车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辆，其中：轿车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辆、越野车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辆、载客汽车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b/>
          <w:color w:val="000000"/>
          <w:sz w:val="32"/>
          <w:szCs w:val="32"/>
          <w:lang w:val="en-US" w:eastAsia="zh-CN"/>
        </w:rPr>
        <w:t>4.83</w:t>
      </w:r>
      <w:r>
        <w:rPr>
          <w:rFonts w:hint="eastAsia" w:ascii="仿宋" w:hAnsi="仿宋" w:eastAsia="仿宋" w:cs="仿宋"/>
          <w:color w:val="000000"/>
          <w:sz w:val="32"/>
          <w:szCs w:val="32"/>
        </w:rPr>
        <w:t>万元。主要用</w:t>
      </w:r>
      <w:r>
        <w:rPr>
          <w:rFonts w:hint="eastAsia" w:ascii="仿宋" w:hAnsi="仿宋" w:eastAsia="仿宋" w:cs="仿宋"/>
          <w:color w:val="000000"/>
          <w:sz w:val="32"/>
          <w:szCs w:val="32"/>
          <w:lang w:eastAsia="zh-CN"/>
        </w:rPr>
        <w:t>于下乡、项目审核、会议</w:t>
      </w:r>
      <w:r>
        <w:rPr>
          <w:rFonts w:hint="eastAsia" w:ascii="仿宋" w:hAnsi="仿宋" w:eastAsia="仿宋" w:cs="仿宋"/>
          <w:color w:val="000000"/>
          <w:sz w:val="32"/>
          <w:szCs w:val="32"/>
        </w:rPr>
        <w:t>等所需的公务用车燃料费、维修费、过路过桥费、保险费等支出。</w:t>
      </w:r>
    </w:p>
    <w:p>
      <w:pPr>
        <w:numPr>
          <w:ilvl w:val="0"/>
          <w:numId w:val="3"/>
        </w:numPr>
        <w:spacing w:line="600" w:lineRule="exact"/>
        <w:ind w:left="1152" w:leftChars="0" w:hanging="480" w:firstLineChars="0"/>
        <w:rPr>
          <w:rStyle w:val="24"/>
          <w:rFonts w:hint="eastAsia" w:ascii="仿宋" w:hAnsi="仿宋" w:eastAsia="仿宋" w:cs="仿宋"/>
          <w:b w:val="0"/>
          <w:bCs/>
          <w:color w:val="000000"/>
          <w:sz w:val="32"/>
          <w:szCs w:val="32"/>
        </w:rPr>
      </w:pPr>
      <w:r>
        <w:rPr>
          <w:rFonts w:hint="eastAsia" w:ascii="仿宋" w:hAnsi="仿宋" w:eastAsia="仿宋" w:cs="仿宋"/>
          <w:b/>
          <w:color w:val="000000"/>
          <w:sz w:val="32"/>
          <w:szCs w:val="32"/>
        </w:rPr>
        <w:t>公务接待费支出</w:t>
      </w:r>
      <w:r>
        <w:rPr>
          <w:rFonts w:hint="eastAsia" w:ascii="仿宋" w:hAnsi="仿宋" w:eastAsia="仿宋" w:cs="仿宋"/>
          <w:b/>
          <w:color w:val="000000"/>
          <w:sz w:val="32"/>
          <w:szCs w:val="32"/>
          <w:lang w:val="en-US" w:eastAsia="zh-CN"/>
        </w:rPr>
        <w:t>0</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0</w:t>
      </w:r>
      <w:r>
        <w:rPr>
          <w:rStyle w:val="24"/>
          <w:rFonts w:hint="eastAsia" w:ascii="仿宋" w:hAnsi="仿宋" w:eastAsia="仿宋" w:cs="仿宋"/>
          <w:b w:val="0"/>
          <w:bCs/>
          <w:color w:val="000000"/>
          <w:sz w:val="32"/>
          <w:szCs w:val="32"/>
        </w:rPr>
        <w:t>%。</w:t>
      </w:r>
    </w:p>
    <w:p>
      <w:pPr>
        <w:numPr>
          <w:ilvl w:val="0"/>
          <w:numId w:val="3"/>
        </w:numPr>
        <w:spacing w:line="600" w:lineRule="exact"/>
        <w:ind w:left="1152" w:leftChars="0" w:hanging="480" w:firstLineChars="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b/>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pPr>
        <w:numPr>
          <w:ilvl w:val="0"/>
          <w:numId w:val="3"/>
        </w:numPr>
        <w:spacing w:line="600" w:lineRule="exact"/>
        <w:ind w:left="1152" w:leftChars="0" w:hanging="480" w:firstLineChars="0"/>
        <w:rPr>
          <w:rFonts w:hint="eastAsia" w:ascii="仿宋" w:hAnsi="仿宋" w:eastAsia="仿宋" w:cs="仿宋"/>
          <w:color w:val="000000"/>
          <w:sz w:val="32"/>
          <w:szCs w:val="32"/>
        </w:rPr>
      </w:pPr>
      <w:r>
        <w:rPr>
          <w:rFonts w:hint="eastAsia" w:ascii="仿宋" w:hAnsi="仿宋" w:eastAsia="仿宋" w:cs="仿宋"/>
          <w:b/>
          <w:color w:val="000000"/>
          <w:sz w:val="32"/>
          <w:szCs w:val="32"/>
        </w:rPr>
        <w:t>外事接待支出</w:t>
      </w:r>
      <w:r>
        <w:rPr>
          <w:rFonts w:hint="eastAsia" w:ascii="仿宋" w:hAnsi="仿宋" w:eastAsia="仿宋" w:cs="仿宋"/>
          <w:b/>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pPr>
        <w:spacing w:line="600" w:lineRule="exact"/>
        <w:ind w:firstLine="640" w:firstLineChars="200"/>
        <w:rPr>
          <w:rFonts w:ascii="仿宋_GB2312" w:eastAsia="仿宋_GB2312"/>
          <w:color w:val="000000"/>
          <w:sz w:val="32"/>
          <w:szCs w:val="32"/>
        </w:rPr>
      </w:pPr>
    </w:p>
    <w:p>
      <w:pPr>
        <w:spacing w:line="600" w:lineRule="exact"/>
        <w:ind w:firstLine="640"/>
        <w:outlineLvl w:val="1"/>
        <w:rPr>
          <w:rStyle w:val="27"/>
          <w:rFonts w:ascii="黑体" w:hAnsi="黑体" w:eastAsia="黑体"/>
        </w:rPr>
      </w:pPr>
      <w:bookmarkStart w:id="71" w:name="_Toc15396610"/>
      <w:bookmarkStart w:id="72" w:name="_Toc15377218"/>
      <w:bookmarkStart w:id="73" w:name="_Toc79163622"/>
      <w:bookmarkStart w:id="74" w:name="_Toc79163872"/>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1"/>
      <w:bookmarkEnd w:id="72"/>
      <w:bookmarkEnd w:id="73"/>
      <w:bookmarkEnd w:id="74"/>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2020年政府性基金预算拨款支出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7"/>
          <w:rFonts w:ascii="黑体" w:hAnsi="黑体" w:eastAsia="黑体"/>
          <w:b w:val="0"/>
        </w:rPr>
      </w:pPr>
      <w:bookmarkStart w:id="75" w:name="_Toc15377219"/>
      <w:bookmarkStart w:id="76" w:name="_Toc15396611"/>
      <w:bookmarkStart w:id="77" w:name="_Toc79163623"/>
      <w:bookmarkStart w:id="78" w:name="_Toc79163873"/>
      <w:r>
        <w:rPr>
          <w:rStyle w:val="27"/>
          <w:rFonts w:hint="eastAsia" w:ascii="黑体" w:hAnsi="黑体" w:eastAsia="黑体"/>
          <w:b w:val="0"/>
        </w:rPr>
        <w:t>国有资本经营预算支出决算情况说明</w:t>
      </w:r>
      <w:bookmarkEnd w:id="75"/>
      <w:bookmarkEnd w:id="76"/>
      <w:bookmarkEnd w:id="77"/>
      <w:bookmarkEnd w:id="78"/>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2020年国有资本经营预算拨款支出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580" w:lineRule="exact"/>
        <w:jc w:val="center"/>
        <w:rPr>
          <w:rFonts w:hint="eastAsia" w:ascii="仿宋" w:hAnsi="仿宋" w:eastAsia="仿宋" w:cs="仿宋"/>
          <w:sz w:val="32"/>
          <w:szCs w:val="32"/>
        </w:rPr>
      </w:pPr>
    </w:p>
    <w:p>
      <w:pPr>
        <w:spacing w:line="600" w:lineRule="exact"/>
        <w:ind w:firstLine="800" w:firstLineChars="250"/>
        <w:outlineLvl w:val="1"/>
        <w:rPr>
          <w:rStyle w:val="27"/>
          <w:rFonts w:ascii="黑体" w:hAnsi="黑体" w:eastAsia="黑体"/>
        </w:rPr>
      </w:pPr>
      <w:bookmarkStart w:id="79" w:name="_Toc15396612"/>
      <w:bookmarkStart w:id="80" w:name="_Toc15377221"/>
      <w:bookmarkStart w:id="81" w:name="_Toc79163624"/>
      <w:bookmarkStart w:id="82" w:name="_Toc79163874"/>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9"/>
      <w:bookmarkEnd w:id="80"/>
      <w:bookmarkEnd w:id="81"/>
      <w:bookmarkEnd w:id="82"/>
    </w:p>
    <w:p>
      <w:pPr>
        <w:spacing w:line="600" w:lineRule="exact"/>
        <w:ind w:firstLine="643" w:firstLineChars="200"/>
        <w:outlineLvl w:val="2"/>
        <w:rPr>
          <w:rFonts w:ascii="仿宋" w:hAnsi="仿宋" w:eastAsia="仿宋"/>
          <w:color w:val="000000"/>
          <w:sz w:val="32"/>
          <w:szCs w:val="32"/>
        </w:rPr>
      </w:pPr>
      <w:bookmarkStart w:id="83" w:name="_Toc15377222"/>
      <w:bookmarkStart w:id="84" w:name="_Toc79163625"/>
      <w:bookmarkStart w:id="85" w:name="_Toc79163875"/>
      <w:r>
        <w:rPr>
          <w:rFonts w:hint="eastAsia" w:ascii="仿宋" w:hAnsi="仿宋" w:eastAsia="仿宋"/>
          <w:b/>
          <w:color w:val="000000"/>
          <w:sz w:val="32"/>
          <w:szCs w:val="32"/>
        </w:rPr>
        <w:t>（一）机关运行经费支出情况</w:t>
      </w:r>
      <w:bookmarkEnd w:id="83"/>
      <w:bookmarkEnd w:id="84"/>
      <w:bookmarkEnd w:id="85"/>
    </w:p>
    <w:p>
      <w:pPr>
        <w:spacing w:line="600" w:lineRule="exact"/>
        <w:ind w:firstLine="640" w:firstLineChars="200"/>
        <w:rPr>
          <w:rFonts w:hint="eastAsia" w:ascii="仿宋" w:hAnsi="仿宋" w:eastAsia="仿宋" w:cs="仿宋"/>
          <w:b/>
          <w:color w:val="FF0000"/>
          <w:sz w:val="32"/>
          <w:szCs w:val="32"/>
        </w:rPr>
      </w:pPr>
      <w:r>
        <w:rPr>
          <w:rFonts w:hint="eastAsia" w:ascii="仿宋" w:hAnsi="仿宋" w:eastAsia="仿宋" w:cs="仿宋"/>
          <w:color w:val="000000"/>
          <w:sz w:val="32"/>
          <w:szCs w:val="32"/>
        </w:rPr>
        <w:t>2020年，</w:t>
      </w:r>
      <w:r>
        <w:rPr>
          <w:rFonts w:hint="eastAsia" w:ascii="仿宋" w:hAnsi="仿宋" w:eastAsia="仿宋" w:cs="仿宋"/>
          <w:color w:val="000000"/>
          <w:sz w:val="32"/>
          <w:szCs w:val="32"/>
          <w:lang w:eastAsia="zh-CN"/>
        </w:rPr>
        <w:t>住房和城乡建设局</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42.56</w:t>
      </w:r>
      <w:r>
        <w:rPr>
          <w:rFonts w:hint="eastAsia" w:ascii="仿宋" w:hAnsi="仿宋" w:eastAsia="仿宋" w:cs="仿宋"/>
          <w:color w:val="000000"/>
          <w:sz w:val="32"/>
          <w:szCs w:val="32"/>
        </w:rPr>
        <w:t>万元，比2019年增加</w:t>
      </w:r>
      <w:r>
        <w:rPr>
          <w:rFonts w:hint="eastAsia" w:ascii="仿宋" w:hAnsi="仿宋" w:eastAsia="仿宋" w:cs="仿宋"/>
          <w:color w:val="000000"/>
          <w:sz w:val="32"/>
          <w:szCs w:val="32"/>
          <w:lang w:val="en-US" w:eastAsia="zh-CN"/>
        </w:rPr>
        <w:t>9.49</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22.3</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eastAsia="zh-CN"/>
        </w:rPr>
        <w:t>项目增加，下乡次数增多，经费增加。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79163876"/>
      <w:bookmarkStart w:id="87" w:name="_Toc15377223"/>
      <w:bookmarkStart w:id="88" w:name="_Toc79163626"/>
      <w:r>
        <w:rPr>
          <w:rFonts w:hint="eastAsia" w:ascii="仿宋" w:hAnsi="仿宋" w:eastAsia="仿宋"/>
          <w:b/>
          <w:color w:val="000000"/>
          <w:sz w:val="32"/>
          <w:szCs w:val="32"/>
        </w:rPr>
        <w:t>（二）政府采购支出情况</w:t>
      </w:r>
      <w:bookmarkEnd w:id="86"/>
      <w:bookmarkEnd w:id="87"/>
      <w:bookmarkEnd w:id="88"/>
    </w:p>
    <w:p>
      <w:pPr>
        <w:spacing w:line="600" w:lineRule="exact"/>
        <w:ind w:firstLine="640" w:firstLineChars="200"/>
        <w:rPr>
          <w:rFonts w:hint="eastAsia" w:ascii="仿宋" w:hAnsi="仿宋" w:eastAsia="仿宋" w:cs="仿宋"/>
          <w:b/>
          <w:color w:val="FF0000"/>
          <w:sz w:val="32"/>
          <w:szCs w:val="32"/>
        </w:rPr>
      </w:pPr>
      <w:r>
        <w:rPr>
          <w:rFonts w:hint="eastAsia" w:ascii="仿宋" w:hAnsi="仿宋" w:eastAsia="仿宋" w:cs="仿宋"/>
          <w:color w:val="000000"/>
          <w:sz w:val="32"/>
          <w:szCs w:val="32"/>
        </w:rPr>
        <w:t>2020年，</w:t>
      </w:r>
      <w:r>
        <w:rPr>
          <w:rFonts w:hint="eastAsia" w:ascii="仿宋" w:hAnsi="仿宋" w:eastAsia="仿宋" w:cs="仿宋"/>
          <w:color w:val="000000"/>
          <w:sz w:val="32"/>
          <w:szCs w:val="32"/>
          <w:lang w:eastAsia="zh-CN"/>
        </w:rPr>
        <w:t>住房和城乡建设局</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79163627"/>
      <w:bookmarkStart w:id="90" w:name="_Toc79163877"/>
      <w:bookmarkStart w:id="91" w:name="_Toc15377224"/>
      <w:r>
        <w:rPr>
          <w:rFonts w:hint="eastAsia" w:ascii="仿宋" w:hAnsi="仿宋" w:eastAsia="仿宋"/>
          <w:b/>
          <w:color w:val="000000"/>
          <w:sz w:val="32"/>
          <w:szCs w:val="32"/>
        </w:rPr>
        <w:t>（三）国有资产占有使用情况</w:t>
      </w:r>
      <w:bookmarkEnd w:id="89"/>
      <w:bookmarkEnd w:id="90"/>
      <w:bookmarkEnd w:id="91"/>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val="en-US" w:eastAsia="zh-CN"/>
        </w:rPr>
      </w:pPr>
      <w:r>
        <w:rPr>
          <w:rFonts w:hint="eastAsia" w:ascii="仿宋_GB2312" w:eastAsia="仿宋_GB2312"/>
          <w:color w:val="000000"/>
          <w:sz w:val="32"/>
          <w:szCs w:val="32"/>
        </w:rPr>
        <w:t>截</w:t>
      </w:r>
      <w:r>
        <w:rPr>
          <w:rFonts w:hint="eastAsia" w:ascii="仿宋_GB2312" w:eastAsia="仿宋_GB2312"/>
          <w:color w:val="000000"/>
          <w:sz w:val="32"/>
          <w:szCs w:val="32"/>
          <w:lang w:eastAsia="zh-CN"/>
        </w:rPr>
        <w:t>止</w:t>
      </w:r>
      <w:r>
        <w:rPr>
          <w:rFonts w:hint="eastAsia" w:ascii="仿宋" w:hAnsi="仿宋" w:eastAsia="仿宋" w:cs="仿宋"/>
          <w:color w:val="000000"/>
          <w:sz w:val="32"/>
          <w:szCs w:val="32"/>
        </w:rPr>
        <w:t>2020年12月31日，</w:t>
      </w:r>
      <w:r>
        <w:rPr>
          <w:rFonts w:hint="eastAsia" w:ascii="仿宋" w:hAnsi="仿宋" w:eastAsia="仿宋" w:cs="仿宋"/>
          <w:color w:val="000000"/>
          <w:sz w:val="32"/>
          <w:szCs w:val="32"/>
          <w:lang w:eastAsia="zh-CN"/>
        </w:rPr>
        <w:t>住房和城乡建设局</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79163628"/>
      <w:bookmarkStart w:id="93" w:name="_Toc79163878"/>
      <w:r>
        <w:rPr>
          <w:rFonts w:hint="eastAsia" w:ascii="仿宋" w:hAnsi="仿宋" w:eastAsia="仿宋"/>
          <w:b/>
          <w:color w:val="000000"/>
          <w:sz w:val="32"/>
          <w:szCs w:val="32"/>
        </w:rPr>
        <w:t>（四）预算绩效管理情况。</w:t>
      </w:r>
      <w:bookmarkEnd w:id="92"/>
      <w:bookmarkEnd w:id="93"/>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根据预算绩效管理要求，本单位在年初预算编制阶段，组织对</w:t>
      </w:r>
      <w:r>
        <w:rPr>
          <w:rFonts w:hint="eastAsia" w:ascii="仿宋" w:hAnsi="仿宋" w:eastAsia="仿宋" w:cs="仿宋"/>
          <w:sz w:val="32"/>
          <w:szCs w:val="32"/>
          <w:lang w:eastAsia="zh-CN"/>
        </w:rPr>
        <w:t>壤塘县生活垃圾资源化综合处置</w:t>
      </w:r>
      <w:r>
        <w:rPr>
          <w:rFonts w:hint="eastAsia" w:ascii="仿宋" w:hAnsi="仿宋" w:eastAsia="仿宋" w:cs="仿宋"/>
          <w:sz w:val="32"/>
          <w:szCs w:val="32"/>
        </w:rPr>
        <w:t>项目开展了预算事前绩效评估，对</w:t>
      </w:r>
      <w:r>
        <w:rPr>
          <w:rFonts w:hint="eastAsia" w:ascii="仿宋" w:hAnsi="仿宋" w:eastAsia="仿宋" w:cs="仿宋"/>
          <w:sz w:val="32"/>
          <w:szCs w:val="32"/>
          <w:lang w:val="en-US" w:eastAsia="zh-CN"/>
        </w:rPr>
        <w:t>1</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eastAsia="zh-CN"/>
        </w:rPr>
        <w:t>一个</w:t>
      </w:r>
      <w:r>
        <w:rPr>
          <w:rFonts w:hint="eastAsia" w:ascii="仿宋" w:hAnsi="仿宋" w:eastAsia="仿宋" w:cs="仿宋"/>
          <w:sz w:val="32"/>
          <w:szCs w:val="32"/>
        </w:rPr>
        <w:t>项目开展绩效监控，年终执行完毕后，对</w:t>
      </w:r>
      <w:r>
        <w:rPr>
          <w:rFonts w:hint="eastAsia" w:ascii="仿宋" w:hAnsi="仿宋" w:eastAsia="仿宋" w:cs="仿宋"/>
          <w:sz w:val="32"/>
          <w:szCs w:val="32"/>
          <w:lang w:val="en-US" w:eastAsia="zh-CN"/>
        </w:rPr>
        <w:t>1</w:t>
      </w:r>
      <w:r>
        <w:rPr>
          <w:rFonts w:hint="eastAsia" w:ascii="仿宋" w:hAnsi="仿宋" w:eastAsia="仿宋" w:cs="仿宋"/>
          <w:sz w:val="32"/>
          <w:szCs w:val="32"/>
        </w:rPr>
        <w:t>个项目开展了绩效目标完成情况自评。</w:t>
      </w:r>
    </w:p>
    <w:p>
      <w:pPr>
        <w:pStyle w:val="20"/>
        <w:keepNext w:val="0"/>
        <w:keepLines w:val="0"/>
        <w:widowControl/>
        <w:suppressLineNumbers w:val="0"/>
        <w:spacing w:before="408" w:beforeAutospacing="0" w:after="106" w:afterAutospacing="0" w:line="30" w:lineRule="atLeast"/>
        <w:ind w:right="0" w:firstLine="640" w:firstLineChars="200"/>
        <w:rPr>
          <w:rFonts w:hint="eastAsia" w:ascii="仿宋" w:hAnsi="仿宋" w:eastAsia="仿宋" w:cs="仿宋"/>
          <w:color w:val="333333"/>
          <w:sz w:val="32"/>
          <w:szCs w:val="32"/>
          <w:shd w:val="clear" w:fill="FFFFFF"/>
        </w:rPr>
      </w:pPr>
      <w:r>
        <w:rPr>
          <w:rFonts w:hint="eastAsia" w:ascii="仿宋" w:hAnsi="仿宋" w:eastAsia="仿宋" w:cs="仿宋"/>
          <w:sz w:val="32"/>
          <w:szCs w:val="32"/>
        </w:rPr>
        <w:t>本部门按要求对2020年部门整体支出开展绩效自评，从评价情况来看</w:t>
      </w:r>
      <w:r>
        <w:rPr>
          <w:rFonts w:hint="eastAsia" w:ascii="仿宋" w:hAnsi="仿宋" w:eastAsia="仿宋" w:cs="仿宋"/>
          <w:sz w:val="32"/>
          <w:szCs w:val="32"/>
          <w:lang w:eastAsia="zh-CN"/>
        </w:rPr>
        <w:t>，</w:t>
      </w:r>
      <w:r>
        <w:rPr>
          <w:rFonts w:hint="eastAsia" w:ascii="仿宋" w:hAnsi="仿宋" w:eastAsia="仿宋" w:cs="仿宋"/>
          <w:color w:val="333333"/>
          <w:sz w:val="32"/>
          <w:szCs w:val="32"/>
          <w:shd w:val="clear" w:fill="FFFFFF"/>
        </w:rPr>
        <w:t>本部门预算绩效评估</w:t>
      </w:r>
      <w:r>
        <w:rPr>
          <w:rFonts w:hint="eastAsia" w:ascii="仿宋" w:hAnsi="仿宋" w:eastAsia="仿宋" w:cs="仿宋"/>
          <w:color w:val="333333"/>
          <w:sz w:val="32"/>
          <w:szCs w:val="32"/>
          <w:shd w:val="clear" w:fill="FFFFFF"/>
          <w:lang w:eastAsia="zh-CN"/>
        </w:rPr>
        <w:t>较好地完成</w:t>
      </w:r>
      <w:r>
        <w:rPr>
          <w:rFonts w:hint="eastAsia" w:ascii="仿宋" w:hAnsi="仿宋" w:eastAsia="仿宋" w:cs="仿宋"/>
          <w:color w:val="333333"/>
          <w:sz w:val="32"/>
          <w:szCs w:val="32"/>
          <w:shd w:val="clear" w:fill="FFFFFF"/>
        </w:rPr>
        <w:t>了项目目标任务。</w:t>
      </w:r>
    </w:p>
    <w:p>
      <w:pPr>
        <w:pStyle w:val="20"/>
        <w:keepNext w:val="0"/>
        <w:keepLines w:val="0"/>
        <w:widowControl/>
        <w:suppressLineNumbers w:val="0"/>
        <w:spacing w:before="408" w:beforeAutospacing="0" w:after="106" w:afterAutospacing="0" w:line="30" w:lineRule="atLeast"/>
        <w:ind w:left="0" w:right="0" w:firstLine="42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壤塘县生活垃圾资源化综合处置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壤塘县生活垃圾资源化综合处置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1221.8242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64.3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 w:hAnsi="仿宋" w:eastAsia="仿宋" w:cs="仿宋"/>
          <w:color w:val="000000" w:themeColor="text1"/>
          <w:sz w:val="32"/>
          <w:szCs w:val="32"/>
          <w14:textFill>
            <w14:solidFill>
              <w14:schemeClr w14:val="tx1"/>
            </w14:solidFill>
          </w14:textFill>
        </w:rPr>
        <w:t>项目完成合同工程量的</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%，质量符合设计要求，项目进度按照合同要求，项目成本依照相关规范严格把控。</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2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hint="eastAsia" w:ascii="宋体" w:cs="宋体"/>
                <w:b/>
                <w:bCs/>
                <w:color w:val="000000"/>
                <w:kern w:val="0"/>
                <w:sz w:val="36"/>
                <w:szCs w:val="36"/>
                <w:lang w:eastAsia="zh-CN" w:bidi="ar"/>
              </w:rPr>
              <w:t>（</w:t>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hint="eastAsia" w:ascii="宋体" w:hAnsi="宋体" w:cs="宋体"/>
                <w:color w:val="000000"/>
                <w:kern w:val="0"/>
                <w:sz w:val="36"/>
                <w:szCs w:val="36"/>
                <w:lang w:eastAsia="zh-CN"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壤塘县生活垃圾资源化综合处置项目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壤塘县住房和城乡建设局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万元</w:t>
            </w:r>
            <w:r>
              <w:rPr>
                <w:rFonts w:hint="eastAsia" w:ascii="宋体" w:hAnsi="宋体" w:cs="宋体"/>
                <w:color w:val="000000"/>
                <w:kern w:val="0"/>
                <w:sz w:val="24"/>
                <w:lang w:eastAsia="zh-CN"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楷体_GB2312" w:hAnsi="宋体" w:eastAsia="楷体_GB2312"/>
                <w:color w:val="000000" w:themeColor="text1"/>
                <w:sz w:val="24"/>
                <w:szCs w:val="24"/>
                <w:lang w:val="en-US" w:eastAsia="zh-CN"/>
                <w14:textFill>
                  <w14:solidFill>
                    <w14:schemeClr w14:val="tx1"/>
                  </w14:solidFill>
                </w14:textFill>
              </w:rPr>
              <w:t>1900万元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楷体_GB2312" w:hAnsi="宋体" w:eastAsia="楷体_GB2312"/>
                <w:color w:val="000000" w:themeColor="text1"/>
                <w:sz w:val="24"/>
                <w:szCs w:val="24"/>
                <w:lang w:val="en-US" w:eastAsia="zh-CN"/>
                <w14:textFill>
                  <w14:solidFill>
                    <w14:schemeClr w14:val="tx1"/>
                  </w14:solidFill>
                </w14:textFill>
              </w:rPr>
              <w:t>1221.8242万元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财政拨款</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楷体_GB2312" w:hAnsi="宋体" w:eastAsia="楷体_GB2312"/>
                <w:color w:val="000000" w:themeColor="text1"/>
                <w:sz w:val="24"/>
                <w:szCs w:val="24"/>
                <w:lang w:val="en-US" w:eastAsia="zh-CN"/>
                <w14:textFill>
                  <w14:solidFill>
                    <w14:schemeClr w14:val="tx1"/>
                  </w14:solidFill>
                </w14:textFill>
              </w:rPr>
              <w:t>1900万元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财政拨款</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楷体_GB2312" w:hAnsi="宋体" w:eastAsia="楷体_GB2312"/>
                <w:color w:val="000000" w:themeColor="text1"/>
                <w:sz w:val="24"/>
                <w:szCs w:val="24"/>
                <w:lang w:val="en-US" w:eastAsia="zh-CN"/>
                <w14:textFill>
                  <w14:solidFill>
                    <w14:schemeClr w14:val="tx1"/>
                  </w14:solidFill>
                </w14:textFill>
              </w:rPr>
              <w:t>1221.8242万元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bidi="ar"/>
              </w:rPr>
              <w:t>其他</w:t>
            </w:r>
            <w:r>
              <w:rPr>
                <w:rFonts w:hint="eastAsia" w:ascii="宋体" w:hAnsi="宋体" w:cs="宋体"/>
                <w:color w:val="000000"/>
                <w:kern w:val="0"/>
                <w:sz w:val="24"/>
                <w:lang w:bidi="ar"/>
              </w:rPr>
              <w:t>资金</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eastAsia="zh-CN" w:bidi="ar"/>
              </w:rPr>
              <w:t>其他</w:t>
            </w:r>
            <w:r>
              <w:rPr>
                <w:rFonts w:hint="eastAsia" w:ascii="宋体" w:hAnsi="宋体" w:cs="宋体"/>
                <w:color w:val="000000"/>
                <w:kern w:val="0"/>
                <w:sz w:val="24"/>
                <w:lang w:bidi="ar"/>
              </w:rPr>
              <w:t>资金</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600" w:lineRule="exact"/>
              <w:ind w:firstLine="720"/>
              <w:rPr>
                <w:rFonts w:hint="eastAsia" w:ascii="仿宋_GB2312" w:hAnsi="宋体" w:eastAsia="仿宋_GB2312"/>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新建生活垃圾无害化处置一座，日处理垃圾50吨。包括土建工程、设备采购工程、安装工程等配套设施</w:t>
            </w:r>
            <w:r>
              <w:rPr>
                <w:rFonts w:hint="eastAsia" w:ascii="仿宋_GB2312" w:hAnsi="宋体" w:eastAsia="仿宋_GB2312"/>
                <w:color w:val="000000" w:themeColor="text1"/>
                <w:sz w:val="24"/>
                <w:szCs w:val="24"/>
                <w:lang w:val="zh-CN"/>
                <w14:textFill>
                  <w14:solidFill>
                    <w14:schemeClr w14:val="tx1"/>
                  </w14:solidFill>
                </w14:textFill>
              </w:rPr>
              <w:t>。</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壤塘县生活垃圾资源化综合处置项目</w:t>
            </w:r>
            <w:r>
              <w:rPr>
                <w:rFonts w:hint="eastAsia" w:ascii="宋体" w:hAnsi="宋体" w:eastAsia="宋体" w:cs="宋体"/>
                <w:color w:val="000000" w:themeColor="text1"/>
                <w:sz w:val="24"/>
                <w:szCs w:val="24"/>
                <w:lang w:val="zh-CN"/>
                <w14:textFill>
                  <w14:solidFill>
                    <w14:schemeClr w14:val="tx1"/>
                  </w14:solidFill>
                </w14:textFill>
              </w:rPr>
              <w:t>建设项目</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eastAsia="宋体" w:cs="宋体"/>
                <w:color w:val="000000" w:themeColor="text1"/>
                <w:sz w:val="24"/>
                <w:szCs w:val="24"/>
                <w:lang w:eastAsia="zh-CN"/>
                <w14:textFill>
                  <w14:solidFill>
                    <w14:schemeClr w14:val="tx1"/>
                  </w14:solidFill>
                </w14:textFill>
              </w:rPr>
              <w:t>土建工程、设备采购工程、安装工程等配套设施。施工签订合同时间</w:t>
            </w:r>
            <w:r>
              <w:rPr>
                <w:rFonts w:hint="eastAsia" w:ascii="宋体" w:hAnsi="宋体" w:eastAsia="宋体" w:cs="宋体"/>
                <w:color w:val="000000" w:themeColor="text1"/>
                <w:sz w:val="24"/>
                <w:szCs w:val="24"/>
                <w:lang w:val="en-US" w:eastAsia="zh-CN"/>
                <w14:textFill>
                  <w14:solidFill>
                    <w14:schemeClr w14:val="tx1"/>
                  </w14:solidFill>
                </w14:textFill>
              </w:rPr>
              <w:t>2019</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1日至2019</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项目竣工。</w:t>
            </w:r>
          </w:p>
          <w:p>
            <w:pPr>
              <w:widowControl/>
              <w:jc w:val="center"/>
              <w:textAlignment w:val="center"/>
              <w:rPr>
                <w:rFonts w:ascii="宋体" w:cs="宋体"/>
                <w:color w:val="000000"/>
                <w:sz w:val="24"/>
              </w:rPr>
            </w:pPr>
            <w:r>
              <w:rPr>
                <w:rFonts w:hint="eastAsia" w:ascii="宋体" w:hAnsi="宋体" w:eastAsia="宋体" w:cs="宋体"/>
                <w:color w:val="000000" w:themeColor="text1"/>
                <w:sz w:val="24"/>
                <w:szCs w:val="24"/>
                <w14:textFill>
                  <w14:solidFill>
                    <w14:schemeClr w14:val="tx1"/>
                  </w14:solidFill>
                </w14:textFill>
              </w:rPr>
              <w:t>项目完成合同工程量的</w:t>
            </w:r>
            <w:r>
              <w:rPr>
                <w:rFonts w:hint="eastAsia" w:ascii="宋体" w:hAnsi="宋体" w:eastAsia="宋体" w:cs="宋体"/>
                <w:color w:val="000000" w:themeColor="text1"/>
                <w:sz w:val="24"/>
                <w:szCs w:val="24"/>
                <w:lang w:val="en-US" w:eastAsia="zh-CN"/>
                <w14:textFill>
                  <w14:solidFill>
                    <w14:schemeClr w14:val="tx1"/>
                  </w14:solidFill>
                </w14:textFill>
              </w:rPr>
              <w:t>90</w:t>
            </w:r>
            <w:r>
              <w:rPr>
                <w:rFonts w:hint="eastAsia" w:ascii="宋体" w:hAnsi="宋体" w:eastAsia="宋体" w:cs="宋体"/>
                <w:color w:val="000000" w:themeColor="text1"/>
                <w:sz w:val="24"/>
                <w:szCs w:val="24"/>
                <w14:textFill>
                  <w14:solidFill>
                    <w14:schemeClr w14:val="tx1"/>
                  </w14:solidFill>
                </w14:textFill>
              </w:rPr>
              <w:t>%，质量符合设计要求，项目进度按照合同要求，项目成本依照相关规范严格把控。</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包含数字及文字描述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包含数字及文字描述</w:t>
            </w:r>
            <w:r>
              <w:rPr>
                <w:rFonts w:hint="eastAsia" w:ascii="宋体" w:hAnsi="宋体" w:cs="宋体"/>
                <w:color w:val="000000"/>
                <w:kern w:val="0"/>
                <w:sz w:val="24"/>
                <w:lang w:eastAsia="zh-CN"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eastAsia="宋体" w:cs="宋体"/>
                <w:color w:val="000000"/>
                <w:sz w:val="24"/>
                <w:lang w:eastAsia="zh-CN"/>
              </w:rPr>
            </w:pPr>
            <w:r>
              <w:rPr>
                <w:rFonts w:hint="eastAsia" w:ascii="宋体" w:cs="宋体"/>
                <w:color w:val="000000"/>
                <w:sz w:val="24"/>
                <w:lang w:eastAsia="zh-CN"/>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任务完成率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项目完工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项目已完工，因35KV电力电路损毁，尚未运行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w:t>
            </w:r>
            <w:r>
              <w:rPr>
                <w:rFonts w:hint="eastAsia" w:ascii="宋体" w:cs="宋体"/>
                <w:color w:val="000000"/>
                <w:sz w:val="24"/>
                <w:lang w:eastAsia="zh-CN"/>
              </w:rPr>
              <w:t>（</w:t>
            </w:r>
            <w:r>
              <w:rPr>
                <w:rFonts w:hint="eastAsia" w:ascii="宋体" w:cs="宋体"/>
                <w:color w:val="000000"/>
                <w:sz w:val="24"/>
              </w:rPr>
              <w:t>受益</w:t>
            </w:r>
            <w:r>
              <w:rPr>
                <w:rFonts w:hint="eastAsia" w:ascii="宋体" w:cs="宋体"/>
                <w:color w:val="000000"/>
                <w:sz w:val="24"/>
                <w:lang w:eastAsia="zh-CN"/>
              </w:rPr>
              <w:t>）</w:t>
            </w:r>
            <w:r>
              <w:rPr>
                <w:rFonts w:hint="eastAsia" w:ascii="宋体" w:cs="宋体"/>
                <w:color w:val="000000"/>
                <w:sz w:val="24"/>
              </w:rPr>
              <w:t>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民众咨询，我局配合度≧9</w:t>
            </w:r>
            <w:r>
              <w:rPr>
                <w:rFonts w:hint="eastAsia" w:ascii="宋体" w:cs="宋体"/>
                <w:color w:val="000000"/>
                <w:sz w:val="24"/>
                <w:lang w:val="en-US" w:eastAsia="zh-CN"/>
              </w:rPr>
              <w:t>2</w:t>
            </w:r>
            <w:r>
              <w:rPr>
                <w:rFonts w:hint="eastAsia" w:asci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民众咨询，我局配合度≧95%以上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估算总投资1900万元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估算总投资1900万元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生态效益指标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日无害化处理垃圾，形成良好生态环境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日无害化处理垃圾，形成良好生态环境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2021</w:t>
            </w:r>
            <w:r>
              <w:rPr>
                <w:rFonts w:hint="eastAsia" w:ascii="宋体" w:cs="宋体"/>
                <w:color w:val="000000"/>
                <w:sz w:val="24"/>
                <w:lang w:eastAsia="zh-CN"/>
              </w:rPr>
              <w:t>年</w:t>
            </w:r>
            <w:r>
              <w:rPr>
                <w:rFonts w:hint="eastAsia" w:ascii="宋体" w:cs="宋体"/>
                <w:color w:val="000000"/>
                <w:sz w:val="24"/>
                <w:lang w:val="en-US" w:eastAsia="zh-CN"/>
              </w:rPr>
              <w:t>3</w:t>
            </w:r>
            <w:r>
              <w:rPr>
                <w:rFonts w:hint="eastAsia" w:ascii="宋体" w:cs="宋体"/>
                <w:color w:val="000000"/>
                <w:sz w:val="24"/>
                <w:lang w:eastAsia="zh-CN"/>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2021</w:t>
            </w:r>
            <w:r>
              <w:rPr>
                <w:rFonts w:hint="eastAsia" w:ascii="宋体" w:cs="宋体"/>
                <w:color w:val="000000"/>
                <w:sz w:val="24"/>
                <w:lang w:eastAsia="zh-CN"/>
              </w:rPr>
              <w:t>年</w:t>
            </w:r>
            <w:r>
              <w:rPr>
                <w:rFonts w:hint="eastAsia" w:ascii="宋体" w:cs="宋体"/>
                <w:color w:val="000000"/>
                <w:sz w:val="24"/>
              </w:rPr>
              <w:t>4</w:t>
            </w:r>
            <w:r>
              <w:rPr>
                <w:rFonts w:hint="eastAsia" w:ascii="宋体" w:cs="宋体"/>
                <w:color w:val="000000"/>
                <w:sz w:val="24"/>
                <w:lang w:eastAsia="zh-CN"/>
              </w:rPr>
              <w:t>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lang w:eastAsia="zh-CN"/>
        </w:rPr>
        <w:t>住房和城乡建设局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w:t>
      </w:r>
    </w:p>
    <w:p>
      <w:pPr>
        <w:spacing w:line="580"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94" w:name="_Toc15396613"/>
      <w:bookmarkStart w:id="95" w:name="_Toc79163629"/>
      <w:bookmarkStart w:id="96" w:name="_Toc79163879"/>
      <w:bookmarkStart w:id="97"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94"/>
      <w:bookmarkEnd w:id="95"/>
      <w:bookmarkEnd w:id="96"/>
      <w:bookmarkEnd w:id="97"/>
    </w:p>
    <w:p>
      <w:pPr>
        <w:spacing w:line="600" w:lineRule="exact"/>
        <w:jc w:val="left"/>
        <w:rPr>
          <w:rFonts w:ascii="宋体"/>
          <w:b/>
          <w:color w:val="000000"/>
          <w:sz w:val="44"/>
          <w:szCs w:val="44"/>
        </w:rPr>
      </w:pP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2.事业收入：指事业单位开展专业业务活动及辅助活动取得的收入。如…（二级预算单位事业收入情况）等。</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3.经营收入：指事业单位在专业业务活动及其辅助活动之外开展非独立核算经营活动取得的收入。如…（二级预算单位经营收入情况）等。</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4.其他收入：指单位取得的除上述收入以外的各项收入。主要是…（收入类型）等。 </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5.使用非财政拨款结余：指事业单位使用以前年度积累的非财政拨款结余弥补当年收支差额的金额。 </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7.结余分配：指事业单位按照会计制度规定缴纳的所得税、提取的专用结余以及转入非财政拨款结余的金额等。</w:t>
      </w:r>
    </w:p>
    <w:p>
      <w:pPr>
        <w:pStyle w:val="3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rPr>
        <w:t>9</w:t>
      </w:r>
      <w:r>
        <w:rPr>
          <w:rFonts w:hint="eastAsia" w:ascii="仿宋" w:hAnsi="仿宋" w:eastAsia="仿宋" w:cs="仿宋"/>
          <w:b/>
          <w:bCs/>
          <w:color w:val="333333"/>
          <w:sz w:val="32"/>
          <w:szCs w:val="32"/>
          <w:shd w:val="clear" w:fill="FFFFFF"/>
        </w:rPr>
        <w:t>.一般公共服务（类）组织事务，其他组织事务</w:t>
      </w:r>
      <w:r>
        <w:rPr>
          <w:rFonts w:hint="eastAsia" w:ascii="仿宋" w:hAnsi="仿宋" w:eastAsia="仿宋" w:cs="仿宋"/>
          <w:b/>
          <w:bCs/>
          <w:color w:val="333333"/>
          <w:sz w:val="32"/>
          <w:szCs w:val="32"/>
          <w:shd w:val="clear" w:fill="FFFFFF"/>
          <w:lang w:eastAsia="zh-CN"/>
        </w:rPr>
        <w:t>：反映</w:t>
      </w:r>
      <w:r>
        <w:rPr>
          <w:rFonts w:hint="eastAsia" w:ascii="仿宋" w:hAnsi="仿宋" w:eastAsia="仿宋" w:cs="仿宋"/>
          <w:color w:val="333333"/>
          <w:sz w:val="32"/>
          <w:szCs w:val="32"/>
          <w:shd w:val="clear" w:fill="FFFFFF"/>
        </w:rPr>
        <w:t>其他用于中国共产党组织部门的事务支出。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rPr>
        <w:t>10.社会保障和就业（类）行政事业单位离退休（款）</w:t>
      </w:r>
      <w:r>
        <w:rPr>
          <w:rFonts w:hint="eastAsia" w:ascii="仿宋" w:hAnsi="仿宋" w:eastAsia="仿宋" w:cs="仿宋"/>
          <w:color w:val="333333"/>
          <w:sz w:val="32"/>
          <w:szCs w:val="32"/>
          <w:shd w:val="clear" w:fill="FFFFFF"/>
        </w:rPr>
        <w:t>机关事业养老保险</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是指机关事业单位实施养老保险制度由单位缴纳的基本养老保险制度，机关事业单位职业年金：是指机关事业单位实施养老保险制度由单位缴纳的职业年金支出。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rPr>
        <w:t>11.医疗卫生与计划生育（类）行政单位医疗（款）行政单位医疗</w:t>
      </w:r>
      <w:r>
        <w:rPr>
          <w:rFonts w:hint="eastAsia" w:ascii="仿宋" w:hAnsi="仿宋" w:eastAsia="仿宋" w:cs="仿宋"/>
          <w:b/>
          <w:bCs/>
          <w:color w:val="333333"/>
          <w:sz w:val="32"/>
          <w:szCs w:val="32"/>
          <w:shd w:val="clear" w:fill="FFFFFF"/>
          <w:lang w:eastAsia="zh-CN"/>
        </w:rPr>
        <w:t>：</w:t>
      </w:r>
      <w:r>
        <w:rPr>
          <w:rFonts w:hint="eastAsia" w:ascii="仿宋" w:hAnsi="仿宋" w:eastAsia="仿宋" w:cs="仿宋"/>
          <w:color w:val="333333"/>
          <w:sz w:val="32"/>
          <w:szCs w:val="32"/>
          <w:shd w:val="clear" w:fill="FFFFFF"/>
        </w:rPr>
        <w:t>是指财政部门集中安排的行政单位基本医疗保险费经费</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rPr>
        <w:t>12</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节能环保</w:t>
      </w:r>
      <w:r>
        <w:rPr>
          <w:rFonts w:hint="eastAsia" w:ascii="仿宋" w:hAnsi="仿宋" w:eastAsia="仿宋" w:cs="仿宋"/>
          <w:color w:val="333333"/>
          <w:sz w:val="32"/>
          <w:szCs w:val="32"/>
          <w:shd w:val="clear" w:fill="FFFFFF"/>
        </w:rPr>
        <w:t>：生态保护：是指用于生态功能保护区、生态示范区，生态省（市、县）管理及能力建设，日常管护、宣教、试点示范等支出。农村环境保护：是指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用于农村环境方面的支出。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rPr>
        <w:t>13</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城乡社区（类）</w:t>
      </w:r>
      <w:r>
        <w:rPr>
          <w:rFonts w:hint="eastAsia" w:ascii="仿宋" w:hAnsi="仿宋" w:eastAsia="仿宋" w:cs="仿宋"/>
          <w:color w:val="333333"/>
          <w:sz w:val="32"/>
          <w:szCs w:val="32"/>
          <w:shd w:val="clear" w:fill="FFFFFF"/>
        </w:rPr>
        <w:t>：城乡社区管理事务</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行政运行支出：是指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单位的基本支出，城管执法：是指城市管理综合执法加强城市市容、和环境卫生管理等方面的支出。其他城乡社区管理事务支出：是指其他用于城乡社区管理事务方面的支出，城乡社区规划与管理：是指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城乡社区、风景名胜区、防震减灾、历史名城规划制定与管理方面的支出。城乡社区公共设施、其他城乡社区公共设施：用于城乡社区公共设施方面的支出。城乡社区环境卫生：是指城乡社区道路清扫、垃圾清运与处理、公厕建设与维护、园林绿化等方面的支出。国有土地使用出让收入及对应专项债务收入安排的支出：廉租住房支出：用于新建、改建购买租赁廉租住房支出。国有土地收益基金及对应专项债务收入安排的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其他城乡社区支出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其他社区支出</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用于城乡社区方面的支出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rPr>
        <w:t>14.</w:t>
      </w:r>
      <w:r>
        <w:rPr>
          <w:rFonts w:hint="eastAsia" w:ascii="仿宋" w:hAnsi="仿宋" w:eastAsia="仿宋" w:cs="仿宋"/>
          <w:b/>
          <w:bCs/>
          <w:color w:val="333333"/>
          <w:sz w:val="32"/>
          <w:szCs w:val="32"/>
          <w:shd w:val="clear" w:fill="FFFFFF"/>
        </w:rPr>
        <w:t>农林水支出</w:t>
      </w:r>
      <w:r>
        <w:rPr>
          <w:rFonts w:hint="eastAsia" w:ascii="仿宋" w:hAnsi="仿宋" w:eastAsia="仿宋" w:cs="仿宋"/>
          <w:color w:val="333333"/>
          <w:sz w:val="32"/>
          <w:szCs w:val="32"/>
          <w:shd w:val="clear" w:fill="FFFFFF"/>
        </w:rPr>
        <w:t>（类）水利（款）其他水利支出（项）：是指其他用于水利方面的支出扶贫：农村基础设施建设：用于农村</w:t>
      </w:r>
      <w:r>
        <w:rPr>
          <w:rFonts w:hint="eastAsia" w:ascii="仿宋" w:hAnsi="仿宋" w:eastAsia="仿宋" w:cs="仿宋"/>
          <w:color w:val="333333"/>
          <w:sz w:val="32"/>
          <w:szCs w:val="32"/>
          <w:shd w:val="clear" w:fill="FFFFFF"/>
          <w:lang w:eastAsia="zh-CN"/>
        </w:rPr>
        <w:t>贫困地区</w:t>
      </w:r>
      <w:r>
        <w:rPr>
          <w:rFonts w:hint="eastAsia" w:ascii="仿宋" w:hAnsi="仿宋" w:eastAsia="仿宋" w:cs="仿宋"/>
          <w:color w:val="333333"/>
          <w:sz w:val="32"/>
          <w:szCs w:val="32"/>
          <w:shd w:val="clear" w:fill="FFFFFF"/>
        </w:rPr>
        <w:t>乡村道路，住房、基本农田水利设施、人畜饮水生态环境保护等生产生活条件改善方面的支出。其他农林水支出：是指其他用于农林水的支出。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val="en-US" w:eastAsia="zh-CN"/>
        </w:rPr>
      </w:pPr>
      <w:r>
        <w:rPr>
          <w:rFonts w:hint="eastAsia" w:ascii="仿宋" w:hAnsi="仿宋" w:eastAsia="仿宋" w:cs="仿宋"/>
          <w:b/>
          <w:bCs/>
          <w:color w:val="333333"/>
          <w:sz w:val="32"/>
          <w:szCs w:val="32"/>
          <w:shd w:val="clear" w:fill="FFFFFF"/>
        </w:rPr>
        <w:t>15.住房保障支出</w:t>
      </w:r>
      <w:r>
        <w:rPr>
          <w:rFonts w:hint="eastAsia" w:ascii="仿宋" w:hAnsi="仿宋" w:eastAsia="仿宋" w:cs="仿宋"/>
          <w:color w:val="333333"/>
          <w:sz w:val="32"/>
          <w:szCs w:val="32"/>
          <w:shd w:val="clear" w:fill="FFFFFF"/>
        </w:rPr>
        <w:t>（类）保障性安居工程（款）廉租住房（项）：是指廉租住房支出：用于新建、改建购买租赁廉租住房支出。棚户区改造：是指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棚户区改造的支出。农村危房改造：用于农村危房改造的支出、住房改革支出：住房公积金：是指按规定缴纳的公积金</w:t>
      </w:r>
      <w:r>
        <w:rPr>
          <w:rFonts w:hint="eastAsia" w:ascii="仿宋" w:hAnsi="仿宋" w:eastAsia="仿宋" w:cs="仿宋"/>
          <w:color w:val="000000"/>
          <w:sz w:val="32"/>
          <w:szCs w:val="32"/>
        </w:rPr>
        <w:t>。</w:t>
      </w:r>
    </w:p>
    <w:p>
      <w:pPr>
        <w:ind w:firstLine="643" w:firstLineChars="200"/>
        <w:rPr>
          <w:rFonts w:hint="eastAsia" w:ascii="仿宋" w:hAnsi="仿宋" w:eastAsia="仿宋" w:cs="仿宋"/>
          <w:b/>
          <w:color w:val="000000"/>
          <w:sz w:val="32"/>
          <w:szCs w:val="32"/>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36"/>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19.</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20.</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6"/>
        <w:spacing w:line="560" w:lineRule="exact"/>
        <w:ind w:firstLine="640" w:firstLineChars="200"/>
        <w:rPr>
          <w:rFonts w:ascii="仿宋_GB2312" w:eastAsia="仿宋_GB2312" w:cs="黑体"/>
          <w:sz w:val="32"/>
          <w:szCs w:val="32"/>
        </w:rPr>
      </w:pPr>
    </w:p>
    <w:p>
      <w:pPr>
        <w:spacing w:line="600" w:lineRule="exact"/>
        <w:jc w:val="center"/>
        <w:outlineLvl w:val="0"/>
        <w:rPr>
          <w:rStyle w:val="26"/>
          <w:rFonts w:ascii="黑体" w:hAnsi="黑体" w:eastAsia="黑体"/>
          <w:b w:val="0"/>
        </w:rPr>
      </w:pPr>
      <w:bookmarkStart w:id="98" w:name="_Toc15377226"/>
      <w:r>
        <w:rPr>
          <w:rFonts w:ascii="宋体"/>
          <w:b/>
          <w:color w:val="000000"/>
          <w:sz w:val="44"/>
          <w:szCs w:val="44"/>
        </w:rPr>
        <w:br w:type="page"/>
      </w:r>
      <w:bookmarkStart w:id="99" w:name="_Toc79163630"/>
      <w:bookmarkStart w:id="100" w:name="_Toc79163880"/>
      <w:bookmarkStart w:id="101" w:name="_Toc15396614"/>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99"/>
      <w:bookmarkEnd w:id="100"/>
      <w:bookmarkEnd w:id="101"/>
    </w:p>
    <w:p>
      <w:pPr>
        <w:spacing w:line="600" w:lineRule="exact"/>
        <w:jc w:val="left"/>
        <w:outlineLvl w:val="0"/>
        <w:rPr>
          <w:rFonts w:ascii="方正小标宋简体" w:hAnsi="方正小标宋简体" w:eastAsia="方正小标宋简体" w:cs="方正小标宋简体"/>
          <w:sz w:val="32"/>
          <w:szCs w:val="32"/>
        </w:rPr>
      </w:pPr>
      <w:bookmarkStart w:id="102" w:name="_Toc79163631"/>
      <w:bookmarkStart w:id="103" w:name="_Toc79163881"/>
      <w:r>
        <w:rPr>
          <w:rFonts w:hint="eastAsia" w:ascii="黑体" w:hAnsi="黑体" w:eastAsia="黑体" w:cs="黑体"/>
          <w:sz w:val="32"/>
          <w:szCs w:val="32"/>
        </w:rPr>
        <w:t>附件</w:t>
      </w:r>
      <w:r>
        <w:rPr>
          <w:rFonts w:ascii="黑体" w:hAnsi="黑体" w:eastAsia="黑体" w:cs="黑体"/>
          <w:sz w:val="32"/>
          <w:szCs w:val="32"/>
        </w:rPr>
        <w:t>1</w:t>
      </w:r>
      <w:bookmarkEnd w:id="102"/>
      <w:bookmarkEnd w:id="103"/>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04" w:name="_Toc79163882"/>
      <w:bookmarkStart w:id="105" w:name="_Toc79163632"/>
      <w:r>
        <w:rPr>
          <w:rFonts w:hint="eastAsia" w:ascii="方正小标宋简体" w:hAnsi="黑体" w:eastAsia="方正小标宋简体" w:cs="黑体"/>
          <w:sz w:val="44"/>
          <w:szCs w:val="44"/>
          <w:lang w:eastAsia="zh-CN"/>
        </w:rPr>
        <w:t>壤塘县住房和城乡建设局</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4"/>
      <w:bookmarkEnd w:id="105"/>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360" w:lineRule="auto"/>
        <w:ind w:firstLine="420" w:firstLineChars="200"/>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局机关</w:t>
      </w:r>
      <w:r>
        <w:rPr>
          <w:rFonts w:hint="eastAsia" w:ascii="仿宋_GB2312" w:hAnsi="仿宋_GB2312" w:eastAsia="仿宋_GB2312" w:cs="仿宋_GB2312"/>
          <w:sz w:val="32"/>
          <w:szCs w:val="32"/>
          <w:lang w:eastAsia="zh-CN"/>
        </w:rPr>
        <w:t>下设</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公益一类事业单位，为</w:t>
      </w:r>
      <w:r>
        <w:rPr>
          <w:rFonts w:hint="eastAsia" w:ascii="仿宋" w:hAnsi="仿宋" w:eastAsia="仿宋" w:cs="仿宋"/>
          <w:b w:val="0"/>
          <w:bCs w:val="0"/>
          <w:sz w:val="32"/>
          <w:szCs w:val="32"/>
          <w:lang w:val="en-US" w:eastAsia="zh-CN"/>
        </w:rPr>
        <w:t>县建设工程质量安全监督站、县市政建设中心、县城乡环境综合治理服务中心（由城乡环境综合治理领导小组办公室更名），</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个事业单位（</w:t>
      </w:r>
      <w:r>
        <w:rPr>
          <w:rFonts w:hint="eastAsia" w:ascii="仿宋_GB2312" w:hAnsi="仿宋_GB2312" w:eastAsia="仿宋_GB2312" w:cs="仿宋_GB2312"/>
          <w:b w:val="0"/>
          <w:bCs w:val="0"/>
          <w:sz w:val="32"/>
          <w:szCs w:val="32"/>
          <w:lang w:val="en-US" w:eastAsia="zh-CN"/>
        </w:rPr>
        <w:t>县自来水厂，经费独立核算），下设3</w:t>
      </w:r>
      <w:r>
        <w:rPr>
          <w:rFonts w:hint="eastAsia" w:ascii="仿宋_GB2312" w:hAnsi="仿宋_GB2312" w:eastAsia="仿宋_GB2312" w:cs="仿宋_GB2312"/>
          <w:sz w:val="32"/>
          <w:szCs w:val="32"/>
          <w:lang w:val="en-US" w:eastAsia="zh-CN"/>
        </w:rPr>
        <w:t>个股室，为</w:t>
      </w:r>
      <w:r>
        <w:rPr>
          <w:rFonts w:hint="eastAsia" w:ascii="仿宋_GB2312" w:eastAsia="仿宋_GB2312"/>
          <w:color w:val="000000"/>
          <w:sz w:val="32"/>
          <w:szCs w:val="32"/>
        </w:rPr>
        <w:t>办公室（</w:t>
      </w:r>
      <w:r>
        <w:rPr>
          <w:rFonts w:hint="eastAsia" w:ascii="仿宋_GB2312" w:eastAsia="仿宋_GB2312"/>
          <w:color w:val="000000"/>
          <w:sz w:val="32"/>
          <w:szCs w:val="32"/>
          <w:lang w:val="en-US" w:eastAsia="zh-CN"/>
        </w:rPr>
        <w:t>行政审批股</w:t>
      </w:r>
      <w:r>
        <w:rPr>
          <w:rFonts w:hint="eastAsia" w:ascii="仿宋_GB2312" w:eastAsia="仿宋_GB2312"/>
          <w:color w:val="000000"/>
          <w:sz w:val="32"/>
          <w:szCs w:val="32"/>
        </w:rPr>
        <w:t>）、</w:t>
      </w:r>
      <w:r>
        <w:rPr>
          <w:rFonts w:hint="eastAsia" w:ascii="仿宋_GB2312" w:hAnsi="仿宋_GB2312" w:eastAsia="仿宋_GB2312" w:cs="仿宋_GB2312"/>
          <w:sz w:val="32"/>
          <w:szCs w:val="32"/>
          <w:lang w:val="en-US" w:eastAsia="zh-CN"/>
        </w:rPr>
        <w:t>住房和城乡建设股</w:t>
      </w:r>
      <w:r>
        <w:rPr>
          <w:rFonts w:hint="eastAsia" w:ascii="仿宋_GB2312" w:eastAsia="仿宋_GB2312"/>
          <w:color w:val="000000"/>
          <w:sz w:val="32"/>
          <w:szCs w:val="32"/>
          <w:lang w:val="en-US" w:eastAsia="zh-CN"/>
        </w:rPr>
        <w:t>、建设管理股</w:t>
      </w:r>
      <w:r>
        <w:rPr>
          <w:rFonts w:hint="eastAsia" w:ascii="仿宋_GB2312" w:eastAsia="仿宋_GB2312"/>
          <w:sz w:val="32"/>
          <w:szCs w:val="32"/>
        </w:rPr>
        <w:t>。</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Style w:val="7"/>
        <w:adjustRightInd w:val="0"/>
        <w:snapToGrid w:val="0"/>
        <w:spacing w:before="93" w:line="600" w:lineRule="exact"/>
        <w:ind w:firstLine="504" w:firstLineChars="210"/>
        <w:outlineLvl w:val="2"/>
        <w:rPr>
          <w:rFonts w:hint="eastAsia" w:ascii="仿宋" w:hAnsi="仿宋" w:eastAsia="仿宋" w:cs="仿宋"/>
          <w:sz w:val="32"/>
          <w:szCs w:val="32"/>
          <w:highlight w:val="cyan"/>
        </w:rPr>
      </w:pPr>
      <w:r>
        <w:rPr>
          <w:rFonts w:hint="eastAsia"/>
          <w:lang w:val="en-US" w:eastAsia="zh-CN"/>
        </w:rPr>
        <w:t xml:space="preserve">   </w:t>
      </w:r>
      <w:r>
        <w:rPr>
          <w:rFonts w:hint="eastAsia" w:ascii="仿宋" w:hAnsi="仿宋" w:eastAsia="仿宋" w:cs="仿宋"/>
          <w:color w:val="333333"/>
          <w:sz w:val="32"/>
          <w:szCs w:val="32"/>
          <w:shd w:val="clear" w:fill="FFFFFF"/>
        </w:rPr>
        <w:t>壤塘县住房和城乡建设局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城市勘察和市政测量工作；指导全县城镇土地使用权有偿转让、房地产开发经营和中介服务，规范房地产市场，指导和推进城镇住宅建设，负责住房制度改革工作。指导城镇园林绿化工作；会同有关部门管理工业与民用建筑的抗震建设，承担推进住房制度改革、保障城镇低收入家庭住房的责任，编制住房保障发展规划和年度计划并监督实施等工</w:t>
      </w:r>
      <w:r>
        <w:rPr>
          <w:rFonts w:hint="eastAsia" w:ascii="仿宋" w:hAnsi="仿宋" w:eastAsia="仿宋" w:cs="仿宋"/>
          <w:color w:val="333333"/>
          <w:sz w:val="32"/>
          <w:szCs w:val="32"/>
          <w:shd w:val="clear" w:fill="FFFFFF"/>
          <w:lang w:eastAsia="zh-CN"/>
        </w:rPr>
        <w:t>作。</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壤塘县住房和城乡建设</w:t>
      </w:r>
      <w:r>
        <w:rPr>
          <w:rFonts w:hint="eastAsia" w:ascii="仿宋_GB2312" w:hAnsi="仿宋_GB2312" w:eastAsia="仿宋_GB2312" w:cs="仿宋_GB2312"/>
          <w:sz w:val="32"/>
          <w:szCs w:val="32"/>
        </w:rPr>
        <w:t>局编制人数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（其中县自来水厂</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年12月底，实有</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其中行政人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（其中县自来水厂</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p>
    <w:p>
      <w:pPr>
        <w:widowControl/>
        <w:numPr>
          <w:ilvl w:val="0"/>
          <w:numId w:val="7"/>
        </w:numPr>
        <w:adjustRightInd w:val="0"/>
        <w:snapToGrid w:val="0"/>
        <w:spacing w:line="580" w:lineRule="exact"/>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部门财政资金收支情况</w:t>
      </w:r>
    </w:p>
    <w:p>
      <w:pPr>
        <w:pStyle w:val="2"/>
        <w:numPr>
          <w:ilvl w:val="0"/>
          <w:numId w:val="0"/>
        </w:numPr>
        <w:ind w:leftChars="0"/>
        <w:rPr>
          <w:rFonts w:hint="default" w:eastAsia="宋体"/>
          <w:lang w:val="en-US" w:eastAsia="zh-CN"/>
        </w:rPr>
      </w:pPr>
      <w:r>
        <w:rPr>
          <w:rFonts w:hint="eastAsia"/>
          <w:lang w:val="en-US" w:eastAsia="zh-CN"/>
        </w:rPr>
        <w:t xml:space="preserve">   </w:t>
      </w:r>
    </w:p>
    <w:p>
      <w:pPr>
        <w:widowControl/>
        <w:numPr>
          <w:ilvl w:val="0"/>
          <w:numId w:val="8"/>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部门财政资金收入情况。</w:t>
      </w:r>
    </w:p>
    <w:p>
      <w:pPr>
        <w:pStyle w:val="2"/>
        <w:numPr>
          <w:ilvl w:val="0"/>
          <w:numId w:val="0"/>
        </w:numPr>
        <w:ind w:leftChars="0"/>
        <w:rPr>
          <w:rFonts w:hint="eastAsia" w:eastAsia="仿宋_GB2312"/>
          <w:lang w:val="en-US" w:eastAsia="zh-CN"/>
        </w:rPr>
      </w:pPr>
      <w:r>
        <w:rPr>
          <w:rFonts w:hint="eastAsia"/>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年财政下达</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局年初预算收入</w:t>
      </w:r>
      <w:r>
        <w:rPr>
          <w:rFonts w:hint="eastAsia" w:ascii="仿宋_GB2312" w:hAnsi="仿宋_GB2312" w:eastAsia="仿宋_GB2312" w:cs="仿宋_GB2312"/>
          <w:sz w:val="32"/>
          <w:szCs w:val="32"/>
          <w:lang w:val="en-US" w:eastAsia="zh-CN"/>
        </w:rPr>
        <w:t>347.07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财政拨款数为</w:t>
      </w:r>
      <w:r>
        <w:rPr>
          <w:rFonts w:hint="eastAsia" w:ascii="仿宋_GB2312" w:hAnsi="仿宋_GB2312" w:eastAsia="仿宋_GB2312" w:cs="仿宋_GB2312"/>
          <w:sz w:val="32"/>
          <w:szCs w:val="32"/>
          <w:lang w:val="en-US" w:eastAsia="zh-CN"/>
        </w:rPr>
        <w:t>11540.34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numPr>
          <w:ilvl w:val="0"/>
          <w:numId w:val="8"/>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pacing w:line="360" w:lineRule="auto"/>
        <w:ind w:firstLine="420" w:firstLineChars="200"/>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年财政拨款数为</w:t>
      </w:r>
      <w:r>
        <w:rPr>
          <w:rFonts w:hint="eastAsia" w:ascii="仿宋_GB2312" w:hAnsi="仿宋_GB2312" w:eastAsia="仿宋_GB2312" w:cs="仿宋_GB2312"/>
          <w:sz w:val="32"/>
          <w:szCs w:val="32"/>
          <w:lang w:val="en-US" w:eastAsia="zh-CN"/>
        </w:rPr>
        <w:t>11540.34</w:t>
      </w:r>
      <w:r>
        <w:rPr>
          <w:rFonts w:hint="eastAsia" w:ascii="仿宋_GB2312" w:hAnsi="仿宋_GB2312" w:eastAsia="仿宋_GB2312" w:cs="仿宋_GB2312"/>
          <w:sz w:val="32"/>
          <w:szCs w:val="32"/>
        </w:rPr>
        <w:t>万元，本年度无结余。其中基本支出</w:t>
      </w:r>
      <w:r>
        <w:rPr>
          <w:rFonts w:hint="eastAsia" w:ascii="仿宋_GB2312" w:hAnsi="仿宋_GB2312" w:eastAsia="仿宋_GB2312" w:cs="仿宋_GB2312"/>
          <w:sz w:val="32"/>
          <w:szCs w:val="32"/>
          <w:lang w:val="en-US" w:eastAsia="zh-CN"/>
        </w:rPr>
        <w:t>412.81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11127.53</w:t>
      </w:r>
      <w:r>
        <w:rPr>
          <w:rFonts w:hint="eastAsia" w:ascii="仿宋_GB2312" w:hAnsi="仿宋_GB2312" w:eastAsia="仿宋_GB2312" w:cs="仿宋_GB2312"/>
          <w:sz w:val="32"/>
          <w:szCs w:val="32"/>
        </w:rPr>
        <w:t>万元。</w:t>
      </w:r>
    </w:p>
    <w:p>
      <w:pPr>
        <w:pStyle w:val="2"/>
        <w:numPr>
          <w:ilvl w:val="0"/>
          <w:numId w:val="0"/>
        </w:numPr>
        <w:ind w:leftChars="200"/>
        <w:rPr>
          <w:rFonts w:hint="default" w:eastAsia="宋体"/>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确保年度预算编制更加科学、精确、完善，本部门严格按照预算绩效管理要求，依照“统筹兼顾、厉行节约、保障重点、注重绩效”的原则，结合当年重点工作需要、规范、编制部门预算，切实提高单位预算编制质量。</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夯实预算编制基础。加强与干部人事、行政后勤等部门的沟通配合，认真核实人员编制、车辆编制以及办公面积，准确掌握实有在职、离退休人员人数及各职级情况，公务用车实有数量以及机关办公面积，据实填报2020年预算管理系统。</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二是切实做好预算编制工作。一方面做好基本支出预算编制，确保人员经费和日常公用经费编制科学准确。另一方面认真梳理、筛选汇总各科室2020年重点工作经费需求。根据工作需求填报项目库。</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三是完善预算编制后续工作。预算编制完成后按照县财政局规定的时间逐级送审，确保预算编制质量，杜绝工作疏漏。并将预算编制结果报送各部门。</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（二）部门整体预算管理情况。</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 1.专项资金管理： 按照经费管理制度，加强预算执行管理、及时跟进项目资金使用情况。对于执行进度缓慢或无法执行的项目预算按规</w:t>
      </w:r>
      <w:r>
        <w:rPr>
          <w:rFonts w:hint="eastAsia" w:ascii="仿宋" w:hAnsi="仿宋" w:eastAsia="仿宋" w:cs="仿宋"/>
          <w:kern w:val="2"/>
          <w:sz w:val="32"/>
          <w:szCs w:val="32"/>
          <w:lang w:val="en-US" w:eastAsia="zh-CN" w:bidi="ar-SA"/>
        </w:rPr>
        <w:t>定程序及时进行调整。完善项目资金审批手续，坚持先审批、后使用</w:t>
      </w:r>
      <w:r>
        <w:rPr>
          <w:rFonts w:hint="eastAsia" w:ascii="仿宋_GB2312" w:hAnsi="仿宋_GB2312" w:eastAsia="仿宋_GB2312" w:cs="仿宋_GB2312"/>
          <w:kern w:val="2"/>
          <w:sz w:val="32"/>
          <w:szCs w:val="32"/>
          <w:lang w:val="en-US" w:eastAsia="zh-CN" w:bidi="ar-SA"/>
        </w:rPr>
        <w:t>，确保专项资金专款专用。</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2、资产管理情况。严格执行固定资产管理规定，对符合固定资产限额标准的财物，我们均纳入固定资产管理范围。建立固定资产台账，完善入库出库手续，确保每一件固定资产登记在册，责任落实到人。</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内部制度管理情况。成立了内控工作领导小组完成了内部控制基础性评价工作确定了内部控制建立与实施的重点工作和改进方向。在经费管理方面本部门严格按照规定明确经费管理职责、开支范围及标准。坚持“先预算、后支出”实行预算全覆盖，各项收入支出均纳入预算管理、统筹管理优化使用结构。</w:t>
      </w:r>
    </w:p>
    <w:p>
      <w:pPr>
        <w:pStyle w:val="20"/>
        <w:keepNext w:val="0"/>
        <w:keepLines w:val="0"/>
        <w:widowControl/>
        <w:suppressLineNumbers w:val="0"/>
        <w:spacing w:before="408" w:beforeAutospacing="0" w:after="106" w:afterAutospacing="0" w:line="30" w:lineRule="atLeast"/>
        <w:ind w:left="0" w:right="0" w:firstLine="4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   4.信息公开情况。根据县财政局统一安排，我们在规定时间按照统一格式、内容、口径分别在壤塘县政府网站公开了2019年部门决算，2020年部门预算信息，做到基础数据真实、准确、完整。</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43"/>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）存在问题</w:t>
      </w:r>
    </w:p>
    <w:p>
      <w:pPr>
        <w:pStyle w:val="43"/>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1、预算编制不够精确，财政资金紧张，存在中期调整取消资金的情况。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随着市政房建项目的逐渐增多，工作量与工作任务成倍递增，人员不足的问题日益突出，加之抽调、借调、调离人员较多（驻蓉办抽调1人，绵阳挂职1人，调离3人），造成现有人员已不能满足当前工作任务。同时，因本单位职工大部分是事业人员，待遇问题得不到落实，留不住人心。</w:t>
      </w:r>
    </w:p>
    <w:p>
      <w:pPr>
        <w:pStyle w:val="43"/>
        <w:spacing w:line="360" w:lineRule="auto"/>
        <w:rPr>
          <w:rFonts w:hint="eastAsia" w:ascii="仿宋_GB2312" w:hAnsi="仿宋_GB2312" w:eastAsia="仿宋_GB2312" w:cs="仿宋_GB2312"/>
          <w:sz w:val="32"/>
          <w:szCs w:val="32"/>
        </w:rPr>
      </w:pPr>
    </w:p>
    <w:p>
      <w:pPr>
        <w:pStyle w:val="43"/>
        <w:spacing w:line="360" w:lineRule="auto"/>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）改进措施</w:t>
      </w:r>
    </w:p>
    <w:p>
      <w:pPr>
        <w:pStyle w:val="43"/>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1、加强编制预算工作的能力，及时跟财政沟通资金用款进度，保障项目预算资金。</w:t>
      </w:r>
    </w:p>
    <w:p>
      <w:pPr>
        <w:pStyle w:val="43"/>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2、加强</w:t>
      </w:r>
      <w:r>
        <w:rPr>
          <w:rFonts w:hint="eastAsia" w:ascii="仿宋_GB2312" w:hAnsi="仿宋_GB2312" w:eastAsia="仿宋_GB2312" w:cs="仿宋_GB2312"/>
          <w:sz w:val="32"/>
          <w:szCs w:val="32"/>
          <w:lang w:eastAsia="zh-CN"/>
        </w:rPr>
        <w:t>对建筑市场的监管，进一步制定与社会经济发展相适应的管理体系和制度。</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06" w:name="_Toc79163883"/>
      <w:bookmarkStart w:id="107" w:name="_Toc79163633"/>
      <w:r>
        <w:rPr>
          <w:rFonts w:hint="eastAsia" w:ascii="黑体" w:hAnsi="黑体" w:eastAsia="黑体" w:cs="黑体"/>
          <w:sz w:val="32"/>
          <w:szCs w:val="32"/>
        </w:rPr>
        <w:t>附件</w:t>
      </w:r>
      <w:r>
        <w:rPr>
          <w:rFonts w:ascii="黑体" w:hAnsi="黑体" w:eastAsia="黑体" w:cs="黑体"/>
          <w:sz w:val="32"/>
          <w:szCs w:val="32"/>
        </w:rPr>
        <w:t>2</w:t>
      </w:r>
      <w:bookmarkEnd w:id="106"/>
      <w:bookmarkEnd w:id="107"/>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仿宋_GB2312" w:hAnsi="宋体" w:eastAsia="仿宋_GB2312"/>
          <w:sz w:val="32"/>
          <w:szCs w:val="32"/>
          <w:lang w:val="zh-CN"/>
        </w:rPr>
      </w:pPr>
      <w:bookmarkStart w:id="108" w:name="_Toc79163884"/>
      <w:bookmarkStart w:id="109" w:name="_Toc79163634"/>
      <w:r>
        <w:rPr>
          <w:rFonts w:hint="eastAsia" w:ascii="方正小标宋_GBK" w:hAnsi="方正小标宋_GBK" w:eastAsia="方正小标宋_GBK" w:cs="方正小标宋_GBK"/>
          <w:bCs/>
          <w:sz w:val="44"/>
          <w:szCs w:val="44"/>
          <w:lang w:val="en-US" w:eastAsia="zh-CN"/>
        </w:rPr>
        <w:t>壤塘县生活垃圾资源化综合处置</w:t>
      </w:r>
      <w:r>
        <w:rPr>
          <w:rFonts w:hint="eastAsia" w:ascii="方正小标宋简体" w:hAnsi="黑体" w:eastAsia="方正小标宋简体" w:cs="黑体"/>
          <w:sz w:val="44"/>
          <w:szCs w:val="44"/>
        </w:rPr>
        <w:t>项目2020年绩效评价报告</w:t>
      </w:r>
      <w:bookmarkEnd w:id="108"/>
      <w:bookmarkEnd w:id="109"/>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（一）项目基本情况。</w:t>
      </w:r>
    </w:p>
    <w:p>
      <w:pPr>
        <w:adjustRightInd w:val="0"/>
        <w:snapToGrid w:val="0"/>
        <w:spacing w:line="580" w:lineRule="exact"/>
        <w:ind w:firstLine="720"/>
        <w:rPr>
          <w:rFonts w:hint="eastAsia" w:ascii="仿宋_GB2312" w:hAnsi="仿宋_GB2312" w:eastAsia="仿宋_GB2312" w:cs="仿宋_GB2312"/>
          <w:kern w:val="2"/>
          <w:sz w:val="32"/>
          <w:szCs w:val="32"/>
          <w:lang w:val="en-US" w:eastAsia="zh-CN" w:bidi="ar-SA"/>
        </w:rPr>
      </w:pPr>
      <w:r>
        <w:rPr>
          <w:rFonts w:hint="eastAsia" w:ascii="宋体" w:hAnsi="宋体" w:eastAsia="宋体" w:cs="宋体"/>
          <w:color w:val="000000" w:themeColor="text1"/>
          <w:sz w:val="32"/>
          <w:szCs w:val="32"/>
          <w14:textFill>
            <w14:solidFill>
              <w14:schemeClr w14:val="tx1"/>
            </w14:solidFill>
          </w14:textFill>
        </w:rPr>
        <w:t>1．</w:t>
      </w:r>
      <w:r>
        <w:rPr>
          <w:rFonts w:hint="eastAsia" w:ascii="仿宋_GB2312" w:hAnsi="仿宋_GB2312" w:eastAsia="仿宋_GB2312" w:cs="仿宋_GB2312"/>
          <w:kern w:val="2"/>
          <w:sz w:val="32"/>
          <w:szCs w:val="32"/>
          <w:lang w:val="en-US" w:eastAsia="zh-CN" w:bidi="ar-SA"/>
        </w:rPr>
        <w:t>壤塘县住房和城乡建设局在岗木达乡壤塘县生活垃圾资源化综合处置项目为项目业主代表。</w:t>
      </w:r>
    </w:p>
    <w:p>
      <w:pPr>
        <w:adjustRightInd w:val="0"/>
        <w:snapToGrid w:val="0"/>
        <w:spacing w:line="580" w:lineRule="exact"/>
        <w:ind w:firstLine="7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2壤塘县生活垃圾资源化综合处置建设项目工程由阿坝州批准建设（阿州发改行审〔2018〕94号</w:t>
      </w:r>
      <w:r>
        <w:rPr>
          <w:rFonts w:hint="eastAsia" w:ascii="仿宋_GB2312" w:hAnsi="仿宋_GB2312" w:eastAsia="仿宋_GB2312" w:cs="仿宋_GB2312"/>
          <w:kern w:val="2"/>
          <w:sz w:val="32"/>
          <w:szCs w:val="32"/>
          <w:lang w:val="en-US" w:eastAsia="zh-CN" w:bidi="ar-SA"/>
        </w:rPr>
        <w:t>），项目总投资1900万元。</w:t>
      </w:r>
    </w:p>
    <w:p>
      <w:pPr>
        <w:adjustRightInd w:val="0"/>
        <w:snapToGrid w:val="0"/>
        <w:spacing w:line="580" w:lineRule="exact"/>
        <w:ind w:firstLine="7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资金管理办法制定情况，县住房和城乡建设局经办人根据合同，按工程进度支付，经甲方代表和监理单位共同核实工程进度，签字后交财务室核拨付金额填制完成后，经住房和建设局领导签字盖章后，再交县财政局审核同意后拨付相关款项,项目资金申报及批复符合相关要求。</w:t>
      </w:r>
    </w:p>
    <w:p>
      <w:pPr>
        <w:numPr>
          <w:ilvl w:val="0"/>
          <w:numId w:val="0"/>
        </w:numPr>
        <w:tabs>
          <w:tab w:val="left" w:pos="3885"/>
        </w:tabs>
        <w:spacing w:line="576"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4.对壤塘县生活垃圾资源化综合处置项目，资金申报为中央预算内投资计划，根据（阿州发改行审〔2018〕94号</w:t>
      </w:r>
      <w:r>
        <w:rPr>
          <w:rFonts w:hint="eastAsia" w:ascii="仿宋_GB2312" w:hAnsi="仿宋_GB2312" w:eastAsia="仿宋_GB2312" w:cs="仿宋_GB2312"/>
          <w:kern w:val="2"/>
          <w:sz w:val="32"/>
          <w:szCs w:val="32"/>
          <w:lang w:val="en-US" w:eastAsia="zh-CN" w:bidi="ar-SA"/>
        </w:rPr>
        <w:t>）发改批复中项目总投资及资金来源：该项目批复总投资1900万元，资金来源为政府配套。施工合同价格为1601.5493万元 。</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（二）项目绩效目标。</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新建生活垃圾无害化处置一座，日处理垃圾50吨。包括土建工程、设备采购工程、安装工程等配套设施。</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（三）项目自评步骤及方法。</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结合项目组织实施管理办法，重点围绕以下内容进行分析评价，并对自评中发现的问题分析说明。</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（一）项目组织架构及实施流程。</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（二）项目管理情况。结合项目特点，总体评价各项目实施单位执行相关法律法规及项目管理制度等情况，如招投标、政府采购、项目公示制等相关规定。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（三）项目监管情况。说明项目主管部门为加强项目管理所采取的监管手段、监管程序、监管工作开展情况及实现的效果等。</w:t>
      </w:r>
    </w:p>
    <w:p>
      <w:pPr>
        <w:adjustRightInd w:val="0"/>
        <w:snapToGrid w:val="0"/>
        <w:spacing w:line="600" w:lineRule="exact"/>
        <w:ind w:firstLine="720"/>
        <w:rPr>
          <w:rFonts w:hint="eastAsia" w:ascii="楷体_GB2312" w:hAnsi="宋体" w:eastAsia="楷体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二、</w:t>
      </w:r>
      <w:r>
        <w:rPr>
          <w:rFonts w:hint="eastAsia" w:ascii="楷体_GB2312" w:hAnsi="宋体" w:eastAsia="楷体_GB2312"/>
          <w:b/>
          <w:color w:val="000000" w:themeColor="text1"/>
          <w:sz w:val="32"/>
          <w:szCs w:val="32"/>
          <w:lang w:val="en-US" w:eastAsia="zh-CN"/>
          <w14:textFill>
            <w14:solidFill>
              <w14:schemeClr w14:val="tx1"/>
            </w14:solidFill>
          </w14:textFill>
        </w:rPr>
        <w:t>项目资金申报及使用情况</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（一）项目资金申报及批复情况。</w:t>
      </w:r>
    </w:p>
    <w:p>
      <w:pPr>
        <w:adjustRightInd w:val="0"/>
        <w:snapToGrid w:val="0"/>
        <w:spacing w:line="58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资金管理办法制定情况，县住房和城乡建设局经办人根据合同，按工程进度支付，经甲方代表和监理单位共同核实工程进度，签字后交财务室核拨付金额填制完成后，经住房和建设局领导签字盖章后，再交县财政局审核同意后拨付相关款项。项目资金申报及批复符合相关要求.</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（二）资金计划、到位及使用情况（可用表格形式反映）。</w:t>
      </w:r>
    </w:p>
    <w:p>
      <w:pPr>
        <w:numPr>
          <w:ilvl w:val="0"/>
          <w:numId w:val="0"/>
        </w:numPr>
        <w:tabs>
          <w:tab w:val="left" w:pos="3885"/>
        </w:tabs>
        <w:spacing w:line="576"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1.资金计划。对壤塘县生活垃圾资源化综合处置项目，资金申报为中央预算内投资计划，根据（阿州发改行审</w:t>
      </w:r>
      <w:r>
        <w:rPr>
          <w:rFonts w:hint="eastAsia" w:ascii="仿宋_GB2312" w:hAnsi="仿宋_GB2312" w:eastAsia="仿宋_GB2312" w:cs="仿宋_GB2312"/>
          <w:color w:val="0000FF"/>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2018〕94号</w:t>
      </w:r>
      <w:r>
        <w:rPr>
          <w:rFonts w:hint="eastAsia" w:ascii="仿宋_GB2312" w:hAnsi="仿宋_GB2312" w:eastAsia="仿宋_GB2312" w:cs="仿宋_GB2312"/>
          <w:kern w:val="2"/>
          <w:sz w:val="32"/>
          <w:szCs w:val="32"/>
          <w:lang w:val="en-US" w:eastAsia="zh-CN" w:bidi="ar-SA"/>
        </w:rPr>
        <w:t>）发改批复中项目总投资及资金来源：该项目批复总投资1900万元，资金来源为政府配套、企业自筹。施工合同价格为1601.5493万元 。</w:t>
      </w:r>
    </w:p>
    <w:p>
      <w:pPr>
        <w:numPr>
          <w:ilvl w:val="0"/>
          <w:numId w:val="0"/>
        </w:numPr>
        <w:adjustRightInd w:val="0"/>
        <w:snapToGrid w:val="0"/>
        <w:spacing w:line="58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资金到位。</w:t>
      </w:r>
      <w:r>
        <w:rPr>
          <w:rFonts w:hint="eastAsia" w:ascii="仿宋_GB2312" w:hAnsi="仿宋_GB2312" w:eastAsia="仿宋_GB2312" w:cs="仿宋_GB2312"/>
          <w:kern w:val="2"/>
          <w:sz w:val="32"/>
          <w:szCs w:val="32"/>
          <w:lang w:val="en-US" w:eastAsia="zh-CN" w:bidi="ar-SA"/>
        </w:rPr>
        <w:t>2018</w:t>
      </w:r>
      <w:r>
        <w:rPr>
          <w:rFonts w:hint="eastAsia" w:ascii="仿宋_GB2312" w:hAnsi="仿宋_GB2312" w:eastAsia="仿宋_GB2312" w:cs="仿宋_GB2312"/>
          <w:kern w:val="2"/>
          <w:sz w:val="32"/>
          <w:szCs w:val="32"/>
          <w:lang w:val="zh-CN" w:eastAsia="zh-CN" w:bidi="ar-SA"/>
        </w:rPr>
        <w:t>年政府配套资金到位</w:t>
      </w:r>
      <w:r>
        <w:rPr>
          <w:rFonts w:hint="eastAsia" w:ascii="仿宋_GB2312" w:hAnsi="仿宋_GB2312" w:eastAsia="仿宋_GB2312" w:cs="仿宋_GB2312"/>
          <w:kern w:val="2"/>
          <w:sz w:val="32"/>
          <w:szCs w:val="32"/>
          <w:lang w:val="en-US" w:eastAsia="zh-CN" w:bidi="ar-SA"/>
        </w:rPr>
        <w:t>1900</w:t>
      </w:r>
      <w:r>
        <w:rPr>
          <w:rFonts w:hint="eastAsia" w:ascii="仿宋_GB2312" w:hAnsi="仿宋_GB2312" w:eastAsia="仿宋_GB2312" w:cs="仿宋_GB2312"/>
          <w:kern w:val="2"/>
          <w:sz w:val="32"/>
          <w:szCs w:val="32"/>
          <w:lang w:val="zh-CN" w:eastAsia="zh-CN" w:bidi="ar-SA"/>
        </w:rPr>
        <w:t>万元，2．按照合同价工程进度资金已拨付</w:t>
      </w:r>
      <w:r>
        <w:rPr>
          <w:rFonts w:hint="eastAsia" w:ascii="仿宋_GB2312" w:hAnsi="仿宋_GB2312" w:eastAsia="仿宋_GB2312" w:cs="仿宋_GB2312"/>
          <w:kern w:val="2"/>
          <w:sz w:val="32"/>
          <w:szCs w:val="32"/>
          <w:lang w:val="en-US" w:eastAsia="zh-CN" w:bidi="ar-SA"/>
        </w:rPr>
        <w:t>1221.8242万元</w:t>
      </w:r>
      <w:r>
        <w:rPr>
          <w:rFonts w:hint="eastAsia" w:ascii="仿宋_GB2312" w:hAnsi="仿宋_GB2312" w:eastAsia="仿宋_GB2312" w:cs="仿宋_GB2312"/>
          <w:kern w:val="2"/>
          <w:sz w:val="32"/>
          <w:szCs w:val="32"/>
          <w:lang w:val="zh-CN" w:eastAsia="zh-CN" w:bidi="ar-SA"/>
        </w:rPr>
        <w:t>。</w:t>
      </w:r>
    </w:p>
    <w:p>
      <w:pPr>
        <w:numPr>
          <w:ilvl w:val="0"/>
          <w:numId w:val="0"/>
        </w:numPr>
        <w:adjustRightInd w:val="0"/>
        <w:snapToGrid w:val="0"/>
        <w:spacing w:line="600" w:lineRule="exact"/>
        <w:ind w:left="720" w:leftChars="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资金使用。．按照合同价工程进度资金已拨付</w:t>
      </w:r>
      <w:r>
        <w:rPr>
          <w:rFonts w:hint="eastAsia" w:ascii="仿宋_GB2312" w:hAnsi="仿宋_GB2312" w:eastAsia="仿宋_GB2312" w:cs="仿宋_GB2312"/>
          <w:kern w:val="2"/>
          <w:sz w:val="32"/>
          <w:szCs w:val="32"/>
          <w:lang w:val="en-US" w:eastAsia="zh-CN" w:bidi="ar-SA"/>
        </w:rPr>
        <w:t>1221.8242万元</w:t>
      </w:r>
      <w:r>
        <w:rPr>
          <w:rFonts w:hint="eastAsia" w:ascii="仿宋_GB2312" w:hAnsi="仿宋_GB2312" w:eastAsia="仿宋_GB2312" w:cs="仿宋_GB2312"/>
          <w:kern w:val="2"/>
          <w:sz w:val="32"/>
          <w:szCs w:val="32"/>
          <w:lang w:val="zh-CN" w:eastAsia="zh-CN" w:bidi="ar-SA"/>
        </w:rPr>
        <w:t>。</w:t>
      </w:r>
    </w:p>
    <w:p>
      <w:pPr>
        <w:numPr>
          <w:ilvl w:val="0"/>
          <w:numId w:val="0"/>
        </w:numPr>
        <w:adjustRightInd w:val="0"/>
        <w:snapToGrid w:val="0"/>
        <w:spacing w:line="600" w:lineRule="exact"/>
        <w:ind w:left="720" w:leftChars="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（三）项目财务管理情况。</w:t>
      </w:r>
    </w:p>
    <w:p>
      <w:pPr>
        <w:adjustRightInd w:val="0"/>
        <w:snapToGrid w:val="0"/>
        <w:spacing w:line="58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县城乡规划建设和住房保障局机构设置中设有财务室，各种会计制度健全，配有专业人员进行会计账务处理，及时，准确对项目资料进行会计记账，真实反映项目实际情况。</w:t>
      </w:r>
    </w:p>
    <w:p>
      <w:pPr>
        <w:adjustRightInd w:val="0"/>
        <w:snapToGrid w:val="0"/>
        <w:spacing w:line="600" w:lineRule="exact"/>
        <w:ind w:firstLine="720"/>
        <w:rPr>
          <w:rFonts w:hint="eastAsia" w:ascii="楷体_GB2312" w:hAnsi="宋体" w:eastAsia="楷体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三、</w:t>
      </w:r>
      <w:r>
        <w:rPr>
          <w:rFonts w:hint="eastAsia" w:ascii="楷体_GB2312" w:hAnsi="宋体" w:eastAsia="楷体_GB2312"/>
          <w:b/>
          <w:color w:val="000000" w:themeColor="text1"/>
          <w:sz w:val="32"/>
          <w:szCs w:val="32"/>
          <w:lang w:val="en-US" w:eastAsia="zh-CN"/>
          <w14:textFill>
            <w14:solidFill>
              <w14:schemeClr w14:val="tx1"/>
            </w14:solidFill>
          </w14:textFill>
        </w:rPr>
        <w:t>项目实施及管理情况</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（一）项目组织架构及实施流程。壤塘</w:t>
      </w:r>
      <w:r>
        <w:rPr>
          <w:rFonts w:hint="eastAsia" w:ascii="仿宋_GB2312" w:hAnsi="仿宋_GB2312" w:eastAsia="仿宋_GB2312" w:cs="仿宋_GB2312"/>
          <w:kern w:val="2"/>
          <w:sz w:val="32"/>
          <w:szCs w:val="32"/>
          <w:lang w:val="en-US" w:eastAsia="zh-CN" w:bidi="ar-SA"/>
        </w:rPr>
        <w:t>壤塘县生活垃圾资源化综合处置项目</w:t>
      </w:r>
      <w:r>
        <w:rPr>
          <w:rFonts w:hint="eastAsia" w:ascii="仿宋_GB2312" w:hAnsi="仿宋_GB2312" w:eastAsia="仿宋_GB2312" w:cs="仿宋_GB2312"/>
          <w:kern w:val="2"/>
          <w:sz w:val="32"/>
          <w:szCs w:val="32"/>
          <w:lang w:val="zh-CN" w:eastAsia="zh-CN" w:bidi="ar-SA"/>
        </w:rPr>
        <w:t>建设项目朵强局长主要负责，王韵杰副局长分管。</w:t>
      </w:r>
    </w:p>
    <w:p>
      <w:p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（二）项目管理情况。项目严格按照相关法律法规实施，施工过程严格把关，重点把控隐蔽工程是否符合设计要求，严格把关施工工艺。</w:t>
      </w:r>
    </w:p>
    <w:p>
      <w:pPr>
        <w:adjustRightInd w:val="0"/>
        <w:snapToGrid w:val="0"/>
        <w:spacing w:line="58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（三）项目监管情况。为保证项目安全、质量，我局要求监理单位总监理工程师、专业监理工程师到现场进行监理活动，施工单位项目经理、技术负责人、施工员、安全员必须到位。</w:t>
      </w:r>
    </w:p>
    <w:p>
      <w:pPr>
        <w:adjustRightInd w:val="0"/>
        <w:snapToGrid w:val="0"/>
        <w:spacing w:line="58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依照《四川省建筑管理条例》等相关规定，隐蔽工程经县质量安全监督站及五大责任主体进行隐蔽工程验收，项目使用建筑材料依规送检，保证质量符合设计要求。</w:t>
      </w:r>
    </w:p>
    <w:p>
      <w:pPr>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严格落实安全生产责任，对安全隐患早发现早处理；对</w:t>
      </w:r>
      <w:r>
        <w:rPr>
          <w:rFonts w:hint="eastAsia" w:ascii="仿宋_GB2312" w:hAnsi="仿宋_GB2312" w:eastAsia="仿宋_GB2312" w:cs="仿宋_GB2312"/>
          <w:kern w:val="2"/>
          <w:sz w:val="32"/>
          <w:szCs w:val="32"/>
          <w:lang w:val="en-US" w:eastAsia="zh-CN" w:bidi="ar-SA"/>
        </w:rPr>
        <w:t>模架工程中房建的模板支撑系统、脚手架专项方案的编制，及规范要求搭设严格按照规范检查。严格检查起重机械的备案登记，起重机械安装（拆除）的专项方案的编制备案，以及检测、使用、维护等的安全管理；基坑工程中深基坑专项方案的编制，基坑土方开挖、支护、临边防护、变形检测等的安全管理；临时用电方案的编制，施工现场临时用电的安全管理情况；做好安全防护工作，佩戴安全帽、安全带、安全网等防护用品；建立汛期到岗带班和关键岗位24小时值班制度，汛期内一天一报，保证汛期安全生产。</w:t>
      </w:r>
    </w:p>
    <w:p>
      <w:pPr>
        <w:spacing w:line="560" w:lineRule="exact"/>
        <w:ind w:firstLine="64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该项目严格按照规范保证了工程质量，施工期间无安全事故发生。</w:t>
      </w:r>
    </w:p>
    <w:p>
      <w:pPr>
        <w:adjustRightInd w:val="0"/>
        <w:snapToGrid w:val="0"/>
        <w:spacing w:line="600" w:lineRule="exact"/>
        <w:ind w:firstLine="720"/>
        <w:rPr>
          <w:rFonts w:hint="eastAsia" w:ascii="楷体_GB2312" w:hAnsi="宋体" w:eastAsia="楷体_GB2312"/>
          <w:b/>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四、</w:t>
      </w:r>
      <w:r>
        <w:rPr>
          <w:rFonts w:hint="eastAsia" w:ascii="楷体_GB2312" w:hAnsi="宋体" w:eastAsia="楷体_GB2312"/>
          <w:b/>
          <w:color w:val="000000" w:themeColor="text1"/>
          <w:sz w:val="32"/>
          <w:szCs w:val="32"/>
          <w:lang w:val="en-US" w:eastAsia="zh-CN"/>
          <w14:textFill>
            <w14:solidFill>
              <w14:schemeClr w14:val="tx1"/>
            </w14:solidFill>
          </w14:textFill>
        </w:rPr>
        <w:t>项目绩效情况</w:t>
      </w:r>
      <w:r>
        <w:rPr>
          <w:rFonts w:hint="eastAsia" w:ascii="楷体_GB2312" w:hAnsi="宋体" w:eastAsia="楷体_GB2312"/>
          <w:b/>
          <w:color w:val="000000" w:themeColor="text1"/>
          <w:sz w:val="32"/>
          <w:szCs w:val="32"/>
          <w:lang w:val="zh-CN" w:eastAsia="zh-CN"/>
          <w14:textFill>
            <w14:solidFill>
              <w14:schemeClr w14:val="tx1"/>
            </w14:solidFill>
          </w14:textFill>
        </w:rPr>
        <w:tab/>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（一）项目完成情况。</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壤塘县生活垃圾资源化综合处置项目</w:t>
      </w:r>
      <w:r>
        <w:rPr>
          <w:rFonts w:hint="eastAsia" w:ascii="仿宋_GB2312" w:hAnsi="仿宋_GB2312" w:eastAsia="仿宋_GB2312" w:cs="仿宋_GB2312"/>
          <w:kern w:val="2"/>
          <w:sz w:val="32"/>
          <w:szCs w:val="32"/>
          <w:lang w:val="zh-CN" w:eastAsia="zh-CN" w:bidi="ar-SA"/>
        </w:rPr>
        <w:t>建设项目</w:t>
      </w:r>
      <w:r>
        <w:rPr>
          <w:rFonts w:hint="eastAsia" w:ascii="仿宋_GB2312" w:hAnsi="仿宋_GB2312" w:eastAsia="仿宋_GB2312" w:cs="仿宋_GB2312"/>
          <w:kern w:val="2"/>
          <w:sz w:val="32"/>
          <w:szCs w:val="32"/>
          <w:lang w:val="en-US" w:eastAsia="zh-CN" w:bidi="ar-SA"/>
        </w:rPr>
        <w:t>内容土建工程、设备采购工程、安装工程等配套设施。施工签订合同时间2019年8月1日至2019年11月项目竣工。</w:t>
      </w:r>
    </w:p>
    <w:p>
      <w:p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项目完成合同工程量的90%，质量符合设计要求，项目进度按照合同要求，项目成本依照相关规范严格把控。</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（二）项目效益情况。</w:t>
      </w:r>
    </w:p>
    <w:p>
      <w:pPr>
        <w:adjustRightInd w:val="0"/>
        <w:snapToGrid w:val="0"/>
        <w:spacing w:line="58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壤塘县</w:t>
      </w:r>
      <w:r>
        <w:rPr>
          <w:rFonts w:hint="eastAsia" w:ascii="仿宋_GB2312" w:hAnsi="仿宋_GB2312" w:eastAsia="仿宋_GB2312" w:cs="仿宋_GB2312"/>
          <w:kern w:val="2"/>
          <w:sz w:val="32"/>
          <w:szCs w:val="32"/>
          <w:lang w:val="en-US" w:eastAsia="zh-CN" w:bidi="ar-SA"/>
        </w:rPr>
        <w:t>生活垃圾资源化综合处置</w:t>
      </w:r>
      <w:r>
        <w:rPr>
          <w:rFonts w:hint="eastAsia" w:ascii="仿宋_GB2312" w:hAnsi="仿宋_GB2312" w:eastAsia="仿宋_GB2312" w:cs="仿宋_GB2312"/>
          <w:kern w:val="2"/>
          <w:sz w:val="32"/>
          <w:szCs w:val="32"/>
          <w:lang w:val="zh-CN" w:eastAsia="zh-CN" w:bidi="ar-SA"/>
        </w:rPr>
        <w:t>建设项目</w:t>
      </w:r>
      <w:r>
        <w:rPr>
          <w:rFonts w:hint="eastAsia" w:ascii="仿宋_GB2312" w:hAnsi="仿宋_GB2312" w:eastAsia="仿宋_GB2312" w:cs="仿宋_GB2312"/>
          <w:kern w:val="2"/>
          <w:sz w:val="32"/>
          <w:szCs w:val="32"/>
          <w:lang w:val="en-US" w:eastAsia="zh-CN" w:bidi="ar-SA"/>
        </w:rPr>
        <w:t>为了解决城市垃圾填埋造成的二次污染及其他环保问题，促进壤塘县的环保建设。</w:t>
      </w:r>
    </w:p>
    <w:p>
      <w:pPr>
        <w:adjustRightInd w:val="0"/>
        <w:snapToGrid w:val="0"/>
        <w:spacing w:line="600" w:lineRule="exact"/>
        <w:ind w:firstLine="720"/>
        <w:rPr>
          <w:rFonts w:hint="eastAsia" w:ascii="楷体_GB2312" w:hAnsi="宋体" w:eastAsia="楷体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五、</w:t>
      </w:r>
      <w:r>
        <w:rPr>
          <w:rFonts w:hint="eastAsia" w:ascii="楷体_GB2312" w:hAnsi="宋体" w:eastAsia="楷体_GB2312"/>
          <w:b/>
          <w:color w:val="000000" w:themeColor="text1"/>
          <w:sz w:val="32"/>
          <w:szCs w:val="32"/>
          <w:lang w:val="en-US" w:eastAsia="zh-CN"/>
          <w14:textFill>
            <w14:solidFill>
              <w14:schemeClr w14:val="tx1"/>
            </w14:solidFill>
          </w14:textFill>
        </w:rPr>
        <w:t>评价结论及建议</w:t>
      </w:r>
    </w:p>
    <w:p>
      <w:pPr>
        <w:adjustRightInd w:val="0"/>
        <w:snapToGrid w:val="0"/>
        <w:spacing w:line="600" w:lineRule="exact"/>
        <w:ind w:firstLine="72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（一）评价结论。</w:t>
      </w:r>
    </w:p>
    <w:p>
      <w:pPr>
        <w:adjustRightInd w:val="0"/>
        <w:snapToGrid w:val="0"/>
        <w:spacing w:line="58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1.项目严格按照《中华人民共和国建筑法》</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《四川省建筑管理条例</w:t>
      </w:r>
      <w:r>
        <w:rPr>
          <w:rFonts w:hint="eastAsia" w:ascii="仿宋_GB2312" w:hAnsi="仿宋_GB2312" w:eastAsia="仿宋_GB2312" w:cs="仿宋_GB2312"/>
          <w:kern w:val="2"/>
          <w:sz w:val="32"/>
          <w:szCs w:val="32"/>
          <w:lang w:val="zh-CN" w:eastAsia="zh-CN" w:bidi="ar-SA"/>
        </w:rPr>
        <w:t>》对项目安全、质量进行严格管理，项目取得了一定成绩，不仅解决</w:t>
      </w:r>
      <w:r>
        <w:rPr>
          <w:rFonts w:hint="eastAsia" w:ascii="仿宋_GB2312" w:hAnsi="仿宋_GB2312" w:eastAsia="仿宋_GB2312" w:cs="仿宋_GB2312"/>
          <w:kern w:val="2"/>
          <w:sz w:val="32"/>
          <w:szCs w:val="32"/>
          <w:lang w:val="en-US" w:eastAsia="zh-CN" w:bidi="ar-SA"/>
        </w:rPr>
        <w:t>村民的周边脏、乱、差，更是美化了县城环境。</w:t>
      </w:r>
    </w:p>
    <w:p>
      <w:pPr>
        <w:adjustRightInd w:val="0"/>
        <w:snapToGrid w:val="0"/>
        <w:spacing w:line="580" w:lineRule="exact"/>
        <w:ind w:firstLine="7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壤塘县</w:t>
      </w:r>
      <w:r>
        <w:rPr>
          <w:rFonts w:hint="eastAsia" w:ascii="仿宋_GB2312" w:hAnsi="仿宋_GB2312" w:eastAsia="仿宋_GB2312" w:cs="仿宋_GB2312"/>
          <w:kern w:val="2"/>
          <w:sz w:val="32"/>
          <w:szCs w:val="32"/>
          <w:lang w:val="en-US" w:eastAsia="zh-CN" w:bidi="ar-SA"/>
        </w:rPr>
        <w:t>生活垃圾资源化综合处置</w:t>
      </w:r>
      <w:r>
        <w:rPr>
          <w:rFonts w:hint="eastAsia" w:ascii="仿宋_GB2312" w:hAnsi="仿宋_GB2312" w:eastAsia="仿宋_GB2312" w:cs="仿宋_GB2312"/>
          <w:kern w:val="2"/>
          <w:sz w:val="32"/>
          <w:szCs w:val="32"/>
          <w:lang w:val="zh-CN" w:eastAsia="zh-CN" w:bidi="ar-SA"/>
        </w:rPr>
        <w:t>建设项目</w:t>
      </w:r>
      <w:r>
        <w:rPr>
          <w:rFonts w:hint="eastAsia" w:ascii="仿宋_GB2312" w:hAnsi="仿宋_GB2312" w:eastAsia="仿宋_GB2312" w:cs="仿宋_GB2312"/>
          <w:kern w:val="2"/>
          <w:sz w:val="32"/>
          <w:szCs w:val="32"/>
          <w:lang w:val="en-US" w:eastAsia="zh-CN" w:bidi="ar-SA"/>
        </w:rPr>
        <w:t>为了解决县城垃圾无害化，同时促进壤塘县乡村基础设施的完善。</w:t>
      </w:r>
    </w:p>
    <w:p>
      <w:pPr>
        <w:adjustRightInd w:val="0"/>
        <w:snapToGrid w:val="0"/>
        <w:spacing w:line="600" w:lineRule="exact"/>
        <w:ind w:firstLine="640" w:firstLineChars="200"/>
        <w:rPr>
          <w:rFonts w:ascii="仿宋_GB2312" w:hAnsi="宋体" w:eastAsia="仿宋_GB2312"/>
          <w:color w:val="548235" w:themeColor="accent6" w:themeShade="BF"/>
          <w:sz w:val="32"/>
          <w:szCs w:val="32"/>
          <w:bdr w:val="single" w:color="auto" w:sz="4" w:space="0"/>
          <w:lang w:val="zh-CN"/>
        </w:rPr>
      </w:pPr>
    </w:p>
    <w:p>
      <w:pPr>
        <w:adjustRightInd w:val="0"/>
        <w:snapToGrid w:val="0"/>
        <w:spacing w:line="600" w:lineRule="exact"/>
        <w:ind w:firstLine="640" w:firstLineChars="200"/>
        <w:rPr>
          <w:rFonts w:ascii="仿宋_GB2312" w:hAnsi="宋体" w:eastAsia="仿宋_GB2312"/>
          <w:color w:val="548235" w:themeColor="accent6" w:themeShade="BF"/>
          <w:sz w:val="32"/>
          <w:szCs w:val="32"/>
          <w:lang w:val="zh-CN"/>
        </w:rPr>
      </w:pPr>
      <w:r>
        <w:rPr>
          <w:rFonts w:ascii="仿宋_GB2312" w:hAnsi="宋体" w:eastAsia="仿宋_GB2312"/>
          <w:color w:val="548235" w:themeColor="accent6" w:themeShade="BF"/>
          <w:sz w:val="32"/>
          <w:szCs w:val="32"/>
          <w:lang w:val="zh-CN"/>
        </w:rPr>
        <w:tab/>
      </w:r>
    </w:p>
    <w:p>
      <w:pPr>
        <w:pStyle w:val="2"/>
        <w:rPr>
          <w:lang w:val="zh-CN"/>
        </w:rPr>
      </w:pPr>
    </w:p>
    <w:p>
      <w:pPr>
        <w:spacing w:line="580" w:lineRule="exact"/>
        <w:ind w:firstLine="640"/>
        <w:rPr>
          <w:rFonts w:ascii="仿宋_GB2312" w:hAnsi="仿宋_GB2312" w:eastAsia="仿宋_GB2312" w:cs="仿宋_GB2312"/>
          <w:sz w:val="32"/>
          <w:szCs w:val="32"/>
        </w:rPr>
      </w:pPr>
    </w:p>
    <w:p>
      <w:pPr>
        <w:widowControl/>
        <w:jc w:val="left"/>
        <w:rPr>
          <w:rStyle w:val="26"/>
          <w:rFonts w:ascii="黑体" w:hAnsi="黑体" w:eastAsia="黑体"/>
          <w:b w:val="0"/>
        </w:rPr>
      </w:pPr>
    </w:p>
    <w:p>
      <w:pPr>
        <w:widowControl/>
        <w:ind w:firstLine="2200" w:firstLineChars="500"/>
        <w:jc w:val="both"/>
        <w:rPr>
          <w:rStyle w:val="26"/>
          <w:rFonts w:ascii="黑体" w:hAnsi="黑体" w:eastAsia="黑体"/>
          <w:b w:val="0"/>
        </w:rPr>
      </w:pPr>
      <w:bookmarkStart w:id="110" w:name="_Toc15396618"/>
      <w:bookmarkStart w:id="111" w:name="_Toc79163635"/>
      <w:bookmarkStart w:id="112" w:name="_Toc79163885"/>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98"/>
      <w:bookmarkEnd w:id="110"/>
      <w:bookmarkEnd w:id="111"/>
      <w:bookmarkEnd w:id="112"/>
    </w:p>
    <w:p>
      <w:pPr>
        <w:pStyle w:val="4"/>
        <w:rPr>
          <w:rFonts w:ascii="仿宋" w:hAnsi="仿宋" w:eastAsia="仿宋"/>
          <w:color w:val="000000"/>
        </w:rPr>
      </w:pPr>
      <w:bookmarkStart w:id="113" w:name="_Toc15396619"/>
      <w:bookmarkStart w:id="114" w:name="_Toc79163636"/>
      <w:bookmarkStart w:id="115" w:name="_Toc79163886"/>
      <w:r>
        <w:rPr>
          <w:rFonts w:hint="eastAsia" w:ascii="仿宋" w:hAnsi="仿宋" w:eastAsia="仿宋"/>
          <w:b w:val="0"/>
          <w:color w:val="000000"/>
        </w:rPr>
        <w:t>一、收</w:t>
      </w:r>
      <w:r>
        <w:rPr>
          <w:rStyle w:val="27"/>
          <w:rFonts w:hint="eastAsia" w:ascii="仿宋" w:hAnsi="仿宋" w:eastAsia="仿宋"/>
          <w:b w:val="0"/>
          <w:bCs w:val="0"/>
        </w:rPr>
        <w:t>入支出决算总表</w:t>
      </w:r>
      <w:bookmarkEnd w:id="113"/>
      <w:bookmarkEnd w:id="114"/>
      <w:bookmarkEnd w:id="115"/>
      <w:bookmarkStart w:id="154" w:name="_GoBack"/>
      <w:bookmarkEnd w:id="154"/>
    </w:p>
    <w:p>
      <w:pPr>
        <w:pStyle w:val="4"/>
        <w:rPr>
          <w:rFonts w:ascii="仿宋" w:hAnsi="仿宋" w:eastAsia="仿宋"/>
          <w:color w:val="000000"/>
        </w:rPr>
      </w:pPr>
      <w:bookmarkStart w:id="116" w:name="_Toc79163887"/>
      <w:bookmarkStart w:id="117" w:name="_Toc79163637"/>
      <w:bookmarkStart w:id="118"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116"/>
      <w:bookmarkEnd w:id="117"/>
      <w:bookmarkEnd w:id="118"/>
    </w:p>
    <w:p>
      <w:pPr>
        <w:pStyle w:val="4"/>
        <w:rPr>
          <w:rFonts w:ascii="仿宋" w:hAnsi="仿宋" w:eastAsia="仿宋"/>
          <w:color w:val="000000"/>
        </w:rPr>
      </w:pPr>
      <w:bookmarkStart w:id="119" w:name="_Toc79163638"/>
      <w:bookmarkStart w:id="120" w:name="_Toc15396621"/>
      <w:bookmarkStart w:id="121" w:name="_Toc7916388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19"/>
      <w:bookmarkEnd w:id="120"/>
      <w:bookmarkEnd w:id="121"/>
    </w:p>
    <w:p>
      <w:pPr>
        <w:pStyle w:val="4"/>
        <w:rPr>
          <w:rFonts w:ascii="仿宋" w:hAnsi="仿宋" w:eastAsia="仿宋"/>
          <w:b w:val="0"/>
          <w:color w:val="000000"/>
        </w:rPr>
      </w:pPr>
      <w:bookmarkStart w:id="122" w:name="_Toc79163889"/>
      <w:bookmarkStart w:id="123" w:name="_Toc79163639"/>
      <w:bookmarkStart w:id="124"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22"/>
      <w:bookmarkEnd w:id="123"/>
      <w:bookmarkEnd w:id="124"/>
    </w:p>
    <w:p>
      <w:pPr>
        <w:pStyle w:val="4"/>
        <w:rPr>
          <w:rStyle w:val="27"/>
          <w:rFonts w:ascii="仿宋" w:hAnsi="仿宋" w:eastAsia="仿宋"/>
          <w:b w:val="0"/>
          <w:bCs w:val="0"/>
        </w:rPr>
      </w:pPr>
      <w:bookmarkStart w:id="125" w:name="_Toc15396623"/>
      <w:bookmarkStart w:id="126" w:name="_Toc79163640"/>
      <w:bookmarkStart w:id="127"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25"/>
      <w:bookmarkEnd w:id="126"/>
      <w:bookmarkEnd w:id="127"/>
      <w:bookmarkStart w:id="128" w:name="_Toc15396624"/>
    </w:p>
    <w:p>
      <w:pPr>
        <w:pStyle w:val="4"/>
        <w:rPr>
          <w:rFonts w:ascii="仿宋" w:hAnsi="仿宋" w:eastAsia="仿宋"/>
          <w:color w:val="000000"/>
        </w:rPr>
      </w:pPr>
      <w:bookmarkStart w:id="129" w:name="_Toc79163641"/>
      <w:bookmarkStart w:id="130"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28"/>
      <w:bookmarkEnd w:id="129"/>
      <w:bookmarkEnd w:id="130"/>
    </w:p>
    <w:p>
      <w:pPr>
        <w:pStyle w:val="4"/>
        <w:rPr>
          <w:rFonts w:ascii="仿宋" w:hAnsi="仿宋" w:eastAsia="仿宋"/>
          <w:color w:val="000000"/>
        </w:rPr>
      </w:pPr>
      <w:bookmarkStart w:id="131" w:name="_Toc15396625"/>
      <w:bookmarkStart w:id="132" w:name="_Toc79163892"/>
      <w:bookmarkStart w:id="133"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31"/>
      <w:bookmarkEnd w:id="132"/>
      <w:bookmarkEnd w:id="133"/>
    </w:p>
    <w:p>
      <w:pPr>
        <w:pStyle w:val="4"/>
        <w:rPr>
          <w:rFonts w:ascii="仿宋" w:hAnsi="仿宋" w:eastAsia="仿宋"/>
          <w:color w:val="000000"/>
        </w:rPr>
      </w:pPr>
      <w:bookmarkStart w:id="134" w:name="_Toc79163893"/>
      <w:bookmarkStart w:id="135" w:name="_Toc79163643"/>
      <w:bookmarkStart w:id="136"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34"/>
      <w:bookmarkEnd w:id="135"/>
      <w:bookmarkEnd w:id="136"/>
    </w:p>
    <w:p>
      <w:pPr>
        <w:pStyle w:val="4"/>
        <w:rPr>
          <w:rFonts w:ascii="仿宋" w:hAnsi="仿宋" w:eastAsia="仿宋"/>
          <w:color w:val="000000"/>
        </w:rPr>
      </w:pPr>
      <w:bookmarkStart w:id="137" w:name="_Toc79163894"/>
      <w:bookmarkStart w:id="138" w:name="_Toc15396627"/>
      <w:bookmarkStart w:id="139"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37"/>
      <w:bookmarkEnd w:id="138"/>
      <w:bookmarkEnd w:id="139"/>
    </w:p>
    <w:p>
      <w:pPr>
        <w:pStyle w:val="4"/>
        <w:rPr>
          <w:rFonts w:ascii="仿宋" w:hAnsi="仿宋" w:eastAsia="仿宋"/>
          <w:color w:val="000000"/>
        </w:rPr>
      </w:pPr>
      <w:bookmarkStart w:id="140" w:name="_Toc79163895"/>
      <w:bookmarkStart w:id="141" w:name="_Toc15396628"/>
      <w:bookmarkStart w:id="142" w:name="_Toc7916364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40"/>
      <w:bookmarkEnd w:id="141"/>
      <w:bookmarkEnd w:id="142"/>
    </w:p>
    <w:p>
      <w:pPr>
        <w:pStyle w:val="4"/>
        <w:rPr>
          <w:rFonts w:ascii="仿宋" w:hAnsi="仿宋" w:eastAsia="仿宋"/>
          <w:color w:val="000000"/>
        </w:rPr>
      </w:pPr>
      <w:bookmarkStart w:id="143" w:name="_Toc79163646"/>
      <w:bookmarkStart w:id="144" w:name="_Toc79163896"/>
      <w:bookmarkStart w:id="145"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43"/>
      <w:bookmarkEnd w:id="144"/>
      <w:bookmarkEnd w:id="145"/>
    </w:p>
    <w:p>
      <w:pPr>
        <w:pStyle w:val="4"/>
        <w:rPr>
          <w:rFonts w:ascii="仿宋" w:hAnsi="仿宋" w:eastAsia="仿宋"/>
          <w:color w:val="000000"/>
        </w:rPr>
      </w:pPr>
      <w:bookmarkStart w:id="146" w:name="_Toc15396630"/>
      <w:bookmarkStart w:id="147" w:name="_Toc79163897"/>
      <w:bookmarkStart w:id="148" w:name="_Toc7916364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46"/>
      <w:bookmarkEnd w:id="147"/>
      <w:bookmarkEnd w:id="148"/>
    </w:p>
    <w:p>
      <w:pPr>
        <w:pStyle w:val="4"/>
        <w:rPr>
          <w:rStyle w:val="27"/>
          <w:rFonts w:ascii="仿宋" w:hAnsi="仿宋" w:eastAsia="仿宋"/>
          <w:b w:val="0"/>
          <w:bCs w:val="0"/>
        </w:rPr>
      </w:pPr>
      <w:bookmarkStart w:id="149" w:name="_Toc79163648"/>
      <w:bookmarkStart w:id="150" w:name="_Toc79163898"/>
      <w:bookmarkStart w:id="151"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有资本经营预算财政拨款支出决算表</w:t>
      </w:r>
      <w:bookmarkEnd w:id="149"/>
      <w:bookmarkEnd w:id="150"/>
      <w:bookmarkEnd w:id="151"/>
    </w:p>
    <w:p>
      <w:pPr>
        <w:pStyle w:val="4"/>
        <w:rPr>
          <w:rStyle w:val="27"/>
          <w:rFonts w:ascii="仿宋" w:hAnsi="仿宋" w:eastAsia="仿宋"/>
          <w:b w:val="0"/>
          <w:bCs w:val="0"/>
        </w:rPr>
      </w:pPr>
      <w:bookmarkStart w:id="152" w:name="_Toc79163899"/>
      <w:bookmarkStart w:id="153" w:name="_Toc79163649"/>
      <w:r>
        <w:rPr>
          <w:rStyle w:val="27"/>
          <w:rFonts w:hint="eastAsia" w:ascii="仿宋" w:hAnsi="仿宋" w:eastAsia="仿宋"/>
          <w:b w:val="0"/>
          <w:bCs w:val="0"/>
        </w:rPr>
        <w:t>十四、国有资本经营预算财政拨款支出决算表</w:t>
      </w:r>
      <w:bookmarkEnd w:id="152"/>
      <w:bookmarkEnd w:id="15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2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AF2D7"/>
    <w:multiLevelType w:val="singleLevel"/>
    <w:tmpl w:val="AF8AF2D7"/>
    <w:lvl w:ilvl="0" w:tentative="0">
      <w:start w:val="1"/>
      <w:numFmt w:val="decimal"/>
      <w:suff w:val="nothing"/>
      <w:lvlText w:val="%1、"/>
      <w:lvlJc w:val="left"/>
      <w:pPr>
        <w:ind w:left="481" w:leftChars="0" w:firstLine="0" w:firstLineChars="0"/>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CF979FDA"/>
    <w:multiLevelType w:val="singleLevel"/>
    <w:tmpl w:val="CF979FDA"/>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27502DE"/>
    <w:multiLevelType w:val="singleLevel"/>
    <w:tmpl w:val="427502DE"/>
    <w:lvl w:ilvl="0" w:tentative="0">
      <w:start w:val="2"/>
      <w:numFmt w:val="chineseCounting"/>
      <w:suff w:val="nothing"/>
      <w:lvlText w:val="（%1）"/>
      <w:lvlJc w:val="left"/>
      <w:rPr>
        <w:rFonts w:hint="eastAsia"/>
      </w:r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7">
    <w:nsid w:val="7358D220"/>
    <w:multiLevelType w:val="singleLevel"/>
    <w:tmpl w:val="7358D220"/>
    <w:lvl w:ilvl="0" w:tentative="0">
      <w:start w:val="2"/>
      <w:numFmt w:val="chineseCounting"/>
      <w:suff w:val="nothing"/>
      <w:lvlText w:val="%1、"/>
      <w:lvlJc w:val="left"/>
      <w:rPr>
        <w:rFonts w:hint="eastAsia"/>
      </w:r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ZWExZDRhODM1N2I0NTI3NGRkNDZmYzJjMTNl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0A37"/>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B7A5A"/>
    <w:rsid w:val="01865D4C"/>
    <w:rsid w:val="01E8507E"/>
    <w:rsid w:val="021146F6"/>
    <w:rsid w:val="02161E7C"/>
    <w:rsid w:val="02171BAA"/>
    <w:rsid w:val="0228228B"/>
    <w:rsid w:val="025951C7"/>
    <w:rsid w:val="029346B3"/>
    <w:rsid w:val="0297220A"/>
    <w:rsid w:val="05EF2DF6"/>
    <w:rsid w:val="071A10D9"/>
    <w:rsid w:val="08863D0E"/>
    <w:rsid w:val="09637334"/>
    <w:rsid w:val="0A2032A3"/>
    <w:rsid w:val="0AC8426F"/>
    <w:rsid w:val="0B157D9D"/>
    <w:rsid w:val="0C7E5622"/>
    <w:rsid w:val="0CBA0A71"/>
    <w:rsid w:val="0CE67564"/>
    <w:rsid w:val="0D174BA9"/>
    <w:rsid w:val="0D1A321D"/>
    <w:rsid w:val="0D996B00"/>
    <w:rsid w:val="0DCA52A5"/>
    <w:rsid w:val="0DD51471"/>
    <w:rsid w:val="0DF742AB"/>
    <w:rsid w:val="0EC05384"/>
    <w:rsid w:val="0F912BB1"/>
    <w:rsid w:val="10C055FF"/>
    <w:rsid w:val="112A0E1D"/>
    <w:rsid w:val="118107EC"/>
    <w:rsid w:val="11FC5371"/>
    <w:rsid w:val="122E4918"/>
    <w:rsid w:val="12504FD0"/>
    <w:rsid w:val="12E849FB"/>
    <w:rsid w:val="13265A40"/>
    <w:rsid w:val="13431C93"/>
    <w:rsid w:val="14A80C78"/>
    <w:rsid w:val="16B53E82"/>
    <w:rsid w:val="16BB723D"/>
    <w:rsid w:val="17BA0614"/>
    <w:rsid w:val="17DB7609"/>
    <w:rsid w:val="18651F9D"/>
    <w:rsid w:val="1A7B2F83"/>
    <w:rsid w:val="1AD06694"/>
    <w:rsid w:val="1C3649C7"/>
    <w:rsid w:val="1CA67BE3"/>
    <w:rsid w:val="1D155CEE"/>
    <w:rsid w:val="1D632C4B"/>
    <w:rsid w:val="1D641ADB"/>
    <w:rsid w:val="1D8D22AB"/>
    <w:rsid w:val="1E2E3722"/>
    <w:rsid w:val="1E9045D1"/>
    <w:rsid w:val="1E9562C6"/>
    <w:rsid w:val="1EF8160A"/>
    <w:rsid w:val="1FBE6349"/>
    <w:rsid w:val="216A0342"/>
    <w:rsid w:val="2184492F"/>
    <w:rsid w:val="218B16FF"/>
    <w:rsid w:val="21F77DBC"/>
    <w:rsid w:val="2250134D"/>
    <w:rsid w:val="230346BE"/>
    <w:rsid w:val="240371BF"/>
    <w:rsid w:val="258D5C85"/>
    <w:rsid w:val="262A20B1"/>
    <w:rsid w:val="264F3DB0"/>
    <w:rsid w:val="269256E0"/>
    <w:rsid w:val="28215EB5"/>
    <w:rsid w:val="295515E6"/>
    <w:rsid w:val="29FD04D3"/>
    <w:rsid w:val="2A0E1850"/>
    <w:rsid w:val="2DC863EB"/>
    <w:rsid w:val="30D0364B"/>
    <w:rsid w:val="319F7F4E"/>
    <w:rsid w:val="31B937DD"/>
    <w:rsid w:val="31C25EC5"/>
    <w:rsid w:val="32232B5A"/>
    <w:rsid w:val="326B7F22"/>
    <w:rsid w:val="34382E1A"/>
    <w:rsid w:val="352A0D9C"/>
    <w:rsid w:val="36065E46"/>
    <w:rsid w:val="36523CC8"/>
    <w:rsid w:val="36EC392F"/>
    <w:rsid w:val="371D0234"/>
    <w:rsid w:val="376625A6"/>
    <w:rsid w:val="37902E7A"/>
    <w:rsid w:val="37CB0B6E"/>
    <w:rsid w:val="39B30F1E"/>
    <w:rsid w:val="3A05718B"/>
    <w:rsid w:val="3A285320"/>
    <w:rsid w:val="3A2B628A"/>
    <w:rsid w:val="3AF95FD0"/>
    <w:rsid w:val="3B772342"/>
    <w:rsid w:val="3BB17C79"/>
    <w:rsid w:val="3C996EE8"/>
    <w:rsid w:val="3DE13A21"/>
    <w:rsid w:val="3DE500A7"/>
    <w:rsid w:val="3F1008FF"/>
    <w:rsid w:val="3F1E6CD9"/>
    <w:rsid w:val="3F4C6D80"/>
    <w:rsid w:val="3F670284"/>
    <w:rsid w:val="4025669A"/>
    <w:rsid w:val="40586C25"/>
    <w:rsid w:val="40935B99"/>
    <w:rsid w:val="40996EB1"/>
    <w:rsid w:val="417941BB"/>
    <w:rsid w:val="42130522"/>
    <w:rsid w:val="44130E2F"/>
    <w:rsid w:val="44295CDE"/>
    <w:rsid w:val="444521AE"/>
    <w:rsid w:val="45454779"/>
    <w:rsid w:val="46C157E7"/>
    <w:rsid w:val="46D353DF"/>
    <w:rsid w:val="47C130ED"/>
    <w:rsid w:val="48D2547B"/>
    <w:rsid w:val="4A0C2074"/>
    <w:rsid w:val="4AFB7608"/>
    <w:rsid w:val="4B3753B3"/>
    <w:rsid w:val="4DA22A02"/>
    <w:rsid w:val="4EB97276"/>
    <w:rsid w:val="4ECE2238"/>
    <w:rsid w:val="4F6A4311"/>
    <w:rsid w:val="4F8D5EFC"/>
    <w:rsid w:val="50A54616"/>
    <w:rsid w:val="51170FDC"/>
    <w:rsid w:val="51542F8E"/>
    <w:rsid w:val="51592EBB"/>
    <w:rsid w:val="51DE72D9"/>
    <w:rsid w:val="5274340E"/>
    <w:rsid w:val="52D52A44"/>
    <w:rsid w:val="530C3226"/>
    <w:rsid w:val="53846E2C"/>
    <w:rsid w:val="538C2AAF"/>
    <w:rsid w:val="53DD1EE3"/>
    <w:rsid w:val="541C1E1A"/>
    <w:rsid w:val="5463555B"/>
    <w:rsid w:val="546874EF"/>
    <w:rsid w:val="5488179F"/>
    <w:rsid w:val="551A15E2"/>
    <w:rsid w:val="55D90F6F"/>
    <w:rsid w:val="56B35264"/>
    <w:rsid w:val="56D60BAE"/>
    <w:rsid w:val="570B6A95"/>
    <w:rsid w:val="57246A09"/>
    <w:rsid w:val="57A52710"/>
    <w:rsid w:val="581A48F3"/>
    <w:rsid w:val="582F417A"/>
    <w:rsid w:val="59FF07EF"/>
    <w:rsid w:val="5A382A5C"/>
    <w:rsid w:val="5AE21E2D"/>
    <w:rsid w:val="5B5558FD"/>
    <w:rsid w:val="5CB62616"/>
    <w:rsid w:val="5D4436A6"/>
    <w:rsid w:val="5D7A3ED9"/>
    <w:rsid w:val="5E490BEB"/>
    <w:rsid w:val="5FA9269C"/>
    <w:rsid w:val="5FD01887"/>
    <w:rsid w:val="5FD14458"/>
    <w:rsid w:val="61B816AB"/>
    <w:rsid w:val="6265272B"/>
    <w:rsid w:val="633A3D56"/>
    <w:rsid w:val="65C07D63"/>
    <w:rsid w:val="65C730F4"/>
    <w:rsid w:val="677A0A9E"/>
    <w:rsid w:val="6838559D"/>
    <w:rsid w:val="68FC20B3"/>
    <w:rsid w:val="69CB693D"/>
    <w:rsid w:val="6A244092"/>
    <w:rsid w:val="6AE120F9"/>
    <w:rsid w:val="6B824DDD"/>
    <w:rsid w:val="6B883825"/>
    <w:rsid w:val="6C4A05C8"/>
    <w:rsid w:val="6D186E26"/>
    <w:rsid w:val="6DF51B79"/>
    <w:rsid w:val="6E145F4D"/>
    <w:rsid w:val="6F312612"/>
    <w:rsid w:val="71265AB3"/>
    <w:rsid w:val="72734D90"/>
    <w:rsid w:val="7280746F"/>
    <w:rsid w:val="734927C1"/>
    <w:rsid w:val="738E230D"/>
    <w:rsid w:val="73935C15"/>
    <w:rsid w:val="73FA784E"/>
    <w:rsid w:val="73FB4124"/>
    <w:rsid w:val="747F4E64"/>
    <w:rsid w:val="74E04439"/>
    <w:rsid w:val="74F01119"/>
    <w:rsid w:val="75262D4A"/>
    <w:rsid w:val="76AF2CE1"/>
    <w:rsid w:val="77123700"/>
    <w:rsid w:val="77616B06"/>
    <w:rsid w:val="784E7CD5"/>
    <w:rsid w:val="789C5901"/>
    <w:rsid w:val="78EC472B"/>
    <w:rsid w:val="79226BA1"/>
    <w:rsid w:val="7AEA0442"/>
    <w:rsid w:val="7B130F5D"/>
    <w:rsid w:val="7B15030A"/>
    <w:rsid w:val="7C1914C0"/>
    <w:rsid w:val="7EB14C9B"/>
    <w:rsid w:val="7F371FD7"/>
    <w:rsid w:val="7F62532A"/>
    <w:rsid w:val="7FA75A4F"/>
    <w:rsid w:val="7FA80641"/>
    <w:rsid w:val="7FC13465"/>
    <w:rsid w:val="EFFCD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lang w:val="zh-CN" w:eastAsia="zh-CN"/>
    </w:r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semiHidden/>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8"/>
    <w:qFormat/>
    <w:uiPriority w:val="99"/>
    <w:pPr>
      <w:spacing w:line="240" w:lineRule="auto"/>
      <w:ind w:firstLine="420" w:firstLineChars="200"/>
      <w:textAlignment w:val="auto"/>
    </w:pPr>
    <w:rPr>
      <w:kern w:val="2"/>
      <w:sz w:val="21"/>
      <w:szCs w:val="21"/>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字符"/>
    <w:basedOn w:val="23"/>
    <w:link w:val="3"/>
    <w:qFormat/>
    <w:locked/>
    <w:uiPriority w:val="9"/>
    <w:rPr>
      <w:rFonts w:ascii="Times New Roman" w:hAnsi="Times New Roman" w:cs="Times New Roman"/>
      <w:b/>
      <w:bCs/>
      <w:kern w:val="44"/>
      <w:sz w:val="44"/>
      <w:szCs w:val="44"/>
    </w:rPr>
  </w:style>
  <w:style w:type="character" w:customStyle="1" w:styleId="27">
    <w:name w:val="标题 2 字符"/>
    <w:basedOn w:val="23"/>
    <w:link w:val="4"/>
    <w:qFormat/>
    <w:locked/>
    <w:uiPriority w:val="9"/>
    <w:rPr>
      <w:rFonts w:ascii="Cambria" w:hAnsi="Cambria" w:eastAsia="宋体" w:cs="Times New Roman"/>
      <w:b/>
      <w:bCs/>
      <w:kern w:val="2"/>
      <w:sz w:val="32"/>
      <w:szCs w:val="32"/>
    </w:rPr>
  </w:style>
  <w:style w:type="character" w:customStyle="1" w:styleId="28">
    <w:name w:val="标题 3 字符"/>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字符"/>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字符"/>
    <w:link w:val="14"/>
    <w:semiHidden/>
    <w:qFormat/>
    <w:locked/>
    <w:uiPriority w:val="99"/>
    <w:rPr>
      <w:sz w:val="18"/>
    </w:rPr>
  </w:style>
  <w:style w:type="character" w:customStyle="1" w:styleId="34">
    <w:name w:val="页脚 字符"/>
    <w:link w:val="13"/>
    <w:qFormat/>
    <w:locked/>
    <w:uiPriority w:val="99"/>
    <w:rPr>
      <w:sz w:val="18"/>
    </w:rPr>
  </w:style>
  <w:style w:type="character" w:customStyle="1" w:styleId="35">
    <w:name w:val="正文文本 字符"/>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1">
    <w:name w:val="Body Text First Indent 21"/>
    <w:basedOn w:val="42"/>
    <w:qFormat/>
    <w:uiPriority w:val="0"/>
    <w:pPr>
      <w:ind w:firstLine="200" w:firstLineChars="200"/>
    </w:pPr>
  </w:style>
  <w:style w:type="paragraph" w:customStyle="1" w:styleId="42">
    <w:name w:val="Body Text Indent1"/>
    <w:basedOn w:val="1"/>
    <w:qFormat/>
    <w:uiPriority w:val="0"/>
    <w:pPr>
      <w:ind w:firstLine="624"/>
    </w:pPr>
  </w:style>
  <w:style w:type="paragraph" w:customStyle="1" w:styleId="43">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95"/>
          <c:y val="0.0291666666666667"/>
          <c:w val="0.8063"/>
          <c:h val="0.88023333333333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solidFill>
                <a:srgbClr val="92D050"/>
              </a:solidFill>
              <a:ln>
                <a:noFill/>
              </a:ln>
              <a:effectLst/>
            </c:spPr>
          </c:dPt>
          <c:dPt>
            <c:idx val="3"/>
            <c:invertIfNegative val="0"/>
            <c:bubble3D val="0"/>
            <c:spPr>
              <a:solidFill>
                <a:srgbClr val="92D050"/>
              </a:solidFill>
              <a:ln>
                <a:noFill/>
              </a:ln>
              <a:effectLst/>
            </c:spPr>
          </c:dPt>
          <c:dLbls>
            <c:dLbl>
              <c:idx val="3"/>
              <c:layout>
                <c:manualLayout>
                  <c:x val="0"/>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11358.3</a:t>
                    </a:r>
                    <a:r>
                      <a:rPr lang="en-US" altLang="zh-CN"/>
                      <a:t>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2019收入</c:v>
                </c:pt>
                <c:pt idx="1">
                  <c:v>2019支出</c:v>
                </c:pt>
                <c:pt idx="2">
                  <c:v>2020收入</c:v>
                </c:pt>
                <c:pt idx="3">
                  <c:v>2020支出</c:v>
                </c:pt>
              </c:strCache>
            </c:strRef>
          </c:cat>
          <c:val>
            <c:numRef>
              <c:f>Sheet1!$B$2:$B$5</c:f>
              <c:numCache>
                <c:formatCode>General</c:formatCode>
                <c:ptCount val="4"/>
                <c:pt idx="0">
                  <c:v>9516.97</c:v>
                </c:pt>
                <c:pt idx="1">
                  <c:v>13620.83</c:v>
                </c:pt>
                <c:pt idx="2">
                  <c:v>13063.82</c:v>
                </c:pt>
                <c:pt idx="3">
                  <c:v>11358.3</c:v>
                </c:pt>
              </c:numCache>
            </c:numRef>
          </c:val>
        </c:ser>
        <c:dLbls>
          <c:showLegendKey val="0"/>
          <c:showVal val="1"/>
          <c:showCatName val="0"/>
          <c:showSerName val="0"/>
          <c:showPercent val="0"/>
          <c:showBubbleSize val="0"/>
        </c:dLbls>
        <c:gapWidth val="219"/>
        <c:overlap val="-27"/>
        <c:axId val="495414588"/>
        <c:axId val="553535075"/>
      </c:barChart>
      <c:catAx>
        <c:axId val="49541458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535075"/>
        <c:crosses val="autoZero"/>
        <c:auto val="1"/>
        <c:lblAlgn val="ctr"/>
        <c:lblOffset val="100"/>
        <c:noMultiLvlLbl val="0"/>
      </c:catAx>
      <c:valAx>
        <c:axId val="5535350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4145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55625"/>
          <c:y val="0.1315"/>
          <c:w val="0.565125"/>
          <c:h val="0.7535"/>
        </c:manualLayout>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13063.82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3319375"/>
          <c:y val="0.919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230.78</c:v>
                </c:pt>
                <c:pt idx="1">
                  <c:v>11127.53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95"/>
          <c:y val="0.0291666666666667"/>
          <c:w val="0.8063"/>
          <c:h val="0.88023333333333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1"/>
            <c:invertIfNegative val="0"/>
            <c:bubble3D val="0"/>
            <c:spPr>
              <a:solidFill>
                <a:srgbClr val="92D050"/>
              </a:solidFill>
              <a:ln>
                <a:noFill/>
              </a:ln>
              <a:effectLst/>
            </c:spPr>
          </c:dPt>
          <c:dPt>
            <c:idx val="3"/>
            <c:invertIfNegative val="0"/>
            <c:bubble3D val="0"/>
            <c:spPr>
              <a:solidFill>
                <a:srgbClr val="92D050"/>
              </a:solidFill>
              <a:ln>
                <a:noFill/>
              </a:ln>
              <a:effectLst/>
            </c:spPr>
          </c:dPt>
          <c:dLbls>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11358.31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2019收入</c:v>
                </c:pt>
                <c:pt idx="1">
                  <c:v>2019支出</c:v>
                </c:pt>
                <c:pt idx="2">
                  <c:v>2020收入</c:v>
                </c:pt>
                <c:pt idx="3">
                  <c:v>2020支出</c:v>
                </c:pt>
              </c:strCache>
            </c:strRef>
          </c:cat>
          <c:val>
            <c:numRef>
              <c:f>Sheet1!$B$2:$B$5</c:f>
              <c:numCache>
                <c:formatCode>General</c:formatCode>
                <c:ptCount val="4"/>
                <c:pt idx="0">
                  <c:v>9516.97</c:v>
                </c:pt>
                <c:pt idx="1">
                  <c:v>13620.83</c:v>
                </c:pt>
                <c:pt idx="2">
                  <c:v>13063.82</c:v>
                </c:pt>
                <c:pt idx="3">
                  <c:v>11358.3</c:v>
                </c:pt>
              </c:numCache>
            </c:numRef>
          </c:val>
        </c:ser>
        <c:dLbls>
          <c:showLegendKey val="0"/>
          <c:showVal val="1"/>
          <c:showCatName val="0"/>
          <c:showSerName val="0"/>
          <c:showPercent val="0"/>
          <c:showBubbleSize val="0"/>
        </c:dLbls>
        <c:gapWidth val="219"/>
        <c:overlap val="-27"/>
        <c:axId val="495414588"/>
        <c:axId val="553535075"/>
      </c:barChart>
      <c:catAx>
        <c:axId val="49541458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535075"/>
        <c:crosses val="autoZero"/>
        <c:auto val="1"/>
        <c:lblAlgn val="ctr"/>
        <c:lblOffset val="100"/>
        <c:noMultiLvlLbl val="0"/>
      </c:catAx>
      <c:valAx>
        <c:axId val="5535350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4145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numCache>
            </c:numRef>
          </c:cat>
          <c:val>
            <c:numRef>
              <c:f>Sheet1!$B$2:$B$5</c:f>
              <c:numCache>
                <c:formatCode>General</c:formatCode>
                <c:ptCount val="4"/>
                <c:pt idx="0">
                  <c:v>13620.83</c:v>
                </c:pt>
                <c:pt idx="1">
                  <c:v>11358.31</c:v>
                </c:pt>
              </c:numCache>
            </c:numRef>
          </c:val>
        </c:ser>
        <c:dLbls>
          <c:showLegendKey val="0"/>
          <c:showVal val="1"/>
          <c:showCatName val="0"/>
          <c:showSerName val="0"/>
          <c:showPercent val="0"/>
          <c:showBubbleSize val="0"/>
        </c:dLbls>
        <c:gapWidth val="219"/>
        <c:overlap val="-27"/>
        <c:axId val="875161347"/>
        <c:axId val="719709184"/>
      </c:barChart>
      <c:catAx>
        <c:axId val="8751613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709184"/>
        <c:crosses val="autoZero"/>
        <c:auto val="1"/>
        <c:lblAlgn val="ctr"/>
        <c:lblOffset val="100"/>
        <c:noMultiLvlLbl val="0"/>
      </c:catAx>
      <c:valAx>
        <c:axId val="71970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1613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delete val="1"/>
            </c:dLbl>
            <c:dLbl>
              <c:idx val="1"/>
              <c:delete val="1"/>
            </c:dLbl>
            <c:dLbl>
              <c:idx val="2"/>
              <c:delete val="1"/>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Sheet1!$A$2:$A$9</c15:sqref>
                  </c15:fullRef>
                </c:ext>
              </c:extLst>
              <c:f>Sheet1!$A$2:$A$8</c:f>
              <c:strCache>
                <c:ptCount val="7"/>
                <c:pt idx="0">
                  <c:v>社会保障和就业支出</c:v>
                </c:pt>
                <c:pt idx="1">
                  <c:v>卫生健康支出</c:v>
                </c:pt>
                <c:pt idx="2">
                  <c:v>节能环保支出</c:v>
                </c:pt>
                <c:pt idx="3">
                  <c:v>城乡社区支出</c:v>
                </c:pt>
                <c:pt idx="4">
                  <c:v>农林水支出</c:v>
                </c:pt>
                <c:pt idx="5">
                  <c:v>住房保障支出</c:v>
                </c:pt>
                <c:pt idx="6">
                  <c:v>其他支出</c:v>
                </c:pt>
              </c:strCache>
            </c:strRef>
          </c:cat>
          <c:val>
            <c:numRef>
              <c:extLst>
                <c:ext xmlns:c15="http://schemas.microsoft.com/office/drawing/2012/chart" uri="{02D57815-91ED-43cb-92C2-25804820EDAC}">
                  <c15:fullRef>
                    <c15:sqref>Sheet1!$B$2:$B$9</c15:sqref>
                  </c15:fullRef>
                </c:ext>
              </c:extLst>
              <c:f>Sheet1!$B$2:$B$8</c:f>
              <c:numCache>
                <c:formatCode>General</c:formatCode>
                <c:ptCount val="7"/>
                <c:pt idx="0">
                  <c:v>14.76</c:v>
                </c:pt>
                <c:pt idx="1">
                  <c:v>6.55</c:v>
                </c:pt>
                <c:pt idx="2">
                  <c:v>110.24</c:v>
                </c:pt>
                <c:pt idx="3">
                  <c:v>5112.83</c:v>
                </c:pt>
                <c:pt idx="4">
                  <c:v>1760.72</c:v>
                </c:pt>
                <c:pt idx="5" c:formatCode="0.00_ ">
                  <c:v>3941.2</c:v>
                </c:pt>
                <c:pt idx="6" c:formatCode="0.00_ ">
                  <c:v>412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因公出国（境）费</c:v>
                </c:pt>
                <c:pt idx="2">
                  <c:v>公务接待费</c:v>
                </c:pt>
              </c:strCache>
            </c:strRef>
          </c:cat>
          <c:val>
            <c:numRef>
              <c:f>Sheet1!$B$2:$B$5</c:f>
              <c:numCache>
                <c:formatCode>General</c:formatCode>
                <c:ptCount val="4"/>
                <c:pt idx="0">
                  <c:v>4.83</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51</Pages>
  <Words>20858</Words>
  <Characters>21968</Characters>
  <Lines>74</Lines>
  <Paragraphs>21</Paragraphs>
  <TotalTime>8</TotalTime>
  <ScaleCrop>false</ScaleCrop>
  <LinksUpToDate>false</LinksUpToDate>
  <CharactersWithSpaces>22081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Administrator</cp:lastModifiedBy>
  <cp:lastPrinted>2021-10-25T18:20:00Z</cp:lastPrinted>
  <dcterms:modified xsi:type="dcterms:W3CDTF">2022-06-06T03:50:48Z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8FB9B35E0F224F24A23C5D42D9246601</vt:lpwstr>
  </property>
</Properties>
</file>