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bookmarkStart w:id="72" w:name="_GoBack"/>
      <w:bookmarkEnd w:id="72"/>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96597"/>
      <w:bookmarkStart w:id="3" w:name="_Toc15377193"/>
      <w:bookmarkStart w:id="4" w:name="_Toc15377425"/>
      <w:bookmarkStart w:id="5" w:name="_Toc15378441"/>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96598"/>
      <w:bookmarkStart w:id="8" w:name="_Toc15377426"/>
      <w:bookmarkStart w:id="9" w:name="_Toc15378442"/>
      <w:bookmarkStart w:id="10" w:name="_Toc15377194"/>
      <w:r>
        <w:rPr>
          <w:rFonts w:hint="eastAsia" w:ascii="方正小标宋简体" w:hAnsi="宋体" w:eastAsia="方正小标宋简体"/>
          <w:color w:val="000000"/>
          <w:sz w:val="72"/>
          <w:szCs w:val="72"/>
        </w:rPr>
        <w:t>四川省</w:t>
      </w:r>
      <w:bookmarkEnd w:id="0"/>
      <w:bookmarkStart w:id="11" w:name="_Toc15306268"/>
      <w:r>
        <w:rPr>
          <w:rFonts w:ascii="方正小标宋简体" w:hAnsi="宋体" w:eastAsia="方正小标宋简体"/>
          <w:color w:val="000000"/>
          <w:sz w:val="72"/>
          <w:szCs w:val="72"/>
        </w:rPr>
        <w:t>壤塘县住房和城乡建设局质量监督站</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
      <w:pPr>
        <w:pStyle w:val="10"/>
        <w:rPr>
          <w:rFonts w:cstheme="minorBidi"/>
        </w:rPr>
      </w:pPr>
      <w:r>
        <w:fldChar w:fldCharType="begin"/>
      </w:r>
      <w:r>
        <w:instrText xml:space="preserve"> HYPERLINK \l "_Toc15396599" </w:instrText>
      </w:r>
      <w:r>
        <w:fldChar w:fldCharType="separate"/>
      </w:r>
      <w:r>
        <w:rPr>
          <w:rStyle w:val="15"/>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7</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rPr>
          <w:color w:val="000000" w:themeColor="text1"/>
        </w:rPr>
      </w:pPr>
      <w:r>
        <w:rPr>
          <w:rFonts w:hint="eastAsia"/>
        </w:rPr>
        <w:t xml:space="preserve">    </w:t>
      </w:r>
      <w:r>
        <w:rPr>
          <w:rStyle w:val="15"/>
          <w:rFonts w:hint="eastAsia" w:ascii="仿宋" w:hAnsi="仿宋" w:eastAsia="仿宋" w:cstheme="majorBidi"/>
          <w:bCs/>
          <w:color w:val="000000" w:themeColor="text1"/>
          <w:sz w:val="28"/>
          <w:szCs w:val="28"/>
          <w:u w:val="none"/>
        </w:rPr>
        <w:t>十、预算绩效情况说明</w:t>
      </w:r>
      <w:r>
        <w:rPr>
          <w:rStyle w:val="15"/>
          <w:rFonts w:ascii="仿宋" w:hAnsi="仿宋" w:eastAsia="仿宋" w:cstheme="majorBidi"/>
          <w:bCs/>
          <w:color w:val="000000" w:themeColor="text1"/>
          <w:sz w:val="28"/>
          <w:szCs w:val="28"/>
          <w:u w:val="none"/>
        </w:rPr>
        <w:t>…………………………………………</w:t>
      </w:r>
      <w:r>
        <w:rPr>
          <w:rStyle w:val="15"/>
          <w:rFonts w:hint="eastAsia" w:ascii="仿宋" w:hAnsi="仿宋" w:eastAsia="仿宋" w:cstheme="majorBidi"/>
          <w:bCs/>
          <w:color w:val="000000" w:themeColor="text1"/>
          <w:sz w:val="28"/>
          <w:szCs w:val="28"/>
          <w:u w:val="none"/>
        </w:rPr>
        <w:t xml:space="preserve">  13</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13</w:t>
      </w:r>
      <w:r>
        <w:fldChar w:fldCharType="end"/>
      </w:r>
      <w:r>
        <w:fldChar w:fldCharType="end"/>
      </w:r>
    </w:p>
    <w:p>
      <w:pPr>
        <w:pStyle w:val="10"/>
        <w:jc w:val="both"/>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四部分附表</w:t>
      </w:r>
      <w:r>
        <w:tab/>
      </w:r>
      <w:r>
        <w:fldChar w:fldCharType="begin"/>
      </w:r>
      <w:r>
        <w:instrText xml:space="preserve"> PAGEREF _Toc15396618 \h </w:instrText>
      </w:r>
      <w:r>
        <w:fldChar w:fldCharType="separate"/>
      </w:r>
      <w:r>
        <w:t>15</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仿宋" w:hAnsi="仿宋" w:eastAsia="仿宋"/>
          <w:b w:val="0"/>
          <w:color w:val="000000"/>
        </w:rPr>
        <w:t>一、基</w:t>
      </w:r>
      <w:r>
        <w:rPr>
          <w:rStyle w:val="25"/>
          <w:rFonts w:hint="eastAsia" w:ascii="仿宋" w:hAnsi="仿宋" w:eastAsia="仿宋"/>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r>
        <w:rPr>
          <w:rFonts w:ascii="仿宋" w:hAnsi="仿宋" w:eastAsia="仿宋" w:cs="宋体"/>
          <w:szCs w:val="30"/>
        </w:rPr>
        <w:t>负责各类房屋建筑及其附属设施的建设与配套的线路、管道、设备安装项目和市政工程项目的初步设计审查、施工图审批、开工审批和招标活动的执法监督</w:t>
      </w:r>
    </w:p>
    <w:p>
      <w:pPr>
        <w:spacing w:line="560" w:lineRule="exact"/>
        <w:ind w:firstLine="640" w:firstLineChars="200"/>
        <w:rPr>
          <w:rFonts w:ascii="仿宋" w:hAnsi="仿宋" w:eastAsia="仿宋" w:cs="仿宋_GB2312"/>
          <w:sz w:val="32"/>
          <w:szCs w:val="32"/>
        </w:rPr>
      </w:pPr>
      <w:bookmarkStart w:id="18" w:name="_Toc15377199"/>
      <w:bookmarkStart w:id="19" w:name="_Toc15378446"/>
      <w:r>
        <w:rPr>
          <w:rFonts w:hint="eastAsia" w:ascii="仿宋" w:hAnsi="仿宋" w:eastAsia="仿宋"/>
          <w:bCs/>
          <w:color w:val="000000"/>
          <w:sz w:val="32"/>
          <w:szCs w:val="32"/>
        </w:rPr>
        <w:t>（</w:t>
      </w:r>
      <w:r>
        <w:rPr>
          <w:rFonts w:hint="eastAsia" w:ascii="仿宋" w:hAnsi="仿宋" w:eastAsia="仿宋"/>
          <w:b/>
          <w:bCs/>
          <w:color w:val="000000"/>
          <w:sz w:val="32"/>
          <w:szCs w:val="32"/>
        </w:rPr>
        <w:t>二）</w:t>
      </w:r>
      <w:r>
        <w:rPr>
          <w:rFonts w:ascii="仿宋" w:hAnsi="仿宋" w:eastAsia="仿宋"/>
          <w:b/>
          <w:bCs/>
          <w:color w:val="000000"/>
          <w:sz w:val="32"/>
          <w:szCs w:val="32"/>
        </w:rPr>
        <w:t>201</w:t>
      </w:r>
      <w:r>
        <w:rPr>
          <w:rFonts w:hint="eastAsia" w:ascii="仿宋" w:hAnsi="仿宋" w:eastAsia="仿宋"/>
          <w:b/>
          <w:bCs/>
          <w:color w:val="000000"/>
          <w:sz w:val="32"/>
          <w:szCs w:val="32"/>
        </w:rPr>
        <w:t>8年重点工作完成情况</w:t>
      </w:r>
      <w:r>
        <w:rPr>
          <w:rFonts w:hint="eastAsia" w:ascii="仿宋" w:hAnsi="仿宋" w:eastAsia="仿宋"/>
          <w:bCs/>
          <w:color w:val="000000"/>
          <w:sz w:val="32"/>
          <w:szCs w:val="32"/>
        </w:rPr>
        <w:t>。</w:t>
      </w:r>
      <w:bookmarkEnd w:id="18"/>
      <w:bookmarkEnd w:id="19"/>
      <w:r>
        <w:rPr>
          <w:rFonts w:hint="eastAsia" w:ascii="仿宋" w:hAnsi="仿宋" w:eastAsia="仿宋" w:cs="仿宋_GB2312"/>
          <w:sz w:val="32"/>
          <w:szCs w:val="32"/>
        </w:rPr>
        <w:t>1.进一步加强建筑市场的监督管理，严格控制建筑工程质量，完善建筑市场的准入制度。</w:t>
      </w:r>
      <w:r>
        <w:rPr>
          <w:rFonts w:hint="eastAsia" w:ascii="仿宋" w:hAnsi="仿宋" w:eastAsia="仿宋" w:cs="仿宋_GB2312"/>
          <w:b/>
          <w:bCs/>
          <w:sz w:val="32"/>
          <w:szCs w:val="32"/>
        </w:rPr>
        <w:t>（1）是</w:t>
      </w:r>
      <w:r>
        <w:rPr>
          <w:rFonts w:hint="eastAsia" w:ascii="仿宋" w:hAnsi="仿宋" w:eastAsia="仿宋" w:cs="仿宋_GB2312"/>
          <w:sz w:val="32"/>
          <w:szCs w:val="32"/>
        </w:rPr>
        <w:t>开展备案工作134起，其中：招标文件备案40件、中标通知书备案39份、承包合同备案36本。完成招标公告网上审核21件。</w:t>
      </w:r>
      <w:r>
        <w:rPr>
          <w:rFonts w:hint="eastAsia" w:ascii="仿宋" w:hAnsi="仿宋" w:eastAsia="仿宋" w:cs="仿宋_GB2312"/>
          <w:b/>
          <w:bCs/>
          <w:sz w:val="32"/>
          <w:szCs w:val="32"/>
        </w:rPr>
        <w:t>（2）是</w:t>
      </w:r>
      <w:r>
        <w:rPr>
          <w:rFonts w:hint="eastAsia" w:ascii="仿宋" w:hAnsi="仿宋" w:eastAsia="仿宋" w:cs="仿宋_GB2312"/>
          <w:sz w:val="32"/>
          <w:szCs w:val="32"/>
        </w:rPr>
        <w:t>严把项目入库关，建立了建筑企业不良行为记录库，禁止被记录不良行为的企业在我县进行投标活动。</w:t>
      </w:r>
      <w:r>
        <w:rPr>
          <w:rFonts w:hint="eastAsia" w:ascii="仿宋" w:hAnsi="仿宋" w:eastAsia="仿宋" w:cs="仿宋_GB2312"/>
          <w:b/>
          <w:bCs/>
          <w:sz w:val="32"/>
          <w:szCs w:val="32"/>
        </w:rPr>
        <w:t>（3）是</w:t>
      </w:r>
      <w:r>
        <w:rPr>
          <w:rFonts w:hint="eastAsia" w:ascii="仿宋" w:hAnsi="仿宋" w:eastAsia="仿宋" w:cs="仿宋_GB2312"/>
          <w:sz w:val="32"/>
          <w:szCs w:val="32"/>
        </w:rPr>
        <w:t>积极主动，排查、调处项目建设过程中的各类矛盾纠纷的协调，参与项目有关重大经济技术纠纷的协调。认真开展在建项目民工工资发放拉网式排查行动2次，发现问题4起，成功调处4起。成功调处了壤塘县干部周转宿舍及乡镇卫生院职工周转宿舍二期（六标段）农民工工资问题。</w:t>
      </w:r>
      <w:r>
        <w:rPr>
          <w:rFonts w:hint="eastAsia" w:ascii="仿宋" w:hAnsi="仿宋" w:eastAsia="仿宋" w:cs="仿宋_GB2312"/>
          <w:b/>
          <w:bCs/>
          <w:sz w:val="32"/>
          <w:szCs w:val="32"/>
        </w:rPr>
        <w:t>（4）是</w:t>
      </w:r>
      <w:r>
        <w:rPr>
          <w:rFonts w:hint="eastAsia" w:ascii="仿宋" w:hAnsi="仿宋" w:eastAsia="仿宋" w:cs="仿宋_GB2312"/>
          <w:sz w:val="32"/>
          <w:szCs w:val="32"/>
        </w:rPr>
        <w:t>大力开展安全生产、节能环保、农民工权益保障法律法规和散装水泥、新型墙体材料推广等宣传活动，共计开展活动13次，发放宣传册1200余份。</w:t>
      </w:r>
      <w:r>
        <w:rPr>
          <w:rFonts w:hint="eastAsia" w:ascii="仿宋" w:hAnsi="仿宋" w:eastAsia="仿宋" w:cs="仿宋_GB2312"/>
          <w:sz w:val="32"/>
          <w:szCs w:val="32"/>
        </w:rPr>
        <w:br w:type="textWrapping"/>
      </w:r>
      <w:r>
        <w:rPr>
          <w:rFonts w:hint="eastAsia" w:ascii="仿宋" w:hAnsi="仿宋" w:eastAsia="仿宋" w:cs="仿宋_GB2312"/>
          <w:sz w:val="32"/>
          <w:szCs w:val="32"/>
        </w:rPr>
        <w:t xml:space="preserve">    2.强化建设工程质量监督工作。截止目前，进行备案的建设项目61个，其中：房建项目12个、市政项目7个、脱贫攻坚项目42个。项目总投资达到37295.36697万元，其中：房建项目总投资 8336.40982万元，市政项目总投资21708.96979万元，脱贫攻坚项目总投资约7249.98736万元。强化在建项目质量、安全和进度监管，</w:t>
      </w:r>
      <w:r>
        <w:rPr>
          <w:rFonts w:hint="eastAsia" w:ascii="仿宋" w:hAnsi="仿宋" w:eastAsia="仿宋" w:cs="仿宋_GB2312"/>
          <w:b/>
          <w:bCs/>
          <w:sz w:val="32"/>
          <w:szCs w:val="32"/>
        </w:rPr>
        <w:t>一是</w:t>
      </w:r>
      <w:r>
        <w:rPr>
          <w:rFonts w:hint="eastAsia" w:ascii="仿宋" w:hAnsi="仿宋" w:eastAsia="仿宋" w:cs="仿宋_GB2312"/>
          <w:sz w:val="32"/>
          <w:szCs w:val="32"/>
        </w:rPr>
        <w:t>先后组织技术人员深入工地开展质量、安全监督工作达240余次，发现问题165起，下发整改通知书162份，停工通知书3份，全程督促各责任主体完成了整改。</w:t>
      </w:r>
      <w:r>
        <w:rPr>
          <w:rFonts w:hint="eastAsia" w:ascii="仿宋" w:hAnsi="仿宋" w:eastAsia="仿宋" w:cs="仿宋_GB2312"/>
          <w:b/>
          <w:bCs/>
          <w:sz w:val="32"/>
          <w:szCs w:val="32"/>
        </w:rPr>
        <w:t>二是</w:t>
      </w:r>
      <w:r>
        <w:rPr>
          <w:rFonts w:hint="eastAsia" w:ascii="仿宋" w:hAnsi="仿宋" w:eastAsia="仿宋" w:cs="仿宋_GB2312"/>
          <w:sz w:val="32"/>
          <w:szCs w:val="32"/>
        </w:rPr>
        <w:t>集中开展安全生产大检查行动10次，共发现安全隐患40起，下发整改通知书40份，完成整改40起。</w:t>
      </w:r>
      <w:r>
        <w:rPr>
          <w:rFonts w:hint="eastAsia" w:ascii="仿宋" w:hAnsi="仿宋" w:eastAsia="仿宋" w:cs="仿宋_GB2312"/>
          <w:b/>
          <w:bCs/>
          <w:sz w:val="32"/>
          <w:szCs w:val="32"/>
        </w:rPr>
        <w:t>三是</w:t>
      </w:r>
      <w:r>
        <w:rPr>
          <w:rFonts w:hint="eastAsia" w:ascii="仿宋" w:hAnsi="仿宋" w:eastAsia="仿宋" w:cs="仿宋_GB2312"/>
          <w:sz w:val="32"/>
          <w:szCs w:val="32"/>
        </w:rPr>
        <w:t>对五大责任主体行为监督4次，重点检查了地勘、设计、监理是否认真履行职责（监理旁站是否按相关要求进行旁站工作）和业主单位施工许可办理情况，期间下发整改通知书25份，完成整改25起。</w:t>
      </w:r>
      <w:r>
        <w:rPr>
          <w:rFonts w:hint="eastAsia" w:ascii="仿宋" w:hAnsi="仿宋" w:eastAsia="仿宋" w:cs="仿宋_GB2312"/>
          <w:bCs/>
          <w:sz w:val="32"/>
          <w:szCs w:val="32"/>
        </w:rPr>
        <w:t>四</w:t>
      </w:r>
      <w:r>
        <w:rPr>
          <w:rFonts w:hint="eastAsia" w:ascii="仿宋" w:hAnsi="仿宋" w:eastAsia="仿宋" w:cs="仿宋_GB2312"/>
          <w:b/>
          <w:bCs/>
          <w:sz w:val="32"/>
          <w:szCs w:val="32"/>
        </w:rPr>
        <w:t>是</w:t>
      </w:r>
      <w:r>
        <w:rPr>
          <w:rFonts w:hint="eastAsia" w:ascii="仿宋" w:hAnsi="仿宋" w:eastAsia="仿宋" w:cs="仿宋_GB2312"/>
          <w:sz w:val="32"/>
          <w:szCs w:val="32"/>
        </w:rPr>
        <w:t>认真开展防汛减灾工作，依据职能职责开展防汛减灾检查工作12次，重点检查了施工工棚、施工机具、设备的防雨水工作和临时用电设备、相关电器线路和防护接地措施，发现隐患25处，下发整改通知书25份，完成整改25起。</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3.认真落实安全生产工作，</w:t>
      </w:r>
      <w:r>
        <w:rPr>
          <w:rFonts w:hint="eastAsia" w:ascii="仿宋" w:hAnsi="仿宋" w:eastAsia="仿宋"/>
          <w:sz w:val="32"/>
          <w:szCs w:val="32"/>
        </w:rPr>
        <w:t>对全县房建、市政进行建筑施工安全生产专项督查，</w:t>
      </w:r>
      <w:r>
        <w:rPr>
          <w:rFonts w:hint="eastAsia" w:ascii="仿宋" w:hAnsi="仿宋" w:eastAsia="仿宋"/>
          <w:b/>
          <w:bCs/>
          <w:sz w:val="32"/>
          <w:szCs w:val="32"/>
        </w:rPr>
        <w:t>一是</w:t>
      </w:r>
      <w:r>
        <w:rPr>
          <w:rFonts w:hint="eastAsia" w:ascii="仿宋" w:hAnsi="仿宋" w:eastAsia="仿宋"/>
          <w:sz w:val="32"/>
          <w:szCs w:val="32"/>
        </w:rPr>
        <w:t>成立安全生产工作小组，定期或不定期，随机对全县在建项目进行安全生产检查，对存在安全隐患的现场及时下发整改通知书；</w:t>
      </w:r>
      <w:r>
        <w:rPr>
          <w:rFonts w:hint="eastAsia" w:ascii="仿宋" w:hAnsi="仿宋" w:eastAsia="仿宋"/>
          <w:b/>
          <w:bCs/>
          <w:sz w:val="32"/>
          <w:szCs w:val="32"/>
        </w:rPr>
        <w:t>二是</w:t>
      </w:r>
      <w:r>
        <w:rPr>
          <w:rFonts w:hint="eastAsia" w:ascii="仿宋" w:hAnsi="仿宋" w:eastAsia="仿宋"/>
          <w:sz w:val="32"/>
          <w:szCs w:val="32"/>
        </w:rPr>
        <w:t>建立安全隐患台账，并定期召开安全生产会议，组织在建项目的业主、监理、施工等单位召开安全生产例会，全年共计</w:t>
      </w:r>
      <w:r>
        <w:rPr>
          <w:rFonts w:hint="eastAsia" w:ascii="仿宋" w:hAnsi="仿宋" w:eastAsia="仿宋" w:cs="仿宋_GB2312"/>
          <w:sz w:val="32"/>
          <w:szCs w:val="32"/>
        </w:rPr>
        <w:t>召开工程质量、安全、进度等工作专题会18次，下发文件276份。为防止禽流感传染扩散，集中开展环境卫生检查1次，下发预防、宣传手册150余份。</w:t>
      </w:r>
    </w:p>
    <w:p>
      <w:pPr>
        <w:widowControl/>
        <w:spacing w:line="560" w:lineRule="exact"/>
        <w:ind w:firstLine="480" w:firstLineChars="150"/>
        <w:jc w:val="left"/>
        <w:rPr>
          <w:rFonts w:ascii="仿宋" w:hAnsi="仿宋" w:eastAsia="仿宋"/>
          <w:sz w:val="32"/>
          <w:szCs w:val="32"/>
        </w:rPr>
      </w:pPr>
      <w:r>
        <w:rPr>
          <w:rFonts w:hint="eastAsia" w:ascii="仿宋" w:hAnsi="仿宋" w:eastAsia="仿宋" w:cs="仿宋_GB2312"/>
          <w:sz w:val="32"/>
          <w:szCs w:val="32"/>
        </w:rPr>
        <w:t>4.</w:t>
      </w:r>
      <w:r>
        <w:rPr>
          <w:rFonts w:hint="eastAsia" w:ascii="仿宋" w:hAnsi="仿宋" w:eastAsia="仿宋"/>
        </w:rPr>
        <w:t xml:space="preserve"> </w:t>
      </w:r>
      <w:r>
        <w:rPr>
          <w:rFonts w:hint="eastAsia" w:ascii="仿宋" w:hAnsi="仿宋" w:eastAsia="仿宋"/>
          <w:sz w:val="32"/>
          <w:szCs w:val="32"/>
        </w:rPr>
        <w:t xml:space="preserve">抓实安全文明施工工作。制定《建筑施工扬尘治理工作方案》，明确整治任务。局质量安全监督站安组织骨干人员重点在建项目工地进行一对一蹲守，监督各项目整改落实到位。目前，各在建工地安全文明工作已有初步成效：一是各工地周边实现围挡封闭；二是各工地出入口道路采用水泥进行硬化；三是各工地制定《工地洒水、清扫制度》，落实建筑垃圾及时清理、出入车辆统一清洗、现场渣土全面覆盖等。整治工作期间，各在建工地共规范围挡800余米，硬化施工现场道路300余米，采用密目网覆盖土方、沙石等1000多平方米。 </w:t>
      </w:r>
    </w:p>
    <w:p>
      <w:pPr>
        <w:widowControl/>
        <w:spacing w:line="560"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 xml:space="preserve"> 5.为脱贫攻坚项目保驾护航，将脱贫攻坚项目纳入监管范围，并简化脱贫攻坚报监报建程序，主动协调相关单位开展脱贫基础设施和农房建设项目检查工作，累计检查60次，发现问题20起，下发整改通知书20份，完成整改20起。</w:t>
      </w:r>
    </w:p>
    <w:p>
      <w:pPr>
        <w:pStyle w:val="3"/>
        <w:rPr>
          <w:rFonts w:ascii="仿宋" w:hAnsi="仿宋" w:eastAsia="仿宋"/>
          <w:b w:val="0"/>
          <w:bCs w:val="0"/>
        </w:rPr>
      </w:pPr>
      <w:bookmarkStart w:id="20" w:name="_Toc15396601"/>
      <w:bookmarkStart w:id="21" w:name="_Toc15377200"/>
      <w:r>
        <w:rPr>
          <w:rFonts w:hint="eastAsia" w:ascii="仿宋" w:hAnsi="仿宋" w:eastAsia="仿宋"/>
          <w:b w:val="0"/>
          <w:color w:val="000000"/>
        </w:rPr>
        <w:t>二、机</w:t>
      </w:r>
      <w:r>
        <w:rPr>
          <w:rStyle w:val="25"/>
          <w:rFonts w:hint="eastAsia" w:ascii="仿宋" w:hAnsi="仿宋" w:eastAsia="仿宋"/>
          <w:b w:val="0"/>
          <w:bCs w:val="0"/>
        </w:rPr>
        <w:t>构设置</w:t>
      </w:r>
      <w:bookmarkEnd w:id="20"/>
      <w:bookmarkEnd w:id="21"/>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ascii="仿宋" w:hAnsi="仿宋" w:eastAsia="仿宋"/>
          <w:color w:val="000000"/>
          <w:sz w:val="32"/>
          <w:szCs w:val="32"/>
        </w:rPr>
        <w:t>壤塘县质量监督站下属事业单位</w:t>
      </w:r>
      <w:r>
        <w:rPr>
          <w:rFonts w:hint="eastAsia" w:ascii="仿宋" w:hAnsi="仿宋" w:eastAsia="仿宋"/>
          <w:color w:val="000000"/>
          <w:sz w:val="32"/>
          <w:szCs w:val="32"/>
        </w:rPr>
        <w:t>1个</w:t>
      </w:r>
    </w:p>
    <w:p>
      <w:pPr>
        <w:widowControl/>
        <w:ind w:left="1152"/>
        <w:jc w:val="left"/>
        <w:rPr>
          <w:rFonts w:asciiTheme="majorEastAsia" w:hAnsiTheme="majorEastAsia" w:eastAsiaTheme="majorEastAsia"/>
          <w:color w:val="000000"/>
          <w:kern w:val="0"/>
          <w:sz w:val="32"/>
          <w:szCs w:val="32"/>
        </w:rPr>
      </w:pPr>
      <w:r>
        <w:rPr>
          <w:rFonts w:hint="eastAsia" w:asciiTheme="majorEastAsia" w:hAnsiTheme="majorEastAsia" w:eastAsiaTheme="majorEastAsia"/>
          <w:color w:val="000000"/>
          <w:sz w:val="32"/>
          <w:szCs w:val="32"/>
        </w:rPr>
        <w:t>纳入2018年部门决算范围：</w:t>
      </w:r>
    </w:p>
    <w:p>
      <w:pPr>
        <w:tabs>
          <w:tab w:val="left" w:pos="960"/>
        </w:tabs>
        <w:rPr>
          <w:rFonts w:asciiTheme="majorEastAsia" w:hAnsiTheme="majorEastAsia" w:eastAsiaTheme="majorEastAsia"/>
          <w:sz w:val="32"/>
          <w:szCs w:val="32"/>
        </w:rPr>
      </w:pPr>
      <w:r>
        <w:rPr>
          <w:rFonts w:asciiTheme="majorEastAsia" w:hAnsiTheme="majorEastAsia" w:eastAsiaTheme="majorEastAsia"/>
          <w:sz w:val="32"/>
          <w:szCs w:val="32"/>
        </w:rPr>
        <w:tab/>
      </w:r>
      <w:r>
        <w:rPr>
          <w:rFonts w:hint="eastAsia" w:asciiTheme="majorEastAsia" w:hAnsiTheme="majorEastAsia" w:eastAsiaTheme="majorEastAsia"/>
          <w:sz w:val="32"/>
          <w:szCs w:val="32"/>
        </w:rPr>
        <w:t>1.壤塘县住房和城乡建设局质量监督站</w:t>
      </w:r>
    </w:p>
    <w:p>
      <w:pPr>
        <w:pStyle w:val="2"/>
        <w:ind w:right="440"/>
        <w:jc w:val="right"/>
        <w:rPr>
          <w:rFonts w:ascii="黑体" w:hAnsi="黑体" w:eastAsia="黑体"/>
          <w:b w:val="0"/>
          <w:color w:val="000000"/>
        </w:rPr>
      </w:pPr>
      <w:bookmarkStart w:id="22" w:name="_Toc15377204"/>
      <w:bookmarkStart w:id="23" w:name="_Toc15396602"/>
    </w:p>
    <w:p>
      <w:pPr>
        <w:pStyle w:val="2"/>
        <w:ind w:right="440"/>
        <w:jc w:val="right"/>
        <w:rPr>
          <w:rStyle w:val="24"/>
          <w:rFonts w:ascii="黑体" w:hAnsi="黑体" w:eastAsia="黑体"/>
          <w:b w:val="0"/>
          <w:bCs w:val="0"/>
        </w:rPr>
      </w:pPr>
      <w:r>
        <w:rPr>
          <w:rFonts w:hint="eastAsia" w:ascii="黑体" w:hAnsi="黑体" w:eastAsia="黑体"/>
          <w:b w:val="0"/>
          <w:color w:val="000000"/>
        </w:rPr>
        <w:t>第二部分</w:t>
      </w:r>
      <w:r>
        <w:rPr>
          <w:rStyle w:val="24"/>
          <w:rFonts w:hint="eastAsia" w:ascii="黑体" w:hAnsi="黑体" w:eastAsia="黑体"/>
          <w:b w:val="0"/>
          <w:bCs w:val="0"/>
        </w:rPr>
        <w:t>2018年度部门决算情况说明</w:t>
      </w:r>
      <w:bookmarkEnd w:id="22"/>
      <w:bookmarkEnd w:id="23"/>
    </w:p>
    <w:p/>
    <w:p>
      <w:pPr>
        <w:pStyle w:val="23"/>
        <w:numPr>
          <w:ilvl w:val="0"/>
          <w:numId w:val="2"/>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2018年度收入总计</w:t>
      </w:r>
      <w:r>
        <w:rPr>
          <w:rFonts w:ascii="仿宋" w:hAnsi="仿宋" w:eastAsia="仿宋"/>
          <w:color w:val="000000"/>
          <w:sz w:val="32"/>
          <w:szCs w:val="32"/>
        </w:rPr>
        <w:t>271.53</w:t>
      </w:r>
      <w:r>
        <w:rPr>
          <w:rFonts w:hint="eastAsia" w:ascii="仿宋" w:hAnsi="仿宋" w:eastAsia="仿宋"/>
          <w:color w:val="000000"/>
          <w:sz w:val="32"/>
          <w:szCs w:val="32"/>
        </w:rPr>
        <w:t>万元。支出总计345.81</w:t>
      </w:r>
    </w:p>
    <w:p>
      <w:pPr>
        <w:spacing w:line="600" w:lineRule="exact"/>
        <w:ind w:firstLine="640" w:firstLineChars="200"/>
        <w:rPr>
          <w:rFonts w:ascii="仿宋" w:hAnsi="仿宋" w:eastAsia="仿宋"/>
          <w:color w:val="000000" w:themeColor="text1"/>
          <w:sz w:val="32"/>
          <w:szCs w:val="32"/>
        </w:rPr>
      </w:pPr>
      <w:r>
        <w:rPr>
          <w:rFonts w:ascii="黑体" w:hAnsi="黑体" w:eastAsia="黑体" w:cstheme="majorBidi"/>
          <w:bCs/>
          <w:sz w:val="32"/>
          <w:szCs w:val="32"/>
        </w:rPr>
        <w:drawing>
          <wp:anchor distT="0" distB="0" distL="114300" distR="114300" simplePos="0" relativeHeight="251650048" behindDoc="0" locked="0" layoutInCell="1" allowOverlap="1">
            <wp:simplePos x="0" y="0"/>
            <wp:positionH relativeFrom="column">
              <wp:posOffset>1019175</wp:posOffset>
            </wp:positionH>
            <wp:positionV relativeFrom="paragraph">
              <wp:posOffset>450850</wp:posOffset>
            </wp:positionV>
            <wp:extent cx="3514725" cy="2695575"/>
            <wp:effectExtent l="19050" t="0" r="9525"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bookmarkStart w:id="26" w:name="_Toc15396604"/>
      <w:bookmarkStart w:id="27" w:name="_Toc15377206"/>
    </w:p>
    <w:p>
      <w:pPr>
        <w:spacing w:line="600" w:lineRule="exact"/>
        <w:outlineLvl w:val="1"/>
        <w:rPr>
          <w:rStyle w:val="25"/>
          <w:rFonts w:ascii="黑体" w:hAnsi="黑体" w:eastAsia="黑体"/>
          <w:b w:val="0"/>
        </w:rPr>
      </w:pPr>
      <w:r>
        <w:rPr>
          <w:rFonts w:ascii="黑体" w:hAnsi="黑体" w:eastAsia="黑体" w:cstheme="majorBidi"/>
          <w:bCs/>
          <w:sz w:val="32"/>
          <w:szCs w:val="32"/>
        </w:rPr>
        <w:t>二</w:t>
      </w:r>
      <w:r>
        <w:rPr>
          <w:rFonts w:hint="eastAsia" w:ascii="黑体" w:hAnsi="黑体" w:eastAsia="黑体" w:cstheme="majorBidi"/>
          <w:bCs/>
          <w:sz w:val="32"/>
          <w:szCs w:val="32"/>
        </w:rPr>
        <w:t>、</w:t>
      </w:r>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ascii="仿宋" w:hAnsi="仿宋" w:eastAsia="仿宋"/>
          <w:color w:val="000000"/>
          <w:sz w:val="32"/>
          <w:szCs w:val="32"/>
        </w:rPr>
        <w:t>271.53</w:t>
      </w:r>
      <w:r>
        <w:rPr>
          <w:rFonts w:hint="eastAsia" w:ascii="仿宋" w:hAnsi="仿宋" w:eastAsia="仿宋"/>
          <w:color w:val="000000"/>
          <w:sz w:val="32"/>
          <w:szCs w:val="32"/>
        </w:rPr>
        <w:t>万元，其中：一般公共预算财政拨款收入</w:t>
      </w:r>
      <w:r>
        <w:rPr>
          <w:rFonts w:ascii="仿宋" w:hAnsi="仿宋" w:eastAsia="仿宋"/>
          <w:color w:val="000000"/>
          <w:sz w:val="32"/>
          <w:szCs w:val="32"/>
        </w:rPr>
        <w:t>271.53</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640" w:firstLineChars="200"/>
        <w:rPr>
          <w:rFonts w:ascii="仿宋_GB2312" w:eastAsia="仿宋_GB2312"/>
          <w:color w:val="FF0000"/>
          <w:sz w:val="32"/>
          <w:szCs w:val="32"/>
        </w:rPr>
      </w:pPr>
      <w:r>
        <w:rPr>
          <w:rFonts w:ascii="仿宋_GB2312" w:eastAsia="仿宋_GB2312"/>
          <w:color w:val="FF0000"/>
          <w:sz w:val="32"/>
          <w:szCs w:val="32"/>
        </w:rPr>
        <w:drawing>
          <wp:anchor distT="0" distB="0" distL="114300" distR="114300" simplePos="0" relativeHeight="251651072" behindDoc="1" locked="0" layoutInCell="1" allowOverlap="1">
            <wp:simplePos x="0" y="0"/>
            <wp:positionH relativeFrom="column">
              <wp:posOffset>762000</wp:posOffset>
            </wp:positionH>
            <wp:positionV relativeFrom="paragraph">
              <wp:posOffset>76200</wp:posOffset>
            </wp:positionV>
            <wp:extent cx="3028950" cy="2066925"/>
            <wp:effectExtent l="19050" t="0" r="19050" b="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3"/>
        <w:spacing w:line="600" w:lineRule="exact"/>
        <w:ind w:left="1360" w:firstLine="0" w:firstLineChars="0"/>
        <w:outlineLvl w:val="1"/>
        <w:rPr>
          <w:rFonts w:ascii="黑体" w:hAnsi="黑体" w:eastAsia="黑体"/>
          <w:color w:val="000000"/>
          <w:sz w:val="32"/>
          <w:szCs w:val="32"/>
        </w:rPr>
      </w:pPr>
      <w:bookmarkStart w:id="28" w:name="_Toc15377207"/>
      <w:bookmarkStart w:id="29" w:name="_Toc15396605"/>
    </w:p>
    <w:p>
      <w:pPr>
        <w:pStyle w:val="23"/>
        <w:spacing w:line="600" w:lineRule="exact"/>
        <w:ind w:left="1360" w:firstLine="0" w:firstLineChars="0"/>
        <w:outlineLvl w:val="1"/>
        <w:rPr>
          <w:rFonts w:ascii="黑体" w:hAnsi="黑体" w:eastAsia="黑体"/>
          <w:color w:val="000000"/>
          <w:sz w:val="32"/>
          <w:szCs w:val="32"/>
        </w:rPr>
      </w:pPr>
    </w:p>
    <w:p>
      <w:pPr>
        <w:spacing w:line="600" w:lineRule="exact"/>
        <w:ind w:firstLine="480" w:firstLineChars="150"/>
        <w:outlineLvl w:val="1"/>
        <w:rPr>
          <w:rFonts w:ascii="黑体" w:hAnsi="黑体" w:eastAsia="黑体"/>
          <w:color w:val="000000"/>
          <w:sz w:val="32"/>
          <w:szCs w:val="32"/>
        </w:rPr>
      </w:pPr>
    </w:p>
    <w:p>
      <w:pPr>
        <w:spacing w:line="600" w:lineRule="exact"/>
        <w:ind w:firstLine="480" w:firstLineChars="150"/>
        <w:outlineLvl w:val="1"/>
        <w:rPr>
          <w:rStyle w:val="25"/>
          <w:rFonts w:ascii="黑体" w:hAnsi="黑体" w:eastAsia="黑体"/>
          <w:b w:val="0"/>
        </w:rPr>
      </w:pPr>
      <w:r>
        <w:rPr>
          <w:rFonts w:hint="eastAsia" w:ascii="黑体" w:hAnsi="黑体" w:eastAsia="黑体"/>
          <w:color w:val="000000"/>
          <w:sz w:val="32"/>
          <w:szCs w:val="32"/>
        </w:rPr>
        <w:t>三、支</w:t>
      </w:r>
      <w:r>
        <w:rPr>
          <w:rStyle w:val="25"/>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ascii="仿宋" w:hAnsi="仿宋" w:eastAsia="仿宋"/>
          <w:color w:val="000000"/>
          <w:sz w:val="32"/>
          <w:szCs w:val="32"/>
        </w:rPr>
        <w:t>345.81</w:t>
      </w:r>
      <w:r>
        <w:rPr>
          <w:rFonts w:hint="eastAsia" w:ascii="仿宋" w:hAnsi="仿宋" w:eastAsia="仿宋"/>
          <w:color w:val="000000"/>
          <w:sz w:val="32"/>
          <w:szCs w:val="32"/>
        </w:rPr>
        <w:t>万元，其中：基本支出</w:t>
      </w:r>
      <w:r>
        <w:rPr>
          <w:rFonts w:ascii="仿宋" w:hAnsi="仿宋" w:eastAsia="仿宋"/>
          <w:color w:val="000000"/>
          <w:sz w:val="32"/>
          <w:szCs w:val="32"/>
        </w:rPr>
        <w:t>336.2</w:t>
      </w:r>
      <w:r>
        <w:rPr>
          <w:rFonts w:hint="eastAsia" w:ascii="仿宋" w:hAnsi="仿宋" w:eastAsia="仿宋"/>
          <w:color w:val="000000"/>
          <w:sz w:val="32"/>
          <w:szCs w:val="32"/>
        </w:rPr>
        <w:t>万元，占</w:t>
      </w:r>
      <w:r>
        <w:rPr>
          <w:rFonts w:ascii="仿宋" w:hAnsi="仿宋" w:eastAsia="仿宋"/>
          <w:color w:val="000000"/>
          <w:sz w:val="32"/>
          <w:szCs w:val="32"/>
        </w:rPr>
        <w:t>97%</w:t>
      </w:r>
      <w:r>
        <w:rPr>
          <w:rFonts w:hint="eastAsia" w:ascii="仿宋" w:hAnsi="仿宋" w:eastAsia="仿宋"/>
          <w:color w:val="000000"/>
          <w:sz w:val="32"/>
          <w:szCs w:val="32"/>
        </w:rPr>
        <w:t>；项目支出</w:t>
      </w:r>
      <w:r>
        <w:rPr>
          <w:rFonts w:ascii="仿宋" w:hAnsi="仿宋" w:eastAsia="仿宋"/>
          <w:color w:val="000000"/>
          <w:sz w:val="32"/>
          <w:szCs w:val="32"/>
        </w:rPr>
        <w:t>9.61</w:t>
      </w:r>
      <w:r>
        <w:rPr>
          <w:rFonts w:hint="eastAsia" w:ascii="仿宋" w:hAnsi="仿宋" w:eastAsia="仿宋"/>
          <w:color w:val="000000"/>
          <w:sz w:val="32"/>
          <w:szCs w:val="32"/>
        </w:rPr>
        <w:t>万元，占</w:t>
      </w:r>
      <w:r>
        <w:rPr>
          <w:rFonts w:ascii="仿宋" w:hAnsi="仿宋" w:eastAsia="仿宋"/>
          <w:color w:val="000000"/>
          <w:sz w:val="32"/>
          <w:szCs w:val="32"/>
        </w:rPr>
        <w:t>3%</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ascii="黑体" w:hAnsi="黑体" w:eastAsia="黑体"/>
          <w:color w:val="000000"/>
          <w:sz w:val="32"/>
          <w:szCs w:val="32"/>
        </w:rPr>
        <w:drawing>
          <wp:anchor distT="0" distB="0" distL="114300" distR="114300" simplePos="0" relativeHeight="251654144" behindDoc="0" locked="0" layoutInCell="1" allowOverlap="1">
            <wp:simplePos x="0" y="0"/>
            <wp:positionH relativeFrom="column">
              <wp:posOffset>438150</wp:posOffset>
            </wp:positionH>
            <wp:positionV relativeFrom="paragraph">
              <wp:posOffset>676275</wp:posOffset>
            </wp:positionV>
            <wp:extent cx="4095750" cy="2695575"/>
            <wp:effectExtent l="19050" t="0" r="19050" b="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themeColor="text1"/>
          <w:sz w:val="32"/>
          <w:szCs w:val="32"/>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w:t>
      </w:r>
      <w:r>
        <w:rPr>
          <w:rFonts w:hint="eastAsia" w:ascii="仿宋" w:hAnsi="仿宋" w:eastAsia="仿宋"/>
          <w:color w:val="000000"/>
          <w:sz w:val="32"/>
          <w:szCs w:val="32"/>
          <w:lang w:eastAsia="zh-CN"/>
        </w:rPr>
        <w:t>收入</w:t>
      </w:r>
      <w:r>
        <w:rPr>
          <w:rFonts w:hint="eastAsia" w:ascii="仿宋" w:hAnsi="仿宋" w:eastAsia="仿宋"/>
          <w:color w:val="000000"/>
          <w:sz w:val="32"/>
          <w:szCs w:val="32"/>
        </w:rPr>
        <w:t>总计271.53万元、支总计</w:t>
      </w:r>
      <w:r>
        <w:rPr>
          <w:rFonts w:ascii="仿宋" w:hAnsi="仿宋" w:eastAsia="仿宋"/>
          <w:color w:val="000000"/>
          <w:sz w:val="32"/>
          <w:szCs w:val="32"/>
        </w:rPr>
        <w:t>345.81</w:t>
      </w:r>
      <w:r>
        <w:rPr>
          <w:rFonts w:hint="eastAsia" w:ascii="仿宋" w:hAnsi="仿宋" w:eastAsia="仿宋"/>
          <w:color w:val="000000"/>
          <w:sz w:val="32"/>
          <w:szCs w:val="32"/>
        </w:rPr>
        <w:t>万元。</w:t>
      </w:r>
    </w:p>
    <w:p>
      <w:pPr>
        <w:spacing w:line="600" w:lineRule="exact"/>
        <w:ind w:firstLine="643" w:firstLineChars="200"/>
        <w:rPr>
          <w:rFonts w:ascii="仿宋" w:hAnsi="仿宋" w:eastAsia="仿宋"/>
          <w:color w:val="000000" w:themeColor="text1"/>
          <w:sz w:val="32"/>
          <w:szCs w:val="32"/>
        </w:rPr>
      </w:pPr>
      <w:r>
        <w:rPr>
          <w:rFonts w:ascii="仿宋" w:hAnsi="仿宋" w:eastAsia="仿宋"/>
          <w:b/>
          <w:color w:val="00B050"/>
          <w:sz w:val="32"/>
          <w:szCs w:val="32"/>
        </w:rPr>
        <w:drawing>
          <wp:anchor distT="0" distB="0" distL="114300" distR="114300" simplePos="0" relativeHeight="251676672" behindDoc="0" locked="0" layoutInCell="1" allowOverlap="1">
            <wp:simplePos x="0" y="0"/>
            <wp:positionH relativeFrom="column">
              <wp:posOffset>447675</wp:posOffset>
            </wp:positionH>
            <wp:positionV relativeFrom="paragraph">
              <wp:posOffset>438150</wp:posOffset>
            </wp:positionV>
            <wp:extent cx="4762500" cy="2628900"/>
            <wp:effectExtent l="19050" t="0" r="19050" b="0"/>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themeColor="text1"/>
          <w:sz w:val="32"/>
          <w:szCs w:val="32"/>
        </w:rPr>
        <w:t>（图4：财政拨款收、支决算总计变动情况）（柱状图）</w:t>
      </w:r>
    </w:p>
    <w:p>
      <w:pPr>
        <w:tabs>
          <w:tab w:val="left" w:pos="5050"/>
        </w:tabs>
        <w:rPr>
          <w:rFonts w:ascii="仿宋" w:hAnsi="仿宋" w:eastAsia="仿宋"/>
          <w:sz w:val="32"/>
          <w:szCs w:val="32"/>
        </w:rPr>
      </w:pPr>
      <w:r>
        <w:rPr>
          <w:rFonts w:ascii="仿宋" w:hAnsi="仿宋" w:eastAsia="仿宋"/>
          <w:sz w:val="32"/>
          <w:szCs w:val="32"/>
        </w:rPr>
        <w:tab/>
      </w:r>
      <w:bookmarkStart w:id="32" w:name="_Toc15377209"/>
      <w:bookmarkStart w:id="33" w:name="_Toc15396607"/>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8年一般公共预算财政拨款支出345.81万元，占本年支出合计的100</w:t>
      </w:r>
      <w:r>
        <w:rPr>
          <w:rFonts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drawing>
          <wp:anchor distT="0" distB="0" distL="114300" distR="114300" simplePos="0" relativeHeight="251677696" behindDoc="1" locked="0" layoutInCell="1" allowOverlap="1">
            <wp:simplePos x="0" y="0"/>
            <wp:positionH relativeFrom="column">
              <wp:posOffset>352425</wp:posOffset>
            </wp:positionH>
            <wp:positionV relativeFrom="paragraph">
              <wp:posOffset>737235</wp:posOffset>
            </wp:positionV>
            <wp:extent cx="4057650" cy="2743200"/>
            <wp:effectExtent l="19050" t="0" r="1905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themeColor="text1"/>
          <w:sz w:val="32"/>
          <w:szCs w:val="32"/>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政拨款支出345.81万元，主要用于以下方面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支出50.9万元，占15</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；医疗卫生支出10.06万元，占3</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；住房保障支出20.91万元，占6</w:t>
      </w:r>
      <w:r>
        <w:rPr>
          <w:rFonts w:ascii="仿宋" w:hAnsi="仿宋" w:eastAsia="仿宋"/>
          <w:color w:val="000000" w:themeColor="text1"/>
          <w:sz w:val="32"/>
          <w:szCs w:val="32"/>
        </w:rPr>
        <w:t>%</w:t>
      </w:r>
      <w:r>
        <w:rPr>
          <w:rFonts w:hint="eastAsia" w:ascii="仿宋" w:hAnsi="仿宋" w:eastAsia="仿宋"/>
          <w:color w:val="000000" w:themeColor="text1"/>
          <w:sz w:val="32"/>
          <w:szCs w:val="32"/>
        </w:rPr>
        <w:t>；城乡社区支出（类）支出263.95万元，占76%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ascii="仿宋" w:hAnsi="仿宋" w:eastAsia="仿宋"/>
          <w:b/>
          <w:color w:val="000000"/>
          <w:sz w:val="32"/>
          <w:szCs w:val="32"/>
        </w:rPr>
        <w:drawing>
          <wp:anchor distT="0" distB="0" distL="114300" distR="114300" simplePos="0" relativeHeight="251678720" behindDoc="0" locked="0" layoutInCell="1" allowOverlap="1">
            <wp:simplePos x="0" y="0"/>
            <wp:positionH relativeFrom="column">
              <wp:posOffset>428625</wp:posOffset>
            </wp:positionH>
            <wp:positionV relativeFrom="paragraph">
              <wp:posOffset>238125</wp:posOffset>
            </wp:positionV>
            <wp:extent cx="4476750" cy="2495550"/>
            <wp:effectExtent l="19050" t="0" r="19050" b="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8460"/>
      <w:bookmarkStart w:id="38" w:name="_Toc15377213"/>
      <w:bookmarkStart w:id="39" w:name="_Toc15377444"/>
      <w:r>
        <w:rPr>
          <w:rFonts w:hint="eastAsia" w:ascii="仿宋" w:hAnsi="仿宋" w:eastAsia="仿宋"/>
          <w:b/>
          <w:color w:val="000000" w:themeColor="text1"/>
          <w:sz w:val="32"/>
          <w:szCs w:val="32"/>
        </w:rPr>
        <w:t>2018年般公共预算支出决算数为345.81</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社会保障和就业（类）行政事业单位离退休（款）机关事业养老保险（项）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支出决算为36.5万元，机关事业单位职业年金：支出决算数为14.4万元，完成预算100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医疗卫生与计划生育（类）行政事业单位医疗（款）事业单位医疗（项）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支出决算为10.06万元，完成预算100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3.城乡社区支出（类）城乡社区管理事务（款）其城乡社区管理事务（项</w:t>
      </w:r>
      <w:r>
        <w:rPr>
          <w:rFonts w:hint="eastAsia" w:ascii="仿宋" w:hAnsi="仿宋" w:eastAsia="仿宋"/>
          <w:color w:val="000000"/>
          <w:sz w:val="32"/>
          <w:szCs w:val="32"/>
        </w:rPr>
        <w:t>）：支出决算数为,254.38万元，城乡社区公共设施（款）小城镇基础设施建设支出决算数9.61万元，完成预算100%</w:t>
      </w:r>
    </w:p>
    <w:p>
      <w:pPr>
        <w:spacing w:line="360" w:lineRule="auto"/>
        <w:rPr>
          <w:rFonts w:ascii="仿宋" w:hAnsi="仿宋" w:eastAsia="仿宋"/>
          <w:color w:val="000000"/>
          <w:sz w:val="32"/>
          <w:szCs w:val="32"/>
        </w:rPr>
      </w:pPr>
      <w:r>
        <w:rPr>
          <w:rFonts w:hint="eastAsia" w:ascii="仿宋" w:hAnsi="仿宋" w:eastAsia="仿宋"/>
          <w:b/>
          <w:color w:val="000000"/>
          <w:sz w:val="32"/>
          <w:szCs w:val="32"/>
        </w:rPr>
        <w:t>4.住房保障支出（类）住房改革支出（款）住房公积金：</w:t>
      </w:r>
      <w:r>
        <w:rPr>
          <w:rFonts w:hint="eastAsia" w:ascii="仿宋" w:hAnsi="仿宋" w:eastAsia="仿宋"/>
          <w:color w:val="000000"/>
          <w:sz w:val="32"/>
          <w:szCs w:val="32"/>
        </w:rPr>
        <w:t>支出决算数20.91万元，完成预算100%</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8年一般公共预算财政拨款基本支出336.2万元，其中：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286.72万元，主要包括：基本工资58.63万元、津贴补贴57.02万元、奖金37.78万元、伙食补助费1.02万元、绩效工资47.23万元、机关事业单位基本养老保险缴费36.5万元、职业年金缴费14.4万元、其他社会保障缴费3.17万元、基本医疗保险费缴费10.06万元、其他工资福利支出：住房公积金20.91。</w:t>
      </w:r>
      <w:r>
        <w:rPr>
          <w:rFonts w:ascii="仿宋" w:hAnsi="仿宋" w:eastAsia="仿宋"/>
          <w:color w:val="000000"/>
          <w:sz w:val="32"/>
          <w:szCs w:val="32"/>
        </w:rPr>
        <w:br w:type="textWrapping"/>
      </w:r>
      <w:r>
        <w:rPr>
          <w:rFonts w:hint="eastAsia" w:ascii="仿宋" w:hAnsi="仿宋" w:eastAsia="仿宋"/>
          <w:color w:val="000000"/>
          <w:sz w:val="32"/>
          <w:szCs w:val="32"/>
        </w:rPr>
        <w:t>　　公用经费49.48万元，主要包括：办公费5.68万元、差旅费2.4、公务用车运行维护费、0.08万元。办公设备购置1.31万元、公务用车购置40万元。</w:t>
      </w:r>
    </w:p>
    <w:p>
      <w:pPr>
        <w:spacing w:line="600" w:lineRule="exact"/>
        <w:ind w:firstLine="320" w:firstLineChars="10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8年“三公”经费财政拨款支出决算为40万元。</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8年“三公”经费财政拨款支出决算中，公务用车购置及运行维护费支出决算40.08万元，占100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drawing>
          <wp:anchor distT="0" distB="0" distL="114300" distR="114300" simplePos="0" relativeHeight="251679744" behindDoc="1" locked="0" layoutInCell="1" allowOverlap="1">
            <wp:simplePos x="0" y="0"/>
            <wp:positionH relativeFrom="column">
              <wp:posOffset>695325</wp:posOffset>
            </wp:positionH>
            <wp:positionV relativeFrom="paragraph">
              <wp:posOffset>38100</wp:posOffset>
            </wp:positionV>
            <wp:extent cx="3714750" cy="2000250"/>
            <wp:effectExtent l="19050" t="0" r="19050"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1</w:t>
      </w:r>
      <w:r>
        <w:rPr>
          <w:rFonts w:ascii="仿宋_GB2312" w:eastAsia="仿宋_GB2312"/>
          <w:b/>
          <w:color w:val="000000"/>
          <w:sz w:val="32"/>
          <w:szCs w:val="32"/>
        </w:rPr>
        <w:t>.</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40.08万元,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Theme="majorEastAsia" w:hAnsiTheme="majorEastAsia" w:eastAsiaTheme="majorEastAsia"/>
          <w:b/>
          <w:color w:val="000000"/>
          <w:sz w:val="32"/>
          <w:szCs w:val="32"/>
        </w:rPr>
      </w:pPr>
      <w:r>
        <w:rPr>
          <w:rFonts w:hint="eastAsia" w:asciiTheme="majorEastAsia" w:hAnsiTheme="majorEastAsia" w:eastAsiaTheme="majorEastAsia"/>
          <w:color w:val="000000"/>
          <w:sz w:val="32"/>
          <w:szCs w:val="32"/>
        </w:rPr>
        <w:t>其中：</w:t>
      </w:r>
      <w:r>
        <w:rPr>
          <w:rFonts w:hint="eastAsia" w:asciiTheme="majorEastAsia" w:hAnsiTheme="majorEastAsia" w:eastAsiaTheme="majorEastAsia"/>
          <w:b/>
          <w:color w:val="000000"/>
          <w:sz w:val="32"/>
          <w:szCs w:val="32"/>
        </w:rPr>
        <w:t>公务用车购置支出</w:t>
      </w:r>
      <w:r>
        <w:rPr>
          <w:rFonts w:hint="eastAsia" w:asciiTheme="majorEastAsia" w:hAnsiTheme="majorEastAsia" w:eastAsiaTheme="majorEastAsia"/>
          <w:color w:val="000000"/>
          <w:sz w:val="32"/>
          <w:szCs w:val="32"/>
        </w:rPr>
        <w:t>40万元。全年按规定更新购置公务用车1辆，其中：越野车1辆、金额40万元。截至</w:t>
      </w:r>
      <w:r>
        <w:rPr>
          <w:rFonts w:asciiTheme="majorEastAsia" w:hAnsiTheme="majorEastAsia" w:eastAsiaTheme="majorEastAsia"/>
          <w:color w:val="000000"/>
          <w:sz w:val="32"/>
          <w:szCs w:val="32"/>
        </w:rPr>
        <w:t>201</w:t>
      </w:r>
      <w:r>
        <w:rPr>
          <w:rFonts w:hint="eastAsia" w:asciiTheme="majorEastAsia" w:hAnsiTheme="majorEastAsia" w:eastAsiaTheme="majorEastAsia"/>
          <w:color w:val="000000"/>
          <w:sz w:val="32"/>
          <w:szCs w:val="32"/>
        </w:rPr>
        <w:t>8年</w:t>
      </w:r>
      <w:r>
        <w:rPr>
          <w:rFonts w:asciiTheme="majorEastAsia" w:hAnsiTheme="majorEastAsia" w:eastAsiaTheme="majorEastAsia"/>
          <w:color w:val="000000"/>
          <w:sz w:val="32"/>
          <w:szCs w:val="32"/>
        </w:rPr>
        <w:t>12</w:t>
      </w:r>
      <w:r>
        <w:rPr>
          <w:rFonts w:hint="eastAsia" w:asciiTheme="majorEastAsia" w:hAnsiTheme="majorEastAsia" w:eastAsiaTheme="majorEastAsia"/>
          <w:color w:val="000000"/>
          <w:sz w:val="32"/>
          <w:szCs w:val="32"/>
        </w:rPr>
        <w:t>月底，单位共有公务用车1辆，其中：越野车1辆。</w:t>
      </w:r>
      <w:bookmarkStart w:id="46" w:name="_Toc15377218"/>
      <w:bookmarkStart w:id="47" w:name="_Toc15396610"/>
    </w:p>
    <w:p>
      <w:pPr>
        <w:tabs>
          <w:tab w:val="left" w:pos="709"/>
        </w:tabs>
        <w:spacing w:line="600" w:lineRule="exact"/>
        <w:ind w:firstLine="480" w:firstLineChars="150"/>
        <w:outlineLvl w:val="1"/>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公务用车运行维护费0.08万元用于市场工作所需燃油费、维修费、过路过桥费等</w:t>
      </w:r>
    </w:p>
    <w:p>
      <w:pPr>
        <w:spacing w:line="600" w:lineRule="exact"/>
        <w:ind w:firstLine="640" w:firstLineChars="20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8年政府性基金预算拨款支出0万元。</w:t>
      </w:r>
    </w:p>
    <w:p>
      <w:pPr>
        <w:numPr>
          <w:ilvl w:val="0"/>
          <w:numId w:val="3"/>
        </w:numPr>
        <w:spacing w:line="600" w:lineRule="exact"/>
        <w:ind w:firstLine="640"/>
        <w:outlineLvl w:val="1"/>
        <w:rPr>
          <w:rStyle w:val="25"/>
          <w:rFonts w:ascii="黑体" w:hAnsi="黑体" w:eastAsia="黑体"/>
          <w:b w:val="0"/>
        </w:rPr>
      </w:pPr>
      <w:bookmarkStart w:id="48" w:name="_Toc15396611"/>
      <w:bookmarkStart w:id="49" w:name="_Toc15377219"/>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bookmarkStart w:id="50" w:name="_Toc15396612"/>
      <w:bookmarkStart w:id="51" w:name="_Toc15377221"/>
    </w:p>
    <w:p>
      <w:pPr>
        <w:spacing w:line="580" w:lineRule="exact"/>
        <w:ind w:firstLine="640" w:firstLineChars="200"/>
        <w:rPr>
          <w:rStyle w:val="25"/>
          <w:rFonts w:ascii="黑体" w:hAnsi="黑体" w:eastAsia="黑体"/>
        </w:rPr>
      </w:pPr>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8年，住房和城乡建设局质量监督站机关运行经费支出40.08万元，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8年，住房和城乡建设局质量监督站政府采购支出总额40万元，其中：政府采购货物支出40万元，占政府采购支出总额的100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日，住房和城乡建设局质量监督站共有车辆1辆，其中：一般公务用车1辆、。</w:t>
      </w:r>
    </w:p>
    <w:p>
      <w:pPr>
        <w:numPr>
          <w:ilvl w:val="0"/>
          <w:numId w:val="4"/>
        </w:numPr>
        <w:spacing w:line="600" w:lineRule="exact"/>
        <w:ind w:firstLine="663" w:firstLineChars="150"/>
        <w:jc w:val="center"/>
        <w:outlineLvl w:val="0"/>
        <w:rPr>
          <w:rFonts w:ascii="黑体" w:hAnsi="黑体" w:eastAsia="黑体"/>
          <w:bCs/>
          <w:kern w:val="44"/>
          <w:sz w:val="44"/>
          <w:szCs w:val="44"/>
        </w:rPr>
      </w:pPr>
      <w:bookmarkStart w:id="55" w:name="_Toc15396613"/>
      <w:bookmarkStart w:id="56"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城乡社区支出（类）其他城乡社区支出（款）其他城乡社区支出（项）是指反映除城乡社区支出规定科目以外的用于城乡社区方面的支出，城乡社区公共设施（款）小城镇基础设施建设（项）是指反应用于小城镇路，气、水、电等基本方面</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离退休（款）机关事业单位基本养老保险（项）：指反应各机关事业基本养老保险由单位缴纳的基本养老保险费支出。机关事业单位职业年金缴费（项）是指反应机关事业单位实施养老保险制度由单位缴纳的职业年金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医疗卫生与计划生育（类）行政事业单位医疗（款）事业单位医疗（项）：指反应财政部门集中安排的事业单位基本医疗保险费缴费。。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w:t>
      </w:r>
      <w:r>
        <w:rPr>
          <w:rFonts w:ascii="仿宋_GB2312" w:eastAsia="仿宋_GB2312"/>
          <w:color w:val="000000"/>
          <w:sz w:val="32"/>
          <w:szCs w:val="32"/>
        </w:rPr>
        <w:t>.</w:t>
      </w:r>
      <w:r>
        <w:rPr>
          <w:rFonts w:hint="eastAsia" w:ascii="仿宋_GB2312" w:eastAsia="仿宋_GB2312"/>
          <w:color w:val="000000"/>
          <w:sz w:val="32"/>
          <w:szCs w:val="32"/>
        </w:rPr>
        <w:t>住房保障（类）住房改革支出（款）住房公积金（项）：指反应行政事业单位按照人力资源和社会保障部、财政部规定的基本工资以及津贴补贴以及规定</w:t>
      </w:r>
      <w:r>
        <w:rPr>
          <w:rFonts w:hint="eastAsia" w:ascii="仿宋_GB2312" w:eastAsia="仿宋_GB2312"/>
          <w:color w:val="000000"/>
          <w:sz w:val="32"/>
          <w:szCs w:val="32"/>
          <w:lang w:eastAsia="zh-CN"/>
        </w:rPr>
        <w:t>比例为</w:t>
      </w:r>
      <w:r>
        <w:rPr>
          <w:rFonts w:hint="eastAsia" w:ascii="仿宋_GB2312" w:eastAsia="仿宋_GB2312"/>
          <w:color w:val="000000"/>
          <w:sz w:val="32"/>
          <w:szCs w:val="32"/>
        </w:rPr>
        <w:t>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Style w:val="24"/>
          <w:rFonts w:ascii="仿宋_GB2312" w:hAnsi="Calibri" w:eastAsia="仿宋_GB2312"/>
          <w:b w:val="0"/>
          <w:bCs w:val="0"/>
          <w:kern w:val="0"/>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w:t>
      </w:r>
      <w:bookmarkStart w:id="57" w:name="_Toc15377226"/>
    </w:p>
    <w:p>
      <w:pPr>
        <w:spacing w:line="600" w:lineRule="exact"/>
        <w:jc w:val="center"/>
        <w:outlineLvl w:val="0"/>
        <w:rPr>
          <w:rStyle w:val="24"/>
          <w:rFonts w:ascii="黑体" w:hAnsi="黑体" w:eastAsia="黑体"/>
          <w:b w:val="0"/>
        </w:rPr>
      </w:pPr>
      <w:bookmarkStart w:id="58" w:name="_Toc15396618"/>
      <w:r>
        <w:rPr>
          <w:rFonts w:hint="eastAsia" w:ascii="黑体" w:hAnsi="黑体" w:eastAsia="黑体"/>
          <w:color w:val="000000"/>
          <w:sz w:val="44"/>
          <w:szCs w:val="44"/>
        </w:rPr>
        <w:t>第</w:t>
      </w:r>
      <w:r>
        <w:rPr>
          <w:rStyle w:val="24"/>
          <w:rFonts w:hint="eastAsia" w:ascii="黑体" w:hAnsi="黑体" w:eastAsia="黑体"/>
          <w:b w:val="0"/>
        </w:rPr>
        <w:t xml:space="preserve">四部分 </w:t>
      </w:r>
      <w:bookmarkEnd w:id="57"/>
      <w:bookmarkEnd w:id="58"/>
      <w:bookmarkStart w:id="59" w:name="_Toc15396619"/>
      <w:r>
        <w:rPr>
          <w:rStyle w:val="24"/>
          <w:rFonts w:hint="eastAsia" w:ascii="黑体" w:hAnsi="黑体" w:eastAsia="黑体"/>
          <w:b w:val="0"/>
        </w:rPr>
        <w:t>附表</w:t>
      </w:r>
    </w:p>
    <w:p>
      <w:pPr>
        <w:spacing w:line="600" w:lineRule="exact"/>
        <w:outlineLvl w:val="0"/>
        <w:rPr>
          <w:rStyle w:val="25"/>
          <w:rFonts w:asciiTheme="majorEastAsia" w:hAnsiTheme="majorEastAsia"/>
          <w:b w:val="0"/>
        </w:rPr>
      </w:pPr>
      <w:r>
        <w:rPr>
          <w:rFonts w:hint="eastAsia" w:asciiTheme="majorEastAsia" w:hAnsiTheme="majorEastAsia" w:eastAsiaTheme="majorEastAsia"/>
          <w:color w:val="000000"/>
          <w:sz w:val="32"/>
          <w:szCs w:val="32"/>
        </w:rPr>
        <w:t>一、收</w:t>
      </w:r>
      <w:r>
        <w:rPr>
          <w:rStyle w:val="25"/>
          <w:rFonts w:hint="eastAsia" w:asciiTheme="majorEastAsia" w:hAnsiTheme="majorEastAsia"/>
          <w:b w:val="0"/>
        </w:rPr>
        <w:t>入支出决算总表</w:t>
      </w:r>
      <w:bookmarkEnd w:id="59"/>
      <w:bookmarkStart w:id="60" w:name="_Toc15396620"/>
    </w:p>
    <w:p>
      <w:pPr>
        <w:spacing w:line="600" w:lineRule="exact"/>
        <w:outlineLvl w:val="0"/>
        <w:rPr>
          <w:rStyle w:val="25"/>
          <w:rFonts w:asciiTheme="majorEastAsia" w:hAnsiTheme="majorEastAsia"/>
          <w:b w:val="0"/>
        </w:rPr>
      </w:pPr>
      <w:r>
        <w:rPr>
          <w:rFonts w:hint="eastAsia" w:asciiTheme="majorEastAsia" w:hAnsiTheme="majorEastAsia" w:eastAsiaTheme="majorEastAsia"/>
          <w:color w:val="000000"/>
          <w:sz w:val="32"/>
          <w:szCs w:val="32"/>
        </w:rPr>
        <w:t>二、收</w:t>
      </w:r>
      <w:r>
        <w:rPr>
          <w:rStyle w:val="25"/>
          <w:rFonts w:hint="eastAsia" w:asciiTheme="majorEastAsia" w:hAnsiTheme="majorEastAsia"/>
          <w:b w:val="0"/>
        </w:rPr>
        <w:t>入总表</w:t>
      </w:r>
      <w:bookmarkEnd w:id="60"/>
      <w:bookmarkStart w:id="61" w:name="_Toc15396621"/>
    </w:p>
    <w:p>
      <w:pPr>
        <w:spacing w:line="600" w:lineRule="exact"/>
        <w:outlineLvl w:val="0"/>
        <w:rPr>
          <w:rStyle w:val="25"/>
          <w:rFonts w:asciiTheme="majorEastAsia" w:hAnsiTheme="majorEastAsia"/>
          <w:b w:val="0"/>
        </w:rPr>
      </w:pPr>
      <w:r>
        <w:rPr>
          <w:rStyle w:val="25"/>
          <w:rFonts w:hint="eastAsia" w:asciiTheme="majorEastAsia" w:hAnsiTheme="majorEastAsia"/>
          <w:b w:val="0"/>
        </w:rPr>
        <w:t>三、</w:t>
      </w:r>
      <w:r>
        <w:rPr>
          <w:rFonts w:hint="eastAsia" w:asciiTheme="majorEastAsia" w:hAnsiTheme="majorEastAsia" w:eastAsiaTheme="majorEastAsia"/>
          <w:color w:val="000000"/>
          <w:sz w:val="32"/>
          <w:szCs w:val="32"/>
        </w:rPr>
        <w:t>支</w:t>
      </w:r>
      <w:r>
        <w:rPr>
          <w:rStyle w:val="25"/>
          <w:rFonts w:hint="eastAsia" w:asciiTheme="majorEastAsia" w:hAnsiTheme="majorEastAsia"/>
          <w:b w:val="0"/>
        </w:rPr>
        <w:t>出总表</w:t>
      </w:r>
      <w:bookmarkEnd w:id="61"/>
      <w:bookmarkStart w:id="62" w:name="_Toc15396622"/>
    </w:p>
    <w:p>
      <w:pPr>
        <w:spacing w:line="600" w:lineRule="exact"/>
        <w:outlineLvl w:val="0"/>
        <w:rPr>
          <w:rStyle w:val="25"/>
          <w:rFonts w:asciiTheme="majorEastAsia" w:hAnsiTheme="majorEastAsia"/>
          <w:b w:val="0"/>
        </w:rPr>
      </w:pPr>
      <w:r>
        <w:rPr>
          <w:rStyle w:val="25"/>
          <w:rFonts w:hint="eastAsia" w:asciiTheme="majorEastAsia" w:hAnsiTheme="majorEastAsia"/>
          <w:b w:val="0"/>
        </w:rPr>
        <w:t>四、</w:t>
      </w:r>
      <w:r>
        <w:rPr>
          <w:rFonts w:hint="eastAsia" w:asciiTheme="majorEastAsia" w:hAnsiTheme="majorEastAsia" w:eastAsiaTheme="majorEastAsia"/>
          <w:color w:val="000000"/>
          <w:sz w:val="32"/>
          <w:szCs w:val="32"/>
        </w:rPr>
        <w:t>财</w:t>
      </w:r>
      <w:r>
        <w:rPr>
          <w:rStyle w:val="25"/>
          <w:rFonts w:hint="eastAsia" w:asciiTheme="majorEastAsia" w:hAnsiTheme="majorEastAsia"/>
          <w:b w:val="0"/>
        </w:rPr>
        <w:t>政拨款收入支出决算总表</w:t>
      </w:r>
      <w:bookmarkEnd w:id="62"/>
      <w:bookmarkStart w:id="63" w:name="_Toc15396623"/>
    </w:p>
    <w:p>
      <w:pPr>
        <w:spacing w:line="600" w:lineRule="exact"/>
        <w:outlineLvl w:val="0"/>
        <w:rPr>
          <w:rStyle w:val="25"/>
          <w:rFonts w:asciiTheme="majorEastAsia" w:hAnsiTheme="majorEastAsia"/>
          <w:b w:val="0"/>
        </w:rPr>
      </w:pPr>
      <w:r>
        <w:rPr>
          <w:rStyle w:val="25"/>
          <w:rFonts w:hint="eastAsia" w:asciiTheme="majorEastAsia" w:hAnsiTheme="majorEastAsia"/>
          <w:b w:val="0"/>
        </w:rPr>
        <w:t>五、</w:t>
      </w:r>
      <w:r>
        <w:rPr>
          <w:rFonts w:hint="eastAsia" w:asciiTheme="majorEastAsia" w:hAnsiTheme="majorEastAsia" w:eastAsiaTheme="majorEastAsia"/>
          <w:color w:val="000000"/>
          <w:sz w:val="32"/>
          <w:szCs w:val="32"/>
        </w:rPr>
        <w:t>财</w:t>
      </w:r>
      <w:r>
        <w:rPr>
          <w:rStyle w:val="25"/>
          <w:rFonts w:hint="eastAsia" w:asciiTheme="majorEastAsia" w:hAnsiTheme="majorEastAsia"/>
          <w:b w:val="0"/>
        </w:rPr>
        <w:t>政拨款支出决算明细表（政府经济分类科目）</w:t>
      </w:r>
      <w:bookmarkEnd w:id="63"/>
      <w:bookmarkStart w:id="64" w:name="_Toc15396624"/>
    </w:p>
    <w:p>
      <w:pPr>
        <w:spacing w:line="600" w:lineRule="exact"/>
        <w:outlineLvl w:val="0"/>
        <w:rPr>
          <w:rStyle w:val="25"/>
          <w:rFonts w:asciiTheme="majorEastAsia" w:hAnsiTheme="majorEastAsia"/>
          <w:b w:val="0"/>
        </w:rPr>
      </w:pPr>
      <w:r>
        <w:rPr>
          <w:rStyle w:val="25"/>
          <w:rFonts w:hint="eastAsia" w:asciiTheme="majorEastAsia" w:hAnsiTheme="majorEastAsia"/>
          <w:b w:val="0"/>
        </w:rPr>
        <w:t>六、</w:t>
      </w:r>
      <w:r>
        <w:rPr>
          <w:rFonts w:hint="eastAsia" w:asciiTheme="majorEastAsia" w:hAnsiTheme="majorEastAsia" w:eastAsiaTheme="majorEastAsia"/>
          <w:color w:val="000000"/>
          <w:sz w:val="32"/>
          <w:szCs w:val="32"/>
        </w:rPr>
        <w:t>一</w:t>
      </w:r>
      <w:r>
        <w:rPr>
          <w:rStyle w:val="25"/>
          <w:rFonts w:hint="eastAsia" w:asciiTheme="majorEastAsia" w:hAnsiTheme="majorEastAsia"/>
          <w:b w:val="0"/>
        </w:rPr>
        <w:t>般公共预算财政拨款支出决算表</w:t>
      </w:r>
      <w:bookmarkEnd w:id="64"/>
      <w:bookmarkStart w:id="65" w:name="_Toc15396625"/>
    </w:p>
    <w:p>
      <w:pPr>
        <w:spacing w:line="600" w:lineRule="exact"/>
        <w:outlineLvl w:val="0"/>
        <w:rPr>
          <w:rStyle w:val="25"/>
          <w:rFonts w:asciiTheme="majorEastAsia" w:hAnsiTheme="majorEastAsia"/>
          <w:b w:val="0"/>
        </w:rPr>
      </w:pPr>
      <w:r>
        <w:rPr>
          <w:rStyle w:val="25"/>
          <w:rFonts w:hint="eastAsia" w:asciiTheme="majorEastAsia" w:hAnsiTheme="majorEastAsia"/>
          <w:b w:val="0"/>
        </w:rPr>
        <w:t>七、</w:t>
      </w:r>
      <w:r>
        <w:rPr>
          <w:rFonts w:hint="eastAsia" w:asciiTheme="majorEastAsia" w:hAnsiTheme="majorEastAsia" w:eastAsiaTheme="majorEastAsia"/>
          <w:color w:val="000000"/>
          <w:sz w:val="32"/>
          <w:szCs w:val="32"/>
        </w:rPr>
        <w:t>一</w:t>
      </w:r>
      <w:r>
        <w:rPr>
          <w:rStyle w:val="25"/>
          <w:rFonts w:hint="eastAsia" w:asciiTheme="majorEastAsia" w:hAnsiTheme="majorEastAsia"/>
          <w:b w:val="0"/>
        </w:rPr>
        <w:t>般公共预算财政拨款支出决算明细表</w:t>
      </w:r>
      <w:bookmarkEnd w:id="65"/>
      <w:bookmarkStart w:id="66" w:name="_Toc15396626"/>
    </w:p>
    <w:p>
      <w:pPr>
        <w:spacing w:line="600" w:lineRule="exact"/>
        <w:outlineLvl w:val="0"/>
        <w:rPr>
          <w:rStyle w:val="25"/>
          <w:rFonts w:asciiTheme="majorEastAsia" w:hAnsiTheme="majorEastAsia"/>
          <w:b w:val="0"/>
        </w:rPr>
      </w:pPr>
      <w:r>
        <w:rPr>
          <w:rStyle w:val="25"/>
          <w:rFonts w:hint="eastAsia" w:asciiTheme="majorEastAsia" w:hAnsiTheme="majorEastAsia"/>
          <w:b w:val="0"/>
        </w:rPr>
        <w:t>八、</w:t>
      </w:r>
      <w:r>
        <w:rPr>
          <w:rFonts w:hint="eastAsia" w:asciiTheme="majorEastAsia" w:hAnsiTheme="majorEastAsia" w:eastAsiaTheme="majorEastAsia"/>
          <w:color w:val="000000"/>
          <w:sz w:val="32"/>
          <w:szCs w:val="32"/>
        </w:rPr>
        <w:t>一</w:t>
      </w:r>
      <w:r>
        <w:rPr>
          <w:rStyle w:val="25"/>
          <w:rFonts w:hint="eastAsia" w:asciiTheme="majorEastAsia" w:hAnsiTheme="majorEastAsia"/>
          <w:b w:val="0"/>
        </w:rPr>
        <w:t>般公共预算财政拨款基本支出决算表</w:t>
      </w:r>
      <w:bookmarkEnd w:id="66"/>
      <w:bookmarkStart w:id="67" w:name="_Toc15396627"/>
    </w:p>
    <w:p>
      <w:pPr>
        <w:spacing w:line="600" w:lineRule="exact"/>
        <w:outlineLvl w:val="0"/>
        <w:rPr>
          <w:rStyle w:val="25"/>
          <w:rFonts w:asciiTheme="majorEastAsia" w:hAnsiTheme="majorEastAsia"/>
          <w:b w:val="0"/>
        </w:rPr>
      </w:pPr>
      <w:r>
        <w:rPr>
          <w:rStyle w:val="25"/>
          <w:rFonts w:hint="eastAsia" w:asciiTheme="majorEastAsia" w:hAnsiTheme="majorEastAsia"/>
          <w:b w:val="0"/>
        </w:rPr>
        <w:t>九、</w:t>
      </w:r>
      <w:r>
        <w:rPr>
          <w:rFonts w:hint="eastAsia" w:asciiTheme="majorEastAsia" w:hAnsiTheme="majorEastAsia" w:eastAsiaTheme="majorEastAsia"/>
          <w:color w:val="000000"/>
          <w:sz w:val="32"/>
          <w:szCs w:val="32"/>
        </w:rPr>
        <w:t>一</w:t>
      </w:r>
      <w:r>
        <w:rPr>
          <w:rStyle w:val="25"/>
          <w:rFonts w:hint="eastAsia" w:asciiTheme="majorEastAsia" w:hAnsiTheme="majorEastAsia"/>
          <w:b w:val="0"/>
        </w:rPr>
        <w:t>般公共预算财政拨款项目支出决算表</w:t>
      </w:r>
      <w:bookmarkEnd w:id="67"/>
      <w:bookmarkStart w:id="68" w:name="_Toc15396628"/>
    </w:p>
    <w:p>
      <w:pPr>
        <w:spacing w:line="600" w:lineRule="exact"/>
        <w:outlineLvl w:val="0"/>
        <w:rPr>
          <w:rStyle w:val="25"/>
          <w:rFonts w:asciiTheme="majorEastAsia" w:hAnsiTheme="majorEastAsia"/>
          <w:b w:val="0"/>
        </w:rPr>
      </w:pPr>
      <w:r>
        <w:rPr>
          <w:rStyle w:val="25"/>
          <w:rFonts w:hint="eastAsia" w:asciiTheme="majorEastAsia" w:hAnsiTheme="majorEastAsia"/>
          <w:b w:val="0"/>
        </w:rPr>
        <w:t>十、</w:t>
      </w:r>
      <w:r>
        <w:rPr>
          <w:rFonts w:hint="eastAsia" w:asciiTheme="majorEastAsia" w:hAnsiTheme="majorEastAsia" w:eastAsiaTheme="majorEastAsia"/>
          <w:color w:val="000000"/>
          <w:sz w:val="32"/>
          <w:szCs w:val="32"/>
        </w:rPr>
        <w:t>一</w:t>
      </w:r>
      <w:r>
        <w:rPr>
          <w:rStyle w:val="25"/>
          <w:rFonts w:hint="eastAsia" w:asciiTheme="majorEastAsia" w:hAnsiTheme="majorEastAsia"/>
          <w:b w:val="0"/>
        </w:rPr>
        <w:t>般公共预算财政拨款“三公”经费支出决算表</w:t>
      </w:r>
      <w:bookmarkEnd w:id="68"/>
      <w:bookmarkStart w:id="69" w:name="_Toc15396629"/>
    </w:p>
    <w:p>
      <w:pPr>
        <w:spacing w:line="600" w:lineRule="exact"/>
        <w:outlineLvl w:val="0"/>
        <w:rPr>
          <w:rFonts w:asciiTheme="majorEastAsia" w:hAnsiTheme="majorEastAsia" w:eastAsiaTheme="majorEastAsia" w:cstheme="majorBidi"/>
          <w:bCs/>
          <w:sz w:val="32"/>
          <w:szCs w:val="32"/>
        </w:rPr>
      </w:pPr>
      <w:r>
        <w:rPr>
          <w:rStyle w:val="25"/>
          <w:rFonts w:hint="eastAsia" w:asciiTheme="majorEastAsia" w:hAnsiTheme="majorEastAsia"/>
          <w:b w:val="0"/>
        </w:rPr>
        <w:t>十一、</w:t>
      </w:r>
      <w:r>
        <w:rPr>
          <w:rFonts w:hint="eastAsia" w:asciiTheme="majorEastAsia" w:hAnsiTheme="majorEastAsia" w:eastAsiaTheme="majorEastAsia"/>
          <w:color w:val="000000"/>
          <w:sz w:val="32"/>
          <w:szCs w:val="32"/>
        </w:rPr>
        <w:t>政</w:t>
      </w:r>
      <w:r>
        <w:rPr>
          <w:rStyle w:val="25"/>
          <w:rFonts w:hint="eastAsia" w:asciiTheme="majorEastAsia" w:hAnsiTheme="majorEastAsia"/>
          <w:b w:val="0"/>
        </w:rPr>
        <w:t>府性基金预算财政拨款收入支出决算表</w:t>
      </w:r>
      <w:bookmarkEnd w:id="69"/>
    </w:p>
    <w:p>
      <w:pPr>
        <w:pStyle w:val="3"/>
        <w:rPr>
          <w:rFonts w:ascii="仿宋" w:hAnsi="仿宋" w:eastAsia="仿宋"/>
          <w:color w:val="000000"/>
        </w:rPr>
      </w:pPr>
      <w:bookmarkStart w:id="70"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0"/>
    </w:p>
    <w:p>
      <w:pPr>
        <w:pStyle w:val="3"/>
        <w:rPr>
          <w:rFonts w:ascii="仿宋" w:hAnsi="仿宋" w:eastAsia="仿宋"/>
          <w:color w:val="000000" w:themeColor="text1"/>
        </w:rPr>
      </w:pPr>
      <w:bookmarkStart w:id="71"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07E6B"/>
    <w:rsid w:val="000216FF"/>
    <w:rsid w:val="000222C6"/>
    <w:rsid w:val="0002549F"/>
    <w:rsid w:val="00042654"/>
    <w:rsid w:val="000428A8"/>
    <w:rsid w:val="0006487A"/>
    <w:rsid w:val="00065F8F"/>
    <w:rsid w:val="00072828"/>
    <w:rsid w:val="000768F2"/>
    <w:rsid w:val="0009184B"/>
    <w:rsid w:val="0009360B"/>
    <w:rsid w:val="0009593C"/>
    <w:rsid w:val="00095BEF"/>
    <w:rsid w:val="000B047F"/>
    <w:rsid w:val="000B5923"/>
    <w:rsid w:val="000B5A48"/>
    <w:rsid w:val="000B6FF3"/>
    <w:rsid w:val="000C3467"/>
    <w:rsid w:val="000C3CA6"/>
    <w:rsid w:val="000D1267"/>
    <w:rsid w:val="000D1D50"/>
    <w:rsid w:val="000D5782"/>
    <w:rsid w:val="000E6613"/>
    <w:rsid w:val="000E7119"/>
    <w:rsid w:val="0010108F"/>
    <w:rsid w:val="00114E9B"/>
    <w:rsid w:val="00132177"/>
    <w:rsid w:val="0014729F"/>
    <w:rsid w:val="00157BAB"/>
    <w:rsid w:val="001654D1"/>
    <w:rsid w:val="0018106D"/>
    <w:rsid w:val="001877A7"/>
    <w:rsid w:val="00191536"/>
    <w:rsid w:val="00196687"/>
    <w:rsid w:val="001C0962"/>
    <w:rsid w:val="001C7AC6"/>
    <w:rsid w:val="001D5120"/>
    <w:rsid w:val="001D7531"/>
    <w:rsid w:val="001E737D"/>
    <w:rsid w:val="001F0592"/>
    <w:rsid w:val="001F7506"/>
    <w:rsid w:val="002006CD"/>
    <w:rsid w:val="00202B36"/>
    <w:rsid w:val="00204B7A"/>
    <w:rsid w:val="0021101A"/>
    <w:rsid w:val="00220536"/>
    <w:rsid w:val="00235629"/>
    <w:rsid w:val="00260C38"/>
    <w:rsid w:val="002616C0"/>
    <w:rsid w:val="00264629"/>
    <w:rsid w:val="002662AA"/>
    <w:rsid w:val="00280496"/>
    <w:rsid w:val="00295495"/>
    <w:rsid w:val="0029718B"/>
    <w:rsid w:val="002B2613"/>
    <w:rsid w:val="002F1818"/>
    <w:rsid w:val="002F3034"/>
    <w:rsid w:val="002F567B"/>
    <w:rsid w:val="003171EA"/>
    <w:rsid w:val="003216A9"/>
    <w:rsid w:val="00327850"/>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0984"/>
    <w:rsid w:val="00434489"/>
    <w:rsid w:val="00437085"/>
    <w:rsid w:val="00443880"/>
    <w:rsid w:val="004464F4"/>
    <w:rsid w:val="00471401"/>
    <w:rsid w:val="00473F31"/>
    <w:rsid w:val="0048263A"/>
    <w:rsid w:val="00487E5D"/>
    <w:rsid w:val="0049270A"/>
    <w:rsid w:val="004A68CF"/>
    <w:rsid w:val="004A711F"/>
    <w:rsid w:val="004B199D"/>
    <w:rsid w:val="004B4690"/>
    <w:rsid w:val="004C014E"/>
    <w:rsid w:val="004E0A2D"/>
    <w:rsid w:val="004E206B"/>
    <w:rsid w:val="004E6DF7"/>
    <w:rsid w:val="004F0FBD"/>
    <w:rsid w:val="00505A47"/>
    <w:rsid w:val="00512FDA"/>
    <w:rsid w:val="00520DA0"/>
    <w:rsid w:val="00540786"/>
    <w:rsid w:val="005664BB"/>
    <w:rsid w:val="0057481D"/>
    <w:rsid w:val="0058486E"/>
    <w:rsid w:val="00591BE5"/>
    <w:rsid w:val="005D1C8B"/>
    <w:rsid w:val="005D5CED"/>
    <w:rsid w:val="005F1A4C"/>
    <w:rsid w:val="00605688"/>
    <w:rsid w:val="006070AF"/>
    <w:rsid w:val="00607E6C"/>
    <w:rsid w:val="006101B1"/>
    <w:rsid w:val="00614E44"/>
    <w:rsid w:val="00622830"/>
    <w:rsid w:val="00625C2D"/>
    <w:rsid w:val="00630AEF"/>
    <w:rsid w:val="006325F8"/>
    <w:rsid w:val="00634C9A"/>
    <w:rsid w:val="00636800"/>
    <w:rsid w:val="00637F55"/>
    <w:rsid w:val="006440E4"/>
    <w:rsid w:val="0066343B"/>
    <w:rsid w:val="00664777"/>
    <w:rsid w:val="00672385"/>
    <w:rsid w:val="00672539"/>
    <w:rsid w:val="006748A4"/>
    <w:rsid w:val="00683E73"/>
    <w:rsid w:val="0068710F"/>
    <w:rsid w:val="006A3141"/>
    <w:rsid w:val="006A5E34"/>
    <w:rsid w:val="006B2422"/>
    <w:rsid w:val="006B2B9A"/>
    <w:rsid w:val="006C1937"/>
    <w:rsid w:val="006F020C"/>
    <w:rsid w:val="007127B7"/>
    <w:rsid w:val="00727479"/>
    <w:rsid w:val="007416B6"/>
    <w:rsid w:val="00746F48"/>
    <w:rsid w:val="0075404D"/>
    <w:rsid w:val="0076182A"/>
    <w:rsid w:val="00767B7E"/>
    <w:rsid w:val="007770C3"/>
    <w:rsid w:val="00784D24"/>
    <w:rsid w:val="0078546B"/>
    <w:rsid w:val="00785FBA"/>
    <w:rsid w:val="00786E4A"/>
    <w:rsid w:val="007875EB"/>
    <w:rsid w:val="0079426B"/>
    <w:rsid w:val="007D312A"/>
    <w:rsid w:val="007D3F19"/>
    <w:rsid w:val="007E0AF5"/>
    <w:rsid w:val="007E23B0"/>
    <w:rsid w:val="007F1991"/>
    <w:rsid w:val="007F2C2F"/>
    <w:rsid w:val="007F55FC"/>
    <w:rsid w:val="007F5665"/>
    <w:rsid w:val="007F6DBE"/>
    <w:rsid w:val="00800112"/>
    <w:rsid w:val="008253BB"/>
    <w:rsid w:val="0083706E"/>
    <w:rsid w:val="008423A5"/>
    <w:rsid w:val="00850625"/>
    <w:rsid w:val="00853718"/>
    <w:rsid w:val="00855221"/>
    <w:rsid w:val="00860645"/>
    <w:rsid w:val="008701BC"/>
    <w:rsid w:val="00871F71"/>
    <w:rsid w:val="00885AF4"/>
    <w:rsid w:val="008939CD"/>
    <w:rsid w:val="008B768C"/>
    <w:rsid w:val="008C2C4F"/>
    <w:rsid w:val="008C4DB1"/>
    <w:rsid w:val="008C4EAF"/>
    <w:rsid w:val="008C5176"/>
    <w:rsid w:val="008C7FD0"/>
    <w:rsid w:val="008E1DE7"/>
    <w:rsid w:val="008E5E5F"/>
    <w:rsid w:val="008E707C"/>
    <w:rsid w:val="00900B08"/>
    <w:rsid w:val="00902155"/>
    <w:rsid w:val="00902FA3"/>
    <w:rsid w:val="009030E9"/>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C39F7"/>
    <w:rsid w:val="009D3447"/>
    <w:rsid w:val="009D4711"/>
    <w:rsid w:val="009E6423"/>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A25DC"/>
    <w:rsid w:val="00AC3C6A"/>
    <w:rsid w:val="00AC4CD2"/>
    <w:rsid w:val="00AD403D"/>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2D13"/>
    <w:rsid w:val="00B841F1"/>
    <w:rsid w:val="00B944D6"/>
    <w:rsid w:val="00BB4DF0"/>
    <w:rsid w:val="00BB5F68"/>
    <w:rsid w:val="00BC289F"/>
    <w:rsid w:val="00BC5361"/>
    <w:rsid w:val="00BC5460"/>
    <w:rsid w:val="00BC6B50"/>
    <w:rsid w:val="00BD0E25"/>
    <w:rsid w:val="00BF319D"/>
    <w:rsid w:val="00BF5BD6"/>
    <w:rsid w:val="00C03E31"/>
    <w:rsid w:val="00C33E72"/>
    <w:rsid w:val="00C354B2"/>
    <w:rsid w:val="00C35554"/>
    <w:rsid w:val="00C42599"/>
    <w:rsid w:val="00C42709"/>
    <w:rsid w:val="00C533CC"/>
    <w:rsid w:val="00C5751C"/>
    <w:rsid w:val="00C61BFC"/>
    <w:rsid w:val="00C62B85"/>
    <w:rsid w:val="00C65438"/>
    <w:rsid w:val="00C850CE"/>
    <w:rsid w:val="00C91CBB"/>
    <w:rsid w:val="00CB78E3"/>
    <w:rsid w:val="00CC09B6"/>
    <w:rsid w:val="00CC3D0D"/>
    <w:rsid w:val="00CC666F"/>
    <w:rsid w:val="00CD1E3F"/>
    <w:rsid w:val="00CE44F6"/>
    <w:rsid w:val="00CE49DA"/>
    <w:rsid w:val="00CE7B61"/>
    <w:rsid w:val="00CF2A35"/>
    <w:rsid w:val="00D00095"/>
    <w:rsid w:val="00D12BD2"/>
    <w:rsid w:val="00D20620"/>
    <w:rsid w:val="00D26091"/>
    <w:rsid w:val="00D34E7C"/>
    <w:rsid w:val="00D35489"/>
    <w:rsid w:val="00D43753"/>
    <w:rsid w:val="00D45F30"/>
    <w:rsid w:val="00D51276"/>
    <w:rsid w:val="00D7035F"/>
    <w:rsid w:val="00DA65AC"/>
    <w:rsid w:val="00DB1913"/>
    <w:rsid w:val="00DC410D"/>
    <w:rsid w:val="00DC60EF"/>
    <w:rsid w:val="00DC68CA"/>
    <w:rsid w:val="00DC7CBA"/>
    <w:rsid w:val="00DD73B7"/>
    <w:rsid w:val="00DF28BC"/>
    <w:rsid w:val="00DF34B9"/>
    <w:rsid w:val="00E01053"/>
    <w:rsid w:val="00E0488F"/>
    <w:rsid w:val="00E07ACF"/>
    <w:rsid w:val="00E331A1"/>
    <w:rsid w:val="00E33202"/>
    <w:rsid w:val="00E336A9"/>
    <w:rsid w:val="00E50624"/>
    <w:rsid w:val="00E568DF"/>
    <w:rsid w:val="00E64269"/>
    <w:rsid w:val="00E82267"/>
    <w:rsid w:val="00EA010F"/>
    <w:rsid w:val="00EA6756"/>
    <w:rsid w:val="00EB7F1F"/>
    <w:rsid w:val="00ED1B63"/>
    <w:rsid w:val="00ED3C1F"/>
    <w:rsid w:val="00ED4085"/>
    <w:rsid w:val="00ED420E"/>
    <w:rsid w:val="00EE2F57"/>
    <w:rsid w:val="00EF4C34"/>
    <w:rsid w:val="00EF77C6"/>
    <w:rsid w:val="00F05438"/>
    <w:rsid w:val="00F1361C"/>
    <w:rsid w:val="00F160C7"/>
    <w:rsid w:val="00F36D8F"/>
    <w:rsid w:val="00F417B1"/>
    <w:rsid w:val="00F438D3"/>
    <w:rsid w:val="00F602DF"/>
    <w:rsid w:val="00F61B31"/>
    <w:rsid w:val="00F6793D"/>
    <w:rsid w:val="00F81FD9"/>
    <w:rsid w:val="00F841AA"/>
    <w:rsid w:val="00FA23E8"/>
    <w:rsid w:val="00FD3CC1"/>
    <w:rsid w:val="00FF1E02"/>
    <w:rsid w:val="00FF30B4"/>
    <w:rsid w:val="00FF58BF"/>
    <w:rsid w:val="10C055FF"/>
    <w:rsid w:val="16BB723D"/>
    <w:rsid w:val="240371BF"/>
    <w:rsid w:val="29FD04D3"/>
    <w:rsid w:val="2A3D4E17"/>
    <w:rsid w:val="319F7F4E"/>
    <w:rsid w:val="4FCC5558"/>
    <w:rsid w:val="578A13A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locked/>
    <w:uiPriority w:val="99"/>
    <w:rPr>
      <w:rFonts w:ascii="仿宋_GB2312" w:hAnsi="Times New Roman" w:eastAsia="仿宋_GB2312"/>
      <w:sz w:val="24"/>
    </w:rPr>
  </w:style>
  <w:style w:type="paragraph" w:customStyle="1" w:styleId="22">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收入、支出</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2018年收入</c:v>
                </c:pt>
                <c:pt idx="1">
                  <c:v>2018年支出</c:v>
                </c:pt>
              </c:strCache>
            </c:strRef>
          </c:cat>
          <c:val>
            <c:numRef>
              <c:f>Sheet1!$B$2:$B$3</c:f>
              <c:numCache>
                <c:formatCode>General</c:formatCode>
                <c:ptCount val="2"/>
                <c:pt idx="0">
                  <c:v>271.53</c:v>
                </c:pt>
                <c:pt idx="1">
                  <c:v>2.5</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2018年收入</c:v>
                </c:pt>
                <c:pt idx="1">
                  <c:v>2018年支出</c:v>
                </c:pt>
              </c:strCache>
            </c:strRef>
          </c:cat>
          <c:val>
            <c:numRef>
              <c:f>Sheet1!$C$2:$C$3</c:f>
              <c:numCache>
                <c:formatCode>General</c:formatCode>
                <c:ptCount val="2"/>
                <c:pt idx="0">
                  <c:v>2.4</c:v>
                </c:pt>
                <c:pt idx="1">
                  <c:v>345.81</c:v>
                </c:pt>
              </c:numCache>
            </c:numRef>
          </c:val>
        </c:ser>
        <c:dLbls>
          <c:showLegendKey val="0"/>
          <c:showVal val="1"/>
          <c:showCatName val="0"/>
          <c:showSerName val="0"/>
          <c:showPercent val="0"/>
          <c:showBubbleSize val="0"/>
        </c:dLbls>
        <c:gapWidth val="150"/>
        <c:axId val="98868608"/>
        <c:axId val="98882688"/>
      </c:barChart>
      <c:catAx>
        <c:axId val="9886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82688"/>
        <c:crosses val="autoZero"/>
        <c:auto val="1"/>
        <c:lblAlgn val="ctr"/>
        <c:lblOffset val="100"/>
        <c:noMultiLvlLbl val="0"/>
      </c:catAx>
      <c:valAx>
        <c:axId val="988826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68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600" b="1" i="0" u="none" strike="noStrike" kern="1200" baseline="0">
              <a:solidFill>
                <a:schemeClr val="tx2"/>
              </a:solidFill>
              <a:latin typeface="+mn-lt"/>
              <a:ea typeface="+mn-ea"/>
              <a:cs typeface="+mn-cs"/>
            </a:defRPr>
          </a:pPr>
        </a:p>
      </c:txPr>
    </c:title>
    <c:autoTitleDeleted val="0"/>
    <c:plotArea>
      <c:layout/>
      <c:pieChart>
        <c:varyColors val="1"/>
        <c:ser>
          <c:idx val="0"/>
          <c:order val="0"/>
          <c:tx>
            <c:strRef>
              <c:f>Sheet1!$B$1</c:f>
              <c:strCache>
                <c:ptCount val="1"/>
                <c:pt idx="0">
                  <c:v>收入</c:v>
                </c:pt>
              </c:strCache>
            </c:strRef>
          </c:tx>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2"/>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Sheet1!$A$2</c:f>
              <c:strCache>
                <c:ptCount val="1"/>
                <c:pt idx="0">
                  <c:v>2018年</c:v>
                </c:pt>
              </c:strCache>
            </c:strRef>
          </c:cat>
          <c:val>
            <c:numRef>
              <c:f>Sheet1!$B$2</c:f>
              <c:numCache>
                <c:formatCode>General</c:formatCode>
                <c:ptCount val="1"/>
                <c:pt idx="0">
                  <c:v>271.53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zero"/>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17204663370568"/>
          <c:y val="0.237153854001465"/>
          <c:w val="0.37179246780199"/>
          <c:h val="0.564914350370515"/>
        </c:manualLayout>
      </c:layout>
      <c:pieChart>
        <c:varyColors val="1"/>
        <c:ser>
          <c:idx val="0"/>
          <c:order val="0"/>
          <c:tx>
            <c:strRef>
              <c:f>Sheet1!$B$1</c:f>
              <c:strCache>
                <c:ptCount val="1"/>
                <c:pt idx="0">
                  <c:v>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2"/>
                <c:pt idx="0">
                  <c:v>基本支出</c:v>
                </c:pt>
                <c:pt idx="1">
                  <c:v>项目支出</c:v>
                </c:pt>
              </c:strCache>
            </c:strRef>
          </c:cat>
          <c:val>
            <c:numRef>
              <c:f>Sheet1!$B$2:$B$5</c:f>
              <c:numCache>
                <c:formatCode>General</c:formatCode>
                <c:ptCount val="4"/>
                <c:pt idx="0">
                  <c:v>336.2</c:v>
                </c:pt>
                <c:pt idx="1">
                  <c:v>9.61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62252697323204"/>
          <c:y val="0.0853977844914401"/>
          <c:w val="0.907371683987656"/>
          <c:h val="0.685847547002243"/>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2"/>
                <c:pt idx="0">
                  <c:v>2018年</c:v>
                </c:pt>
                <c:pt idx="1">
                  <c:v>2018年</c:v>
                </c:pt>
              </c:strCache>
            </c:strRef>
          </c:cat>
          <c:val>
            <c:numRef>
              <c:f>Sheet1!$B$2:$B$4</c:f>
              <c:numCache>
                <c:formatCode>General</c:formatCode>
                <c:ptCount val="3"/>
                <c:pt idx="0">
                  <c:v>271.53</c:v>
                </c:pt>
                <c:pt idx="1">
                  <c:v>0</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2"/>
                <c:pt idx="0">
                  <c:v>2018年</c:v>
                </c:pt>
                <c:pt idx="1">
                  <c:v>2018年</c:v>
                </c:pt>
              </c:strCache>
            </c:strRef>
          </c:cat>
          <c:val>
            <c:numRef>
              <c:f>Sheet1!$C$2:$C$4</c:f>
              <c:numCache>
                <c:formatCode>General</c:formatCode>
                <c:ptCount val="3"/>
                <c:pt idx="1">
                  <c:v>345.81</c:v>
                </c:pt>
              </c:numCache>
            </c:numRef>
          </c:val>
        </c:ser>
        <c:dLbls>
          <c:showLegendKey val="0"/>
          <c:showVal val="1"/>
          <c:showCatName val="0"/>
          <c:showSerName val="0"/>
          <c:showPercent val="0"/>
          <c:showBubbleSize val="0"/>
        </c:dLbls>
        <c:gapWidth val="150"/>
        <c:axId val="105899520"/>
        <c:axId val="105901056"/>
      </c:barChart>
      <c:catAx>
        <c:axId val="10589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5901056"/>
        <c:crosses val="autoZero"/>
        <c:auto val="1"/>
        <c:lblAlgn val="ctr"/>
        <c:lblOffset val="100"/>
        <c:noMultiLvlLbl val="0"/>
      </c:catAx>
      <c:valAx>
        <c:axId val="1059010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5899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2018年</c:v>
                </c:pt>
              </c:strCache>
            </c:strRef>
          </c:cat>
          <c:val>
            <c:numRef>
              <c:f>Sheet1!$B$2</c:f>
              <c:numCache>
                <c:formatCode>General</c:formatCode>
                <c:ptCount val="1"/>
                <c:pt idx="0">
                  <c:v>345.81</c:v>
                </c:pt>
              </c:numCache>
            </c:numRef>
          </c:val>
        </c:ser>
        <c:dLbls>
          <c:showLegendKey val="0"/>
          <c:showVal val="1"/>
          <c:showCatName val="0"/>
          <c:showSerName val="0"/>
          <c:showPercent val="0"/>
          <c:showBubbleSize val="0"/>
        </c:dLbls>
        <c:gapWidth val="150"/>
        <c:axId val="98802304"/>
        <c:axId val="107118976"/>
      </c:barChart>
      <c:catAx>
        <c:axId val="988023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7118976"/>
        <c:crosses val="autoZero"/>
        <c:auto val="1"/>
        <c:lblAlgn val="ctr"/>
        <c:lblOffset val="100"/>
        <c:noMultiLvlLbl val="0"/>
      </c:catAx>
      <c:valAx>
        <c:axId val="1071189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88023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社会保障和就业</c:v>
                </c:pt>
                <c:pt idx="1">
                  <c:v>医疗卫生与计划生育</c:v>
                </c:pt>
                <c:pt idx="2">
                  <c:v>城乡社区支出</c:v>
                </c:pt>
                <c:pt idx="3">
                  <c:v>住房保障</c:v>
                </c:pt>
              </c:strCache>
            </c:strRef>
          </c:cat>
          <c:val>
            <c:numRef>
              <c:f>Sheet1!$B$2:$B$5</c:f>
              <c:numCache>
                <c:formatCode>General</c:formatCode>
                <c:ptCount val="4"/>
                <c:pt idx="0">
                  <c:v>50.9</c:v>
                </c:pt>
                <c:pt idx="1">
                  <c:v>10.06</c:v>
                </c:pt>
                <c:pt idx="2">
                  <c:v>263.95</c:v>
                </c:pt>
                <c:pt idx="3">
                  <c:v>20.91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c:v>
                </c:pt>
              </c:strCache>
            </c:strRef>
          </c:tx>
          <c:explosion val="0"/>
          <c:dPt>
            <c:idx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c:f>
              <c:strCache>
                <c:ptCount val="1"/>
                <c:pt idx="0">
                  <c:v>公务用车运行购置费</c:v>
                </c:pt>
              </c:strCache>
            </c:strRef>
          </c:cat>
          <c:val>
            <c:numRef>
              <c:f>Sheet1!$B$2</c:f>
              <c:numCache>
                <c:formatCode>General</c:formatCode>
                <c:ptCount val="1"/>
                <c:pt idx="0">
                  <c:v>40.08</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488497-F01D-4656-821C-A8857BEAF38C}">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16</Pages>
  <Words>4971</Words>
  <Characters>2347</Characters>
  <Lines>19</Lines>
  <Paragraphs>14</Paragraphs>
  <TotalTime>555</TotalTime>
  <ScaleCrop>false</ScaleCrop>
  <LinksUpToDate>false</LinksUpToDate>
  <CharactersWithSpaces>7304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陶淑群 </cp:lastModifiedBy>
  <cp:lastPrinted>2019-10-23T03:29:00Z</cp:lastPrinted>
  <dcterms:modified xsi:type="dcterms:W3CDTF">2021-03-01T02:41:39Z</dcterms:modified>
  <dc:title>四川省***</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