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8EA04">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68" w:name="_GoBack"/>
      <w:bookmarkEnd w:id="68"/>
      <w:bookmarkStart w:id="0" w:name="_Toc15306267"/>
      <w:bookmarkStart w:id="1" w:name="_Toc15378441"/>
      <w:bookmarkStart w:id="2" w:name="_Toc15377425"/>
      <w:bookmarkStart w:id="3" w:name="_Toc15396597"/>
      <w:bookmarkStart w:id="4" w:name="_Toc15396475"/>
      <w:bookmarkStart w:id="5" w:name="_Toc15377193"/>
    </w:p>
    <w:p w14:paraId="5B71ED1B">
      <w:pPr>
        <w:pStyle w:val="6"/>
        <w:rPr>
          <w:rFonts w:hint="eastAsia" w:ascii="Times New Roman" w:hAnsi="Times New Roman" w:eastAsia="方正小标宋简体" w:cs="Times New Roman"/>
          <w:color w:val="auto"/>
          <w:kern w:val="2"/>
          <w:sz w:val="72"/>
          <w:szCs w:val="72"/>
          <w:highlight w:val="none"/>
          <w:lang w:val="en-US" w:eastAsia="zh-CN" w:bidi="ar-SA"/>
        </w:rPr>
      </w:pPr>
    </w:p>
    <w:p w14:paraId="2D8EDF0E">
      <w:pPr>
        <w:pStyle w:val="6"/>
        <w:rPr>
          <w:rFonts w:hint="eastAsia" w:ascii="Times New Roman" w:hAnsi="Times New Roman" w:eastAsia="方正小标宋简体" w:cs="Times New Roman"/>
          <w:color w:val="auto"/>
          <w:kern w:val="2"/>
          <w:sz w:val="72"/>
          <w:szCs w:val="72"/>
          <w:highlight w:val="none"/>
          <w:lang w:val="en-US" w:eastAsia="zh-CN" w:bidi="ar-SA"/>
        </w:rPr>
      </w:pPr>
    </w:p>
    <w:p w14:paraId="26030AF3">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rPr>
      </w:pPr>
      <w:r>
        <w:rPr>
          <w:rFonts w:hint="eastAsia" w:ascii="黑体" w:hAnsi="黑体" w:eastAsia="黑体" w:cs="黑体"/>
          <w:color w:val="auto"/>
          <w:sz w:val="72"/>
          <w:szCs w:val="72"/>
          <w:lang w:val="en-US" w:eastAsia="zh-CN"/>
        </w:rPr>
        <w:t>2025</w:t>
      </w:r>
      <w:r>
        <w:rPr>
          <w:rFonts w:hint="eastAsia" w:ascii="黑体" w:hAnsi="黑体" w:eastAsia="黑体" w:cs="黑体"/>
          <w:color w:val="auto"/>
          <w:sz w:val="72"/>
          <w:szCs w:val="72"/>
        </w:rPr>
        <w:t>年度</w:t>
      </w:r>
    </w:p>
    <w:p w14:paraId="6536A7DC">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eastAsia="zh-CN"/>
        </w:rPr>
      </w:pPr>
      <w:bookmarkStart w:id="6" w:name="_Toc15396598"/>
      <w:bookmarkStart w:id="7" w:name="_Toc15377194"/>
      <w:bookmarkStart w:id="8" w:name="_Toc15378442"/>
      <w:bookmarkStart w:id="9" w:name="_Toc15396476"/>
      <w:bookmarkStart w:id="10" w:name="_Toc15377426"/>
      <w:r>
        <w:rPr>
          <w:rFonts w:hint="eastAsia" w:ascii="黑体" w:hAnsi="黑体" w:eastAsia="黑体" w:cs="黑体"/>
          <w:color w:val="auto"/>
          <w:sz w:val="72"/>
          <w:szCs w:val="72"/>
        </w:rPr>
        <w:t>四川省阿坝州</w:t>
      </w:r>
      <w:r>
        <w:rPr>
          <w:rFonts w:hint="eastAsia" w:ascii="黑体" w:hAnsi="黑体" w:eastAsia="黑体" w:cs="黑体"/>
          <w:color w:val="auto"/>
          <w:sz w:val="72"/>
          <w:szCs w:val="72"/>
          <w:lang w:eastAsia="zh-CN"/>
        </w:rPr>
        <w:t>壤塘县</w:t>
      </w:r>
    </w:p>
    <w:p w14:paraId="048ACE06">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val="en-US" w:eastAsia="zh-CN"/>
        </w:rPr>
      </w:pPr>
      <w:bookmarkStart w:id="11" w:name="_Toc15306268"/>
      <w:r>
        <w:rPr>
          <w:rFonts w:hint="eastAsia" w:ascii="黑体" w:hAnsi="黑体" w:eastAsia="黑体" w:cs="黑体"/>
          <w:color w:val="auto"/>
          <w:sz w:val="72"/>
          <w:szCs w:val="72"/>
          <w:lang w:val="en-US" w:eastAsia="zh-CN"/>
        </w:rPr>
        <w:t>劳动人事争议仲裁院</w:t>
      </w:r>
    </w:p>
    <w:p w14:paraId="56DC0E6F">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rPr>
      </w:pPr>
      <w:r>
        <w:rPr>
          <w:rFonts w:hint="eastAsia" w:ascii="黑体" w:hAnsi="黑体" w:eastAsia="黑体" w:cs="黑体"/>
          <w:color w:val="auto"/>
          <w:sz w:val="72"/>
          <w:szCs w:val="72"/>
        </w:rPr>
        <w:t>部门决算</w:t>
      </w:r>
      <w:bookmarkEnd w:id="6"/>
      <w:bookmarkEnd w:id="7"/>
      <w:bookmarkEnd w:id="8"/>
      <w:bookmarkEnd w:id="9"/>
      <w:bookmarkEnd w:id="10"/>
      <w:bookmarkEnd w:id="11"/>
    </w:p>
    <w:p w14:paraId="1356165E">
      <w:pPr>
        <w:widowControl/>
        <w:jc w:val="center"/>
        <w:rPr>
          <w:rFonts w:hint="default" w:ascii="Times New Roman" w:hAnsi="Times New Roman" w:eastAsia="方正小标宋简体" w:cs="Times New Roman"/>
          <w:color w:val="auto"/>
          <w:sz w:val="36"/>
          <w:szCs w:val="36"/>
        </w:rPr>
      </w:pPr>
    </w:p>
    <w:p w14:paraId="4DE32186">
      <w:pPr>
        <w:spacing w:line="600" w:lineRule="exact"/>
        <w:jc w:val="center"/>
        <w:outlineLvl w:val="0"/>
        <w:rPr>
          <w:rFonts w:ascii="Times New Roman" w:hAnsi="Times New Roman" w:eastAsia="方正小标宋简体"/>
          <w:color w:val="auto"/>
          <w:sz w:val="72"/>
          <w:szCs w:val="72"/>
          <w:highlight w:val="none"/>
        </w:rPr>
      </w:pPr>
    </w:p>
    <w:p w14:paraId="0E7398C0">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FF468D0">
      <w:pPr>
        <w:rPr>
          <w:rFonts w:ascii="Times New Roman" w:hAnsi="Times New Roman"/>
        </w:rPr>
      </w:pPr>
    </w:p>
    <w:bookmarkEnd w:id="0"/>
    <w:bookmarkEnd w:id="1"/>
    <w:bookmarkEnd w:id="2"/>
    <w:bookmarkEnd w:id="3"/>
    <w:bookmarkEnd w:id="4"/>
    <w:bookmarkEnd w:id="5"/>
    <w:p w14:paraId="540CD81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BD4AC0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D43DB1D">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rPr>
      </w:pPr>
      <w:r>
        <w:rPr>
          <w:rFonts w:hint="eastAsia" w:ascii="黑体" w:hAnsi="黑体" w:eastAsia="黑体" w:cs="黑体"/>
          <w:color w:val="auto"/>
          <w:sz w:val="72"/>
          <w:szCs w:val="72"/>
          <w:lang w:val="en-US" w:eastAsia="zh-CN"/>
        </w:rPr>
        <w:t>2025</w:t>
      </w:r>
      <w:r>
        <w:rPr>
          <w:rFonts w:hint="eastAsia" w:ascii="黑体" w:hAnsi="黑体" w:eastAsia="黑体" w:cs="黑体"/>
          <w:color w:val="auto"/>
          <w:sz w:val="72"/>
          <w:szCs w:val="72"/>
        </w:rPr>
        <w:t>年度</w:t>
      </w:r>
    </w:p>
    <w:p w14:paraId="442ADB45">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eastAsia="zh-CN"/>
        </w:rPr>
      </w:pPr>
      <w:r>
        <w:rPr>
          <w:rFonts w:hint="eastAsia" w:ascii="黑体" w:hAnsi="黑体" w:eastAsia="黑体" w:cs="黑体"/>
          <w:color w:val="auto"/>
          <w:sz w:val="72"/>
          <w:szCs w:val="72"/>
        </w:rPr>
        <w:t>四川省阿坝州</w:t>
      </w:r>
      <w:r>
        <w:rPr>
          <w:rFonts w:hint="eastAsia" w:ascii="黑体" w:hAnsi="黑体" w:eastAsia="黑体" w:cs="黑体"/>
          <w:color w:val="auto"/>
          <w:sz w:val="72"/>
          <w:szCs w:val="72"/>
          <w:lang w:eastAsia="zh-CN"/>
        </w:rPr>
        <w:t>壤塘县</w:t>
      </w:r>
    </w:p>
    <w:p w14:paraId="090FE984">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lang w:val="en-US" w:eastAsia="zh-CN"/>
        </w:rPr>
      </w:pPr>
      <w:r>
        <w:rPr>
          <w:rFonts w:hint="eastAsia" w:ascii="黑体" w:hAnsi="黑体" w:eastAsia="黑体" w:cs="黑体"/>
          <w:color w:val="auto"/>
          <w:sz w:val="72"/>
          <w:szCs w:val="72"/>
          <w:lang w:val="en-US" w:eastAsia="zh-CN"/>
        </w:rPr>
        <w:t>劳动人事争议仲裁院</w:t>
      </w:r>
    </w:p>
    <w:p w14:paraId="37B54717">
      <w:pPr>
        <w:keepNext w:val="0"/>
        <w:keepLines w:val="0"/>
        <w:pageBreakBefore w:val="0"/>
        <w:widowControl w:val="0"/>
        <w:kinsoku/>
        <w:wordWrap/>
        <w:overflowPunct/>
        <w:topLinePunct w:val="0"/>
        <w:autoSpaceDE/>
        <w:autoSpaceDN/>
        <w:bidi w:val="0"/>
        <w:adjustRightInd w:val="0"/>
        <w:snapToGrid w:val="0"/>
        <w:spacing w:line="740" w:lineRule="exact"/>
        <w:jc w:val="center"/>
        <w:textAlignment w:val="auto"/>
        <w:outlineLvl w:val="0"/>
        <w:rPr>
          <w:rFonts w:hint="eastAsia" w:ascii="黑体" w:hAnsi="黑体" w:eastAsia="黑体" w:cs="黑体"/>
          <w:color w:val="auto"/>
          <w:sz w:val="72"/>
          <w:szCs w:val="72"/>
        </w:rPr>
      </w:pPr>
      <w:r>
        <w:rPr>
          <w:rFonts w:hint="eastAsia" w:ascii="黑体" w:hAnsi="黑体" w:eastAsia="黑体" w:cs="黑体"/>
          <w:color w:val="auto"/>
          <w:sz w:val="72"/>
          <w:szCs w:val="72"/>
        </w:rPr>
        <w:t>部门决算</w:t>
      </w:r>
    </w:p>
    <w:p w14:paraId="763C3F2C">
      <w:pPr>
        <w:widowControl/>
        <w:jc w:val="center"/>
        <w:rPr>
          <w:rFonts w:hint="default" w:ascii="Times New Roman" w:hAnsi="Times New Roman" w:eastAsia="方正小标宋简体" w:cs="Times New Roman"/>
          <w:color w:val="auto"/>
          <w:sz w:val="36"/>
          <w:szCs w:val="36"/>
        </w:rPr>
      </w:pPr>
    </w:p>
    <w:p w14:paraId="3243B0C0">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6CE7E139">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5B605B9">
      <w:pPr>
        <w:widowControl/>
        <w:jc w:val="center"/>
        <w:rPr>
          <w:rFonts w:ascii="Times New Roman" w:hAnsi="Times New Roman" w:eastAsia="黑体" w:cstheme="minorBidi"/>
          <w:color w:val="auto"/>
          <w:sz w:val="28"/>
          <w:szCs w:val="28"/>
          <w:highlight w:val="none"/>
        </w:rPr>
      </w:pPr>
    </w:p>
    <w:p w14:paraId="79B47249">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27</w:t>
      </w:r>
      <w:r>
        <w:rPr>
          <w:rFonts w:hint="eastAsia" w:ascii="Times New Roman" w:hAnsi="Times New Roman" w:eastAsia="仿宋_GB2312" w:cs="仿宋_GB2312"/>
          <w:color w:val="auto"/>
          <w:sz w:val="32"/>
          <w:szCs w:val="32"/>
          <w:highlight w:val="none"/>
        </w:rPr>
        <w:t>日</w:t>
      </w:r>
    </w:p>
    <w:p w14:paraId="4F29B823">
      <w:pPr>
        <w:rPr>
          <w:rFonts w:ascii="Times New Roman" w:hAnsi="Times New Roman"/>
          <w:color w:val="auto"/>
          <w:highlight w:val="none"/>
        </w:rPr>
      </w:pPr>
    </w:p>
    <w:p w14:paraId="31ADA7E8">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B1E330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7EB051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758B2A9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C6EAAB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7288DF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079C8F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37D83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F801A3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4183C9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400083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0967965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46FE2B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6A325F1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6F3CB71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53231C4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C2DCF3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3049AA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662EE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29F1DB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F6438A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6D22A1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735C28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D7BA93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79BFF6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41544D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7F975C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A1A51F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69B496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4B568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66FCB0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77B72067">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3A933E45">
      <w:pPr>
        <w:widowControl/>
        <w:jc w:val="left"/>
        <w:rPr>
          <w:rFonts w:ascii="Times New Roman" w:hAnsi="Times New Roman" w:eastAsia="黑体"/>
          <w:color w:val="auto"/>
          <w:sz w:val="32"/>
          <w:szCs w:val="32"/>
          <w:highlight w:val="none"/>
        </w:rPr>
      </w:pPr>
    </w:p>
    <w:p w14:paraId="17D69188">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9749BD9">
      <w:pPr>
        <w:pStyle w:val="4"/>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 w:val="0"/>
          <w:bCs/>
          <w:color w:val="auto"/>
          <w:kern w:val="0"/>
          <w:sz w:val="32"/>
          <w:szCs w:val="32"/>
          <w:lang w:val="en-US" w:eastAsia="zh-CN" w:bidi="ar-SA"/>
        </w:rPr>
        <w:t>在行政主管部门的授权下负责全县管辖范围内的劳动人事争议仲裁案件的立案、调查、审理、调解和裁决工作；指导和组织开展全县基层劳动人事争议和企业劳动争议调解工作；管理全县劳动人事争议仲裁工作文书、印鉴和档案；负责全县劳动人事争议仲裁委员会的日常工作；组织协调处理重大、疑难、群体性劳动人事争议案件；宣传贯彻劳动人事争议仲裁相关的法律法规及人事有关规定。完成局机关领导交办的其他工作。</w:t>
      </w:r>
    </w:p>
    <w:p w14:paraId="7A6E85B3">
      <w:pPr>
        <w:numPr>
          <w:ilvl w:val="0"/>
          <w:numId w:val="0"/>
        </w:numPr>
        <w:rPr>
          <w:rFonts w:hint="eastAsia"/>
          <w:lang w:eastAsia="zh-CN"/>
        </w:rPr>
      </w:pPr>
    </w:p>
    <w:p w14:paraId="2745D865">
      <w:pPr>
        <w:pStyle w:val="4"/>
        <w:rPr>
          <w:rStyle w:val="31"/>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4"/>
      <w:bookmarkEnd w:id="15"/>
    </w:p>
    <w:p w14:paraId="369B7096">
      <w:pPr>
        <w:pageBreakBefore w:val="0"/>
        <w:widowControl w:val="0"/>
        <w:kinsoku/>
        <w:wordWrap/>
        <w:overflowPunct/>
        <w:topLinePunct w:val="0"/>
        <w:autoSpaceDE/>
        <w:autoSpaceDN/>
        <w:bidi w:val="0"/>
        <w:spacing w:line="560" w:lineRule="exact"/>
        <w:ind w:firstLine="800" w:firstLineChars="250"/>
        <w:textAlignment w:val="auto"/>
        <w:rPr>
          <w:rFonts w:ascii="Times New Roman" w:hAnsi="Times New Roman" w:eastAsia="仿宋"/>
          <w:color w:val="auto"/>
          <w:kern w:val="0"/>
          <w:sz w:val="32"/>
          <w:szCs w:val="32"/>
          <w:highlight w:val="none"/>
        </w:rPr>
      </w:pPr>
      <w:r>
        <w:rPr>
          <w:rFonts w:hint="default" w:ascii="Times New Roman" w:hAnsi="Times New Roman" w:eastAsia="仿宋_GB2312" w:cs="Times New Roman"/>
          <w:color w:val="auto"/>
          <w:sz w:val="32"/>
          <w:szCs w:val="32"/>
        </w:rPr>
        <w:t>劳动人事争议仲裁</w:t>
      </w:r>
      <w:r>
        <w:rPr>
          <w:rFonts w:hint="default" w:ascii="Times New Roman" w:hAnsi="Times New Roman" w:eastAsia="仿宋_GB2312" w:cs="Times New Roman"/>
          <w:color w:val="auto"/>
          <w:sz w:val="32"/>
          <w:szCs w:val="32"/>
          <w:lang w:val="en-US" w:eastAsia="zh-CN"/>
        </w:rPr>
        <w:t>院</w:t>
      </w:r>
      <w:r>
        <w:rPr>
          <w:rFonts w:hint="default" w:ascii="Times New Roman" w:hAnsi="Times New Roman" w:eastAsia="仿宋_GB2312" w:cs="Times New Roman"/>
          <w:color w:val="auto"/>
          <w:sz w:val="32"/>
          <w:szCs w:val="32"/>
        </w:rPr>
        <w:t>属人社局二级股室，</w:t>
      </w:r>
      <w:r>
        <w:rPr>
          <w:rFonts w:hint="default" w:ascii="Times New Roman" w:hAnsi="Times New Roman" w:eastAsia="仿宋_GB2312" w:cs="Times New Roman"/>
          <w:color w:val="auto"/>
          <w:sz w:val="32"/>
          <w:szCs w:val="32"/>
          <w:lang w:val="en-US" w:eastAsia="zh-CN"/>
        </w:rPr>
        <w:t>单位性质为</w:t>
      </w:r>
      <w:r>
        <w:rPr>
          <w:rFonts w:hint="default" w:ascii="Times New Roman" w:hAnsi="Times New Roman" w:eastAsia="仿宋_GB2312" w:cs="Times New Roman"/>
          <w:color w:val="auto"/>
          <w:sz w:val="32"/>
          <w:szCs w:val="32"/>
        </w:rPr>
        <w:t>事业单位。</w:t>
      </w:r>
      <w:r>
        <w:rPr>
          <w:rFonts w:ascii="Times New Roman" w:hAnsi="Times New Roman" w:eastAsia="仿宋"/>
          <w:color w:val="auto"/>
          <w:sz w:val="32"/>
          <w:szCs w:val="32"/>
          <w:highlight w:val="none"/>
        </w:rPr>
        <w:br w:type="page"/>
      </w:r>
    </w:p>
    <w:p w14:paraId="2C4C12FA">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0DE54E31">
      <w:pPr>
        <w:rPr>
          <w:rFonts w:ascii="Times New Roman" w:hAnsi="Times New Roman"/>
          <w:color w:val="auto"/>
          <w:highlight w:val="none"/>
        </w:rPr>
      </w:pPr>
    </w:p>
    <w:p w14:paraId="7B386AB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p>
    <w:p w14:paraId="690B66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244.5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5.95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2.49</w:t>
      </w:r>
      <w:r>
        <w:rPr>
          <w:rFonts w:hint="eastAsia" w:ascii="Times New Roman" w:hAnsi="Times New Roman" w:eastAsia="仿宋_GB2312" w:cs="仿宋_GB2312"/>
          <w:color w:val="auto"/>
          <w:sz w:val="32"/>
          <w:szCs w:val="32"/>
          <w:highlight w:val="none"/>
        </w:rPr>
        <w:t>%。主要变动原因</w:t>
      </w:r>
      <w:r>
        <w:rPr>
          <w:rFonts w:hint="eastAsia" w:eastAsia="仿宋_GB2312" w:cs="Times New Roman"/>
          <w:color w:val="auto"/>
          <w:sz w:val="32"/>
          <w:szCs w:val="32"/>
          <w:lang w:val="en-US" w:eastAsia="zh-CN"/>
        </w:rPr>
        <w:t>2025年人员工资及保险变动，预算增加。</w:t>
      </w:r>
      <w:r>
        <w:rPr>
          <w:rFonts w:hint="default" w:ascii="Times New Roman" w:hAnsi="Times New Roman" w:eastAsia="仿宋_GB2312" w:cs="Times New Roman"/>
          <w:color w:val="auto"/>
          <w:sz w:val="32"/>
          <w:szCs w:val="32"/>
        </w:rPr>
        <w:t>20</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年本年支出合计</w:t>
      </w:r>
      <w:r>
        <w:rPr>
          <w:rFonts w:hint="eastAsia" w:eastAsia="仿宋_GB2312" w:cs="Times New Roman"/>
          <w:color w:val="auto"/>
          <w:sz w:val="32"/>
          <w:szCs w:val="32"/>
          <w:lang w:val="en-US" w:eastAsia="zh-CN"/>
        </w:rPr>
        <w:t>244.5万元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与</w:t>
      </w:r>
      <w:r>
        <w:rPr>
          <w:rFonts w:hint="eastAsia" w:eastAsia="仿宋_GB2312" w:cs="Times New Roman"/>
          <w:color w:val="auto"/>
          <w:sz w:val="32"/>
          <w:szCs w:val="32"/>
          <w:lang w:val="en-US" w:eastAsia="zh-CN"/>
        </w:rPr>
        <w:t>2024</w:t>
      </w:r>
      <w:r>
        <w:rPr>
          <w:rFonts w:hint="default" w:ascii="Times New Roman" w:hAnsi="Times New Roman" w:eastAsia="仿宋_GB2312" w:cs="Times New Roman"/>
          <w:color w:val="auto"/>
          <w:sz w:val="32"/>
          <w:szCs w:val="32"/>
        </w:rPr>
        <w:t>年相比支</w:t>
      </w:r>
      <w:r>
        <w:rPr>
          <w:rFonts w:hint="eastAsia" w:eastAsia="仿宋_GB2312" w:cs="Times New Roman"/>
          <w:color w:val="auto"/>
          <w:sz w:val="32"/>
          <w:szCs w:val="32"/>
          <w:lang w:val="en-US" w:eastAsia="zh-CN"/>
        </w:rPr>
        <w:t>出</w:t>
      </w:r>
      <w:r>
        <w:rPr>
          <w:rFonts w:hint="default" w:ascii="Times New Roman" w:hAnsi="Times New Roman" w:eastAsia="仿宋_GB2312" w:cs="Times New Roman"/>
          <w:color w:val="auto"/>
          <w:sz w:val="32"/>
          <w:szCs w:val="32"/>
        </w:rPr>
        <w:t>总计</w:t>
      </w:r>
      <w:r>
        <w:rPr>
          <w:rFonts w:hint="eastAsia" w:eastAsia="仿宋_GB2312" w:cs="Times New Roman"/>
          <w:color w:val="auto"/>
          <w:sz w:val="32"/>
          <w:szCs w:val="32"/>
          <w:lang w:val="en-US" w:eastAsia="zh-CN"/>
        </w:rPr>
        <w:t>增加5.95</w:t>
      </w:r>
      <w:r>
        <w:rPr>
          <w:rFonts w:hint="default" w:ascii="Times New Roman" w:hAnsi="Times New Roman" w:eastAsia="仿宋_GB2312" w:cs="Times New Roman"/>
          <w:color w:val="auto"/>
          <w:sz w:val="32"/>
          <w:szCs w:val="32"/>
        </w:rPr>
        <w:t>万元，</w:t>
      </w:r>
      <w:r>
        <w:rPr>
          <w:rFonts w:hint="eastAsia" w:eastAsia="仿宋_GB2312" w:cs="Times New Roman"/>
          <w:color w:val="auto"/>
          <w:sz w:val="32"/>
          <w:szCs w:val="32"/>
          <w:lang w:val="en-US" w:eastAsia="zh-CN"/>
        </w:rPr>
        <w:t>上升25.07</w:t>
      </w:r>
      <w:r>
        <w:rPr>
          <w:rFonts w:hint="default" w:ascii="Times New Roman" w:hAnsi="Times New Roman" w:eastAsia="仿宋_GB2312" w:cs="Times New Roman"/>
          <w:color w:val="auto"/>
          <w:sz w:val="32"/>
          <w:szCs w:val="32"/>
        </w:rPr>
        <w:t>%</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2025年人员工资及保险变动，支出相比于2024年增加</w:t>
      </w:r>
    </w:p>
    <w:p w14:paraId="0F7776DA">
      <w:pPr>
        <w:pStyle w:val="29"/>
        <w:keepNext w:val="0"/>
        <w:keepLines w:val="0"/>
        <w:pageBreakBefore w:val="0"/>
        <w:widowControl w:val="0"/>
        <w:numPr>
          <w:ilvl w:val="0"/>
          <w:numId w:val="0"/>
        </w:numPr>
        <w:kinsoku/>
        <w:wordWrap/>
        <w:overflowPunct/>
        <w:topLinePunct w:val="0"/>
        <w:autoSpaceDE/>
        <w:autoSpaceDN/>
        <w:bidi w:val="0"/>
        <w:adjustRightInd/>
        <w:snapToGrid/>
        <w:spacing w:before="423" w:beforeLines="135" w:beforeAutospacing="0" w:afterAutospacing="0" w:line="240" w:lineRule="auto"/>
        <w:textAlignment w:val="auto"/>
        <w:outlineLvl w:val="1"/>
        <w:rPr>
          <w:rFonts w:hint="eastAsia" w:ascii="Times New Roman" w:hAnsi="Times New Roman" w:eastAsia="仿宋_GB2312" w:cs="仿宋_GB2312"/>
          <w:color w:val="auto"/>
          <w:sz w:val="32"/>
          <w:szCs w:val="32"/>
          <w:highlight w:val="none"/>
          <w:lang w:eastAsia="zh-CN"/>
        </w:rPr>
      </w:pPr>
      <w:r>
        <w:drawing>
          <wp:inline distT="0" distB="0" distL="114300" distR="114300">
            <wp:extent cx="4826000" cy="2742565"/>
            <wp:effectExtent l="4445" t="4445" r="8255" b="1524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D5098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784CA56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0" w:firstLineChars="10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3BFAF6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35C0607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2C7689F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244.5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244.5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14:paraId="331930F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1B29D653">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outlineLvl w:val="1"/>
        <w:rPr>
          <w:rFonts w:hint="eastAsia" w:ascii="Times New Roman" w:hAnsi="Times New Roman" w:eastAsia="仿宋_GB2312" w:cs="仿宋_GB2312"/>
          <w:b/>
          <w:bCs/>
          <w:color w:val="auto"/>
          <w:sz w:val="32"/>
          <w:szCs w:val="32"/>
          <w:highlight w:val="none"/>
          <w:lang w:eastAsia="zh-CN"/>
        </w:rPr>
      </w:pPr>
      <w:r>
        <w:drawing>
          <wp:inline distT="0" distB="0" distL="114300" distR="114300">
            <wp:extent cx="5267960" cy="2644140"/>
            <wp:effectExtent l="4445" t="4445" r="23495" b="1841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D60829">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3C31F28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0B0C80D">
      <w:pPr>
        <w:ind w:firstLine="800" w:firstLineChars="250"/>
        <w:rPr>
          <w:rFonts w:hint="eastAsia" w:ascii="Times New Roman" w:hAnsi="Times New Roman" w:eastAsia="仿宋_GB2312" w:cs="仿宋_GB2312"/>
          <w:color w:val="auto"/>
          <w:sz w:val="32"/>
          <w:szCs w:val="32"/>
          <w:highlight w:val="none"/>
          <w:lang w:eastAsia="zh-CN"/>
        </w:rPr>
      </w:pPr>
    </w:p>
    <w:p w14:paraId="45C2A78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p>
    <w:p w14:paraId="6D95B2D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244.5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244.5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5EFE075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b/>
          <w:bCs/>
          <w:color w:val="auto"/>
          <w:sz w:val="32"/>
          <w:szCs w:val="32"/>
          <w:highlight w:val="none"/>
          <w:lang w:eastAsia="zh-CN"/>
        </w:rPr>
      </w:pPr>
    </w:p>
    <w:p w14:paraId="500E9588">
      <w:pPr>
        <w:pStyle w:val="29"/>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center"/>
        <w:textAlignment w:val="auto"/>
        <w:outlineLvl w:val="1"/>
        <w:rPr>
          <w:rFonts w:hint="eastAsia" w:ascii="Times New Roman" w:hAnsi="Times New Roman" w:eastAsia="仿宋_GB2312" w:cs="仿宋_GB2312"/>
          <w:b/>
          <w:bCs/>
          <w:color w:val="auto"/>
          <w:sz w:val="32"/>
          <w:szCs w:val="32"/>
          <w:highlight w:val="none"/>
          <w:lang w:eastAsia="zh-CN"/>
        </w:rPr>
      </w:pPr>
      <w:r>
        <w:drawing>
          <wp:inline distT="0" distB="0" distL="114300" distR="114300">
            <wp:extent cx="5267960" cy="2690495"/>
            <wp:effectExtent l="4445" t="4445" r="23495" b="10160"/>
            <wp:docPr id="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3B90D3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b/>
          <w:bCs/>
          <w:color w:val="auto"/>
          <w:sz w:val="32"/>
          <w:szCs w:val="32"/>
          <w:highlight w:val="none"/>
          <w:lang w:eastAsia="zh-CN"/>
        </w:rPr>
      </w:pPr>
    </w:p>
    <w:p w14:paraId="14E4EFE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59C1195A">
      <w:pPr>
        <w:ind w:firstLine="800" w:firstLineChars="250"/>
        <w:rPr>
          <w:rFonts w:hint="eastAsia" w:ascii="Times New Roman" w:hAnsi="Times New Roman" w:eastAsia="仿宋_GB2312" w:cs="仿宋_GB2312"/>
          <w:color w:val="auto"/>
          <w:sz w:val="32"/>
          <w:szCs w:val="32"/>
          <w:highlight w:val="none"/>
          <w:lang w:eastAsia="zh-CN"/>
        </w:rPr>
      </w:pPr>
    </w:p>
    <w:p w14:paraId="090AAF93">
      <w:pPr>
        <w:spacing w:line="600" w:lineRule="exact"/>
        <w:ind w:firstLine="640" w:firstLineChars="200"/>
        <w:outlineLvl w:val="1"/>
        <w:rPr>
          <w:rStyle w:val="31"/>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4"/>
      <w:bookmarkEnd w:id="25"/>
    </w:p>
    <w:p w14:paraId="7A1DED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auto"/>
          <w:sz w:val="32"/>
          <w:szCs w:val="32"/>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244.5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sz w:val="32"/>
          <w:szCs w:val="32"/>
          <w:highlight w:val="none"/>
          <w:lang w:val="en-US" w:eastAsia="zh-CN"/>
        </w:rPr>
        <w:t>5.95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2.49</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rPr>
        <w:t>主要变动原因是</w:t>
      </w:r>
      <w:r>
        <w:rPr>
          <w:rFonts w:hint="eastAsia" w:eastAsia="仿宋_GB2312" w:cs="Times New Roman"/>
          <w:color w:val="auto"/>
          <w:sz w:val="32"/>
          <w:szCs w:val="32"/>
          <w:lang w:val="en-US" w:eastAsia="zh-CN"/>
        </w:rPr>
        <w:t>2025年人员工资及保险变动，支出增加。</w:t>
      </w:r>
    </w:p>
    <w:p w14:paraId="07F5693F">
      <w:pPr>
        <w:pStyle w:val="2"/>
        <w:jc w:val="cente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647950"/>
            <wp:effectExtent l="4445" t="4445" r="825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DB6919B">
      <w:pPr>
        <w:pStyle w:val="2"/>
        <w:rPr>
          <w:rFonts w:hint="eastAsia" w:ascii="Times New Roman" w:hAnsi="Times New Roman" w:eastAsia="仿宋_GB2312" w:cs="仿宋_GB2312"/>
          <w:color w:val="auto"/>
          <w:kern w:val="2"/>
          <w:sz w:val="32"/>
          <w:szCs w:val="32"/>
          <w:highlight w:val="none"/>
          <w:lang w:val="en-US" w:eastAsia="zh-CN" w:bidi="ar-SA"/>
        </w:rPr>
      </w:pPr>
    </w:p>
    <w:p w14:paraId="29C84FAE">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402D45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E6B897">
      <w:pPr>
        <w:spacing w:line="600" w:lineRule="exact"/>
        <w:ind w:firstLine="640" w:firstLineChars="200"/>
        <w:outlineLvl w:val="1"/>
        <w:rPr>
          <w:rStyle w:val="31"/>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6"/>
      <w:bookmarkEnd w:id="27"/>
    </w:p>
    <w:p w14:paraId="30B962F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3BCF2B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244.5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5.95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Times New Roman"/>
          <w:color w:val="auto"/>
          <w:sz w:val="32"/>
          <w:szCs w:val="32"/>
          <w:lang w:val="en-US" w:eastAsia="zh-CN"/>
        </w:rPr>
        <w:t>2025年人员工资及保险变动，支出增加。</w:t>
      </w:r>
    </w:p>
    <w:p w14:paraId="431F0E7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69B6359">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26000" cy="2743200"/>
            <wp:effectExtent l="4445" t="4445" r="825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27A7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7A8F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3DFA4F7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6E028FD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244.5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社会保障和就业支出213.52万元，占</w:t>
      </w:r>
      <w:r>
        <w:rPr>
          <w:rFonts w:hint="eastAsia" w:eastAsia="仿宋_GB2312" w:cs="仿宋_GB2312"/>
          <w:color w:val="auto"/>
          <w:kern w:val="2"/>
          <w:sz w:val="32"/>
          <w:szCs w:val="32"/>
          <w:highlight w:val="none"/>
          <w:lang w:val="en-US" w:eastAsia="zh-CN" w:bidi="ar-SA"/>
        </w:rPr>
        <w:t>87.33</w:t>
      </w:r>
      <w:r>
        <w:rPr>
          <w:rFonts w:hint="eastAsia" w:ascii="Times New Roman" w:hAnsi="Times New Roman" w:eastAsia="仿宋_GB2312" w:cs="仿宋_GB2312"/>
          <w:color w:val="auto"/>
          <w:kern w:val="2"/>
          <w:sz w:val="32"/>
          <w:szCs w:val="32"/>
          <w:highlight w:val="none"/>
          <w:lang w:val="en-US" w:eastAsia="zh-CN" w:bidi="ar-SA"/>
        </w:rPr>
        <w:t>%；卫生健康支出12.45万元，占</w:t>
      </w:r>
      <w:r>
        <w:rPr>
          <w:rFonts w:hint="eastAsia" w:eastAsia="仿宋_GB2312" w:cs="仿宋_GB2312"/>
          <w:color w:val="auto"/>
          <w:kern w:val="2"/>
          <w:sz w:val="32"/>
          <w:szCs w:val="32"/>
          <w:highlight w:val="none"/>
          <w:lang w:val="en-US" w:eastAsia="zh-CN" w:bidi="ar-SA"/>
        </w:rPr>
        <w:t>5.09</w:t>
      </w:r>
      <w:r>
        <w:rPr>
          <w:rFonts w:hint="eastAsia" w:ascii="Times New Roman" w:hAnsi="Times New Roman" w:eastAsia="仿宋_GB2312" w:cs="仿宋_GB2312"/>
          <w:color w:val="auto"/>
          <w:kern w:val="2"/>
          <w:sz w:val="32"/>
          <w:szCs w:val="32"/>
          <w:highlight w:val="none"/>
          <w:lang w:val="en-US" w:eastAsia="zh-CN" w:bidi="ar-SA"/>
        </w:rPr>
        <w:t>%；住房保障支出18.53万元，占</w:t>
      </w:r>
      <w:r>
        <w:rPr>
          <w:rFonts w:hint="eastAsia" w:eastAsia="仿宋_GB2312" w:cs="仿宋_GB2312"/>
          <w:color w:val="auto"/>
          <w:kern w:val="2"/>
          <w:sz w:val="32"/>
          <w:szCs w:val="32"/>
          <w:highlight w:val="none"/>
          <w:lang w:val="en-US" w:eastAsia="zh-CN" w:bidi="ar-SA"/>
        </w:rPr>
        <w:t>7.58</w:t>
      </w:r>
      <w:r>
        <w:rPr>
          <w:rFonts w:hint="eastAsia" w:ascii="Times New Roman" w:hAnsi="Times New Roman" w:eastAsia="仿宋_GB2312" w:cs="仿宋_GB2312"/>
          <w:color w:val="auto"/>
          <w:kern w:val="2"/>
          <w:sz w:val="32"/>
          <w:szCs w:val="32"/>
          <w:highlight w:val="none"/>
          <w:lang w:val="en-US" w:eastAsia="zh-CN" w:bidi="ar-SA"/>
        </w:rPr>
        <w:t>%</w:t>
      </w:r>
    </w:p>
    <w:p w14:paraId="2E8A59DA">
      <w:pPr>
        <w:pStyle w:val="2"/>
        <w:rPr>
          <w:rFonts w:hint="eastAsia" w:ascii="Times New Roman" w:hAnsi="Times New Roman" w:eastAsia="仿宋_GB2312" w:cs="仿宋_GB2312"/>
          <w:b/>
          <w:bCs/>
          <w:color w:val="auto"/>
          <w:kern w:val="2"/>
          <w:sz w:val="32"/>
          <w:szCs w:val="32"/>
          <w:highlight w:val="none"/>
          <w:lang w:val="en-US" w:eastAsia="zh-CN" w:bidi="ar-SA"/>
        </w:rPr>
      </w:pPr>
      <w: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A7EE8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6AB0A87">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bookmarkStart w:id="30" w:name="_Toc15377212"/>
    </w:p>
    <w:p w14:paraId="0C092A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58D395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244.5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70ED38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支出决算为213.52万元，完成预算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p>
    <w:p w14:paraId="1E018BB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CB716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18.53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p>
    <w:p w14:paraId="37AA3FA1">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404B148">
      <w:pPr>
        <w:tabs>
          <w:tab w:val="right" w:pos="8306"/>
        </w:tabs>
        <w:spacing w:line="600" w:lineRule="exact"/>
        <w:ind w:firstLine="640"/>
        <w:outlineLvl w:val="1"/>
        <w:rPr>
          <w:rStyle w:val="31"/>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4"/>
      <w:bookmarkEnd w:id="35"/>
      <w:r>
        <w:rPr>
          <w:rStyle w:val="31"/>
          <w:rFonts w:ascii="Times New Roman" w:hAnsi="Times New Roman" w:eastAsia="黑体"/>
          <w:b w:val="0"/>
          <w:color w:val="auto"/>
          <w:highlight w:val="none"/>
        </w:rPr>
        <w:tab/>
      </w:r>
    </w:p>
    <w:p w14:paraId="5739B1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244.5</w:t>
      </w:r>
      <w:r>
        <w:rPr>
          <w:rFonts w:hint="eastAsia" w:ascii="Times New Roman" w:hAnsi="Times New Roman" w:eastAsia="仿宋_GB2312" w:cs="仿宋_GB2312"/>
          <w:color w:val="auto"/>
          <w:kern w:val="2"/>
          <w:sz w:val="32"/>
          <w:szCs w:val="32"/>
          <w:highlight w:val="none"/>
          <w:lang w:val="en-US" w:eastAsia="zh-CN" w:bidi="ar-SA"/>
        </w:rPr>
        <w:t>万元，其中：</w:t>
      </w:r>
    </w:p>
    <w:p w14:paraId="2EDAAD5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233.27</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default" w:ascii="Times New Roman" w:hAnsi="Times New Roman" w:eastAsia="仿宋_GB2312" w:cs="Times New Roman"/>
          <w:color w:val="000000" w:themeColor="text1"/>
          <w:sz w:val="32"/>
          <w:szCs w:val="32"/>
          <w14:textFill>
            <w14:solidFill>
              <w14:schemeClr w14:val="tx1"/>
            </w14:solidFill>
          </w14:textFill>
        </w:rPr>
        <w:t>基本工资、津贴补贴、奖金、伙食补助费、机关事业单位基本养老保险缴费、职业年金缴费、其他社会保障缴费、其他工资福利支出、生活补助、医疗费补助、奖励金、住房公积金。</w:t>
      </w:r>
    </w:p>
    <w:p w14:paraId="478DF596">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11.23</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default" w:ascii="Times New Roman" w:hAnsi="Times New Roman" w:eastAsia="仿宋_GB2312" w:cs="Times New Roman"/>
          <w:color w:val="000000" w:themeColor="text1"/>
          <w:sz w:val="32"/>
          <w:szCs w:val="32"/>
          <w14:textFill>
            <w14:solidFill>
              <w14:schemeClr w14:val="tx1"/>
            </w14:solidFill>
          </w14:textFill>
        </w:rPr>
        <w:t>办公费、印刷费、手续费、水费、电费、邮电费、物业管理费、差旅费、维修（护）费、租赁费、培训费、公务接待费、劳务费公务用车运行维护费。</w:t>
      </w:r>
    </w:p>
    <w:p w14:paraId="19E7A367">
      <w:pPr>
        <w:spacing w:line="600" w:lineRule="exact"/>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p>
    <w:p w14:paraId="64B0C9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451DD2">
      <w:pPr>
        <w:spacing w:line="600" w:lineRule="exact"/>
        <w:ind w:firstLine="640"/>
        <w:outlineLvl w:val="1"/>
        <w:rPr>
          <w:rStyle w:val="31"/>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6"/>
      <w:bookmarkEnd w:id="37"/>
    </w:p>
    <w:p w14:paraId="02F809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4FD5FB2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5C112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694EF8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F54D2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4036BF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771B6B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p>
    <w:p w14:paraId="6C7CDF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7218"/>
      <w:bookmarkStart w:id="41" w:name="_Toc15396610"/>
    </w:p>
    <w:p w14:paraId="6B5D44AC">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0"/>
      <w:bookmarkEnd w:id="41"/>
    </w:p>
    <w:p w14:paraId="08EA47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1363220">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2" w:name="_Toc15396611"/>
      <w:bookmarkStart w:id="43"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2"/>
      <w:bookmarkEnd w:id="43"/>
    </w:p>
    <w:p w14:paraId="77E7CF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33516E4">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4" w:name="_Toc15396612"/>
      <w:bookmarkStart w:id="45"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4"/>
      <w:bookmarkEnd w:id="45"/>
    </w:p>
    <w:p w14:paraId="5F52879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2C7AC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lang w:eastAsia="zh-CN"/>
        </w:rPr>
        <w:t>壤塘县</w:t>
      </w:r>
      <w:r>
        <w:rPr>
          <w:rFonts w:hint="default" w:ascii="Times New Roman" w:hAnsi="Times New Roman" w:eastAsia="仿宋_GB2312" w:cs="Times New Roman"/>
          <w:color w:val="auto"/>
          <w:sz w:val="32"/>
          <w:szCs w:val="32"/>
          <w:lang w:val="en-US" w:eastAsia="zh-CN"/>
        </w:rPr>
        <w:t>劳动人事争议仲裁院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60A097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1BF40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color w:val="auto"/>
          <w:sz w:val="32"/>
          <w:szCs w:val="32"/>
          <w:lang w:eastAsia="zh-CN"/>
        </w:rPr>
        <w:t>壤塘县</w:t>
      </w:r>
      <w:r>
        <w:rPr>
          <w:rFonts w:hint="default" w:ascii="Times New Roman" w:hAnsi="Times New Roman" w:eastAsia="仿宋_GB2312" w:cs="Times New Roman"/>
          <w:color w:val="auto"/>
          <w:sz w:val="32"/>
          <w:szCs w:val="32"/>
          <w:lang w:val="en-US" w:eastAsia="zh-CN"/>
        </w:rPr>
        <w:t>劳动人事争议仲裁院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1260FAF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21AED1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default" w:ascii="Times New Roman" w:hAnsi="Times New Roman" w:eastAsia="仿宋_GB2312" w:cs="Times New Roman"/>
          <w:color w:val="auto"/>
          <w:sz w:val="32"/>
          <w:szCs w:val="32"/>
          <w:lang w:eastAsia="zh-CN"/>
        </w:rPr>
        <w:t>壤塘县</w:t>
      </w:r>
      <w:r>
        <w:rPr>
          <w:rFonts w:hint="default" w:ascii="Times New Roman" w:hAnsi="Times New Roman" w:eastAsia="仿宋_GB2312" w:cs="Times New Roman"/>
          <w:color w:val="auto"/>
          <w:sz w:val="32"/>
          <w:szCs w:val="32"/>
          <w:lang w:val="en-US" w:eastAsia="zh-CN"/>
        </w:rPr>
        <w:t>劳动人事争议仲裁院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107230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79B49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default" w:ascii="Times New Roman" w:hAnsi="Times New Roman" w:eastAsia="仿宋_GB2312" w:cs="Times New Roman"/>
          <w:color w:val="auto"/>
          <w:sz w:val="32"/>
          <w:szCs w:val="32"/>
          <w:lang w:eastAsia="zh-CN"/>
        </w:rPr>
        <w:t>壤塘县</w:t>
      </w:r>
      <w:r>
        <w:rPr>
          <w:rFonts w:hint="default" w:ascii="Times New Roman" w:hAnsi="Times New Roman" w:eastAsia="仿宋_GB2312" w:cs="Times New Roman"/>
          <w:color w:val="auto"/>
          <w:sz w:val="32"/>
          <w:szCs w:val="32"/>
          <w:lang w:val="en-US" w:eastAsia="zh-CN"/>
        </w:rPr>
        <w:t>劳动人事争议仲裁院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保障监察工作，事业单位人才招考</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23C59C6">
      <w:pPr>
        <w:keepNext w:val="0"/>
        <w:keepLines w:val="0"/>
        <w:widowControl/>
        <w:suppressLineNumbers w:val="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组织对2025年度一般公共预算、政府性基金预算、国有资本经营预算、社会保险基金预算以及资本资产、债券资金等全面开展绩效自评，形成部门预算，其中，</w:t>
      </w:r>
      <w:r>
        <w:rPr>
          <w:rFonts w:hint="eastAsia" w:eastAsia="仿宋_GB2312" w:cs="仿宋_GB2312"/>
          <w:color w:val="auto"/>
          <w:kern w:val="2"/>
          <w:sz w:val="32"/>
          <w:szCs w:val="32"/>
          <w:highlight w:val="none"/>
          <w:lang w:val="en-US" w:eastAsia="zh-CN" w:bidi="ar-SA"/>
        </w:rPr>
        <w:t>人社局劳动监察工作</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：本</w:t>
      </w:r>
      <w:r>
        <w:rPr>
          <w:rFonts w:hint="eastAsia" w:ascii="Times New Roman" w:hAnsi="Times New Roman" w:eastAsia="仿宋_GB2312" w:cs="仿宋_GB2312"/>
          <w:color w:val="auto"/>
          <w:kern w:val="2"/>
          <w:sz w:val="32"/>
          <w:szCs w:val="32"/>
          <w:highlight w:val="none"/>
          <w:lang w:val="en-US" w:eastAsia="zh-CN" w:bidi="ar-SA"/>
        </w:rPr>
        <w:t>项目资金足额到位、使用规范，较好完成年度劳动保障监察各项工作任务。有序开展日常巡查、投诉举报受理处置、欠薪隐患排查整治等工作</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及时化解劳资矛盾，切实维护劳动者合法权益，持续夯实县域和谐劳动关系基础，社会效益明显，较好实现项目预期绩效目标。</w:t>
      </w:r>
    </w:p>
    <w:p w14:paraId="39CA28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F4ADE16">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3AB8F40">
      <w:pPr>
        <w:spacing w:line="600" w:lineRule="exact"/>
        <w:jc w:val="left"/>
        <w:rPr>
          <w:rFonts w:ascii="Times New Roman" w:hAnsi="Times New Roman"/>
          <w:b/>
          <w:color w:val="auto"/>
          <w:sz w:val="44"/>
          <w:szCs w:val="44"/>
          <w:highlight w:val="none"/>
        </w:rPr>
      </w:pPr>
    </w:p>
    <w:p w14:paraId="04FE67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D88C0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算单位经营收入情况）等。</w:t>
      </w:r>
    </w:p>
    <w:p w14:paraId="12FD17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.其他收入：指单位取得的除上述收入以外的各项收入。 </w:t>
      </w:r>
    </w:p>
    <w:p w14:paraId="23A2A7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08F7761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2251D95">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.一般公共服务（201类）（01款）（01项）：指反映政府提供一般公共服务的支出。</w:t>
      </w:r>
    </w:p>
    <w:p w14:paraId="0E9D6CDD">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.社会保障和就业（208类）：指用于</w:t>
      </w:r>
      <w:r>
        <w:rPr>
          <w:rFonts w:hint="eastAsia" w:eastAsia="仿宋_GB2312" w:cs="Times New Roman"/>
          <w:color w:val="000000" w:themeColor="text1"/>
          <w:sz w:val="32"/>
          <w:szCs w:val="32"/>
          <w:lang w:eastAsia="zh-CN"/>
          <w14:textFill>
            <w14:solidFill>
              <w14:schemeClr w14:val="tx1"/>
            </w14:solidFill>
          </w14:textFill>
        </w:rPr>
        <w:t>社会保障和就业</w:t>
      </w:r>
      <w:r>
        <w:rPr>
          <w:rFonts w:hint="default" w:ascii="Times New Roman" w:hAnsi="Times New Roman" w:eastAsia="仿宋_GB2312" w:cs="Times New Roman"/>
          <w:color w:val="000000" w:themeColor="text1"/>
          <w:sz w:val="32"/>
          <w:szCs w:val="32"/>
          <w14:textFill>
            <w14:solidFill>
              <w14:schemeClr w14:val="tx1"/>
            </w14:solidFill>
          </w14:textFill>
        </w:rPr>
        <w:t>方面的支出。</w:t>
      </w:r>
    </w:p>
    <w:p w14:paraId="14DA0276">
      <w:pPr>
        <w:keepNext w:val="0"/>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eastAsia="仿宋_GB2312"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卫生健康支出</w:t>
      </w:r>
      <w:r>
        <w:rPr>
          <w:rFonts w:hint="default" w:ascii="Times New Roman" w:hAnsi="Times New Roman" w:eastAsia="仿宋_GB2312" w:cs="Times New Roman"/>
          <w:color w:val="000000" w:themeColor="text1"/>
          <w:sz w:val="32"/>
          <w:szCs w:val="32"/>
          <w14:textFill>
            <w14:solidFill>
              <w14:schemeClr w14:val="tx1"/>
            </w14:solidFill>
          </w14:textFill>
        </w:rPr>
        <w:t>（210类）（11款）（01项）：指用于医疗卫生与计划生育方面的支出。</w:t>
      </w:r>
    </w:p>
    <w:p w14:paraId="4127F3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类）：指</w:t>
      </w:r>
      <w:r>
        <w:rPr>
          <w:rFonts w:hint="eastAsia" w:eastAsia="仿宋_GB2312" w:cs="仿宋_GB2312"/>
          <w:color w:val="auto"/>
          <w:kern w:val="2"/>
          <w:sz w:val="32"/>
          <w:szCs w:val="32"/>
          <w:highlight w:val="none"/>
          <w:lang w:val="en-US" w:eastAsia="zh-CN" w:bidi="ar-SA"/>
        </w:rPr>
        <w:t>政府用于住房方面的各项财政支出。</w:t>
      </w:r>
    </w:p>
    <w:p w14:paraId="544A1A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32B80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B4CC3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B56F2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cs="仿宋_GB2312"/>
          <w:color w:val="auto"/>
          <w:kern w:val="2"/>
          <w:sz w:val="32"/>
          <w:szCs w:val="32"/>
          <w:highlight w:val="none"/>
          <w:lang w:val="en-US" w:eastAsia="zh-CN" w:bidi="ar-SA"/>
        </w:rPr>
        <w:t>。</w:t>
      </w:r>
    </w:p>
    <w:p w14:paraId="7DD2BA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6FED169">
      <w:pPr>
        <w:pStyle w:val="2"/>
        <w:rPr>
          <w:rFonts w:hint="eastAsia" w:ascii="Times New Roman" w:hAnsi="Times New Roman" w:eastAsia="仿宋_GB2312" w:cs="仿宋_GB2312"/>
          <w:color w:val="auto"/>
          <w:kern w:val="2"/>
          <w:sz w:val="32"/>
          <w:szCs w:val="32"/>
          <w:highlight w:val="none"/>
          <w:lang w:val="en-US" w:eastAsia="zh-CN" w:bidi="ar-SA"/>
        </w:rPr>
      </w:pPr>
    </w:p>
    <w:p w14:paraId="28477C4D">
      <w:pPr>
        <w:pStyle w:val="2"/>
        <w:rPr>
          <w:rFonts w:hint="eastAsia" w:ascii="Times New Roman" w:hAnsi="Times New Roman" w:eastAsia="仿宋_GB2312" w:cs="仿宋_GB2312"/>
          <w:color w:val="auto"/>
          <w:kern w:val="2"/>
          <w:sz w:val="32"/>
          <w:szCs w:val="32"/>
          <w:highlight w:val="none"/>
          <w:lang w:val="en-US" w:eastAsia="zh-CN" w:bidi="ar-SA"/>
        </w:rPr>
      </w:pPr>
    </w:p>
    <w:p w14:paraId="40C5E4D1">
      <w:pPr>
        <w:pStyle w:val="2"/>
        <w:rPr>
          <w:rFonts w:hint="eastAsia" w:ascii="Times New Roman" w:hAnsi="Times New Roman" w:eastAsia="仿宋_GB2312" w:cs="仿宋_GB2312"/>
          <w:color w:val="auto"/>
          <w:kern w:val="2"/>
          <w:sz w:val="32"/>
          <w:szCs w:val="32"/>
          <w:highlight w:val="none"/>
          <w:lang w:val="en-US" w:eastAsia="zh-CN" w:bidi="ar-SA"/>
        </w:rPr>
      </w:pPr>
    </w:p>
    <w:p w14:paraId="1F7B0743">
      <w:pPr>
        <w:spacing w:line="600" w:lineRule="exact"/>
        <w:jc w:val="center"/>
        <w:rPr>
          <w:rFonts w:hint="eastAsia" w:ascii="Times New Roman" w:hAnsi="Times New Roman" w:eastAsia="黑体"/>
          <w:color w:val="auto"/>
          <w:sz w:val="44"/>
          <w:szCs w:val="44"/>
          <w:highlight w:val="none"/>
        </w:rPr>
      </w:pPr>
      <w:bookmarkStart w:id="51" w:name="_Toc15396614"/>
      <w:bookmarkStart w:id="52" w:name="_Toc15377226"/>
    </w:p>
    <w:p w14:paraId="40EFF7D0">
      <w:pPr>
        <w:spacing w:line="600" w:lineRule="exact"/>
        <w:jc w:val="center"/>
        <w:rPr>
          <w:rFonts w:hint="eastAsia" w:ascii="Times New Roman" w:hAnsi="Times New Roman" w:eastAsia="黑体"/>
          <w:color w:val="auto"/>
          <w:sz w:val="44"/>
          <w:szCs w:val="44"/>
          <w:highlight w:val="none"/>
        </w:rPr>
      </w:pPr>
    </w:p>
    <w:p w14:paraId="5BE4944D">
      <w:pPr>
        <w:spacing w:line="600" w:lineRule="exact"/>
        <w:jc w:val="cente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1"/>
    </w:p>
    <w:p w14:paraId="0813EB7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F0EECC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489909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1913A1E">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5C6B8F8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58D142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4D0B68A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rPr>
      </w:pPr>
      <w:r>
        <w:rPr>
          <w:rFonts w:hint="default" w:ascii="Times New Roman" w:hAnsi="Times New Roman" w:eastAsia="仿宋_GB2312" w:cs="Times New Roman"/>
          <w:color w:val="auto"/>
          <w:sz w:val="32"/>
          <w:szCs w:val="32"/>
          <w:lang w:val="en-US" w:eastAsia="zh-CN"/>
        </w:rPr>
        <w:t>壤塘县</w:t>
      </w:r>
      <w:r>
        <w:rPr>
          <w:rFonts w:hint="default" w:ascii="Times New Roman" w:hAnsi="Times New Roman" w:eastAsia="仿宋_GB2312" w:cs="Times New Roman"/>
          <w:color w:val="auto"/>
          <w:sz w:val="32"/>
          <w:szCs w:val="32"/>
        </w:rPr>
        <w:t>劳动人事争议仲裁</w:t>
      </w:r>
      <w:r>
        <w:rPr>
          <w:rFonts w:hint="default" w:ascii="Times New Roman" w:hAnsi="Times New Roman" w:eastAsia="仿宋_GB2312" w:cs="Times New Roman"/>
          <w:color w:val="auto"/>
          <w:sz w:val="32"/>
          <w:szCs w:val="32"/>
          <w:lang w:val="en-US" w:eastAsia="zh-CN"/>
        </w:rPr>
        <w:t>院</w:t>
      </w:r>
      <w:r>
        <w:rPr>
          <w:rFonts w:hint="eastAsia" w:ascii="Times New Roman" w:hAnsi="Times New Roman" w:eastAsia="仿宋_GB2312" w:cs="仿宋_GB2312"/>
          <w:color w:val="auto"/>
          <w:kern w:val="2"/>
          <w:sz w:val="32"/>
          <w:szCs w:val="32"/>
          <w:highlight w:val="none"/>
          <w:lang w:val="en-US" w:eastAsia="zh-CN" w:bidi="ar-SA"/>
        </w:rPr>
        <w:t>内设</w:t>
      </w:r>
      <w:r>
        <w:rPr>
          <w:rFonts w:hint="eastAsia" w:eastAsia="仿宋_GB2312" w:cs="仿宋_GB2312"/>
          <w:color w:val="auto"/>
          <w:kern w:val="2"/>
          <w:sz w:val="32"/>
          <w:szCs w:val="32"/>
          <w:highlight w:val="none"/>
          <w:lang w:val="en-US" w:eastAsia="zh-CN" w:bidi="ar-SA"/>
        </w:rPr>
        <w:t>一个股室无</w:t>
      </w:r>
      <w:r>
        <w:rPr>
          <w:rFonts w:hint="eastAsia" w:ascii="Times New Roman" w:hAnsi="Times New Roman" w:eastAsia="仿宋_GB2312" w:cs="仿宋_GB2312"/>
          <w:color w:val="auto"/>
          <w:kern w:val="2"/>
          <w:sz w:val="32"/>
          <w:szCs w:val="32"/>
          <w:highlight w:val="none"/>
          <w:lang w:val="en-US" w:eastAsia="zh-CN" w:bidi="ar-SA"/>
        </w:rPr>
        <w:t>下属单位</w:t>
      </w:r>
      <w:r>
        <w:rPr>
          <w:rFonts w:hint="default" w:ascii="Times New Roman" w:hAnsi="Times New Roman" w:eastAsia="仿宋_GB2312" w:cs="仿宋_GB2312"/>
          <w:color w:val="auto"/>
          <w:kern w:val="2"/>
          <w:sz w:val="32"/>
          <w:szCs w:val="32"/>
          <w:highlight w:val="none"/>
          <w:lang w:val="en-US" w:eastAsia="zh-CN" w:bidi="ar-SA"/>
        </w:rPr>
        <w:t>。</w:t>
      </w:r>
    </w:p>
    <w:p w14:paraId="6FE6F76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0698AEEF">
      <w:pPr>
        <w:pageBreakBefore w:val="0"/>
        <w:kinsoku/>
        <w:wordWrap/>
        <w:overflowPunct/>
        <w:topLinePunct w:val="0"/>
        <w:autoSpaceDE/>
        <w:autoSpaceDN/>
        <w:bidi w:val="0"/>
        <w:spacing w:line="560" w:lineRule="exact"/>
        <w:ind w:firstLine="800" w:firstLineChars="250"/>
        <w:textAlignment w:val="auto"/>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z w:val="32"/>
          <w:szCs w:val="32"/>
          <w:lang w:val="en-US" w:eastAsia="zh-CN"/>
        </w:rPr>
        <w:t>壤塘县</w:t>
      </w:r>
      <w:r>
        <w:rPr>
          <w:rFonts w:hint="default" w:ascii="Times New Roman" w:hAnsi="Times New Roman" w:eastAsia="仿宋_GB2312" w:cs="Times New Roman"/>
          <w:color w:val="auto"/>
          <w:sz w:val="32"/>
          <w:szCs w:val="32"/>
        </w:rPr>
        <w:t>劳动人事争议仲裁</w:t>
      </w:r>
      <w:r>
        <w:rPr>
          <w:rFonts w:hint="default" w:ascii="Times New Roman" w:hAnsi="Times New Roman" w:eastAsia="仿宋_GB2312" w:cs="Times New Roman"/>
          <w:color w:val="auto"/>
          <w:sz w:val="32"/>
          <w:szCs w:val="32"/>
          <w:lang w:val="en-US" w:eastAsia="zh-CN"/>
        </w:rPr>
        <w:t>院</w:t>
      </w:r>
      <w:r>
        <w:rPr>
          <w:rFonts w:hint="default" w:ascii="Times New Roman" w:hAnsi="Times New Roman" w:eastAsia="仿宋_GB2312" w:cs="Times New Roman"/>
          <w:color w:val="auto"/>
          <w:sz w:val="32"/>
          <w:szCs w:val="32"/>
        </w:rPr>
        <w:t>属人社局二级股室，</w:t>
      </w:r>
      <w:r>
        <w:rPr>
          <w:rFonts w:hint="default" w:ascii="Times New Roman" w:hAnsi="Times New Roman" w:eastAsia="仿宋_GB2312" w:cs="Times New Roman"/>
          <w:color w:val="auto"/>
          <w:sz w:val="32"/>
          <w:szCs w:val="32"/>
          <w:lang w:val="en-US" w:eastAsia="zh-CN"/>
        </w:rPr>
        <w:t>单位性质为</w:t>
      </w:r>
      <w:r>
        <w:rPr>
          <w:rFonts w:hint="default" w:ascii="Times New Roman" w:hAnsi="Times New Roman" w:eastAsia="仿宋_GB2312" w:cs="Times New Roman"/>
          <w:color w:val="auto"/>
          <w:sz w:val="32"/>
          <w:szCs w:val="32"/>
        </w:rPr>
        <w:t>事业单位。</w:t>
      </w:r>
    </w:p>
    <w:p w14:paraId="0A218C88">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27C84D70">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rPr>
      </w:pPr>
      <w:r>
        <w:rPr>
          <w:rFonts w:hint="eastAsia" w:eastAsia="仿宋_GB2312" w:cs="Times New Roman"/>
          <w:color w:val="auto"/>
          <w:kern w:val="0"/>
          <w:sz w:val="32"/>
          <w:szCs w:val="32"/>
          <w:highlight w:val="none"/>
          <w:lang w:val="en-US" w:eastAsia="zh-CN"/>
        </w:rPr>
        <w:t>在编人数11</w:t>
      </w:r>
      <w:r>
        <w:rPr>
          <w:rFonts w:hint="default" w:ascii="Times New Roman" w:hAnsi="Times New Roman" w:eastAsia="仿宋_GB2312" w:cs="Times New Roman"/>
          <w:color w:val="auto"/>
          <w:kern w:val="0"/>
          <w:sz w:val="32"/>
          <w:szCs w:val="32"/>
          <w:highlight w:val="none"/>
        </w:rPr>
        <w:t>名</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其中</w:t>
      </w:r>
      <w:r>
        <w:rPr>
          <w:rFonts w:hint="default"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rPr>
        <w:t>事业编制</w:t>
      </w:r>
      <w:r>
        <w:rPr>
          <w:rFonts w:hint="eastAsia" w:eastAsia="仿宋_GB2312" w:cs="Times New Roman"/>
          <w:color w:val="auto"/>
          <w:kern w:val="0"/>
          <w:sz w:val="32"/>
          <w:szCs w:val="32"/>
          <w:highlight w:val="none"/>
          <w:lang w:val="en-US" w:eastAsia="zh-CN"/>
        </w:rPr>
        <w:t>11</w:t>
      </w:r>
      <w:r>
        <w:rPr>
          <w:rFonts w:hint="default" w:ascii="Times New Roman" w:hAnsi="Times New Roman" w:eastAsia="仿宋_GB2312" w:cs="Times New Roman"/>
          <w:color w:val="auto"/>
          <w:kern w:val="0"/>
          <w:sz w:val="32"/>
          <w:szCs w:val="32"/>
          <w:highlight w:val="none"/>
          <w:lang w:val="en-US" w:eastAsia="zh-CN"/>
        </w:rPr>
        <w:t>人</w:t>
      </w:r>
      <w:r>
        <w:rPr>
          <w:rFonts w:hint="default" w:ascii="Times New Roman" w:hAnsi="Times New Roman" w:eastAsia="仿宋_GB2312" w:cs="Times New Roman"/>
          <w:color w:val="auto"/>
          <w:kern w:val="0"/>
          <w:sz w:val="32"/>
          <w:szCs w:val="32"/>
          <w:highlight w:val="none"/>
        </w:rPr>
        <w:t>。</w:t>
      </w:r>
    </w:p>
    <w:p w14:paraId="745FE1F6">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rPr>
      </w:pPr>
    </w:p>
    <w:p w14:paraId="59799C5D">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3C391C8">
      <w:pPr>
        <w:pageBreakBefore w:val="0"/>
        <w:kinsoku/>
        <w:wordWrap/>
        <w:overflowPunct/>
        <w:topLinePunct w:val="0"/>
        <w:autoSpaceDE/>
        <w:autoSpaceDN/>
        <w:bidi w:val="0"/>
        <w:spacing w:line="560" w:lineRule="exact"/>
        <w:ind w:firstLine="643" w:firstLineChars="200"/>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71453EA1">
      <w:pPr>
        <w:pageBreakBefore w:val="0"/>
        <w:kinsoku/>
        <w:wordWrap/>
        <w:overflowPunct/>
        <w:topLinePunct w:val="0"/>
        <w:autoSpaceDE/>
        <w:autoSpaceDN/>
        <w:bidi w:val="0"/>
        <w:spacing w:line="560" w:lineRule="exact"/>
        <w:ind w:firstLine="640" w:firstLineChars="200"/>
        <w:textAlignment w:val="auto"/>
        <w:outlineLvl w:val="1"/>
        <w:rPr>
          <w:rFonts w:hint="default" w:ascii="Times New Roman" w:hAnsi="Times New Roman" w:eastAsia="仿宋_GB2312" w:cs="Times New Roman"/>
          <w:color w:val="auto"/>
          <w:kern w:val="0"/>
          <w:sz w:val="32"/>
          <w:szCs w:val="32"/>
          <w:shd w:val="clear" w:color="auto" w:fill="FFFFFF"/>
          <w:lang w:val="zh-CN"/>
        </w:rPr>
      </w:pPr>
      <w:r>
        <w:rPr>
          <w:rFonts w:hint="default" w:ascii="Times New Roman" w:hAnsi="Times New Roman" w:eastAsia="仿宋_GB2312" w:cs="Times New Roman"/>
          <w:color w:val="auto"/>
          <w:sz w:val="32"/>
          <w:szCs w:val="32"/>
          <w:lang w:val="en-US" w:eastAsia="zh-CN"/>
        </w:rPr>
        <w:t>壤塘县</w:t>
      </w:r>
      <w:r>
        <w:rPr>
          <w:rFonts w:hint="default" w:ascii="Times New Roman" w:hAnsi="Times New Roman" w:eastAsia="仿宋_GB2312" w:cs="Times New Roman"/>
          <w:color w:val="auto"/>
          <w:sz w:val="32"/>
          <w:szCs w:val="32"/>
        </w:rPr>
        <w:t>劳动人事争议仲裁</w:t>
      </w:r>
      <w:r>
        <w:rPr>
          <w:rFonts w:hint="default" w:ascii="Times New Roman" w:hAnsi="Times New Roman" w:eastAsia="仿宋_GB2312" w:cs="Times New Roman"/>
          <w:color w:val="auto"/>
          <w:sz w:val="32"/>
          <w:szCs w:val="32"/>
          <w:lang w:val="en-US" w:eastAsia="zh-CN"/>
        </w:rPr>
        <w:t>院</w:t>
      </w:r>
      <w:r>
        <w:rPr>
          <w:rFonts w:hint="default" w:ascii="Times New Roman" w:hAnsi="Times New Roman" w:eastAsia="仿宋_GB2312" w:cs="Times New Roman"/>
          <w:color w:val="auto"/>
          <w:sz w:val="32"/>
          <w:szCs w:val="32"/>
        </w:rPr>
        <w:t>20</w:t>
      </w:r>
      <w:r>
        <w:rPr>
          <w:rFonts w:hint="default" w:ascii="Times New Roman" w:hAnsi="Times New Roman" w:eastAsia="仿宋_GB2312" w:cs="Times New Roman"/>
          <w:color w:val="auto"/>
          <w:sz w:val="32"/>
          <w:szCs w:val="32"/>
          <w:lang w:val="en-US" w:eastAsia="zh-CN"/>
        </w:rPr>
        <w:t>2</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kern w:val="0"/>
          <w:sz w:val="32"/>
          <w:szCs w:val="32"/>
          <w:shd w:val="clear" w:color="auto" w:fill="FFFFFF"/>
          <w:lang w:val="zh-CN"/>
        </w:rPr>
        <w:t>部门财政资金收入</w:t>
      </w:r>
      <w:r>
        <w:rPr>
          <w:rFonts w:hint="default" w:ascii="Times New Roman" w:hAnsi="Times New Roman" w:eastAsia="仿宋_GB2312" w:cs="Times New Roman"/>
          <w:color w:val="auto"/>
          <w:sz w:val="32"/>
          <w:szCs w:val="32"/>
        </w:rPr>
        <w:t>合计</w:t>
      </w:r>
      <w:r>
        <w:rPr>
          <w:rFonts w:hint="eastAsia" w:eastAsia="仿宋_GB2312" w:cs="Times New Roman"/>
          <w:color w:val="auto"/>
          <w:sz w:val="32"/>
          <w:szCs w:val="32"/>
          <w:lang w:val="en-US" w:eastAsia="zh-CN"/>
        </w:rPr>
        <w:t>244.5</w:t>
      </w:r>
      <w:r>
        <w:rPr>
          <w:rFonts w:hint="default" w:ascii="Times New Roman" w:hAnsi="Times New Roman" w:eastAsia="仿宋_GB2312" w:cs="Times New Roman"/>
          <w:color w:val="auto"/>
          <w:sz w:val="32"/>
          <w:szCs w:val="32"/>
        </w:rPr>
        <w:t>万元，其中：一般公共预算财政拨款收入</w:t>
      </w:r>
      <w:r>
        <w:rPr>
          <w:rFonts w:hint="eastAsia" w:eastAsia="仿宋_GB2312" w:cs="Times New Roman"/>
          <w:color w:val="auto"/>
          <w:sz w:val="32"/>
          <w:szCs w:val="32"/>
          <w:lang w:val="en-US" w:eastAsia="zh-CN"/>
        </w:rPr>
        <w:t>244.5</w:t>
      </w:r>
      <w:r>
        <w:rPr>
          <w:rFonts w:hint="default" w:ascii="Times New Roman" w:hAnsi="Times New Roman" w:eastAsia="仿宋_GB2312" w:cs="Times New Roman"/>
          <w:color w:val="auto"/>
          <w:sz w:val="32"/>
          <w:szCs w:val="32"/>
        </w:rPr>
        <w:t>万元，占</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rPr>
        <w:t>%；</w:t>
      </w:r>
    </w:p>
    <w:p w14:paraId="23D37DD6">
      <w:pPr>
        <w:pStyle w:val="11"/>
        <w:keepNext w:val="0"/>
        <w:keepLines w:val="0"/>
        <w:pageBreakBefore w:val="0"/>
        <w:widowControl w:val="0"/>
        <w:numPr>
          <w:ilvl w:val="0"/>
          <w:numId w:val="3"/>
        </w:numPr>
        <w:kinsoku/>
        <w:wordWrap/>
        <w:overflowPunct/>
        <w:topLinePunct w:val="0"/>
        <w:autoSpaceDE/>
        <w:autoSpaceDN/>
        <w:bidi w:val="0"/>
        <w:adjustRightInd/>
        <w:snapToGrid w:val="0"/>
        <w:spacing w:line="560" w:lineRule="exact"/>
        <w:ind w:firstLine="643" w:firstLineChars="200"/>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1B21B942">
      <w:pPr>
        <w:pStyle w:val="11"/>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outlineLvl w:val="9"/>
        <w:rPr>
          <w:rFonts w:hint="default" w:ascii="Times New Roman" w:hAnsi="Times New Roman" w:cs="Times New Roman"/>
          <w:color w:val="auto"/>
          <w:lang w:val="zh-CN"/>
        </w:rPr>
      </w:pPr>
      <w:r>
        <w:rPr>
          <w:rFonts w:hint="default" w:ascii="Times New Roman" w:hAnsi="Times New Roman" w:eastAsia="仿宋_GB2312" w:cs="Times New Roman"/>
          <w:color w:val="auto"/>
          <w:sz w:val="32"/>
          <w:szCs w:val="32"/>
          <w:lang w:val="en-US" w:eastAsia="zh-CN"/>
        </w:rPr>
        <w:t>壤塘县</w:t>
      </w:r>
      <w:r>
        <w:rPr>
          <w:rFonts w:hint="default" w:ascii="Times New Roman" w:hAnsi="Times New Roman" w:eastAsia="仿宋_GB2312" w:cs="Times New Roman"/>
          <w:color w:val="auto"/>
          <w:sz w:val="32"/>
          <w:szCs w:val="32"/>
        </w:rPr>
        <w:t>劳动人事争议仲裁</w:t>
      </w:r>
      <w:r>
        <w:rPr>
          <w:rFonts w:hint="default" w:ascii="Times New Roman" w:hAnsi="Times New Roman" w:eastAsia="仿宋_GB2312" w:cs="Times New Roman"/>
          <w:color w:val="auto"/>
          <w:sz w:val="32"/>
          <w:szCs w:val="32"/>
          <w:lang w:val="en-US" w:eastAsia="zh-CN"/>
        </w:rPr>
        <w:t>院202</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zh-CN"/>
        </w:rPr>
        <w:t>年</w:t>
      </w:r>
      <w:r>
        <w:rPr>
          <w:rFonts w:hint="default" w:ascii="Times New Roman" w:hAnsi="Times New Roman" w:eastAsia="仿宋_GB2312" w:cs="Times New Roman"/>
          <w:color w:val="auto"/>
          <w:kern w:val="0"/>
          <w:sz w:val="32"/>
          <w:szCs w:val="32"/>
          <w:shd w:val="clear" w:color="auto" w:fill="FFFFFF"/>
          <w:lang w:val="zh-CN"/>
        </w:rPr>
        <w:t>部门财政资金支出</w:t>
      </w:r>
      <w:r>
        <w:rPr>
          <w:rFonts w:hint="default" w:ascii="Times New Roman" w:hAnsi="Times New Roman" w:eastAsia="仿宋_GB2312" w:cs="Times New Roman"/>
          <w:color w:val="auto"/>
          <w:sz w:val="32"/>
          <w:szCs w:val="32"/>
          <w:lang w:val="zh-CN"/>
        </w:rPr>
        <w:t>合计</w:t>
      </w:r>
      <w:r>
        <w:rPr>
          <w:rFonts w:hint="eastAsia" w:ascii="Times New Roman" w:hAnsi="Times New Roman" w:eastAsia="仿宋_GB2312" w:cs="Times New Roman"/>
          <w:color w:val="auto"/>
          <w:sz w:val="32"/>
          <w:szCs w:val="32"/>
          <w:lang w:val="en-US" w:eastAsia="zh-CN"/>
        </w:rPr>
        <w:t>244.5</w:t>
      </w:r>
      <w:r>
        <w:rPr>
          <w:rFonts w:hint="default" w:ascii="Times New Roman" w:hAnsi="Times New Roman" w:eastAsia="仿宋_GB2312" w:cs="Times New Roman"/>
          <w:color w:val="auto"/>
          <w:sz w:val="32"/>
          <w:szCs w:val="32"/>
          <w:lang w:val="zh-CN"/>
        </w:rPr>
        <w:t>万元，其中：基本支出</w:t>
      </w:r>
      <w:r>
        <w:rPr>
          <w:rFonts w:hint="eastAsia" w:ascii="Times New Roman" w:hAnsi="Times New Roman" w:eastAsia="仿宋_GB2312" w:cs="Times New Roman"/>
          <w:color w:val="auto"/>
          <w:sz w:val="32"/>
          <w:szCs w:val="32"/>
          <w:lang w:val="en-US" w:eastAsia="zh-CN"/>
        </w:rPr>
        <w:t>244.5</w:t>
      </w:r>
      <w:r>
        <w:rPr>
          <w:rFonts w:hint="default" w:ascii="Times New Roman" w:hAnsi="Times New Roman" w:eastAsia="仿宋_GB2312" w:cs="Times New Roman"/>
          <w:color w:val="auto"/>
          <w:sz w:val="32"/>
          <w:szCs w:val="32"/>
          <w:lang w:val="zh-CN"/>
        </w:rPr>
        <w:t>万元，占</w:t>
      </w:r>
      <w:r>
        <w:rPr>
          <w:rFonts w:hint="default" w:ascii="Times New Roman" w:hAnsi="Times New Roman" w:eastAsia="仿宋_GB2312" w:cs="Times New Roman"/>
          <w:color w:val="auto"/>
          <w:sz w:val="32"/>
          <w:szCs w:val="32"/>
          <w:lang w:val="zh-CN" w:eastAsia="zh-CN"/>
        </w:rPr>
        <w:t>100</w:t>
      </w:r>
      <w:r>
        <w:rPr>
          <w:rFonts w:hint="default" w:ascii="Times New Roman" w:hAnsi="Times New Roman" w:eastAsia="仿宋_GB2312" w:cs="Times New Roman"/>
          <w:color w:val="auto"/>
          <w:sz w:val="32"/>
          <w:szCs w:val="32"/>
          <w:lang w:val="zh-CN"/>
        </w:rPr>
        <w:t>%；项目支出</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万元，占</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%；上缴上级支出</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万元，占</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%；经营支出</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万元，占</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%；对附属单位补助支出</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万元，占</w:t>
      </w:r>
      <w:r>
        <w:rPr>
          <w:rFonts w:hint="default" w:ascii="Times New Roman" w:hAnsi="Times New Roman" w:eastAsia="仿宋_GB2312" w:cs="Times New Roman"/>
          <w:color w:val="auto"/>
          <w:sz w:val="32"/>
          <w:szCs w:val="32"/>
          <w:lang w:val="zh-CN" w:eastAsia="zh-CN"/>
        </w:rPr>
        <w:t>0</w:t>
      </w:r>
      <w:r>
        <w:rPr>
          <w:rFonts w:hint="default" w:ascii="Times New Roman" w:hAnsi="Times New Roman" w:eastAsia="仿宋_GB2312" w:cs="Times New Roman"/>
          <w:color w:val="auto"/>
          <w:sz w:val="32"/>
          <w:szCs w:val="32"/>
          <w:lang w:val="zh-CN"/>
        </w:rPr>
        <w:t>%。</w:t>
      </w:r>
    </w:p>
    <w:p w14:paraId="4C1399D6">
      <w:pPr>
        <w:keepNext w:val="0"/>
        <w:keepLines w:val="0"/>
        <w:pageBreakBefore w:val="0"/>
        <w:widowControl/>
        <w:kinsoku/>
        <w:wordWrap/>
        <w:overflowPunct/>
        <w:topLinePunct w:val="0"/>
        <w:autoSpaceDE/>
        <w:autoSpaceDN/>
        <w:bidi w:val="0"/>
        <w:adjustRightInd w:val="0"/>
        <w:snapToGrid w:val="0"/>
        <w:spacing w:line="578" w:lineRule="exact"/>
        <w:ind w:firstLine="420" w:firstLineChars="200"/>
        <w:contextualSpacing/>
        <w:jc w:val="left"/>
        <w:textAlignment w:val="auto"/>
        <w:outlineLvl w:val="9"/>
        <w:rPr>
          <w:rFonts w:hint="default" w:ascii="Times New Roman" w:hAnsi="Times New Roman" w:cs="Times New Roman"/>
          <w:szCs w:val="32"/>
          <w:lang w:val="zh-CN" w:eastAsia="zh-CN"/>
        </w:rPr>
      </w:pPr>
    </w:p>
    <w:p w14:paraId="54EE4738">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767D176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仿宋_GB2312" w:cs="Times New Roman"/>
          <w:color w:val="auto"/>
          <w:sz w:val="32"/>
          <w:szCs w:val="32"/>
          <w:lang w:val="en-US" w:eastAsia="zh-CN"/>
        </w:rPr>
        <w:t>壤塘县</w:t>
      </w:r>
      <w:r>
        <w:rPr>
          <w:rFonts w:hint="default" w:ascii="Times New Roman" w:hAnsi="Times New Roman" w:eastAsia="仿宋_GB2312" w:cs="Times New Roman"/>
          <w:color w:val="auto"/>
          <w:sz w:val="32"/>
          <w:szCs w:val="32"/>
        </w:rPr>
        <w:t>劳动人事争议仲裁</w:t>
      </w:r>
      <w:r>
        <w:rPr>
          <w:rFonts w:hint="default" w:ascii="Times New Roman" w:hAnsi="Times New Roman" w:eastAsia="仿宋_GB2312" w:cs="Times New Roman"/>
          <w:color w:val="auto"/>
          <w:sz w:val="32"/>
          <w:szCs w:val="32"/>
          <w:lang w:val="en-US" w:eastAsia="zh-CN"/>
        </w:rPr>
        <w:t>院</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w:t>
      </w:r>
      <w:r>
        <w:rPr>
          <w:rFonts w:hint="default" w:ascii="Times New Roman" w:hAnsi="Times New Roman" w:eastAsia="仿宋_GB2312" w:cs="Times New Roman"/>
          <w:sz w:val="32"/>
          <w:szCs w:val="32"/>
          <w:lang w:val="en-US" w:eastAsia="zh-CN"/>
        </w:rPr>
        <w:t>。</w:t>
      </w:r>
    </w:p>
    <w:p w14:paraId="6E593CE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6F4556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2EBB40CB">
      <w:pPr>
        <w:pStyle w:val="16"/>
        <w:keepNext w:val="0"/>
        <w:keepLines w:val="0"/>
        <w:widowControl/>
        <w:suppressLineNumbers w:val="0"/>
        <w:ind w:firstLine="960" w:firstLineChars="3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围绕劳动人事争议案件办理、争议调解化解、用工普法指导、便民维权服务四项核心目标履职。严格依照仲裁法律法规受理审理案件，落实繁简分流，按期结案率总体达标，依法保障劳资双方合法权益；坚持调解优先，积极联动基层调解组织开展前端化解，推动争议柔性处置；结合办案开展劳动用工普法和企业用工指导，从源头防范劳资纠纷；畅通线上线下维权渠道，落实立案、送达等便民举措，劳动关系维稳成效总体较好。</w:t>
      </w:r>
      <w:r>
        <w:rPr>
          <w:rFonts w:hint="eastAsia" w:eastAsia="仿宋_GB2312" w:cs="仿宋_GB2312"/>
          <w:color w:val="auto"/>
          <w:kern w:val="2"/>
          <w:sz w:val="32"/>
          <w:szCs w:val="32"/>
          <w:highlight w:val="none"/>
          <w:lang w:val="zh-CN" w:eastAsia="zh-CN" w:bidi="ar-SA"/>
        </w:rPr>
        <w:t>但也有一些不足主要体现在</w:t>
      </w:r>
      <w:r>
        <w:rPr>
          <w:rFonts w:hint="eastAsia" w:ascii="Times New Roman" w:hAnsi="Times New Roman" w:eastAsia="仿宋_GB2312" w:cs="仿宋_GB2312"/>
          <w:color w:val="auto"/>
          <w:kern w:val="2"/>
          <w:sz w:val="32"/>
          <w:szCs w:val="32"/>
          <w:highlight w:val="none"/>
          <w:lang w:val="zh-CN" w:eastAsia="zh-CN" w:bidi="ar-SA"/>
        </w:rPr>
        <w:t>案多人少矛盾突出，疑难案件办理耗时较长；调裁联动常态化机制不够完善，部分调解协议履约跟踪不足；普法形式较为单一，精准化用工指导偏少；服务对象满意度回访机制不健全。</w:t>
      </w:r>
      <w:r>
        <w:rPr>
          <w:rFonts w:hint="eastAsia" w:eastAsia="仿宋_GB2312" w:cs="仿宋_GB2312"/>
          <w:color w:val="auto"/>
          <w:kern w:val="2"/>
          <w:sz w:val="32"/>
          <w:szCs w:val="32"/>
          <w:highlight w:val="none"/>
          <w:lang w:val="en-US" w:eastAsia="zh-CN" w:bidi="ar-SA"/>
        </w:rPr>
        <w:t xml:space="preserve"> </w:t>
      </w:r>
    </w:p>
    <w:p w14:paraId="411BA6F0">
      <w:pPr>
        <w:pStyle w:val="16"/>
        <w:keepNext w:val="0"/>
        <w:keepLines w:val="0"/>
        <w:widowControl/>
        <w:suppressLineNumbers w:val="0"/>
        <w:ind w:firstLine="640" w:firstLineChars="20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预算编制紧扣仲裁办案、调解宣传、便民服务等核心业务需求，同步编报绩效目标，项目测算依据较为充分；规范做好各项收入统筹管理，收入及时足额上缴；建立支出进度常态化调度，资金支出与业务推进基本匹配；严格管控年终结余，对结余资金按财政要求及时清理申报；从严落实一般性支出压减要求，厉行节约，严控非必要开支。</w:t>
      </w:r>
    </w:p>
    <w:p w14:paraId="1AD3F8D1">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.所有经费开支坚持财务审批制度，重大资金支出（日常公用经费在</w:t>
      </w: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rPr>
        <w:t>万元及以上）由</w:t>
      </w:r>
      <w:r>
        <w:rPr>
          <w:rFonts w:hint="eastAsia" w:ascii="仿宋_GB2312" w:hAnsi="仿宋_GB2312" w:cs="仿宋_GB2312"/>
          <w:sz w:val="32"/>
          <w:szCs w:val="32"/>
          <w:lang w:val="en-US" w:eastAsia="zh-CN"/>
        </w:rPr>
        <w:t>局</w:t>
      </w:r>
      <w:r>
        <w:rPr>
          <w:rFonts w:hint="eastAsia" w:ascii="仿宋_GB2312" w:hAnsi="仿宋_GB2312" w:eastAsia="仿宋_GB2312" w:cs="仿宋_GB2312"/>
          <w:sz w:val="32"/>
          <w:szCs w:val="32"/>
        </w:rPr>
        <w:t>会议研究决定。</w:t>
      </w:r>
    </w:p>
    <w:p w14:paraId="40569D27">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.在报销经费时，经办人使用统一规范的审批单，在审批单上写明用途、经办人员、证明人员、股室负责人、金额、报销日期、单据张数等内容。</w:t>
      </w:r>
    </w:p>
    <w:p w14:paraId="6E58BB4F">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各个审批环节的具体职责：</w:t>
      </w:r>
    </w:p>
    <w:p w14:paraId="5F0BC913">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业务股室负责人及其分管领导对其发生的支出用途及金额的真实性、准确性负责，并对其股室填写的支出审批单内容、大小写金额、票据张数进行审核。经济业务发生后，原则上在15天之内报账完毕。不得将几个经济事项的票据合并填报。</w:t>
      </w:r>
    </w:p>
    <w:p w14:paraId="31E7104A">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财务股对股室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股有权拒绝受理。</w:t>
      </w:r>
    </w:p>
    <w:p w14:paraId="715E0A6C">
      <w:pPr>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各审批领导审查财务收支的真实性、合法性、必要性，并在报销凭证上明确签署报销意见。</w:t>
      </w:r>
    </w:p>
    <w:p w14:paraId="5BD6FB08">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财经管理规定的票据有权拒绝接受并应立即报告。</w:t>
      </w:r>
    </w:p>
    <w:p w14:paraId="3D4593A8">
      <w:pPr>
        <w:keepNext w:val="0"/>
        <w:keepLines w:val="0"/>
        <w:widowControl/>
        <w:suppressLineNumbers w:val="0"/>
        <w:ind w:firstLine="640"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hAnsi="仿宋_GB2312" w:eastAsia="仿宋_GB2312" w:cs="仿宋_GB2312"/>
          <w:sz w:val="32"/>
          <w:szCs w:val="32"/>
          <w:lang w:val="en-US" w:eastAsia="zh-CN"/>
        </w:rPr>
        <w:t>健全资产台账，落实资产定期盘点制度，资产购置、领用、处置按流程审批。资产优先保障窗口经办、仲裁办案等业务使用，闲置资产在局内及下属经办单位调剂使用。资产变动及时登记入账，做到账实相符。资产盘活方式较为单一，后续将进一步加大闲置资产统筹管理力度。</w:t>
      </w:r>
    </w:p>
    <w:p w14:paraId="7F6F2C6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en-US" w:eastAsia="zh-CN" w:bidi="ar-SA"/>
        </w:rPr>
        <w:t>落实政府采购扶持中小企业政策，采购流程合规，采购执行总体有序</w:t>
      </w:r>
      <w:r>
        <w:rPr>
          <w:rFonts w:hint="eastAsia" w:eastAsia="仿宋_GB2312" w:cs="仿宋_GB2312"/>
          <w:color w:val="auto"/>
          <w:kern w:val="2"/>
          <w:sz w:val="32"/>
          <w:szCs w:val="32"/>
          <w:highlight w:val="none"/>
          <w:lang w:val="en-US" w:eastAsia="zh-CN" w:bidi="ar-SA"/>
        </w:rPr>
        <w:t>。</w:t>
      </w:r>
    </w:p>
    <w:p w14:paraId="56A1EDD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20D8D42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1749A79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258E3A71">
      <w:pPr>
        <w:keepNext w:val="0"/>
        <w:keepLines w:val="0"/>
        <w:widowControl/>
        <w:suppressLineNumbers w:val="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常年项目均为劳动仲裁院办案保障、调解宣传、仲裁服务等持续性履职项目，立项论证充分，按内部决策流程审议申报；全部按要求纳入财政项目库管理，入库资料齐全，实行滚动管理；同步编制绩效目标，结合仲裁业务设置案件办理、纠纷调解、普法宣传等产出及效益指标，目标设置与项目实施内容匹配。</w:t>
      </w:r>
    </w:p>
    <w:p w14:paraId="61A91475">
      <w:pPr>
        <w:keepNext w:val="0"/>
        <w:keepLines w:val="0"/>
        <w:widowControl/>
        <w:suppressLineNumbers w:val="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项目资金使用方向与项目实施内容一致，无挤占挪用情况，项目实施与资金支出基本同向；本年度无项目内容、实施周期等重大调整，未发生未经审批自行变更项目事项；严格按照预算用途开展业务，规范落实合同管理、采购管理相关要求，项目过程管控有序，无结余率超 10% 项目。</w:t>
      </w:r>
    </w:p>
    <w:p w14:paraId="56CFB978">
      <w:pPr>
        <w:keepNext w:val="0"/>
        <w:keepLines w:val="0"/>
        <w:widowControl/>
        <w:suppressLineNumbers w:val="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Times New Roman" w:hAnsi="Times New Roman" w:eastAsia="仿宋_GB2312" w:cs="仿宋_GB2312"/>
          <w:color w:val="auto"/>
          <w:kern w:val="2"/>
          <w:sz w:val="32"/>
          <w:szCs w:val="32"/>
          <w:highlight w:val="none"/>
          <w:lang w:val="en-US" w:eastAsia="zh-CN" w:bidi="ar-SA"/>
        </w:rPr>
        <w:t>对照年初绩效目标，</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 个常年项目主要产出任务有序推进，劳动争议案件办理、前端调解、用工普法、便民维权等工作稳步开展，有效保障仲裁院日常履职，助力构建和谐劳动关系，社会效益持续显现。</w:t>
      </w:r>
    </w:p>
    <w:p w14:paraId="597251E9">
      <w:pPr>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auto"/>
          <w:sz w:val="32"/>
          <w:szCs w:val="32"/>
          <w:lang w:val="en-US" w:eastAsia="zh-CN"/>
        </w:rPr>
        <w:t>严格按照预算管理程序，但还是存在诸多不足，以后会加强全面规划，减少中期追加指标等情况。</w:t>
      </w:r>
    </w:p>
    <w:p w14:paraId="5512562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p>
    <w:p w14:paraId="658735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12CFE0F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Style w:val="30"/>
          <w:rFonts w:hint="default" w:ascii="Times New Roman" w:hAnsi="Times New Roman" w:eastAsia="仿宋_GB2312" w:cs="Times New Roman"/>
          <w:b w:val="0"/>
          <w:bCs w:val="0"/>
          <w:color w:val="auto"/>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Style w:val="30"/>
          <w:rFonts w:hint="default" w:ascii="Times New Roman" w:hAnsi="Times New Roman" w:eastAsia="仿宋_GB2312" w:cs="Times New Roman"/>
          <w:b w:val="0"/>
          <w:bCs w:val="0"/>
          <w:color w:val="auto"/>
          <w:sz w:val="32"/>
          <w:szCs w:val="32"/>
        </w:rPr>
        <w:t>加强预算管理，不断完善内控制度，达到预期</w:t>
      </w:r>
      <w:r>
        <w:rPr>
          <w:rStyle w:val="30"/>
          <w:rFonts w:hint="default" w:ascii="Times New Roman" w:hAnsi="Times New Roman" w:eastAsia="仿宋_GB2312" w:cs="Times New Roman"/>
          <w:b w:val="0"/>
          <w:bCs w:val="0"/>
          <w:color w:val="auto"/>
          <w:sz w:val="32"/>
          <w:szCs w:val="32"/>
          <w:lang w:val="en-US" w:eastAsia="zh-CN"/>
        </w:rPr>
        <w:t>使用</w:t>
      </w:r>
      <w:r>
        <w:rPr>
          <w:rStyle w:val="30"/>
          <w:rFonts w:hint="default" w:ascii="Times New Roman" w:hAnsi="Times New Roman" w:eastAsia="仿宋_GB2312" w:cs="Times New Roman"/>
          <w:b w:val="0"/>
          <w:bCs w:val="0"/>
          <w:color w:val="auto"/>
          <w:sz w:val="32"/>
          <w:szCs w:val="32"/>
        </w:rPr>
        <w:t>效果，保障了</w:t>
      </w:r>
      <w:r>
        <w:rPr>
          <w:rStyle w:val="30"/>
          <w:rFonts w:hint="default" w:ascii="Times New Roman" w:hAnsi="Times New Roman" w:eastAsia="仿宋_GB2312" w:cs="Times New Roman"/>
          <w:b w:val="0"/>
          <w:bCs w:val="0"/>
          <w:color w:val="auto"/>
          <w:sz w:val="32"/>
          <w:szCs w:val="32"/>
          <w:lang w:val="en-US" w:eastAsia="zh-CN"/>
        </w:rPr>
        <w:t>本年度日常工作</w:t>
      </w:r>
      <w:r>
        <w:rPr>
          <w:rStyle w:val="30"/>
          <w:rFonts w:hint="default" w:ascii="Times New Roman" w:hAnsi="Times New Roman" w:eastAsia="仿宋_GB2312" w:cs="Times New Roman"/>
          <w:b w:val="0"/>
          <w:bCs w:val="0"/>
          <w:color w:val="auto"/>
          <w:sz w:val="32"/>
          <w:szCs w:val="32"/>
        </w:rPr>
        <w:t>正常运转。并认真完成了</w:t>
      </w:r>
      <w:r>
        <w:rPr>
          <w:rStyle w:val="30"/>
          <w:rFonts w:hint="eastAsia" w:eastAsia="仿宋_GB2312" w:cs="Times New Roman"/>
          <w:b w:val="0"/>
          <w:bCs w:val="0"/>
          <w:color w:val="auto"/>
          <w:sz w:val="32"/>
          <w:szCs w:val="32"/>
          <w:lang w:val="en-US" w:eastAsia="zh-CN"/>
        </w:rPr>
        <w:t>2025</w:t>
      </w:r>
      <w:r>
        <w:rPr>
          <w:rStyle w:val="30"/>
          <w:rFonts w:hint="default" w:ascii="Times New Roman" w:hAnsi="Times New Roman" w:eastAsia="仿宋_GB2312" w:cs="Times New Roman"/>
          <w:b w:val="0"/>
          <w:bCs w:val="0"/>
          <w:color w:val="auto"/>
          <w:sz w:val="32"/>
          <w:szCs w:val="32"/>
        </w:rPr>
        <w:t>年部门预算工作。</w:t>
      </w:r>
    </w:p>
    <w:p w14:paraId="677307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Style w:val="30"/>
          <w:rFonts w:hint="eastAsia" w:eastAsia="仿宋_GB2312" w:cs="Times New Roman"/>
          <w:b w:val="0"/>
          <w:bCs w:val="0"/>
          <w:color w:val="auto"/>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Style w:val="30"/>
          <w:rFonts w:hint="default" w:ascii="Times New Roman" w:hAnsi="Times New Roman" w:eastAsia="仿宋_GB2312" w:cs="Times New Roman"/>
          <w:b w:val="0"/>
          <w:bCs w:val="0"/>
          <w:color w:val="auto"/>
          <w:sz w:val="32"/>
          <w:szCs w:val="32"/>
        </w:rPr>
        <w:t>我局在编制部门预算时，根据本单位职能职责</w:t>
      </w:r>
      <w:r>
        <w:rPr>
          <w:rStyle w:val="30"/>
          <w:rFonts w:hint="default" w:ascii="Times New Roman" w:hAnsi="Times New Roman" w:eastAsia="仿宋_GB2312" w:cs="Times New Roman"/>
          <w:b w:val="0"/>
          <w:bCs w:val="0"/>
          <w:color w:val="auto"/>
          <w:sz w:val="32"/>
          <w:szCs w:val="32"/>
          <w:lang w:val="en-US" w:eastAsia="zh-CN"/>
        </w:rPr>
        <w:t>编制年度工作计划</w:t>
      </w:r>
      <w:r>
        <w:rPr>
          <w:rStyle w:val="30"/>
          <w:rFonts w:hint="default" w:ascii="Times New Roman" w:hAnsi="Times New Roman" w:eastAsia="仿宋_GB2312" w:cs="Times New Roman"/>
          <w:b w:val="0"/>
          <w:bCs w:val="0"/>
          <w:color w:val="auto"/>
          <w:sz w:val="32"/>
          <w:szCs w:val="32"/>
        </w:rPr>
        <w:t>。整体预算绩效管理存在以下问题</w:t>
      </w:r>
      <w:r>
        <w:rPr>
          <w:rStyle w:val="30"/>
          <w:rFonts w:hint="default" w:ascii="Times New Roman" w:hAnsi="Times New Roman" w:eastAsia="仿宋_GB2312" w:cs="Times New Roman"/>
          <w:b w:val="0"/>
          <w:bCs w:val="0"/>
          <w:color w:val="auto"/>
          <w:sz w:val="32"/>
          <w:szCs w:val="32"/>
          <w:lang w:eastAsia="zh-CN"/>
        </w:rPr>
        <w:t>：</w:t>
      </w:r>
      <w:r>
        <w:rPr>
          <w:rStyle w:val="30"/>
          <w:rFonts w:hint="default" w:ascii="Times New Roman" w:hAnsi="Times New Roman" w:eastAsia="仿宋_GB2312" w:cs="Times New Roman"/>
          <w:b w:val="0"/>
          <w:bCs w:val="0"/>
          <w:color w:val="auto"/>
          <w:sz w:val="32"/>
          <w:szCs w:val="32"/>
        </w:rPr>
        <w:t>本部门整体支出预算资金的安排及使用上有不可预见性。</w:t>
      </w:r>
      <w:r>
        <w:rPr>
          <w:rStyle w:val="30"/>
          <w:rFonts w:hint="eastAsia" w:eastAsia="仿宋_GB2312" w:cs="Times New Roman"/>
          <w:b w:val="0"/>
          <w:bCs w:val="0"/>
          <w:color w:val="auto"/>
          <w:sz w:val="32"/>
          <w:szCs w:val="32"/>
          <w:lang w:val="en-US" w:eastAsia="zh-CN"/>
        </w:rPr>
        <w:t xml:space="preserve">                 </w:t>
      </w:r>
    </w:p>
    <w:p w14:paraId="1901CF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黑体" w:cs="Times New Roman"/>
          <w:color w:val="auto"/>
          <w:sz w:val="44"/>
          <w:szCs w:val="44"/>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3" w:name="_Hlk110546638"/>
      <w:r>
        <w:rPr>
          <w:rStyle w:val="30"/>
          <w:rFonts w:hint="default" w:ascii="Times New Roman" w:hAnsi="Times New Roman" w:eastAsia="仿宋_GB2312" w:cs="Times New Roman"/>
          <w:b w:val="0"/>
          <w:bCs w:val="0"/>
          <w:color w:val="auto"/>
          <w:sz w:val="32"/>
          <w:szCs w:val="32"/>
        </w:rPr>
        <w:t>一是重视绩效管理，切实履行好职责。努力提升工作绩效，合理使用财政资金。二是建立长效机制。把绩效评价作为部门内控的日常工作，建立绩效评价管理工作考核长效机制。</w:t>
      </w:r>
    </w:p>
    <w:p w14:paraId="06BA521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p>
    <w:bookmarkEnd w:id="53"/>
    <w:p w14:paraId="4F07A46A">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96320C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3EBBB4EF">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78"/>
        <w:gridCol w:w="616"/>
        <w:gridCol w:w="657"/>
        <w:gridCol w:w="457"/>
        <w:gridCol w:w="436"/>
        <w:gridCol w:w="457"/>
        <w:gridCol w:w="947"/>
        <w:gridCol w:w="496"/>
        <w:gridCol w:w="416"/>
        <w:gridCol w:w="2427"/>
      </w:tblGrid>
      <w:tr w14:paraId="24607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B0D60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968E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EB5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235B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51323023T000007658080-人社局劳动人事争议仲裁院工作经费.</w:t>
            </w:r>
          </w:p>
        </w:tc>
      </w:tr>
      <w:tr w14:paraId="25E5D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B56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9FF8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5A4E6DB3">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8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22C3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A60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307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58E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E4A173">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2EC85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1FFA">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46BC3">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B100A">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45C9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59255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CB75">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11D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97EA3F">
            <w:pPr>
              <w:rPr>
                <w:rFonts w:hint="eastAsia" w:ascii="宋体" w:hAnsi="宋体" w:eastAsia="宋体" w:cs="宋体"/>
                <w:i w:val="0"/>
                <w:iCs w:val="0"/>
                <w:color w:val="000000"/>
                <w:sz w:val="18"/>
                <w:szCs w:val="18"/>
                <w:u w:val="none"/>
              </w:rPr>
            </w:pPr>
          </w:p>
        </w:tc>
      </w:tr>
      <w:tr w14:paraId="14D4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BE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E5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B7D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E6E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4E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6C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E9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CA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AB1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AE3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D53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C43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25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83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06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DB1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979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E56B6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E6FAC">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1239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69E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3F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3B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8C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602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45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D5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BBE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2F445">
            <w:pPr>
              <w:rPr>
                <w:rFonts w:hint="default" w:ascii="simhei" w:hAnsi="simhei" w:eastAsia="simhei" w:cs="simhei"/>
                <w:i/>
                <w:iCs/>
                <w:color w:val="000000"/>
                <w:sz w:val="18"/>
                <w:szCs w:val="18"/>
                <w:u w:val="none"/>
              </w:rPr>
            </w:pPr>
          </w:p>
        </w:tc>
      </w:tr>
      <w:tr w14:paraId="1859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42C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14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D3B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15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2E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D8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EB2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B80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AF8AE">
            <w:pPr>
              <w:rPr>
                <w:rFonts w:hint="default" w:ascii="simhei" w:hAnsi="simhei" w:eastAsia="simhei" w:cs="simhei"/>
                <w:i/>
                <w:iCs/>
                <w:color w:val="000000"/>
                <w:sz w:val="18"/>
                <w:szCs w:val="18"/>
                <w:u w:val="none"/>
              </w:rPr>
            </w:pPr>
          </w:p>
        </w:tc>
      </w:tr>
      <w:tr w14:paraId="1D406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2A1F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AB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3C3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E70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91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18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62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19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4F5B2">
            <w:pPr>
              <w:rPr>
                <w:rFonts w:hint="default" w:ascii="simhei" w:hAnsi="simhei" w:eastAsia="simhei" w:cs="simhei"/>
                <w:i/>
                <w:iCs/>
                <w:color w:val="000000"/>
                <w:sz w:val="18"/>
                <w:szCs w:val="18"/>
                <w:u w:val="none"/>
              </w:rPr>
            </w:pPr>
          </w:p>
        </w:tc>
      </w:tr>
      <w:tr w14:paraId="7070A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D183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B1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B5A6E">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CFF96">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6AFC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69E4BD">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565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47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8AE90">
            <w:pPr>
              <w:rPr>
                <w:rFonts w:hint="default" w:ascii="simhei" w:hAnsi="simhei" w:eastAsia="simhei" w:cs="simhei"/>
                <w:i/>
                <w:iCs/>
                <w:color w:val="000000"/>
                <w:sz w:val="18"/>
                <w:szCs w:val="18"/>
                <w:u w:val="none"/>
              </w:rPr>
            </w:pPr>
          </w:p>
        </w:tc>
      </w:tr>
      <w:tr w14:paraId="16942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01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EF6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36A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A71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AA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631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D9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96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D1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6A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52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B75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F5F0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FB85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D41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05E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7D5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792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9532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90B03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8DB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862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F7EB6">
            <w:pPr>
              <w:jc w:val="center"/>
              <w:rPr>
                <w:rFonts w:hint="default" w:ascii="微软雅黑" w:hAnsi="微软雅黑" w:eastAsia="微软雅黑" w:cs="微软雅黑"/>
                <w:i/>
                <w:iCs/>
                <w:color w:val="000000"/>
                <w:sz w:val="16"/>
                <w:szCs w:val="16"/>
                <w:u w:val="none"/>
              </w:rPr>
            </w:pPr>
          </w:p>
        </w:tc>
      </w:tr>
      <w:tr w14:paraId="237B3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A3E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53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AF1BE">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29229">
            <w:pPr>
              <w:rPr>
                <w:rFonts w:hint="eastAsia" w:ascii="宋体" w:hAnsi="宋体" w:eastAsia="宋体" w:cs="宋体"/>
                <w:i w:val="0"/>
                <w:iCs w:val="0"/>
                <w:color w:val="000000"/>
                <w:sz w:val="18"/>
                <w:szCs w:val="18"/>
                <w:u w:val="none"/>
              </w:rPr>
            </w:pPr>
          </w:p>
        </w:tc>
      </w:tr>
      <w:tr w14:paraId="25C49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762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5F7FE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E86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91C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375B7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348FC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84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5D829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BA86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EA7B5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61AA3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28F99B4C">
      <w:pPr>
        <w:pStyle w:val="6"/>
        <w:rPr>
          <w:rFonts w:hint="eastAsia" w:ascii="Times New Roman" w:hAnsi="Times New Roman" w:cs="宋体"/>
          <w:color w:val="FF0000"/>
          <w:kern w:val="0"/>
          <w:sz w:val="32"/>
          <w:szCs w:val="32"/>
          <w:highlight w:val="yellow"/>
          <w:shd w:val="clear" w:color="auto" w:fill="FFFFFF"/>
          <w:lang w:val="zh-CN"/>
        </w:rPr>
      </w:pPr>
    </w:p>
    <w:p w14:paraId="65F22230">
      <w:pPr>
        <w:pStyle w:val="6"/>
        <w:rPr>
          <w:rFonts w:hint="eastAsia" w:ascii="Times New Roman" w:hAnsi="Times New Roman" w:cs="宋体"/>
          <w:color w:val="FF0000"/>
          <w:kern w:val="0"/>
          <w:sz w:val="32"/>
          <w:szCs w:val="32"/>
          <w:highlight w:val="yellow"/>
          <w:shd w:val="clear" w:color="auto" w:fill="FFFFFF"/>
          <w:lang w:val="zh-CN"/>
        </w:rPr>
      </w:pPr>
    </w:p>
    <w:tbl>
      <w:tblPr>
        <w:tblStyle w:val="1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2"/>
        <w:gridCol w:w="778"/>
        <w:gridCol w:w="616"/>
        <w:gridCol w:w="657"/>
        <w:gridCol w:w="457"/>
        <w:gridCol w:w="436"/>
        <w:gridCol w:w="457"/>
        <w:gridCol w:w="947"/>
        <w:gridCol w:w="496"/>
        <w:gridCol w:w="416"/>
        <w:gridCol w:w="2427"/>
      </w:tblGrid>
      <w:tr w14:paraId="2F231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87691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B667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D04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38A6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51323023T000007656363-人社局劳动保障监察工作经费</w:t>
            </w:r>
          </w:p>
        </w:tc>
      </w:tr>
      <w:tr w14:paraId="6DF7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A2F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96AB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c>
          <w:tcPr>
            <w:tcW w:w="0" w:type="auto"/>
            <w:tcBorders>
              <w:top w:val="nil"/>
              <w:left w:val="nil"/>
              <w:bottom w:val="nil"/>
              <w:right w:val="nil"/>
            </w:tcBorders>
            <w:shd w:val="clear" w:color="auto" w:fill="auto"/>
            <w:vAlign w:val="center"/>
          </w:tcPr>
          <w:p w14:paraId="730E43B0">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12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壤塘县人力资源和社会保障局</w:t>
            </w:r>
          </w:p>
        </w:tc>
      </w:tr>
      <w:tr w14:paraId="0A121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9E1D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593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3D3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D4541E">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7C395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635DC">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FDE8D">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99967D">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14DE8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14:paraId="16CEE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5D207">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EA6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0A937B">
            <w:pPr>
              <w:rPr>
                <w:rFonts w:hint="eastAsia" w:ascii="宋体" w:hAnsi="宋体" w:eastAsia="宋体" w:cs="宋体"/>
                <w:i w:val="0"/>
                <w:iCs w:val="0"/>
                <w:color w:val="000000"/>
                <w:sz w:val="18"/>
                <w:szCs w:val="18"/>
                <w:u w:val="none"/>
              </w:rPr>
            </w:pPr>
          </w:p>
        </w:tc>
      </w:tr>
      <w:tr w14:paraId="028BD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B7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604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9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85D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0F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B3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DB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21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78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BD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F94B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7E8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C53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2D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26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CB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19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5CD33C">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7F4B8">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A0A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0C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F1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04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05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AD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2E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DD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F3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7E0F1">
            <w:pPr>
              <w:rPr>
                <w:rFonts w:hint="default" w:ascii="simhei" w:hAnsi="simhei" w:eastAsia="simhei" w:cs="simhei"/>
                <w:i/>
                <w:iCs/>
                <w:color w:val="000000"/>
                <w:sz w:val="18"/>
                <w:szCs w:val="18"/>
                <w:u w:val="none"/>
              </w:rPr>
            </w:pPr>
          </w:p>
        </w:tc>
      </w:tr>
      <w:tr w14:paraId="7489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A885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53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C4C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8D6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4D7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51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BA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07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665F9">
            <w:pPr>
              <w:rPr>
                <w:rFonts w:hint="default" w:ascii="simhei" w:hAnsi="simhei" w:eastAsia="simhei" w:cs="simhei"/>
                <w:i/>
                <w:iCs/>
                <w:color w:val="000000"/>
                <w:sz w:val="18"/>
                <w:szCs w:val="18"/>
                <w:u w:val="none"/>
              </w:rPr>
            </w:pPr>
          </w:p>
        </w:tc>
      </w:tr>
      <w:tr w14:paraId="52033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4FD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FE5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37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9DBB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8B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ECA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39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67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FC989">
            <w:pPr>
              <w:rPr>
                <w:rFonts w:hint="default" w:ascii="simhei" w:hAnsi="simhei" w:eastAsia="simhei" w:cs="simhei"/>
                <w:i/>
                <w:iCs/>
                <w:color w:val="000000"/>
                <w:sz w:val="18"/>
                <w:szCs w:val="18"/>
                <w:u w:val="none"/>
              </w:rPr>
            </w:pPr>
          </w:p>
        </w:tc>
      </w:tr>
      <w:tr w14:paraId="17FE1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F97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DFD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3E207">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BDBD9">
            <w:pPr>
              <w:jc w:val="center"/>
              <w:rPr>
                <w:rFonts w:hint="default"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3156A9">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A425E">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A0C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95F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9C979">
            <w:pPr>
              <w:rPr>
                <w:rFonts w:hint="default" w:ascii="simhei" w:hAnsi="simhei" w:eastAsia="simhei" w:cs="simhei"/>
                <w:i/>
                <w:iCs/>
                <w:color w:val="000000"/>
                <w:sz w:val="18"/>
                <w:szCs w:val="18"/>
                <w:u w:val="none"/>
              </w:rPr>
            </w:pPr>
          </w:p>
        </w:tc>
      </w:tr>
      <w:tr w14:paraId="6574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7F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8E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E2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063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5A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E6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2F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83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9D1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17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62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963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CB6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067B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BB9A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974DD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23F6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FEF4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AFF97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CF871">
            <w:pPr>
              <w:jc w:val="center"/>
              <w:rPr>
                <w:rFonts w:hint="default"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8F84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B89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D7D1A">
            <w:pPr>
              <w:jc w:val="center"/>
              <w:rPr>
                <w:rFonts w:hint="default" w:ascii="微软雅黑" w:hAnsi="微软雅黑" w:eastAsia="微软雅黑" w:cs="微软雅黑"/>
                <w:i/>
                <w:iCs/>
                <w:color w:val="000000"/>
                <w:sz w:val="16"/>
                <w:szCs w:val="16"/>
                <w:u w:val="none"/>
              </w:rPr>
            </w:pPr>
          </w:p>
        </w:tc>
      </w:tr>
      <w:tr w14:paraId="5CA6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11F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AD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D54254">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65876E">
            <w:pPr>
              <w:rPr>
                <w:rFonts w:hint="eastAsia" w:ascii="宋体" w:hAnsi="宋体" w:eastAsia="宋体" w:cs="宋体"/>
                <w:i w:val="0"/>
                <w:iCs w:val="0"/>
                <w:color w:val="000000"/>
                <w:sz w:val="18"/>
                <w:szCs w:val="18"/>
                <w:u w:val="none"/>
              </w:rPr>
            </w:pPr>
          </w:p>
        </w:tc>
      </w:tr>
      <w:tr w14:paraId="66EE3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AC7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E9202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3D92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9B7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96B0E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49F7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754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405D95">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E4D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2BA8E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7C8C1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620C86E8">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4C429F0C">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1CF087B">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E9F2ED3">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7B2AE0FC">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05558EE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098373FA">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本项目为人社局本级常年业务保障项目，立项依据年度财政预算管理相关规定、人社年度重点工作安排，按部门预算编制要求申报入库。项目包含 ：①劳动监察工作：开展日常巡查、专项检查、欠薪线索核查、投诉举报处置、用工普法指导；</w:t>
      </w:r>
      <w:r>
        <w:rPr>
          <w:rFonts w:hint="default" w:ascii="Times New Roman" w:hAnsi="Times New Roman" w:eastAsia="仿宋_GB2312" w:cs="仿宋_GB2312"/>
          <w:b w:val="0"/>
          <w:bCs w:val="0"/>
          <w:kern w:val="0"/>
          <w:position w:val="0"/>
          <w:sz w:val="32"/>
          <w:szCs w:val="32"/>
          <w:highlight w:val="none"/>
          <w:lang w:val="en-US" w:eastAsia="zh-CN" w:bidi="ar-SA"/>
        </w:rPr>
        <w:t>②</w:t>
      </w:r>
      <w:r>
        <w:rPr>
          <w:rFonts w:hint="eastAsia" w:ascii="Times New Roman" w:hAnsi="Times New Roman" w:eastAsia="仿宋_GB2312" w:cs="仿宋_GB2312"/>
          <w:b w:val="0"/>
          <w:bCs w:val="0"/>
          <w:kern w:val="0"/>
          <w:position w:val="0"/>
          <w:sz w:val="32"/>
          <w:szCs w:val="32"/>
          <w:highlight w:val="none"/>
          <w:lang w:val="en-US" w:eastAsia="zh-CN" w:bidi="ar-SA"/>
        </w:rPr>
        <w:t>劳动人事争议仲裁院工作：案件受理、庭前调解、开庭审理、文书制作、案卷归档、争议预防宣传。主管部门为县人力资源和社会保障局，承担劳动用工监管、劳动人事矛盾纠纷调处法定职责。</w:t>
      </w:r>
    </w:p>
    <w:p w14:paraId="06A21D2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p>
    <w:p w14:paraId="189D3548">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严格执行单位财务内控、经费报销管理制度，坚持专款专用。实施目的：规范辖区用人单位用工行为，排查化解欠薪隐患，维护劳动者劳动报酬等合法权益；依法公正高效调处劳动人事争议，及时化解劳资矛盾，构建和谐劳动关系。资金支持方向：主要用于执法下乡、案卷印制、普法宣传、办案耗材、现场核查保障等业务支出，保障劳动监察、劳动人事争议仲裁两项核心业务正常开展。</w:t>
      </w:r>
    </w:p>
    <w:p w14:paraId="4335BE95">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038C5032">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年度预算结合上年度业务基数、本年度计划任务测算安排。资金分配原则：保障履职、厉行节约、按需保障；分配考量因素：辖区监管企业数量、欠薪线索预估量、劳动争议案件存量及增量、下乡执法核查频次。资金严格按照国库集中支付流程拨付，随业务开展进度按需支付，分配流程规范，不存在截留、挤占、挪用资金情况。</w:t>
      </w:r>
    </w:p>
    <w:p w14:paraId="3B1809B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p w14:paraId="11910695">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en-US" w:eastAsia="zh-CN" w:bidi="ar-SA"/>
        </w:rPr>
        <w:t>整体目标：足额保障劳动监察、劳动人事争议仲裁履职工作，持续稳定辖区劳动关系。区域目标：实现县域重点用工主体监管全覆盖，劳动争议案件依法及时处置。具体目标：劳动监察完成规定企业检查任务、投诉举报按期办结；劳动人事争议仲裁按期结案率达到年度目标。本次自评全面收集财务凭证、业务台账、执法案卷、仲裁卷宗，逐项核对各项指标完成情况，整理完善佐证材料。</w:t>
      </w:r>
    </w:p>
    <w:p w14:paraId="0F4306A3">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p>
    <w:p w14:paraId="20CF5CF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332EF50E">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en-US" w:eastAsia="zh-CN" w:bidi="ar-SA"/>
        </w:rPr>
        <w:t>核实项目资金使用的合规性，客观评价资金投入产出效益，查找预算编制、资金执行、业务管理存在的短板；优化后续年度预算申报、绩效运行监控工作，提升人社专项经费使用效益。</w:t>
      </w:r>
    </w:p>
    <w:p w14:paraId="0B72458E">
      <w:pPr>
        <w:pStyle w:val="16"/>
        <w:keepNext w:val="0"/>
        <w:keepLines w:val="0"/>
        <w:widowControl/>
        <w:suppressLineNumbers w:val="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对照绩效评价指标体系，对资金申报、拨付、支出、业务实施全流程开展综合评价。重点核查：立项依据是否充分、资金投向是否匹配业务需求、预算执行进度是否合理、支出审批手续是否合规、绩效目标是否落地、劳动者及用人单位满意度情况。</w:t>
      </w:r>
    </w:p>
    <w:p w14:paraId="09D5922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p>
    <w:p w14:paraId="67D9FEFA">
      <w:pPr>
        <w:keepNext w:val="0"/>
        <w:keepLines w:val="0"/>
        <w:widowControl/>
        <w:suppressLineNumbers w:val="0"/>
        <w:jc w:val="left"/>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en-US" w:eastAsia="zh-CN" w:bidi="ar-SA"/>
        </w:rPr>
        <w:t>按照要求抽取专项资金覆盖范围 20% 且总数不超过 20 个点位实地核查，抽样点位包含重点工矿企业、乡镇小微企业、在建工程项目、仲裁典型案件样本、欠薪投诉案例，点位清单作为自评附表。</w:t>
      </w:r>
    </w:p>
    <w:p w14:paraId="6F2FF59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p>
    <w:p w14:paraId="29A2BAD3">
      <w:pPr>
        <w:keepNext w:val="0"/>
        <w:keepLines w:val="0"/>
        <w:widowControl/>
        <w:suppressLineNumbers w:val="0"/>
        <w:jc w:val="left"/>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default" w:ascii="Times New Roman" w:hAnsi="Times New Roman" w:eastAsia="仿宋_GB2312" w:cs="仿宋_GB2312"/>
          <w:b w:val="0"/>
          <w:bCs w:val="0"/>
          <w:kern w:val="0"/>
          <w:position w:val="0"/>
          <w:sz w:val="32"/>
          <w:szCs w:val="32"/>
          <w:highlight w:val="none"/>
          <w:lang w:val="en-US" w:eastAsia="zh-CN" w:bidi="ar-SA"/>
        </w:rPr>
        <w:t>综合采用成本效益分析法、标杆管理法、案卷研究法、单位自评法、</w:t>
      </w:r>
      <w:r>
        <w:rPr>
          <w:rFonts w:hint="eastAsia" w:eastAsia="仿宋_GB2312" w:cs="仿宋_GB2312"/>
          <w:b w:val="0"/>
          <w:bCs w:val="0"/>
          <w:kern w:val="0"/>
          <w:position w:val="0"/>
          <w:sz w:val="32"/>
          <w:szCs w:val="32"/>
          <w:highlight w:val="none"/>
          <w:lang w:val="en-US" w:eastAsia="zh-CN" w:bidi="ar-SA"/>
        </w:rPr>
        <w:t>实地勘查</w:t>
      </w:r>
      <w:r>
        <w:rPr>
          <w:rFonts w:hint="default" w:ascii="Times New Roman" w:hAnsi="Times New Roman" w:eastAsia="仿宋_GB2312" w:cs="仿宋_GB2312"/>
          <w:b w:val="0"/>
          <w:bCs w:val="0"/>
          <w:kern w:val="0"/>
          <w:position w:val="0"/>
          <w:sz w:val="32"/>
          <w:szCs w:val="32"/>
          <w:highlight w:val="none"/>
          <w:lang w:val="en-US" w:eastAsia="zh-CN" w:bidi="ar-SA"/>
        </w:rPr>
        <w:t>法、问卷调查法、座谈调研法。查阅财务凭证、执法及仲裁案卷；实地走访用工单位、劳动者；组织座谈，发放问卷收集企业、劳动者的意见建议。</w:t>
      </w:r>
    </w:p>
    <w:p w14:paraId="6D68F747">
      <w:pPr>
        <w:pStyle w:val="16"/>
        <w:keepNext w:val="0"/>
        <w:keepLines w:val="0"/>
        <w:widowControl/>
        <w:suppressLineNumbers w:val="0"/>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default" w:ascii="Times New Roman" w:hAnsi="Times New Roman" w:eastAsia="仿宋_GB2312" w:cs="仿宋_GB2312"/>
          <w:b w:val="0"/>
          <w:bCs w:val="0"/>
          <w:kern w:val="0"/>
          <w:position w:val="0"/>
          <w:sz w:val="32"/>
          <w:szCs w:val="32"/>
          <w:highlight w:val="none"/>
          <w:lang w:val="zh-CN" w:eastAsia="zh-CN" w:bidi="ar-SA"/>
        </w:rPr>
        <w:t>成立自评工作组：分管领导任组长；财务股负责资金审核、预算执行核查；劳动关系股负责劳动监察资料归集、指标打分；仲裁院负责仲裁案件资料梳理、指标打分；各股室协同开展问题梳理、数据汇总、自评报告撰写。</w:t>
      </w:r>
    </w:p>
    <w:p w14:paraId="44B3555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0BEEE84D">
      <w:pPr>
        <w:keepNext w:val="0"/>
        <w:keepLines w:val="0"/>
        <w:pageBreakBefore w:val="0"/>
        <w:widowControl w:val="0"/>
        <w:kinsoku/>
        <w:wordWrap/>
        <w:overflowPunct/>
        <w:topLinePunct w:val="0"/>
        <w:autoSpaceDE/>
        <w:autoSpaceDN/>
        <w:bidi w:val="0"/>
        <w:adjustRightInd/>
        <w:snapToGrid/>
        <w:spacing w:line="578" w:lineRule="exact"/>
        <w:ind w:firstLine="321" w:firstLineChars="1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BE7983A">
      <w:pPr>
        <w:keepNext w:val="0"/>
        <w:keepLines w:val="0"/>
        <w:widowControl/>
        <w:suppressLineNumbers w:val="0"/>
        <w:jc w:val="left"/>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Times New Roman" w:hAnsi="Times New Roman" w:eastAsia="仿宋_GB2312" w:cs="仿宋_GB2312"/>
          <w:b w:val="0"/>
          <w:bCs w:val="0"/>
          <w:kern w:val="0"/>
          <w:position w:val="0"/>
          <w:sz w:val="32"/>
          <w:szCs w:val="32"/>
          <w:highlight w:val="none"/>
          <w:lang w:val="en-US" w:eastAsia="zh-CN" w:bidi="ar-SA"/>
        </w:rPr>
        <w:t>决策程序：项目纳入部门项目库，履行内部集体研究申报程序，立项程序规范。规划论证：结合历年监管任务、案件收案情况开展事前测算论证。资金投向：经费全部用于劳动监察、仲裁办案主业，资金投向无偏离。不足：部分绩效指标前期设置偏笼统，量化细化程度不足</w:t>
      </w:r>
      <w:r>
        <w:rPr>
          <w:rFonts w:ascii="宋体" w:hAnsi="宋体" w:eastAsia="宋体" w:cs="宋体"/>
          <w:kern w:val="0"/>
          <w:sz w:val="24"/>
          <w:szCs w:val="24"/>
          <w:lang w:val="en-US" w:eastAsia="zh-CN" w:bidi="ar"/>
        </w:rPr>
        <w:t>。</w:t>
      </w:r>
    </w:p>
    <w:p w14:paraId="00C3892A">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ascii="Times New Roman" w:hAnsi="Times New Roman" w:eastAsia="仿宋_GB2312" w:cs="仿宋_GB2312"/>
          <w:b w:val="0"/>
          <w:bCs w:val="0"/>
          <w:kern w:val="0"/>
          <w:position w:val="0"/>
          <w:sz w:val="32"/>
          <w:szCs w:val="32"/>
          <w:highlight w:val="none"/>
          <w:lang w:val="en-US" w:eastAsia="zh-CN" w:bidi="ar-SA"/>
        </w:rPr>
        <w:t>制度办法：严格执行财务内控、政府采购、经费管理相关制度。分配管理：资金按照业务工作量统筹分配，分配过程留痕可查。绩效监管：项目纳入年度绩效运行监控范围。不足：绩效运行监控过程记录不够完整，动态纠偏运用不够及时</w:t>
      </w:r>
    </w:p>
    <w:p w14:paraId="5F9A6DC4">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3.项目实施。预算执行：项目整体执行进度可控，资金审批规范、票据合规、专款专用。不足：业务量季节性波动明显，月度执行不均衡，阶段性支出进度偏慢</w:t>
      </w:r>
      <w:r>
        <w:rPr>
          <w:rFonts w:hint="eastAsia" w:ascii="Times New Roman" w:hAnsi="Times New Roman" w:eastAsia="仿宋_GB2312" w:cs="仿宋_GB2312"/>
          <w:b w:val="0"/>
          <w:bCs w:val="0"/>
          <w:kern w:val="0"/>
          <w:position w:val="0"/>
          <w:sz w:val="32"/>
          <w:szCs w:val="32"/>
          <w:highlight w:val="none"/>
          <w:lang w:val="zh-CN" w:eastAsia="zh-CN" w:bidi="ar-SA"/>
        </w:rPr>
        <w:t>。</w:t>
      </w:r>
    </w:p>
    <w:p w14:paraId="4728F04B">
      <w:pPr>
        <w:keepNext w:val="0"/>
        <w:keepLines w:val="0"/>
        <w:widowControl/>
        <w:suppressLineNumbers w:val="0"/>
        <w:jc w:val="left"/>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4.项目结果。目标完成：年度劳动监察、仲裁办案核心任务全部落地，主要产出指标基本完成。完成时效：绝大多数案件、检查事项在法定时限内办结</w:t>
      </w:r>
      <w:r>
        <w:rPr>
          <w:rFonts w:hint="eastAsia" w:ascii="Times New Roman" w:hAnsi="Times New Roman" w:eastAsia="仿宋_GB2312" w:cs="仿宋_GB2312"/>
          <w:b w:val="0"/>
          <w:bCs w:val="0"/>
          <w:kern w:val="0"/>
          <w:position w:val="0"/>
          <w:sz w:val="32"/>
          <w:szCs w:val="32"/>
          <w:highlight w:val="none"/>
          <w:lang w:val="zh-CN" w:eastAsia="zh-CN" w:bidi="ar-SA"/>
        </w:rPr>
        <w:t>。</w:t>
      </w:r>
    </w:p>
    <w:p w14:paraId="176F58A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07B305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1852B52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061E144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4C50ED9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2E12783E">
      <w:pPr>
        <w:keepNext w:val="0"/>
        <w:keepLines w:val="0"/>
        <w:widowControl/>
        <w:numPr>
          <w:ilvl w:val="0"/>
          <w:numId w:val="0"/>
        </w:numPr>
        <w:suppressLineNumbers w:val="0"/>
        <w:spacing w:before="0" w:beforeAutospacing="1" w:after="0" w:afterAutospacing="1"/>
        <w:ind w:left="360" w:leftChars="0"/>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en-US" w:eastAsia="zh-CN" w:bidi="ar-SA"/>
        </w:rPr>
        <w:t>按期完成日常巡查、欠薪专项整治行动，投诉举报线索及时核查处置，督促用工违法问题整改到位。。案件按期结案率达标，落实调解优先原则，矛盾前端化解成效较好。</w:t>
      </w:r>
    </w:p>
    <w:p w14:paraId="35DA39CF">
      <w:pPr>
        <w:pStyle w:val="4"/>
        <w:keepNext w:val="0"/>
        <w:keepLines w:val="0"/>
        <w:widowControl/>
        <w:suppressLineNumbers w:val="0"/>
      </w:pPr>
      <w:r>
        <w:t>四、评价结论</w:t>
      </w:r>
    </w:p>
    <w:p w14:paraId="2F5B7F2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883254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557ADC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本项目自评综合得分 </w:t>
      </w:r>
      <w:r>
        <w:rPr>
          <w:rFonts w:hint="eastAsia" w:eastAsia="仿宋_GB2312" w:cs="仿宋_GB2312"/>
          <w:b w:val="0"/>
          <w:bCs w:val="0"/>
          <w:kern w:val="0"/>
          <w:position w:val="0"/>
          <w:sz w:val="32"/>
          <w:szCs w:val="32"/>
          <w:highlight w:val="none"/>
          <w:lang w:val="en-US" w:eastAsia="zh-CN" w:bidi="ar-SA"/>
        </w:rPr>
        <w:t>93</w:t>
      </w:r>
      <w:r>
        <w:rPr>
          <w:rFonts w:hint="eastAsia" w:ascii="Times New Roman" w:hAnsi="Times New Roman" w:eastAsia="仿宋_GB2312" w:cs="仿宋_GB2312"/>
          <w:b w:val="0"/>
          <w:bCs w:val="0"/>
          <w:kern w:val="0"/>
          <w:position w:val="0"/>
          <w:sz w:val="32"/>
          <w:szCs w:val="32"/>
          <w:highlight w:val="none"/>
          <w:lang w:val="en-US" w:eastAsia="zh-CN" w:bidi="ar-SA"/>
        </w:rPr>
        <w:t xml:space="preserve"> 分，评价等级为良好。项目立项依据充分，资金管理总体规范，有效保障劳动监察、劳动人事争议仲裁两项重点业务开展，持续排查化解欠薪风险、依法调处劳资纠纷，维护劳动关系总体和谐稳定。同时存在绩效目标精细化不足、预算执行不均衡、部分业务监管处置存在难点、采购时序谋划不足等问题</w:t>
      </w:r>
      <w:r>
        <w:rPr>
          <w:rFonts w:hint="eastAsia" w:ascii="Times New Roman" w:hAnsi="Times New Roman" w:eastAsia="仿宋_GB2312" w:cs="仿宋_GB2312"/>
          <w:b w:val="0"/>
          <w:bCs w:val="0"/>
          <w:kern w:val="0"/>
          <w:position w:val="0"/>
          <w:sz w:val="32"/>
          <w:szCs w:val="32"/>
          <w:highlight w:val="none"/>
          <w:lang w:val="zh-CN" w:eastAsia="zh-CN" w:bidi="ar-SA"/>
        </w:rPr>
        <w:t>。</w:t>
      </w:r>
    </w:p>
    <w:p w14:paraId="0602B7E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42019EB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en-US" w:eastAsia="zh-CN" w:bidi="ar-SA"/>
        </w:rPr>
        <w:t>绩效目标设置精细化程度不足，绩效运行监控台账不完善，过程管控较为薄弱。</w:t>
      </w:r>
    </w:p>
    <w:p w14:paraId="10A6CF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en-US" w:eastAsia="zh-CN" w:bidi="ar-SA"/>
        </w:rPr>
        <w:t>业务工作量季节性波动明显，预算执行节奏不均衡，阶段性支出进度偏慢。</w:t>
      </w:r>
    </w:p>
    <w:p w14:paraId="4E2AAF8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新业态用工监管办法不多，仲裁疑难、群体性案件处置压力较大。</w:t>
      </w:r>
    </w:p>
    <w:p w14:paraId="70B2C4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en-US" w:eastAsia="zh-CN" w:bidi="ar-SA"/>
        </w:rPr>
        <w:t>个别采购事项因方案临时调整延后，采购前期谋划不足。</w:t>
      </w:r>
    </w:p>
    <w:p w14:paraId="497472A6">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5.</w:t>
      </w:r>
      <w:r>
        <w:rPr>
          <w:rFonts w:hint="eastAsia" w:ascii="Times New Roman" w:hAnsi="Times New Roman" w:eastAsia="仿宋_GB2312" w:cs="仿宋_GB2312"/>
          <w:b w:val="0"/>
          <w:bCs w:val="0"/>
          <w:kern w:val="0"/>
          <w:position w:val="0"/>
          <w:sz w:val="32"/>
          <w:szCs w:val="32"/>
          <w:highlight w:val="none"/>
          <w:lang w:val="en-US" w:eastAsia="zh-CN" w:bidi="ar-SA"/>
        </w:rPr>
        <w:t>偏远乡镇用工普法、劳资纠纷预防宣传覆盖不够充分。</w:t>
      </w:r>
    </w:p>
    <w:p w14:paraId="113EEB8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C40C94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248E9D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en-US" w:eastAsia="zh-CN" w:bidi="ar-SA"/>
        </w:rPr>
        <w:t>细化完善绩效量化指标，规范绩效运行监控台账，按月跟踪项目执行情况，及时开展动态纠偏。</w:t>
      </w:r>
    </w:p>
    <w:p w14:paraId="3860C30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en-US" w:eastAsia="zh-CN" w:bidi="ar-SA"/>
        </w:rPr>
        <w:t>结合年度监察计划、案件收案预判，科学编制分月支出计划，均衡全年预算执行进度。</w:t>
      </w:r>
    </w:p>
    <w:p w14:paraId="3F53D59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探索适配新业态用工的监管举措；建立仲裁疑难案件会商机制，多方联动化解复杂劳资纠纷。</w:t>
      </w:r>
    </w:p>
    <w:p w14:paraId="77578AB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en-US" w:eastAsia="zh-CN" w:bidi="ar-SA"/>
        </w:rPr>
        <w:t>年初统筹梳理全年采购事项，提前固化采购方案，减少中途调整，保障采购工作按期落地。</w:t>
      </w:r>
    </w:p>
    <w:p w14:paraId="53AA18C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5.</w:t>
      </w:r>
      <w:r>
        <w:rPr>
          <w:rFonts w:hint="eastAsia" w:ascii="Times New Roman" w:hAnsi="Times New Roman" w:eastAsia="仿宋_GB2312" w:cs="仿宋_GB2312"/>
          <w:b w:val="0"/>
          <w:bCs w:val="0"/>
          <w:kern w:val="0"/>
          <w:position w:val="0"/>
          <w:sz w:val="32"/>
          <w:szCs w:val="32"/>
          <w:highlight w:val="none"/>
          <w:lang w:val="en-US" w:eastAsia="zh-CN" w:bidi="ar-SA"/>
        </w:rPr>
        <w:t>常态化下沉乡镇、工地开展用工指导和普法宣传，前移争议预防关口，扩大政策覆盖面。</w:t>
      </w:r>
    </w:p>
    <w:p w14:paraId="652615C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8489A2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EB6315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5C6FEDF">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2"/>
      <w:bookmarkEnd w:id="54"/>
      <w:bookmarkStart w:id="55" w:name="_Toc15396619"/>
    </w:p>
    <w:p w14:paraId="479722B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7C468B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2F785E6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505F4F6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4987503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5F3B707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332401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1B7B702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10E2574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50BDDDB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B71BB4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6300A4D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84AF1F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10E11FE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33779EA2">
      <w:pPr>
        <w:rPr>
          <w:rFonts w:hint="eastAsia" w:ascii="Times New Roman" w:hAnsi="Times New Roman"/>
          <w:lang w:eastAsia="zh-CN"/>
        </w:rPr>
      </w:pPr>
    </w:p>
    <w:sectPr>
      <w:footerReference r:id="rId7" w:type="first"/>
      <w:footerReference r:id="rId5" w:type="default"/>
      <w:footerReference r:id="rId6" w:type="even"/>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imhei">
    <w:altName w:val="国标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5BE35">
    <w:pPr>
      <w:pStyle w:val="11"/>
      <w:jc w:val="center"/>
    </w:pPr>
  </w:p>
  <w:p w14:paraId="06B2631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A72A8">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B6DA0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3B6DA05">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0F4D613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B6FEC">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56DF7">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9056DF7">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FA38E">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D3F0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0BD3F0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4381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68E51B"/>
    <w:multiLevelType w:val="singleLevel"/>
    <w:tmpl w:val="DF68E51B"/>
    <w:lvl w:ilvl="0" w:tentative="0">
      <w:start w:val="3"/>
      <w:numFmt w:val="chineseCounting"/>
      <w:suff w:val="nothing"/>
      <w:lvlText w:val="（%1）"/>
      <w:lvlJc w:val="left"/>
      <w:rPr>
        <w:rFonts w:hint="eastAsia"/>
      </w:rPr>
    </w:lvl>
  </w:abstractNum>
  <w:abstractNum w:abstractNumId="1">
    <w:nsid w:val="FDCE2BF6"/>
    <w:multiLevelType w:val="singleLevel"/>
    <w:tmpl w:val="FDCE2BF6"/>
    <w:lvl w:ilvl="0" w:tentative="0">
      <w:start w:val="2"/>
      <w:numFmt w:val="chineseCounting"/>
      <w:suff w:val="nothing"/>
      <w:lvlText w:val="（%1）"/>
      <w:lvlJc w:val="left"/>
      <w:rPr>
        <w:rFonts w:hint="eastAsia"/>
      </w:rPr>
    </w:lvl>
  </w:abstractNum>
  <w:abstractNum w:abstractNumId="2">
    <w:nsid w:val="70C67430"/>
    <w:multiLevelType w:val="singleLevel"/>
    <w:tmpl w:val="70C67430"/>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5134B9"/>
    <w:rsid w:val="23860B96"/>
    <w:rsid w:val="240371BF"/>
    <w:rsid w:val="260F557C"/>
    <w:rsid w:val="281408E2"/>
    <w:rsid w:val="29FD04D3"/>
    <w:rsid w:val="2A7F32C0"/>
    <w:rsid w:val="2BFF7BC6"/>
    <w:rsid w:val="2C8A61B5"/>
    <w:rsid w:val="2D2E01CF"/>
    <w:rsid w:val="2DF04E50"/>
    <w:rsid w:val="2E9545B0"/>
    <w:rsid w:val="2ED7281C"/>
    <w:rsid w:val="2F040D46"/>
    <w:rsid w:val="2FAE5751"/>
    <w:rsid w:val="2FB1A395"/>
    <w:rsid w:val="2FD9A7D8"/>
    <w:rsid w:val="2FFFE585"/>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BFB19FA"/>
    <w:rsid w:val="3CEBA265"/>
    <w:rsid w:val="3D98207C"/>
    <w:rsid w:val="3D9B0D99"/>
    <w:rsid w:val="3DEE7CF3"/>
    <w:rsid w:val="3DF02244"/>
    <w:rsid w:val="3DF97B88"/>
    <w:rsid w:val="3E78745D"/>
    <w:rsid w:val="3FDBC8EE"/>
    <w:rsid w:val="3FF4CAE0"/>
    <w:rsid w:val="3FF7B227"/>
    <w:rsid w:val="40E54C45"/>
    <w:rsid w:val="43A407DF"/>
    <w:rsid w:val="44515BEA"/>
    <w:rsid w:val="44E268DA"/>
    <w:rsid w:val="453F7E5B"/>
    <w:rsid w:val="4634254C"/>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3FD1D7F"/>
    <w:rsid w:val="647F5392"/>
    <w:rsid w:val="664B1D71"/>
    <w:rsid w:val="667CD332"/>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7A7BA"/>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5F4E1D"/>
    <w:rsid w:val="776F6FFA"/>
    <w:rsid w:val="778769C8"/>
    <w:rsid w:val="77DC22F5"/>
    <w:rsid w:val="79086DAD"/>
    <w:rsid w:val="79974F09"/>
    <w:rsid w:val="79D7FD79"/>
    <w:rsid w:val="79EE5BA4"/>
    <w:rsid w:val="7A894339"/>
    <w:rsid w:val="7AFF7572"/>
    <w:rsid w:val="7B6C7DFB"/>
    <w:rsid w:val="7BAB6784"/>
    <w:rsid w:val="7BBFBED0"/>
    <w:rsid w:val="7BC3E394"/>
    <w:rsid w:val="7BF8AD32"/>
    <w:rsid w:val="7C1F3737"/>
    <w:rsid w:val="7CBFC87B"/>
    <w:rsid w:val="7CFE0F48"/>
    <w:rsid w:val="7D7EC23E"/>
    <w:rsid w:val="7D916348"/>
    <w:rsid w:val="7E8ADEBF"/>
    <w:rsid w:val="7EBA82E4"/>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7FEA77B"/>
    <w:rsid w:val="ADC6F725"/>
    <w:rsid w:val="ADE77B7C"/>
    <w:rsid w:val="B7CF06AB"/>
    <w:rsid w:val="B7CFA926"/>
    <w:rsid w:val="B7F8786B"/>
    <w:rsid w:val="B7FF2DBE"/>
    <w:rsid w:val="BABB6AA1"/>
    <w:rsid w:val="BB2F4199"/>
    <w:rsid w:val="BD079C78"/>
    <w:rsid w:val="BD733540"/>
    <w:rsid w:val="BF3735D5"/>
    <w:rsid w:val="BF7F09AC"/>
    <w:rsid w:val="BFD475C3"/>
    <w:rsid w:val="BFDE5EA6"/>
    <w:rsid w:val="CF6FC6F3"/>
    <w:rsid w:val="CFD3D3D7"/>
    <w:rsid w:val="CFDF1009"/>
    <w:rsid w:val="D3FDB6F5"/>
    <w:rsid w:val="D75EDC57"/>
    <w:rsid w:val="D7D7B16A"/>
    <w:rsid w:val="D8D6DB89"/>
    <w:rsid w:val="DB6F4CAB"/>
    <w:rsid w:val="DB777682"/>
    <w:rsid w:val="DD1FB521"/>
    <w:rsid w:val="DEFBFEAE"/>
    <w:rsid w:val="DF1F3B80"/>
    <w:rsid w:val="DF6F9789"/>
    <w:rsid w:val="DFFFA9E8"/>
    <w:rsid w:val="E5F4E9DC"/>
    <w:rsid w:val="E70FE695"/>
    <w:rsid w:val="EB7F22C8"/>
    <w:rsid w:val="ECFED1BC"/>
    <w:rsid w:val="ED1D69BB"/>
    <w:rsid w:val="ED7FD312"/>
    <w:rsid w:val="EF53993F"/>
    <w:rsid w:val="EF6FD633"/>
    <w:rsid w:val="EF7F3C66"/>
    <w:rsid w:val="EF9F20B8"/>
    <w:rsid w:val="EFBFB2F4"/>
    <w:rsid w:val="EFBFFA21"/>
    <w:rsid w:val="F2BEBCB8"/>
    <w:rsid w:val="F36FB518"/>
    <w:rsid w:val="F3DE1A04"/>
    <w:rsid w:val="F3F722E5"/>
    <w:rsid w:val="F61AB5F4"/>
    <w:rsid w:val="F739D07F"/>
    <w:rsid w:val="FA5F1E70"/>
    <w:rsid w:val="FA5FDB97"/>
    <w:rsid w:val="FB7F486A"/>
    <w:rsid w:val="FBFF5B2E"/>
    <w:rsid w:val="FD212A6B"/>
    <w:rsid w:val="FD2D5574"/>
    <w:rsid w:val="FD7FFE2B"/>
    <w:rsid w:val="FDEE196B"/>
    <w:rsid w:val="FDFE6575"/>
    <w:rsid w:val="FEDFDDC2"/>
    <w:rsid w:val="FEED32F6"/>
    <w:rsid w:val="FEF781DD"/>
    <w:rsid w:val="FF3F7E3F"/>
    <w:rsid w:val="FF52BCE1"/>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6.xml"/><Relationship Id="rId1" Type="http://schemas.openxmlformats.org/officeDocument/2006/relationships/oleObject" Target="/home/huawei/Desktop/&#24037;&#20316;&#31807;1.et"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5.xml"/><Relationship Id="rId1" Type="http://schemas.openxmlformats.org/officeDocument/2006/relationships/oleObject" Target="/home/huawei/Desktop/&#24037;&#20316;&#31807;1.et"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4.xml"/><Relationship Id="rId1" Type="http://schemas.openxmlformats.org/officeDocument/2006/relationships/oleObject" Target="/home/huawei/Desktop/&#24037;&#20316;&#31807;1.et"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3.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home/huawei/Desktop/&#24037;&#20316;&#31807;1.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收入支出总额（万元）</a:t>
            </a:r>
            <a:r>
              <a:rPr lang="en-US" altLang="zh-CN"/>
              <a:t>   </a:t>
            </a:r>
            <a:endParaRPr lang="en-US" altLang="zh-CN"/>
          </a:p>
        </c:rich>
      </c:tx>
      <c:layout/>
      <c:overlay val="0"/>
      <c:spPr>
        <a:noFill/>
        <a:ln>
          <a:noFill/>
        </a:ln>
        <a:effectLst/>
      </c:spPr>
    </c:title>
    <c:autoTitleDeleted val="0"/>
    <c:plotArea>
      <c:layout/>
      <c:barChart>
        <c:barDir val="col"/>
        <c:grouping val="stacked"/>
        <c:varyColors val="0"/>
        <c:ser>
          <c:idx val="0"/>
          <c:order val="0"/>
          <c:spPr>
            <a:solidFill>
              <a:srgbClr val="4874CB"/>
            </a:solidFill>
            <a:ln>
              <a:solidFill>
                <a:sysClr val="window" lastClr="FFFFFF"/>
              </a:solidFill>
            </a:ln>
            <a:effectLst/>
          </c:spPr>
          <c:invertIfNegative val="0"/>
          <c:dLbls>
            <c:delete val="1"/>
          </c:dLbls>
          <c:cat>
            <c:strRef>
              <c:f>[工作簿1]Sheet1!$E$2:$F$2</c:f>
              <c:strCache>
                <c:ptCount val="2"/>
                <c:pt idx="0">
                  <c:v>2024年度收入支出总额</c:v>
                </c:pt>
                <c:pt idx="1">
                  <c:v>2025年度收入支出总额</c:v>
                </c:pt>
              </c:strCache>
            </c:strRef>
          </c:cat>
          <c:val>
            <c:numRef>
              <c:f>[工作簿1]Sheet1!$E$3:$F$3</c:f>
              <c:numCache>
                <c:formatCode>General</c:formatCode>
                <c:ptCount val="2"/>
                <c:pt idx="0">
                  <c:v>238.55</c:v>
                </c:pt>
                <c:pt idx="1">
                  <c:v>244.5</c:v>
                </c:pt>
              </c:numCache>
            </c:numRef>
          </c:val>
        </c:ser>
        <c:dLbls>
          <c:showLegendKey val="0"/>
          <c:showVal val="0"/>
          <c:showCatName val="0"/>
          <c:showSerName val="0"/>
          <c:showPercent val="0"/>
          <c:showBubbleSize val="0"/>
        </c:dLbls>
        <c:gapWidth val="246"/>
        <c:overlap val="100"/>
        <c:axId val="703316487"/>
        <c:axId val="749288818"/>
      </c:barChart>
      <c:catAx>
        <c:axId val="703316487"/>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49288818"/>
        <c:crosses val="autoZero"/>
        <c:auto val="1"/>
        <c:lblAlgn val="ctr"/>
        <c:lblOffset val="100"/>
        <c:noMultiLvlLbl val="0"/>
      </c:catAx>
      <c:valAx>
        <c:axId val="749288818"/>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03316487"/>
        <c:crosses val="autoZero"/>
        <c:crossBetween val="between"/>
      </c:valAx>
      <c:spPr>
        <a:noFill/>
        <a:ln>
          <a:noFill/>
        </a:ln>
        <a:effectLst/>
      </c:spPr>
    </c:plotArea>
    <c:plotVisOnly val="1"/>
    <c:dispBlanksAs val="gap"/>
    <c:showDLblsOverMax val="0"/>
    <c:extLst>
      <c:ext uri="{0b15fc19-7d7d-44ad-8c2d-2c3a37ce22c3}">
        <chartProps xmlns="https://web.wps.cn/et/2018/main" chartId="{bbb69295-a948-47ac-916d-568f03c2fa6d}"/>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一般公共预算财政拨款收入（万元）</a:t>
            </a:r>
          </a:p>
        </c:rich>
      </c:tx>
      <c:layout/>
      <c:overlay val="0"/>
      <c:spPr>
        <a:noFill/>
        <a:ln>
          <a:noFill/>
        </a:ln>
        <a:effectLst/>
      </c:spPr>
    </c:title>
    <c:autoTitleDeleted val="0"/>
    <c:plotArea>
      <c:layout/>
      <c:pieChart>
        <c:varyColors val="1"/>
        <c:ser>
          <c:idx val="0"/>
          <c:order val="0"/>
          <c:tx>
            <c:strRef>
              <c:f>[工作簿1.et]Sheet1!$A$35</c:f>
              <c:strCache>
                <c:ptCount val="1"/>
                <c:pt idx="0">
                  <c:v>一般公共预算财政拨款收入</c:v>
                </c:pt>
              </c:strCache>
            </c:strRef>
          </c:tx>
          <c:spPr/>
          <c:explosion val="0"/>
          <c:dPt>
            <c:idx val="0"/>
            <c:bubble3D val="0"/>
            <c:spPr>
              <a:solidFill>
                <a:srgbClr val="4874CB"/>
              </a:solidFill>
              <a:ln>
                <a:solidFill>
                  <a:sysClr val="window" lastClr="FFFFFF"/>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[工作簿1]Sheet1!$C$34</c:f>
              <c:strCache>
                <c:ptCount val="1"/>
                <c:pt idx="0">
                  <c:v>本年收入</c:v>
                </c:pt>
              </c:strCache>
            </c:strRef>
          </c:cat>
          <c:val>
            <c:numRef>
              <c:f>[工作簿1]Sheet1!$C$35</c:f>
              <c:numCache>
                <c:formatCode>General</c:formatCode>
                <c:ptCount val="1"/>
                <c:pt idx="0">
                  <c:v>244.5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db9049b6-6c68-49c8-9d7b-59590a16bfbe}"/>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基本支出（万元）</a:t>
            </a:r>
          </a:p>
        </c:rich>
      </c:tx>
      <c:layout/>
      <c:overlay val="0"/>
      <c:spPr>
        <a:noFill/>
        <a:ln>
          <a:noFill/>
        </a:ln>
        <a:effectLst/>
      </c:spPr>
    </c:title>
    <c:autoTitleDeleted val="0"/>
    <c:plotArea>
      <c:layout/>
      <c:pieChart>
        <c:varyColors val="1"/>
        <c:ser>
          <c:idx val="0"/>
          <c:order val="0"/>
          <c:tx>
            <c:strRef>
              <c:f>[工作簿1.et]Sheet1!$A$61</c:f>
              <c:strCache>
                <c:ptCount val="1"/>
                <c:pt idx="0">
                  <c:v>基本支出</c:v>
                </c:pt>
              </c:strCache>
            </c:strRef>
          </c:tx>
          <c:spPr/>
          <c:explosion val="0"/>
          <c:dPt>
            <c:idx val="0"/>
            <c:bubble3D val="0"/>
            <c:spPr>
              <a:solidFill>
                <a:srgbClr val="4874CB"/>
              </a:solidFill>
              <a:ln>
                <a:solidFill>
                  <a:sysClr val="window" lastClr="FFFFFF"/>
                </a:solidFill>
              </a:ln>
              <a:effectLst/>
            </c:spPr>
          </c:dPt>
          <c:dLbls>
            <c:delete val="1"/>
          </c:dLbls>
          <c:cat>
            <c:strRef>
              <c:f>[工作簿1]Sheet1!$C$60</c:f>
              <c:strCache>
                <c:ptCount val="1"/>
                <c:pt idx="0">
                  <c:v>本年支出</c:v>
                </c:pt>
              </c:strCache>
            </c:strRef>
          </c:cat>
          <c:val>
            <c:numRef>
              <c:f>[工作簿1]Sheet1!$C$61</c:f>
              <c:numCache>
                <c:formatCode>General</c:formatCode>
                <c:ptCount val="1"/>
                <c:pt idx="0">
                  <c:v>244.5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5ef5e1eb-b00f-43ec-9e15-c80f485880da}"/>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财政拨款收入支出（万元）</a:t>
            </a:r>
          </a:p>
        </c:rich>
      </c:tx>
      <c:layout/>
      <c:overlay val="0"/>
      <c:spPr>
        <a:noFill/>
        <a:ln>
          <a:noFill/>
        </a:ln>
        <a:effectLst/>
      </c:spPr>
    </c:title>
    <c:autoTitleDeleted val="0"/>
    <c:plotArea>
      <c:layout/>
      <c:barChart>
        <c:barDir val="col"/>
        <c:grouping val="clustered"/>
        <c:varyColors val="0"/>
        <c:ser>
          <c:idx val="0"/>
          <c:order val="0"/>
          <c:spPr>
            <a:solidFill>
              <a:srgbClr val="4874C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[工作簿1]Sheet1!$A$81:$D$81</c:f>
              <c:strCache>
                <c:ptCount val="4"/>
                <c:pt idx="0">
                  <c:v>2024年度收入总额</c:v>
                </c:pt>
                <c:pt idx="1">
                  <c:v>2024年度支出总额</c:v>
                </c:pt>
                <c:pt idx="2">
                  <c:v>2025年度收入总额</c:v>
                </c:pt>
                <c:pt idx="3">
                  <c:v>2025年度支出总额</c:v>
                </c:pt>
              </c:strCache>
            </c:strRef>
          </c:cat>
          <c:val>
            <c:numRef>
              <c:f>[工作簿1]Sheet1!$A$82:$D$82</c:f>
              <c:numCache>
                <c:formatCode>General</c:formatCode>
                <c:ptCount val="4"/>
                <c:pt idx="0">
                  <c:v>238.55</c:v>
                </c:pt>
                <c:pt idx="1">
                  <c:v>238.55</c:v>
                </c:pt>
                <c:pt idx="2">
                  <c:v>244.5</c:v>
                </c:pt>
                <c:pt idx="3">
                  <c:v>244.5</c:v>
                </c:pt>
              </c:numCache>
            </c:numRef>
          </c:val>
        </c:ser>
        <c:dLbls>
          <c:showLegendKey val="0"/>
          <c:showVal val="1"/>
          <c:showCatName val="0"/>
          <c:showSerName val="0"/>
          <c:showPercent val="0"/>
          <c:showBubbleSize val="0"/>
        </c:dLbls>
        <c:gapWidth val="246"/>
        <c:overlap val="-28"/>
        <c:axId val="77998098"/>
        <c:axId val="561793557"/>
      </c:barChart>
      <c:catAx>
        <c:axId val="77998098"/>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561793557"/>
        <c:crosses val="autoZero"/>
        <c:auto val="1"/>
        <c:lblAlgn val="ctr"/>
        <c:lblOffset val="100"/>
        <c:noMultiLvlLbl val="0"/>
      </c:catAx>
      <c:valAx>
        <c:axId val="561793557"/>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77998098"/>
        <c:crosses val="autoZero"/>
        <c:crossBetween val="between"/>
      </c:valAx>
      <c:spPr>
        <a:noFill/>
        <a:ln>
          <a:noFill/>
        </a:ln>
        <a:effectLst/>
      </c:spPr>
    </c:plotArea>
    <c:plotVisOnly val="1"/>
    <c:dispBlanksAs val="gap"/>
    <c:showDLblsOverMax val="0"/>
    <c:extLst>
      <c:ext uri="{0b15fc19-7d7d-44ad-8c2d-2c3a37ce22c3}">
        <chartProps xmlns="https://web.wps.cn/et/2018/main" chartId="{34ee1d7c-e554-4e50-84cd-712e7711c3bb}"/>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t>一般公共预算财政拨款支出</a:t>
            </a:r>
          </a:p>
        </c:rich>
      </c:tx>
      <c:layout/>
      <c:overlay val="0"/>
      <c:spPr>
        <a:noFill/>
        <a:ln>
          <a:noFill/>
        </a:ln>
        <a:effectLst/>
      </c:spPr>
    </c:title>
    <c:autoTitleDeleted val="0"/>
    <c:plotArea>
      <c:layout/>
      <c:barChart>
        <c:barDir val="col"/>
        <c:grouping val="clustered"/>
        <c:varyColors val="0"/>
        <c:ser>
          <c:idx val="0"/>
          <c:order val="0"/>
          <c:spPr>
            <a:solidFill>
              <a:srgbClr val="4874C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[工作簿1]Sheet1!$A$105:$B$105</c:f>
              <c:strCache>
                <c:ptCount val="2"/>
                <c:pt idx="0">
                  <c:v>2024年度支出总额</c:v>
                </c:pt>
                <c:pt idx="1">
                  <c:v>2025年度支出总额</c:v>
                </c:pt>
              </c:strCache>
            </c:strRef>
          </c:cat>
          <c:val>
            <c:numRef>
              <c:f>[工作簿1]Sheet1!$A$106:$B$106</c:f>
              <c:numCache>
                <c:formatCode>General</c:formatCode>
                <c:ptCount val="2"/>
                <c:pt idx="0">
                  <c:v>238.55</c:v>
                </c:pt>
                <c:pt idx="1">
                  <c:v>244.5</c:v>
                </c:pt>
              </c:numCache>
            </c:numRef>
          </c:val>
        </c:ser>
        <c:dLbls>
          <c:showLegendKey val="0"/>
          <c:showVal val="1"/>
          <c:showCatName val="0"/>
          <c:showSerName val="0"/>
          <c:showPercent val="0"/>
          <c:showBubbleSize val="0"/>
        </c:dLbls>
        <c:gapWidth val="246"/>
        <c:overlap val="-28"/>
        <c:axId val="41325776"/>
        <c:axId val="928071500"/>
      </c:barChart>
      <c:catAx>
        <c:axId val="41325776"/>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928071500"/>
        <c:crosses val="autoZero"/>
        <c:auto val="1"/>
        <c:lblAlgn val="ctr"/>
        <c:lblOffset val="100"/>
        <c:noMultiLvlLbl val="0"/>
      </c:catAx>
      <c:valAx>
        <c:axId val="928071500"/>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1325776"/>
        <c:crosses val="autoZero"/>
        <c:crossBetween val="between"/>
      </c:valAx>
      <c:spPr>
        <a:noFill/>
        <a:ln>
          <a:noFill/>
        </a:ln>
        <a:effectLst/>
      </c:spPr>
    </c:plotArea>
    <c:plotVisOnly val="1"/>
    <c:dispBlanksAs val="gap"/>
    <c:showDLblsOverMax val="0"/>
    <c:extLst>
      <c:ext uri="{0b15fc19-7d7d-44ad-8c2d-2c3a37ce22c3}">
        <chartProps xmlns="https://web.wps.cn/et/2018/main" chartId="{58f4931e-422a-4e94-bc32-be057697d677}"/>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rPr lang="en-US" altLang="zh-CN"/>
              <a:t>2025</a:t>
            </a:r>
            <a:r>
              <a:rPr altLang="en-US"/>
              <a:t>年度</a:t>
            </a:r>
            <a:r>
              <a:t>一般公共预算财政拨款支出（万元）</a:t>
            </a:r>
          </a:p>
        </c:rich>
      </c:tx>
      <c:layout/>
      <c:overlay val="0"/>
      <c:spPr>
        <a:noFill/>
        <a:ln>
          <a:noFill/>
        </a:ln>
        <a:effectLst/>
      </c:spPr>
    </c:title>
    <c:autoTitleDeleted val="0"/>
    <c:plotArea>
      <c:layout/>
      <c:barChart>
        <c:barDir val="col"/>
        <c:grouping val="clustered"/>
        <c:varyColors val="0"/>
        <c:ser>
          <c:idx val="0"/>
          <c:order val="0"/>
          <c:spPr>
            <a:solidFill>
              <a:srgbClr val="4874C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[工作簿1.et]Sheet1!$A$121:$C$121</c:f>
              <c:strCache>
                <c:ptCount val="3"/>
                <c:pt idx="0">
                  <c:v>社会保障和就业支出</c:v>
                </c:pt>
                <c:pt idx="1">
                  <c:v>卫生健康支出</c:v>
                </c:pt>
                <c:pt idx="2">
                  <c:v>住房保障支出</c:v>
                </c:pt>
              </c:strCache>
            </c:strRef>
          </c:cat>
          <c:val>
            <c:numRef>
              <c:f>[工作簿1.et]Sheet1!$A$122:$C$122</c:f>
              <c:numCache>
                <c:formatCode>General</c:formatCode>
                <c:ptCount val="3"/>
                <c:pt idx="0">
                  <c:v>213.52</c:v>
                </c:pt>
                <c:pt idx="1">
                  <c:v>12.45</c:v>
                </c:pt>
                <c:pt idx="2">
                  <c:v>18.53</c:v>
                </c:pt>
              </c:numCache>
            </c:numRef>
          </c:val>
        </c:ser>
        <c:dLbls>
          <c:showLegendKey val="0"/>
          <c:showVal val="1"/>
          <c:showCatName val="0"/>
          <c:showSerName val="0"/>
          <c:showPercent val="0"/>
          <c:showBubbleSize val="0"/>
        </c:dLbls>
        <c:gapWidth val="246"/>
        <c:overlap val="-28"/>
        <c:axId val="137846199"/>
        <c:axId val="996272400"/>
      </c:barChart>
      <c:catAx>
        <c:axId val="137846199"/>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996272400"/>
        <c:crosses val="autoZero"/>
        <c:auto val="1"/>
        <c:lblAlgn val="ctr"/>
        <c:lblOffset val="100"/>
        <c:noMultiLvlLbl val="0"/>
      </c:catAx>
      <c:valAx>
        <c:axId val="996272400"/>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137846199"/>
        <c:crosses val="autoZero"/>
        <c:crossBetween val="between"/>
      </c:valAx>
      <c:spPr>
        <a:noFill/>
        <a:ln>
          <a:noFill/>
        </a:ln>
        <a:effectLst/>
      </c:spPr>
    </c:plotArea>
    <c:plotVisOnly val="1"/>
    <c:dispBlanksAs val="gap"/>
    <c:showDLblsOverMax val="0"/>
    <c:extLst>
      <c:ext uri="{0b15fc19-7d7d-44ad-8c2d-2c3a37ce22c3}">
        <chartProps xmlns="https://web.wps.cn/et/2018/main" chartId="{16195759-e90d-4831-8afd-82ce30dd8d29}"/>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9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spPr>
      <a:ln w="25400">
        <a:solidFill>
          <a:sysClr val="window" lastClr="FFFFFF"/>
        </a:solidFill>
      </a:ln>
    </cs:spPr>
  </cs:dataPoint3D>
  <cs:dataPointLine>
    <cs:lnRef idx="0">
      <cs:styleClr val="auto"/>
    </cs:lnRef>
    <cs:fillRef idx="0"/>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0"/>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6.xml><?xml version="1.0" encoding="utf-8"?>
<cs:chartStyle xmlns:cs="http://schemas.microsoft.com/office/drawing/2012/chartStyle" xmlns:a="http://schemas.openxmlformats.org/drawingml/2006/main" id="10010">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solidFill>
          <a:sysClr val="window" lastClr="FFFFFF"/>
        </a:solid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75000"/>
          <a:lumOff val="25000"/>
        </a:sysClr>
      </a:solidFill>
      <a:ln w="9525" cap="flat" cmpd="sng" algn="ctr">
        <a:solidFill>
          <a:sysClr val="windowText" lastClr="000000">
            <a:lumMod val="65000"/>
            <a:lumOff val="35000"/>
          </a:sysClr>
        </a:solidFill>
        <a:round/>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50000"/>
            <a:lumOff val="50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cap="flat" cmpd="sng" algn="ctr">
        <a:solidFill>
          <a:sysClr val="windowText" lastClr="000000">
            <a:lumMod val="65000"/>
            <a:lumOff val="35000"/>
          </a:sysClr>
        </a:solidFill>
        <a:round/>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4194</Words>
  <Characters>4531</Characters>
  <Lines>61</Lines>
  <Paragraphs>17</Paragraphs>
  <TotalTime>288</TotalTime>
  <ScaleCrop>false</ScaleCrop>
  <LinksUpToDate>false</LinksUpToDate>
  <CharactersWithSpaces>4553</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2020-08-11T09:49:00Z</dcterms:created>
  <dc:creator>曹颖</dc:creator>
  <cp:lastModifiedBy>huawei</cp:lastModifiedBy>
  <cp:lastPrinted>2026-10-28T19:17:38Z</cp:lastPrinted>
  <dcterms:modified xsi:type="dcterms:W3CDTF">2026-10-28T19:20:02Z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6B45ECC2501B5F2C1F19E06AEEEFD3DF_43</vt:lpwstr>
  </property>
  <property fmtid="{D5CDD505-2E9C-101B-9397-08002B2CF9AE}" pid="4" name="KSOTemplateDocerSaveRecord">
    <vt:lpwstr>eyJoZGlkIjoiNTdkYzU0NjlmMjc3NGIzZTBkZmNmN2FlNDVkODdhZmUiLCJ1c2VySWQiOiIzMTU2MzU1NzAifQ==</vt:lpwstr>
  </property>
</Properties>
</file>