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rPr>
          <w:rFonts w:hint="eastAsia" w:ascii="Times New Roman" w:hAnsi="Times New Roman" w:eastAsia="方正小标宋简体" w:cs="Times New Roman"/>
          <w:color w:val="auto"/>
          <w:kern w:val="2"/>
          <w:sz w:val="72"/>
          <w:szCs w:val="72"/>
          <w:highlight w:val="none"/>
          <w:lang w:val="en-US" w:eastAsia="zh-CN" w:bidi="ar-SA"/>
        </w:rPr>
      </w:pPr>
      <w:bookmarkStart w:id="80" w:name="_GoBack"/>
      <w:bookmarkEnd w:id="80"/>
      <w:bookmarkStart w:id="0" w:name="_Toc15377425"/>
      <w:bookmarkStart w:id="1" w:name="_Toc15306267"/>
      <w:bookmarkStart w:id="2" w:name="_Toc15396475"/>
      <w:bookmarkStart w:id="3" w:name="_Toc15377193"/>
      <w:bookmarkStart w:id="4" w:name="_Toc15378441"/>
      <w:bookmarkStart w:id="5" w:name="_Toc15396597"/>
      <w:r>
        <w:rPr>
          <w:rFonts w:hint="eastAsia" w:ascii="黑体" w:hAnsi="黑体" w:eastAsia="黑体" w:cs="黑体"/>
          <w:color w:val="auto"/>
          <w:kern w:val="2"/>
          <w:sz w:val="32"/>
          <w:szCs w:val="32"/>
          <w:highlight w:val="none"/>
          <w:lang w:val="en-US" w:eastAsia="zh-CN" w:bidi="ar-SA"/>
        </w:rPr>
        <w:t>附件2</w:t>
      </w:r>
    </w:p>
    <w:p>
      <w:pPr>
        <w:pStyle w:val="8"/>
        <w:rPr>
          <w:rFonts w:hint="eastAsia" w:ascii="Times New Roman" w:hAnsi="Times New Roman" w:eastAsia="方正小标宋简体" w:cs="Times New Roman"/>
          <w:color w:val="auto"/>
          <w:kern w:val="2"/>
          <w:sz w:val="72"/>
          <w:szCs w:val="72"/>
          <w:highlight w:val="none"/>
          <w:lang w:val="en-US" w:eastAsia="zh-CN" w:bidi="ar-SA"/>
        </w:rPr>
      </w:pPr>
    </w:p>
    <w:p>
      <w:pPr>
        <w:pStyle w:val="8"/>
        <w:rPr>
          <w:rFonts w:hint="eastAsia" w:ascii="Times New Roman" w:hAnsi="Times New Roman" w:eastAsia="方正小标宋简体" w:cs="Times New Roman"/>
          <w:color w:val="auto"/>
          <w:kern w:val="2"/>
          <w:sz w:val="72"/>
          <w:szCs w:val="72"/>
          <w:highlight w:val="none"/>
          <w:lang w:val="en-US" w:eastAsia="zh-CN" w:bidi="ar-SA"/>
        </w:rPr>
      </w:pPr>
    </w:p>
    <w:p>
      <w:pPr>
        <w:pStyle w:val="8"/>
        <w:rPr>
          <w:rFonts w:hint="eastAsia" w:ascii="Times New Roman" w:hAnsi="Times New Roman" w:eastAsia="方正小标宋简体" w:cs="Times New Roman"/>
          <w:color w:val="auto"/>
          <w:kern w:val="2"/>
          <w:sz w:val="72"/>
          <w:szCs w:val="72"/>
          <w:highlight w:val="none"/>
          <w:lang w:val="en-US" w:eastAsia="zh-CN" w:bidi="ar-SA"/>
        </w:rPr>
      </w:pPr>
    </w:p>
    <w:p>
      <w:pPr>
        <w:pStyle w:val="8"/>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2025年度县级</w:t>
      </w:r>
      <w:r>
        <w:rPr>
          <w:rFonts w:hint="eastAsia" w:ascii="Times New Roman" w:hAnsi="Times New Roman" w:eastAsia="方正小标宋简体" w:cs="Times New Roman"/>
          <w:color w:val="auto"/>
          <w:kern w:val="2"/>
          <w:sz w:val="44"/>
          <w:szCs w:val="44"/>
          <w:highlight w:val="none"/>
          <w:lang w:val="en-US" w:eastAsia="zh-CN" w:bidi="ar-SA"/>
        </w:rPr>
        <w:t>部门</w:t>
      </w:r>
      <w:r>
        <w:rPr>
          <w:rFonts w:hint="eastAsia" w:ascii="Times New Roman" w:eastAsia="方正小标宋简体" w:cs="Times New Roman"/>
          <w:color w:val="auto"/>
          <w:kern w:val="2"/>
          <w:sz w:val="44"/>
          <w:szCs w:val="44"/>
          <w:highlight w:val="none"/>
          <w:lang w:val="en-US" w:eastAsia="zh-CN" w:bidi="ar-SA"/>
        </w:rPr>
        <w:t>壤塘县社会保险事务中心</w:t>
      </w:r>
      <w:r>
        <w:rPr>
          <w:rFonts w:hint="eastAsia" w:ascii="Times New Roman" w:hAnsi="Times New Roman" w:eastAsia="方正小标宋简体" w:cs="Times New Roman"/>
          <w:color w:val="auto"/>
          <w:kern w:val="2"/>
          <w:sz w:val="44"/>
          <w:szCs w:val="44"/>
          <w:highlight w:val="none"/>
          <w:lang w:val="en-US" w:eastAsia="zh-CN" w:bidi="ar-SA"/>
        </w:rPr>
        <w:t>决算</w:t>
      </w:r>
    </w:p>
    <w:p>
      <w:pPr>
        <w:spacing w:line="600" w:lineRule="exact"/>
        <w:jc w:val="center"/>
        <w:outlineLvl w:val="0"/>
        <w:rPr>
          <w:rFonts w:ascii="Times New Roman" w:hAnsi="Times New Roman" w:eastAsia="方正小标宋简体"/>
          <w:color w:val="auto"/>
          <w:sz w:val="72"/>
          <w:szCs w:val="72"/>
          <w:highlight w:val="none"/>
        </w:rPr>
      </w:pPr>
    </w:p>
    <w:p>
      <w:pPr>
        <w:pStyle w:val="19"/>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rPr>
          <w:rFonts w:ascii="Times New Roman" w:hAnsi="Times New Roman"/>
        </w:rPr>
      </w:pPr>
    </w:p>
    <w:bookmarkEnd w:id="0"/>
    <w:bookmarkEnd w:id="1"/>
    <w:bookmarkEnd w:id="2"/>
    <w:bookmarkEnd w:id="3"/>
    <w:bookmarkEnd w:id="4"/>
    <w:bookmarkEnd w:id="5"/>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阿坝州壤塘县2025年度</w:t>
      </w:r>
      <w:r>
        <w:rPr>
          <w:rFonts w:hint="eastAsia" w:ascii="Times New Roman" w:eastAsia="方正小标宋简体" w:cs="Times New Roman"/>
          <w:color w:val="auto"/>
          <w:kern w:val="2"/>
          <w:sz w:val="44"/>
          <w:szCs w:val="44"/>
          <w:highlight w:val="none"/>
          <w:lang w:val="en-US" w:eastAsia="zh-CN" w:bidi="ar-SA"/>
        </w:rPr>
        <w:t>壤塘县社会保险事务中心</w:t>
      </w:r>
      <w:r>
        <w:rPr>
          <w:rFonts w:hint="eastAsia" w:ascii="Times New Roman" w:hAnsi="Times New Roman" w:eastAsia="方正小标宋简体" w:cs="Times New Roman"/>
          <w:color w:val="auto"/>
          <w:kern w:val="2"/>
          <w:sz w:val="44"/>
          <w:szCs w:val="44"/>
          <w:highlight w:val="none"/>
          <w:lang w:val="en-US" w:eastAsia="zh-CN" w:bidi="ar-SA"/>
        </w:rPr>
        <w:t>部门决算公开</w:t>
      </w: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20</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ascii="Times New Roman" w:hAnsi="Times New Roman" w:eastAsia="仿宋_GB2312" w:cs="仿宋_GB2312"/>
          <w:b/>
          <w:color w:val="auto"/>
          <w:sz w:val="32"/>
          <w:szCs w:val="32"/>
          <w:highlight w:val="none"/>
        </w:rPr>
        <w:br w:type="page"/>
      </w:r>
    </w:p>
    <w:p>
      <w:pPr>
        <w:pStyle w:val="5"/>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p>
    <w:p>
      <w:pPr>
        <w:widowControl/>
        <w:jc w:val="left"/>
        <w:rPr>
          <w:rFonts w:ascii="Times New Roman" w:hAnsi="Times New Roman" w:eastAsia="黑体"/>
          <w:color w:val="auto"/>
          <w:sz w:val="32"/>
          <w:szCs w:val="32"/>
          <w:highlight w:val="none"/>
        </w:rPr>
      </w:pPr>
    </w:p>
    <w:p>
      <w:pPr>
        <w:pStyle w:val="6"/>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pPr>
        <w:pStyle w:val="8"/>
        <w:adjustRightInd w:val="0"/>
        <w:snapToGrid w:val="0"/>
        <w:spacing w:before="93" w:beforeLines="0" w:line="600" w:lineRule="exact"/>
        <w:ind w:firstLine="668" w:firstLineChars="209"/>
        <w:outlineLvl w:val="2"/>
        <w:rPr>
          <w:rFonts w:hint="eastAsia" w:ascii="仿宋" w:eastAsia="仿宋"/>
          <w:bCs/>
          <w:color w:val="000000"/>
          <w:sz w:val="32"/>
          <w:szCs w:val="32"/>
        </w:rPr>
      </w:pPr>
      <w:bookmarkStart w:id="8" w:name="_Toc79163603"/>
      <w:bookmarkStart w:id="9" w:name="_Toc79163853"/>
      <w:bookmarkStart w:id="10" w:name="_Toc14117"/>
      <w:bookmarkStart w:id="11" w:name="_Toc15378445"/>
      <w:bookmarkStart w:id="12" w:name="_Toc15377198"/>
      <w:r>
        <w:rPr>
          <w:rFonts w:hint="eastAsia" w:ascii="仿宋" w:eastAsia="仿宋"/>
          <w:bCs/>
          <w:color w:val="000000"/>
          <w:sz w:val="32"/>
          <w:szCs w:val="32"/>
        </w:rPr>
        <w:t>（一）主要职能。</w:t>
      </w:r>
      <w:bookmarkEnd w:id="8"/>
      <w:bookmarkEnd w:id="9"/>
      <w:bookmarkEnd w:id="10"/>
    </w:p>
    <w:bookmarkEnd w:id="11"/>
    <w:bookmarkEnd w:id="12"/>
    <w:p>
      <w:pPr>
        <w:pStyle w:val="8"/>
        <w:adjustRightInd w:val="0"/>
        <w:snapToGrid w:val="0"/>
        <w:spacing w:before="93" w:beforeLines="0" w:line="600" w:lineRule="exact"/>
        <w:ind w:firstLine="668" w:firstLineChars="209"/>
        <w:outlineLvl w:val="2"/>
        <w:rPr>
          <w:rFonts w:hint="eastAsia" w:ascii="仿宋" w:eastAsia="仿宋"/>
          <w:bCs/>
          <w:color w:val="000000"/>
          <w:sz w:val="32"/>
          <w:szCs w:val="32"/>
        </w:rPr>
      </w:pPr>
      <w:bookmarkStart w:id="13" w:name="_Toc28115"/>
      <w:bookmarkStart w:id="14" w:name="_Toc15377199"/>
      <w:bookmarkStart w:id="15" w:name="_Toc15378446"/>
      <w:bookmarkStart w:id="16" w:name="_Toc79163854"/>
      <w:bookmarkStart w:id="17" w:name="_Toc79163604"/>
      <w:r>
        <w:rPr>
          <w:rFonts w:hint="eastAsia" w:ascii="仿宋" w:eastAsia="仿宋"/>
          <w:bCs/>
          <w:color w:val="000000"/>
          <w:sz w:val="32"/>
          <w:szCs w:val="32"/>
        </w:rPr>
        <w:t>负责贯彻执行国家、省、州有关养老保险的政策、法规，依中华人民共和国社会保险法和养老保险暂行条例的规定。</w:t>
      </w:r>
      <w:bookmarkEnd w:id="13"/>
    </w:p>
    <w:p>
      <w:pPr>
        <w:pStyle w:val="8"/>
        <w:adjustRightInd w:val="0"/>
        <w:snapToGrid w:val="0"/>
        <w:spacing w:before="93" w:beforeLines="0" w:line="600" w:lineRule="exact"/>
        <w:ind w:firstLine="668" w:firstLineChars="209"/>
        <w:outlineLvl w:val="2"/>
        <w:rPr>
          <w:rFonts w:hint="eastAsia" w:ascii="仿宋" w:eastAsia="仿宋"/>
          <w:bCs/>
          <w:color w:val="000000"/>
          <w:sz w:val="32"/>
          <w:szCs w:val="32"/>
        </w:rPr>
      </w:pPr>
      <w:bookmarkStart w:id="18" w:name="_Toc26442"/>
      <w:r>
        <w:rPr>
          <w:rFonts w:hint="eastAsia" w:ascii="仿宋" w:eastAsia="仿宋"/>
          <w:bCs/>
          <w:color w:val="000000"/>
          <w:sz w:val="32"/>
          <w:szCs w:val="32"/>
        </w:rPr>
        <w:t>负责全县基本养老保险、工伤保险、职业年金制度的运行、管理。负责工伤保险费的收缴、养老保险支付和管理，建立健全预决算制度、财会制度、内部审计稽核制度，确保养老、工伤保险费的安全。接受壤塘县社会保险统筹基金监督委员会的监督，为参保人员建立个人账户，及时核算个人账户资金。加强对养老保险规范管理，认真执行统筹基金的支付范围和保险费用结算标准，确保收支平衡，保障广大参保职工的基本需求。对违反有关法规、规定，不缴纳或不及时缴纳养老、工伤保险费，弄虚作假骗取养老、工伤保险费等行为的参保单位或个人，提请劳动保障行政主管部门依法予以处罚。宣传解释养老、工伤保险费有关政策，认真接待群众来信、来访，妥善处理养老、工伤保险业务中发生的具体问题。</w:t>
      </w:r>
      <w:bookmarkEnd w:id="18"/>
    </w:p>
    <w:p>
      <w:pPr>
        <w:pStyle w:val="8"/>
        <w:adjustRightInd w:val="0"/>
        <w:snapToGrid w:val="0"/>
        <w:spacing w:before="93" w:beforeLines="0" w:line="600" w:lineRule="exact"/>
        <w:ind w:firstLine="668" w:firstLineChars="209"/>
        <w:outlineLvl w:val="2"/>
        <w:rPr>
          <w:rFonts w:hint="eastAsia" w:ascii="仿宋" w:eastAsia="仿宋"/>
          <w:bCs/>
          <w:color w:val="000000"/>
          <w:sz w:val="32"/>
          <w:szCs w:val="32"/>
        </w:rPr>
      </w:pPr>
      <w:bookmarkStart w:id="19" w:name="_Toc24208"/>
      <w:r>
        <w:rPr>
          <w:rFonts w:hint="eastAsia" w:ascii="仿宋" w:eastAsia="仿宋"/>
          <w:bCs/>
          <w:color w:val="000000"/>
          <w:sz w:val="32"/>
          <w:szCs w:val="32"/>
          <w:lang w:eastAsia="zh-CN"/>
        </w:rPr>
        <w:t>（</w:t>
      </w:r>
      <w:r>
        <w:rPr>
          <w:rFonts w:hint="eastAsia" w:ascii="仿宋" w:eastAsia="仿宋"/>
          <w:bCs/>
          <w:color w:val="000000"/>
          <w:sz w:val="32"/>
          <w:szCs w:val="32"/>
        </w:rPr>
        <w:t>二）202</w:t>
      </w:r>
      <w:r>
        <w:rPr>
          <w:rFonts w:hint="eastAsia" w:ascii="仿宋" w:eastAsia="仿宋"/>
          <w:bCs/>
          <w:color w:val="000000"/>
          <w:sz w:val="32"/>
          <w:szCs w:val="32"/>
          <w:lang w:val="en-US" w:eastAsia="zh-CN"/>
        </w:rPr>
        <w:t>5</w:t>
      </w:r>
      <w:r>
        <w:rPr>
          <w:rFonts w:hint="eastAsia" w:ascii="仿宋" w:eastAsia="仿宋"/>
          <w:bCs/>
          <w:color w:val="000000"/>
          <w:sz w:val="32"/>
          <w:szCs w:val="32"/>
        </w:rPr>
        <w:t>年重点工作完成情况。</w:t>
      </w:r>
      <w:bookmarkEnd w:id="14"/>
      <w:bookmarkEnd w:id="15"/>
      <w:bookmarkEnd w:id="16"/>
      <w:bookmarkEnd w:id="17"/>
      <w:bookmarkEnd w:id="19"/>
    </w:p>
    <w:p>
      <w:pPr>
        <w:ind w:left="0" w:firstLine="640" w:firstLineChars="200"/>
        <w:rPr>
          <w:rFonts w:hint="eastAsia" w:ascii="仿宋_GB2312" w:eastAsia="仿宋_GB2312" w:cs="仿宋_GB2312"/>
          <w:sz w:val="32"/>
          <w:szCs w:val="32"/>
          <w:lang w:bidi="ar-SA"/>
        </w:rPr>
      </w:pPr>
      <w:r>
        <w:rPr>
          <w:rFonts w:hint="eastAsia" w:ascii="仿宋_GB2312" w:eastAsia="仿宋_GB2312" w:cs="仿宋_GB2312"/>
          <w:sz w:val="32"/>
          <w:szCs w:val="32"/>
          <w:lang w:val="en-US" w:eastAsia="zh-CN" w:bidi="ar-SA"/>
        </w:rPr>
        <w:t>1.</w:t>
      </w:r>
      <w:r>
        <w:rPr>
          <w:rFonts w:hint="eastAsia" w:ascii="仿宋_GB2312" w:eastAsia="仿宋_GB2312" w:cs="仿宋_GB2312"/>
          <w:sz w:val="32"/>
          <w:szCs w:val="32"/>
          <w:lang w:bidi="ar-SA"/>
        </w:rPr>
        <w:t>我县城镇职工</w:t>
      </w:r>
      <w:r>
        <w:rPr>
          <w:rFonts w:hint="eastAsia" w:ascii="仿宋_GB2312" w:eastAsia="仿宋_GB2312" w:cs="仿宋_GB2312"/>
          <w:sz w:val="32"/>
          <w:szCs w:val="32"/>
          <w:lang w:eastAsia="zh-CN" w:bidi="ar-SA"/>
        </w:rPr>
        <w:t>基本养老保险及工伤保险</w:t>
      </w:r>
      <w:r>
        <w:rPr>
          <w:rFonts w:hint="eastAsia" w:ascii="仿宋_GB2312" w:eastAsia="仿宋_GB2312" w:cs="仿宋_GB2312"/>
          <w:sz w:val="32"/>
          <w:szCs w:val="32"/>
          <w:lang w:bidi="ar-SA"/>
        </w:rPr>
        <w:t>参保人数达到</w:t>
      </w:r>
      <w:r>
        <w:rPr>
          <w:rFonts w:hint="eastAsia" w:ascii="仿宋_GB2312" w:eastAsia="仿宋_GB2312" w:cs="仿宋_GB2312"/>
          <w:sz w:val="32"/>
          <w:szCs w:val="32"/>
          <w:lang w:eastAsia="zh-CN" w:bidi="ar-SA"/>
        </w:rPr>
        <w:t>目标任务</w:t>
      </w:r>
      <w:r>
        <w:rPr>
          <w:rFonts w:hint="eastAsia" w:ascii="仿宋_GB2312" w:eastAsia="仿宋_GB2312" w:cs="仿宋_GB2312"/>
          <w:sz w:val="32"/>
          <w:szCs w:val="32"/>
          <w:lang w:bidi="ar-SA"/>
        </w:rPr>
        <w:t>；</w:t>
      </w:r>
    </w:p>
    <w:p>
      <w:pPr>
        <w:ind w:firstLine="640" w:firstLineChars="200"/>
        <w:rPr>
          <w:rFonts w:hint="eastAsia" w:ascii="仿宋_GB2312" w:eastAsia="仿宋_GB2312" w:cs="仿宋_GB2312"/>
          <w:sz w:val="32"/>
          <w:szCs w:val="32"/>
          <w:lang w:eastAsia="zh-CN" w:bidi="ar-SA"/>
        </w:rPr>
      </w:pPr>
      <w:r>
        <w:rPr>
          <w:rFonts w:hint="eastAsia" w:ascii="仿宋_GB2312" w:eastAsia="仿宋_GB2312" w:cs="仿宋_GB2312"/>
          <w:sz w:val="32"/>
          <w:szCs w:val="32"/>
          <w:lang w:bidi="ar-SA"/>
        </w:rPr>
        <w:t>2.基金征缴企业养老保险基金征收</w:t>
      </w:r>
      <w:r>
        <w:rPr>
          <w:rFonts w:hint="eastAsia" w:ascii="仿宋_GB2312" w:eastAsia="仿宋_GB2312" w:cs="仿宋_GB2312"/>
          <w:sz w:val="32"/>
          <w:szCs w:val="32"/>
          <w:lang w:val="en-US" w:eastAsia="zh-CN" w:bidi="ar-SA"/>
        </w:rPr>
        <w:t>2372</w:t>
      </w:r>
      <w:r>
        <w:rPr>
          <w:rFonts w:hint="eastAsia" w:ascii="仿宋_GB2312" w:eastAsia="仿宋_GB2312" w:cs="仿宋_GB2312"/>
          <w:sz w:val="32"/>
          <w:szCs w:val="32"/>
          <w:lang w:bidi="ar-SA"/>
        </w:rPr>
        <w:t>万元</w:t>
      </w:r>
      <w:r>
        <w:rPr>
          <w:rFonts w:hint="eastAsia" w:ascii="仿宋_GB2312" w:eastAsia="仿宋_GB2312" w:cs="仿宋_GB2312"/>
          <w:sz w:val="32"/>
          <w:szCs w:val="32"/>
          <w:lang w:eastAsia="zh-CN" w:bidi="ar-SA"/>
        </w:rPr>
        <w:t>；</w:t>
      </w:r>
      <w:r>
        <w:rPr>
          <w:rFonts w:hint="eastAsia" w:ascii="仿宋_GB2312" w:eastAsia="仿宋_GB2312" w:cs="仿宋_GB2312"/>
          <w:sz w:val="32"/>
          <w:szCs w:val="32"/>
          <w:lang w:bidi="ar-SA"/>
        </w:rPr>
        <w:t>机关事业单位养老</w:t>
      </w:r>
      <w:r>
        <w:rPr>
          <w:rFonts w:hint="eastAsia" w:ascii="仿宋_GB2312" w:eastAsia="仿宋_GB2312" w:cs="仿宋_GB2312"/>
          <w:sz w:val="32"/>
          <w:szCs w:val="32"/>
          <w:lang w:val="en-US" w:eastAsia="zh-CN" w:bidi="ar-SA"/>
        </w:rPr>
        <w:t>保险</w:t>
      </w:r>
      <w:r>
        <w:rPr>
          <w:rFonts w:hint="eastAsia" w:ascii="仿宋_GB2312" w:eastAsia="仿宋_GB2312" w:cs="仿宋_GB2312"/>
          <w:sz w:val="32"/>
          <w:szCs w:val="32"/>
          <w:lang w:bidi="ar-SA"/>
        </w:rPr>
        <w:t>工</w:t>
      </w:r>
      <w:r>
        <w:rPr>
          <w:rFonts w:hint="eastAsia" w:ascii="仿宋_GB2312" w:eastAsia="仿宋_GB2312" w:cs="仿宋_GB2312"/>
          <w:sz w:val="32"/>
          <w:szCs w:val="32"/>
          <w:lang w:val="en-US" w:eastAsia="zh-CN" w:bidi="ar-SA"/>
        </w:rPr>
        <w:t>征缴收入11541万元；工</w:t>
      </w:r>
      <w:r>
        <w:rPr>
          <w:rFonts w:hint="eastAsia" w:ascii="仿宋_GB2312" w:eastAsia="仿宋_GB2312" w:cs="仿宋_GB2312"/>
          <w:sz w:val="32"/>
          <w:szCs w:val="32"/>
          <w:lang w:bidi="ar-SA"/>
        </w:rPr>
        <w:t>伤保险基金征缴收入</w:t>
      </w:r>
      <w:r>
        <w:rPr>
          <w:rFonts w:hint="eastAsia" w:ascii="仿宋_GB2312" w:eastAsia="仿宋_GB2312" w:cs="仿宋_GB2312"/>
          <w:sz w:val="32"/>
          <w:szCs w:val="32"/>
          <w:lang w:val="en-US" w:eastAsia="zh-CN" w:bidi="ar-SA"/>
        </w:rPr>
        <w:t>342</w:t>
      </w:r>
      <w:r>
        <w:rPr>
          <w:rFonts w:hint="eastAsia" w:ascii="仿宋_GB2312" w:eastAsia="仿宋_GB2312" w:cs="仿宋_GB2312"/>
          <w:sz w:val="32"/>
          <w:szCs w:val="32"/>
          <w:lang w:bidi="ar-SA"/>
        </w:rPr>
        <w:t>万元</w:t>
      </w:r>
      <w:r>
        <w:rPr>
          <w:rFonts w:hint="eastAsia" w:ascii="仿宋_GB2312" w:eastAsia="仿宋_GB2312" w:cs="仿宋_GB2312"/>
          <w:sz w:val="32"/>
          <w:szCs w:val="32"/>
          <w:lang w:eastAsia="zh-CN" w:bidi="ar-SA"/>
        </w:rPr>
        <w:t>（包含</w:t>
      </w:r>
      <w:r>
        <w:rPr>
          <w:rFonts w:hint="eastAsia" w:ascii="仿宋_GB2312" w:eastAsia="仿宋_GB2312" w:cs="仿宋_GB2312"/>
          <w:sz w:val="32"/>
          <w:szCs w:val="32"/>
          <w:lang w:bidi="ar-SA"/>
        </w:rPr>
        <w:t>高风险参保收入</w:t>
      </w:r>
      <w:r>
        <w:rPr>
          <w:rFonts w:hint="eastAsia" w:ascii="仿宋_GB2312" w:eastAsia="仿宋_GB2312" w:cs="仿宋_GB2312"/>
          <w:sz w:val="32"/>
          <w:szCs w:val="32"/>
          <w:lang w:eastAsia="zh-CN" w:bidi="ar-SA"/>
        </w:rPr>
        <w:t>）</w:t>
      </w:r>
      <w:r>
        <w:rPr>
          <w:rFonts w:hint="eastAsia" w:ascii="仿宋_GB2312" w:eastAsia="仿宋_GB2312" w:cs="仿宋_GB2312"/>
          <w:sz w:val="32"/>
          <w:szCs w:val="32"/>
          <w:lang w:bidi="ar-SA"/>
        </w:rPr>
        <w:t>，职业年金征缴</w:t>
      </w:r>
      <w:r>
        <w:rPr>
          <w:rFonts w:hint="eastAsia" w:ascii="仿宋_GB2312" w:eastAsia="仿宋_GB2312" w:cs="仿宋_GB2312"/>
          <w:sz w:val="32"/>
          <w:szCs w:val="32"/>
          <w:lang w:val="en-US" w:eastAsia="zh-CN" w:bidi="ar-SA"/>
        </w:rPr>
        <w:t>5793</w:t>
      </w:r>
      <w:r>
        <w:rPr>
          <w:rFonts w:hint="eastAsia" w:ascii="仿宋_GB2312" w:eastAsia="仿宋_GB2312" w:cs="仿宋_GB2312"/>
          <w:sz w:val="32"/>
          <w:szCs w:val="32"/>
          <w:lang w:bidi="ar-SA"/>
        </w:rPr>
        <w:t>万元</w:t>
      </w:r>
      <w:r>
        <w:rPr>
          <w:rFonts w:hint="eastAsia" w:ascii="仿宋_GB2312" w:eastAsia="仿宋_GB2312" w:cs="仿宋_GB2312"/>
          <w:sz w:val="32"/>
          <w:szCs w:val="32"/>
          <w:lang w:eastAsia="zh-CN" w:bidi="ar-SA"/>
        </w:rPr>
        <w:t>；</w:t>
      </w:r>
    </w:p>
    <w:p>
      <w:pPr>
        <w:ind w:firstLine="640" w:firstLineChars="200"/>
        <w:rPr>
          <w:rFonts w:hint="eastAsia" w:ascii="仿宋_GB2312" w:eastAsia="仿宋_GB2312" w:cs="仿宋_GB2312"/>
          <w:sz w:val="32"/>
          <w:szCs w:val="32"/>
          <w:lang w:eastAsia="zh-CN" w:bidi="ar-SA"/>
        </w:rPr>
      </w:pPr>
      <w:r>
        <w:rPr>
          <w:rFonts w:hint="eastAsia" w:ascii="仿宋_GB2312" w:eastAsia="仿宋_GB2312" w:cs="仿宋_GB2312"/>
          <w:sz w:val="32"/>
          <w:szCs w:val="32"/>
          <w:lang w:bidi="ar-SA"/>
        </w:rPr>
        <w:t>3.着力维护稳定大局，确保发放成果。努力做好“两个确保”，确保离退休人员养老金按时足额发放、确保养老金发放率达到100%。养老保险基金支出总计</w:t>
      </w:r>
      <w:r>
        <w:rPr>
          <w:rFonts w:hint="eastAsia" w:ascii="仿宋_GB2312" w:eastAsia="仿宋_GB2312" w:cs="仿宋_GB2312"/>
          <w:sz w:val="32"/>
          <w:szCs w:val="32"/>
          <w:lang w:val="en-US" w:eastAsia="zh-CN" w:bidi="ar-SA"/>
        </w:rPr>
        <w:t>9827</w:t>
      </w:r>
      <w:r>
        <w:rPr>
          <w:rFonts w:hint="eastAsia" w:ascii="仿宋_GB2312" w:eastAsia="仿宋_GB2312" w:cs="仿宋_GB2312"/>
          <w:sz w:val="32"/>
          <w:szCs w:val="32"/>
          <w:lang w:bidi="ar-SA"/>
        </w:rPr>
        <w:t>万元，其中：企业养老金支出</w:t>
      </w:r>
      <w:r>
        <w:rPr>
          <w:rFonts w:hint="eastAsia" w:ascii="仿宋_GB2312" w:eastAsia="仿宋_GB2312" w:cs="仿宋_GB2312"/>
          <w:sz w:val="32"/>
          <w:szCs w:val="32"/>
          <w:lang w:val="en-US" w:eastAsia="zh-CN" w:bidi="ar-SA"/>
        </w:rPr>
        <w:t>4093</w:t>
      </w:r>
      <w:r>
        <w:rPr>
          <w:rFonts w:hint="eastAsia" w:ascii="仿宋_GB2312" w:eastAsia="仿宋_GB2312" w:cs="仿宋_GB2312"/>
          <w:sz w:val="32"/>
          <w:szCs w:val="32"/>
          <w:lang w:bidi="ar-SA"/>
        </w:rPr>
        <w:t>万元；机关事业单位养老金支出</w:t>
      </w:r>
      <w:r>
        <w:rPr>
          <w:rFonts w:hint="eastAsia" w:ascii="仿宋_GB2312" w:eastAsia="仿宋_GB2312" w:cs="仿宋_GB2312"/>
          <w:sz w:val="32"/>
          <w:szCs w:val="32"/>
          <w:lang w:val="en-US" w:eastAsia="zh-CN" w:bidi="ar-SA"/>
        </w:rPr>
        <w:t>9235</w:t>
      </w:r>
      <w:r>
        <w:rPr>
          <w:rFonts w:hint="eastAsia" w:ascii="仿宋_GB2312" w:eastAsia="仿宋_GB2312" w:cs="仿宋_GB2312"/>
          <w:sz w:val="32"/>
          <w:szCs w:val="32"/>
          <w:lang w:bidi="ar-SA"/>
        </w:rPr>
        <w:t>万元</w:t>
      </w:r>
      <w:r>
        <w:rPr>
          <w:rFonts w:hint="eastAsia" w:ascii="仿宋_GB2312" w:eastAsia="仿宋_GB2312" w:cs="仿宋_GB2312"/>
          <w:sz w:val="32"/>
          <w:szCs w:val="32"/>
          <w:lang w:eastAsia="zh-CN" w:bidi="ar-SA"/>
        </w:rPr>
        <w:t>，</w:t>
      </w:r>
      <w:r>
        <w:rPr>
          <w:rFonts w:hint="eastAsia" w:ascii="仿宋_GB2312" w:eastAsia="仿宋_GB2312" w:cs="仿宋_GB2312"/>
          <w:sz w:val="32"/>
          <w:szCs w:val="32"/>
          <w:lang w:bidi="ar-SA"/>
        </w:rPr>
        <w:t>工伤保险基金支出</w:t>
      </w:r>
      <w:r>
        <w:rPr>
          <w:rFonts w:hint="eastAsia" w:ascii="仿宋_GB2312" w:eastAsia="仿宋_GB2312" w:cs="仿宋_GB2312"/>
          <w:sz w:val="32"/>
          <w:szCs w:val="32"/>
          <w:lang w:val="en-US" w:eastAsia="zh-CN" w:bidi="ar-SA"/>
        </w:rPr>
        <w:t>176</w:t>
      </w:r>
      <w:r>
        <w:rPr>
          <w:rFonts w:hint="eastAsia" w:ascii="仿宋_GB2312" w:eastAsia="仿宋_GB2312" w:cs="仿宋_GB2312"/>
          <w:sz w:val="32"/>
          <w:szCs w:val="32"/>
          <w:lang w:bidi="ar-SA"/>
        </w:rPr>
        <w:t>万元</w:t>
      </w:r>
      <w:r>
        <w:rPr>
          <w:rFonts w:hint="eastAsia" w:ascii="仿宋_GB2312" w:eastAsia="仿宋_GB2312" w:cs="仿宋_GB2312"/>
          <w:sz w:val="32"/>
          <w:szCs w:val="32"/>
          <w:lang w:eastAsia="zh-CN" w:bidi="ar-SA"/>
        </w:rPr>
        <w:t>。</w:t>
      </w:r>
    </w:p>
    <w:p>
      <w:pPr>
        <w:ind w:firstLine="640" w:firstLineChars="200"/>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val="en-US" w:eastAsia="zh-CN" w:bidi="ar-SA"/>
        </w:rPr>
        <w:t>4.优化业务经办服务，快速推进公共服务体系建设。继续推进社会保险制度改革工作，配合税务部门做好社会保险费征收平稳运行工作，进一步加强基金风险防控工作，确保各项基金安全运行。</w:t>
      </w:r>
    </w:p>
    <w:p>
      <w:pPr>
        <w:numPr>
          <w:ilvl w:val="0"/>
          <w:numId w:val="0"/>
        </w:numPr>
        <w:rPr>
          <w:rFonts w:hint="eastAsia"/>
          <w:lang w:eastAsia="zh-CN"/>
        </w:rPr>
      </w:pPr>
    </w:p>
    <w:p>
      <w:pPr>
        <w:pStyle w:val="6"/>
        <w:rPr>
          <w:rStyle w:val="29"/>
          <w:rFonts w:ascii="Times New Roman" w:hAnsi="Times New Roman"/>
          <w:b w:val="0"/>
          <w:bCs w:val="0"/>
          <w:color w:val="auto"/>
          <w:highlight w:val="none"/>
        </w:rPr>
      </w:pPr>
      <w:bookmarkStart w:id="20" w:name="_Toc15377200"/>
      <w:bookmarkStart w:id="21" w:name="_Toc15396601"/>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20"/>
      <w:bookmarkEnd w:id="21"/>
    </w:p>
    <w:p>
      <w:pPr>
        <w:ind w:firstLine="800" w:firstLineChars="250"/>
        <w:rPr>
          <w:rFonts w:hint="eastAsia" w:ascii="仿宋" w:eastAsia="仿宋"/>
          <w:sz w:val="32"/>
          <w:szCs w:val="32"/>
        </w:rPr>
      </w:pPr>
      <w:bookmarkStart w:id="22" w:name="_Toc15306275"/>
      <w:bookmarkStart w:id="23" w:name="_Toc15377201"/>
      <w:bookmarkStart w:id="24" w:name="_Toc15377432"/>
      <w:bookmarkStart w:id="25" w:name="_Toc15378448"/>
      <w:r>
        <w:rPr>
          <w:rFonts w:hint="eastAsia" w:ascii="仿宋" w:eastAsia="仿宋"/>
          <w:sz w:val="32"/>
          <w:szCs w:val="32"/>
          <w:lang w:eastAsia="zh-CN"/>
        </w:rPr>
        <w:t>社保中心</w:t>
      </w:r>
      <w:r>
        <w:rPr>
          <w:rFonts w:hint="eastAsia" w:ascii="仿宋" w:eastAsia="仿宋"/>
          <w:sz w:val="32"/>
          <w:szCs w:val="32"/>
        </w:rPr>
        <w:t>下属二级单位</w:t>
      </w:r>
      <w:r>
        <w:rPr>
          <w:rFonts w:hint="eastAsia" w:ascii="仿宋" w:eastAsia="仿宋"/>
          <w:sz w:val="32"/>
          <w:szCs w:val="32"/>
          <w:lang w:val="en-US" w:eastAsia="zh-CN"/>
        </w:rPr>
        <w:t>0</w:t>
      </w:r>
      <w:r>
        <w:rPr>
          <w:rFonts w:hint="eastAsia" w:ascii="仿宋" w:eastAsia="仿宋"/>
          <w:sz w:val="32"/>
          <w:szCs w:val="32"/>
        </w:rPr>
        <w:t>个，其中行政单位</w:t>
      </w:r>
      <w:r>
        <w:rPr>
          <w:rFonts w:hint="eastAsia" w:ascii="仿宋" w:eastAsia="仿宋"/>
          <w:sz w:val="32"/>
          <w:szCs w:val="32"/>
          <w:lang w:val="en-US" w:eastAsia="zh-CN"/>
        </w:rPr>
        <w:t>0</w:t>
      </w:r>
      <w:r>
        <w:rPr>
          <w:rFonts w:hint="eastAsia" w:ascii="仿宋" w:eastAsia="仿宋"/>
          <w:sz w:val="32"/>
          <w:szCs w:val="32"/>
        </w:rPr>
        <w:t>个，参照公务员法管理的事业单位</w:t>
      </w:r>
      <w:r>
        <w:rPr>
          <w:rFonts w:hint="eastAsia" w:ascii="仿宋" w:eastAsia="仿宋"/>
          <w:bCs/>
          <w:sz w:val="32"/>
          <w:szCs w:val="32"/>
          <w:lang w:val="en-US" w:eastAsia="zh-CN"/>
        </w:rPr>
        <w:t>0</w:t>
      </w:r>
      <w:r>
        <w:rPr>
          <w:rFonts w:hint="eastAsia" w:ascii="仿宋" w:eastAsia="仿宋"/>
          <w:sz w:val="32"/>
          <w:szCs w:val="32"/>
        </w:rPr>
        <w:t>个，其他事业单位</w:t>
      </w:r>
      <w:r>
        <w:rPr>
          <w:rFonts w:hint="eastAsia" w:ascii="仿宋" w:eastAsia="仿宋"/>
          <w:sz w:val="32"/>
          <w:szCs w:val="32"/>
          <w:lang w:val="en-US" w:eastAsia="zh-CN"/>
        </w:rPr>
        <w:t>0</w:t>
      </w:r>
      <w:r>
        <w:rPr>
          <w:rFonts w:hint="eastAsia" w:ascii="仿宋" w:eastAsia="仿宋"/>
          <w:sz w:val="32"/>
          <w:szCs w:val="32"/>
        </w:rPr>
        <w:t>个。</w:t>
      </w:r>
    </w:p>
    <w:p>
      <w:pPr>
        <w:pStyle w:val="8"/>
        <w:adjustRightInd w:val="0"/>
        <w:snapToGrid w:val="0"/>
        <w:spacing w:before="93" w:beforeLines="0" w:line="600" w:lineRule="exact"/>
        <w:ind w:firstLine="668" w:firstLineChars="209"/>
        <w:rPr>
          <w:rFonts w:hint="eastAsia" w:ascii="仿宋" w:eastAsia="仿宋"/>
          <w:color w:val="000000"/>
          <w:sz w:val="32"/>
          <w:szCs w:val="32"/>
          <w:lang w:eastAsia="zh-CN"/>
        </w:rPr>
      </w:pPr>
      <w:r>
        <w:rPr>
          <w:rFonts w:hint="eastAsia" w:ascii="仿宋" w:eastAsia="仿宋"/>
          <w:color w:val="000000"/>
          <w:sz w:val="32"/>
          <w:szCs w:val="32"/>
        </w:rPr>
        <w:t>纳入</w:t>
      </w:r>
      <w:r>
        <w:rPr>
          <w:rFonts w:hint="eastAsia" w:ascii="仿宋" w:eastAsia="仿宋"/>
          <w:color w:val="000000"/>
          <w:sz w:val="32"/>
          <w:szCs w:val="32"/>
          <w:lang w:eastAsia="zh-CN"/>
        </w:rPr>
        <w:t>社保中心</w:t>
      </w:r>
      <w:r>
        <w:rPr>
          <w:rFonts w:hint="eastAsia" w:ascii="仿宋" w:eastAsia="仿宋"/>
          <w:color w:val="000000"/>
          <w:sz w:val="32"/>
          <w:szCs w:val="32"/>
        </w:rPr>
        <w:t>202</w:t>
      </w:r>
      <w:r>
        <w:rPr>
          <w:rFonts w:hint="eastAsia" w:ascii="仿宋" w:eastAsia="仿宋"/>
          <w:color w:val="000000"/>
          <w:sz w:val="32"/>
          <w:szCs w:val="32"/>
          <w:lang w:val="en-US" w:eastAsia="zh-CN"/>
        </w:rPr>
        <w:t>5</w:t>
      </w:r>
      <w:r>
        <w:rPr>
          <w:rFonts w:hint="eastAsia" w:ascii="仿宋" w:eastAsia="仿宋"/>
          <w:color w:val="000000"/>
          <w:sz w:val="32"/>
          <w:szCs w:val="32"/>
        </w:rPr>
        <w:t>年度部门决算编制范围的二级预算单位</w:t>
      </w:r>
      <w:r>
        <w:rPr>
          <w:rFonts w:hint="eastAsia" w:ascii="仿宋" w:eastAsia="仿宋"/>
          <w:color w:val="000000"/>
          <w:sz w:val="32"/>
          <w:szCs w:val="32"/>
          <w:lang w:val="en-US" w:eastAsia="zh-CN"/>
        </w:rPr>
        <w:t>0个。</w:t>
      </w:r>
    </w:p>
    <w:bookmarkEnd w:id="22"/>
    <w:bookmarkEnd w:id="23"/>
    <w:bookmarkEnd w:id="24"/>
    <w:bookmarkEnd w:id="25"/>
    <w:p>
      <w:pPr>
        <w:pStyle w:val="5"/>
        <w:jc w:val="center"/>
        <w:rPr>
          <w:rFonts w:hint="eastAsia" w:ascii="Times New Roman" w:hAnsi="Times New Roman" w:eastAsia="方正小标宋简体" w:cs="方正小标宋简体"/>
          <w:b w:val="0"/>
          <w:color w:val="auto"/>
          <w:highlight w:val="none"/>
        </w:rPr>
      </w:pPr>
      <w:bookmarkStart w:id="26" w:name="_Toc15377204"/>
      <w:bookmarkStart w:id="27"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26"/>
      <w:bookmarkEnd w:id="27"/>
    </w:p>
    <w:p>
      <w:pPr>
        <w:rPr>
          <w:rFonts w:ascii="Times New Roman" w:hAnsi="Times New Roman"/>
          <w:color w:val="auto"/>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8" w:name="_Toc15396603"/>
      <w:bookmarkStart w:id="29"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28"/>
      <w:bookmarkEnd w:id="29"/>
    </w:p>
    <w:p>
      <w:pPr>
        <w:spacing w:line="600" w:lineRule="exact"/>
        <w:ind w:firstLine="640" w:firstLineChars="200"/>
        <w:rPr>
          <w:rFonts w:hint="eastAsia" w:ascii="仿宋" w:eastAsia="仿宋"/>
          <w:color w:val="000000"/>
          <w:sz w:val="32"/>
          <w:szCs w:val="32"/>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293.04</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总计各增加/减少</w:t>
      </w:r>
      <w:r>
        <w:rPr>
          <w:rFonts w:hint="eastAsia" w:eastAsia="仿宋_GB2312" w:cs="仿宋_GB2312"/>
          <w:color w:val="auto"/>
          <w:sz w:val="32"/>
          <w:szCs w:val="32"/>
          <w:highlight w:val="none"/>
          <w:lang w:val="en-US" w:eastAsia="zh-CN"/>
        </w:rPr>
        <w:t>8.34</w:t>
      </w:r>
      <w:r>
        <w:rPr>
          <w:rFonts w:hint="eastAsia" w:ascii="Times New Roman" w:hAnsi="Times New Roman" w:eastAsia="仿宋_GB2312" w:cs="仿宋_GB2312"/>
          <w:color w:val="auto"/>
          <w:sz w:val="32"/>
          <w:szCs w:val="32"/>
          <w:highlight w:val="none"/>
        </w:rPr>
        <w:t>万元，增长/下降</w:t>
      </w:r>
      <w:r>
        <w:rPr>
          <w:rFonts w:hint="eastAsia" w:eastAsia="仿宋_GB2312" w:cs="仿宋_GB2312"/>
          <w:color w:val="auto"/>
          <w:sz w:val="32"/>
          <w:szCs w:val="32"/>
          <w:highlight w:val="none"/>
          <w:lang w:val="en-US" w:eastAsia="zh-CN"/>
        </w:rPr>
        <w:t>2.77</w:t>
      </w:r>
      <w:r>
        <w:rPr>
          <w:rFonts w:hint="eastAsia" w:ascii="Times New Roman" w:hAnsi="Times New Roman" w:eastAsia="仿宋_GB2312" w:cs="仿宋_GB2312"/>
          <w:color w:val="auto"/>
          <w:sz w:val="32"/>
          <w:szCs w:val="32"/>
          <w:highlight w:val="none"/>
        </w:rPr>
        <w:t>%。主要变动原因是全部为一般公共预算财政拨款。主要系其他人力资源和社会保障管理事务项目预算调减，上年安排的部分个人补助本年度不再下达，造成项目支出减少；同时受工资、社保及公积金标准调整，人员经费、公用经费刚性增加，对冲部分减支影响，本年度收支保持平衡，无结转结余。</w:t>
      </w:r>
    </w:p>
    <w:p>
      <w:pPr>
        <w:pStyle w:val="2"/>
        <w:rPr>
          <w:rFonts w:hint="eastAsia" w:ascii="仿宋" w:eastAsia="仿宋"/>
          <w:color w:val="000000"/>
          <w:sz w:val="32"/>
          <w:szCs w:val="32"/>
        </w:rPr>
      </w:pPr>
      <w:r>
        <w:rPr>
          <w:rFonts w:hint="default" w:ascii="Times New Roman" w:hAnsi="Times New Roman" w:eastAsia="方正仿宋_GBK" w:cs="Times New Roman"/>
          <w:sz w:val="32"/>
          <w:szCs w:val="32"/>
          <w:lang w:eastAsia="zh-CN"/>
        </w:rPr>
        <w:drawing>
          <wp:anchor distT="0" distB="0" distL="114300" distR="114300" simplePos="0" relativeHeight="251660288" behindDoc="0" locked="0" layoutInCell="1" allowOverlap="1">
            <wp:simplePos x="0" y="0"/>
            <wp:positionH relativeFrom="column">
              <wp:posOffset>100330</wp:posOffset>
            </wp:positionH>
            <wp:positionV relativeFrom="paragraph">
              <wp:posOffset>244475</wp:posOffset>
            </wp:positionV>
            <wp:extent cx="5256530" cy="2817495"/>
            <wp:effectExtent l="4445" t="4445" r="15875" b="16510"/>
            <wp:wrapSquare wrapText="bothSides"/>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pPr>
        <w:rPr>
          <w:rFonts w:hint="eastAsia"/>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30" w:name="_Toc15396604"/>
      <w:bookmarkStart w:id="31" w:name="_Toc15377206"/>
      <w:r>
        <w:rPr>
          <w:rFonts w:hint="eastAsia" w:ascii="Times New Roman" w:hAnsi="Times New Roman" w:eastAsia="黑体"/>
          <w:color w:val="auto"/>
          <w:sz w:val="32"/>
          <w:szCs w:val="32"/>
          <w:highlight w:val="none"/>
          <w:lang w:eastAsia="zh-CN"/>
        </w:rPr>
        <w:t>二、收入决算情况说明</w:t>
      </w:r>
      <w:bookmarkEnd w:id="30"/>
      <w:bookmarkEnd w:id="31"/>
    </w:p>
    <w:p>
      <w:pPr>
        <w:pageBreakBefore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sz w:val="32"/>
          <w:szCs w:val="32"/>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293.04</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293.04</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w:t>
      </w:r>
      <w:r>
        <w:rPr>
          <w:rFonts w:hint="default" w:ascii="Times New Roman" w:hAnsi="Times New Roman" w:eastAsia="方正仿宋_GBK" w:cs="Times New Roman"/>
          <w:sz w:val="32"/>
          <w:szCs w:val="32"/>
          <w:lang w:eastAsia="zh-CN"/>
        </w:rPr>
        <w:t>国有资本经营预算财政拨款收入</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万元，占</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%；上级补助收入</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万元，占</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%；事业收入</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万元，占</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%；经营收入</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万元，占</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%；附属单位上缴收入</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万元，占</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%；其他收入</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万元，占</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w:t>
      </w:r>
    </w:p>
    <w:p>
      <w:pPr>
        <w:pageBreakBefore w:val="0"/>
        <w:kinsoku/>
        <w:wordWrap/>
        <w:overflowPunct/>
        <w:topLinePunct w:val="0"/>
        <w:autoSpaceDE/>
        <w:autoSpaceDN/>
        <w:bidi w:val="0"/>
        <w:spacing w:line="576" w:lineRule="exact"/>
        <w:ind w:firstLine="420" w:firstLineChars="200"/>
        <w:textAlignment w:val="auto"/>
        <w:rPr>
          <w:rFonts w:hint="eastAsia" w:ascii="Times New Roman" w:hAnsi="Times New Roman" w:eastAsia="仿宋_GB2312" w:cs="仿宋_GB2312"/>
          <w:color w:val="auto"/>
          <w:sz w:val="32"/>
          <w:szCs w:val="32"/>
          <w:highlight w:val="none"/>
          <w:lang w:eastAsia="zh-CN"/>
        </w:rPr>
      </w:pPr>
      <w:r>
        <w:rPr>
          <w:rFonts w:hint="default" w:ascii="Times New Roman" w:hAnsi="Times New Roman" w:eastAsia="宋体" w:cs="Times New Roman"/>
          <w:lang w:eastAsia="zh-CN"/>
        </w:rPr>
        <w:pict>
          <v:shape id="Object 2" o:spid="_x0000_s1035" o:spt="75" type="#_x0000_t75" style="position:absolute;left:0pt;margin-left:11pt;margin-top:27.7pt;height:230.25pt;width:423.15pt;mso-wrap-distance-bottom:0pt;mso-wrap-distance-top:0pt;z-index:251661312;mso-width-relative:page;mso-height-relative:page;" o:ole="t" filled="f" o:preferrelative="t" stroked="f" coordsize="21600,21600" o:gfxdata="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">
            <v:path/>
            <v:fill on="f" focussize="0,0"/>
            <v:stroke on="f"/>
            <v:imagedata r:id="rId10" o:title=""/>
            <o:lock v:ext="edit" aspectratio="t"/>
            <w10:wrap type="topAndBottom"/>
          </v:shape>
          <o:OLEObject Type="Embed" ProgID="Excel.Sheet.8" ShapeID="Object 2" DrawAspect="Content" ObjectID="_1468075725" r:id="rId9">
            <o:LockedField>false</o:LockedField>
          </o:OLEObject>
        </w:pict>
      </w:r>
      <w:r>
        <w:rPr>
          <w:rFonts w:hint="eastAsia" w:ascii="Times New Roman" w:hAnsi="Times New Roman" w:eastAsia="仿宋_GB2312" w:cs="仿宋_GB2312"/>
          <w:color w:val="auto"/>
          <w:sz w:val="32"/>
          <w:szCs w:val="32"/>
          <w:highlight w:val="none"/>
          <w:lang w:eastAsia="zh-CN"/>
        </w:rPr>
        <w:t>（图2：收入决算结构图）（饼状图）</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Style w:val="29"/>
          <w:rFonts w:hint="eastAsia" w:ascii="Times New Roman" w:hAnsi="Times New Roman" w:eastAsia="黑体"/>
          <w:b w:val="0"/>
          <w:color w:val="auto"/>
          <w:highlight w:val="none"/>
        </w:rPr>
      </w:pPr>
      <w:bookmarkStart w:id="32" w:name="_Toc15377207"/>
      <w:bookmarkStart w:id="33"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32"/>
      <w:bookmarkEnd w:id="33"/>
    </w:p>
    <w:p>
      <w:pPr>
        <w:pageBreakBefore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sz w:val="32"/>
          <w:szCs w:val="32"/>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293.04</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170.91</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92.45</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22.13</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7.55</w:t>
      </w:r>
      <w:r>
        <w:rPr>
          <w:rFonts w:hint="eastAsia" w:ascii="Times New Roman" w:hAnsi="Times New Roman" w:eastAsia="仿宋_GB2312" w:cs="仿宋_GB2312"/>
          <w:color w:val="auto"/>
          <w:sz w:val="32"/>
          <w:szCs w:val="32"/>
          <w:highlight w:val="none"/>
          <w:lang w:eastAsia="zh-CN"/>
        </w:rPr>
        <w:t>%；</w:t>
      </w:r>
      <w:r>
        <w:rPr>
          <w:rFonts w:hint="default" w:ascii="Times New Roman" w:hAnsi="Times New Roman" w:eastAsia="方正仿宋_GBK" w:cs="Times New Roman"/>
          <w:sz w:val="32"/>
          <w:szCs w:val="32"/>
          <w:lang w:eastAsia="zh-CN"/>
        </w:rPr>
        <w:t>上缴上级支出</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万元，占</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%；经营支出</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万元，占</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%；对附属单位补助支出</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万元，占</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w:t>
      </w:r>
    </w:p>
    <w:p>
      <w:pPr>
        <w:pStyle w:val="2"/>
        <w:rPr>
          <w:rFonts w:hint="default" w:ascii="Times New Roman" w:hAnsi="Times New Roman" w:eastAsia="方正仿宋_GBK" w:cs="Times New Roman"/>
          <w:sz w:val="32"/>
          <w:szCs w:val="32"/>
          <w:lang w:eastAsia="zh-CN"/>
        </w:rPr>
      </w:pPr>
    </w:p>
    <w:p>
      <w:pPr>
        <w:pStyle w:val="3"/>
        <w:rPr>
          <w:rFonts w:hint="eastAsia" w:ascii="Times New Roman" w:hAnsi="Times New Roman" w:eastAsia="仿宋_GB2312" w:cs="仿宋_GB2312"/>
          <w:color w:val="auto"/>
          <w:sz w:val="32"/>
          <w:szCs w:val="32"/>
          <w:highlight w:val="none"/>
          <w:lang w:eastAsia="zh-CN"/>
        </w:rPr>
      </w:pPr>
      <w:r>
        <w:rPr>
          <w:rFonts w:hint="default" w:ascii="Times New Roman" w:hAnsi="Times New Roman" w:eastAsia="方正黑体_GBK" w:cs="Times New Roman"/>
          <w:b w:val="0"/>
          <w:bCs/>
          <w:color w:val="auto"/>
          <w:kern w:val="2"/>
          <w:sz w:val="32"/>
          <w:szCs w:val="32"/>
          <w:highlight w:val="none"/>
          <w:lang w:val="en-US" w:eastAsia="zh-CN" w:bidi="ar-SA"/>
        </w:rPr>
        <w:drawing>
          <wp:anchor distT="0" distB="0" distL="114300" distR="114300" simplePos="0" relativeHeight="251662336" behindDoc="0" locked="0" layoutInCell="1" allowOverlap="1">
            <wp:simplePos x="0" y="0"/>
            <wp:positionH relativeFrom="column">
              <wp:posOffset>23495</wp:posOffset>
            </wp:positionH>
            <wp:positionV relativeFrom="paragraph">
              <wp:posOffset>-8709660</wp:posOffset>
            </wp:positionV>
            <wp:extent cx="5256530" cy="2718435"/>
            <wp:effectExtent l="4445" t="4445" r="15875" b="20320"/>
            <wp:wrapSquare wrapText="bothSides"/>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Times New Roman" w:hAnsi="Times New Roman" w:eastAsia="仿宋_GB2312" w:cs="仿宋_GB2312"/>
          <w:color w:val="auto"/>
          <w:sz w:val="32"/>
          <w:szCs w:val="32"/>
          <w:highlight w:val="none"/>
          <w:lang w:eastAsia="zh-CN"/>
        </w:rPr>
        <w:t>（图3：支出决算结构图）（饼状图）</w:t>
      </w:r>
    </w:p>
    <w:p>
      <w:pPr>
        <w:spacing w:line="600" w:lineRule="exact"/>
        <w:outlineLvl w:val="1"/>
        <w:rPr>
          <w:rStyle w:val="29"/>
          <w:rFonts w:ascii="Times New Roman" w:hAnsi="Times New Roman" w:eastAsia="黑体"/>
          <w:b w:val="0"/>
          <w:color w:val="auto"/>
          <w:highlight w:val="none"/>
        </w:rPr>
      </w:pPr>
      <w:bookmarkStart w:id="34" w:name="_Toc15396606"/>
      <w:bookmarkStart w:id="35"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34"/>
      <w:bookmarkEnd w:id="3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293.04</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8.34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2.77</w:t>
      </w:r>
      <w:r>
        <w:rPr>
          <w:rFonts w:hint="eastAsia" w:ascii="Times New Roman" w:hAnsi="Times New Roman" w:eastAsia="仿宋_GB2312" w:cs="仿宋_GB2312"/>
          <w:color w:val="auto"/>
          <w:kern w:val="2"/>
          <w:sz w:val="32"/>
          <w:szCs w:val="32"/>
          <w:highlight w:val="none"/>
          <w:lang w:val="en-US" w:eastAsia="zh-CN" w:bidi="ar-SA"/>
        </w:rPr>
        <w:t>%。主要变动原因是本年度项目经费压减，项目支出减少。</w:t>
      </w:r>
    </w:p>
    <w:p>
      <w:pPr>
        <w:pStyle w:val="2"/>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方正黑体_GBK" w:cs="Times New Roman"/>
          <w:b w:val="0"/>
          <w:bCs/>
          <w:color w:val="auto"/>
          <w:kern w:val="2"/>
          <w:sz w:val="32"/>
          <w:szCs w:val="32"/>
          <w:highlight w:val="none"/>
          <w:lang w:val="en-US" w:eastAsia="zh-CN" w:bidi="ar-SA"/>
        </w:rPr>
        <w:drawing>
          <wp:anchor distT="0" distB="0" distL="114300" distR="114300" simplePos="0" relativeHeight="251663360" behindDoc="0" locked="0" layoutInCell="1" allowOverlap="1">
            <wp:simplePos x="0" y="0"/>
            <wp:positionH relativeFrom="column">
              <wp:posOffset>271780</wp:posOffset>
            </wp:positionH>
            <wp:positionV relativeFrom="paragraph">
              <wp:posOffset>33020</wp:posOffset>
            </wp:positionV>
            <wp:extent cx="5256530" cy="3195320"/>
            <wp:effectExtent l="5080" t="4445" r="15240" b="19685"/>
            <wp:wrapSquare wrapText="bothSides"/>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outlineLvl w:val="1"/>
        <w:rPr>
          <w:rStyle w:val="29"/>
          <w:rFonts w:ascii="Times New Roman" w:hAnsi="Times New Roman" w:eastAsia="黑体"/>
          <w:b w:val="0"/>
          <w:color w:val="auto"/>
          <w:highlight w:val="none"/>
        </w:rPr>
      </w:pPr>
      <w:bookmarkStart w:id="36" w:name="_Toc15377209"/>
      <w:bookmarkStart w:id="37"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36"/>
      <w:bookmarkEnd w:id="37"/>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8"/>
    </w:p>
    <w:p>
      <w:pPr>
        <w:spacing w:line="600" w:lineRule="exact"/>
        <w:ind w:firstLine="640"/>
        <w:rPr>
          <w:rFonts w:hint="eastAsia" w:eastAsia="仿宋_GB2312" w:cs="仿宋_GB2312"/>
          <w:color w:val="auto"/>
          <w:kern w:val="2"/>
          <w:sz w:val="32"/>
          <w:szCs w:val="32"/>
          <w:highlight w:val="none"/>
          <w:lang w:val="en-US" w:eastAsia="zh-CN" w:bidi="ar-SA"/>
        </w:rPr>
      </w:pPr>
      <w:bookmarkStart w:id="39" w:name="OLE_LINK1"/>
      <w:r>
        <w:rPr>
          <w:rFonts w:hint="eastAsia" w:eastAsia="仿宋_GB2312" w:cs="仿宋_GB2312"/>
          <w:color w:val="auto"/>
          <w:kern w:val="2"/>
          <w:sz w:val="32"/>
          <w:szCs w:val="32"/>
          <w:highlight w:val="none"/>
          <w:lang w:val="en-US" w:eastAsia="zh-CN" w:bidi="ar-SA"/>
        </w:rPr>
        <w:t>2025年度一般公共预算财政拨款支出293.04万元，占本年支出合计的100.00%。与上年度相比，一般公共预算财政拨款支出减少8.34万元，下降2.77%。主要变动原因是本年度项目经费压减，项目支出减少。</w:t>
      </w:r>
    </w:p>
    <w:p>
      <w:pPr>
        <w:pStyle w:val="2"/>
        <w:rPr>
          <w:rFonts w:hint="eastAsia" w:eastAsia="仿宋_GB2312" w:cs="仿宋_GB2312"/>
          <w:color w:val="auto"/>
          <w:kern w:val="2"/>
          <w:sz w:val="32"/>
          <w:szCs w:val="32"/>
          <w:highlight w:val="none"/>
          <w:lang w:val="en-US" w:eastAsia="zh-CN" w:bidi="ar-SA"/>
        </w:rPr>
      </w:pPr>
      <w:r>
        <w:rPr>
          <w:rFonts w:hint="default" w:ascii="Times New Roman" w:hAnsi="Times New Roman" w:cs="Times New Roman" w:eastAsiaTheme="minorEastAsia"/>
          <w:lang w:eastAsia="zh-CN"/>
        </w:rPr>
        <w:drawing>
          <wp:anchor distT="0" distB="0" distL="114300" distR="114300" simplePos="0" relativeHeight="251664384" behindDoc="0" locked="0" layoutInCell="1" allowOverlap="1">
            <wp:simplePos x="0" y="0"/>
            <wp:positionH relativeFrom="column">
              <wp:posOffset>290195</wp:posOffset>
            </wp:positionH>
            <wp:positionV relativeFrom="paragraph">
              <wp:posOffset>118745</wp:posOffset>
            </wp:positionV>
            <wp:extent cx="5256530" cy="2887345"/>
            <wp:effectExtent l="4445" t="4445" r="15875" b="22860"/>
            <wp:wrapSquare wrapText="bothSides"/>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bookmarkEnd w:id="39"/>
    <w:p>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pPr>
        <w:spacing w:line="600" w:lineRule="exact"/>
        <w:ind w:firstLine="321" w:firstLineChars="100"/>
        <w:outlineLvl w:val="2"/>
        <w:rPr>
          <w:rFonts w:hint="eastAsia" w:ascii="Times New Roman" w:hAnsi="Times New Roman" w:eastAsia="楷体_GB2312" w:cs="楷体_GB2312"/>
          <w:b/>
          <w:color w:val="auto"/>
          <w:sz w:val="32"/>
          <w:szCs w:val="32"/>
          <w:highlight w:val="none"/>
        </w:rPr>
      </w:pPr>
      <w:bookmarkStart w:id="40"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40"/>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一般公共预算财政拨款支出293.04万元，主要用于以下方面：一般公共服务支出0万元，占0%；教育支出0万元，占0%；科学技术支出0万元，占0%；文化旅游体育与传媒支出0万元，占0%；社会保障和就业支出258.14万元，占88.09%；卫生健康支出14.41万元，占4.92%；住房保障支出20.50万元，占7.00%</w:t>
      </w:r>
    </w:p>
    <w:p>
      <w:pPr>
        <w:spacing w:line="600" w:lineRule="exact"/>
        <w:ind w:firstLine="640"/>
        <w:rPr>
          <w:rFonts w:hint="eastAsia"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cs="Times New Roman" w:eastAsiaTheme="minorEastAsia"/>
          <w:lang w:eastAsia="zh-CN"/>
        </w:rPr>
        <w:drawing>
          <wp:anchor distT="0" distB="0" distL="114300" distR="114300" simplePos="0" relativeHeight="251665408" behindDoc="0" locked="0" layoutInCell="1" allowOverlap="1">
            <wp:simplePos x="0" y="0"/>
            <wp:positionH relativeFrom="column">
              <wp:posOffset>271145</wp:posOffset>
            </wp:positionH>
            <wp:positionV relativeFrom="paragraph">
              <wp:posOffset>-757555</wp:posOffset>
            </wp:positionV>
            <wp:extent cx="5333365" cy="2388870"/>
            <wp:effectExtent l="4445" t="4445" r="15240" b="6985"/>
            <wp:wrapSquare wrapText="bothSides"/>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spacing w:line="600" w:lineRule="exact"/>
        <w:ind w:firstLine="321" w:firstLineChars="100"/>
        <w:outlineLvl w:val="2"/>
        <w:rPr>
          <w:rFonts w:hint="eastAsia" w:ascii="Times New Roman" w:hAnsi="Times New Roman" w:eastAsia="楷体_GB2312" w:cs="楷体_GB2312"/>
          <w:b/>
          <w:color w:val="auto"/>
          <w:sz w:val="32"/>
          <w:szCs w:val="32"/>
          <w:highlight w:val="none"/>
        </w:rPr>
      </w:pPr>
      <w:bookmarkStart w:id="41"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41"/>
    </w:p>
    <w:p>
      <w:pPr>
        <w:spacing w:line="600" w:lineRule="exact"/>
        <w:ind w:firstLine="640"/>
        <w:rPr>
          <w:rFonts w:hint="default" w:ascii="Times New Roman" w:hAnsi="Times New Roman" w:eastAsia="方正仿宋_GBK" w:cs="Times New Roman"/>
          <w:sz w:val="32"/>
          <w:szCs w:val="32"/>
          <w:lang w:val="en-US" w:eastAsia="zh-CN"/>
        </w:rPr>
      </w:pPr>
      <w:bookmarkStart w:id="42" w:name="_Toc15377213"/>
      <w:bookmarkStart w:id="43" w:name="_Toc15378460"/>
      <w:bookmarkStart w:id="44"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293.04</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42"/>
      <w:bookmarkEnd w:id="43"/>
      <w:bookmarkEnd w:id="44"/>
    </w:p>
    <w:p>
      <w:pPr>
        <w:pageBreakBefore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.社会保障和就业（类）</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（项）：支出决算为194.56万元，完成预算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方正仿宋_GBK" w:cs="Times New Roman"/>
          <w:sz w:val="32"/>
          <w:szCs w:val="32"/>
          <w:lang w:val="en-US" w:eastAsia="zh-CN"/>
        </w:rPr>
        <w:t>决算数等于预算数。</w:t>
      </w:r>
    </w:p>
    <w:p>
      <w:pPr>
        <w:pageBreakBefore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仿宋_GB2312" w:cs="仿宋_GB2312"/>
          <w:color w:val="auto"/>
          <w:kern w:val="2"/>
          <w:sz w:val="32"/>
          <w:szCs w:val="32"/>
          <w:highlight w:val="none"/>
          <w:lang w:val="en-US" w:eastAsia="zh-CN" w:bidi="ar-SA"/>
        </w:rPr>
        <w:t>2.社会保障和就业（类）</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（项）：支出决算为22.13万元，完成预算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方正仿宋_GBK" w:cs="Times New Roman"/>
          <w:sz w:val="32"/>
          <w:szCs w:val="32"/>
          <w:lang w:val="en-US" w:eastAsia="zh-CN"/>
        </w:rPr>
        <w:t>决算数等于预算数。</w:t>
      </w:r>
    </w:p>
    <w:p>
      <w:pPr>
        <w:pageBreakBefore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仿宋_GB2312" w:cs="仿宋_GB2312"/>
          <w:color w:val="auto"/>
          <w:kern w:val="2"/>
          <w:sz w:val="32"/>
          <w:szCs w:val="32"/>
          <w:highlight w:val="none"/>
          <w:lang w:val="en-US" w:eastAsia="zh-CN" w:bidi="ar-SA"/>
        </w:rPr>
        <w:t>3.社会保障和就业（类）</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（项）：支出决算为27.74万元，完成预算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方正仿宋_GBK" w:cs="Times New Roman"/>
          <w:sz w:val="32"/>
          <w:szCs w:val="32"/>
          <w:lang w:val="en-US" w:eastAsia="zh-CN"/>
        </w:rPr>
        <w:t>决算数等于预算数。</w:t>
      </w:r>
    </w:p>
    <w:p>
      <w:pPr>
        <w:pageBreakBefore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仿宋_GB2312" w:cs="仿宋_GB2312"/>
          <w:color w:val="auto"/>
          <w:kern w:val="2"/>
          <w:sz w:val="32"/>
          <w:szCs w:val="32"/>
          <w:highlight w:val="none"/>
          <w:lang w:val="en-US" w:eastAsia="zh-CN" w:bidi="ar-SA"/>
        </w:rPr>
        <w:t>4.社会保障和就业（类）</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（项）：支出决算为13.71万元，完成预算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方正仿宋_GBK" w:cs="Times New Roman"/>
          <w:sz w:val="32"/>
          <w:szCs w:val="32"/>
          <w:lang w:val="en-US" w:eastAsia="zh-CN"/>
        </w:rPr>
        <w:t>决算数等于预算数。</w:t>
      </w:r>
    </w:p>
    <w:p>
      <w:pPr>
        <w:pageBreakBefore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仿宋_GB2312" w:cs="仿宋_GB2312"/>
          <w:color w:val="auto"/>
          <w:kern w:val="2"/>
          <w:sz w:val="32"/>
          <w:szCs w:val="32"/>
          <w:highlight w:val="none"/>
          <w:lang w:val="en-US" w:eastAsia="zh-CN" w:bidi="ar-SA"/>
        </w:rPr>
        <w:t>5.卫生健康（类）</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（项）：支出决算为12.05万元，完成预算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方正仿宋_GBK" w:cs="Times New Roman"/>
          <w:sz w:val="32"/>
          <w:szCs w:val="32"/>
          <w:lang w:val="en-US" w:eastAsia="zh-CN"/>
        </w:rPr>
        <w:t>决算数等于预算数。</w:t>
      </w:r>
    </w:p>
    <w:p>
      <w:pPr>
        <w:pageBreakBefore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仿宋_GB2312" w:cs="仿宋_GB2312"/>
          <w:color w:val="auto"/>
          <w:kern w:val="2"/>
          <w:sz w:val="32"/>
          <w:szCs w:val="32"/>
          <w:highlight w:val="none"/>
          <w:lang w:val="en-US" w:eastAsia="zh-CN" w:bidi="ar-SA"/>
        </w:rPr>
        <w:t>6.卫生健康（类）</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（项）：支出决算为2.36万元，完成预算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方正仿宋_GBK" w:cs="Times New Roman"/>
          <w:sz w:val="32"/>
          <w:szCs w:val="32"/>
          <w:lang w:val="en-US" w:eastAsia="zh-CN"/>
        </w:rPr>
        <w:t>决算数等于预算数。</w:t>
      </w:r>
    </w:p>
    <w:p>
      <w:pPr>
        <w:pageBreakBefore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仿宋_GB2312" w:cs="仿宋_GB2312"/>
          <w:color w:val="auto"/>
          <w:kern w:val="2"/>
          <w:sz w:val="32"/>
          <w:szCs w:val="32"/>
          <w:highlight w:val="none"/>
          <w:lang w:val="en-US" w:eastAsia="zh-CN" w:bidi="ar-SA"/>
        </w:rPr>
        <w:t>7.住房保障支出（类）</w:t>
      </w:r>
      <w:r>
        <w:rPr>
          <w:rFonts w:hint="eastAsia" w:eastAsia="仿宋_GB2312" w:cs="仿宋_GB2312"/>
          <w:color w:val="auto"/>
          <w:kern w:val="2"/>
          <w:sz w:val="32"/>
          <w:szCs w:val="32"/>
          <w:highlight w:val="none"/>
          <w:lang w:val="en-US" w:eastAsia="zh-CN" w:bidi="ar-SA"/>
        </w:rPr>
        <w:t>221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21</w:t>
      </w:r>
      <w:r>
        <w:rPr>
          <w:rFonts w:hint="eastAsia" w:ascii="Times New Roman" w:hAnsi="Times New Roman" w:eastAsia="仿宋_GB2312" w:cs="仿宋_GB2312"/>
          <w:color w:val="auto"/>
          <w:kern w:val="2"/>
          <w:sz w:val="32"/>
          <w:szCs w:val="32"/>
          <w:highlight w:val="none"/>
          <w:lang w:val="en-US" w:eastAsia="zh-CN" w:bidi="ar-SA"/>
        </w:rPr>
        <w:t>（项）：支出决算为20.50万元，完成预算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方正仿宋_GBK" w:cs="Times New Roman"/>
          <w:sz w:val="32"/>
          <w:szCs w:val="32"/>
          <w:lang w:val="en-US" w:eastAsia="zh-CN"/>
        </w:rPr>
        <w:t>决算数等于预算数。</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tabs>
          <w:tab w:val="right" w:pos="8306"/>
        </w:tabs>
        <w:spacing w:line="600" w:lineRule="exact"/>
        <w:ind w:firstLine="640"/>
        <w:outlineLvl w:val="1"/>
        <w:rPr>
          <w:rStyle w:val="29"/>
          <w:rFonts w:ascii="Times New Roman" w:hAnsi="Times New Roman"/>
          <w:color w:val="auto"/>
          <w:highlight w:val="none"/>
        </w:rPr>
      </w:pPr>
      <w:bookmarkStart w:id="45" w:name="_Toc15377214"/>
      <w:bookmarkStart w:id="46"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45"/>
      <w:bookmarkEnd w:id="46"/>
      <w:r>
        <w:rPr>
          <w:rStyle w:val="29"/>
          <w:rFonts w:ascii="Times New Roman" w:hAnsi="Times New Roman" w:eastAsia="黑体"/>
          <w:b w:val="0"/>
          <w:color w:val="auto"/>
          <w:highlight w:val="none"/>
        </w:rPr>
        <w:tab/>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2025年度一般公共预算财政拨款基本支出270.91万元，其中：</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人员经费257.71万元，主要包括：基本工资、津贴补贴、奖金、机关事业单位基本养老保险缴费、职业年金缴费、职工基本医疗保险缴费、公务员医疗补助缴费、其他社会保障缴费、医疗费补助、奖励金、住房公积金、其他对个人和家庭的补助支出等。</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　　公用经费13.20万元，主要包括：办公费、印刷费、手续费、电费、邮电费、取暖费、差旅费、公务用车运行维护费、其他商品和服务支出等。</w:t>
      </w:r>
    </w:p>
    <w:p>
      <w:pPr>
        <w:spacing w:line="600" w:lineRule="exact"/>
        <w:ind w:firstLine="640"/>
        <w:outlineLvl w:val="1"/>
        <w:rPr>
          <w:rStyle w:val="29"/>
          <w:rFonts w:ascii="Times New Roman" w:hAnsi="Times New Roman" w:eastAsia="黑体"/>
          <w:b w:val="0"/>
          <w:color w:val="auto"/>
          <w:highlight w:val="none"/>
        </w:rPr>
      </w:pPr>
      <w:bookmarkStart w:id="47" w:name="_Toc15377215"/>
      <w:bookmarkStart w:id="48" w:name="_Toc15396609"/>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47"/>
      <w:bookmarkEnd w:id="48"/>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9"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9"/>
    </w:p>
    <w:p>
      <w:pPr>
        <w:pageBreakBefore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2.87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2.71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1693.75</w:t>
      </w:r>
      <w:r>
        <w:rPr>
          <w:rFonts w:hint="eastAsia" w:ascii="Times New Roman" w:hAnsi="Times New Roman" w:eastAsia="仿宋_GB2312" w:cs="仿宋_GB2312"/>
          <w:color w:val="auto"/>
          <w:kern w:val="2"/>
          <w:sz w:val="32"/>
          <w:szCs w:val="32"/>
          <w:highlight w:val="none"/>
          <w:lang w:val="en-US" w:eastAsia="zh-CN" w:bidi="ar-SA"/>
        </w:rPr>
        <w:t>%。</w:t>
      </w:r>
      <w:bookmarkStart w:id="50" w:name="OLE_LINK2"/>
      <w:r>
        <w:rPr>
          <w:rFonts w:hint="default" w:ascii="Times New Roman" w:hAnsi="Times New Roman" w:eastAsia="方正仿宋_GBK" w:cs="Times New Roman"/>
          <w:sz w:val="32"/>
          <w:szCs w:val="32"/>
          <w:lang w:val="en-US" w:eastAsia="zh-CN"/>
        </w:rPr>
        <w:t>决算数与预算数持平。</w:t>
      </w:r>
    </w:p>
    <w:bookmarkEnd w:id="50"/>
    <w:p>
      <w:pPr>
        <w:spacing w:line="600" w:lineRule="exact"/>
        <w:ind w:firstLine="321" w:firstLineChars="100"/>
        <w:outlineLvl w:val="2"/>
        <w:rPr>
          <w:rFonts w:hint="eastAsia" w:ascii="Times New Roman" w:hAnsi="Times New Roman" w:eastAsia="楷体_GB2312" w:cs="楷体_GB2312"/>
          <w:b/>
          <w:color w:val="auto"/>
          <w:sz w:val="32"/>
          <w:szCs w:val="32"/>
          <w:highlight w:val="none"/>
        </w:rPr>
      </w:pPr>
      <w:bookmarkStart w:id="51"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51"/>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2025年度财政拨款“三公”经费支出决算中，因公出国（境）费支出决算0万元，占0%；公务用车购置及运行维护费支出决算2.87万元，占100.00%；公务接待费支出决算0万元，占0%。具体情况如下：</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cs="Times New Roman" w:eastAsiaTheme="minorEastAsia"/>
          <w:lang w:eastAsia="zh-CN"/>
        </w:rPr>
        <w:drawing>
          <wp:anchor distT="0" distB="0" distL="114300" distR="114300" simplePos="0" relativeHeight="251666432" behindDoc="0" locked="0" layoutInCell="1" allowOverlap="1">
            <wp:simplePos x="0" y="0"/>
            <wp:positionH relativeFrom="column">
              <wp:posOffset>99695</wp:posOffset>
            </wp:positionH>
            <wp:positionV relativeFrom="paragraph">
              <wp:posOffset>-490855</wp:posOffset>
            </wp:positionV>
            <wp:extent cx="5256530" cy="2658745"/>
            <wp:effectExtent l="4445" t="4445" r="15875" b="22860"/>
            <wp:wrapSquare wrapText="bothSides"/>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pPr>
        <w:pageBreakBefore w:val="0"/>
        <w:kinsoku/>
        <w:wordWrap/>
        <w:overflowPunct/>
        <w:topLinePunct w:val="0"/>
        <w:autoSpaceDE/>
        <w:autoSpaceDN/>
        <w:bidi w:val="0"/>
        <w:spacing w:line="576" w:lineRule="exact"/>
        <w:ind w:firstLine="64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仿宋_GB2312" w:cs="Times New Roman"/>
          <w:b/>
          <w:bCs/>
          <w:color w:val="auto"/>
          <w:kern w:val="2"/>
          <w:sz w:val="32"/>
          <w:szCs w:val="32"/>
          <w:highlight w:val="none"/>
          <w:lang w:val="en-US" w:eastAsia="zh-CN" w:bidi="ar-SA"/>
        </w:rPr>
        <w:t>1.因公出国（境）经费支出0万元，完成预算0%。</w:t>
      </w:r>
      <w:r>
        <w:rPr>
          <w:rFonts w:hint="default" w:ascii="Times New Roman" w:hAnsi="Times New Roman" w:eastAsia="方正仿宋_GBK" w:cs="Times New Roman"/>
          <w:sz w:val="32"/>
          <w:szCs w:val="32"/>
          <w:lang w:val="en-US" w:eastAsia="zh-CN"/>
        </w:rPr>
        <w:t>全年安排因公出国（境）团组0次，出国（境）0人。因公出国（境）支出决算比上年度</w:t>
      </w:r>
      <w:r>
        <w:rPr>
          <w:rFonts w:hint="eastAsia" w:eastAsia="方正仿宋_GBK" w:cs="Times New Roman"/>
          <w:sz w:val="32"/>
          <w:szCs w:val="32"/>
          <w:lang w:val="en-US" w:eastAsia="zh-CN"/>
        </w:rPr>
        <w:t>无变动</w:t>
      </w:r>
      <w:r>
        <w:rPr>
          <w:rFonts w:hint="default" w:ascii="Times New Roman" w:hAnsi="Times New Roman" w:eastAsia="方正仿宋_GBK" w:cs="Times New Roman"/>
          <w:sz w:val="32"/>
          <w:szCs w:val="32"/>
          <w:lang w:val="en-US" w:eastAsia="zh-CN"/>
        </w:rPr>
        <w:t>。</w:t>
      </w:r>
    </w:p>
    <w:p>
      <w:pPr>
        <w:pageBreakBefore w:val="0"/>
        <w:kinsoku/>
        <w:wordWrap/>
        <w:overflowPunct/>
        <w:topLinePunct w:val="0"/>
        <w:autoSpaceDE/>
        <w:autoSpaceDN/>
        <w:bidi w:val="0"/>
        <w:spacing w:line="576" w:lineRule="exact"/>
        <w:ind w:firstLine="64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2.87</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2.71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1693.75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方正仿宋_GBK" w:cs="Times New Roman"/>
          <w:sz w:val="32"/>
          <w:szCs w:val="32"/>
          <w:lang w:val="en-US" w:eastAsia="zh-CN"/>
        </w:rPr>
        <w:t>主要原因：</w:t>
      </w:r>
      <w:r>
        <w:rPr>
          <w:rFonts w:hint="default" w:ascii="Times New Roman" w:hAnsi="Times New Roman" w:eastAsia="方正仿宋_GBK" w:cs="Times New Roman"/>
          <w:sz w:val="32"/>
          <w:szCs w:val="32"/>
          <w:lang w:val="en-US" w:eastAsia="zh-CN"/>
        </w:rPr>
        <w:t>单位持续落实厉行节约相关要求，公务车辆行驶里程有所增加，叠加车辆老化维修、燃油价格波动等因素影响。单位严格规范公务活动审批流程，各项开支均按制度标准执行，切实保障履职必需。</w:t>
      </w:r>
    </w:p>
    <w:p>
      <w:pPr>
        <w:spacing w:line="600" w:lineRule="exact"/>
        <w:ind w:firstLine="640" w:firstLineChars="200"/>
        <w:rPr>
          <w:rFonts w:hint="eastAsia" w:ascii="仿宋_GB2312" w:eastAsia="仿宋_GB2312"/>
          <w:b/>
          <w:color w:val="000000"/>
          <w:sz w:val="32"/>
          <w:szCs w:val="32"/>
        </w:rPr>
      </w:pPr>
      <w:r>
        <w:rPr>
          <w:rFonts w:hint="eastAsia" w:ascii="仿宋_GB2312" w:eastAsia="仿宋_GB2312"/>
          <w:color w:val="000000"/>
          <w:sz w:val="32"/>
          <w:szCs w:val="32"/>
        </w:rPr>
        <w:t>其中：</w:t>
      </w:r>
      <w:r>
        <w:rPr>
          <w:rFonts w:hint="eastAsia" w:ascii="仿宋_GB2312" w:eastAsia="仿宋_GB2312"/>
          <w:b/>
          <w:color w:val="000000"/>
          <w:sz w:val="32"/>
          <w:szCs w:val="32"/>
        </w:rPr>
        <w:t>公务用车购置支出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万元。全年按规定更新购置公务用车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辆，其中：轿车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万元，越野车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万元，载客汽车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Fonts w:hint="eastAsia" w:ascii="仿宋_GB2312" w:eastAsia="仿宋_GB2312"/>
          <w:color w:val="000000"/>
          <w:sz w:val="32"/>
          <w:szCs w:val="32"/>
          <w:lang w:val="en-US" w:eastAsia="zh-CN"/>
        </w:rPr>
        <w:t xml:space="preserve"> </w:t>
      </w:r>
      <w:r>
        <w:rPr>
          <w:rFonts w:hint="eastAsia" w:ascii="仿宋_GB2312" w:eastAsia="仿宋_GB2312"/>
          <w:color w:val="000000"/>
          <w:sz w:val="32"/>
          <w:szCs w:val="32"/>
        </w:rPr>
        <w:t>。截至202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年12</w:t>
      </w:r>
      <w:r>
        <w:rPr>
          <w:rFonts w:hint="eastAsia" w:ascii="仿宋_GB2312" w:eastAsia="仿宋_GB2312"/>
          <w:color w:val="000000"/>
          <w:sz w:val="32"/>
          <w:szCs w:val="32"/>
          <w:lang w:val="en-US" w:eastAsia="zh-CN"/>
        </w:rPr>
        <w:t>月31日</w:t>
      </w:r>
      <w:r>
        <w:rPr>
          <w:rFonts w:hint="eastAsia" w:ascii="仿宋_GB2312" w:eastAsia="仿宋_GB2312"/>
          <w:color w:val="000000"/>
          <w:sz w:val="32"/>
          <w:szCs w:val="32"/>
        </w:rPr>
        <w:t>，单位共有公务用车</w:t>
      </w:r>
      <w:r>
        <w:rPr>
          <w:rFonts w:hint="eastAsia" w:ascii="仿宋_GB2312" w:eastAsia="仿宋_GB2312"/>
          <w:color w:val="000000"/>
          <w:sz w:val="32"/>
          <w:szCs w:val="32"/>
          <w:lang w:val="en-US" w:eastAsia="zh-CN"/>
        </w:rPr>
        <w:t>1</w:t>
      </w:r>
      <w:r>
        <w:rPr>
          <w:rFonts w:hint="eastAsia" w:ascii="仿宋_GB2312" w:eastAsia="仿宋_GB2312"/>
          <w:color w:val="000000"/>
          <w:sz w:val="32"/>
          <w:szCs w:val="32"/>
        </w:rPr>
        <w:t>辆，其中：轿车</w:t>
      </w:r>
      <w:r>
        <w:rPr>
          <w:rFonts w:hint="eastAsia" w:ascii="仿宋_GB2312" w:eastAsia="仿宋_GB2312"/>
          <w:color w:val="000000"/>
          <w:sz w:val="32"/>
          <w:szCs w:val="32"/>
          <w:lang w:val="en-US" w:eastAsia="zh-CN"/>
        </w:rPr>
        <w:t>1</w:t>
      </w:r>
      <w:r>
        <w:rPr>
          <w:rFonts w:hint="eastAsia" w:ascii="仿宋_GB2312" w:eastAsia="仿宋_GB2312"/>
          <w:color w:val="000000"/>
          <w:sz w:val="32"/>
          <w:szCs w:val="32"/>
        </w:rPr>
        <w:t>辆、越野车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辆、载客汽车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w:t>
      </w:r>
    </w:p>
    <w:p>
      <w:pPr>
        <w:spacing w:line="600" w:lineRule="exact"/>
        <w:ind w:firstLine="640"/>
        <w:rPr>
          <w:rFonts w:hint="eastAsia" w:ascii="仿宋_GB2312" w:eastAsia="仿宋_GB2312"/>
          <w:color w:val="000000"/>
          <w:sz w:val="32"/>
          <w:szCs w:val="32"/>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2.87</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_GB2312" w:eastAsia="仿宋_GB2312"/>
          <w:color w:val="000000"/>
          <w:sz w:val="32"/>
          <w:szCs w:val="32"/>
        </w:rPr>
        <w:t>主要用于</w:t>
      </w:r>
      <w:r>
        <w:rPr>
          <w:rFonts w:hint="eastAsia" w:ascii="仿宋_GB2312" w:eastAsia="仿宋_GB2312"/>
          <w:color w:val="000000"/>
          <w:sz w:val="32"/>
          <w:szCs w:val="32"/>
          <w:lang w:eastAsia="zh-CN"/>
        </w:rPr>
        <w:t>出差下乡</w:t>
      </w:r>
      <w:r>
        <w:rPr>
          <w:rFonts w:hint="eastAsia" w:ascii="仿宋_GB2312" w:eastAsia="仿宋_GB2312"/>
          <w:color w:val="000000"/>
          <w:sz w:val="32"/>
          <w:szCs w:val="32"/>
        </w:rPr>
        <w:t>等所需的公务用车燃料费、维修费、过路过桥费、保险费等支出。</w:t>
      </w:r>
    </w:p>
    <w:p>
      <w:pPr>
        <w:pageBreakBefore w:val="0"/>
        <w:kinsoku/>
        <w:wordWrap/>
        <w:overflowPunct/>
        <w:topLinePunct w:val="0"/>
        <w:autoSpaceDE/>
        <w:autoSpaceDN/>
        <w:bidi w:val="0"/>
        <w:spacing w:line="576" w:lineRule="exact"/>
        <w:ind w:firstLine="640"/>
        <w:textAlignment w:val="auto"/>
        <w:rPr>
          <w:rFonts w:hint="default" w:ascii="Times New Roman" w:hAnsi="Times New Roman" w:eastAsia="方正仿宋_GBK" w:cs="Times New Roman"/>
          <w:sz w:val="32"/>
          <w:szCs w:val="32"/>
          <w:lang w:val="en-US" w:eastAsia="zh-CN"/>
        </w:rPr>
      </w:pPr>
      <w:bookmarkStart w:id="52" w:name="_Toc15377218"/>
      <w:bookmarkStart w:id="53" w:name="_Toc15396610"/>
      <w:r>
        <w:rPr>
          <w:rFonts w:hint="default" w:ascii="Times New Roman" w:hAnsi="Times New Roman" w:eastAsia="仿宋_GB2312" w:cs="Times New Roman"/>
          <w:b/>
          <w:bCs/>
          <w:color w:val="auto"/>
          <w:kern w:val="2"/>
          <w:sz w:val="32"/>
          <w:szCs w:val="32"/>
          <w:highlight w:val="none"/>
          <w:lang w:val="en-US" w:eastAsia="zh-CN" w:bidi="ar-SA"/>
        </w:rPr>
        <w:t>3.公务接待费支出0万元，完成预算0%。</w:t>
      </w:r>
      <w:r>
        <w:rPr>
          <w:rFonts w:hint="default" w:ascii="Times New Roman" w:hAnsi="Times New Roman" w:eastAsia="方正仿宋_GBK" w:cs="Times New Roman"/>
          <w:sz w:val="32"/>
          <w:szCs w:val="32"/>
          <w:lang w:val="en-US" w:eastAsia="zh-CN"/>
        </w:rPr>
        <w:t>公务接待费支出决算比上年度</w:t>
      </w:r>
      <w:r>
        <w:rPr>
          <w:rFonts w:hint="eastAsia" w:eastAsia="方正仿宋_GBK" w:cs="Times New Roman"/>
          <w:sz w:val="32"/>
          <w:szCs w:val="32"/>
          <w:lang w:val="en-US" w:eastAsia="zh-CN"/>
        </w:rPr>
        <w:t>无变动</w:t>
      </w:r>
      <w:r>
        <w:rPr>
          <w:rFonts w:hint="default" w:ascii="Times New Roman" w:hAnsi="Times New Roman" w:eastAsia="方正仿宋_GBK" w:cs="Times New Roman"/>
          <w:sz w:val="32"/>
          <w:szCs w:val="32"/>
          <w:lang w:val="en-US" w:eastAsia="zh-CN"/>
        </w:rPr>
        <w:t>0万元，</w:t>
      </w:r>
      <w:r>
        <w:rPr>
          <w:rFonts w:hint="eastAsia" w:eastAsia="方正仿宋_GBK" w:cs="Times New Roman"/>
          <w:sz w:val="32"/>
          <w:szCs w:val="32"/>
          <w:lang w:val="en-US" w:eastAsia="zh-CN"/>
        </w:rPr>
        <w:t>无变动</w:t>
      </w:r>
      <w:r>
        <w:rPr>
          <w:rFonts w:hint="default" w:ascii="Times New Roman" w:hAnsi="Times New Roman" w:eastAsia="方正仿宋_GBK" w:cs="Times New Roman"/>
          <w:sz w:val="32"/>
          <w:szCs w:val="32"/>
          <w:lang w:val="en-US" w:eastAsia="zh-CN"/>
        </w:rPr>
        <w:t>0%。国内公务接待支出0万元。国内公务接待0批次，0人次，共计支出0万元。</w:t>
      </w:r>
    </w:p>
    <w:p>
      <w:pPr>
        <w:pageBreakBefore w:val="0"/>
        <w:kinsoku/>
        <w:wordWrap/>
        <w:overflowPunct/>
        <w:topLinePunct w:val="0"/>
        <w:autoSpaceDE/>
        <w:autoSpaceDN/>
        <w:bidi w:val="0"/>
        <w:spacing w:line="576"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方正仿宋_GBK" w:cs="Times New Roman"/>
          <w:sz w:val="32"/>
          <w:szCs w:val="32"/>
          <w:lang w:val="en-US" w:eastAsia="zh-CN"/>
        </w:rPr>
        <w:t>外事接待支出0万元。外事接待0批次，0人次，共计支出0万元。</w:t>
      </w:r>
    </w:p>
    <w:bookmarkEnd w:id="52"/>
    <w:bookmarkEnd w:id="53"/>
    <w:p>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default" w:ascii="Times New Roman" w:hAnsi="Times New Roman" w:eastAsia="方正黑体_GBK" w:cs="Times New Roman"/>
          <w:b w:val="0"/>
          <w:bCs/>
          <w:color w:val="auto"/>
          <w:kern w:val="2"/>
          <w:sz w:val="32"/>
          <w:szCs w:val="32"/>
          <w:highlight w:val="none"/>
          <w:lang w:val="en-US" w:eastAsia="zh-CN" w:bidi="ar-SA"/>
        </w:rPr>
      </w:pPr>
      <w:bookmarkStart w:id="54" w:name="_Toc15377221"/>
      <w:bookmarkStart w:id="55" w:name="_Toc15396612"/>
      <w:r>
        <w:rPr>
          <w:rFonts w:hint="default" w:ascii="Times New Roman" w:hAnsi="Times New Roman" w:eastAsia="方正黑体_GBK" w:cs="Times New Roman"/>
          <w:b w:val="0"/>
          <w:bCs/>
          <w:color w:val="auto"/>
          <w:kern w:val="2"/>
          <w:sz w:val="32"/>
          <w:szCs w:val="32"/>
          <w:highlight w:val="none"/>
          <w:lang w:val="en-US" w:eastAsia="zh-CN" w:bidi="ar-SA"/>
        </w:rPr>
        <w:t>八、政府性基金预算支出决算情况说明</w:t>
      </w:r>
    </w:p>
    <w:p>
      <w:pPr>
        <w:pageBreakBefore w:val="0"/>
        <w:kinsoku/>
        <w:wordWrap/>
        <w:overflowPunct/>
        <w:topLinePunct w:val="0"/>
        <w:autoSpaceDE/>
        <w:autoSpaceDN/>
        <w:bidi w:val="0"/>
        <w:spacing w:line="576" w:lineRule="exact"/>
        <w:ind w:firstLine="64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2025年度政府性基金预算财政拨款支出0万元，占本年支出合计的0%。与上年度相比，政府性基金预算财政拨款支出</w:t>
      </w:r>
      <w:r>
        <w:rPr>
          <w:rFonts w:hint="eastAsia" w:eastAsia="方正仿宋_GBK" w:cs="Times New Roman"/>
          <w:sz w:val="32"/>
          <w:szCs w:val="32"/>
          <w:lang w:val="en-US" w:eastAsia="zh-CN"/>
        </w:rPr>
        <w:t>无变动</w:t>
      </w:r>
      <w:r>
        <w:rPr>
          <w:rFonts w:hint="default" w:ascii="Times New Roman" w:hAnsi="Times New Roman" w:eastAsia="方正仿宋_GBK" w:cs="Times New Roman"/>
          <w:sz w:val="32"/>
          <w:szCs w:val="32"/>
          <w:lang w:val="en-US" w:eastAsia="zh-CN"/>
        </w:rPr>
        <w:t>0万元，</w:t>
      </w:r>
      <w:r>
        <w:rPr>
          <w:rFonts w:hint="eastAsia" w:eastAsia="方正仿宋_GBK" w:cs="Times New Roman"/>
          <w:sz w:val="32"/>
          <w:szCs w:val="32"/>
          <w:lang w:val="en-US" w:eastAsia="zh-CN"/>
        </w:rPr>
        <w:t>无变动</w:t>
      </w:r>
      <w:r>
        <w:rPr>
          <w:rFonts w:hint="default" w:ascii="Times New Roman" w:hAnsi="Times New Roman" w:eastAsia="方正仿宋_GBK" w:cs="Times New Roman"/>
          <w:sz w:val="32"/>
          <w:szCs w:val="32"/>
          <w:lang w:val="en-US" w:eastAsia="zh-CN"/>
        </w:rPr>
        <w:t>0%。</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default" w:ascii="Times New Roman" w:hAnsi="Times New Roman" w:eastAsia="方正黑体_GBK" w:cs="Times New Roman"/>
          <w:b w:val="0"/>
          <w:bCs/>
          <w:color w:val="auto"/>
          <w:kern w:val="2"/>
          <w:sz w:val="32"/>
          <w:szCs w:val="32"/>
          <w:highlight w:val="none"/>
          <w:lang w:val="en-US" w:eastAsia="zh-CN" w:bidi="ar-SA"/>
        </w:rPr>
      </w:pPr>
      <w:bookmarkStart w:id="56" w:name="_Toc15377219"/>
      <w:bookmarkStart w:id="57" w:name="_Toc15396611"/>
      <w:r>
        <w:rPr>
          <w:rFonts w:hint="default" w:ascii="Times New Roman" w:hAnsi="Times New Roman" w:eastAsia="方正黑体_GBK" w:cs="Times New Roman"/>
          <w:b w:val="0"/>
          <w:bCs/>
          <w:color w:val="auto"/>
          <w:kern w:val="2"/>
          <w:sz w:val="32"/>
          <w:szCs w:val="32"/>
          <w:highlight w:val="none"/>
          <w:lang w:val="en-US" w:eastAsia="zh-CN" w:bidi="ar-SA"/>
        </w:rPr>
        <w:t>九、国有资本经营预算支出决算情况说明</w:t>
      </w:r>
      <w:bookmarkEnd w:id="56"/>
      <w:bookmarkEnd w:id="57"/>
    </w:p>
    <w:p>
      <w:pPr>
        <w:pageBreakBefore w:val="0"/>
        <w:kinsoku/>
        <w:wordWrap/>
        <w:overflowPunct/>
        <w:topLinePunct w:val="0"/>
        <w:autoSpaceDE/>
        <w:autoSpaceDN/>
        <w:bidi w:val="0"/>
        <w:spacing w:line="576" w:lineRule="exact"/>
        <w:ind w:firstLine="64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2025年度国有资本经营预算财政拨款支出0万元，占本年支出合计的0%。与上年度相比，国有资本经营预算财政拨款支出</w:t>
      </w:r>
      <w:r>
        <w:rPr>
          <w:rFonts w:hint="eastAsia" w:eastAsia="方正仿宋_GBK" w:cs="Times New Roman"/>
          <w:sz w:val="32"/>
          <w:szCs w:val="32"/>
          <w:lang w:val="en-US" w:eastAsia="zh-CN"/>
        </w:rPr>
        <w:t>无变动</w:t>
      </w:r>
      <w:r>
        <w:rPr>
          <w:rFonts w:hint="default" w:ascii="Times New Roman" w:hAnsi="Times New Roman" w:eastAsia="方正仿宋_GBK" w:cs="Times New Roman"/>
          <w:sz w:val="32"/>
          <w:szCs w:val="32"/>
          <w:lang w:val="en-US" w:eastAsia="zh-CN"/>
        </w:rPr>
        <w:t>0万元，</w:t>
      </w:r>
      <w:r>
        <w:rPr>
          <w:rFonts w:hint="eastAsia" w:eastAsia="方正仿宋_GBK" w:cs="Times New Roman"/>
          <w:sz w:val="32"/>
          <w:szCs w:val="32"/>
          <w:lang w:val="en-US" w:eastAsia="zh-CN"/>
        </w:rPr>
        <w:t>无变动</w:t>
      </w:r>
      <w:r>
        <w:rPr>
          <w:rFonts w:hint="default" w:ascii="Times New Roman" w:hAnsi="Times New Roman" w:eastAsia="方正仿宋_GBK" w:cs="Times New Roman"/>
          <w:sz w:val="32"/>
          <w:szCs w:val="32"/>
          <w:lang w:val="en-US" w:eastAsia="zh-CN"/>
        </w:rPr>
        <w:t>0%。</w:t>
      </w:r>
    </w:p>
    <w:p>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54"/>
      <w:bookmarkEnd w:id="55"/>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8" w:name="_Toc15377222"/>
      <w:r>
        <w:rPr>
          <w:rFonts w:hint="eastAsia" w:ascii="Times New Roman" w:hAnsi="Times New Roman" w:eastAsia="楷体_GB2312" w:cs="楷体_GB2312"/>
          <w:b/>
          <w:color w:val="auto"/>
          <w:sz w:val="32"/>
          <w:szCs w:val="32"/>
          <w:highlight w:val="none"/>
        </w:rPr>
        <w:t>（一）机关运行经费支出情况</w:t>
      </w:r>
      <w:bookmarkEnd w:id="58"/>
    </w:p>
    <w:p>
      <w:pPr>
        <w:pageBreakBefore w:val="0"/>
        <w:kinsoku/>
        <w:wordWrap/>
        <w:overflowPunct/>
        <w:topLinePunct w:val="0"/>
        <w:autoSpaceDE/>
        <w:autoSpaceDN/>
        <w:bidi w:val="0"/>
        <w:spacing w:line="576" w:lineRule="exact"/>
        <w:ind w:firstLine="640" w:firstLineChars="200"/>
        <w:textAlignment w:val="auto"/>
        <w:outlineLvl w:val="2"/>
        <w:rPr>
          <w:rFonts w:hint="default" w:ascii="Times New Roman" w:hAnsi="Times New Roman" w:eastAsia="方正仿宋_GBK" w:cs="Times New Roman"/>
          <w:sz w:val="32"/>
          <w:szCs w:val="32"/>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社保中心</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13.2</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2.83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27.29</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业务下乡频次增加，办公耗材等公用经费支出相应增加</w:t>
      </w:r>
      <w:r>
        <w:rPr>
          <w:rFonts w:hint="default" w:ascii="Times New Roman" w:hAnsi="Times New Roman" w:eastAsia="方正仿宋_GBK" w:cs="Times New Roman"/>
          <w:sz w:val="32"/>
          <w:szCs w:val="32"/>
          <w:lang w:val="en-US" w:eastAsia="zh-CN"/>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9" w:name="_Toc15377223"/>
      <w:r>
        <w:rPr>
          <w:rFonts w:hint="eastAsia" w:ascii="Times New Roman" w:hAnsi="Times New Roman" w:eastAsia="楷体_GB2312" w:cs="楷体_GB2312"/>
          <w:b/>
          <w:color w:val="auto"/>
          <w:sz w:val="32"/>
          <w:szCs w:val="32"/>
          <w:highlight w:val="none"/>
        </w:rPr>
        <w:t>（二）政府采购支出情况</w:t>
      </w:r>
      <w:bookmarkEnd w:id="59"/>
    </w:p>
    <w:p>
      <w:pPr>
        <w:spacing w:line="600" w:lineRule="exact"/>
        <w:ind w:firstLine="960" w:firstLineChars="3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社保中心</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60" w:name="_Toc15377224"/>
      <w:r>
        <w:rPr>
          <w:rFonts w:hint="eastAsia" w:ascii="Times New Roman" w:hAnsi="Times New Roman" w:eastAsia="楷体_GB2312" w:cs="楷体_GB2312"/>
          <w:b/>
          <w:color w:val="auto"/>
          <w:sz w:val="32"/>
          <w:szCs w:val="32"/>
          <w:highlight w:val="none"/>
        </w:rPr>
        <w:t>（三）国有资产占有使用情况</w:t>
      </w:r>
      <w:bookmarkEnd w:id="60"/>
    </w:p>
    <w:p>
      <w:pPr>
        <w:pageBreakBefore w:val="0"/>
        <w:kinsoku/>
        <w:wordWrap/>
        <w:overflowPunct/>
        <w:topLinePunct w:val="0"/>
        <w:autoSpaceDE/>
        <w:autoSpaceDN/>
        <w:bidi w:val="0"/>
        <w:spacing w:line="576" w:lineRule="exact"/>
        <w:ind w:firstLine="640" w:firstLineChars="200"/>
        <w:textAlignment w:val="auto"/>
        <w:outlineLvl w:val="2"/>
        <w:rPr>
          <w:rFonts w:hint="default" w:ascii="Times New Roman" w:hAnsi="Times New Roman" w:eastAsia="仿宋_GB2312" w:cs="Times New Roman"/>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截至</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社保中心</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r>
        <w:rPr>
          <w:rFonts w:hint="default" w:ascii="Times New Roman" w:hAnsi="Times New Roman" w:eastAsia="方正仿宋_GBK" w:cs="Times New Roman"/>
          <w:sz w:val="32"/>
          <w:szCs w:val="32"/>
          <w:lang w:val="en-US" w:eastAsia="zh-CN"/>
        </w:rPr>
        <w:t>单价100万元（含）以上设备（不含车辆）0台（套）。</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580" w:lineRule="exact"/>
        <w:ind w:firstLine="640" w:firstLineChars="200"/>
        <w:rPr>
          <w:rFonts w:hint="eastAsia" w:ascii="仿宋_GB2312" w:eastAsia="仿宋_GB2312" w:cs="仿宋_GB2312"/>
          <w:sz w:val="32"/>
          <w:szCs w:val="32"/>
          <w:lang w:bidi="ar-SA"/>
        </w:rPr>
      </w:pPr>
      <w:r>
        <w:rPr>
          <w:rFonts w:hint="eastAsia" w:ascii="仿宋_GB2312" w:eastAsia="仿宋_GB2312" w:cs="仿宋_GB2312"/>
          <w:sz w:val="32"/>
          <w:szCs w:val="32"/>
          <w:lang w:bidi="ar-SA"/>
        </w:rPr>
        <w:t>我</w:t>
      </w:r>
      <w:r>
        <w:rPr>
          <w:rFonts w:hint="eastAsia" w:ascii="仿宋_GB2312" w:eastAsia="仿宋_GB2312" w:cs="仿宋_GB2312"/>
          <w:sz w:val="32"/>
          <w:szCs w:val="32"/>
          <w:lang w:eastAsia="zh-CN" w:bidi="ar-SA"/>
        </w:rPr>
        <w:t>中心</w:t>
      </w:r>
      <w:r>
        <w:rPr>
          <w:rFonts w:hint="eastAsia" w:ascii="仿宋_GB2312" w:eastAsia="仿宋_GB2312" w:cs="仿宋_GB2312"/>
          <w:sz w:val="32"/>
          <w:szCs w:val="32"/>
          <w:lang w:bidi="ar-SA"/>
        </w:rPr>
        <w:t>按要求对20</w:t>
      </w:r>
      <w:r>
        <w:rPr>
          <w:rFonts w:hint="eastAsia" w:ascii="仿宋_GB2312" w:eastAsia="仿宋_GB2312" w:cs="仿宋_GB2312"/>
          <w:sz w:val="32"/>
          <w:szCs w:val="32"/>
          <w:lang w:val="en-US" w:eastAsia="zh-CN" w:bidi="ar-SA"/>
        </w:rPr>
        <w:t>25</w:t>
      </w:r>
      <w:r>
        <w:rPr>
          <w:rFonts w:hint="eastAsia" w:ascii="仿宋_GB2312" w:eastAsia="仿宋_GB2312" w:cs="仿宋_GB2312"/>
          <w:sz w:val="32"/>
          <w:szCs w:val="32"/>
          <w:lang w:bidi="ar-SA"/>
        </w:rPr>
        <w:t>年部门整体支出开展绩效自评，从评价情况来看我</w:t>
      </w:r>
      <w:r>
        <w:rPr>
          <w:rFonts w:hint="eastAsia" w:ascii="仿宋_GB2312" w:eastAsia="仿宋_GB2312" w:cs="仿宋_GB2312"/>
          <w:sz w:val="32"/>
          <w:szCs w:val="32"/>
          <w:lang w:eastAsia="zh-CN" w:bidi="ar-SA"/>
        </w:rPr>
        <w:t>中心</w:t>
      </w:r>
      <w:r>
        <w:rPr>
          <w:rFonts w:hint="eastAsia" w:ascii="仿宋_GB2312" w:eastAsia="仿宋_GB2312" w:cs="仿宋_GB2312"/>
          <w:sz w:val="32"/>
          <w:szCs w:val="32"/>
          <w:lang w:bidi="ar-SA"/>
        </w:rPr>
        <w:t>20</w:t>
      </w:r>
      <w:r>
        <w:rPr>
          <w:rFonts w:hint="eastAsia" w:ascii="仿宋_GB2312" w:eastAsia="仿宋_GB2312" w:cs="仿宋_GB2312"/>
          <w:sz w:val="32"/>
          <w:szCs w:val="32"/>
          <w:lang w:val="en-US" w:eastAsia="zh-CN" w:bidi="ar-SA"/>
        </w:rPr>
        <w:t>25</w:t>
      </w:r>
      <w:r>
        <w:rPr>
          <w:rFonts w:hint="eastAsia" w:ascii="仿宋_GB2312" w:eastAsia="仿宋_GB2312" w:cs="仿宋_GB2312"/>
          <w:sz w:val="32"/>
          <w:szCs w:val="32"/>
          <w:lang w:bidi="ar-SA"/>
        </w:rPr>
        <w:t>年部门整体支出情况良好，从预算到执行和收入、支出管理均严格按照相关要求进行，全年收支平衡，有效保障了单位正常运转，圆满完成了单位目标任务。</w:t>
      </w:r>
    </w:p>
    <w:p>
      <w:pPr>
        <w:spacing w:line="580" w:lineRule="exact"/>
        <w:ind w:firstLine="640" w:firstLineChars="200"/>
        <w:rPr>
          <w:rFonts w:hint="eastAsia" w:ascii="仿宋_GB2312" w:eastAsia="仿宋_GB2312" w:cs="仿宋_GB2312"/>
          <w:sz w:val="32"/>
          <w:szCs w:val="32"/>
          <w:lang w:bidi="ar-SA"/>
        </w:rPr>
      </w:pPr>
      <w:r>
        <w:rPr>
          <w:rFonts w:hint="eastAsia" w:ascii="仿宋_GB2312" w:eastAsia="仿宋_GB2312" w:cs="仿宋_GB2312"/>
          <w:sz w:val="32"/>
          <w:szCs w:val="32"/>
          <w:lang w:bidi="ar-SA"/>
        </w:rPr>
        <w:t>本部门按要求对202</w:t>
      </w:r>
      <w:r>
        <w:rPr>
          <w:rFonts w:hint="eastAsia" w:ascii="仿宋_GB2312" w:eastAsia="仿宋_GB2312" w:cs="仿宋_GB2312"/>
          <w:sz w:val="32"/>
          <w:szCs w:val="32"/>
          <w:lang w:val="en-US" w:eastAsia="zh-CN" w:bidi="ar-SA"/>
        </w:rPr>
        <w:t>5</w:t>
      </w:r>
      <w:r>
        <w:rPr>
          <w:rFonts w:hint="eastAsia" w:ascii="仿宋_GB2312" w:eastAsia="仿宋_GB2312" w:cs="仿宋_GB2312"/>
          <w:sz w:val="32"/>
          <w:szCs w:val="32"/>
          <w:lang w:bidi="ar-SA"/>
        </w:rPr>
        <w:t>年部门整体支出情况开展自评，</w:t>
      </w:r>
      <w:r>
        <w:rPr>
          <w:rFonts w:hint="eastAsia" w:ascii="仿宋_GB2312" w:eastAsia="仿宋_GB2312" w:cs="仿宋_GB2312"/>
          <w:sz w:val="32"/>
          <w:szCs w:val="32"/>
          <w:lang w:eastAsia="zh-CN" w:bidi="ar-SA"/>
        </w:rPr>
        <w:t>绩效自评报告详见附件</w:t>
      </w:r>
      <w:r>
        <w:rPr>
          <w:rFonts w:hint="eastAsia" w:ascii="仿宋_GB2312" w:eastAsia="仿宋_GB2312" w:cs="仿宋_GB2312"/>
          <w:sz w:val="32"/>
          <w:szCs w:val="32"/>
          <w:lang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61" w:name="_Toc15396613"/>
      <w:bookmarkStart w:id="62"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61"/>
      <w:bookmarkEnd w:id="62"/>
    </w:p>
    <w:p>
      <w:pPr>
        <w:spacing w:line="600" w:lineRule="exact"/>
        <w:jc w:val="left"/>
        <w:rPr>
          <w:rFonts w:ascii="Times New Roman" w:hAnsi="Times New Roman"/>
          <w:b/>
          <w:color w:val="auto"/>
          <w:sz w:val="44"/>
          <w:szCs w:val="44"/>
          <w:highlight w:val="none"/>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2.事业收入：指事业单位开展专业业务活动及辅助活动取得的收入。如……（二级预算事业单位收入情况）等。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w:t>
      </w:r>
      <w:r>
        <w:rPr>
          <w:rFonts w:hint="default" w:ascii="Times New Roman" w:hAnsi="Times New Roman" w:eastAsia="方正仿宋_GBK" w:cs="Times New Roman"/>
          <w:color w:val="auto"/>
          <w:sz w:val="32"/>
          <w:szCs w:val="32"/>
          <w:highlight w:val="none"/>
        </w:rPr>
        <w:t>社会保障和就业（类）</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项）：指社会保险经办机构</w:t>
      </w:r>
      <w:r>
        <w:rPr>
          <w:rFonts w:hint="default" w:ascii="Times New Roman" w:hAnsi="Times New Roman" w:eastAsia="方正仿宋_GBK" w:cs="Times New Roman"/>
          <w:color w:val="auto"/>
          <w:sz w:val="32"/>
          <w:szCs w:val="32"/>
          <w:highlight w:val="none"/>
          <w:lang w:val="en-US" w:eastAsia="zh-CN"/>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方正仿宋_GBK" w:cs="Times New Roman"/>
          <w:color w:val="auto"/>
          <w:sz w:val="32"/>
          <w:szCs w:val="32"/>
          <w:highlight w:val="none"/>
        </w:rPr>
        <w:t>社会保障和就业（类）</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（项）：其他人力资源和社会保障管理事务支出</w:t>
      </w:r>
      <w:r>
        <w:rPr>
          <w:rFonts w:hint="default" w:ascii="Times New Roman" w:hAnsi="Times New Roman" w:eastAsia="方正仿宋_GBK" w:cs="Times New Roman"/>
          <w:color w:val="auto"/>
          <w:sz w:val="32"/>
          <w:szCs w:val="32"/>
          <w:highlight w:val="none"/>
          <w:lang w:val="en-US" w:eastAsia="zh-CN"/>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w:t>
      </w:r>
      <w:r>
        <w:rPr>
          <w:rFonts w:hint="default" w:ascii="Times New Roman" w:hAnsi="Times New Roman" w:eastAsia="方正仿宋_GBK" w:cs="Times New Roman"/>
          <w:color w:val="auto"/>
          <w:sz w:val="32"/>
          <w:szCs w:val="32"/>
          <w:highlight w:val="none"/>
        </w:rPr>
        <w:t>社会保障和就业（类）</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（项）：指机关事业单位基本养老保险缴费支出</w:t>
      </w:r>
      <w:r>
        <w:rPr>
          <w:rFonts w:hint="default" w:ascii="Times New Roman" w:hAnsi="Times New Roman" w:eastAsia="方正仿宋_GBK" w:cs="Times New Roman"/>
          <w:color w:val="auto"/>
          <w:sz w:val="32"/>
          <w:szCs w:val="32"/>
          <w:highlight w:val="none"/>
          <w:lang w:val="en-US" w:eastAsia="zh-CN"/>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w:t>
      </w:r>
      <w:r>
        <w:rPr>
          <w:rFonts w:hint="default" w:ascii="Times New Roman" w:hAnsi="Times New Roman" w:eastAsia="方正仿宋_GBK" w:cs="Times New Roman"/>
          <w:color w:val="auto"/>
          <w:sz w:val="32"/>
          <w:szCs w:val="32"/>
          <w:highlight w:val="none"/>
        </w:rPr>
        <w:t>社会保障和就业（类）</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（项）：指机关事业单位职业年金缴费支出</w:t>
      </w:r>
      <w:r>
        <w:rPr>
          <w:rFonts w:hint="default" w:ascii="Times New Roman" w:hAnsi="Times New Roman" w:eastAsia="方正仿宋_GBK" w:cs="Times New Roman"/>
          <w:color w:val="auto"/>
          <w:sz w:val="32"/>
          <w:szCs w:val="32"/>
          <w:highlight w:val="none"/>
          <w:lang w:val="en-US" w:eastAsia="zh-CN"/>
        </w:rPr>
        <w:t>。</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.卫生健康（类）</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（项）：指行政单位医疗</w:t>
      </w:r>
      <w:r>
        <w:rPr>
          <w:rFonts w:hint="default" w:ascii="Times New Roman" w:hAnsi="Times New Roman" w:eastAsia="方正仿宋_GBK"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14..卫生健康（类）</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（项）：指</w:t>
      </w:r>
      <w:r>
        <w:rPr>
          <w:rFonts w:hint="default" w:ascii="Times New Roman" w:hAnsi="Times New Roman" w:eastAsia="方正仿宋_GBK" w:cs="Times New Roman"/>
          <w:color w:val="auto"/>
          <w:sz w:val="32"/>
          <w:szCs w:val="32"/>
          <w:highlight w:val="none"/>
          <w:lang w:val="en-US" w:eastAsia="zh-CN"/>
        </w:rPr>
        <w:t>务员医疗补助。</w:t>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15.住房保障（类）</w:t>
      </w:r>
      <w:r>
        <w:rPr>
          <w:rFonts w:hint="eastAsia" w:eastAsia="仿宋_GB2312" w:cs="仿宋_GB2312"/>
          <w:color w:val="auto"/>
          <w:kern w:val="2"/>
          <w:sz w:val="32"/>
          <w:szCs w:val="32"/>
          <w:highlight w:val="none"/>
          <w:lang w:val="en-US" w:eastAsia="zh-CN" w:bidi="ar-SA"/>
        </w:rPr>
        <w:t>221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21</w:t>
      </w:r>
      <w:r>
        <w:rPr>
          <w:rFonts w:hint="eastAsia" w:ascii="Times New Roman" w:hAnsi="Times New Roman" w:eastAsia="仿宋_GB2312" w:cs="仿宋_GB2312"/>
          <w:color w:val="auto"/>
          <w:kern w:val="2"/>
          <w:sz w:val="32"/>
          <w:szCs w:val="32"/>
          <w:highlight w:val="none"/>
          <w:lang w:val="en-US" w:eastAsia="zh-CN" w:bidi="ar-SA"/>
        </w:rPr>
        <w:t>（项）：指住房公积</w:t>
      </w:r>
      <w:r>
        <w:rPr>
          <w:rFonts w:hint="default" w:ascii="Times New Roman" w:hAnsi="Times New Roman" w:eastAsia="方正仿宋_GBK" w:cs="Times New Roman"/>
          <w:color w:val="auto"/>
          <w:sz w:val="32"/>
          <w:szCs w:val="32"/>
          <w:highlight w:val="none"/>
          <w:lang w:val="en-US" w:eastAsia="zh-CN"/>
        </w:rPr>
        <w:t>。</w:t>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19</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Fonts w:hint="eastAsia" w:ascii="Times New Roman" w:hAnsi="Times New Roman" w:eastAsia="黑体"/>
          <w:color w:val="auto"/>
          <w:sz w:val="44"/>
          <w:szCs w:val="44"/>
          <w:highlight w:val="none"/>
        </w:rPr>
      </w:pPr>
      <w:bookmarkStart w:id="63" w:name="_Toc15396614"/>
      <w:bookmarkStart w:id="64" w:name="_Toc15377226"/>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Style w:val="28"/>
          <w:rFonts w:hint="eastAsia" w:ascii="Times New Roman" w:hAnsi="Times New Roman" w:eastAsia="黑体"/>
          <w:b w:val="0"/>
          <w:color w:val="auto"/>
          <w:highlight w:val="none"/>
          <w:lang w:eastAsia="zh-CN"/>
        </w:rPr>
      </w:pPr>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63"/>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1760" w:firstLineChars="400"/>
        <w:contextualSpacing/>
        <w:jc w:val="left"/>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eastAsia="仿宋_GB2312" w:cs="Times New Roman"/>
          <w:sz w:val="32"/>
          <w:szCs w:val="32"/>
          <w:highlight w:val="none"/>
          <w:shd w:val="clear" w:color="auto" w:fill="FFFFFF"/>
          <w:lang w:val="en-US" w:eastAsia="zh-CN"/>
        </w:rPr>
        <w:t xml:space="preserve"> </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pPr>
        <w:widowControl/>
        <w:adjustRightInd w:val="0"/>
        <w:snapToGrid w:val="0"/>
        <w:spacing w:line="580" w:lineRule="exact"/>
        <w:ind w:firstLine="642" w:firstLineChars="200"/>
        <w:contextualSpacing/>
        <w:jc w:val="left"/>
        <w:rPr>
          <w:rFonts w:hint="eastAsia" w:ascii="仿宋_GB2312" w:eastAsia="仿宋_GB2312" w:cs="宋体"/>
          <w:color w:val="000000"/>
          <w:kern w:val="0"/>
          <w:sz w:val="32"/>
          <w:szCs w:val="32"/>
          <w:shd w:val="clear" w:color="auto" w:fill="FFFFFF"/>
          <w:lang w:val="zh-CN" w:eastAsia="zh-CN" w:bidi="ar-SA"/>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eastAsia" w:ascii="仿宋" w:eastAsia="仿宋" w:cs="仿宋"/>
          <w:sz w:val="32"/>
          <w:szCs w:val="32"/>
          <w:lang w:bidi="ar-SA"/>
        </w:rPr>
        <w:t>本部门属</w:t>
      </w:r>
      <w:r>
        <w:rPr>
          <w:rFonts w:hint="eastAsia" w:ascii="仿宋" w:eastAsia="仿宋" w:cs="仿宋"/>
          <w:sz w:val="32"/>
          <w:szCs w:val="32"/>
          <w:lang w:eastAsia="zh-CN" w:bidi="ar-SA"/>
        </w:rPr>
        <w:t>一</w:t>
      </w:r>
      <w:r>
        <w:rPr>
          <w:rFonts w:hint="eastAsia" w:ascii="仿宋" w:eastAsia="仿宋" w:cs="仿宋"/>
          <w:sz w:val="32"/>
          <w:szCs w:val="32"/>
          <w:lang w:bidi="ar-SA"/>
        </w:rPr>
        <w:t>级预算单位，内设机构1个。</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840" w:leftChars="0"/>
        <w:contextualSpacing/>
        <w:jc w:val="left"/>
        <w:textAlignment w:val="auto"/>
        <w:outlineLvl w:val="9"/>
        <w:rPr>
          <w:rFonts w:hint="default"/>
          <w:lang w:val="zh-CN"/>
        </w:rPr>
      </w:pPr>
      <w:r>
        <w:rPr>
          <w:rFonts w:hint="default" w:ascii="Times New Roman" w:hAnsi="Times New Roman" w:eastAsia="楷体_GB2312" w:cs="Times New Roman"/>
          <w:b/>
          <w:color w:val="auto"/>
          <w:sz w:val="32"/>
          <w:szCs w:val="32"/>
          <w:highlight w:val="none"/>
          <w:lang w:val="zh-CN"/>
        </w:rPr>
        <w:t>（二）</w:t>
      </w:r>
      <w:r>
        <w:rPr>
          <w:rFonts w:hint="default" w:ascii="Times New Roman" w:hAnsi="Times New Roman" w:eastAsia="楷体_GB2312" w:cs="楷体_GB2312"/>
          <w:b/>
          <w:color w:val="auto"/>
          <w:sz w:val="32"/>
          <w:szCs w:val="32"/>
          <w:highlight w:val="none"/>
          <w:lang w:val="zh-CN"/>
        </w:rPr>
        <w:t>机构职能</w:t>
      </w:r>
      <w:r>
        <w:rPr>
          <w:rFonts w:hint="eastAsia" w:ascii="Times New Roman" w:hAnsi="Times New Roman" w:eastAsia="楷体_GB2312" w:cs="楷体_GB2312"/>
          <w:b/>
          <w:color w:val="auto"/>
          <w:sz w:val="32"/>
          <w:szCs w:val="32"/>
          <w:highlight w:val="none"/>
          <w:lang w:val="zh-CN"/>
        </w:rPr>
        <w:t>。</w:t>
      </w:r>
      <w:r>
        <w:rPr>
          <w:rFonts w:hint="eastAsia" w:ascii="仿宋" w:eastAsia="仿宋" w:cs="仿宋"/>
          <w:sz w:val="32"/>
          <w:szCs w:val="32"/>
          <w:lang w:bidi="ar-SA"/>
        </w:rPr>
        <w:t>在人社局的领导下开展工作，其主要职能职责是：积极宣传社会保险有关政策，贯彻执行社会保险工作的方针、政策，不断提高社会保险工作质量；办理参保人员转保、退保等手续，核算</w:t>
      </w:r>
      <w:r>
        <w:rPr>
          <w:rFonts w:hint="eastAsia" w:ascii="仿宋" w:eastAsia="仿宋" w:cs="仿宋"/>
          <w:sz w:val="32"/>
          <w:szCs w:val="32"/>
          <w:lang w:eastAsia="zh-CN" w:bidi="ar-SA"/>
        </w:rPr>
        <w:t>社会保险待遇</w:t>
      </w:r>
      <w:r>
        <w:rPr>
          <w:rFonts w:hint="eastAsia" w:ascii="仿宋" w:eastAsia="仿宋" w:cs="仿宋"/>
          <w:sz w:val="32"/>
          <w:szCs w:val="32"/>
          <w:lang w:bidi="ar-SA"/>
        </w:rPr>
        <w:t>支付标准</w:t>
      </w:r>
      <w:r>
        <w:rPr>
          <w:rFonts w:hint="eastAsia" w:ascii="仿宋" w:eastAsia="仿宋" w:cs="仿宋"/>
          <w:sz w:val="32"/>
          <w:szCs w:val="32"/>
          <w:lang w:eastAsia="zh-CN" w:bidi="ar-SA"/>
        </w:rPr>
        <w:t>等</w:t>
      </w:r>
      <w:r>
        <w:rPr>
          <w:rFonts w:hint="eastAsia" w:ascii="仿宋" w:eastAsia="仿宋" w:cs="仿宋"/>
          <w:sz w:val="32"/>
          <w:szCs w:val="32"/>
          <w:lang w:bidi="ar-SA"/>
        </w:rPr>
        <w:t>工作。</w:t>
      </w:r>
    </w:p>
    <w:p>
      <w:pPr>
        <w:widowControl/>
        <w:adjustRightInd w:val="0"/>
        <w:snapToGrid w:val="0"/>
        <w:spacing w:line="580" w:lineRule="exact"/>
        <w:ind w:left="0" w:firstLine="642" w:firstLineChars="200"/>
        <w:contextualSpacing/>
        <w:jc w:val="left"/>
        <w:rPr>
          <w:rFonts w:hint="eastAsia" w:ascii="仿宋_GB2312" w:eastAsia="仿宋_GB2312" w:cs="宋体"/>
          <w:color w:val="000000"/>
          <w:kern w:val="0"/>
          <w:sz w:val="32"/>
          <w:szCs w:val="32"/>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（三）人员概况。</w:t>
      </w:r>
      <w:r>
        <w:rPr>
          <w:rFonts w:hint="eastAsia" w:ascii="方正仿宋_GBK" w:hAnsi="方正仿宋_GBK" w:eastAsia="方正仿宋_GBK" w:cs="方正仿宋_GBK"/>
          <w:sz w:val="32"/>
          <w:szCs w:val="32"/>
          <w:lang w:val="en-US" w:eastAsia="zh-CN"/>
        </w:rPr>
        <w:t>截至2025年末，实有人数情况。</w:t>
      </w:r>
      <w:r>
        <w:rPr>
          <w:rFonts w:hint="eastAsia" w:ascii="仿宋_GB2312" w:eastAsia="仿宋_GB2312" w:cs="宋体"/>
          <w:color w:val="000000"/>
          <w:kern w:val="0"/>
          <w:sz w:val="32"/>
          <w:szCs w:val="32"/>
          <w:shd w:val="clear" w:color="auto" w:fill="FFFFFF"/>
          <w:lang w:val="zh-CN" w:eastAsia="zh-CN" w:bidi="ar-SA"/>
        </w:rPr>
        <w:t>参照公务员法管理的事业编制1</w:t>
      </w:r>
      <w:r>
        <w:rPr>
          <w:rFonts w:hint="eastAsia" w:ascii="仿宋_GB2312" w:eastAsia="仿宋_GB2312" w:cs="宋体"/>
          <w:color w:val="000000"/>
          <w:kern w:val="0"/>
          <w:sz w:val="32"/>
          <w:szCs w:val="32"/>
          <w:shd w:val="clear" w:color="auto" w:fill="FFFFFF"/>
          <w:lang w:val="en-US" w:eastAsia="zh-CN" w:bidi="ar-SA"/>
        </w:rPr>
        <w:t>2</w:t>
      </w:r>
      <w:r>
        <w:rPr>
          <w:rFonts w:hint="eastAsia" w:ascii="仿宋_GB2312" w:eastAsia="仿宋_GB2312" w:cs="宋体"/>
          <w:color w:val="000000"/>
          <w:kern w:val="0"/>
          <w:sz w:val="32"/>
          <w:szCs w:val="32"/>
          <w:shd w:val="clear" w:color="auto" w:fill="FFFFFF"/>
          <w:lang w:val="zh-CN" w:eastAsia="zh-CN" w:bidi="ar-SA"/>
        </w:rPr>
        <w:t>名，其他事业编制</w:t>
      </w:r>
      <w:r>
        <w:rPr>
          <w:rFonts w:hint="eastAsia" w:ascii="仿宋_GB2312" w:eastAsia="仿宋_GB2312" w:cs="宋体"/>
          <w:color w:val="000000"/>
          <w:kern w:val="0"/>
          <w:sz w:val="32"/>
          <w:szCs w:val="32"/>
          <w:shd w:val="clear" w:color="auto" w:fill="FFFFFF"/>
          <w:lang w:val="en-US" w:eastAsia="zh-CN" w:bidi="ar-SA"/>
        </w:rPr>
        <w:t>0</w:t>
      </w:r>
      <w:r>
        <w:rPr>
          <w:rFonts w:hint="eastAsia" w:ascii="仿宋_GB2312" w:eastAsia="仿宋_GB2312" w:cs="宋体"/>
          <w:color w:val="000000"/>
          <w:kern w:val="0"/>
          <w:sz w:val="32"/>
          <w:szCs w:val="32"/>
          <w:shd w:val="clear" w:color="auto" w:fill="FFFFFF"/>
          <w:lang w:val="zh-CN" w:eastAsia="zh-CN" w:bidi="ar-SA"/>
        </w:rPr>
        <w:t>名；在职人员总数</w:t>
      </w:r>
      <w:r>
        <w:rPr>
          <w:rFonts w:hint="eastAsia" w:ascii="仿宋_GB2312" w:eastAsia="仿宋_GB2312" w:cs="宋体"/>
          <w:color w:val="000000"/>
          <w:kern w:val="0"/>
          <w:sz w:val="32"/>
          <w:szCs w:val="32"/>
          <w:shd w:val="clear" w:color="auto" w:fill="FFFFFF"/>
          <w:lang w:val="en-US" w:eastAsia="zh-CN" w:bidi="ar-SA"/>
        </w:rPr>
        <w:t>10</w:t>
      </w:r>
      <w:r>
        <w:rPr>
          <w:rFonts w:hint="eastAsia" w:ascii="仿宋_GB2312" w:eastAsia="仿宋_GB2312" w:cs="宋体"/>
          <w:color w:val="000000"/>
          <w:kern w:val="0"/>
          <w:sz w:val="32"/>
          <w:szCs w:val="32"/>
          <w:shd w:val="clear" w:color="auto" w:fill="FFFFFF"/>
          <w:lang w:val="zh-CN" w:eastAsia="zh-CN" w:bidi="ar-SA"/>
        </w:rPr>
        <w:t>名，其中：参照公务员法管理的事业人员</w:t>
      </w:r>
      <w:r>
        <w:rPr>
          <w:rFonts w:hint="eastAsia" w:ascii="仿宋_GB2312" w:eastAsia="仿宋_GB2312" w:cs="宋体"/>
          <w:color w:val="000000"/>
          <w:kern w:val="0"/>
          <w:sz w:val="32"/>
          <w:szCs w:val="32"/>
          <w:shd w:val="clear" w:color="auto" w:fill="FFFFFF"/>
          <w:lang w:val="en-US" w:eastAsia="zh-CN" w:bidi="ar-SA"/>
        </w:rPr>
        <w:t>10</w:t>
      </w:r>
      <w:r>
        <w:rPr>
          <w:rFonts w:hint="eastAsia" w:ascii="仿宋_GB2312" w:eastAsia="仿宋_GB2312" w:cs="宋体"/>
          <w:color w:val="000000"/>
          <w:kern w:val="0"/>
          <w:sz w:val="32"/>
          <w:szCs w:val="32"/>
          <w:shd w:val="clear" w:color="auto" w:fill="FFFFFF"/>
          <w:lang w:val="zh-CN" w:eastAsia="zh-CN" w:bidi="ar-SA"/>
        </w:rPr>
        <w:t>名，其他事业人员</w:t>
      </w:r>
      <w:r>
        <w:rPr>
          <w:rFonts w:hint="eastAsia" w:ascii="仿宋_GB2312" w:eastAsia="仿宋_GB2312" w:cs="宋体"/>
          <w:color w:val="000000"/>
          <w:kern w:val="0"/>
          <w:sz w:val="32"/>
          <w:szCs w:val="32"/>
          <w:shd w:val="clear" w:color="auto" w:fill="FFFFFF"/>
          <w:lang w:val="en-US" w:eastAsia="zh-CN" w:bidi="ar-SA"/>
        </w:rPr>
        <w:t>0</w:t>
      </w:r>
      <w:r>
        <w:rPr>
          <w:rFonts w:hint="eastAsia" w:ascii="仿宋_GB2312" w:eastAsia="仿宋_GB2312" w:cs="宋体"/>
          <w:color w:val="000000"/>
          <w:kern w:val="0"/>
          <w:sz w:val="32"/>
          <w:szCs w:val="32"/>
          <w:shd w:val="clear" w:color="auto" w:fill="FFFFFF"/>
          <w:lang w:val="zh-CN" w:eastAsia="zh-CN" w:bidi="ar-SA"/>
        </w:rPr>
        <w:t>名。</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pPr>
        <w:spacing w:line="580" w:lineRule="exact"/>
        <w:ind w:firstLine="642" w:firstLineChars="200"/>
        <w:rPr>
          <w:rFonts w:hint="eastAsia" w:ascii="仿宋_GB2312" w:eastAsia="仿宋_GB2312" w:cs="宋体"/>
          <w:color w:val="000000"/>
          <w:kern w:val="0"/>
          <w:sz w:val="32"/>
          <w:szCs w:val="32"/>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仿宋" w:eastAsia="仿宋" w:cs="仿宋_GB2312"/>
          <w:sz w:val="32"/>
          <w:szCs w:val="32"/>
          <w:lang w:bidi="ar-SA"/>
        </w:rPr>
        <w:t>部门财政资金收入共计</w:t>
      </w:r>
      <w:r>
        <w:rPr>
          <w:rFonts w:hint="eastAsia" w:ascii="仿宋" w:eastAsia="仿宋" w:cs="仿宋_GB2312"/>
          <w:sz w:val="32"/>
          <w:szCs w:val="32"/>
          <w:lang w:val="en-US" w:eastAsia="zh-CN" w:bidi="ar-SA"/>
        </w:rPr>
        <w:t>293.04</w:t>
      </w:r>
      <w:r>
        <w:rPr>
          <w:rFonts w:hint="eastAsia" w:ascii="仿宋" w:eastAsia="仿宋" w:cs="仿宋_GB2312"/>
          <w:sz w:val="32"/>
          <w:szCs w:val="32"/>
          <w:lang w:bidi="ar-SA"/>
        </w:rPr>
        <w:t>万元均为一般公共预算财政拨款收入。单位无上级补助收入、事业收入、经营收入等其他性质的经费收入。</w:t>
      </w:r>
    </w:p>
    <w:p>
      <w:pPr>
        <w:spacing w:line="580" w:lineRule="exact"/>
        <w:ind w:firstLine="642" w:firstLineChars="200"/>
        <w:rPr>
          <w:rFonts w:hint="eastAsia" w:ascii="仿宋" w:eastAsia="仿宋" w:cs="仿宋_GB2312"/>
          <w:sz w:val="32"/>
          <w:szCs w:val="32"/>
          <w:lang w:bidi="ar-SA"/>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仿宋" w:eastAsia="仿宋" w:cs="仿宋_GB2312"/>
          <w:sz w:val="32"/>
          <w:szCs w:val="32"/>
          <w:lang w:bidi="ar-SA"/>
        </w:rPr>
        <w:t>部门财政资金支出共计</w:t>
      </w:r>
      <w:r>
        <w:rPr>
          <w:rFonts w:hint="eastAsia" w:ascii="仿宋" w:eastAsia="仿宋" w:cs="仿宋_GB2312"/>
          <w:sz w:val="32"/>
          <w:szCs w:val="32"/>
          <w:lang w:val="en-US" w:eastAsia="zh-CN" w:bidi="ar-SA"/>
        </w:rPr>
        <w:t>293.04</w:t>
      </w:r>
      <w:r>
        <w:rPr>
          <w:rFonts w:hint="eastAsia" w:ascii="仿宋" w:eastAsia="仿宋" w:cs="仿宋_GB2312"/>
          <w:sz w:val="32"/>
          <w:szCs w:val="32"/>
          <w:lang w:bidi="ar-SA"/>
        </w:rPr>
        <w:t>万元，均为一般公共预算财政拨款支出，其中包括：基本支出</w:t>
      </w:r>
      <w:r>
        <w:rPr>
          <w:rFonts w:hint="eastAsia" w:ascii="仿宋" w:eastAsia="仿宋" w:cs="仿宋_GB2312"/>
          <w:sz w:val="32"/>
          <w:szCs w:val="32"/>
          <w:lang w:val="en-US" w:eastAsia="zh-CN" w:bidi="ar-SA"/>
        </w:rPr>
        <w:t>270.91</w:t>
      </w:r>
      <w:r>
        <w:rPr>
          <w:rFonts w:hint="eastAsia" w:ascii="仿宋" w:eastAsia="仿宋" w:cs="仿宋_GB2312"/>
          <w:sz w:val="32"/>
          <w:szCs w:val="32"/>
          <w:lang w:bidi="ar-SA"/>
        </w:rPr>
        <w:t>万元（人员经费</w:t>
      </w:r>
      <w:r>
        <w:rPr>
          <w:rFonts w:hint="eastAsia" w:ascii="仿宋" w:eastAsia="仿宋" w:cs="仿宋_GB2312"/>
          <w:sz w:val="32"/>
          <w:szCs w:val="32"/>
          <w:lang w:val="en-US" w:eastAsia="zh-CN" w:bidi="ar-SA"/>
        </w:rPr>
        <w:t>257.71</w:t>
      </w:r>
      <w:r>
        <w:rPr>
          <w:rFonts w:hint="eastAsia" w:ascii="仿宋" w:eastAsia="仿宋" w:cs="仿宋_GB2312"/>
          <w:sz w:val="32"/>
          <w:szCs w:val="32"/>
          <w:lang w:bidi="ar-SA"/>
        </w:rPr>
        <w:t>万元，支出范围包括基本工资、津贴补贴、绩效工资等和按规定为个人缴纳的社会保障缴费、住房公积金。日常公用经费</w:t>
      </w:r>
      <w:r>
        <w:rPr>
          <w:rFonts w:hint="eastAsia" w:ascii="仿宋" w:eastAsia="仿宋" w:cs="仿宋_GB2312"/>
          <w:sz w:val="32"/>
          <w:szCs w:val="32"/>
          <w:lang w:val="en-US" w:eastAsia="zh-CN" w:bidi="ar-SA"/>
        </w:rPr>
        <w:t>13.20</w:t>
      </w:r>
      <w:r>
        <w:rPr>
          <w:rFonts w:hint="eastAsia" w:ascii="仿宋" w:eastAsia="仿宋" w:cs="仿宋_GB2312"/>
          <w:sz w:val="32"/>
          <w:szCs w:val="32"/>
          <w:lang w:bidi="ar-SA"/>
        </w:rPr>
        <w:t>万元主要用于单位日常办公、业务活动方面的经常性支出</w:t>
      </w:r>
      <w:r>
        <w:rPr>
          <w:rFonts w:hint="eastAsia" w:ascii="仿宋" w:eastAsia="仿宋" w:cs="仿宋_GB2312"/>
          <w:sz w:val="32"/>
          <w:szCs w:val="32"/>
          <w:lang w:eastAsia="zh-CN" w:bidi="ar-SA"/>
        </w:rPr>
        <w:t>，项目支出</w:t>
      </w:r>
      <w:r>
        <w:rPr>
          <w:rFonts w:hint="eastAsia" w:ascii="仿宋" w:eastAsia="仿宋" w:cs="仿宋_GB2312"/>
          <w:sz w:val="32"/>
          <w:szCs w:val="32"/>
          <w:lang w:val="en-US" w:eastAsia="zh-CN" w:bidi="ar-SA"/>
        </w:rPr>
        <w:t>22.13万元，主要用于其他人力资源和社会保障管理事务风险防控</w:t>
      </w:r>
      <w:r>
        <w:rPr>
          <w:rFonts w:hint="default" w:ascii="Times New Roman" w:hAnsi="Times New Roman" w:eastAsia="仿宋" w:cs="Times New Roman"/>
          <w:sz w:val="32"/>
          <w:szCs w:val="32"/>
          <w:lang w:val="en-US" w:eastAsia="zh-CN" w:bidi="ar-SA"/>
        </w:rPr>
        <w:t>̖</w:t>
      </w:r>
      <w:r>
        <w:rPr>
          <w:rFonts w:hint="eastAsia" w:ascii="仿宋" w:hAnsi="仿宋" w:eastAsia="仿宋" w:cs="仿宋"/>
          <w:sz w:val="32"/>
          <w:szCs w:val="32"/>
          <w:lang w:val="en-US" w:eastAsia="zh-CN" w:bidi="ar-SA"/>
        </w:rPr>
        <w:t>政策宣传</w:t>
      </w:r>
      <w:r>
        <w:rPr>
          <w:rFonts w:hint="default" w:ascii="Times New Roman" w:hAnsi="Times New Roman" w:eastAsia="仿宋" w:cs="Times New Roman"/>
          <w:sz w:val="32"/>
          <w:szCs w:val="32"/>
          <w:lang w:val="en-US" w:eastAsia="zh-CN" w:bidi="ar-SA"/>
        </w:rPr>
        <w:t>̖</w:t>
      </w:r>
      <w:r>
        <w:rPr>
          <w:rFonts w:hint="eastAsia" w:ascii="仿宋" w:hAnsi="仿宋" w:eastAsia="仿宋" w:cs="仿宋"/>
          <w:sz w:val="32"/>
          <w:szCs w:val="32"/>
          <w:lang w:val="en-US" w:eastAsia="zh-CN" w:bidi="ar-SA"/>
        </w:rPr>
        <w:t>入户核查</w:t>
      </w:r>
      <w:r>
        <w:rPr>
          <w:rFonts w:hint="eastAsia" w:ascii="仿宋" w:eastAsia="仿宋" w:cs="仿宋_GB2312"/>
          <w:sz w:val="32"/>
          <w:szCs w:val="32"/>
          <w:lang w:val="en-US" w:eastAsia="zh-CN" w:bidi="ar-SA"/>
        </w:rPr>
        <w:t>支出</w:t>
      </w:r>
      <w:r>
        <w:rPr>
          <w:rFonts w:hint="eastAsia" w:ascii="仿宋" w:eastAsia="仿宋" w:cs="仿宋_GB2312"/>
          <w:sz w:val="32"/>
          <w:szCs w:val="32"/>
          <w:lang w:bidi="ar-SA"/>
        </w:rPr>
        <w:t>。</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eastAsia="仿宋_GB2312" w:cs="仿宋_GB2312"/>
          <w:color w:val="auto"/>
          <w:kern w:val="2"/>
          <w:sz w:val="32"/>
          <w:szCs w:val="32"/>
          <w:highlight w:val="none"/>
          <w:lang w:val="en-US" w:eastAsia="zh-CN" w:bidi="ar-SA"/>
        </w:rPr>
        <w:t>社保中心</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年决算报表</w:t>
      </w:r>
      <w:r>
        <w:rPr>
          <w:rFonts w:hint="default" w:ascii="Times New Roman" w:hAnsi="Times New Roman" w:eastAsia="仿宋_GB2312" w:cs="Times New Roman"/>
          <w:sz w:val="32"/>
          <w:szCs w:val="32"/>
          <w:lang w:val="en-US" w:eastAsia="zh-CN"/>
        </w:rPr>
        <w:t>结转结余</w:t>
      </w:r>
      <w:r>
        <w:rPr>
          <w:rFonts w:hint="eastAsia" w:eastAsia="仿宋_GB2312" w:cs="Times New Roman"/>
          <w:sz w:val="32"/>
          <w:szCs w:val="32"/>
          <w:lang w:val="en-US" w:eastAsia="zh-CN"/>
        </w:rPr>
        <w:t>0万元，无结转结余资金</w:t>
      </w:r>
      <w:r>
        <w:rPr>
          <w:rFonts w:hint="default" w:ascii="Times New Roman" w:hAnsi="Times New Roman" w:eastAsia="仿宋_GB2312" w:cs="Times New Roman"/>
          <w:sz w:val="32"/>
          <w:szCs w:val="32"/>
          <w:lang w:val="en-US"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pPr>
        <w:widowControl/>
        <w:adjustRightInd w:val="0"/>
        <w:snapToGrid w:val="0"/>
        <w:spacing w:line="580" w:lineRule="exact"/>
        <w:ind w:firstLine="642" w:firstLineChars="200"/>
        <w:contextualSpacing/>
        <w:jc w:val="left"/>
        <w:rPr>
          <w:rFonts w:ascii="仿宋_GB2312" w:hAnsi="宋体" w:eastAsia="仿宋_GB2312" w:cs="宋体"/>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p>
    <w:p>
      <w:pPr>
        <w:widowControl/>
        <w:adjustRightInd w:val="0"/>
        <w:snapToGrid w:val="0"/>
        <w:spacing w:line="580" w:lineRule="exact"/>
        <w:ind w:firstLine="640" w:firstLineChars="200"/>
        <w:contextualSpacing/>
        <w:jc w:val="left"/>
        <w:rPr>
          <w:rFonts w:hint="eastAsia" w:ascii="仿宋" w:hAnsi="仿宋" w:eastAsia="仿宋" w:cs="仿宋_GB2312"/>
          <w:sz w:val="32"/>
          <w:szCs w:val="32"/>
          <w:lang w:eastAsia="zh-CN"/>
        </w:rPr>
      </w:pPr>
      <w:r>
        <w:rPr>
          <w:rFonts w:hint="eastAsia" w:ascii="仿宋" w:hAnsi="仿宋" w:eastAsia="仿宋" w:cs="仿宋_GB2312"/>
          <w:sz w:val="32"/>
          <w:szCs w:val="32"/>
        </w:rPr>
        <w:t>科学统筹年度收支预算，强化预算全流程管理。财务人员严格依据县级预算编制文件要求开展预算编制工作，预算方案经财政部门审核通过后组织实施。预算执行阶段，</w:t>
      </w:r>
      <w:r>
        <w:rPr>
          <w:rFonts w:hint="eastAsia" w:ascii="仿宋" w:hAnsi="仿宋" w:eastAsia="仿宋" w:cs="仿宋_GB2312"/>
          <w:sz w:val="32"/>
          <w:szCs w:val="32"/>
          <w:lang w:eastAsia="zh-CN"/>
        </w:rPr>
        <w:t>严肃财经纪律</w:t>
      </w:r>
      <w:r>
        <w:rPr>
          <w:rFonts w:hint="eastAsia" w:ascii="仿宋" w:hAnsi="仿宋" w:eastAsia="仿宋" w:cs="仿宋_GB2312"/>
          <w:sz w:val="32"/>
          <w:szCs w:val="32"/>
        </w:rPr>
        <w:t>，保障收支平衡，顺利完成各项既定工作目标</w:t>
      </w:r>
      <w:r>
        <w:rPr>
          <w:rFonts w:hint="eastAsia" w:ascii="仿宋" w:hAnsi="仿宋" w:eastAsia="仿宋" w:cs="仿宋_GB2312"/>
          <w:sz w:val="32"/>
          <w:szCs w:val="32"/>
          <w:lang w:eastAsia="zh-CN"/>
        </w:rPr>
        <w:t>。</w:t>
      </w:r>
    </w:p>
    <w:p>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（二）结果应用情况。</w:t>
      </w:r>
    </w:p>
    <w:p>
      <w:pPr>
        <w:spacing w:line="580"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依托绩效评价结果，持续规范预算执行管理，压紧预算执行责任，保障单位各项工作目标落地完成。</w:t>
      </w:r>
    </w:p>
    <w:p>
      <w:pPr>
        <w:pStyle w:val="2"/>
        <w:rPr>
          <w:rFonts w:hint="default"/>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eastAsia" w:ascii="Times New Roman" w:hAnsi="Times New Roman" w:eastAsia="仿宋_GB2312" w:cs="Times New Roman"/>
          <w:sz w:val="32"/>
          <w:szCs w:val="32"/>
          <w:u w:val="none"/>
          <w:lang w:val="en-US"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ascii="Times New Roman" w:hAnsi="Times New Roman" w:eastAsia="仿宋_GB2312" w:cs="Times New Roman"/>
          <w:sz w:val="32"/>
          <w:szCs w:val="32"/>
          <w:u w:val="none"/>
          <w:lang w:val="en-US" w:eastAsia="zh-CN" w:bidi="ar"/>
        </w:rPr>
        <w:t>社会保险事务中心部门预算执行总体良好，顺利完成社会保险参保扩面、待遇核发、政策宣传、业务经办等年度核心履职任务，各项绩效目标基本完成。预算编制、财务管理、资产管理、项目管理规范有序，财政资金按规定使用，资金使用效益得到有效发挥。</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eastAsia" w:eastAsia="仿宋_GB2312" w:cs="Times New Roman"/>
          <w:sz w:val="32"/>
          <w:szCs w:val="32"/>
          <w:u w:val="none"/>
          <w:lang w:val="en-US"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r>
        <w:rPr>
          <w:rFonts w:hint="eastAsia" w:eastAsia="仿宋_GB2312" w:cs="Times New Roman"/>
          <w:sz w:val="32"/>
          <w:szCs w:val="32"/>
          <w:u w:val="none"/>
          <w:lang w:val="en-US" w:eastAsia="zh-CN" w:bidi="ar"/>
        </w:rPr>
        <w:t>无</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仿宋_GB2312" w:cs="Times New Roman"/>
          <w:b w:val="0"/>
          <w:bCs w:val="0"/>
          <w:sz w:val="32"/>
          <w:szCs w:val="32"/>
          <w:u w:val="none"/>
          <w:lang w:val="en-US"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bookmarkStart w:id="65" w:name="_Hlk110546638"/>
      <w:r>
        <w:rPr>
          <w:rFonts w:hint="eastAsia" w:eastAsia="楷体_GB2312" w:cs="Times New Roman"/>
          <w:b w:val="0"/>
          <w:bCs w:val="0"/>
          <w:color w:val="000000"/>
          <w:kern w:val="0"/>
          <w:sz w:val="32"/>
          <w:szCs w:val="32"/>
          <w:highlight w:val="none"/>
          <w:shd w:val="clear" w:color="auto" w:fill="FFFFFF"/>
          <w:lang w:val="en-US" w:eastAsia="zh-CN"/>
        </w:rPr>
        <w:t>无</w:t>
      </w:r>
    </w:p>
    <w:bookmarkEnd w:id="65"/>
    <w:p>
      <w:pPr>
        <w:rPr>
          <w:rFonts w:hint="eastAsia" w:ascii="Times New Roman" w:hAnsi="Times New Roman" w:eastAsia="黑体"/>
          <w:color w:val="auto"/>
          <w:sz w:val="44"/>
          <w:szCs w:val="44"/>
          <w:highlight w:val="none"/>
        </w:rPr>
      </w:pPr>
      <w:bookmarkStart w:id="66" w:name="_Toc15396618"/>
    </w:p>
    <w:p>
      <w:pPr>
        <w:rPr>
          <w:rFonts w:hint="eastAsia" w:ascii="Times New Roman" w:hAnsi="Times New Roman" w:eastAsia="黑体"/>
          <w:color w:val="auto"/>
          <w:sz w:val="44"/>
          <w:szCs w:val="44"/>
          <w:highlight w:val="none"/>
        </w:rPr>
      </w:pPr>
    </w:p>
    <w:p>
      <w:pPr>
        <w:ind w:firstLine="2640" w:firstLineChars="600"/>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64"/>
      <w:bookmarkEnd w:id="66"/>
      <w:bookmarkStart w:id="67" w:name="_Toc1539661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67"/>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20"/>
      <w:r>
        <w:rPr>
          <w:rFonts w:hint="eastAsia" w:ascii="Times New Roman" w:hAnsi="Times New Roman" w:eastAsia="仿宋_GB2312" w:cs="仿宋_GB2312"/>
          <w:color w:val="auto"/>
          <w:sz w:val="32"/>
          <w:szCs w:val="32"/>
          <w:highlight w:val="none"/>
        </w:rPr>
        <w:t>二、收入决算表</w:t>
      </w:r>
      <w:bookmarkEnd w:id="68"/>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9" w:name="_Toc15396621"/>
      <w:r>
        <w:rPr>
          <w:rFonts w:hint="eastAsia" w:ascii="Times New Roman" w:hAnsi="Times New Roman" w:eastAsia="仿宋_GB2312" w:cs="仿宋_GB2312"/>
          <w:color w:val="auto"/>
          <w:sz w:val="32"/>
          <w:szCs w:val="32"/>
          <w:highlight w:val="none"/>
        </w:rPr>
        <w:t>三、支出决算表</w:t>
      </w:r>
      <w:bookmarkEnd w:id="6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0" w:name="_Toc15396622"/>
      <w:r>
        <w:rPr>
          <w:rFonts w:hint="eastAsia" w:ascii="Times New Roman" w:hAnsi="Times New Roman" w:eastAsia="仿宋_GB2312" w:cs="仿宋_GB2312"/>
          <w:color w:val="auto"/>
          <w:sz w:val="32"/>
          <w:szCs w:val="32"/>
          <w:highlight w:val="none"/>
        </w:rPr>
        <w:t>四、财政拨款收入支出决算总表</w:t>
      </w:r>
      <w:bookmarkEnd w:id="70"/>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1" w:name="_Toc15396623"/>
      <w:r>
        <w:rPr>
          <w:rFonts w:hint="eastAsia" w:ascii="Times New Roman" w:hAnsi="Times New Roman" w:eastAsia="仿宋_GB2312" w:cs="仿宋_GB2312"/>
          <w:color w:val="auto"/>
          <w:sz w:val="32"/>
          <w:szCs w:val="32"/>
          <w:highlight w:val="none"/>
        </w:rPr>
        <w:t>五、财政拨款支出决算明细表</w:t>
      </w:r>
      <w:bookmarkEnd w:id="71"/>
      <w:bookmarkStart w:id="72" w:name="_Toc1539662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72"/>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3" w:name="_Toc15396625"/>
      <w:r>
        <w:rPr>
          <w:rFonts w:hint="eastAsia" w:ascii="Times New Roman" w:hAnsi="Times New Roman" w:eastAsia="仿宋_GB2312" w:cs="仿宋_GB2312"/>
          <w:color w:val="auto"/>
          <w:sz w:val="32"/>
          <w:szCs w:val="32"/>
          <w:highlight w:val="none"/>
        </w:rPr>
        <w:t>七、一般公共预算财政拨款支出决算明细表</w:t>
      </w:r>
      <w:bookmarkEnd w:id="73"/>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4" w:name="_Toc15396626"/>
      <w:r>
        <w:rPr>
          <w:rFonts w:hint="eastAsia" w:ascii="Times New Roman" w:hAnsi="Times New Roman" w:eastAsia="仿宋_GB2312" w:cs="仿宋_GB2312"/>
          <w:color w:val="auto"/>
          <w:sz w:val="32"/>
          <w:szCs w:val="32"/>
          <w:highlight w:val="none"/>
        </w:rPr>
        <w:t>八、一般公共预算财政拨款基本支出决算表</w:t>
      </w:r>
      <w:bookmarkEnd w:id="7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5" w:name="_Toc15396627"/>
      <w:r>
        <w:rPr>
          <w:rFonts w:hint="eastAsia" w:ascii="Times New Roman" w:hAnsi="Times New Roman" w:eastAsia="仿宋_GB2312" w:cs="仿宋_GB2312"/>
          <w:color w:val="auto"/>
          <w:sz w:val="32"/>
          <w:szCs w:val="32"/>
          <w:highlight w:val="none"/>
        </w:rPr>
        <w:t>九、一般公共预算财政拨款项目支出决算表</w:t>
      </w:r>
      <w:bookmarkEnd w:id="75"/>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6" w:name="_Toc15396628"/>
      <w:r>
        <w:rPr>
          <w:rFonts w:hint="eastAsia" w:ascii="Times New Roman" w:hAnsi="Times New Roman" w:eastAsia="仿宋_GB2312" w:cs="仿宋_GB2312"/>
          <w:color w:val="auto"/>
          <w:sz w:val="32"/>
          <w:szCs w:val="32"/>
          <w:highlight w:val="none"/>
        </w:rPr>
        <w:t>十、</w:t>
      </w:r>
      <w:bookmarkEnd w:id="76"/>
      <w:r>
        <w:rPr>
          <w:rFonts w:hint="eastAsia" w:ascii="Times New Roman" w:hAnsi="Times New Roman" w:eastAsia="仿宋_GB2312" w:cs="仿宋_GB2312"/>
          <w:color w:val="auto"/>
          <w:sz w:val="32"/>
          <w:szCs w:val="32"/>
          <w:highlight w:val="none"/>
        </w:rPr>
        <w:t>政府性基金预算财政拨款收入支出决算表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7" w:name="_Toc15396629"/>
      <w:r>
        <w:rPr>
          <w:rFonts w:hint="eastAsia" w:ascii="Times New Roman" w:hAnsi="Times New Roman" w:eastAsia="仿宋_GB2312" w:cs="仿宋_GB2312"/>
          <w:color w:val="auto"/>
          <w:sz w:val="32"/>
          <w:szCs w:val="32"/>
          <w:highlight w:val="none"/>
        </w:rPr>
        <w:t>十一、</w:t>
      </w:r>
      <w:bookmarkEnd w:id="77"/>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8" w:name="_Toc15396630"/>
      <w:r>
        <w:rPr>
          <w:rFonts w:hint="eastAsia" w:ascii="Times New Roman" w:hAnsi="Times New Roman" w:eastAsia="仿宋_GB2312" w:cs="仿宋_GB2312"/>
          <w:color w:val="auto"/>
          <w:sz w:val="32"/>
          <w:szCs w:val="32"/>
          <w:highlight w:val="none"/>
        </w:rPr>
        <w:t>十二、</w:t>
      </w:r>
      <w:bookmarkEnd w:id="78"/>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79" w:name="_Toc15396631"/>
      <w:r>
        <w:rPr>
          <w:rFonts w:hint="eastAsia" w:ascii="Times New Roman" w:hAnsi="Times New Roman" w:eastAsia="仿宋_GB2312" w:cs="仿宋_GB2312"/>
          <w:color w:val="auto"/>
          <w:sz w:val="32"/>
          <w:szCs w:val="32"/>
          <w:highlight w:val="none"/>
        </w:rPr>
        <w:t>十三、</w:t>
      </w:r>
      <w:bookmarkEnd w:id="79"/>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小标宋简体">
    <w:panose1 w:val="02000000000000000000"/>
    <w:charset w:val="86"/>
    <w:family w:val="script"/>
    <w:pitch w:val="default"/>
    <w:sig w:usb0="A00002BF" w:usb1="184F6CFA" w:usb2="00000012" w:usb3="00000000" w:csb0="00040001"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DD21073"/>
    <w:multiLevelType w:val="singleLevel"/>
    <w:tmpl w:val="4DD2107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2070D49"/>
    <w:rsid w:val="13D50BC4"/>
    <w:rsid w:val="14022904"/>
    <w:rsid w:val="152F2A07"/>
    <w:rsid w:val="165E0673"/>
    <w:rsid w:val="16BB723D"/>
    <w:rsid w:val="186504BB"/>
    <w:rsid w:val="1938089F"/>
    <w:rsid w:val="19A445FC"/>
    <w:rsid w:val="1B7D550C"/>
    <w:rsid w:val="1BE8440E"/>
    <w:rsid w:val="1D155CEE"/>
    <w:rsid w:val="1E740ACF"/>
    <w:rsid w:val="1F4A22BC"/>
    <w:rsid w:val="1FDF3C1C"/>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2C576DC"/>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7B199C"/>
    <w:rsid w:val="3CEBA265"/>
    <w:rsid w:val="3D98207C"/>
    <w:rsid w:val="3D9B0D99"/>
    <w:rsid w:val="3DEE7CF3"/>
    <w:rsid w:val="3DF02244"/>
    <w:rsid w:val="3DF97B88"/>
    <w:rsid w:val="3E78745D"/>
    <w:rsid w:val="3FF4CAE0"/>
    <w:rsid w:val="3FF7B227"/>
    <w:rsid w:val="40E54C45"/>
    <w:rsid w:val="43A407DF"/>
    <w:rsid w:val="44515BEA"/>
    <w:rsid w:val="44E268DA"/>
    <w:rsid w:val="453F7E5B"/>
    <w:rsid w:val="47732E31"/>
    <w:rsid w:val="486A6C7A"/>
    <w:rsid w:val="49176D9B"/>
    <w:rsid w:val="4A627F82"/>
    <w:rsid w:val="4B0E749A"/>
    <w:rsid w:val="4B4F25DA"/>
    <w:rsid w:val="4BDA0CFB"/>
    <w:rsid w:val="4BE068DB"/>
    <w:rsid w:val="4D3C0CCC"/>
    <w:rsid w:val="4D577224"/>
    <w:rsid w:val="4DBF1CEB"/>
    <w:rsid w:val="4E027201"/>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EE7292"/>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方正小标宋简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image" Target="media/image1.emf"/><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a:t>
            </a:r>
            <a:endParaRPr u="heavy"/>
          </a:p>
        </c:rich>
      </c:tx>
      <c:layout>
        <c:manualLayout>
          <c:xMode val="edge"/>
          <c:yMode val="edge"/>
          <c:x val="0.423532254167673"/>
          <c:y val="0.0227369315767106"/>
        </c:manualLayout>
      </c:layout>
      <c:overlay val="0"/>
      <c:spPr>
        <a:noFill/>
        <a:ln>
          <a:noFill/>
        </a:ln>
        <a:effectLst/>
      </c:spPr>
    </c:title>
    <c:autoTitleDeleted val="0"/>
    <c:plotArea>
      <c:layout>
        <c:manualLayout>
          <c:layoutTarget val="inner"/>
          <c:xMode val="edge"/>
          <c:yMode val="edge"/>
          <c:x val="0.0531046146412177"/>
          <c:y val="0.00637484062898428"/>
          <c:w val="0.89736651365064"/>
          <c:h val="0.638631534211645"/>
        </c:manualLayout>
      </c:layout>
      <c:barChart>
        <c:barDir val="col"/>
        <c:grouping val="clustered"/>
        <c:varyColors val="0"/>
        <c:ser>
          <c:idx val="0"/>
          <c:order val="0"/>
          <c:tx>
            <c:strRef>
              <c:f>Sheet1!$B$1</c:f>
              <c:strCache>
                <c:ptCount val="1"/>
                <c:pt idx="0">
                  <c:v>2025</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收入/支出</c:v>
                </c:pt>
              </c:strCache>
            </c:strRef>
          </c:cat>
          <c:val>
            <c:numRef>
              <c:f>Sheet1!$B$2</c:f>
              <c:numCache>
                <c:formatCode>General</c:formatCode>
                <c:ptCount val="1"/>
                <c:pt idx="0">
                  <c:v>293.04</c:v>
                </c:pt>
              </c:numCache>
            </c:numRef>
          </c:val>
        </c:ser>
        <c:ser>
          <c:idx val="1"/>
          <c:order val="1"/>
          <c:tx>
            <c:strRef>
              <c:f>Sheet1!$C$1</c:f>
              <c:strCache>
                <c:ptCount val="1"/>
                <c:pt idx="0">
                  <c:v>2024</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收入/支出</c:v>
                </c:pt>
              </c:strCache>
            </c:strRef>
          </c:cat>
          <c:val>
            <c:numRef>
              <c:f>Sheet1!$C$2</c:f>
              <c:numCache>
                <c:formatCode>General</c:formatCode>
                <c:ptCount val="1"/>
                <c:pt idx="0">
                  <c:v>301.38</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c:f>
              <c:strCache>
                <c:ptCount val="1"/>
                <c:pt idx="0">
                  <c:v>收入/支出</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188693998"/>
        <c:axId val="65217301"/>
      </c:barChart>
      <c:catAx>
        <c:axId val="18869399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217301"/>
        <c:crosses val="autoZero"/>
        <c:auto val="1"/>
        <c:lblAlgn val="ctr"/>
        <c:lblOffset val="100"/>
        <c:noMultiLvlLbl val="0"/>
      </c:catAx>
      <c:valAx>
        <c:axId val="6521730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869399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支出合计</c:v>
                </c:pt>
              </c:strCache>
            </c:strRef>
          </c:tx>
          <c:spPr/>
          <c:explosion val="0"/>
          <c:dPt>
            <c:idx val="0"/>
            <c:bubble3D val="0"/>
            <c:spPr>
              <a:solidFill>
                <a:schemeClr val="accent1"/>
              </a:solidFill>
              <a:ln>
                <a:solidFill>
                  <a:schemeClr val="bg1"/>
                </a:solidFill>
              </a:ln>
              <a:effectLst/>
            </c:spPr>
          </c:dPt>
          <c:dPt>
            <c:idx val="1"/>
            <c:bubble3D val="0"/>
            <c:explosion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270.91</c:v>
                </c:pt>
                <c:pt idx="1">
                  <c:v>22.13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a:t>
            </a:r>
            <a:endParaRPr u="heavy"/>
          </a:p>
        </c:rich>
      </c:tx>
      <c:layout>
        <c:manualLayout>
          <c:xMode val="edge"/>
          <c:yMode val="edge"/>
          <c:x val="0.423532254167673"/>
          <c:y val="0.0227369315767106"/>
        </c:manualLayout>
      </c:layout>
      <c:overlay val="0"/>
      <c:spPr>
        <a:noFill/>
        <a:ln>
          <a:noFill/>
        </a:ln>
        <a:effectLst/>
      </c:spPr>
    </c:title>
    <c:autoTitleDeleted val="0"/>
    <c:plotArea>
      <c:layout>
        <c:manualLayout>
          <c:layoutTarget val="inner"/>
          <c:xMode val="edge"/>
          <c:yMode val="edge"/>
          <c:x val="0.0953853587823146"/>
          <c:y val="0.0295367615809605"/>
          <c:w val="0.89736651365064"/>
          <c:h val="0.638631534211645"/>
        </c:manualLayout>
      </c:layout>
      <c:barChart>
        <c:barDir val="col"/>
        <c:grouping val="clustered"/>
        <c:varyColors val="0"/>
        <c:ser>
          <c:idx val="0"/>
          <c:order val="0"/>
          <c:tx>
            <c:strRef>
              <c:f>Sheet1!$B$1</c:f>
              <c:strCache>
                <c:ptCount val="1"/>
                <c:pt idx="0">
                  <c:v>2025</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收入/支出</c:v>
                </c:pt>
              </c:strCache>
            </c:strRef>
          </c:cat>
          <c:val>
            <c:numRef>
              <c:f>Sheet1!$B$2</c:f>
              <c:numCache>
                <c:formatCode>General</c:formatCode>
                <c:ptCount val="1"/>
                <c:pt idx="0">
                  <c:v>293.04</c:v>
                </c:pt>
              </c:numCache>
            </c:numRef>
          </c:val>
        </c:ser>
        <c:ser>
          <c:idx val="1"/>
          <c:order val="1"/>
          <c:tx>
            <c:strRef>
              <c:f>Sheet1!$C$1</c:f>
              <c:strCache>
                <c:ptCount val="1"/>
                <c:pt idx="0">
                  <c:v>2024</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收入/支出</c:v>
                </c:pt>
              </c:strCache>
            </c:strRef>
          </c:cat>
          <c:val>
            <c:numRef>
              <c:f>Sheet1!$C$2</c:f>
              <c:numCache>
                <c:formatCode>General</c:formatCode>
                <c:ptCount val="1"/>
                <c:pt idx="0">
                  <c:v>301.38</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c:f>
              <c:strCache>
                <c:ptCount val="1"/>
                <c:pt idx="0">
                  <c:v>收入/支出</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188693998"/>
        <c:axId val="65217301"/>
      </c:barChart>
      <c:catAx>
        <c:axId val="18869399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217301"/>
        <c:crosses val="autoZero"/>
        <c:auto val="1"/>
        <c:lblAlgn val="ctr"/>
        <c:lblOffset val="100"/>
        <c:noMultiLvlLbl val="0"/>
      </c:catAx>
      <c:valAx>
        <c:axId val="6521730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869399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u="heavy"/>
              <a:t>一般公共预算财政拨款支出</a:t>
            </a:r>
            <a:endParaRPr u="heavy"/>
          </a:p>
        </c:rich>
      </c:tx>
      <c:layout>
        <c:manualLayout>
          <c:xMode val="edge"/>
          <c:yMode val="edge"/>
          <c:x val="0.249577192558589"/>
          <c:y val="0.0539736506587336"/>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2025</c:v>
                </c:pt>
              </c:strCache>
            </c:strRef>
          </c:tx>
          <c:spPr>
            <a:solidFill>
              <a:schemeClr val="accent1"/>
            </a:solidFill>
            <a:ln>
              <a:noFill/>
            </a:ln>
            <a:effectLst/>
          </c:spPr>
          <c:invertIfNegative val="0"/>
          <c:dLbls>
            <c:dLbl>
              <c:idx val="0"/>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收入/支出</c:v>
                </c:pt>
              </c:strCache>
            </c:strRef>
          </c:cat>
          <c:val>
            <c:numRef>
              <c:f>Sheet1!$B$2</c:f>
              <c:numCache>
                <c:formatCode>General</c:formatCode>
                <c:ptCount val="1"/>
                <c:pt idx="0">
                  <c:v>293.04</c:v>
                </c:pt>
              </c:numCache>
            </c:numRef>
          </c:val>
        </c:ser>
        <c:ser>
          <c:idx val="1"/>
          <c:order val="1"/>
          <c:tx>
            <c:strRef>
              <c:f>Sheet1!$C$1</c:f>
              <c:strCache>
                <c:ptCount val="1"/>
                <c:pt idx="0">
                  <c:v>2024</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收入/支出</c:v>
                </c:pt>
              </c:strCache>
            </c:strRef>
          </c:cat>
          <c:val>
            <c:numRef>
              <c:f>Sheet1!$C$2</c:f>
              <c:numCache>
                <c:formatCode>General</c:formatCode>
                <c:ptCount val="1"/>
                <c:pt idx="0">
                  <c:v>301.38</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c:f>
              <c:strCache>
                <c:ptCount val="1"/>
                <c:pt idx="0">
                  <c:v>收入/支出</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188693998"/>
        <c:axId val="65217301"/>
      </c:barChart>
      <c:catAx>
        <c:axId val="18869399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217301"/>
        <c:crosses val="autoZero"/>
        <c:auto val="1"/>
        <c:lblAlgn val="ctr"/>
        <c:lblOffset val="100"/>
        <c:noMultiLvlLbl val="0"/>
      </c:catAx>
      <c:valAx>
        <c:axId val="6521730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869399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0993570663174187"/>
          <c:y val="0.00735113942661112"/>
        </c:manualLayout>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manualLayout>
          <c:layoutTarget val="inner"/>
          <c:xMode val="edge"/>
          <c:yMode val="edge"/>
          <c:x val="0.307803817347185"/>
          <c:y val="0.143858903527412"/>
          <c:w val="0.361923169847789"/>
          <c:h val="0.636634084147896"/>
        </c:manualLayout>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社会保障和就业支出</c:v>
                </c:pt>
                <c:pt idx="1">
                  <c:v>住房保障支出</c:v>
                </c:pt>
                <c:pt idx="2">
                  <c:v>卫生健康支出</c:v>
                </c:pt>
              </c:strCache>
            </c:strRef>
          </c:cat>
          <c:val>
            <c:numRef>
              <c:f>Sheet1!$B$2:$B$4</c:f>
              <c:numCache>
                <c:formatCode>General</c:formatCode>
                <c:ptCount val="3"/>
                <c:pt idx="0">
                  <c:v>258.14</c:v>
                </c:pt>
                <c:pt idx="1">
                  <c:v>20.5</c:v>
                </c:pt>
                <c:pt idx="2">
                  <c:v>14.41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0.156680357574293"/>
          <c:y val="0.83680407989800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“三公”经费支出结构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Lbl>
              <c:idx val="0"/>
              <c:delete val="1"/>
            </c:dLbl>
            <c:dLbl>
              <c:idx val="1"/>
              <c:layout/>
              <c:dLblPos val="bestFit"/>
              <c:showLegendKey val="0"/>
              <c:showVal val="1"/>
              <c:showCatName val="0"/>
              <c:showSerName val="0"/>
              <c:showPercent val="0"/>
              <c:showBubbleSize val="0"/>
              <c:extLst>
                <c:ext xmlns:c15="http://schemas.microsoft.com/office/drawing/2012/chart" uri="{CE6537A1-D6FC-4f65-9D91-7224C49458BB}"/>
              </c:extLst>
            </c:dLbl>
            <c:dLbl>
              <c:idx val="2"/>
              <c:delete val="1"/>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2.87</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103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23</Pages>
  <Words>1299</Words>
  <Characters>7410</Characters>
  <Lines>61</Lines>
  <Paragraphs>17</Paragraphs>
  <TotalTime>0</TotalTime>
  <ScaleCrop>false</ScaleCrop>
  <LinksUpToDate>false</LinksUpToDate>
  <CharactersWithSpaces>8692</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user</cp:lastModifiedBy>
  <cp:lastPrinted>2026-08-04T01:27:00Z</cp:lastPrinted>
  <dcterms:modified xsi:type="dcterms:W3CDTF">2026-10-21T19:24:52Z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9C20405CF3C44461A8C3AE6B975882EC_13</vt:lpwstr>
  </property>
</Properties>
</file>