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rPr>
      </w:pPr>
      <w:bookmarkStart w:id="0" w:name="_Toc15396475"/>
      <w:bookmarkStart w:id="1" w:name="_Toc15378441"/>
      <w:bookmarkStart w:id="2" w:name="_Toc15396597"/>
      <w:bookmarkStart w:id="3" w:name="_Toc15377193"/>
      <w:bookmarkStart w:id="4" w:name="_Toc15377425"/>
      <w:bookmarkStart w:id="5" w:name="_Toc15306267"/>
    </w:p>
    <w:bookmarkEnd w:id="0"/>
    <w:bookmarkEnd w:id="1"/>
    <w:bookmarkEnd w:id="2"/>
    <w:bookmarkEnd w:id="3"/>
    <w:bookmarkEnd w:id="4"/>
    <w:bookmarkEnd w:id="5"/>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阿坝州壤塘县2025年度</w:t>
      </w:r>
      <w:r>
        <w:rPr>
          <w:rFonts w:hint="eastAsia" w:ascii="Times New Roman" w:eastAsia="方正小标宋简体" w:cs="Times New Roman"/>
          <w:color w:val="auto"/>
          <w:kern w:val="2"/>
          <w:sz w:val="44"/>
          <w:szCs w:val="44"/>
          <w:highlight w:val="none"/>
          <w:lang w:val="en-US" w:eastAsia="zh-CN" w:bidi="ar-SA"/>
        </w:rPr>
        <w:t>就业服务中心</w:t>
      </w:r>
    </w:p>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部门决算公开</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22</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第一部分部门概况</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2025年度</w:t>
      </w:r>
      <w:r>
        <w:rPr>
          <w:rFonts w:hint="eastAsia" w:ascii="Times New Roman" w:hAnsi="Times New Roman" w:eastAsia="黑体" w:cs="黑体"/>
          <w:color w:val="auto"/>
          <w:sz w:val="32"/>
          <w:szCs w:val="32"/>
          <w:highlight w:val="none"/>
        </w:rPr>
        <w:t>部门决算情况说明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第三部分名词解释</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第四部分附件</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第五部分附表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pPr>
        <w:pStyle w:val="2"/>
        <w:spacing w:before="0" w:after="0" w:line="240" w:lineRule="auto"/>
        <w:jc w:val="center"/>
        <w:rPr>
          <w:rStyle w:val="30"/>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Style w:val="30"/>
          <w:rFonts w:hint="eastAsia" w:ascii="Times New Roman" w:hAnsi="Times New Roman" w:eastAsia="方正小标宋简体" w:cs="方正小标宋简体"/>
          <w:b w:val="0"/>
          <w:bCs w:val="0"/>
          <w:color w:val="auto"/>
          <w:highlight w:val="none"/>
        </w:rPr>
        <w:t>部门概况</w:t>
      </w:r>
      <w:bookmarkEnd w:id="6"/>
      <w:bookmarkEnd w:id="7"/>
    </w:p>
    <w:p>
      <w:pPr>
        <w:widowControl/>
        <w:jc w:val="left"/>
        <w:rPr>
          <w:rFonts w:ascii="Times New Roman" w:hAnsi="Times New Roman" w:eastAsia="黑体"/>
          <w:color w:val="auto"/>
          <w:sz w:val="32"/>
          <w:szCs w:val="32"/>
          <w:highlight w:val="none"/>
        </w:rPr>
      </w:pPr>
    </w:p>
    <w:p>
      <w:pPr>
        <w:pStyle w:val="3"/>
        <w:numPr>
          <w:ilvl w:val="0"/>
          <w:numId w:val="1"/>
        </w:numPr>
        <w:spacing w:before="0" w:after="0" w:line="240" w:lineRule="auto"/>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pPr>
        <w:pStyle w:val="5"/>
        <w:keepNext w:val="0"/>
        <w:keepLines w:val="0"/>
        <w:pageBreakBefore w:val="0"/>
        <w:widowControl w:val="0"/>
        <w:kinsoku/>
        <w:wordWrap/>
        <w:overflowPunct/>
        <w:topLinePunct w:val="0"/>
        <w:autoSpaceDE/>
        <w:autoSpaceDN/>
        <w:bidi w:val="0"/>
        <w:adjustRightInd w:val="0"/>
        <w:snapToGrid w:val="0"/>
        <w:spacing w:before="93" w:line="600" w:lineRule="exact"/>
        <w:ind w:firstLine="640" w:firstLineChars="200"/>
        <w:textAlignment w:val="auto"/>
        <w:outlineLvl w:val="9"/>
        <w:rPr>
          <w:rFonts w:hint="eastAsia" w:ascii="仿宋_GB2312" w:hAnsi="仿宋" w:eastAsia="仿宋_GB2312"/>
          <w:sz w:val="32"/>
          <w:szCs w:val="32"/>
          <w:lang w:val="en-US" w:eastAsia="zh-CN"/>
        </w:rPr>
      </w:pPr>
      <w:r>
        <w:rPr>
          <w:rFonts w:hint="eastAsia" w:ascii="仿宋_GB2312" w:hAnsi="仿宋" w:eastAsia="仿宋_GB2312"/>
          <w:sz w:val="32"/>
          <w:szCs w:val="32"/>
        </w:rPr>
        <w:t>1．主要职能</w:t>
      </w:r>
      <w:r>
        <w:rPr>
          <w:rFonts w:hint="eastAsia" w:ascii="仿宋_GB2312" w:hAnsi="仿宋" w:eastAsia="仿宋_GB2312"/>
          <w:sz w:val="32"/>
          <w:szCs w:val="32"/>
          <w:lang w:eastAsia="zh-CN"/>
        </w:rPr>
        <w:t>。</w:t>
      </w:r>
    </w:p>
    <w:p>
      <w:pPr>
        <w:pStyle w:val="5"/>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firstLine="640" w:firstLineChars="200"/>
        <w:textAlignment w:val="auto"/>
        <w:outlineLvl w:val="9"/>
        <w:rPr>
          <w:rStyle w:val="37"/>
          <w:rFonts w:hint="eastAsia" w:ascii="仿宋_GB2312" w:hAnsi="仿宋_GB2312" w:eastAsia="仿宋_GB2312" w:cs="Times New Roman"/>
          <w:b w:val="0"/>
          <w:i w:val="0"/>
          <w:caps w:val="0"/>
          <w:color w:val="000000"/>
          <w:spacing w:val="0"/>
          <w:w w:val="100"/>
          <w:sz w:val="32"/>
          <w:szCs w:val="32"/>
          <w:lang w:val="zh-CN" w:eastAsia="zh-CN"/>
        </w:rPr>
      </w:pPr>
      <w:r>
        <w:rPr>
          <w:rStyle w:val="37"/>
          <w:rFonts w:hint="eastAsia" w:ascii="仿宋_GB2312" w:hAnsi="仿宋_GB2312" w:eastAsia="仿宋_GB2312" w:cs="Times New Roman"/>
          <w:b w:val="0"/>
          <w:i w:val="0"/>
          <w:caps w:val="0"/>
          <w:color w:val="000000"/>
          <w:spacing w:val="0"/>
          <w:w w:val="100"/>
          <w:sz w:val="32"/>
          <w:szCs w:val="32"/>
          <w:lang w:val="zh-CN" w:eastAsia="zh-CN"/>
        </w:rPr>
        <w:t>（1）认真贯彻落实国家、省、州失业保险的政策，筹集、管理失业保险基金，核发失业保险金，编制全县失业保险基金的预决算，按规定及时足额划拨失业保险金用于下岗职工的基本生活保障费和使用职业培训、职业介绍补贴经费，负责失业职工的档案管理，组织失业职工转业、转岗培训并指导就业。</w:t>
      </w:r>
    </w:p>
    <w:p>
      <w:pPr>
        <w:pStyle w:val="5"/>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firstLine="640" w:firstLineChars="200"/>
        <w:textAlignment w:val="auto"/>
        <w:outlineLvl w:val="9"/>
        <w:rPr>
          <w:rStyle w:val="37"/>
          <w:rFonts w:hint="eastAsia" w:ascii="仿宋_GB2312" w:hAnsi="仿宋_GB2312" w:eastAsia="仿宋_GB2312" w:cs="Times New Roman"/>
          <w:b w:val="0"/>
          <w:i w:val="0"/>
          <w:caps w:val="0"/>
          <w:color w:val="000000"/>
          <w:spacing w:val="0"/>
          <w:w w:val="100"/>
          <w:sz w:val="32"/>
          <w:szCs w:val="32"/>
          <w:lang w:val="zh-CN" w:eastAsia="zh-CN"/>
        </w:rPr>
      </w:pPr>
      <w:r>
        <w:rPr>
          <w:rStyle w:val="37"/>
          <w:rFonts w:hint="eastAsia" w:ascii="仿宋_GB2312" w:hAnsi="仿宋_GB2312" w:eastAsia="仿宋_GB2312" w:cs="Times New Roman"/>
          <w:b w:val="0"/>
          <w:i w:val="0"/>
          <w:caps w:val="0"/>
          <w:color w:val="000000"/>
          <w:spacing w:val="0"/>
          <w:w w:val="100"/>
          <w:sz w:val="32"/>
          <w:szCs w:val="32"/>
          <w:lang w:val="zh-CN" w:eastAsia="zh-CN"/>
        </w:rPr>
        <w:t>（2）负责全县劳动力资源的宏观管理和合理配置，培育和发展全县劳动力市场，管理劳动用工、务工信息的发布，为用人单位和务工劳动者提供服务，维护其合法权益。</w:t>
      </w:r>
    </w:p>
    <w:p>
      <w:pPr>
        <w:pStyle w:val="5"/>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firstLine="640" w:firstLineChars="200"/>
        <w:textAlignment w:val="auto"/>
        <w:outlineLvl w:val="9"/>
        <w:rPr>
          <w:rStyle w:val="37"/>
          <w:rFonts w:hint="eastAsia" w:ascii="仿宋_GB2312" w:hAnsi="仿宋_GB2312" w:eastAsia="仿宋_GB2312" w:cs="Times New Roman"/>
          <w:b w:val="0"/>
          <w:i w:val="0"/>
          <w:caps w:val="0"/>
          <w:color w:val="000000"/>
          <w:spacing w:val="0"/>
          <w:w w:val="100"/>
          <w:sz w:val="32"/>
          <w:szCs w:val="32"/>
          <w:lang w:val="zh-CN" w:eastAsia="zh-CN"/>
        </w:rPr>
      </w:pPr>
      <w:r>
        <w:rPr>
          <w:rStyle w:val="37"/>
          <w:rFonts w:hint="eastAsia" w:ascii="仿宋_GB2312" w:hAnsi="仿宋_GB2312" w:eastAsia="仿宋_GB2312" w:cs="Times New Roman"/>
          <w:b w:val="0"/>
          <w:i w:val="0"/>
          <w:caps w:val="0"/>
          <w:color w:val="000000"/>
          <w:spacing w:val="0"/>
          <w:w w:val="100"/>
          <w:sz w:val="32"/>
          <w:szCs w:val="32"/>
          <w:lang w:val="zh-CN" w:eastAsia="zh-CN"/>
        </w:rPr>
        <w:t>（3）组织实施全县劳动力市场及其信息网络建设，负责全县失业人员的失业登记和就业指导工作，办理用人单位招用和职工录用备案手续，并为被录用人员办理就业登记。</w:t>
      </w:r>
    </w:p>
    <w:p>
      <w:pPr>
        <w:pStyle w:val="5"/>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firstLine="640" w:firstLineChars="200"/>
        <w:textAlignment w:val="auto"/>
        <w:outlineLvl w:val="9"/>
        <w:rPr>
          <w:rStyle w:val="37"/>
          <w:rFonts w:hint="eastAsia" w:ascii="仿宋_GB2312" w:hAnsi="仿宋_GB2312" w:eastAsia="仿宋_GB2312" w:cs="Times New Roman"/>
          <w:b w:val="0"/>
          <w:i w:val="0"/>
          <w:caps w:val="0"/>
          <w:color w:val="000000"/>
          <w:spacing w:val="0"/>
          <w:w w:val="100"/>
          <w:sz w:val="32"/>
          <w:szCs w:val="32"/>
          <w:lang w:val="zh-CN" w:eastAsia="zh-CN"/>
        </w:rPr>
      </w:pPr>
      <w:r>
        <w:rPr>
          <w:rStyle w:val="37"/>
          <w:rFonts w:hint="eastAsia" w:ascii="仿宋_GB2312" w:hAnsi="仿宋_GB2312" w:eastAsia="仿宋_GB2312" w:cs="Times New Roman"/>
          <w:b w:val="0"/>
          <w:i w:val="0"/>
          <w:caps w:val="0"/>
          <w:color w:val="000000"/>
          <w:spacing w:val="0"/>
          <w:w w:val="100"/>
          <w:sz w:val="32"/>
          <w:szCs w:val="32"/>
          <w:lang w:val="zh-CN" w:eastAsia="zh-CN"/>
        </w:rPr>
        <w:t>（4）负责监督、检查、管理单位或社会开办的职业介绍机构，打击、取缔非法劳务中介活动，维护劳动力市场秩序。</w:t>
      </w:r>
    </w:p>
    <w:p>
      <w:pPr>
        <w:pStyle w:val="5"/>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firstLine="640" w:firstLineChars="200"/>
        <w:textAlignment w:val="auto"/>
        <w:outlineLvl w:val="9"/>
        <w:rPr>
          <w:rStyle w:val="37"/>
          <w:rFonts w:hint="eastAsia" w:ascii="仿宋_GB2312" w:hAnsi="仿宋_GB2312" w:eastAsia="仿宋_GB2312" w:cs="Times New Roman"/>
          <w:b w:val="0"/>
          <w:i w:val="0"/>
          <w:caps w:val="0"/>
          <w:color w:val="000000"/>
          <w:spacing w:val="0"/>
          <w:w w:val="100"/>
          <w:sz w:val="32"/>
          <w:szCs w:val="32"/>
          <w:lang w:val="zh-CN" w:eastAsia="zh-CN"/>
        </w:rPr>
      </w:pPr>
      <w:r>
        <w:rPr>
          <w:rStyle w:val="37"/>
          <w:rFonts w:hint="eastAsia" w:ascii="仿宋_GB2312" w:hAnsi="仿宋_GB2312" w:eastAsia="仿宋_GB2312" w:cs="Times New Roman"/>
          <w:b w:val="0"/>
          <w:i w:val="0"/>
          <w:caps w:val="0"/>
          <w:color w:val="000000"/>
          <w:spacing w:val="0"/>
          <w:w w:val="100"/>
          <w:sz w:val="32"/>
          <w:szCs w:val="32"/>
          <w:lang w:val="zh-CN" w:eastAsia="zh-CN"/>
        </w:rPr>
        <w:t>（5）依照国家政策对全县公民境外就业和境外人员在本县就业进行管理和服务。</w:t>
      </w:r>
    </w:p>
    <w:p>
      <w:pPr>
        <w:pStyle w:val="5"/>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firstLine="640" w:firstLineChars="200"/>
        <w:textAlignment w:val="auto"/>
        <w:outlineLvl w:val="9"/>
        <w:rPr>
          <w:rStyle w:val="37"/>
          <w:rFonts w:hint="eastAsia" w:ascii="仿宋_GB2312" w:hAnsi="仿宋_GB2312" w:eastAsia="仿宋_GB2312" w:cs="Times New Roman"/>
          <w:b w:val="0"/>
          <w:i w:val="0"/>
          <w:caps w:val="0"/>
          <w:color w:val="000000"/>
          <w:spacing w:val="0"/>
          <w:w w:val="100"/>
          <w:sz w:val="32"/>
          <w:szCs w:val="32"/>
          <w:lang w:val="zh-CN" w:eastAsia="zh-CN"/>
        </w:rPr>
      </w:pPr>
      <w:r>
        <w:rPr>
          <w:rStyle w:val="37"/>
          <w:rFonts w:hint="eastAsia" w:ascii="仿宋_GB2312" w:hAnsi="仿宋_GB2312" w:eastAsia="仿宋_GB2312" w:cs="Times New Roman"/>
          <w:b w:val="0"/>
          <w:i w:val="0"/>
          <w:caps w:val="0"/>
          <w:color w:val="000000"/>
          <w:spacing w:val="0"/>
          <w:w w:val="100"/>
          <w:sz w:val="32"/>
          <w:szCs w:val="32"/>
          <w:lang w:val="zh-CN" w:eastAsia="zh-CN"/>
        </w:rPr>
        <w:t>（6）负责全县城乡劳动者职业技能培训，提高劳动者素质和工作能力，促进就业。</w:t>
      </w:r>
    </w:p>
    <w:p>
      <w:pPr>
        <w:pStyle w:val="5"/>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firstLine="640" w:firstLineChars="200"/>
        <w:textAlignment w:val="auto"/>
        <w:outlineLvl w:val="9"/>
        <w:rPr>
          <w:rStyle w:val="37"/>
          <w:rFonts w:hint="eastAsia" w:ascii="仿宋_GB2312" w:hAnsi="仿宋_GB2312" w:eastAsia="仿宋_GB2312" w:cs="Times New Roman"/>
          <w:b w:val="0"/>
          <w:i w:val="0"/>
          <w:caps w:val="0"/>
          <w:color w:val="000000"/>
          <w:spacing w:val="0"/>
          <w:w w:val="100"/>
          <w:sz w:val="32"/>
          <w:szCs w:val="32"/>
          <w:lang w:val="zh-CN" w:eastAsia="zh-CN"/>
        </w:rPr>
      </w:pPr>
      <w:r>
        <w:rPr>
          <w:rStyle w:val="37"/>
          <w:rFonts w:hint="eastAsia" w:ascii="仿宋_GB2312" w:hAnsi="仿宋_GB2312" w:eastAsia="仿宋_GB2312" w:cs="Times New Roman"/>
          <w:b w:val="0"/>
          <w:i w:val="0"/>
          <w:caps w:val="0"/>
          <w:color w:val="000000"/>
          <w:spacing w:val="0"/>
          <w:w w:val="100"/>
          <w:sz w:val="32"/>
          <w:szCs w:val="32"/>
          <w:lang w:val="zh-CN" w:eastAsia="zh-CN"/>
        </w:rPr>
        <w:t>（7）负责开展和强化国家职业技能鉴定工作，规范和管理全县职业技能为主的社会力量办学机构，贯彻落实劳动预备制度、就业准入制度、职业资格证书制度。</w:t>
      </w:r>
    </w:p>
    <w:p>
      <w:pPr>
        <w:pStyle w:val="5"/>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firstLine="640" w:firstLineChars="200"/>
        <w:textAlignment w:val="auto"/>
        <w:outlineLvl w:val="9"/>
        <w:rPr>
          <w:rStyle w:val="37"/>
          <w:rFonts w:hint="eastAsia" w:ascii="仿宋_GB2312" w:hAnsi="仿宋_GB2312" w:eastAsia="仿宋_GB2312" w:cs="Times New Roman"/>
          <w:b w:val="0"/>
          <w:i w:val="0"/>
          <w:caps w:val="0"/>
          <w:color w:val="000000"/>
          <w:spacing w:val="0"/>
          <w:w w:val="100"/>
          <w:sz w:val="32"/>
          <w:szCs w:val="32"/>
          <w:lang w:val="zh-CN" w:eastAsia="zh-CN"/>
        </w:rPr>
      </w:pPr>
      <w:r>
        <w:rPr>
          <w:rStyle w:val="37"/>
          <w:rFonts w:hint="eastAsia" w:ascii="仿宋_GB2312" w:hAnsi="仿宋_GB2312" w:eastAsia="仿宋_GB2312" w:cs="Times New Roman"/>
          <w:b w:val="0"/>
          <w:i w:val="0"/>
          <w:caps w:val="0"/>
          <w:color w:val="000000"/>
          <w:spacing w:val="0"/>
          <w:w w:val="100"/>
          <w:sz w:val="32"/>
          <w:szCs w:val="32"/>
          <w:lang w:val="zh-CN" w:eastAsia="zh-CN"/>
        </w:rPr>
        <w:t>（8）负责技工学校招生工作的宣传，并组织实施招生工作。</w:t>
      </w:r>
    </w:p>
    <w:p>
      <w:pPr>
        <w:pStyle w:val="5"/>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firstLine="640" w:firstLineChars="200"/>
        <w:textAlignment w:val="auto"/>
        <w:outlineLvl w:val="9"/>
        <w:rPr>
          <w:rStyle w:val="37"/>
          <w:rFonts w:hint="eastAsia" w:ascii="仿宋_GB2312" w:hAnsi="仿宋_GB2312" w:eastAsia="仿宋_GB2312" w:cs="Times New Roman"/>
          <w:b w:val="0"/>
          <w:i w:val="0"/>
          <w:caps w:val="0"/>
          <w:color w:val="000000"/>
          <w:spacing w:val="0"/>
          <w:w w:val="100"/>
          <w:sz w:val="32"/>
          <w:szCs w:val="32"/>
          <w:lang w:val="zh-CN" w:eastAsia="zh-CN"/>
        </w:rPr>
      </w:pPr>
      <w:r>
        <w:rPr>
          <w:rStyle w:val="37"/>
          <w:rFonts w:hint="eastAsia" w:ascii="仿宋_GB2312" w:hAnsi="仿宋_GB2312" w:eastAsia="仿宋_GB2312" w:cs="Times New Roman"/>
          <w:b w:val="0"/>
          <w:i w:val="0"/>
          <w:caps w:val="0"/>
          <w:color w:val="000000"/>
          <w:spacing w:val="0"/>
          <w:w w:val="100"/>
          <w:sz w:val="32"/>
          <w:szCs w:val="32"/>
          <w:lang w:val="zh-CN" w:eastAsia="zh-CN"/>
        </w:rPr>
        <w:t>（9）指导和扶持劳动服务企业的发展，努力实现社会效益，充分发挥“蓄水池”效能，帮助其吸纳更多的失业职工和失业人员就业；负责对劳服企业、社区就业实体进行审批、负责对要求享受劳服企业优惠政策的中小企业予以认定：组织劳服企业质量管理和国际质量认证工作：指导劳服企业实行股份合作制、综合配套改革和劳服企业产权界定工作：依法维护劳服企业和社区就业实体的合法权益。</w:t>
      </w:r>
    </w:p>
    <w:p>
      <w:pPr>
        <w:pStyle w:val="5"/>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firstLine="640" w:firstLineChars="200"/>
        <w:textAlignment w:val="auto"/>
        <w:outlineLvl w:val="9"/>
        <w:rPr>
          <w:rStyle w:val="37"/>
          <w:rFonts w:hint="eastAsia" w:ascii="仿宋_GB2312" w:hAnsi="仿宋_GB2312" w:eastAsia="仿宋_GB2312" w:cs="Times New Roman"/>
          <w:b w:val="0"/>
          <w:i w:val="0"/>
          <w:caps w:val="0"/>
          <w:color w:val="000000"/>
          <w:spacing w:val="0"/>
          <w:w w:val="100"/>
          <w:sz w:val="32"/>
          <w:szCs w:val="32"/>
          <w:lang w:val="zh-CN" w:eastAsia="zh-CN"/>
        </w:rPr>
      </w:pPr>
      <w:r>
        <w:rPr>
          <w:rStyle w:val="37"/>
          <w:rFonts w:hint="eastAsia" w:ascii="仿宋_GB2312" w:hAnsi="仿宋_GB2312" w:eastAsia="仿宋_GB2312" w:cs="Times New Roman"/>
          <w:b w:val="0"/>
          <w:i w:val="0"/>
          <w:caps w:val="0"/>
          <w:color w:val="000000"/>
          <w:spacing w:val="0"/>
          <w:w w:val="100"/>
          <w:sz w:val="32"/>
          <w:szCs w:val="32"/>
          <w:lang w:val="zh-CN" w:eastAsia="zh-CN"/>
        </w:rPr>
        <w:t>（10）负责免费为各类失业无业人员办理《就业失业登记证》并为下岗失业人员和失地无业农民提供小额担保贷款服务，促进他们自谋职业、自主创业。</w:t>
      </w:r>
    </w:p>
    <w:p>
      <w:pPr>
        <w:pStyle w:val="5"/>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firstLine="640" w:firstLineChars="200"/>
        <w:textAlignment w:val="auto"/>
        <w:outlineLvl w:val="9"/>
        <w:rPr>
          <w:rStyle w:val="37"/>
          <w:rFonts w:hint="eastAsia" w:ascii="仿宋_GB2312" w:hAnsi="仿宋_GB2312" w:eastAsia="仿宋_GB2312" w:cs="Times New Roman"/>
          <w:b w:val="0"/>
          <w:i w:val="0"/>
          <w:caps w:val="0"/>
          <w:color w:val="000000"/>
          <w:spacing w:val="0"/>
          <w:w w:val="100"/>
          <w:sz w:val="32"/>
          <w:szCs w:val="32"/>
          <w:lang w:val="zh-CN" w:eastAsia="zh-CN"/>
        </w:rPr>
      </w:pPr>
      <w:r>
        <w:rPr>
          <w:rStyle w:val="37"/>
          <w:rFonts w:hint="eastAsia" w:ascii="仿宋_GB2312" w:hAnsi="仿宋_GB2312" w:eastAsia="仿宋_GB2312" w:cs="Times New Roman"/>
          <w:b w:val="0"/>
          <w:i w:val="0"/>
          <w:caps w:val="0"/>
          <w:color w:val="000000"/>
          <w:spacing w:val="0"/>
          <w:w w:val="100"/>
          <w:sz w:val="32"/>
          <w:szCs w:val="32"/>
          <w:lang w:val="zh-CN" w:eastAsia="zh-CN"/>
        </w:rPr>
        <w:t>（11）负责指导和督促各乡镇劳动保障所开展农村劳动力培训、转移、输出工作，加快农村劳动力向非农产业转移，增加农民收入。</w:t>
      </w:r>
    </w:p>
    <w:p>
      <w:pPr>
        <w:pStyle w:val="5"/>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firstLine="640" w:firstLineChars="200"/>
        <w:textAlignment w:val="auto"/>
        <w:outlineLvl w:val="9"/>
        <w:rPr>
          <w:rStyle w:val="37"/>
          <w:rFonts w:hint="eastAsia" w:ascii="仿宋_GB2312" w:hAnsi="仿宋_GB2312" w:eastAsia="仿宋_GB2312" w:cs="Times New Roman"/>
          <w:b w:val="0"/>
          <w:i w:val="0"/>
          <w:caps w:val="0"/>
          <w:color w:val="000000"/>
          <w:spacing w:val="0"/>
          <w:w w:val="100"/>
          <w:sz w:val="32"/>
          <w:szCs w:val="32"/>
          <w:lang w:val="zh-CN" w:eastAsia="zh-CN"/>
        </w:rPr>
      </w:pPr>
      <w:r>
        <w:rPr>
          <w:rStyle w:val="37"/>
          <w:rFonts w:hint="eastAsia" w:ascii="仿宋_GB2312" w:hAnsi="仿宋_GB2312" w:eastAsia="仿宋_GB2312" w:cs="Times New Roman"/>
          <w:b w:val="0"/>
          <w:i w:val="0"/>
          <w:caps w:val="0"/>
          <w:color w:val="000000"/>
          <w:spacing w:val="0"/>
          <w:w w:val="100"/>
          <w:sz w:val="32"/>
          <w:szCs w:val="32"/>
          <w:lang w:val="zh-CN" w:eastAsia="zh-CN"/>
        </w:rPr>
        <w:t>（12）负责全县劳动就业、失业保险的有关情况和数据的收集、统计分析报告工作，开展就业预测预报。</w:t>
      </w:r>
    </w:p>
    <w:p>
      <w:pPr>
        <w:pStyle w:val="5"/>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firstLine="640" w:firstLineChars="200"/>
        <w:textAlignment w:val="auto"/>
        <w:outlineLvl w:val="9"/>
        <w:rPr>
          <w:rStyle w:val="37"/>
          <w:rFonts w:hint="eastAsia" w:ascii="仿宋_GB2312" w:hAnsi="仿宋_GB2312" w:eastAsia="仿宋_GB2312" w:cs="Times New Roman"/>
          <w:b w:val="0"/>
          <w:i w:val="0"/>
          <w:caps w:val="0"/>
          <w:color w:val="000000"/>
          <w:spacing w:val="0"/>
          <w:w w:val="100"/>
          <w:sz w:val="32"/>
          <w:szCs w:val="32"/>
          <w:lang w:val="zh-CN" w:eastAsia="zh-CN"/>
        </w:rPr>
      </w:pPr>
      <w:r>
        <w:rPr>
          <w:rStyle w:val="37"/>
          <w:rFonts w:hint="eastAsia" w:ascii="仿宋_GB2312" w:hAnsi="仿宋_GB2312" w:eastAsia="仿宋_GB2312" w:cs="Times New Roman"/>
          <w:b w:val="0"/>
          <w:i w:val="0"/>
          <w:caps w:val="0"/>
          <w:color w:val="000000"/>
          <w:spacing w:val="0"/>
          <w:w w:val="100"/>
          <w:sz w:val="32"/>
          <w:szCs w:val="32"/>
          <w:lang w:val="zh-CN" w:eastAsia="zh-CN"/>
        </w:rPr>
        <w:t>（13）行使县委、县政府、县人力资源和社会保障局赋予的其它职责，完成交办的其它工作。</w:t>
      </w:r>
      <w:bookmarkStart w:id="8" w:name="_Toc15377200"/>
      <w:bookmarkStart w:id="9" w:name="_Toc15396601"/>
    </w:p>
    <w:p>
      <w:pPr>
        <w:pStyle w:val="5"/>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firstLine="600" w:firstLineChars="200"/>
        <w:textAlignment w:val="auto"/>
        <w:outlineLvl w:val="9"/>
        <w:rPr>
          <w:rStyle w:val="31"/>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8"/>
      <w:bookmarkEnd w:id="9"/>
    </w:p>
    <w:p>
      <w:pPr>
        <w:ind w:firstLine="640" w:firstLineChars="20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壤塘县</w:t>
      </w:r>
      <w:r>
        <w:rPr>
          <w:rFonts w:hint="eastAsia" w:ascii="仿宋_GB2312" w:hAnsi="仿宋_GB2312" w:eastAsia="仿宋_GB2312" w:cs="仿宋_GB2312"/>
          <w:color w:val="auto"/>
          <w:sz w:val="32"/>
          <w:szCs w:val="32"/>
          <w:highlight w:val="none"/>
          <w:lang w:eastAsia="zh-CN"/>
        </w:rPr>
        <w:t>就业服务中心</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pPr>
        <w:ind w:firstLine="640" w:firstLineChars="200"/>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rPr>
        <w:t>纳入</w:t>
      </w:r>
      <w:r>
        <w:rPr>
          <w:rFonts w:hint="eastAsia" w:ascii="仿宋_GB2312" w:hAnsi="仿宋_GB2312" w:eastAsia="仿宋_GB2312" w:cs="仿宋_GB2312"/>
          <w:color w:val="auto"/>
          <w:sz w:val="32"/>
          <w:szCs w:val="32"/>
          <w:highlight w:val="none"/>
        </w:rPr>
        <w:t>壤塘县</w:t>
      </w:r>
      <w:r>
        <w:rPr>
          <w:rFonts w:hint="eastAsia" w:ascii="仿宋_GB2312" w:hAnsi="仿宋_GB2312" w:eastAsia="仿宋_GB2312" w:cs="仿宋_GB2312"/>
          <w:color w:val="auto"/>
          <w:sz w:val="32"/>
          <w:szCs w:val="32"/>
          <w:highlight w:val="none"/>
          <w:lang w:eastAsia="zh-CN"/>
        </w:rPr>
        <w:t>就业服务中心2025年度部门决算编制范围的二级预算单位包括：</w:t>
      </w:r>
    </w:p>
    <w:p>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Lines="0" w:line="560" w:lineRule="exact"/>
        <w:ind w:left="0" w:leftChars="0" w:firstLine="640" w:firstLineChars="200"/>
        <w:textAlignment w:val="auto"/>
        <w:outlineLvl w:val="2"/>
        <w:rPr>
          <w:rFonts w:hint="eastAsia" w:ascii="Times New Roman" w:hAnsi="Times New Roman" w:eastAsia="仿宋_GB2312" w:cs="仿宋_GB2312"/>
          <w:color w:val="auto"/>
          <w:sz w:val="32"/>
          <w:szCs w:val="32"/>
          <w:highlight w:val="none"/>
        </w:rPr>
      </w:pPr>
      <w:bookmarkStart w:id="10" w:name="_Toc15306276"/>
      <w:bookmarkStart w:id="11" w:name="_Toc15377202"/>
      <w:bookmarkStart w:id="12" w:name="_Toc15378449"/>
      <w:bookmarkStart w:id="13" w:name="_Toc15377433"/>
      <w:r>
        <w:rPr>
          <w:rFonts w:hint="eastAsia" w:ascii="Times New Roman" w:cs="仿宋_GB2312"/>
          <w:color w:val="auto"/>
          <w:sz w:val="32"/>
          <w:szCs w:val="32"/>
          <w:highlight w:val="none"/>
          <w:lang w:val="en-US" w:eastAsia="zh-CN"/>
        </w:rPr>
        <w:t>1、</w:t>
      </w:r>
      <w:r>
        <w:rPr>
          <w:rFonts w:hint="eastAsia" w:ascii="Times New Roman" w:cs="仿宋_GB2312"/>
          <w:color w:val="auto"/>
          <w:sz w:val="32"/>
          <w:szCs w:val="32"/>
          <w:highlight w:val="none"/>
          <w:lang w:eastAsia="zh-CN"/>
        </w:rPr>
        <w:t>就业服务中心</w:t>
      </w:r>
      <w:bookmarkEnd w:id="10"/>
      <w:bookmarkEnd w:id="11"/>
      <w:bookmarkEnd w:id="12"/>
      <w:bookmarkEnd w:id="13"/>
    </w:p>
    <w:p>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Lines="0" w:line="560" w:lineRule="exact"/>
        <w:ind w:left="0" w:leftChars="0" w:firstLine="640" w:firstLineChars="200"/>
        <w:textAlignment w:val="auto"/>
        <w:outlineLvl w:val="2"/>
        <w:rPr>
          <w:rFonts w:ascii="Times New Roman" w:hAnsi="Times New Roman" w:eastAsia="仿宋"/>
          <w:color w:val="auto"/>
          <w:kern w:val="0"/>
          <w:sz w:val="32"/>
          <w:szCs w:val="32"/>
          <w:highlight w:val="none"/>
        </w:rPr>
      </w:pPr>
      <w:r>
        <w:rPr>
          <w:rFonts w:hint="eastAsia" w:ascii="Times New Roman" w:cs="仿宋_GB2312"/>
          <w:color w:val="auto"/>
          <w:sz w:val="32"/>
          <w:szCs w:val="32"/>
          <w:highlight w:val="none"/>
          <w:lang w:val="en-US" w:eastAsia="zh-CN"/>
        </w:rPr>
        <w:t>2、</w:t>
      </w:r>
      <w:r>
        <w:rPr>
          <w:rFonts w:hint="eastAsia" w:ascii="Times New Roman" w:cs="仿宋_GB2312"/>
          <w:color w:val="auto"/>
          <w:sz w:val="32"/>
          <w:szCs w:val="32"/>
          <w:highlight w:val="none"/>
          <w:lang w:eastAsia="zh-CN"/>
        </w:rPr>
        <w:t>农民工服务中心</w:t>
      </w:r>
    </w:p>
    <w:p>
      <w:pPr>
        <w:spacing w:line="600" w:lineRule="exact"/>
        <w:ind w:firstLine="640" w:firstLineChars="200"/>
        <w:outlineLvl w:val="1"/>
        <w:rPr>
          <w:rFonts w:ascii="Times New Roman" w:hAnsi="Times New Roman"/>
          <w:color w:val="auto"/>
          <w:highlight w:val="none"/>
        </w:rPr>
      </w:pPr>
      <w:bookmarkStart w:id="14" w:name="_Toc15396602"/>
      <w:bookmarkStart w:id="15" w:name="_Toc15377204"/>
      <w:r>
        <w:rPr>
          <w:rFonts w:hint="eastAsia" w:ascii="Times New Roman" w:hAnsi="Times New Roman" w:eastAsia="黑体"/>
          <w:color w:val="auto"/>
          <w:sz w:val="32"/>
          <w:szCs w:val="32"/>
          <w:highlight w:val="none"/>
        </w:rPr>
        <w:t>第二部分</w:t>
      </w:r>
      <w:r>
        <w:rPr>
          <w:rFonts w:hint="eastAsia" w:ascii="Times New Roman" w:hAnsi="Times New Roman" w:eastAsia="黑体"/>
          <w:color w:val="auto"/>
          <w:sz w:val="32"/>
          <w:szCs w:val="32"/>
          <w:highlight w:val="none"/>
          <w:lang w:val="en-US" w:eastAsia="zh-CN"/>
        </w:rPr>
        <w:t>2025年度</w:t>
      </w:r>
      <w:r>
        <w:rPr>
          <w:rFonts w:hint="eastAsia" w:ascii="Times New Roman" w:hAnsi="Times New Roman" w:eastAsia="黑体"/>
          <w:color w:val="auto"/>
          <w:sz w:val="32"/>
          <w:szCs w:val="32"/>
          <w:highlight w:val="none"/>
        </w:rPr>
        <w:t>部门决算情况说明</w:t>
      </w:r>
      <w:bookmarkEnd w:id="14"/>
      <w:bookmarkEnd w:id="15"/>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6" w:name="_Toc15396603"/>
      <w:bookmarkStart w:id="17"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16"/>
      <w:bookmarkEnd w:id="17"/>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961.35</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136.23</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16</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人员增加，项目资金增长。</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Style w:val="37"/>
          <w:rFonts w:hint="eastAsia" w:ascii="仿宋_GB2312" w:hAnsi="仿宋_GB2312" w:eastAsia="仿宋_GB2312" w:cs="Times New Roman"/>
          <w:b w:val="0"/>
          <w:i w:val="0"/>
          <w:caps w:val="0"/>
          <w:color w:val="000000"/>
          <w:spacing w:val="0"/>
          <w:w w:val="100"/>
          <w:sz w:val="32"/>
          <w:szCs w:val="32"/>
          <w:lang w:val="en-US" w:eastAsia="zh-CN"/>
        </w:rPr>
        <w:pict>
          <v:shape id="_x0000_s1029" o:spid="_x0000_s1029" o:spt="75" type="#_x0000_t75" style="position:absolute;left:0pt;margin-left:102.5pt;margin-top:1.45pt;height:204.05pt;width:260.65pt;mso-wrap-distance-bottom:0pt;mso-wrap-distance-left:9pt;mso-wrap-distance-right:9pt;mso-wrap-distance-top:0pt;z-index:251660288;mso-width-relative:page;mso-height-relative:page;" o:ole="t" filled="f" o:preferrelative="t" stroked="f" coordsize="21600,21600">
            <v:path/>
            <v:fill on="f" focussize="0,0"/>
            <v:stroke on="f"/>
            <v:imagedata r:id="rId11" o:title=""/>
            <o:lock v:ext="edit" aspectratio="t"/>
            <w10:wrap type="square"/>
          </v:shape>
          <o:OLEObject Type="Embed" ProgID="Excel.Chart.8" ShapeID="_x0000_s1029" DrawAspect="Content" ObjectID="_1468075725" r:id="rId10">
            <o:LockedField>false</o:LockedField>
          </o:OLEObject>
        </w:pic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黑体"/>
          <w:color w:val="auto"/>
          <w:sz w:val="32"/>
          <w:szCs w:val="32"/>
          <w:highlight w:val="none"/>
          <w:lang w:eastAsia="zh-CN"/>
        </w:rPr>
      </w:pPr>
      <w:bookmarkStart w:id="18" w:name="_Toc15396604"/>
      <w:bookmarkStart w:id="19" w:name="_Toc15377206"/>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r>
        <w:rPr>
          <w:rFonts w:hint="eastAsia" w:ascii="Times New Roman" w:hAnsi="Times New Roman" w:eastAsia="黑体"/>
          <w:color w:val="auto"/>
          <w:sz w:val="32"/>
          <w:szCs w:val="32"/>
          <w:highlight w:val="none"/>
          <w:lang w:eastAsia="zh-CN"/>
        </w:rPr>
        <w:t>二、收入决算情况说明</w:t>
      </w:r>
      <w:bookmarkEnd w:id="18"/>
      <w:bookmarkEnd w:id="19"/>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961.35</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961.35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1312" behindDoc="1" locked="0" layoutInCell="1" allowOverlap="1">
            <wp:simplePos x="0" y="0"/>
            <wp:positionH relativeFrom="column">
              <wp:posOffset>1231900</wp:posOffset>
            </wp:positionH>
            <wp:positionV relativeFrom="paragraph">
              <wp:posOffset>81280</wp:posOffset>
            </wp:positionV>
            <wp:extent cx="3001010" cy="1736090"/>
            <wp:effectExtent l="4445" t="4445" r="23495" b="12065"/>
            <wp:wrapNone/>
            <wp:docPr id="4" name="图表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ind w:firstLine="800" w:firstLineChars="250"/>
        <w:rPr>
          <w:rFonts w:hint="eastAsia" w:ascii="Times New Roman" w:hAnsi="Times New Roman" w:eastAsia="仿宋_GB2312" w:cs="仿宋_GB2312"/>
          <w:color w:val="auto"/>
          <w:sz w:val="32"/>
          <w:szCs w:val="32"/>
          <w:highlight w:val="none"/>
          <w:lang w:eastAsia="zh-CN"/>
        </w:rPr>
      </w:pPr>
    </w:p>
    <w:p>
      <w:pPr>
        <w:ind w:firstLine="800" w:firstLineChars="250"/>
        <w:rPr>
          <w:rFonts w:hint="eastAsia" w:ascii="Times New Roman" w:hAnsi="Times New Roman" w:eastAsia="仿宋_GB2312" w:cs="仿宋_GB2312"/>
          <w:color w:val="auto"/>
          <w:sz w:val="32"/>
          <w:szCs w:val="32"/>
          <w:highlight w:val="none"/>
          <w:lang w:eastAsia="zh-CN"/>
        </w:rPr>
      </w:pPr>
    </w:p>
    <w:p>
      <w:pPr>
        <w:ind w:firstLine="800" w:firstLineChars="250"/>
        <w:rPr>
          <w:rFonts w:hint="eastAsia" w:ascii="Times New Roman" w:hAnsi="Times New Roman" w:eastAsia="仿宋_GB2312" w:cs="仿宋_GB2312"/>
          <w:color w:val="auto"/>
          <w:sz w:val="32"/>
          <w:szCs w:val="32"/>
          <w:highlight w:val="none"/>
          <w:lang w:eastAsia="zh-CN"/>
        </w:rPr>
      </w:pPr>
    </w:p>
    <w:p>
      <w:pPr>
        <w:rPr>
          <w:rFonts w:hint="eastAsia" w:ascii="Times New Roman" w:hAnsi="Times New Roman" w:eastAsia="仿宋_GB2312" w:cs="仿宋_GB2312"/>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5"/>
      <w:bookmarkStart w:id="21" w:name="_Toc15377207"/>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20"/>
      <w:bookmarkEnd w:id="21"/>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961.35</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316.07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32.87</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645.28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67.12</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pPr>
        <w:spacing w:line="600" w:lineRule="exact"/>
        <w:ind w:firstLine="420" w:firstLineChars="200"/>
        <w:outlineLvl w:val="1"/>
        <w:rPr>
          <w:rFonts w:hint="eastAsia" w:eastAsia="宋体"/>
          <w:lang w:eastAsia="zh-CN"/>
        </w:rPr>
      </w:pPr>
      <w:bookmarkStart w:id="22" w:name="_Toc15377208"/>
      <w:bookmarkStart w:id="23" w:name="_Toc15396606"/>
      <w:r>
        <w:rPr>
          <w:rFonts w:hint="eastAsia" w:eastAsia="宋体"/>
          <w:lang w:eastAsia="zh-CN"/>
        </w:rPr>
        <w:pict>
          <v:shape id="_x0000_s1031" o:spid="_x0000_s1031" o:spt="75" type="#_x0000_t75" style="position:absolute;left:0pt;margin-left:88.5pt;margin-top:3.75pt;height:175.5pt;width:245.05pt;mso-wrap-distance-left:9pt;mso-wrap-distance-right:9pt;z-index:-251656192;mso-width-relative:page;mso-height-relative:page;" o:ole="t" filled="f" o:preferrelative="t" stroked="f" coordsize="21600,21600" wrapcoords="21592 -2 0 0 0 21600 21592 21602 8 21602 21600 21600 21600 0 8 -2 21592 -2">
            <v:path/>
            <v:fill on="f" focussize="0,0"/>
            <v:stroke on="f"/>
            <v:imagedata r:id="rId14" o:title=""/>
            <o:lock v:ext="edit" aspectratio="t"/>
            <w10:wrap type="tight"/>
          </v:shape>
          <o:OLEObject Type="Embed" ProgID="Excel.Chart.8" ShapeID="_x0000_s1031" DrawAspect="Content" ObjectID="_1468075726" r:id="rId13">
            <o:LockedField>false</o:LockedField>
          </o:OLEObject>
        </w:pict>
      </w:r>
    </w:p>
    <w:p>
      <w:pPr>
        <w:spacing w:line="600" w:lineRule="exact"/>
        <w:ind w:firstLine="420" w:firstLineChars="200"/>
        <w:outlineLvl w:val="1"/>
        <w:rPr>
          <w:rFonts w:hint="eastAsia" w:eastAsia="宋体"/>
          <w:lang w:eastAsia="zh-CN"/>
        </w:rPr>
      </w:pPr>
    </w:p>
    <w:p>
      <w:pPr>
        <w:spacing w:line="600" w:lineRule="exact"/>
        <w:ind w:firstLine="420" w:firstLineChars="200"/>
        <w:outlineLvl w:val="1"/>
        <w:rPr>
          <w:rFonts w:hint="eastAsia" w:eastAsia="宋体"/>
          <w:lang w:eastAsia="zh-CN"/>
        </w:rPr>
      </w:pPr>
    </w:p>
    <w:p>
      <w:pPr>
        <w:spacing w:line="600" w:lineRule="exact"/>
        <w:ind w:firstLine="640" w:firstLineChars="200"/>
        <w:outlineLvl w:val="1"/>
        <w:rPr>
          <w:rFonts w:hint="eastAsia" w:ascii="Times New Roman" w:hAnsi="Times New Roman" w:eastAsia="黑体"/>
          <w:color w:val="auto"/>
          <w:sz w:val="32"/>
          <w:szCs w:val="32"/>
          <w:highlight w:val="none"/>
        </w:rPr>
      </w:pPr>
    </w:p>
    <w:p>
      <w:pPr>
        <w:spacing w:line="600" w:lineRule="exact"/>
        <w:ind w:firstLine="640" w:firstLineChars="200"/>
        <w:outlineLvl w:val="1"/>
        <w:rPr>
          <w:rFonts w:hint="eastAsia" w:ascii="Times New Roman" w:hAnsi="Times New Roman" w:eastAsia="黑体"/>
          <w:color w:val="auto"/>
          <w:sz w:val="32"/>
          <w:szCs w:val="32"/>
          <w:highlight w:val="none"/>
        </w:rPr>
      </w:pPr>
    </w:p>
    <w:p>
      <w:pPr>
        <w:spacing w:line="600" w:lineRule="exact"/>
        <w:ind w:firstLine="640" w:firstLineChars="200"/>
        <w:outlineLvl w:val="1"/>
        <w:rPr>
          <w:rFonts w:hint="eastAsia" w:ascii="Times New Roman" w:hAnsi="Times New Roman" w:eastAsia="黑体"/>
          <w:color w:val="auto"/>
          <w:sz w:val="32"/>
          <w:szCs w:val="32"/>
          <w:highlight w:val="none"/>
        </w:rPr>
      </w:pPr>
    </w:p>
    <w:p>
      <w:pPr>
        <w:numPr>
          <w:ilvl w:val="0"/>
          <w:numId w:val="0"/>
        </w:numPr>
        <w:spacing w:line="600" w:lineRule="exact"/>
        <w:ind w:left="630" w:leftChars="0"/>
        <w:outlineLvl w:val="1"/>
        <w:rPr>
          <w:rFonts w:hint="eastAsia" w:eastAsia="仿宋_GB2312" w:cs="仿宋_GB2312"/>
          <w:color w:val="auto"/>
          <w:kern w:val="2"/>
          <w:sz w:val="32"/>
          <w:szCs w:val="32"/>
          <w:highlight w:val="none"/>
          <w:lang w:val="en-US" w:eastAsia="zh-CN" w:bidi="ar-SA"/>
        </w:rPr>
      </w:pPr>
      <w:r>
        <w:rPr>
          <w:rFonts w:hint="eastAsia" w:eastAsia="黑体"/>
          <w:color w:val="auto"/>
          <w:sz w:val="32"/>
          <w:szCs w:val="32"/>
          <w:highlight w:val="none"/>
          <w:lang w:eastAsia="zh-CN"/>
        </w:rPr>
        <w:t>四、</w:t>
      </w:r>
      <w:r>
        <w:rPr>
          <w:rFonts w:hint="eastAsia" w:ascii="Times New Roman" w:hAnsi="Times New Roman" w:eastAsia="黑体"/>
          <w:color w:val="auto"/>
          <w:sz w:val="32"/>
          <w:szCs w:val="32"/>
          <w:highlight w:val="none"/>
        </w:rPr>
        <w:t>财</w:t>
      </w:r>
      <w:r>
        <w:rPr>
          <w:rStyle w:val="31"/>
          <w:rFonts w:hint="eastAsia" w:ascii="Times New Roman" w:hAnsi="Times New Roman" w:eastAsia="黑体"/>
          <w:b w:val="0"/>
          <w:color w:val="auto"/>
          <w:highlight w:val="none"/>
        </w:rPr>
        <w:t>政拨款收入支出决算总体情况说明</w:t>
      </w:r>
      <w:bookmarkEnd w:id="22"/>
      <w:bookmarkEnd w:id="23"/>
    </w:p>
    <w:p>
      <w:pPr>
        <w:numPr>
          <w:ilvl w:val="0"/>
          <w:numId w:val="0"/>
        </w:numPr>
        <w:spacing w:line="600" w:lineRule="exact"/>
        <w:ind w:firstLine="642" w:firstLineChars="200"/>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drawing>
          <wp:anchor distT="0" distB="0" distL="114300" distR="114300" simplePos="0" relativeHeight="251668480" behindDoc="1" locked="0" layoutInCell="1" allowOverlap="1">
            <wp:simplePos x="0" y="0"/>
            <wp:positionH relativeFrom="column">
              <wp:posOffset>535305</wp:posOffset>
            </wp:positionH>
            <wp:positionV relativeFrom="paragraph">
              <wp:posOffset>1204595</wp:posOffset>
            </wp:positionV>
            <wp:extent cx="4618355" cy="2159635"/>
            <wp:effectExtent l="5080" t="5080" r="62865" b="64135"/>
            <wp:wrapTight wrapText="bothSides">
              <wp:wrapPolygon>
                <wp:start x="-24" y="-51"/>
                <wp:lineTo x="-24" y="21479"/>
                <wp:lineTo x="21538" y="21479"/>
                <wp:lineTo x="21538" y="-51"/>
                <wp:lineTo x="-24" y="-51"/>
              </wp:wrapPolygon>
            </wp:wrapTight>
            <wp:docPr id="1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961.35</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sz w:val="32"/>
          <w:szCs w:val="32"/>
          <w:highlight w:val="none"/>
          <w:lang w:val="en-US" w:eastAsia="zh-CN"/>
        </w:rPr>
        <w:t>136.23</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16</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eastAsia="zh-CN"/>
        </w:rPr>
        <w:t>人员增加，项目资金增长。</w:t>
      </w:r>
    </w:p>
    <w:p>
      <w:pPr>
        <w:spacing w:line="600" w:lineRule="exact"/>
        <w:ind w:firstLine="640" w:firstLineChars="200"/>
        <w:outlineLvl w:val="1"/>
        <w:rPr>
          <w:rStyle w:val="31"/>
          <w:rFonts w:ascii="Times New Roman" w:hAnsi="Times New Roman" w:eastAsia="黑体"/>
          <w:b w:val="0"/>
          <w:color w:val="auto"/>
          <w:highlight w:val="none"/>
        </w:rPr>
      </w:pPr>
      <w:bookmarkStart w:id="24" w:name="_Toc15377209"/>
      <w:bookmarkStart w:id="25"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24"/>
      <w:bookmarkEnd w:id="25"/>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6"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961.35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sz w:val="32"/>
          <w:szCs w:val="32"/>
          <w:highlight w:val="none"/>
          <w:lang w:val="en-US" w:eastAsia="zh-CN"/>
        </w:rPr>
        <w:t>136.23</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16</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eastAsia="zh-CN"/>
        </w:rPr>
        <w:t>人员增加，项目资金增长。</w:t>
      </w:r>
    </w:p>
    <w:p>
      <w:pPr>
        <w:spacing w:line="600" w:lineRule="exact"/>
        <w:ind w:firstLine="640" w:firstLineChars="200"/>
        <w:outlineLvl w:val="2"/>
        <w:rPr>
          <w:rFonts w:hint="eastAsia" w:ascii="Times New Roman" w:hAnsi="Times New Roman" w:eastAsia="楷体_GB2312" w:cs="楷体_GB2312"/>
          <w:b/>
          <w:color w:val="auto"/>
          <w:sz w:val="32"/>
          <w:szCs w:val="32"/>
          <w:highlight w:val="none"/>
        </w:rPr>
      </w:pPr>
      <w:bookmarkStart w:id="27" w:name="_Toc15377211"/>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7456" behindDoc="0" locked="0" layoutInCell="1" allowOverlap="1">
            <wp:simplePos x="0" y="0"/>
            <wp:positionH relativeFrom="column">
              <wp:posOffset>433705</wp:posOffset>
            </wp:positionH>
            <wp:positionV relativeFrom="paragraph">
              <wp:posOffset>185420</wp:posOffset>
            </wp:positionV>
            <wp:extent cx="4751705" cy="2464435"/>
            <wp:effectExtent l="4445" t="4445" r="6350" b="7620"/>
            <wp:wrapSquare wrapText="bothSides"/>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（二）一般公共预算财政拨款支出决算结构情况</w:t>
      </w:r>
      <w:bookmarkEnd w:id="2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961.35</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Style w:val="37"/>
          <w:rFonts w:hint="eastAsia" w:ascii="仿宋_GB2312" w:hAnsi="仿宋_GB2312" w:eastAsia="仿宋_GB2312" w:cs="Times New Roman"/>
          <w:b w:val="0"/>
          <w:i w:val="0"/>
          <w:caps w:val="0"/>
          <w:color w:val="000000"/>
          <w:spacing w:val="0"/>
          <w:w w:val="100"/>
          <w:sz w:val="32"/>
          <w:szCs w:val="32"/>
          <w:lang w:val="en-US" w:eastAsia="zh-CN"/>
        </w:rPr>
        <w:t>921.21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95.8</w:t>
      </w:r>
      <w:r>
        <w:rPr>
          <w:rFonts w:hint="eastAsia" w:ascii="Times New Roman" w:hAnsi="Times New Roman" w:eastAsia="仿宋_GB2312" w:cs="仿宋_GB2312"/>
          <w:color w:val="auto"/>
          <w:kern w:val="2"/>
          <w:sz w:val="32"/>
          <w:szCs w:val="32"/>
          <w:highlight w:val="none"/>
          <w:lang w:val="en-US" w:eastAsia="zh-CN" w:bidi="ar-SA"/>
        </w:rPr>
        <w:t>%；卫生健康支出</w:t>
      </w:r>
      <w:r>
        <w:rPr>
          <w:rStyle w:val="37"/>
          <w:rFonts w:hint="eastAsia" w:ascii="仿宋_GB2312" w:hAnsi="仿宋_GB2312" w:eastAsia="仿宋_GB2312" w:cs="Times New Roman"/>
          <w:b w:val="0"/>
          <w:i w:val="0"/>
          <w:caps w:val="0"/>
          <w:color w:val="000000"/>
          <w:spacing w:val="0"/>
          <w:w w:val="100"/>
          <w:sz w:val="32"/>
          <w:szCs w:val="32"/>
          <w:lang w:val="en-US" w:eastAsia="zh-CN"/>
        </w:rPr>
        <w:t>16.41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%；住房保障支出</w:t>
      </w:r>
      <w:r>
        <w:rPr>
          <w:rStyle w:val="37"/>
          <w:rFonts w:hint="eastAsia" w:ascii="仿宋_GB2312" w:hAnsi="仿宋_GB2312" w:eastAsia="仿宋_GB2312" w:cs="Times New Roman"/>
          <w:b w:val="0"/>
          <w:i w:val="0"/>
          <w:caps w:val="0"/>
          <w:color w:val="000000"/>
          <w:spacing w:val="0"/>
          <w:w w:val="100"/>
          <w:sz w:val="32"/>
          <w:szCs w:val="32"/>
          <w:lang w:val="en-US" w:eastAsia="zh-CN"/>
        </w:rPr>
        <w:t>23.72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59264" behindDoc="0" locked="0" layoutInCell="1" allowOverlap="1">
            <wp:simplePos x="0" y="0"/>
            <wp:positionH relativeFrom="column">
              <wp:posOffset>854710</wp:posOffset>
            </wp:positionH>
            <wp:positionV relativeFrom="paragraph">
              <wp:posOffset>230505</wp:posOffset>
            </wp:positionV>
            <wp:extent cx="3771900" cy="2496185"/>
            <wp:effectExtent l="4445" t="5080" r="14605" b="13335"/>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pPr>
        <w:spacing w:line="240" w:lineRule="auto"/>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8" w:name="_Toc15377212"/>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2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9" w:name="_Toc15377444"/>
      <w:bookmarkStart w:id="30" w:name="_Toc15377213"/>
      <w:bookmarkStart w:id="31"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961.35</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p>
    <w:p>
      <w:pPr>
        <w:snapToGrid w:val="0"/>
        <w:spacing w:line="520" w:lineRule="exact"/>
        <w:ind w:firstLine="640" w:firstLineChars="200"/>
        <w:rPr>
          <w:rStyle w:val="37"/>
          <w:rFonts w:hint="eastAsia" w:ascii="仿宋_GB2312" w:hAnsi="仿宋_GB2312" w:eastAsia="仿宋_GB2312" w:cs="Times New Roman"/>
          <w:b w:val="0"/>
          <w:i w:val="0"/>
          <w:caps w:val="0"/>
          <w:color w:val="000000"/>
          <w:spacing w:val="0"/>
          <w:w w:val="100"/>
          <w:sz w:val="32"/>
          <w:szCs w:val="32"/>
          <w:lang w:val="en-US" w:eastAsia="zh-CN"/>
        </w:rPr>
      </w:pPr>
      <w:r>
        <w:rPr>
          <w:rStyle w:val="37"/>
          <w:rFonts w:hint="eastAsia" w:ascii="仿宋_GB2312" w:hAnsi="仿宋_GB2312" w:eastAsia="仿宋_GB2312" w:cs="Times New Roman"/>
          <w:b w:val="0"/>
          <w:i w:val="0"/>
          <w:caps w:val="0"/>
          <w:color w:val="000000"/>
          <w:spacing w:val="0"/>
          <w:w w:val="100"/>
          <w:sz w:val="32"/>
          <w:szCs w:val="32"/>
          <w:lang w:val="en-US" w:eastAsia="zh-CN"/>
        </w:rPr>
        <w:t>（1）社会保障和就业支出（类）人力资源和社会保障管理事务（款）行政运行（项）：支出决算为178.14万元，完成预算100%。</w:t>
      </w:r>
    </w:p>
    <w:p>
      <w:pPr>
        <w:snapToGrid w:val="0"/>
        <w:spacing w:line="520" w:lineRule="exact"/>
        <w:ind w:firstLine="640" w:firstLineChars="200"/>
        <w:rPr>
          <w:rStyle w:val="37"/>
          <w:rFonts w:hint="eastAsia" w:ascii="仿宋_GB2312" w:hAnsi="仿宋_GB2312" w:eastAsia="仿宋_GB2312" w:cs="Times New Roman"/>
          <w:b w:val="0"/>
          <w:i w:val="0"/>
          <w:caps w:val="0"/>
          <w:color w:val="000000"/>
          <w:spacing w:val="0"/>
          <w:w w:val="100"/>
          <w:sz w:val="32"/>
          <w:szCs w:val="32"/>
          <w:lang w:val="en-US" w:eastAsia="zh-CN"/>
        </w:rPr>
      </w:pPr>
      <w:r>
        <w:rPr>
          <w:rStyle w:val="37"/>
          <w:rFonts w:hint="eastAsia" w:ascii="仿宋_GB2312" w:hAnsi="仿宋_GB2312" w:eastAsia="仿宋_GB2312" w:cs="Times New Roman"/>
          <w:b w:val="0"/>
          <w:i w:val="0"/>
          <w:caps w:val="0"/>
          <w:color w:val="000000"/>
          <w:spacing w:val="0"/>
          <w:w w:val="100"/>
          <w:sz w:val="32"/>
          <w:szCs w:val="32"/>
          <w:lang w:val="en-US" w:eastAsia="zh-CN"/>
        </w:rPr>
        <w:t>（2）社会保障和就业支出（类）人力资源和社会保障管理事务（款）事业运行（项）：支出决算为50.37万元，完成预算100%。</w:t>
      </w:r>
    </w:p>
    <w:p>
      <w:pPr>
        <w:snapToGrid w:val="0"/>
        <w:spacing w:line="520" w:lineRule="exact"/>
        <w:ind w:firstLine="640" w:firstLineChars="200"/>
        <w:rPr>
          <w:rStyle w:val="37"/>
          <w:rFonts w:hint="eastAsia" w:ascii="仿宋_GB2312" w:hAnsi="仿宋_GB2312" w:eastAsia="仿宋_GB2312" w:cs="Times New Roman"/>
          <w:b w:val="0"/>
          <w:i w:val="0"/>
          <w:caps w:val="0"/>
          <w:color w:val="000000"/>
          <w:spacing w:val="0"/>
          <w:w w:val="100"/>
          <w:sz w:val="32"/>
          <w:szCs w:val="32"/>
          <w:lang w:val="en-US" w:eastAsia="zh-CN"/>
        </w:rPr>
      </w:pPr>
      <w:r>
        <w:rPr>
          <w:rStyle w:val="37"/>
          <w:rFonts w:hint="eastAsia" w:ascii="仿宋_GB2312" w:hAnsi="仿宋_GB2312" w:eastAsia="仿宋_GB2312" w:cs="Times New Roman"/>
          <w:b w:val="0"/>
          <w:i w:val="0"/>
          <w:caps w:val="0"/>
          <w:color w:val="000000"/>
          <w:spacing w:val="0"/>
          <w:w w:val="100"/>
          <w:sz w:val="32"/>
          <w:szCs w:val="32"/>
          <w:lang w:val="en-US" w:eastAsia="zh-CN"/>
        </w:rPr>
        <w:t>（3）社会保障和就业支出（类）行政事业单位养老支出（款）机关事业单位基本养老保险缴费支出（项）：支出决算为31.60万元，完成预算100%。</w:t>
      </w:r>
    </w:p>
    <w:p>
      <w:pPr>
        <w:snapToGrid w:val="0"/>
        <w:spacing w:line="520" w:lineRule="exact"/>
        <w:ind w:firstLine="640" w:firstLineChars="200"/>
        <w:rPr>
          <w:rStyle w:val="37"/>
          <w:rFonts w:hint="eastAsia" w:ascii="仿宋_GB2312" w:hAnsi="仿宋_GB2312" w:eastAsia="仿宋_GB2312" w:cs="Times New Roman"/>
          <w:b w:val="0"/>
          <w:i w:val="0"/>
          <w:caps w:val="0"/>
          <w:color w:val="000000"/>
          <w:spacing w:val="0"/>
          <w:w w:val="100"/>
          <w:sz w:val="32"/>
          <w:szCs w:val="32"/>
          <w:lang w:val="en-US" w:eastAsia="zh-CN"/>
        </w:rPr>
      </w:pPr>
      <w:r>
        <w:rPr>
          <w:rStyle w:val="37"/>
          <w:rFonts w:hint="eastAsia" w:ascii="仿宋_GB2312" w:hAnsi="仿宋_GB2312" w:eastAsia="仿宋_GB2312" w:cs="Times New Roman"/>
          <w:b w:val="0"/>
          <w:i w:val="0"/>
          <w:caps w:val="0"/>
          <w:color w:val="000000"/>
          <w:spacing w:val="0"/>
          <w:w w:val="100"/>
          <w:sz w:val="32"/>
          <w:szCs w:val="32"/>
          <w:lang w:val="en-US" w:eastAsia="zh-CN"/>
        </w:rPr>
        <w:t>（4）社会保障和就业支出（类）行政事业单位养老支出（款）机关事业单位职业年金缴费支出（项）：支出决算为15.80万元，完成预算100%。</w:t>
      </w:r>
    </w:p>
    <w:p>
      <w:pPr>
        <w:snapToGrid w:val="0"/>
        <w:spacing w:line="520" w:lineRule="exact"/>
        <w:ind w:firstLine="640" w:firstLineChars="200"/>
        <w:rPr>
          <w:rStyle w:val="37"/>
          <w:rFonts w:hint="eastAsia" w:ascii="仿宋_GB2312" w:hAnsi="仿宋_GB2312" w:eastAsia="仿宋_GB2312" w:cs="Times New Roman"/>
          <w:b w:val="0"/>
          <w:i w:val="0"/>
          <w:caps w:val="0"/>
          <w:color w:val="000000"/>
          <w:spacing w:val="0"/>
          <w:w w:val="100"/>
          <w:sz w:val="32"/>
          <w:szCs w:val="32"/>
          <w:lang w:val="en-US" w:eastAsia="zh-CN"/>
        </w:rPr>
      </w:pPr>
      <w:r>
        <w:rPr>
          <w:rStyle w:val="37"/>
          <w:rFonts w:hint="eastAsia" w:ascii="仿宋_GB2312" w:hAnsi="仿宋_GB2312" w:eastAsia="仿宋_GB2312" w:cs="Times New Roman"/>
          <w:b w:val="0"/>
          <w:i w:val="0"/>
          <w:caps w:val="0"/>
          <w:color w:val="000000"/>
          <w:spacing w:val="0"/>
          <w:w w:val="100"/>
          <w:sz w:val="32"/>
          <w:szCs w:val="32"/>
          <w:lang w:val="en-US" w:eastAsia="zh-CN"/>
        </w:rPr>
        <w:t>（5）社会保障和就业支出（类）就业补助（款）就业创业服务补助(项）：支出决算为51.98万元，完成预算100%。</w:t>
      </w:r>
    </w:p>
    <w:p>
      <w:pPr>
        <w:snapToGrid w:val="0"/>
        <w:spacing w:line="520" w:lineRule="exact"/>
        <w:ind w:firstLine="640" w:firstLineChars="200"/>
        <w:rPr>
          <w:rStyle w:val="37"/>
          <w:rFonts w:hint="eastAsia" w:ascii="仿宋_GB2312" w:hAnsi="仿宋_GB2312" w:eastAsia="仿宋_GB2312" w:cs="Times New Roman"/>
          <w:b w:val="0"/>
          <w:i w:val="0"/>
          <w:caps w:val="0"/>
          <w:color w:val="000000"/>
          <w:spacing w:val="0"/>
          <w:w w:val="100"/>
          <w:sz w:val="32"/>
          <w:szCs w:val="32"/>
          <w:lang w:val="en-US" w:eastAsia="zh-CN"/>
        </w:rPr>
      </w:pPr>
      <w:r>
        <w:rPr>
          <w:rStyle w:val="37"/>
          <w:rFonts w:hint="eastAsia" w:ascii="仿宋_GB2312" w:hAnsi="仿宋_GB2312" w:eastAsia="仿宋_GB2312" w:cs="Times New Roman"/>
          <w:b w:val="0"/>
          <w:i w:val="0"/>
          <w:caps w:val="0"/>
          <w:color w:val="000000"/>
          <w:spacing w:val="0"/>
          <w:w w:val="100"/>
          <w:sz w:val="32"/>
          <w:szCs w:val="32"/>
          <w:lang w:val="en-US" w:eastAsia="zh-CN"/>
        </w:rPr>
        <w:t>（6）社会保障和就业支出（类）就业补助（款）其他就业补助支出（项）：支出决算为593.29万元，完成预算100%。</w:t>
      </w:r>
    </w:p>
    <w:p>
      <w:pPr>
        <w:snapToGrid w:val="0"/>
        <w:spacing w:line="520" w:lineRule="exact"/>
        <w:ind w:firstLine="640" w:firstLineChars="200"/>
        <w:rPr>
          <w:rStyle w:val="37"/>
          <w:rFonts w:hint="eastAsia" w:ascii="仿宋_GB2312" w:hAnsi="仿宋_GB2312" w:eastAsia="仿宋_GB2312" w:cs="Times New Roman"/>
          <w:b w:val="0"/>
          <w:i w:val="0"/>
          <w:caps w:val="0"/>
          <w:color w:val="000000"/>
          <w:spacing w:val="0"/>
          <w:w w:val="100"/>
          <w:sz w:val="32"/>
          <w:szCs w:val="32"/>
          <w:lang w:val="en-US" w:eastAsia="zh-CN"/>
        </w:rPr>
      </w:pPr>
      <w:r>
        <w:rPr>
          <w:rStyle w:val="37"/>
          <w:rFonts w:hint="eastAsia" w:ascii="仿宋_GB2312" w:hAnsi="仿宋_GB2312" w:eastAsia="仿宋_GB2312" w:cs="Times New Roman"/>
          <w:b w:val="0"/>
          <w:i w:val="0"/>
          <w:caps w:val="0"/>
          <w:color w:val="000000"/>
          <w:spacing w:val="0"/>
          <w:w w:val="100"/>
          <w:sz w:val="32"/>
          <w:szCs w:val="32"/>
          <w:lang w:val="en-US" w:eastAsia="zh-CN"/>
        </w:rPr>
        <w:t>（7）卫生健康支出（类）行政事业单位医疗（款）行政单位医疗（项）：支出决算为10.79万元，完成预算100%。</w:t>
      </w:r>
    </w:p>
    <w:p>
      <w:pPr>
        <w:snapToGrid w:val="0"/>
        <w:spacing w:line="520" w:lineRule="exact"/>
        <w:ind w:firstLine="640" w:firstLineChars="200"/>
        <w:rPr>
          <w:rStyle w:val="37"/>
          <w:rFonts w:hint="eastAsia" w:ascii="仿宋_GB2312" w:hAnsi="仿宋_GB2312" w:eastAsia="仿宋_GB2312" w:cs="Times New Roman"/>
          <w:b w:val="0"/>
          <w:i w:val="0"/>
          <w:caps w:val="0"/>
          <w:color w:val="000000"/>
          <w:spacing w:val="0"/>
          <w:w w:val="100"/>
          <w:sz w:val="32"/>
          <w:szCs w:val="32"/>
          <w:lang w:val="en-US" w:eastAsia="zh-CN"/>
        </w:rPr>
      </w:pPr>
      <w:r>
        <w:rPr>
          <w:rStyle w:val="37"/>
          <w:rFonts w:hint="eastAsia" w:ascii="仿宋_GB2312" w:hAnsi="仿宋_GB2312" w:eastAsia="仿宋_GB2312" w:cs="Times New Roman"/>
          <w:b w:val="0"/>
          <w:i w:val="0"/>
          <w:caps w:val="0"/>
          <w:color w:val="000000"/>
          <w:spacing w:val="0"/>
          <w:w w:val="100"/>
          <w:sz w:val="32"/>
          <w:szCs w:val="32"/>
          <w:lang w:val="en-US" w:eastAsia="zh-CN"/>
        </w:rPr>
        <w:t>（8）卫生健康支出（类）行政事业单位医疗（款）事业单位医疗（项）：支出决算为3.02万元，完成预算100%。</w:t>
      </w:r>
    </w:p>
    <w:p>
      <w:pPr>
        <w:snapToGrid w:val="0"/>
        <w:spacing w:line="520" w:lineRule="exact"/>
        <w:ind w:firstLine="640" w:firstLineChars="200"/>
        <w:rPr>
          <w:rStyle w:val="37"/>
          <w:rFonts w:hint="eastAsia" w:ascii="仿宋_GB2312" w:hAnsi="仿宋_GB2312" w:eastAsia="仿宋_GB2312" w:cs="Times New Roman"/>
          <w:b w:val="0"/>
          <w:i w:val="0"/>
          <w:caps w:val="0"/>
          <w:color w:val="000000"/>
          <w:spacing w:val="0"/>
          <w:w w:val="100"/>
          <w:sz w:val="32"/>
          <w:szCs w:val="32"/>
          <w:lang w:val="en-US" w:eastAsia="zh-CN"/>
        </w:rPr>
      </w:pPr>
      <w:r>
        <w:rPr>
          <w:rStyle w:val="37"/>
          <w:rFonts w:hint="eastAsia" w:ascii="仿宋_GB2312" w:hAnsi="仿宋_GB2312" w:eastAsia="仿宋_GB2312" w:cs="Times New Roman"/>
          <w:b w:val="0"/>
          <w:i w:val="0"/>
          <w:caps w:val="0"/>
          <w:color w:val="000000"/>
          <w:spacing w:val="0"/>
          <w:w w:val="100"/>
          <w:sz w:val="32"/>
          <w:szCs w:val="32"/>
          <w:lang w:val="en-US" w:eastAsia="zh-CN"/>
        </w:rPr>
        <w:t>（9）卫生健康支出（类）行政事业单位医疗（款）公务员医疗补助（项）：支出决算为2.06万元，完成预算100%。</w:t>
      </w:r>
    </w:p>
    <w:p>
      <w:pPr>
        <w:snapToGrid w:val="0"/>
        <w:spacing w:line="520" w:lineRule="exact"/>
        <w:ind w:firstLine="640" w:firstLineChars="200"/>
        <w:rPr>
          <w:rStyle w:val="37"/>
          <w:rFonts w:hint="eastAsia" w:ascii="仿宋_GB2312" w:hAnsi="仿宋_GB2312" w:eastAsia="仿宋_GB2312" w:cs="Times New Roman"/>
          <w:b w:val="0"/>
          <w:i w:val="0"/>
          <w:caps w:val="0"/>
          <w:color w:val="000000"/>
          <w:spacing w:val="0"/>
          <w:w w:val="100"/>
          <w:sz w:val="32"/>
          <w:szCs w:val="32"/>
          <w:lang w:val="en-US" w:eastAsia="zh-CN"/>
        </w:rPr>
      </w:pPr>
      <w:r>
        <w:rPr>
          <w:rStyle w:val="37"/>
          <w:rFonts w:hint="eastAsia" w:ascii="仿宋_GB2312" w:hAnsi="仿宋_GB2312" w:eastAsia="仿宋_GB2312" w:cs="Times New Roman"/>
          <w:b w:val="0"/>
          <w:i w:val="0"/>
          <w:caps w:val="0"/>
          <w:color w:val="000000"/>
          <w:spacing w:val="0"/>
          <w:w w:val="100"/>
          <w:sz w:val="32"/>
          <w:szCs w:val="32"/>
          <w:lang w:val="en-US" w:eastAsia="zh-CN"/>
        </w:rPr>
        <w:t>（10）卫生健康支出（类）行政事业单位医疗（款）其他行政事业单位医疗支出（项）：支出决算为0.54万元，完成预算100%。</w:t>
      </w:r>
    </w:p>
    <w:p>
      <w:pPr>
        <w:snapToGrid w:val="0"/>
        <w:spacing w:line="520" w:lineRule="exact"/>
        <w:ind w:firstLine="640" w:firstLineChars="200"/>
        <w:rPr>
          <w:rStyle w:val="37"/>
          <w:rFonts w:hint="eastAsia" w:ascii="仿宋_GB2312" w:hAnsi="仿宋_GB2312" w:eastAsia="仿宋_GB2312" w:cs="Times New Roman"/>
          <w:b w:val="0"/>
          <w:i w:val="0"/>
          <w:caps w:val="0"/>
          <w:color w:val="000000"/>
          <w:spacing w:val="0"/>
          <w:w w:val="100"/>
          <w:sz w:val="32"/>
          <w:szCs w:val="32"/>
          <w:lang w:val="en-US" w:eastAsia="zh-CN"/>
        </w:rPr>
      </w:pPr>
      <w:r>
        <w:rPr>
          <w:rStyle w:val="37"/>
          <w:rFonts w:hint="eastAsia" w:ascii="仿宋_GB2312" w:hAnsi="仿宋_GB2312" w:eastAsia="仿宋_GB2312" w:cs="Times New Roman"/>
          <w:b w:val="0"/>
          <w:i w:val="0"/>
          <w:caps w:val="0"/>
          <w:color w:val="000000"/>
          <w:spacing w:val="0"/>
          <w:w w:val="100"/>
          <w:sz w:val="32"/>
          <w:szCs w:val="32"/>
          <w:lang w:val="en-US" w:eastAsia="zh-CN"/>
        </w:rPr>
        <w:t>（11）住房保障支出（类）住房改革支出（款）住房公积金（项）：支出决算为23.72万元，完成预算100%。</w:t>
      </w:r>
    </w:p>
    <w:bookmarkEnd w:id="29"/>
    <w:bookmarkEnd w:id="30"/>
    <w:bookmarkEnd w:id="31"/>
    <w:p>
      <w:pPr>
        <w:tabs>
          <w:tab w:val="right" w:pos="8306"/>
        </w:tabs>
        <w:spacing w:line="600" w:lineRule="exact"/>
        <w:ind w:firstLine="640"/>
        <w:outlineLvl w:val="1"/>
        <w:rPr>
          <w:rStyle w:val="31"/>
          <w:rFonts w:ascii="Times New Roman" w:hAnsi="Times New Roman"/>
          <w:color w:val="auto"/>
          <w:highlight w:val="none"/>
        </w:rPr>
      </w:pPr>
      <w:bookmarkStart w:id="32" w:name="_Toc15396608"/>
      <w:bookmarkStart w:id="33"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32"/>
      <w:bookmarkEnd w:id="33"/>
      <w:r>
        <w:rPr>
          <w:rStyle w:val="31"/>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316.07</w:t>
      </w:r>
      <w:r>
        <w:rPr>
          <w:rFonts w:hint="eastAsia" w:ascii="Times New Roman" w:hAnsi="Times New Roman" w:eastAsia="仿宋_GB2312" w:cs="仿宋_GB2312"/>
          <w:color w:val="auto"/>
          <w:kern w:val="2"/>
          <w:sz w:val="32"/>
          <w:szCs w:val="32"/>
          <w:highlight w:val="none"/>
          <w:lang w:val="en-US" w:eastAsia="zh-CN" w:bidi="ar-SA"/>
        </w:rPr>
        <w:t>万元，其中：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298.17</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用经费17.9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outlineLvl w:val="1"/>
        <w:rPr>
          <w:rStyle w:val="31"/>
          <w:rFonts w:ascii="Times New Roman" w:hAnsi="Times New Roman" w:eastAsia="黑体"/>
          <w:b w:val="0"/>
          <w:color w:val="auto"/>
          <w:highlight w:val="none"/>
        </w:rPr>
      </w:pPr>
      <w:bookmarkStart w:id="34" w:name="_Toc15396609"/>
      <w:bookmarkStart w:id="35" w:name="_Toc15377215"/>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34"/>
      <w:bookmarkEnd w:id="35"/>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6"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6"/>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97.79</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不变</w:t>
      </w:r>
      <w:r>
        <w:rPr>
          <w:rFonts w:hint="eastAsia" w:ascii="Times New Roman" w:hAnsi="Times New Roman" w:eastAsia="仿宋_GB2312" w:cs="仿宋_GB2312"/>
          <w:color w:val="auto"/>
          <w:kern w:val="2"/>
          <w:sz w:val="32"/>
          <w:szCs w:val="32"/>
          <w:highlight w:val="none"/>
          <w:lang w:val="en-US" w:eastAsia="zh-CN" w:bidi="ar-SA"/>
        </w:rPr>
        <w:t>。决算数小于预算数的主要原因是</w:t>
      </w:r>
      <w:r>
        <w:rPr>
          <w:rFonts w:hint="eastAsia" w:eastAsia="仿宋_GB2312" w:cs="仿宋_GB2312"/>
          <w:color w:val="auto"/>
          <w:kern w:val="2"/>
          <w:sz w:val="32"/>
          <w:szCs w:val="32"/>
          <w:highlight w:val="none"/>
          <w:lang w:val="en-US" w:eastAsia="zh-CN" w:bidi="ar-SA"/>
        </w:rPr>
        <w:t>2025年未产生公务接待费。</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7"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9504" behindDoc="1" locked="0" layoutInCell="1" allowOverlap="1">
            <wp:simplePos x="0" y="0"/>
            <wp:positionH relativeFrom="column">
              <wp:posOffset>316230</wp:posOffset>
            </wp:positionH>
            <wp:positionV relativeFrom="paragraph">
              <wp:posOffset>1737995</wp:posOffset>
            </wp:positionV>
            <wp:extent cx="5256530" cy="2988310"/>
            <wp:effectExtent l="5080" t="4445" r="15240" b="17145"/>
            <wp:wrapTight wrapText="bothSides">
              <wp:wrapPolygon>
                <wp:start x="-21" y="-32"/>
                <wp:lineTo x="-21" y="21449"/>
                <wp:lineTo x="21506" y="21449"/>
                <wp:lineTo x="21506" y="-32"/>
                <wp:lineTo x="-21" y="-32"/>
              </wp:wrapPolygon>
            </wp:wrapTight>
            <wp:docPr id="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pPr>
        <w:spacing w:line="600" w:lineRule="exact"/>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4</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上年度不变</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4</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培训开班、出差、政策宣传等</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0.9</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w:t>
      </w:r>
      <w:r>
        <w:rPr>
          <w:rFonts w:hint="eastAsia" w:eastAsia="仿宋_GB2312" w:cs="仿宋_GB2312"/>
          <w:color w:val="auto"/>
          <w:kern w:val="2"/>
          <w:sz w:val="32"/>
          <w:szCs w:val="32"/>
          <w:highlight w:val="none"/>
          <w:lang w:val="en-US" w:eastAsia="zh-CN" w:bidi="ar-SA"/>
        </w:rPr>
        <w:t>接待费支出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w:t>
      </w:r>
      <w:r>
        <w:rPr>
          <w:rFonts w:hint="eastAsia" w:eastAsia="仿宋_GB2312" w:cs="仿宋_GB2312"/>
          <w:color w:val="auto"/>
          <w:kern w:val="2"/>
          <w:sz w:val="32"/>
          <w:szCs w:val="32"/>
          <w:highlight w:val="none"/>
          <w:lang w:val="en-US" w:eastAsia="zh-CN" w:bidi="ar-SA"/>
        </w:rPr>
        <w:t>接待费支出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bookmarkStart w:id="38" w:name="_Toc15396610"/>
      <w:bookmarkStart w:id="39" w:name="_Toc15377218"/>
    </w:p>
    <w:p>
      <w:pPr>
        <w:spacing w:line="600" w:lineRule="exact"/>
        <w:ind w:firstLine="640"/>
        <w:outlineLvl w:val="1"/>
        <w:rPr>
          <w:rStyle w:val="31"/>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38"/>
      <w:bookmarkEnd w:id="3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40" w:name="_Toc15396611"/>
      <w:bookmarkStart w:id="41" w:name="_Toc15377219"/>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40"/>
      <w:bookmarkEnd w:id="4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42" w:name="_Toc15396612"/>
      <w:bookmarkStart w:id="43" w:name="_Toc15377221"/>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42"/>
      <w:bookmarkEnd w:id="43"/>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4" w:name="_Toc15377222"/>
      <w:r>
        <w:rPr>
          <w:rFonts w:hint="eastAsia" w:ascii="Times New Roman" w:hAnsi="Times New Roman" w:eastAsia="楷体_GB2312" w:cs="楷体_GB2312"/>
          <w:b/>
          <w:color w:val="auto"/>
          <w:sz w:val="32"/>
          <w:szCs w:val="32"/>
          <w:highlight w:val="none"/>
        </w:rPr>
        <w:t>（一）机关运行经费支出情况</w:t>
      </w:r>
      <w:bookmarkEnd w:id="4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就业服务中心</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14.54</w:t>
      </w:r>
      <w:r>
        <w:rPr>
          <w:rFonts w:hint="eastAsia" w:ascii="Times New Roman" w:hAnsi="Times New Roman" w:eastAsia="仿宋_GB2312" w:cs="仿宋_GB2312"/>
          <w:color w:val="auto"/>
          <w:kern w:val="2"/>
          <w:sz w:val="32"/>
          <w:szCs w:val="32"/>
          <w:highlight w:val="none"/>
          <w:lang w:val="en-US" w:eastAsia="zh-CN" w:bidi="ar-SA"/>
        </w:rPr>
        <w:t>万元，</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5" w:name="_Toc15377223"/>
      <w:r>
        <w:rPr>
          <w:rFonts w:hint="eastAsia" w:ascii="Times New Roman" w:hAnsi="Times New Roman" w:eastAsia="楷体_GB2312" w:cs="楷体_GB2312"/>
          <w:b/>
          <w:color w:val="auto"/>
          <w:sz w:val="32"/>
          <w:szCs w:val="32"/>
          <w:highlight w:val="none"/>
        </w:rPr>
        <w:t>（二）政府采购支出情况</w:t>
      </w:r>
      <w:bookmarkEnd w:id="4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就业服务中心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67.5</w:t>
      </w:r>
      <w:r>
        <w:rPr>
          <w:rFonts w:hint="eastAsia" w:ascii="Times New Roman" w:hAnsi="Times New Roman" w:eastAsia="仿宋_GB2312" w:cs="仿宋_GB2312"/>
          <w:color w:val="auto"/>
          <w:kern w:val="2"/>
          <w:sz w:val="32"/>
          <w:szCs w:val="32"/>
          <w:highlight w:val="none"/>
          <w:lang w:val="en-US" w:eastAsia="zh-CN" w:bidi="ar-SA"/>
        </w:rPr>
        <w:t>万元，其中：政府采购服务支出</w:t>
      </w:r>
      <w:r>
        <w:rPr>
          <w:rFonts w:hint="eastAsia" w:ascii="仿宋_GB2312" w:hAnsi="仿宋_GB2312" w:eastAsia="仿宋_GB2312" w:cs="仿宋_GB2312"/>
          <w:sz w:val="32"/>
          <w:szCs w:val="32"/>
        </w:rPr>
        <w:t>67.5</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农牧民技能培训</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6" w:name="_Toc15377224"/>
      <w:r>
        <w:rPr>
          <w:rFonts w:hint="eastAsia" w:ascii="Times New Roman" w:hAnsi="Times New Roman" w:eastAsia="楷体_GB2312" w:cs="楷体_GB2312"/>
          <w:b/>
          <w:color w:val="auto"/>
          <w:sz w:val="32"/>
          <w:szCs w:val="32"/>
          <w:highlight w:val="none"/>
        </w:rPr>
        <w:t>（三）国有资产占有使用情况</w:t>
      </w:r>
      <w:bookmarkEnd w:id="4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w:t>
      </w:r>
      <w:r>
        <w:rPr>
          <w:rFonts w:hint="eastAsia" w:eastAsia="仿宋_GB2312" w:cs="仿宋_GB2312"/>
          <w:color w:val="auto"/>
          <w:kern w:val="2"/>
          <w:sz w:val="32"/>
          <w:szCs w:val="32"/>
          <w:highlight w:val="none"/>
          <w:lang w:val="en-US" w:eastAsia="zh-CN" w:bidi="ar-SA"/>
        </w:rPr>
        <w:t>至</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就业服务中心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辆，其中：其他用车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就业服务中心</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就业创业补助资金</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601</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spacing w:line="600" w:lineRule="exact"/>
        <w:ind w:firstLine="640"/>
        <w:rPr>
          <w:rFonts w:hint="eastAsia" w:ascii="Times New Roman" w:hAnsi="Times New Roman" w:eastAsia="黑体"/>
          <w:color w:val="auto"/>
          <w:sz w:val="44"/>
          <w:szCs w:val="44"/>
          <w:highlight w:val="none"/>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就业服务中心</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部门预算（含部门预算项目）绩效自评报告（此项单位不涉及）、</w:t>
      </w:r>
      <w:r>
        <w:rPr>
          <w:rFonts w:hint="eastAsia" w:eastAsia="仿宋_GB2312" w:cs="仿宋_GB2312"/>
          <w:color w:val="auto"/>
          <w:kern w:val="2"/>
          <w:sz w:val="32"/>
          <w:szCs w:val="32"/>
          <w:highlight w:val="none"/>
          <w:lang w:val="en-US" w:eastAsia="zh-CN" w:bidi="ar-SA"/>
        </w:rPr>
        <w:t>就业创业补助资金</w:t>
      </w:r>
      <w:r>
        <w:rPr>
          <w:rFonts w:hint="eastAsia" w:ascii="Times New Roman" w:hAnsi="Times New Roman" w:eastAsia="仿宋_GB2312" w:cs="仿宋_GB2312"/>
          <w:color w:val="auto"/>
          <w:kern w:val="2"/>
          <w:sz w:val="32"/>
          <w:szCs w:val="32"/>
          <w:highlight w:val="none"/>
          <w:lang w:val="en-US" w:eastAsia="zh-CN" w:bidi="ar-SA"/>
        </w:rPr>
        <w:t>等专项预算项目绩效自评报告，其中，</w:t>
      </w:r>
      <w:r>
        <w:rPr>
          <w:rFonts w:hint="eastAsia" w:eastAsia="仿宋_GB2312" w:cs="仿宋_GB2312"/>
          <w:color w:val="auto"/>
          <w:kern w:val="2"/>
          <w:sz w:val="32"/>
          <w:szCs w:val="32"/>
          <w:highlight w:val="none"/>
          <w:lang w:val="en-US" w:eastAsia="zh-CN" w:bidi="ar-SA"/>
        </w:rPr>
        <w:t>就业服务中心</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部门预算（含部门预算项目）绩效自评得分为</w:t>
      </w:r>
      <w:r>
        <w:rPr>
          <w:rFonts w:hint="eastAsia" w:eastAsia="仿宋_GB2312" w:cs="仿宋_GB2312"/>
          <w:color w:val="auto"/>
          <w:kern w:val="2"/>
          <w:sz w:val="32"/>
          <w:szCs w:val="32"/>
          <w:highlight w:val="none"/>
          <w:lang w:val="en-US" w:eastAsia="zh-CN" w:bidi="ar-SA"/>
        </w:rPr>
        <w:t>86</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良好</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就业创业补助资金</w:t>
      </w:r>
      <w:r>
        <w:rPr>
          <w:rFonts w:hint="eastAsia" w:ascii="Times New Roman" w:hAnsi="Times New Roman" w:eastAsia="仿宋_GB2312" w:cs="仿宋_GB2312"/>
          <w:color w:val="auto"/>
          <w:kern w:val="2"/>
          <w:sz w:val="32"/>
          <w:szCs w:val="32"/>
          <w:highlight w:val="none"/>
          <w:lang w:val="en-US" w:eastAsia="zh-CN" w:bidi="ar-SA"/>
        </w:rPr>
        <w:t>专项预算项目绩效自评得分为</w:t>
      </w:r>
      <w:r>
        <w:rPr>
          <w:rFonts w:hint="eastAsia" w:eastAsia="仿宋_GB2312" w:cs="仿宋_GB2312"/>
          <w:color w:val="auto"/>
          <w:kern w:val="2"/>
          <w:sz w:val="32"/>
          <w:szCs w:val="32"/>
          <w:highlight w:val="none"/>
          <w:lang w:val="en-US" w:eastAsia="zh-CN" w:bidi="ar-SA"/>
        </w:rPr>
        <w:t>86</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良好</w:t>
      </w:r>
      <w:r>
        <w:rPr>
          <w:rFonts w:hint="eastAsia" w:ascii="Times New Roman" w:hAnsi="Times New Roman" w:eastAsia="仿宋_GB2312" w:cs="仿宋_GB2312"/>
          <w:color w:val="auto"/>
          <w:kern w:val="2"/>
          <w:sz w:val="32"/>
          <w:szCs w:val="32"/>
          <w:highlight w:val="none"/>
          <w:lang w:val="en-US" w:eastAsia="zh-CN" w:bidi="ar-SA"/>
        </w:rPr>
        <w:t>。绩效自评报告详见附件。</w:t>
      </w:r>
      <w:bookmarkStart w:id="47" w:name="_Toc15377225"/>
      <w:bookmarkStart w:id="48" w:name="_Toc15396613"/>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ascii="Times New Roman" w:hAnsi="Times New Roman"/>
          <w:b/>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部分名词解释</w:t>
      </w:r>
      <w:bookmarkEnd w:id="47"/>
      <w:bookmarkEnd w:id="4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w:t>
      </w:r>
      <w:r>
        <w:rPr>
          <w:rFonts w:hint="eastAsia" w:eastAsia="仿宋_GB2312" w:cs="仿宋_GB2312"/>
          <w:color w:val="auto"/>
          <w:kern w:val="2"/>
          <w:sz w:val="32"/>
          <w:szCs w:val="32"/>
          <w:highlight w:val="none"/>
          <w:lang w:val="en-US" w:eastAsia="zh-CN" w:bidi="ar-SA"/>
        </w:rPr>
        <w:t>单位</w:t>
      </w:r>
      <w:r>
        <w:rPr>
          <w:rFonts w:hint="eastAsia" w:ascii="Times New Roman" w:hAnsi="Times New Roman" w:eastAsia="仿宋_GB2312" w:cs="仿宋_GB2312"/>
          <w:color w:val="auto"/>
          <w:kern w:val="2"/>
          <w:sz w:val="32"/>
          <w:szCs w:val="32"/>
          <w:highlight w:val="none"/>
          <w:lang w:val="en-US" w:eastAsia="zh-CN" w:bidi="ar-SA"/>
        </w:rPr>
        <w:t>收入情况）等。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4.其他收入：指单位取得的除上述收入以外的各项收入。主要是……（收入类型）等。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5.使用非财政拨款结余（含专用结余）：指事业单位使用以前年度积累的非财政拨款结余弥补当年收支差额的金额。</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6.年初结转和结余：指以前年度尚未完成、结转到本年按有关规定继续使用的资金。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28.项目支出：指在基本支出之外为完成特定行政任务和事业发展目标所发生的支出。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pPr>
        <w:spacing w:line="600" w:lineRule="exact"/>
        <w:jc w:val="both"/>
        <w:rPr>
          <w:rStyle w:val="30"/>
          <w:rFonts w:hint="eastAsia" w:ascii="Times New Roman" w:hAnsi="Times New Roman" w:eastAsia="黑体"/>
          <w:b w:val="0"/>
          <w:color w:val="auto"/>
          <w:highlight w:val="none"/>
          <w:lang w:eastAsia="zh-CN"/>
        </w:rPr>
      </w:pPr>
      <w:bookmarkStart w:id="49"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0" w:name="_Toc15396614"/>
      <w:r>
        <w:rPr>
          <w:rFonts w:hint="eastAsia" w:ascii="Times New Roman" w:hAnsi="Times New Roman" w:eastAsia="黑体"/>
          <w:color w:val="auto"/>
          <w:sz w:val="44"/>
          <w:szCs w:val="44"/>
          <w:highlight w:val="none"/>
        </w:rPr>
        <w:t>第四部分附件</w:t>
      </w:r>
      <w:bookmarkEnd w:id="50"/>
    </w:p>
    <w:p>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eastAsia="方正小标宋简体" w:cs="Times New Roman"/>
          <w:b w:val="0"/>
          <w:bCs/>
          <w:sz w:val="44"/>
          <w:szCs w:val="44"/>
          <w:highlight w:val="none"/>
          <w:shd w:val="clear" w:color="auto" w:fill="FFFFFF"/>
          <w:lang w:eastAsia="zh-CN"/>
        </w:rPr>
      </w:pPr>
      <w:r>
        <w:rPr>
          <w:rFonts w:hint="eastAsia" w:eastAsia="方正小标宋简体" w:cs="Times New Roman"/>
          <w:b w:val="0"/>
          <w:bCs/>
          <w:sz w:val="44"/>
          <w:szCs w:val="44"/>
          <w:highlight w:val="none"/>
          <w:shd w:val="clear" w:color="auto" w:fill="FFFFFF"/>
          <w:lang w:eastAsia="zh-CN"/>
        </w:rPr>
        <w:t>就业服务中心</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pPr>
        <w:keepNext w:val="0"/>
        <w:keepLines w:val="0"/>
        <w:pageBreakBefore w:val="0"/>
        <w:widowControl w:val="0"/>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val="0"/>
        <w:kinsoku/>
        <w:wordWrap/>
        <w:overflowPunct/>
        <w:topLinePunct w:val="0"/>
        <w:autoSpaceDE/>
        <w:autoSpaceDN/>
        <w:bidi w:val="0"/>
        <w:spacing w:before="104" w:line="222" w:lineRule="auto"/>
        <w:ind w:left="649"/>
        <w:textAlignment w:val="auto"/>
        <w:rPr>
          <w:rFonts w:ascii="黑体" w:hAnsi="黑体" w:eastAsia="黑体" w:cs="黑体"/>
          <w:sz w:val="32"/>
          <w:szCs w:val="32"/>
        </w:rPr>
      </w:pPr>
      <w:r>
        <w:rPr>
          <w:rFonts w:ascii="黑体" w:hAnsi="黑体" w:eastAsia="黑体" w:cs="黑体"/>
          <w:spacing w:val="27"/>
          <w:sz w:val="32"/>
          <w:szCs w:val="32"/>
        </w:rPr>
        <w:t>一、部门</w:t>
      </w:r>
      <w:r>
        <w:rPr>
          <w:rFonts w:hint="eastAsia" w:ascii="黑体" w:hAnsi="黑体" w:eastAsia="黑体" w:cs="黑体"/>
          <w:spacing w:val="27"/>
          <w:sz w:val="32"/>
          <w:szCs w:val="32"/>
          <w:lang w:eastAsia="zh-CN"/>
        </w:rPr>
        <w:t>（</w:t>
      </w:r>
      <w:r>
        <w:rPr>
          <w:rFonts w:ascii="黑体" w:hAnsi="黑体" w:eastAsia="黑体" w:cs="黑体"/>
          <w:spacing w:val="27"/>
          <w:sz w:val="32"/>
          <w:szCs w:val="32"/>
        </w:rPr>
        <w:t>单位</w:t>
      </w:r>
      <w:r>
        <w:rPr>
          <w:rFonts w:hint="eastAsia" w:ascii="黑体" w:hAnsi="黑体" w:eastAsia="黑体" w:cs="黑体"/>
          <w:spacing w:val="27"/>
          <w:sz w:val="32"/>
          <w:szCs w:val="32"/>
          <w:lang w:eastAsia="zh-CN"/>
        </w:rPr>
        <w:t>）</w:t>
      </w:r>
      <w:r>
        <w:rPr>
          <w:rFonts w:ascii="黑体" w:hAnsi="黑体" w:eastAsia="黑体" w:cs="黑体"/>
          <w:spacing w:val="27"/>
          <w:sz w:val="32"/>
          <w:szCs w:val="32"/>
        </w:rPr>
        <w:t>基本情况</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z w:val="32"/>
          <w:szCs w:val="32"/>
        </w:rPr>
      </w:pPr>
      <w:r>
        <w:rPr>
          <w:spacing w:val="-13"/>
          <w:sz w:val="32"/>
          <w:szCs w:val="32"/>
        </w:rPr>
        <w:t>壤塘县就业服务中心，机构性质：参公事业单位公益一</w:t>
      </w:r>
      <w:r>
        <w:rPr>
          <w:rFonts w:hint="eastAsia"/>
          <w:spacing w:val="-13"/>
          <w:sz w:val="32"/>
          <w:szCs w:val="32"/>
          <w:lang w:eastAsia="zh-CN"/>
        </w:rPr>
        <w:t>类</w:t>
      </w:r>
      <w:r>
        <w:rPr>
          <w:spacing w:val="-13"/>
          <w:sz w:val="32"/>
          <w:szCs w:val="32"/>
        </w:rPr>
        <w:t>，</w:t>
      </w:r>
      <w:r>
        <w:rPr>
          <w:spacing w:val="6"/>
          <w:sz w:val="32"/>
          <w:szCs w:val="32"/>
        </w:rPr>
        <w:t>机构地址：四川省壤塘县罗吾塘中街22号，单位负责人</w:t>
      </w:r>
      <w:r>
        <w:rPr>
          <w:rFonts w:hint="eastAsia"/>
          <w:spacing w:val="6"/>
          <w:sz w:val="32"/>
          <w:szCs w:val="32"/>
          <w:lang w:eastAsia="zh-CN"/>
        </w:rPr>
        <w:t>：</w:t>
      </w:r>
      <w:r>
        <w:rPr>
          <w:spacing w:val="6"/>
          <w:sz w:val="32"/>
          <w:szCs w:val="32"/>
        </w:rPr>
        <w:t>罗斌</w:t>
      </w:r>
      <w:r>
        <w:rPr>
          <w:spacing w:val="-17"/>
          <w:sz w:val="32"/>
          <w:szCs w:val="32"/>
        </w:rPr>
        <w:t>辉。</w:t>
      </w:r>
    </w:p>
    <w:p>
      <w:pPr>
        <w:keepNext w:val="0"/>
        <w:keepLines w:val="0"/>
        <w:pageBreakBefore w:val="0"/>
        <w:widowControl w:val="0"/>
        <w:kinsoku/>
        <w:wordWrap/>
        <w:overflowPunct/>
        <w:topLinePunct w:val="0"/>
        <w:autoSpaceDE/>
        <w:autoSpaceDN/>
        <w:bidi w:val="0"/>
        <w:adjustRightInd/>
        <w:snapToGrid/>
        <w:spacing w:line="560" w:lineRule="exact"/>
        <w:ind w:left="0" w:right="0" w:firstLine="712" w:firstLineChars="200"/>
        <w:jc w:val="left"/>
        <w:textAlignment w:val="auto"/>
        <w:rPr>
          <w:rFonts w:ascii="楷体" w:hAnsi="楷体" w:eastAsia="楷体" w:cs="楷体"/>
          <w:sz w:val="31"/>
          <w:szCs w:val="31"/>
        </w:rPr>
      </w:pPr>
      <w:r>
        <w:rPr>
          <w:rFonts w:hint="eastAsia" w:ascii="楷体" w:hAnsi="楷体" w:eastAsia="楷体" w:cs="楷体"/>
          <w:spacing w:val="23"/>
          <w:sz w:val="31"/>
          <w:szCs w:val="31"/>
          <w:lang w:eastAsia="zh-CN"/>
        </w:rPr>
        <w:t>（</w:t>
      </w:r>
      <w:r>
        <w:rPr>
          <w:rFonts w:ascii="楷体" w:hAnsi="楷体" w:eastAsia="楷体" w:cs="楷体"/>
          <w:spacing w:val="23"/>
          <w:sz w:val="31"/>
          <w:szCs w:val="31"/>
        </w:rPr>
        <w:t>一</w:t>
      </w:r>
      <w:r>
        <w:rPr>
          <w:rFonts w:hint="eastAsia" w:ascii="楷体" w:hAnsi="楷体" w:eastAsia="楷体" w:cs="楷体"/>
          <w:spacing w:val="23"/>
          <w:sz w:val="31"/>
          <w:szCs w:val="31"/>
          <w:lang w:eastAsia="zh-CN"/>
        </w:rPr>
        <w:t>）</w:t>
      </w:r>
      <w:r>
        <w:rPr>
          <w:rFonts w:ascii="楷体" w:hAnsi="楷体" w:eastAsia="楷体" w:cs="楷体"/>
          <w:spacing w:val="23"/>
          <w:sz w:val="31"/>
          <w:szCs w:val="31"/>
        </w:rPr>
        <w:t>机构组成</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rPr>
      </w:pPr>
      <w:r>
        <w:rPr>
          <w:spacing w:val="-13"/>
          <w:sz w:val="32"/>
          <w:szCs w:val="32"/>
        </w:rPr>
        <w:t>壤塘县就业服务中心无下属二级单位，本单位属参照公务员法管理事业单位。</w:t>
      </w:r>
    </w:p>
    <w:p>
      <w:pPr>
        <w:keepNext w:val="0"/>
        <w:keepLines w:val="0"/>
        <w:pageBreakBefore w:val="0"/>
        <w:widowControl w:val="0"/>
        <w:kinsoku/>
        <w:wordWrap/>
        <w:overflowPunct/>
        <w:topLinePunct w:val="0"/>
        <w:autoSpaceDE/>
        <w:autoSpaceDN/>
        <w:bidi w:val="0"/>
        <w:adjustRightInd/>
        <w:snapToGrid/>
        <w:spacing w:line="560" w:lineRule="exact"/>
        <w:ind w:left="0" w:right="0" w:firstLine="728" w:firstLineChars="200"/>
        <w:jc w:val="left"/>
        <w:textAlignment w:val="auto"/>
        <w:rPr>
          <w:rFonts w:ascii="楷体" w:hAnsi="楷体" w:eastAsia="楷体" w:cs="楷体"/>
          <w:sz w:val="32"/>
          <w:szCs w:val="32"/>
        </w:rPr>
      </w:pPr>
      <w:r>
        <w:rPr>
          <w:rFonts w:hint="eastAsia" w:ascii="楷体" w:hAnsi="楷体" w:eastAsia="楷体" w:cs="楷体"/>
          <w:spacing w:val="22"/>
          <w:sz w:val="32"/>
          <w:szCs w:val="32"/>
          <w:lang w:eastAsia="zh-CN"/>
        </w:rPr>
        <w:t>（二）</w:t>
      </w:r>
      <w:r>
        <w:rPr>
          <w:rFonts w:ascii="楷体" w:hAnsi="楷体" w:eastAsia="楷体" w:cs="楷体"/>
          <w:spacing w:val="22"/>
          <w:sz w:val="32"/>
          <w:szCs w:val="32"/>
        </w:rPr>
        <w:t>机构职能</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jc w:val="left"/>
        <w:textAlignment w:val="auto"/>
        <w:rPr>
          <w:spacing w:val="-13"/>
          <w:sz w:val="32"/>
          <w:szCs w:val="32"/>
        </w:rPr>
      </w:pPr>
      <w:r>
        <w:rPr>
          <w:spacing w:val="-5"/>
        </w:rPr>
        <w:t>负</w:t>
      </w:r>
      <w:r>
        <w:rPr>
          <w:spacing w:val="-13"/>
          <w:sz w:val="32"/>
          <w:szCs w:val="32"/>
        </w:rPr>
        <w:t>责认真贯彻落实国家、省、州失业保险的政策，筹集、管理失业保险基金，核发失业保险金，编制全县失业保险基金的预决算，按规定及时足额划拨失业保险金用于下岗职工的基本生活保障费和使用职业培训、职业介绍补贴经费，负责失业职工的档案管理，组织失业职工转业、转岗培训并指导就业；负责全县劳动力资源的宏观管理和合理配置，培育和发展全县劳动力市场，管理劳动用工、务工信息的发布，为用人单位和务工劳动者提供服务，维护其合法权益；组织实施全县劳动力市场及其信息网络建设，负责全县失业人员的失业登记和就业指导工作，办理用人单位招用和职工录用备案手续，并为被录用人员办理就业登记；负责监督、检查管理单位或社会开办的职业介绍机构，打击、取缔非法</w:t>
      </w:r>
      <w:r>
        <w:rPr>
          <w:rFonts w:hint="eastAsia"/>
          <w:spacing w:val="-13"/>
          <w:sz w:val="32"/>
          <w:szCs w:val="32"/>
          <w:lang w:eastAsia="zh-CN"/>
        </w:rPr>
        <w:t>劳务中介</w:t>
      </w:r>
      <w:r>
        <w:rPr>
          <w:spacing w:val="-13"/>
          <w:sz w:val="32"/>
          <w:szCs w:val="32"/>
        </w:rPr>
        <w:t>活动，维护劳动力市场秩序</w:t>
      </w:r>
      <w:r>
        <w:rPr>
          <w:rFonts w:hint="eastAsia"/>
          <w:spacing w:val="-13"/>
          <w:sz w:val="32"/>
          <w:szCs w:val="32"/>
          <w:lang w:eastAsia="zh-CN"/>
        </w:rPr>
        <w:t>。</w:t>
      </w:r>
      <w:r>
        <w:rPr>
          <w:spacing w:val="-13"/>
          <w:sz w:val="32"/>
          <w:szCs w:val="32"/>
        </w:rPr>
        <w:t>依照国家政策对全县公</w:t>
      </w:r>
      <w:r>
        <w:rPr>
          <w:rFonts w:hint="eastAsia"/>
          <w:spacing w:val="-13"/>
          <w:sz w:val="32"/>
          <w:szCs w:val="32"/>
          <w:lang w:eastAsia="zh-CN"/>
        </w:rPr>
        <w:t>民在</w:t>
      </w:r>
      <w:r>
        <w:rPr>
          <w:spacing w:val="-13"/>
          <w:sz w:val="32"/>
          <w:szCs w:val="32"/>
        </w:rPr>
        <w:t>境就业和境外人员在本县就业进行管理和服务；负责全县城乡劳动者职业技能培训，提高劳动者素质和工作能力，促进就业；负责开展和强化国家</w:t>
      </w:r>
      <w:r>
        <w:rPr>
          <w:rFonts w:hint="eastAsia"/>
          <w:spacing w:val="-13"/>
          <w:sz w:val="32"/>
          <w:szCs w:val="32"/>
          <w:lang w:eastAsia="zh-CN"/>
        </w:rPr>
        <w:t>职业技能鉴定</w:t>
      </w:r>
      <w:r>
        <w:rPr>
          <w:spacing w:val="-13"/>
          <w:sz w:val="32"/>
          <w:szCs w:val="32"/>
        </w:rPr>
        <w:t>工作，规范和管理全县职业技能为主的社会力量办学机构，贯彻落实劳动预备制度、就业准入制度、职业资格证书制度；负责技工学校招生工作的宣传，并组织实施招生工作；指导和扶持劳动服务企业的发展，努力实现社会效益，帮助其吸纳更多的失业职工和失业人员就业；负责对劳服企业、社区就业实体进行审批</w:t>
      </w:r>
      <w:r>
        <w:rPr>
          <w:rFonts w:hint="eastAsia"/>
          <w:spacing w:val="-13"/>
          <w:sz w:val="32"/>
          <w:szCs w:val="32"/>
          <w:lang w:eastAsia="zh-CN"/>
        </w:rPr>
        <w:t>，</w:t>
      </w:r>
      <w:r>
        <w:rPr>
          <w:spacing w:val="-13"/>
          <w:sz w:val="32"/>
          <w:szCs w:val="32"/>
        </w:rPr>
        <w:t>负责对要求享受劳服企业优惠政策的中小企业予以认定</w:t>
      </w:r>
      <w:r>
        <w:rPr>
          <w:rFonts w:hint="eastAsia"/>
          <w:spacing w:val="-13"/>
          <w:sz w:val="32"/>
          <w:szCs w:val="32"/>
          <w:lang w:eastAsia="zh-CN"/>
        </w:rPr>
        <w:t>，组织</w:t>
      </w:r>
      <w:r>
        <w:rPr>
          <w:spacing w:val="-13"/>
          <w:sz w:val="32"/>
          <w:szCs w:val="32"/>
        </w:rPr>
        <w:t>劳服企业质量管理和国际</w:t>
      </w:r>
      <w:r>
        <w:rPr>
          <w:rFonts w:hint="eastAsia"/>
          <w:spacing w:val="-13"/>
          <w:sz w:val="32"/>
          <w:szCs w:val="32"/>
          <w:lang w:eastAsia="zh-CN"/>
        </w:rPr>
        <w:t>质量</w:t>
      </w:r>
      <w:r>
        <w:rPr>
          <w:spacing w:val="-13"/>
          <w:sz w:val="32"/>
          <w:szCs w:val="32"/>
        </w:rPr>
        <w:t>认证工作</w:t>
      </w:r>
      <w:r>
        <w:rPr>
          <w:rFonts w:hint="eastAsia"/>
          <w:spacing w:val="-13"/>
          <w:sz w:val="32"/>
          <w:szCs w:val="32"/>
          <w:lang w:eastAsia="zh-CN"/>
        </w:rPr>
        <w:t>。</w:t>
      </w:r>
      <w:r>
        <w:rPr>
          <w:spacing w:val="-13"/>
          <w:sz w:val="32"/>
          <w:szCs w:val="32"/>
        </w:rPr>
        <w:t>指导劳服企业实行股份合作制、综合配套改革和劳服企业产权界定工作；负责免费为各类失业无业人员办理《就业失业登记证》并为下岗失业人员和失地无业农民提供小额担保贷款服务，促进他们自谋职业、自主创业；负责指导和督促</w:t>
      </w:r>
      <w:r>
        <w:rPr>
          <w:rFonts w:hint="eastAsia"/>
          <w:spacing w:val="-13"/>
          <w:sz w:val="32"/>
          <w:szCs w:val="32"/>
          <w:lang w:eastAsia="zh-CN"/>
        </w:rPr>
        <w:t>各乡镇劳动保障</w:t>
      </w:r>
      <w:r>
        <w:rPr>
          <w:spacing w:val="-13"/>
          <w:sz w:val="32"/>
          <w:szCs w:val="32"/>
        </w:rPr>
        <w:t>所开展农村劳动力培训、转移、输出工作，加快农村劳动力向非农产业转移，增加农民收入；负责全县劳动就业、失业保险的有关情况和数据的收集、统计分析报告工作，开展就业预测预报。完成</w:t>
      </w:r>
      <w:r>
        <w:rPr>
          <w:rFonts w:hint="eastAsia"/>
          <w:spacing w:val="-13"/>
          <w:sz w:val="32"/>
          <w:szCs w:val="32"/>
          <w:lang w:eastAsia="zh-CN"/>
        </w:rPr>
        <w:t>县委、县政府</w:t>
      </w:r>
      <w:r>
        <w:rPr>
          <w:spacing w:val="-13"/>
          <w:sz w:val="32"/>
          <w:szCs w:val="32"/>
        </w:rPr>
        <w:t>领导交办的</w:t>
      </w:r>
      <w:bookmarkStart w:id="65" w:name="_GoBack"/>
      <w:bookmarkEnd w:id="65"/>
      <w:r>
        <w:rPr>
          <w:spacing w:val="-13"/>
          <w:sz w:val="32"/>
          <w:szCs w:val="32"/>
        </w:rPr>
        <w:t>其他工作。</w:t>
      </w:r>
    </w:p>
    <w:p>
      <w:pPr>
        <w:keepNext w:val="0"/>
        <w:keepLines w:val="0"/>
        <w:pageBreakBefore w:val="0"/>
        <w:widowControl w:val="0"/>
        <w:kinsoku/>
        <w:wordWrap/>
        <w:overflowPunct/>
        <w:topLinePunct w:val="0"/>
        <w:autoSpaceDE/>
        <w:autoSpaceDN/>
        <w:bidi w:val="0"/>
        <w:adjustRightInd/>
        <w:snapToGrid/>
        <w:spacing w:line="560" w:lineRule="exact"/>
        <w:ind w:left="0" w:right="0" w:firstLine="728" w:firstLineChars="200"/>
        <w:jc w:val="left"/>
        <w:textAlignment w:val="auto"/>
        <w:rPr>
          <w:rFonts w:hint="eastAsia" w:ascii="楷体" w:hAnsi="楷体" w:eastAsia="楷体" w:cs="楷体"/>
          <w:spacing w:val="22"/>
          <w:sz w:val="32"/>
          <w:szCs w:val="32"/>
          <w:lang w:eastAsia="zh-CN"/>
        </w:rPr>
      </w:pPr>
      <w:r>
        <w:rPr>
          <w:rFonts w:hint="eastAsia" w:ascii="楷体" w:hAnsi="楷体" w:eastAsia="楷体" w:cs="楷体"/>
          <w:spacing w:val="22"/>
          <w:sz w:val="32"/>
          <w:szCs w:val="32"/>
          <w:lang w:eastAsia="zh-CN"/>
        </w:rPr>
        <w:t>（三）人员概况</w:t>
      </w:r>
    </w:p>
    <w:p>
      <w:pPr>
        <w:pStyle w:val="5"/>
        <w:keepNext w:val="0"/>
        <w:keepLines w:val="0"/>
        <w:pageBreakBefore w:val="0"/>
        <w:widowControl w:val="0"/>
        <w:numPr>
          <w:ilvl w:val="0"/>
          <w:numId w:val="0"/>
        </w:numPr>
        <w:kinsoku/>
        <w:wordWrap/>
        <w:overflowPunct/>
        <w:topLinePunct w:val="0"/>
        <w:autoSpaceDE/>
        <w:autoSpaceDN/>
        <w:bidi w:val="0"/>
        <w:adjustRightInd/>
        <w:snapToGrid/>
        <w:spacing w:beforeLines="0" w:line="560" w:lineRule="exact"/>
        <w:ind w:right="0" w:rightChars="0" w:firstLine="588" w:firstLineChars="200"/>
        <w:jc w:val="left"/>
        <w:textAlignment w:val="auto"/>
      </w:pPr>
      <w:r>
        <w:rPr>
          <w:rFonts w:hint="eastAsia"/>
          <w:spacing w:val="-13"/>
          <w:sz w:val="32"/>
          <w:szCs w:val="32"/>
          <w:lang w:val="en-US" w:eastAsia="zh-CN"/>
        </w:rPr>
        <w:t>截至</w:t>
      </w:r>
      <w:r>
        <w:rPr>
          <w:spacing w:val="-13"/>
          <w:sz w:val="32"/>
          <w:szCs w:val="32"/>
          <w:lang w:val="en-US" w:eastAsia="zh-CN"/>
        </w:rPr>
        <w:t>2025年12月底，壤塘县就业服务中心总编制13名，其中：行政编制9人，行政工勤1人，事业编制3人。</w:t>
      </w:r>
    </w:p>
    <w:p>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left"/>
        <w:textAlignment w:val="auto"/>
        <w:rPr>
          <w:rFonts w:ascii="黑体" w:hAnsi="黑体" w:eastAsia="黑体" w:cs="黑体"/>
          <w:sz w:val="32"/>
          <w:szCs w:val="32"/>
        </w:rPr>
      </w:pPr>
      <w:r>
        <w:rPr>
          <w:rFonts w:ascii="黑体" w:hAnsi="黑体" w:eastAsia="黑体" w:cs="黑体"/>
          <w:sz w:val="32"/>
          <w:szCs w:val="32"/>
        </w:rPr>
        <w:t>二、部门资金收支情况</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668" w:firstLineChars="200"/>
        <w:jc w:val="left"/>
        <w:textAlignment w:val="auto"/>
      </w:pPr>
      <w:r>
        <w:rPr>
          <w:rFonts w:hint="eastAsia" w:ascii="楷体" w:hAnsi="楷体" w:eastAsia="楷体" w:cs="楷体"/>
          <w:spacing w:val="7"/>
          <w:sz w:val="32"/>
          <w:szCs w:val="32"/>
          <w:lang w:eastAsia="zh-CN"/>
        </w:rPr>
        <w:t>（一）</w:t>
      </w:r>
      <w:r>
        <w:rPr>
          <w:spacing w:val="-13"/>
          <w:sz w:val="32"/>
          <w:szCs w:val="32"/>
          <w:lang w:val="en-US" w:eastAsia="zh-CN"/>
        </w:rPr>
        <w:t>收入情况</w:t>
      </w:r>
      <w:r>
        <w:rPr>
          <w:rFonts w:ascii="楷体" w:hAnsi="楷体" w:eastAsia="楷体" w:cs="楷体"/>
          <w:spacing w:val="7"/>
        </w:rPr>
        <w:t>。</w:t>
      </w:r>
      <w:r>
        <w:rPr>
          <w:spacing w:val="-13"/>
          <w:sz w:val="32"/>
          <w:szCs w:val="32"/>
          <w:lang w:val="en-US" w:eastAsia="zh-CN"/>
        </w:rPr>
        <w:t>2025年财政下达壤塘县就业服务中心年初预算收入279.61万元，执行期中追加收入681.74万元，全年实际收入合计为961.35万元，本年度无财政应返还额度。</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624" w:firstLineChars="200"/>
        <w:jc w:val="left"/>
        <w:textAlignment w:val="auto"/>
        <w:rPr>
          <w:spacing w:val="-13"/>
          <w:sz w:val="32"/>
          <w:szCs w:val="32"/>
          <w:lang w:val="en-US" w:eastAsia="zh-CN"/>
        </w:rPr>
      </w:pPr>
      <w:r>
        <w:rPr>
          <w:rFonts w:hint="eastAsia" w:ascii="楷体" w:hAnsi="楷体" w:eastAsia="楷体" w:cs="楷体"/>
          <w:spacing w:val="6"/>
          <w:lang w:eastAsia="zh-CN"/>
        </w:rPr>
        <w:t>（二）</w:t>
      </w:r>
      <w:r>
        <w:rPr>
          <w:rFonts w:ascii="楷体" w:hAnsi="楷体" w:eastAsia="楷体" w:cs="楷体"/>
          <w:spacing w:val="6"/>
        </w:rPr>
        <w:t>支出情况。</w:t>
      </w:r>
      <w:r>
        <w:rPr>
          <w:spacing w:val="-13"/>
          <w:sz w:val="32"/>
          <w:szCs w:val="32"/>
          <w:lang w:val="en-US" w:eastAsia="zh-CN"/>
        </w:rPr>
        <w:t>2025年财政拨款支出合计961.35万元，其中：基本支出316.07万元，占32.88%</w:t>
      </w:r>
      <w:r>
        <w:rPr>
          <w:rFonts w:hint="eastAsia"/>
          <w:spacing w:val="-13"/>
          <w:sz w:val="32"/>
          <w:szCs w:val="32"/>
          <w:lang w:val="en-US" w:eastAsia="zh-CN"/>
        </w:rPr>
        <w:t>；</w:t>
      </w:r>
      <w:r>
        <w:rPr>
          <w:spacing w:val="-13"/>
          <w:sz w:val="32"/>
          <w:szCs w:val="32"/>
          <w:lang w:val="en-US" w:eastAsia="zh-CN"/>
        </w:rPr>
        <w:t>项目支出645.27万元，占67.12%。</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668" w:firstLineChars="200"/>
        <w:jc w:val="left"/>
        <w:textAlignment w:val="auto"/>
        <w:rPr>
          <w:spacing w:val="-13"/>
          <w:sz w:val="32"/>
          <w:szCs w:val="32"/>
          <w:lang w:val="en-US" w:eastAsia="zh-CN"/>
        </w:rPr>
      </w:pPr>
      <w:r>
        <w:rPr>
          <w:rFonts w:hint="eastAsia" w:ascii="楷体" w:hAnsi="楷体" w:eastAsia="楷体" w:cs="楷体"/>
          <w:spacing w:val="12"/>
          <w:sz w:val="31"/>
          <w:szCs w:val="31"/>
          <w:lang w:eastAsia="zh-CN"/>
        </w:rPr>
        <w:t>（三）</w:t>
      </w:r>
      <w:r>
        <w:rPr>
          <w:rFonts w:ascii="楷体" w:hAnsi="楷体" w:eastAsia="楷体" w:cs="楷体"/>
          <w:spacing w:val="12"/>
          <w:sz w:val="31"/>
          <w:szCs w:val="31"/>
        </w:rPr>
        <w:t>结余分配和结转结余情况。</w:t>
      </w:r>
      <w:r>
        <w:rPr>
          <w:spacing w:val="12"/>
          <w:sz w:val="31"/>
          <w:szCs w:val="31"/>
        </w:rPr>
        <w:t>2</w:t>
      </w:r>
      <w:r>
        <w:rPr>
          <w:spacing w:val="-13"/>
          <w:sz w:val="32"/>
          <w:szCs w:val="32"/>
          <w:lang w:val="en-US" w:eastAsia="zh-CN"/>
        </w:rPr>
        <w:t>025年年初预算支出合计279.61万元，全年预算支出合计961.35万元，全年支出决算支出合计961.35万元，无结余分配和结转结余情况。</w:t>
      </w:r>
    </w:p>
    <w:p>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left"/>
        <w:textAlignment w:val="auto"/>
        <w:rPr>
          <w:rFonts w:ascii="黑体" w:hAnsi="黑体" w:eastAsia="黑体" w:cs="黑体"/>
          <w:sz w:val="32"/>
          <w:szCs w:val="32"/>
        </w:rPr>
      </w:pPr>
      <w:r>
        <w:rPr>
          <w:rFonts w:ascii="黑体" w:hAnsi="黑体" w:eastAsia="黑体" w:cs="黑体"/>
          <w:sz w:val="32"/>
          <w:szCs w:val="32"/>
        </w:rPr>
        <w:t>三、部门预算绩效分析</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656" w:firstLineChars="200"/>
        <w:jc w:val="left"/>
        <w:textAlignment w:val="auto"/>
        <w:rPr>
          <w:spacing w:val="-13"/>
          <w:sz w:val="32"/>
          <w:szCs w:val="32"/>
          <w:lang w:val="en-US" w:eastAsia="zh-CN"/>
        </w:rPr>
      </w:pPr>
      <w:r>
        <w:rPr>
          <w:rFonts w:hint="eastAsia" w:ascii="楷体" w:hAnsi="楷体" w:eastAsia="楷体" w:cs="楷体"/>
          <w:spacing w:val="14"/>
          <w:lang w:eastAsia="zh-CN"/>
        </w:rPr>
        <w:t>（一）</w:t>
      </w:r>
      <w:r>
        <w:rPr>
          <w:spacing w:val="-13"/>
          <w:sz w:val="32"/>
          <w:szCs w:val="32"/>
          <w:lang w:val="en-US" w:eastAsia="zh-CN"/>
        </w:rPr>
        <w:t>部门预算总体绩效分析</w:t>
      </w:r>
      <w:r>
        <w:rPr>
          <w:rFonts w:ascii="楷体" w:hAnsi="楷体" w:eastAsia="楷体" w:cs="楷体"/>
          <w:spacing w:val="14"/>
        </w:rPr>
        <w:t>。</w:t>
      </w:r>
      <w:r>
        <w:rPr>
          <w:spacing w:val="-13"/>
          <w:sz w:val="32"/>
          <w:szCs w:val="32"/>
          <w:lang w:val="en-US" w:eastAsia="zh-CN"/>
        </w:rPr>
        <w:t>本部门结合2025年度预算执行、职能履职、管理运营等实际情况，对照部门预算绩效评价指标体系，对总体绩效涉及的5项二级指标、14项三级指标逐项开展绩效分析与评分，总体绩效指标满分65分，自评得分57分，整体绩效完成情况良好。</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1.履职效能。本项指标满分15分，自评得分14分。围绕部门核心职能，选定就业技能培训、重点群体就业帮扶、就业创业服务保障3项核心职能目标开展绩效分析，各项核心职能目标均超额完成年度任务：</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就业技能培训方面，年度目标开展技能培训≥10期，实际完成1期，完成率110%</w:t>
      </w:r>
      <w:r>
        <w:rPr>
          <w:rFonts w:hint="eastAsia"/>
          <w:spacing w:val="-13"/>
          <w:sz w:val="32"/>
          <w:szCs w:val="32"/>
          <w:lang w:val="en-US" w:eastAsia="zh-CN"/>
        </w:rPr>
        <w:t>，</w:t>
      </w:r>
      <w:r>
        <w:rPr>
          <w:spacing w:val="-13"/>
          <w:sz w:val="32"/>
          <w:szCs w:val="32"/>
          <w:lang w:val="en-US" w:eastAsia="zh-CN"/>
        </w:rPr>
        <w:t>有效提升了城乡劳动者职业技能水平与就业竞争力；</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重点群体就业帮扶方面，年度目标青年见习人数≥15人、公益性岗位安置人数≥150人，实际分别完成34人、267人，完成率分别达226.67%、178%</w:t>
      </w:r>
      <w:r>
        <w:rPr>
          <w:rFonts w:hint="eastAsia"/>
          <w:spacing w:val="-13"/>
          <w:sz w:val="32"/>
          <w:szCs w:val="32"/>
          <w:lang w:val="en-US" w:eastAsia="zh-CN"/>
        </w:rPr>
        <w:t>，</w:t>
      </w:r>
      <w:r>
        <w:rPr>
          <w:spacing w:val="-13"/>
          <w:sz w:val="32"/>
          <w:szCs w:val="32"/>
          <w:lang w:val="en-US" w:eastAsia="zh-CN"/>
        </w:rPr>
        <w:t>切实为失业人员、就业困难群体搭建了就业桥梁；</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就业创业服务保障方面，年度目标城镇新增就业人数≥280人、失业人员再就业人数≥10人、就业困难人员再就业人数≥4人，实际分别完成300人、15人、4人，各项指标均达标或超额完成，有效落实了就业优先政策，维护了县域就业局势稳定。本项指标仅扣1分，主要为部分就业服务工作的精细化、长效化管理仍有小幅提升空间，整体履职效能符合预期。</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2.预算管理。本项指标满分25分，自评得分20分。围绕预算编制、收入统筹、支出执行、结余管控、一般性支出严控6项核心维度开展分析：</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预算编制质量：年度指标分值8分，自评得分6分。2025年本部门年初预算收入279.61万元，执行期中追加收入681.74万元，全年实际收入合计961.35万元，年初预算与全年执行数存在一定偏离，预算编制的科学性、前瞻性仍有提升空间，扣减2分；</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单位收入统筹：年度指标分值4分，自评得分4分。本部门2025年度收入全部为财政拨款收入，无自有收入，收入统筹度达100%</w:t>
      </w:r>
      <w:r>
        <w:rPr>
          <w:rFonts w:hint="eastAsia"/>
          <w:spacing w:val="-13"/>
          <w:sz w:val="32"/>
          <w:szCs w:val="32"/>
          <w:lang w:val="en-US" w:eastAsia="zh-CN"/>
        </w:rPr>
        <w:t>，</w:t>
      </w:r>
      <w:r>
        <w:rPr>
          <w:spacing w:val="-13"/>
          <w:sz w:val="32"/>
          <w:szCs w:val="32"/>
          <w:lang w:val="en-US" w:eastAsia="zh-CN"/>
        </w:rPr>
        <w:t>严格落实了收入统筹管理要求，该项指标</w:t>
      </w:r>
      <w:r>
        <w:rPr>
          <w:rFonts w:hint="eastAsia"/>
          <w:spacing w:val="-13"/>
          <w:sz w:val="32"/>
          <w:szCs w:val="32"/>
          <w:lang w:val="en-US" w:eastAsia="zh-CN"/>
        </w:rPr>
        <w:t>拿满分</w:t>
      </w:r>
      <w:r>
        <w:rPr>
          <w:spacing w:val="-13"/>
          <w:sz w:val="32"/>
          <w:szCs w:val="32"/>
          <w:lang w:val="en-US" w:eastAsia="zh-CN"/>
        </w:rPr>
        <w:t>；</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支出执行管理：年度指标分值6分，自评得分4分。2025年本部门全年财政拨款支出合计961.35万元，与全年收入完全匹配，整体执行率100%</w:t>
      </w:r>
      <w:r>
        <w:rPr>
          <w:rFonts w:hint="eastAsia"/>
          <w:spacing w:val="-13"/>
          <w:sz w:val="32"/>
          <w:szCs w:val="32"/>
          <w:lang w:val="en-US" w:eastAsia="zh-CN"/>
        </w:rPr>
        <w:t>，</w:t>
      </w:r>
      <w:r>
        <w:rPr>
          <w:spacing w:val="-13"/>
          <w:sz w:val="32"/>
          <w:szCs w:val="32"/>
          <w:lang w:val="en-US" w:eastAsia="zh-CN"/>
        </w:rPr>
        <w:t>但年中阶段性预算执行进度未</w:t>
      </w:r>
      <w:r>
        <w:rPr>
          <w:rFonts w:hint="eastAsia"/>
          <w:spacing w:val="-13"/>
          <w:sz w:val="32"/>
          <w:szCs w:val="32"/>
          <w:lang w:val="en-US" w:eastAsia="zh-CN"/>
        </w:rPr>
        <w:t>达到</w:t>
      </w:r>
      <w:r>
        <w:rPr>
          <w:spacing w:val="-13"/>
          <w:sz w:val="32"/>
          <w:szCs w:val="32"/>
          <w:lang w:val="en-US" w:eastAsia="zh-CN"/>
        </w:rPr>
        <w:t>预期，支出执行的均衡性仍需优化，扣减2分；</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预算年终结余：年度指标分值2分，自评得分2分。2025年本部门全年支出决算与预算支出完全匹配，无结余分配和结转结余情况，严格落实了预算结余管控要求，该项指标</w:t>
      </w:r>
      <w:r>
        <w:rPr>
          <w:rFonts w:hint="eastAsia"/>
          <w:spacing w:val="-13"/>
          <w:sz w:val="32"/>
          <w:szCs w:val="32"/>
          <w:lang w:val="en-US" w:eastAsia="zh-CN"/>
        </w:rPr>
        <w:t>拿满分</w:t>
      </w:r>
      <w:r>
        <w:rPr>
          <w:spacing w:val="-13"/>
          <w:sz w:val="32"/>
          <w:szCs w:val="32"/>
          <w:lang w:val="en-US" w:eastAsia="zh-CN"/>
        </w:rPr>
        <w:t>；</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严控一般性支出：年度指标分值5分，自评得分4分。本部门严格落实“三公”经费、会议、培训、差旅等一般性支出管控要求，全年一般性支出未超预算规模，但部分支出的精细化管控仍有优化空间，扣减1分。</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3.财务管理。本项指标满分10分，自评得分9分。围绕财务管理制度、岗位设置、资金使用规范3</w:t>
      </w:r>
      <w:r>
        <w:rPr>
          <w:rFonts w:hint="eastAsia"/>
          <w:spacing w:val="-13"/>
          <w:sz w:val="32"/>
          <w:szCs w:val="32"/>
          <w:lang w:val="en-US" w:eastAsia="zh-CN"/>
        </w:rPr>
        <w:t>个</w:t>
      </w:r>
      <w:r>
        <w:rPr>
          <w:spacing w:val="-13"/>
          <w:sz w:val="32"/>
          <w:szCs w:val="32"/>
          <w:lang w:val="en-US" w:eastAsia="zh-CN"/>
        </w:rPr>
        <w:t>维度开展分析：</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财务管理制度：年度指标分值4分，自评得分3分。</w:t>
      </w:r>
      <w:r>
        <w:rPr>
          <w:rFonts w:hint="eastAsia"/>
          <w:spacing w:val="-13"/>
          <w:sz w:val="32"/>
          <w:szCs w:val="32"/>
          <w:lang w:val="en-US" w:eastAsia="zh-CN"/>
        </w:rPr>
        <w:t>本部门</w:t>
      </w:r>
      <w:r>
        <w:rPr>
          <w:spacing w:val="-13"/>
          <w:sz w:val="32"/>
          <w:szCs w:val="32"/>
          <w:lang w:val="en-US" w:eastAsia="zh-CN"/>
        </w:rPr>
        <w:t>已建立健全覆盖资金收支、核算管理、内控监督的财务管理</w:t>
      </w:r>
      <w:r>
        <w:rPr>
          <w:rFonts w:hint="eastAsia"/>
          <w:spacing w:val="-13"/>
          <w:sz w:val="32"/>
          <w:szCs w:val="32"/>
          <w:lang w:val="en-US" w:eastAsia="zh-CN"/>
        </w:rPr>
        <w:t>制度</w:t>
      </w:r>
      <w:r>
        <w:rPr>
          <w:spacing w:val="-13"/>
          <w:sz w:val="32"/>
          <w:szCs w:val="32"/>
          <w:lang w:val="en-US" w:eastAsia="zh-CN"/>
        </w:rPr>
        <w:t>体系，制度执行整体规范，但制度的精细化、适配性仍有小幅优化空间，扣减1分；</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财务岗位设置：年度指标分值2分，自评得分2分。</w:t>
      </w:r>
      <w:r>
        <w:rPr>
          <w:rFonts w:hint="eastAsia"/>
          <w:spacing w:val="-13"/>
          <w:sz w:val="32"/>
          <w:szCs w:val="32"/>
          <w:lang w:val="en-US" w:eastAsia="zh-CN"/>
        </w:rPr>
        <w:t>本部门</w:t>
      </w:r>
      <w:r>
        <w:rPr>
          <w:spacing w:val="-13"/>
          <w:sz w:val="32"/>
          <w:szCs w:val="32"/>
          <w:lang w:val="en-US" w:eastAsia="zh-CN"/>
        </w:rPr>
        <w:t>严格按照财务管理制度要求，设置了会计、出纳等相互分离的财务岗位，岗位职责清晰、权责划分明确，符合财务管理相关</w:t>
      </w:r>
      <w:r>
        <w:rPr>
          <w:rFonts w:hint="eastAsia"/>
          <w:spacing w:val="-13"/>
          <w:sz w:val="32"/>
          <w:szCs w:val="32"/>
          <w:lang w:val="en-US" w:eastAsia="zh-CN"/>
        </w:rPr>
        <w:t>规范</w:t>
      </w:r>
      <w:r>
        <w:rPr>
          <w:spacing w:val="-13"/>
          <w:sz w:val="32"/>
          <w:szCs w:val="32"/>
          <w:lang w:val="en-US" w:eastAsia="zh-CN"/>
        </w:rPr>
        <w:t>，该项指标</w:t>
      </w:r>
      <w:r>
        <w:rPr>
          <w:rFonts w:hint="eastAsia"/>
          <w:spacing w:val="-13"/>
          <w:sz w:val="32"/>
          <w:szCs w:val="32"/>
          <w:lang w:val="en-US" w:eastAsia="zh-CN"/>
        </w:rPr>
        <w:t>拿满分</w:t>
      </w:r>
      <w:r>
        <w:rPr>
          <w:spacing w:val="-13"/>
          <w:sz w:val="32"/>
          <w:szCs w:val="32"/>
          <w:lang w:val="en-US" w:eastAsia="zh-CN"/>
        </w:rPr>
        <w:t>；</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资金使用规范：年度指标分值4分，自评得分4分。本部门2025年度所有资金使用均严格遵循财务管理制度与预算</w:t>
      </w:r>
      <w:r>
        <w:rPr>
          <w:rFonts w:hint="eastAsia"/>
          <w:spacing w:val="-13"/>
          <w:sz w:val="32"/>
          <w:szCs w:val="32"/>
          <w:lang w:val="en-US" w:eastAsia="zh-CN"/>
        </w:rPr>
        <w:t>批复</w:t>
      </w:r>
      <w:r>
        <w:rPr>
          <w:spacing w:val="-13"/>
          <w:sz w:val="32"/>
          <w:szCs w:val="32"/>
          <w:lang w:val="en-US" w:eastAsia="zh-CN"/>
        </w:rPr>
        <w:t>要求，无违规列支、超范围使用资金等情况，资金使用合规性、规范性达标，该项指标</w:t>
      </w:r>
      <w:r>
        <w:rPr>
          <w:rFonts w:hint="eastAsia"/>
          <w:spacing w:val="-13"/>
          <w:sz w:val="32"/>
          <w:szCs w:val="32"/>
          <w:lang w:val="en-US" w:eastAsia="zh-CN"/>
        </w:rPr>
        <w:t>拿满分</w:t>
      </w:r>
      <w:r>
        <w:rPr>
          <w:spacing w:val="-13"/>
          <w:sz w:val="32"/>
          <w:szCs w:val="32"/>
          <w:lang w:val="en-US" w:eastAsia="zh-CN"/>
        </w:rPr>
        <w:t>。</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4.资产管理。本项指标满分9分，自评得分7分。围绕</w:t>
      </w:r>
      <w:r>
        <w:rPr>
          <w:rFonts w:hint="eastAsia"/>
          <w:spacing w:val="-13"/>
          <w:sz w:val="32"/>
          <w:szCs w:val="32"/>
          <w:lang w:val="en-US" w:eastAsia="zh-CN"/>
        </w:rPr>
        <w:t>人均</w:t>
      </w:r>
      <w:r>
        <w:rPr>
          <w:spacing w:val="-13"/>
          <w:sz w:val="32"/>
          <w:szCs w:val="32"/>
          <w:lang w:val="en-US" w:eastAsia="zh-CN"/>
        </w:rPr>
        <w:t>资产变化率、资产利用率、资产盘活率3</w:t>
      </w:r>
      <w:r>
        <w:rPr>
          <w:rFonts w:hint="eastAsia"/>
          <w:spacing w:val="-13"/>
          <w:sz w:val="32"/>
          <w:szCs w:val="32"/>
          <w:lang w:val="en-US" w:eastAsia="zh-CN"/>
        </w:rPr>
        <w:t>个</w:t>
      </w:r>
      <w:r>
        <w:rPr>
          <w:spacing w:val="-13"/>
          <w:sz w:val="32"/>
          <w:szCs w:val="32"/>
          <w:lang w:val="en-US" w:eastAsia="zh-CN"/>
        </w:rPr>
        <w:t>维度开展分析：</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人均资产变化率：年度指标分值3分，自评得分3分。2025年度本部门人均资产规模控制在合理区间，人均资产变化率符合资产管理相关要求，无超标准配置资产情况，该项指标</w:t>
      </w:r>
      <w:r>
        <w:rPr>
          <w:rFonts w:hint="eastAsia"/>
          <w:spacing w:val="-13"/>
          <w:sz w:val="32"/>
          <w:szCs w:val="32"/>
          <w:lang w:val="en-US" w:eastAsia="zh-CN"/>
        </w:rPr>
        <w:t>拿满分</w:t>
      </w:r>
      <w:r>
        <w:rPr>
          <w:spacing w:val="-13"/>
          <w:sz w:val="32"/>
          <w:szCs w:val="32"/>
          <w:lang w:val="en-US" w:eastAsia="zh-CN"/>
        </w:rPr>
        <w:t>；</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资产利用率：年度指标分值3分，自评得分1分。本部门部分固定资产</w:t>
      </w:r>
      <w:r>
        <w:rPr>
          <w:rFonts w:hint="eastAsia"/>
          <w:spacing w:val="-13"/>
          <w:sz w:val="32"/>
          <w:szCs w:val="32"/>
          <w:lang w:val="en-US" w:eastAsia="zh-CN"/>
        </w:rPr>
        <w:t>超过</w:t>
      </w:r>
      <w:r>
        <w:rPr>
          <w:spacing w:val="-13"/>
          <w:sz w:val="32"/>
          <w:szCs w:val="32"/>
          <w:lang w:val="en-US" w:eastAsia="zh-CN"/>
        </w:rPr>
        <w:t>最低使用年限仍在使用，资产更新、高效利用的管理机制仍需完善，资产利用率未</w:t>
      </w:r>
      <w:r>
        <w:rPr>
          <w:rFonts w:hint="eastAsia"/>
          <w:spacing w:val="-13"/>
          <w:sz w:val="32"/>
          <w:szCs w:val="32"/>
          <w:lang w:val="en-US" w:eastAsia="zh-CN"/>
        </w:rPr>
        <w:t>达到</w:t>
      </w:r>
      <w:r>
        <w:rPr>
          <w:spacing w:val="-13"/>
          <w:sz w:val="32"/>
          <w:szCs w:val="32"/>
          <w:lang w:val="en-US" w:eastAsia="zh-CN"/>
        </w:rPr>
        <w:t>最优水平，扣减2分；</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资产盘活率：年度指标分值3分，自评得分3分。本部门对闲置一年以上的固定资产全部完成盘活处置，无长期闲置资产浪费情况，资产盘活管理符合要求，该项指标</w:t>
      </w:r>
      <w:r>
        <w:rPr>
          <w:rFonts w:hint="eastAsia"/>
          <w:spacing w:val="-13"/>
          <w:sz w:val="32"/>
          <w:szCs w:val="32"/>
          <w:lang w:val="en-US" w:eastAsia="zh-CN"/>
        </w:rPr>
        <w:t>拿满分</w:t>
      </w:r>
      <w:r>
        <w:rPr>
          <w:spacing w:val="-13"/>
          <w:sz w:val="32"/>
          <w:szCs w:val="32"/>
          <w:lang w:val="en-US" w:eastAsia="zh-CN"/>
        </w:rPr>
        <w:t>。</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5.采购管理。本项指标满分6分，自评得分5分。围绕</w:t>
      </w:r>
      <w:r>
        <w:rPr>
          <w:rFonts w:hint="eastAsia"/>
          <w:spacing w:val="-13"/>
          <w:sz w:val="32"/>
          <w:szCs w:val="32"/>
          <w:lang w:val="en-US" w:eastAsia="zh-CN"/>
        </w:rPr>
        <w:t>支持</w:t>
      </w:r>
      <w:r>
        <w:rPr>
          <w:spacing w:val="-13"/>
          <w:sz w:val="32"/>
          <w:szCs w:val="32"/>
          <w:lang w:val="en-US" w:eastAsia="zh-CN"/>
        </w:rPr>
        <w:t>中小企业发展、采购执行率2</w:t>
      </w:r>
      <w:r>
        <w:rPr>
          <w:rFonts w:hint="eastAsia"/>
          <w:spacing w:val="-13"/>
          <w:sz w:val="32"/>
          <w:szCs w:val="32"/>
          <w:lang w:val="en-US" w:eastAsia="zh-CN"/>
        </w:rPr>
        <w:t>个</w:t>
      </w:r>
      <w:r>
        <w:rPr>
          <w:spacing w:val="-13"/>
          <w:sz w:val="32"/>
          <w:szCs w:val="32"/>
          <w:lang w:val="en-US" w:eastAsia="zh-CN"/>
        </w:rPr>
        <w:t>维度开展分析：</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支持中小企业发展：年度指标分值3分，自评得分2分。本部门严格执行政府采购促进中小企业发展相关管理办法，但在采购项目的中小企业预留份额、政策落地的精细化程度上仍有</w:t>
      </w:r>
      <w:r>
        <w:rPr>
          <w:rFonts w:hint="eastAsia"/>
          <w:spacing w:val="-13"/>
          <w:sz w:val="32"/>
          <w:szCs w:val="32"/>
          <w:lang w:val="en-US" w:eastAsia="zh-CN"/>
        </w:rPr>
        <w:t>提升</w:t>
      </w:r>
      <w:r>
        <w:rPr>
          <w:spacing w:val="-13"/>
          <w:sz w:val="32"/>
          <w:szCs w:val="32"/>
          <w:lang w:val="en-US" w:eastAsia="zh-CN"/>
        </w:rPr>
        <w:t>空间，扣减1分；</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采购执行率：年度指标分值3分，自评得分3分。本部门2025年度所有政府采购项目均按要求完成采购流程，项目资金支付比例达100%</w:t>
      </w:r>
      <w:r>
        <w:rPr>
          <w:rFonts w:hint="eastAsia"/>
          <w:spacing w:val="-13"/>
          <w:sz w:val="32"/>
          <w:szCs w:val="32"/>
          <w:lang w:val="en-US" w:eastAsia="zh-CN"/>
        </w:rPr>
        <w:t>，</w:t>
      </w:r>
      <w:r>
        <w:rPr>
          <w:spacing w:val="-13"/>
          <w:sz w:val="32"/>
          <w:szCs w:val="32"/>
          <w:lang w:val="en-US" w:eastAsia="zh-CN"/>
        </w:rPr>
        <w:t>采购执行率符合管理要求，该项指标</w:t>
      </w:r>
      <w:r>
        <w:rPr>
          <w:rFonts w:hint="eastAsia"/>
          <w:spacing w:val="-13"/>
          <w:sz w:val="32"/>
          <w:szCs w:val="32"/>
          <w:lang w:val="en-US" w:eastAsia="zh-CN"/>
        </w:rPr>
        <w:t>拿满分</w:t>
      </w:r>
      <w:r>
        <w:rPr>
          <w:spacing w:val="-13"/>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right="0" w:firstLine="692" w:firstLineChars="200"/>
        <w:jc w:val="left"/>
        <w:textAlignment w:val="auto"/>
        <w:rPr>
          <w:rFonts w:ascii="楷体" w:hAnsi="楷体" w:eastAsia="楷体" w:cs="楷体"/>
          <w:sz w:val="31"/>
          <w:szCs w:val="31"/>
        </w:rPr>
      </w:pPr>
      <w:r>
        <w:rPr>
          <w:rFonts w:hint="eastAsia" w:ascii="楷体" w:hAnsi="楷体" w:eastAsia="楷体" w:cs="楷体"/>
          <w:spacing w:val="18"/>
          <w:sz w:val="31"/>
          <w:szCs w:val="31"/>
          <w:lang w:eastAsia="zh-CN"/>
        </w:rPr>
        <w:t>（二）</w:t>
      </w:r>
      <w:r>
        <w:rPr>
          <w:rFonts w:ascii="楷体" w:hAnsi="楷体" w:eastAsia="楷体" w:cs="楷体"/>
          <w:spacing w:val="18"/>
          <w:sz w:val="31"/>
          <w:szCs w:val="31"/>
        </w:rPr>
        <w:t>部门预算项目绩效分析。</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对照部门预算绩效评价指标体系，本部门对项目绩效涉及的3项二级指标、9项三级指标逐项开展绩效分析与评分，项目</w:t>
      </w:r>
      <w:r>
        <w:rPr>
          <w:rFonts w:hint="eastAsia"/>
          <w:spacing w:val="-13"/>
          <w:sz w:val="32"/>
          <w:szCs w:val="32"/>
          <w:lang w:val="en-US" w:eastAsia="zh-CN"/>
        </w:rPr>
        <w:t>绩效</w:t>
      </w:r>
      <w:r>
        <w:rPr>
          <w:spacing w:val="-13"/>
          <w:sz w:val="32"/>
          <w:szCs w:val="32"/>
          <w:lang w:val="en-US" w:eastAsia="zh-CN"/>
        </w:rPr>
        <w:t>指标满分35分，自评得分29分，所有项目均按要求完成</w:t>
      </w:r>
      <w:r>
        <w:rPr>
          <w:rFonts w:hint="eastAsia"/>
          <w:spacing w:val="-13"/>
          <w:sz w:val="32"/>
          <w:szCs w:val="32"/>
          <w:lang w:val="en-US" w:eastAsia="zh-CN"/>
        </w:rPr>
        <w:t>年度</w:t>
      </w:r>
      <w:r>
        <w:rPr>
          <w:spacing w:val="-13"/>
          <w:sz w:val="32"/>
          <w:szCs w:val="32"/>
          <w:lang w:val="en-US" w:eastAsia="zh-CN"/>
        </w:rPr>
        <w:t>核心绩效目标，项目绩效管理整体规范，仅在部分管理环节</w:t>
      </w:r>
      <w:r>
        <w:rPr>
          <w:rFonts w:hint="eastAsia"/>
          <w:spacing w:val="-13"/>
          <w:sz w:val="32"/>
          <w:szCs w:val="32"/>
          <w:lang w:val="en-US" w:eastAsia="zh-CN"/>
        </w:rPr>
        <w:t>存在</w:t>
      </w:r>
      <w:r>
        <w:rPr>
          <w:spacing w:val="-13"/>
          <w:sz w:val="32"/>
          <w:szCs w:val="32"/>
          <w:lang w:val="en-US" w:eastAsia="zh-CN"/>
        </w:rPr>
        <w:t>小幅优化空间。</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1.项目决策</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本项指标满分12分，自评得分10分。围绕决策程序、</w:t>
      </w:r>
      <w:r>
        <w:rPr>
          <w:rFonts w:hint="eastAsia"/>
          <w:spacing w:val="-13"/>
          <w:sz w:val="32"/>
          <w:szCs w:val="32"/>
          <w:lang w:val="en-US" w:eastAsia="zh-CN"/>
        </w:rPr>
        <w:t>目标</w:t>
      </w:r>
      <w:r>
        <w:rPr>
          <w:spacing w:val="-13"/>
          <w:sz w:val="32"/>
          <w:szCs w:val="32"/>
          <w:lang w:val="en-US" w:eastAsia="zh-CN"/>
        </w:rPr>
        <w:t>设置、项目入库3</w:t>
      </w:r>
      <w:r>
        <w:rPr>
          <w:rFonts w:hint="eastAsia"/>
          <w:spacing w:val="-13"/>
          <w:sz w:val="32"/>
          <w:szCs w:val="32"/>
          <w:lang w:val="en-US" w:eastAsia="zh-CN"/>
        </w:rPr>
        <w:t>个</w:t>
      </w:r>
      <w:r>
        <w:rPr>
          <w:spacing w:val="-13"/>
          <w:sz w:val="32"/>
          <w:szCs w:val="32"/>
          <w:lang w:val="en-US" w:eastAsia="zh-CN"/>
        </w:rPr>
        <w:t>维度开展分析：</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决策程序：年度指标分值4分，自评得分4分。本部门</w:t>
      </w:r>
      <w:r>
        <w:rPr>
          <w:rFonts w:hint="eastAsia"/>
          <w:spacing w:val="-13"/>
          <w:sz w:val="32"/>
          <w:szCs w:val="32"/>
          <w:lang w:val="en-US" w:eastAsia="zh-CN"/>
        </w:rPr>
        <w:t>所有</w:t>
      </w:r>
      <w:r>
        <w:rPr>
          <w:spacing w:val="-13"/>
          <w:sz w:val="32"/>
          <w:szCs w:val="32"/>
          <w:lang w:val="en-US" w:eastAsia="zh-CN"/>
        </w:rPr>
        <w:t>17个预算项目均严格按照财政预算管理要求，履行了项目</w:t>
      </w:r>
      <w:r>
        <w:rPr>
          <w:rFonts w:hint="eastAsia"/>
          <w:spacing w:val="-13"/>
          <w:sz w:val="32"/>
          <w:szCs w:val="32"/>
          <w:lang w:val="en-US" w:eastAsia="zh-CN"/>
        </w:rPr>
        <w:t>评估</w:t>
      </w:r>
      <w:r>
        <w:rPr>
          <w:spacing w:val="-13"/>
          <w:sz w:val="32"/>
          <w:szCs w:val="32"/>
          <w:lang w:val="en-US" w:eastAsia="zh-CN"/>
        </w:rPr>
        <w:t>论证、申报审批等法定程序，项目设立的合规性、必要性论证充分，无违规设立、超范围申报项目情况，该项指标</w:t>
      </w:r>
      <w:r>
        <w:rPr>
          <w:rFonts w:hint="eastAsia"/>
          <w:spacing w:val="-13"/>
          <w:sz w:val="32"/>
          <w:szCs w:val="32"/>
          <w:lang w:val="en-US" w:eastAsia="zh-CN"/>
        </w:rPr>
        <w:t>拿满分</w:t>
      </w:r>
      <w:r>
        <w:rPr>
          <w:spacing w:val="-13"/>
          <w:sz w:val="32"/>
          <w:szCs w:val="32"/>
          <w:lang w:val="en-US" w:eastAsia="zh-CN"/>
        </w:rPr>
        <w:t>；</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目标设置：年度指标分值4分，自评得分3分。本部门</w:t>
      </w:r>
      <w:r>
        <w:rPr>
          <w:rFonts w:hint="eastAsia"/>
          <w:spacing w:val="-13"/>
          <w:sz w:val="32"/>
          <w:szCs w:val="32"/>
          <w:lang w:val="en-US" w:eastAsia="zh-CN"/>
        </w:rPr>
        <w:t>所有</w:t>
      </w:r>
      <w:r>
        <w:rPr>
          <w:spacing w:val="-13"/>
          <w:sz w:val="32"/>
          <w:szCs w:val="32"/>
          <w:lang w:val="en-US" w:eastAsia="zh-CN"/>
        </w:rPr>
        <w:t>项目均按要求设置了绩效目标，绩效目标与项目计划期内的</w:t>
      </w:r>
      <w:r>
        <w:rPr>
          <w:rFonts w:hint="eastAsia"/>
          <w:spacing w:val="-13"/>
          <w:sz w:val="32"/>
          <w:szCs w:val="32"/>
          <w:lang w:val="en-US" w:eastAsia="zh-CN"/>
        </w:rPr>
        <w:t>任务量</w:t>
      </w:r>
      <w:r>
        <w:rPr>
          <w:spacing w:val="-13"/>
          <w:sz w:val="32"/>
          <w:szCs w:val="32"/>
          <w:lang w:val="en-US" w:eastAsia="zh-CN"/>
        </w:rPr>
        <w:t>、预算安排资金量整体匹配，做到了量化细化、规范完整，但部分项目的绩效目标设置仍可进一步优化，与项目实施的实际场景适配性仍有小幅提升空间，扣减1分；</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项目入库：年度指标分值4分，自评得分3分。本部门</w:t>
      </w:r>
      <w:r>
        <w:rPr>
          <w:rFonts w:hint="eastAsia"/>
          <w:spacing w:val="-13"/>
          <w:sz w:val="32"/>
          <w:szCs w:val="32"/>
          <w:lang w:val="en-US" w:eastAsia="zh-CN"/>
        </w:rPr>
        <w:t>所有</w:t>
      </w:r>
      <w:r>
        <w:rPr>
          <w:spacing w:val="-13"/>
          <w:sz w:val="32"/>
          <w:szCs w:val="32"/>
          <w:lang w:val="en-US" w:eastAsia="zh-CN"/>
        </w:rPr>
        <w:t>预算项目均在财政部门规定的时间内完成项目入库管理，入库</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sectPr>
          <w:footerReference r:id="rId6" w:type="default"/>
          <w:pgSz w:w="11900" w:h="16820"/>
          <w:pgMar w:top="1429" w:right="1629" w:bottom="1028" w:left="1370" w:header="0" w:footer="743" w:gutter="0"/>
          <w:cols w:space="720" w:num="1"/>
        </w:sectPr>
      </w:pP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信息完整、规范，无逾期入库情况，但部分项目的入库信息精细化程度</w:t>
      </w:r>
      <w:r>
        <w:rPr>
          <w:rFonts w:hint="eastAsia"/>
          <w:spacing w:val="-13"/>
          <w:sz w:val="32"/>
          <w:szCs w:val="32"/>
          <w:lang w:val="en-US" w:eastAsia="zh-CN"/>
        </w:rPr>
        <w:t>仍待提升</w:t>
      </w:r>
      <w:r>
        <w:rPr>
          <w:spacing w:val="-13"/>
          <w:sz w:val="32"/>
          <w:szCs w:val="32"/>
          <w:lang w:val="en-US" w:eastAsia="zh-CN"/>
        </w:rPr>
        <w:t>，扣减1分。</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2.项目执行</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本项指标满分12分，自评得分9分。围绕执行同向、项目调整、执行结果3</w:t>
      </w:r>
      <w:r>
        <w:rPr>
          <w:rFonts w:hint="eastAsia"/>
          <w:spacing w:val="-13"/>
          <w:sz w:val="32"/>
          <w:szCs w:val="32"/>
          <w:lang w:val="en-US" w:eastAsia="zh-CN"/>
        </w:rPr>
        <w:t>个</w:t>
      </w:r>
      <w:r>
        <w:rPr>
          <w:spacing w:val="-13"/>
          <w:sz w:val="32"/>
          <w:szCs w:val="32"/>
          <w:lang w:val="en-US" w:eastAsia="zh-CN"/>
        </w:rPr>
        <w:t>维度开展分析：</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执行同向：年度指标分值4分，自评得分3分。本部门所有项目的实际列支内容、资金使用方向，均与项目批复的绩效目标设置方向整体相符，无超范围、超标准列支情况，但部分项目的资金使用与绩效目标的匹配度仍可进一步精细化优化，扣减1分；</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项目调整：年度指标分值4分，自评得分2分。本部门年度内针对项目执行中的变化情况，均按要求采取了对应调整措施，确保项目绩效目标顺利实现，但部分项目的调整措施的针对性、及时性仍有优化空间，项目调整的全流程管理仍需完善，扣减2分；</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执行结果：年度指标分值4分，自评得分4分。本部门所有项目均按计划完成年度建设、实施任务，项目预算执行情况良好，资金支付进度与项目实施进度完全匹配，无项目停滞、资金沉淀情况，执行结果符合年度预期，该项指标</w:t>
      </w:r>
      <w:r>
        <w:rPr>
          <w:rFonts w:hint="eastAsia"/>
          <w:spacing w:val="-13"/>
          <w:sz w:val="32"/>
          <w:szCs w:val="32"/>
          <w:lang w:val="en-US" w:eastAsia="zh-CN"/>
        </w:rPr>
        <w:t>拿满分</w:t>
      </w:r>
      <w:r>
        <w:rPr>
          <w:spacing w:val="-13"/>
          <w:sz w:val="32"/>
          <w:szCs w:val="32"/>
          <w:lang w:val="en-US" w:eastAsia="zh-CN"/>
        </w:rPr>
        <w:t>。</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3.目标实现</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本项指标满分11分，自评得分10分。围绕目标完成、目标偏离、实现效果3</w:t>
      </w:r>
      <w:r>
        <w:rPr>
          <w:rFonts w:hint="eastAsia"/>
          <w:spacing w:val="-13"/>
          <w:sz w:val="32"/>
          <w:szCs w:val="32"/>
          <w:lang w:val="en-US" w:eastAsia="zh-CN"/>
        </w:rPr>
        <w:t>个</w:t>
      </w:r>
      <w:r>
        <w:rPr>
          <w:spacing w:val="-13"/>
          <w:sz w:val="32"/>
          <w:szCs w:val="32"/>
          <w:lang w:val="en-US" w:eastAsia="zh-CN"/>
        </w:rPr>
        <w:t>维度开展分析：</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目标完成：年度指标分值4分，自评得分4分。本部门所有项目的绩效目标数量指标均100%完成，其中人员经费保障类项目、就业创业服务类核心项目的产出指标均超额完成年度目标，无未完成核心绩效目标的项目，该项指标</w:t>
      </w:r>
      <w:r>
        <w:rPr>
          <w:rFonts w:hint="eastAsia"/>
          <w:spacing w:val="-13"/>
          <w:sz w:val="32"/>
          <w:szCs w:val="32"/>
          <w:lang w:val="en-US" w:eastAsia="zh-CN"/>
        </w:rPr>
        <w:t>拿满分</w:t>
      </w:r>
      <w:r>
        <w:rPr>
          <w:spacing w:val="-13"/>
          <w:sz w:val="32"/>
          <w:szCs w:val="32"/>
          <w:lang w:val="en-US" w:eastAsia="zh-CN"/>
        </w:rPr>
        <w:t>；</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目标偏离：年度指标分值4分，自评得分3分。本部门所有项目的绩效目标数</w:t>
      </w:r>
      <w:r>
        <w:rPr>
          <w:rFonts w:hint="eastAsia"/>
          <w:spacing w:val="-13"/>
          <w:sz w:val="32"/>
          <w:szCs w:val="32"/>
          <w:lang w:val="en-US" w:eastAsia="zh-CN"/>
        </w:rPr>
        <w:t>量和</w:t>
      </w:r>
      <w:r>
        <w:rPr>
          <w:spacing w:val="-13"/>
          <w:sz w:val="32"/>
          <w:szCs w:val="32"/>
          <w:lang w:val="en-US" w:eastAsia="zh-CN"/>
        </w:rPr>
        <w:t>指标实现程度与预期目标整体无重大偏离，项目实施的实际产出、效益均达到或超过预期目标值，但部分项目的非核心指标实现程度与预期仍有小幅偏离，扣减1分；</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rFonts w:ascii="仿宋_GB2312" w:hAnsi="Times New Roman" w:eastAsia="仿宋_GB2312" w:cs="Times New Roman"/>
          <w:spacing w:val="-8"/>
          <w:kern w:val="0"/>
          <w:sz w:val="33"/>
          <w:szCs w:val="33"/>
          <w:lang w:val="en-US" w:eastAsia="zh-CN" w:bidi="ar-SA"/>
        </w:rPr>
      </w:pPr>
      <w:r>
        <w:rPr>
          <w:spacing w:val="-13"/>
          <w:sz w:val="32"/>
          <w:szCs w:val="32"/>
          <w:lang w:val="en-US" w:eastAsia="zh-CN"/>
        </w:rPr>
        <w:t>实现效果：年度指标分值3分，自评得分3分。本部门所有项目的实施均达到了预期的社会效益、政策效益，其中人员经费保障类项目足额保障了单位13名编制内职工的薪酬、社保待遇足额按时发放，切实维护了职工合法权益；财政就业创业补助资金等核心业务项目，有效落实了就业扶持政策，提升了县域就业服务水平，助力城乡劳动者就业创业，实现了社会效益与政策效益的高度统一，该项指标</w:t>
      </w:r>
      <w:r>
        <w:rPr>
          <w:rFonts w:hint="eastAsia"/>
          <w:spacing w:val="-13"/>
          <w:sz w:val="32"/>
          <w:szCs w:val="32"/>
          <w:lang w:val="en-US" w:eastAsia="zh-CN"/>
        </w:rPr>
        <w:t>拿满分</w:t>
      </w:r>
      <w:r>
        <w:rPr>
          <w:spacing w:val="-13"/>
          <w:sz w:val="32"/>
          <w:szCs w:val="32"/>
          <w:lang w:val="en-US" w:eastAsia="zh-CN"/>
        </w:rPr>
        <w:t>。</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728" w:firstLineChars="200"/>
        <w:jc w:val="left"/>
        <w:textAlignment w:val="auto"/>
        <w:rPr>
          <w:spacing w:val="-13"/>
          <w:sz w:val="32"/>
          <w:szCs w:val="32"/>
          <w:lang w:val="en-US" w:eastAsia="zh-CN"/>
        </w:rPr>
      </w:pPr>
      <w:r>
        <w:rPr>
          <w:rFonts w:hint="eastAsia" w:ascii="楷体" w:hAnsi="楷体" w:eastAsia="楷体" w:cs="楷体"/>
          <w:spacing w:val="22"/>
          <w:kern w:val="2"/>
          <w:sz w:val="32"/>
          <w:szCs w:val="32"/>
          <w:lang w:val="en-US" w:eastAsia="zh-CN" w:bidi="ar-SA"/>
        </w:rPr>
        <w:t>（三）绩效结果应用情况。</w:t>
      </w:r>
      <w:r>
        <w:rPr>
          <w:spacing w:val="-13"/>
          <w:sz w:val="32"/>
          <w:szCs w:val="32"/>
          <w:lang w:val="en-US" w:eastAsia="zh-CN"/>
        </w:rPr>
        <w:t>本部门高度重视预算绩效自评结果的转化应用，围绕内部管理、信息公开、整改反馈3个核心维度，建立健全绩效结果应用闭环管理机制，切实发挥绩效管理的约束与引导作用。</w:t>
      </w:r>
    </w:p>
    <w:p>
      <w:pPr>
        <w:keepNext w:val="0"/>
        <w:keepLines w:val="0"/>
        <w:pageBreakBefore w:val="0"/>
        <w:widowControl w:val="0"/>
        <w:kinsoku/>
        <w:wordWrap/>
        <w:overflowPunct/>
        <w:topLinePunct w:val="0"/>
        <w:autoSpaceDE/>
        <w:autoSpaceDN/>
        <w:bidi w:val="0"/>
        <w:adjustRightInd/>
        <w:snapToGrid/>
        <w:spacing w:line="560" w:lineRule="exact"/>
        <w:ind w:left="0" w:right="0" w:firstLine="728" w:firstLineChars="200"/>
        <w:jc w:val="left"/>
        <w:textAlignment w:val="auto"/>
        <w:rPr>
          <w:rFonts w:hint="eastAsia" w:ascii="楷体" w:hAnsi="楷体" w:eastAsia="楷体" w:cs="楷体"/>
          <w:spacing w:val="22"/>
          <w:sz w:val="32"/>
          <w:szCs w:val="32"/>
          <w:lang w:val="en-US" w:eastAsia="zh-CN"/>
        </w:rPr>
      </w:pPr>
      <w:r>
        <w:rPr>
          <w:rFonts w:hint="eastAsia" w:ascii="楷体" w:hAnsi="楷体" w:eastAsia="楷体" w:cs="楷体"/>
          <w:spacing w:val="22"/>
          <w:sz w:val="32"/>
          <w:szCs w:val="32"/>
          <w:lang w:val="en-US" w:eastAsia="zh-CN"/>
        </w:rPr>
        <w:t>1.内部应用情况</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一是将绩效自评结果与下一年度预算编制深度挂钩，针对本次自评中发现的预算编制质量有待提升、资产利用率偏低等问题，在2026年度预算编制中进一步细化预算编制颗粒度，优化项目预算测算，完善资产配置与更新计划，从源头提升预算管理的科学性；二是将</w:t>
      </w:r>
      <w:r>
        <w:rPr>
          <w:rFonts w:hint="eastAsia"/>
          <w:spacing w:val="-13"/>
          <w:sz w:val="32"/>
          <w:szCs w:val="32"/>
          <w:lang w:val="en-US" w:eastAsia="zh-CN"/>
        </w:rPr>
        <w:t>绩效考核结果纳入</w:t>
      </w:r>
      <w:r>
        <w:rPr>
          <w:spacing w:val="-13"/>
          <w:sz w:val="32"/>
          <w:szCs w:val="32"/>
          <w:lang w:val="en-US" w:eastAsia="zh-CN"/>
        </w:rPr>
        <w:t>部门内部管理考核体系，把绩效目标完成情况、预算执行情况与各科室、各岗位的年度考核直接挂钩，压实绩效管理主体责任，形成“预算编制有目标、预算执行有监控、预算完成有评价、评价结果有应用”的全流程管理机制；三是针对绩效自评中发现的管理短板，优化完善部门财务、资产、采购等内部管理制度，提升管理的精细化、规范化水平。</w:t>
      </w:r>
    </w:p>
    <w:p>
      <w:pPr>
        <w:keepNext w:val="0"/>
        <w:keepLines w:val="0"/>
        <w:pageBreakBefore w:val="0"/>
        <w:widowControl w:val="0"/>
        <w:kinsoku/>
        <w:wordWrap/>
        <w:overflowPunct/>
        <w:topLinePunct w:val="0"/>
        <w:autoSpaceDE/>
        <w:autoSpaceDN/>
        <w:bidi w:val="0"/>
        <w:adjustRightInd/>
        <w:snapToGrid/>
        <w:spacing w:line="560" w:lineRule="exact"/>
        <w:ind w:left="0" w:right="0" w:firstLine="728" w:firstLineChars="200"/>
        <w:jc w:val="left"/>
        <w:textAlignment w:val="auto"/>
        <w:rPr>
          <w:rFonts w:hint="eastAsia" w:ascii="楷体" w:hAnsi="楷体" w:eastAsia="楷体" w:cs="楷体"/>
          <w:spacing w:val="22"/>
          <w:sz w:val="32"/>
          <w:szCs w:val="32"/>
          <w:lang w:val="en-US" w:eastAsia="zh-CN"/>
        </w:rPr>
      </w:pPr>
      <w:r>
        <w:rPr>
          <w:rFonts w:hint="eastAsia" w:ascii="楷体" w:hAnsi="楷体" w:eastAsia="楷体" w:cs="楷体"/>
          <w:spacing w:val="22"/>
          <w:sz w:val="32"/>
          <w:szCs w:val="32"/>
          <w:lang w:val="en-US" w:eastAsia="zh-CN"/>
        </w:rPr>
        <w:t>2.信息公开情况</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本部门严格按照《中华人民共和国预算法》、财政部门预决算公开相关要求，在规定时限内，通过壤塘县人民政府官方门户网站等法定公开渠道，完整、准确、及时公开了2025年度部门预算、决算、“三公”经费、绩效自评报告等相关信息，主动接受社会各界监督。公开内容覆盖了部门收支总体情况、项目预算执行情况、绩效目标完成情况等核心内容，无隐瞒、遗漏、虚假公开情况，保障了社会公众的知情权与监督权。</w:t>
      </w:r>
    </w:p>
    <w:p>
      <w:pPr>
        <w:keepNext w:val="0"/>
        <w:keepLines w:val="0"/>
        <w:pageBreakBefore w:val="0"/>
        <w:widowControl w:val="0"/>
        <w:kinsoku/>
        <w:wordWrap/>
        <w:overflowPunct/>
        <w:topLinePunct w:val="0"/>
        <w:autoSpaceDE/>
        <w:autoSpaceDN/>
        <w:bidi w:val="0"/>
        <w:adjustRightInd/>
        <w:snapToGrid/>
        <w:spacing w:line="560" w:lineRule="exact"/>
        <w:ind w:left="0" w:right="0" w:firstLine="728" w:firstLineChars="200"/>
        <w:jc w:val="left"/>
        <w:textAlignment w:val="auto"/>
        <w:rPr>
          <w:rFonts w:hint="eastAsia" w:ascii="楷体" w:hAnsi="楷体" w:eastAsia="楷体" w:cs="楷体"/>
          <w:spacing w:val="22"/>
          <w:sz w:val="32"/>
          <w:szCs w:val="32"/>
          <w:lang w:val="en-US" w:eastAsia="zh-CN"/>
        </w:rPr>
      </w:pPr>
      <w:r>
        <w:rPr>
          <w:rFonts w:hint="eastAsia" w:ascii="楷体" w:hAnsi="楷体" w:eastAsia="楷体" w:cs="楷体"/>
          <w:spacing w:val="22"/>
          <w:sz w:val="32"/>
          <w:szCs w:val="32"/>
          <w:lang w:val="en-US" w:eastAsia="zh-CN"/>
        </w:rPr>
        <w:t>3.整改反馈情况</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spacing w:val="-13"/>
          <w:sz w:val="32"/>
          <w:szCs w:val="32"/>
          <w:lang w:val="en-US" w:eastAsia="zh-CN"/>
        </w:rPr>
      </w:pPr>
      <w:r>
        <w:rPr>
          <w:spacing w:val="-13"/>
          <w:sz w:val="32"/>
          <w:szCs w:val="32"/>
          <w:lang w:val="en-US" w:eastAsia="zh-CN"/>
        </w:rPr>
        <w:t>针对本次预算绩效自评中发现的预算编制前瞻性不足、支出执行均衡性有待优化、资产利用率偏低、一般性支出管控仍有空间等问题，本部门第一时间建立整改工作台账，逐项明确整改责任科室、责任人和整改时限，制定针对性整改措施，确保所有问题整改落地见效。同时，本部门将绩效自评发现的问题、整改措施及整改成效，及时向财政等相关主管部门反馈，主动接受主管部门的监督指导，形成“发现问题-整改落实-反馈提升”的绩效管理闭环，切实以整改促管理、以管理提绩效，持续提升部门预算绩效管理水平。</w:t>
      </w:r>
    </w:p>
    <w:p>
      <w:pPr>
        <w:keepNext w:val="0"/>
        <w:keepLines w:val="0"/>
        <w:pageBreakBefore w:val="0"/>
        <w:widowControl w:val="0"/>
        <w:kinsoku/>
        <w:wordWrap/>
        <w:overflowPunct/>
        <w:topLinePunct w:val="0"/>
        <w:autoSpaceDE/>
        <w:autoSpaceDN/>
        <w:bidi w:val="0"/>
        <w:adjustRightInd/>
        <w:snapToGrid/>
        <w:spacing w:line="560" w:lineRule="exact"/>
        <w:ind w:left="0" w:right="0" w:firstLine="632" w:firstLineChars="200"/>
        <w:jc w:val="left"/>
        <w:textAlignment w:val="auto"/>
        <w:rPr>
          <w:rFonts w:ascii="黑体" w:hAnsi="黑体" w:eastAsia="黑体" w:cs="黑体"/>
          <w:sz w:val="32"/>
          <w:szCs w:val="32"/>
        </w:rPr>
      </w:pPr>
      <w:r>
        <w:rPr>
          <w:rFonts w:ascii="黑体" w:hAnsi="黑体" w:eastAsia="黑体" w:cs="黑体"/>
          <w:spacing w:val="-2"/>
          <w:sz w:val="32"/>
          <w:szCs w:val="32"/>
        </w:rPr>
        <w:t>四、评价结论及建议</w:t>
      </w:r>
    </w:p>
    <w:p>
      <w:pPr>
        <w:keepNext w:val="0"/>
        <w:keepLines w:val="0"/>
        <w:pageBreakBefore w:val="0"/>
        <w:widowControl w:val="0"/>
        <w:kinsoku/>
        <w:wordWrap/>
        <w:overflowPunct/>
        <w:topLinePunct w:val="0"/>
        <w:autoSpaceDE/>
        <w:autoSpaceDN/>
        <w:bidi w:val="0"/>
        <w:adjustRightInd/>
        <w:snapToGrid/>
        <w:spacing w:line="560" w:lineRule="exact"/>
        <w:ind w:left="0" w:right="0" w:firstLine="728" w:firstLineChars="200"/>
        <w:jc w:val="left"/>
        <w:textAlignment w:val="auto"/>
        <w:rPr>
          <w:rFonts w:ascii="楷体" w:hAnsi="楷体" w:eastAsia="楷体" w:cs="楷体"/>
          <w:sz w:val="32"/>
          <w:szCs w:val="32"/>
        </w:rPr>
      </w:pPr>
      <w:r>
        <w:rPr>
          <w:rFonts w:ascii="楷体" w:hAnsi="楷体" w:eastAsia="楷体" w:cs="楷体"/>
          <w:spacing w:val="22"/>
          <w:sz w:val="32"/>
          <w:szCs w:val="32"/>
        </w:rPr>
        <w:t>(一)绩效评价总体结论</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rFonts w:hint="eastAsia"/>
          <w:spacing w:val="-13"/>
          <w:sz w:val="32"/>
          <w:szCs w:val="32"/>
          <w:lang w:val="en-US" w:eastAsia="zh-CN"/>
        </w:rPr>
      </w:pPr>
      <w:r>
        <w:rPr>
          <w:rFonts w:hint="eastAsia"/>
          <w:spacing w:val="-13"/>
          <w:sz w:val="32"/>
          <w:szCs w:val="32"/>
          <w:lang w:val="en-US" w:eastAsia="zh-CN"/>
        </w:rPr>
        <w:t>本次部门预算绩效评价严格对照《部门预算绩效评价指标体系》,围绕壤塘县就业服务中心2025年度预算执行、职能履职、项目实施、管理运营等全流程工作开展全面自评。经逐项评分，2025年度本部门预算绩效评价总分100分(含总体绩效65</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rFonts w:hint="eastAsia"/>
          <w:spacing w:val="-13"/>
          <w:sz w:val="32"/>
          <w:szCs w:val="32"/>
          <w:lang w:val="en-US" w:eastAsia="zh-CN"/>
        </w:rPr>
      </w:pPr>
      <w:r>
        <w:rPr>
          <w:rFonts w:hint="eastAsia"/>
          <w:spacing w:val="-13"/>
          <w:sz w:val="32"/>
          <w:szCs w:val="32"/>
          <w:lang w:val="en-US" w:eastAsia="zh-CN"/>
        </w:rPr>
        <w:t>分、项目绩效35分，自评得分86分，整体绩效完成情况良好，各项核心工作均达到或超额完成年度预期目标，预算管理、财务管理、项目管理等工作整体规范合规，绩效管理体系基本健全，绩效结果应用闭环有效落地。</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rFonts w:hint="eastAsia"/>
          <w:spacing w:val="-13"/>
          <w:sz w:val="32"/>
          <w:szCs w:val="32"/>
          <w:lang w:val="en-US" w:eastAsia="zh-CN"/>
        </w:rPr>
      </w:pPr>
      <w:r>
        <w:rPr>
          <w:rFonts w:hint="eastAsia"/>
          <w:spacing w:val="-13"/>
          <w:sz w:val="32"/>
          <w:szCs w:val="32"/>
          <w:lang w:val="en-US" w:eastAsia="zh-CN"/>
        </w:rPr>
        <w:t>主要绩效亮点体现在四个方面：</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rFonts w:hint="eastAsia"/>
          <w:spacing w:val="-13"/>
          <w:sz w:val="32"/>
          <w:szCs w:val="32"/>
          <w:lang w:val="en-US" w:eastAsia="zh-CN"/>
        </w:rPr>
      </w:pPr>
      <w:r>
        <w:rPr>
          <w:rFonts w:hint="eastAsia"/>
          <w:spacing w:val="-13"/>
          <w:sz w:val="32"/>
          <w:szCs w:val="32"/>
          <w:lang w:val="en-US" w:eastAsia="zh-CN"/>
        </w:rPr>
        <w:t>核心职能履职成效突出。2025年度本部门紧扣就业创业服务核心职能，全面落实就业优先政策，就业技能培训、重点群体就业帮扶、就业创业服务保障等核心职能目标均超额完成年度任务，其中青年见习人数、公益性岗位安置人数完成率均超170%，有效维护了县域就业局势稳定，切实发挥了就业服务部门的民生保障职能。</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rFonts w:hint="eastAsia"/>
          <w:spacing w:val="-13"/>
          <w:sz w:val="32"/>
          <w:szCs w:val="32"/>
          <w:lang w:val="en-US" w:eastAsia="zh-CN"/>
        </w:rPr>
      </w:pPr>
      <w:r>
        <w:rPr>
          <w:rFonts w:hint="eastAsia"/>
          <w:spacing w:val="-13"/>
          <w:sz w:val="32"/>
          <w:szCs w:val="32"/>
          <w:lang w:val="en-US" w:eastAsia="zh-CN"/>
        </w:rPr>
        <w:t>预算执行与财务管理整体规范。2025年度本部门财政拨款收支完全匹配，整体预算执行率达100%,无结转结余资金；收入统筹、资金使用、岗位设置等财务管理工作严格落实相关制度要求，无违规列支、超范围使用资金等情况，财务内控体系健全，资金使用合规性达标。</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rFonts w:hint="eastAsia"/>
          <w:spacing w:val="-13"/>
          <w:sz w:val="32"/>
          <w:szCs w:val="32"/>
          <w:lang w:val="en-US" w:eastAsia="zh-CN"/>
        </w:rPr>
      </w:pPr>
      <w:r>
        <w:rPr>
          <w:rFonts w:hint="eastAsia"/>
          <w:spacing w:val="-13"/>
          <w:sz w:val="32"/>
          <w:szCs w:val="32"/>
          <w:lang w:val="en-US" w:eastAsia="zh-CN"/>
        </w:rPr>
        <w:t>项目绩效管理闭环基本形成。2025年度本部门17个预算项目均严格履行决策程序，按要求设置绩效目标、完成项目入库，项目预算执行总体进度达95.72%,所有项目核心绩效目标均100%完成，实现了“决策-执行-目标实现”的全流程管理，项目实施的社会效益、政策效益充分显现。</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rFonts w:hint="eastAsia"/>
          <w:spacing w:val="-13"/>
          <w:sz w:val="32"/>
          <w:szCs w:val="32"/>
          <w:lang w:val="en-US" w:eastAsia="zh-CN"/>
        </w:rPr>
      </w:pPr>
      <w:r>
        <w:rPr>
          <w:rFonts w:hint="eastAsia"/>
          <w:spacing w:val="-13"/>
          <w:sz w:val="32"/>
          <w:szCs w:val="32"/>
          <w:lang w:val="en-US" w:eastAsia="zh-CN"/>
        </w:rPr>
        <w:t>绩效结果应用机制有效落地。本部门高度重视绩效自评结果转化，将绩效结果与下一年度预算编制、内部考核深度挂钩，针对自评发现的问题建立整改台账，形成“评价-整改-应用-提升”的闭环管理机制；同时严格落实预决算信息公开要求，主动接受社会监督，绩效管理透明度持续提升。</w:t>
      </w:r>
    </w:p>
    <w:p>
      <w:pPr>
        <w:keepNext w:val="0"/>
        <w:keepLines w:val="0"/>
        <w:pageBreakBefore w:val="0"/>
        <w:widowControl w:val="0"/>
        <w:kinsoku/>
        <w:wordWrap/>
        <w:overflowPunct/>
        <w:topLinePunct w:val="0"/>
        <w:autoSpaceDE/>
        <w:autoSpaceDN/>
        <w:bidi w:val="0"/>
        <w:adjustRightInd/>
        <w:snapToGrid/>
        <w:spacing w:line="560" w:lineRule="exact"/>
        <w:ind w:left="0" w:right="0" w:firstLine="728" w:firstLineChars="200"/>
        <w:jc w:val="left"/>
        <w:textAlignment w:val="auto"/>
        <w:rPr>
          <w:rFonts w:hint="eastAsia" w:ascii="楷体" w:hAnsi="楷体" w:eastAsia="楷体" w:cs="楷体"/>
          <w:spacing w:val="22"/>
          <w:sz w:val="32"/>
          <w:szCs w:val="32"/>
          <w:lang w:val="en-US" w:eastAsia="zh-CN"/>
        </w:rPr>
      </w:pPr>
      <w:r>
        <w:rPr>
          <w:rFonts w:hint="eastAsia" w:ascii="楷体" w:hAnsi="楷体" w:eastAsia="楷体" w:cs="楷体"/>
          <w:spacing w:val="22"/>
          <w:sz w:val="32"/>
          <w:szCs w:val="32"/>
          <w:lang w:val="en-US" w:eastAsia="zh-CN"/>
        </w:rPr>
        <w:t>(二)存在的主要问题</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rFonts w:hint="eastAsia"/>
          <w:spacing w:val="-13"/>
          <w:sz w:val="32"/>
          <w:szCs w:val="32"/>
          <w:lang w:val="en-US" w:eastAsia="zh-CN"/>
        </w:rPr>
      </w:pPr>
      <w:r>
        <w:rPr>
          <w:rFonts w:hint="eastAsia"/>
          <w:spacing w:val="-13"/>
          <w:sz w:val="32"/>
          <w:szCs w:val="32"/>
          <w:lang w:val="en-US" w:eastAsia="zh-CN"/>
        </w:rPr>
        <w:t>结合本次绩效自评结果，本部门预算绩效管理工作仍存在以下短板与不足，主要体现在五个方面：</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rFonts w:hint="eastAsia"/>
          <w:spacing w:val="-13"/>
          <w:sz w:val="32"/>
          <w:szCs w:val="32"/>
          <w:lang w:val="en-US" w:eastAsia="zh-CN"/>
        </w:rPr>
      </w:pPr>
      <w:r>
        <w:rPr>
          <w:rFonts w:hint="eastAsia"/>
          <w:spacing w:val="-13"/>
          <w:sz w:val="32"/>
          <w:szCs w:val="32"/>
          <w:lang w:val="en-US" w:eastAsia="zh-CN"/>
        </w:rPr>
        <w:t>预算编制的科学性与前瞻性不足。2025年度本部门年初预算收入与全年实际执行数存在较大偏离，年中追加收入规模较大，预算编制对年度工作的预判性、适配性不足，预算编制颗粒度仍需进一步细化，部分项目预算测算的精准度仍有提升空间。</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rFonts w:hint="eastAsia"/>
          <w:spacing w:val="-13"/>
          <w:sz w:val="32"/>
          <w:szCs w:val="32"/>
          <w:lang w:val="en-US" w:eastAsia="zh-CN"/>
        </w:rPr>
      </w:pPr>
      <w:r>
        <w:rPr>
          <w:rFonts w:hint="eastAsia"/>
          <w:spacing w:val="-13"/>
          <w:sz w:val="32"/>
          <w:szCs w:val="32"/>
          <w:lang w:val="en-US" w:eastAsia="zh-CN"/>
        </w:rPr>
        <w:t>预算执行的均衡性与精细化程度有待优化。虽然全年整体预算执行率达100%,但年中阶段性预算执行进度未达预期，支出执行的时间分布不够均衡；同时，一般性支出的精细化管控仍有短板，部分支出的管控精度仍需提升。</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rFonts w:hint="eastAsia"/>
          <w:spacing w:val="-13"/>
          <w:sz w:val="32"/>
          <w:szCs w:val="32"/>
          <w:lang w:val="en-US" w:eastAsia="zh-CN"/>
        </w:rPr>
      </w:pPr>
      <w:r>
        <w:rPr>
          <w:rFonts w:hint="eastAsia"/>
          <w:spacing w:val="-13"/>
          <w:sz w:val="32"/>
          <w:szCs w:val="32"/>
          <w:lang w:val="en-US" w:eastAsia="zh-CN"/>
        </w:rPr>
        <w:t>资产管理精细化水平不高。本部门部分固定资产超最低使用年限仍在使用，资产更新、高效利用的管理机制仍需完善，资产利用率未达最优水平；虽然闲置资产全部完成盘活，但资产全生命周期管理的精细化程度仍需提升。</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rFonts w:hint="eastAsia"/>
          <w:spacing w:val="-13"/>
          <w:sz w:val="32"/>
          <w:szCs w:val="32"/>
          <w:lang w:val="en-US" w:eastAsia="zh-CN"/>
        </w:rPr>
      </w:pPr>
      <w:r>
        <w:rPr>
          <w:rFonts w:hint="eastAsia"/>
          <w:spacing w:val="-13"/>
          <w:sz w:val="32"/>
          <w:szCs w:val="32"/>
          <w:lang w:val="en-US" w:eastAsia="zh-CN"/>
        </w:rPr>
        <w:t>项目绩效管理的精细化程度仍需提升。部分项目的绩效目标设置与项目实际场景的适配性仍有优化空间，项目入库信息的精细化程度不足；部分项目的资金使用与绩效目标的匹配度仍可进一步优化，项目调整措施的针对性、及时性仍有提升空间，非核心绩效目标的实现程度与预期仍有小幅偏离。</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rFonts w:hint="eastAsia"/>
          <w:spacing w:val="-13"/>
          <w:sz w:val="32"/>
          <w:szCs w:val="32"/>
          <w:lang w:val="en-US" w:eastAsia="zh-CN"/>
        </w:rPr>
      </w:pPr>
      <w:r>
        <w:rPr>
          <w:rFonts w:hint="eastAsia"/>
          <w:spacing w:val="-13"/>
          <w:sz w:val="32"/>
          <w:szCs w:val="32"/>
          <w:lang w:val="en-US" w:eastAsia="zh-CN"/>
        </w:rPr>
        <w:t>内部管理协同与工作配合效率有待加强。本次绩效评价工作中，部门相关科室的工作配合效率、资料报送的及时性仍有提升空间，内部工作协同机制仍需优化，绩效管理的全员参与度、责任落实度仍需进一步强化。</w:t>
      </w:r>
    </w:p>
    <w:p>
      <w:pPr>
        <w:keepNext w:val="0"/>
        <w:keepLines w:val="0"/>
        <w:pageBreakBefore w:val="0"/>
        <w:widowControl w:val="0"/>
        <w:kinsoku/>
        <w:wordWrap/>
        <w:overflowPunct/>
        <w:topLinePunct w:val="0"/>
        <w:autoSpaceDE/>
        <w:autoSpaceDN/>
        <w:bidi w:val="0"/>
        <w:adjustRightInd/>
        <w:snapToGrid/>
        <w:spacing w:line="560" w:lineRule="exact"/>
        <w:ind w:left="0" w:right="0" w:firstLine="728" w:firstLineChars="200"/>
        <w:jc w:val="left"/>
        <w:textAlignment w:val="auto"/>
        <w:rPr>
          <w:rFonts w:hint="eastAsia" w:ascii="楷体" w:hAnsi="楷体" w:eastAsia="楷体" w:cs="楷体"/>
          <w:spacing w:val="22"/>
          <w:sz w:val="32"/>
          <w:szCs w:val="32"/>
          <w:lang w:val="en-US" w:eastAsia="zh-CN"/>
        </w:rPr>
      </w:pPr>
      <w:r>
        <w:rPr>
          <w:rFonts w:hint="eastAsia" w:ascii="楷体" w:hAnsi="楷体" w:eastAsia="楷体" w:cs="楷体"/>
          <w:spacing w:val="22"/>
          <w:sz w:val="32"/>
          <w:szCs w:val="32"/>
          <w:lang w:val="en-US" w:eastAsia="zh-CN"/>
        </w:rPr>
        <w:t>(三)改进建议</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rFonts w:hint="eastAsia"/>
          <w:spacing w:val="-13"/>
          <w:sz w:val="32"/>
          <w:szCs w:val="32"/>
          <w:lang w:val="en-US" w:eastAsia="zh-CN"/>
        </w:rPr>
      </w:pPr>
      <w:r>
        <w:rPr>
          <w:rFonts w:hint="eastAsia"/>
          <w:spacing w:val="-13"/>
          <w:sz w:val="32"/>
          <w:szCs w:val="32"/>
          <w:lang w:val="en-US" w:eastAsia="zh-CN"/>
        </w:rPr>
        <w:t>针对本次绩效自评发现的问题，结合部门工作实际，本部门将从以下五个方面落实整改，持续提升预算绩效管理水平：</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rFonts w:hint="eastAsia"/>
          <w:spacing w:val="-13"/>
          <w:sz w:val="32"/>
          <w:szCs w:val="32"/>
          <w:lang w:val="en-US" w:eastAsia="zh-CN"/>
        </w:rPr>
      </w:pPr>
      <w:r>
        <w:rPr>
          <w:rFonts w:hint="eastAsia"/>
          <w:spacing w:val="-13"/>
          <w:sz w:val="32"/>
          <w:szCs w:val="32"/>
          <w:lang w:val="en-US" w:eastAsia="zh-CN"/>
        </w:rPr>
        <w:t>优化预算编制管理，提升预算编制的科学性与精准度。一是强化年度工作预判，结合部门年度核心工作任务、上级政策要求，提前梳理年度收支规模，细化预算编制颗粒度，减少年中预算追加调整，提升年初预算与全年执行数的匹配度；二是完善项目预算测算机制，对所有申报项目开展充分的前期论证，细化项目支出明细，提升项目预算测算的精准度，确保预算编制与工作任务、绩效目标深度匹配。</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rFonts w:hint="eastAsia"/>
          <w:spacing w:val="-13"/>
          <w:sz w:val="32"/>
          <w:szCs w:val="32"/>
          <w:lang w:val="en-US" w:eastAsia="zh-CN"/>
        </w:rPr>
      </w:pPr>
      <w:r>
        <w:rPr>
          <w:rFonts w:hint="eastAsia"/>
          <w:spacing w:val="-13"/>
          <w:sz w:val="32"/>
          <w:szCs w:val="32"/>
          <w:lang w:val="en-US" w:eastAsia="zh-CN"/>
        </w:rPr>
        <w:t>强化预算执行管控，提升支出执行的均衡性与精细化水平。一是建立预算执行动态监控机制，按月度分解预算执行进度，定期跟踪各科室、各项目的预算执行情况，对进度滞后的项目及时预警、督促推进，确保全年预算执行均衡有序；二是深化一般性支出精细化管控，进一步细化“三公”经费、会议、培训、差旅等支出的管控标准，严格落实支出审批流程，严控一般性支出规模，持续提升支出管理的精细化水平。</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rFonts w:hint="eastAsia"/>
          <w:spacing w:val="-13"/>
          <w:sz w:val="32"/>
          <w:szCs w:val="32"/>
          <w:lang w:val="en-US" w:eastAsia="zh-CN"/>
        </w:rPr>
      </w:pPr>
      <w:r>
        <w:rPr>
          <w:rFonts w:hint="eastAsia"/>
          <w:spacing w:val="-13"/>
          <w:sz w:val="32"/>
          <w:szCs w:val="32"/>
          <w:lang w:val="en-US" w:eastAsia="zh-CN"/>
        </w:rPr>
        <w:t>完善资产管理机制，提升资产全生命周期管理水平。一是健全固定资产更新与利用机制，对超使用年限的固定资产开展全面排查，结合工作实际制定资产更新计划，及时处置低效、超期使用资产，提升资产利用率；二是完善资产全生命周期管理制度，细化资产配置、使用、盘活、处置全流程管理要求，建立资产动态管理台账，定期开展资产盘点，确保资产账实相符，持续提升资产管理的规范化、精细化水平。</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rFonts w:hint="eastAsia"/>
          <w:spacing w:val="-13"/>
          <w:sz w:val="32"/>
          <w:szCs w:val="32"/>
          <w:lang w:val="en-US" w:eastAsia="zh-CN"/>
        </w:rPr>
      </w:pPr>
      <w:r>
        <w:rPr>
          <w:rFonts w:hint="eastAsia"/>
          <w:spacing w:val="-13"/>
          <w:sz w:val="32"/>
          <w:szCs w:val="32"/>
          <w:lang w:val="en-US" w:eastAsia="zh-CN"/>
        </w:rPr>
        <w:t>深化项目绩效管理，提升项目全流程管理质效。一是优化项目绩效目标设置，结合项目实施的实际场景、工作任务，进一步细化、量化绩效目标，确保绩效目标与项目任务、预算资金高度匹配，提升绩效目标的科学性、可操作性；二是强化项目执行全</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rFonts w:hint="eastAsia"/>
          <w:spacing w:val="-13"/>
          <w:sz w:val="32"/>
          <w:szCs w:val="32"/>
          <w:lang w:val="en-US" w:eastAsia="zh-CN"/>
        </w:rPr>
      </w:pPr>
      <w:r>
        <w:rPr>
          <w:rFonts w:hint="eastAsia"/>
          <w:spacing w:val="-13"/>
          <w:sz w:val="32"/>
          <w:szCs w:val="32"/>
          <w:lang w:val="en-US" w:eastAsia="zh-CN"/>
        </w:rPr>
        <w:t>流程管控，严格落实项目调整审批流程，提升项目调整措施的针对性、及时性，定期跟踪项目绩效目标完成情况，及时纠偏，确保项目核心与非核心绩效目标全面达标；三是完善项目入库管理，细化项目入库信息要求，提升入库信息的完整性、精细化程度，为项目后续执行与绩效评价奠定坚实基础。</w:t>
      </w:r>
    </w:p>
    <w:p>
      <w:pPr>
        <w:pStyle w:val="5"/>
        <w:keepNext w:val="0"/>
        <w:keepLines w:val="0"/>
        <w:pageBreakBefore w:val="0"/>
        <w:widowControl w:val="0"/>
        <w:kinsoku/>
        <w:wordWrap/>
        <w:overflowPunct/>
        <w:topLinePunct w:val="0"/>
        <w:autoSpaceDE/>
        <w:autoSpaceDN/>
        <w:bidi w:val="0"/>
        <w:adjustRightInd/>
        <w:snapToGrid/>
        <w:spacing w:beforeLines="0" w:line="560" w:lineRule="exact"/>
        <w:ind w:left="0" w:right="0" w:firstLine="588" w:firstLineChars="200"/>
        <w:jc w:val="left"/>
        <w:textAlignment w:val="auto"/>
        <w:rPr>
          <w:rFonts w:hint="eastAsia"/>
          <w:spacing w:val="-13"/>
          <w:sz w:val="32"/>
          <w:szCs w:val="32"/>
          <w:lang w:val="zh-CN" w:eastAsia="zh-CN"/>
        </w:rPr>
      </w:pPr>
      <w:r>
        <w:rPr>
          <w:rFonts w:hint="eastAsia"/>
          <w:spacing w:val="-13"/>
          <w:sz w:val="32"/>
          <w:szCs w:val="32"/>
          <w:lang w:val="en-US" w:eastAsia="zh-CN"/>
        </w:rPr>
        <w:t>强化内部管理协同，压实绩效管理主体责任。一是优化内部工作协同机制，明确各科室、各岗位在绩效管理工作中的职责分工，建立常态化的沟通协调机制，提升绩效评价相关工作的配合效率与资料报送的及时性、完整性；二是将绩效管理工作纳入部门内部年度考核体系，把绩效目标完成情况、预算执行情况、绩效管理工作配合情况与各科室、各岗位的考核直接挂钩，压实绩效管理主体责任，提升全员参与绩效管理的积极性与主动性，持续完善部门绩效管理体系，切实以绩效管理提升部门履职服务水平。</w:t>
      </w:r>
    </w:p>
    <w:p>
      <w:pPr>
        <w:pStyle w:val="7"/>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right="0" w:firstLine="640" w:firstLineChars="200"/>
        <w:jc w:val="left"/>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pPr>
        <w:rPr>
          <w:rFonts w:hint="eastAsia" w:ascii="Times New Roman" w:hAnsi="Times New Roman" w:eastAsia="黑体" w:cs="黑体"/>
          <w:color w:val="auto"/>
          <w:kern w:val="0"/>
          <w:sz w:val="32"/>
          <w:szCs w:val="32"/>
          <w:highlight w:val="none"/>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sectPr>
          <w:footerReference r:id="rId7" w:type="default"/>
          <w:pgSz w:w="11900" w:h="16820"/>
          <w:pgMar w:top="1429" w:right="1756" w:bottom="1048" w:left="1785" w:header="0" w:footer="763" w:gutter="0"/>
          <w:cols w:space="720" w:num="1"/>
        </w:sectPr>
      </w:pPr>
    </w:p>
    <w:tbl>
      <w:tblPr>
        <w:tblStyle w:val="1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29"/>
        <w:gridCol w:w="2147"/>
        <w:gridCol w:w="918"/>
        <w:gridCol w:w="567"/>
        <w:gridCol w:w="393"/>
        <w:gridCol w:w="393"/>
        <w:gridCol w:w="1181"/>
        <w:gridCol w:w="393"/>
        <w:gridCol w:w="479"/>
        <w:gridCol w:w="393"/>
        <w:gridCol w:w="393"/>
        <w:gridCol w:w="4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72" w:type="pct"/>
            <w:gridSpan w:val="4"/>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C0C0C0"/>
                <w:sz w:val="20"/>
                <w:szCs w:val="20"/>
                <w:u w:val="none"/>
              </w:rPr>
            </w:pPr>
            <w:r>
              <w:rPr>
                <w:rFonts w:ascii="宋体" w:hAnsi="宋体" w:eastAsia="宋体" w:cs="宋体"/>
                <w:i w:val="0"/>
                <w:iCs w:val="0"/>
                <w:color w:val="C0C0C0"/>
                <w:kern w:val="0"/>
                <w:sz w:val="20"/>
                <w:szCs w:val="20"/>
                <w:u w:val="none"/>
                <w:lang w:val="en-US" w:eastAsia="zh-CN" w:bidi="ar"/>
              </w:rPr>
              <w:t>报表编号：510000_0013lastmb</w:t>
            </w:r>
          </w:p>
        </w:tc>
        <w:tc>
          <w:tcPr>
            <w:tcW w:w="464"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051" w:type="pct"/>
            <w:gridSpan w:val="3"/>
            <w:tcBorders>
              <w:top w:val="nil"/>
              <w:left w:val="nil"/>
              <w:bottom w:val="nil"/>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302"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283"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66"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258"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7" w:hRule="atLeast"/>
        </w:trPr>
        <w:tc>
          <w:tcPr>
            <w:tcW w:w="5000" w:type="pct"/>
            <w:gridSpan w:val="1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simhei" w:hAnsi="simhei" w:eastAsia="simhei" w:cs="simhei"/>
                <w:b/>
                <w:bCs/>
                <w:i w:val="0"/>
                <w:iCs w:val="0"/>
                <w:color w:val="000000"/>
                <w:sz w:val="30"/>
                <w:szCs w:val="30"/>
                <w:u w:val="none"/>
              </w:rPr>
            </w:pPr>
            <w:r>
              <w:rPr>
                <w:rFonts w:hint="default" w:ascii="simhei" w:hAnsi="simhei" w:eastAsia="simhei" w:cs="simhei"/>
                <w:b/>
                <w:bCs/>
                <w:i w:val="0"/>
                <w:iCs w:val="0"/>
                <w:color w:val="000000"/>
                <w:kern w:val="0"/>
                <w:sz w:val="30"/>
                <w:szCs w:val="30"/>
                <w:u w:val="none"/>
                <w:lang w:val="en-US" w:eastAsia="zh-CN" w:bidi="ar"/>
              </w:rPr>
              <w:t>部门项目支出绩效目标表（2025年度）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00"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658"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449"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64"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464"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368"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423"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259"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302"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283"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66"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258" w:type="pct"/>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金额：万元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trPr>
        <w:tc>
          <w:tcPr>
            <w:tcW w:w="500" w:type="pct"/>
            <w:tcBorders>
              <w:top w:val="single" w:color="000000" w:sz="4" w:space="0"/>
              <w:left w:val="single" w:color="000000" w:sz="4" w:space="0"/>
              <w:bottom w:val="single" w:color="000000" w:sz="4" w:space="0"/>
              <w:right w:val="single" w:color="000000" w:sz="4" w:space="0"/>
            </w:tcBorders>
            <w:shd w:val="clear" w:color="F7F7F7" w:fill="F7F7F7"/>
            <w:vAlign w:val="center"/>
          </w:tcPr>
          <w:p>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单位名称</w:t>
            </w:r>
          </w:p>
        </w:tc>
        <w:tc>
          <w:tcPr>
            <w:tcW w:w="658" w:type="pct"/>
            <w:tcBorders>
              <w:top w:val="single" w:color="000000" w:sz="4" w:space="0"/>
              <w:left w:val="single" w:color="000000" w:sz="4" w:space="0"/>
              <w:bottom w:val="single" w:color="000000" w:sz="4" w:space="0"/>
              <w:right w:val="single" w:color="000000" w:sz="4" w:space="0"/>
            </w:tcBorders>
            <w:shd w:val="clear" w:color="F7F7F7" w:fill="F7F7F7"/>
            <w:vAlign w:val="center"/>
          </w:tcPr>
          <w:p>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项目名称</w:t>
            </w:r>
          </w:p>
        </w:tc>
        <w:tc>
          <w:tcPr>
            <w:tcW w:w="449" w:type="pct"/>
            <w:tcBorders>
              <w:top w:val="single" w:color="000000" w:sz="4" w:space="0"/>
              <w:left w:val="single" w:color="000000" w:sz="4" w:space="0"/>
              <w:bottom w:val="single" w:color="000000" w:sz="4" w:space="0"/>
              <w:right w:val="single" w:color="000000" w:sz="4" w:space="0"/>
            </w:tcBorders>
            <w:shd w:val="clear" w:color="F7F7F7" w:fill="F7F7F7"/>
            <w:vAlign w:val="center"/>
          </w:tcPr>
          <w:p>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预算数</w:t>
            </w:r>
          </w:p>
        </w:tc>
        <w:tc>
          <w:tcPr>
            <w:tcW w:w="864" w:type="pct"/>
            <w:tcBorders>
              <w:top w:val="single" w:color="000000" w:sz="4" w:space="0"/>
              <w:left w:val="single" w:color="000000" w:sz="4" w:space="0"/>
              <w:bottom w:val="single" w:color="000000" w:sz="4" w:space="0"/>
              <w:right w:val="single" w:color="000000" w:sz="4" w:space="0"/>
            </w:tcBorders>
            <w:shd w:val="clear" w:color="F7F7F7" w:fill="F7F7F7"/>
            <w:vAlign w:val="center"/>
          </w:tcPr>
          <w:p>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年度目标</w:t>
            </w:r>
          </w:p>
        </w:tc>
        <w:tc>
          <w:tcPr>
            <w:tcW w:w="464" w:type="pct"/>
            <w:tcBorders>
              <w:top w:val="single" w:color="000000" w:sz="4" w:space="0"/>
              <w:left w:val="single" w:color="000000" w:sz="4" w:space="0"/>
              <w:bottom w:val="single" w:color="000000" w:sz="4" w:space="0"/>
              <w:right w:val="single" w:color="000000" w:sz="4" w:space="0"/>
            </w:tcBorders>
            <w:shd w:val="clear" w:color="F7F7F7" w:fill="F7F7F7"/>
            <w:vAlign w:val="center"/>
          </w:tcPr>
          <w:p>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一级指标</w:t>
            </w:r>
          </w:p>
        </w:tc>
        <w:tc>
          <w:tcPr>
            <w:tcW w:w="368" w:type="pct"/>
            <w:tcBorders>
              <w:top w:val="single" w:color="000000" w:sz="4" w:space="0"/>
              <w:left w:val="single" w:color="000000" w:sz="4" w:space="0"/>
              <w:bottom w:val="single" w:color="000000" w:sz="4" w:space="0"/>
              <w:right w:val="single" w:color="000000" w:sz="4" w:space="0"/>
            </w:tcBorders>
            <w:shd w:val="clear" w:color="F7F7F7" w:fill="F7F7F7"/>
            <w:vAlign w:val="center"/>
          </w:tcPr>
          <w:p>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二级指标</w:t>
            </w:r>
          </w:p>
        </w:tc>
        <w:tc>
          <w:tcPr>
            <w:tcW w:w="423" w:type="pct"/>
            <w:tcBorders>
              <w:top w:val="single" w:color="000000" w:sz="4" w:space="0"/>
              <w:left w:val="single" w:color="000000" w:sz="4" w:space="0"/>
              <w:bottom w:val="single" w:color="000000" w:sz="4" w:space="0"/>
              <w:right w:val="single" w:color="000000" w:sz="4" w:space="0"/>
            </w:tcBorders>
            <w:shd w:val="clear" w:color="F7F7F7" w:fill="F7F7F7"/>
            <w:vAlign w:val="center"/>
          </w:tcPr>
          <w:p>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三级指标</w:t>
            </w:r>
          </w:p>
        </w:tc>
        <w:tc>
          <w:tcPr>
            <w:tcW w:w="259" w:type="pct"/>
            <w:tcBorders>
              <w:top w:val="single" w:color="000000" w:sz="4" w:space="0"/>
              <w:left w:val="single" w:color="000000" w:sz="4" w:space="0"/>
              <w:bottom w:val="single" w:color="000000" w:sz="4" w:space="0"/>
              <w:right w:val="single" w:color="000000" w:sz="4" w:space="0"/>
            </w:tcBorders>
            <w:shd w:val="clear" w:color="F7F7F7" w:fill="F7F7F7"/>
            <w:vAlign w:val="center"/>
          </w:tcPr>
          <w:p>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指标性质</w:t>
            </w:r>
          </w:p>
        </w:tc>
        <w:tc>
          <w:tcPr>
            <w:tcW w:w="302" w:type="pct"/>
            <w:tcBorders>
              <w:top w:val="single" w:color="000000" w:sz="4" w:space="0"/>
              <w:left w:val="single" w:color="000000" w:sz="4" w:space="0"/>
              <w:bottom w:val="single" w:color="000000" w:sz="4" w:space="0"/>
              <w:right w:val="single" w:color="000000" w:sz="4" w:space="0"/>
            </w:tcBorders>
            <w:shd w:val="clear" w:color="F7F7F7" w:fill="F7F7F7"/>
            <w:vAlign w:val="center"/>
          </w:tcPr>
          <w:p>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指标值</w:t>
            </w:r>
          </w:p>
        </w:tc>
        <w:tc>
          <w:tcPr>
            <w:tcW w:w="283" w:type="pct"/>
            <w:tcBorders>
              <w:top w:val="single" w:color="000000" w:sz="4" w:space="0"/>
              <w:left w:val="single" w:color="000000" w:sz="4" w:space="0"/>
              <w:bottom w:val="single" w:color="000000" w:sz="4" w:space="0"/>
              <w:right w:val="single" w:color="000000" w:sz="4" w:space="0"/>
            </w:tcBorders>
            <w:shd w:val="clear" w:color="F7F7F7" w:fill="F7F7F7"/>
            <w:vAlign w:val="center"/>
          </w:tcPr>
          <w:p>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度量单位</w:t>
            </w:r>
          </w:p>
        </w:tc>
        <w:tc>
          <w:tcPr>
            <w:tcW w:w="166" w:type="pct"/>
            <w:tcBorders>
              <w:top w:val="single" w:color="000000" w:sz="4" w:space="0"/>
              <w:left w:val="single" w:color="000000" w:sz="4" w:space="0"/>
              <w:bottom w:val="single" w:color="000000" w:sz="4" w:space="0"/>
              <w:right w:val="single" w:color="000000" w:sz="4" w:space="0"/>
            </w:tcBorders>
            <w:shd w:val="clear" w:color="F7F7F7" w:fill="F7F7F7"/>
            <w:vAlign w:val="center"/>
          </w:tcPr>
          <w:p>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F7F7F7" w:fill="F7F7F7"/>
            <w:vAlign w:val="center"/>
          </w:tcPr>
          <w:p>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指标方向性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00" w:type="pct"/>
            <w:tcBorders>
              <w:top w:val="single" w:color="000000" w:sz="4" w:space="0"/>
              <w:left w:val="single" w:color="000000" w:sz="4" w:space="0"/>
              <w:bottom w:val="single" w:color="000000" w:sz="4" w:space="0"/>
              <w:right w:val="single" w:color="000000" w:sz="4" w:space="0"/>
            </w:tcBorders>
            <w:shd w:val="clear" w:color="F7F7F7" w:fill="F7F7F7"/>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199-壤塘县公共就业和人才交流服务局</w:t>
            </w:r>
          </w:p>
        </w:tc>
        <w:tc>
          <w:tcPr>
            <w:tcW w:w="658" w:type="pct"/>
            <w:tcBorders>
              <w:top w:val="single" w:color="000000" w:sz="4" w:space="0"/>
              <w:left w:val="single" w:color="000000" w:sz="4" w:space="0"/>
              <w:bottom w:val="single" w:color="000000" w:sz="4" w:space="0"/>
              <w:right w:val="single" w:color="000000" w:sz="4" w:space="0"/>
            </w:tcBorders>
            <w:shd w:val="clear" w:color="F7F7F7" w:fill="F7F7F7"/>
            <w:vAlign w:val="center"/>
          </w:tcPr>
          <w:p>
            <w:pPr>
              <w:rPr>
                <w:rFonts w:hint="default" w:ascii="simhei" w:hAnsi="simhei" w:eastAsia="simhei" w:cs="simhei"/>
                <w:i w:val="0"/>
                <w:iCs w:val="0"/>
                <w:color w:val="000000"/>
                <w:sz w:val="18"/>
                <w:szCs w:val="18"/>
                <w:u w:val="none"/>
              </w:rPr>
            </w:pPr>
          </w:p>
        </w:tc>
        <w:tc>
          <w:tcPr>
            <w:tcW w:w="449" w:type="pct"/>
            <w:tcBorders>
              <w:top w:val="single" w:color="000000" w:sz="4" w:space="0"/>
              <w:left w:val="single" w:color="000000" w:sz="4" w:space="0"/>
              <w:bottom w:val="single" w:color="000000" w:sz="4" w:space="0"/>
              <w:right w:val="single" w:color="000000" w:sz="4" w:space="0"/>
            </w:tcBorders>
            <w:shd w:val="clear" w:color="F7F7F7" w:fill="F7F7F7"/>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1,004.36</w:t>
            </w:r>
          </w:p>
        </w:tc>
        <w:tc>
          <w:tcPr>
            <w:tcW w:w="864" w:type="pct"/>
            <w:tcBorders>
              <w:top w:val="single" w:color="000000" w:sz="4" w:space="0"/>
              <w:left w:val="single" w:color="000000" w:sz="4" w:space="0"/>
              <w:bottom w:val="single" w:color="000000" w:sz="4" w:space="0"/>
              <w:right w:val="single" w:color="000000" w:sz="4" w:space="0"/>
            </w:tcBorders>
            <w:shd w:val="clear" w:color="F7F7F7" w:fill="F7F7F7"/>
            <w:vAlign w:val="center"/>
          </w:tcPr>
          <w:p>
            <w:pPr>
              <w:rPr>
                <w:rFonts w:hint="default" w:ascii="simhei" w:hAnsi="simhei" w:eastAsia="simhei" w:cs="simhei"/>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F7F7F7" w:fill="F7F7F7"/>
            <w:vAlign w:val="center"/>
          </w:tcPr>
          <w:p>
            <w:pPr>
              <w:rPr>
                <w:rFonts w:hint="default" w:ascii="simhei" w:hAnsi="simhei" w:eastAsia="simhei" w:cs="simhei"/>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F7F7F7" w:fill="F7F7F7"/>
            <w:vAlign w:val="center"/>
          </w:tcPr>
          <w:p>
            <w:pPr>
              <w:rPr>
                <w:rFonts w:hint="default" w:ascii="simhei" w:hAnsi="simhei" w:eastAsia="simhei" w:cs="simhei"/>
                <w:i w:val="0"/>
                <w:iCs w:val="0"/>
                <w:color w:val="000000"/>
                <w:sz w:val="18"/>
                <w:szCs w:val="18"/>
                <w:u w:val="none"/>
              </w:rPr>
            </w:pPr>
          </w:p>
        </w:tc>
        <w:tc>
          <w:tcPr>
            <w:tcW w:w="423" w:type="pct"/>
            <w:tcBorders>
              <w:top w:val="single" w:color="000000" w:sz="4" w:space="0"/>
              <w:left w:val="single" w:color="000000" w:sz="4" w:space="0"/>
              <w:bottom w:val="single" w:color="000000" w:sz="4" w:space="0"/>
              <w:right w:val="single" w:color="000000" w:sz="4" w:space="0"/>
            </w:tcBorders>
            <w:shd w:val="clear" w:color="F7F7F7" w:fill="F7F7F7"/>
            <w:vAlign w:val="center"/>
          </w:tcPr>
          <w:p>
            <w:pPr>
              <w:rPr>
                <w:rFonts w:hint="default" w:ascii="simhei" w:hAnsi="simhei" w:eastAsia="simhei" w:cs="simhei"/>
                <w:i w:val="0"/>
                <w:iCs w:val="0"/>
                <w:color w:val="000000"/>
                <w:sz w:val="18"/>
                <w:szCs w:val="18"/>
                <w:u w:val="none"/>
              </w:rPr>
            </w:pPr>
          </w:p>
        </w:tc>
        <w:tc>
          <w:tcPr>
            <w:tcW w:w="259" w:type="pct"/>
            <w:tcBorders>
              <w:top w:val="single" w:color="000000" w:sz="4" w:space="0"/>
              <w:left w:val="single" w:color="000000" w:sz="4" w:space="0"/>
              <w:bottom w:val="single" w:color="000000" w:sz="4" w:space="0"/>
              <w:right w:val="single" w:color="000000" w:sz="4" w:space="0"/>
            </w:tcBorders>
            <w:shd w:val="clear" w:color="F7F7F7" w:fill="F7F7F7"/>
            <w:vAlign w:val="center"/>
          </w:tcPr>
          <w:p>
            <w:pPr>
              <w:rPr>
                <w:rFonts w:hint="default" w:ascii="simhei" w:hAnsi="simhei" w:eastAsia="simhei" w:cs="simhei"/>
                <w:i w:val="0"/>
                <w:iCs w:val="0"/>
                <w:color w:val="000000"/>
                <w:sz w:val="18"/>
                <w:szCs w:val="18"/>
                <w:u w:val="none"/>
              </w:rPr>
            </w:pPr>
          </w:p>
        </w:tc>
        <w:tc>
          <w:tcPr>
            <w:tcW w:w="302" w:type="pct"/>
            <w:tcBorders>
              <w:top w:val="single" w:color="000000" w:sz="4" w:space="0"/>
              <w:left w:val="single" w:color="000000" w:sz="4" w:space="0"/>
              <w:bottom w:val="single" w:color="000000" w:sz="4" w:space="0"/>
              <w:right w:val="single" w:color="000000" w:sz="4" w:space="0"/>
            </w:tcBorders>
            <w:shd w:val="clear" w:color="F7F7F7" w:fill="F7F7F7"/>
            <w:vAlign w:val="center"/>
          </w:tcPr>
          <w:p>
            <w:pPr>
              <w:rPr>
                <w:rFonts w:hint="default" w:ascii="simhei" w:hAnsi="simhei" w:eastAsia="simhei" w:cs="simhei"/>
                <w:i w:val="0"/>
                <w:iCs w:val="0"/>
                <w:color w:val="000000"/>
                <w:sz w:val="18"/>
                <w:szCs w:val="18"/>
                <w:u w:val="none"/>
              </w:rPr>
            </w:pPr>
          </w:p>
        </w:tc>
        <w:tc>
          <w:tcPr>
            <w:tcW w:w="283" w:type="pct"/>
            <w:tcBorders>
              <w:top w:val="single" w:color="000000" w:sz="4" w:space="0"/>
              <w:left w:val="single" w:color="000000" w:sz="4" w:space="0"/>
              <w:bottom w:val="single" w:color="000000" w:sz="4" w:space="0"/>
              <w:right w:val="single" w:color="000000" w:sz="4" w:space="0"/>
            </w:tcBorders>
            <w:shd w:val="clear" w:color="F7F7F7" w:fill="F7F7F7"/>
            <w:vAlign w:val="center"/>
          </w:tcPr>
          <w:p>
            <w:pPr>
              <w:rPr>
                <w:rFonts w:hint="default" w:ascii="simhei" w:hAnsi="simhei" w:eastAsia="simhei" w:cs="simhei"/>
                <w:i w:val="0"/>
                <w:iCs w:val="0"/>
                <w:color w:val="000000"/>
                <w:sz w:val="18"/>
                <w:szCs w:val="18"/>
                <w:u w:val="none"/>
              </w:rPr>
            </w:pPr>
          </w:p>
        </w:tc>
        <w:tc>
          <w:tcPr>
            <w:tcW w:w="166" w:type="pct"/>
            <w:tcBorders>
              <w:top w:val="single" w:color="000000" w:sz="4" w:space="0"/>
              <w:left w:val="single" w:color="000000" w:sz="4" w:space="0"/>
              <w:bottom w:val="single" w:color="000000" w:sz="4" w:space="0"/>
              <w:right w:val="single" w:color="000000" w:sz="4" w:space="0"/>
            </w:tcBorders>
            <w:shd w:val="clear" w:color="F7F7F7" w:fill="F7F7F7"/>
            <w:vAlign w:val="center"/>
          </w:tcPr>
          <w:p>
            <w:pPr>
              <w:rPr>
                <w:rFonts w:hint="default" w:ascii="simhei" w:hAnsi="simhei" w:eastAsia="simhei" w:cs="simhei"/>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F7F7F7" w:fill="F7F7F7"/>
            <w:vAlign w:val="center"/>
          </w:tcPr>
          <w:p>
            <w:pPr>
              <w:rPr>
                <w:rFonts w:hint="default" w:ascii="simhei" w:hAnsi="simhei" w:eastAsia="simhei" w:cs="simhei"/>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199001-壤塘县公共就业和人才交流服务局</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51323024R000010372937-职工体检费</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2.49</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51323024R000010440034-工资性支出（新）</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49.26</w:t>
            </w:r>
          </w:p>
        </w:tc>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51323024R000010441706-机关事业单位基本养老保险缴费支出（新）</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24.73</w:t>
            </w:r>
          </w:p>
        </w:tc>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51323024R000010441938-机关事业单位职业年金缴费支出（新）</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12.35</w:t>
            </w:r>
          </w:p>
        </w:tc>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51323024R000010442151-职工基本医疗保险缴费（新）</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10.79</w:t>
            </w:r>
          </w:p>
        </w:tc>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51323024R000010442387-公务员医疗补助（新）</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2.06</w:t>
            </w:r>
          </w:p>
        </w:tc>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51323024R000010442598-住房公积金（新）</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18.52</w:t>
            </w:r>
          </w:p>
        </w:tc>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51323024R000010442824-其他单位缴费（新）</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0.42</w:t>
            </w:r>
          </w:p>
        </w:tc>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51323024R000010636289-公务员规范津贴补贴（新）</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29.51</w:t>
            </w:r>
          </w:p>
        </w:tc>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51323024R000010638359-艰苦边远地区津贴（新）</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27.41</w:t>
            </w:r>
          </w:p>
        </w:tc>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51323024R000010638937-高海拔地区折算工龄补贴（新）</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6.78</w:t>
            </w:r>
          </w:p>
        </w:tc>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51323024R000010692771-遗属补助（新）</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1.77</w:t>
            </w:r>
          </w:p>
        </w:tc>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51323024T000011825359-财政就业创业补助资金</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45.98</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51323024Y000010443500-日常公用经费（新）</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9.72</w:t>
            </w:r>
          </w:p>
        </w:tc>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4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51323024Y000010444866-定额公用经费（新）</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4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51323025R000012670735-残疾人就业保障金</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51323025R000013352112-在职人员基础绩效奖</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34.24</w:t>
            </w:r>
          </w:p>
        </w:tc>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51323025R000013373711-在职人员年度考核奖</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12.05</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51323025T000012125755-家门口就业工坊推广补助项目</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51323025T000013629428-就业创业的补助资金</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568.00</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51323026T000014102083-企业招工成本补贴（州级负担）</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0.01</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51323026T000014102915-企业招工成本补贴（省级负担）</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0.08</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51323026T000014526274-石榴籽就业创业工作经费</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51323026T000015206815-壤塘县稳就业扩大社会保险范围补助资金</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9.18</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51323026T000015448316-壤塘县基层公共就业服务能力提升</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199002-壤塘县农民工服务中心</w:t>
            </w:r>
          </w:p>
        </w:tc>
        <w:tc>
          <w:tcPr>
            <w:tcW w:w="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51323024R000010440034-工资性支出（新）</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23.21</w:t>
            </w:r>
          </w:p>
        </w:tc>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51323024R000010441706-机关事业单位基本养老保险缴费支出（新）</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6.88</w:t>
            </w:r>
          </w:p>
        </w:tc>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51323024R000010441938-机关事业单位职业年金缴费支出（新）</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3.45</w:t>
            </w:r>
          </w:p>
        </w:tc>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51323024R000010442151-职工基本医疗保险缴费（新）</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3.02</w:t>
            </w:r>
          </w:p>
        </w:tc>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51323024R000010442387-公务员医疗补助（新）</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0.54</w:t>
            </w:r>
          </w:p>
        </w:tc>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51323024R000010442598-住房公积金（新）</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5.21</w:t>
            </w:r>
          </w:p>
        </w:tc>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51323024R000010442824-其他单位缴费（新）</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0.34</w:t>
            </w:r>
          </w:p>
        </w:tc>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51323024R000010638359-艰苦边远地区津贴（新）</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8.29</w:t>
            </w:r>
          </w:p>
        </w:tc>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51323024R000010638937-高海拔地区折算工龄补贴（新）</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1.15</w:t>
            </w:r>
          </w:p>
        </w:tc>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51323024Y000010443500-日常公用经费（新）</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3.24</w:t>
            </w:r>
          </w:p>
        </w:tc>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4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51323025R000012670735-残疾人就业保障金</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0.67</w:t>
            </w:r>
          </w:p>
        </w:tc>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51323025R000013352112-在职人员基础绩效奖</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10.38</w:t>
            </w:r>
          </w:p>
        </w:tc>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51323025R000013373711-在职人员年度考核奖</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3.64</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bl>
    <w:p>
      <w:pPr>
        <w:rPr>
          <w:rFonts w:hint="eastAsia" w:ascii="Times New Roman" w:hAnsi="Times New Roman" w:eastAsia="黑体" w:cs="黑体"/>
          <w:color w:val="auto"/>
          <w:kern w:val="0"/>
          <w:sz w:val="32"/>
          <w:szCs w:val="32"/>
          <w:highlight w:val="none"/>
          <w:shd w:val="clear" w:color="auto" w:fill="FFFFFF"/>
          <w:lang w:val="en-US" w:eastAsia="zh-CN"/>
        </w:rPr>
        <w:sectPr>
          <w:pgSz w:w="11900" w:h="16820"/>
          <w:pgMar w:top="1429" w:right="1756" w:bottom="1048" w:left="1785" w:header="0" w:footer="763" w:gutter="0"/>
          <w:cols w:space="720" w:num="1"/>
        </w:sectPr>
      </w:pPr>
    </w:p>
    <w:p>
      <w:pPr>
        <w:rPr>
          <w:rFonts w:hint="eastAsia" w:ascii="Times New Roman" w:hAnsi="Times New Roman" w:eastAsia="黑体" w:cs="黑体"/>
          <w:color w:val="auto"/>
          <w:kern w:val="0"/>
          <w:sz w:val="32"/>
          <w:szCs w:val="32"/>
          <w:highlight w:val="none"/>
          <w:shd w:val="clear" w:color="auto" w:fill="FFFFFF"/>
          <w:lang w:val="zh-CN"/>
        </w:rPr>
      </w:pPr>
    </w:p>
    <w:p>
      <w:pPr>
        <w:keepNext w:val="0"/>
        <w:keepLines w:val="0"/>
        <w:pageBreakBefore w:val="0"/>
        <w:widowControl w:val="0"/>
        <w:kinsoku/>
        <w:wordWrap/>
        <w:overflowPunct/>
        <w:topLinePunct w:val="0"/>
        <w:autoSpaceDE/>
        <w:autoSpaceDN/>
        <w:bidi w:val="0"/>
        <w:adjustRightInd/>
        <w:snapToGrid/>
        <w:spacing w:before="139" w:line="222" w:lineRule="auto"/>
        <w:jc w:val="center"/>
        <w:textAlignment w:val="auto"/>
        <w:rPr>
          <w:rFonts w:ascii="黑体" w:hAnsi="黑体" w:eastAsia="黑体" w:cs="黑体"/>
          <w:spacing w:val="8"/>
          <w:sz w:val="43"/>
          <w:szCs w:val="43"/>
        </w:rPr>
      </w:pPr>
      <w:r>
        <w:rPr>
          <w:rFonts w:ascii="黑体" w:hAnsi="黑体" w:eastAsia="黑体" w:cs="黑体"/>
          <w:spacing w:val="8"/>
          <w:sz w:val="43"/>
          <w:szCs w:val="43"/>
        </w:rPr>
        <w:t>2025年家门口就业工坊推广补助项目</w:t>
      </w:r>
    </w:p>
    <w:p>
      <w:pPr>
        <w:keepNext w:val="0"/>
        <w:keepLines w:val="0"/>
        <w:pageBreakBefore w:val="0"/>
        <w:widowControl w:val="0"/>
        <w:kinsoku/>
        <w:wordWrap/>
        <w:overflowPunct/>
        <w:topLinePunct w:val="0"/>
        <w:autoSpaceDE/>
        <w:autoSpaceDN/>
        <w:bidi w:val="0"/>
        <w:adjustRightInd/>
        <w:snapToGrid/>
        <w:spacing w:before="139" w:line="222" w:lineRule="auto"/>
        <w:jc w:val="center"/>
        <w:textAlignment w:val="auto"/>
        <w:rPr>
          <w:rFonts w:ascii="黑体" w:hAnsi="黑体" w:eastAsia="黑体" w:cs="黑体"/>
          <w:spacing w:val="8"/>
          <w:sz w:val="30"/>
          <w:szCs w:val="30"/>
        </w:rPr>
      </w:pPr>
      <w:r>
        <w:rPr>
          <w:rFonts w:ascii="黑体" w:hAnsi="黑体" w:eastAsia="黑体" w:cs="黑体"/>
          <w:spacing w:val="10"/>
          <w:sz w:val="43"/>
          <w:szCs w:val="43"/>
        </w:rPr>
        <w:t>专项预算</w:t>
      </w:r>
      <w:r>
        <w:rPr>
          <w:rFonts w:hint="eastAsia" w:ascii="黑体" w:hAnsi="黑体" w:eastAsia="黑体" w:cs="黑体"/>
          <w:spacing w:val="10"/>
          <w:sz w:val="43"/>
          <w:szCs w:val="43"/>
          <w:lang w:eastAsia="zh-CN"/>
        </w:rPr>
        <w:t>绩效</w:t>
      </w:r>
      <w:r>
        <w:rPr>
          <w:rFonts w:ascii="黑体" w:hAnsi="黑体" w:eastAsia="黑体" w:cs="黑体"/>
          <w:spacing w:val="-5"/>
          <w:sz w:val="43"/>
          <w:szCs w:val="43"/>
        </w:rPr>
        <w:t>自评</w:t>
      </w:r>
      <w:r>
        <w:rPr>
          <w:rFonts w:hint="eastAsia" w:ascii="黑体" w:hAnsi="黑体" w:eastAsia="黑体" w:cs="黑体"/>
          <w:spacing w:val="-5"/>
          <w:sz w:val="43"/>
          <w:szCs w:val="43"/>
          <w:lang w:eastAsia="zh-CN"/>
        </w:rPr>
        <w:t>报</w:t>
      </w:r>
      <w:r>
        <w:rPr>
          <w:rFonts w:ascii="黑体" w:hAnsi="黑体" w:eastAsia="黑体" w:cs="黑体"/>
          <w:spacing w:val="-5"/>
          <w:sz w:val="43"/>
          <w:szCs w:val="43"/>
        </w:rPr>
        <w:t>告</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left"/>
        <w:textAlignment w:val="baseline"/>
        <w:rPr>
          <w:rFonts w:ascii="黑体" w:hAnsi="黑体" w:eastAsia="黑体" w:cs="黑体"/>
          <w:sz w:val="30"/>
          <w:szCs w:val="30"/>
        </w:rPr>
      </w:pPr>
      <w:r>
        <w:rPr>
          <w:rFonts w:ascii="黑体" w:hAnsi="黑体" w:eastAsia="黑体" w:cs="黑体"/>
          <w:spacing w:val="8"/>
          <w:sz w:val="30"/>
          <w:szCs w:val="30"/>
        </w:rPr>
        <w:t>一、项目概况</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90" w:firstLineChars="200"/>
        <w:jc w:val="left"/>
        <w:textAlignment w:val="baseline"/>
      </w:pPr>
      <w:r>
        <w:rPr>
          <w:rFonts w:hint="eastAsia" w:ascii="楷体" w:hAnsi="楷体" w:eastAsia="楷体" w:cs="楷体"/>
          <w:b/>
          <w:bCs/>
          <w:spacing w:val="-3"/>
          <w:lang w:eastAsia="zh-CN"/>
        </w:rPr>
        <w:t>（一）</w:t>
      </w:r>
      <w:r>
        <w:rPr>
          <w:rFonts w:ascii="楷体" w:hAnsi="楷体" w:eastAsia="楷体" w:cs="楷体"/>
          <w:b/>
          <w:bCs/>
          <w:spacing w:val="-3"/>
        </w:rPr>
        <w:t>设立背景及基本情况。</w:t>
      </w:r>
      <w:r>
        <w:rPr>
          <w:spacing w:val="-3"/>
        </w:rPr>
        <w:t>结合我县就业增收总体要</w:t>
      </w:r>
      <w:r>
        <w:rPr>
          <w:spacing w:val="-1"/>
        </w:rPr>
        <w:t>求，切实提高农牧民家门口就业增收积极性，</w:t>
      </w:r>
      <w:r>
        <w:rPr>
          <w:spacing w:val="-2"/>
        </w:rPr>
        <w:t>通过家门口就业工坊促就业形式推广补助，提高我县来料加工车间、农村</w:t>
      </w:r>
      <w:r>
        <w:rPr>
          <w:spacing w:val="-1"/>
        </w:rPr>
        <w:t>合作社、传习所、返乡创业企业、公司等加工</w:t>
      </w:r>
      <w:r>
        <w:rPr>
          <w:spacing w:val="-2"/>
        </w:rPr>
        <w:t>水平，进而极</w:t>
      </w:r>
      <w:r>
        <w:rPr>
          <w:spacing w:val="-14"/>
        </w:rPr>
        <w:t>大地激发富余劳动力“家门口就业”的积极性，促进我县就业</w:t>
      </w:r>
      <w:r>
        <w:rPr>
          <w:spacing w:val="-6"/>
        </w:rPr>
        <w:t>工坊产业的进一步发展。</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8" w:firstLineChars="200"/>
        <w:jc w:val="left"/>
        <w:textAlignment w:val="baseline"/>
        <w:rPr>
          <w:rFonts w:ascii="楷体" w:hAnsi="楷体" w:eastAsia="楷体" w:cs="楷体"/>
          <w:sz w:val="31"/>
          <w:szCs w:val="31"/>
        </w:rPr>
      </w:pPr>
      <w:r>
        <w:rPr>
          <w:rFonts w:hint="eastAsia" w:ascii="楷体" w:hAnsi="楷体" w:eastAsia="楷体" w:cs="楷体"/>
          <w:b/>
          <w:bCs/>
          <w:spacing w:val="14"/>
          <w:sz w:val="31"/>
          <w:szCs w:val="31"/>
          <w:lang w:eastAsia="zh-CN"/>
        </w:rPr>
        <w:t>（二）</w:t>
      </w:r>
      <w:r>
        <w:rPr>
          <w:rFonts w:ascii="楷体" w:hAnsi="楷体" w:eastAsia="楷体" w:cs="楷体"/>
          <w:b/>
          <w:bCs/>
          <w:spacing w:val="14"/>
          <w:sz w:val="31"/>
          <w:szCs w:val="31"/>
        </w:rPr>
        <w:t>实施目的及支持方向。</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88" w:firstLineChars="200"/>
        <w:jc w:val="left"/>
        <w:textAlignment w:val="baseline"/>
      </w:pPr>
      <w:r>
        <w:rPr>
          <w:spacing w:val="-3"/>
        </w:rPr>
        <w:t>结合我县就业增收总体要求，切实提高农牧民家门口就</w:t>
      </w:r>
      <w:r>
        <w:rPr>
          <w:spacing w:val="-1"/>
        </w:rPr>
        <w:t>业增收积极性，通过家门口就业工坊促就业形式推广补助，</w:t>
      </w:r>
      <w:r>
        <w:rPr>
          <w:spacing w:val="-2"/>
        </w:rPr>
        <w:t>提高我县来料加工车间、农村合作社、传习所、返乡创业企</w:t>
      </w:r>
      <w:r>
        <w:rPr>
          <w:spacing w:val="-1"/>
        </w:rPr>
        <w:t>业、公司等加工水平，进而极大地激发富余劳动力“家门口</w:t>
      </w:r>
      <w:r>
        <w:rPr>
          <w:spacing w:val="-9"/>
        </w:rPr>
        <w:t>就业”的积极性，促进我县就业工坊产业的进一步发展。</w:t>
      </w:r>
    </w:p>
    <w:p>
      <w:pPr>
        <w:pStyle w:val="5"/>
        <w:keepNext w:val="0"/>
        <w:keepLines w:val="0"/>
        <w:pageBreakBefore w:val="0"/>
        <w:widowControl/>
        <w:numPr>
          <w:ilvl w:val="0"/>
          <w:numId w:val="0"/>
        </w:numPr>
        <w:kinsoku w:val="0"/>
        <w:wordWrap/>
        <w:overflowPunct w:val="0"/>
        <w:topLinePunct w:val="0"/>
        <w:autoSpaceDE w:val="0"/>
        <w:autoSpaceDN w:val="0"/>
        <w:bidi w:val="0"/>
        <w:adjustRightInd w:val="0"/>
        <w:snapToGrid w:val="0"/>
        <w:spacing w:line="560" w:lineRule="exact"/>
        <w:ind w:left="0" w:right="0" w:rightChars="0" w:firstLine="678" w:firstLineChars="200"/>
        <w:jc w:val="left"/>
        <w:textAlignment w:val="baseline"/>
        <w:rPr>
          <w:rFonts w:ascii="楷体" w:hAnsi="楷体" w:eastAsia="楷体" w:cs="楷体"/>
          <w:b/>
          <w:bCs/>
          <w:spacing w:val="7"/>
          <w:sz w:val="31"/>
          <w:szCs w:val="31"/>
        </w:rPr>
      </w:pPr>
      <w:r>
        <w:rPr>
          <w:rFonts w:hint="eastAsia" w:ascii="楷体" w:hAnsi="楷体" w:eastAsia="楷体" w:cs="楷体"/>
          <w:b/>
          <w:bCs/>
          <w:spacing w:val="14"/>
          <w:sz w:val="31"/>
          <w:szCs w:val="31"/>
          <w:lang w:eastAsia="zh-CN"/>
        </w:rPr>
        <w:t>（三）</w:t>
      </w:r>
      <w:r>
        <w:rPr>
          <w:rFonts w:ascii="楷体" w:hAnsi="楷体" w:eastAsia="楷体" w:cs="楷体"/>
          <w:b/>
          <w:bCs/>
          <w:spacing w:val="7"/>
          <w:sz w:val="31"/>
          <w:szCs w:val="31"/>
        </w:rPr>
        <w:t>预算安排及分配管理。</w:t>
      </w:r>
    </w:p>
    <w:p>
      <w:pPr>
        <w:pStyle w:val="5"/>
        <w:keepNext w:val="0"/>
        <w:keepLines w:val="0"/>
        <w:pageBreakBefore w:val="0"/>
        <w:widowControl/>
        <w:numPr>
          <w:ilvl w:val="0"/>
          <w:numId w:val="0"/>
        </w:numPr>
        <w:kinsoku w:val="0"/>
        <w:wordWrap/>
        <w:overflowPunct w:val="0"/>
        <w:topLinePunct w:val="0"/>
        <w:autoSpaceDE w:val="0"/>
        <w:autoSpaceDN w:val="0"/>
        <w:bidi w:val="0"/>
        <w:adjustRightInd w:val="0"/>
        <w:snapToGrid w:val="0"/>
        <w:spacing w:line="560" w:lineRule="exact"/>
        <w:ind w:left="0" w:right="0" w:rightChars="0" w:firstLine="648" w:firstLineChars="200"/>
        <w:jc w:val="left"/>
        <w:textAlignment w:val="baseline"/>
        <w:rPr>
          <w:rFonts w:hint="eastAsia"/>
          <w:spacing w:val="5"/>
          <w:lang w:val="en-US" w:eastAsia="zh-CN"/>
        </w:rPr>
      </w:pPr>
      <w:r>
        <w:rPr>
          <w:spacing w:val="7"/>
          <w:sz w:val="31"/>
          <w:szCs w:val="31"/>
        </w:rPr>
        <w:t>预算安排：</w:t>
      </w:r>
      <w:r>
        <w:rPr>
          <w:spacing w:val="6"/>
          <w:sz w:val="31"/>
          <w:szCs w:val="31"/>
        </w:rPr>
        <w:t>2025年浙江</w:t>
      </w:r>
      <w:r>
        <w:rPr>
          <w:spacing w:val="22"/>
          <w:sz w:val="31"/>
          <w:szCs w:val="31"/>
        </w:rPr>
        <w:t>援建资金预算总额30万元，资金全额到位，到位率</w:t>
      </w:r>
      <w:r>
        <w:rPr>
          <w:rFonts w:hint="eastAsia"/>
          <w:spacing w:val="22"/>
          <w:sz w:val="31"/>
          <w:szCs w:val="31"/>
          <w:lang w:val="en-US" w:eastAsia="zh-CN"/>
        </w:rPr>
        <w:t>100</w:t>
      </w:r>
      <w:r>
        <w:rPr>
          <w:spacing w:val="22"/>
          <w:sz w:val="31"/>
          <w:szCs w:val="31"/>
        </w:rPr>
        <w:t>%。</w:t>
      </w:r>
      <w:r>
        <w:rPr>
          <w:spacing w:val="1"/>
          <w:sz w:val="35"/>
          <w:szCs w:val="35"/>
        </w:rPr>
        <w:t>资金使用：截至2025年12月31日，实际使用28.57</w:t>
      </w:r>
      <w:r>
        <w:rPr>
          <w:spacing w:val="5"/>
        </w:rPr>
        <w:t>万元，预算执行率95%。具体分配：</w:t>
      </w:r>
    </w:p>
    <w:p>
      <w:pPr>
        <w:pStyle w:val="5"/>
        <w:keepNext w:val="0"/>
        <w:keepLines w:val="0"/>
        <w:pageBreakBefore w:val="0"/>
        <w:widowControl/>
        <w:numPr>
          <w:ilvl w:val="0"/>
          <w:numId w:val="0"/>
        </w:numPr>
        <w:kinsoku w:val="0"/>
        <w:wordWrap/>
        <w:overflowPunct w:val="0"/>
        <w:topLinePunct w:val="0"/>
        <w:autoSpaceDE w:val="0"/>
        <w:autoSpaceDN w:val="0"/>
        <w:bidi w:val="0"/>
        <w:adjustRightInd w:val="0"/>
        <w:snapToGrid w:val="0"/>
        <w:spacing w:line="560" w:lineRule="exact"/>
        <w:ind w:left="0" w:right="0" w:rightChars="0" w:firstLine="708" w:firstLineChars="200"/>
        <w:jc w:val="left"/>
        <w:textAlignment w:val="baseline"/>
        <w:rPr>
          <w:spacing w:val="22"/>
          <w:sz w:val="31"/>
          <w:szCs w:val="31"/>
        </w:rPr>
      </w:pPr>
      <w:r>
        <w:rPr>
          <w:rFonts w:hint="eastAsia"/>
          <w:spacing w:val="22"/>
          <w:sz w:val="31"/>
          <w:szCs w:val="31"/>
        </w:rPr>
        <w:t>技能培训：4.57万</w:t>
      </w:r>
    </w:p>
    <w:p>
      <w:pPr>
        <w:pStyle w:val="5"/>
        <w:keepNext w:val="0"/>
        <w:keepLines w:val="0"/>
        <w:pageBreakBefore w:val="0"/>
        <w:widowControl/>
        <w:numPr>
          <w:ilvl w:val="0"/>
          <w:numId w:val="0"/>
        </w:numPr>
        <w:kinsoku w:val="0"/>
        <w:wordWrap/>
        <w:overflowPunct w:val="0"/>
        <w:topLinePunct w:val="0"/>
        <w:autoSpaceDE w:val="0"/>
        <w:autoSpaceDN w:val="0"/>
        <w:bidi w:val="0"/>
        <w:adjustRightInd w:val="0"/>
        <w:snapToGrid w:val="0"/>
        <w:spacing w:line="560" w:lineRule="exact"/>
        <w:ind w:left="0" w:right="0" w:rightChars="0" w:firstLine="708" w:firstLineChars="200"/>
        <w:jc w:val="left"/>
        <w:textAlignment w:val="baseline"/>
        <w:rPr>
          <w:spacing w:val="22"/>
          <w:sz w:val="31"/>
          <w:szCs w:val="31"/>
        </w:rPr>
      </w:pPr>
      <w:r>
        <w:rPr>
          <w:spacing w:val="22"/>
          <w:sz w:val="31"/>
          <w:szCs w:val="31"/>
        </w:rPr>
        <w:t>吸纳</w:t>
      </w:r>
      <w:r>
        <w:rPr>
          <w:rFonts w:hint="eastAsia"/>
          <w:spacing w:val="22"/>
          <w:sz w:val="31"/>
          <w:szCs w:val="31"/>
          <w:lang w:eastAsia="zh-CN"/>
        </w:rPr>
        <w:t>就业</w:t>
      </w:r>
      <w:r>
        <w:rPr>
          <w:spacing w:val="22"/>
          <w:sz w:val="31"/>
          <w:szCs w:val="31"/>
        </w:rPr>
        <w:t>补贴：24万元</w:t>
      </w:r>
    </w:p>
    <w:p>
      <w:pPr>
        <w:pStyle w:val="5"/>
        <w:keepNext w:val="0"/>
        <w:keepLines w:val="0"/>
        <w:pageBreakBefore w:val="0"/>
        <w:widowControl/>
        <w:kinsoku w:val="0"/>
        <w:wordWrap/>
        <w:overflowPunct/>
        <w:topLinePunct w:val="0"/>
        <w:autoSpaceDE w:val="0"/>
        <w:autoSpaceDN w:val="0"/>
        <w:bidi w:val="0"/>
        <w:adjustRightInd w:val="0"/>
        <w:snapToGrid w:val="0"/>
        <w:spacing w:beforeLines="0" w:line="560" w:lineRule="exact"/>
        <w:ind w:left="0" w:right="0" w:firstLine="594" w:firstLineChars="200"/>
        <w:jc w:val="left"/>
        <w:textAlignment w:val="baseline"/>
      </w:pPr>
      <w:r>
        <w:rPr>
          <w:rFonts w:hint="eastAsia" w:ascii="楷体" w:hAnsi="楷体" w:eastAsia="楷体" w:cs="楷体"/>
          <w:b/>
          <w:bCs/>
          <w:spacing w:val="-2"/>
          <w:lang w:eastAsia="zh-CN"/>
        </w:rPr>
        <w:t>（四）</w:t>
      </w:r>
      <w:r>
        <w:rPr>
          <w:rFonts w:ascii="楷体" w:hAnsi="楷体" w:eastAsia="楷体" w:cs="楷体"/>
          <w:b/>
          <w:bCs/>
          <w:spacing w:val="-2"/>
        </w:rPr>
        <w:t>项目绩效目标设置。</w:t>
      </w:r>
      <w:r>
        <w:rPr>
          <w:spacing w:val="-2"/>
        </w:rPr>
        <w:t>整体目标：完</w:t>
      </w:r>
      <w:r>
        <w:rPr>
          <w:spacing w:val="-3"/>
        </w:rPr>
        <w:t>成年度就业创业扶持任务，提升公共就业服务水平，保障重点群体就业。</w:t>
      </w:r>
    </w:p>
    <w:p>
      <w:pPr>
        <w:pStyle w:val="5"/>
        <w:keepNext w:val="0"/>
        <w:keepLines w:val="0"/>
        <w:pageBreakBefore w:val="0"/>
        <w:widowControl/>
        <w:kinsoku w:val="0"/>
        <w:wordWrap/>
        <w:overflowPunct/>
        <w:topLinePunct w:val="0"/>
        <w:autoSpaceDE w:val="0"/>
        <w:autoSpaceDN w:val="0"/>
        <w:bidi w:val="0"/>
        <w:adjustRightInd w:val="0"/>
        <w:snapToGrid w:val="0"/>
        <w:spacing w:beforeLines="0" w:line="560" w:lineRule="exact"/>
        <w:ind w:left="0" w:right="0" w:firstLine="620" w:firstLineChars="200"/>
        <w:jc w:val="left"/>
        <w:textAlignment w:val="baseline"/>
      </w:pPr>
      <w:r>
        <w:rPr>
          <w:spacing w:val="5"/>
        </w:rPr>
        <w:t>具体指标：设置产出、效益、满意度3个一级指标，数</w:t>
      </w:r>
      <w:r>
        <w:rPr>
          <w:spacing w:val="4"/>
        </w:rPr>
        <w:t>量、质量、时效、经济效益、社会效益、服务对象满意度6</w:t>
      </w:r>
      <w:r>
        <w:rPr>
          <w:spacing w:val="5"/>
        </w:rPr>
        <w:t>个二级指标，8个三级指标，涵盖补贴发放、就业</w:t>
      </w:r>
      <w:r>
        <w:rPr>
          <w:spacing w:val="4"/>
        </w:rPr>
        <w:t>人数</w:t>
      </w:r>
      <w:r>
        <w:rPr>
          <w:rFonts w:hint="eastAsia"/>
          <w:spacing w:val="4"/>
          <w:lang w:eastAsia="zh-CN"/>
        </w:rPr>
        <w:t>，就</w:t>
      </w:r>
      <w:r>
        <w:rPr>
          <w:spacing w:val="-5"/>
        </w:rPr>
        <w:t>业率、满意度等核心内容。</w:t>
      </w:r>
    </w:p>
    <w:p>
      <w:pPr>
        <w:pStyle w:val="5"/>
        <w:keepNext w:val="0"/>
        <w:keepLines w:val="0"/>
        <w:pageBreakBefore w:val="0"/>
        <w:widowControl/>
        <w:kinsoku w:val="0"/>
        <w:wordWrap/>
        <w:overflowPunct/>
        <w:topLinePunct w:val="0"/>
        <w:autoSpaceDE w:val="0"/>
        <w:autoSpaceDN w:val="0"/>
        <w:bidi w:val="0"/>
        <w:adjustRightInd w:val="0"/>
        <w:snapToGrid w:val="0"/>
        <w:spacing w:beforeLines="0" w:line="560" w:lineRule="exact"/>
        <w:ind w:left="0" w:right="0" w:firstLine="556" w:firstLineChars="200"/>
        <w:jc w:val="left"/>
        <w:textAlignment w:val="baseline"/>
      </w:pPr>
      <w:r>
        <w:rPr>
          <w:spacing w:val="-11"/>
        </w:rPr>
        <w:t>自评开展：按要求完成资料梳理、数据统计、实地核查、</w:t>
      </w:r>
      <w:r>
        <w:rPr>
          <w:spacing w:val="-6"/>
        </w:rPr>
        <w:t>指标打分等自评工作。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6" w:firstLineChars="200"/>
        <w:jc w:val="left"/>
        <w:textAlignment w:val="baseline"/>
        <w:rPr>
          <w:rFonts w:ascii="黑体" w:hAnsi="黑体" w:eastAsia="黑体" w:cs="黑体"/>
          <w:sz w:val="32"/>
          <w:szCs w:val="32"/>
        </w:rPr>
      </w:pPr>
      <w:r>
        <w:rPr>
          <w:rFonts w:ascii="黑体" w:hAnsi="黑体" w:eastAsia="黑体" w:cs="黑体"/>
          <w:spacing w:val="-1"/>
          <w:sz w:val="32"/>
          <w:szCs w:val="32"/>
        </w:rPr>
        <w:t>二、评价实施</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90" w:firstLineChars="200"/>
        <w:jc w:val="left"/>
        <w:textAlignment w:val="baseline"/>
      </w:pPr>
      <w:r>
        <w:rPr>
          <w:rFonts w:hint="eastAsia" w:ascii="楷体" w:hAnsi="楷体" w:eastAsia="楷体" w:cs="楷体"/>
          <w:b/>
          <w:bCs/>
          <w:spacing w:val="-3"/>
          <w:lang w:eastAsia="zh-CN"/>
        </w:rPr>
        <w:t>（一）</w:t>
      </w:r>
      <w:r>
        <w:rPr>
          <w:rFonts w:ascii="楷体" w:hAnsi="楷体" w:eastAsia="楷体" w:cs="楷体"/>
          <w:b/>
          <w:bCs/>
          <w:spacing w:val="-3"/>
        </w:rPr>
        <w:t>评价目的。</w:t>
      </w:r>
      <w:r>
        <w:rPr>
          <w:spacing w:val="-3"/>
        </w:rPr>
        <w:t>全面核查资金使用、项目实施、绩效目标完成情况，客观评价专项资金的经济性、效率性、效益性，为资金优化配置、就业创业政策完善提供科学依据。</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10" w:firstLineChars="200"/>
        <w:jc w:val="left"/>
        <w:textAlignment w:val="baseline"/>
      </w:pPr>
      <w:r>
        <w:rPr>
          <w:rFonts w:hint="eastAsia" w:ascii="楷体" w:hAnsi="楷体" w:eastAsia="楷体" w:cs="楷体"/>
          <w:b/>
          <w:bCs/>
          <w:spacing w:val="2"/>
          <w:lang w:eastAsia="zh-CN"/>
        </w:rPr>
        <w:t>（二）</w:t>
      </w:r>
      <w:r>
        <w:rPr>
          <w:rFonts w:ascii="楷体" w:hAnsi="楷体" w:eastAsia="楷体" w:cs="楷体"/>
          <w:b/>
          <w:bCs/>
          <w:spacing w:val="2"/>
        </w:rPr>
        <w:t>预设问题及评价重点。</w:t>
      </w:r>
      <w:r>
        <w:rPr>
          <w:spacing w:val="2"/>
        </w:rPr>
        <w:t>预设问题：预算执行是否</w:t>
      </w:r>
      <w:r>
        <w:rPr>
          <w:spacing w:val="-3"/>
        </w:rPr>
        <w:t>到位、资金使用是否合规、绩效目标是否完成、工坊满意度</w:t>
      </w:r>
      <w:r>
        <w:rPr>
          <w:spacing w:val="-11"/>
        </w:rPr>
        <w:t>是否达标。</w:t>
      </w:r>
      <w:r>
        <w:rPr>
          <w:spacing w:val="-2"/>
        </w:rPr>
        <w:t>评价重点：资金管理、补贴发放、就业帮扶成效、制度</w:t>
      </w:r>
      <w:r>
        <w:rPr>
          <w:spacing w:val="-6"/>
        </w:rPr>
        <w:t>执行、服务对象满意度。</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94" w:firstLineChars="200"/>
        <w:jc w:val="left"/>
        <w:textAlignment w:val="baseline"/>
      </w:pPr>
      <w:r>
        <w:rPr>
          <w:rFonts w:hint="eastAsia" w:ascii="楷体" w:hAnsi="楷体" w:eastAsia="楷体" w:cs="楷体"/>
          <w:b/>
          <w:bCs/>
          <w:spacing w:val="-2"/>
          <w:lang w:eastAsia="zh-CN"/>
        </w:rPr>
        <w:t>（三）</w:t>
      </w:r>
      <w:r>
        <w:rPr>
          <w:rFonts w:ascii="楷体" w:hAnsi="楷体" w:eastAsia="楷体" w:cs="楷体"/>
          <w:b/>
          <w:bCs/>
          <w:spacing w:val="-2"/>
        </w:rPr>
        <w:t>评价选点。</w:t>
      </w:r>
      <w:r>
        <w:rPr>
          <w:spacing w:val="-2"/>
        </w:rPr>
        <w:t>本次自评无额外选点，全覆</w:t>
      </w:r>
      <w:r>
        <w:rPr>
          <w:spacing w:val="-3"/>
        </w:rPr>
        <w:t>盖项目实</w:t>
      </w:r>
      <w:r>
        <w:rPr>
          <w:spacing w:val="-6"/>
        </w:rPr>
        <w:t>施及资金使用全流程。</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90" w:firstLineChars="200"/>
        <w:jc w:val="left"/>
        <w:textAlignment w:val="baseline"/>
        <w:rPr>
          <w:spacing w:val="-5"/>
        </w:rPr>
      </w:pPr>
      <w:r>
        <w:rPr>
          <w:rFonts w:hint="eastAsia" w:ascii="楷体" w:hAnsi="楷体" w:eastAsia="楷体" w:cs="楷体"/>
          <w:b/>
          <w:bCs/>
          <w:spacing w:val="-3"/>
          <w:lang w:eastAsia="zh-CN"/>
        </w:rPr>
        <w:t>（四）</w:t>
      </w:r>
      <w:r>
        <w:rPr>
          <w:rFonts w:ascii="楷体" w:hAnsi="楷体" w:eastAsia="楷体" w:cs="楷体"/>
          <w:b/>
          <w:bCs/>
          <w:spacing w:val="-3"/>
        </w:rPr>
        <w:t>评价方法。</w:t>
      </w:r>
      <w:r>
        <w:rPr>
          <w:spacing w:val="-3"/>
        </w:rPr>
        <w:t>采用案卷研究法、实地勘察法、问卷</w:t>
      </w:r>
      <w:r>
        <w:rPr>
          <w:spacing w:val="-2"/>
        </w:rPr>
        <w:t>调查法、单位自评法、座谈调研法，结合财务凭证、业务台</w:t>
      </w:r>
      <w:r>
        <w:rPr>
          <w:spacing w:val="-5"/>
        </w:rPr>
        <w:t>账、受益对象访谈开展评价。</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90" w:firstLineChars="200"/>
        <w:jc w:val="left"/>
        <w:textAlignment w:val="baseline"/>
      </w:pPr>
      <w:r>
        <w:rPr>
          <w:rFonts w:hint="eastAsia" w:ascii="楷体" w:hAnsi="楷体" w:eastAsia="楷体" w:cs="楷体"/>
          <w:b/>
          <w:bCs/>
          <w:spacing w:val="-3"/>
          <w:lang w:eastAsia="zh-CN"/>
        </w:rPr>
        <w:t>（五）</w:t>
      </w:r>
      <w:r>
        <w:rPr>
          <w:rFonts w:ascii="楷体" w:hAnsi="楷体" w:eastAsia="楷体" w:cs="楷体"/>
          <w:b/>
          <w:bCs/>
          <w:spacing w:val="-3"/>
        </w:rPr>
        <w:t>评价组织。</w:t>
      </w:r>
      <w:r>
        <w:rPr>
          <w:rFonts w:hint="eastAsia" w:ascii="楷体" w:hAnsi="楷体" w:eastAsia="楷体" w:cs="楷体"/>
          <w:spacing w:val="-3"/>
          <w:lang w:eastAsia="zh-CN"/>
        </w:rPr>
        <w:t>成立</w:t>
      </w:r>
      <w:r>
        <w:rPr>
          <w:spacing w:val="-3"/>
        </w:rPr>
        <w:t>由单位负责人、财务人员、业务</w:t>
      </w:r>
      <w:r>
        <w:rPr>
          <w:rFonts w:hint="eastAsia"/>
          <w:spacing w:val="-3"/>
          <w:lang w:eastAsia="zh-CN"/>
        </w:rPr>
        <w:t>骨干</w:t>
      </w:r>
      <w:r>
        <w:rPr>
          <w:spacing w:val="-3"/>
        </w:rPr>
        <w:t>组成的自评小组，明确分工：业务股室负责数据统计，财</w:t>
      </w:r>
      <w:r>
        <w:rPr>
          <w:spacing w:val="-4"/>
        </w:rPr>
        <w:t>务股室负责资金核查，综合股室负责报告撰写。</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2" w:firstLineChars="200"/>
        <w:jc w:val="left"/>
        <w:textAlignment w:val="baseline"/>
        <w:rPr>
          <w:rFonts w:ascii="黑体" w:hAnsi="黑体" w:eastAsia="黑体" w:cs="黑体"/>
          <w:sz w:val="31"/>
          <w:szCs w:val="31"/>
        </w:rPr>
      </w:pPr>
      <w:r>
        <w:rPr>
          <w:rFonts w:ascii="黑体" w:hAnsi="黑体" w:eastAsia="黑体" w:cs="黑体"/>
          <w:spacing w:val="8"/>
          <w:sz w:val="31"/>
          <w:szCs w:val="31"/>
        </w:rPr>
        <w:t>三、绩效分析</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96" w:firstLineChars="200"/>
        <w:jc w:val="left"/>
        <w:textAlignment w:val="baseline"/>
      </w:pPr>
      <w:r>
        <w:rPr>
          <w:spacing w:val="-1"/>
        </w:rPr>
        <w:t>根据项目预算绩效评价指标体系“通用指标”“专用指</w:t>
      </w:r>
      <w:r>
        <w:rPr>
          <w:spacing w:val="-21"/>
        </w:rPr>
        <w:t>标”“个性指标”涉及二、三级指标进行逐项绩效分析并评分。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8" w:firstLineChars="200"/>
        <w:jc w:val="left"/>
        <w:textAlignment w:val="baseline"/>
        <w:rPr>
          <w:rFonts w:ascii="楷体" w:hAnsi="楷体" w:eastAsia="楷体" w:cs="楷体"/>
          <w:sz w:val="31"/>
          <w:szCs w:val="31"/>
        </w:rPr>
      </w:pPr>
      <w:r>
        <w:rPr>
          <w:rFonts w:hint="eastAsia" w:ascii="楷体" w:hAnsi="楷体" w:eastAsia="楷体" w:cs="楷体"/>
          <w:spacing w:val="17"/>
          <w:sz w:val="31"/>
          <w:szCs w:val="31"/>
          <w:lang w:eastAsia="zh-CN"/>
        </w:rPr>
        <w:t>（一）</w:t>
      </w:r>
      <w:r>
        <w:rPr>
          <w:rFonts w:ascii="楷体" w:hAnsi="楷体" w:eastAsia="楷体" w:cs="楷体"/>
          <w:spacing w:val="17"/>
          <w:sz w:val="31"/>
          <w:szCs w:val="31"/>
        </w:rPr>
        <w:t>通用指标绩效分析。</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96" w:firstLineChars="200"/>
        <w:jc w:val="left"/>
        <w:textAlignment w:val="baseline"/>
      </w:pPr>
      <w:r>
        <w:rPr>
          <w:rFonts w:ascii="楷体" w:hAnsi="楷体" w:eastAsia="楷体" w:cs="楷体"/>
          <w:spacing w:val="-1"/>
        </w:rPr>
        <w:t>1.项目决策。</w:t>
      </w:r>
      <w:r>
        <w:rPr>
          <w:spacing w:val="-1"/>
        </w:rPr>
        <w:t>项目决策流程规范、程序严密，符</w:t>
      </w:r>
      <w:r>
        <w:rPr>
          <w:spacing w:val="-2"/>
        </w:rPr>
        <w:t>合财政</w:t>
      </w:r>
      <w:r>
        <w:rPr>
          <w:spacing w:val="-10"/>
        </w:rPr>
        <w:t>资金管理要求。</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6" w:firstLineChars="200"/>
        <w:jc w:val="left"/>
        <w:textAlignment w:val="baseline"/>
        <w:rPr>
          <w:sz w:val="31"/>
          <w:szCs w:val="31"/>
        </w:rPr>
      </w:pPr>
      <w:r>
        <w:rPr>
          <w:rFonts w:ascii="楷体" w:hAnsi="楷体" w:eastAsia="楷体" w:cs="楷体"/>
          <w:spacing w:val="9"/>
          <w:sz w:val="31"/>
          <w:szCs w:val="31"/>
        </w:rPr>
        <w:t>2.项目管理。</w:t>
      </w:r>
      <w:r>
        <w:rPr>
          <w:spacing w:val="9"/>
          <w:sz w:val="31"/>
          <w:szCs w:val="31"/>
        </w:rPr>
        <w:t>资金拨付、项目实施严格遵守财经纪律及</w:t>
      </w:r>
      <w:r>
        <w:rPr>
          <w:spacing w:val="3"/>
          <w:sz w:val="31"/>
          <w:szCs w:val="31"/>
        </w:rPr>
        <w:t>管理规定，专款专用、合规高效。</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96" w:firstLineChars="200"/>
        <w:jc w:val="left"/>
        <w:textAlignment w:val="baseline"/>
        <w:rPr>
          <w:rFonts w:ascii="楷体" w:hAnsi="楷体" w:eastAsia="楷体" w:cs="楷体"/>
          <w:sz w:val="31"/>
          <w:szCs w:val="31"/>
        </w:rPr>
      </w:pPr>
      <w:r>
        <w:rPr>
          <w:rFonts w:ascii="楷体" w:hAnsi="楷体" w:eastAsia="楷体" w:cs="楷体"/>
          <w:spacing w:val="-6"/>
          <w:sz w:val="31"/>
          <w:szCs w:val="31"/>
        </w:rPr>
        <w:t>3.项目实施。</w:t>
      </w:r>
    </w:p>
    <w:p>
      <w:pPr>
        <w:pStyle w:val="5"/>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88" w:firstLineChars="200"/>
        <w:jc w:val="left"/>
        <w:textAlignment w:val="top"/>
        <w:rPr>
          <w:sz w:val="33"/>
          <w:szCs w:val="33"/>
        </w:rPr>
      </w:pPr>
      <w:r>
        <w:rPr>
          <w:spacing w:val="7"/>
          <w:sz w:val="33"/>
          <w:szCs w:val="33"/>
        </w:rPr>
        <w:t>就业工坊数量：目标≥5个，实际11个</w:t>
      </w:r>
    </w:p>
    <w:p>
      <w:pPr>
        <w:pStyle w:val="5"/>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28" w:firstLineChars="200"/>
        <w:jc w:val="left"/>
        <w:textAlignment w:val="top"/>
        <w:rPr>
          <w:sz w:val="33"/>
          <w:szCs w:val="33"/>
        </w:rPr>
      </w:pPr>
      <w:r>
        <w:rPr>
          <w:spacing w:val="-8"/>
          <w:sz w:val="33"/>
          <w:szCs w:val="33"/>
        </w:rPr>
        <w:t>吸纳就业人数：目标≥100人，实际20</w:t>
      </w:r>
      <w:r>
        <w:rPr>
          <w:spacing w:val="-9"/>
          <w:sz w:val="33"/>
          <w:szCs w:val="33"/>
        </w:rPr>
        <w:t>0人</w:t>
      </w:r>
    </w:p>
    <w:p>
      <w:pPr>
        <w:pStyle w:val="5"/>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96" w:firstLineChars="200"/>
        <w:jc w:val="left"/>
        <w:textAlignment w:val="top"/>
        <w:rPr>
          <w:sz w:val="33"/>
          <w:szCs w:val="33"/>
        </w:rPr>
      </w:pPr>
      <w:r>
        <w:rPr>
          <w:spacing w:val="9"/>
          <w:sz w:val="33"/>
          <w:szCs w:val="33"/>
        </w:rPr>
        <w:t>补贴发放准确率：目标≥95%</w:t>
      </w:r>
      <w:r>
        <w:rPr>
          <w:rFonts w:hint="eastAsia"/>
          <w:spacing w:val="9"/>
          <w:sz w:val="33"/>
          <w:szCs w:val="33"/>
          <w:lang w:eastAsia="zh-CN"/>
        </w:rPr>
        <w:t>，</w:t>
      </w:r>
      <w:r>
        <w:rPr>
          <w:spacing w:val="9"/>
          <w:sz w:val="33"/>
          <w:szCs w:val="33"/>
        </w:rPr>
        <w:t>实际95%</w:t>
      </w:r>
    </w:p>
    <w:p>
      <w:pPr>
        <w:pStyle w:val="5"/>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96" w:firstLineChars="200"/>
        <w:jc w:val="left"/>
        <w:textAlignment w:val="top"/>
      </w:pPr>
      <w:r>
        <w:rPr>
          <w:spacing w:val="-1"/>
        </w:rPr>
        <w:t>资金支付到位率：目标≤12月，实际12月</w:t>
      </w:r>
      <w:r>
        <w:rPr>
          <w:spacing w:val="-2"/>
        </w:rPr>
        <w:t>完成，到位</w:t>
      </w:r>
      <w:r>
        <w:rPr>
          <w:spacing w:val="47"/>
        </w:rPr>
        <w:t>率100%</w:t>
      </w:r>
    </w:p>
    <w:p>
      <w:pPr>
        <w:pStyle w:val="5"/>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24" w:firstLineChars="200"/>
        <w:jc w:val="left"/>
        <w:textAlignment w:val="top"/>
      </w:pPr>
      <w:r>
        <w:rPr>
          <w:spacing w:val="6"/>
        </w:rPr>
        <w:t>城镇新增就业人数：目标≥200人，实际300人</w:t>
      </w:r>
    </w:p>
    <w:p>
      <w:pPr>
        <w:pStyle w:val="5"/>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60" w:firstLineChars="200"/>
        <w:jc w:val="left"/>
        <w:textAlignment w:val="top"/>
        <w:rPr>
          <w:spacing w:val="15"/>
        </w:rPr>
      </w:pPr>
      <w:r>
        <w:rPr>
          <w:spacing w:val="15"/>
        </w:rPr>
        <w:t>失业人员再就业人数：目标≥10人，实际1</w:t>
      </w:r>
      <w:r>
        <w:rPr>
          <w:rFonts w:hint="eastAsia"/>
          <w:spacing w:val="15"/>
          <w:lang w:val="en-US" w:eastAsia="zh-CN"/>
        </w:rPr>
        <w:t>5</w:t>
      </w:r>
      <w:r>
        <w:rPr>
          <w:spacing w:val="15"/>
        </w:rPr>
        <w:t>人</w:t>
      </w:r>
    </w:p>
    <w:p>
      <w:pPr>
        <w:pStyle w:val="5"/>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580" w:firstLineChars="200"/>
        <w:jc w:val="left"/>
        <w:textAlignment w:val="top"/>
      </w:pPr>
      <w:r>
        <w:rPr>
          <w:spacing w:val="-5"/>
        </w:rPr>
        <w:t>家门口就业工坊推广补助经办服务满意度：</w:t>
      </w:r>
      <w:r>
        <w:rPr>
          <w:spacing w:val="27"/>
        </w:rPr>
        <w:t>目标≥95%</w:t>
      </w:r>
      <w:r>
        <w:rPr>
          <w:rFonts w:hint="eastAsia"/>
          <w:spacing w:val="27"/>
          <w:lang w:eastAsia="zh-CN"/>
        </w:rPr>
        <w:t>，</w:t>
      </w:r>
      <w:r>
        <w:rPr>
          <w:spacing w:val="27"/>
        </w:rPr>
        <w:t>实际95%</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4" w:firstLineChars="200"/>
        <w:jc w:val="left"/>
        <w:textAlignment w:val="baseline"/>
      </w:pPr>
      <w:r>
        <w:rPr>
          <w:spacing w:val="16"/>
        </w:rPr>
        <w:t>就业工坊服务满意度：目标≥95%</w:t>
      </w:r>
      <w:r>
        <w:rPr>
          <w:rFonts w:hint="eastAsia"/>
          <w:spacing w:val="16"/>
          <w:lang w:eastAsia="zh-CN"/>
        </w:rPr>
        <w:t>，</w:t>
      </w:r>
      <w:r>
        <w:rPr>
          <w:spacing w:val="16"/>
        </w:rPr>
        <w:t>实际95%</w:t>
      </w:r>
    </w:p>
    <w:p>
      <w:pPr>
        <w:pStyle w:val="5"/>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596" w:firstLineChars="200"/>
        <w:jc w:val="left"/>
        <w:textAlignment w:val="baseline"/>
      </w:pPr>
      <w:r>
        <w:rPr>
          <w:rFonts w:ascii="楷体" w:hAnsi="楷体" w:eastAsia="楷体" w:cs="楷体"/>
          <w:spacing w:val="-1"/>
        </w:rPr>
        <w:t>4.项目结果。</w:t>
      </w:r>
      <w:r>
        <w:rPr>
          <w:spacing w:val="-1"/>
        </w:rPr>
        <w:t>坚持以稳就业、保就业为主线，</w:t>
      </w:r>
      <w:r>
        <w:rPr>
          <w:spacing w:val="-2"/>
        </w:rPr>
        <w:t>着力促进</w:t>
      </w:r>
      <w:r>
        <w:rPr>
          <w:spacing w:val="-8"/>
        </w:rPr>
        <w:t>重点群体就业，超额完成年度就业目标，就业帮扶成效显著</w:t>
      </w:r>
      <w:r>
        <w:rPr>
          <w:rFonts w:hint="eastAsia"/>
          <w:spacing w:val="-8"/>
          <w:lang w:eastAsia="zh-CN"/>
        </w:rPr>
        <w:t>，</w:t>
      </w:r>
      <w:r>
        <w:rPr>
          <w:spacing w:val="-8"/>
        </w:rPr>
        <w:t>社会就业形势总体稳定。</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98" w:firstLineChars="200"/>
        <w:jc w:val="left"/>
        <w:textAlignment w:val="baseline"/>
      </w:pPr>
      <w:r>
        <w:rPr>
          <w:rFonts w:hint="eastAsia" w:ascii="楷体" w:hAnsi="楷体" w:eastAsia="楷体" w:cs="楷体"/>
          <w:b/>
          <w:bCs/>
          <w:spacing w:val="-1"/>
          <w:lang w:eastAsia="zh-CN"/>
        </w:rPr>
        <w:t>（二）</w:t>
      </w:r>
      <w:r>
        <w:rPr>
          <w:rFonts w:ascii="楷体" w:hAnsi="楷体" w:eastAsia="楷体" w:cs="楷体"/>
          <w:b/>
          <w:bCs/>
          <w:spacing w:val="-1"/>
        </w:rPr>
        <w:t>专用指标绩效分析。</w:t>
      </w:r>
      <w:r>
        <w:rPr>
          <w:spacing w:val="-1"/>
        </w:rPr>
        <w:t>根据专项预算项目资金支持</w:t>
      </w:r>
      <w:r>
        <w:rPr>
          <w:spacing w:val="-2"/>
        </w:rPr>
        <w:t>对象选择所属指标进行绩效分析。支持对象包括产业发展、</w:t>
      </w:r>
      <w:r>
        <w:rPr>
          <w:spacing w:val="-6"/>
        </w:rPr>
        <w:t>民生保障、基础设施、行政运转等方面。</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88" w:firstLineChars="200"/>
        <w:jc w:val="left"/>
        <w:textAlignment w:val="baseline"/>
      </w:pPr>
      <w:r>
        <w:rPr>
          <w:rFonts w:ascii="楷体" w:hAnsi="楷体" w:eastAsia="楷体" w:cs="楷体"/>
          <w:spacing w:val="-3"/>
        </w:rPr>
        <w:t>民生保障类。</w:t>
      </w:r>
      <w:r>
        <w:rPr>
          <w:spacing w:val="-3"/>
        </w:rPr>
        <w:t>资金分配兼顾就业工坊吸纳就业情况，均</w:t>
      </w:r>
      <w:r>
        <w:rPr>
          <w:spacing w:val="-1"/>
        </w:rPr>
        <w:t>衡公平性良好，就近就地就业扶持力度持续加强。补贴标准</w:t>
      </w:r>
      <w:r>
        <w:rPr>
          <w:spacing w:val="-4"/>
        </w:rPr>
        <w:t>严格执行资金使用方案，及时足额兑现到位。</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4" w:firstLineChars="200"/>
        <w:jc w:val="left"/>
        <w:textAlignment w:val="baseline"/>
        <w:rPr>
          <w:rFonts w:ascii="黑体" w:hAnsi="黑体" w:eastAsia="黑体" w:cs="黑体"/>
          <w:sz w:val="31"/>
          <w:szCs w:val="31"/>
        </w:rPr>
      </w:pPr>
      <w:r>
        <w:rPr>
          <w:rFonts w:ascii="黑体" w:hAnsi="黑体" w:eastAsia="黑体" w:cs="黑体"/>
          <w:spacing w:val="6"/>
          <w:sz w:val="31"/>
          <w:szCs w:val="31"/>
        </w:rPr>
        <w:t>四、评价结论</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96" w:firstLineChars="200"/>
        <w:jc w:val="left"/>
        <w:textAlignment w:val="baseline"/>
        <w:rPr>
          <w:spacing w:val="-4"/>
        </w:rPr>
      </w:pPr>
      <w:r>
        <w:rPr>
          <w:spacing w:val="-1"/>
        </w:rPr>
        <w:t>坚持以科学发展观为指导，以</w:t>
      </w:r>
      <w:r>
        <w:rPr>
          <w:rFonts w:hint="eastAsia"/>
          <w:spacing w:val="-1"/>
          <w:lang w:eastAsia="zh-CN"/>
        </w:rPr>
        <w:t>构建社会主义和谐社会</w:t>
      </w:r>
      <w:r>
        <w:rPr>
          <w:spacing w:val="-2"/>
        </w:rPr>
        <w:t>为</w:t>
      </w:r>
      <w:r>
        <w:rPr>
          <w:spacing w:val="-3"/>
        </w:rPr>
        <w:t>目标，以贯彻落实就业再就业新政策为主线，以解决就业困</w:t>
      </w:r>
      <w:r>
        <w:rPr>
          <w:spacing w:val="-1"/>
        </w:rPr>
        <w:t>难人员再就业、新增劳动力就业和农村转移劳动力就业为重</w:t>
      </w:r>
      <w:r>
        <w:rPr>
          <w:spacing w:val="-25"/>
        </w:rPr>
        <w:t>点，以创业培训和再就业培训为抓手，围绕“稳就业”“保就业”</w:t>
      </w:r>
      <w:r>
        <w:rPr>
          <w:spacing w:val="-4"/>
        </w:rPr>
        <w:t>工作主线，着力</w:t>
      </w:r>
      <w:r>
        <w:rPr>
          <w:rFonts w:hint="eastAsia"/>
          <w:spacing w:val="-4"/>
          <w:lang w:eastAsia="zh-CN"/>
        </w:rPr>
        <w:t>促进重点</w:t>
      </w:r>
      <w:r>
        <w:rPr>
          <w:spacing w:val="-4"/>
        </w:rPr>
        <w:t>群体就业，开展了就业促进民生工程</w:t>
      </w:r>
      <w:r>
        <w:rPr>
          <w:rFonts w:hint="eastAsia"/>
          <w:spacing w:val="-4"/>
          <w:lang w:eastAsia="zh-CN"/>
        </w:rPr>
        <w:t>。</w:t>
      </w:r>
      <w:r>
        <w:rPr>
          <w:spacing w:val="-4"/>
        </w:rPr>
        <w:t>立足本职，服务大局，取得了显著的成绩。</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4" w:firstLineChars="200"/>
        <w:jc w:val="left"/>
        <w:textAlignment w:val="baseline"/>
        <w:rPr>
          <w:rFonts w:ascii="黑体" w:hAnsi="黑体" w:eastAsia="黑体" w:cs="黑体"/>
          <w:sz w:val="32"/>
          <w:szCs w:val="32"/>
        </w:rPr>
      </w:pPr>
      <w:r>
        <w:rPr>
          <w:rFonts w:ascii="黑体" w:hAnsi="黑体" w:eastAsia="黑体" w:cs="黑体"/>
          <w:spacing w:val="-4"/>
          <w:sz w:val="32"/>
          <w:szCs w:val="32"/>
        </w:rPr>
        <w:t>五、存在主要问题</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80" w:firstLineChars="200"/>
        <w:jc w:val="left"/>
        <w:textAlignment w:val="baseline"/>
      </w:pPr>
      <w:r>
        <w:rPr>
          <w:spacing w:val="-5"/>
        </w:rPr>
        <w:t>一是预算编制有待</w:t>
      </w:r>
      <w:r>
        <w:rPr>
          <w:rFonts w:hint="eastAsia"/>
          <w:spacing w:val="-5"/>
          <w:lang w:eastAsia="zh-CN"/>
        </w:rPr>
        <w:t>更加</w:t>
      </w:r>
      <w:r>
        <w:rPr>
          <w:spacing w:val="-5"/>
        </w:rPr>
        <w:t>严格执行，预算编制与实际支出项</w:t>
      </w:r>
      <w:r>
        <w:rPr>
          <w:spacing w:val="-11"/>
        </w:rPr>
        <w:t>目有的存在差异。</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76" w:firstLineChars="200"/>
        <w:jc w:val="left"/>
        <w:textAlignment w:val="baseline"/>
        <w:rPr>
          <w:spacing w:val="-6"/>
        </w:rPr>
      </w:pPr>
      <w:r>
        <w:rPr>
          <w:spacing w:val="-6"/>
        </w:rPr>
        <w:t>二是制度执行力度有待加强。</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8" w:firstLineChars="200"/>
        <w:jc w:val="left"/>
        <w:textAlignment w:val="baseline"/>
        <w:rPr>
          <w:rFonts w:ascii="黑体" w:hAnsi="黑体" w:eastAsia="黑体" w:cs="黑体"/>
          <w:sz w:val="31"/>
          <w:szCs w:val="31"/>
        </w:rPr>
      </w:pPr>
      <w:r>
        <w:rPr>
          <w:rFonts w:ascii="黑体" w:hAnsi="黑体" w:eastAsia="黑体" w:cs="黑体"/>
          <w:spacing w:val="7"/>
          <w:sz w:val="31"/>
          <w:szCs w:val="31"/>
        </w:rPr>
        <w:t>六、改进建议</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0" w:firstLineChars="200"/>
        <w:jc w:val="left"/>
        <w:textAlignment w:val="baseline"/>
      </w:pPr>
      <w:r>
        <w:rPr>
          <w:spacing w:val="5"/>
        </w:rPr>
        <w:t>一是按照预算规定的项目和用途严格财务审核，经费</w:t>
      </w:r>
      <w:r>
        <w:rPr>
          <w:spacing w:val="-2"/>
        </w:rPr>
        <w:t>支出严格按预算规定项目的</w:t>
      </w:r>
      <w:r>
        <w:rPr>
          <w:rFonts w:hint="eastAsia"/>
          <w:spacing w:val="-2"/>
          <w:lang w:eastAsia="zh-CN"/>
        </w:rPr>
        <w:t>财政</w:t>
      </w:r>
      <w:r>
        <w:rPr>
          <w:spacing w:val="-2"/>
        </w:rPr>
        <w:t>支出内容进行财务核算，在</w:t>
      </w:r>
      <w:r>
        <w:rPr>
          <w:spacing w:val="-6"/>
        </w:rPr>
        <w:t>预算金额内严格控制费用的支出。</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92" w:firstLineChars="200"/>
        <w:jc w:val="left"/>
        <w:textAlignment w:val="baseline"/>
      </w:pPr>
      <w:r>
        <w:rPr>
          <w:spacing w:val="-2"/>
        </w:rPr>
        <w:t>二是预算财务分析常态化，定期做好预算支出财务</w:t>
      </w:r>
      <w:r>
        <w:rPr>
          <w:rFonts w:hint="eastAsia"/>
          <w:spacing w:val="-2"/>
          <w:lang w:eastAsia="zh-CN"/>
        </w:rPr>
        <w:t>分析</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92" w:firstLineChars="200"/>
        <w:jc w:val="left"/>
        <w:textAlignment w:val="baseline"/>
        <w:sectPr>
          <w:pgSz w:w="11900" w:h="16820"/>
          <w:pgMar w:top="1429" w:right="1756" w:bottom="1048" w:left="1785" w:header="0" w:footer="763" w:gutter="0"/>
          <w:cols w:space="720" w:num="1"/>
        </w:sectPr>
      </w:pPr>
      <w:r>
        <w:rPr>
          <w:spacing w:val="-2"/>
        </w:rPr>
        <w:t>析，做好部门整体支出预算评价工作，完善各项</w:t>
      </w:r>
      <w:r>
        <w:rPr>
          <w:rFonts w:hint="eastAsia"/>
          <w:spacing w:val="-2"/>
          <w:lang w:eastAsia="zh-CN"/>
        </w:rPr>
        <w:t>制度</w:t>
      </w:r>
      <w:r>
        <w:rPr>
          <w:spacing w:val="-2"/>
        </w:rPr>
        <w:t>，提升</w:t>
      </w:r>
      <w:r>
        <w:rPr>
          <w:spacing w:val="-12"/>
        </w:rPr>
        <w:t>执行力。</w:t>
      </w:r>
    </w:p>
    <w:p>
      <w:pPr>
        <w:spacing w:before="44" w:line="225" w:lineRule="auto"/>
        <w:rPr>
          <w:rFonts w:ascii="黑体" w:hAnsi="黑体" w:eastAsia="黑体" w:cs="黑体"/>
          <w:sz w:val="22"/>
          <w:szCs w:val="22"/>
        </w:rPr>
      </w:pPr>
    </w:p>
    <w:p>
      <w:pPr>
        <w:spacing w:before="58" w:line="219" w:lineRule="auto"/>
        <w:ind w:left="3799"/>
        <w:rPr>
          <w:rFonts w:ascii="宋体" w:hAnsi="宋体" w:eastAsia="宋体" w:cs="宋体"/>
          <w:sz w:val="17"/>
          <w:szCs w:val="17"/>
        </w:rPr>
      </w:pPr>
      <w:r>
        <w:rPr>
          <w:rFonts w:ascii="宋体" w:hAnsi="宋体" w:eastAsia="宋体" w:cs="宋体"/>
          <w:spacing w:val="4"/>
          <w:sz w:val="17"/>
          <w:szCs w:val="17"/>
        </w:rPr>
        <w:t>(2025年度</w:t>
      </w:r>
      <w:r>
        <w:rPr>
          <w:rFonts w:hint="eastAsia" w:ascii="宋体" w:hAnsi="宋体" w:eastAsia="宋体" w:cs="宋体"/>
          <w:spacing w:val="4"/>
          <w:sz w:val="17"/>
          <w:szCs w:val="17"/>
          <w:lang w:eastAsia="zh-CN"/>
        </w:rPr>
        <w:t>）</w:t>
      </w:r>
    </w:p>
    <w:tbl>
      <w:tblPr>
        <w:tblStyle w:val="39"/>
        <w:tblW w:w="8719" w:type="dxa"/>
        <w:tblInd w:w="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4"/>
        <w:gridCol w:w="629"/>
        <w:gridCol w:w="849"/>
        <w:gridCol w:w="2068"/>
        <w:gridCol w:w="509"/>
        <w:gridCol w:w="490"/>
        <w:gridCol w:w="1069"/>
        <w:gridCol w:w="799"/>
        <w:gridCol w:w="579"/>
        <w:gridCol w:w="749"/>
        <w:gridCol w:w="5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1922" w:type="dxa"/>
            <w:gridSpan w:val="3"/>
            <w:vAlign w:val="top"/>
          </w:tcPr>
          <w:p>
            <w:pPr>
              <w:pStyle w:val="38"/>
              <w:spacing w:before="153" w:line="220" w:lineRule="auto"/>
              <w:ind w:left="575"/>
            </w:pPr>
            <w:r>
              <w:rPr>
                <w:spacing w:val="2"/>
              </w:rPr>
              <w:t>项目名称</w:t>
            </w:r>
          </w:p>
        </w:tc>
        <w:tc>
          <w:tcPr>
            <w:tcW w:w="3067" w:type="dxa"/>
            <w:gridSpan w:val="3"/>
            <w:vAlign w:val="top"/>
          </w:tcPr>
          <w:p>
            <w:pPr>
              <w:pStyle w:val="38"/>
              <w:spacing w:before="153" w:line="219" w:lineRule="auto"/>
              <w:ind w:left="352"/>
            </w:pPr>
            <w:r>
              <w:rPr>
                <w:spacing w:val="2"/>
              </w:rPr>
              <w:t>家门口就业工坊推广补助项目</w:t>
            </w:r>
          </w:p>
        </w:tc>
        <w:tc>
          <w:tcPr>
            <w:tcW w:w="1069" w:type="dxa"/>
            <w:vAlign w:val="top"/>
          </w:tcPr>
          <w:p>
            <w:pPr>
              <w:pStyle w:val="38"/>
              <w:spacing w:before="43" w:line="219" w:lineRule="auto"/>
              <w:ind w:left="56"/>
            </w:pPr>
            <w:r>
              <w:rPr>
                <w:spacing w:val="-2"/>
              </w:rPr>
              <w:t>项目负责人</w:t>
            </w:r>
          </w:p>
          <w:p>
            <w:pPr>
              <w:pStyle w:val="38"/>
              <w:spacing w:before="16" w:line="194" w:lineRule="auto"/>
              <w:ind w:left="245"/>
            </w:pPr>
            <w:r>
              <w:rPr>
                <w:spacing w:val="-2"/>
              </w:rPr>
              <w:t>及电话</w:t>
            </w:r>
          </w:p>
        </w:tc>
        <w:tc>
          <w:tcPr>
            <w:tcW w:w="2661" w:type="dxa"/>
            <w:gridSpan w:val="4"/>
            <w:vAlign w:val="top"/>
          </w:tcPr>
          <w:p>
            <w:pPr>
              <w:pStyle w:val="38"/>
              <w:spacing w:before="153" w:line="220" w:lineRule="auto"/>
              <w:ind w:left="326"/>
            </w:pPr>
            <w:r>
              <w:rPr>
                <w:spacing w:val="-1"/>
              </w:rPr>
              <w:t>泽旺江木措17394941886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trPr>
        <w:tc>
          <w:tcPr>
            <w:tcW w:w="1922" w:type="dxa"/>
            <w:gridSpan w:val="3"/>
            <w:vAlign w:val="top"/>
          </w:tcPr>
          <w:p>
            <w:pPr>
              <w:pStyle w:val="38"/>
              <w:spacing w:before="27" w:line="206" w:lineRule="auto"/>
              <w:ind w:left="575"/>
            </w:pPr>
            <w:r>
              <w:rPr>
                <w:spacing w:val="5"/>
              </w:rPr>
              <w:t>主管部门</w:t>
            </w:r>
          </w:p>
        </w:tc>
        <w:tc>
          <w:tcPr>
            <w:tcW w:w="3067" w:type="dxa"/>
            <w:gridSpan w:val="3"/>
            <w:vAlign w:val="top"/>
          </w:tcPr>
          <w:p>
            <w:pPr>
              <w:pStyle w:val="38"/>
              <w:spacing w:before="27" w:line="206" w:lineRule="auto"/>
              <w:ind w:left="2"/>
            </w:pPr>
            <w:r>
              <w:rPr>
                <w:spacing w:val="2"/>
              </w:rPr>
              <w:t>就业服务中心</w:t>
            </w:r>
          </w:p>
        </w:tc>
        <w:tc>
          <w:tcPr>
            <w:tcW w:w="1069" w:type="dxa"/>
            <w:vAlign w:val="top"/>
          </w:tcPr>
          <w:p>
            <w:pPr>
              <w:pStyle w:val="38"/>
              <w:spacing w:before="27" w:line="206" w:lineRule="auto"/>
              <w:ind w:left="145"/>
            </w:pPr>
            <w:r>
              <w:rPr>
                <w:spacing w:val="-3"/>
              </w:rPr>
              <w:t>实施单位</w:t>
            </w:r>
          </w:p>
        </w:tc>
        <w:tc>
          <w:tcPr>
            <w:tcW w:w="2661" w:type="dxa"/>
            <w:gridSpan w:val="4"/>
            <w:vAlign w:val="top"/>
          </w:tcPr>
          <w:p>
            <w:pPr>
              <w:pStyle w:val="38"/>
              <w:spacing w:before="27" w:line="206" w:lineRule="auto"/>
              <w:ind w:left="757"/>
            </w:pPr>
            <w:r>
              <w:rPr>
                <w:spacing w:val="2"/>
              </w:rPr>
              <w:t>就业服务中心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922" w:type="dxa"/>
            <w:gridSpan w:val="3"/>
            <w:vMerge w:val="restart"/>
            <w:tcBorders>
              <w:bottom w:val="nil"/>
            </w:tcBorders>
            <w:vAlign w:val="top"/>
          </w:tcPr>
          <w:p>
            <w:pPr>
              <w:pStyle w:val="38"/>
              <w:spacing w:before="62" w:line="220" w:lineRule="auto"/>
              <w:ind w:left="575"/>
            </w:pPr>
            <w:r>
              <w:rPr>
                <w:spacing w:val="2"/>
              </w:rPr>
              <w:t>资金情况</w:t>
            </w:r>
          </w:p>
          <w:p>
            <w:pPr>
              <w:pStyle w:val="38"/>
              <w:spacing w:before="23" w:line="220" w:lineRule="auto"/>
              <w:ind w:left="664"/>
            </w:pPr>
            <w:r>
              <w:rPr>
                <w:rFonts w:hint="eastAsia"/>
                <w:spacing w:val="10"/>
                <w:lang w:eastAsia="zh-CN"/>
              </w:rPr>
              <w:t>（</w:t>
            </w:r>
            <w:r>
              <w:rPr>
                <w:spacing w:val="10"/>
              </w:rPr>
              <w:t>万元</w:t>
            </w:r>
            <w:r>
              <w:rPr>
                <w:rFonts w:hint="eastAsia"/>
                <w:spacing w:val="10"/>
                <w:lang w:eastAsia="zh-CN"/>
              </w:rPr>
              <w:t>）</w:t>
            </w:r>
          </w:p>
        </w:tc>
        <w:tc>
          <w:tcPr>
            <w:tcW w:w="2068" w:type="dxa"/>
            <w:vAlign w:val="top"/>
          </w:tcPr>
          <w:p>
            <w:pPr>
              <w:rPr>
                <w:rFonts w:ascii="Arial"/>
                <w:sz w:val="21"/>
              </w:rPr>
            </w:pPr>
          </w:p>
        </w:tc>
        <w:tc>
          <w:tcPr>
            <w:tcW w:w="999" w:type="dxa"/>
            <w:gridSpan w:val="2"/>
            <w:vAlign w:val="top"/>
          </w:tcPr>
          <w:p>
            <w:pPr>
              <w:pStyle w:val="38"/>
              <w:spacing w:before="17" w:line="207" w:lineRule="auto"/>
              <w:ind w:left="14"/>
            </w:pPr>
            <w:r>
              <w:rPr>
                <w:spacing w:val="-2"/>
              </w:rPr>
              <w:t>全年预算数</w:t>
            </w:r>
          </w:p>
          <w:p>
            <w:pPr>
              <w:pStyle w:val="38"/>
              <w:spacing w:line="164" w:lineRule="auto"/>
              <w:ind w:left="334"/>
            </w:pPr>
            <w:r>
              <w:rPr>
                <w:spacing w:val="-10"/>
              </w:rPr>
              <w:t>(A)</w:t>
            </w:r>
          </w:p>
        </w:tc>
        <w:tc>
          <w:tcPr>
            <w:tcW w:w="1868" w:type="dxa"/>
            <w:gridSpan w:val="2"/>
            <w:vAlign w:val="top"/>
          </w:tcPr>
          <w:p>
            <w:pPr>
              <w:pStyle w:val="38"/>
              <w:spacing w:before="107" w:line="219" w:lineRule="auto"/>
              <w:ind w:left="306"/>
            </w:pPr>
            <w:r>
              <w:rPr>
                <w:spacing w:val="5"/>
              </w:rPr>
              <w:t>全年执行数</w:t>
            </w:r>
            <w:r>
              <w:rPr>
                <w:rFonts w:hint="eastAsia"/>
                <w:spacing w:val="5"/>
                <w:lang w:eastAsia="zh-CN"/>
              </w:rPr>
              <w:t>（</w:t>
            </w:r>
            <w:r>
              <w:rPr>
                <w:spacing w:val="5"/>
              </w:rPr>
              <w:t>B</w:t>
            </w:r>
            <w:r>
              <w:rPr>
                <w:rFonts w:hint="eastAsia"/>
                <w:spacing w:val="5"/>
                <w:lang w:eastAsia="zh-CN"/>
              </w:rPr>
              <w:t>）</w:t>
            </w:r>
          </w:p>
        </w:tc>
        <w:tc>
          <w:tcPr>
            <w:tcW w:w="579" w:type="dxa"/>
            <w:vAlign w:val="top"/>
          </w:tcPr>
          <w:p>
            <w:pPr>
              <w:pStyle w:val="38"/>
              <w:spacing w:before="107" w:line="219" w:lineRule="auto"/>
              <w:ind w:left="97"/>
            </w:pPr>
            <w:r>
              <w:rPr>
                <w:spacing w:val="-3"/>
              </w:rPr>
              <w:t>分值</w:t>
            </w:r>
          </w:p>
        </w:tc>
        <w:tc>
          <w:tcPr>
            <w:tcW w:w="749" w:type="dxa"/>
            <w:vAlign w:val="top"/>
          </w:tcPr>
          <w:p>
            <w:pPr>
              <w:pStyle w:val="38"/>
              <w:spacing w:before="7" w:line="197" w:lineRule="auto"/>
              <w:ind w:left="98"/>
            </w:pPr>
            <w:r>
              <w:rPr>
                <w:spacing w:val="-2"/>
              </w:rPr>
              <w:t>执行率</w:t>
            </w:r>
          </w:p>
          <w:p>
            <w:pPr>
              <w:pStyle w:val="38"/>
              <w:spacing w:line="183" w:lineRule="auto"/>
              <w:ind w:left="168"/>
            </w:pPr>
            <w:r>
              <w:rPr>
                <w:spacing w:val="-7"/>
              </w:rPr>
              <w:t>(B/A)</w:t>
            </w:r>
          </w:p>
        </w:tc>
        <w:tc>
          <w:tcPr>
            <w:tcW w:w="534" w:type="dxa"/>
            <w:vAlign w:val="top"/>
          </w:tcPr>
          <w:p>
            <w:pPr>
              <w:pStyle w:val="38"/>
              <w:spacing w:before="107" w:line="219" w:lineRule="auto"/>
              <w:jc w:val="right"/>
            </w:pPr>
            <w:r>
              <w:rPr>
                <w:spacing w:val="-5"/>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1922" w:type="dxa"/>
            <w:gridSpan w:val="3"/>
            <w:vMerge w:val="continue"/>
            <w:tcBorders>
              <w:top w:val="nil"/>
              <w:bottom w:val="nil"/>
            </w:tcBorders>
            <w:vAlign w:val="top"/>
          </w:tcPr>
          <w:p>
            <w:pPr>
              <w:rPr>
                <w:rFonts w:ascii="Arial"/>
                <w:sz w:val="21"/>
              </w:rPr>
            </w:pPr>
          </w:p>
        </w:tc>
        <w:tc>
          <w:tcPr>
            <w:tcW w:w="2068" w:type="dxa"/>
            <w:vAlign w:val="top"/>
          </w:tcPr>
          <w:p>
            <w:pPr>
              <w:pStyle w:val="38"/>
              <w:spacing w:before="27" w:line="197" w:lineRule="auto"/>
              <w:ind w:left="93"/>
            </w:pPr>
            <w:r>
              <w:rPr>
                <w:spacing w:val="-1"/>
              </w:rPr>
              <w:t>年度资金总额：</w:t>
            </w:r>
          </w:p>
        </w:tc>
        <w:tc>
          <w:tcPr>
            <w:tcW w:w="999" w:type="dxa"/>
            <w:gridSpan w:val="2"/>
            <w:vAlign w:val="top"/>
          </w:tcPr>
          <w:p>
            <w:pPr>
              <w:pStyle w:val="38"/>
              <w:spacing w:before="46" w:line="178" w:lineRule="auto"/>
              <w:ind w:left="395"/>
            </w:pPr>
            <w:r>
              <w:rPr>
                <w:spacing w:val="-3"/>
              </w:rPr>
              <w:t>30</w:t>
            </w:r>
          </w:p>
        </w:tc>
        <w:tc>
          <w:tcPr>
            <w:tcW w:w="1868" w:type="dxa"/>
            <w:gridSpan w:val="2"/>
            <w:vAlign w:val="top"/>
          </w:tcPr>
          <w:p>
            <w:pPr>
              <w:pStyle w:val="38"/>
              <w:spacing w:before="46" w:line="178" w:lineRule="auto"/>
              <w:ind w:left="685"/>
            </w:pPr>
            <w:r>
              <w:rPr>
                <w:spacing w:val="-2"/>
              </w:rPr>
              <w:t>28.57</w:t>
            </w:r>
          </w:p>
        </w:tc>
        <w:tc>
          <w:tcPr>
            <w:tcW w:w="579" w:type="dxa"/>
            <w:vAlign w:val="top"/>
          </w:tcPr>
          <w:p>
            <w:pPr>
              <w:pStyle w:val="38"/>
              <w:spacing w:before="46" w:line="178" w:lineRule="auto"/>
              <w:ind w:left="187"/>
            </w:pPr>
            <w:r>
              <w:rPr>
                <w:spacing w:val="-6"/>
              </w:rPr>
              <w:t>10</w:t>
            </w:r>
          </w:p>
        </w:tc>
        <w:tc>
          <w:tcPr>
            <w:tcW w:w="749" w:type="dxa"/>
            <w:vAlign w:val="top"/>
          </w:tcPr>
          <w:p>
            <w:pPr>
              <w:pStyle w:val="38"/>
              <w:spacing w:before="46" w:line="178" w:lineRule="auto"/>
              <w:ind w:left="8"/>
            </w:pPr>
            <w:r>
              <w:rPr>
                <w:spacing w:val="-2"/>
              </w:rPr>
              <w:t>95%</w:t>
            </w:r>
          </w:p>
        </w:tc>
        <w:tc>
          <w:tcPr>
            <w:tcW w:w="534" w:type="dxa"/>
            <w:vAlign w:val="top"/>
          </w:tcPr>
          <w:p>
            <w:pPr>
              <w:pStyle w:val="38"/>
              <w:spacing w:before="46" w:line="178" w:lineRule="auto"/>
              <w:jc w:val="right"/>
            </w:pPr>
            <w:r>
              <w:rPr>
                <w:spacing w:val="-9"/>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trPr>
        <w:tc>
          <w:tcPr>
            <w:tcW w:w="1922" w:type="dxa"/>
            <w:gridSpan w:val="3"/>
            <w:vMerge w:val="continue"/>
            <w:tcBorders>
              <w:top w:val="nil"/>
              <w:bottom w:val="nil"/>
            </w:tcBorders>
            <w:vAlign w:val="top"/>
          </w:tcPr>
          <w:p>
            <w:pPr>
              <w:rPr>
                <w:rFonts w:ascii="Arial"/>
                <w:sz w:val="21"/>
              </w:rPr>
            </w:pPr>
          </w:p>
        </w:tc>
        <w:tc>
          <w:tcPr>
            <w:tcW w:w="2068" w:type="dxa"/>
            <w:vAlign w:val="top"/>
          </w:tcPr>
          <w:p>
            <w:pPr>
              <w:pStyle w:val="38"/>
              <w:spacing w:before="26" w:line="207" w:lineRule="auto"/>
              <w:ind w:left="93"/>
            </w:pPr>
            <w:r>
              <w:rPr>
                <w:spacing w:val="-1"/>
              </w:rPr>
              <w:t>其中：本年财政拨款</w:t>
            </w:r>
          </w:p>
        </w:tc>
        <w:tc>
          <w:tcPr>
            <w:tcW w:w="999" w:type="dxa"/>
            <w:gridSpan w:val="2"/>
            <w:vAlign w:val="top"/>
          </w:tcPr>
          <w:p>
            <w:pPr>
              <w:pStyle w:val="38"/>
              <w:spacing w:before="46" w:line="188" w:lineRule="auto"/>
              <w:ind w:left="395"/>
            </w:pPr>
            <w:r>
              <w:rPr>
                <w:spacing w:val="-3"/>
              </w:rPr>
              <w:t>30</w:t>
            </w:r>
          </w:p>
        </w:tc>
        <w:tc>
          <w:tcPr>
            <w:tcW w:w="1868" w:type="dxa"/>
            <w:gridSpan w:val="2"/>
            <w:vAlign w:val="top"/>
          </w:tcPr>
          <w:p>
            <w:pPr>
              <w:pStyle w:val="38"/>
              <w:spacing w:before="46" w:line="188" w:lineRule="auto"/>
              <w:ind w:left="685"/>
            </w:pPr>
            <w:r>
              <w:rPr>
                <w:spacing w:val="-2"/>
              </w:rPr>
              <w:t>28.57</w:t>
            </w:r>
          </w:p>
        </w:tc>
        <w:tc>
          <w:tcPr>
            <w:tcW w:w="579" w:type="dxa"/>
            <w:vAlign w:val="top"/>
          </w:tcPr>
          <w:p>
            <w:pPr>
              <w:pStyle w:val="38"/>
              <w:spacing w:before="136" w:line="103" w:lineRule="exact"/>
              <w:ind w:left="238"/>
            </w:pPr>
            <w:r>
              <w:rPr>
                <w:position w:val="-4"/>
              </w:rPr>
              <w:t>-</w:t>
            </w:r>
          </w:p>
        </w:tc>
        <w:tc>
          <w:tcPr>
            <w:tcW w:w="749" w:type="dxa"/>
            <w:vAlign w:val="top"/>
          </w:tcPr>
          <w:p>
            <w:pPr>
              <w:pStyle w:val="38"/>
              <w:spacing w:before="46" w:line="188" w:lineRule="auto"/>
              <w:ind w:left="8"/>
            </w:pPr>
            <w:r>
              <w:rPr>
                <w:spacing w:val="-2"/>
              </w:rPr>
              <w:t>95%</w:t>
            </w:r>
          </w:p>
        </w:tc>
        <w:tc>
          <w:tcPr>
            <w:tcW w:w="534" w:type="dxa"/>
            <w:vAlign w:val="top"/>
          </w:tcPr>
          <w:p>
            <w:pPr>
              <w:pStyle w:val="38"/>
              <w:spacing w:before="118" w:line="121" w:lineRule="exact"/>
              <w:ind w:left="219"/>
            </w:pPr>
            <w:r>
              <w:rPr>
                <w:position w:val="-4"/>
              </w:rPr>
              <w:t>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22" w:type="dxa"/>
            <w:gridSpan w:val="3"/>
            <w:vMerge w:val="continue"/>
            <w:tcBorders>
              <w:top w:val="nil"/>
            </w:tcBorders>
            <w:vAlign w:val="top"/>
          </w:tcPr>
          <w:p>
            <w:pPr>
              <w:rPr>
                <w:rFonts w:ascii="Arial"/>
                <w:sz w:val="21"/>
              </w:rPr>
            </w:pPr>
          </w:p>
        </w:tc>
        <w:tc>
          <w:tcPr>
            <w:tcW w:w="2068" w:type="dxa"/>
            <w:vAlign w:val="top"/>
          </w:tcPr>
          <w:p>
            <w:pPr>
              <w:pStyle w:val="38"/>
              <w:spacing w:before="18" w:line="196" w:lineRule="auto"/>
              <w:ind w:left="663"/>
            </w:pPr>
            <w:r>
              <w:rPr>
                <w:spacing w:val="-2"/>
              </w:rPr>
              <w:t>其他资金</w:t>
            </w:r>
          </w:p>
        </w:tc>
        <w:tc>
          <w:tcPr>
            <w:tcW w:w="999" w:type="dxa"/>
            <w:gridSpan w:val="2"/>
            <w:vAlign w:val="top"/>
          </w:tcPr>
          <w:p>
            <w:pPr>
              <w:spacing w:line="220" w:lineRule="exact"/>
              <w:rPr>
                <w:rFonts w:ascii="Arial"/>
                <w:sz w:val="19"/>
              </w:rPr>
            </w:pPr>
          </w:p>
        </w:tc>
        <w:tc>
          <w:tcPr>
            <w:tcW w:w="1868" w:type="dxa"/>
            <w:gridSpan w:val="2"/>
            <w:vAlign w:val="top"/>
          </w:tcPr>
          <w:p>
            <w:pPr>
              <w:spacing w:line="220" w:lineRule="exact"/>
              <w:rPr>
                <w:rFonts w:ascii="Arial"/>
                <w:sz w:val="19"/>
              </w:rPr>
            </w:pPr>
          </w:p>
        </w:tc>
        <w:tc>
          <w:tcPr>
            <w:tcW w:w="579" w:type="dxa"/>
            <w:vAlign w:val="top"/>
          </w:tcPr>
          <w:p>
            <w:pPr>
              <w:pStyle w:val="38"/>
              <w:spacing w:before="108" w:line="111" w:lineRule="exact"/>
              <w:ind w:left="187"/>
            </w:pPr>
            <w:r>
              <w:rPr>
                <w:position w:val="-5"/>
              </w:rPr>
              <w:t>一</w:t>
            </w:r>
          </w:p>
        </w:tc>
        <w:tc>
          <w:tcPr>
            <w:tcW w:w="749" w:type="dxa"/>
            <w:vAlign w:val="top"/>
          </w:tcPr>
          <w:p>
            <w:pPr>
              <w:spacing w:line="220" w:lineRule="exact"/>
              <w:rPr>
                <w:rFonts w:ascii="Arial"/>
                <w:sz w:val="19"/>
              </w:rPr>
            </w:pPr>
          </w:p>
        </w:tc>
        <w:tc>
          <w:tcPr>
            <w:tcW w:w="534" w:type="dxa"/>
            <w:vAlign w:val="top"/>
          </w:tcPr>
          <w:p>
            <w:pPr>
              <w:pStyle w:val="38"/>
              <w:spacing w:before="126" w:line="93" w:lineRule="exact"/>
              <w:ind w:left="209"/>
            </w:pPr>
            <w:r>
              <w:rPr>
                <w:position w:val="-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444" w:type="dxa"/>
            <w:vMerge w:val="restart"/>
            <w:tcBorders>
              <w:bottom w:val="nil"/>
            </w:tcBorders>
            <w:vAlign w:val="top"/>
          </w:tcPr>
          <w:p>
            <w:pPr>
              <w:pStyle w:val="38"/>
              <w:spacing w:before="62" w:line="219" w:lineRule="auto"/>
              <w:ind w:left="24"/>
            </w:pPr>
            <w:r>
              <w:rPr>
                <w:spacing w:val="-3"/>
              </w:rPr>
              <w:t>年度</w:t>
            </w:r>
          </w:p>
          <w:p>
            <w:pPr>
              <w:pStyle w:val="38"/>
              <w:spacing w:before="5" w:line="213" w:lineRule="auto"/>
              <w:ind w:left="24"/>
            </w:pPr>
            <w:r>
              <w:rPr>
                <w:spacing w:val="4"/>
              </w:rPr>
              <w:t>总体</w:t>
            </w:r>
          </w:p>
          <w:p>
            <w:pPr>
              <w:pStyle w:val="38"/>
              <w:spacing w:line="220" w:lineRule="auto"/>
              <w:ind w:left="24"/>
            </w:pPr>
            <w:r>
              <w:rPr>
                <w:spacing w:val="7"/>
              </w:rPr>
              <w:t>目标</w:t>
            </w:r>
          </w:p>
        </w:tc>
        <w:tc>
          <w:tcPr>
            <w:tcW w:w="4545" w:type="dxa"/>
            <w:gridSpan w:val="5"/>
            <w:vAlign w:val="top"/>
          </w:tcPr>
          <w:p>
            <w:pPr>
              <w:pStyle w:val="38"/>
              <w:spacing w:before="27" w:line="197" w:lineRule="auto"/>
              <w:ind w:left="1690"/>
            </w:pPr>
            <w:r>
              <w:rPr>
                <w:spacing w:val="-2"/>
              </w:rPr>
              <w:t>年初设定目标</w:t>
            </w:r>
          </w:p>
        </w:tc>
        <w:tc>
          <w:tcPr>
            <w:tcW w:w="3730" w:type="dxa"/>
            <w:gridSpan w:val="5"/>
            <w:vAlign w:val="top"/>
          </w:tcPr>
          <w:p>
            <w:pPr>
              <w:pStyle w:val="38"/>
              <w:spacing w:before="9" w:line="170" w:lineRule="auto"/>
              <w:ind w:left="415"/>
              <w:rPr>
                <w:sz w:val="24"/>
                <w:szCs w:val="24"/>
              </w:rPr>
            </w:pPr>
            <w:r>
              <w:rPr>
                <w:spacing w:val="-1"/>
                <w:sz w:val="24"/>
                <w:szCs w:val="24"/>
              </w:rPr>
              <w:t>年度总体目标完成情况综述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9" w:hRule="atLeast"/>
        </w:trPr>
        <w:tc>
          <w:tcPr>
            <w:tcW w:w="444" w:type="dxa"/>
            <w:vMerge w:val="continue"/>
            <w:tcBorders>
              <w:top w:val="nil"/>
            </w:tcBorders>
            <w:vAlign w:val="top"/>
          </w:tcPr>
          <w:p>
            <w:pPr>
              <w:rPr>
                <w:rFonts w:ascii="Arial"/>
                <w:sz w:val="21"/>
              </w:rPr>
            </w:pPr>
          </w:p>
        </w:tc>
        <w:tc>
          <w:tcPr>
            <w:tcW w:w="4545" w:type="dxa"/>
            <w:gridSpan w:val="5"/>
            <w:vAlign w:val="top"/>
          </w:tcPr>
          <w:p>
            <w:pPr>
              <w:pStyle w:val="38"/>
              <w:spacing w:before="42" w:line="225" w:lineRule="auto"/>
              <w:ind w:left="899" w:hanging="889"/>
              <w:rPr>
                <w:sz w:val="15"/>
                <w:szCs w:val="15"/>
              </w:rPr>
            </w:pPr>
            <w:r>
              <w:rPr>
                <w:spacing w:val="-13"/>
                <w:w w:val="93"/>
                <w:sz w:val="13"/>
                <w:szCs w:val="13"/>
              </w:rPr>
              <w:t>2025</w:t>
            </w:r>
            <w:r>
              <w:rPr>
                <w:spacing w:val="-12"/>
                <w:w w:val="93"/>
                <w:sz w:val="13"/>
                <w:szCs w:val="13"/>
              </w:rPr>
              <w:t>年壤塘县城镇新增就业人数达200人</w:t>
            </w:r>
            <w:r>
              <w:rPr>
                <w:rFonts w:hint="eastAsia"/>
                <w:spacing w:val="-12"/>
                <w:w w:val="93"/>
                <w:sz w:val="13"/>
                <w:szCs w:val="13"/>
                <w:lang w:eastAsia="zh-CN"/>
              </w:rPr>
              <w:t>，</w:t>
            </w:r>
            <w:r>
              <w:rPr>
                <w:spacing w:val="-12"/>
                <w:w w:val="93"/>
                <w:sz w:val="13"/>
                <w:szCs w:val="13"/>
              </w:rPr>
              <w:t>就业困难人员就业4人</w:t>
            </w:r>
            <w:r>
              <w:rPr>
                <w:rFonts w:hint="eastAsia"/>
                <w:spacing w:val="-12"/>
                <w:w w:val="93"/>
                <w:sz w:val="13"/>
                <w:szCs w:val="13"/>
                <w:lang w:eastAsia="zh-CN"/>
              </w:rPr>
              <w:t>，</w:t>
            </w:r>
            <w:r>
              <w:rPr>
                <w:spacing w:val="-12"/>
                <w:w w:val="93"/>
                <w:sz w:val="13"/>
                <w:szCs w:val="13"/>
              </w:rPr>
              <w:t>城镇失业人员再就业10人</w:t>
            </w:r>
            <w:r>
              <w:rPr>
                <w:rFonts w:hint="eastAsia"/>
                <w:spacing w:val="-12"/>
                <w:w w:val="93"/>
                <w:sz w:val="13"/>
                <w:szCs w:val="13"/>
                <w:lang w:eastAsia="zh-CN"/>
              </w:rPr>
              <w:t>，城镇</w:t>
            </w:r>
            <w:r>
              <w:rPr>
                <w:spacing w:val="-4"/>
                <w:sz w:val="15"/>
                <w:szCs w:val="15"/>
              </w:rPr>
              <w:t>登记失业率稳控在3.8%</w:t>
            </w:r>
            <w:r>
              <w:rPr>
                <w:rFonts w:hint="eastAsia"/>
                <w:spacing w:val="-4"/>
                <w:sz w:val="15"/>
                <w:szCs w:val="15"/>
                <w:lang w:eastAsia="zh-CN"/>
              </w:rPr>
              <w:t>以内，</w:t>
            </w:r>
            <w:r>
              <w:rPr>
                <w:spacing w:val="-4"/>
                <w:sz w:val="15"/>
                <w:szCs w:val="15"/>
              </w:rPr>
              <w:t>累计实现青年见习</w:t>
            </w:r>
            <w:r>
              <w:rPr>
                <w:spacing w:val="-5"/>
                <w:sz w:val="15"/>
                <w:szCs w:val="15"/>
              </w:rPr>
              <w:t>就业20人</w:t>
            </w:r>
          </w:p>
        </w:tc>
        <w:tc>
          <w:tcPr>
            <w:tcW w:w="3730" w:type="dxa"/>
            <w:gridSpan w:val="5"/>
            <w:vAlign w:val="top"/>
          </w:tcPr>
          <w:p>
            <w:pPr>
              <w:pStyle w:val="38"/>
              <w:spacing w:before="33" w:line="219" w:lineRule="auto"/>
              <w:ind w:left="155"/>
              <w:rPr>
                <w:sz w:val="10"/>
                <w:szCs w:val="10"/>
              </w:rPr>
            </w:pPr>
            <w:r>
              <w:rPr>
                <w:sz w:val="10"/>
                <w:szCs w:val="10"/>
              </w:rPr>
              <w:t>2025年壤塘县城镇新增就业人数达300人</w:t>
            </w:r>
            <w:r>
              <w:rPr>
                <w:rFonts w:hint="eastAsia"/>
                <w:sz w:val="10"/>
                <w:szCs w:val="10"/>
                <w:lang w:eastAsia="zh-CN"/>
              </w:rPr>
              <w:t>，</w:t>
            </w:r>
            <w:r>
              <w:rPr>
                <w:sz w:val="10"/>
                <w:szCs w:val="10"/>
              </w:rPr>
              <w:t>就业困难人员就业5人</w:t>
            </w:r>
            <w:r>
              <w:rPr>
                <w:rFonts w:hint="eastAsia"/>
                <w:sz w:val="10"/>
                <w:szCs w:val="10"/>
                <w:lang w:eastAsia="zh-CN"/>
              </w:rPr>
              <w:t>，</w:t>
            </w:r>
            <w:r>
              <w:rPr>
                <w:spacing w:val="-1"/>
                <w:sz w:val="10"/>
                <w:szCs w:val="10"/>
              </w:rPr>
              <w:t>城镇失业人</w:t>
            </w:r>
          </w:p>
          <w:p>
            <w:pPr>
              <w:pStyle w:val="38"/>
              <w:spacing w:before="30" w:line="219" w:lineRule="auto"/>
              <w:ind w:left="205"/>
              <w:rPr>
                <w:sz w:val="10"/>
                <w:szCs w:val="10"/>
              </w:rPr>
            </w:pPr>
            <w:r>
              <w:rPr>
                <w:sz w:val="10"/>
                <w:szCs w:val="10"/>
              </w:rPr>
              <w:t>员再就业15人</w:t>
            </w:r>
            <w:r>
              <w:rPr>
                <w:rFonts w:hint="eastAsia"/>
                <w:sz w:val="10"/>
                <w:szCs w:val="10"/>
                <w:lang w:eastAsia="zh-CN"/>
              </w:rPr>
              <w:t>，城镇调查失业率</w:t>
            </w:r>
            <w:r>
              <w:rPr>
                <w:sz w:val="10"/>
                <w:szCs w:val="10"/>
              </w:rPr>
              <w:t>稳控在3.8%</w:t>
            </w:r>
            <w:r>
              <w:rPr>
                <w:rFonts w:hint="eastAsia"/>
                <w:sz w:val="10"/>
                <w:szCs w:val="10"/>
                <w:lang w:eastAsia="zh-CN"/>
              </w:rPr>
              <w:t>以内</w:t>
            </w:r>
            <w:r>
              <w:rPr>
                <w:sz w:val="10"/>
                <w:szCs w:val="10"/>
              </w:rPr>
              <w:t>，</w:t>
            </w:r>
            <w:r>
              <w:rPr>
                <w:rFonts w:hint="eastAsia"/>
                <w:sz w:val="10"/>
                <w:szCs w:val="10"/>
                <w:lang w:eastAsia="zh-CN"/>
              </w:rPr>
              <w:t>累计实现青年见习</w:t>
            </w:r>
            <w:r>
              <w:rPr>
                <w:spacing w:val="-1"/>
                <w:sz w:val="10"/>
                <w:szCs w:val="10"/>
              </w:rPr>
              <w:t>就业24人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9" w:hRule="atLeast"/>
        </w:trPr>
        <w:tc>
          <w:tcPr>
            <w:tcW w:w="444" w:type="dxa"/>
            <w:vMerge w:val="restart"/>
            <w:tcBorders>
              <w:bottom w:val="nil"/>
            </w:tcBorders>
            <w:textDirection w:val="tbRlV"/>
            <w:vAlign w:val="top"/>
          </w:tcPr>
          <w:p>
            <w:pPr>
              <w:pStyle w:val="38"/>
              <w:spacing w:before="135" w:line="202" w:lineRule="auto"/>
              <w:ind w:left="3711"/>
            </w:pPr>
            <w:r>
              <w:rPr>
                <w:color w:val="102030"/>
              </w:rPr>
              <w:t>绩效指标</w:t>
            </w:r>
          </w:p>
        </w:tc>
        <w:tc>
          <w:tcPr>
            <w:tcW w:w="629" w:type="dxa"/>
            <w:vAlign w:val="top"/>
          </w:tcPr>
          <w:p>
            <w:pPr>
              <w:pStyle w:val="38"/>
              <w:spacing w:before="200" w:line="203" w:lineRule="auto"/>
              <w:ind w:left="111"/>
            </w:pPr>
            <w:r>
              <w:rPr>
                <w:spacing w:val="11"/>
              </w:rPr>
              <w:t>一级</w:t>
            </w:r>
          </w:p>
          <w:p>
            <w:pPr>
              <w:pStyle w:val="38"/>
              <w:spacing w:line="220" w:lineRule="auto"/>
              <w:ind w:left="131"/>
            </w:pPr>
            <w:r>
              <w:rPr>
                <w:spacing w:val="-3"/>
              </w:rPr>
              <w:t>指标</w:t>
            </w:r>
          </w:p>
        </w:tc>
        <w:tc>
          <w:tcPr>
            <w:tcW w:w="849" w:type="dxa"/>
            <w:vAlign w:val="top"/>
          </w:tcPr>
          <w:p>
            <w:pPr>
              <w:pStyle w:val="38"/>
              <w:spacing w:before="299" w:line="220" w:lineRule="auto"/>
              <w:ind w:left="32"/>
            </w:pPr>
            <w:r>
              <w:rPr>
                <w:spacing w:val="-2"/>
              </w:rPr>
              <w:t>二级指标</w:t>
            </w:r>
          </w:p>
        </w:tc>
        <w:tc>
          <w:tcPr>
            <w:tcW w:w="2577" w:type="dxa"/>
            <w:gridSpan w:val="2"/>
            <w:vAlign w:val="top"/>
          </w:tcPr>
          <w:p>
            <w:pPr>
              <w:pStyle w:val="38"/>
              <w:spacing w:before="299" w:line="220" w:lineRule="auto"/>
              <w:ind w:left="902"/>
            </w:pPr>
            <w:r>
              <w:rPr>
                <w:spacing w:val="-2"/>
              </w:rPr>
              <w:t>三级指标</w:t>
            </w:r>
          </w:p>
        </w:tc>
        <w:tc>
          <w:tcPr>
            <w:tcW w:w="490" w:type="dxa"/>
            <w:vAlign w:val="top"/>
          </w:tcPr>
          <w:p>
            <w:pPr>
              <w:pStyle w:val="38"/>
              <w:spacing w:before="299" w:line="219" w:lineRule="auto"/>
              <w:ind w:left="45"/>
            </w:pPr>
            <w:r>
              <w:rPr>
                <w:spacing w:val="-3"/>
              </w:rPr>
              <w:t>分值</w:t>
            </w:r>
          </w:p>
        </w:tc>
        <w:tc>
          <w:tcPr>
            <w:tcW w:w="1069" w:type="dxa"/>
            <w:vAlign w:val="top"/>
          </w:tcPr>
          <w:p>
            <w:pPr>
              <w:pStyle w:val="38"/>
              <w:spacing w:before="299" w:line="219" w:lineRule="auto"/>
              <w:ind w:left="56"/>
            </w:pPr>
            <w:r>
              <w:rPr>
                <w:spacing w:val="-2"/>
              </w:rPr>
              <w:t>年度指标值</w:t>
            </w:r>
          </w:p>
        </w:tc>
        <w:tc>
          <w:tcPr>
            <w:tcW w:w="799" w:type="dxa"/>
            <w:vAlign w:val="top"/>
          </w:tcPr>
          <w:p>
            <w:pPr>
              <w:pStyle w:val="38"/>
              <w:spacing w:before="189" w:line="219" w:lineRule="auto"/>
              <w:ind w:left="16"/>
            </w:pPr>
            <w:r>
              <w:rPr>
                <w:spacing w:val="-2"/>
              </w:rPr>
              <w:t>全年实际</w:t>
            </w:r>
          </w:p>
          <w:p>
            <w:pPr>
              <w:pStyle w:val="38"/>
              <w:spacing w:before="4" w:line="219" w:lineRule="auto"/>
              <w:ind w:left="296"/>
            </w:pPr>
            <w:r>
              <w:t>值</w:t>
            </w:r>
          </w:p>
        </w:tc>
        <w:tc>
          <w:tcPr>
            <w:tcW w:w="579" w:type="dxa"/>
            <w:vAlign w:val="top"/>
          </w:tcPr>
          <w:p>
            <w:pPr>
              <w:pStyle w:val="38"/>
              <w:spacing w:before="299" w:line="219" w:lineRule="auto"/>
              <w:ind w:left="97"/>
            </w:pPr>
            <w:r>
              <w:rPr>
                <w:spacing w:val="-3"/>
              </w:rPr>
              <w:t>得分</w:t>
            </w:r>
          </w:p>
        </w:tc>
        <w:tc>
          <w:tcPr>
            <w:tcW w:w="1283" w:type="dxa"/>
            <w:gridSpan w:val="2"/>
            <w:vAlign w:val="top"/>
          </w:tcPr>
          <w:p>
            <w:pPr>
              <w:pStyle w:val="38"/>
              <w:spacing w:before="199" w:line="206" w:lineRule="auto"/>
              <w:ind w:left="18"/>
            </w:pPr>
            <w:r>
              <w:rPr>
                <w:spacing w:val="-11"/>
              </w:rPr>
              <w:t>未完成原因及拟</w:t>
            </w:r>
            <w:r>
              <w:rPr>
                <w:spacing w:val="-13"/>
              </w:rPr>
              <w:t>采</w:t>
            </w:r>
            <w:r>
              <w:rPr>
                <w:spacing w:val="-12"/>
              </w:rPr>
              <w:t>取的改进措</w:t>
            </w:r>
            <w:r>
              <w:rPr>
                <w:spacing w:val="-11"/>
              </w:rPr>
              <w:t>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444" w:type="dxa"/>
            <w:vMerge w:val="continue"/>
            <w:tcBorders>
              <w:top w:val="nil"/>
              <w:bottom w:val="nil"/>
            </w:tcBorders>
            <w:textDirection w:val="tbRlV"/>
            <w:vAlign w:val="top"/>
          </w:tcPr>
          <w:p>
            <w:pPr>
              <w:rPr>
                <w:rFonts w:ascii="Arial"/>
                <w:sz w:val="21"/>
              </w:rPr>
            </w:pPr>
          </w:p>
        </w:tc>
        <w:tc>
          <w:tcPr>
            <w:tcW w:w="629" w:type="dxa"/>
            <w:vMerge w:val="restart"/>
            <w:tcBorders>
              <w:bottom w:val="nil"/>
            </w:tcBorders>
            <w:textDirection w:val="tbRlV"/>
            <w:vAlign w:val="top"/>
          </w:tcPr>
          <w:p>
            <w:pPr>
              <w:pStyle w:val="38"/>
              <w:spacing w:before="225" w:line="201" w:lineRule="auto"/>
              <w:ind w:left="932"/>
            </w:pPr>
            <w:r>
              <mc:AlternateContent>
                <mc:Choice Requires="wps">
                  <w:drawing>
                    <wp:anchor distT="0" distB="0" distL="114300" distR="114300" simplePos="0" relativeHeight="251663360" behindDoc="0" locked="0" layoutInCell="1" allowOverlap="1">
                      <wp:simplePos x="0" y="0"/>
                      <wp:positionH relativeFrom="page">
                        <wp:posOffset>3810</wp:posOffset>
                      </wp:positionH>
                      <wp:positionV relativeFrom="page">
                        <wp:posOffset>1162050</wp:posOffset>
                      </wp:positionV>
                      <wp:extent cx="414020" cy="169545"/>
                      <wp:effectExtent l="0" t="0" r="0" b="0"/>
                      <wp:wrapNone/>
                      <wp:docPr id="6" name="文本框 6"/>
                      <wp:cNvGraphicFramePr/>
                      <a:graphic xmlns:a="http://schemas.openxmlformats.org/drawingml/2006/main">
                        <a:graphicData uri="http://schemas.microsoft.com/office/word/2010/wordprocessingShape">
                          <wps:wsp>
                            <wps:cNvSpPr txBox="1"/>
                            <wps:spPr>
                              <a:xfrm>
                                <a:off x="0" y="0"/>
                                <a:ext cx="414020" cy="169545"/>
                              </a:xfrm>
                              <a:prstGeom prst="rect">
                                <a:avLst/>
                              </a:prstGeom>
                              <a:noFill/>
                              <a:ln>
                                <a:noFill/>
                              </a:ln>
                            </wps:spPr>
                            <wps:txbx>
                              <w:txbxContent>
                                <w:p>
                                  <w:pPr>
                                    <w:pStyle w:val="38"/>
                                    <w:spacing w:before="20" w:line="220" w:lineRule="auto"/>
                                    <w:ind w:left="20"/>
                                  </w:pPr>
                                  <w:r>
                                    <w:rPr>
                                      <w:spacing w:val="8"/>
                                    </w:rPr>
                                    <w:t>(50分)</w:t>
                                  </w:r>
                                </w:p>
                              </w:txbxContent>
                            </wps:txbx>
                            <wps:bodyPr lIns="0" tIns="0" rIns="0" bIns="0" upright="1"/>
                          </wps:wsp>
                        </a:graphicData>
                      </a:graphic>
                    </wp:anchor>
                  </w:drawing>
                </mc:Choice>
                <mc:Fallback>
                  <w:pict>
                    <v:shape id="_x0000_s1026" o:spid="_x0000_s1026" o:spt="202" type="#_x0000_t202" style="position:absolute;left:0pt;margin-left:0.3pt;margin-top:91.5pt;height:13.35pt;width:32.6pt;mso-position-horizontal-relative:page;mso-position-vertical-relative:page;z-index:251663360;mso-width-relative:page;mso-height-relative:page;" filled="f" stroked="f" coordsize="21600,21600" o:gfxdata="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AS/e5Y1gAAAAcBAAAPAAAAAAAAAAEAIAAAADgAAABk&#10;cnMvZG93bnJldi54bWxQSwECFAAUAAAACACHTuJAWXU5DbkBAABxAwAADgAAAAAAAAABACAAAAA7&#10;AQAAZHJzL2Uyb0RvYy54bWxQSwUGAAAAAAYABgBZAQAAZgUAAAAA&#10;">
                      <v:fill on="f" focussize="0,0"/>
                      <v:stroke on="f"/>
                      <v:imagedata o:title=""/>
                      <o:lock v:ext="edit" aspectratio="f"/>
                      <v:textbox inset="0mm,0mm,0mm,0mm">
                        <w:txbxContent>
                          <w:p>
                            <w:pPr>
                              <w:pStyle w:val="38"/>
                              <w:spacing w:before="20" w:line="220" w:lineRule="auto"/>
                              <w:ind w:left="20"/>
                            </w:pPr>
                            <w:r>
                              <w:rPr>
                                <w:spacing w:val="8"/>
                              </w:rPr>
                              <w:t>(50分)</w:t>
                            </w:r>
                          </w:p>
                        </w:txbxContent>
                      </v:textbox>
                    </v:shape>
                  </w:pict>
                </mc:Fallback>
              </mc:AlternateContent>
            </w:r>
            <w:r>
              <w:t>产出指标</w:t>
            </w:r>
          </w:p>
        </w:tc>
        <w:tc>
          <w:tcPr>
            <w:tcW w:w="849" w:type="dxa"/>
            <w:vMerge w:val="restart"/>
            <w:tcBorders>
              <w:bottom w:val="nil"/>
            </w:tcBorders>
            <w:vAlign w:val="top"/>
          </w:tcPr>
          <w:p>
            <w:pPr>
              <w:pStyle w:val="38"/>
              <w:spacing w:before="62" w:line="219" w:lineRule="auto"/>
              <w:ind w:left="32"/>
            </w:pPr>
            <w:r>
              <w:rPr>
                <w:spacing w:val="-2"/>
              </w:rPr>
              <w:t>数量指标</w:t>
            </w:r>
          </w:p>
        </w:tc>
        <w:tc>
          <w:tcPr>
            <w:tcW w:w="2577" w:type="dxa"/>
            <w:gridSpan w:val="2"/>
            <w:vAlign w:val="top"/>
          </w:tcPr>
          <w:p>
            <w:pPr>
              <w:pStyle w:val="38"/>
              <w:spacing w:before="269" w:line="219" w:lineRule="auto"/>
              <w:ind w:left="713"/>
            </w:pPr>
            <w:r>
              <w:rPr>
                <w:spacing w:val="-2"/>
              </w:rPr>
              <w:t>就业工坊数量</w:t>
            </w:r>
          </w:p>
        </w:tc>
        <w:tc>
          <w:tcPr>
            <w:tcW w:w="490" w:type="dxa"/>
            <w:vAlign w:val="top"/>
          </w:tcPr>
          <w:p>
            <w:pPr>
              <w:pStyle w:val="38"/>
              <w:spacing w:before="288"/>
              <w:ind w:left="145"/>
            </w:pPr>
            <w:r>
              <w:rPr>
                <w:spacing w:val="-3"/>
              </w:rPr>
              <w:t>20</w:t>
            </w:r>
          </w:p>
        </w:tc>
        <w:tc>
          <w:tcPr>
            <w:tcW w:w="1069" w:type="dxa"/>
            <w:vAlign w:val="top"/>
          </w:tcPr>
          <w:p>
            <w:pPr>
              <w:pStyle w:val="38"/>
              <w:spacing w:before="269" w:line="219" w:lineRule="auto"/>
              <w:ind w:left="286"/>
            </w:pPr>
            <w:r>
              <w:rPr>
                <w:spacing w:val="4"/>
              </w:rPr>
              <w:t>≥5个</w:t>
            </w:r>
          </w:p>
        </w:tc>
        <w:tc>
          <w:tcPr>
            <w:tcW w:w="799" w:type="dxa"/>
            <w:vAlign w:val="top"/>
          </w:tcPr>
          <w:p>
            <w:pPr>
              <w:pStyle w:val="38"/>
              <w:spacing w:before="269" w:line="219" w:lineRule="auto"/>
              <w:ind w:left="206"/>
            </w:pPr>
            <w:r>
              <w:rPr>
                <w:spacing w:val="2"/>
              </w:rPr>
              <w:t>11个</w:t>
            </w:r>
          </w:p>
        </w:tc>
        <w:tc>
          <w:tcPr>
            <w:tcW w:w="579" w:type="dxa"/>
            <w:vAlign w:val="top"/>
          </w:tcPr>
          <w:p>
            <w:pPr>
              <w:pStyle w:val="38"/>
              <w:spacing w:before="288"/>
              <w:ind w:left="187"/>
            </w:pPr>
            <w:r>
              <w:rPr>
                <w:spacing w:val="-3"/>
              </w:rPr>
              <w:t>20</w:t>
            </w:r>
          </w:p>
        </w:tc>
        <w:tc>
          <w:tcPr>
            <w:tcW w:w="1283" w:type="dxa"/>
            <w:gridSpan w:val="2"/>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444" w:type="dxa"/>
            <w:vMerge w:val="continue"/>
            <w:tcBorders>
              <w:top w:val="nil"/>
              <w:bottom w:val="nil"/>
            </w:tcBorders>
            <w:textDirection w:val="tbRlV"/>
            <w:vAlign w:val="top"/>
          </w:tcPr>
          <w:p>
            <w:pPr>
              <w:rPr>
                <w:rFonts w:ascii="Arial"/>
                <w:sz w:val="21"/>
              </w:rPr>
            </w:pPr>
          </w:p>
        </w:tc>
        <w:tc>
          <w:tcPr>
            <w:tcW w:w="629" w:type="dxa"/>
            <w:vMerge w:val="continue"/>
            <w:tcBorders>
              <w:top w:val="nil"/>
              <w:bottom w:val="nil"/>
            </w:tcBorders>
            <w:textDirection w:val="tbRlV"/>
            <w:vAlign w:val="top"/>
          </w:tcPr>
          <w:p>
            <w:pPr>
              <w:rPr>
                <w:rFonts w:ascii="Arial"/>
                <w:sz w:val="21"/>
              </w:rPr>
            </w:pPr>
          </w:p>
        </w:tc>
        <w:tc>
          <w:tcPr>
            <w:tcW w:w="849" w:type="dxa"/>
            <w:vMerge w:val="continue"/>
            <w:tcBorders>
              <w:top w:val="nil"/>
            </w:tcBorders>
            <w:vAlign w:val="top"/>
          </w:tcPr>
          <w:p>
            <w:pPr>
              <w:rPr>
                <w:rFonts w:ascii="Arial"/>
                <w:sz w:val="21"/>
              </w:rPr>
            </w:pPr>
          </w:p>
        </w:tc>
        <w:tc>
          <w:tcPr>
            <w:tcW w:w="2577" w:type="dxa"/>
            <w:gridSpan w:val="2"/>
            <w:vAlign w:val="top"/>
          </w:tcPr>
          <w:p>
            <w:pPr>
              <w:pStyle w:val="38"/>
              <w:spacing w:before="270" w:line="219" w:lineRule="auto"/>
              <w:ind w:left="713"/>
            </w:pPr>
            <w:r>
              <w:rPr>
                <w:spacing w:val="1"/>
              </w:rPr>
              <w:t>吸纳就业人数</w:t>
            </w:r>
          </w:p>
        </w:tc>
        <w:tc>
          <w:tcPr>
            <w:tcW w:w="490" w:type="dxa"/>
            <w:vAlign w:val="top"/>
          </w:tcPr>
          <w:p>
            <w:pPr>
              <w:pStyle w:val="38"/>
              <w:spacing w:before="289"/>
              <w:ind w:left="145"/>
            </w:pPr>
            <w:r>
              <w:rPr>
                <w:spacing w:val="-6"/>
              </w:rPr>
              <w:t>10</w:t>
            </w:r>
          </w:p>
        </w:tc>
        <w:tc>
          <w:tcPr>
            <w:tcW w:w="1069" w:type="dxa"/>
            <w:vAlign w:val="top"/>
          </w:tcPr>
          <w:p>
            <w:pPr>
              <w:pStyle w:val="38"/>
              <w:spacing w:before="273" w:line="222" w:lineRule="auto"/>
              <w:ind w:left="195"/>
            </w:pPr>
            <w:r>
              <w:t>≥100人</w:t>
            </w:r>
          </w:p>
        </w:tc>
        <w:tc>
          <w:tcPr>
            <w:tcW w:w="799" w:type="dxa"/>
            <w:vAlign w:val="top"/>
          </w:tcPr>
          <w:p>
            <w:pPr>
              <w:pStyle w:val="38"/>
              <w:spacing w:before="273" w:line="222" w:lineRule="auto"/>
              <w:ind w:left="157"/>
            </w:pPr>
            <w:r>
              <w:rPr>
                <w:spacing w:val="-2"/>
              </w:rPr>
              <w:t>200人</w:t>
            </w:r>
          </w:p>
        </w:tc>
        <w:tc>
          <w:tcPr>
            <w:tcW w:w="579" w:type="dxa"/>
            <w:vAlign w:val="top"/>
          </w:tcPr>
          <w:p>
            <w:pPr>
              <w:pStyle w:val="38"/>
              <w:spacing w:before="289"/>
              <w:ind w:left="187"/>
            </w:pPr>
            <w:r>
              <w:rPr>
                <w:spacing w:val="-6"/>
              </w:rPr>
              <w:t>10</w:t>
            </w:r>
          </w:p>
        </w:tc>
        <w:tc>
          <w:tcPr>
            <w:tcW w:w="1283" w:type="dxa"/>
            <w:gridSpan w:val="2"/>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444" w:type="dxa"/>
            <w:vMerge w:val="continue"/>
            <w:tcBorders>
              <w:top w:val="nil"/>
              <w:bottom w:val="nil"/>
            </w:tcBorders>
            <w:textDirection w:val="tbRlV"/>
            <w:vAlign w:val="top"/>
          </w:tcPr>
          <w:p>
            <w:pPr>
              <w:rPr>
                <w:rFonts w:ascii="Arial"/>
                <w:sz w:val="21"/>
              </w:rPr>
            </w:pPr>
          </w:p>
        </w:tc>
        <w:tc>
          <w:tcPr>
            <w:tcW w:w="629" w:type="dxa"/>
            <w:vMerge w:val="continue"/>
            <w:tcBorders>
              <w:top w:val="nil"/>
              <w:bottom w:val="nil"/>
            </w:tcBorders>
            <w:textDirection w:val="tbRlV"/>
            <w:vAlign w:val="top"/>
          </w:tcPr>
          <w:p>
            <w:pPr>
              <w:rPr>
                <w:rFonts w:ascii="Arial"/>
                <w:sz w:val="21"/>
              </w:rPr>
            </w:pPr>
          </w:p>
        </w:tc>
        <w:tc>
          <w:tcPr>
            <w:tcW w:w="849" w:type="dxa"/>
            <w:vAlign w:val="top"/>
          </w:tcPr>
          <w:p>
            <w:pPr>
              <w:pStyle w:val="38"/>
              <w:spacing w:before="272" w:line="220" w:lineRule="auto"/>
              <w:ind w:left="32"/>
            </w:pPr>
            <w:r>
              <w:rPr>
                <w:spacing w:val="-2"/>
              </w:rPr>
              <w:t>质量指标</w:t>
            </w:r>
          </w:p>
        </w:tc>
        <w:tc>
          <w:tcPr>
            <w:tcW w:w="2577" w:type="dxa"/>
            <w:gridSpan w:val="2"/>
            <w:vAlign w:val="top"/>
          </w:tcPr>
          <w:p>
            <w:pPr>
              <w:pStyle w:val="38"/>
              <w:spacing w:before="272" w:line="219" w:lineRule="auto"/>
              <w:ind w:left="612"/>
            </w:pPr>
            <w:r>
              <w:rPr>
                <w:spacing w:val="-1"/>
              </w:rPr>
              <w:t>补贴发放准确率</w:t>
            </w:r>
          </w:p>
        </w:tc>
        <w:tc>
          <w:tcPr>
            <w:tcW w:w="490" w:type="dxa"/>
            <w:vAlign w:val="top"/>
          </w:tcPr>
          <w:p>
            <w:pPr>
              <w:pStyle w:val="38"/>
              <w:spacing w:before="290"/>
              <w:ind w:left="145"/>
            </w:pPr>
            <w:r>
              <w:rPr>
                <w:spacing w:val="-6"/>
              </w:rPr>
              <w:t>10</w:t>
            </w:r>
          </w:p>
        </w:tc>
        <w:tc>
          <w:tcPr>
            <w:tcW w:w="1069" w:type="dxa"/>
            <w:vAlign w:val="top"/>
          </w:tcPr>
          <w:p>
            <w:pPr>
              <w:pStyle w:val="38"/>
              <w:spacing w:before="290" w:line="237" w:lineRule="auto"/>
              <w:ind w:left="286"/>
            </w:pPr>
            <w:r>
              <w:rPr>
                <w:spacing w:val="-6"/>
              </w:rPr>
              <w:t>≥95%</w:t>
            </w:r>
          </w:p>
        </w:tc>
        <w:tc>
          <w:tcPr>
            <w:tcW w:w="799" w:type="dxa"/>
            <w:vAlign w:val="top"/>
          </w:tcPr>
          <w:p>
            <w:pPr>
              <w:pStyle w:val="38"/>
              <w:spacing w:before="290"/>
              <w:ind w:left="246"/>
            </w:pPr>
            <w:r>
              <w:rPr>
                <w:spacing w:val="-2"/>
              </w:rPr>
              <w:t>93%</w:t>
            </w:r>
          </w:p>
        </w:tc>
        <w:tc>
          <w:tcPr>
            <w:tcW w:w="579" w:type="dxa"/>
            <w:vAlign w:val="top"/>
          </w:tcPr>
          <w:p>
            <w:pPr>
              <w:pStyle w:val="38"/>
              <w:spacing w:before="290"/>
              <w:ind w:left="238"/>
            </w:pPr>
            <w:r>
              <w:t>7</w:t>
            </w:r>
          </w:p>
        </w:tc>
        <w:tc>
          <w:tcPr>
            <w:tcW w:w="1283" w:type="dxa"/>
            <w:gridSpan w:val="2"/>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444" w:type="dxa"/>
            <w:vMerge w:val="continue"/>
            <w:tcBorders>
              <w:top w:val="nil"/>
              <w:bottom w:val="nil"/>
            </w:tcBorders>
            <w:textDirection w:val="tbRlV"/>
            <w:vAlign w:val="top"/>
          </w:tcPr>
          <w:p>
            <w:pPr>
              <w:rPr>
                <w:rFonts w:ascii="Arial"/>
                <w:sz w:val="21"/>
              </w:rPr>
            </w:pPr>
          </w:p>
        </w:tc>
        <w:tc>
          <w:tcPr>
            <w:tcW w:w="629" w:type="dxa"/>
            <w:vMerge w:val="continue"/>
            <w:tcBorders>
              <w:top w:val="nil"/>
            </w:tcBorders>
            <w:textDirection w:val="tbRlV"/>
            <w:vAlign w:val="top"/>
          </w:tcPr>
          <w:p>
            <w:pPr>
              <w:rPr>
                <w:rFonts w:ascii="Arial"/>
                <w:sz w:val="21"/>
              </w:rPr>
            </w:pPr>
          </w:p>
        </w:tc>
        <w:tc>
          <w:tcPr>
            <w:tcW w:w="849" w:type="dxa"/>
            <w:vAlign w:val="top"/>
          </w:tcPr>
          <w:p>
            <w:pPr>
              <w:pStyle w:val="38"/>
              <w:spacing w:before="283" w:line="220" w:lineRule="auto"/>
              <w:ind w:left="32"/>
            </w:pPr>
            <w:r>
              <w:rPr>
                <w:spacing w:val="1"/>
              </w:rPr>
              <w:t>时效指标</w:t>
            </w:r>
          </w:p>
        </w:tc>
        <w:tc>
          <w:tcPr>
            <w:tcW w:w="2577" w:type="dxa"/>
            <w:gridSpan w:val="2"/>
            <w:vAlign w:val="top"/>
          </w:tcPr>
          <w:p>
            <w:pPr>
              <w:pStyle w:val="38"/>
              <w:spacing w:before="163" w:line="235" w:lineRule="auto"/>
              <w:ind w:left="1180" w:hanging="1168"/>
            </w:pPr>
            <w:r>
              <w:rPr>
                <w:spacing w:val="-8"/>
              </w:rPr>
              <w:t>补贴资金在规定时间内支付到位</w:t>
            </w:r>
            <w:r>
              <w:t>率</w:t>
            </w:r>
          </w:p>
        </w:tc>
        <w:tc>
          <w:tcPr>
            <w:tcW w:w="490" w:type="dxa"/>
            <w:vAlign w:val="top"/>
          </w:tcPr>
          <w:p>
            <w:pPr>
              <w:pStyle w:val="38"/>
              <w:spacing w:before="301"/>
              <w:ind w:left="145"/>
            </w:pPr>
            <w:r>
              <w:rPr>
                <w:spacing w:val="-6"/>
              </w:rPr>
              <w:t>10</w:t>
            </w:r>
          </w:p>
        </w:tc>
        <w:tc>
          <w:tcPr>
            <w:tcW w:w="1069" w:type="dxa"/>
            <w:vAlign w:val="top"/>
          </w:tcPr>
          <w:p>
            <w:pPr>
              <w:pStyle w:val="38"/>
              <w:spacing w:before="283" w:line="219" w:lineRule="auto"/>
              <w:ind w:left="245"/>
            </w:pPr>
            <w:r>
              <w:rPr>
                <w:spacing w:val="9"/>
              </w:rPr>
              <w:t>≤12月</w:t>
            </w:r>
          </w:p>
        </w:tc>
        <w:tc>
          <w:tcPr>
            <w:tcW w:w="799" w:type="dxa"/>
            <w:vAlign w:val="top"/>
          </w:tcPr>
          <w:p>
            <w:pPr>
              <w:pStyle w:val="38"/>
              <w:spacing w:before="283" w:line="219" w:lineRule="auto"/>
              <w:ind w:left="206"/>
            </w:pPr>
            <w:r>
              <w:rPr>
                <w:spacing w:val="12"/>
              </w:rPr>
              <w:t>12月</w:t>
            </w:r>
          </w:p>
        </w:tc>
        <w:tc>
          <w:tcPr>
            <w:tcW w:w="579" w:type="dxa"/>
            <w:vAlign w:val="top"/>
          </w:tcPr>
          <w:p>
            <w:pPr>
              <w:pStyle w:val="38"/>
              <w:spacing w:before="301"/>
              <w:ind w:left="187"/>
            </w:pPr>
            <w:r>
              <w:rPr>
                <w:spacing w:val="-6"/>
              </w:rPr>
              <w:t>10</w:t>
            </w:r>
          </w:p>
        </w:tc>
        <w:tc>
          <w:tcPr>
            <w:tcW w:w="1283" w:type="dxa"/>
            <w:gridSpan w:val="2"/>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444" w:type="dxa"/>
            <w:vMerge w:val="continue"/>
            <w:tcBorders>
              <w:top w:val="nil"/>
              <w:bottom w:val="nil"/>
            </w:tcBorders>
            <w:textDirection w:val="tbRlV"/>
            <w:vAlign w:val="top"/>
          </w:tcPr>
          <w:p>
            <w:pPr>
              <w:rPr>
                <w:rFonts w:ascii="Arial"/>
                <w:sz w:val="21"/>
              </w:rPr>
            </w:pPr>
          </w:p>
        </w:tc>
        <w:tc>
          <w:tcPr>
            <w:tcW w:w="629" w:type="dxa"/>
            <w:vMerge w:val="restart"/>
            <w:tcBorders>
              <w:bottom w:val="nil"/>
            </w:tcBorders>
            <w:textDirection w:val="tbRlV"/>
            <w:vAlign w:val="top"/>
          </w:tcPr>
          <w:p>
            <w:pPr>
              <w:pStyle w:val="38"/>
              <w:spacing w:before="225" w:line="201" w:lineRule="auto"/>
              <w:ind w:left="186"/>
            </w:pPr>
            <w:r>
              <mc:AlternateContent>
                <mc:Choice Requires="wps">
                  <w:drawing>
                    <wp:anchor distT="0" distB="0" distL="114300" distR="114300" simplePos="0" relativeHeight="251662336" behindDoc="0" locked="0" layoutInCell="1" allowOverlap="1">
                      <wp:simplePos x="0" y="0"/>
                      <wp:positionH relativeFrom="page">
                        <wp:posOffset>29845</wp:posOffset>
                      </wp:positionH>
                      <wp:positionV relativeFrom="page">
                        <wp:posOffset>701040</wp:posOffset>
                      </wp:positionV>
                      <wp:extent cx="401320" cy="169545"/>
                      <wp:effectExtent l="0" t="0" r="0" b="0"/>
                      <wp:wrapNone/>
                      <wp:docPr id="5" name="文本框 5"/>
                      <wp:cNvGraphicFramePr/>
                      <a:graphic xmlns:a="http://schemas.openxmlformats.org/drawingml/2006/main">
                        <a:graphicData uri="http://schemas.microsoft.com/office/word/2010/wordprocessingShape">
                          <wps:wsp>
                            <wps:cNvSpPr txBox="1"/>
                            <wps:spPr>
                              <a:xfrm>
                                <a:off x="0" y="0"/>
                                <a:ext cx="401320" cy="169545"/>
                              </a:xfrm>
                              <a:prstGeom prst="rect">
                                <a:avLst/>
                              </a:prstGeom>
                              <a:noFill/>
                              <a:ln>
                                <a:noFill/>
                              </a:ln>
                            </wps:spPr>
                            <wps:txbx>
                              <w:txbxContent>
                                <w:p>
                                  <w:pPr>
                                    <w:pStyle w:val="38"/>
                                    <w:spacing w:before="20" w:line="220" w:lineRule="auto"/>
                                    <w:ind w:left="20"/>
                                  </w:pPr>
                                  <w:r>
                                    <w:rPr>
                                      <w:spacing w:val="4"/>
                                    </w:rPr>
                                    <w:t>(30分)</w:t>
                                  </w:r>
                                </w:p>
                              </w:txbxContent>
                            </wps:txbx>
                            <wps:bodyPr lIns="0" tIns="0" rIns="0" bIns="0" upright="1"/>
                          </wps:wsp>
                        </a:graphicData>
                      </a:graphic>
                    </wp:anchor>
                  </w:drawing>
                </mc:Choice>
                <mc:Fallback>
                  <w:pict>
                    <v:shape id="_x0000_s1026" o:spid="_x0000_s1026" o:spt="202" type="#_x0000_t202" style="position:absolute;left:0pt;margin-left:2.35pt;margin-top:55.2pt;height:13.35pt;width:31.6pt;mso-position-horizontal-relative:page;mso-position-vertical-relative:page;z-index:251662336;mso-width-relative:page;mso-height-relative:page;" filled="f" stroked="f" coordsize="21600,21600" o:gfxdata="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BYAAABkcnMvUEsBAhQAFAAAAAgAh07iQFVjFhvXAAAACAEAAA8AAAAAAAAAAQAgAAAAOAAA&#10;AGRycy9kb3ducmV2LnhtbFBLAQIUABQAAAAIAIdO4kB6ZRV2ugEAAHEDAAAOAAAAAAAAAAEAIAAA&#10;ADwBAABkcnMvZTJvRG9jLnhtbFBLBQYAAAAABgAGAFkBAABoBQAAAAA=&#10;">
                      <v:fill on="f" focussize="0,0"/>
                      <v:stroke on="f"/>
                      <v:imagedata o:title=""/>
                      <o:lock v:ext="edit" aspectratio="f"/>
                      <v:textbox inset="0mm,0mm,0mm,0mm">
                        <w:txbxContent>
                          <w:p>
                            <w:pPr>
                              <w:pStyle w:val="38"/>
                              <w:spacing w:before="20" w:line="220" w:lineRule="auto"/>
                              <w:ind w:left="20"/>
                            </w:pPr>
                            <w:r>
                              <w:rPr>
                                <w:spacing w:val="4"/>
                              </w:rPr>
                              <w:t>(30分)</w:t>
                            </w:r>
                          </w:p>
                        </w:txbxContent>
                      </v:textbox>
                    </v:shape>
                  </w:pict>
                </mc:Fallback>
              </mc:AlternateContent>
            </w:r>
            <w:r>
              <w:t>效益指标</w:t>
            </w:r>
          </w:p>
        </w:tc>
        <w:tc>
          <w:tcPr>
            <w:tcW w:w="849" w:type="dxa"/>
            <w:vAlign w:val="top"/>
          </w:tcPr>
          <w:p>
            <w:pPr>
              <w:pStyle w:val="38"/>
              <w:spacing w:before="164" w:line="220" w:lineRule="auto"/>
              <w:ind w:left="32"/>
            </w:pPr>
            <w:r>
              <w:rPr>
                <w:spacing w:val="-2"/>
              </w:rPr>
              <w:t>经济效益</w:t>
            </w:r>
          </w:p>
          <w:p>
            <w:pPr>
              <w:pStyle w:val="38"/>
              <w:spacing w:before="3" w:line="220" w:lineRule="auto"/>
              <w:ind w:left="231"/>
            </w:pPr>
            <w:r>
              <w:rPr>
                <w:spacing w:val="-3"/>
              </w:rPr>
              <w:t>指标</w:t>
            </w:r>
          </w:p>
        </w:tc>
        <w:tc>
          <w:tcPr>
            <w:tcW w:w="2577" w:type="dxa"/>
            <w:gridSpan w:val="2"/>
            <w:vAlign w:val="top"/>
          </w:tcPr>
          <w:p>
            <w:pPr>
              <w:pStyle w:val="38"/>
              <w:spacing w:before="273" w:line="219" w:lineRule="auto"/>
              <w:ind w:left="522"/>
            </w:pPr>
            <w:r>
              <w:rPr>
                <w:spacing w:val="-1"/>
              </w:rPr>
              <w:t>城镇新增就业人数</w:t>
            </w:r>
          </w:p>
        </w:tc>
        <w:tc>
          <w:tcPr>
            <w:tcW w:w="490" w:type="dxa"/>
            <w:vAlign w:val="top"/>
          </w:tcPr>
          <w:p>
            <w:pPr>
              <w:pStyle w:val="38"/>
              <w:spacing w:before="292"/>
              <w:ind w:left="145"/>
            </w:pPr>
            <w:r>
              <w:rPr>
                <w:spacing w:val="-6"/>
              </w:rPr>
              <w:t>15</w:t>
            </w:r>
          </w:p>
        </w:tc>
        <w:tc>
          <w:tcPr>
            <w:tcW w:w="1069" w:type="dxa"/>
            <w:vAlign w:val="top"/>
          </w:tcPr>
          <w:p>
            <w:pPr>
              <w:pStyle w:val="38"/>
              <w:spacing w:before="276" w:line="222" w:lineRule="auto"/>
              <w:ind w:left="195"/>
            </w:pPr>
            <w:r>
              <w:t>≥200人</w:t>
            </w:r>
          </w:p>
        </w:tc>
        <w:tc>
          <w:tcPr>
            <w:tcW w:w="799" w:type="dxa"/>
            <w:vAlign w:val="top"/>
          </w:tcPr>
          <w:p>
            <w:pPr>
              <w:pStyle w:val="38"/>
              <w:spacing w:before="276" w:line="222" w:lineRule="auto"/>
              <w:ind w:left="157"/>
            </w:pPr>
            <w:r>
              <w:rPr>
                <w:spacing w:val="-2"/>
              </w:rPr>
              <w:t>300人</w:t>
            </w:r>
          </w:p>
        </w:tc>
        <w:tc>
          <w:tcPr>
            <w:tcW w:w="579" w:type="dxa"/>
            <w:vAlign w:val="top"/>
          </w:tcPr>
          <w:p>
            <w:pPr>
              <w:pStyle w:val="38"/>
              <w:spacing w:before="292"/>
              <w:ind w:left="187"/>
            </w:pPr>
            <w:r>
              <w:rPr>
                <w:spacing w:val="-6"/>
              </w:rPr>
              <w:t>15</w:t>
            </w:r>
          </w:p>
        </w:tc>
        <w:tc>
          <w:tcPr>
            <w:tcW w:w="1283" w:type="dxa"/>
            <w:gridSpan w:val="2"/>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444" w:type="dxa"/>
            <w:vMerge w:val="continue"/>
            <w:tcBorders>
              <w:top w:val="nil"/>
              <w:bottom w:val="nil"/>
            </w:tcBorders>
            <w:textDirection w:val="tbRlV"/>
            <w:vAlign w:val="top"/>
          </w:tcPr>
          <w:p>
            <w:pPr>
              <w:rPr>
                <w:rFonts w:ascii="Arial"/>
                <w:sz w:val="21"/>
              </w:rPr>
            </w:pPr>
          </w:p>
        </w:tc>
        <w:tc>
          <w:tcPr>
            <w:tcW w:w="629" w:type="dxa"/>
            <w:vMerge w:val="continue"/>
            <w:tcBorders>
              <w:top w:val="nil"/>
            </w:tcBorders>
            <w:textDirection w:val="tbRlV"/>
            <w:vAlign w:val="top"/>
          </w:tcPr>
          <w:p>
            <w:pPr>
              <w:rPr>
                <w:rFonts w:ascii="Arial"/>
                <w:sz w:val="21"/>
              </w:rPr>
            </w:pPr>
          </w:p>
        </w:tc>
        <w:tc>
          <w:tcPr>
            <w:tcW w:w="849" w:type="dxa"/>
            <w:vAlign w:val="top"/>
          </w:tcPr>
          <w:p>
            <w:pPr>
              <w:pStyle w:val="38"/>
              <w:spacing w:before="172" w:line="219" w:lineRule="auto"/>
              <w:ind w:left="32"/>
            </w:pPr>
            <w:r>
              <w:rPr>
                <w:spacing w:val="-2"/>
              </w:rPr>
              <w:t>社会效益</w:t>
            </w:r>
          </w:p>
          <w:p>
            <w:pPr>
              <w:pStyle w:val="38"/>
              <w:spacing w:before="16" w:line="220" w:lineRule="auto"/>
              <w:ind w:left="221"/>
            </w:pPr>
            <w:r>
              <w:rPr>
                <w:spacing w:val="-3"/>
              </w:rPr>
              <w:t>指标</w:t>
            </w:r>
          </w:p>
        </w:tc>
        <w:tc>
          <w:tcPr>
            <w:tcW w:w="2577" w:type="dxa"/>
            <w:gridSpan w:val="2"/>
            <w:vAlign w:val="top"/>
          </w:tcPr>
          <w:p>
            <w:pPr>
              <w:pStyle w:val="38"/>
              <w:spacing w:before="154" w:line="235" w:lineRule="auto"/>
              <w:ind w:left="1090" w:hanging="1078"/>
            </w:pPr>
            <w:r>
              <w:rPr>
                <w:spacing w:val="-8"/>
              </w:rPr>
              <w:t>因就业问题发生重大群体性事件</w:t>
            </w:r>
            <w:r>
              <w:rPr>
                <w:spacing w:val="-3"/>
              </w:rPr>
              <w:t>数量</w:t>
            </w:r>
          </w:p>
        </w:tc>
        <w:tc>
          <w:tcPr>
            <w:tcW w:w="490" w:type="dxa"/>
            <w:vAlign w:val="top"/>
          </w:tcPr>
          <w:p>
            <w:pPr>
              <w:pStyle w:val="38"/>
              <w:spacing w:before="302"/>
              <w:ind w:left="145"/>
            </w:pPr>
            <w:r>
              <w:rPr>
                <w:spacing w:val="-6"/>
              </w:rPr>
              <w:t>15</w:t>
            </w:r>
          </w:p>
        </w:tc>
        <w:tc>
          <w:tcPr>
            <w:tcW w:w="1069" w:type="dxa"/>
            <w:vAlign w:val="top"/>
          </w:tcPr>
          <w:p>
            <w:pPr>
              <w:pStyle w:val="38"/>
              <w:spacing w:before="284" w:line="220" w:lineRule="auto"/>
              <w:ind w:left="286"/>
            </w:pPr>
            <w:r>
              <w:rPr>
                <w:spacing w:val="4"/>
              </w:rPr>
              <w:t>≤1起</w:t>
            </w:r>
          </w:p>
        </w:tc>
        <w:tc>
          <w:tcPr>
            <w:tcW w:w="799" w:type="dxa"/>
            <w:vAlign w:val="top"/>
          </w:tcPr>
          <w:p>
            <w:pPr>
              <w:pStyle w:val="38"/>
              <w:spacing w:before="284" w:line="220" w:lineRule="auto"/>
              <w:ind w:left="246"/>
            </w:pPr>
            <w:r>
              <w:rPr>
                <w:spacing w:val="6"/>
              </w:rPr>
              <w:t>0起</w:t>
            </w:r>
          </w:p>
        </w:tc>
        <w:tc>
          <w:tcPr>
            <w:tcW w:w="579" w:type="dxa"/>
            <w:vAlign w:val="top"/>
          </w:tcPr>
          <w:p>
            <w:pPr>
              <w:pStyle w:val="38"/>
              <w:spacing w:before="302"/>
              <w:ind w:left="187"/>
            </w:pPr>
            <w:r>
              <w:rPr>
                <w:spacing w:val="-6"/>
              </w:rPr>
              <w:t>15</w:t>
            </w:r>
          </w:p>
        </w:tc>
        <w:tc>
          <w:tcPr>
            <w:tcW w:w="1283" w:type="dxa"/>
            <w:gridSpan w:val="2"/>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444" w:type="dxa"/>
            <w:vMerge w:val="continue"/>
            <w:tcBorders>
              <w:top w:val="nil"/>
              <w:bottom w:val="nil"/>
            </w:tcBorders>
            <w:textDirection w:val="tbRlV"/>
            <w:vAlign w:val="top"/>
          </w:tcPr>
          <w:p>
            <w:pPr>
              <w:rPr>
                <w:rFonts w:ascii="Arial"/>
                <w:sz w:val="21"/>
              </w:rPr>
            </w:pPr>
          </w:p>
        </w:tc>
        <w:tc>
          <w:tcPr>
            <w:tcW w:w="629" w:type="dxa"/>
            <w:vMerge w:val="restart"/>
            <w:tcBorders>
              <w:bottom w:val="nil"/>
            </w:tcBorders>
            <w:vAlign w:val="top"/>
          </w:tcPr>
          <w:p>
            <w:pPr>
              <w:pStyle w:val="38"/>
              <w:spacing w:before="62" w:line="216" w:lineRule="auto"/>
              <w:ind w:left="20"/>
            </w:pPr>
            <w:r>
              <w:rPr>
                <w:spacing w:val="-7"/>
              </w:rPr>
              <w:t>满意度</w:t>
            </w:r>
            <w:r>
              <w:rPr>
                <w:spacing w:val="35"/>
              </w:rPr>
              <w:t>指标</w:t>
            </w:r>
            <w:r>
              <w:rPr>
                <w:spacing w:val="5"/>
              </w:rPr>
              <w:t>(10分</w:t>
            </w:r>
            <w:r>
              <w:rPr>
                <w:rFonts w:hint="eastAsia"/>
                <w:spacing w:val="5"/>
                <w:lang w:eastAsia="zh-CN"/>
              </w:rPr>
              <w:t>）</w:t>
            </w:r>
          </w:p>
        </w:tc>
        <w:tc>
          <w:tcPr>
            <w:tcW w:w="849" w:type="dxa"/>
            <w:vMerge w:val="restart"/>
            <w:tcBorders>
              <w:bottom w:val="nil"/>
            </w:tcBorders>
            <w:vAlign w:val="top"/>
          </w:tcPr>
          <w:p>
            <w:pPr>
              <w:pStyle w:val="38"/>
              <w:spacing w:before="62" w:line="219" w:lineRule="auto"/>
              <w:ind w:left="32"/>
            </w:pPr>
            <w:r>
              <w:rPr>
                <w:spacing w:val="-2"/>
              </w:rPr>
              <w:t>服务对象</w:t>
            </w:r>
          </w:p>
          <w:p>
            <w:pPr>
              <w:pStyle w:val="38"/>
              <w:spacing w:before="13" w:line="205" w:lineRule="auto"/>
              <w:ind w:left="32"/>
            </w:pPr>
            <w:r>
              <w:rPr>
                <w:spacing w:val="-2"/>
              </w:rPr>
              <w:t>满意度指</w:t>
            </w:r>
          </w:p>
          <w:p>
            <w:pPr>
              <w:pStyle w:val="38"/>
              <w:spacing w:line="220" w:lineRule="auto"/>
              <w:ind w:left="311"/>
            </w:pPr>
            <w:r>
              <w:t>标</w:t>
            </w:r>
          </w:p>
        </w:tc>
        <w:tc>
          <w:tcPr>
            <w:tcW w:w="2577" w:type="dxa"/>
            <w:gridSpan w:val="2"/>
            <w:vAlign w:val="top"/>
          </w:tcPr>
          <w:p>
            <w:pPr>
              <w:pStyle w:val="38"/>
              <w:spacing w:before="284" w:line="219" w:lineRule="auto"/>
              <w:ind w:left="423"/>
            </w:pPr>
            <w:r>
              <w:rPr>
                <w:spacing w:val="1"/>
              </w:rPr>
              <w:t>就业工坊服务满意度</w:t>
            </w:r>
          </w:p>
        </w:tc>
        <w:tc>
          <w:tcPr>
            <w:tcW w:w="490" w:type="dxa"/>
            <w:vAlign w:val="top"/>
          </w:tcPr>
          <w:p>
            <w:pPr>
              <w:pStyle w:val="38"/>
              <w:spacing w:before="61"/>
              <w:ind w:left="355"/>
            </w:pPr>
            <w:r>
              <w:t>5</w:t>
            </w:r>
          </w:p>
        </w:tc>
        <w:tc>
          <w:tcPr>
            <w:tcW w:w="1069" w:type="dxa"/>
            <w:vAlign w:val="top"/>
          </w:tcPr>
          <w:p>
            <w:pPr>
              <w:pStyle w:val="38"/>
              <w:spacing w:before="62" w:line="237" w:lineRule="auto"/>
              <w:ind w:left="286"/>
            </w:pPr>
            <w:r>
              <w:rPr>
                <w:spacing w:val="-6"/>
              </w:rPr>
              <w:t>≥95%</w:t>
            </w:r>
          </w:p>
        </w:tc>
        <w:tc>
          <w:tcPr>
            <w:tcW w:w="799" w:type="dxa"/>
            <w:vAlign w:val="top"/>
          </w:tcPr>
          <w:p>
            <w:pPr>
              <w:pStyle w:val="38"/>
              <w:spacing w:before="61"/>
              <w:ind w:left="246"/>
            </w:pPr>
            <w:r>
              <w:rPr>
                <w:spacing w:val="-2"/>
              </w:rPr>
              <w:t>90%</w:t>
            </w:r>
          </w:p>
        </w:tc>
        <w:tc>
          <w:tcPr>
            <w:tcW w:w="579" w:type="dxa"/>
            <w:vAlign w:val="top"/>
          </w:tcPr>
          <w:p>
            <w:pPr>
              <w:pStyle w:val="38"/>
              <w:spacing w:before="61"/>
              <w:ind w:right="26"/>
              <w:jc w:val="right"/>
            </w:pPr>
            <w:r>
              <w:t>0</w:t>
            </w:r>
          </w:p>
        </w:tc>
        <w:tc>
          <w:tcPr>
            <w:tcW w:w="1283" w:type="dxa"/>
            <w:gridSpan w:val="2"/>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444" w:type="dxa"/>
            <w:vMerge w:val="continue"/>
            <w:tcBorders>
              <w:top w:val="nil"/>
              <w:bottom w:val="nil"/>
            </w:tcBorders>
            <w:textDirection w:val="tbRlV"/>
            <w:vAlign w:val="top"/>
          </w:tcPr>
          <w:p>
            <w:pPr>
              <w:rPr>
                <w:rFonts w:ascii="Arial"/>
                <w:sz w:val="21"/>
              </w:rPr>
            </w:pPr>
          </w:p>
        </w:tc>
        <w:tc>
          <w:tcPr>
            <w:tcW w:w="629" w:type="dxa"/>
            <w:vMerge w:val="continue"/>
            <w:tcBorders>
              <w:top w:val="nil"/>
              <w:bottom w:val="nil"/>
            </w:tcBorders>
            <w:vAlign w:val="top"/>
          </w:tcPr>
          <w:p>
            <w:pPr>
              <w:rPr>
                <w:rFonts w:ascii="Arial"/>
                <w:sz w:val="21"/>
              </w:rPr>
            </w:pPr>
          </w:p>
        </w:tc>
        <w:tc>
          <w:tcPr>
            <w:tcW w:w="849" w:type="dxa"/>
            <w:vMerge w:val="continue"/>
            <w:tcBorders>
              <w:top w:val="nil"/>
              <w:bottom w:val="nil"/>
            </w:tcBorders>
            <w:vAlign w:val="top"/>
          </w:tcPr>
          <w:p>
            <w:pPr>
              <w:rPr>
                <w:rFonts w:ascii="Arial"/>
                <w:sz w:val="21"/>
              </w:rPr>
            </w:pPr>
          </w:p>
        </w:tc>
        <w:tc>
          <w:tcPr>
            <w:tcW w:w="2577" w:type="dxa"/>
            <w:gridSpan w:val="2"/>
            <w:vAlign w:val="top"/>
          </w:tcPr>
          <w:p>
            <w:pPr>
              <w:pStyle w:val="38"/>
              <w:spacing w:before="164" w:line="217" w:lineRule="auto"/>
              <w:ind w:left="900" w:hanging="888"/>
            </w:pPr>
            <w:r>
              <w:rPr>
                <w:spacing w:val="-8"/>
              </w:rPr>
              <w:t>家门口就业工坊推广补助经办服</w:t>
            </w:r>
            <w:r>
              <w:rPr>
                <w:spacing w:val="2"/>
              </w:rPr>
              <w:t>务满意度</w:t>
            </w:r>
          </w:p>
        </w:tc>
        <w:tc>
          <w:tcPr>
            <w:tcW w:w="490" w:type="dxa"/>
            <w:vAlign w:val="top"/>
          </w:tcPr>
          <w:p>
            <w:pPr>
              <w:pStyle w:val="38"/>
              <w:spacing w:before="294"/>
              <w:ind w:left="355"/>
            </w:pPr>
            <w:r>
              <w:t>5</w:t>
            </w:r>
          </w:p>
        </w:tc>
        <w:tc>
          <w:tcPr>
            <w:tcW w:w="1069" w:type="dxa"/>
            <w:vAlign w:val="top"/>
          </w:tcPr>
          <w:p>
            <w:pPr>
              <w:pStyle w:val="38"/>
              <w:spacing w:before="294" w:line="237" w:lineRule="auto"/>
              <w:ind w:left="286"/>
            </w:pPr>
            <w:r>
              <w:rPr>
                <w:spacing w:val="-6"/>
              </w:rPr>
              <w:t>≥95%</w:t>
            </w:r>
          </w:p>
        </w:tc>
        <w:tc>
          <w:tcPr>
            <w:tcW w:w="799" w:type="dxa"/>
            <w:vAlign w:val="top"/>
          </w:tcPr>
          <w:p>
            <w:pPr>
              <w:pStyle w:val="38"/>
              <w:spacing w:before="294"/>
              <w:ind w:left="246"/>
            </w:pPr>
            <w:r>
              <w:rPr>
                <w:spacing w:val="-2"/>
              </w:rPr>
              <w:t>90%</w:t>
            </w:r>
          </w:p>
        </w:tc>
        <w:tc>
          <w:tcPr>
            <w:tcW w:w="579" w:type="dxa"/>
            <w:vAlign w:val="top"/>
          </w:tcPr>
          <w:p>
            <w:pPr>
              <w:pStyle w:val="38"/>
              <w:spacing w:before="294"/>
              <w:ind w:right="26"/>
              <w:jc w:val="right"/>
            </w:pPr>
            <w:r>
              <w:t>0</w:t>
            </w:r>
          </w:p>
        </w:tc>
        <w:tc>
          <w:tcPr>
            <w:tcW w:w="1283" w:type="dxa"/>
            <w:gridSpan w:val="2"/>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444" w:type="dxa"/>
            <w:vMerge w:val="continue"/>
            <w:tcBorders>
              <w:top w:val="nil"/>
              <w:bottom w:val="nil"/>
            </w:tcBorders>
            <w:textDirection w:val="tbRlV"/>
            <w:vAlign w:val="top"/>
          </w:tcPr>
          <w:p>
            <w:pPr>
              <w:rPr>
                <w:rFonts w:ascii="Arial"/>
                <w:sz w:val="21"/>
              </w:rPr>
            </w:pPr>
          </w:p>
        </w:tc>
        <w:tc>
          <w:tcPr>
            <w:tcW w:w="629" w:type="dxa"/>
            <w:vMerge w:val="continue"/>
            <w:tcBorders>
              <w:top w:val="nil"/>
              <w:bottom w:val="nil"/>
            </w:tcBorders>
            <w:vAlign w:val="top"/>
          </w:tcPr>
          <w:p>
            <w:pPr>
              <w:rPr>
                <w:rFonts w:ascii="Arial"/>
                <w:sz w:val="21"/>
              </w:rPr>
            </w:pPr>
          </w:p>
        </w:tc>
        <w:tc>
          <w:tcPr>
            <w:tcW w:w="849" w:type="dxa"/>
            <w:vMerge w:val="continue"/>
            <w:tcBorders>
              <w:top w:val="nil"/>
            </w:tcBorders>
            <w:vAlign w:val="top"/>
          </w:tcPr>
          <w:p>
            <w:pPr>
              <w:rPr>
                <w:rFonts w:ascii="Arial"/>
                <w:sz w:val="21"/>
              </w:rPr>
            </w:pPr>
          </w:p>
        </w:tc>
        <w:tc>
          <w:tcPr>
            <w:tcW w:w="2577" w:type="dxa"/>
            <w:gridSpan w:val="2"/>
            <w:vAlign w:val="top"/>
          </w:tcPr>
          <w:p>
            <w:pPr>
              <w:rPr>
                <w:rFonts w:ascii="Arial"/>
                <w:sz w:val="21"/>
              </w:rPr>
            </w:pPr>
          </w:p>
        </w:tc>
        <w:tc>
          <w:tcPr>
            <w:tcW w:w="490" w:type="dxa"/>
            <w:vAlign w:val="top"/>
          </w:tcPr>
          <w:p>
            <w:pPr>
              <w:rPr>
                <w:rFonts w:ascii="Arial"/>
                <w:sz w:val="21"/>
              </w:rPr>
            </w:pPr>
          </w:p>
        </w:tc>
        <w:tc>
          <w:tcPr>
            <w:tcW w:w="1069" w:type="dxa"/>
            <w:vAlign w:val="top"/>
          </w:tcPr>
          <w:p>
            <w:pPr>
              <w:rPr>
                <w:rFonts w:ascii="Arial"/>
                <w:sz w:val="21"/>
              </w:rPr>
            </w:pPr>
          </w:p>
        </w:tc>
        <w:tc>
          <w:tcPr>
            <w:tcW w:w="799" w:type="dxa"/>
            <w:vAlign w:val="top"/>
          </w:tcPr>
          <w:p>
            <w:pPr>
              <w:rPr>
                <w:rFonts w:ascii="Arial"/>
                <w:sz w:val="21"/>
              </w:rPr>
            </w:pPr>
          </w:p>
        </w:tc>
        <w:tc>
          <w:tcPr>
            <w:tcW w:w="579" w:type="dxa"/>
            <w:vAlign w:val="top"/>
          </w:tcPr>
          <w:p>
            <w:pPr>
              <w:rPr>
                <w:rFonts w:ascii="Arial"/>
                <w:sz w:val="21"/>
              </w:rPr>
            </w:pPr>
          </w:p>
        </w:tc>
        <w:tc>
          <w:tcPr>
            <w:tcW w:w="1283" w:type="dxa"/>
            <w:gridSpan w:val="2"/>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444" w:type="dxa"/>
            <w:vMerge w:val="continue"/>
            <w:tcBorders>
              <w:top w:val="nil"/>
            </w:tcBorders>
            <w:textDirection w:val="tbRlV"/>
            <w:vAlign w:val="top"/>
          </w:tcPr>
          <w:p>
            <w:pPr>
              <w:rPr>
                <w:rFonts w:ascii="Arial"/>
                <w:sz w:val="21"/>
              </w:rPr>
            </w:pPr>
          </w:p>
        </w:tc>
        <w:tc>
          <w:tcPr>
            <w:tcW w:w="629" w:type="dxa"/>
            <w:vMerge w:val="continue"/>
            <w:tcBorders>
              <w:top w:val="nil"/>
            </w:tcBorders>
            <w:vAlign w:val="top"/>
          </w:tcPr>
          <w:p>
            <w:pPr>
              <w:rPr>
                <w:rFonts w:ascii="Arial"/>
                <w:sz w:val="21"/>
              </w:rPr>
            </w:pPr>
          </w:p>
        </w:tc>
        <w:tc>
          <w:tcPr>
            <w:tcW w:w="849" w:type="dxa"/>
            <w:vAlign w:val="top"/>
          </w:tcPr>
          <w:p>
            <w:pPr>
              <w:pStyle w:val="38"/>
              <w:spacing w:before="296" w:line="300" w:lineRule="exact"/>
              <w:ind w:left="221"/>
            </w:pPr>
            <w:r>
              <w:rPr>
                <w:spacing w:val="-5"/>
                <w:position w:val="2"/>
              </w:rPr>
              <w:t>……</w:t>
            </w:r>
          </w:p>
        </w:tc>
        <w:tc>
          <w:tcPr>
            <w:tcW w:w="2577" w:type="dxa"/>
            <w:gridSpan w:val="2"/>
            <w:vAlign w:val="top"/>
          </w:tcPr>
          <w:p>
            <w:pPr>
              <w:rPr>
                <w:rFonts w:ascii="Arial"/>
                <w:sz w:val="21"/>
              </w:rPr>
            </w:pPr>
          </w:p>
        </w:tc>
        <w:tc>
          <w:tcPr>
            <w:tcW w:w="490" w:type="dxa"/>
            <w:vAlign w:val="top"/>
          </w:tcPr>
          <w:p>
            <w:pPr>
              <w:rPr>
                <w:rFonts w:ascii="Arial"/>
                <w:sz w:val="21"/>
              </w:rPr>
            </w:pPr>
          </w:p>
        </w:tc>
        <w:tc>
          <w:tcPr>
            <w:tcW w:w="1069" w:type="dxa"/>
            <w:vAlign w:val="top"/>
          </w:tcPr>
          <w:p>
            <w:pPr>
              <w:rPr>
                <w:rFonts w:ascii="Arial"/>
                <w:sz w:val="21"/>
              </w:rPr>
            </w:pPr>
          </w:p>
        </w:tc>
        <w:tc>
          <w:tcPr>
            <w:tcW w:w="799" w:type="dxa"/>
            <w:vAlign w:val="top"/>
          </w:tcPr>
          <w:p>
            <w:pPr>
              <w:rPr>
                <w:rFonts w:ascii="Arial"/>
                <w:sz w:val="21"/>
              </w:rPr>
            </w:pPr>
          </w:p>
        </w:tc>
        <w:tc>
          <w:tcPr>
            <w:tcW w:w="579" w:type="dxa"/>
            <w:vAlign w:val="top"/>
          </w:tcPr>
          <w:p>
            <w:pPr>
              <w:rPr>
                <w:rFonts w:ascii="Arial"/>
                <w:sz w:val="21"/>
              </w:rPr>
            </w:pPr>
          </w:p>
        </w:tc>
        <w:tc>
          <w:tcPr>
            <w:tcW w:w="1283" w:type="dxa"/>
            <w:gridSpan w:val="2"/>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trPr>
        <w:tc>
          <w:tcPr>
            <w:tcW w:w="4499" w:type="dxa"/>
            <w:gridSpan w:val="5"/>
            <w:vAlign w:val="top"/>
          </w:tcPr>
          <w:p>
            <w:pPr>
              <w:pStyle w:val="38"/>
              <w:spacing w:before="29" w:line="182" w:lineRule="auto"/>
              <w:ind w:left="2055"/>
            </w:pPr>
            <w:r>
              <w:rPr>
                <w:spacing w:val="4"/>
              </w:rPr>
              <w:t>总分</w:t>
            </w:r>
          </w:p>
        </w:tc>
        <w:tc>
          <w:tcPr>
            <w:tcW w:w="490" w:type="dxa"/>
            <w:vAlign w:val="top"/>
          </w:tcPr>
          <w:p>
            <w:pPr>
              <w:pStyle w:val="38"/>
              <w:spacing w:before="48" w:line="164" w:lineRule="auto"/>
              <w:ind w:left="95"/>
            </w:pPr>
            <w:r>
              <w:rPr>
                <w:spacing w:val="-5"/>
              </w:rPr>
              <w:t>100</w:t>
            </w:r>
          </w:p>
        </w:tc>
        <w:tc>
          <w:tcPr>
            <w:tcW w:w="1868" w:type="dxa"/>
            <w:gridSpan w:val="2"/>
            <w:vAlign w:val="top"/>
          </w:tcPr>
          <w:p>
            <w:pPr>
              <w:spacing w:line="217" w:lineRule="exact"/>
              <w:rPr>
                <w:rFonts w:ascii="Arial"/>
                <w:sz w:val="18"/>
              </w:rPr>
            </w:pPr>
          </w:p>
        </w:tc>
        <w:tc>
          <w:tcPr>
            <w:tcW w:w="579" w:type="dxa"/>
            <w:vAlign w:val="top"/>
          </w:tcPr>
          <w:p>
            <w:pPr>
              <w:pStyle w:val="38"/>
              <w:spacing w:before="48" w:line="164" w:lineRule="auto"/>
              <w:ind w:left="307"/>
            </w:pPr>
            <w:r>
              <w:rPr>
                <w:spacing w:val="-3"/>
              </w:rPr>
              <w:t>85</w:t>
            </w:r>
          </w:p>
        </w:tc>
        <w:tc>
          <w:tcPr>
            <w:tcW w:w="1283" w:type="dxa"/>
            <w:gridSpan w:val="2"/>
            <w:vAlign w:val="top"/>
          </w:tcPr>
          <w:p>
            <w:pPr>
              <w:spacing w:line="217" w:lineRule="exact"/>
              <w:rPr>
                <w:rFonts w:ascii="Arial"/>
                <w:sz w:val="18"/>
              </w:rPr>
            </w:pPr>
          </w:p>
        </w:tc>
      </w:tr>
    </w:tbl>
    <w:p>
      <w:pPr>
        <w:spacing w:line="337" w:lineRule="auto"/>
        <w:rPr>
          <w:rFonts w:ascii="Arial"/>
          <w:sz w:val="21"/>
        </w:rPr>
      </w:pPr>
    </w:p>
    <w:p>
      <w:pPr>
        <w:spacing w:before="27" w:line="239" w:lineRule="auto"/>
        <w:ind w:left="9380"/>
        <w:rPr>
          <w:rFonts w:hint="eastAsia" w:ascii="宋体" w:hAnsi="宋体" w:eastAsia="黑体" w:cs="宋体"/>
          <w:sz w:val="33"/>
          <w:szCs w:val="33"/>
          <w:lang w:eastAsia="zh-CN"/>
        </w:rPr>
      </w:pPr>
    </w:p>
    <w:p>
      <w:pPr>
        <w:pStyle w:val="16"/>
        <w:widowControl/>
        <w:rPr>
          <w:rFonts w:hint="eastAsia"/>
          <w:lang w:eastAsia="zh-CN"/>
        </w:rPr>
      </w:pPr>
      <mc:AlternateContent>
        <mc:Choice Requires="wpsCustomData">
          <wpsCustomData:docfieldStart id="0" docfieldname="标题_1" hidden="0" print="1" readonly="0" index="3"/>
        </mc:Choice>
      </mc:AlternateContent>
      <w:r>
        <w:rPr>
          <w:rFonts w:ascii="Times New Roman" w:hAnsi="Times New Roman" w:eastAsia="黑体" w:cs="Times New Roman"/>
          <w:b w:val="0"/>
          <w:bCs w:val="0"/>
          <w:sz w:val="36"/>
          <w:szCs w:val="24"/>
        </w:rPr>
        <w:t>2025年就业创业补助专项资金</w:t>
      </w:r>
      <w:r>
        <w:rPr>
          <w:rFonts w:ascii="Times New Roman" w:hAnsi="Times New Roman" w:eastAsia="黑体" w:cs="Times New Roman"/>
          <w:b w:val="0"/>
          <w:bCs w:val="0"/>
          <w:sz w:val="36"/>
          <w:szCs w:val="24"/>
        </w:rPr>
        <w:br w:type="textWrapping"/>
      </w:r>
      <w:r>
        <w:rPr>
          <w:rFonts w:ascii="Times New Roman" w:hAnsi="Times New Roman" w:eastAsia="黑体" w:cs="Times New Roman"/>
          <w:b w:val="0"/>
          <w:bCs w:val="0"/>
          <w:sz w:val="36"/>
          <w:szCs w:val="24"/>
        </w:rPr>
        <w:t>专项预算绩效自评报告</w:t>
      </w:r>
      <mc:AlternateContent>
        <mc:Choice Requires="wpsCustomData">
          <wpsCustomData:docfieldEnd id="0"/>
        </mc:Choice>
      </mc:AlternateContent>
    </w:p>
    <w:p>
      <w:pPr>
        <w:pStyle w:val="2"/>
        <w:keepNext/>
        <w:keepLines/>
        <w:pageBreakBefore w:val="0"/>
        <w:widowControl/>
        <w:numPr>
          <w:ilvl w:val="0"/>
          <w:numId w:val="0"/>
        </w:numPr>
        <w:kinsoku/>
        <w:wordWrap/>
        <w:overflowPunct/>
        <w:topLinePunct w:val="0"/>
        <w:autoSpaceDE/>
        <w:autoSpaceDN/>
        <w:bidi w:val="0"/>
        <w:adjustRightInd/>
        <w:snapToGrid/>
        <w:spacing w:before="0" w:after="0" w:line="579" w:lineRule="auto"/>
        <w:ind w:leftChars="0"/>
        <w:textAlignment w:val="auto"/>
        <w:rPr>
          <w:rFonts w:hint="eastAsia" w:ascii="方正小标宋_GBK" w:hAnsi="方正小标宋_GBK" w:eastAsia="方正小标宋_GBK" w:cs="方正小标宋_GBK"/>
          <w:b w:val="0"/>
          <w:bCs w:val="0"/>
          <w:sz w:val="32"/>
          <w:szCs w:val="44"/>
        </w:rPr>
      </w:pPr>
      <w:r>
        <w:rPr>
          <w:rFonts w:hint="eastAsia" w:ascii="方正小标宋_GBK" w:hAnsi="方正小标宋_GBK" w:eastAsia="方正小标宋_GBK" w:cs="方正小标宋_GBK"/>
          <w:b w:val="0"/>
          <w:bCs w:val="0"/>
          <w:sz w:val="32"/>
          <w:szCs w:val="44"/>
          <w:lang w:eastAsia="zh-CN"/>
        </w:rPr>
        <w:t>一、</w:t>
      </w:r>
      <w:r>
        <w:rPr>
          <w:rFonts w:hint="eastAsia" w:ascii="方正小标宋_GBK" w:hAnsi="方正小标宋_GBK" w:eastAsia="方正小标宋_GBK" w:cs="方正小标宋_GBK"/>
          <w:b w:val="0"/>
          <w:bCs w:val="0"/>
          <w:sz w:val="32"/>
          <w:szCs w:val="44"/>
        </w:rPr>
        <w:t>项目概况</w:t>
      </w:r>
    </w:p>
    <w:p>
      <w:pPr>
        <w:pStyle w:val="5"/>
        <w:keepNext w:val="0"/>
        <w:keepLines w:val="0"/>
        <w:pageBreakBefore w:val="0"/>
        <w:widowControl/>
        <w:numPr>
          <w:ilvl w:val="0"/>
          <w:numId w:val="0"/>
        </w:numPr>
        <w:kinsoku/>
        <w:wordWrap/>
        <w:overflowPunct/>
        <w:topLinePunct w:val="0"/>
        <w:autoSpaceDE/>
        <w:autoSpaceDN/>
        <w:bidi w:val="0"/>
        <w:adjustRightInd w:val="0"/>
        <w:snapToGrid/>
        <w:spacing w:before="0" w:after="0" w:afterLines="0" w:line="560" w:lineRule="exact"/>
        <w:ind w:left="0" w:leftChars="0" w:firstLine="568" w:firstLineChars="200"/>
        <w:jc w:val="left"/>
        <w:textAlignment w:val="auto"/>
        <w:outlineLvl w:val="9"/>
        <w:rPr>
          <w:rFonts w:hint="eastAsia" w:ascii="仿宋_GB2312" w:hAnsi="Times New Roman" w:eastAsia="仿宋_GB2312" w:cs="Times New Roman"/>
          <w:snapToGrid/>
          <w:spacing w:val="-8"/>
          <w:kern w:val="0"/>
          <w:sz w:val="30"/>
          <w:lang w:eastAsia="zh-CN"/>
        </w:rPr>
      </w:pPr>
      <w:r>
        <w:rPr>
          <w:rFonts w:hint="eastAsia" w:ascii="仿宋_GB2312" w:hAnsi="Times New Roman" w:eastAsia="仿宋_GB2312" w:cs="Times New Roman"/>
          <w:snapToGrid/>
          <w:spacing w:val="-8"/>
          <w:kern w:val="0"/>
          <w:sz w:val="30"/>
          <w:lang w:eastAsia="zh-CN"/>
        </w:rPr>
        <w:t>（一）</w:t>
      </w:r>
      <w:r>
        <w:rPr>
          <w:rFonts w:ascii="仿宋_GB2312" w:hAnsi="Times New Roman" w:eastAsia="仿宋_GB2312" w:cs="Times New Roman"/>
          <w:snapToGrid/>
          <w:spacing w:val="-8"/>
          <w:kern w:val="0"/>
          <w:sz w:val="30"/>
          <w:lang w:eastAsia="zh-CN"/>
        </w:rPr>
        <w:t>设立背景及基本情况。</w:t>
      </w:r>
    </w:p>
    <w:p>
      <w:pPr>
        <w:pStyle w:val="5"/>
        <w:keepNext w:val="0"/>
        <w:keepLines w:val="0"/>
        <w:pageBreakBefore w:val="0"/>
        <w:widowControl/>
        <w:numPr>
          <w:ilvl w:val="0"/>
          <w:numId w:val="0"/>
        </w:numPr>
        <w:kinsoku/>
        <w:wordWrap/>
        <w:overflowPunct/>
        <w:topLinePunct w:val="0"/>
        <w:autoSpaceDE/>
        <w:autoSpaceDN/>
        <w:bidi w:val="0"/>
        <w:adjustRightInd w:val="0"/>
        <w:snapToGrid/>
        <w:spacing w:before="0" w:after="0" w:afterLines="0" w:line="560" w:lineRule="exact"/>
        <w:ind w:left="0" w:firstLine="568" w:firstLineChars="200"/>
        <w:jc w:val="left"/>
        <w:textAlignment w:val="auto"/>
        <w:outlineLvl w:val="9"/>
        <w:rPr>
          <w:rFonts w:hint="eastAsia" w:ascii="仿宋_GB2312" w:hAnsi="Times New Roman" w:eastAsia="仿宋_GB2312" w:cs="Times New Roman"/>
          <w:snapToGrid/>
          <w:spacing w:val="-8"/>
          <w:kern w:val="0"/>
          <w:sz w:val="30"/>
          <w:lang w:eastAsia="zh-CN"/>
        </w:rPr>
      </w:pPr>
      <w:r>
        <w:rPr>
          <w:rFonts w:ascii="仿宋_GB2312" w:hAnsi="Times New Roman" w:eastAsia="仿宋_GB2312" w:cs="Times New Roman"/>
          <w:snapToGrid/>
          <w:spacing w:val="-8"/>
          <w:kern w:val="0"/>
          <w:sz w:val="30"/>
          <w:lang w:eastAsia="zh-CN"/>
        </w:rPr>
        <w:t>就业创业补助专项资金聚焦就业困难人员再就业、新增劳动力就业、农村转移劳动力就业，以创业培训、再就业培训为核心抓手，紧扣“稳就业”“保就业”工作主线，实施就业促进民生工程，保障重点群体就业稳定。项目主管单位为壤塘县就业服务中心，核心职能是开展失业登记、就业指导、职业技能培训、职业技能鉴定、就业创业补贴发放等公共就业服务，落实就业扶持政策。</w:t>
      </w:r>
    </w:p>
    <w:p>
      <w:pPr>
        <w:pStyle w:val="5"/>
        <w:keepNext w:val="0"/>
        <w:keepLines w:val="0"/>
        <w:pageBreakBefore w:val="0"/>
        <w:widowControl/>
        <w:numPr>
          <w:ilvl w:val="0"/>
          <w:numId w:val="0"/>
        </w:numPr>
        <w:kinsoku/>
        <w:wordWrap/>
        <w:overflowPunct/>
        <w:topLinePunct w:val="0"/>
        <w:autoSpaceDE/>
        <w:autoSpaceDN/>
        <w:bidi w:val="0"/>
        <w:adjustRightInd w:val="0"/>
        <w:snapToGrid/>
        <w:spacing w:before="0" w:after="0" w:afterLines="0" w:line="560" w:lineRule="exact"/>
        <w:ind w:left="0" w:firstLine="568" w:firstLineChars="200"/>
        <w:jc w:val="left"/>
        <w:textAlignment w:val="auto"/>
        <w:outlineLvl w:val="9"/>
        <w:rPr>
          <w:rFonts w:hint="eastAsia" w:ascii="仿宋_GB2312" w:hAnsi="Times New Roman" w:eastAsia="仿宋_GB2312" w:cs="Times New Roman"/>
          <w:snapToGrid/>
          <w:spacing w:val="-8"/>
          <w:kern w:val="0"/>
          <w:sz w:val="30"/>
          <w:lang w:eastAsia="zh-CN"/>
        </w:rPr>
      </w:pPr>
      <w:r>
        <w:rPr>
          <w:rFonts w:hint="eastAsia" w:ascii="仿宋_GB2312" w:hAnsi="Times New Roman" w:eastAsia="仿宋_GB2312" w:cs="Times New Roman"/>
          <w:snapToGrid/>
          <w:spacing w:val="-8"/>
          <w:kern w:val="0"/>
          <w:sz w:val="30"/>
          <w:lang w:eastAsia="zh-CN"/>
        </w:rPr>
        <w:t>（二）</w:t>
      </w:r>
      <w:r>
        <w:rPr>
          <w:rFonts w:ascii="仿宋_GB2312" w:hAnsi="Times New Roman" w:eastAsia="仿宋_GB2312" w:cs="Times New Roman"/>
          <w:snapToGrid/>
          <w:spacing w:val="-8"/>
          <w:kern w:val="0"/>
          <w:sz w:val="30"/>
          <w:lang w:eastAsia="zh-CN"/>
        </w:rPr>
        <w:t>实施目的及支持方向。</w:t>
      </w:r>
    </w:p>
    <w:p>
      <w:pPr>
        <w:pStyle w:val="5"/>
        <w:keepNext w:val="0"/>
        <w:keepLines w:val="0"/>
        <w:pageBreakBefore w:val="0"/>
        <w:widowControl/>
        <w:numPr>
          <w:ilvl w:val="0"/>
          <w:numId w:val="0"/>
        </w:numPr>
        <w:kinsoku/>
        <w:wordWrap/>
        <w:overflowPunct/>
        <w:topLinePunct w:val="0"/>
        <w:autoSpaceDE/>
        <w:autoSpaceDN/>
        <w:bidi w:val="0"/>
        <w:adjustRightInd w:val="0"/>
        <w:snapToGrid/>
        <w:spacing w:before="0" w:after="0" w:afterLines="0" w:line="560" w:lineRule="exact"/>
        <w:ind w:left="0" w:firstLine="568" w:firstLineChars="200"/>
        <w:jc w:val="left"/>
        <w:textAlignment w:val="auto"/>
        <w:outlineLvl w:val="9"/>
        <w:rPr>
          <w:rFonts w:ascii="仿宋_GB2312" w:hAnsi="Times New Roman" w:eastAsia="仿宋_GB2312" w:cs="Times New Roman"/>
          <w:snapToGrid/>
          <w:spacing w:val="-8"/>
          <w:kern w:val="0"/>
          <w:sz w:val="30"/>
          <w:lang w:eastAsia="zh-CN"/>
        </w:rPr>
      </w:pPr>
      <w:r>
        <w:rPr>
          <w:rFonts w:ascii="仿宋_GB2312" w:hAnsi="Times New Roman" w:eastAsia="仿宋_GB2312" w:cs="Times New Roman"/>
          <w:snapToGrid/>
          <w:spacing w:val="-8"/>
          <w:kern w:val="0"/>
          <w:sz w:val="30"/>
          <w:lang w:eastAsia="zh-CN"/>
        </w:rPr>
        <w:t>实施目的：帮扶重点群体就业创业，提升劳动者技能水平，稳定就业局势，落实民生保障政策。主要任务：发放职业培训、社会保险、公益性岗位、就业见习等补贴，开展技能培训与创业扶持，完成城镇新增就业、困难人员就业等目标。支持方向：民生保障类就业创业扶持，覆盖职业技能</w:t>
      </w:r>
      <w:r>
        <w:rPr>
          <w:rFonts w:hint="eastAsia" w:ascii="仿宋_GB2312" w:hAnsi="Times New Roman" w:eastAsia="仿宋_GB2312" w:cs="Times New Roman"/>
          <w:snapToGrid/>
          <w:spacing w:val="-8"/>
          <w:kern w:val="0"/>
          <w:sz w:val="30"/>
          <w:lang w:eastAsia="zh-CN"/>
        </w:rPr>
        <w:t>培训</w:t>
      </w:r>
      <w:r>
        <w:rPr>
          <w:rFonts w:ascii="仿宋_GB2312" w:hAnsi="Times New Roman" w:eastAsia="仿宋_GB2312" w:cs="Times New Roman"/>
          <w:snapToGrid/>
          <w:spacing w:val="-8"/>
          <w:kern w:val="0"/>
          <w:sz w:val="30"/>
          <w:lang w:eastAsia="zh-CN"/>
        </w:rPr>
        <w:t>、重点群体就业补贴、创业孵化、公共就业服务等领域。</w:t>
      </w:r>
    </w:p>
    <w:p>
      <w:pPr>
        <w:pStyle w:val="5"/>
        <w:keepNext w:val="0"/>
        <w:keepLines w:val="0"/>
        <w:pageBreakBefore w:val="0"/>
        <w:widowControl/>
        <w:numPr>
          <w:ilvl w:val="0"/>
          <w:numId w:val="0"/>
        </w:numPr>
        <w:kinsoku/>
        <w:wordWrap/>
        <w:overflowPunct/>
        <w:topLinePunct w:val="0"/>
        <w:autoSpaceDE/>
        <w:autoSpaceDN/>
        <w:bidi w:val="0"/>
        <w:adjustRightInd w:val="0"/>
        <w:snapToGrid/>
        <w:spacing w:before="0" w:after="0" w:afterLines="0" w:line="560" w:lineRule="exact"/>
        <w:ind w:left="0" w:firstLine="568" w:firstLineChars="200"/>
        <w:jc w:val="left"/>
        <w:textAlignment w:val="auto"/>
        <w:outlineLvl w:val="9"/>
        <w:rPr>
          <w:rFonts w:ascii="仿宋_GB2312" w:hAnsi="Times New Roman" w:eastAsia="仿宋_GB2312" w:cs="Times New Roman"/>
          <w:snapToGrid/>
          <w:spacing w:val="-8"/>
          <w:kern w:val="0"/>
          <w:sz w:val="30"/>
          <w:lang w:eastAsia="zh-CN"/>
        </w:rPr>
      </w:pPr>
      <w:r>
        <w:rPr>
          <w:rFonts w:ascii="仿宋_GB2312" w:hAnsi="Times New Roman" w:eastAsia="仿宋_GB2312" w:cs="Times New Roman"/>
          <w:snapToGrid/>
          <w:spacing w:val="-8"/>
          <w:kern w:val="0"/>
          <w:sz w:val="30"/>
          <w:lang w:eastAsia="zh-CN"/>
        </w:rPr>
        <w:t>预算安排及分配管理。预算安排：2025年就业创业补助专项资金预算总额568万元，资金全额到位，到位率100</w:t>
      </w:r>
      <w:r>
        <w:rPr>
          <w:rFonts w:hint="eastAsia" w:ascii="仿宋_GB2312" w:hAnsi="Times New Roman" w:eastAsia="仿宋_GB2312" w:cs="Times New Roman"/>
          <w:snapToGrid/>
          <w:spacing w:val="-8"/>
          <w:kern w:val="0"/>
          <w:sz w:val="30"/>
          <w:lang w:eastAsia="zh-CN"/>
        </w:rPr>
        <w:t>%.</w:t>
      </w:r>
    </w:p>
    <w:p>
      <w:pPr>
        <w:pStyle w:val="5"/>
        <w:keepNext w:val="0"/>
        <w:keepLines w:val="0"/>
        <w:pageBreakBefore w:val="0"/>
        <w:widowControl/>
        <w:numPr>
          <w:ilvl w:val="0"/>
          <w:numId w:val="0"/>
        </w:numPr>
        <w:kinsoku/>
        <w:wordWrap/>
        <w:overflowPunct/>
        <w:topLinePunct w:val="0"/>
        <w:autoSpaceDE/>
        <w:autoSpaceDN/>
        <w:bidi w:val="0"/>
        <w:adjustRightInd w:val="0"/>
        <w:snapToGrid/>
        <w:spacing w:before="0" w:after="0" w:afterLines="0" w:line="560" w:lineRule="exact"/>
        <w:ind w:left="0" w:firstLine="568" w:firstLineChars="200"/>
        <w:jc w:val="left"/>
        <w:textAlignment w:val="auto"/>
        <w:outlineLvl w:val="9"/>
        <w:rPr>
          <w:rFonts w:ascii="仿宋_GB2312" w:hAnsi="Times New Roman" w:eastAsia="仿宋_GB2312" w:cs="Times New Roman"/>
          <w:snapToGrid/>
          <w:spacing w:val="-8"/>
          <w:kern w:val="0"/>
          <w:sz w:val="30"/>
          <w:lang w:eastAsia="zh-CN"/>
        </w:rPr>
      </w:pPr>
      <w:r>
        <w:rPr>
          <w:rFonts w:ascii="仿宋_GB2312" w:hAnsi="Times New Roman" w:eastAsia="仿宋_GB2312" w:cs="Times New Roman"/>
          <w:snapToGrid/>
          <w:spacing w:val="-8"/>
          <w:kern w:val="0"/>
          <w:sz w:val="30"/>
          <w:lang w:eastAsia="zh-CN"/>
        </w:rPr>
        <w:t>资金使用：</w:t>
      </w:r>
    </w:p>
    <w:p>
      <w:pPr>
        <w:pStyle w:val="5"/>
        <w:keepNext w:val="0"/>
        <w:keepLines w:val="0"/>
        <w:pageBreakBefore w:val="0"/>
        <w:widowControl/>
        <w:numPr>
          <w:ilvl w:val="0"/>
          <w:numId w:val="0"/>
        </w:numPr>
        <w:kinsoku/>
        <w:wordWrap/>
        <w:overflowPunct/>
        <w:topLinePunct w:val="0"/>
        <w:autoSpaceDE/>
        <w:autoSpaceDN/>
        <w:bidi w:val="0"/>
        <w:adjustRightInd w:val="0"/>
        <w:snapToGrid/>
        <w:spacing w:before="0" w:after="0" w:afterLines="0" w:line="560" w:lineRule="exact"/>
        <w:ind w:left="0" w:firstLine="568" w:firstLineChars="200"/>
        <w:jc w:val="left"/>
        <w:textAlignment w:val="auto"/>
        <w:outlineLvl w:val="9"/>
        <w:rPr>
          <w:rFonts w:ascii="仿宋_GB2312" w:hAnsi="Times New Roman" w:eastAsia="仿宋_GB2312" w:cs="Times New Roman"/>
          <w:snapToGrid/>
          <w:spacing w:val="-8"/>
          <w:kern w:val="0"/>
          <w:sz w:val="30"/>
          <w:lang w:eastAsia="zh-CN"/>
        </w:rPr>
      </w:pPr>
      <w:r>
        <w:rPr>
          <w:rFonts w:ascii="仿宋_GB2312" w:hAnsi="Times New Roman" w:eastAsia="仿宋_GB2312" w:cs="Times New Roman"/>
          <w:snapToGrid/>
          <w:spacing w:val="-8"/>
          <w:kern w:val="0"/>
          <w:sz w:val="30"/>
          <w:lang w:eastAsia="zh-CN"/>
        </w:rPr>
        <w:t>截至2025年12月31日，实际使用567.98万元，预算执行率99.99％。</w:t>
      </w:r>
    </w:p>
    <w:p>
      <w:pPr>
        <w:pStyle w:val="5"/>
        <w:keepNext w:val="0"/>
        <w:keepLines w:val="0"/>
        <w:pageBreakBefore w:val="0"/>
        <w:widowControl/>
        <w:numPr>
          <w:ilvl w:val="0"/>
          <w:numId w:val="0"/>
        </w:numPr>
        <w:kinsoku/>
        <w:wordWrap/>
        <w:overflowPunct/>
        <w:topLinePunct w:val="0"/>
        <w:autoSpaceDE/>
        <w:autoSpaceDN/>
        <w:bidi w:val="0"/>
        <w:adjustRightInd w:val="0"/>
        <w:snapToGrid/>
        <w:spacing w:before="0" w:after="0" w:afterLines="0" w:line="560" w:lineRule="exact"/>
        <w:ind w:left="0" w:firstLine="568" w:firstLineChars="200"/>
        <w:jc w:val="left"/>
        <w:textAlignment w:val="auto"/>
        <w:outlineLvl w:val="9"/>
        <w:rPr>
          <w:rFonts w:ascii="仿宋_GB2312" w:hAnsi="Times New Roman" w:eastAsia="仿宋_GB2312" w:cs="Times New Roman"/>
          <w:snapToGrid/>
          <w:spacing w:val="-8"/>
          <w:kern w:val="0"/>
          <w:sz w:val="30"/>
          <w:lang w:eastAsia="zh-CN"/>
        </w:rPr>
      </w:pPr>
      <w:r>
        <w:rPr>
          <w:rFonts w:ascii="仿宋_GB2312" w:hAnsi="Times New Roman" w:eastAsia="仿宋_GB2312" w:cs="Times New Roman"/>
          <w:snapToGrid/>
          <w:spacing w:val="-8"/>
          <w:kern w:val="0"/>
          <w:sz w:val="30"/>
          <w:lang w:eastAsia="zh-CN"/>
        </w:rPr>
        <w:t>具体分配：</w:t>
      </w:r>
    </w:p>
    <w:p>
      <w:pPr>
        <w:pStyle w:val="5"/>
        <w:keepNext w:val="0"/>
        <w:keepLines w:val="0"/>
        <w:pageBreakBefore w:val="0"/>
        <w:widowControl/>
        <w:numPr>
          <w:ilvl w:val="0"/>
          <w:numId w:val="0"/>
        </w:numPr>
        <w:kinsoku/>
        <w:wordWrap/>
        <w:overflowPunct/>
        <w:topLinePunct w:val="0"/>
        <w:autoSpaceDE/>
        <w:autoSpaceDN/>
        <w:bidi w:val="0"/>
        <w:adjustRightInd w:val="0"/>
        <w:snapToGrid/>
        <w:spacing w:before="0" w:after="0" w:afterLines="0" w:line="560" w:lineRule="exact"/>
        <w:ind w:left="0" w:firstLine="568" w:firstLineChars="200"/>
        <w:jc w:val="left"/>
        <w:textAlignment w:val="auto"/>
        <w:outlineLvl w:val="9"/>
        <w:rPr>
          <w:rFonts w:ascii="仿宋_GB2312" w:hAnsi="Times New Roman" w:eastAsia="仿宋_GB2312" w:cs="Times New Roman"/>
          <w:snapToGrid/>
          <w:spacing w:val="-8"/>
          <w:kern w:val="0"/>
          <w:sz w:val="30"/>
          <w:lang w:eastAsia="zh-CN"/>
        </w:rPr>
      </w:pPr>
      <w:r>
        <w:rPr>
          <w:rFonts w:ascii="仿宋_GB2312" w:hAnsi="Times New Roman" w:eastAsia="仿宋_GB2312" w:cs="Times New Roman"/>
          <w:snapToGrid/>
          <w:spacing w:val="-8"/>
          <w:kern w:val="0"/>
          <w:sz w:val="30"/>
          <w:lang w:eastAsia="zh-CN"/>
        </w:rPr>
        <w:t>职业培训补贴：23.54万元</w:t>
      </w:r>
    </w:p>
    <w:p>
      <w:pPr>
        <w:pStyle w:val="5"/>
        <w:keepNext w:val="0"/>
        <w:keepLines w:val="0"/>
        <w:pageBreakBefore w:val="0"/>
        <w:widowControl/>
        <w:numPr>
          <w:ilvl w:val="0"/>
          <w:numId w:val="0"/>
        </w:numPr>
        <w:kinsoku/>
        <w:wordWrap/>
        <w:overflowPunct/>
        <w:topLinePunct w:val="0"/>
        <w:autoSpaceDE/>
        <w:autoSpaceDN/>
        <w:bidi w:val="0"/>
        <w:adjustRightInd w:val="0"/>
        <w:snapToGrid/>
        <w:spacing w:before="0" w:after="0" w:afterLines="0" w:line="560" w:lineRule="exact"/>
        <w:ind w:left="0" w:firstLine="568" w:firstLineChars="200"/>
        <w:jc w:val="left"/>
        <w:textAlignment w:val="auto"/>
        <w:outlineLvl w:val="9"/>
        <w:rPr>
          <w:rFonts w:ascii="仿宋_GB2312" w:hAnsi="Times New Roman" w:eastAsia="仿宋_GB2312" w:cs="Times New Roman"/>
          <w:snapToGrid/>
          <w:spacing w:val="-8"/>
          <w:kern w:val="0"/>
          <w:sz w:val="30"/>
          <w:lang w:eastAsia="zh-CN"/>
        </w:rPr>
      </w:pPr>
      <w:r>
        <w:rPr>
          <w:rFonts w:ascii="仿宋_GB2312" w:hAnsi="Times New Roman" w:eastAsia="仿宋_GB2312" w:cs="Times New Roman"/>
          <w:snapToGrid/>
          <w:spacing w:val="-8"/>
          <w:kern w:val="0"/>
          <w:sz w:val="30"/>
          <w:lang w:eastAsia="zh-CN"/>
        </w:rPr>
        <w:t>公益性岗位补贴：480.92万元</w:t>
      </w:r>
    </w:p>
    <w:p>
      <w:pPr>
        <w:pStyle w:val="5"/>
        <w:keepNext w:val="0"/>
        <w:keepLines w:val="0"/>
        <w:pageBreakBefore w:val="0"/>
        <w:widowControl/>
        <w:numPr>
          <w:ilvl w:val="0"/>
          <w:numId w:val="0"/>
        </w:numPr>
        <w:kinsoku/>
        <w:wordWrap/>
        <w:overflowPunct/>
        <w:topLinePunct w:val="0"/>
        <w:autoSpaceDE/>
        <w:autoSpaceDN/>
        <w:bidi w:val="0"/>
        <w:adjustRightInd w:val="0"/>
        <w:snapToGrid/>
        <w:spacing w:before="0" w:after="0" w:afterLines="0" w:line="560" w:lineRule="exact"/>
        <w:ind w:left="0" w:firstLine="568" w:firstLineChars="200"/>
        <w:jc w:val="left"/>
        <w:textAlignment w:val="auto"/>
        <w:outlineLvl w:val="9"/>
        <w:rPr>
          <w:rFonts w:ascii="仿宋_GB2312" w:hAnsi="Times New Roman" w:eastAsia="仿宋_GB2312" w:cs="Times New Roman"/>
          <w:snapToGrid/>
          <w:spacing w:val="-8"/>
          <w:kern w:val="0"/>
          <w:sz w:val="30"/>
          <w:lang w:eastAsia="zh-CN"/>
        </w:rPr>
      </w:pPr>
      <w:r>
        <w:rPr>
          <w:rFonts w:ascii="仿宋_GB2312" w:hAnsi="Times New Roman" w:eastAsia="仿宋_GB2312" w:cs="Times New Roman"/>
          <w:snapToGrid/>
          <w:spacing w:val="-8"/>
          <w:kern w:val="0"/>
          <w:sz w:val="30"/>
          <w:lang w:eastAsia="zh-CN"/>
        </w:rPr>
        <w:t>就业见习补贴：54.42万元</w:t>
      </w:r>
    </w:p>
    <w:p>
      <w:pPr>
        <w:pStyle w:val="5"/>
        <w:keepNext w:val="0"/>
        <w:keepLines w:val="0"/>
        <w:pageBreakBefore w:val="0"/>
        <w:widowControl/>
        <w:numPr>
          <w:ilvl w:val="0"/>
          <w:numId w:val="0"/>
        </w:numPr>
        <w:kinsoku/>
        <w:wordWrap/>
        <w:overflowPunct/>
        <w:topLinePunct w:val="0"/>
        <w:autoSpaceDE/>
        <w:autoSpaceDN/>
        <w:bidi w:val="0"/>
        <w:adjustRightInd w:val="0"/>
        <w:snapToGrid/>
        <w:spacing w:before="0" w:after="0" w:afterLines="0" w:line="560" w:lineRule="exact"/>
        <w:ind w:left="0" w:firstLine="568" w:firstLineChars="200"/>
        <w:jc w:val="left"/>
        <w:textAlignment w:val="auto"/>
        <w:outlineLvl w:val="9"/>
        <w:rPr>
          <w:rFonts w:ascii="仿宋_GB2312" w:hAnsi="Times New Roman" w:eastAsia="仿宋_GB2312" w:cs="Times New Roman"/>
          <w:snapToGrid/>
          <w:spacing w:val="-8"/>
          <w:kern w:val="0"/>
          <w:sz w:val="30"/>
          <w:lang w:eastAsia="zh-CN"/>
        </w:rPr>
      </w:pPr>
      <w:r>
        <w:rPr>
          <w:rFonts w:ascii="仿宋_GB2312" w:hAnsi="Times New Roman" w:eastAsia="仿宋_GB2312" w:cs="Times New Roman"/>
          <w:snapToGrid/>
          <w:spacing w:val="-8"/>
          <w:kern w:val="0"/>
          <w:sz w:val="30"/>
          <w:lang w:eastAsia="zh-CN"/>
        </w:rPr>
        <w:t>一次性创业补贴</w:t>
      </w:r>
      <w:r>
        <w:rPr>
          <w:rFonts w:hint="eastAsia" w:ascii="仿宋_GB2312" w:hAnsi="Times New Roman" w:eastAsia="仿宋_GB2312" w:cs="Times New Roman"/>
          <w:snapToGrid/>
          <w:spacing w:val="-8"/>
          <w:kern w:val="0"/>
          <w:sz w:val="30"/>
          <w:lang w:eastAsia="zh-CN"/>
        </w:rPr>
        <w:t>：9</w:t>
      </w:r>
      <w:r>
        <w:rPr>
          <w:rFonts w:ascii="仿宋_GB2312" w:hAnsi="Times New Roman" w:eastAsia="仿宋_GB2312" w:cs="Times New Roman"/>
          <w:snapToGrid/>
          <w:spacing w:val="-8"/>
          <w:kern w:val="0"/>
          <w:sz w:val="30"/>
          <w:lang w:eastAsia="zh-CN"/>
        </w:rPr>
        <w:t>.10万元</w:t>
      </w:r>
    </w:p>
    <w:p>
      <w:pPr>
        <w:pStyle w:val="5"/>
        <w:keepNext w:val="0"/>
        <w:keepLines w:val="0"/>
        <w:pageBreakBefore w:val="0"/>
        <w:widowControl/>
        <w:numPr>
          <w:ilvl w:val="0"/>
          <w:numId w:val="0"/>
        </w:numPr>
        <w:kinsoku/>
        <w:wordWrap/>
        <w:overflowPunct/>
        <w:topLinePunct w:val="0"/>
        <w:autoSpaceDE/>
        <w:autoSpaceDN/>
        <w:bidi w:val="0"/>
        <w:adjustRightInd w:val="0"/>
        <w:snapToGrid/>
        <w:spacing w:before="0" w:after="0" w:afterLines="0" w:line="560" w:lineRule="exact"/>
        <w:ind w:left="0" w:firstLine="568" w:firstLineChars="200"/>
        <w:jc w:val="left"/>
        <w:textAlignment w:val="auto"/>
        <w:outlineLvl w:val="9"/>
        <w:rPr>
          <w:rFonts w:hint="eastAsia" w:ascii="仿宋_GB2312" w:hAnsi="Times New Roman" w:eastAsia="仿宋_GB2312" w:cs="Times New Roman"/>
          <w:snapToGrid/>
          <w:spacing w:val="-8"/>
          <w:kern w:val="0"/>
          <w:sz w:val="30"/>
          <w:lang w:eastAsia="zh-CN"/>
        </w:rPr>
      </w:pPr>
      <w:r>
        <w:rPr>
          <w:rFonts w:ascii="仿宋_GB2312" w:hAnsi="Times New Roman" w:eastAsia="仿宋_GB2312" w:cs="Times New Roman"/>
          <w:snapToGrid/>
          <w:spacing w:val="-8"/>
          <w:kern w:val="0"/>
          <w:sz w:val="30"/>
          <w:lang w:eastAsia="zh-CN"/>
        </w:rPr>
        <w:t>项目绩效目标设置。整体目标：完成年度就业创业扶持任务，提升公共就业服务水平，保障重点群体就业。</w:t>
      </w:r>
    </w:p>
    <w:p>
      <w:pPr>
        <w:pStyle w:val="5"/>
        <w:keepNext w:val="0"/>
        <w:keepLines w:val="0"/>
        <w:pageBreakBefore w:val="0"/>
        <w:widowControl/>
        <w:numPr>
          <w:ilvl w:val="0"/>
          <w:numId w:val="0"/>
        </w:numPr>
        <w:kinsoku/>
        <w:wordWrap/>
        <w:overflowPunct/>
        <w:topLinePunct w:val="0"/>
        <w:autoSpaceDE/>
        <w:autoSpaceDN/>
        <w:bidi w:val="0"/>
        <w:adjustRightInd w:val="0"/>
        <w:snapToGrid/>
        <w:spacing w:before="0" w:after="0" w:afterLines="0" w:line="560" w:lineRule="exact"/>
        <w:ind w:left="0" w:firstLine="568" w:firstLineChars="200"/>
        <w:jc w:val="left"/>
        <w:textAlignment w:val="auto"/>
        <w:outlineLvl w:val="9"/>
        <w:rPr>
          <w:rFonts w:ascii="仿宋_GB2312" w:hAnsi="Times New Roman" w:eastAsia="仿宋_GB2312" w:cs="Times New Roman"/>
          <w:snapToGrid/>
          <w:spacing w:val="-8"/>
          <w:kern w:val="0"/>
          <w:sz w:val="30"/>
          <w:lang w:eastAsia="zh-CN"/>
        </w:rPr>
      </w:pPr>
      <w:r>
        <w:rPr>
          <w:rFonts w:ascii="仿宋_GB2312" w:hAnsi="Times New Roman" w:eastAsia="仿宋_GB2312" w:cs="Times New Roman"/>
          <w:snapToGrid/>
          <w:spacing w:val="-8"/>
          <w:kern w:val="0"/>
          <w:sz w:val="30"/>
          <w:lang w:eastAsia="zh-CN"/>
        </w:rPr>
        <w:t>具体指标：设置产出、效益、满意度、成本4个一级</w:t>
      </w:r>
      <w:r>
        <w:rPr>
          <w:rFonts w:hint="eastAsia" w:ascii="仿宋_GB2312" w:hAnsi="Times New Roman" w:eastAsia="仿宋_GB2312" w:cs="Times New Roman"/>
          <w:snapToGrid/>
          <w:spacing w:val="-8"/>
          <w:kern w:val="0"/>
          <w:sz w:val="30"/>
          <w:lang w:eastAsia="zh-CN"/>
        </w:rPr>
        <w:t>指标</w:t>
      </w:r>
      <w:r>
        <w:rPr>
          <w:rFonts w:ascii="仿宋_GB2312" w:hAnsi="Times New Roman" w:eastAsia="仿宋_GB2312" w:cs="Times New Roman"/>
          <w:snapToGrid/>
          <w:spacing w:val="-8"/>
          <w:kern w:val="0"/>
          <w:sz w:val="30"/>
          <w:lang w:eastAsia="zh-CN"/>
        </w:rPr>
        <w:t>，数量、质量、时效、成本、经济效益、社会效益、服务对象满意度5个二级指标，8个三级指标，涵盖补贴发放、就业人数、就业率、满意度等核心内容。自评开展：按要求完成资料梳理、数据统计、实地核查、指标打分等自评工作。</w:t>
      </w:r>
    </w:p>
    <w:p>
      <w:pPr>
        <w:keepNext w:val="0"/>
        <w:keepLines w:val="0"/>
        <w:pageBreakBefore w:val="0"/>
        <w:widowControl/>
        <w:numPr>
          <w:ilvl w:val="0"/>
          <w:numId w:val="0"/>
        </w:numPr>
        <w:wordWrap/>
        <w:overflowPunct/>
        <w:topLinePunct w:val="0"/>
        <w:bidi w:val="0"/>
        <w:adjustRightInd w:val="0"/>
        <w:spacing w:before="0" w:line="560" w:lineRule="exact"/>
        <w:ind w:left="0" w:firstLine="640" w:firstLineChars="200"/>
        <w:jc w:val="left"/>
        <w:outlineLvl w:val="9"/>
        <w:rPr>
          <w:rFonts w:hint="eastAsia" w:cs="Times New Roman"/>
          <w:b w:val="0"/>
          <w:bCs w:val="0"/>
          <w:sz w:val="32"/>
          <w:szCs w:val="44"/>
          <w:lang w:val="en-US" w:eastAsia="zh-CN"/>
        </w:rPr>
      </w:pPr>
      <w:r>
        <w:rPr>
          <w:rFonts w:hint="eastAsia" w:cs="Times New Roman"/>
          <w:b w:val="0"/>
          <w:bCs w:val="0"/>
          <w:sz w:val="32"/>
          <w:szCs w:val="44"/>
          <w:lang w:eastAsia="zh-CN"/>
        </w:rPr>
        <w:t>二、</w:t>
      </w:r>
      <w:r>
        <w:rPr>
          <w:rFonts w:ascii="Times New Roman" w:hAnsi="Times New Roman" w:eastAsia="黑体" w:cs="Times New Roman"/>
          <w:b w:val="0"/>
          <w:bCs w:val="0"/>
          <w:sz w:val="32"/>
          <w:szCs w:val="44"/>
        </w:rPr>
        <w:t>评价实施</w:t>
      </w:r>
    </w:p>
    <w:p>
      <w:pPr>
        <w:keepNext w:val="0"/>
        <w:keepLines w:val="0"/>
        <w:pageBreakBefore w:val="0"/>
        <w:widowControl/>
        <w:numPr>
          <w:ilvl w:val="0"/>
          <w:numId w:val="0"/>
        </w:numPr>
        <w:wordWrap/>
        <w:overflowPunct/>
        <w:topLinePunct w:val="0"/>
        <w:bidi w:val="0"/>
        <w:adjustRightInd w:val="0"/>
        <w:spacing w:before="0" w:line="560" w:lineRule="exact"/>
        <w:ind w:left="0" w:firstLine="568" w:firstLineChars="200"/>
        <w:jc w:val="left"/>
        <w:outlineLvl w:val="9"/>
        <w:rPr>
          <w:rFonts w:hint="eastAsia" w:ascii="仿宋_GB2312" w:hAnsi="Times New Roman" w:eastAsia="仿宋_GB2312" w:cs="Times New Roman"/>
          <w:snapToGrid/>
          <w:spacing w:val="-8"/>
          <w:kern w:val="0"/>
          <w:sz w:val="30"/>
          <w:lang w:eastAsia="zh-CN"/>
        </w:rPr>
      </w:pPr>
      <w:r>
        <w:rPr>
          <w:rFonts w:hint="eastAsia" w:ascii="仿宋_GB2312" w:hAnsi="Times New Roman" w:eastAsia="仿宋_GB2312" w:cs="Times New Roman"/>
          <w:snapToGrid/>
          <w:spacing w:val="-8"/>
          <w:kern w:val="0"/>
          <w:sz w:val="30"/>
          <w:lang w:eastAsia="zh-CN"/>
        </w:rPr>
        <w:t>（一）</w:t>
      </w:r>
      <w:r>
        <w:rPr>
          <w:rFonts w:ascii="仿宋_GB2312" w:hAnsi="Times New Roman" w:eastAsia="仿宋_GB2312" w:cs="Times New Roman"/>
          <w:snapToGrid/>
          <w:spacing w:val="-8"/>
          <w:kern w:val="0"/>
          <w:sz w:val="30"/>
          <w:lang w:eastAsia="zh-CN"/>
        </w:rPr>
        <w:t>评价目的。全面核查资金使用、项目实施、绩效目标完成情况，客观评价就业创业补助专项资金的经济性、效率性、效益性，为资金优化配置、就业创业政策完善提供科学依据。</w:t>
      </w:r>
    </w:p>
    <w:p>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left="0" w:firstLine="568" w:firstLineChars="200"/>
        <w:jc w:val="left"/>
        <w:textAlignment w:val="auto"/>
        <w:outlineLvl w:val="9"/>
        <w:rPr>
          <w:rFonts w:hint="eastAsia" w:ascii="仿宋_GB2312" w:hAnsi="Times New Roman" w:eastAsia="仿宋_GB2312" w:cs="Times New Roman"/>
          <w:snapToGrid/>
          <w:spacing w:val="-8"/>
          <w:kern w:val="0"/>
          <w:sz w:val="30"/>
          <w:lang w:eastAsia="zh-CN"/>
        </w:rPr>
      </w:pPr>
      <w:r>
        <w:rPr>
          <w:rFonts w:hint="eastAsia" w:ascii="仿宋_GB2312" w:hAnsi="Times New Roman" w:eastAsia="仿宋_GB2312" w:cs="Times New Roman"/>
          <w:snapToGrid/>
          <w:spacing w:val="-8"/>
          <w:kern w:val="0"/>
          <w:sz w:val="30"/>
          <w:lang w:eastAsia="zh-CN"/>
        </w:rPr>
        <w:t>（二）预设问题及评价重点。预设问题：预算执行是否到位、资金使用是否合规、绩效目标是否完成、群众满意度是否达标。</w:t>
      </w:r>
    </w:p>
    <w:p>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left="0" w:leftChars="0" w:firstLine="568" w:firstLineChars="200"/>
        <w:jc w:val="left"/>
        <w:textAlignment w:val="auto"/>
        <w:outlineLvl w:val="9"/>
        <w:rPr>
          <w:rFonts w:hint="eastAsia" w:ascii="仿宋_GB2312" w:hAnsi="Times New Roman" w:eastAsia="仿宋_GB2312" w:cs="Times New Roman"/>
          <w:snapToGrid/>
          <w:spacing w:val="-8"/>
          <w:kern w:val="0"/>
          <w:sz w:val="30"/>
          <w:lang w:eastAsia="zh-CN"/>
        </w:rPr>
      </w:pPr>
      <w:r>
        <w:rPr>
          <w:rFonts w:hint="eastAsia" w:ascii="仿宋_GB2312" w:hAnsi="Times New Roman" w:eastAsia="仿宋_GB2312" w:cs="Times New Roman"/>
          <w:snapToGrid/>
          <w:spacing w:val="-8"/>
          <w:kern w:val="0"/>
          <w:sz w:val="30"/>
          <w:lang w:eastAsia="zh-CN"/>
        </w:rPr>
        <w:t>（三）评价重点：资金管理、补贴发放、就业帮扶成效、制度执行、服务对象满意度。</w:t>
      </w:r>
    </w:p>
    <w:p>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left="0" w:firstLine="568" w:firstLineChars="200"/>
        <w:jc w:val="left"/>
        <w:textAlignment w:val="auto"/>
        <w:outlineLvl w:val="9"/>
        <w:rPr>
          <w:rFonts w:hint="eastAsia" w:ascii="仿宋_GB2312" w:hAnsi="Times New Roman" w:eastAsia="仿宋_GB2312" w:cs="Times New Roman"/>
          <w:snapToGrid/>
          <w:spacing w:val="-8"/>
          <w:kern w:val="0"/>
          <w:sz w:val="30"/>
          <w:lang w:eastAsia="zh-CN"/>
        </w:rPr>
      </w:pPr>
      <w:r>
        <w:rPr>
          <w:rFonts w:hint="eastAsia" w:ascii="仿宋_GB2312" w:hAnsi="Times New Roman" w:eastAsia="仿宋_GB2312" w:cs="Times New Roman"/>
          <w:snapToGrid/>
          <w:spacing w:val="-8"/>
          <w:kern w:val="0"/>
          <w:sz w:val="30"/>
          <w:lang w:eastAsia="zh-CN"/>
        </w:rPr>
        <w:t>（四）评价选点。本次自评无额外选点，全覆盖项目实施及资金使用全流程。</w:t>
      </w:r>
    </w:p>
    <w:p>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left="0" w:leftChars="0" w:firstLine="568" w:firstLineChars="200"/>
        <w:jc w:val="left"/>
        <w:textAlignment w:val="auto"/>
        <w:outlineLvl w:val="9"/>
        <w:rPr>
          <w:rFonts w:hint="eastAsia" w:ascii="仿宋_GB2312" w:hAnsi="Times New Roman" w:eastAsia="仿宋_GB2312" w:cs="Times New Roman"/>
          <w:snapToGrid/>
          <w:spacing w:val="-8"/>
          <w:kern w:val="0"/>
          <w:sz w:val="30"/>
          <w:lang w:eastAsia="zh-CN"/>
        </w:rPr>
      </w:pPr>
      <w:r>
        <w:rPr>
          <w:rFonts w:hint="eastAsia" w:ascii="仿宋_GB2312" w:hAnsi="Times New Roman" w:eastAsia="仿宋_GB2312" w:cs="Times New Roman"/>
          <w:snapToGrid/>
          <w:spacing w:val="-8"/>
          <w:kern w:val="0"/>
          <w:sz w:val="30"/>
          <w:lang w:eastAsia="zh-CN"/>
        </w:rPr>
        <w:t>（五）评价方法。采用案卷研究法、实地勘察法、问卷调查法、单位自评法、座谈调研法，结合财务凭证、业务台账、受益对象访谈开展评价。</w:t>
      </w:r>
    </w:p>
    <w:p>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left="0" w:leftChars="0" w:firstLine="568" w:firstLineChars="200"/>
        <w:jc w:val="left"/>
        <w:textAlignment w:val="auto"/>
        <w:outlineLvl w:val="9"/>
        <w:rPr>
          <w:rFonts w:hint="eastAsia" w:ascii="仿宋_GB2312" w:hAnsi="Times New Roman" w:eastAsia="仿宋_GB2312" w:cs="Times New Roman"/>
          <w:snapToGrid/>
          <w:spacing w:val="-8"/>
          <w:kern w:val="0"/>
          <w:sz w:val="30"/>
          <w:lang w:eastAsia="zh-CN"/>
        </w:rPr>
      </w:pPr>
      <w:r>
        <w:rPr>
          <w:rFonts w:hint="eastAsia" w:ascii="仿宋_GB2312" w:hAnsi="Times New Roman" w:eastAsia="仿宋_GB2312" w:cs="Times New Roman"/>
          <w:snapToGrid/>
          <w:spacing w:val="-8"/>
          <w:kern w:val="0"/>
          <w:sz w:val="30"/>
          <w:lang w:eastAsia="zh-CN"/>
        </w:rPr>
        <w:t>（六）评价组织。成立由单位负责人、财务人员、业务骨干组成的自评小组，明确分工：业务股室负责数据统计，财务股室负责资金核查，综合股室负责报告撰写。</w:t>
      </w:r>
    </w:p>
    <w:p>
      <w:pPr>
        <w:keepNext w:val="0"/>
        <w:keepLines w:val="0"/>
        <w:pageBreakBefore w:val="0"/>
        <w:widowControl/>
        <w:numPr>
          <w:ilvl w:val="0"/>
          <w:numId w:val="0"/>
        </w:numPr>
        <w:wordWrap/>
        <w:overflowPunct/>
        <w:topLinePunct w:val="0"/>
        <w:bidi w:val="0"/>
        <w:adjustRightInd w:val="0"/>
        <w:spacing w:before="0" w:line="560" w:lineRule="exact"/>
        <w:ind w:left="0" w:leftChars="0" w:firstLine="640" w:firstLineChars="200"/>
        <w:jc w:val="left"/>
        <w:outlineLvl w:val="9"/>
        <w:rPr>
          <w:rFonts w:hint="eastAsia" w:eastAsia="黑体"/>
          <w:b w:val="0"/>
          <w:bCs w:val="0"/>
          <w:sz w:val="32"/>
          <w:szCs w:val="44"/>
        </w:rPr>
      </w:pPr>
      <w:r>
        <w:rPr>
          <w:rFonts w:hint="eastAsia" w:cs="Times New Roman"/>
          <w:b w:val="0"/>
          <w:bCs w:val="0"/>
          <w:sz w:val="32"/>
          <w:szCs w:val="44"/>
          <w:lang w:eastAsia="zh-CN"/>
        </w:rPr>
        <w:t>三、</w:t>
      </w:r>
      <w:r>
        <w:rPr>
          <w:rFonts w:ascii="Times New Roman" w:hAnsi="Times New Roman" w:eastAsia="黑体" w:cs="Times New Roman"/>
          <w:b w:val="0"/>
          <w:bCs w:val="0"/>
          <w:sz w:val="32"/>
          <w:szCs w:val="44"/>
        </w:rPr>
        <w:t>绩效分析</w:t>
      </w:r>
    </w:p>
    <w:p>
      <w:pPr>
        <w:pStyle w:val="5"/>
        <w:keepNext w:val="0"/>
        <w:keepLines w:val="0"/>
        <w:pageBreakBefore w:val="0"/>
        <w:widowControl/>
        <w:wordWrap/>
        <w:overflowPunct/>
        <w:topLinePunct w:val="0"/>
        <w:bidi w:val="0"/>
        <w:adjustRightInd w:val="0"/>
        <w:spacing w:before="0" w:after="0" w:afterLines="0" w:line="560" w:lineRule="exact"/>
        <w:ind w:left="0" w:firstLine="568" w:firstLineChars="200"/>
        <w:jc w:val="left"/>
        <w:outlineLvl w:val="9"/>
        <w:rPr>
          <w:rFonts w:hint="eastAsia" w:ascii="仿宋_GB2312" w:hAnsi="Times New Roman" w:eastAsia="仿宋_GB2312" w:cs="Times New Roman"/>
          <w:snapToGrid/>
          <w:color w:val="000000"/>
          <w:spacing w:val="-8"/>
          <w:kern w:val="0"/>
          <w:sz w:val="30"/>
          <w:szCs w:val="21"/>
          <w:lang w:val="en-US" w:eastAsia="zh-CN" w:bidi="ar-SA"/>
        </w:rPr>
      </w:pPr>
      <w:r>
        <w:rPr>
          <w:rFonts w:hint="eastAsia" w:ascii="仿宋_GB2312" w:hAnsi="Times New Roman" w:eastAsia="仿宋_GB2312" w:cs="Times New Roman"/>
          <w:snapToGrid/>
          <w:color w:val="000000"/>
          <w:spacing w:val="-8"/>
          <w:kern w:val="0"/>
          <w:sz w:val="30"/>
          <w:szCs w:val="21"/>
          <w:lang w:val="en-US" w:eastAsia="zh-CN" w:bidi="ar-SA"/>
        </w:rPr>
        <w:t>根据项目预算绩效评价指标体系“通用指标”“专用指标”“个性指标”涉及二、三级指标进行逐项绩效分析并评分。</w:t>
      </w:r>
    </w:p>
    <w:p>
      <w:pPr>
        <w:pStyle w:val="5"/>
        <w:keepNext w:val="0"/>
        <w:keepLines w:val="0"/>
        <w:pageBreakBefore w:val="0"/>
        <w:widowControl/>
        <w:numPr>
          <w:ilvl w:val="0"/>
          <w:numId w:val="2"/>
        </w:numPr>
        <w:wordWrap/>
        <w:overflowPunct/>
        <w:topLinePunct w:val="0"/>
        <w:bidi w:val="0"/>
        <w:adjustRightInd w:val="0"/>
        <w:spacing w:before="0" w:after="0" w:afterLines="0" w:line="560" w:lineRule="exact"/>
        <w:ind w:left="0" w:leftChars="0" w:firstLine="568" w:firstLineChars="200"/>
        <w:jc w:val="left"/>
        <w:outlineLvl w:val="9"/>
        <w:rPr>
          <w:rFonts w:hint="eastAsia" w:ascii="仿宋_GB2312" w:hAnsi="Times New Roman" w:eastAsia="仿宋_GB2312" w:cs="Times New Roman"/>
          <w:snapToGrid/>
          <w:color w:val="000000"/>
          <w:spacing w:val="-8"/>
          <w:kern w:val="0"/>
          <w:sz w:val="30"/>
          <w:szCs w:val="21"/>
          <w:lang w:val="en-US" w:eastAsia="zh-CN" w:bidi="ar-SA"/>
        </w:rPr>
      </w:pPr>
      <w:r>
        <w:rPr>
          <w:rFonts w:hint="eastAsia" w:ascii="仿宋_GB2312" w:hAnsi="Times New Roman" w:eastAsia="仿宋_GB2312" w:cs="Times New Roman"/>
          <w:snapToGrid/>
          <w:color w:val="000000"/>
          <w:spacing w:val="-8"/>
          <w:kern w:val="0"/>
          <w:sz w:val="30"/>
          <w:szCs w:val="21"/>
          <w:lang w:val="en-US" w:eastAsia="zh-CN" w:bidi="ar-SA"/>
        </w:rPr>
        <w:t>通用指标绩效分析。</w:t>
      </w:r>
    </w:p>
    <w:p>
      <w:pPr>
        <w:pStyle w:val="5"/>
        <w:keepNext w:val="0"/>
        <w:keepLines w:val="0"/>
        <w:pageBreakBefore w:val="0"/>
        <w:widowControl/>
        <w:numPr>
          <w:ilvl w:val="0"/>
          <w:numId w:val="3"/>
        </w:numPr>
        <w:wordWrap/>
        <w:overflowPunct/>
        <w:topLinePunct w:val="0"/>
        <w:bidi w:val="0"/>
        <w:adjustRightInd w:val="0"/>
        <w:spacing w:before="0" w:after="0" w:afterLines="0" w:line="560" w:lineRule="exact"/>
        <w:ind w:left="0" w:leftChars="0" w:firstLine="568" w:firstLineChars="200"/>
        <w:jc w:val="left"/>
        <w:outlineLvl w:val="9"/>
        <w:rPr>
          <w:rFonts w:hint="eastAsia" w:ascii="仿宋_GB2312" w:hAnsi="Times New Roman" w:eastAsia="仿宋_GB2312" w:cs="Times New Roman"/>
          <w:snapToGrid/>
          <w:color w:val="000000"/>
          <w:spacing w:val="-8"/>
          <w:kern w:val="0"/>
          <w:sz w:val="30"/>
          <w:szCs w:val="21"/>
          <w:lang w:val="en-US" w:eastAsia="zh-CN" w:bidi="ar-SA"/>
        </w:rPr>
      </w:pPr>
      <w:r>
        <w:rPr>
          <w:rFonts w:hint="eastAsia" w:ascii="仿宋_GB2312" w:hAnsi="Times New Roman" w:eastAsia="仿宋_GB2312" w:cs="Times New Roman"/>
          <w:snapToGrid/>
          <w:color w:val="000000"/>
          <w:spacing w:val="-8"/>
          <w:kern w:val="0"/>
          <w:sz w:val="30"/>
          <w:szCs w:val="21"/>
          <w:lang w:val="en-US" w:eastAsia="zh-CN" w:bidi="ar-SA"/>
        </w:rPr>
        <w:t>项目决策。项目决策流程规范、程序严密，符合财政资金管理要求。</w:t>
      </w:r>
    </w:p>
    <w:p>
      <w:pPr>
        <w:pStyle w:val="5"/>
        <w:keepNext w:val="0"/>
        <w:keepLines w:val="0"/>
        <w:pageBreakBefore w:val="0"/>
        <w:widowControl/>
        <w:numPr>
          <w:ilvl w:val="0"/>
          <w:numId w:val="3"/>
        </w:numPr>
        <w:wordWrap/>
        <w:overflowPunct/>
        <w:topLinePunct w:val="0"/>
        <w:bidi w:val="0"/>
        <w:adjustRightInd w:val="0"/>
        <w:spacing w:before="0" w:after="0" w:afterLines="0" w:line="560" w:lineRule="exact"/>
        <w:ind w:left="0" w:leftChars="0" w:firstLine="568" w:firstLineChars="200"/>
        <w:jc w:val="left"/>
        <w:outlineLvl w:val="9"/>
        <w:rPr>
          <w:rFonts w:hint="eastAsia" w:ascii="仿宋_GB2312" w:hAnsi="Times New Roman" w:eastAsia="仿宋_GB2312" w:cs="Times New Roman"/>
          <w:snapToGrid/>
          <w:color w:val="000000"/>
          <w:spacing w:val="-8"/>
          <w:kern w:val="0"/>
          <w:sz w:val="30"/>
          <w:szCs w:val="21"/>
          <w:lang w:val="en-US" w:eastAsia="zh-CN" w:bidi="ar-SA"/>
        </w:rPr>
      </w:pPr>
      <w:r>
        <w:rPr>
          <w:rFonts w:hint="eastAsia" w:ascii="仿宋_GB2312" w:hAnsi="Times New Roman" w:eastAsia="仿宋_GB2312" w:cs="Times New Roman"/>
          <w:snapToGrid/>
          <w:color w:val="000000"/>
          <w:spacing w:val="-8"/>
          <w:kern w:val="0"/>
          <w:sz w:val="30"/>
          <w:szCs w:val="21"/>
          <w:lang w:val="en-US" w:eastAsia="zh-CN" w:bidi="ar-SA"/>
        </w:rPr>
        <w:t>项目管理。资金拨付、项目实施严格遵守财经纪律及管理规定，专款专用、合规高效。</w:t>
      </w:r>
    </w:p>
    <w:p>
      <w:pPr>
        <w:pStyle w:val="5"/>
        <w:keepNext w:val="0"/>
        <w:keepLines w:val="0"/>
        <w:pageBreakBefore w:val="0"/>
        <w:widowControl/>
        <w:numPr>
          <w:ilvl w:val="0"/>
          <w:numId w:val="3"/>
        </w:numPr>
        <w:wordWrap/>
        <w:overflowPunct/>
        <w:topLinePunct w:val="0"/>
        <w:bidi w:val="0"/>
        <w:adjustRightInd w:val="0"/>
        <w:spacing w:before="0" w:after="0" w:afterLines="0" w:line="560" w:lineRule="exact"/>
        <w:ind w:left="0" w:leftChars="0" w:firstLine="568" w:firstLineChars="200"/>
        <w:jc w:val="left"/>
        <w:outlineLvl w:val="9"/>
        <w:rPr>
          <w:rFonts w:hint="eastAsia" w:ascii="仿宋_GB2312" w:hAnsi="Times New Roman" w:eastAsia="仿宋_GB2312" w:cs="Times New Roman"/>
          <w:snapToGrid/>
          <w:color w:val="000000"/>
          <w:spacing w:val="-8"/>
          <w:kern w:val="0"/>
          <w:sz w:val="30"/>
          <w:szCs w:val="21"/>
          <w:lang w:val="en-US" w:eastAsia="zh-CN" w:bidi="ar-SA"/>
        </w:rPr>
      </w:pPr>
      <w:r>
        <w:rPr>
          <w:rFonts w:hint="eastAsia" w:ascii="仿宋_GB2312" w:hAnsi="Times New Roman" w:eastAsia="仿宋_GB2312" w:cs="Times New Roman"/>
          <w:snapToGrid/>
          <w:color w:val="000000"/>
          <w:spacing w:val="-8"/>
          <w:kern w:val="0"/>
          <w:sz w:val="30"/>
          <w:szCs w:val="21"/>
          <w:lang w:val="en-US" w:eastAsia="zh-CN" w:bidi="ar-SA"/>
        </w:rPr>
        <w:t>项目实施。</w:t>
      </w:r>
    </w:p>
    <w:p>
      <w:pPr>
        <w:pStyle w:val="5"/>
        <w:keepNext w:val="0"/>
        <w:keepLines w:val="0"/>
        <w:pageBreakBefore w:val="0"/>
        <w:widowControl/>
        <w:wordWrap/>
        <w:overflowPunct/>
        <w:topLinePunct w:val="0"/>
        <w:bidi w:val="0"/>
        <w:adjustRightInd w:val="0"/>
        <w:spacing w:before="0" w:after="0" w:afterLines="0" w:line="560" w:lineRule="exact"/>
        <w:ind w:left="0" w:firstLine="568" w:firstLineChars="200"/>
        <w:jc w:val="left"/>
        <w:outlineLvl w:val="9"/>
        <w:rPr>
          <w:rFonts w:hint="eastAsia" w:ascii="仿宋_GB2312" w:hAnsi="Times New Roman" w:eastAsia="仿宋_GB2312" w:cs="Times New Roman"/>
          <w:snapToGrid/>
          <w:color w:val="000000"/>
          <w:spacing w:val="-8"/>
          <w:kern w:val="0"/>
          <w:sz w:val="30"/>
          <w:szCs w:val="21"/>
          <w:lang w:val="en-US" w:eastAsia="zh-CN" w:bidi="ar-SA"/>
        </w:rPr>
      </w:pPr>
      <w:r>
        <w:rPr>
          <w:rFonts w:hint="eastAsia" w:ascii="仿宋_GB2312" w:hAnsi="Times New Roman" w:eastAsia="仿宋_GB2312" w:cs="Times New Roman"/>
          <w:snapToGrid/>
          <w:color w:val="000000"/>
          <w:spacing w:val="-8"/>
          <w:kern w:val="0"/>
          <w:sz w:val="30"/>
          <w:szCs w:val="21"/>
          <w:lang w:val="en-US" w:eastAsia="zh-CN" w:bidi="ar-SA"/>
        </w:rPr>
        <w:t>享受公益性岗位补贴人数：目标≥100人，实际267人</w:t>
      </w:r>
    </w:p>
    <w:p>
      <w:pPr>
        <w:pStyle w:val="5"/>
        <w:keepNext w:val="0"/>
        <w:keepLines w:val="0"/>
        <w:pageBreakBefore w:val="0"/>
        <w:widowControl/>
        <w:wordWrap/>
        <w:overflowPunct/>
        <w:topLinePunct w:val="0"/>
        <w:bidi w:val="0"/>
        <w:adjustRightInd w:val="0"/>
        <w:spacing w:before="0" w:after="0" w:afterLines="0" w:line="560" w:lineRule="exact"/>
        <w:ind w:left="0" w:firstLine="568" w:firstLineChars="200"/>
        <w:jc w:val="left"/>
        <w:outlineLvl w:val="9"/>
        <w:rPr>
          <w:rFonts w:hint="eastAsia" w:ascii="仿宋_GB2312" w:hAnsi="Times New Roman" w:eastAsia="仿宋_GB2312" w:cs="Times New Roman"/>
          <w:snapToGrid/>
          <w:color w:val="000000"/>
          <w:spacing w:val="-8"/>
          <w:kern w:val="0"/>
          <w:sz w:val="30"/>
          <w:szCs w:val="21"/>
          <w:lang w:val="en-US" w:eastAsia="zh-CN" w:bidi="ar-SA"/>
        </w:rPr>
      </w:pPr>
      <w:r>
        <w:rPr>
          <w:rFonts w:hint="eastAsia" w:ascii="仿宋_GB2312" w:hAnsi="Times New Roman" w:eastAsia="仿宋_GB2312" w:cs="Times New Roman"/>
          <w:snapToGrid/>
          <w:color w:val="000000"/>
          <w:spacing w:val="-8"/>
          <w:kern w:val="0"/>
          <w:sz w:val="30"/>
          <w:szCs w:val="21"/>
          <w:lang w:val="en-US" w:eastAsia="zh-CN" w:bidi="ar-SA"/>
        </w:rPr>
        <w:t>享受见习补贴人数：目标≥20人，实际34人</w:t>
      </w:r>
    </w:p>
    <w:p>
      <w:pPr>
        <w:pStyle w:val="5"/>
        <w:keepNext w:val="0"/>
        <w:keepLines w:val="0"/>
        <w:pageBreakBefore w:val="0"/>
        <w:widowControl/>
        <w:wordWrap/>
        <w:overflowPunct/>
        <w:topLinePunct w:val="0"/>
        <w:bidi w:val="0"/>
        <w:adjustRightInd w:val="0"/>
        <w:spacing w:before="0" w:after="0" w:afterLines="0" w:line="560" w:lineRule="exact"/>
        <w:ind w:left="0" w:firstLine="568" w:firstLineChars="200"/>
        <w:jc w:val="left"/>
        <w:outlineLvl w:val="9"/>
        <w:rPr>
          <w:rFonts w:hint="eastAsia" w:ascii="仿宋_GB2312" w:hAnsi="Times New Roman" w:eastAsia="仿宋_GB2312" w:cs="Times New Roman"/>
          <w:snapToGrid/>
          <w:color w:val="000000"/>
          <w:spacing w:val="-8"/>
          <w:kern w:val="0"/>
          <w:sz w:val="30"/>
          <w:szCs w:val="21"/>
          <w:lang w:val="en-US" w:eastAsia="zh-CN" w:bidi="ar-SA"/>
        </w:rPr>
      </w:pPr>
      <w:r>
        <w:rPr>
          <w:rFonts w:hint="eastAsia" w:ascii="仿宋_GB2312" w:hAnsi="Times New Roman" w:eastAsia="仿宋_GB2312" w:cs="Times New Roman"/>
          <w:snapToGrid/>
          <w:color w:val="000000"/>
          <w:spacing w:val="-8"/>
          <w:kern w:val="0"/>
          <w:sz w:val="30"/>
          <w:szCs w:val="21"/>
          <w:lang w:val="en-US" w:eastAsia="zh-CN" w:bidi="ar-SA"/>
        </w:rPr>
        <w:t>资金拨付准确率：目标≥95%，实际100%</w:t>
      </w:r>
    </w:p>
    <w:p>
      <w:pPr>
        <w:pStyle w:val="5"/>
        <w:keepNext w:val="0"/>
        <w:keepLines w:val="0"/>
        <w:pageBreakBefore w:val="0"/>
        <w:widowControl/>
        <w:wordWrap/>
        <w:overflowPunct/>
        <w:topLinePunct w:val="0"/>
        <w:bidi w:val="0"/>
        <w:adjustRightInd w:val="0"/>
        <w:spacing w:before="0" w:after="0" w:afterLines="0" w:line="560" w:lineRule="exact"/>
        <w:ind w:left="0" w:firstLine="568" w:firstLineChars="200"/>
        <w:jc w:val="left"/>
        <w:outlineLvl w:val="9"/>
        <w:rPr>
          <w:rFonts w:hint="eastAsia" w:ascii="仿宋_GB2312" w:hAnsi="Times New Roman" w:eastAsia="仿宋_GB2312" w:cs="Times New Roman"/>
          <w:snapToGrid/>
          <w:color w:val="000000"/>
          <w:spacing w:val="-8"/>
          <w:kern w:val="0"/>
          <w:sz w:val="30"/>
          <w:szCs w:val="21"/>
          <w:lang w:val="en-US" w:eastAsia="zh-CN" w:bidi="ar-SA"/>
        </w:rPr>
      </w:pPr>
      <w:r>
        <w:rPr>
          <w:rFonts w:hint="eastAsia" w:ascii="仿宋_GB2312" w:hAnsi="Times New Roman" w:eastAsia="仿宋_GB2312" w:cs="Times New Roman"/>
          <w:snapToGrid/>
          <w:color w:val="000000"/>
          <w:spacing w:val="-8"/>
          <w:kern w:val="0"/>
          <w:sz w:val="30"/>
          <w:szCs w:val="21"/>
          <w:lang w:val="en-US" w:eastAsia="zh-CN" w:bidi="ar-SA"/>
        </w:rPr>
        <w:t>城镇新增就业人数：目标≥200人，实际300人</w:t>
      </w:r>
    </w:p>
    <w:p>
      <w:pPr>
        <w:pStyle w:val="5"/>
        <w:keepNext w:val="0"/>
        <w:keepLines w:val="0"/>
        <w:pageBreakBefore w:val="0"/>
        <w:widowControl/>
        <w:wordWrap/>
        <w:overflowPunct/>
        <w:topLinePunct w:val="0"/>
        <w:bidi w:val="0"/>
        <w:adjustRightInd w:val="0"/>
        <w:spacing w:before="0" w:after="0" w:afterLines="0" w:line="560" w:lineRule="exact"/>
        <w:ind w:left="0" w:firstLine="568" w:firstLineChars="200"/>
        <w:jc w:val="left"/>
        <w:outlineLvl w:val="9"/>
        <w:rPr>
          <w:rFonts w:hint="eastAsia" w:ascii="仿宋_GB2312" w:hAnsi="Times New Roman" w:eastAsia="仿宋_GB2312" w:cs="Times New Roman"/>
          <w:snapToGrid/>
          <w:color w:val="000000"/>
          <w:spacing w:val="-8"/>
          <w:kern w:val="0"/>
          <w:sz w:val="30"/>
          <w:szCs w:val="21"/>
          <w:lang w:val="en-US" w:eastAsia="zh-CN" w:bidi="ar-SA"/>
        </w:rPr>
      </w:pPr>
      <w:r>
        <w:rPr>
          <w:rFonts w:hint="eastAsia" w:ascii="仿宋_GB2312" w:hAnsi="Times New Roman" w:eastAsia="仿宋_GB2312" w:cs="Times New Roman"/>
          <w:snapToGrid/>
          <w:color w:val="000000"/>
          <w:spacing w:val="-8"/>
          <w:kern w:val="0"/>
          <w:sz w:val="30"/>
          <w:szCs w:val="21"/>
          <w:lang w:val="en-US" w:eastAsia="zh-CN" w:bidi="ar-SA"/>
        </w:rPr>
        <w:t>失业人员再就业人数：目标≥10人，实际15人</w:t>
      </w:r>
    </w:p>
    <w:p>
      <w:pPr>
        <w:pStyle w:val="5"/>
        <w:keepNext w:val="0"/>
        <w:keepLines w:val="0"/>
        <w:pageBreakBefore w:val="0"/>
        <w:widowControl/>
        <w:wordWrap/>
        <w:overflowPunct/>
        <w:topLinePunct w:val="0"/>
        <w:bidi w:val="0"/>
        <w:adjustRightInd w:val="0"/>
        <w:spacing w:before="0" w:after="0" w:afterLines="0" w:line="560" w:lineRule="exact"/>
        <w:ind w:left="0" w:firstLine="568" w:firstLineChars="200"/>
        <w:jc w:val="left"/>
        <w:outlineLvl w:val="9"/>
        <w:rPr>
          <w:rFonts w:hint="eastAsia" w:ascii="仿宋_GB2312" w:hAnsi="Times New Roman" w:eastAsia="仿宋_GB2312" w:cs="Times New Roman"/>
          <w:snapToGrid/>
          <w:color w:val="000000"/>
          <w:spacing w:val="-8"/>
          <w:kern w:val="0"/>
          <w:sz w:val="30"/>
          <w:szCs w:val="21"/>
          <w:lang w:val="en-US" w:eastAsia="zh-CN" w:bidi="ar-SA"/>
        </w:rPr>
      </w:pPr>
      <w:r>
        <w:rPr>
          <w:rFonts w:hint="eastAsia" w:ascii="仿宋_GB2312" w:hAnsi="Times New Roman" w:eastAsia="仿宋_GB2312" w:cs="Times New Roman"/>
          <w:snapToGrid/>
          <w:color w:val="000000"/>
          <w:spacing w:val="-8"/>
          <w:kern w:val="0"/>
          <w:sz w:val="30"/>
          <w:szCs w:val="21"/>
          <w:lang w:val="en-US" w:eastAsia="zh-CN" w:bidi="ar-SA"/>
        </w:rPr>
        <w:t>就业政策满意度：目标≥95%，实际96%</w:t>
      </w:r>
    </w:p>
    <w:p>
      <w:pPr>
        <w:pStyle w:val="5"/>
        <w:keepNext w:val="0"/>
        <w:keepLines w:val="0"/>
        <w:pageBreakBefore w:val="0"/>
        <w:widowControl/>
        <w:wordWrap/>
        <w:overflowPunct/>
        <w:topLinePunct w:val="0"/>
        <w:bidi w:val="0"/>
        <w:adjustRightInd w:val="0"/>
        <w:spacing w:before="0" w:after="0" w:afterLines="0" w:line="560" w:lineRule="exact"/>
        <w:ind w:left="0" w:firstLine="568" w:firstLineChars="200"/>
        <w:jc w:val="left"/>
        <w:outlineLvl w:val="9"/>
        <w:rPr>
          <w:rFonts w:hint="eastAsia" w:ascii="仿宋_GB2312" w:hAnsi="Times New Roman" w:eastAsia="仿宋_GB2312" w:cs="Times New Roman"/>
          <w:snapToGrid/>
          <w:color w:val="000000"/>
          <w:spacing w:val="-8"/>
          <w:kern w:val="0"/>
          <w:sz w:val="30"/>
          <w:szCs w:val="21"/>
          <w:lang w:val="en-US" w:eastAsia="zh-CN" w:bidi="ar-SA"/>
        </w:rPr>
      </w:pPr>
      <w:r>
        <w:rPr>
          <w:rFonts w:hint="eastAsia" w:ascii="仿宋_GB2312" w:hAnsi="Times New Roman" w:eastAsia="仿宋_GB2312" w:cs="Times New Roman"/>
          <w:snapToGrid/>
          <w:color w:val="000000"/>
          <w:spacing w:val="-8"/>
          <w:kern w:val="0"/>
          <w:sz w:val="30"/>
          <w:szCs w:val="21"/>
          <w:lang w:val="en-US" w:eastAsia="zh-CN" w:bidi="ar-SA"/>
        </w:rPr>
        <w:t>公益性岗位/见习岗位补贴标准：均≤2200元/月，严格达标。</w:t>
      </w:r>
    </w:p>
    <w:p>
      <w:pPr>
        <w:pStyle w:val="5"/>
        <w:keepNext w:val="0"/>
        <w:keepLines w:val="0"/>
        <w:pageBreakBefore w:val="0"/>
        <w:widowControl/>
        <w:numPr>
          <w:ilvl w:val="0"/>
          <w:numId w:val="3"/>
        </w:numPr>
        <w:wordWrap/>
        <w:overflowPunct/>
        <w:topLinePunct w:val="0"/>
        <w:bidi w:val="0"/>
        <w:adjustRightInd w:val="0"/>
        <w:spacing w:before="0" w:after="0" w:afterLines="0" w:line="560" w:lineRule="exact"/>
        <w:ind w:left="0" w:leftChars="0" w:firstLine="568" w:firstLineChars="200"/>
        <w:jc w:val="left"/>
        <w:outlineLvl w:val="9"/>
        <w:rPr>
          <w:rFonts w:hint="eastAsia" w:ascii="仿宋_GB2312" w:hAnsi="Times New Roman" w:eastAsia="仿宋_GB2312" w:cs="Times New Roman"/>
          <w:snapToGrid/>
          <w:color w:val="000000"/>
          <w:spacing w:val="-8"/>
          <w:kern w:val="0"/>
          <w:sz w:val="30"/>
          <w:szCs w:val="21"/>
          <w:lang w:val="en-US" w:eastAsia="zh-CN" w:bidi="ar-SA"/>
        </w:rPr>
      </w:pPr>
      <w:r>
        <w:rPr>
          <w:rFonts w:hint="eastAsia" w:ascii="仿宋_GB2312" w:hAnsi="Times New Roman" w:eastAsia="仿宋_GB2312" w:cs="Times New Roman"/>
          <w:snapToGrid/>
          <w:color w:val="000000"/>
          <w:spacing w:val="-8"/>
          <w:kern w:val="0"/>
          <w:sz w:val="30"/>
          <w:szCs w:val="21"/>
          <w:lang w:val="en-US" w:eastAsia="zh-CN" w:bidi="ar-SA"/>
        </w:rPr>
        <w:t>项目结果。坚持以科学发展观为指导，以构建社会主义和谐社会为目标，以贯彻落实就业再就业新政策为主线，以解决就业困难人员再就业、新增劳动力就业和农村转移劳动力就业为重点，以创业培训和再就业培训为抓手，围绕“稳就业”“保就业”工作主线，着力重点群体就业，开展了就业促进民生工程，立足本职，服务大局，取得了显著的成绩。</w:t>
      </w:r>
    </w:p>
    <w:p>
      <w:pPr>
        <w:pStyle w:val="5"/>
        <w:keepNext w:val="0"/>
        <w:keepLines w:val="0"/>
        <w:pageBreakBefore w:val="0"/>
        <w:widowControl/>
        <w:numPr>
          <w:ilvl w:val="0"/>
          <w:numId w:val="2"/>
        </w:numPr>
        <w:wordWrap/>
        <w:overflowPunct/>
        <w:topLinePunct w:val="0"/>
        <w:bidi w:val="0"/>
        <w:adjustRightInd w:val="0"/>
        <w:spacing w:before="0" w:after="0" w:afterLines="0" w:line="560" w:lineRule="exact"/>
        <w:ind w:left="0" w:leftChars="0" w:firstLine="568" w:firstLineChars="200"/>
        <w:jc w:val="left"/>
        <w:outlineLvl w:val="9"/>
        <w:rPr>
          <w:rFonts w:hint="eastAsia" w:ascii="仿宋_GB2312" w:hAnsi="Times New Roman" w:eastAsia="仿宋_GB2312" w:cs="Times New Roman"/>
          <w:snapToGrid/>
          <w:color w:val="000000"/>
          <w:spacing w:val="-8"/>
          <w:kern w:val="0"/>
          <w:sz w:val="30"/>
          <w:szCs w:val="21"/>
          <w:lang w:val="en-US" w:eastAsia="zh-CN" w:bidi="ar-SA"/>
        </w:rPr>
      </w:pPr>
      <w:r>
        <w:rPr>
          <w:rFonts w:hint="eastAsia" w:ascii="仿宋_GB2312" w:hAnsi="Times New Roman" w:eastAsia="仿宋_GB2312" w:cs="Times New Roman"/>
          <w:snapToGrid/>
          <w:color w:val="000000"/>
          <w:spacing w:val="-8"/>
          <w:kern w:val="0"/>
          <w:sz w:val="30"/>
          <w:szCs w:val="21"/>
          <w:lang w:val="en-US" w:eastAsia="zh-CN" w:bidi="ar-SA"/>
        </w:rPr>
        <w:t>专用指标绩效分析。根据专项预算项目资金支持对象选择所属指标进行绩效分析。支持对象包括产业发展、民生保障、基础设施、行政运转等方面。</w:t>
      </w:r>
    </w:p>
    <w:p>
      <w:pPr>
        <w:pStyle w:val="5"/>
        <w:keepNext w:val="0"/>
        <w:keepLines w:val="0"/>
        <w:pageBreakBefore w:val="0"/>
        <w:widowControl/>
        <w:wordWrap/>
        <w:overflowPunct/>
        <w:topLinePunct w:val="0"/>
        <w:bidi w:val="0"/>
        <w:adjustRightInd w:val="0"/>
        <w:spacing w:before="0" w:after="0" w:afterLines="0" w:line="560" w:lineRule="exact"/>
        <w:ind w:left="0" w:firstLine="568" w:firstLineChars="200"/>
        <w:jc w:val="left"/>
        <w:outlineLvl w:val="9"/>
        <w:rPr>
          <w:rFonts w:hint="eastAsia" w:ascii="仿宋_GB2312" w:hAnsi="Times New Roman" w:eastAsia="仿宋_GB2312" w:cs="Times New Roman"/>
          <w:snapToGrid/>
          <w:color w:val="000000"/>
          <w:spacing w:val="-8"/>
          <w:kern w:val="0"/>
          <w:sz w:val="30"/>
          <w:szCs w:val="21"/>
          <w:lang w:val="en-US" w:eastAsia="zh-CN" w:bidi="ar-SA"/>
        </w:rPr>
      </w:pPr>
      <w:r>
        <w:rPr>
          <w:rFonts w:hint="eastAsia" w:ascii="仿宋_GB2312" w:hAnsi="Times New Roman" w:eastAsia="仿宋_GB2312" w:cs="Times New Roman"/>
          <w:snapToGrid/>
          <w:color w:val="000000"/>
          <w:spacing w:val="-8"/>
          <w:kern w:val="0"/>
          <w:sz w:val="30"/>
          <w:szCs w:val="21"/>
          <w:lang w:val="en-US" w:eastAsia="zh-CN" w:bidi="ar-SA"/>
        </w:rPr>
        <w:t>民生保障类。资金分配兼顾县域不同区域就业需求，均衡公平性良好，偏远乡镇扶持力度持续加强。补贴标准严格执行资金管理办法，公益性岗位、见习补贴标准均为2200元/月，及时足额兑现到位。</w:t>
      </w:r>
    </w:p>
    <w:p>
      <w:pPr>
        <w:keepNext w:val="0"/>
        <w:keepLines w:val="0"/>
        <w:pageBreakBefore w:val="0"/>
        <w:widowControl/>
        <w:numPr>
          <w:ilvl w:val="0"/>
          <w:numId w:val="0"/>
        </w:numPr>
        <w:wordWrap/>
        <w:overflowPunct/>
        <w:topLinePunct w:val="0"/>
        <w:bidi w:val="0"/>
        <w:adjustRightInd w:val="0"/>
        <w:spacing w:before="0" w:line="560" w:lineRule="exact"/>
        <w:ind w:left="0" w:leftChars="0" w:firstLine="640" w:firstLineChars="200"/>
        <w:jc w:val="left"/>
        <w:outlineLvl w:val="9"/>
        <w:rPr>
          <w:rFonts w:hint="eastAsia" w:eastAsia="黑体"/>
          <w:b w:val="0"/>
          <w:bCs w:val="0"/>
          <w:sz w:val="32"/>
          <w:szCs w:val="44"/>
        </w:rPr>
      </w:pPr>
      <w:r>
        <w:rPr>
          <w:rFonts w:hint="eastAsia" w:cs="Times New Roman"/>
          <w:b w:val="0"/>
          <w:bCs w:val="0"/>
          <w:sz w:val="32"/>
          <w:szCs w:val="44"/>
          <w:lang w:eastAsia="zh-CN"/>
        </w:rPr>
        <w:t>四、</w:t>
      </w:r>
      <w:r>
        <w:rPr>
          <w:rFonts w:ascii="Times New Roman" w:hAnsi="Times New Roman" w:eastAsia="黑体" w:cs="Times New Roman"/>
          <w:b w:val="0"/>
          <w:bCs w:val="0"/>
          <w:sz w:val="32"/>
          <w:szCs w:val="44"/>
        </w:rPr>
        <w:t>评价结论</w:t>
      </w:r>
    </w:p>
    <w:p>
      <w:pPr>
        <w:pStyle w:val="5"/>
        <w:keepNext w:val="0"/>
        <w:keepLines w:val="0"/>
        <w:pageBreakBefore w:val="0"/>
        <w:widowControl/>
        <w:wordWrap/>
        <w:overflowPunct/>
        <w:topLinePunct w:val="0"/>
        <w:bidi w:val="0"/>
        <w:adjustRightInd w:val="0"/>
        <w:spacing w:before="0" w:after="0" w:afterLines="0" w:line="560" w:lineRule="exact"/>
        <w:ind w:left="0" w:firstLine="568" w:firstLineChars="200"/>
        <w:jc w:val="left"/>
        <w:outlineLvl w:val="9"/>
        <w:rPr>
          <w:rFonts w:hint="eastAsia" w:ascii="仿宋_GB2312" w:hAnsi="Times New Roman" w:eastAsia="仿宋_GB2312" w:cs="Times New Roman"/>
          <w:snapToGrid/>
          <w:color w:val="000000"/>
          <w:spacing w:val="-8"/>
          <w:kern w:val="0"/>
          <w:sz w:val="30"/>
          <w:szCs w:val="21"/>
          <w:lang w:val="en-US" w:eastAsia="zh-CN" w:bidi="ar-SA"/>
        </w:rPr>
      </w:pPr>
      <w:r>
        <w:rPr>
          <w:rFonts w:hint="eastAsia" w:ascii="仿宋_GB2312" w:hAnsi="Times New Roman" w:eastAsia="仿宋_GB2312" w:cs="Times New Roman"/>
          <w:snapToGrid/>
          <w:color w:val="000000"/>
          <w:spacing w:val="-8"/>
          <w:kern w:val="0"/>
          <w:sz w:val="30"/>
          <w:szCs w:val="21"/>
          <w:lang w:val="en-US" w:eastAsia="zh-CN" w:bidi="ar-SA"/>
        </w:rPr>
        <w:t>坚持以科学发展观为指导，以构建社会主义和谐社会为目标，以贯彻落实就业再就业新政策为主线，以解决就业困难人员再就业、新增劳动力就业和农村转移劳动力就业为重点，以创业培训和再就业培训为抓手，围绕“稳就业”“保就业”工作主线，着力解决重点群体就业问题，开展了就业促进民生工程。立足本职，服务大局，取得了显著的成绩。</w:t>
      </w:r>
    </w:p>
    <w:p>
      <w:pPr>
        <w:keepNext w:val="0"/>
        <w:keepLines w:val="0"/>
        <w:pageBreakBefore w:val="0"/>
        <w:widowControl/>
        <w:numPr>
          <w:ilvl w:val="0"/>
          <w:numId w:val="0"/>
        </w:numPr>
        <w:wordWrap/>
        <w:overflowPunct/>
        <w:topLinePunct w:val="0"/>
        <w:bidi w:val="0"/>
        <w:adjustRightInd w:val="0"/>
        <w:spacing w:before="0" w:line="560" w:lineRule="exact"/>
        <w:ind w:left="0" w:leftChars="0" w:firstLine="640" w:firstLineChars="200"/>
        <w:jc w:val="left"/>
        <w:outlineLvl w:val="9"/>
        <w:rPr>
          <w:rFonts w:hint="eastAsia" w:eastAsia="黑体"/>
          <w:b w:val="0"/>
          <w:bCs w:val="0"/>
          <w:sz w:val="32"/>
          <w:szCs w:val="44"/>
        </w:rPr>
      </w:pPr>
      <w:r>
        <w:rPr>
          <w:rFonts w:hint="eastAsia" w:cs="Times New Roman"/>
          <w:b w:val="0"/>
          <w:bCs w:val="0"/>
          <w:sz w:val="32"/>
          <w:szCs w:val="44"/>
          <w:lang w:eastAsia="zh-CN"/>
        </w:rPr>
        <w:t>五、</w:t>
      </w:r>
      <w:r>
        <w:rPr>
          <w:rFonts w:ascii="Times New Roman" w:hAnsi="Times New Roman" w:eastAsia="黑体" w:cs="Times New Roman"/>
          <w:b w:val="0"/>
          <w:bCs w:val="0"/>
          <w:sz w:val="32"/>
          <w:szCs w:val="44"/>
        </w:rPr>
        <w:t>存在主要问题</w:t>
      </w:r>
    </w:p>
    <w:p>
      <w:pPr>
        <w:pStyle w:val="5"/>
        <w:keepNext w:val="0"/>
        <w:keepLines w:val="0"/>
        <w:pageBreakBefore w:val="0"/>
        <w:widowControl/>
        <w:wordWrap/>
        <w:overflowPunct/>
        <w:topLinePunct w:val="0"/>
        <w:bidi w:val="0"/>
        <w:adjustRightInd w:val="0"/>
        <w:spacing w:before="0" w:after="0" w:afterLines="0" w:line="560" w:lineRule="exact"/>
        <w:ind w:left="0" w:leftChars="0" w:firstLine="568" w:firstLineChars="200"/>
        <w:jc w:val="left"/>
        <w:outlineLvl w:val="9"/>
        <w:rPr>
          <w:rFonts w:hint="eastAsia" w:ascii="仿宋_GB2312" w:hAnsi="Times New Roman" w:eastAsia="仿宋_GB2312" w:cs="Times New Roman"/>
          <w:snapToGrid/>
          <w:color w:val="000000"/>
          <w:spacing w:val="-8"/>
          <w:kern w:val="0"/>
          <w:sz w:val="30"/>
          <w:szCs w:val="21"/>
          <w:lang w:val="en-US" w:eastAsia="zh-CN" w:bidi="ar-SA"/>
        </w:rPr>
      </w:pPr>
      <w:r>
        <w:rPr>
          <w:rFonts w:hint="eastAsia" w:ascii="仿宋_GB2312" w:hAnsi="Times New Roman" w:eastAsia="仿宋_GB2312" w:cs="Times New Roman"/>
          <w:snapToGrid/>
          <w:color w:val="000000"/>
          <w:spacing w:val="-8"/>
          <w:kern w:val="0"/>
          <w:sz w:val="30"/>
          <w:szCs w:val="21"/>
          <w:lang w:val="en-US" w:eastAsia="zh-CN" w:bidi="ar-SA"/>
        </w:rPr>
        <w:t>预算编制有待严格执行，预算编制与实际支出项目有的存在差异。</w:t>
      </w:r>
    </w:p>
    <w:p>
      <w:pPr>
        <w:pStyle w:val="5"/>
        <w:keepNext w:val="0"/>
        <w:keepLines w:val="0"/>
        <w:pageBreakBefore w:val="0"/>
        <w:widowControl/>
        <w:wordWrap/>
        <w:overflowPunct/>
        <w:topLinePunct w:val="0"/>
        <w:bidi w:val="0"/>
        <w:adjustRightInd w:val="0"/>
        <w:spacing w:before="0" w:after="0" w:afterLines="0" w:line="560" w:lineRule="exact"/>
        <w:ind w:left="0" w:leftChars="0" w:firstLine="568" w:firstLineChars="200"/>
        <w:jc w:val="left"/>
        <w:outlineLvl w:val="9"/>
        <w:rPr>
          <w:rFonts w:hint="eastAsia" w:ascii="仿宋_GB2312" w:hAnsi="Times New Roman" w:eastAsia="仿宋_GB2312" w:cs="Times New Roman"/>
          <w:snapToGrid/>
          <w:color w:val="000000"/>
          <w:spacing w:val="-8"/>
          <w:kern w:val="0"/>
          <w:sz w:val="30"/>
          <w:szCs w:val="21"/>
          <w:lang w:val="en-US" w:eastAsia="zh-CN" w:bidi="ar-SA"/>
        </w:rPr>
      </w:pPr>
      <w:r>
        <w:rPr>
          <w:rFonts w:hint="eastAsia" w:ascii="仿宋_GB2312" w:hAnsi="Times New Roman" w:eastAsia="仿宋_GB2312" w:cs="Times New Roman"/>
          <w:snapToGrid/>
          <w:color w:val="000000"/>
          <w:spacing w:val="-8"/>
          <w:kern w:val="0"/>
          <w:sz w:val="30"/>
          <w:szCs w:val="21"/>
          <w:lang w:val="en-US" w:eastAsia="zh-CN" w:bidi="ar-SA"/>
        </w:rPr>
        <w:t>制度执行力度有待加强。</w:t>
      </w:r>
    </w:p>
    <w:p>
      <w:pPr>
        <w:keepNext w:val="0"/>
        <w:keepLines w:val="0"/>
        <w:pageBreakBefore w:val="0"/>
        <w:widowControl/>
        <w:numPr>
          <w:ilvl w:val="0"/>
          <w:numId w:val="0"/>
        </w:numPr>
        <w:wordWrap/>
        <w:overflowPunct/>
        <w:topLinePunct w:val="0"/>
        <w:bidi w:val="0"/>
        <w:adjustRightInd w:val="0"/>
        <w:spacing w:before="0" w:line="560" w:lineRule="exact"/>
        <w:ind w:left="0" w:leftChars="0" w:firstLine="640" w:firstLineChars="200"/>
        <w:jc w:val="left"/>
        <w:outlineLvl w:val="9"/>
        <w:rPr>
          <w:rFonts w:hint="eastAsia" w:eastAsia="黑体"/>
          <w:b w:val="0"/>
          <w:bCs w:val="0"/>
          <w:sz w:val="32"/>
          <w:szCs w:val="44"/>
        </w:rPr>
      </w:pPr>
      <w:r>
        <w:rPr>
          <w:rFonts w:hint="eastAsia" w:cs="Times New Roman"/>
          <w:b w:val="0"/>
          <w:bCs w:val="0"/>
          <w:sz w:val="32"/>
          <w:szCs w:val="44"/>
          <w:lang w:eastAsia="zh-CN"/>
        </w:rPr>
        <w:t>六、</w:t>
      </w:r>
      <w:r>
        <w:rPr>
          <w:rFonts w:ascii="Times New Roman" w:hAnsi="Times New Roman" w:eastAsia="黑体" w:cs="Times New Roman"/>
          <w:b w:val="0"/>
          <w:bCs w:val="0"/>
          <w:sz w:val="32"/>
          <w:szCs w:val="44"/>
        </w:rPr>
        <w:t>改进建议</w:t>
      </w:r>
    </w:p>
    <w:p>
      <w:pPr>
        <w:pStyle w:val="5"/>
        <w:keepNext w:val="0"/>
        <w:keepLines w:val="0"/>
        <w:pageBreakBefore w:val="0"/>
        <w:widowControl/>
        <w:wordWrap/>
        <w:overflowPunct/>
        <w:topLinePunct w:val="0"/>
        <w:bidi w:val="0"/>
        <w:adjustRightInd w:val="0"/>
        <w:spacing w:before="0" w:after="0" w:afterLines="0" w:line="560" w:lineRule="exact"/>
        <w:ind w:left="0" w:firstLine="568" w:firstLineChars="200"/>
        <w:jc w:val="left"/>
        <w:outlineLvl w:val="9"/>
        <w:rPr>
          <w:rFonts w:hint="eastAsia" w:ascii="仿宋_GB2312" w:hAnsi="Times New Roman" w:eastAsia="仿宋_GB2312" w:cs="Times New Roman"/>
          <w:snapToGrid/>
          <w:color w:val="000000"/>
          <w:spacing w:val="-8"/>
          <w:kern w:val="0"/>
          <w:sz w:val="30"/>
          <w:szCs w:val="21"/>
          <w:lang w:val="en-US" w:eastAsia="zh-CN" w:bidi="ar-SA"/>
        </w:rPr>
      </w:pPr>
      <w:r>
        <w:rPr>
          <w:rFonts w:hint="eastAsia" w:ascii="仿宋_GB2312" w:hAnsi="Times New Roman" w:eastAsia="仿宋_GB2312" w:cs="Times New Roman"/>
          <w:snapToGrid/>
          <w:color w:val="000000"/>
          <w:spacing w:val="-8"/>
          <w:kern w:val="0"/>
          <w:sz w:val="30"/>
          <w:szCs w:val="21"/>
          <w:lang w:val="en-US" w:eastAsia="zh-CN" w:bidi="ar-SA"/>
        </w:rPr>
        <w:t>按照预算规定的项目和用途严格进行财务审核，经费支出严格按预算规定项目的财务支出内容进行核算，在预算金额内严格控制费用的支出。</w:t>
      </w:r>
    </w:p>
    <w:p>
      <w:pPr>
        <w:pStyle w:val="5"/>
        <w:keepNext w:val="0"/>
        <w:keepLines w:val="0"/>
        <w:pageBreakBefore w:val="0"/>
        <w:widowControl/>
        <w:wordWrap/>
        <w:overflowPunct/>
        <w:topLinePunct w:val="0"/>
        <w:bidi w:val="0"/>
        <w:adjustRightInd w:val="0"/>
        <w:spacing w:before="0" w:after="0" w:afterLines="0" w:line="560" w:lineRule="exact"/>
        <w:ind w:left="0" w:firstLine="568" w:firstLineChars="200"/>
        <w:jc w:val="left"/>
        <w:outlineLvl w:val="9"/>
        <w:rPr>
          <w:rFonts w:hint="eastAsia" w:ascii="仿宋_GB2312" w:hAnsi="Times New Roman" w:eastAsia="仿宋_GB2312" w:cs="Times New Roman"/>
          <w:snapToGrid/>
          <w:color w:val="000000"/>
          <w:spacing w:val="-8"/>
          <w:kern w:val="0"/>
          <w:sz w:val="30"/>
          <w:szCs w:val="21"/>
          <w:lang w:val="en-US" w:eastAsia="zh-CN" w:bidi="ar-SA"/>
        </w:rPr>
      </w:pPr>
      <w:r>
        <w:rPr>
          <w:rFonts w:hint="eastAsia" w:ascii="仿宋_GB2312" w:hAnsi="Times New Roman" w:eastAsia="仿宋_GB2312" w:cs="Times New Roman"/>
          <w:snapToGrid/>
          <w:color w:val="000000"/>
          <w:spacing w:val="-8"/>
          <w:kern w:val="0"/>
          <w:sz w:val="30"/>
          <w:szCs w:val="21"/>
          <w:lang w:val="en-US" w:eastAsia="zh-CN" w:bidi="ar-SA"/>
        </w:rPr>
        <w:t>预算财务分析常态化，定期做好预算支出财务分析，做好部门整体支出预算评价工作，完善各项制度，提升执行力。</w:t>
      </w:r>
    </w:p>
    <w:p>
      <w:pPr>
        <w:pStyle w:val="38"/>
        <w:spacing w:before="18" w:line="219" w:lineRule="auto"/>
        <w:jc w:val="both"/>
      </w:pPr>
      <w:r>
        <w:rPr>
          <w:rFonts w:ascii="Times New Roman" w:hAnsi="Times New Roman" w:eastAsia="宋体" w:cs="Times New Roman"/>
          <w:b w:val="0"/>
          <w:bCs w:val="0"/>
          <w:sz w:val="24"/>
          <w:szCs w:val="24"/>
        </w:rPr>
        <w:br w:type="page"/>
      </w:r>
    </w:p>
    <w:p>
      <w:pPr>
        <w:pStyle w:val="16"/>
        <w:widowControl/>
        <w:rPr>
          <w:rFonts w:ascii="方正小标宋简体" w:hAnsi="方正小标宋简体" w:eastAsia="方正小标宋简体" w:cs="方正小标宋简体"/>
          <w:b w:val="0"/>
          <w:bCs w:val="0"/>
          <w:sz w:val="32"/>
          <w:szCs w:val="32"/>
        </w:rPr>
      </w:pPr>
      <w:r>
        <w:rPr>
          <w:rFonts w:ascii="方正小标宋简体" w:hAnsi="方正小标宋简体" w:eastAsia="方正小标宋简体" w:cs="方正小标宋简体"/>
          <w:b w:val="0"/>
          <w:bCs w:val="0"/>
          <w:sz w:val="32"/>
          <w:szCs w:val="32"/>
        </w:rPr>
        <w:t>绩效目标自评表</w:t>
      </w:r>
    </w:p>
    <w:tbl>
      <w:tblPr>
        <w:tblStyle w:val="39"/>
        <w:tblpPr w:leftFromText="181" w:rightFromText="181" w:vertAnchor="text" w:horzAnchor="page" w:tblpX="1849" w:tblpY="545"/>
        <w:tblOverlap w:val="never"/>
        <w:tblW w:w="4982"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66"/>
        <w:gridCol w:w="709"/>
        <w:gridCol w:w="711"/>
        <w:gridCol w:w="1794"/>
        <w:gridCol w:w="388"/>
        <w:gridCol w:w="431"/>
        <w:gridCol w:w="903"/>
        <w:gridCol w:w="671"/>
        <w:gridCol w:w="605"/>
        <w:gridCol w:w="716"/>
        <w:gridCol w:w="5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884" w:hRule="atLeast"/>
        </w:trPr>
        <w:tc>
          <w:tcPr>
            <w:tcW w:w="1319" w:type="pct"/>
            <w:gridSpan w:val="3"/>
            <w:vAlign w:val="center"/>
          </w:tcPr>
          <w:p>
            <w:pPr>
              <w:pStyle w:val="38"/>
              <w:spacing w:before="163" w:line="220" w:lineRule="auto"/>
              <w:ind w:left="865"/>
              <w:jc w:val="both"/>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pacing w:val="2"/>
                <w:sz w:val="15"/>
                <w:szCs w:val="15"/>
              </w:rPr>
              <w:t>项目名称</w:t>
            </w:r>
          </w:p>
        </w:tc>
        <w:tc>
          <w:tcPr>
            <w:tcW w:w="1576" w:type="pct"/>
            <w:gridSpan w:val="3"/>
            <w:vAlign w:val="center"/>
          </w:tcPr>
          <w:p>
            <w:pPr>
              <w:pStyle w:val="38"/>
              <w:spacing w:before="163" w:line="220" w:lineRule="auto"/>
              <w:ind w:firstLine="178" w:firstLineChars="100"/>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lang w:eastAsia="zh-CN"/>
              </w:rPr>
              <w:t>就业创业补助专项资金</w:t>
            </w:r>
          </w:p>
        </w:tc>
        <w:tc>
          <w:tcPr>
            <w:tcW w:w="545" w:type="pct"/>
            <w:vAlign w:val="center"/>
          </w:tcPr>
          <w:p>
            <w:pPr>
              <w:pStyle w:val="38"/>
              <w:spacing w:before="32" w:line="219" w:lineRule="auto"/>
              <w:ind w:left="85"/>
              <w:jc w:val="center"/>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pacing w:val="-2"/>
                <w:sz w:val="15"/>
                <w:szCs w:val="15"/>
              </w:rPr>
              <w:t>项目负责人</w:t>
            </w:r>
          </w:p>
          <w:p>
            <w:pPr>
              <w:pStyle w:val="38"/>
              <w:spacing w:before="17" w:line="221" w:lineRule="auto"/>
              <w:ind w:left="275"/>
              <w:jc w:val="center"/>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pacing w:val="-2"/>
                <w:sz w:val="15"/>
                <w:szCs w:val="15"/>
              </w:rPr>
              <w:t>及电话</w:t>
            </w:r>
          </w:p>
        </w:tc>
        <w:tc>
          <w:tcPr>
            <w:tcW w:w="1558" w:type="pct"/>
            <w:gridSpan w:val="4"/>
            <w:vAlign w:val="center"/>
          </w:tcPr>
          <w:p>
            <w:pPr>
              <w:pStyle w:val="38"/>
              <w:spacing w:before="163" w:line="220" w:lineRule="auto"/>
              <w:ind w:left="356"/>
              <w:jc w:val="center"/>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pacing w:val="-1"/>
                <w:sz w:val="15"/>
                <w:szCs w:val="15"/>
              </w:rPr>
              <w:t>泽旺江木措17394941886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62" w:hRule="atLeast"/>
        </w:trPr>
        <w:tc>
          <w:tcPr>
            <w:tcW w:w="1319" w:type="pct"/>
            <w:gridSpan w:val="3"/>
            <w:vAlign w:val="center"/>
          </w:tcPr>
          <w:p>
            <w:pPr>
              <w:pStyle w:val="38"/>
              <w:spacing w:before="48" w:line="214" w:lineRule="auto"/>
              <w:ind w:left="865"/>
              <w:jc w:val="both"/>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pacing w:val="5"/>
                <w:sz w:val="15"/>
                <w:szCs w:val="15"/>
              </w:rPr>
              <w:t>主管部门</w:t>
            </w:r>
          </w:p>
        </w:tc>
        <w:tc>
          <w:tcPr>
            <w:tcW w:w="1576" w:type="pct"/>
            <w:gridSpan w:val="3"/>
            <w:vAlign w:val="center"/>
          </w:tcPr>
          <w:p>
            <w:pPr>
              <w:pStyle w:val="38"/>
              <w:spacing w:before="20" w:line="191" w:lineRule="auto"/>
              <w:ind w:left="13"/>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壤塘县就业服务中心</w:t>
            </w:r>
          </w:p>
        </w:tc>
        <w:tc>
          <w:tcPr>
            <w:tcW w:w="545" w:type="pct"/>
            <w:vAlign w:val="center"/>
          </w:tcPr>
          <w:p>
            <w:pPr>
              <w:pStyle w:val="38"/>
              <w:spacing w:before="49" w:line="213" w:lineRule="auto"/>
              <w:ind w:left="185"/>
              <w:jc w:val="center"/>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pacing w:val="-3"/>
                <w:sz w:val="15"/>
                <w:szCs w:val="15"/>
              </w:rPr>
              <w:t>实施单位</w:t>
            </w:r>
          </w:p>
        </w:tc>
        <w:tc>
          <w:tcPr>
            <w:tcW w:w="1558" w:type="pct"/>
            <w:gridSpan w:val="4"/>
            <w:vAlign w:val="center"/>
          </w:tcPr>
          <w:p>
            <w:pPr>
              <w:pStyle w:val="38"/>
              <w:spacing w:before="48" w:line="214" w:lineRule="auto"/>
              <w:ind w:left="496"/>
              <w:jc w:val="center"/>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pacing w:val="-1"/>
                <w:sz w:val="15"/>
                <w:szCs w:val="15"/>
              </w:rPr>
              <w:t>壤塘县就业服务中心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94" w:hRule="atLeast"/>
        </w:trPr>
        <w:tc>
          <w:tcPr>
            <w:tcW w:w="1319" w:type="pct"/>
            <w:gridSpan w:val="3"/>
            <w:vMerge w:val="restart"/>
            <w:tcBorders>
              <w:bottom w:val="nil"/>
            </w:tcBorders>
            <w:vAlign w:val="center"/>
          </w:tcPr>
          <w:p>
            <w:pPr>
              <w:pStyle w:val="38"/>
              <w:spacing w:before="62" w:line="220" w:lineRule="auto"/>
              <w:ind w:firstLine="462" w:firstLineChars="300"/>
              <w:jc w:val="both"/>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pacing w:val="2"/>
                <w:sz w:val="15"/>
                <w:szCs w:val="15"/>
              </w:rPr>
              <w:t>资金情况</w:t>
            </w:r>
            <w:r>
              <w:rPr>
                <w:rFonts w:hint="eastAsia" w:asciiTheme="minorEastAsia" w:hAnsiTheme="minorEastAsia" w:eastAsiaTheme="minorEastAsia" w:cstheme="minorEastAsia"/>
                <w:spacing w:val="10"/>
                <w:sz w:val="15"/>
                <w:szCs w:val="15"/>
                <w:lang w:eastAsia="zh-CN"/>
              </w:rPr>
              <w:t>（</w:t>
            </w:r>
            <w:r>
              <w:rPr>
                <w:rFonts w:hint="eastAsia" w:asciiTheme="minorEastAsia" w:hAnsiTheme="minorEastAsia" w:eastAsiaTheme="minorEastAsia" w:cstheme="minorEastAsia"/>
                <w:spacing w:val="10"/>
                <w:sz w:val="15"/>
                <w:szCs w:val="15"/>
              </w:rPr>
              <w:t>万元</w:t>
            </w:r>
            <w:r>
              <w:rPr>
                <w:rFonts w:hint="eastAsia" w:asciiTheme="minorEastAsia" w:hAnsiTheme="minorEastAsia" w:eastAsiaTheme="minorEastAsia" w:cstheme="minorEastAsia"/>
                <w:spacing w:val="10"/>
                <w:sz w:val="15"/>
                <w:szCs w:val="15"/>
                <w:lang w:eastAsia="zh-CN"/>
              </w:rPr>
              <w:t>）</w:t>
            </w:r>
          </w:p>
        </w:tc>
        <w:tc>
          <w:tcPr>
            <w:tcW w:w="1082" w:type="pct"/>
            <w:vAlign w:val="center"/>
          </w:tcPr>
          <w:p>
            <w:pPr>
              <w:jc w:val="center"/>
              <w:rPr>
                <w:rFonts w:hint="eastAsia" w:asciiTheme="minorEastAsia" w:hAnsiTheme="minorEastAsia" w:eastAsiaTheme="minorEastAsia" w:cstheme="minorEastAsia"/>
                <w:sz w:val="15"/>
                <w:szCs w:val="15"/>
              </w:rPr>
            </w:pPr>
          </w:p>
        </w:tc>
        <w:tc>
          <w:tcPr>
            <w:tcW w:w="494" w:type="pct"/>
            <w:gridSpan w:val="2"/>
            <w:vAlign w:val="center"/>
          </w:tcPr>
          <w:p>
            <w:pPr>
              <w:pStyle w:val="38"/>
              <w:spacing w:before="29" w:line="197" w:lineRule="auto"/>
              <w:ind w:left="45"/>
              <w:jc w:val="center"/>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pacing w:val="-2"/>
                <w:sz w:val="15"/>
                <w:szCs w:val="15"/>
              </w:rPr>
              <w:t>全年预算数</w:t>
            </w:r>
          </w:p>
          <w:p>
            <w:pPr>
              <w:pStyle w:val="38"/>
              <w:spacing w:line="181" w:lineRule="auto"/>
              <w:ind w:left="365"/>
              <w:jc w:val="center"/>
              <w:rPr>
                <w:rFonts w:hint="eastAsia" w:asciiTheme="minorEastAsia" w:hAnsiTheme="minorEastAsia" w:eastAsiaTheme="minorEastAsia" w:cstheme="minorEastAsia"/>
                <w:sz w:val="15"/>
                <w:szCs w:val="15"/>
                <w:lang w:eastAsia="zh-CN"/>
              </w:rPr>
            </w:pPr>
            <w:r>
              <w:rPr>
                <w:rFonts w:hint="eastAsia" w:asciiTheme="minorEastAsia" w:hAnsiTheme="minorEastAsia" w:eastAsiaTheme="minorEastAsia" w:cstheme="minorEastAsia"/>
                <w:spacing w:val="-10"/>
                <w:sz w:val="15"/>
                <w:szCs w:val="15"/>
                <w:lang w:eastAsia="zh-CN"/>
              </w:rPr>
              <w:t>(</w:t>
            </w:r>
            <w:r>
              <w:rPr>
                <w:rFonts w:hint="eastAsia" w:asciiTheme="minorEastAsia" w:hAnsiTheme="minorEastAsia" w:eastAsiaTheme="minorEastAsia" w:cstheme="minorEastAsia"/>
                <w:spacing w:val="-10"/>
                <w:sz w:val="15"/>
                <w:szCs w:val="15"/>
              </w:rPr>
              <w:t>A</w:t>
            </w:r>
            <w:r>
              <w:rPr>
                <w:rFonts w:hint="eastAsia" w:asciiTheme="minorEastAsia" w:hAnsiTheme="minorEastAsia" w:eastAsiaTheme="minorEastAsia" w:cstheme="minorEastAsia"/>
                <w:spacing w:val="-10"/>
                <w:sz w:val="15"/>
                <w:szCs w:val="15"/>
                <w:lang w:eastAsia="zh-CN"/>
              </w:rPr>
              <w:t>)</w:t>
            </w:r>
          </w:p>
        </w:tc>
        <w:tc>
          <w:tcPr>
            <w:tcW w:w="950" w:type="pct"/>
            <w:gridSpan w:val="2"/>
            <w:vAlign w:val="center"/>
          </w:tcPr>
          <w:p>
            <w:pPr>
              <w:pStyle w:val="38"/>
              <w:spacing w:before="119" w:line="219" w:lineRule="auto"/>
              <w:ind w:left="355"/>
              <w:jc w:val="center"/>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pacing w:val="4"/>
                <w:sz w:val="15"/>
                <w:szCs w:val="15"/>
              </w:rPr>
              <w:t>全年执行数</w:t>
            </w:r>
            <w:r>
              <w:rPr>
                <w:rFonts w:hint="eastAsia" w:asciiTheme="minorEastAsia" w:hAnsiTheme="minorEastAsia" w:eastAsiaTheme="minorEastAsia" w:cstheme="minorEastAsia"/>
                <w:spacing w:val="4"/>
                <w:sz w:val="15"/>
                <w:szCs w:val="15"/>
                <w:lang w:eastAsia="zh-CN"/>
              </w:rPr>
              <w:t>（</w:t>
            </w:r>
            <w:r>
              <w:rPr>
                <w:rFonts w:hint="eastAsia" w:asciiTheme="minorEastAsia" w:hAnsiTheme="minorEastAsia" w:eastAsiaTheme="minorEastAsia" w:cstheme="minorEastAsia"/>
                <w:spacing w:val="4"/>
                <w:sz w:val="15"/>
                <w:szCs w:val="15"/>
              </w:rPr>
              <w:t>B</w:t>
            </w:r>
            <w:r>
              <w:rPr>
                <w:rFonts w:hint="eastAsia" w:asciiTheme="minorEastAsia" w:hAnsiTheme="minorEastAsia" w:eastAsiaTheme="minorEastAsia" w:cstheme="minorEastAsia"/>
                <w:spacing w:val="4"/>
                <w:sz w:val="15"/>
                <w:szCs w:val="15"/>
                <w:lang w:eastAsia="zh-CN"/>
              </w:rPr>
              <w:t>）</w:t>
            </w:r>
          </w:p>
        </w:tc>
        <w:tc>
          <w:tcPr>
            <w:tcW w:w="365" w:type="pct"/>
            <w:vAlign w:val="center"/>
          </w:tcPr>
          <w:p>
            <w:pPr>
              <w:pStyle w:val="38"/>
              <w:spacing w:before="119" w:line="219" w:lineRule="auto"/>
              <w:ind w:left="107"/>
              <w:jc w:val="center"/>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pacing w:val="-3"/>
                <w:sz w:val="15"/>
                <w:szCs w:val="15"/>
              </w:rPr>
              <w:t>分值</w:t>
            </w:r>
          </w:p>
        </w:tc>
        <w:tc>
          <w:tcPr>
            <w:tcW w:w="432" w:type="pct"/>
            <w:vAlign w:val="center"/>
          </w:tcPr>
          <w:p>
            <w:pPr>
              <w:pStyle w:val="38"/>
              <w:spacing w:before="29" w:line="197" w:lineRule="auto"/>
              <w:ind w:left="88"/>
              <w:jc w:val="center"/>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pacing w:val="-2"/>
                <w:sz w:val="15"/>
                <w:szCs w:val="15"/>
              </w:rPr>
              <w:t>执行率</w:t>
            </w:r>
          </w:p>
          <w:p>
            <w:pPr>
              <w:pStyle w:val="38"/>
              <w:spacing w:line="181" w:lineRule="auto"/>
              <w:ind w:left="188"/>
              <w:jc w:val="center"/>
              <w:rPr>
                <w:rFonts w:hint="eastAsia" w:asciiTheme="minorEastAsia" w:hAnsiTheme="minorEastAsia" w:eastAsiaTheme="minorEastAsia" w:cstheme="minorEastAsia"/>
                <w:sz w:val="15"/>
                <w:szCs w:val="15"/>
                <w:lang w:eastAsia="zh-CN"/>
              </w:rPr>
            </w:pPr>
            <w:r>
              <w:rPr>
                <w:rFonts w:hint="eastAsia" w:asciiTheme="minorEastAsia" w:hAnsiTheme="minorEastAsia" w:eastAsiaTheme="minorEastAsia" w:cstheme="minorEastAsia"/>
                <w:spacing w:val="-7"/>
                <w:sz w:val="15"/>
                <w:szCs w:val="15"/>
                <w:lang w:eastAsia="zh-CN"/>
              </w:rPr>
              <w:t>(</w:t>
            </w:r>
            <w:r>
              <w:rPr>
                <w:rFonts w:hint="eastAsia" w:asciiTheme="minorEastAsia" w:hAnsiTheme="minorEastAsia" w:eastAsiaTheme="minorEastAsia" w:cstheme="minorEastAsia"/>
                <w:spacing w:val="-7"/>
                <w:sz w:val="15"/>
                <w:szCs w:val="15"/>
              </w:rPr>
              <w:t>B</w:t>
            </w:r>
            <w:r>
              <w:rPr>
                <w:rFonts w:hint="eastAsia" w:asciiTheme="minorEastAsia" w:hAnsiTheme="minorEastAsia" w:eastAsiaTheme="minorEastAsia" w:cstheme="minorEastAsia"/>
                <w:spacing w:val="-7"/>
                <w:sz w:val="15"/>
                <w:szCs w:val="15"/>
                <w:lang w:eastAsia="zh-CN"/>
              </w:rPr>
              <w:t>/</w:t>
            </w:r>
            <w:r>
              <w:rPr>
                <w:rFonts w:hint="eastAsia" w:asciiTheme="minorEastAsia" w:hAnsiTheme="minorEastAsia" w:eastAsiaTheme="minorEastAsia" w:cstheme="minorEastAsia"/>
                <w:spacing w:val="-7"/>
                <w:sz w:val="15"/>
                <w:szCs w:val="15"/>
              </w:rPr>
              <w:t>A</w:t>
            </w:r>
            <w:r>
              <w:rPr>
                <w:rFonts w:hint="eastAsia" w:asciiTheme="minorEastAsia" w:hAnsiTheme="minorEastAsia" w:eastAsiaTheme="minorEastAsia" w:cstheme="minorEastAsia"/>
                <w:spacing w:val="-7"/>
                <w:sz w:val="15"/>
                <w:szCs w:val="15"/>
                <w:lang w:eastAsia="zh-CN"/>
              </w:rPr>
              <w:t>)</w:t>
            </w:r>
          </w:p>
        </w:tc>
        <w:tc>
          <w:tcPr>
            <w:tcW w:w="355" w:type="pct"/>
            <w:vAlign w:val="center"/>
          </w:tcPr>
          <w:p>
            <w:pPr>
              <w:pStyle w:val="38"/>
              <w:spacing w:before="119" w:line="219" w:lineRule="auto"/>
              <w:ind w:left="79"/>
              <w:jc w:val="center"/>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pacing w:val="-3"/>
                <w:sz w:val="15"/>
                <w:szCs w:val="15"/>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51" w:hRule="atLeast"/>
        </w:trPr>
        <w:tc>
          <w:tcPr>
            <w:tcW w:w="1319" w:type="pct"/>
            <w:gridSpan w:val="3"/>
            <w:vMerge w:val="continue"/>
            <w:tcBorders>
              <w:top w:val="nil"/>
              <w:bottom w:val="nil"/>
            </w:tcBorders>
            <w:vAlign w:val="center"/>
          </w:tcPr>
          <w:p>
            <w:pPr>
              <w:jc w:val="center"/>
              <w:rPr>
                <w:rFonts w:hint="eastAsia" w:asciiTheme="minorEastAsia" w:hAnsiTheme="minorEastAsia" w:eastAsiaTheme="minorEastAsia" w:cstheme="minorEastAsia"/>
                <w:sz w:val="15"/>
                <w:szCs w:val="15"/>
              </w:rPr>
            </w:pPr>
          </w:p>
        </w:tc>
        <w:tc>
          <w:tcPr>
            <w:tcW w:w="1082" w:type="pct"/>
            <w:vAlign w:val="center"/>
          </w:tcPr>
          <w:p>
            <w:pPr>
              <w:pStyle w:val="38"/>
              <w:spacing w:before="31" w:line="203" w:lineRule="auto"/>
              <w:ind w:left="113"/>
              <w:jc w:val="center"/>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pacing w:val="-1"/>
                <w:sz w:val="15"/>
                <w:szCs w:val="15"/>
              </w:rPr>
              <w:t>年度资金总额：</w:t>
            </w:r>
          </w:p>
        </w:tc>
        <w:tc>
          <w:tcPr>
            <w:tcW w:w="494" w:type="pct"/>
            <w:gridSpan w:val="2"/>
            <w:vAlign w:val="center"/>
          </w:tcPr>
          <w:p>
            <w:pPr>
              <w:pStyle w:val="38"/>
              <w:spacing w:before="49" w:line="185" w:lineRule="auto"/>
              <w:ind w:left="374"/>
              <w:jc w:val="center"/>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pacing w:val="-3"/>
                <w:sz w:val="15"/>
                <w:szCs w:val="15"/>
              </w:rPr>
              <w:t>568</w:t>
            </w:r>
          </w:p>
        </w:tc>
        <w:tc>
          <w:tcPr>
            <w:tcW w:w="950" w:type="pct"/>
            <w:gridSpan w:val="2"/>
            <w:vAlign w:val="center"/>
          </w:tcPr>
          <w:p>
            <w:pPr>
              <w:pStyle w:val="38"/>
              <w:spacing w:before="49" w:line="185" w:lineRule="auto"/>
              <w:ind w:left="685"/>
              <w:jc w:val="center"/>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pacing w:val="-2"/>
                <w:sz w:val="15"/>
                <w:szCs w:val="15"/>
              </w:rPr>
              <w:t>567.98</w:t>
            </w:r>
          </w:p>
        </w:tc>
        <w:tc>
          <w:tcPr>
            <w:tcW w:w="365" w:type="pct"/>
            <w:vAlign w:val="center"/>
          </w:tcPr>
          <w:p>
            <w:pPr>
              <w:pStyle w:val="38"/>
              <w:spacing w:before="49" w:line="185" w:lineRule="auto"/>
              <w:ind w:left="197"/>
              <w:jc w:val="center"/>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pacing w:val="-6"/>
                <w:sz w:val="15"/>
                <w:szCs w:val="15"/>
              </w:rPr>
              <w:t>10</w:t>
            </w:r>
          </w:p>
        </w:tc>
        <w:tc>
          <w:tcPr>
            <w:tcW w:w="432" w:type="pct"/>
            <w:vAlign w:val="center"/>
          </w:tcPr>
          <w:p>
            <w:pPr>
              <w:pStyle w:val="38"/>
              <w:spacing w:before="49" w:line="185" w:lineRule="auto"/>
              <w:ind w:left="8"/>
              <w:jc w:val="center"/>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pacing w:val="-2"/>
                <w:sz w:val="15"/>
                <w:szCs w:val="15"/>
              </w:rPr>
              <w:t>99.99</w:t>
            </w:r>
          </w:p>
        </w:tc>
        <w:tc>
          <w:tcPr>
            <w:tcW w:w="355" w:type="pct"/>
            <w:vAlign w:val="center"/>
          </w:tcPr>
          <w:p>
            <w:pPr>
              <w:pStyle w:val="38"/>
              <w:spacing w:before="49" w:line="185" w:lineRule="auto"/>
              <w:ind w:left="419"/>
              <w:jc w:val="center"/>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6" w:hRule="atLeast"/>
        </w:trPr>
        <w:tc>
          <w:tcPr>
            <w:tcW w:w="1319" w:type="pct"/>
            <w:gridSpan w:val="3"/>
            <w:vMerge w:val="continue"/>
            <w:tcBorders>
              <w:top w:val="nil"/>
              <w:bottom w:val="nil"/>
            </w:tcBorders>
            <w:vAlign w:val="center"/>
          </w:tcPr>
          <w:p>
            <w:pPr>
              <w:jc w:val="center"/>
              <w:rPr>
                <w:rFonts w:hint="eastAsia" w:asciiTheme="minorEastAsia" w:hAnsiTheme="minorEastAsia" w:eastAsiaTheme="minorEastAsia" w:cstheme="minorEastAsia"/>
                <w:sz w:val="15"/>
                <w:szCs w:val="15"/>
              </w:rPr>
            </w:pPr>
          </w:p>
        </w:tc>
        <w:tc>
          <w:tcPr>
            <w:tcW w:w="1082" w:type="pct"/>
            <w:vAlign w:val="center"/>
          </w:tcPr>
          <w:p>
            <w:pPr>
              <w:pStyle w:val="38"/>
              <w:spacing w:before="40" w:line="204" w:lineRule="auto"/>
              <w:ind w:left="113"/>
              <w:jc w:val="center"/>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pacing w:val="-1"/>
                <w:sz w:val="15"/>
                <w:szCs w:val="15"/>
              </w:rPr>
              <w:t>其中：本年财政拨款</w:t>
            </w:r>
          </w:p>
        </w:tc>
        <w:tc>
          <w:tcPr>
            <w:tcW w:w="494" w:type="pct"/>
            <w:gridSpan w:val="2"/>
            <w:vAlign w:val="center"/>
          </w:tcPr>
          <w:p>
            <w:pPr>
              <w:pStyle w:val="38"/>
              <w:spacing w:before="59" w:line="185" w:lineRule="auto"/>
              <w:ind w:left="374"/>
              <w:jc w:val="center"/>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pacing w:val="-3"/>
                <w:sz w:val="15"/>
                <w:szCs w:val="15"/>
              </w:rPr>
              <w:t>568</w:t>
            </w:r>
          </w:p>
        </w:tc>
        <w:tc>
          <w:tcPr>
            <w:tcW w:w="950" w:type="pct"/>
            <w:gridSpan w:val="2"/>
            <w:vAlign w:val="center"/>
          </w:tcPr>
          <w:p>
            <w:pPr>
              <w:pStyle w:val="38"/>
              <w:spacing w:before="59" w:line="185" w:lineRule="auto"/>
              <w:ind w:left="685"/>
              <w:jc w:val="center"/>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pacing w:val="-2"/>
                <w:sz w:val="15"/>
                <w:szCs w:val="15"/>
              </w:rPr>
              <w:t>567.98</w:t>
            </w:r>
          </w:p>
        </w:tc>
        <w:tc>
          <w:tcPr>
            <w:tcW w:w="365" w:type="pct"/>
            <w:vAlign w:val="center"/>
          </w:tcPr>
          <w:p>
            <w:pPr>
              <w:pStyle w:val="38"/>
              <w:spacing w:before="149" w:line="101" w:lineRule="exact"/>
              <w:ind w:left="247"/>
              <w:jc w:val="center"/>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position w:val="-4"/>
                <w:sz w:val="15"/>
                <w:szCs w:val="15"/>
              </w:rPr>
              <w:t>-</w:t>
            </w:r>
          </w:p>
        </w:tc>
        <w:tc>
          <w:tcPr>
            <w:tcW w:w="432" w:type="pct"/>
            <w:vAlign w:val="center"/>
          </w:tcPr>
          <w:p>
            <w:pPr>
              <w:pStyle w:val="38"/>
              <w:spacing w:before="59" w:line="185" w:lineRule="auto"/>
              <w:ind w:left="8"/>
              <w:jc w:val="center"/>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pacing w:val="-2"/>
                <w:sz w:val="15"/>
                <w:szCs w:val="15"/>
              </w:rPr>
              <w:t>99.99</w:t>
            </w:r>
          </w:p>
        </w:tc>
        <w:tc>
          <w:tcPr>
            <w:tcW w:w="355" w:type="pct"/>
            <w:vAlign w:val="center"/>
          </w:tcPr>
          <w:p>
            <w:pPr>
              <w:pStyle w:val="38"/>
              <w:spacing w:before="136" w:line="81" w:lineRule="exact"/>
              <w:ind w:left="239"/>
              <w:jc w:val="center"/>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position w:val="-2"/>
                <w:sz w:val="15"/>
                <w:szCs w:val="15"/>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90" w:hRule="atLeast"/>
        </w:trPr>
        <w:tc>
          <w:tcPr>
            <w:tcW w:w="1319" w:type="pct"/>
            <w:gridSpan w:val="3"/>
            <w:vMerge w:val="continue"/>
            <w:tcBorders>
              <w:top w:val="nil"/>
            </w:tcBorders>
            <w:vAlign w:val="center"/>
          </w:tcPr>
          <w:p>
            <w:pPr>
              <w:jc w:val="center"/>
              <w:rPr>
                <w:rFonts w:hint="eastAsia" w:asciiTheme="minorEastAsia" w:hAnsiTheme="minorEastAsia" w:eastAsiaTheme="minorEastAsia" w:cstheme="minorEastAsia"/>
                <w:sz w:val="15"/>
                <w:szCs w:val="15"/>
              </w:rPr>
            </w:pPr>
          </w:p>
        </w:tc>
        <w:tc>
          <w:tcPr>
            <w:tcW w:w="1082" w:type="pct"/>
            <w:vAlign w:val="center"/>
          </w:tcPr>
          <w:p>
            <w:pPr>
              <w:pStyle w:val="38"/>
              <w:spacing w:before="34" w:line="166" w:lineRule="auto"/>
              <w:ind w:left="683"/>
              <w:jc w:val="center"/>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pacing w:val="2"/>
                <w:sz w:val="15"/>
                <w:szCs w:val="15"/>
              </w:rPr>
              <w:t>其他资金</w:t>
            </w:r>
          </w:p>
        </w:tc>
        <w:tc>
          <w:tcPr>
            <w:tcW w:w="494" w:type="pct"/>
            <w:gridSpan w:val="2"/>
            <w:vAlign w:val="center"/>
          </w:tcPr>
          <w:p>
            <w:pPr>
              <w:jc w:val="center"/>
              <w:rPr>
                <w:rFonts w:hint="eastAsia" w:asciiTheme="minorEastAsia" w:hAnsiTheme="minorEastAsia" w:eastAsiaTheme="minorEastAsia" w:cstheme="minorEastAsia"/>
                <w:sz w:val="15"/>
                <w:szCs w:val="15"/>
              </w:rPr>
            </w:pPr>
          </w:p>
        </w:tc>
        <w:tc>
          <w:tcPr>
            <w:tcW w:w="950" w:type="pct"/>
            <w:gridSpan w:val="2"/>
            <w:vAlign w:val="center"/>
          </w:tcPr>
          <w:p>
            <w:pPr>
              <w:jc w:val="center"/>
              <w:rPr>
                <w:rFonts w:hint="eastAsia" w:asciiTheme="minorEastAsia" w:hAnsiTheme="minorEastAsia" w:eastAsiaTheme="minorEastAsia" w:cstheme="minorEastAsia"/>
                <w:sz w:val="15"/>
                <w:szCs w:val="15"/>
              </w:rPr>
            </w:pPr>
          </w:p>
        </w:tc>
        <w:tc>
          <w:tcPr>
            <w:tcW w:w="365" w:type="pct"/>
            <w:vAlign w:val="center"/>
          </w:tcPr>
          <w:p>
            <w:pPr>
              <w:pStyle w:val="38"/>
              <w:spacing w:before="149" w:line="101" w:lineRule="exact"/>
              <w:ind w:left="247"/>
              <w:jc w:val="center"/>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position w:val="-4"/>
                <w:sz w:val="15"/>
                <w:szCs w:val="15"/>
              </w:rPr>
              <w:t>-</w:t>
            </w:r>
          </w:p>
        </w:tc>
        <w:tc>
          <w:tcPr>
            <w:tcW w:w="432" w:type="pct"/>
            <w:vAlign w:val="center"/>
          </w:tcPr>
          <w:p>
            <w:pPr>
              <w:jc w:val="center"/>
              <w:rPr>
                <w:rFonts w:hint="eastAsia" w:asciiTheme="minorEastAsia" w:hAnsiTheme="minorEastAsia" w:eastAsiaTheme="minorEastAsia" w:cstheme="minorEastAsia"/>
                <w:sz w:val="15"/>
                <w:szCs w:val="15"/>
              </w:rPr>
            </w:pPr>
          </w:p>
        </w:tc>
        <w:tc>
          <w:tcPr>
            <w:tcW w:w="355" w:type="pct"/>
            <w:vAlign w:val="center"/>
          </w:tcPr>
          <w:p>
            <w:pPr>
              <w:pStyle w:val="38"/>
              <w:spacing w:before="136" w:line="81" w:lineRule="exact"/>
              <w:ind w:left="239"/>
              <w:jc w:val="center"/>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position w:val="-2"/>
                <w:sz w:val="15"/>
                <w:szCs w:val="15"/>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39" w:hRule="atLeast"/>
        </w:trPr>
        <w:tc>
          <w:tcPr>
            <w:tcW w:w="462" w:type="pct"/>
            <w:vMerge w:val="restart"/>
            <w:tcBorders>
              <w:bottom w:val="nil"/>
            </w:tcBorders>
            <w:vAlign w:val="center"/>
          </w:tcPr>
          <w:p>
            <w:pPr>
              <w:pStyle w:val="38"/>
              <w:spacing w:before="169" w:line="228" w:lineRule="auto"/>
              <w:ind w:left="384" w:right="2" w:hanging="370"/>
              <w:jc w:val="center"/>
              <w:rPr>
                <w:rFonts w:hint="eastAsia" w:asciiTheme="minorEastAsia" w:hAnsiTheme="minorEastAsia" w:eastAsiaTheme="minorEastAsia" w:cstheme="minorEastAsia"/>
                <w:sz w:val="10"/>
                <w:szCs w:val="10"/>
              </w:rPr>
            </w:pPr>
            <w:r>
              <w:rPr>
                <w:rFonts w:hint="eastAsia" w:asciiTheme="minorEastAsia" w:hAnsiTheme="minorEastAsia" w:eastAsiaTheme="minorEastAsia" w:cstheme="minorEastAsia"/>
                <w:spacing w:val="-24"/>
                <w:sz w:val="10"/>
                <w:szCs w:val="10"/>
              </w:rPr>
              <w:t>年</w:t>
            </w:r>
            <w:r>
              <w:rPr>
                <w:rFonts w:hint="eastAsia" w:asciiTheme="minorEastAsia" w:hAnsiTheme="minorEastAsia" w:eastAsiaTheme="minorEastAsia" w:cstheme="minorEastAsia"/>
                <w:spacing w:val="-23"/>
                <w:sz w:val="10"/>
                <w:szCs w:val="10"/>
              </w:rPr>
              <w:t>度</w:t>
            </w:r>
            <w:r>
              <w:rPr>
                <w:rFonts w:hint="eastAsia" w:asciiTheme="minorEastAsia" w:hAnsiTheme="minorEastAsia" w:eastAsiaTheme="minorEastAsia" w:cstheme="minorEastAsia"/>
                <w:spacing w:val="-23"/>
                <w:sz w:val="10"/>
                <w:szCs w:val="10"/>
                <w:lang w:eastAsia="zh-CN"/>
              </w:rPr>
              <w:t>总体目标</w:t>
            </w:r>
          </w:p>
        </w:tc>
        <w:tc>
          <w:tcPr>
            <w:tcW w:w="2433" w:type="pct"/>
            <w:gridSpan w:val="5"/>
            <w:vAlign w:val="center"/>
          </w:tcPr>
          <w:p>
            <w:pPr>
              <w:pStyle w:val="38"/>
              <w:spacing w:before="31" w:line="203" w:lineRule="auto"/>
              <w:ind w:left="1791"/>
              <w:jc w:val="center"/>
              <w:rPr>
                <w:rFonts w:hint="eastAsia" w:asciiTheme="minorEastAsia" w:hAnsiTheme="minorEastAsia" w:eastAsiaTheme="minorEastAsia" w:cstheme="minorEastAsia"/>
                <w:sz w:val="10"/>
                <w:szCs w:val="10"/>
              </w:rPr>
            </w:pPr>
            <w:r>
              <w:rPr>
                <w:rFonts w:hint="eastAsia" w:asciiTheme="minorEastAsia" w:hAnsiTheme="minorEastAsia" w:eastAsiaTheme="minorEastAsia" w:cstheme="minorEastAsia"/>
                <w:spacing w:val="-2"/>
                <w:sz w:val="10"/>
                <w:szCs w:val="10"/>
              </w:rPr>
              <w:t>年初设定目标</w:t>
            </w:r>
          </w:p>
        </w:tc>
        <w:tc>
          <w:tcPr>
            <w:tcW w:w="2104" w:type="pct"/>
            <w:gridSpan w:val="5"/>
            <w:vAlign w:val="center"/>
          </w:tcPr>
          <w:p>
            <w:pPr>
              <w:pStyle w:val="38"/>
              <w:spacing w:before="31" w:line="203" w:lineRule="auto"/>
              <w:ind w:left="785"/>
              <w:jc w:val="center"/>
              <w:rPr>
                <w:rFonts w:hint="eastAsia" w:asciiTheme="minorEastAsia" w:hAnsiTheme="minorEastAsia" w:eastAsiaTheme="minorEastAsia" w:cstheme="minorEastAsia"/>
                <w:sz w:val="10"/>
                <w:szCs w:val="10"/>
              </w:rPr>
            </w:pPr>
            <w:r>
              <w:rPr>
                <w:rFonts w:hint="eastAsia" w:asciiTheme="minorEastAsia" w:hAnsiTheme="minorEastAsia" w:eastAsiaTheme="minorEastAsia" w:cstheme="minorEastAsia"/>
                <w:spacing w:val="-1"/>
                <w:sz w:val="10"/>
                <w:szCs w:val="10"/>
              </w:rPr>
              <w:t>年度总体目标完成情况综述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726" w:hRule="atLeast"/>
        </w:trPr>
        <w:tc>
          <w:tcPr>
            <w:tcW w:w="462" w:type="pct"/>
            <w:vMerge w:val="continue"/>
            <w:tcBorders>
              <w:top w:val="nil"/>
            </w:tcBorders>
            <w:vAlign w:val="center"/>
          </w:tcPr>
          <w:p>
            <w:pPr>
              <w:jc w:val="center"/>
              <w:rPr>
                <w:rFonts w:hint="eastAsia" w:asciiTheme="minorEastAsia" w:hAnsiTheme="minorEastAsia" w:eastAsiaTheme="minorEastAsia" w:cstheme="minorEastAsia"/>
                <w:sz w:val="10"/>
                <w:szCs w:val="10"/>
              </w:rPr>
            </w:pPr>
          </w:p>
        </w:tc>
        <w:tc>
          <w:tcPr>
            <w:tcW w:w="2433" w:type="pct"/>
            <w:gridSpan w:val="5"/>
            <w:vAlign w:val="center"/>
          </w:tcPr>
          <w:p>
            <w:pPr>
              <w:pStyle w:val="38"/>
              <w:spacing w:before="127" w:line="217" w:lineRule="auto"/>
              <w:ind w:left="860" w:hanging="849"/>
              <w:jc w:val="center"/>
              <w:rPr>
                <w:rFonts w:hint="eastAsia" w:asciiTheme="minorEastAsia" w:hAnsiTheme="minorEastAsia" w:eastAsiaTheme="minorEastAsia" w:cstheme="minorEastAsia"/>
                <w:sz w:val="10"/>
                <w:szCs w:val="10"/>
              </w:rPr>
            </w:pPr>
            <w:r>
              <w:rPr>
                <w:rFonts w:hint="eastAsia" w:asciiTheme="minorEastAsia" w:hAnsiTheme="minorEastAsia" w:eastAsiaTheme="minorEastAsia" w:cstheme="minorEastAsia"/>
                <w:spacing w:val="-8"/>
                <w:sz w:val="10"/>
                <w:szCs w:val="10"/>
              </w:rPr>
              <w:t>2025年壤塘县城镇新增就业人数达200人，就业困难人员就业4人，城镇失业人员再就业10人，城镇登记失业率稳控在3.8％以内；累计实现青年见习就业20人。</w:t>
            </w:r>
          </w:p>
        </w:tc>
        <w:tc>
          <w:tcPr>
            <w:tcW w:w="2104" w:type="pct"/>
            <w:gridSpan w:val="5"/>
            <w:vAlign w:val="center"/>
          </w:tcPr>
          <w:p>
            <w:pPr>
              <w:pStyle w:val="38"/>
              <w:spacing w:line="222" w:lineRule="auto"/>
              <w:jc w:val="center"/>
              <w:rPr>
                <w:rFonts w:hint="eastAsia" w:asciiTheme="minorEastAsia" w:hAnsiTheme="minorEastAsia" w:eastAsiaTheme="minorEastAsia" w:cstheme="minorEastAsia"/>
                <w:sz w:val="10"/>
                <w:szCs w:val="10"/>
              </w:rPr>
            </w:pPr>
            <w:r>
              <w:rPr>
                <w:rFonts w:hint="eastAsia" w:asciiTheme="minorEastAsia" w:hAnsiTheme="minorEastAsia" w:eastAsiaTheme="minorEastAsia" w:cstheme="minorEastAsia"/>
                <w:spacing w:val="-3"/>
                <w:sz w:val="10"/>
                <w:szCs w:val="10"/>
              </w:rPr>
              <w:t>2025年壤塘县城镇新增就业人数达300人</w:t>
            </w:r>
            <w:r>
              <w:rPr>
                <w:rFonts w:hint="eastAsia" w:asciiTheme="minorEastAsia" w:hAnsiTheme="minorEastAsia" w:eastAsiaTheme="minorEastAsia" w:cstheme="minorEastAsia"/>
                <w:spacing w:val="-3"/>
                <w:sz w:val="10"/>
                <w:szCs w:val="10"/>
                <w:lang w:eastAsia="zh-CN"/>
              </w:rPr>
              <w:t>，</w:t>
            </w:r>
            <w:r>
              <w:rPr>
                <w:rFonts w:hint="eastAsia" w:asciiTheme="minorEastAsia" w:hAnsiTheme="minorEastAsia" w:eastAsiaTheme="minorEastAsia" w:cstheme="minorEastAsia"/>
                <w:spacing w:val="-4"/>
                <w:sz w:val="10"/>
                <w:szCs w:val="10"/>
              </w:rPr>
              <w:t>就业困难人员就业5人</w:t>
            </w:r>
            <w:r>
              <w:rPr>
                <w:rFonts w:hint="eastAsia" w:asciiTheme="minorEastAsia" w:hAnsiTheme="minorEastAsia" w:eastAsiaTheme="minorEastAsia" w:cstheme="minorEastAsia"/>
                <w:spacing w:val="-4"/>
                <w:sz w:val="10"/>
                <w:szCs w:val="10"/>
                <w:lang w:eastAsia="zh-CN"/>
              </w:rPr>
              <w:t>，</w:t>
            </w:r>
            <w:r>
              <w:rPr>
                <w:rFonts w:hint="eastAsia" w:asciiTheme="minorEastAsia" w:hAnsiTheme="minorEastAsia" w:eastAsiaTheme="minorEastAsia" w:cstheme="minorEastAsia"/>
                <w:spacing w:val="-4"/>
                <w:sz w:val="10"/>
                <w:szCs w:val="10"/>
              </w:rPr>
              <w:t>城镇失业</w:t>
            </w:r>
            <w:r>
              <w:rPr>
                <w:rFonts w:hint="eastAsia" w:asciiTheme="minorEastAsia" w:hAnsiTheme="minorEastAsia" w:eastAsiaTheme="minorEastAsia" w:cstheme="minorEastAsia"/>
                <w:spacing w:val="-3"/>
                <w:sz w:val="10"/>
                <w:szCs w:val="10"/>
              </w:rPr>
              <w:t>人员再就业15人</w:t>
            </w:r>
            <w:r>
              <w:rPr>
                <w:rFonts w:hint="eastAsia" w:asciiTheme="minorEastAsia" w:hAnsiTheme="minorEastAsia" w:eastAsiaTheme="minorEastAsia" w:cstheme="minorEastAsia"/>
                <w:spacing w:val="-3"/>
                <w:sz w:val="10"/>
                <w:szCs w:val="10"/>
                <w:lang w:eastAsia="zh-CN"/>
              </w:rPr>
              <w:t>，</w:t>
            </w:r>
            <w:r>
              <w:rPr>
                <w:rFonts w:hint="eastAsia" w:asciiTheme="minorEastAsia" w:hAnsiTheme="minorEastAsia" w:eastAsiaTheme="minorEastAsia" w:cstheme="minorEastAsia"/>
                <w:spacing w:val="-3"/>
                <w:sz w:val="10"/>
                <w:szCs w:val="10"/>
              </w:rPr>
              <w:t>城镇登记失业率稳控在3.</w:t>
            </w:r>
            <w:r>
              <w:rPr>
                <w:rFonts w:hint="eastAsia" w:asciiTheme="minorEastAsia" w:hAnsiTheme="minorEastAsia" w:eastAsiaTheme="minorEastAsia" w:cstheme="minorEastAsia"/>
                <w:spacing w:val="-4"/>
                <w:sz w:val="10"/>
                <w:szCs w:val="10"/>
              </w:rPr>
              <w:t>8</w:t>
            </w:r>
            <w:r>
              <w:rPr>
                <w:rFonts w:hint="eastAsia" w:asciiTheme="minorEastAsia" w:hAnsiTheme="minorEastAsia" w:eastAsiaTheme="minorEastAsia" w:cstheme="minorEastAsia"/>
                <w:spacing w:val="-4"/>
                <w:sz w:val="10"/>
                <w:szCs w:val="10"/>
                <w:lang w:eastAsia="zh-CN"/>
              </w:rPr>
              <w:t>％以内，</w:t>
            </w:r>
            <w:r>
              <w:rPr>
                <w:rFonts w:hint="eastAsia" w:asciiTheme="minorEastAsia" w:hAnsiTheme="minorEastAsia" w:eastAsiaTheme="minorEastAsia" w:cstheme="minorEastAsia"/>
                <w:spacing w:val="-4"/>
                <w:sz w:val="10"/>
                <w:szCs w:val="10"/>
              </w:rPr>
              <w:t>累计实现青年见习就业</w:t>
            </w:r>
            <w:r>
              <w:rPr>
                <w:rFonts w:hint="eastAsia" w:asciiTheme="minorEastAsia" w:hAnsiTheme="minorEastAsia" w:eastAsiaTheme="minorEastAsia" w:cstheme="minorEastAsia"/>
                <w:spacing w:val="-4"/>
                <w:sz w:val="10"/>
                <w:szCs w:val="10"/>
                <w:lang w:eastAsia="zh-CN"/>
              </w:rPr>
              <w:t>34人。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87" w:hRule="atLeast"/>
        </w:trPr>
        <w:tc>
          <w:tcPr>
            <w:tcW w:w="462" w:type="pct"/>
            <w:vMerge w:val="restart"/>
            <w:tcBorders>
              <w:bottom w:val="nil"/>
            </w:tcBorders>
            <w:textDirection w:val="tbRlV"/>
            <w:vAlign w:val="center"/>
          </w:tcPr>
          <w:p>
            <w:pPr>
              <w:spacing w:line="331" w:lineRule="auto"/>
              <w:jc w:val="center"/>
              <w:rPr>
                <w:rFonts w:ascii="Arial"/>
                <w:sz w:val="16"/>
                <w:szCs w:val="16"/>
              </w:rPr>
            </w:pPr>
          </w:p>
          <w:p>
            <w:pPr>
              <w:pStyle w:val="38"/>
              <w:spacing w:before="63" w:line="202" w:lineRule="auto"/>
              <w:ind w:left="2224"/>
              <w:jc w:val="center"/>
              <w:rPr>
                <w:sz w:val="16"/>
                <w:szCs w:val="16"/>
              </w:rPr>
            </w:pPr>
            <w:r>
              <w:rPr>
                <w:sz w:val="16"/>
                <w:szCs w:val="16"/>
              </w:rPr>
              <w:t>绩效指标</w:t>
            </w:r>
          </w:p>
        </w:tc>
        <w:tc>
          <w:tcPr>
            <w:tcW w:w="428" w:type="pct"/>
            <w:vAlign w:val="center"/>
          </w:tcPr>
          <w:p>
            <w:pPr>
              <w:pStyle w:val="38"/>
              <w:spacing w:before="43" w:line="226" w:lineRule="auto"/>
              <w:ind w:left="121" w:right="116"/>
              <w:jc w:val="center"/>
              <w:rPr>
                <w:sz w:val="16"/>
                <w:szCs w:val="16"/>
              </w:rPr>
            </w:pPr>
            <w:r>
              <w:rPr>
                <w:spacing w:val="5"/>
                <w:sz w:val="16"/>
                <w:szCs w:val="16"/>
              </w:rPr>
              <w:t>一级</w:t>
            </w:r>
            <w:r>
              <w:rPr>
                <w:spacing w:val="-3"/>
                <w:sz w:val="16"/>
                <w:szCs w:val="16"/>
              </w:rPr>
              <w:t>指标</w:t>
            </w:r>
          </w:p>
        </w:tc>
        <w:tc>
          <w:tcPr>
            <w:tcW w:w="428" w:type="pct"/>
            <w:vAlign w:val="center"/>
          </w:tcPr>
          <w:p>
            <w:pPr>
              <w:pStyle w:val="38"/>
              <w:spacing w:before="172" w:line="220" w:lineRule="auto"/>
              <w:ind w:left="52"/>
              <w:jc w:val="center"/>
              <w:rPr>
                <w:sz w:val="16"/>
                <w:szCs w:val="16"/>
              </w:rPr>
            </w:pPr>
            <w:r>
              <w:rPr>
                <w:spacing w:val="-2"/>
                <w:sz w:val="16"/>
                <w:szCs w:val="16"/>
              </w:rPr>
              <w:t>二级指标</w:t>
            </w:r>
          </w:p>
        </w:tc>
        <w:tc>
          <w:tcPr>
            <w:tcW w:w="1316" w:type="pct"/>
            <w:gridSpan w:val="2"/>
            <w:vAlign w:val="center"/>
          </w:tcPr>
          <w:p>
            <w:pPr>
              <w:pStyle w:val="38"/>
              <w:spacing w:before="172" w:line="220" w:lineRule="auto"/>
              <w:ind w:left="963"/>
              <w:jc w:val="center"/>
              <w:rPr>
                <w:sz w:val="16"/>
                <w:szCs w:val="16"/>
              </w:rPr>
            </w:pPr>
            <w:r>
              <w:rPr>
                <w:spacing w:val="-2"/>
                <w:sz w:val="16"/>
                <w:szCs w:val="16"/>
              </w:rPr>
              <w:t>三级指标</w:t>
            </w:r>
          </w:p>
        </w:tc>
        <w:tc>
          <w:tcPr>
            <w:tcW w:w="260" w:type="pct"/>
            <w:vAlign w:val="center"/>
          </w:tcPr>
          <w:p>
            <w:pPr>
              <w:pStyle w:val="38"/>
              <w:spacing w:before="171" w:line="219" w:lineRule="auto"/>
              <w:ind w:left="65"/>
              <w:jc w:val="center"/>
              <w:rPr>
                <w:sz w:val="16"/>
                <w:szCs w:val="16"/>
              </w:rPr>
            </w:pPr>
            <w:r>
              <w:rPr>
                <w:spacing w:val="-3"/>
                <w:sz w:val="16"/>
                <w:szCs w:val="16"/>
              </w:rPr>
              <w:t>分值</w:t>
            </w:r>
          </w:p>
        </w:tc>
        <w:tc>
          <w:tcPr>
            <w:tcW w:w="545" w:type="pct"/>
            <w:vAlign w:val="center"/>
          </w:tcPr>
          <w:p>
            <w:pPr>
              <w:pStyle w:val="38"/>
              <w:spacing w:before="171" w:line="219" w:lineRule="auto"/>
              <w:ind w:left="85"/>
              <w:jc w:val="center"/>
              <w:rPr>
                <w:sz w:val="16"/>
                <w:szCs w:val="16"/>
              </w:rPr>
            </w:pPr>
            <w:r>
              <w:rPr>
                <w:spacing w:val="-2"/>
                <w:sz w:val="16"/>
                <w:szCs w:val="16"/>
              </w:rPr>
              <w:t>年度指标值</w:t>
            </w:r>
          </w:p>
        </w:tc>
        <w:tc>
          <w:tcPr>
            <w:tcW w:w="404" w:type="pct"/>
            <w:vAlign w:val="center"/>
          </w:tcPr>
          <w:p>
            <w:pPr>
              <w:pStyle w:val="38"/>
              <w:spacing w:before="61" w:line="214" w:lineRule="auto"/>
              <w:ind w:left="26"/>
              <w:jc w:val="center"/>
              <w:rPr>
                <w:sz w:val="16"/>
                <w:szCs w:val="16"/>
              </w:rPr>
            </w:pPr>
            <w:r>
              <w:rPr>
                <w:spacing w:val="-2"/>
                <w:sz w:val="16"/>
                <w:szCs w:val="16"/>
              </w:rPr>
              <w:t>全年实际</w:t>
            </w:r>
          </w:p>
          <w:p>
            <w:pPr>
              <w:pStyle w:val="38"/>
              <w:spacing w:line="219" w:lineRule="auto"/>
              <w:ind w:left="305"/>
              <w:jc w:val="center"/>
              <w:rPr>
                <w:sz w:val="16"/>
                <w:szCs w:val="16"/>
              </w:rPr>
            </w:pPr>
            <w:r>
              <w:rPr>
                <w:sz w:val="16"/>
                <w:szCs w:val="16"/>
              </w:rPr>
              <w:t>值</w:t>
            </w:r>
          </w:p>
        </w:tc>
        <w:tc>
          <w:tcPr>
            <w:tcW w:w="365" w:type="pct"/>
            <w:vAlign w:val="center"/>
          </w:tcPr>
          <w:p>
            <w:pPr>
              <w:pStyle w:val="38"/>
              <w:spacing w:before="171" w:line="219" w:lineRule="auto"/>
              <w:ind w:left="107"/>
              <w:jc w:val="center"/>
              <w:rPr>
                <w:sz w:val="16"/>
                <w:szCs w:val="16"/>
              </w:rPr>
            </w:pPr>
            <w:r>
              <w:rPr>
                <w:spacing w:val="-3"/>
                <w:sz w:val="16"/>
                <w:szCs w:val="16"/>
              </w:rPr>
              <w:t>得分</w:t>
            </w:r>
          </w:p>
        </w:tc>
        <w:tc>
          <w:tcPr>
            <w:tcW w:w="788" w:type="pct"/>
            <w:gridSpan w:val="2"/>
            <w:vAlign w:val="center"/>
          </w:tcPr>
          <w:p>
            <w:pPr>
              <w:pStyle w:val="38"/>
              <w:spacing w:before="70" w:line="213" w:lineRule="auto"/>
              <w:ind w:left="18"/>
              <w:jc w:val="center"/>
              <w:rPr>
                <w:sz w:val="16"/>
                <w:szCs w:val="16"/>
              </w:rPr>
            </w:pPr>
            <w:r>
              <w:rPr>
                <w:spacing w:val="-8"/>
                <w:sz w:val="16"/>
                <w:szCs w:val="16"/>
              </w:rPr>
              <w:t>未完成原因及拟</w:t>
            </w:r>
            <w:r>
              <w:rPr>
                <w:spacing w:val="-9"/>
                <w:sz w:val="16"/>
                <w:szCs w:val="16"/>
              </w:rPr>
              <w:t>采取的改进措施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46" w:hRule="atLeast"/>
        </w:trPr>
        <w:tc>
          <w:tcPr>
            <w:tcW w:w="462" w:type="pct"/>
            <w:vMerge w:val="continue"/>
            <w:tcBorders>
              <w:top w:val="nil"/>
              <w:bottom w:val="nil"/>
            </w:tcBorders>
            <w:textDirection w:val="tbRlV"/>
            <w:vAlign w:val="center"/>
          </w:tcPr>
          <w:p>
            <w:pPr>
              <w:jc w:val="center"/>
              <w:rPr>
                <w:rFonts w:ascii="Arial"/>
                <w:sz w:val="16"/>
                <w:szCs w:val="16"/>
              </w:rPr>
            </w:pPr>
          </w:p>
        </w:tc>
        <w:tc>
          <w:tcPr>
            <w:tcW w:w="428" w:type="pct"/>
            <w:vMerge w:val="restart"/>
            <w:tcBorders>
              <w:bottom w:val="nil"/>
            </w:tcBorders>
            <w:textDirection w:val="tbRlV"/>
            <w:vAlign w:val="center"/>
          </w:tcPr>
          <w:p>
            <w:pPr>
              <w:pStyle w:val="38"/>
              <w:spacing w:before="206" w:line="201" w:lineRule="auto"/>
              <w:ind w:left="744"/>
              <w:jc w:val="center"/>
              <w:rPr>
                <w:sz w:val="16"/>
                <w:szCs w:val="16"/>
              </w:rPr>
            </w:pPr>
            <w:r>
              <w:rPr>
                <w:sz w:val="16"/>
                <w:szCs w:val="16"/>
              </w:rPr>
              <mc:AlternateContent>
                <mc:Choice Requires="wps">
                  <w:drawing>
                    <wp:anchor distT="0" distB="0" distL="114300" distR="114300" simplePos="0" relativeHeight="251664384" behindDoc="0" locked="0" layoutInCell="1" allowOverlap="1">
                      <wp:simplePos x="0" y="0"/>
                      <wp:positionH relativeFrom="page">
                        <wp:posOffset>-11430</wp:posOffset>
                      </wp:positionH>
                      <wp:positionV relativeFrom="page">
                        <wp:posOffset>1087120</wp:posOffset>
                      </wp:positionV>
                      <wp:extent cx="412750" cy="161925"/>
                      <wp:effectExtent l="0" t="0" r="0" b="0"/>
                      <wp:wrapNone/>
                      <wp:docPr id="7" name="文本框 7"/>
                      <wp:cNvGraphicFramePr/>
                      <a:graphic xmlns:a="http://schemas.openxmlformats.org/drawingml/2006/main">
                        <a:graphicData uri="http://schemas.microsoft.com/office/word/2010/wordprocessingShape">
                          <wps:wsp>
                            <wps:cNvSpPr txBox="1"/>
                            <wps:spPr>
                              <a:xfrm>
                                <a:off x="0" y="0"/>
                                <a:ext cx="412750" cy="161925"/>
                              </a:xfrm>
                              <a:prstGeom prst="rect">
                                <a:avLst/>
                              </a:prstGeom>
                              <a:noFill/>
                              <a:ln>
                                <a:noFill/>
                              </a:ln>
                            </wps:spPr>
                            <wps:txbx>
                              <w:txbxContent>
                                <w:p>
                                  <w:pPr>
                                    <w:pStyle w:val="38"/>
                                    <w:spacing w:before="20" w:line="220" w:lineRule="auto"/>
                                    <w:ind w:left="20"/>
                                    <w:rPr>
                                      <w:sz w:val="18"/>
                                      <w:szCs w:val="18"/>
                                    </w:rPr>
                                  </w:pPr>
                                  <w:r>
                                    <w:rPr>
                                      <w:spacing w:val="13"/>
                                      <w:sz w:val="18"/>
                                      <w:szCs w:val="18"/>
                                    </w:rPr>
                                    <w:t>(50分)</w:t>
                                  </w:r>
                                </w:p>
                              </w:txbxContent>
                            </wps:txbx>
                            <wps:bodyPr lIns="0" tIns="0" rIns="0" bIns="0" upright="0"/>
                          </wps:wsp>
                        </a:graphicData>
                      </a:graphic>
                    </wp:anchor>
                  </w:drawing>
                </mc:Choice>
                <mc:Fallback>
                  <w:pict>
                    <v:shape id="_x0000_s1026" o:spid="_x0000_s1026" o:spt="202" type="#_x0000_t202" style="position:absolute;left:0pt;margin-left:-0.9pt;margin-top:85.6pt;height:12.75pt;width:32.5pt;mso-position-horizontal-relative:page;mso-position-vertical-relative:page;z-index:251664384;mso-width-relative:page;mso-height-relative:page;" filled="f" stroked="f" coordsize="21600,21600" o:gfxdata="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BVEwZm2AAAAAkBAAAPAAAAAAAAAAEAIAAAADgA&#10;AABkcnMvZG93bnJldi54bWxQSwECFAAUAAAACACHTuJAfTSdCboBAABxAwAADgAAAAAAAAABACAA&#10;AAA9AQAAZHJzL2Uyb0RvYy54bWxQSwUGAAAAAAYABgBZAQAAaQUAAAAA&#10;">
                      <v:fill on="f" focussize="0,0"/>
                      <v:stroke on="f"/>
                      <v:imagedata o:title=""/>
                      <o:lock v:ext="edit" aspectratio="f"/>
                      <v:textbox inset="0mm,0mm,0mm,0mm">
                        <w:txbxContent>
                          <w:p>
                            <w:pPr>
                              <w:pStyle w:val="38"/>
                              <w:spacing w:before="20" w:line="220" w:lineRule="auto"/>
                              <w:ind w:left="20"/>
                              <w:rPr>
                                <w:sz w:val="18"/>
                                <w:szCs w:val="18"/>
                              </w:rPr>
                            </w:pPr>
                            <w:r>
                              <w:rPr>
                                <w:spacing w:val="13"/>
                                <w:sz w:val="18"/>
                                <w:szCs w:val="18"/>
                              </w:rPr>
                              <w:t>(50分)</w:t>
                            </w:r>
                          </w:p>
                        </w:txbxContent>
                      </v:textbox>
                    </v:shape>
                  </w:pict>
                </mc:Fallback>
              </mc:AlternateContent>
            </w:r>
            <w:r>
              <w:rPr>
                <w:spacing w:val="11"/>
                <w:sz w:val="16"/>
                <w:szCs w:val="16"/>
              </w:rPr>
              <w:t>产出指标</w:t>
            </w:r>
          </w:p>
        </w:tc>
        <w:tc>
          <w:tcPr>
            <w:tcW w:w="428" w:type="pct"/>
            <w:vMerge w:val="restart"/>
            <w:tcBorders>
              <w:bottom w:val="nil"/>
            </w:tcBorders>
            <w:vAlign w:val="center"/>
          </w:tcPr>
          <w:p>
            <w:pPr>
              <w:pStyle w:val="38"/>
              <w:spacing w:before="142" w:line="219" w:lineRule="auto"/>
              <w:ind w:left="52"/>
              <w:jc w:val="center"/>
              <w:rPr>
                <w:sz w:val="16"/>
                <w:szCs w:val="16"/>
              </w:rPr>
            </w:pPr>
            <w:r>
              <w:rPr>
                <w:spacing w:val="-2"/>
                <w:sz w:val="16"/>
                <w:szCs w:val="16"/>
              </w:rPr>
              <w:t>数量指标</w:t>
            </w:r>
          </w:p>
        </w:tc>
        <w:tc>
          <w:tcPr>
            <w:tcW w:w="1316" w:type="pct"/>
            <w:gridSpan w:val="2"/>
            <w:vAlign w:val="center"/>
          </w:tcPr>
          <w:p>
            <w:pPr>
              <w:pStyle w:val="38"/>
              <w:spacing w:before="22" w:line="192" w:lineRule="auto"/>
              <w:ind w:left="293"/>
              <w:jc w:val="center"/>
              <w:rPr>
                <w:sz w:val="16"/>
                <w:szCs w:val="16"/>
              </w:rPr>
            </w:pPr>
            <w:r>
              <w:rPr>
                <w:spacing w:val="-1"/>
                <w:sz w:val="16"/>
                <w:szCs w:val="16"/>
              </w:rPr>
              <w:t>享受公益性岗位补贴人数</w:t>
            </w:r>
          </w:p>
        </w:tc>
        <w:tc>
          <w:tcPr>
            <w:tcW w:w="260" w:type="pct"/>
            <w:vAlign w:val="center"/>
          </w:tcPr>
          <w:p>
            <w:pPr>
              <w:pStyle w:val="38"/>
              <w:spacing w:before="28" w:line="192" w:lineRule="exact"/>
              <w:ind w:left="135"/>
              <w:jc w:val="center"/>
              <w:rPr>
                <w:sz w:val="16"/>
                <w:szCs w:val="16"/>
              </w:rPr>
            </w:pPr>
            <w:r>
              <w:rPr>
                <w:spacing w:val="-7"/>
                <w:position w:val="-3"/>
                <w:sz w:val="16"/>
                <w:szCs w:val="16"/>
              </w:rPr>
              <w:t>15</w:t>
            </w:r>
          </w:p>
        </w:tc>
        <w:tc>
          <w:tcPr>
            <w:tcW w:w="545" w:type="pct"/>
            <w:vAlign w:val="center"/>
          </w:tcPr>
          <w:p>
            <w:pPr>
              <w:pStyle w:val="38"/>
              <w:spacing w:before="25" w:line="189" w:lineRule="auto"/>
              <w:ind w:left="224"/>
              <w:jc w:val="center"/>
              <w:rPr>
                <w:sz w:val="16"/>
                <w:szCs w:val="16"/>
              </w:rPr>
            </w:pPr>
            <w:r>
              <w:rPr>
                <w:spacing w:val="2"/>
                <w:sz w:val="16"/>
                <w:szCs w:val="16"/>
              </w:rPr>
              <w:t>≥100人</w:t>
            </w:r>
          </w:p>
        </w:tc>
        <w:tc>
          <w:tcPr>
            <w:tcW w:w="404" w:type="pct"/>
            <w:vAlign w:val="center"/>
          </w:tcPr>
          <w:p>
            <w:pPr>
              <w:pStyle w:val="38"/>
              <w:spacing w:before="41" w:line="173" w:lineRule="auto"/>
              <w:ind w:left="256"/>
              <w:jc w:val="center"/>
              <w:rPr>
                <w:sz w:val="16"/>
                <w:szCs w:val="16"/>
              </w:rPr>
            </w:pPr>
            <w:r>
              <w:rPr>
                <w:spacing w:val="-3"/>
                <w:sz w:val="16"/>
                <w:szCs w:val="16"/>
              </w:rPr>
              <w:t>267</w:t>
            </w:r>
          </w:p>
        </w:tc>
        <w:tc>
          <w:tcPr>
            <w:tcW w:w="365" w:type="pct"/>
            <w:vAlign w:val="center"/>
          </w:tcPr>
          <w:p>
            <w:pPr>
              <w:pStyle w:val="38"/>
              <w:spacing w:before="41" w:line="173" w:lineRule="auto"/>
              <w:ind w:left="197"/>
              <w:jc w:val="center"/>
              <w:rPr>
                <w:sz w:val="16"/>
                <w:szCs w:val="16"/>
              </w:rPr>
            </w:pPr>
            <w:r>
              <w:rPr>
                <w:spacing w:val="-6"/>
                <w:sz w:val="16"/>
                <w:szCs w:val="16"/>
              </w:rPr>
              <w:t>15</w:t>
            </w:r>
          </w:p>
        </w:tc>
        <w:tc>
          <w:tcPr>
            <w:tcW w:w="788" w:type="pct"/>
            <w:gridSpan w:val="2"/>
            <w:vAlign w:val="center"/>
          </w:tcPr>
          <w:p>
            <w:pPr>
              <w:spacing w:line="220" w:lineRule="exact"/>
              <w:jc w:val="center"/>
              <w:rPr>
                <w:rFonts w:ascii="Arial"/>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46" w:hRule="atLeast"/>
        </w:trPr>
        <w:tc>
          <w:tcPr>
            <w:tcW w:w="462" w:type="pct"/>
            <w:vMerge w:val="continue"/>
            <w:tcBorders>
              <w:top w:val="nil"/>
              <w:bottom w:val="nil"/>
            </w:tcBorders>
            <w:textDirection w:val="tbRlV"/>
            <w:vAlign w:val="center"/>
          </w:tcPr>
          <w:p>
            <w:pPr>
              <w:jc w:val="center"/>
              <w:rPr>
                <w:rFonts w:ascii="Arial"/>
                <w:sz w:val="16"/>
                <w:szCs w:val="16"/>
              </w:rPr>
            </w:pPr>
          </w:p>
        </w:tc>
        <w:tc>
          <w:tcPr>
            <w:tcW w:w="428" w:type="pct"/>
            <w:vMerge w:val="continue"/>
            <w:tcBorders>
              <w:top w:val="nil"/>
              <w:bottom w:val="nil"/>
            </w:tcBorders>
            <w:textDirection w:val="tbRlV"/>
            <w:vAlign w:val="center"/>
          </w:tcPr>
          <w:p>
            <w:pPr>
              <w:jc w:val="center"/>
              <w:rPr>
                <w:rFonts w:ascii="Arial"/>
                <w:sz w:val="16"/>
                <w:szCs w:val="16"/>
              </w:rPr>
            </w:pPr>
          </w:p>
        </w:tc>
        <w:tc>
          <w:tcPr>
            <w:tcW w:w="428" w:type="pct"/>
            <w:vMerge w:val="continue"/>
            <w:tcBorders>
              <w:top w:val="nil"/>
            </w:tcBorders>
            <w:vAlign w:val="center"/>
          </w:tcPr>
          <w:p>
            <w:pPr>
              <w:jc w:val="center"/>
              <w:rPr>
                <w:rFonts w:ascii="Arial"/>
                <w:sz w:val="16"/>
                <w:szCs w:val="16"/>
              </w:rPr>
            </w:pPr>
          </w:p>
        </w:tc>
        <w:tc>
          <w:tcPr>
            <w:tcW w:w="1316" w:type="pct"/>
            <w:gridSpan w:val="2"/>
            <w:vAlign w:val="center"/>
          </w:tcPr>
          <w:p>
            <w:pPr>
              <w:pStyle w:val="38"/>
              <w:spacing w:before="22" w:line="192" w:lineRule="auto"/>
              <w:ind w:left="583"/>
              <w:jc w:val="center"/>
              <w:rPr>
                <w:sz w:val="16"/>
                <w:szCs w:val="16"/>
              </w:rPr>
            </w:pPr>
            <w:r>
              <w:rPr>
                <w:spacing w:val="-1"/>
                <w:sz w:val="16"/>
                <w:szCs w:val="16"/>
              </w:rPr>
              <w:t>享受见习补贴人数</w:t>
            </w:r>
          </w:p>
        </w:tc>
        <w:tc>
          <w:tcPr>
            <w:tcW w:w="260" w:type="pct"/>
            <w:vAlign w:val="center"/>
          </w:tcPr>
          <w:p>
            <w:pPr>
              <w:pStyle w:val="38"/>
              <w:spacing w:before="28" w:line="192" w:lineRule="exact"/>
              <w:ind w:left="135"/>
              <w:jc w:val="center"/>
              <w:rPr>
                <w:sz w:val="16"/>
                <w:szCs w:val="16"/>
              </w:rPr>
            </w:pPr>
            <w:r>
              <w:rPr>
                <w:spacing w:val="-7"/>
                <w:position w:val="-3"/>
                <w:sz w:val="16"/>
                <w:szCs w:val="16"/>
              </w:rPr>
              <w:t>15</w:t>
            </w:r>
          </w:p>
        </w:tc>
        <w:tc>
          <w:tcPr>
            <w:tcW w:w="545" w:type="pct"/>
            <w:vAlign w:val="center"/>
          </w:tcPr>
          <w:p>
            <w:pPr>
              <w:pStyle w:val="38"/>
              <w:spacing w:before="25" w:line="189" w:lineRule="auto"/>
              <w:ind w:left="275"/>
              <w:jc w:val="center"/>
              <w:rPr>
                <w:sz w:val="16"/>
                <w:szCs w:val="16"/>
              </w:rPr>
            </w:pPr>
            <w:r>
              <w:rPr>
                <w:spacing w:val="2"/>
                <w:sz w:val="16"/>
                <w:szCs w:val="16"/>
              </w:rPr>
              <w:t>≥20人</w:t>
            </w:r>
          </w:p>
        </w:tc>
        <w:tc>
          <w:tcPr>
            <w:tcW w:w="404" w:type="pct"/>
            <w:vAlign w:val="center"/>
          </w:tcPr>
          <w:p>
            <w:pPr>
              <w:pStyle w:val="38"/>
              <w:spacing w:before="41" w:line="173" w:lineRule="auto"/>
              <w:ind w:left="305"/>
              <w:jc w:val="center"/>
              <w:rPr>
                <w:sz w:val="16"/>
                <w:szCs w:val="16"/>
              </w:rPr>
            </w:pPr>
            <w:r>
              <w:rPr>
                <w:spacing w:val="-3"/>
                <w:sz w:val="16"/>
                <w:szCs w:val="16"/>
              </w:rPr>
              <w:t>34</w:t>
            </w:r>
          </w:p>
        </w:tc>
        <w:tc>
          <w:tcPr>
            <w:tcW w:w="365" w:type="pct"/>
            <w:vAlign w:val="center"/>
          </w:tcPr>
          <w:p>
            <w:pPr>
              <w:pStyle w:val="38"/>
              <w:spacing w:before="41" w:line="173" w:lineRule="auto"/>
              <w:ind w:left="197"/>
              <w:jc w:val="center"/>
              <w:rPr>
                <w:sz w:val="16"/>
                <w:szCs w:val="16"/>
              </w:rPr>
            </w:pPr>
            <w:r>
              <w:rPr>
                <w:spacing w:val="-6"/>
                <w:sz w:val="16"/>
                <w:szCs w:val="16"/>
              </w:rPr>
              <w:t>15</w:t>
            </w:r>
          </w:p>
        </w:tc>
        <w:tc>
          <w:tcPr>
            <w:tcW w:w="788" w:type="pct"/>
            <w:gridSpan w:val="2"/>
            <w:vAlign w:val="center"/>
          </w:tcPr>
          <w:p>
            <w:pPr>
              <w:spacing w:line="220" w:lineRule="exact"/>
              <w:jc w:val="center"/>
              <w:rPr>
                <w:rFonts w:ascii="Arial"/>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46" w:hRule="atLeast"/>
        </w:trPr>
        <w:tc>
          <w:tcPr>
            <w:tcW w:w="462" w:type="pct"/>
            <w:vMerge w:val="continue"/>
            <w:tcBorders>
              <w:top w:val="nil"/>
              <w:bottom w:val="nil"/>
            </w:tcBorders>
            <w:textDirection w:val="tbRlV"/>
            <w:vAlign w:val="center"/>
          </w:tcPr>
          <w:p>
            <w:pPr>
              <w:jc w:val="center"/>
              <w:rPr>
                <w:rFonts w:ascii="Arial"/>
                <w:sz w:val="16"/>
                <w:szCs w:val="16"/>
              </w:rPr>
            </w:pPr>
          </w:p>
        </w:tc>
        <w:tc>
          <w:tcPr>
            <w:tcW w:w="428" w:type="pct"/>
            <w:vMerge w:val="continue"/>
            <w:tcBorders>
              <w:top w:val="nil"/>
              <w:bottom w:val="nil"/>
            </w:tcBorders>
            <w:textDirection w:val="tbRlV"/>
            <w:vAlign w:val="center"/>
          </w:tcPr>
          <w:p>
            <w:pPr>
              <w:jc w:val="center"/>
              <w:rPr>
                <w:rFonts w:ascii="Arial"/>
                <w:sz w:val="16"/>
                <w:szCs w:val="16"/>
              </w:rPr>
            </w:pPr>
          </w:p>
        </w:tc>
        <w:tc>
          <w:tcPr>
            <w:tcW w:w="428" w:type="pct"/>
            <w:vAlign w:val="center"/>
          </w:tcPr>
          <w:p>
            <w:pPr>
              <w:pStyle w:val="38"/>
              <w:spacing w:before="41" w:line="173" w:lineRule="auto"/>
              <w:ind w:left="12"/>
              <w:jc w:val="center"/>
              <w:rPr>
                <w:sz w:val="16"/>
                <w:szCs w:val="16"/>
              </w:rPr>
            </w:pPr>
            <w:r>
              <w:rPr>
                <w:spacing w:val="-5"/>
                <w:sz w:val="16"/>
                <w:szCs w:val="16"/>
              </w:rPr>
              <w:t>……</w:t>
            </w:r>
          </w:p>
        </w:tc>
        <w:tc>
          <w:tcPr>
            <w:tcW w:w="1316" w:type="pct"/>
            <w:gridSpan w:val="2"/>
            <w:vAlign w:val="center"/>
          </w:tcPr>
          <w:p>
            <w:pPr>
              <w:spacing w:line="220" w:lineRule="exact"/>
              <w:jc w:val="center"/>
              <w:rPr>
                <w:rFonts w:ascii="Arial"/>
                <w:sz w:val="16"/>
                <w:szCs w:val="16"/>
              </w:rPr>
            </w:pPr>
          </w:p>
        </w:tc>
        <w:tc>
          <w:tcPr>
            <w:tcW w:w="260" w:type="pct"/>
            <w:vAlign w:val="center"/>
          </w:tcPr>
          <w:p>
            <w:pPr>
              <w:spacing w:line="220" w:lineRule="exact"/>
              <w:jc w:val="center"/>
              <w:rPr>
                <w:rFonts w:ascii="Arial"/>
                <w:sz w:val="16"/>
                <w:szCs w:val="16"/>
              </w:rPr>
            </w:pPr>
          </w:p>
        </w:tc>
        <w:tc>
          <w:tcPr>
            <w:tcW w:w="545" w:type="pct"/>
            <w:vAlign w:val="center"/>
          </w:tcPr>
          <w:p>
            <w:pPr>
              <w:spacing w:line="220" w:lineRule="exact"/>
              <w:jc w:val="center"/>
              <w:rPr>
                <w:rFonts w:ascii="Arial"/>
                <w:sz w:val="16"/>
                <w:szCs w:val="16"/>
              </w:rPr>
            </w:pPr>
          </w:p>
        </w:tc>
        <w:tc>
          <w:tcPr>
            <w:tcW w:w="404" w:type="pct"/>
            <w:vAlign w:val="center"/>
          </w:tcPr>
          <w:p>
            <w:pPr>
              <w:spacing w:line="220" w:lineRule="exact"/>
              <w:jc w:val="center"/>
              <w:rPr>
                <w:rFonts w:ascii="Arial"/>
                <w:sz w:val="16"/>
                <w:szCs w:val="16"/>
              </w:rPr>
            </w:pPr>
          </w:p>
        </w:tc>
        <w:tc>
          <w:tcPr>
            <w:tcW w:w="365" w:type="pct"/>
            <w:vAlign w:val="center"/>
          </w:tcPr>
          <w:p>
            <w:pPr>
              <w:spacing w:line="220" w:lineRule="exact"/>
              <w:jc w:val="center"/>
              <w:rPr>
                <w:rFonts w:ascii="Arial"/>
                <w:sz w:val="16"/>
                <w:szCs w:val="16"/>
              </w:rPr>
            </w:pPr>
          </w:p>
        </w:tc>
        <w:tc>
          <w:tcPr>
            <w:tcW w:w="788" w:type="pct"/>
            <w:gridSpan w:val="2"/>
            <w:vAlign w:val="center"/>
          </w:tcPr>
          <w:p>
            <w:pPr>
              <w:spacing w:line="220" w:lineRule="exact"/>
              <w:jc w:val="center"/>
              <w:rPr>
                <w:rFonts w:ascii="Arial"/>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07" w:hRule="atLeast"/>
        </w:trPr>
        <w:tc>
          <w:tcPr>
            <w:tcW w:w="462" w:type="pct"/>
            <w:vMerge w:val="continue"/>
            <w:tcBorders>
              <w:top w:val="nil"/>
              <w:bottom w:val="nil"/>
            </w:tcBorders>
            <w:textDirection w:val="tbRlV"/>
            <w:vAlign w:val="center"/>
          </w:tcPr>
          <w:p>
            <w:pPr>
              <w:jc w:val="center"/>
              <w:rPr>
                <w:rFonts w:ascii="Arial"/>
                <w:sz w:val="16"/>
                <w:szCs w:val="16"/>
              </w:rPr>
            </w:pPr>
          </w:p>
        </w:tc>
        <w:tc>
          <w:tcPr>
            <w:tcW w:w="428" w:type="pct"/>
            <w:vMerge w:val="continue"/>
            <w:tcBorders>
              <w:top w:val="nil"/>
              <w:bottom w:val="nil"/>
            </w:tcBorders>
            <w:textDirection w:val="tbRlV"/>
            <w:vAlign w:val="center"/>
          </w:tcPr>
          <w:p>
            <w:pPr>
              <w:jc w:val="center"/>
              <w:rPr>
                <w:rFonts w:ascii="Arial"/>
                <w:sz w:val="16"/>
                <w:szCs w:val="16"/>
              </w:rPr>
            </w:pPr>
          </w:p>
        </w:tc>
        <w:tc>
          <w:tcPr>
            <w:tcW w:w="428" w:type="pct"/>
            <w:vAlign w:val="center"/>
          </w:tcPr>
          <w:p>
            <w:pPr>
              <w:pStyle w:val="38"/>
              <w:spacing w:before="263" w:line="220" w:lineRule="auto"/>
              <w:ind w:left="52"/>
              <w:jc w:val="center"/>
              <w:rPr>
                <w:sz w:val="16"/>
                <w:szCs w:val="16"/>
              </w:rPr>
            </w:pPr>
            <w:r>
              <w:rPr>
                <w:spacing w:val="1"/>
                <w:sz w:val="16"/>
                <w:szCs w:val="16"/>
              </w:rPr>
              <w:t>时效指标</w:t>
            </w:r>
          </w:p>
        </w:tc>
        <w:tc>
          <w:tcPr>
            <w:tcW w:w="1316" w:type="pct"/>
            <w:gridSpan w:val="2"/>
            <w:vAlign w:val="center"/>
          </w:tcPr>
          <w:p>
            <w:pPr>
              <w:pStyle w:val="38"/>
              <w:spacing w:before="262" w:line="219" w:lineRule="auto"/>
              <w:ind w:left="673"/>
              <w:jc w:val="center"/>
              <w:rPr>
                <w:sz w:val="16"/>
                <w:szCs w:val="16"/>
              </w:rPr>
            </w:pPr>
            <w:r>
              <w:rPr>
                <w:spacing w:val="1"/>
                <w:sz w:val="16"/>
                <w:szCs w:val="16"/>
              </w:rPr>
              <w:t>资金拨付准确率</w:t>
            </w:r>
          </w:p>
        </w:tc>
        <w:tc>
          <w:tcPr>
            <w:tcW w:w="260" w:type="pct"/>
            <w:vAlign w:val="center"/>
          </w:tcPr>
          <w:p>
            <w:pPr>
              <w:pStyle w:val="38"/>
              <w:spacing w:before="281"/>
              <w:ind w:left="154"/>
              <w:jc w:val="center"/>
              <w:rPr>
                <w:sz w:val="16"/>
                <w:szCs w:val="16"/>
              </w:rPr>
            </w:pPr>
            <w:r>
              <w:rPr>
                <w:spacing w:val="-6"/>
                <w:sz w:val="16"/>
                <w:szCs w:val="16"/>
              </w:rPr>
              <w:t>10</w:t>
            </w:r>
          </w:p>
        </w:tc>
        <w:tc>
          <w:tcPr>
            <w:tcW w:w="545" w:type="pct"/>
            <w:vAlign w:val="center"/>
          </w:tcPr>
          <w:p>
            <w:pPr>
              <w:pStyle w:val="38"/>
              <w:spacing w:before="281" w:line="237" w:lineRule="auto"/>
              <w:ind w:left="325"/>
              <w:jc w:val="center"/>
              <w:rPr>
                <w:rFonts w:hint="eastAsia" w:eastAsia="宋体"/>
                <w:sz w:val="16"/>
                <w:szCs w:val="16"/>
                <w:lang w:eastAsia="zh-CN"/>
              </w:rPr>
            </w:pPr>
            <w:r>
              <w:rPr>
                <w:spacing w:val="-6"/>
                <w:sz w:val="16"/>
                <w:szCs w:val="16"/>
              </w:rPr>
              <w:t>≥95</w:t>
            </w:r>
            <w:r>
              <w:rPr>
                <w:rFonts w:hint="eastAsia"/>
                <w:spacing w:val="-6"/>
                <w:sz w:val="16"/>
                <w:szCs w:val="16"/>
                <w:lang w:eastAsia="zh-CN"/>
              </w:rPr>
              <w:t>%</w:t>
            </w:r>
          </w:p>
        </w:tc>
        <w:tc>
          <w:tcPr>
            <w:tcW w:w="404" w:type="pct"/>
            <w:vAlign w:val="center"/>
          </w:tcPr>
          <w:p>
            <w:pPr>
              <w:pStyle w:val="38"/>
              <w:spacing w:before="281"/>
              <w:ind w:left="256"/>
              <w:jc w:val="center"/>
              <w:rPr>
                <w:rFonts w:hint="eastAsia" w:eastAsia="宋体"/>
                <w:sz w:val="16"/>
                <w:szCs w:val="16"/>
                <w:lang w:eastAsia="zh-CN"/>
              </w:rPr>
            </w:pPr>
            <w:r>
              <w:rPr>
                <w:spacing w:val="-2"/>
                <w:sz w:val="16"/>
                <w:szCs w:val="16"/>
              </w:rPr>
              <w:t>94</w:t>
            </w:r>
            <w:r>
              <w:rPr>
                <w:rFonts w:hint="eastAsia"/>
                <w:spacing w:val="-2"/>
                <w:sz w:val="16"/>
                <w:szCs w:val="16"/>
                <w:lang w:eastAsia="zh-CN"/>
              </w:rPr>
              <w:t>%</w:t>
            </w:r>
          </w:p>
        </w:tc>
        <w:tc>
          <w:tcPr>
            <w:tcW w:w="365" w:type="pct"/>
            <w:vAlign w:val="center"/>
          </w:tcPr>
          <w:p>
            <w:pPr>
              <w:pStyle w:val="38"/>
              <w:spacing w:before="281"/>
              <w:ind w:left="247"/>
              <w:jc w:val="center"/>
              <w:rPr>
                <w:sz w:val="16"/>
                <w:szCs w:val="16"/>
              </w:rPr>
            </w:pPr>
            <w:r>
              <w:rPr>
                <w:sz w:val="16"/>
                <w:szCs w:val="16"/>
              </w:rPr>
              <w:t>8</w:t>
            </w:r>
          </w:p>
        </w:tc>
        <w:tc>
          <w:tcPr>
            <w:tcW w:w="788" w:type="pct"/>
            <w:gridSpan w:val="2"/>
            <w:vAlign w:val="center"/>
          </w:tcPr>
          <w:p>
            <w:pPr>
              <w:jc w:val="center"/>
              <w:rPr>
                <w:rFonts w:ascii="Arial"/>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92" w:hRule="atLeast"/>
        </w:trPr>
        <w:tc>
          <w:tcPr>
            <w:tcW w:w="462" w:type="pct"/>
            <w:vMerge w:val="continue"/>
            <w:tcBorders>
              <w:top w:val="nil"/>
              <w:bottom w:val="nil"/>
            </w:tcBorders>
            <w:textDirection w:val="tbRlV"/>
            <w:vAlign w:val="center"/>
          </w:tcPr>
          <w:p>
            <w:pPr>
              <w:jc w:val="center"/>
              <w:rPr>
                <w:rFonts w:ascii="Arial"/>
                <w:sz w:val="16"/>
                <w:szCs w:val="16"/>
              </w:rPr>
            </w:pPr>
          </w:p>
        </w:tc>
        <w:tc>
          <w:tcPr>
            <w:tcW w:w="428" w:type="pct"/>
            <w:vMerge w:val="continue"/>
            <w:tcBorders>
              <w:top w:val="nil"/>
              <w:bottom w:val="nil"/>
            </w:tcBorders>
            <w:textDirection w:val="tbRlV"/>
            <w:vAlign w:val="center"/>
          </w:tcPr>
          <w:p>
            <w:pPr>
              <w:jc w:val="center"/>
              <w:rPr>
                <w:rFonts w:ascii="Arial"/>
                <w:sz w:val="16"/>
                <w:szCs w:val="16"/>
              </w:rPr>
            </w:pPr>
          </w:p>
        </w:tc>
        <w:tc>
          <w:tcPr>
            <w:tcW w:w="428" w:type="pct"/>
            <w:vMerge w:val="restart"/>
            <w:tcBorders>
              <w:bottom w:val="nil"/>
            </w:tcBorders>
            <w:vAlign w:val="center"/>
          </w:tcPr>
          <w:p>
            <w:pPr>
              <w:spacing w:line="348" w:lineRule="auto"/>
              <w:jc w:val="center"/>
              <w:rPr>
                <w:rFonts w:ascii="Arial"/>
                <w:sz w:val="16"/>
                <w:szCs w:val="16"/>
              </w:rPr>
            </w:pPr>
          </w:p>
          <w:p>
            <w:pPr>
              <w:pStyle w:val="38"/>
              <w:spacing w:before="62" w:line="219" w:lineRule="auto"/>
              <w:ind w:left="52"/>
              <w:jc w:val="center"/>
              <w:rPr>
                <w:sz w:val="16"/>
                <w:szCs w:val="16"/>
              </w:rPr>
            </w:pPr>
            <w:r>
              <w:rPr>
                <w:spacing w:val="-2"/>
                <w:sz w:val="16"/>
                <w:szCs w:val="16"/>
              </w:rPr>
              <w:t>成本指标</w:t>
            </w:r>
          </w:p>
        </w:tc>
        <w:tc>
          <w:tcPr>
            <w:tcW w:w="1316" w:type="pct"/>
            <w:gridSpan w:val="2"/>
            <w:vAlign w:val="center"/>
          </w:tcPr>
          <w:p>
            <w:pPr>
              <w:pStyle w:val="38"/>
              <w:spacing w:before="94" w:line="220" w:lineRule="auto"/>
              <w:ind w:left="673"/>
              <w:jc w:val="center"/>
              <w:rPr>
                <w:sz w:val="16"/>
                <w:szCs w:val="16"/>
              </w:rPr>
            </w:pPr>
            <w:r>
              <w:rPr>
                <w:spacing w:val="1"/>
                <w:sz w:val="16"/>
                <w:szCs w:val="16"/>
              </w:rPr>
              <w:t>公益性岗位标准</w:t>
            </w:r>
          </w:p>
        </w:tc>
        <w:tc>
          <w:tcPr>
            <w:tcW w:w="260" w:type="pct"/>
            <w:vAlign w:val="center"/>
          </w:tcPr>
          <w:p>
            <w:pPr>
              <w:pStyle w:val="38"/>
              <w:spacing w:before="112"/>
              <w:ind w:left="205"/>
              <w:jc w:val="center"/>
              <w:rPr>
                <w:sz w:val="16"/>
                <w:szCs w:val="16"/>
              </w:rPr>
            </w:pPr>
            <w:r>
              <w:rPr>
                <w:sz w:val="16"/>
                <w:szCs w:val="16"/>
              </w:rPr>
              <w:t>5</w:t>
            </w:r>
          </w:p>
        </w:tc>
        <w:tc>
          <w:tcPr>
            <w:tcW w:w="545" w:type="pct"/>
            <w:vAlign w:val="center"/>
          </w:tcPr>
          <w:p>
            <w:pPr>
              <w:pStyle w:val="38"/>
              <w:spacing w:before="94" w:line="220" w:lineRule="auto"/>
              <w:ind w:left="185"/>
              <w:jc w:val="center"/>
              <w:rPr>
                <w:sz w:val="16"/>
                <w:szCs w:val="16"/>
              </w:rPr>
            </w:pPr>
            <w:r>
              <w:rPr>
                <w:spacing w:val="1"/>
                <w:sz w:val="16"/>
                <w:szCs w:val="16"/>
              </w:rPr>
              <w:t>≤2200元</w:t>
            </w:r>
          </w:p>
        </w:tc>
        <w:tc>
          <w:tcPr>
            <w:tcW w:w="404" w:type="pct"/>
            <w:vAlign w:val="center"/>
          </w:tcPr>
          <w:p>
            <w:pPr>
              <w:pStyle w:val="38"/>
              <w:spacing w:before="112"/>
              <w:ind w:left="216"/>
              <w:jc w:val="center"/>
              <w:rPr>
                <w:sz w:val="16"/>
                <w:szCs w:val="16"/>
              </w:rPr>
            </w:pPr>
            <w:r>
              <w:rPr>
                <w:spacing w:val="-2"/>
                <w:sz w:val="16"/>
                <w:szCs w:val="16"/>
              </w:rPr>
              <w:t>2200</w:t>
            </w:r>
          </w:p>
        </w:tc>
        <w:tc>
          <w:tcPr>
            <w:tcW w:w="365" w:type="pct"/>
            <w:vAlign w:val="center"/>
          </w:tcPr>
          <w:p>
            <w:pPr>
              <w:pStyle w:val="38"/>
              <w:spacing w:before="112"/>
              <w:ind w:left="247"/>
              <w:jc w:val="center"/>
              <w:rPr>
                <w:sz w:val="16"/>
                <w:szCs w:val="16"/>
              </w:rPr>
            </w:pPr>
            <w:r>
              <w:rPr>
                <w:sz w:val="16"/>
                <w:szCs w:val="16"/>
              </w:rPr>
              <w:t>5</w:t>
            </w:r>
          </w:p>
        </w:tc>
        <w:tc>
          <w:tcPr>
            <w:tcW w:w="788" w:type="pct"/>
            <w:gridSpan w:val="2"/>
            <w:vAlign w:val="center"/>
          </w:tcPr>
          <w:p>
            <w:pPr>
              <w:jc w:val="center"/>
              <w:rPr>
                <w:rFonts w:ascii="Arial"/>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80" w:hRule="atLeast"/>
        </w:trPr>
        <w:tc>
          <w:tcPr>
            <w:tcW w:w="462" w:type="pct"/>
            <w:vMerge w:val="continue"/>
            <w:tcBorders>
              <w:top w:val="nil"/>
              <w:bottom w:val="nil"/>
            </w:tcBorders>
            <w:textDirection w:val="tbRlV"/>
            <w:vAlign w:val="center"/>
          </w:tcPr>
          <w:p>
            <w:pPr>
              <w:jc w:val="center"/>
              <w:rPr>
                <w:rFonts w:ascii="Arial"/>
                <w:sz w:val="16"/>
                <w:szCs w:val="16"/>
              </w:rPr>
            </w:pPr>
          </w:p>
        </w:tc>
        <w:tc>
          <w:tcPr>
            <w:tcW w:w="428" w:type="pct"/>
            <w:vMerge w:val="continue"/>
            <w:tcBorders>
              <w:top w:val="nil"/>
              <w:bottom w:val="nil"/>
            </w:tcBorders>
            <w:textDirection w:val="tbRlV"/>
            <w:vAlign w:val="center"/>
          </w:tcPr>
          <w:p>
            <w:pPr>
              <w:jc w:val="center"/>
              <w:rPr>
                <w:rFonts w:ascii="Arial"/>
                <w:sz w:val="16"/>
                <w:szCs w:val="16"/>
              </w:rPr>
            </w:pPr>
          </w:p>
        </w:tc>
        <w:tc>
          <w:tcPr>
            <w:tcW w:w="428" w:type="pct"/>
            <w:vMerge w:val="continue"/>
            <w:tcBorders>
              <w:top w:val="nil"/>
            </w:tcBorders>
            <w:vAlign w:val="center"/>
          </w:tcPr>
          <w:p>
            <w:pPr>
              <w:jc w:val="center"/>
              <w:rPr>
                <w:rFonts w:ascii="Arial"/>
                <w:sz w:val="16"/>
                <w:szCs w:val="16"/>
              </w:rPr>
            </w:pPr>
          </w:p>
        </w:tc>
        <w:tc>
          <w:tcPr>
            <w:tcW w:w="1316" w:type="pct"/>
            <w:gridSpan w:val="2"/>
            <w:vAlign w:val="center"/>
          </w:tcPr>
          <w:p>
            <w:pPr>
              <w:pStyle w:val="38"/>
              <w:spacing w:before="223" w:line="219" w:lineRule="auto"/>
              <w:ind w:left="772"/>
              <w:jc w:val="center"/>
              <w:rPr>
                <w:sz w:val="16"/>
                <w:szCs w:val="16"/>
              </w:rPr>
            </w:pPr>
            <w:r>
              <w:rPr>
                <w:spacing w:val="-2"/>
                <w:sz w:val="16"/>
                <w:szCs w:val="16"/>
              </w:rPr>
              <w:t>见习岗位标准</w:t>
            </w:r>
          </w:p>
        </w:tc>
        <w:tc>
          <w:tcPr>
            <w:tcW w:w="260" w:type="pct"/>
            <w:vAlign w:val="center"/>
          </w:tcPr>
          <w:p>
            <w:pPr>
              <w:pStyle w:val="38"/>
              <w:spacing w:before="242"/>
              <w:ind w:left="205"/>
              <w:jc w:val="center"/>
              <w:rPr>
                <w:sz w:val="16"/>
                <w:szCs w:val="16"/>
              </w:rPr>
            </w:pPr>
            <w:r>
              <w:rPr>
                <w:sz w:val="16"/>
                <w:szCs w:val="16"/>
              </w:rPr>
              <w:t>5</w:t>
            </w:r>
          </w:p>
        </w:tc>
        <w:tc>
          <w:tcPr>
            <w:tcW w:w="545" w:type="pct"/>
            <w:vAlign w:val="center"/>
          </w:tcPr>
          <w:p>
            <w:pPr>
              <w:pStyle w:val="38"/>
              <w:spacing w:before="224" w:line="220" w:lineRule="auto"/>
              <w:ind w:left="185"/>
              <w:jc w:val="center"/>
              <w:rPr>
                <w:sz w:val="16"/>
                <w:szCs w:val="16"/>
              </w:rPr>
            </w:pPr>
            <w:r>
              <w:rPr>
                <w:spacing w:val="1"/>
                <w:sz w:val="16"/>
                <w:szCs w:val="16"/>
              </w:rPr>
              <w:t>≤2200元</w:t>
            </w:r>
          </w:p>
        </w:tc>
        <w:tc>
          <w:tcPr>
            <w:tcW w:w="404" w:type="pct"/>
            <w:vAlign w:val="center"/>
          </w:tcPr>
          <w:p>
            <w:pPr>
              <w:pStyle w:val="38"/>
              <w:spacing w:before="242"/>
              <w:ind w:left="216"/>
              <w:jc w:val="center"/>
              <w:rPr>
                <w:sz w:val="16"/>
                <w:szCs w:val="16"/>
              </w:rPr>
            </w:pPr>
            <w:r>
              <w:rPr>
                <w:spacing w:val="-2"/>
                <w:sz w:val="16"/>
                <w:szCs w:val="16"/>
              </w:rPr>
              <w:t>2200</w:t>
            </w:r>
          </w:p>
        </w:tc>
        <w:tc>
          <w:tcPr>
            <w:tcW w:w="365" w:type="pct"/>
            <w:vAlign w:val="center"/>
          </w:tcPr>
          <w:p>
            <w:pPr>
              <w:pStyle w:val="38"/>
              <w:spacing w:before="242"/>
              <w:ind w:left="247"/>
              <w:jc w:val="center"/>
              <w:rPr>
                <w:sz w:val="16"/>
                <w:szCs w:val="16"/>
              </w:rPr>
            </w:pPr>
            <w:r>
              <w:rPr>
                <w:sz w:val="16"/>
                <w:szCs w:val="16"/>
              </w:rPr>
              <w:t>5</w:t>
            </w:r>
          </w:p>
        </w:tc>
        <w:tc>
          <w:tcPr>
            <w:tcW w:w="788" w:type="pct"/>
            <w:gridSpan w:val="2"/>
            <w:vAlign w:val="center"/>
          </w:tcPr>
          <w:p>
            <w:pPr>
              <w:jc w:val="center"/>
              <w:rPr>
                <w:rFonts w:ascii="Arial"/>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48" w:hRule="atLeast"/>
        </w:trPr>
        <w:tc>
          <w:tcPr>
            <w:tcW w:w="462" w:type="pct"/>
            <w:vMerge w:val="continue"/>
            <w:tcBorders>
              <w:top w:val="nil"/>
              <w:bottom w:val="nil"/>
            </w:tcBorders>
            <w:textDirection w:val="tbRlV"/>
            <w:vAlign w:val="center"/>
          </w:tcPr>
          <w:p>
            <w:pPr>
              <w:jc w:val="center"/>
              <w:rPr>
                <w:rFonts w:ascii="Arial"/>
                <w:sz w:val="16"/>
                <w:szCs w:val="16"/>
              </w:rPr>
            </w:pPr>
          </w:p>
        </w:tc>
        <w:tc>
          <w:tcPr>
            <w:tcW w:w="428" w:type="pct"/>
            <w:vMerge w:val="continue"/>
            <w:tcBorders>
              <w:top w:val="nil"/>
            </w:tcBorders>
            <w:textDirection w:val="tbRlV"/>
            <w:vAlign w:val="center"/>
          </w:tcPr>
          <w:p>
            <w:pPr>
              <w:jc w:val="center"/>
              <w:rPr>
                <w:rFonts w:ascii="Arial"/>
                <w:sz w:val="16"/>
                <w:szCs w:val="16"/>
              </w:rPr>
            </w:pPr>
          </w:p>
        </w:tc>
        <w:tc>
          <w:tcPr>
            <w:tcW w:w="428" w:type="pct"/>
            <w:vAlign w:val="center"/>
          </w:tcPr>
          <w:p>
            <w:pPr>
              <w:pStyle w:val="38"/>
              <w:spacing w:before="44" w:line="171" w:lineRule="auto"/>
              <w:ind w:left="242"/>
              <w:jc w:val="center"/>
              <w:rPr>
                <w:sz w:val="16"/>
                <w:szCs w:val="16"/>
              </w:rPr>
            </w:pPr>
            <w:r>
              <w:rPr>
                <w:spacing w:val="-5"/>
                <w:sz w:val="16"/>
                <w:szCs w:val="16"/>
              </w:rPr>
              <w:t>……</w:t>
            </w:r>
          </w:p>
        </w:tc>
        <w:tc>
          <w:tcPr>
            <w:tcW w:w="1316" w:type="pct"/>
            <w:gridSpan w:val="2"/>
            <w:vAlign w:val="center"/>
          </w:tcPr>
          <w:p>
            <w:pPr>
              <w:spacing w:line="220" w:lineRule="exact"/>
              <w:jc w:val="center"/>
              <w:rPr>
                <w:rFonts w:ascii="Arial"/>
                <w:sz w:val="16"/>
                <w:szCs w:val="16"/>
              </w:rPr>
            </w:pPr>
          </w:p>
        </w:tc>
        <w:tc>
          <w:tcPr>
            <w:tcW w:w="260" w:type="pct"/>
            <w:vAlign w:val="center"/>
          </w:tcPr>
          <w:p>
            <w:pPr>
              <w:spacing w:line="220" w:lineRule="exact"/>
              <w:jc w:val="center"/>
              <w:rPr>
                <w:rFonts w:ascii="Arial"/>
                <w:sz w:val="16"/>
                <w:szCs w:val="16"/>
              </w:rPr>
            </w:pPr>
          </w:p>
        </w:tc>
        <w:tc>
          <w:tcPr>
            <w:tcW w:w="545" w:type="pct"/>
            <w:vAlign w:val="center"/>
          </w:tcPr>
          <w:p>
            <w:pPr>
              <w:spacing w:line="220" w:lineRule="exact"/>
              <w:jc w:val="center"/>
              <w:rPr>
                <w:rFonts w:ascii="Arial"/>
                <w:sz w:val="16"/>
                <w:szCs w:val="16"/>
              </w:rPr>
            </w:pPr>
          </w:p>
        </w:tc>
        <w:tc>
          <w:tcPr>
            <w:tcW w:w="404" w:type="pct"/>
            <w:vAlign w:val="center"/>
          </w:tcPr>
          <w:p>
            <w:pPr>
              <w:spacing w:line="220" w:lineRule="exact"/>
              <w:jc w:val="center"/>
              <w:rPr>
                <w:rFonts w:ascii="Arial"/>
                <w:sz w:val="16"/>
                <w:szCs w:val="16"/>
              </w:rPr>
            </w:pPr>
          </w:p>
        </w:tc>
        <w:tc>
          <w:tcPr>
            <w:tcW w:w="365" w:type="pct"/>
            <w:vAlign w:val="center"/>
          </w:tcPr>
          <w:p>
            <w:pPr>
              <w:spacing w:line="220" w:lineRule="exact"/>
              <w:jc w:val="center"/>
              <w:rPr>
                <w:rFonts w:ascii="Arial"/>
                <w:sz w:val="16"/>
                <w:szCs w:val="16"/>
              </w:rPr>
            </w:pPr>
          </w:p>
        </w:tc>
        <w:tc>
          <w:tcPr>
            <w:tcW w:w="788" w:type="pct"/>
            <w:gridSpan w:val="2"/>
            <w:vAlign w:val="center"/>
          </w:tcPr>
          <w:p>
            <w:pPr>
              <w:spacing w:line="220" w:lineRule="exact"/>
              <w:jc w:val="center"/>
              <w:rPr>
                <w:rFonts w:ascii="Arial"/>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2" w:hRule="atLeast"/>
        </w:trPr>
        <w:tc>
          <w:tcPr>
            <w:tcW w:w="462" w:type="pct"/>
            <w:vMerge w:val="continue"/>
            <w:tcBorders>
              <w:top w:val="nil"/>
              <w:bottom w:val="nil"/>
            </w:tcBorders>
            <w:textDirection w:val="tbRlV"/>
            <w:vAlign w:val="center"/>
          </w:tcPr>
          <w:p>
            <w:pPr>
              <w:jc w:val="center"/>
              <w:rPr>
                <w:rFonts w:ascii="Arial"/>
                <w:sz w:val="16"/>
                <w:szCs w:val="16"/>
              </w:rPr>
            </w:pPr>
          </w:p>
        </w:tc>
        <w:tc>
          <w:tcPr>
            <w:tcW w:w="428" w:type="pct"/>
            <w:vMerge w:val="restart"/>
            <w:tcBorders>
              <w:bottom w:val="nil"/>
            </w:tcBorders>
            <w:vAlign w:val="center"/>
          </w:tcPr>
          <w:p>
            <w:pPr>
              <w:pStyle w:val="38"/>
              <w:spacing w:before="154" w:line="236" w:lineRule="auto"/>
              <w:ind w:left="210" w:right="25" w:hanging="189"/>
              <w:jc w:val="center"/>
              <w:rPr>
                <w:sz w:val="16"/>
                <w:szCs w:val="16"/>
              </w:rPr>
            </w:pPr>
            <w:r>
              <w:rPr>
                <w:spacing w:val="4"/>
                <w:sz w:val="16"/>
                <w:szCs w:val="16"/>
              </w:rPr>
              <w:t>效益指</w:t>
            </w:r>
            <w:r>
              <w:rPr>
                <w:sz w:val="16"/>
                <w:szCs w:val="16"/>
              </w:rPr>
              <w:t>标</w:t>
            </w:r>
          </w:p>
          <w:p>
            <w:pPr>
              <w:pStyle w:val="38"/>
              <w:spacing w:before="5" w:line="220" w:lineRule="auto"/>
              <w:jc w:val="center"/>
              <w:rPr>
                <w:sz w:val="16"/>
                <w:szCs w:val="16"/>
              </w:rPr>
            </w:pPr>
            <w:r>
              <w:rPr>
                <w:rFonts w:hint="eastAsia"/>
                <w:spacing w:val="7"/>
                <w:sz w:val="16"/>
                <w:szCs w:val="16"/>
                <w:lang w:eastAsia="zh-CN"/>
              </w:rPr>
              <w:t>（</w:t>
            </w:r>
            <w:r>
              <w:rPr>
                <w:spacing w:val="7"/>
                <w:sz w:val="16"/>
                <w:szCs w:val="16"/>
              </w:rPr>
              <w:t>30分</w:t>
            </w:r>
            <w:r>
              <w:rPr>
                <w:rFonts w:hint="eastAsia"/>
                <w:spacing w:val="7"/>
                <w:sz w:val="16"/>
                <w:szCs w:val="16"/>
                <w:lang w:eastAsia="zh-CN"/>
              </w:rPr>
              <w:t>）</w:t>
            </w:r>
          </w:p>
        </w:tc>
        <w:tc>
          <w:tcPr>
            <w:tcW w:w="428" w:type="pct"/>
            <w:vMerge w:val="restart"/>
            <w:tcBorders>
              <w:bottom w:val="nil"/>
            </w:tcBorders>
            <w:vAlign w:val="center"/>
          </w:tcPr>
          <w:p>
            <w:pPr>
              <w:pStyle w:val="38"/>
              <w:spacing w:before="295" w:line="220" w:lineRule="auto"/>
              <w:ind w:left="52"/>
              <w:jc w:val="center"/>
              <w:rPr>
                <w:sz w:val="16"/>
                <w:szCs w:val="16"/>
              </w:rPr>
            </w:pPr>
            <w:r>
              <w:rPr>
                <w:spacing w:val="-2"/>
                <w:sz w:val="16"/>
                <w:szCs w:val="16"/>
              </w:rPr>
              <w:t>经济效益</w:t>
            </w:r>
          </w:p>
          <w:p>
            <w:pPr>
              <w:pStyle w:val="38"/>
              <w:spacing w:before="3" w:line="220" w:lineRule="auto"/>
              <w:ind w:left="242"/>
              <w:jc w:val="center"/>
              <w:rPr>
                <w:sz w:val="16"/>
                <w:szCs w:val="16"/>
              </w:rPr>
            </w:pPr>
            <w:r>
              <w:rPr>
                <w:spacing w:val="-3"/>
                <w:sz w:val="16"/>
                <w:szCs w:val="16"/>
              </w:rPr>
              <w:t>指标</w:t>
            </w:r>
          </w:p>
        </w:tc>
        <w:tc>
          <w:tcPr>
            <w:tcW w:w="1316" w:type="pct"/>
            <w:gridSpan w:val="2"/>
            <w:vAlign w:val="center"/>
          </w:tcPr>
          <w:p>
            <w:pPr>
              <w:pStyle w:val="38"/>
              <w:spacing w:before="165" w:line="219" w:lineRule="auto"/>
              <w:ind w:left="583"/>
              <w:jc w:val="center"/>
              <w:rPr>
                <w:sz w:val="16"/>
                <w:szCs w:val="16"/>
              </w:rPr>
            </w:pPr>
            <w:r>
              <w:rPr>
                <w:spacing w:val="-1"/>
                <w:sz w:val="16"/>
                <w:szCs w:val="16"/>
              </w:rPr>
              <w:t>城镇新增就业人数</w:t>
            </w:r>
          </w:p>
        </w:tc>
        <w:tc>
          <w:tcPr>
            <w:tcW w:w="260" w:type="pct"/>
            <w:vAlign w:val="center"/>
          </w:tcPr>
          <w:p>
            <w:pPr>
              <w:pStyle w:val="38"/>
              <w:spacing w:before="183"/>
              <w:ind w:left="154"/>
              <w:jc w:val="center"/>
              <w:rPr>
                <w:sz w:val="16"/>
                <w:szCs w:val="16"/>
              </w:rPr>
            </w:pPr>
            <w:r>
              <w:rPr>
                <w:spacing w:val="-6"/>
                <w:sz w:val="16"/>
                <w:szCs w:val="16"/>
              </w:rPr>
              <w:t>15</w:t>
            </w:r>
          </w:p>
        </w:tc>
        <w:tc>
          <w:tcPr>
            <w:tcW w:w="545" w:type="pct"/>
            <w:vAlign w:val="center"/>
          </w:tcPr>
          <w:p>
            <w:pPr>
              <w:pStyle w:val="38"/>
              <w:spacing w:before="167" w:line="222" w:lineRule="auto"/>
              <w:ind w:left="224"/>
              <w:jc w:val="center"/>
              <w:rPr>
                <w:sz w:val="16"/>
                <w:szCs w:val="16"/>
              </w:rPr>
            </w:pPr>
            <w:r>
              <w:rPr>
                <w:spacing w:val="2"/>
                <w:sz w:val="16"/>
                <w:szCs w:val="16"/>
              </w:rPr>
              <w:t>≥200人</w:t>
            </w:r>
          </w:p>
        </w:tc>
        <w:tc>
          <w:tcPr>
            <w:tcW w:w="404" w:type="pct"/>
            <w:vAlign w:val="center"/>
          </w:tcPr>
          <w:p>
            <w:pPr>
              <w:pStyle w:val="38"/>
              <w:spacing w:before="183"/>
              <w:ind w:left="256"/>
              <w:jc w:val="center"/>
              <w:rPr>
                <w:sz w:val="16"/>
                <w:szCs w:val="16"/>
              </w:rPr>
            </w:pPr>
            <w:r>
              <w:rPr>
                <w:spacing w:val="-3"/>
                <w:sz w:val="16"/>
                <w:szCs w:val="16"/>
              </w:rPr>
              <w:t>300</w:t>
            </w:r>
          </w:p>
        </w:tc>
        <w:tc>
          <w:tcPr>
            <w:tcW w:w="365" w:type="pct"/>
            <w:vAlign w:val="center"/>
          </w:tcPr>
          <w:p>
            <w:pPr>
              <w:pStyle w:val="38"/>
              <w:spacing w:before="183"/>
              <w:ind w:left="197"/>
              <w:jc w:val="center"/>
              <w:rPr>
                <w:sz w:val="16"/>
                <w:szCs w:val="16"/>
              </w:rPr>
            </w:pPr>
            <w:r>
              <w:rPr>
                <w:spacing w:val="-6"/>
                <w:sz w:val="16"/>
                <w:szCs w:val="16"/>
              </w:rPr>
              <w:t>15</w:t>
            </w:r>
          </w:p>
        </w:tc>
        <w:tc>
          <w:tcPr>
            <w:tcW w:w="788" w:type="pct"/>
            <w:gridSpan w:val="2"/>
            <w:vAlign w:val="center"/>
          </w:tcPr>
          <w:p>
            <w:pPr>
              <w:jc w:val="center"/>
              <w:rPr>
                <w:rFonts w:ascii="Arial"/>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43" w:hRule="atLeast"/>
        </w:trPr>
        <w:tc>
          <w:tcPr>
            <w:tcW w:w="462" w:type="pct"/>
            <w:vMerge w:val="continue"/>
            <w:tcBorders>
              <w:top w:val="nil"/>
              <w:bottom w:val="nil"/>
            </w:tcBorders>
            <w:textDirection w:val="tbRlV"/>
            <w:vAlign w:val="center"/>
          </w:tcPr>
          <w:p>
            <w:pPr>
              <w:jc w:val="center"/>
              <w:rPr>
                <w:rFonts w:ascii="Arial"/>
                <w:sz w:val="16"/>
                <w:szCs w:val="16"/>
              </w:rPr>
            </w:pPr>
          </w:p>
        </w:tc>
        <w:tc>
          <w:tcPr>
            <w:tcW w:w="428" w:type="pct"/>
            <w:vMerge w:val="continue"/>
            <w:tcBorders>
              <w:top w:val="nil"/>
            </w:tcBorders>
            <w:vAlign w:val="center"/>
          </w:tcPr>
          <w:p>
            <w:pPr>
              <w:jc w:val="center"/>
              <w:rPr>
                <w:rFonts w:ascii="Arial"/>
                <w:sz w:val="16"/>
                <w:szCs w:val="16"/>
              </w:rPr>
            </w:pPr>
          </w:p>
        </w:tc>
        <w:tc>
          <w:tcPr>
            <w:tcW w:w="428" w:type="pct"/>
            <w:vMerge w:val="continue"/>
            <w:tcBorders>
              <w:top w:val="nil"/>
            </w:tcBorders>
            <w:vAlign w:val="center"/>
          </w:tcPr>
          <w:p>
            <w:pPr>
              <w:jc w:val="center"/>
              <w:rPr>
                <w:rFonts w:ascii="Arial"/>
                <w:sz w:val="16"/>
                <w:szCs w:val="16"/>
              </w:rPr>
            </w:pPr>
          </w:p>
        </w:tc>
        <w:tc>
          <w:tcPr>
            <w:tcW w:w="1316" w:type="pct"/>
            <w:gridSpan w:val="2"/>
            <w:vAlign w:val="center"/>
          </w:tcPr>
          <w:p>
            <w:pPr>
              <w:pStyle w:val="38"/>
              <w:spacing w:before="146" w:line="220" w:lineRule="auto"/>
              <w:ind w:left="673"/>
              <w:jc w:val="center"/>
              <w:rPr>
                <w:sz w:val="16"/>
                <w:szCs w:val="16"/>
              </w:rPr>
            </w:pPr>
            <w:r>
              <w:rPr>
                <w:spacing w:val="-2"/>
                <w:sz w:val="16"/>
                <w:szCs w:val="16"/>
              </w:rPr>
              <w:t>失业人员再就业</w:t>
            </w:r>
          </w:p>
        </w:tc>
        <w:tc>
          <w:tcPr>
            <w:tcW w:w="260" w:type="pct"/>
            <w:vAlign w:val="center"/>
          </w:tcPr>
          <w:p>
            <w:pPr>
              <w:pStyle w:val="38"/>
              <w:spacing w:before="164"/>
              <w:ind w:left="154"/>
              <w:jc w:val="center"/>
              <w:rPr>
                <w:sz w:val="16"/>
                <w:szCs w:val="16"/>
              </w:rPr>
            </w:pPr>
            <w:r>
              <w:rPr>
                <w:spacing w:val="-6"/>
                <w:sz w:val="16"/>
                <w:szCs w:val="16"/>
              </w:rPr>
              <w:t>15</w:t>
            </w:r>
          </w:p>
        </w:tc>
        <w:tc>
          <w:tcPr>
            <w:tcW w:w="545" w:type="pct"/>
            <w:vAlign w:val="center"/>
          </w:tcPr>
          <w:p>
            <w:pPr>
              <w:pStyle w:val="38"/>
              <w:spacing w:before="148" w:line="222" w:lineRule="auto"/>
              <w:ind w:left="275"/>
              <w:jc w:val="center"/>
              <w:rPr>
                <w:sz w:val="16"/>
                <w:szCs w:val="16"/>
              </w:rPr>
            </w:pPr>
            <w:r>
              <w:rPr>
                <w:spacing w:val="2"/>
                <w:sz w:val="16"/>
                <w:szCs w:val="16"/>
              </w:rPr>
              <w:t>≥10人</w:t>
            </w:r>
          </w:p>
        </w:tc>
        <w:tc>
          <w:tcPr>
            <w:tcW w:w="404" w:type="pct"/>
            <w:vAlign w:val="center"/>
          </w:tcPr>
          <w:p>
            <w:pPr>
              <w:pStyle w:val="38"/>
              <w:spacing w:before="164"/>
              <w:ind w:left="305"/>
              <w:jc w:val="center"/>
              <w:rPr>
                <w:sz w:val="16"/>
                <w:szCs w:val="16"/>
              </w:rPr>
            </w:pPr>
            <w:r>
              <w:rPr>
                <w:spacing w:val="-6"/>
                <w:sz w:val="16"/>
                <w:szCs w:val="16"/>
              </w:rPr>
              <w:t>15</w:t>
            </w:r>
          </w:p>
        </w:tc>
        <w:tc>
          <w:tcPr>
            <w:tcW w:w="365" w:type="pct"/>
            <w:vAlign w:val="center"/>
          </w:tcPr>
          <w:p>
            <w:pPr>
              <w:pStyle w:val="38"/>
              <w:spacing w:before="164"/>
              <w:ind w:left="197"/>
              <w:jc w:val="center"/>
              <w:rPr>
                <w:sz w:val="16"/>
                <w:szCs w:val="16"/>
              </w:rPr>
            </w:pPr>
            <w:r>
              <w:rPr>
                <w:spacing w:val="-6"/>
                <w:sz w:val="16"/>
                <w:szCs w:val="16"/>
              </w:rPr>
              <w:t>15</w:t>
            </w:r>
          </w:p>
        </w:tc>
        <w:tc>
          <w:tcPr>
            <w:tcW w:w="788" w:type="pct"/>
            <w:gridSpan w:val="2"/>
            <w:vAlign w:val="center"/>
          </w:tcPr>
          <w:p>
            <w:pPr>
              <w:jc w:val="center"/>
              <w:rPr>
                <w:rFonts w:ascii="Arial"/>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49" w:hRule="atLeast"/>
        </w:trPr>
        <w:tc>
          <w:tcPr>
            <w:tcW w:w="462" w:type="pct"/>
            <w:vMerge w:val="continue"/>
            <w:tcBorders>
              <w:top w:val="nil"/>
              <w:bottom w:val="nil"/>
            </w:tcBorders>
            <w:textDirection w:val="tbRlV"/>
            <w:vAlign w:val="center"/>
          </w:tcPr>
          <w:p>
            <w:pPr>
              <w:jc w:val="center"/>
              <w:rPr>
                <w:rFonts w:ascii="Arial"/>
                <w:sz w:val="16"/>
                <w:szCs w:val="16"/>
              </w:rPr>
            </w:pPr>
          </w:p>
        </w:tc>
        <w:tc>
          <w:tcPr>
            <w:tcW w:w="428" w:type="pct"/>
            <w:vAlign w:val="center"/>
          </w:tcPr>
          <w:p>
            <w:pPr>
              <w:spacing w:line="220" w:lineRule="exact"/>
              <w:jc w:val="center"/>
              <w:rPr>
                <w:rFonts w:ascii="Arial"/>
                <w:sz w:val="16"/>
                <w:szCs w:val="16"/>
              </w:rPr>
            </w:pPr>
          </w:p>
        </w:tc>
        <w:tc>
          <w:tcPr>
            <w:tcW w:w="428" w:type="pct"/>
            <w:vAlign w:val="center"/>
          </w:tcPr>
          <w:p>
            <w:pPr>
              <w:pStyle w:val="38"/>
              <w:spacing w:before="46" w:line="169" w:lineRule="auto"/>
              <w:ind w:left="242"/>
              <w:jc w:val="center"/>
              <w:rPr>
                <w:sz w:val="16"/>
                <w:szCs w:val="16"/>
              </w:rPr>
            </w:pPr>
            <w:r>
              <w:rPr>
                <w:spacing w:val="-5"/>
                <w:sz w:val="16"/>
                <w:szCs w:val="16"/>
              </w:rPr>
              <w:t>……</w:t>
            </w:r>
          </w:p>
        </w:tc>
        <w:tc>
          <w:tcPr>
            <w:tcW w:w="1316" w:type="pct"/>
            <w:gridSpan w:val="2"/>
            <w:vAlign w:val="center"/>
          </w:tcPr>
          <w:p>
            <w:pPr>
              <w:spacing w:line="220" w:lineRule="exact"/>
              <w:jc w:val="center"/>
              <w:rPr>
                <w:rFonts w:ascii="Arial"/>
                <w:sz w:val="16"/>
                <w:szCs w:val="16"/>
              </w:rPr>
            </w:pPr>
          </w:p>
        </w:tc>
        <w:tc>
          <w:tcPr>
            <w:tcW w:w="260" w:type="pct"/>
            <w:vAlign w:val="center"/>
          </w:tcPr>
          <w:p>
            <w:pPr>
              <w:spacing w:line="220" w:lineRule="exact"/>
              <w:jc w:val="center"/>
              <w:rPr>
                <w:rFonts w:ascii="Arial"/>
                <w:sz w:val="16"/>
                <w:szCs w:val="16"/>
              </w:rPr>
            </w:pPr>
          </w:p>
        </w:tc>
        <w:tc>
          <w:tcPr>
            <w:tcW w:w="545" w:type="pct"/>
            <w:vAlign w:val="center"/>
          </w:tcPr>
          <w:p>
            <w:pPr>
              <w:spacing w:line="220" w:lineRule="exact"/>
              <w:jc w:val="center"/>
              <w:rPr>
                <w:rFonts w:ascii="Arial"/>
                <w:sz w:val="16"/>
                <w:szCs w:val="16"/>
              </w:rPr>
            </w:pPr>
          </w:p>
        </w:tc>
        <w:tc>
          <w:tcPr>
            <w:tcW w:w="404" w:type="pct"/>
            <w:vAlign w:val="center"/>
          </w:tcPr>
          <w:p>
            <w:pPr>
              <w:spacing w:line="220" w:lineRule="exact"/>
              <w:jc w:val="center"/>
              <w:rPr>
                <w:rFonts w:ascii="Arial"/>
                <w:sz w:val="16"/>
                <w:szCs w:val="16"/>
              </w:rPr>
            </w:pPr>
          </w:p>
        </w:tc>
        <w:tc>
          <w:tcPr>
            <w:tcW w:w="365" w:type="pct"/>
            <w:vAlign w:val="center"/>
          </w:tcPr>
          <w:p>
            <w:pPr>
              <w:spacing w:line="220" w:lineRule="exact"/>
              <w:jc w:val="center"/>
              <w:rPr>
                <w:rFonts w:ascii="Arial"/>
                <w:sz w:val="16"/>
                <w:szCs w:val="16"/>
              </w:rPr>
            </w:pPr>
          </w:p>
        </w:tc>
        <w:tc>
          <w:tcPr>
            <w:tcW w:w="788" w:type="pct"/>
            <w:gridSpan w:val="2"/>
            <w:vAlign w:val="center"/>
          </w:tcPr>
          <w:p>
            <w:pPr>
              <w:spacing w:line="220" w:lineRule="exact"/>
              <w:jc w:val="center"/>
              <w:rPr>
                <w:rFonts w:ascii="Arial"/>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469" w:hRule="atLeast"/>
        </w:trPr>
        <w:tc>
          <w:tcPr>
            <w:tcW w:w="462" w:type="pct"/>
            <w:vMerge w:val="continue"/>
            <w:tcBorders>
              <w:top w:val="nil"/>
              <w:bottom w:val="nil"/>
            </w:tcBorders>
            <w:textDirection w:val="tbRlV"/>
            <w:vAlign w:val="center"/>
          </w:tcPr>
          <w:p>
            <w:pPr>
              <w:jc w:val="center"/>
              <w:rPr>
                <w:rFonts w:ascii="Arial"/>
                <w:sz w:val="16"/>
                <w:szCs w:val="16"/>
              </w:rPr>
            </w:pPr>
          </w:p>
        </w:tc>
        <w:tc>
          <w:tcPr>
            <w:tcW w:w="428" w:type="pct"/>
            <w:vMerge w:val="restart"/>
            <w:tcBorders>
              <w:bottom w:val="nil"/>
            </w:tcBorders>
            <w:vAlign w:val="center"/>
          </w:tcPr>
          <w:p>
            <w:pPr>
              <w:pStyle w:val="38"/>
              <w:spacing w:before="157" w:line="219" w:lineRule="auto"/>
              <w:ind w:left="21"/>
              <w:jc w:val="center"/>
              <w:rPr>
                <w:sz w:val="16"/>
                <w:szCs w:val="16"/>
              </w:rPr>
            </w:pPr>
            <w:r>
              <w:rPr>
                <w:spacing w:val="-2"/>
                <w:sz w:val="16"/>
                <w:szCs w:val="16"/>
              </w:rPr>
              <w:t>满意度</w:t>
            </w:r>
          </w:p>
          <w:p>
            <w:pPr>
              <w:pStyle w:val="38"/>
              <w:spacing w:before="5" w:line="220" w:lineRule="auto"/>
              <w:ind w:left="121"/>
              <w:jc w:val="center"/>
              <w:rPr>
                <w:sz w:val="16"/>
                <w:szCs w:val="16"/>
              </w:rPr>
            </w:pPr>
            <w:r>
              <w:rPr>
                <w:spacing w:val="-3"/>
                <w:sz w:val="16"/>
                <w:szCs w:val="16"/>
              </w:rPr>
              <w:t>指标</w:t>
            </w:r>
          </w:p>
          <w:p>
            <w:pPr>
              <w:pStyle w:val="38"/>
              <w:spacing w:before="13" w:line="220" w:lineRule="auto"/>
              <w:jc w:val="center"/>
              <w:rPr>
                <w:sz w:val="16"/>
                <w:szCs w:val="16"/>
              </w:rPr>
            </w:pPr>
            <w:r>
              <w:rPr>
                <w:rFonts w:hint="eastAsia"/>
                <w:spacing w:val="7"/>
                <w:sz w:val="16"/>
                <w:szCs w:val="16"/>
                <w:lang w:eastAsia="zh-CN"/>
              </w:rPr>
              <w:t>（</w:t>
            </w:r>
            <w:r>
              <w:rPr>
                <w:spacing w:val="7"/>
                <w:sz w:val="16"/>
                <w:szCs w:val="16"/>
              </w:rPr>
              <w:t>10分</w:t>
            </w:r>
            <w:r>
              <w:rPr>
                <w:rFonts w:hint="eastAsia"/>
                <w:spacing w:val="7"/>
                <w:sz w:val="16"/>
                <w:szCs w:val="16"/>
                <w:lang w:eastAsia="zh-CN"/>
              </w:rPr>
              <w:t>）</w:t>
            </w:r>
          </w:p>
        </w:tc>
        <w:tc>
          <w:tcPr>
            <w:tcW w:w="428" w:type="pct"/>
            <w:vAlign w:val="center"/>
          </w:tcPr>
          <w:p>
            <w:pPr>
              <w:pStyle w:val="38"/>
              <w:spacing w:before="36" w:line="219" w:lineRule="auto"/>
              <w:ind w:left="52"/>
              <w:jc w:val="center"/>
              <w:rPr>
                <w:sz w:val="16"/>
                <w:szCs w:val="16"/>
              </w:rPr>
            </w:pPr>
            <w:r>
              <w:rPr>
                <w:spacing w:val="-2"/>
                <w:sz w:val="16"/>
                <w:szCs w:val="16"/>
              </w:rPr>
              <w:t>服务对象</w:t>
            </w:r>
          </w:p>
          <w:p>
            <w:pPr>
              <w:pStyle w:val="38"/>
              <w:spacing w:before="13" w:line="215" w:lineRule="auto"/>
              <w:ind w:left="52"/>
              <w:jc w:val="center"/>
              <w:rPr>
                <w:sz w:val="16"/>
                <w:szCs w:val="16"/>
              </w:rPr>
            </w:pPr>
            <w:r>
              <w:rPr>
                <w:spacing w:val="3"/>
                <w:sz w:val="16"/>
                <w:szCs w:val="16"/>
              </w:rPr>
              <w:t>满意度指</w:t>
            </w:r>
          </w:p>
          <w:p>
            <w:pPr>
              <w:pStyle w:val="38"/>
              <w:spacing w:line="195" w:lineRule="auto"/>
              <w:ind w:left="342"/>
              <w:jc w:val="center"/>
              <w:rPr>
                <w:sz w:val="16"/>
                <w:szCs w:val="16"/>
              </w:rPr>
            </w:pPr>
            <w:r>
              <w:rPr>
                <w:sz w:val="16"/>
                <w:szCs w:val="16"/>
              </w:rPr>
              <w:t>标</w:t>
            </w:r>
          </w:p>
        </w:tc>
        <w:tc>
          <w:tcPr>
            <w:tcW w:w="1316" w:type="pct"/>
            <w:gridSpan w:val="2"/>
            <w:vAlign w:val="center"/>
          </w:tcPr>
          <w:p>
            <w:pPr>
              <w:pStyle w:val="38"/>
              <w:spacing w:before="267" w:line="219" w:lineRule="auto"/>
              <w:ind w:left="673"/>
              <w:jc w:val="center"/>
              <w:rPr>
                <w:sz w:val="16"/>
                <w:szCs w:val="16"/>
              </w:rPr>
            </w:pPr>
            <w:r>
              <w:rPr>
                <w:spacing w:val="1"/>
                <w:sz w:val="16"/>
                <w:szCs w:val="16"/>
              </w:rPr>
              <w:t>就业政策满意度</w:t>
            </w:r>
          </w:p>
        </w:tc>
        <w:tc>
          <w:tcPr>
            <w:tcW w:w="260" w:type="pct"/>
            <w:vAlign w:val="center"/>
          </w:tcPr>
          <w:p>
            <w:pPr>
              <w:pStyle w:val="38"/>
              <w:spacing w:before="285"/>
              <w:ind w:left="154"/>
              <w:jc w:val="center"/>
              <w:rPr>
                <w:sz w:val="16"/>
                <w:szCs w:val="16"/>
              </w:rPr>
            </w:pPr>
            <w:r>
              <w:rPr>
                <w:spacing w:val="-6"/>
                <w:sz w:val="16"/>
                <w:szCs w:val="16"/>
              </w:rPr>
              <w:t>10</w:t>
            </w:r>
          </w:p>
        </w:tc>
        <w:tc>
          <w:tcPr>
            <w:tcW w:w="545" w:type="pct"/>
            <w:vAlign w:val="center"/>
          </w:tcPr>
          <w:p>
            <w:pPr>
              <w:pStyle w:val="38"/>
              <w:spacing w:before="285" w:line="237" w:lineRule="auto"/>
              <w:ind w:left="325"/>
              <w:jc w:val="center"/>
              <w:rPr>
                <w:rFonts w:hint="eastAsia" w:eastAsia="宋体"/>
                <w:sz w:val="16"/>
                <w:szCs w:val="16"/>
                <w:lang w:eastAsia="zh-CN"/>
              </w:rPr>
            </w:pPr>
            <w:r>
              <w:rPr>
                <w:spacing w:val="-6"/>
                <w:sz w:val="16"/>
                <w:szCs w:val="16"/>
              </w:rPr>
              <w:t>≥95</w:t>
            </w:r>
            <w:r>
              <w:rPr>
                <w:rFonts w:hint="eastAsia"/>
                <w:spacing w:val="-6"/>
                <w:sz w:val="16"/>
                <w:szCs w:val="16"/>
                <w:lang w:eastAsia="zh-CN"/>
              </w:rPr>
              <w:t>%</w:t>
            </w:r>
          </w:p>
        </w:tc>
        <w:tc>
          <w:tcPr>
            <w:tcW w:w="404" w:type="pct"/>
            <w:vAlign w:val="center"/>
          </w:tcPr>
          <w:p>
            <w:pPr>
              <w:pStyle w:val="38"/>
              <w:spacing w:before="285"/>
              <w:ind w:left="256"/>
              <w:jc w:val="center"/>
              <w:rPr>
                <w:rFonts w:hint="eastAsia" w:eastAsia="宋体"/>
                <w:sz w:val="16"/>
                <w:szCs w:val="16"/>
                <w:lang w:eastAsia="zh-CN"/>
              </w:rPr>
            </w:pPr>
            <w:r>
              <w:rPr>
                <w:spacing w:val="-2"/>
                <w:sz w:val="16"/>
                <w:szCs w:val="16"/>
              </w:rPr>
              <w:t>90</w:t>
            </w:r>
            <w:r>
              <w:rPr>
                <w:rFonts w:hint="eastAsia"/>
                <w:spacing w:val="-2"/>
                <w:sz w:val="16"/>
                <w:szCs w:val="16"/>
                <w:lang w:eastAsia="zh-CN"/>
              </w:rPr>
              <w:t>%</w:t>
            </w:r>
          </w:p>
        </w:tc>
        <w:tc>
          <w:tcPr>
            <w:tcW w:w="365" w:type="pct"/>
            <w:vAlign w:val="center"/>
          </w:tcPr>
          <w:p>
            <w:pPr>
              <w:pStyle w:val="38"/>
              <w:spacing w:before="285"/>
              <w:ind w:left="247"/>
              <w:jc w:val="center"/>
              <w:rPr>
                <w:sz w:val="16"/>
                <w:szCs w:val="16"/>
              </w:rPr>
            </w:pPr>
            <w:r>
              <w:rPr>
                <w:sz w:val="16"/>
                <w:szCs w:val="16"/>
              </w:rPr>
              <w:t>0</w:t>
            </w:r>
          </w:p>
        </w:tc>
        <w:tc>
          <w:tcPr>
            <w:tcW w:w="788" w:type="pct"/>
            <w:gridSpan w:val="2"/>
            <w:vAlign w:val="center"/>
          </w:tcPr>
          <w:p>
            <w:pPr>
              <w:jc w:val="center"/>
              <w:rPr>
                <w:rFonts w:ascii="Arial"/>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90" w:hRule="atLeast"/>
        </w:trPr>
        <w:tc>
          <w:tcPr>
            <w:tcW w:w="462" w:type="pct"/>
            <w:vMerge w:val="continue"/>
            <w:tcBorders>
              <w:top w:val="nil"/>
            </w:tcBorders>
            <w:textDirection w:val="tbRlV"/>
            <w:vAlign w:val="center"/>
          </w:tcPr>
          <w:p>
            <w:pPr>
              <w:jc w:val="center"/>
              <w:rPr>
                <w:rFonts w:ascii="Arial"/>
                <w:sz w:val="16"/>
                <w:szCs w:val="16"/>
              </w:rPr>
            </w:pPr>
          </w:p>
        </w:tc>
        <w:tc>
          <w:tcPr>
            <w:tcW w:w="428" w:type="pct"/>
            <w:vMerge w:val="continue"/>
            <w:tcBorders>
              <w:top w:val="nil"/>
            </w:tcBorders>
            <w:vAlign w:val="center"/>
          </w:tcPr>
          <w:p>
            <w:pPr>
              <w:jc w:val="center"/>
              <w:rPr>
                <w:rFonts w:ascii="Arial"/>
                <w:sz w:val="16"/>
                <w:szCs w:val="16"/>
              </w:rPr>
            </w:pPr>
          </w:p>
        </w:tc>
        <w:tc>
          <w:tcPr>
            <w:tcW w:w="428" w:type="pct"/>
            <w:vAlign w:val="center"/>
          </w:tcPr>
          <w:p>
            <w:pPr>
              <w:pStyle w:val="38"/>
              <w:spacing w:before="47" w:line="168" w:lineRule="auto"/>
              <w:ind w:left="242"/>
              <w:jc w:val="center"/>
              <w:rPr>
                <w:sz w:val="16"/>
                <w:szCs w:val="16"/>
              </w:rPr>
            </w:pPr>
            <w:r>
              <w:rPr>
                <w:spacing w:val="-5"/>
                <w:sz w:val="16"/>
                <w:szCs w:val="16"/>
              </w:rPr>
              <w:t>……</w:t>
            </w:r>
          </w:p>
        </w:tc>
        <w:tc>
          <w:tcPr>
            <w:tcW w:w="1316" w:type="pct"/>
            <w:gridSpan w:val="2"/>
            <w:vAlign w:val="center"/>
          </w:tcPr>
          <w:p>
            <w:pPr>
              <w:spacing w:line="220" w:lineRule="exact"/>
              <w:jc w:val="center"/>
              <w:rPr>
                <w:rFonts w:ascii="Arial"/>
                <w:sz w:val="16"/>
                <w:szCs w:val="16"/>
              </w:rPr>
            </w:pPr>
          </w:p>
        </w:tc>
        <w:tc>
          <w:tcPr>
            <w:tcW w:w="260" w:type="pct"/>
            <w:vAlign w:val="center"/>
          </w:tcPr>
          <w:p>
            <w:pPr>
              <w:spacing w:line="220" w:lineRule="exact"/>
              <w:jc w:val="center"/>
              <w:rPr>
                <w:rFonts w:ascii="Arial"/>
                <w:sz w:val="16"/>
                <w:szCs w:val="16"/>
              </w:rPr>
            </w:pPr>
          </w:p>
        </w:tc>
        <w:tc>
          <w:tcPr>
            <w:tcW w:w="545" w:type="pct"/>
            <w:vAlign w:val="center"/>
          </w:tcPr>
          <w:p>
            <w:pPr>
              <w:spacing w:line="220" w:lineRule="exact"/>
              <w:jc w:val="center"/>
              <w:rPr>
                <w:rFonts w:ascii="Arial"/>
                <w:sz w:val="16"/>
                <w:szCs w:val="16"/>
              </w:rPr>
            </w:pPr>
          </w:p>
        </w:tc>
        <w:tc>
          <w:tcPr>
            <w:tcW w:w="404" w:type="pct"/>
            <w:vAlign w:val="center"/>
          </w:tcPr>
          <w:p>
            <w:pPr>
              <w:spacing w:line="220" w:lineRule="exact"/>
              <w:jc w:val="center"/>
              <w:rPr>
                <w:rFonts w:ascii="Arial"/>
                <w:sz w:val="16"/>
                <w:szCs w:val="16"/>
              </w:rPr>
            </w:pPr>
          </w:p>
        </w:tc>
        <w:tc>
          <w:tcPr>
            <w:tcW w:w="365" w:type="pct"/>
            <w:vAlign w:val="center"/>
          </w:tcPr>
          <w:p>
            <w:pPr>
              <w:spacing w:line="220" w:lineRule="exact"/>
              <w:jc w:val="center"/>
              <w:rPr>
                <w:rFonts w:ascii="Arial"/>
                <w:sz w:val="16"/>
                <w:szCs w:val="16"/>
              </w:rPr>
            </w:pPr>
          </w:p>
        </w:tc>
        <w:tc>
          <w:tcPr>
            <w:tcW w:w="788" w:type="pct"/>
            <w:gridSpan w:val="2"/>
            <w:vAlign w:val="center"/>
          </w:tcPr>
          <w:p>
            <w:pPr>
              <w:spacing w:line="220" w:lineRule="exact"/>
              <w:jc w:val="center"/>
              <w:rPr>
                <w:rFonts w:ascii="Arial"/>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5" w:hRule="atLeast"/>
        </w:trPr>
        <w:tc>
          <w:tcPr>
            <w:tcW w:w="462" w:type="pct"/>
            <w:vAlign w:val="center"/>
          </w:tcPr>
          <w:p>
            <w:pPr>
              <w:pStyle w:val="38"/>
              <w:spacing w:before="28" w:line="191" w:lineRule="auto"/>
              <w:ind w:left="294"/>
              <w:jc w:val="center"/>
              <w:rPr>
                <w:sz w:val="16"/>
                <w:szCs w:val="16"/>
              </w:rPr>
            </w:pPr>
            <w:r>
              <w:rPr>
                <w:spacing w:val="4"/>
                <w:sz w:val="16"/>
                <w:szCs w:val="16"/>
              </w:rPr>
              <w:t>总分</w:t>
            </w:r>
          </w:p>
        </w:tc>
        <w:tc>
          <w:tcPr>
            <w:tcW w:w="428" w:type="pct"/>
            <w:vAlign w:val="center"/>
          </w:tcPr>
          <w:p>
            <w:pPr>
              <w:spacing w:line="225" w:lineRule="exact"/>
              <w:jc w:val="center"/>
              <w:rPr>
                <w:rFonts w:ascii="Arial"/>
                <w:sz w:val="16"/>
                <w:szCs w:val="16"/>
              </w:rPr>
            </w:pPr>
          </w:p>
        </w:tc>
        <w:tc>
          <w:tcPr>
            <w:tcW w:w="428" w:type="pct"/>
            <w:vAlign w:val="center"/>
          </w:tcPr>
          <w:p>
            <w:pPr>
              <w:spacing w:line="225" w:lineRule="exact"/>
              <w:jc w:val="center"/>
              <w:rPr>
                <w:rFonts w:ascii="Arial"/>
                <w:sz w:val="16"/>
                <w:szCs w:val="16"/>
              </w:rPr>
            </w:pPr>
          </w:p>
        </w:tc>
        <w:tc>
          <w:tcPr>
            <w:tcW w:w="1316" w:type="pct"/>
            <w:gridSpan w:val="2"/>
            <w:vAlign w:val="center"/>
          </w:tcPr>
          <w:p>
            <w:pPr>
              <w:spacing w:line="225" w:lineRule="exact"/>
              <w:jc w:val="center"/>
              <w:rPr>
                <w:rFonts w:ascii="Arial"/>
                <w:sz w:val="16"/>
                <w:szCs w:val="16"/>
              </w:rPr>
            </w:pPr>
          </w:p>
        </w:tc>
        <w:tc>
          <w:tcPr>
            <w:tcW w:w="260" w:type="pct"/>
            <w:vAlign w:val="center"/>
          </w:tcPr>
          <w:p>
            <w:pPr>
              <w:pStyle w:val="38"/>
              <w:spacing w:before="46" w:line="173" w:lineRule="auto"/>
              <w:ind w:left="105"/>
              <w:jc w:val="center"/>
              <w:rPr>
                <w:sz w:val="16"/>
                <w:szCs w:val="16"/>
              </w:rPr>
            </w:pPr>
            <w:r>
              <w:rPr>
                <w:spacing w:val="-5"/>
                <w:sz w:val="16"/>
                <w:szCs w:val="16"/>
              </w:rPr>
              <w:t>100</w:t>
            </w:r>
          </w:p>
        </w:tc>
        <w:tc>
          <w:tcPr>
            <w:tcW w:w="545" w:type="pct"/>
            <w:vAlign w:val="center"/>
          </w:tcPr>
          <w:p>
            <w:pPr>
              <w:spacing w:line="225" w:lineRule="exact"/>
              <w:jc w:val="center"/>
              <w:rPr>
                <w:rFonts w:ascii="Arial"/>
                <w:sz w:val="16"/>
                <w:szCs w:val="16"/>
              </w:rPr>
            </w:pPr>
          </w:p>
        </w:tc>
        <w:tc>
          <w:tcPr>
            <w:tcW w:w="404" w:type="pct"/>
            <w:vAlign w:val="center"/>
          </w:tcPr>
          <w:p>
            <w:pPr>
              <w:spacing w:line="225" w:lineRule="exact"/>
              <w:jc w:val="center"/>
              <w:rPr>
                <w:rFonts w:ascii="Arial"/>
                <w:sz w:val="16"/>
                <w:szCs w:val="16"/>
              </w:rPr>
            </w:pPr>
          </w:p>
        </w:tc>
        <w:tc>
          <w:tcPr>
            <w:tcW w:w="365" w:type="pct"/>
            <w:vAlign w:val="center"/>
          </w:tcPr>
          <w:p>
            <w:pPr>
              <w:pStyle w:val="38"/>
              <w:spacing w:before="46" w:line="173" w:lineRule="auto"/>
              <w:ind w:left="346"/>
              <w:jc w:val="center"/>
              <w:rPr>
                <w:sz w:val="16"/>
                <w:szCs w:val="16"/>
              </w:rPr>
            </w:pPr>
            <w:r>
              <w:rPr>
                <w:spacing w:val="-3"/>
                <w:sz w:val="16"/>
                <w:szCs w:val="16"/>
              </w:rPr>
              <w:t>86</w:t>
            </w:r>
          </w:p>
        </w:tc>
        <w:tc>
          <w:tcPr>
            <w:tcW w:w="788" w:type="pct"/>
            <w:gridSpan w:val="2"/>
            <w:vAlign w:val="center"/>
          </w:tcPr>
          <w:p>
            <w:pPr>
              <w:spacing w:line="225" w:lineRule="exact"/>
              <w:jc w:val="center"/>
              <w:rPr>
                <w:rFonts w:ascii="Arial"/>
                <w:sz w:val="16"/>
                <w:szCs w:val="16"/>
              </w:rPr>
            </w:pPr>
          </w:p>
        </w:tc>
      </w:tr>
    </w:tbl>
    <w:p>
      <w:pPr>
        <w:pStyle w:val="16"/>
        <w:keepNext w:val="0"/>
        <w:keepLines w:val="0"/>
        <w:pageBreakBefore w:val="0"/>
        <w:widowControl/>
        <w:kinsoku/>
        <w:wordWrap/>
        <w:overflowPunct/>
        <w:topLinePunct w:val="0"/>
        <w:autoSpaceDE/>
        <w:autoSpaceDN/>
        <w:bidi w:val="0"/>
        <w:adjustRightInd w:val="0"/>
        <w:snapToGrid/>
        <w:spacing w:before="0" w:after="0" w:line="560" w:lineRule="exact"/>
        <w:textAlignment w:val="auto"/>
        <w:rPr>
          <w:rFonts w:ascii="Arial"/>
          <w:sz w:val="21"/>
        </w:rPr>
      </w:pPr>
      <mc:AlternateContent>
        <mc:Choice Requires="wpsCustomData">
          <wpsCustomData:docfieldStart id="1" docfieldname="FJ_1" hidden="0" print="1" readonly="0" index="3"/>
        </mc:Choice>
      </mc:AlternateContent>
      <w:r>
        <w:rPr>
          <w:rFonts w:ascii="方正小标宋简体" w:hAnsi="方正小标宋简体" w:eastAsia="方正小标宋简体" w:cs="方正小标宋简体"/>
          <w:b w:val="0"/>
          <w:bCs w:val="0"/>
          <w:sz w:val="44"/>
          <w:szCs w:val="44"/>
        </w:rPr>
        <w:t>2025年石榴籽就业创业工作经费</w:t>
      </w:r>
      <w:r>
        <w:rPr>
          <w:rFonts w:ascii="方正小标宋简体" w:hAnsi="方正小标宋简体" w:eastAsia="方正小标宋简体" w:cs="方正小标宋简体"/>
          <w:b w:val="0"/>
          <w:bCs w:val="0"/>
          <w:sz w:val="44"/>
          <w:szCs w:val="44"/>
        </w:rPr>
        <w:br w:type="textWrapping"/>
      </w:r>
      <w:r>
        <w:rPr>
          <w:rFonts w:ascii="方正小标宋简体" w:hAnsi="方正小标宋简体" w:eastAsia="方正小标宋简体" w:cs="方正小标宋简体"/>
          <w:b w:val="0"/>
          <w:bCs w:val="0"/>
          <w:sz w:val="44"/>
          <w:szCs w:val="44"/>
        </w:rPr>
        <w:t>专项预算绩效</w:t>
      </w:r>
      <w:r>
        <w:rPr>
          <w:rFonts w:ascii="方正小标宋简体" w:hAnsi="方正小标宋简体" w:eastAsia="方正小标宋简体" w:cs="方正小标宋简体"/>
          <w:b w:val="0"/>
          <w:bCs w:val="0"/>
          <w:sz w:val="44"/>
          <w:szCs w:val="44"/>
        </w:rPr>
        <w:br w:type="textWrapping"/>
      </w:r>
      <w:r>
        <w:rPr>
          <w:rFonts w:ascii="方正小标宋简体" w:hAnsi="方正小标宋简体" w:eastAsia="方正小标宋简体" w:cs="方正小标宋简体"/>
          <w:b w:val="0"/>
          <w:bCs w:val="0"/>
          <w:sz w:val="44"/>
          <w:szCs w:val="44"/>
        </w:rPr>
        <w:t>自评报告</w:t>
      </w:r>
      <mc:AlternateContent>
        <mc:Choice Requires="wpsCustomData">
          <wpsCustomData:docfieldEnd id="1"/>
        </mc:Choice>
      </mc:AlternateContent>
    </w:p>
    <w:p>
      <w:pPr>
        <w:pStyle w:val="2"/>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0" w:firstLineChars="200"/>
        <w:jc w:val="left"/>
        <w:textAlignment w:val="auto"/>
        <w:rPr>
          <w:rFonts w:eastAsia="黑体"/>
          <w:b w:val="0"/>
          <w:bCs w:val="0"/>
          <w:sz w:val="32"/>
          <w:szCs w:val="32"/>
        </w:rPr>
      </w:pPr>
      <w:r>
        <w:rPr>
          <w:rFonts w:hint="eastAsia" w:cs="黑体"/>
          <w:b w:val="0"/>
          <w:bCs w:val="0"/>
          <w:sz w:val="32"/>
          <w:szCs w:val="32"/>
          <w:lang w:eastAsia="zh-CN"/>
        </w:rPr>
        <w:t>一、</w:t>
      </w:r>
      <w:r>
        <w:rPr>
          <w:rFonts w:ascii="黑体" w:hAnsi="黑体" w:eastAsia="黑体" w:cs="黑体"/>
          <w:b w:val="0"/>
          <w:bCs w:val="0"/>
          <w:sz w:val="32"/>
          <w:szCs w:val="32"/>
        </w:rPr>
        <w:t>项目概况</w:t>
      </w:r>
    </w:p>
    <w:p>
      <w:pPr>
        <w:pStyle w:val="5"/>
        <w:pageBreakBefore w:val="0"/>
        <w:numPr>
          <w:ilvl w:val="0"/>
          <w:numId w:val="0"/>
        </w:numPr>
        <w:kinsoku/>
        <w:wordWrap/>
        <w:overflowPunct/>
        <w:topLinePunct w:val="0"/>
        <w:autoSpaceDE/>
        <w:autoSpaceDN/>
        <w:bidi w:val="0"/>
        <w:adjustRightInd/>
        <w:snapToGrid/>
        <w:spacing w:beforeLines="0" w:line="560" w:lineRule="exact"/>
        <w:ind w:left="0" w:leftChars="0" w:firstLine="642" w:firstLineChars="200"/>
        <w:jc w:val="left"/>
        <w:textAlignment w:val="auto"/>
        <w:rPr>
          <w:rFonts w:hint="eastAsia" w:eastAsia="楷体_GB2312"/>
          <w:b w:val="0"/>
          <w:bCs w:val="0"/>
          <w:sz w:val="32"/>
          <w:szCs w:val="32"/>
        </w:rPr>
      </w:pPr>
      <w:r>
        <w:rPr>
          <w:rStyle w:val="31"/>
          <w:rFonts w:hint="eastAsia" w:eastAsia="楷体_GB2312"/>
          <w:lang w:eastAsia="zh-CN"/>
        </w:rPr>
        <w:t>（一）</w:t>
      </w:r>
      <w:r>
        <w:rPr>
          <w:rStyle w:val="31"/>
        </w:rPr>
        <w:t>设立背景及基本情况</w:t>
      </w:r>
      <w:r>
        <w:rPr>
          <w:rFonts w:ascii="Times New Roman" w:hAnsi="Times New Roman" w:eastAsia="仿宋_GB2312" w:cs="仿宋_GB2312"/>
          <w:b w:val="0"/>
          <w:bCs w:val="0"/>
          <w:sz w:val="32"/>
          <w:szCs w:val="32"/>
        </w:rPr>
        <w:t>。为贯彻中央和省委关于实施就业优先战略、促进高质量充分就业的决策部署，落实州委十二届五次、六次全会、全州就业创业大会和县委十四届五次、六次全会精神，按照县委推进壤塘高质量发展的</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146</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工作部署，扎实推进</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农牧立县、文旅兴县、能源富县、开放活县</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战略落地，踊跃构建现代产业新体系，以乡村振兴战略与新型城镇化战略协同共进为着力点，加力提速</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一城三副</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城乡融合高质量发展，根据《中共壤塘县委关于群众工作</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石榴籽</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工程的实施方案》，进一步促进大中专毕业生、农牧民家庭就业创业，制定本方案。（二）实施目的及支持方向。</w:t>
      </w:r>
    </w:p>
    <w:p>
      <w:pPr>
        <w:pStyle w:val="5"/>
        <w:pageBreakBefore w:val="0"/>
        <w:widowControl/>
        <w:kinsoku/>
        <w:wordWrap/>
        <w:overflowPunct/>
        <w:topLinePunct w:val="0"/>
        <w:autoSpaceDE/>
        <w:autoSpaceDN/>
        <w:bidi w:val="0"/>
        <w:adjustRightInd/>
        <w:snapToGrid/>
        <w:spacing w:beforeLines="0" w:line="560" w:lineRule="exact"/>
        <w:ind w:left="0" w:firstLine="640" w:firstLineChars="200"/>
        <w:jc w:val="left"/>
        <w:textAlignment w:val="auto"/>
        <w:rPr>
          <w:rFonts w:ascii="Times New Roman" w:hAnsi="Times New Roman" w:eastAsia="仿宋_GB2312" w:cs="仿宋_GB2312"/>
          <w:b w:val="0"/>
          <w:bCs w:val="0"/>
          <w:color w:val="000000"/>
          <w:sz w:val="32"/>
          <w:szCs w:val="32"/>
        </w:rPr>
      </w:pPr>
      <w:r>
        <w:rPr>
          <w:rFonts w:ascii="Times New Roman" w:hAnsi="Times New Roman" w:eastAsia="仿宋_GB2312" w:cs="仿宋_GB2312"/>
          <w:b w:val="0"/>
          <w:bCs w:val="0"/>
          <w:color w:val="000000"/>
          <w:sz w:val="32"/>
          <w:szCs w:val="32"/>
        </w:rPr>
        <w:t>坚持以人民为中心的发展思想，持续促进就业质的有效提升和量的合理增长，不断增强</w:t>
      </w:r>
      <w:r>
        <w:rPr>
          <w:rFonts w:hint="eastAsia" w:ascii="Times New Roman" w:cs="仿宋_GB2312"/>
          <w:b w:val="0"/>
          <w:bCs w:val="0"/>
          <w:color w:val="000000"/>
          <w:sz w:val="32"/>
          <w:szCs w:val="32"/>
          <w:lang w:eastAsia="zh-CN"/>
        </w:rPr>
        <w:t>人民</w:t>
      </w:r>
      <w:r>
        <w:rPr>
          <w:rFonts w:ascii="Times New Roman" w:hAnsi="Times New Roman" w:eastAsia="仿宋_GB2312" w:cs="仿宋_GB2312"/>
          <w:b w:val="0"/>
          <w:bCs w:val="0"/>
          <w:color w:val="000000"/>
          <w:sz w:val="32"/>
          <w:szCs w:val="32"/>
        </w:rPr>
        <w:t>群众获得感幸福感安全感。依托</w:t>
      </w:r>
      <w:r>
        <w:rPr>
          <w:rFonts w:hint="eastAsia" w:ascii="仿宋_GB2312" w:hAnsi="仿宋_GB2312" w:eastAsia="仿宋_GB2312" w:cs="仿宋_GB2312"/>
          <w:b w:val="0"/>
          <w:bCs w:val="0"/>
          <w:color w:val="000000"/>
          <w:spacing w:val="-6"/>
          <w:sz w:val="32"/>
          <w:szCs w:val="32"/>
        </w:rPr>
        <w:t>“</w:t>
      </w:r>
      <w:r>
        <w:rPr>
          <w:rFonts w:ascii="Times New Roman" w:hAnsi="Times New Roman" w:eastAsia="仿宋_GB2312" w:cs="仿宋_GB2312"/>
          <w:b w:val="0"/>
          <w:bCs w:val="0"/>
          <w:color w:val="000000"/>
          <w:sz w:val="32"/>
          <w:szCs w:val="32"/>
        </w:rPr>
        <w:t>微网实格</w:t>
      </w:r>
      <w:r>
        <w:rPr>
          <w:rFonts w:hint="eastAsia" w:ascii="仿宋_GB2312" w:hAnsi="仿宋_GB2312" w:eastAsia="仿宋_GB2312" w:cs="仿宋_GB2312"/>
          <w:b w:val="0"/>
          <w:bCs w:val="0"/>
          <w:color w:val="000000"/>
          <w:spacing w:val="-6"/>
          <w:sz w:val="32"/>
          <w:szCs w:val="32"/>
        </w:rPr>
        <w:t>”</w:t>
      </w:r>
      <w:r>
        <w:rPr>
          <w:rFonts w:ascii="Times New Roman" w:hAnsi="Times New Roman" w:eastAsia="仿宋_GB2312" w:cs="仿宋_GB2312"/>
          <w:b w:val="0"/>
          <w:bCs w:val="0"/>
          <w:color w:val="000000"/>
          <w:sz w:val="32"/>
          <w:szCs w:val="32"/>
        </w:rPr>
        <w:t>基层治理体系，以户为单位、以乡村基层为主体，实施</w:t>
      </w:r>
      <w:r>
        <w:rPr>
          <w:rFonts w:hint="eastAsia" w:ascii="仿宋_GB2312" w:hAnsi="仿宋_GB2312" w:eastAsia="仿宋_GB2312" w:cs="仿宋_GB2312"/>
          <w:b w:val="0"/>
          <w:bCs w:val="0"/>
          <w:color w:val="000000"/>
          <w:spacing w:val="-6"/>
          <w:sz w:val="32"/>
          <w:szCs w:val="32"/>
        </w:rPr>
        <w:t>“</w:t>
      </w:r>
      <w:r>
        <w:rPr>
          <w:rFonts w:ascii="Times New Roman" w:hAnsi="Times New Roman" w:eastAsia="仿宋_GB2312" w:cs="仿宋_GB2312"/>
          <w:b w:val="0"/>
          <w:bCs w:val="0"/>
          <w:color w:val="000000"/>
          <w:sz w:val="32"/>
          <w:szCs w:val="32"/>
        </w:rPr>
        <w:t>就业稳岗、动态清零、创业帮扶、培训提能、服务保障</w:t>
      </w:r>
      <w:r>
        <w:rPr>
          <w:rFonts w:hint="eastAsia" w:ascii="仿宋_GB2312" w:hAnsi="仿宋_GB2312" w:eastAsia="仿宋_GB2312" w:cs="仿宋_GB2312"/>
          <w:b w:val="0"/>
          <w:bCs w:val="0"/>
          <w:color w:val="000000"/>
          <w:spacing w:val="-6"/>
          <w:sz w:val="32"/>
          <w:szCs w:val="32"/>
        </w:rPr>
        <w:t>”</w:t>
      </w:r>
      <w:r>
        <w:rPr>
          <w:rFonts w:ascii="Times New Roman" w:hAnsi="Times New Roman" w:eastAsia="仿宋_GB2312" w:cs="仿宋_GB2312"/>
          <w:b w:val="0"/>
          <w:bCs w:val="0"/>
          <w:color w:val="000000"/>
          <w:sz w:val="32"/>
          <w:szCs w:val="32"/>
        </w:rPr>
        <w:t>五大举措，加快实现每个农牧民家庭至少有一人稳定就业的目标。2025年，未稳定就业大中专毕业生、无一人稳定就业的农牧民家庭稳定就业率分别达85％以上、</w:t>
      </w:r>
    </w:p>
    <w:p>
      <w:pPr>
        <w:pStyle w:val="5"/>
        <w:pageBreakBefore w:val="0"/>
        <w:kinsoku/>
        <w:wordWrap/>
        <w:overflowPunct/>
        <w:topLinePunct w:val="0"/>
        <w:autoSpaceDE/>
        <w:autoSpaceDN/>
        <w:bidi w:val="0"/>
        <w:adjustRightInd/>
        <w:snapToGrid/>
        <w:spacing w:beforeLines="0" w:line="560" w:lineRule="exact"/>
        <w:ind w:left="0" w:firstLine="640" w:firstLineChars="200"/>
        <w:jc w:val="left"/>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80％以上；就业巩固率达90％以上；就业培训率达90％以上；有创业意愿的劳动者创业帮扶率100％。2026年，未稳定就业大中专毕业生、无一人稳定就业的农牧民家庭稳定就业率分别达90％以上、85％以上；就业巩固率达90％以上；就业培训率达95％以上；有创业意愿的劳动者创业帮扶率100％。2027年，基本消化完未稳定就业且有就业意愿的大中专毕业生、实现每个农牧民家庭至少有一人稳定就业；就业巩固率达90％以上；就业培训率达100％以上；有创业意愿的劳动者创业帮扶率100％。</w:t>
      </w:r>
    </w:p>
    <w:p>
      <w:pPr>
        <w:pStyle w:val="5"/>
        <w:pageBreakBefore w:val="0"/>
        <w:numPr>
          <w:ilvl w:val="0"/>
          <w:numId w:val="0"/>
        </w:numPr>
        <w:kinsoku/>
        <w:wordWrap/>
        <w:overflowPunct/>
        <w:topLinePunct w:val="0"/>
        <w:autoSpaceDE/>
        <w:autoSpaceDN/>
        <w:bidi w:val="0"/>
        <w:adjustRightInd/>
        <w:snapToGrid/>
        <w:spacing w:beforeLines="0" w:line="560" w:lineRule="exact"/>
        <w:ind w:left="0" w:leftChars="0" w:firstLine="642" w:firstLineChars="200"/>
        <w:jc w:val="left"/>
        <w:textAlignment w:val="auto"/>
        <w:rPr>
          <w:rFonts w:hint="eastAsia" w:eastAsia="楷体_GB2312"/>
          <w:b w:val="0"/>
          <w:sz w:val="32"/>
          <w:szCs w:val="32"/>
        </w:rPr>
      </w:pPr>
      <w:r>
        <w:rPr>
          <w:rStyle w:val="31"/>
          <w:rFonts w:hint="eastAsia" w:eastAsia="楷体_GB2312"/>
          <w:lang w:eastAsia="zh-CN"/>
        </w:rPr>
        <w:t>（二）</w:t>
      </w:r>
      <w:r>
        <w:rPr>
          <w:rStyle w:val="31"/>
        </w:rPr>
        <w:t>预算安排及分配管理</w:t>
      </w:r>
      <w:r>
        <w:rPr>
          <w:rFonts w:ascii="Times New Roman" w:hAnsi="Times New Roman" w:eastAsia="仿宋_GB2312" w:cs="仿宋_GB2312"/>
          <w:b/>
          <w:sz w:val="32"/>
          <w:szCs w:val="32"/>
        </w:rPr>
        <w:t>。</w:t>
      </w:r>
      <w:r>
        <w:rPr>
          <w:rFonts w:ascii="Times New Roman" w:hAnsi="Times New Roman" w:eastAsia="仿宋_GB2312" w:cs="仿宋_GB2312"/>
          <w:sz w:val="32"/>
          <w:szCs w:val="32"/>
        </w:rPr>
        <w:t>预算安排：2025年资金预算总额3万元，资金全额到位，到位率100％。资金使用：截至2025年12月31日，实际使用2.74万元，预算执行率91％。主要用于石榴籽就业帮扶工作。</w:t>
      </w:r>
    </w:p>
    <w:p>
      <w:pPr>
        <w:pStyle w:val="5"/>
        <w:pageBreakBefore w:val="0"/>
        <w:numPr>
          <w:ilvl w:val="0"/>
          <w:numId w:val="0"/>
        </w:numPr>
        <w:kinsoku/>
        <w:wordWrap/>
        <w:overflowPunct/>
        <w:topLinePunct w:val="0"/>
        <w:autoSpaceDE/>
        <w:autoSpaceDN/>
        <w:bidi w:val="0"/>
        <w:adjustRightInd/>
        <w:snapToGrid/>
        <w:spacing w:beforeLines="0" w:line="560" w:lineRule="exact"/>
        <w:ind w:left="0" w:leftChars="0" w:firstLine="642" w:firstLineChars="200"/>
        <w:jc w:val="left"/>
        <w:textAlignment w:val="auto"/>
        <w:rPr>
          <w:rFonts w:hint="eastAsia" w:eastAsia="楷体_GB2312"/>
          <w:b w:val="0"/>
          <w:sz w:val="32"/>
          <w:szCs w:val="32"/>
        </w:rPr>
      </w:pPr>
      <w:r>
        <w:rPr>
          <w:rStyle w:val="31"/>
          <w:rFonts w:hint="eastAsia" w:eastAsia="楷体_GB2312"/>
          <w:lang w:eastAsia="zh-CN"/>
        </w:rPr>
        <w:t>（三）</w:t>
      </w:r>
      <w:r>
        <w:rPr>
          <w:rStyle w:val="31"/>
        </w:rPr>
        <w:t>项目绩效目标设置</w:t>
      </w:r>
      <w:r>
        <w:rPr>
          <w:rFonts w:ascii="Times New Roman" w:hAnsi="Times New Roman" w:eastAsia="仿宋_GB2312" w:cs="仿宋_GB2312"/>
          <w:b/>
          <w:sz w:val="32"/>
          <w:szCs w:val="32"/>
        </w:rPr>
        <w:t>。</w:t>
      </w:r>
      <w:r>
        <w:rPr>
          <w:rFonts w:ascii="Times New Roman" w:hAnsi="Times New Roman" w:eastAsia="仿宋_GB2312" w:cs="仿宋_GB2312"/>
          <w:sz w:val="32"/>
          <w:szCs w:val="32"/>
        </w:rPr>
        <w:t>整体目标：完成年度就业创业扶持任务，提升公共就业服务水平，保障重点群体就业。</w:t>
      </w:r>
    </w:p>
    <w:p>
      <w:pPr>
        <w:pStyle w:val="5"/>
        <w:pageBreakBefore w:val="0"/>
        <w:kinsoku/>
        <w:wordWrap/>
        <w:overflowPunct/>
        <w:topLinePunct w:val="0"/>
        <w:autoSpaceDE/>
        <w:autoSpaceDN/>
        <w:bidi w:val="0"/>
        <w:adjustRightInd/>
        <w:snapToGrid/>
        <w:spacing w:beforeLines="0" w:line="560" w:lineRule="exact"/>
        <w:ind w:left="0" w:firstLine="640" w:firstLineChars="200"/>
        <w:jc w:val="left"/>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具体指标：设置产出、效益、满意度3个一级指标，数量、质量、时效、经济效益、社会效益、服务对象满意度8个二级指标，8个三级指标，涵盖补贴发放、就业人数，就业率、满意度等核心内容。</w:t>
      </w:r>
    </w:p>
    <w:p>
      <w:pPr>
        <w:pStyle w:val="5"/>
        <w:pageBreakBefore w:val="0"/>
        <w:kinsoku/>
        <w:wordWrap/>
        <w:overflowPunct/>
        <w:topLinePunct w:val="0"/>
        <w:autoSpaceDE/>
        <w:autoSpaceDN/>
        <w:bidi w:val="0"/>
        <w:adjustRightInd/>
        <w:snapToGrid/>
        <w:spacing w:beforeLines="0" w:line="560" w:lineRule="exact"/>
        <w:ind w:left="0" w:firstLine="640" w:firstLineChars="200"/>
        <w:jc w:val="left"/>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自评开展：按要求完成资料梳理、数据统计、实地核查、指标打分等自评工作。</w:t>
      </w:r>
    </w:p>
    <w:p>
      <w:pPr>
        <w:pStyle w:val="2"/>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0" w:firstLineChars="200"/>
        <w:jc w:val="left"/>
        <w:textAlignment w:val="auto"/>
        <w:rPr>
          <w:rFonts w:eastAsia="黑体"/>
          <w:b w:val="0"/>
          <w:bCs w:val="0"/>
          <w:sz w:val="32"/>
          <w:szCs w:val="32"/>
        </w:rPr>
      </w:pPr>
      <w:r>
        <w:rPr>
          <w:rFonts w:hint="eastAsia" w:cs="黑体"/>
          <w:b w:val="0"/>
          <w:bCs w:val="0"/>
          <w:sz w:val="32"/>
          <w:szCs w:val="32"/>
          <w:lang w:eastAsia="zh-CN"/>
        </w:rPr>
        <w:t>二、</w:t>
      </w:r>
      <w:r>
        <w:rPr>
          <w:rFonts w:ascii="黑体" w:hAnsi="黑体" w:eastAsia="黑体" w:cs="黑体"/>
          <w:b w:val="0"/>
          <w:bCs w:val="0"/>
          <w:sz w:val="32"/>
          <w:szCs w:val="32"/>
        </w:rPr>
        <w:t>评价实施</w:t>
      </w:r>
    </w:p>
    <w:p>
      <w:pPr>
        <w:pStyle w:val="5"/>
        <w:pageBreakBefore w:val="0"/>
        <w:kinsoku/>
        <w:wordWrap/>
        <w:overflowPunct/>
        <w:topLinePunct w:val="0"/>
        <w:autoSpaceDE/>
        <w:autoSpaceDN/>
        <w:bidi w:val="0"/>
        <w:adjustRightInd/>
        <w:snapToGrid/>
        <w:spacing w:beforeLines="0" w:line="560" w:lineRule="exact"/>
        <w:ind w:left="0" w:firstLine="642" w:firstLineChars="200"/>
        <w:jc w:val="left"/>
        <w:textAlignment w:val="auto"/>
        <w:rPr>
          <w:rFonts w:ascii="Times New Roman" w:hAnsi="Times New Roman" w:eastAsia="仿宋_GB2312" w:cs="仿宋_GB2312"/>
          <w:b w:val="0"/>
          <w:sz w:val="32"/>
          <w:szCs w:val="32"/>
        </w:rPr>
      </w:pPr>
      <w:r>
        <w:rPr>
          <w:rStyle w:val="31"/>
        </w:rPr>
        <w:t>评价目的</w:t>
      </w:r>
      <w:r>
        <w:rPr>
          <w:rFonts w:ascii="Times New Roman" w:hAnsi="Times New Roman" w:eastAsia="仿宋_GB2312" w:cs="仿宋_GB2312"/>
          <w:b/>
          <w:sz w:val="32"/>
          <w:szCs w:val="32"/>
        </w:rPr>
        <w:t>。</w:t>
      </w:r>
      <w:r>
        <w:rPr>
          <w:rFonts w:ascii="Times New Roman" w:hAnsi="Times New Roman" w:eastAsia="仿宋_GB2312" w:cs="仿宋_GB2312"/>
          <w:sz w:val="32"/>
          <w:szCs w:val="32"/>
        </w:rPr>
        <w:t>全面核查资金使用、项目实施、绩效</w:t>
      </w:r>
      <w:r>
        <w:rPr>
          <w:rFonts w:ascii="Times New Roman" w:hAnsi="Times New Roman" w:eastAsia="仿宋_GB2312" w:cs="仿宋_GB2312"/>
          <w:b w:val="0"/>
          <w:sz w:val="32"/>
          <w:szCs w:val="32"/>
        </w:rPr>
        <w:t>目标完成情况，客观评价专项资金的经济性、效率性、效益性，为资金优化配置、就业创业政策完善提供科学依据。</w:t>
      </w:r>
    </w:p>
    <w:p>
      <w:pPr>
        <w:pStyle w:val="5"/>
        <w:pageBreakBefore w:val="0"/>
        <w:numPr>
          <w:ilvl w:val="0"/>
          <w:numId w:val="0"/>
        </w:numPr>
        <w:kinsoku/>
        <w:wordWrap/>
        <w:overflowPunct/>
        <w:topLinePunct w:val="0"/>
        <w:autoSpaceDE/>
        <w:autoSpaceDN/>
        <w:bidi w:val="0"/>
        <w:adjustRightInd/>
        <w:snapToGrid/>
        <w:spacing w:beforeLines="0" w:line="560" w:lineRule="exact"/>
        <w:ind w:left="0" w:leftChars="0" w:firstLine="642" w:firstLineChars="200"/>
        <w:jc w:val="left"/>
        <w:textAlignment w:val="auto"/>
        <w:rPr>
          <w:rFonts w:hint="eastAsia" w:eastAsia="仿宋_GB2312"/>
          <w:b/>
          <w:sz w:val="32"/>
          <w:szCs w:val="32"/>
        </w:rPr>
      </w:pPr>
      <w:r>
        <w:rPr>
          <w:rFonts w:hint="eastAsia" w:cs="仿宋_GB2312"/>
          <w:b/>
          <w:sz w:val="32"/>
          <w:szCs w:val="32"/>
          <w:lang w:eastAsia="zh-CN"/>
        </w:rPr>
        <w:t>（一）</w:t>
      </w:r>
      <w:r>
        <w:rPr>
          <w:rFonts w:ascii="Times New Roman" w:hAnsi="Times New Roman" w:eastAsia="仿宋_GB2312" w:cs="仿宋_GB2312"/>
          <w:b/>
          <w:sz w:val="32"/>
          <w:szCs w:val="32"/>
        </w:rPr>
        <w:t>预设问题及评价重点。</w:t>
      </w:r>
      <w:r>
        <w:rPr>
          <w:rFonts w:ascii="Times New Roman" w:hAnsi="Times New Roman" w:eastAsia="仿宋_GB2312" w:cs="仿宋_GB2312"/>
          <w:sz w:val="32"/>
          <w:szCs w:val="32"/>
        </w:rPr>
        <w:t>预设问题：预算执行是否到位、资金使用是否合规、绩效目标是否完成、工坊满意度是否达标。</w:t>
      </w:r>
    </w:p>
    <w:p>
      <w:pPr>
        <w:pStyle w:val="5"/>
        <w:pageBreakBefore w:val="0"/>
        <w:kinsoku/>
        <w:wordWrap/>
        <w:overflowPunct/>
        <w:topLinePunct w:val="0"/>
        <w:autoSpaceDE/>
        <w:autoSpaceDN/>
        <w:bidi w:val="0"/>
        <w:adjustRightInd/>
        <w:snapToGrid/>
        <w:spacing w:beforeLines="0" w:line="560" w:lineRule="exact"/>
        <w:ind w:left="0" w:firstLine="640" w:firstLineChars="200"/>
        <w:jc w:val="left"/>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评价重点：资金管理、补贴发放、就业帮扶成效、制度执行、服务对象满意度。</w:t>
      </w:r>
    </w:p>
    <w:p>
      <w:pPr>
        <w:pStyle w:val="5"/>
        <w:pageBreakBefore w:val="0"/>
        <w:numPr>
          <w:ilvl w:val="0"/>
          <w:numId w:val="0"/>
        </w:numPr>
        <w:kinsoku/>
        <w:wordWrap/>
        <w:overflowPunct/>
        <w:topLinePunct w:val="0"/>
        <w:autoSpaceDE/>
        <w:autoSpaceDN/>
        <w:bidi w:val="0"/>
        <w:adjustRightInd/>
        <w:snapToGrid/>
        <w:spacing w:beforeLines="0" w:line="560" w:lineRule="exact"/>
        <w:ind w:left="0" w:leftChars="0" w:firstLine="642" w:firstLineChars="200"/>
        <w:jc w:val="left"/>
        <w:textAlignment w:val="auto"/>
        <w:rPr>
          <w:rFonts w:hint="eastAsia" w:eastAsia="仿宋_GB2312"/>
          <w:b/>
          <w:sz w:val="32"/>
          <w:szCs w:val="32"/>
        </w:rPr>
      </w:pPr>
      <w:r>
        <w:rPr>
          <w:rFonts w:hint="eastAsia" w:cs="仿宋_GB2312"/>
          <w:b/>
          <w:sz w:val="32"/>
          <w:szCs w:val="32"/>
          <w:lang w:eastAsia="zh-CN"/>
        </w:rPr>
        <w:t>（二）</w:t>
      </w:r>
      <w:r>
        <w:rPr>
          <w:rFonts w:ascii="Times New Roman" w:hAnsi="Times New Roman" w:eastAsia="仿宋_GB2312" w:cs="仿宋_GB2312"/>
          <w:b/>
          <w:sz w:val="32"/>
          <w:szCs w:val="32"/>
        </w:rPr>
        <w:t>评价选点。</w:t>
      </w:r>
      <w:r>
        <w:rPr>
          <w:rFonts w:ascii="Times New Roman" w:hAnsi="Times New Roman" w:eastAsia="仿宋_GB2312" w:cs="仿宋_GB2312"/>
          <w:sz w:val="32"/>
          <w:szCs w:val="32"/>
        </w:rPr>
        <w:t>本次自评无额外选点，全覆盖项目实施及资金使用全流程。</w:t>
      </w:r>
    </w:p>
    <w:p>
      <w:pPr>
        <w:pStyle w:val="5"/>
        <w:pageBreakBefore w:val="0"/>
        <w:numPr>
          <w:ilvl w:val="0"/>
          <w:numId w:val="0"/>
        </w:numPr>
        <w:kinsoku/>
        <w:wordWrap/>
        <w:overflowPunct/>
        <w:topLinePunct w:val="0"/>
        <w:autoSpaceDE/>
        <w:autoSpaceDN/>
        <w:bidi w:val="0"/>
        <w:adjustRightInd/>
        <w:snapToGrid/>
        <w:spacing w:beforeLines="0" w:line="560" w:lineRule="exact"/>
        <w:ind w:left="0" w:leftChars="0" w:firstLine="642" w:firstLineChars="200"/>
        <w:jc w:val="left"/>
        <w:textAlignment w:val="auto"/>
        <w:rPr>
          <w:rFonts w:hint="eastAsia" w:eastAsia="仿宋_GB2312"/>
          <w:b/>
          <w:sz w:val="32"/>
          <w:szCs w:val="32"/>
        </w:rPr>
      </w:pPr>
      <w:r>
        <w:rPr>
          <w:rFonts w:hint="eastAsia" w:cs="仿宋_GB2312"/>
          <w:b/>
          <w:sz w:val="32"/>
          <w:szCs w:val="32"/>
          <w:lang w:eastAsia="zh-CN"/>
        </w:rPr>
        <w:t>（三）</w:t>
      </w:r>
      <w:r>
        <w:rPr>
          <w:rFonts w:ascii="Times New Roman" w:hAnsi="Times New Roman" w:eastAsia="仿宋_GB2312" w:cs="仿宋_GB2312"/>
          <w:b/>
          <w:sz w:val="32"/>
          <w:szCs w:val="32"/>
        </w:rPr>
        <w:t>评价方法。</w:t>
      </w:r>
      <w:r>
        <w:rPr>
          <w:rFonts w:ascii="Times New Roman" w:hAnsi="Times New Roman" w:eastAsia="仿宋_GB2312" w:cs="仿宋_GB2312"/>
          <w:sz w:val="32"/>
          <w:szCs w:val="32"/>
        </w:rPr>
        <w:t>采用案卷研究法、实地勘察法、问卷调查法、单位自评法、座谈调研法，结合财务凭证、业务台账、受益对象访谈开展评价。</w:t>
      </w:r>
    </w:p>
    <w:p>
      <w:pPr>
        <w:pStyle w:val="5"/>
        <w:pageBreakBefore w:val="0"/>
        <w:numPr>
          <w:ilvl w:val="0"/>
          <w:numId w:val="0"/>
        </w:numPr>
        <w:kinsoku/>
        <w:wordWrap/>
        <w:overflowPunct/>
        <w:topLinePunct w:val="0"/>
        <w:autoSpaceDE/>
        <w:autoSpaceDN/>
        <w:bidi w:val="0"/>
        <w:adjustRightInd/>
        <w:snapToGrid/>
        <w:spacing w:beforeLines="0" w:line="560" w:lineRule="exact"/>
        <w:ind w:left="0" w:leftChars="0" w:firstLine="642" w:firstLineChars="200"/>
        <w:jc w:val="left"/>
        <w:textAlignment w:val="auto"/>
        <w:rPr>
          <w:rFonts w:hint="eastAsia" w:eastAsia="仿宋_GB2312"/>
          <w:b/>
          <w:sz w:val="32"/>
          <w:szCs w:val="32"/>
        </w:rPr>
      </w:pPr>
      <w:r>
        <w:rPr>
          <w:rFonts w:hint="eastAsia" w:cs="仿宋_GB2312"/>
          <w:b/>
          <w:sz w:val="32"/>
          <w:szCs w:val="32"/>
          <w:lang w:eastAsia="zh-CN"/>
        </w:rPr>
        <w:t>（四）</w:t>
      </w:r>
      <w:r>
        <w:rPr>
          <w:rFonts w:ascii="Times New Roman" w:hAnsi="Times New Roman" w:eastAsia="仿宋_GB2312" w:cs="仿宋_GB2312"/>
          <w:b/>
          <w:sz w:val="32"/>
          <w:szCs w:val="32"/>
        </w:rPr>
        <w:t>评价组织。</w:t>
      </w:r>
      <w:r>
        <w:rPr>
          <w:rFonts w:ascii="Times New Roman" w:hAnsi="Times New Roman" w:eastAsia="仿宋_GB2312" w:cs="仿宋_GB2312"/>
          <w:sz w:val="32"/>
          <w:szCs w:val="32"/>
        </w:rPr>
        <w:t>成立由单位负责人、财务人员、业务骨干组成的自评小组，明确分工：业务股室负责数据统计，财务股室负责资金核查，综合股室负责报告撰写。</w:t>
      </w:r>
    </w:p>
    <w:p>
      <w:pPr>
        <w:pStyle w:val="2"/>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0" w:firstLineChars="200"/>
        <w:jc w:val="left"/>
        <w:textAlignment w:val="auto"/>
        <w:rPr>
          <w:rFonts w:eastAsia="黑体"/>
          <w:b w:val="0"/>
          <w:bCs w:val="0"/>
          <w:sz w:val="32"/>
          <w:szCs w:val="32"/>
        </w:rPr>
      </w:pPr>
      <w:r>
        <w:rPr>
          <w:rFonts w:hint="eastAsia" w:cs="黑体"/>
          <w:b w:val="0"/>
          <w:bCs w:val="0"/>
          <w:sz w:val="32"/>
          <w:szCs w:val="32"/>
          <w:lang w:eastAsia="zh-CN"/>
        </w:rPr>
        <w:t>三、</w:t>
      </w:r>
      <w:r>
        <w:rPr>
          <w:rFonts w:ascii="黑体" w:hAnsi="黑体" w:eastAsia="黑体" w:cs="黑体"/>
          <w:b w:val="0"/>
          <w:bCs w:val="0"/>
          <w:sz w:val="32"/>
          <w:szCs w:val="32"/>
        </w:rPr>
        <w:t>绩效分析</w:t>
      </w:r>
    </w:p>
    <w:p>
      <w:pPr>
        <w:pStyle w:val="5"/>
        <w:pageBreakBefore w:val="0"/>
        <w:kinsoku/>
        <w:wordWrap/>
        <w:overflowPunct/>
        <w:topLinePunct w:val="0"/>
        <w:autoSpaceDE/>
        <w:autoSpaceDN/>
        <w:bidi w:val="0"/>
        <w:adjustRightInd/>
        <w:snapToGrid/>
        <w:spacing w:beforeLines="0" w:line="560" w:lineRule="exact"/>
        <w:ind w:left="0" w:firstLine="640" w:firstLineChars="200"/>
        <w:jc w:val="left"/>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根据项目预算绩效评价指标体系</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通用指标</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专用指标</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个性指标</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涉及二、三级指标进行逐项绩效分析并评分。</w:t>
      </w:r>
    </w:p>
    <w:p>
      <w:pPr>
        <w:pStyle w:val="5"/>
        <w:pageBreakBefore w:val="0"/>
        <w:widowControl/>
        <w:numPr>
          <w:ilvl w:val="0"/>
          <w:numId w:val="0"/>
        </w:numPr>
        <w:kinsoku/>
        <w:wordWrap/>
        <w:overflowPunct/>
        <w:topLinePunct w:val="0"/>
        <w:autoSpaceDE/>
        <w:autoSpaceDN/>
        <w:bidi w:val="0"/>
        <w:adjustRightInd/>
        <w:snapToGrid/>
        <w:spacing w:beforeLines="0" w:line="560" w:lineRule="exact"/>
        <w:ind w:left="0" w:leftChars="0" w:firstLine="642" w:firstLineChars="200"/>
        <w:jc w:val="left"/>
        <w:textAlignment w:val="auto"/>
        <w:rPr>
          <w:rFonts w:hint="eastAsia" w:eastAsia="楷体_GB2312"/>
          <w:b w:val="0"/>
          <w:sz w:val="32"/>
          <w:szCs w:val="32"/>
        </w:rPr>
      </w:pPr>
      <w:r>
        <w:rPr>
          <w:rStyle w:val="31"/>
          <w:rFonts w:hint="eastAsia" w:eastAsia="楷体_GB2312"/>
          <w:lang w:eastAsia="zh-CN"/>
        </w:rPr>
        <w:t>（一）</w:t>
      </w:r>
      <w:r>
        <w:rPr>
          <w:rStyle w:val="31"/>
        </w:rPr>
        <w:t>通用指标绩效分析</w:t>
      </w:r>
      <w:r>
        <w:rPr>
          <w:rFonts w:ascii="Times New Roman" w:hAnsi="Times New Roman" w:eastAsia="仿宋_GB2312" w:cs="仿宋_GB2312"/>
          <w:b/>
          <w:sz w:val="32"/>
          <w:szCs w:val="32"/>
        </w:rPr>
        <w:t>。</w:t>
      </w:r>
    </w:p>
    <w:p>
      <w:pPr>
        <w:pStyle w:val="5"/>
        <w:pageBreakBefore w:val="0"/>
        <w:numPr>
          <w:ilvl w:val="0"/>
          <w:numId w:val="0"/>
        </w:numPr>
        <w:kinsoku/>
        <w:wordWrap/>
        <w:overflowPunct/>
        <w:topLinePunct w:val="0"/>
        <w:autoSpaceDE/>
        <w:autoSpaceDN/>
        <w:bidi w:val="0"/>
        <w:adjustRightInd/>
        <w:snapToGrid/>
        <w:spacing w:beforeLines="0" w:line="560" w:lineRule="exact"/>
        <w:ind w:left="0" w:leftChars="0" w:firstLine="642" w:firstLineChars="200"/>
        <w:jc w:val="left"/>
        <w:textAlignment w:val="auto"/>
        <w:rPr>
          <w:rFonts w:eastAsia="仿宋_GB2312"/>
          <w:b/>
          <w:sz w:val="32"/>
          <w:szCs w:val="32"/>
        </w:rPr>
      </w:pPr>
      <w:r>
        <w:rPr>
          <w:rFonts w:hint="eastAsia" w:cs="仿宋_GB2312"/>
          <w:b/>
          <w:sz w:val="32"/>
          <w:szCs w:val="32"/>
          <w:lang w:eastAsia="zh-CN"/>
        </w:rPr>
        <w:t>1.</w:t>
      </w:r>
      <w:r>
        <w:rPr>
          <w:rFonts w:ascii="Times New Roman" w:hAnsi="Times New Roman" w:eastAsia="仿宋_GB2312" w:cs="仿宋_GB2312"/>
          <w:b/>
          <w:sz w:val="32"/>
          <w:szCs w:val="32"/>
        </w:rPr>
        <w:t>项目决策。</w:t>
      </w:r>
      <w:r>
        <w:rPr>
          <w:rFonts w:ascii="Times New Roman" w:hAnsi="Times New Roman" w:eastAsia="仿宋_GB2312" w:cs="仿宋_GB2312"/>
          <w:sz w:val="32"/>
          <w:szCs w:val="32"/>
        </w:rPr>
        <w:t>项目决策流程规范、程序严密，符合财政资金管理要求。</w:t>
      </w:r>
    </w:p>
    <w:p>
      <w:pPr>
        <w:pStyle w:val="5"/>
        <w:pageBreakBefore w:val="0"/>
        <w:numPr>
          <w:ilvl w:val="0"/>
          <w:numId w:val="0"/>
        </w:numPr>
        <w:kinsoku/>
        <w:wordWrap/>
        <w:overflowPunct/>
        <w:topLinePunct w:val="0"/>
        <w:autoSpaceDE/>
        <w:autoSpaceDN/>
        <w:bidi w:val="0"/>
        <w:adjustRightInd/>
        <w:snapToGrid/>
        <w:spacing w:beforeLines="0" w:line="560" w:lineRule="exact"/>
        <w:ind w:left="0" w:leftChars="0" w:firstLine="640" w:firstLineChars="200"/>
        <w:jc w:val="left"/>
        <w:textAlignment w:val="auto"/>
        <w:rPr>
          <w:rFonts w:eastAsia="仿宋_GB2312"/>
          <w:b w:val="0"/>
          <w:bCs w:val="0"/>
          <w:sz w:val="32"/>
          <w:szCs w:val="32"/>
        </w:rPr>
      </w:pPr>
      <w:r>
        <w:rPr>
          <w:rFonts w:hint="eastAsia" w:cs="仿宋_GB2312"/>
          <w:b w:val="0"/>
          <w:bCs w:val="0"/>
          <w:sz w:val="32"/>
          <w:szCs w:val="32"/>
          <w:lang w:eastAsia="zh-CN"/>
        </w:rPr>
        <w:t>2.</w:t>
      </w:r>
      <w:r>
        <w:rPr>
          <w:rFonts w:ascii="Times New Roman" w:hAnsi="Times New Roman" w:eastAsia="仿宋_GB2312" w:cs="仿宋_GB2312"/>
          <w:b w:val="0"/>
          <w:bCs w:val="0"/>
          <w:sz w:val="32"/>
          <w:szCs w:val="32"/>
        </w:rPr>
        <w:t>项目管理。资金拨付、项目实施严格遵守财经纪律及管理规定，专款专用、合规高效。</w:t>
      </w:r>
    </w:p>
    <w:p>
      <w:pPr>
        <w:pStyle w:val="5"/>
        <w:pageBreakBefore w:val="0"/>
        <w:widowControl/>
        <w:numPr>
          <w:ilvl w:val="0"/>
          <w:numId w:val="0"/>
        </w:numPr>
        <w:kinsoku/>
        <w:wordWrap/>
        <w:overflowPunct/>
        <w:topLinePunct w:val="0"/>
        <w:autoSpaceDE/>
        <w:autoSpaceDN/>
        <w:bidi w:val="0"/>
        <w:adjustRightInd/>
        <w:snapToGrid/>
        <w:spacing w:beforeLines="0" w:line="560" w:lineRule="exact"/>
        <w:ind w:left="0" w:leftChars="0" w:firstLine="640" w:firstLineChars="200"/>
        <w:jc w:val="left"/>
        <w:textAlignment w:val="auto"/>
        <w:rPr>
          <w:rFonts w:eastAsia="仿宋_GB2312"/>
          <w:b w:val="0"/>
          <w:bCs w:val="0"/>
          <w:sz w:val="32"/>
          <w:szCs w:val="32"/>
        </w:rPr>
      </w:pPr>
      <w:r>
        <w:rPr>
          <w:rFonts w:hint="eastAsia" w:cs="仿宋_GB2312"/>
          <w:b w:val="0"/>
          <w:bCs w:val="0"/>
          <w:sz w:val="32"/>
          <w:szCs w:val="32"/>
          <w:lang w:eastAsia="zh-CN"/>
        </w:rPr>
        <w:t>3.</w:t>
      </w:r>
      <w:r>
        <w:rPr>
          <w:rFonts w:ascii="Times New Roman" w:hAnsi="Times New Roman" w:eastAsia="仿宋_GB2312" w:cs="仿宋_GB2312"/>
          <w:b w:val="0"/>
          <w:bCs w:val="0"/>
          <w:sz w:val="32"/>
          <w:szCs w:val="32"/>
        </w:rPr>
        <w:t>项目实施。</w:t>
      </w:r>
    </w:p>
    <w:p>
      <w:pPr>
        <w:pStyle w:val="5"/>
        <w:pageBreakBefore w:val="0"/>
        <w:kinsoku/>
        <w:wordWrap/>
        <w:overflowPunct/>
        <w:topLinePunct w:val="0"/>
        <w:autoSpaceDE/>
        <w:autoSpaceDN/>
        <w:bidi w:val="0"/>
        <w:adjustRightInd/>
        <w:snapToGrid/>
        <w:spacing w:beforeLines="0" w:line="560" w:lineRule="exact"/>
        <w:ind w:left="0" w:firstLine="640" w:firstLineChars="200"/>
        <w:jc w:val="left"/>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2025年，壤塘县严格对照</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石榴籽</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就业创业行动重点工作任务清单，细化落实各项举措，各项工作取得阶段性显著成效。就业保障体系持续完善，县乡村三级就业服务网络全面建成；劳动者素质稳步提升，全年开展各类技能培训18期，覆盖人数1000余人次；劳动力组织化程度不断提高，劳务公司、劳务经纪人队伍建设初见成效；就业岗位持续扩容，体制内岗位招录、协作平台岗位争取、基层项目岗位开发多点突破；以工代赈、创业支持等政策落地见效，重点群体就业实现动态清零目标，未就业大中专毕业生稳定就业率达99％，应届毕业生就业帮扶全面覆盖，</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无一人稳定就业家庭</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精准识别与帮扶扎实推进，就业创业工作整体呈现稳中有进、提质增效的良好态势。</w:t>
      </w:r>
    </w:p>
    <w:p>
      <w:pPr>
        <w:pStyle w:val="5"/>
        <w:pageBreakBefore w:val="0"/>
        <w:numPr>
          <w:ilvl w:val="0"/>
          <w:numId w:val="0"/>
        </w:numPr>
        <w:kinsoku/>
        <w:wordWrap/>
        <w:overflowPunct/>
        <w:topLinePunct w:val="0"/>
        <w:autoSpaceDE/>
        <w:autoSpaceDN/>
        <w:bidi w:val="0"/>
        <w:adjustRightInd/>
        <w:snapToGrid/>
        <w:spacing w:beforeLines="0" w:line="560" w:lineRule="exact"/>
        <w:ind w:left="0" w:leftChars="0" w:firstLine="640" w:firstLineChars="200"/>
        <w:jc w:val="left"/>
        <w:textAlignment w:val="auto"/>
        <w:rPr>
          <w:rFonts w:eastAsia="仿宋_GB2312"/>
          <w:b w:val="0"/>
          <w:bCs w:val="0"/>
          <w:sz w:val="32"/>
          <w:szCs w:val="32"/>
        </w:rPr>
      </w:pPr>
      <w:r>
        <w:rPr>
          <w:rFonts w:hint="eastAsia" w:cs="仿宋_GB2312"/>
          <w:b w:val="0"/>
          <w:bCs w:val="0"/>
          <w:sz w:val="32"/>
          <w:szCs w:val="32"/>
          <w:lang w:eastAsia="zh-CN"/>
        </w:rPr>
        <w:t>4.</w:t>
      </w:r>
      <w:r>
        <w:rPr>
          <w:rFonts w:ascii="Times New Roman" w:hAnsi="Times New Roman" w:eastAsia="仿宋_GB2312" w:cs="仿宋_GB2312"/>
          <w:b w:val="0"/>
          <w:bCs w:val="0"/>
          <w:sz w:val="32"/>
          <w:szCs w:val="32"/>
        </w:rPr>
        <w:t>项目结果。坚持以稳就业、保就业为主线，着力促进重点群体就业，超额完成年度就业目标，就业帮扶成效显著，社会就业形势总体稳定。</w:t>
      </w:r>
    </w:p>
    <w:p>
      <w:pPr>
        <w:pStyle w:val="5"/>
        <w:pageBreakBefore w:val="0"/>
        <w:numPr>
          <w:ilvl w:val="0"/>
          <w:numId w:val="0"/>
        </w:numPr>
        <w:kinsoku/>
        <w:wordWrap/>
        <w:overflowPunct/>
        <w:topLinePunct w:val="0"/>
        <w:autoSpaceDE/>
        <w:autoSpaceDN/>
        <w:bidi w:val="0"/>
        <w:adjustRightInd/>
        <w:snapToGrid/>
        <w:spacing w:beforeLines="0" w:line="560" w:lineRule="exact"/>
        <w:ind w:left="0" w:leftChars="0" w:firstLine="642" w:firstLineChars="200"/>
        <w:jc w:val="left"/>
        <w:textAlignment w:val="auto"/>
        <w:rPr>
          <w:rFonts w:hint="eastAsia" w:eastAsia="楷体_GB2312"/>
          <w:b w:val="0"/>
          <w:bCs w:val="0"/>
          <w:sz w:val="32"/>
          <w:szCs w:val="32"/>
        </w:rPr>
      </w:pPr>
      <w:r>
        <w:rPr>
          <w:rStyle w:val="31"/>
          <w:rFonts w:hint="eastAsia" w:eastAsia="楷体_GB2312"/>
          <w:lang w:eastAsia="zh-CN"/>
        </w:rPr>
        <w:t>（二）</w:t>
      </w:r>
      <w:r>
        <w:rPr>
          <w:rStyle w:val="31"/>
        </w:rPr>
        <w:t>专用指标绩效分析</w:t>
      </w:r>
      <w:r>
        <w:rPr>
          <w:rFonts w:ascii="Times New Roman" w:hAnsi="Times New Roman" w:eastAsia="仿宋_GB2312" w:cs="仿宋_GB2312"/>
          <w:b w:val="0"/>
          <w:bCs w:val="0"/>
          <w:sz w:val="32"/>
          <w:szCs w:val="32"/>
        </w:rPr>
        <w:t>。根据专项预算项目资金支持对象选择所属指标进行绩效分析。支持对象包括产业发展、民生保障、基础设施、行政运转等方面。</w:t>
      </w:r>
    </w:p>
    <w:p>
      <w:pPr>
        <w:pStyle w:val="5"/>
        <w:pageBreakBefore w:val="0"/>
        <w:kinsoku/>
        <w:wordWrap/>
        <w:overflowPunct/>
        <w:topLinePunct w:val="0"/>
        <w:autoSpaceDE/>
        <w:autoSpaceDN/>
        <w:bidi w:val="0"/>
        <w:adjustRightInd/>
        <w:snapToGrid/>
        <w:spacing w:beforeLines="0" w:line="560" w:lineRule="exact"/>
        <w:ind w:left="0" w:firstLine="640" w:firstLineChars="200"/>
        <w:jc w:val="left"/>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民生保障类。资金分配均衡公平性良好，就业扶持力度持续加强。补贴标准严格执行资金使用方案，及时足额兑现到位。</w:t>
      </w:r>
    </w:p>
    <w:p>
      <w:pPr>
        <w:pStyle w:val="2"/>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0" w:firstLineChars="200"/>
        <w:jc w:val="left"/>
        <w:textAlignment w:val="auto"/>
        <w:rPr>
          <w:rFonts w:eastAsia="黑体"/>
          <w:b w:val="0"/>
          <w:bCs w:val="0"/>
          <w:sz w:val="32"/>
          <w:szCs w:val="32"/>
        </w:rPr>
      </w:pPr>
      <w:r>
        <w:rPr>
          <w:rFonts w:hint="eastAsia" w:cs="黑体"/>
          <w:b w:val="0"/>
          <w:bCs w:val="0"/>
          <w:sz w:val="32"/>
          <w:szCs w:val="32"/>
          <w:lang w:eastAsia="zh-CN"/>
        </w:rPr>
        <w:t>四、</w:t>
      </w:r>
      <w:r>
        <w:rPr>
          <w:rFonts w:ascii="黑体" w:hAnsi="黑体" w:eastAsia="黑体" w:cs="黑体"/>
          <w:b w:val="0"/>
          <w:bCs w:val="0"/>
          <w:sz w:val="32"/>
          <w:szCs w:val="32"/>
        </w:rPr>
        <w:t>评价结论</w:t>
      </w:r>
    </w:p>
    <w:p>
      <w:pPr>
        <w:pStyle w:val="5"/>
        <w:pageBreakBefore w:val="0"/>
        <w:kinsoku/>
        <w:wordWrap/>
        <w:overflowPunct/>
        <w:topLinePunct w:val="0"/>
        <w:autoSpaceDE/>
        <w:autoSpaceDN/>
        <w:bidi w:val="0"/>
        <w:adjustRightInd/>
        <w:snapToGrid/>
        <w:spacing w:beforeLines="0" w:line="560" w:lineRule="exact"/>
        <w:ind w:left="0" w:firstLine="640" w:firstLineChars="200"/>
        <w:jc w:val="left"/>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坚持以科学发展观为指导，以构建社会主义和谐社会为目标，以贯彻落实就业再就业新政策为主线，以解决就业困难人员再就业、新增劳动力就业和农村转移劳动力就业为重点，以创业培训和再就业培训为抓手，围绕</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稳就业</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保就业</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工作主线，着力解决重点群体就业问题，开展了就业促进民生工程。立足本职，服务大局，取得了显著的成绩。</w:t>
      </w:r>
    </w:p>
    <w:p>
      <w:pPr>
        <w:pStyle w:val="2"/>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0" w:firstLineChars="200"/>
        <w:jc w:val="left"/>
        <w:textAlignment w:val="auto"/>
        <w:rPr>
          <w:rFonts w:eastAsia="黑体"/>
          <w:b w:val="0"/>
          <w:bCs w:val="0"/>
          <w:sz w:val="32"/>
          <w:szCs w:val="32"/>
        </w:rPr>
      </w:pPr>
      <w:r>
        <w:rPr>
          <w:rFonts w:hint="eastAsia" w:cs="黑体"/>
          <w:b w:val="0"/>
          <w:bCs w:val="0"/>
          <w:sz w:val="32"/>
          <w:szCs w:val="32"/>
          <w:lang w:eastAsia="zh-CN"/>
        </w:rPr>
        <w:t>五、</w:t>
      </w:r>
      <w:r>
        <w:rPr>
          <w:rFonts w:ascii="黑体" w:hAnsi="黑体" w:eastAsia="黑体" w:cs="黑体"/>
          <w:b w:val="0"/>
          <w:bCs w:val="0"/>
          <w:sz w:val="32"/>
          <w:szCs w:val="32"/>
        </w:rPr>
        <w:t>存在主要问题</w:t>
      </w:r>
    </w:p>
    <w:p>
      <w:pPr>
        <w:pStyle w:val="5"/>
        <w:pageBreakBefore w:val="0"/>
        <w:numPr>
          <w:ilvl w:val="0"/>
          <w:numId w:val="0"/>
        </w:numPr>
        <w:kinsoku/>
        <w:wordWrap/>
        <w:overflowPunct/>
        <w:topLinePunct w:val="0"/>
        <w:autoSpaceDE/>
        <w:autoSpaceDN/>
        <w:bidi w:val="0"/>
        <w:adjustRightInd/>
        <w:snapToGrid/>
        <w:spacing w:beforeLines="0" w:line="560" w:lineRule="exact"/>
        <w:ind w:left="0" w:leftChars="0" w:firstLine="640" w:firstLineChars="200"/>
        <w:jc w:val="left"/>
        <w:textAlignment w:val="auto"/>
        <w:rPr>
          <w:rFonts w:hint="eastAsia" w:eastAsia="仿宋_GB2312"/>
          <w:b w:val="0"/>
          <w:bCs w:val="0"/>
          <w:sz w:val="32"/>
          <w:szCs w:val="32"/>
        </w:rPr>
      </w:pPr>
      <w:r>
        <w:rPr>
          <w:rFonts w:hint="eastAsia" w:cs="仿宋_GB2312"/>
          <w:b w:val="0"/>
          <w:bCs w:val="0"/>
          <w:sz w:val="32"/>
          <w:szCs w:val="32"/>
          <w:lang w:eastAsia="zh-CN"/>
        </w:rPr>
        <w:t>一是</w:t>
      </w:r>
      <w:r>
        <w:rPr>
          <w:rFonts w:ascii="Times New Roman" w:hAnsi="Times New Roman" w:eastAsia="仿宋_GB2312" w:cs="仿宋_GB2312"/>
          <w:b w:val="0"/>
          <w:bCs w:val="0"/>
          <w:sz w:val="32"/>
          <w:szCs w:val="32"/>
        </w:rPr>
        <w:t>预算编制有待更加严格执行，预算编制与实际支出项目有的存在差异。</w:t>
      </w:r>
    </w:p>
    <w:p>
      <w:pPr>
        <w:pStyle w:val="5"/>
        <w:pageBreakBefore w:val="0"/>
        <w:numPr>
          <w:ilvl w:val="0"/>
          <w:numId w:val="0"/>
        </w:numPr>
        <w:kinsoku/>
        <w:wordWrap/>
        <w:overflowPunct/>
        <w:topLinePunct w:val="0"/>
        <w:autoSpaceDE/>
        <w:autoSpaceDN/>
        <w:bidi w:val="0"/>
        <w:adjustRightInd/>
        <w:snapToGrid/>
        <w:spacing w:beforeLines="0" w:line="560" w:lineRule="exact"/>
        <w:ind w:left="0" w:leftChars="0" w:firstLine="640" w:firstLineChars="200"/>
        <w:jc w:val="left"/>
        <w:textAlignment w:val="auto"/>
        <w:rPr>
          <w:rFonts w:hint="eastAsia" w:eastAsia="仿宋_GB2312"/>
          <w:b w:val="0"/>
          <w:bCs w:val="0"/>
          <w:sz w:val="32"/>
          <w:szCs w:val="32"/>
        </w:rPr>
      </w:pPr>
      <w:r>
        <w:rPr>
          <w:rFonts w:hint="eastAsia" w:cs="仿宋_GB2312"/>
          <w:b w:val="0"/>
          <w:bCs w:val="0"/>
          <w:sz w:val="32"/>
          <w:szCs w:val="32"/>
          <w:lang w:eastAsia="zh-CN"/>
        </w:rPr>
        <w:t>二是</w:t>
      </w:r>
      <w:r>
        <w:rPr>
          <w:rFonts w:ascii="Times New Roman" w:hAnsi="Times New Roman" w:eastAsia="仿宋_GB2312" w:cs="仿宋_GB2312"/>
          <w:b w:val="0"/>
          <w:bCs w:val="0"/>
          <w:sz w:val="32"/>
          <w:szCs w:val="32"/>
        </w:rPr>
        <w:t>制度执行力度有待加强。</w:t>
      </w:r>
    </w:p>
    <w:p>
      <w:pPr>
        <w:pStyle w:val="2"/>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0" w:firstLineChars="200"/>
        <w:jc w:val="left"/>
        <w:textAlignment w:val="auto"/>
        <w:rPr>
          <w:rFonts w:eastAsia="黑体"/>
          <w:b w:val="0"/>
          <w:bCs w:val="0"/>
          <w:sz w:val="32"/>
          <w:szCs w:val="32"/>
        </w:rPr>
      </w:pPr>
      <w:r>
        <w:rPr>
          <w:rFonts w:hint="eastAsia" w:cs="黑体"/>
          <w:b w:val="0"/>
          <w:bCs w:val="0"/>
          <w:sz w:val="32"/>
          <w:szCs w:val="32"/>
          <w:lang w:eastAsia="zh-CN"/>
        </w:rPr>
        <w:t>六、</w:t>
      </w:r>
      <w:r>
        <w:rPr>
          <w:rFonts w:ascii="黑体" w:hAnsi="黑体" w:eastAsia="黑体" w:cs="黑体"/>
          <w:b w:val="0"/>
          <w:bCs w:val="0"/>
          <w:sz w:val="32"/>
          <w:szCs w:val="32"/>
        </w:rPr>
        <w:t>改进建议</w:t>
      </w:r>
    </w:p>
    <w:p>
      <w:pPr>
        <w:pStyle w:val="5"/>
        <w:pageBreakBefore w:val="0"/>
        <w:numPr>
          <w:ilvl w:val="0"/>
          <w:numId w:val="0"/>
        </w:numPr>
        <w:kinsoku/>
        <w:wordWrap/>
        <w:overflowPunct/>
        <w:topLinePunct w:val="0"/>
        <w:autoSpaceDE/>
        <w:autoSpaceDN/>
        <w:bidi w:val="0"/>
        <w:adjustRightInd/>
        <w:snapToGrid/>
        <w:spacing w:beforeLines="0" w:line="560" w:lineRule="exact"/>
        <w:ind w:left="0" w:leftChars="0" w:firstLine="640" w:firstLineChars="200"/>
        <w:jc w:val="left"/>
        <w:textAlignment w:val="auto"/>
        <w:rPr>
          <w:rFonts w:hint="eastAsia" w:eastAsia="仿宋_GB2312"/>
          <w:b w:val="0"/>
          <w:bCs w:val="0"/>
          <w:sz w:val="32"/>
          <w:szCs w:val="32"/>
        </w:rPr>
      </w:pPr>
      <w:r>
        <w:rPr>
          <w:rFonts w:hint="eastAsia" w:cs="仿宋_GB2312"/>
          <w:b w:val="0"/>
          <w:bCs w:val="0"/>
          <w:sz w:val="32"/>
          <w:szCs w:val="32"/>
          <w:lang w:eastAsia="zh-CN"/>
        </w:rPr>
        <w:t>一是</w:t>
      </w:r>
      <w:r>
        <w:rPr>
          <w:rFonts w:ascii="Times New Roman" w:hAnsi="Times New Roman" w:eastAsia="仿宋_GB2312" w:cs="仿宋_GB2312"/>
          <w:b w:val="0"/>
          <w:bCs w:val="0"/>
          <w:sz w:val="32"/>
          <w:szCs w:val="32"/>
        </w:rPr>
        <w:t>按照预算规定的项目和用途严格财务审核，经费支出严格按预算规定项目的财务支出内容进行财务核算，在预算金额内严格控制费用的支出。</w:t>
      </w:r>
    </w:p>
    <w:p>
      <w:pPr>
        <w:pStyle w:val="5"/>
        <w:pageBreakBefore w:val="0"/>
        <w:numPr>
          <w:ilvl w:val="0"/>
          <w:numId w:val="0"/>
        </w:numPr>
        <w:kinsoku/>
        <w:wordWrap/>
        <w:overflowPunct/>
        <w:topLinePunct w:val="0"/>
        <w:autoSpaceDE/>
        <w:autoSpaceDN/>
        <w:bidi w:val="0"/>
        <w:adjustRightInd/>
        <w:snapToGrid/>
        <w:spacing w:beforeLines="0" w:line="560" w:lineRule="exact"/>
        <w:ind w:left="0" w:leftChars="0" w:firstLine="640" w:firstLineChars="200"/>
        <w:jc w:val="left"/>
        <w:textAlignment w:val="auto"/>
        <w:rPr>
          <w:rFonts w:hint="eastAsia" w:eastAsia="仿宋_GB2312"/>
          <w:b w:val="0"/>
          <w:bCs w:val="0"/>
          <w:sz w:val="32"/>
          <w:szCs w:val="32"/>
        </w:rPr>
      </w:pPr>
      <w:r>
        <w:rPr>
          <w:rFonts w:hint="eastAsia" w:cs="仿宋_GB2312"/>
          <w:b w:val="0"/>
          <w:bCs w:val="0"/>
          <w:sz w:val="32"/>
          <w:szCs w:val="32"/>
          <w:lang w:eastAsia="zh-CN"/>
        </w:rPr>
        <w:t>二是</w:t>
      </w:r>
      <w:r>
        <w:rPr>
          <w:rFonts w:ascii="Times New Roman" w:hAnsi="Times New Roman" w:eastAsia="仿宋_GB2312" w:cs="仿宋_GB2312"/>
          <w:b w:val="0"/>
          <w:bCs w:val="0"/>
          <w:sz w:val="32"/>
          <w:szCs w:val="32"/>
        </w:rPr>
        <w:t>预算财务分析常态化，定期做好预算支出财务分析，做好部门整体支出预算评价工作，完善各项制度，提升执行力。</w:t>
      </w:r>
    </w:p>
    <w:p>
      <w:pPr>
        <w:pageBreakBefore w:val="0"/>
        <w:kinsoku/>
        <w:wordWrap/>
        <w:overflowPunct/>
        <w:topLinePunct w:val="0"/>
        <w:autoSpaceDE/>
        <w:autoSpaceDN/>
        <w:bidi w:val="0"/>
        <w:adjustRightInd/>
        <w:snapToGrid/>
        <w:spacing w:line="560" w:lineRule="exact"/>
        <w:ind w:left="0" w:firstLine="344" w:firstLineChars="200"/>
        <w:jc w:val="left"/>
        <w:textAlignment w:val="auto"/>
        <w:rPr>
          <w:rFonts w:ascii="黑体" w:hAnsi="黑体" w:eastAsia="黑体" w:cs="黑体"/>
          <w:spacing w:val="-9"/>
          <w:sz w:val="19"/>
          <w:szCs w:val="19"/>
        </w:rPr>
      </w:pPr>
    </w:p>
    <w:p>
      <w:pPr>
        <w:spacing w:before="38" w:line="225" w:lineRule="auto"/>
        <w:ind w:left="5"/>
        <w:rPr>
          <w:rFonts w:ascii="黑体" w:hAnsi="黑体" w:eastAsia="黑体" w:cs="黑体"/>
          <w:spacing w:val="-9"/>
          <w:sz w:val="19"/>
          <w:szCs w:val="19"/>
        </w:rPr>
      </w:pPr>
    </w:p>
    <w:p>
      <w:pPr>
        <w:spacing w:before="38" w:line="225" w:lineRule="auto"/>
        <w:ind w:left="5"/>
        <w:rPr>
          <w:rFonts w:ascii="黑体" w:hAnsi="黑体" w:eastAsia="黑体" w:cs="黑体"/>
          <w:spacing w:val="-9"/>
          <w:sz w:val="19"/>
          <w:szCs w:val="19"/>
        </w:rPr>
      </w:pPr>
    </w:p>
    <w:p>
      <w:pPr>
        <w:spacing w:before="38" w:line="225" w:lineRule="auto"/>
        <w:ind w:left="5"/>
        <w:rPr>
          <w:rFonts w:ascii="黑体" w:hAnsi="黑体" w:eastAsia="黑体" w:cs="黑体"/>
          <w:spacing w:val="-9"/>
          <w:sz w:val="19"/>
          <w:szCs w:val="19"/>
        </w:rPr>
      </w:pPr>
    </w:p>
    <w:p>
      <w:pPr>
        <w:spacing w:before="38" w:line="225" w:lineRule="auto"/>
        <w:ind w:left="5"/>
        <w:rPr>
          <w:rFonts w:ascii="黑体" w:hAnsi="黑体" w:eastAsia="黑体" w:cs="黑体"/>
          <w:spacing w:val="-9"/>
          <w:sz w:val="19"/>
          <w:szCs w:val="19"/>
        </w:rPr>
      </w:pPr>
    </w:p>
    <w:p>
      <w:pPr>
        <w:spacing w:before="38" w:line="225" w:lineRule="auto"/>
        <w:ind w:left="5"/>
        <w:rPr>
          <w:rFonts w:ascii="黑体" w:hAnsi="黑体" w:eastAsia="黑体" w:cs="黑体"/>
          <w:spacing w:val="-9"/>
          <w:sz w:val="19"/>
          <w:szCs w:val="19"/>
        </w:rPr>
      </w:pPr>
    </w:p>
    <w:p>
      <w:pPr>
        <w:spacing w:before="38" w:line="225" w:lineRule="auto"/>
        <w:ind w:left="5"/>
        <w:rPr>
          <w:rFonts w:ascii="黑体" w:hAnsi="黑体" w:eastAsia="黑体" w:cs="黑体"/>
          <w:spacing w:val="-9"/>
          <w:sz w:val="19"/>
          <w:szCs w:val="19"/>
        </w:rPr>
      </w:pPr>
    </w:p>
    <w:p>
      <w:pPr>
        <w:spacing w:before="38" w:line="225" w:lineRule="auto"/>
        <w:ind w:left="5"/>
        <w:rPr>
          <w:rFonts w:ascii="黑体" w:hAnsi="黑体" w:eastAsia="黑体" w:cs="黑体"/>
          <w:spacing w:val="-9"/>
          <w:sz w:val="19"/>
          <w:szCs w:val="19"/>
        </w:rPr>
      </w:pPr>
    </w:p>
    <w:p>
      <w:pPr>
        <w:spacing w:before="38" w:line="225" w:lineRule="auto"/>
        <w:ind w:left="5"/>
        <w:rPr>
          <w:rFonts w:ascii="黑体" w:hAnsi="黑体" w:eastAsia="黑体" w:cs="黑体"/>
          <w:spacing w:val="-9"/>
          <w:sz w:val="19"/>
          <w:szCs w:val="19"/>
        </w:rPr>
      </w:pPr>
    </w:p>
    <w:p>
      <w:pPr>
        <w:spacing w:before="38" w:line="225" w:lineRule="auto"/>
        <w:ind w:left="5"/>
        <w:rPr>
          <w:rFonts w:ascii="黑体" w:hAnsi="黑体" w:eastAsia="黑体" w:cs="黑体"/>
          <w:spacing w:val="-9"/>
          <w:sz w:val="19"/>
          <w:szCs w:val="19"/>
        </w:rPr>
      </w:pPr>
    </w:p>
    <w:p>
      <w:pPr>
        <w:spacing w:before="38" w:line="225" w:lineRule="auto"/>
        <w:ind w:left="5"/>
        <w:rPr>
          <w:rFonts w:ascii="黑体" w:hAnsi="黑体" w:eastAsia="黑体" w:cs="黑体"/>
          <w:spacing w:val="-9"/>
          <w:sz w:val="19"/>
          <w:szCs w:val="19"/>
        </w:rPr>
      </w:pPr>
    </w:p>
    <w:p>
      <w:pPr>
        <w:spacing w:before="38" w:line="225" w:lineRule="auto"/>
        <w:ind w:left="5"/>
        <w:rPr>
          <w:rFonts w:ascii="黑体" w:hAnsi="黑体" w:eastAsia="黑体" w:cs="黑体"/>
          <w:spacing w:val="-9"/>
          <w:sz w:val="19"/>
          <w:szCs w:val="19"/>
        </w:rPr>
      </w:pPr>
    </w:p>
    <w:p>
      <w:pPr>
        <w:spacing w:before="38" w:line="225" w:lineRule="auto"/>
        <w:ind w:left="5"/>
        <w:rPr>
          <w:rFonts w:ascii="黑体" w:hAnsi="黑体" w:eastAsia="黑体" w:cs="黑体"/>
          <w:spacing w:val="-9"/>
          <w:sz w:val="19"/>
          <w:szCs w:val="19"/>
        </w:rPr>
      </w:pPr>
    </w:p>
    <w:p>
      <w:pPr>
        <w:spacing w:before="38" w:line="225" w:lineRule="auto"/>
        <w:ind w:left="5"/>
        <w:rPr>
          <w:rFonts w:ascii="黑体" w:hAnsi="黑体" w:eastAsia="黑体" w:cs="黑体"/>
          <w:spacing w:val="-9"/>
          <w:sz w:val="19"/>
          <w:szCs w:val="19"/>
        </w:rPr>
      </w:pPr>
    </w:p>
    <w:p>
      <w:pPr>
        <w:pStyle w:val="5"/>
        <w:bidi w:val="0"/>
        <w:ind w:left="0" w:leftChars="0" w:firstLine="0" w:firstLineChars="0"/>
      </w:pPr>
      <mc:AlternateContent>
        <mc:Choice Requires="wpsCustomData">
          <wpsCustomData:docfieldStart id="2" docfieldname="附件_2" hidden="0" print="1" readonly="0" index="2"/>
        </mc:Choice>
      </mc:AlternateContent>
      <mc:AlternateContent>
        <mc:Choice Requires="wpsCustomData">
          <wpsCustomData:docfieldEnd id="2"/>
        </mc:Choice>
      </mc:AlternateContent>
    </w:p>
    <w:p>
      <w:pPr>
        <w:pStyle w:val="16"/>
        <w:widowControl/>
        <w:rPr>
          <w:rFonts w:ascii="方正小标宋简体" w:hAnsi="方正小标宋简体" w:eastAsia="方正小标宋简体" w:cs="方正小标宋简体"/>
          <w:b w:val="0"/>
          <w:bCs w:val="0"/>
          <w:sz w:val="32"/>
          <w:szCs w:val="32"/>
        </w:rPr>
      </w:pPr>
    </w:p>
    <w:p>
      <w:pPr>
        <w:pStyle w:val="16"/>
        <w:widowControl/>
        <w:rPr>
          <w:rFonts w:ascii="方正小标宋简体" w:hAnsi="方正小标宋简体" w:eastAsia="方正小标宋简体" w:cs="方正小标宋简体"/>
          <w:b w:val="0"/>
          <w:bCs w:val="0"/>
          <w:sz w:val="32"/>
          <w:szCs w:val="32"/>
        </w:rPr>
      </w:pPr>
      <w:r>
        <w:rPr>
          <w:rFonts w:ascii="方正小标宋简体" w:hAnsi="方正小标宋简体" w:eastAsia="方正小标宋简体" w:cs="方正小标宋简体"/>
          <w:b w:val="0"/>
          <w:bCs w:val="0"/>
          <w:sz w:val="32"/>
          <w:szCs w:val="32"/>
        </w:rPr>
        <w:t>绩效目标自评表</w:t>
      </w:r>
    </w:p>
    <w:p>
      <w:pPr>
        <w:spacing w:line="76" w:lineRule="exact"/>
      </w:pPr>
    </w:p>
    <w:tbl>
      <w:tblPr>
        <w:tblStyle w:val="39"/>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56"/>
        <w:gridCol w:w="485"/>
        <w:gridCol w:w="681"/>
        <w:gridCol w:w="1643"/>
        <w:gridCol w:w="414"/>
        <w:gridCol w:w="385"/>
        <w:gridCol w:w="1686"/>
        <w:gridCol w:w="1179"/>
        <w:gridCol w:w="452"/>
        <w:gridCol w:w="601"/>
        <w:gridCol w:w="43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19" w:type="pct"/>
            <w:gridSpan w:val="3"/>
            <w:vAlign w:val="top"/>
          </w:tcPr>
          <w:p>
            <w:pPr>
              <w:pStyle w:val="38"/>
              <w:spacing w:before="142" w:line="220" w:lineRule="auto"/>
              <w:ind w:left="535"/>
              <w:rPr>
                <w:sz w:val="16"/>
                <w:szCs w:val="16"/>
              </w:rPr>
            </w:pPr>
            <w:r>
              <w:rPr>
                <w:spacing w:val="-2"/>
                <w:sz w:val="16"/>
                <w:szCs w:val="16"/>
              </w:rPr>
              <w:t>项目名称</w:t>
            </w:r>
          </w:p>
        </w:tc>
        <w:tc>
          <w:tcPr>
            <w:tcW w:w="1471" w:type="pct"/>
            <w:gridSpan w:val="3"/>
            <w:vAlign w:val="top"/>
          </w:tcPr>
          <w:p>
            <w:pPr>
              <w:pStyle w:val="38"/>
              <w:spacing w:before="142" w:line="219" w:lineRule="auto"/>
              <w:ind w:left="491"/>
              <w:rPr>
                <w:sz w:val="16"/>
                <w:szCs w:val="16"/>
              </w:rPr>
            </w:pPr>
            <w:r>
              <w:rPr>
                <w:spacing w:val="-1"/>
                <w:sz w:val="16"/>
                <w:szCs w:val="16"/>
              </w:rPr>
              <w:t>石榴籽就业创业工作经费</w:t>
            </w:r>
          </w:p>
        </w:tc>
        <w:tc>
          <w:tcPr>
            <w:tcW w:w="1015" w:type="pct"/>
            <w:vAlign w:val="top"/>
          </w:tcPr>
          <w:p>
            <w:pPr>
              <w:pStyle w:val="38"/>
              <w:spacing w:before="142" w:line="219" w:lineRule="auto"/>
              <w:ind w:left="294"/>
              <w:rPr>
                <w:sz w:val="16"/>
                <w:szCs w:val="16"/>
              </w:rPr>
            </w:pPr>
            <w:r>
              <w:rPr>
                <w:spacing w:val="-2"/>
                <w:sz w:val="16"/>
                <w:szCs w:val="16"/>
              </w:rPr>
              <w:t>项目负责人及电话</w:t>
            </w:r>
          </w:p>
        </w:tc>
        <w:tc>
          <w:tcPr>
            <w:tcW w:w="1593" w:type="pct"/>
            <w:gridSpan w:val="4"/>
            <w:vAlign w:val="top"/>
          </w:tcPr>
          <w:p>
            <w:pPr>
              <w:pStyle w:val="38"/>
              <w:spacing w:before="142" w:line="220" w:lineRule="auto"/>
              <w:ind w:left="636"/>
              <w:rPr>
                <w:sz w:val="16"/>
                <w:szCs w:val="16"/>
              </w:rPr>
            </w:pPr>
            <w:r>
              <w:rPr>
                <w:spacing w:val="-1"/>
                <w:sz w:val="16"/>
                <w:szCs w:val="16"/>
              </w:rPr>
              <w:t>泽旺江木措17394941886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919" w:type="pct"/>
            <w:gridSpan w:val="3"/>
            <w:vAlign w:val="top"/>
          </w:tcPr>
          <w:p>
            <w:pPr>
              <w:pStyle w:val="38"/>
              <w:spacing w:before="27" w:line="209" w:lineRule="auto"/>
              <w:ind w:left="535"/>
              <w:rPr>
                <w:sz w:val="16"/>
                <w:szCs w:val="16"/>
              </w:rPr>
            </w:pPr>
            <w:r>
              <w:rPr>
                <w:spacing w:val="4"/>
                <w:sz w:val="16"/>
                <w:szCs w:val="16"/>
              </w:rPr>
              <w:t>主管部门</w:t>
            </w:r>
          </w:p>
        </w:tc>
        <w:tc>
          <w:tcPr>
            <w:tcW w:w="1471" w:type="pct"/>
            <w:gridSpan w:val="3"/>
            <w:vAlign w:val="top"/>
          </w:tcPr>
          <w:p>
            <w:pPr>
              <w:pStyle w:val="38"/>
              <w:spacing w:before="27" w:line="209" w:lineRule="auto"/>
              <w:ind w:left="11"/>
              <w:rPr>
                <w:sz w:val="16"/>
                <w:szCs w:val="16"/>
              </w:rPr>
            </w:pPr>
            <w:r>
              <w:rPr>
                <w:spacing w:val="-2"/>
                <w:sz w:val="16"/>
                <w:szCs w:val="16"/>
              </w:rPr>
              <w:t>就业服务中心</w:t>
            </w:r>
          </w:p>
        </w:tc>
        <w:tc>
          <w:tcPr>
            <w:tcW w:w="1015" w:type="pct"/>
            <w:vAlign w:val="top"/>
          </w:tcPr>
          <w:p>
            <w:pPr>
              <w:pStyle w:val="38"/>
              <w:spacing w:before="28" w:line="208" w:lineRule="auto"/>
              <w:ind w:left="634"/>
              <w:rPr>
                <w:sz w:val="16"/>
                <w:szCs w:val="16"/>
              </w:rPr>
            </w:pPr>
            <w:r>
              <w:rPr>
                <w:spacing w:val="-3"/>
                <w:sz w:val="16"/>
                <w:szCs w:val="16"/>
              </w:rPr>
              <w:t>实施单位</w:t>
            </w:r>
          </w:p>
        </w:tc>
        <w:tc>
          <w:tcPr>
            <w:tcW w:w="1593" w:type="pct"/>
            <w:gridSpan w:val="4"/>
            <w:vAlign w:val="top"/>
          </w:tcPr>
          <w:p>
            <w:pPr>
              <w:pStyle w:val="38"/>
              <w:spacing w:before="27" w:line="209" w:lineRule="auto"/>
              <w:ind w:left="1016"/>
              <w:rPr>
                <w:sz w:val="16"/>
                <w:szCs w:val="16"/>
              </w:rPr>
            </w:pPr>
            <w:r>
              <w:rPr>
                <w:spacing w:val="-2"/>
                <w:sz w:val="16"/>
                <w:szCs w:val="16"/>
              </w:rPr>
              <w:t>就业服务中心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919" w:type="pct"/>
            <w:gridSpan w:val="3"/>
            <w:vMerge w:val="restart"/>
            <w:tcBorders>
              <w:bottom w:val="nil"/>
            </w:tcBorders>
            <w:vAlign w:val="top"/>
          </w:tcPr>
          <w:p>
            <w:pPr>
              <w:spacing w:line="321" w:lineRule="auto"/>
              <w:rPr>
                <w:rFonts w:ascii="Arial"/>
                <w:sz w:val="18"/>
                <w:szCs w:val="21"/>
              </w:rPr>
            </w:pPr>
          </w:p>
          <w:p>
            <w:pPr>
              <w:pStyle w:val="38"/>
              <w:spacing w:before="55" w:line="220" w:lineRule="auto"/>
              <w:ind w:left="535"/>
              <w:rPr>
                <w:sz w:val="16"/>
                <w:szCs w:val="16"/>
              </w:rPr>
            </w:pPr>
            <w:r>
              <w:rPr>
                <w:spacing w:val="1"/>
                <w:sz w:val="16"/>
                <w:szCs w:val="16"/>
              </w:rPr>
              <w:t>资金情况</w:t>
            </w:r>
          </w:p>
          <w:p>
            <w:pPr>
              <w:pStyle w:val="38"/>
              <w:spacing w:before="7" w:line="220" w:lineRule="auto"/>
              <w:ind w:left="624"/>
              <w:rPr>
                <w:sz w:val="16"/>
                <w:szCs w:val="16"/>
              </w:rPr>
            </w:pPr>
            <w:r>
              <w:rPr>
                <w:rFonts w:hint="eastAsia"/>
                <w:spacing w:val="9"/>
                <w:sz w:val="16"/>
                <w:szCs w:val="16"/>
                <w:lang w:eastAsia="zh-CN"/>
              </w:rPr>
              <w:t>（</w:t>
            </w:r>
            <w:r>
              <w:rPr>
                <w:spacing w:val="9"/>
                <w:sz w:val="16"/>
                <w:szCs w:val="16"/>
              </w:rPr>
              <w:t>万元</w:t>
            </w:r>
            <w:r>
              <w:rPr>
                <w:rFonts w:hint="eastAsia"/>
                <w:spacing w:val="9"/>
                <w:sz w:val="16"/>
                <w:szCs w:val="16"/>
                <w:lang w:eastAsia="zh-CN"/>
              </w:rPr>
              <w:t>）</w:t>
            </w:r>
          </w:p>
        </w:tc>
        <w:tc>
          <w:tcPr>
            <w:tcW w:w="989" w:type="pct"/>
            <w:vAlign w:val="top"/>
          </w:tcPr>
          <w:p>
            <w:pPr>
              <w:rPr>
                <w:rFonts w:ascii="Arial"/>
                <w:sz w:val="18"/>
                <w:szCs w:val="21"/>
              </w:rPr>
            </w:pPr>
          </w:p>
        </w:tc>
        <w:tc>
          <w:tcPr>
            <w:tcW w:w="482" w:type="pct"/>
            <w:gridSpan w:val="2"/>
            <w:vAlign w:val="top"/>
          </w:tcPr>
          <w:p>
            <w:pPr>
              <w:pStyle w:val="38"/>
              <w:spacing w:before="38" w:line="198" w:lineRule="auto"/>
              <w:ind w:left="33"/>
              <w:rPr>
                <w:sz w:val="16"/>
                <w:szCs w:val="16"/>
              </w:rPr>
            </w:pPr>
            <w:r>
              <w:rPr>
                <w:spacing w:val="-2"/>
                <w:sz w:val="16"/>
                <w:szCs w:val="16"/>
              </w:rPr>
              <w:t>全年预算数</w:t>
            </w:r>
          </w:p>
          <w:p>
            <w:pPr>
              <w:pStyle w:val="38"/>
              <w:spacing w:line="161" w:lineRule="auto"/>
              <w:ind w:left="323"/>
              <w:rPr>
                <w:rFonts w:hint="eastAsia" w:eastAsia="宋体"/>
                <w:sz w:val="16"/>
                <w:szCs w:val="16"/>
                <w:lang w:eastAsia="zh-CN"/>
              </w:rPr>
            </w:pPr>
            <w:r>
              <w:rPr>
                <w:rFonts w:hint="eastAsia"/>
                <w:spacing w:val="-9"/>
                <w:sz w:val="16"/>
                <w:szCs w:val="16"/>
                <w:lang w:eastAsia="zh-CN"/>
              </w:rPr>
              <w:t>（</w:t>
            </w:r>
            <w:r>
              <w:rPr>
                <w:spacing w:val="-9"/>
                <w:sz w:val="16"/>
                <w:szCs w:val="16"/>
              </w:rPr>
              <w:t>A</w:t>
            </w:r>
            <w:r>
              <w:rPr>
                <w:rFonts w:hint="eastAsia"/>
                <w:spacing w:val="-9"/>
                <w:sz w:val="16"/>
                <w:szCs w:val="16"/>
                <w:lang w:eastAsia="zh-CN"/>
              </w:rPr>
              <w:t>）</w:t>
            </w:r>
          </w:p>
        </w:tc>
        <w:tc>
          <w:tcPr>
            <w:tcW w:w="1725" w:type="pct"/>
            <w:gridSpan w:val="2"/>
            <w:vAlign w:val="top"/>
          </w:tcPr>
          <w:p>
            <w:pPr>
              <w:pStyle w:val="38"/>
              <w:spacing w:before="108" w:line="219" w:lineRule="auto"/>
              <w:ind w:left="1104"/>
              <w:rPr>
                <w:sz w:val="16"/>
                <w:szCs w:val="16"/>
              </w:rPr>
            </w:pPr>
            <w:r>
              <w:rPr>
                <w:spacing w:val="4"/>
                <w:sz w:val="16"/>
                <w:szCs w:val="16"/>
              </w:rPr>
              <w:t>全年执行数</w:t>
            </w:r>
            <w:r>
              <w:rPr>
                <w:rFonts w:hint="eastAsia"/>
                <w:spacing w:val="4"/>
                <w:sz w:val="16"/>
                <w:szCs w:val="16"/>
                <w:lang w:eastAsia="zh-CN"/>
              </w:rPr>
              <w:t>（</w:t>
            </w:r>
            <w:r>
              <w:rPr>
                <w:spacing w:val="4"/>
                <w:sz w:val="16"/>
                <w:szCs w:val="16"/>
              </w:rPr>
              <w:t>B</w:t>
            </w:r>
            <w:r>
              <w:rPr>
                <w:rFonts w:hint="eastAsia"/>
                <w:spacing w:val="4"/>
                <w:sz w:val="16"/>
                <w:szCs w:val="16"/>
                <w:lang w:eastAsia="zh-CN"/>
              </w:rPr>
              <w:t>）</w:t>
            </w:r>
          </w:p>
        </w:tc>
        <w:tc>
          <w:tcPr>
            <w:tcW w:w="273" w:type="pct"/>
            <w:vAlign w:val="top"/>
          </w:tcPr>
          <w:p>
            <w:pPr>
              <w:pStyle w:val="38"/>
              <w:spacing w:before="108" w:line="219" w:lineRule="auto"/>
              <w:ind w:left="88"/>
              <w:rPr>
                <w:sz w:val="16"/>
                <w:szCs w:val="16"/>
              </w:rPr>
            </w:pPr>
            <w:r>
              <w:rPr>
                <w:spacing w:val="-3"/>
                <w:sz w:val="16"/>
                <w:szCs w:val="16"/>
              </w:rPr>
              <w:t>分值</w:t>
            </w:r>
          </w:p>
        </w:tc>
        <w:tc>
          <w:tcPr>
            <w:tcW w:w="362" w:type="pct"/>
            <w:vAlign w:val="top"/>
          </w:tcPr>
          <w:p>
            <w:pPr>
              <w:pStyle w:val="38"/>
              <w:spacing w:before="7" w:line="188" w:lineRule="auto"/>
              <w:ind w:left="99"/>
              <w:rPr>
                <w:sz w:val="16"/>
                <w:szCs w:val="16"/>
              </w:rPr>
            </w:pPr>
            <w:r>
              <w:rPr>
                <w:spacing w:val="-2"/>
                <w:sz w:val="16"/>
                <w:szCs w:val="16"/>
              </w:rPr>
              <w:t>执行率</w:t>
            </w:r>
          </w:p>
          <w:p>
            <w:pPr>
              <w:pStyle w:val="38"/>
              <w:spacing w:line="204" w:lineRule="auto"/>
              <w:ind w:left="188"/>
              <w:rPr>
                <w:rFonts w:hint="eastAsia" w:eastAsia="宋体"/>
                <w:sz w:val="16"/>
                <w:szCs w:val="16"/>
                <w:lang w:eastAsia="zh-CN"/>
              </w:rPr>
            </w:pPr>
            <w:r>
              <w:rPr>
                <w:rFonts w:hint="eastAsia"/>
                <w:spacing w:val="-6"/>
                <w:sz w:val="16"/>
                <w:szCs w:val="16"/>
                <w:lang w:eastAsia="zh-CN"/>
              </w:rPr>
              <w:t>（</w:t>
            </w:r>
            <w:r>
              <w:rPr>
                <w:spacing w:val="-6"/>
                <w:sz w:val="16"/>
                <w:szCs w:val="16"/>
              </w:rPr>
              <w:t>B</w:t>
            </w:r>
            <w:r>
              <w:rPr>
                <w:rFonts w:hint="eastAsia"/>
                <w:spacing w:val="-6"/>
                <w:sz w:val="16"/>
                <w:szCs w:val="16"/>
                <w:lang w:eastAsia="zh-CN"/>
              </w:rPr>
              <w:t>／</w:t>
            </w:r>
            <w:r>
              <w:rPr>
                <w:spacing w:val="-6"/>
                <w:sz w:val="16"/>
                <w:szCs w:val="16"/>
              </w:rPr>
              <w:t>A</w:t>
            </w:r>
            <w:r>
              <w:rPr>
                <w:rFonts w:hint="eastAsia"/>
                <w:spacing w:val="-6"/>
                <w:sz w:val="16"/>
                <w:szCs w:val="16"/>
                <w:lang w:eastAsia="zh-CN"/>
              </w:rPr>
              <w:t>）</w:t>
            </w:r>
          </w:p>
        </w:tc>
        <w:tc>
          <w:tcPr>
            <w:tcW w:w="247" w:type="pct"/>
            <w:vAlign w:val="top"/>
          </w:tcPr>
          <w:p>
            <w:pPr>
              <w:pStyle w:val="38"/>
              <w:spacing w:before="108" w:line="219" w:lineRule="auto"/>
              <w:ind w:left="59"/>
              <w:rPr>
                <w:sz w:val="16"/>
                <w:szCs w:val="16"/>
              </w:rPr>
            </w:pPr>
            <w:r>
              <w:rPr>
                <w:spacing w:val="-2"/>
                <w:sz w:val="16"/>
                <w:szCs w:val="16"/>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 w:hRule="atLeast"/>
        </w:trPr>
        <w:tc>
          <w:tcPr>
            <w:tcW w:w="919" w:type="pct"/>
            <w:gridSpan w:val="3"/>
            <w:vMerge w:val="continue"/>
            <w:tcBorders>
              <w:top w:val="nil"/>
              <w:bottom w:val="nil"/>
            </w:tcBorders>
            <w:vAlign w:val="top"/>
          </w:tcPr>
          <w:p>
            <w:pPr>
              <w:rPr>
                <w:rFonts w:ascii="Arial"/>
                <w:sz w:val="18"/>
                <w:szCs w:val="21"/>
              </w:rPr>
            </w:pPr>
          </w:p>
        </w:tc>
        <w:tc>
          <w:tcPr>
            <w:tcW w:w="989" w:type="pct"/>
            <w:vAlign w:val="top"/>
          </w:tcPr>
          <w:p>
            <w:pPr>
              <w:pStyle w:val="38"/>
              <w:spacing w:before="28" w:line="197" w:lineRule="auto"/>
              <w:ind w:left="91"/>
              <w:rPr>
                <w:sz w:val="16"/>
                <w:szCs w:val="16"/>
              </w:rPr>
            </w:pPr>
            <w:r>
              <w:rPr>
                <w:spacing w:val="-1"/>
                <w:sz w:val="16"/>
                <w:szCs w:val="16"/>
              </w:rPr>
              <w:t>年度资金总额：</w:t>
            </w:r>
          </w:p>
        </w:tc>
        <w:tc>
          <w:tcPr>
            <w:tcW w:w="482" w:type="pct"/>
            <w:gridSpan w:val="2"/>
            <w:vAlign w:val="top"/>
          </w:tcPr>
          <w:p>
            <w:pPr>
              <w:spacing w:line="210" w:lineRule="exact"/>
              <w:rPr>
                <w:rFonts w:ascii="Arial"/>
                <w:sz w:val="15"/>
                <w:szCs w:val="21"/>
              </w:rPr>
            </w:pPr>
          </w:p>
        </w:tc>
        <w:tc>
          <w:tcPr>
            <w:tcW w:w="1725" w:type="pct"/>
            <w:gridSpan w:val="2"/>
            <w:vAlign w:val="top"/>
          </w:tcPr>
          <w:p>
            <w:pPr>
              <w:pStyle w:val="38"/>
              <w:spacing w:before="46" w:line="178" w:lineRule="auto"/>
              <w:ind w:left="1484"/>
              <w:rPr>
                <w:sz w:val="16"/>
                <w:szCs w:val="16"/>
              </w:rPr>
            </w:pPr>
            <w:r>
              <w:rPr>
                <w:spacing w:val="-2"/>
                <w:sz w:val="16"/>
                <w:szCs w:val="16"/>
              </w:rPr>
              <w:t>2.74</w:t>
            </w:r>
          </w:p>
        </w:tc>
        <w:tc>
          <w:tcPr>
            <w:tcW w:w="273" w:type="pct"/>
            <w:vAlign w:val="top"/>
          </w:tcPr>
          <w:p>
            <w:pPr>
              <w:pStyle w:val="38"/>
              <w:spacing w:before="46" w:line="178" w:lineRule="auto"/>
              <w:ind w:left="177"/>
              <w:rPr>
                <w:sz w:val="16"/>
                <w:szCs w:val="16"/>
              </w:rPr>
            </w:pPr>
            <w:r>
              <w:rPr>
                <w:spacing w:val="-5"/>
                <w:sz w:val="16"/>
                <w:szCs w:val="16"/>
              </w:rPr>
              <w:t>10</w:t>
            </w:r>
          </w:p>
        </w:tc>
        <w:tc>
          <w:tcPr>
            <w:tcW w:w="362" w:type="pct"/>
            <w:vAlign w:val="top"/>
          </w:tcPr>
          <w:p>
            <w:pPr>
              <w:pStyle w:val="38"/>
              <w:spacing w:before="46" w:line="178" w:lineRule="auto"/>
              <w:ind w:left="18"/>
              <w:rPr>
                <w:rFonts w:hint="eastAsia" w:eastAsia="宋体"/>
                <w:sz w:val="16"/>
                <w:szCs w:val="16"/>
                <w:lang w:eastAsia="zh-CN"/>
              </w:rPr>
            </w:pPr>
            <w:r>
              <w:rPr>
                <w:spacing w:val="-2"/>
                <w:sz w:val="16"/>
                <w:szCs w:val="16"/>
              </w:rPr>
              <w:t>91</w:t>
            </w:r>
            <w:r>
              <w:rPr>
                <w:rFonts w:hint="eastAsia"/>
                <w:spacing w:val="-2"/>
                <w:sz w:val="16"/>
                <w:szCs w:val="16"/>
                <w:lang w:eastAsia="zh-CN"/>
              </w:rPr>
              <w:t>％</w:t>
            </w:r>
          </w:p>
        </w:tc>
        <w:tc>
          <w:tcPr>
            <w:tcW w:w="247" w:type="pct"/>
            <w:vAlign w:val="top"/>
          </w:tcPr>
          <w:p>
            <w:pPr>
              <w:pStyle w:val="38"/>
              <w:spacing w:before="46" w:line="178" w:lineRule="auto"/>
              <w:ind w:left="340"/>
              <w:rPr>
                <w:sz w:val="16"/>
                <w:szCs w:val="16"/>
              </w:rPr>
            </w:pPr>
            <w:r>
              <w:rPr>
                <w:sz w:val="16"/>
                <w:szCs w:val="16"/>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 w:hRule="atLeast"/>
        </w:trPr>
        <w:tc>
          <w:tcPr>
            <w:tcW w:w="919" w:type="pct"/>
            <w:gridSpan w:val="3"/>
            <w:vMerge w:val="continue"/>
            <w:tcBorders>
              <w:top w:val="nil"/>
              <w:bottom w:val="nil"/>
            </w:tcBorders>
            <w:vAlign w:val="top"/>
          </w:tcPr>
          <w:p>
            <w:pPr>
              <w:rPr>
                <w:rFonts w:ascii="Arial"/>
                <w:sz w:val="18"/>
                <w:szCs w:val="21"/>
              </w:rPr>
            </w:pPr>
          </w:p>
        </w:tc>
        <w:tc>
          <w:tcPr>
            <w:tcW w:w="989" w:type="pct"/>
            <w:vAlign w:val="top"/>
          </w:tcPr>
          <w:p>
            <w:pPr>
              <w:pStyle w:val="38"/>
              <w:spacing w:before="28" w:line="197" w:lineRule="auto"/>
              <w:ind w:left="91"/>
              <w:rPr>
                <w:sz w:val="16"/>
                <w:szCs w:val="16"/>
              </w:rPr>
            </w:pPr>
            <w:r>
              <w:rPr>
                <w:spacing w:val="-1"/>
                <w:sz w:val="16"/>
                <w:szCs w:val="16"/>
              </w:rPr>
              <w:t>其中：本年财政拨款</w:t>
            </w:r>
          </w:p>
        </w:tc>
        <w:tc>
          <w:tcPr>
            <w:tcW w:w="482" w:type="pct"/>
            <w:gridSpan w:val="2"/>
            <w:vAlign w:val="top"/>
          </w:tcPr>
          <w:p>
            <w:pPr>
              <w:spacing w:line="210" w:lineRule="exact"/>
              <w:rPr>
                <w:rFonts w:ascii="Arial"/>
                <w:sz w:val="15"/>
                <w:szCs w:val="21"/>
              </w:rPr>
            </w:pPr>
          </w:p>
        </w:tc>
        <w:tc>
          <w:tcPr>
            <w:tcW w:w="1725" w:type="pct"/>
            <w:gridSpan w:val="2"/>
            <w:vAlign w:val="top"/>
          </w:tcPr>
          <w:p>
            <w:pPr>
              <w:pStyle w:val="38"/>
              <w:spacing w:before="46" w:line="178" w:lineRule="auto"/>
              <w:ind w:left="1484"/>
              <w:rPr>
                <w:sz w:val="16"/>
                <w:szCs w:val="16"/>
              </w:rPr>
            </w:pPr>
            <w:r>
              <w:rPr>
                <w:spacing w:val="-2"/>
                <w:sz w:val="16"/>
                <w:szCs w:val="16"/>
              </w:rPr>
              <w:t>2.74</w:t>
            </w:r>
          </w:p>
        </w:tc>
        <w:tc>
          <w:tcPr>
            <w:tcW w:w="273" w:type="pct"/>
            <w:vAlign w:val="top"/>
          </w:tcPr>
          <w:p>
            <w:pPr>
              <w:pStyle w:val="38"/>
              <w:spacing w:before="109" w:line="101" w:lineRule="exact"/>
              <w:ind w:left="177"/>
              <w:rPr>
                <w:sz w:val="16"/>
                <w:szCs w:val="16"/>
              </w:rPr>
            </w:pPr>
            <w:r>
              <w:rPr>
                <w:position w:val="-4"/>
                <w:sz w:val="16"/>
                <w:szCs w:val="16"/>
              </w:rPr>
              <w:t>一</w:t>
            </w:r>
          </w:p>
        </w:tc>
        <w:tc>
          <w:tcPr>
            <w:tcW w:w="362" w:type="pct"/>
            <w:vAlign w:val="top"/>
          </w:tcPr>
          <w:p>
            <w:pPr>
              <w:pStyle w:val="38"/>
              <w:spacing w:before="46" w:line="178" w:lineRule="auto"/>
              <w:ind w:left="18"/>
              <w:rPr>
                <w:rFonts w:hint="eastAsia" w:eastAsia="宋体"/>
                <w:sz w:val="16"/>
                <w:szCs w:val="16"/>
                <w:lang w:eastAsia="zh-CN"/>
              </w:rPr>
            </w:pPr>
            <w:r>
              <w:rPr>
                <w:spacing w:val="-2"/>
                <w:sz w:val="16"/>
                <w:szCs w:val="16"/>
              </w:rPr>
              <w:t>91</w:t>
            </w:r>
            <w:r>
              <w:rPr>
                <w:rFonts w:hint="eastAsia"/>
                <w:spacing w:val="-2"/>
                <w:sz w:val="16"/>
                <w:szCs w:val="16"/>
                <w:lang w:eastAsia="zh-CN"/>
              </w:rPr>
              <w:t>％</w:t>
            </w:r>
          </w:p>
        </w:tc>
        <w:tc>
          <w:tcPr>
            <w:tcW w:w="247" w:type="pct"/>
            <w:vAlign w:val="top"/>
          </w:tcPr>
          <w:p>
            <w:pPr>
              <w:pStyle w:val="38"/>
              <w:spacing w:before="126" w:line="83" w:lineRule="exact"/>
              <w:ind w:left="189"/>
              <w:rPr>
                <w:sz w:val="16"/>
                <w:szCs w:val="16"/>
              </w:rPr>
            </w:pPr>
            <w:r>
              <w:rPr>
                <w:position w:val="-4"/>
                <w:sz w:val="16"/>
                <w:szCs w:val="16"/>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919" w:type="pct"/>
            <w:gridSpan w:val="3"/>
            <w:vMerge w:val="continue"/>
            <w:tcBorders>
              <w:top w:val="nil"/>
            </w:tcBorders>
            <w:vAlign w:val="top"/>
          </w:tcPr>
          <w:p>
            <w:pPr>
              <w:rPr>
                <w:rFonts w:ascii="Arial"/>
                <w:sz w:val="18"/>
                <w:szCs w:val="21"/>
              </w:rPr>
            </w:pPr>
          </w:p>
        </w:tc>
        <w:tc>
          <w:tcPr>
            <w:tcW w:w="989" w:type="pct"/>
            <w:vAlign w:val="top"/>
          </w:tcPr>
          <w:p>
            <w:pPr>
              <w:pStyle w:val="38"/>
              <w:spacing w:before="29" w:line="207" w:lineRule="auto"/>
              <w:ind w:left="602"/>
              <w:rPr>
                <w:sz w:val="16"/>
                <w:szCs w:val="16"/>
              </w:rPr>
            </w:pPr>
            <w:r>
              <w:rPr>
                <w:spacing w:val="-2"/>
                <w:sz w:val="16"/>
                <w:szCs w:val="16"/>
              </w:rPr>
              <w:t>其他资金</w:t>
            </w:r>
          </w:p>
        </w:tc>
        <w:tc>
          <w:tcPr>
            <w:tcW w:w="482" w:type="pct"/>
            <w:gridSpan w:val="2"/>
            <w:vAlign w:val="top"/>
          </w:tcPr>
          <w:p>
            <w:pPr>
              <w:spacing w:line="220" w:lineRule="exact"/>
              <w:rPr>
                <w:rFonts w:ascii="Arial"/>
                <w:sz w:val="16"/>
                <w:szCs w:val="21"/>
              </w:rPr>
            </w:pPr>
          </w:p>
        </w:tc>
        <w:tc>
          <w:tcPr>
            <w:tcW w:w="1725" w:type="pct"/>
            <w:gridSpan w:val="2"/>
            <w:vAlign w:val="top"/>
          </w:tcPr>
          <w:p>
            <w:pPr>
              <w:spacing w:line="220" w:lineRule="exact"/>
              <w:rPr>
                <w:rFonts w:ascii="Arial"/>
                <w:sz w:val="16"/>
                <w:szCs w:val="21"/>
              </w:rPr>
            </w:pPr>
          </w:p>
        </w:tc>
        <w:tc>
          <w:tcPr>
            <w:tcW w:w="273" w:type="pct"/>
            <w:vAlign w:val="top"/>
          </w:tcPr>
          <w:p>
            <w:pPr>
              <w:pStyle w:val="38"/>
              <w:spacing w:before="125" w:line="95" w:lineRule="exact"/>
              <w:ind w:left="217"/>
              <w:rPr>
                <w:sz w:val="16"/>
                <w:szCs w:val="16"/>
              </w:rPr>
            </w:pPr>
            <w:r>
              <w:rPr>
                <w:position w:val="-3"/>
                <w:sz w:val="16"/>
                <w:szCs w:val="16"/>
              </w:rPr>
              <w:t>-</w:t>
            </w:r>
          </w:p>
        </w:tc>
        <w:tc>
          <w:tcPr>
            <w:tcW w:w="362" w:type="pct"/>
            <w:vAlign w:val="top"/>
          </w:tcPr>
          <w:p>
            <w:pPr>
              <w:spacing w:line="220" w:lineRule="exact"/>
              <w:rPr>
                <w:rFonts w:ascii="Arial"/>
                <w:sz w:val="16"/>
                <w:szCs w:val="21"/>
              </w:rPr>
            </w:pPr>
          </w:p>
        </w:tc>
        <w:tc>
          <w:tcPr>
            <w:tcW w:w="247" w:type="pct"/>
            <w:vAlign w:val="top"/>
          </w:tcPr>
          <w:p>
            <w:pPr>
              <w:pStyle w:val="38"/>
              <w:spacing w:before="125" w:line="95" w:lineRule="exact"/>
              <w:ind w:left="189"/>
              <w:rPr>
                <w:sz w:val="16"/>
                <w:szCs w:val="16"/>
              </w:rPr>
            </w:pPr>
            <w:r>
              <w:rPr>
                <w:position w:val="-3"/>
                <w:sz w:val="16"/>
                <w:szCs w:val="16"/>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 w:hRule="atLeast"/>
        </w:trPr>
        <w:tc>
          <w:tcPr>
            <w:tcW w:w="215" w:type="pct"/>
            <w:vMerge w:val="restart"/>
            <w:tcBorders>
              <w:bottom w:val="nil"/>
            </w:tcBorders>
            <w:vAlign w:val="top"/>
          </w:tcPr>
          <w:p>
            <w:pPr>
              <w:spacing w:line="451" w:lineRule="auto"/>
              <w:rPr>
                <w:rFonts w:ascii="Arial"/>
                <w:sz w:val="18"/>
                <w:szCs w:val="21"/>
              </w:rPr>
            </w:pPr>
          </w:p>
          <w:p>
            <w:pPr>
              <w:pStyle w:val="38"/>
              <w:spacing w:before="55" w:line="219" w:lineRule="auto"/>
              <w:ind w:left="24"/>
              <w:rPr>
                <w:sz w:val="16"/>
                <w:szCs w:val="16"/>
              </w:rPr>
            </w:pPr>
            <w:r>
              <w:rPr>
                <w:spacing w:val="-2"/>
                <w:sz w:val="16"/>
                <w:szCs w:val="16"/>
              </w:rPr>
              <w:t>年度</w:t>
            </w:r>
          </w:p>
          <w:p>
            <w:pPr>
              <w:pStyle w:val="38"/>
              <w:spacing w:before="9" w:line="216" w:lineRule="auto"/>
              <w:ind w:left="24"/>
              <w:rPr>
                <w:sz w:val="16"/>
                <w:szCs w:val="16"/>
              </w:rPr>
            </w:pPr>
            <w:r>
              <w:rPr>
                <w:spacing w:val="-3"/>
                <w:sz w:val="16"/>
                <w:szCs w:val="16"/>
              </w:rPr>
              <w:t>总体</w:t>
            </w:r>
          </w:p>
          <w:p>
            <w:pPr>
              <w:pStyle w:val="38"/>
              <w:spacing w:line="220" w:lineRule="auto"/>
              <w:ind w:left="24"/>
              <w:rPr>
                <w:sz w:val="16"/>
                <w:szCs w:val="16"/>
              </w:rPr>
            </w:pPr>
            <w:r>
              <w:rPr>
                <w:spacing w:val="6"/>
                <w:sz w:val="16"/>
                <w:szCs w:val="16"/>
              </w:rPr>
              <w:t>目标</w:t>
            </w:r>
          </w:p>
        </w:tc>
        <w:tc>
          <w:tcPr>
            <w:tcW w:w="2176" w:type="pct"/>
            <w:gridSpan w:val="5"/>
            <w:vAlign w:val="top"/>
          </w:tcPr>
          <w:p>
            <w:pPr>
              <w:pStyle w:val="38"/>
              <w:spacing w:before="28" w:line="197" w:lineRule="auto"/>
              <w:ind w:left="1590"/>
              <w:rPr>
                <w:sz w:val="16"/>
                <w:szCs w:val="16"/>
              </w:rPr>
            </w:pPr>
            <w:r>
              <w:rPr>
                <w:spacing w:val="-2"/>
                <w:sz w:val="16"/>
                <w:szCs w:val="16"/>
              </w:rPr>
              <w:t>年初设定目标</w:t>
            </w:r>
          </w:p>
        </w:tc>
        <w:tc>
          <w:tcPr>
            <w:tcW w:w="2608" w:type="pct"/>
            <w:gridSpan w:val="5"/>
            <w:vAlign w:val="top"/>
          </w:tcPr>
          <w:p>
            <w:pPr>
              <w:pStyle w:val="38"/>
              <w:spacing w:before="28" w:line="197" w:lineRule="auto"/>
              <w:ind w:left="1484"/>
              <w:rPr>
                <w:sz w:val="16"/>
                <w:szCs w:val="16"/>
              </w:rPr>
            </w:pPr>
            <w:r>
              <w:rPr>
                <w:spacing w:val="-1"/>
                <w:sz w:val="16"/>
                <w:szCs w:val="16"/>
              </w:rPr>
              <w:t>年度总体目标完成情况综述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9" w:hRule="atLeast"/>
        </w:trPr>
        <w:tc>
          <w:tcPr>
            <w:tcW w:w="215" w:type="pct"/>
            <w:vMerge w:val="continue"/>
            <w:tcBorders>
              <w:top w:val="nil"/>
            </w:tcBorders>
            <w:vAlign w:val="top"/>
          </w:tcPr>
          <w:p>
            <w:pPr>
              <w:rPr>
                <w:rFonts w:ascii="Arial"/>
                <w:sz w:val="18"/>
                <w:szCs w:val="21"/>
              </w:rPr>
            </w:pPr>
          </w:p>
        </w:tc>
        <w:tc>
          <w:tcPr>
            <w:tcW w:w="2176" w:type="pct"/>
            <w:gridSpan w:val="5"/>
            <w:vAlign w:val="top"/>
          </w:tcPr>
          <w:p>
            <w:pPr>
              <w:spacing w:line="340" w:lineRule="auto"/>
              <w:rPr>
                <w:rFonts w:ascii="Arial"/>
                <w:sz w:val="18"/>
                <w:szCs w:val="21"/>
              </w:rPr>
            </w:pPr>
          </w:p>
          <w:p>
            <w:pPr>
              <w:pStyle w:val="38"/>
              <w:spacing w:before="55" w:line="224" w:lineRule="auto"/>
              <w:jc w:val="both"/>
              <w:rPr>
                <w:sz w:val="16"/>
                <w:szCs w:val="16"/>
              </w:rPr>
            </w:pPr>
            <w:r>
              <w:rPr>
                <w:spacing w:val="1"/>
                <w:sz w:val="16"/>
                <w:szCs w:val="16"/>
              </w:rPr>
              <w:t>2025年壤塘县城镇新增就业人数达20</w:t>
            </w:r>
            <w:r>
              <w:rPr>
                <w:sz w:val="16"/>
                <w:szCs w:val="16"/>
              </w:rPr>
              <w:t>0人；就业困难人员就业4人；城镇失业人员再就业10人；城镇登记失业率稳</w:t>
            </w:r>
            <w:r>
              <w:rPr>
                <w:spacing w:val="-1"/>
                <w:sz w:val="16"/>
                <w:szCs w:val="16"/>
              </w:rPr>
              <w:t>控在3.8</w:t>
            </w:r>
            <w:r>
              <w:rPr>
                <w:rFonts w:hint="eastAsia"/>
                <w:spacing w:val="-1"/>
                <w:sz w:val="16"/>
                <w:szCs w:val="16"/>
                <w:lang w:eastAsia="zh-CN"/>
              </w:rPr>
              <w:t>％以</w:t>
            </w:r>
            <w:r>
              <w:rPr>
                <w:spacing w:val="-1"/>
                <w:sz w:val="16"/>
                <w:szCs w:val="16"/>
              </w:rPr>
              <w:t>内；累计实现青年见习就业20人</w:t>
            </w:r>
          </w:p>
        </w:tc>
        <w:tc>
          <w:tcPr>
            <w:tcW w:w="2608" w:type="pct"/>
            <w:gridSpan w:val="5"/>
            <w:vAlign w:val="top"/>
          </w:tcPr>
          <w:p>
            <w:pPr>
              <w:spacing w:line="322" w:lineRule="auto"/>
              <w:rPr>
                <w:rFonts w:ascii="Arial"/>
                <w:sz w:val="18"/>
                <w:szCs w:val="21"/>
              </w:rPr>
            </w:pPr>
          </w:p>
          <w:p>
            <w:pPr>
              <w:pStyle w:val="38"/>
              <w:spacing w:before="55"/>
              <w:ind w:left="14"/>
              <w:jc w:val="both"/>
              <w:rPr>
                <w:sz w:val="16"/>
                <w:szCs w:val="16"/>
              </w:rPr>
            </w:pPr>
            <w:r>
              <w:rPr>
                <w:spacing w:val="-3"/>
                <w:sz w:val="16"/>
                <w:szCs w:val="16"/>
              </w:rPr>
              <w:t>2025年壤塘县城镇新增就业人数达300人；就业困难人员就业5人；城镇失业人员再就业15人；城镇登记失业率稳控在3.8</w:t>
            </w:r>
            <w:r>
              <w:rPr>
                <w:rFonts w:hint="eastAsia"/>
                <w:spacing w:val="-3"/>
                <w:sz w:val="16"/>
                <w:szCs w:val="16"/>
                <w:lang w:eastAsia="zh-CN"/>
              </w:rPr>
              <w:t>％</w:t>
            </w:r>
            <w:r>
              <w:rPr>
                <w:spacing w:val="-3"/>
                <w:sz w:val="16"/>
                <w:szCs w:val="16"/>
              </w:rPr>
              <w:t>内；累计实现</w:t>
            </w:r>
            <w:r>
              <w:rPr>
                <w:rFonts w:hint="eastAsia"/>
                <w:spacing w:val="-3"/>
                <w:sz w:val="16"/>
                <w:szCs w:val="16"/>
                <w:lang w:eastAsia="zh-CN"/>
              </w:rPr>
              <w:t>青年</w:t>
            </w:r>
            <w:r>
              <w:rPr>
                <w:spacing w:val="6"/>
                <w:sz w:val="16"/>
                <w:szCs w:val="16"/>
              </w:rPr>
              <w:t>见习就业34人</w:t>
            </w:r>
            <w:r>
              <w:rPr>
                <w:rFonts w:hint="eastAsia"/>
                <w:spacing w:val="6"/>
                <w:sz w:val="16"/>
                <w:szCs w:val="16"/>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215" w:type="pct"/>
            <w:vMerge w:val="restart"/>
            <w:tcBorders>
              <w:bottom w:val="nil"/>
            </w:tcBorders>
            <w:textDirection w:val="tbRlV"/>
            <w:vAlign w:val="top"/>
          </w:tcPr>
          <w:p>
            <w:pPr>
              <w:pStyle w:val="38"/>
              <w:spacing w:before="125" w:line="202" w:lineRule="auto"/>
              <w:ind w:left="2414"/>
              <w:rPr>
                <w:sz w:val="16"/>
                <w:szCs w:val="16"/>
              </w:rPr>
            </w:pPr>
            <w:r>
              <w:rPr>
                <w:sz w:val="16"/>
                <w:szCs w:val="16"/>
              </w:rPr>
              <w:t>绩效指标</w:t>
            </w:r>
          </w:p>
        </w:tc>
        <w:tc>
          <w:tcPr>
            <w:tcW w:w="293" w:type="pct"/>
            <w:vAlign w:val="top"/>
          </w:tcPr>
          <w:p>
            <w:pPr>
              <w:pStyle w:val="38"/>
              <w:spacing w:before="191" w:line="216" w:lineRule="auto"/>
              <w:ind w:left="100"/>
              <w:rPr>
                <w:sz w:val="16"/>
                <w:szCs w:val="16"/>
              </w:rPr>
            </w:pPr>
            <w:r>
              <w:rPr>
                <w:spacing w:val="-5"/>
                <w:sz w:val="16"/>
                <w:szCs w:val="16"/>
              </w:rPr>
              <w:t>一级</w:t>
            </w:r>
          </w:p>
          <w:p>
            <w:pPr>
              <w:pStyle w:val="38"/>
              <w:spacing w:line="220" w:lineRule="auto"/>
              <w:ind w:left="100"/>
              <w:rPr>
                <w:sz w:val="16"/>
                <w:szCs w:val="16"/>
              </w:rPr>
            </w:pPr>
            <w:r>
              <w:rPr>
                <w:spacing w:val="-3"/>
                <w:sz w:val="16"/>
                <w:szCs w:val="16"/>
              </w:rPr>
              <w:t>指标</w:t>
            </w:r>
          </w:p>
        </w:tc>
        <w:tc>
          <w:tcPr>
            <w:tcW w:w="410" w:type="pct"/>
            <w:vAlign w:val="top"/>
          </w:tcPr>
          <w:p>
            <w:pPr>
              <w:pStyle w:val="38"/>
              <w:spacing w:before="280" w:line="220" w:lineRule="auto"/>
              <w:ind w:left="40"/>
              <w:rPr>
                <w:sz w:val="16"/>
                <w:szCs w:val="16"/>
              </w:rPr>
            </w:pPr>
            <w:r>
              <w:rPr>
                <w:spacing w:val="-2"/>
                <w:sz w:val="16"/>
                <w:szCs w:val="16"/>
              </w:rPr>
              <w:t>二级指标</w:t>
            </w:r>
          </w:p>
        </w:tc>
        <w:tc>
          <w:tcPr>
            <w:tcW w:w="1239" w:type="pct"/>
            <w:gridSpan w:val="2"/>
            <w:vAlign w:val="top"/>
          </w:tcPr>
          <w:p>
            <w:pPr>
              <w:pStyle w:val="38"/>
              <w:spacing w:before="280" w:line="220" w:lineRule="auto"/>
              <w:ind w:left="842"/>
              <w:rPr>
                <w:sz w:val="16"/>
                <w:szCs w:val="16"/>
              </w:rPr>
            </w:pPr>
            <w:r>
              <w:rPr>
                <w:spacing w:val="-2"/>
                <w:sz w:val="16"/>
                <w:szCs w:val="16"/>
              </w:rPr>
              <w:t>三级指标</w:t>
            </w:r>
          </w:p>
        </w:tc>
        <w:tc>
          <w:tcPr>
            <w:tcW w:w="232" w:type="pct"/>
            <w:vAlign w:val="top"/>
          </w:tcPr>
          <w:p>
            <w:pPr>
              <w:pStyle w:val="38"/>
              <w:spacing w:before="280" w:line="219" w:lineRule="auto"/>
              <w:ind w:left="43"/>
              <w:rPr>
                <w:sz w:val="16"/>
                <w:szCs w:val="16"/>
              </w:rPr>
            </w:pPr>
            <w:r>
              <w:rPr>
                <w:spacing w:val="-3"/>
                <w:sz w:val="16"/>
                <w:szCs w:val="16"/>
              </w:rPr>
              <w:t>分值</w:t>
            </w:r>
          </w:p>
        </w:tc>
        <w:tc>
          <w:tcPr>
            <w:tcW w:w="1015" w:type="pct"/>
            <w:vAlign w:val="top"/>
          </w:tcPr>
          <w:p>
            <w:pPr>
              <w:pStyle w:val="38"/>
              <w:spacing w:before="280" w:line="219" w:lineRule="auto"/>
              <w:ind w:left="544"/>
              <w:rPr>
                <w:sz w:val="16"/>
                <w:szCs w:val="16"/>
              </w:rPr>
            </w:pPr>
            <w:r>
              <w:rPr>
                <w:spacing w:val="-2"/>
                <w:sz w:val="16"/>
                <w:szCs w:val="16"/>
              </w:rPr>
              <w:t>年度指标值</w:t>
            </w:r>
          </w:p>
        </w:tc>
        <w:tc>
          <w:tcPr>
            <w:tcW w:w="710" w:type="pct"/>
            <w:vAlign w:val="top"/>
          </w:tcPr>
          <w:p>
            <w:pPr>
              <w:pStyle w:val="38"/>
              <w:spacing w:before="280" w:line="219" w:lineRule="auto"/>
              <w:ind w:left="257"/>
              <w:rPr>
                <w:sz w:val="16"/>
                <w:szCs w:val="16"/>
              </w:rPr>
            </w:pPr>
            <w:r>
              <w:rPr>
                <w:spacing w:val="-2"/>
                <w:sz w:val="16"/>
                <w:szCs w:val="16"/>
              </w:rPr>
              <w:t>全年实际值</w:t>
            </w:r>
          </w:p>
        </w:tc>
        <w:tc>
          <w:tcPr>
            <w:tcW w:w="273" w:type="pct"/>
            <w:vAlign w:val="top"/>
          </w:tcPr>
          <w:p>
            <w:pPr>
              <w:pStyle w:val="38"/>
              <w:spacing w:before="280" w:line="219" w:lineRule="auto"/>
              <w:ind w:left="88"/>
              <w:rPr>
                <w:sz w:val="16"/>
                <w:szCs w:val="16"/>
              </w:rPr>
            </w:pPr>
            <w:r>
              <w:rPr>
                <w:spacing w:val="-2"/>
                <w:sz w:val="16"/>
                <w:szCs w:val="16"/>
              </w:rPr>
              <w:t>得分</w:t>
            </w:r>
          </w:p>
        </w:tc>
        <w:tc>
          <w:tcPr>
            <w:tcW w:w="609" w:type="pct"/>
            <w:gridSpan w:val="2"/>
            <w:vAlign w:val="top"/>
          </w:tcPr>
          <w:p>
            <w:pPr>
              <w:pStyle w:val="38"/>
              <w:spacing w:before="199" w:line="217" w:lineRule="auto"/>
              <w:jc w:val="right"/>
              <w:rPr>
                <w:sz w:val="16"/>
                <w:szCs w:val="16"/>
              </w:rPr>
            </w:pPr>
            <w:r>
              <w:rPr>
                <w:spacing w:val="-7"/>
                <w:sz w:val="16"/>
                <w:szCs w:val="16"/>
              </w:rPr>
              <w:t>未完成原因及拟</w:t>
            </w:r>
          </w:p>
          <w:p>
            <w:pPr>
              <w:pStyle w:val="38"/>
              <w:spacing w:line="218" w:lineRule="auto"/>
              <w:jc w:val="right"/>
              <w:rPr>
                <w:sz w:val="16"/>
                <w:szCs w:val="16"/>
              </w:rPr>
            </w:pPr>
            <w:r>
              <w:rPr>
                <w:spacing w:val="-7"/>
                <w:sz w:val="16"/>
                <w:szCs w:val="16"/>
              </w:rPr>
              <w:t>采取的改进措施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9" w:hRule="atLeast"/>
        </w:trPr>
        <w:tc>
          <w:tcPr>
            <w:tcW w:w="215" w:type="pct"/>
            <w:vMerge w:val="continue"/>
            <w:tcBorders>
              <w:top w:val="nil"/>
              <w:bottom w:val="nil"/>
            </w:tcBorders>
            <w:textDirection w:val="tbRlV"/>
            <w:vAlign w:val="top"/>
          </w:tcPr>
          <w:p>
            <w:pPr>
              <w:rPr>
                <w:rFonts w:ascii="Arial"/>
                <w:sz w:val="18"/>
                <w:szCs w:val="21"/>
              </w:rPr>
            </w:pPr>
          </w:p>
        </w:tc>
        <w:tc>
          <w:tcPr>
            <w:tcW w:w="293" w:type="pct"/>
            <w:vMerge w:val="restart"/>
            <w:tcBorders>
              <w:bottom w:val="nil"/>
            </w:tcBorders>
            <w:textDirection w:val="tbRlV"/>
            <w:vAlign w:val="top"/>
          </w:tcPr>
          <w:p>
            <w:pPr>
              <w:pStyle w:val="38"/>
              <w:spacing w:before="186" w:line="201" w:lineRule="auto"/>
              <w:ind w:left="944"/>
              <w:rPr>
                <w:sz w:val="16"/>
                <w:szCs w:val="16"/>
              </w:rPr>
            </w:pPr>
            <w:r>
              <w:rPr>
                <w:sz w:val="16"/>
                <w:szCs w:val="16"/>
              </w:rPr>
              <mc:AlternateContent>
                <mc:Choice Requires="wps">
                  <w:drawing>
                    <wp:anchor distT="0" distB="0" distL="114300" distR="114300" simplePos="0" relativeHeight="251665408" behindDoc="0" locked="0" layoutInCell="1" allowOverlap="1">
                      <wp:simplePos x="0" y="0"/>
                      <wp:positionH relativeFrom="page">
                        <wp:posOffset>-10160</wp:posOffset>
                      </wp:positionH>
                      <wp:positionV relativeFrom="page">
                        <wp:posOffset>1136650</wp:posOffset>
                      </wp:positionV>
                      <wp:extent cx="372110" cy="146685"/>
                      <wp:effectExtent l="0" t="0" r="0" b="0"/>
                      <wp:wrapNone/>
                      <wp:docPr id="9" name="文本框 9"/>
                      <wp:cNvGraphicFramePr/>
                      <a:graphic xmlns:a="http://schemas.openxmlformats.org/drawingml/2006/main">
                        <a:graphicData uri="http://schemas.microsoft.com/office/word/2010/wordprocessingShape">
                          <wps:wsp>
                            <wps:cNvSpPr txBox="1"/>
                            <wps:spPr>
                              <a:xfrm>
                                <a:off x="0" y="0"/>
                                <a:ext cx="372110" cy="146685"/>
                              </a:xfrm>
                              <a:prstGeom prst="rect">
                                <a:avLst/>
                              </a:prstGeom>
                              <a:noFill/>
                              <a:ln>
                                <a:noFill/>
                              </a:ln>
                            </wps:spPr>
                            <wps:txbx>
                              <w:txbxContent>
                                <w:p>
                                  <w:pPr>
                                    <w:pStyle w:val="38"/>
                                    <w:spacing w:before="20" w:line="220" w:lineRule="auto"/>
                                    <w:ind w:left="20"/>
                                    <w:rPr>
                                      <w:sz w:val="16"/>
                                      <w:szCs w:val="16"/>
                                    </w:rPr>
                                  </w:pPr>
                                  <w:r>
                                    <w:rPr>
                                      <w:spacing w:val="13"/>
                                      <w:sz w:val="16"/>
                                      <w:szCs w:val="16"/>
                                    </w:rPr>
                                    <w:t>(50分)</w:t>
                                  </w:r>
                                </w:p>
                              </w:txbxContent>
                            </wps:txbx>
                            <wps:bodyPr lIns="0" tIns="0" rIns="0" bIns="0" upright="1"/>
                          </wps:wsp>
                        </a:graphicData>
                      </a:graphic>
                    </wp:anchor>
                  </w:drawing>
                </mc:Choice>
                <mc:Fallback>
                  <w:pict>
                    <v:shape id="_x0000_s1026" o:spid="_x0000_s1026" o:spt="202" type="#_x0000_t202" style="position:absolute;left:0pt;margin-left:-0.8pt;margin-top:89.5pt;height:11.55pt;width:29.3pt;mso-position-horizontal-relative:page;mso-position-vertical-relative:page;z-index:251665408;mso-width-relative:page;mso-height-relative:page;" filled="f" stroked="f" coordsize="21600,21600" o:gfxdata="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Dcx4Vo2AAAAAkBAAAPAAAAAAAAAAEAIAAAADgA&#10;AABkcnMvZG93bnJldi54bWxQSwECFAAUAAAACACHTuJA1mr4NboBAABxAwAADgAAAAAAAAABACAA&#10;AAA9AQAAZHJzL2Uyb0RvYy54bWxQSwUGAAAAAAYABgBZAQAAaQUAAAAA&#10;">
                      <v:fill on="f" focussize="0,0"/>
                      <v:stroke on="f"/>
                      <v:imagedata o:title=""/>
                      <o:lock v:ext="edit" aspectratio="f"/>
                      <v:textbox inset="0mm,0mm,0mm,0mm">
                        <w:txbxContent>
                          <w:p>
                            <w:pPr>
                              <w:pStyle w:val="38"/>
                              <w:spacing w:before="20" w:line="220" w:lineRule="auto"/>
                              <w:ind w:left="20"/>
                              <w:rPr>
                                <w:sz w:val="16"/>
                                <w:szCs w:val="16"/>
                              </w:rPr>
                            </w:pPr>
                            <w:r>
                              <w:rPr>
                                <w:spacing w:val="13"/>
                                <w:sz w:val="16"/>
                                <w:szCs w:val="16"/>
                              </w:rPr>
                              <w:t>(50分)</w:t>
                            </w:r>
                          </w:p>
                        </w:txbxContent>
                      </v:textbox>
                    </v:shape>
                  </w:pict>
                </mc:Fallback>
              </mc:AlternateContent>
            </w:r>
            <w:r>
              <w:rPr>
                <w:spacing w:val="11"/>
                <w:sz w:val="16"/>
                <w:szCs w:val="16"/>
              </w:rPr>
              <w:t>产出指标</w:t>
            </w:r>
          </w:p>
        </w:tc>
        <w:tc>
          <w:tcPr>
            <w:tcW w:w="410" w:type="pct"/>
            <w:vAlign w:val="top"/>
          </w:tcPr>
          <w:p>
            <w:pPr>
              <w:spacing w:line="413" w:lineRule="auto"/>
              <w:rPr>
                <w:rFonts w:ascii="Arial"/>
                <w:sz w:val="18"/>
                <w:szCs w:val="21"/>
              </w:rPr>
            </w:pPr>
          </w:p>
          <w:p>
            <w:pPr>
              <w:pStyle w:val="38"/>
              <w:spacing w:before="55" w:line="219" w:lineRule="auto"/>
              <w:ind w:left="40"/>
              <w:rPr>
                <w:sz w:val="16"/>
                <w:szCs w:val="16"/>
              </w:rPr>
            </w:pPr>
            <w:r>
              <w:rPr>
                <w:spacing w:val="-2"/>
                <w:sz w:val="16"/>
                <w:szCs w:val="16"/>
              </w:rPr>
              <w:t>数量指标</w:t>
            </w:r>
          </w:p>
        </w:tc>
        <w:tc>
          <w:tcPr>
            <w:tcW w:w="1239" w:type="pct"/>
            <w:gridSpan w:val="2"/>
            <w:vAlign w:val="top"/>
          </w:tcPr>
          <w:p>
            <w:pPr>
              <w:spacing w:line="413" w:lineRule="auto"/>
              <w:rPr>
                <w:rFonts w:ascii="Arial"/>
                <w:sz w:val="18"/>
                <w:szCs w:val="21"/>
              </w:rPr>
            </w:pPr>
          </w:p>
          <w:p>
            <w:pPr>
              <w:pStyle w:val="38"/>
              <w:spacing w:before="55" w:line="219" w:lineRule="auto"/>
              <w:ind w:left="161"/>
              <w:rPr>
                <w:sz w:val="16"/>
                <w:szCs w:val="16"/>
              </w:rPr>
            </w:pPr>
            <w:r>
              <w:rPr>
                <w:spacing w:val="-1"/>
                <w:sz w:val="16"/>
                <w:szCs w:val="16"/>
              </w:rPr>
              <w:t>石榴籽就业帮扶户帮扶情况</w:t>
            </w:r>
          </w:p>
        </w:tc>
        <w:tc>
          <w:tcPr>
            <w:tcW w:w="232" w:type="pct"/>
            <w:vAlign w:val="top"/>
          </w:tcPr>
          <w:p>
            <w:pPr>
              <w:spacing w:line="429" w:lineRule="auto"/>
              <w:rPr>
                <w:rFonts w:ascii="Arial"/>
                <w:sz w:val="18"/>
                <w:szCs w:val="21"/>
              </w:rPr>
            </w:pPr>
          </w:p>
          <w:p>
            <w:pPr>
              <w:pStyle w:val="38"/>
              <w:spacing w:before="55"/>
              <w:ind w:left="133"/>
              <w:rPr>
                <w:sz w:val="16"/>
                <w:szCs w:val="16"/>
              </w:rPr>
            </w:pPr>
            <w:r>
              <w:rPr>
                <w:spacing w:val="-3"/>
                <w:sz w:val="16"/>
                <w:szCs w:val="16"/>
              </w:rPr>
              <w:t>20</w:t>
            </w:r>
          </w:p>
        </w:tc>
        <w:tc>
          <w:tcPr>
            <w:tcW w:w="1015" w:type="pct"/>
            <w:vAlign w:val="top"/>
          </w:tcPr>
          <w:p>
            <w:pPr>
              <w:spacing w:line="413" w:lineRule="auto"/>
              <w:rPr>
                <w:rFonts w:ascii="Arial"/>
                <w:sz w:val="18"/>
                <w:szCs w:val="21"/>
              </w:rPr>
            </w:pPr>
          </w:p>
          <w:p>
            <w:pPr>
              <w:pStyle w:val="38"/>
              <w:spacing w:before="56" w:line="220" w:lineRule="auto"/>
              <w:ind w:left="715"/>
              <w:rPr>
                <w:sz w:val="16"/>
                <w:szCs w:val="16"/>
              </w:rPr>
            </w:pPr>
            <w:r>
              <w:rPr>
                <w:spacing w:val="5"/>
                <w:sz w:val="16"/>
                <w:szCs w:val="16"/>
              </w:rPr>
              <w:t>≥20户</w:t>
            </w:r>
          </w:p>
        </w:tc>
        <w:tc>
          <w:tcPr>
            <w:tcW w:w="710" w:type="pct"/>
            <w:vAlign w:val="top"/>
          </w:tcPr>
          <w:p>
            <w:pPr>
              <w:spacing w:line="413" w:lineRule="auto"/>
              <w:rPr>
                <w:rFonts w:ascii="Arial"/>
                <w:sz w:val="18"/>
                <w:szCs w:val="21"/>
              </w:rPr>
            </w:pPr>
          </w:p>
          <w:p>
            <w:pPr>
              <w:pStyle w:val="38"/>
              <w:spacing w:before="56" w:line="220" w:lineRule="auto"/>
              <w:ind w:left="507"/>
              <w:rPr>
                <w:sz w:val="16"/>
                <w:szCs w:val="16"/>
              </w:rPr>
            </w:pPr>
            <w:r>
              <w:rPr>
                <w:spacing w:val="7"/>
                <w:sz w:val="16"/>
                <w:szCs w:val="16"/>
              </w:rPr>
              <w:t>46户</w:t>
            </w:r>
          </w:p>
        </w:tc>
        <w:tc>
          <w:tcPr>
            <w:tcW w:w="273" w:type="pct"/>
            <w:vAlign w:val="top"/>
          </w:tcPr>
          <w:p>
            <w:pPr>
              <w:spacing w:line="429" w:lineRule="auto"/>
              <w:rPr>
                <w:rFonts w:ascii="Arial"/>
                <w:sz w:val="18"/>
                <w:szCs w:val="21"/>
              </w:rPr>
            </w:pPr>
          </w:p>
          <w:p>
            <w:pPr>
              <w:pStyle w:val="38"/>
              <w:spacing w:before="55"/>
              <w:ind w:left="177"/>
              <w:rPr>
                <w:sz w:val="16"/>
                <w:szCs w:val="16"/>
              </w:rPr>
            </w:pPr>
            <w:r>
              <w:rPr>
                <w:spacing w:val="-3"/>
                <w:sz w:val="16"/>
                <w:szCs w:val="16"/>
              </w:rPr>
              <w:t>20</w:t>
            </w:r>
          </w:p>
        </w:tc>
        <w:tc>
          <w:tcPr>
            <w:tcW w:w="609" w:type="pct"/>
            <w:gridSpan w:val="2"/>
            <w:vAlign w:val="top"/>
          </w:tcPr>
          <w:p>
            <w:pPr>
              <w:rPr>
                <w:rFonts w:ascii="Arial"/>
                <w:sz w:val="18"/>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215" w:type="pct"/>
            <w:vMerge w:val="continue"/>
            <w:tcBorders>
              <w:top w:val="nil"/>
              <w:bottom w:val="nil"/>
            </w:tcBorders>
            <w:textDirection w:val="tbRlV"/>
            <w:vAlign w:val="top"/>
          </w:tcPr>
          <w:p>
            <w:pPr>
              <w:rPr>
                <w:rFonts w:ascii="Arial"/>
                <w:sz w:val="18"/>
                <w:szCs w:val="21"/>
              </w:rPr>
            </w:pPr>
          </w:p>
        </w:tc>
        <w:tc>
          <w:tcPr>
            <w:tcW w:w="293" w:type="pct"/>
            <w:vMerge w:val="continue"/>
            <w:tcBorders>
              <w:top w:val="nil"/>
              <w:bottom w:val="nil"/>
            </w:tcBorders>
            <w:textDirection w:val="tbRlV"/>
            <w:vAlign w:val="top"/>
          </w:tcPr>
          <w:p>
            <w:pPr>
              <w:rPr>
                <w:rFonts w:ascii="Arial"/>
                <w:sz w:val="18"/>
                <w:szCs w:val="21"/>
              </w:rPr>
            </w:pPr>
          </w:p>
        </w:tc>
        <w:tc>
          <w:tcPr>
            <w:tcW w:w="410" w:type="pct"/>
            <w:vAlign w:val="top"/>
          </w:tcPr>
          <w:p>
            <w:pPr>
              <w:pStyle w:val="38"/>
              <w:spacing w:before="132" w:line="220" w:lineRule="auto"/>
              <w:ind w:left="40"/>
              <w:rPr>
                <w:sz w:val="16"/>
                <w:szCs w:val="16"/>
              </w:rPr>
            </w:pPr>
            <w:r>
              <w:rPr>
                <w:spacing w:val="-2"/>
                <w:sz w:val="16"/>
                <w:szCs w:val="16"/>
              </w:rPr>
              <w:t>质量指标</w:t>
            </w:r>
          </w:p>
        </w:tc>
        <w:tc>
          <w:tcPr>
            <w:tcW w:w="1239" w:type="pct"/>
            <w:gridSpan w:val="2"/>
            <w:vAlign w:val="top"/>
          </w:tcPr>
          <w:p>
            <w:pPr>
              <w:pStyle w:val="38"/>
              <w:spacing w:before="132" w:line="219" w:lineRule="auto"/>
              <w:ind w:left="761"/>
              <w:rPr>
                <w:sz w:val="16"/>
                <w:szCs w:val="16"/>
              </w:rPr>
            </w:pPr>
            <w:r>
              <w:rPr>
                <w:spacing w:val="1"/>
                <w:sz w:val="16"/>
                <w:szCs w:val="16"/>
              </w:rPr>
              <w:t>资金拨付率</w:t>
            </w:r>
          </w:p>
        </w:tc>
        <w:tc>
          <w:tcPr>
            <w:tcW w:w="232" w:type="pct"/>
            <w:vAlign w:val="top"/>
          </w:tcPr>
          <w:p>
            <w:pPr>
              <w:pStyle w:val="38"/>
              <w:spacing w:before="148"/>
              <w:ind w:left="173"/>
              <w:rPr>
                <w:sz w:val="16"/>
                <w:szCs w:val="16"/>
              </w:rPr>
            </w:pPr>
            <w:r>
              <w:rPr>
                <w:sz w:val="16"/>
                <w:szCs w:val="16"/>
              </w:rPr>
              <w:t>5</w:t>
            </w:r>
          </w:p>
        </w:tc>
        <w:tc>
          <w:tcPr>
            <w:tcW w:w="1015" w:type="pct"/>
            <w:vAlign w:val="top"/>
          </w:tcPr>
          <w:p>
            <w:pPr>
              <w:pStyle w:val="38"/>
              <w:spacing w:before="148" w:line="237" w:lineRule="auto"/>
              <w:ind w:left="754"/>
              <w:rPr>
                <w:rFonts w:hint="eastAsia" w:eastAsia="宋体"/>
                <w:sz w:val="16"/>
                <w:szCs w:val="16"/>
                <w:lang w:eastAsia="zh-CN"/>
              </w:rPr>
            </w:pPr>
            <w:r>
              <w:rPr>
                <w:spacing w:val="-5"/>
                <w:sz w:val="16"/>
                <w:szCs w:val="16"/>
              </w:rPr>
              <w:t>≥95</w:t>
            </w:r>
            <w:r>
              <w:rPr>
                <w:rFonts w:hint="eastAsia"/>
                <w:spacing w:val="-5"/>
                <w:sz w:val="16"/>
                <w:szCs w:val="16"/>
                <w:lang w:eastAsia="zh-CN"/>
              </w:rPr>
              <w:t>％</w:t>
            </w:r>
          </w:p>
        </w:tc>
        <w:tc>
          <w:tcPr>
            <w:tcW w:w="710" w:type="pct"/>
            <w:vAlign w:val="top"/>
          </w:tcPr>
          <w:p>
            <w:pPr>
              <w:pStyle w:val="38"/>
              <w:spacing w:before="148"/>
              <w:ind w:left="596"/>
              <w:rPr>
                <w:sz w:val="16"/>
                <w:szCs w:val="16"/>
              </w:rPr>
            </w:pPr>
            <w:r>
              <w:rPr>
                <w:spacing w:val="-2"/>
                <w:sz w:val="16"/>
                <w:szCs w:val="16"/>
              </w:rPr>
              <w:t>91</w:t>
            </w:r>
          </w:p>
        </w:tc>
        <w:tc>
          <w:tcPr>
            <w:tcW w:w="273" w:type="pct"/>
            <w:vAlign w:val="top"/>
          </w:tcPr>
          <w:p>
            <w:pPr>
              <w:pStyle w:val="38"/>
              <w:spacing w:before="148"/>
              <w:ind w:left="217"/>
              <w:rPr>
                <w:sz w:val="16"/>
                <w:szCs w:val="16"/>
              </w:rPr>
            </w:pPr>
            <w:r>
              <w:rPr>
                <w:sz w:val="16"/>
                <w:szCs w:val="16"/>
              </w:rPr>
              <w:t>0</w:t>
            </w:r>
          </w:p>
        </w:tc>
        <w:tc>
          <w:tcPr>
            <w:tcW w:w="609" w:type="pct"/>
            <w:gridSpan w:val="2"/>
            <w:vAlign w:val="top"/>
          </w:tcPr>
          <w:p>
            <w:pPr>
              <w:rPr>
                <w:rFonts w:ascii="Arial"/>
                <w:sz w:val="18"/>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215" w:type="pct"/>
            <w:vMerge w:val="continue"/>
            <w:tcBorders>
              <w:top w:val="nil"/>
              <w:bottom w:val="nil"/>
            </w:tcBorders>
            <w:textDirection w:val="tbRlV"/>
            <w:vAlign w:val="top"/>
          </w:tcPr>
          <w:p>
            <w:pPr>
              <w:rPr>
                <w:rFonts w:ascii="Arial"/>
                <w:sz w:val="18"/>
                <w:szCs w:val="21"/>
              </w:rPr>
            </w:pPr>
          </w:p>
        </w:tc>
        <w:tc>
          <w:tcPr>
            <w:tcW w:w="293" w:type="pct"/>
            <w:vMerge w:val="continue"/>
            <w:tcBorders>
              <w:top w:val="nil"/>
              <w:bottom w:val="nil"/>
            </w:tcBorders>
            <w:textDirection w:val="tbRlV"/>
            <w:vAlign w:val="top"/>
          </w:tcPr>
          <w:p>
            <w:pPr>
              <w:rPr>
                <w:rFonts w:ascii="Arial"/>
                <w:sz w:val="18"/>
                <w:szCs w:val="21"/>
              </w:rPr>
            </w:pPr>
          </w:p>
        </w:tc>
        <w:tc>
          <w:tcPr>
            <w:tcW w:w="410" w:type="pct"/>
            <w:vAlign w:val="top"/>
          </w:tcPr>
          <w:p>
            <w:pPr>
              <w:pStyle w:val="38"/>
              <w:spacing w:before="260" w:line="219" w:lineRule="auto"/>
              <w:jc w:val="right"/>
              <w:rPr>
                <w:sz w:val="11"/>
                <w:szCs w:val="11"/>
              </w:rPr>
            </w:pPr>
            <w:r>
              <w:rPr>
                <w:spacing w:val="-14"/>
                <w:w w:val="93"/>
                <w:sz w:val="11"/>
                <w:szCs w:val="11"/>
              </w:rPr>
              <w:t>经</w:t>
            </w:r>
            <w:r>
              <w:rPr>
                <w:spacing w:val="-13"/>
                <w:w w:val="93"/>
                <w:sz w:val="11"/>
                <w:szCs w:val="11"/>
              </w:rPr>
              <w:t>济成本指</w:t>
            </w:r>
            <w:r>
              <w:rPr>
                <w:spacing w:val="-6"/>
                <w:w w:val="93"/>
                <w:sz w:val="11"/>
                <w:szCs w:val="11"/>
              </w:rPr>
              <w:t>标</w:t>
            </w:r>
          </w:p>
        </w:tc>
        <w:tc>
          <w:tcPr>
            <w:tcW w:w="1239" w:type="pct"/>
            <w:gridSpan w:val="2"/>
            <w:vAlign w:val="top"/>
          </w:tcPr>
          <w:p>
            <w:pPr>
              <w:pStyle w:val="38"/>
              <w:spacing w:before="260" w:line="219" w:lineRule="auto"/>
              <w:ind w:left="331"/>
              <w:rPr>
                <w:sz w:val="16"/>
                <w:szCs w:val="16"/>
              </w:rPr>
            </w:pPr>
            <w:r>
              <w:rPr>
                <w:spacing w:val="-1"/>
                <w:sz w:val="16"/>
                <w:szCs w:val="16"/>
              </w:rPr>
              <w:t>完成此项工作经济成本</w:t>
            </w:r>
          </w:p>
        </w:tc>
        <w:tc>
          <w:tcPr>
            <w:tcW w:w="232" w:type="pct"/>
            <w:vAlign w:val="top"/>
          </w:tcPr>
          <w:p>
            <w:pPr>
              <w:pStyle w:val="38"/>
              <w:spacing w:before="278"/>
              <w:ind w:left="133"/>
              <w:rPr>
                <w:sz w:val="16"/>
                <w:szCs w:val="16"/>
              </w:rPr>
            </w:pPr>
            <w:r>
              <w:rPr>
                <w:spacing w:val="-3"/>
                <w:sz w:val="16"/>
                <w:szCs w:val="16"/>
              </w:rPr>
              <w:t>20</w:t>
            </w:r>
          </w:p>
        </w:tc>
        <w:tc>
          <w:tcPr>
            <w:tcW w:w="1015" w:type="pct"/>
            <w:vAlign w:val="top"/>
          </w:tcPr>
          <w:p>
            <w:pPr>
              <w:pStyle w:val="38"/>
              <w:spacing w:before="262" w:line="220" w:lineRule="auto"/>
              <w:ind w:left="754"/>
              <w:rPr>
                <w:sz w:val="16"/>
                <w:szCs w:val="16"/>
              </w:rPr>
            </w:pPr>
            <w:r>
              <w:rPr>
                <w:rFonts w:hint="eastAsia"/>
                <w:spacing w:val="-6"/>
                <w:sz w:val="16"/>
                <w:szCs w:val="16"/>
                <w:lang w:eastAsia="zh-CN"/>
              </w:rPr>
              <w:t>＝</w:t>
            </w:r>
            <w:r>
              <w:rPr>
                <w:spacing w:val="-6"/>
                <w:sz w:val="16"/>
                <w:szCs w:val="16"/>
              </w:rPr>
              <w:t>3万</w:t>
            </w:r>
          </w:p>
        </w:tc>
        <w:tc>
          <w:tcPr>
            <w:tcW w:w="710" w:type="pct"/>
            <w:vAlign w:val="top"/>
          </w:tcPr>
          <w:p>
            <w:pPr>
              <w:pStyle w:val="38"/>
              <w:spacing w:before="262" w:line="220" w:lineRule="auto"/>
              <w:ind w:left="547"/>
              <w:rPr>
                <w:sz w:val="16"/>
                <w:szCs w:val="16"/>
              </w:rPr>
            </w:pPr>
            <w:r>
              <w:rPr>
                <w:spacing w:val="7"/>
                <w:sz w:val="16"/>
                <w:szCs w:val="16"/>
              </w:rPr>
              <w:t>3万</w:t>
            </w:r>
          </w:p>
        </w:tc>
        <w:tc>
          <w:tcPr>
            <w:tcW w:w="273" w:type="pct"/>
            <w:vAlign w:val="top"/>
          </w:tcPr>
          <w:p>
            <w:pPr>
              <w:pStyle w:val="38"/>
              <w:spacing w:before="278"/>
              <w:ind w:left="177"/>
              <w:rPr>
                <w:sz w:val="16"/>
                <w:szCs w:val="16"/>
              </w:rPr>
            </w:pPr>
            <w:r>
              <w:rPr>
                <w:spacing w:val="-3"/>
                <w:sz w:val="16"/>
                <w:szCs w:val="16"/>
              </w:rPr>
              <w:t>20</w:t>
            </w:r>
          </w:p>
        </w:tc>
        <w:tc>
          <w:tcPr>
            <w:tcW w:w="609" w:type="pct"/>
            <w:gridSpan w:val="2"/>
            <w:vAlign w:val="top"/>
          </w:tcPr>
          <w:p>
            <w:pPr>
              <w:rPr>
                <w:rFonts w:ascii="Arial"/>
                <w:sz w:val="18"/>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215" w:type="pct"/>
            <w:vMerge w:val="continue"/>
            <w:tcBorders>
              <w:top w:val="nil"/>
              <w:bottom w:val="nil"/>
            </w:tcBorders>
            <w:textDirection w:val="tbRlV"/>
            <w:vAlign w:val="top"/>
          </w:tcPr>
          <w:p>
            <w:pPr>
              <w:rPr>
                <w:rFonts w:ascii="Arial"/>
                <w:sz w:val="18"/>
                <w:szCs w:val="21"/>
              </w:rPr>
            </w:pPr>
          </w:p>
        </w:tc>
        <w:tc>
          <w:tcPr>
            <w:tcW w:w="293" w:type="pct"/>
            <w:vMerge w:val="continue"/>
            <w:tcBorders>
              <w:top w:val="nil"/>
            </w:tcBorders>
            <w:textDirection w:val="tbRlV"/>
            <w:vAlign w:val="top"/>
          </w:tcPr>
          <w:p>
            <w:pPr>
              <w:rPr>
                <w:rFonts w:ascii="Arial"/>
                <w:sz w:val="18"/>
                <w:szCs w:val="21"/>
              </w:rPr>
            </w:pPr>
          </w:p>
        </w:tc>
        <w:tc>
          <w:tcPr>
            <w:tcW w:w="410" w:type="pct"/>
            <w:vAlign w:val="top"/>
          </w:tcPr>
          <w:p>
            <w:pPr>
              <w:pStyle w:val="38"/>
              <w:spacing w:before="263" w:line="220" w:lineRule="auto"/>
              <w:ind w:left="40"/>
              <w:rPr>
                <w:sz w:val="16"/>
                <w:szCs w:val="16"/>
              </w:rPr>
            </w:pPr>
            <w:r>
              <w:rPr>
                <w:spacing w:val="1"/>
                <w:sz w:val="16"/>
                <w:szCs w:val="16"/>
              </w:rPr>
              <w:t>时效指标</w:t>
            </w:r>
          </w:p>
        </w:tc>
        <w:tc>
          <w:tcPr>
            <w:tcW w:w="1239" w:type="pct"/>
            <w:gridSpan w:val="2"/>
            <w:vAlign w:val="top"/>
          </w:tcPr>
          <w:p>
            <w:pPr>
              <w:pStyle w:val="38"/>
              <w:spacing w:before="263" w:line="219" w:lineRule="auto"/>
              <w:ind w:left="501"/>
              <w:rPr>
                <w:sz w:val="16"/>
                <w:szCs w:val="16"/>
              </w:rPr>
            </w:pPr>
            <w:r>
              <w:rPr>
                <w:spacing w:val="-1"/>
                <w:sz w:val="16"/>
                <w:szCs w:val="16"/>
              </w:rPr>
              <w:t>完成资金拨付时限</w:t>
            </w:r>
          </w:p>
        </w:tc>
        <w:tc>
          <w:tcPr>
            <w:tcW w:w="232" w:type="pct"/>
            <w:vAlign w:val="top"/>
          </w:tcPr>
          <w:p>
            <w:pPr>
              <w:pStyle w:val="38"/>
              <w:spacing w:before="279"/>
              <w:ind w:left="173"/>
              <w:rPr>
                <w:sz w:val="16"/>
                <w:szCs w:val="16"/>
              </w:rPr>
            </w:pPr>
            <w:r>
              <w:rPr>
                <w:sz w:val="16"/>
                <w:szCs w:val="16"/>
              </w:rPr>
              <w:t>5</w:t>
            </w:r>
          </w:p>
        </w:tc>
        <w:tc>
          <w:tcPr>
            <w:tcW w:w="1015" w:type="pct"/>
            <w:vAlign w:val="top"/>
          </w:tcPr>
          <w:p>
            <w:pPr>
              <w:pStyle w:val="38"/>
              <w:spacing w:before="263" w:line="219" w:lineRule="auto"/>
              <w:ind w:left="715"/>
              <w:rPr>
                <w:sz w:val="16"/>
                <w:szCs w:val="16"/>
              </w:rPr>
            </w:pPr>
            <w:r>
              <w:rPr>
                <w:spacing w:val="8"/>
                <w:sz w:val="16"/>
                <w:szCs w:val="16"/>
              </w:rPr>
              <w:t>≤12月</w:t>
            </w:r>
          </w:p>
        </w:tc>
        <w:tc>
          <w:tcPr>
            <w:tcW w:w="710" w:type="pct"/>
            <w:vAlign w:val="top"/>
          </w:tcPr>
          <w:p>
            <w:pPr>
              <w:pStyle w:val="38"/>
              <w:spacing w:before="263" w:line="219" w:lineRule="auto"/>
              <w:ind w:left="507"/>
              <w:rPr>
                <w:sz w:val="16"/>
                <w:szCs w:val="16"/>
              </w:rPr>
            </w:pPr>
            <w:r>
              <w:rPr>
                <w:spacing w:val="11"/>
                <w:sz w:val="16"/>
                <w:szCs w:val="16"/>
              </w:rPr>
              <w:t>12月</w:t>
            </w:r>
          </w:p>
        </w:tc>
        <w:tc>
          <w:tcPr>
            <w:tcW w:w="273" w:type="pct"/>
            <w:vAlign w:val="top"/>
          </w:tcPr>
          <w:p>
            <w:pPr>
              <w:pStyle w:val="38"/>
              <w:spacing w:before="279"/>
              <w:ind w:left="217"/>
              <w:rPr>
                <w:sz w:val="16"/>
                <w:szCs w:val="16"/>
              </w:rPr>
            </w:pPr>
            <w:r>
              <w:rPr>
                <w:sz w:val="16"/>
                <w:szCs w:val="16"/>
              </w:rPr>
              <w:t>5</w:t>
            </w:r>
          </w:p>
        </w:tc>
        <w:tc>
          <w:tcPr>
            <w:tcW w:w="609" w:type="pct"/>
            <w:gridSpan w:val="2"/>
            <w:vAlign w:val="top"/>
          </w:tcPr>
          <w:p>
            <w:pPr>
              <w:rPr>
                <w:rFonts w:ascii="Arial"/>
                <w:sz w:val="18"/>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215" w:type="pct"/>
            <w:vMerge w:val="continue"/>
            <w:tcBorders>
              <w:top w:val="nil"/>
              <w:bottom w:val="nil"/>
            </w:tcBorders>
            <w:textDirection w:val="tbRlV"/>
            <w:vAlign w:val="top"/>
          </w:tcPr>
          <w:p>
            <w:pPr>
              <w:rPr>
                <w:rFonts w:ascii="Arial"/>
                <w:sz w:val="18"/>
                <w:szCs w:val="21"/>
              </w:rPr>
            </w:pPr>
          </w:p>
        </w:tc>
        <w:tc>
          <w:tcPr>
            <w:tcW w:w="293" w:type="pct"/>
            <w:vMerge w:val="restart"/>
            <w:tcBorders>
              <w:bottom w:val="nil"/>
            </w:tcBorders>
            <w:textDirection w:val="tbRlV"/>
            <w:vAlign w:val="top"/>
          </w:tcPr>
          <w:p>
            <w:pPr>
              <w:pStyle w:val="38"/>
              <w:spacing w:before="186" w:line="201" w:lineRule="auto"/>
              <w:ind w:left="177"/>
              <w:rPr>
                <w:sz w:val="16"/>
                <w:szCs w:val="16"/>
              </w:rPr>
            </w:pPr>
            <w:r>
              <w:rPr>
                <w:sz w:val="16"/>
                <w:szCs w:val="16"/>
              </w:rPr>
              <mc:AlternateContent>
                <mc:Choice Requires="wps">
                  <w:drawing>
                    <wp:anchor distT="0" distB="0" distL="114300" distR="114300" simplePos="0" relativeHeight="251666432" behindDoc="0" locked="0" layoutInCell="1" allowOverlap="1">
                      <wp:simplePos x="0" y="0"/>
                      <wp:positionH relativeFrom="page">
                        <wp:posOffset>-22860</wp:posOffset>
                      </wp:positionH>
                      <wp:positionV relativeFrom="page">
                        <wp:posOffset>636905</wp:posOffset>
                      </wp:positionV>
                      <wp:extent cx="372110" cy="14668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372110" cy="146685"/>
                              </a:xfrm>
                              <a:prstGeom prst="rect">
                                <a:avLst/>
                              </a:prstGeom>
                              <a:noFill/>
                              <a:ln>
                                <a:noFill/>
                              </a:ln>
                            </wps:spPr>
                            <wps:txbx>
                              <w:txbxContent>
                                <w:p>
                                  <w:pPr>
                                    <w:pStyle w:val="38"/>
                                    <w:spacing w:before="20" w:line="220" w:lineRule="auto"/>
                                    <w:ind w:left="20"/>
                                    <w:rPr>
                                      <w:sz w:val="16"/>
                                      <w:szCs w:val="16"/>
                                    </w:rPr>
                                  </w:pPr>
                                  <w:r>
                                    <w:rPr>
                                      <w:spacing w:val="13"/>
                                      <w:sz w:val="16"/>
                                      <w:szCs w:val="16"/>
                                    </w:rPr>
                                    <w:t>(30分)</w:t>
                                  </w:r>
                                </w:p>
                              </w:txbxContent>
                            </wps:txbx>
                            <wps:bodyPr lIns="0" tIns="0" rIns="0" bIns="0" upright="1"/>
                          </wps:wsp>
                        </a:graphicData>
                      </a:graphic>
                    </wp:anchor>
                  </w:drawing>
                </mc:Choice>
                <mc:Fallback>
                  <w:pict>
                    <v:shape id="_x0000_s1026" o:spid="_x0000_s1026" o:spt="202" type="#_x0000_t202" style="position:absolute;left:0pt;margin-left:-1.8pt;margin-top:50.15pt;height:11.55pt;width:29.3pt;mso-position-horizontal-relative:page;mso-position-vertical-relative:page;z-index:251666432;mso-width-relative:page;mso-height-relative:page;" filled="f" stroked="f" coordsize="21600,21600" o:gfxdata="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FgAAAGRycy9QSwECFAAUAAAACACHTuJAwGSm+dcAAAAJAQAADwAAAAAAAAABACAAAAA4AAAA&#10;ZHJzL2Rvd25yZXYueG1sUEsBAhQAFAAAAAgAh07iQDyNX9G5AQAAcwMAAA4AAAAAAAAAAQAgAAAA&#10;PAEAAGRycy9lMm9Eb2MueG1sUEsFBgAAAAAGAAYAWQEAAGcFAAAAAA==&#10;">
                      <v:fill on="f" focussize="0,0"/>
                      <v:stroke on="f"/>
                      <v:imagedata o:title=""/>
                      <o:lock v:ext="edit" aspectratio="f"/>
                      <v:textbox inset="0mm,0mm,0mm,0mm">
                        <w:txbxContent>
                          <w:p>
                            <w:pPr>
                              <w:pStyle w:val="38"/>
                              <w:spacing w:before="20" w:line="220" w:lineRule="auto"/>
                              <w:ind w:left="20"/>
                              <w:rPr>
                                <w:sz w:val="16"/>
                                <w:szCs w:val="16"/>
                              </w:rPr>
                            </w:pPr>
                            <w:r>
                              <w:rPr>
                                <w:spacing w:val="13"/>
                                <w:sz w:val="16"/>
                                <w:szCs w:val="16"/>
                              </w:rPr>
                              <w:t>(30分)</w:t>
                            </w:r>
                          </w:p>
                        </w:txbxContent>
                      </v:textbox>
                    </v:shape>
                  </w:pict>
                </mc:Fallback>
              </mc:AlternateContent>
            </w:r>
            <w:r>
              <w:rPr>
                <w:spacing w:val="6"/>
                <w:sz w:val="16"/>
                <w:szCs w:val="16"/>
              </w:rPr>
              <w:t>效益指标</w:t>
            </w:r>
          </w:p>
        </w:tc>
        <w:tc>
          <w:tcPr>
            <w:tcW w:w="410" w:type="pct"/>
            <w:vAlign w:val="top"/>
          </w:tcPr>
          <w:p>
            <w:pPr>
              <w:pStyle w:val="38"/>
              <w:spacing w:before="154" w:line="220" w:lineRule="auto"/>
              <w:ind w:left="40"/>
              <w:rPr>
                <w:sz w:val="16"/>
                <w:szCs w:val="16"/>
              </w:rPr>
            </w:pPr>
            <w:r>
              <w:rPr>
                <w:spacing w:val="-2"/>
                <w:sz w:val="16"/>
                <w:szCs w:val="16"/>
              </w:rPr>
              <w:t>经济效益</w:t>
            </w:r>
          </w:p>
          <w:p>
            <w:pPr>
              <w:pStyle w:val="38"/>
              <w:spacing w:before="7" w:line="220" w:lineRule="auto"/>
              <w:ind w:left="210"/>
              <w:rPr>
                <w:sz w:val="16"/>
                <w:szCs w:val="16"/>
              </w:rPr>
            </w:pPr>
            <w:r>
              <w:rPr>
                <w:spacing w:val="-3"/>
                <w:sz w:val="16"/>
                <w:szCs w:val="16"/>
              </w:rPr>
              <w:t>指标</w:t>
            </w:r>
          </w:p>
        </w:tc>
        <w:tc>
          <w:tcPr>
            <w:tcW w:w="1239" w:type="pct"/>
            <w:gridSpan w:val="2"/>
            <w:vAlign w:val="top"/>
          </w:tcPr>
          <w:p>
            <w:pPr>
              <w:pStyle w:val="38"/>
              <w:spacing w:before="254" w:line="219" w:lineRule="auto"/>
              <w:ind w:left="501"/>
              <w:rPr>
                <w:sz w:val="16"/>
                <w:szCs w:val="16"/>
              </w:rPr>
            </w:pPr>
            <w:r>
              <w:rPr>
                <w:spacing w:val="-1"/>
                <w:sz w:val="16"/>
                <w:szCs w:val="16"/>
              </w:rPr>
              <w:t>城镇新增就业人数</w:t>
            </w:r>
          </w:p>
        </w:tc>
        <w:tc>
          <w:tcPr>
            <w:tcW w:w="232" w:type="pct"/>
            <w:vAlign w:val="top"/>
          </w:tcPr>
          <w:p>
            <w:pPr>
              <w:pStyle w:val="38"/>
              <w:spacing w:before="270"/>
              <w:ind w:left="133"/>
              <w:rPr>
                <w:sz w:val="16"/>
                <w:szCs w:val="16"/>
              </w:rPr>
            </w:pPr>
            <w:r>
              <w:rPr>
                <w:spacing w:val="-5"/>
                <w:sz w:val="16"/>
                <w:szCs w:val="16"/>
              </w:rPr>
              <w:t>15</w:t>
            </w:r>
          </w:p>
        </w:tc>
        <w:tc>
          <w:tcPr>
            <w:tcW w:w="1015" w:type="pct"/>
            <w:vAlign w:val="top"/>
          </w:tcPr>
          <w:p>
            <w:pPr>
              <w:pStyle w:val="38"/>
              <w:spacing w:before="256" w:line="222" w:lineRule="auto"/>
              <w:ind w:left="675"/>
              <w:rPr>
                <w:sz w:val="16"/>
                <w:szCs w:val="16"/>
              </w:rPr>
            </w:pPr>
            <w:r>
              <w:rPr>
                <w:sz w:val="16"/>
                <w:szCs w:val="16"/>
              </w:rPr>
              <w:t>≥200人</w:t>
            </w:r>
          </w:p>
        </w:tc>
        <w:tc>
          <w:tcPr>
            <w:tcW w:w="710" w:type="pct"/>
            <w:vAlign w:val="top"/>
          </w:tcPr>
          <w:p>
            <w:pPr>
              <w:pStyle w:val="38"/>
              <w:spacing w:before="256" w:line="222" w:lineRule="auto"/>
              <w:ind w:left="466"/>
              <w:rPr>
                <w:sz w:val="16"/>
                <w:szCs w:val="16"/>
              </w:rPr>
            </w:pPr>
            <w:r>
              <w:rPr>
                <w:spacing w:val="-2"/>
                <w:sz w:val="16"/>
                <w:szCs w:val="16"/>
              </w:rPr>
              <w:t>300人</w:t>
            </w:r>
          </w:p>
        </w:tc>
        <w:tc>
          <w:tcPr>
            <w:tcW w:w="273" w:type="pct"/>
            <w:vAlign w:val="top"/>
          </w:tcPr>
          <w:p>
            <w:pPr>
              <w:pStyle w:val="38"/>
              <w:spacing w:before="270"/>
              <w:ind w:left="177"/>
              <w:rPr>
                <w:sz w:val="16"/>
                <w:szCs w:val="16"/>
              </w:rPr>
            </w:pPr>
            <w:r>
              <w:rPr>
                <w:spacing w:val="-5"/>
                <w:sz w:val="16"/>
                <w:szCs w:val="16"/>
              </w:rPr>
              <w:t>15</w:t>
            </w:r>
          </w:p>
        </w:tc>
        <w:tc>
          <w:tcPr>
            <w:tcW w:w="609" w:type="pct"/>
            <w:gridSpan w:val="2"/>
            <w:vAlign w:val="top"/>
          </w:tcPr>
          <w:p>
            <w:pPr>
              <w:rPr>
                <w:rFonts w:ascii="Arial"/>
                <w:sz w:val="18"/>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215" w:type="pct"/>
            <w:vMerge w:val="continue"/>
            <w:tcBorders>
              <w:top w:val="nil"/>
              <w:bottom w:val="nil"/>
            </w:tcBorders>
            <w:textDirection w:val="tbRlV"/>
            <w:vAlign w:val="top"/>
          </w:tcPr>
          <w:p>
            <w:pPr>
              <w:rPr>
                <w:rFonts w:ascii="Arial"/>
                <w:sz w:val="18"/>
                <w:szCs w:val="21"/>
              </w:rPr>
            </w:pPr>
          </w:p>
        </w:tc>
        <w:tc>
          <w:tcPr>
            <w:tcW w:w="293" w:type="pct"/>
            <w:vMerge w:val="continue"/>
            <w:tcBorders>
              <w:top w:val="nil"/>
            </w:tcBorders>
            <w:textDirection w:val="tbRlV"/>
            <w:vAlign w:val="top"/>
          </w:tcPr>
          <w:p>
            <w:pPr>
              <w:rPr>
                <w:rFonts w:ascii="Arial"/>
                <w:sz w:val="18"/>
                <w:szCs w:val="21"/>
              </w:rPr>
            </w:pPr>
          </w:p>
        </w:tc>
        <w:tc>
          <w:tcPr>
            <w:tcW w:w="410" w:type="pct"/>
            <w:vAlign w:val="top"/>
          </w:tcPr>
          <w:p>
            <w:pPr>
              <w:pStyle w:val="38"/>
              <w:spacing w:before="143" w:line="219" w:lineRule="auto"/>
              <w:ind w:left="40"/>
              <w:rPr>
                <w:sz w:val="16"/>
                <w:szCs w:val="16"/>
              </w:rPr>
            </w:pPr>
            <w:r>
              <w:rPr>
                <w:spacing w:val="-2"/>
                <w:sz w:val="16"/>
                <w:szCs w:val="16"/>
              </w:rPr>
              <w:t>社会效益</w:t>
            </w:r>
          </w:p>
          <w:p>
            <w:pPr>
              <w:pStyle w:val="38"/>
              <w:spacing w:before="30" w:line="220" w:lineRule="auto"/>
              <w:ind w:left="210"/>
              <w:rPr>
                <w:sz w:val="16"/>
                <w:szCs w:val="16"/>
              </w:rPr>
            </w:pPr>
            <w:r>
              <w:rPr>
                <w:spacing w:val="-3"/>
                <w:sz w:val="16"/>
                <w:szCs w:val="16"/>
              </w:rPr>
              <w:t>指标</w:t>
            </w:r>
          </w:p>
        </w:tc>
        <w:tc>
          <w:tcPr>
            <w:tcW w:w="1239" w:type="pct"/>
            <w:gridSpan w:val="2"/>
            <w:vAlign w:val="top"/>
          </w:tcPr>
          <w:p>
            <w:pPr>
              <w:pStyle w:val="38"/>
              <w:spacing w:before="255" w:line="220" w:lineRule="auto"/>
              <w:ind w:left="592"/>
              <w:rPr>
                <w:sz w:val="16"/>
                <w:szCs w:val="16"/>
              </w:rPr>
            </w:pPr>
            <w:r>
              <w:rPr>
                <w:spacing w:val="-2"/>
                <w:sz w:val="16"/>
                <w:szCs w:val="16"/>
              </w:rPr>
              <w:t>失业人员再就业</w:t>
            </w:r>
          </w:p>
        </w:tc>
        <w:tc>
          <w:tcPr>
            <w:tcW w:w="232" w:type="pct"/>
            <w:vAlign w:val="top"/>
          </w:tcPr>
          <w:p>
            <w:pPr>
              <w:pStyle w:val="38"/>
              <w:spacing w:before="271"/>
              <w:ind w:left="133"/>
              <w:rPr>
                <w:sz w:val="16"/>
                <w:szCs w:val="16"/>
              </w:rPr>
            </w:pPr>
            <w:r>
              <w:rPr>
                <w:spacing w:val="-5"/>
                <w:sz w:val="16"/>
                <w:szCs w:val="16"/>
              </w:rPr>
              <w:t>15</w:t>
            </w:r>
          </w:p>
        </w:tc>
        <w:tc>
          <w:tcPr>
            <w:tcW w:w="1015" w:type="pct"/>
            <w:vAlign w:val="top"/>
          </w:tcPr>
          <w:p>
            <w:pPr>
              <w:pStyle w:val="38"/>
              <w:spacing w:before="257" w:line="222" w:lineRule="auto"/>
              <w:ind w:left="715"/>
              <w:rPr>
                <w:sz w:val="16"/>
                <w:szCs w:val="16"/>
              </w:rPr>
            </w:pPr>
            <w:r>
              <w:rPr>
                <w:spacing w:val="1"/>
                <w:sz w:val="16"/>
                <w:szCs w:val="16"/>
              </w:rPr>
              <w:t>≥10人</w:t>
            </w:r>
          </w:p>
        </w:tc>
        <w:tc>
          <w:tcPr>
            <w:tcW w:w="710" w:type="pct"/>
            <w:vAlign w:val="top"/>
          </w:tcPr>
          <w:p>
            <w:pPr>
              <w:pStyle w:val="38"/>
              <w:spacing w:before="257" w:line="222" w:lineRule="auto"/>
              <w:ind w:left="507"/>
              <w:rPr>
                <w:sz w:val="16"/>
                <w:szCs w:val="16"/>
              </w:rPr>
            </w:pPr>
            <w:r>
              <w:rPr>
                <w:spacing w:val="2"/>
                <w:sz w:val="16"/>
                <w:szCs w:val="16"/>
              </w:rPr>
              <w:t>15人</w:t>
            </w:r>
          </w:p>
        </w:tc>
        <w:tc>
          <w:tcPr>
            <w:tcW w:w="273" w:type="pct"/>
            <w:vAlign w:val="top"/>
          </w:tcPr>
          <w:p>
            <w:pPr>
              <w:pStyle w:val="38"/>
              <w:spacing w:before="271"/>
              <w:ind w:left="177"/>
              <w:rPr>
                <w:sz w:val="16"/>
                <w:szCs w:val="16"/>
              </w:rPr>
            </w:pPr>
            <w:r>
              <w:rPr>
                <w:spacing w:val="-5"/>
                <w:sz w:val="16"/>
                <w:szCs w:val="16"/>
              </w:rPr>
              <w:t>15</w:t>
            </w:r>
          </w:p>
        </w:tc>
        <w:tc>
          <w:tcPr>
            <w:tcW w:w="609" w:type="pct"/>
            <w:gridSpan w:val="2"/>
            <w:vAlign w:val="top"/>
          </w:tcPr>
          <w:p>
            <w:pPr>
              <w:rPr>
                <w:rFonts w:ascii="Arial"/>
                <w:sz w:val="18"/>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215" w:type="pct"/>
            <w:vMerge w:val="continue"/>
            <w:tcBorders>
              <w:top w:val="nil"/>
            </w:tcBorders>
            <w:textDirection w:val="tbRlV"/>
            <w:vAlign w:val="top"/>
          </w:tcPr>
          <w:p>
            <w:pPr>
              <w:rPr>
                <w:rFonts w:ascii="Arial"/>
                <w:sz w:val="18"/>
                <w:szCs w:val="21"/>
              </w:rPr>
            </w:pPr>
          </w:p>
        </w:tc>
        <w:tc>
          <w:tcPr>
            <w:tcW w:w="293" w:type="pct"/>
            <w:vMerge w:val="restart"/>
            <w:tcBorders>
              <w:bottom w:val="nil"/>
            </w:tcBorders>
            <w:vAlign w:val="top"/>
          </w:tcPr>
          <w:p>
            <w:pPr>
              <w:spacing w:line="358" w:lineRule="auto"/>
              <w:rPr>
                <w:rFonts w:ascii="Arial"/>
                <w:sz w:val="18"/>
                <w:szCs w:val="21"/>
              </w:rPr>
            </w:pPr>
          </w:p>
          <w:p>
            <w:pPr>
              <w:pStyle w:val="38"/>
              <w:spacing w:before="56" w:line="219" w:lineRule="auto"/>
              <w:ind w:left="19"/>
              <w:rPr>
                <w:sz w:val="16"/>
                <w:szCs w:val="16"/>
              </w:rPr>
            </w:pPr>
            <w:r>
              <w:rPr>
                <w:spacing w:val="-5"/>
                <w:sz w:val="16"/>
                <w:szCs w:val="16"/>
              </w:rPr>
              <w:t>满意度</w:t>
            </w:r>
            <w:r>
              <w:rPr>
                <w:spacing w:val="32"/>
                <w:sz w:val="16"/>
                <w:szCs w:val="16"/>
              </w:rPr>
              <w:t>指标</w:t>
            </w:r>
            <w:r>
              <w:rPr>
                <w:rFonts w:hint="eastAsia"/>
                <w:spacing w:val="5"/>
                <w:sz w:val="16"/>
                <w:szCs w:val="16"/>
                <w:lang w:eastAsia="zh-CN"/>
              </w:rPr>
              <w:t>（</w:t>
            </w:r>
            <w:r>
              <w:rPr>
                <w:spacing w:val="5"/>
                <w:sz w:val="16"/>
                <w:szCs w:val="16"/>
              </w:rPr>
              <w:t>10分</w:t>
            </w:r>
            <w:r>
              <w:rPr>
                <w:rFonts w:hint="eastAsia"/>
                <w:spacing w:val="5"/>
                <w:sz w:val="16"/>
                <w:szCs w:val="16"/>
                <w:lang w:eastAsia="zh-CN"/>
              </w:rPr>
              <w:t>）</w:t>
            </w:r>
          </w:p>
        </w:tc>
        <w:tc>
          <w:tcPr>
            <w:tcW w:w="410" w:type="pct"/>
            <w:vAlign w:val="top"/>
          </w:tcPr>
          <w:p>
            <w:pPr>
              <w:pStyle w:val="38"/>
              <w:spacing w:before="55" w:line="217" w:lineRule="auto"/>
              <w:ind w:left="40"/>
              <w:rPr>
                <w:sz w:val="16"/>
                <w:szCs w:val="16"/>
              </w:rPr>
            </w:pPr>
            <w:r>
              <w:rPr>
                <w:spacing w:val="-2"/>
                <w:sz w:val="16"/>
                <w:szCs w:val="16"/>
              </w:rPr>
              <w:t>服务对象</w:t>
            </w:r>
          </w:p>
          <w:p>
            <w:pPr>
              <w:pStyle w:val="38"/>
              <w:spacing w:line="208" w:lineRule="auto"/>
              <w:ind w:left="280" w:right="64" w:hanging="240"/>
              <w:rPr>
                <w:sz w:val="16"/>
                <w:szCs w:val="16"/>
              </w:rPr>
            </w:pPr>
            <w:r>
              <w:rPr>
                <w:spacing w:val="-2"/>
                <w:sz w:val="16"/>
                <w:szCs w:val="16"/>
              </w:rPr>
              <w:t>满意度指</w:t>
            </w:r>
            <w:r>
              <w:rPr>
                <w:sz w:val="16"/>
                <w:szCs w:val="16"/>
              </w:rPr>
              <w:t>标</w:t>
            </w:r>
          </w:p>
        </w:tc>
        <w:tc>
          <w:tcPr>
            <w:tcW w:w="1239" w:type="pct"/>
            <w:gridSpan w:val="2"/>
            <w:vAlign w:val="top"/>
          </w:tcPr>
          <w:p>
            <w:pPr>
              <w:pStyle w:val="38"/>
              <w:spacing w:before="256" w:line="219" w:lineRule="auto"/>
              <w:ind w:left="592"/>
              <w:rPr>
                <w:sz w:val="16"/>
                <w:szCs w:val="16"/>
              </w:rPr>
            </w:pPr>
            <w:r>
              <w:rPr>
                <w:spacing w:val="-1"/>
                <w:sz w:val="16"/>
                <w:szCs w:val="16"/>
              </w:rPr>
              <w:t>服务对象满意度</w:t>
            </w:r>
          </w:p>
        </w:tc>
        <w:tc>
          <w:tcPr>
            <w:tcW w:w="232" w:type="pct"/>
            <w:vAlign w:val="top"/>
          </w:tcPr>
          <w:p>
            <w:pPr>
              <w:pStyle w:val="38"/>
              <w:spacing w:before="272"/>
              <w:ind w:left="173"/>
              <w:rPr>
                <w:sz w:val="16"/>
                <w:szCs w:val="16"/>
              </w:rPr>
            </w:pPr>
            <w:r>
              <w:rPr>
                <w:sz w:val="16"/>
                <w:szCs w:val="16"/>
              </w:rPr>
              <w:t>5</w:t>
            </w:r>
          </w:p>
        </w:tc>
        <w:tc>
          <w:tcPr>
            <w:tcW w:w="1015" w:type="pct"/>
            <w:vAlign w:val="top"/>
          </w:tcPr>
          <w:p>
            <w:pPr>
              <w:pStyle w:val="38"/>
              <w:spacing w:before="272" w:line="237" w:lineRule="auto"/>
              <w:ind w:left="754"/>
              <w:rPr>
                <w:rFonts w:hint="eastAsia" w:eastAsia="宋体"/>
                <w:sz w:val="16"/>
                <w:szCs w:val="16"/>
                <w:lang w:eastAsia="zh-CN"/>
              </w:rPr>
            </w:pPr>
            <w:r>
              <w:rPr>
                <w:spacing w:val="-5"/>
                <w:sz w:val="16"/>
                <w:szCs w:val="16"/>
              </w:rPr>
              <w:t>≥95</w:t>
            </w:r>
            <w:r>
              <w:rPr>
                <w:rFonts w:hint="eastAsia"/>
                <w:spacing w:val="-5"/>
                <w:sz w:val="16"/>
                <w:szCs w:val="16"/>
                <w:lang w:eastAsia="zh-CN"/>
              </w:rPr>
              <w:t>％</w:t>
            </w:r>
          </w:p>
        </w:tc>
        <w:tc>
          <w:tcPr>
            <w:tcW w:w="710" w:type="pct"/>
            <w:vAlign w:val="top"/>
          </w:tcPr>
          <w:p>
            <w:pPr>
              <w:pStyle w:val="38"/>
              <w:spacing w:before="272"/>
              <w:ind w:left="547"/>
              <w:rPr>
                <w:rFonts w:hint="eastAsia" w:eastAsia="宋体"/>
                <w:sz w:val="16"/>
                <w:szCs w:val="16"/>
                <w:lang w:eastAsia="zh-CN"/>
              </w:rPr>
            </w:pPr>
            <w:r>
              <w:rPr>
                <w:spacing w:val="-2"/>
                <w:sz w:val="16"/>
                <w:szCs w:val="16"/>
              </w:rPr>
              <w:t>92</w:t>
            </w:r>
            <w:r>
              <w:rPr>
                <w:rFonts w:hint="eastAsia"/>
                <w:spacing w:val="-2"/>
                <w:sz w:val="16"/>
                <w:szCs w:val="16"/>
                <w:lang w:eastAsia="zh-CN"/>
              </w:rPr>
              <w:t>％</w:t>
            </w:r>
          </w:p>
        </w:tc>
        <w:tc>
          <w:tcPr>
            <w:tcW w:w="273" w:type="pct"/>
            <w:vAlign w:val="top"/>
          </w:tcPr>
          <w:p>
            <w:pPr>
              <w:pStyle w:val="38"/>
              <w:spacing w:before="272" w:line="241" w:lineRule="auto"/>
              <w:ind w:left="217"/>
              <w:rPr>
                <w:sz w:val="16"/>
                <w:szCs w:val="16"/>
              </w:rPr>
            </w:pPr>
            <w:r>
              <w:rPr>
                <w:sz w:val="16"/>
                <w:szCs w:val="16"/>
              </w:rPr>
              <w:t>2</w:t>
            </w:r>
          </w:p>
        </w:tc>
        <w:tc>
          <w:tcPr>
            <w:tcW w:w="609" w:type="pct"/>
            <w:gridSpan w:val="2"/>
            <w:vAlign w:val="top"/>
          </w:tcPr>
          <w:p>
            <w:pPr>
              <w:rPr>
                <w:rFonts w:ascii="Arial"/>
                <w:sz w:val="18"/>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215" w:type="pct"/>
            <w:vAlign w:val="top"/>
          </w:tcPr>
          <w:p>
            <w:pPr>
              <w:rPr>
                <w:rFonts w:ascii="Arial"/>
                <w:sz w:val="18"/>
                <w:szCs w:val="21"/>
              </w:rPr>
            </w:pPr>
          </w:p>
        </w:tc>
        <w:tc>
          <w:tcPr>
            <w:tcW w:w="293" w:type="pct"/>
            <w:vMerge w:val="continue"/>
            <w:tcBorders>
              <w:top w:val="nil"/>
            </w:tcBorders>
            <w:vAlign w:val="top"/>
          </w:tcPr>
          <w:p>
            <w:pPr>
              <w:rPr>
                <w:rFonts w:ascii="Arial"/>
                <w:sz w:val="18"/>
                <w:szCs w:val="21"/>
              </w:rPr>
            </w:pPr>
          </w:p>
        </w:tc>
        <w:tc>
          <w:tcPr>
            <w:tcW w:w="410" w:type="pct"/>
            <w:vAlign w:val="top"/>
          </w:tcPr>
          <w:p>
            <w:pPr>
              <w:pStyle w:val="38"/>
              <w:spacing w:before="57" w:line="219" w:lineRule="auto"/>
              <w:ind w:left="40"/>
              <w:rPr>
                <w:sz w:val="16"/>
                <w:szCs w:val="16"/>
              </w:rPr>
            </w:pPr>
            <w:r>
              <w:rPr>
                <w:spacing w:val="-2"/>
                <w:sz w:val="16"/>
                <w:szCs w:val="16"/>
              </w:rPr>
              <w:t>服务对象</w:t>
            </w:r>
          </w:p>
          <w:p>
            <w:pPr>
              <w:pStyle w:val="38"/>
              <w:spacing w:before="8" w:line="219" w:lineRule="auto"/>
              <w:ind w:left="40"/>
              <w:rPr>
                <w:sz w:val="16"/>
                <w:szCs w:val="16"/>
              </w:rPr>
            </w:pPr>
            <w:r>
              <w:rPr>
                <w:spacing w:val="-2"/>
                <w:sz w:val="16"/>
                <w:szCs w:val="16"/>
              </w:rPr>
              <w:t>满意度指</w:t>
            </w:r>
          </w:p>
          <w:p>
            <w:pPr>
              <w:pStyle w:val="38"/>
              <w:spacing w:before="8" w:line="219" w:lineRule="auto"/>
              <w:ind w:left="300"/>
              <w:rPr>
                <w:sz w:val="16"/>
                <w:szCs w:val="16"/>
              </w:rPr>
            </w:pPr>
            <w:r>
              <w:rPr>
                <w:sz w:val="16"/>
                <w:szCs w:val="16"/>
              </w:rPr>
              <w:t>标</w:t>
            </w:r>
          </w:p>
        </w:tc>
        <w:tc>
          <w:tcPr>
            <w:tcW w:w="1239" w:type="pct"/>
            <w:gridSpan w:val="2"/>
            <w:vAlign w:val="top"/>
          </w:tcPr>
          <w:p>
            <w:pPr>
              <w:pStyle w:val="38"/>
              <w:spacing w:before="267" w:line="219" w:lineRule="auto"/>
              <w:ind w:left="592"/>
              <w:rPr>
                <w:sz w:val="16"/>
                <w:szCs w:val="16"/>
              </w:rPr>
            </w:pPr>
            <w:r>
              <w:rPr>
                <w:spacing w:val="1"/>
                <w:sz w:val="16"/>
                <w:szCs w:val="16"/>
              </w:rPr>
              <w:t>帮扶对象满意度</w:t>
            </w:r>
          </w:p>
        </w:tc>
        <w:tc>
          <w:tcPr>
            <w:tcW w:w="232" w:type="pct"/>
            <w:vAlign w:val="top"/>
          </w:tcPr>
          <w:p>
            <w:pPr>
              <w:pStyle w:val="38"/>
              <w:spacing w:before="283"/>
              <w:ind w:left="173"/>
              <w:rPr>
                <w:sz w:val="16"/>
                <w:szCs w:val="16"/>
              </w:rPr>
            </w:pPr>
            <w:r>
              <w:rPr>
                <w:sz w:val="16"/>
                <w:szCs w:val="16"/>
              </w:rPr>
              <w:t>5</w:t>
            </w:r>
          </w:p>
        </w:tc>
        <w:tc>
          <w:tcPr>
            <w:tcW w:w="1015" w:type="pct"/>
            <w:vAlign w:val="top"/>
          </w:tcPr>
          <w:p>
            <w:pPr>
              <w:pStyle w:val="38"/>
              <w:spacing w:before="283" w:line="237" w:lineRule="auto"/>
              <w:ind w:left="754"/>
              <w:rPr>
                <w:rFonts w:hint="eastAsia" w:eastAsia="宋体"/>
                <w:sz w:val="16"/>
                <w:szCs w:val="16"/>
                <w:lang w:eastAsia="zh-CN"/>
              </w:rPr>
            </w:pPr>
            <w:r>
              <w:rPr>
                <w:spacing w:val="-5"/>
                <w:sz w:val="16"/>
                <w:szCs w:val="16"/>
              </w:rPr>
              <w:t>≥95</w:t>
            </w:r>
            <w:r>
              <w:rPr>
                <w:rFonts w:hint="eastAsia"/>
                <w:spacing w:val="-5"/>
                <w:sz w:val="16"/>
                <w:szCs w:val="16"/>
                <w:lang w:eastAsia="zh-CN"/>
              </w:rPr>
              <w:t>％</w:t>
            </w:r>
          </w:p>
        </w:tc>
        <w:tc>
          <w:tcPr>
            <w:tcW w:w="710" w:type="pct"/>
            <w:vAlign w:val="top"/>
          </w:tcPr>
          <w:p>
            <w:pPr>
              <w:pStyle w:val="38"/>
              <w:spacing w:before="283"/>
              <w:ind w:left="547"/>
              <w:rPr>
                <w:rFonts w:hint="eastAsia" w:eastAsia="宋体"/>
                <w:sz w:val="16"/>
                <w:szCs w:val="16"/>
                <w:lang w:eastAsia="zh-CN"/>
              </w:rPr>
            </w:pPr>
            <w:r>
              <w:rPr>
                <w:spacing w:val="-2"/>
                <w:sz w:val="16"/>
                <w:szCs w:val="16"/>
              </w:rPr>
              <w:t>92</w:t>
            </w:r>
            <w:r>
              <w:rPr>
                <w:rFonts w:hint="eastAsia"/>
                <w:spacing w:val="-2"/>
                <w:sz w:val="16"/>
                <w:szCs w:val="16"/>
                <w:lang w:eastAsia="zh-CN"/>
              </w:rPr>
              <w:t>％</w:t>
            </w:r>
          </w:p>
        </w:tc>
        <w:tc>
          <w:tcPr>
            <w:tcW w:w="273" w:type="pct"/>
            <w:vAlign w:val="top"/>
          </w:tcPr>
          <w:p>
            <w:pPr>
              <w:pStyle w:val="38"/>
              <w:spacing w:before="283" w:line="241" w:lineRule="auto"/>
              <w:ind w:left="217"/>
              <w:rPr>
                <w:sz w:val="16"/>
                <w:szCs w:val="16"/>
              </w:rPr>
            </w:pPr>
            <w:r>
              <w:rPr>
                <w:sz w:val="16"/>
                <w:szCs w:val="16"/>
              </w:rPr>
              <w:t>2</w:t>
            </w:r>
          </w:p>
        </w:tc>
        <w:tc>
          <w:tcPr>
            <w:tcW w:w="609" w:type="pct"/>
            <w:gridSpan w:val="2"/>
            <w:vAlign w:val="top"/>
          </w:tcPr>
          <w:p>
            <w:pPr>
              <w:rPr>
                <w:rFonts w:ascii="Arial"/>
                <w:sz w:val="18"/>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5" w:hRule="atLeast"/>
        </w:trPr>
        <w:tc>
          <w:tcPr>
            <w:tcW w:w="2158" w:type="pct"/>
            <w:gridSpan w:val="5"/>
            <w:vAlign w:val="top"/>
          </w:tcPr>
          <w:p>
            <w:pPr>
              <w:pStyle w:val="38"/>
              <w:spacing w:before="28" w:line="181" w:lineRule="auto"/>
              <w:ind w:left="1894"/>
              <w:rPr>
                <w:sz w:val="16"/>
                <w:szCs w:val="16"/>
              </w:rPr>
            </w:pPr>
            <w:r>
              <w:rPr>
                <w:spacing w:val="-3"/>
                <w:sz w:val="16"/>
                <w:szCs w:val="16"/>
              </w:rPr>
              <w:t>总分</w:t>
            </w:r>
          </w:p>
        </w:tc>
        <w:tc>
          <w:tcPr>
            <w:tcW w:w="232" w:type="pct"/>
            <w:vAlign w:val="top"/>
          </w:tcPr>
          <w:p>
            <w:pPr>
              <w:pStyle w:val="38"/>
              <w:spacing w:before="44" w:line="163" w:lineRule="auto"/>
              <w:ind w:left="83"/>
              <w:rPr>
                <w:sz w:val="16"/>
                <w:szCs w:val="16"/>
              </w:rPr>
            </w:pPr>
            <w:r>
              <w:rPr>
                <w:spacing w:val="-5"/>
                <w:sz w:val="16"/>
                <w:szCs w:val="16"/>
              </w:rPr>
              <w:t>100</w:t>
            </w:r>
          </w:p>
        </w:tc>
        <w:tc>
          <w:tcPr>
            <w:tcW w:w="1725" w:type="pct"/>
            <w:gridSpan w:val="2"/>
            <w:vAlign w:val="top"/>
          </w:tcPr>
          <w:p>
            <w:pPr>
              <w:spacing w:line="195" w:lineRule="exact"/>
              <w:rPr>
                <w:rFonts w:ascii="Arial"/>
                <w:sz w:val="13"/>
                <w:szCs w:val="21"/>
              </w:rPr>
            </w:pPr>
          </w:p>
        </w:tc>
        <w:tc>
          <w:tcPr>
            <w:tcW w:w="273" w:type="pct"/>
            <w:vAlign w:val="top"/>
          </w:tcPr>
          <w:p>
            <w:pPr>
              <w:pStyle w:val="38"/>
              <w:spacing w:before="44" w:line="163" w:lineRule="auto"/>
              <w:ind w:left="277"/>
              <w:rPr>
                <w:sz w:val="16"/>
                <w:szCs w:val="16"/>
              </w:rPr>
            </w:pPr>
            <w:r>
              <w:rPr>
                <w:spacing w:val="-2"/>
                <w:sz w:val="16"/>
                <w:szCs w:val="16"/>
              </w:rPr>
              <w:t>87</w:t>
            </w:r>
          </w:p>
        </w:tc>
        <w:tc>
          <w:tcPr>
            <w:tcW w:w="609" w:type="pct"/>
            <w:gridSpan w:val="2"/>
            <w:vAlign w:val="top"/>
          </w:tcPr>
          <w:p>
            <w:pPr>
              <w:spacing w:line="195" w:lineRule="exact"/>
              <w:rPr>
                <w:rFonts w:ascii="Arial"/>
                <w:sz w:val="13"/>
                <w:szCs w:val="21"/>
              </w:rPr>
            </w:pPr>
          </w:p>
        </w:tc>
      </w:tr>
    </w:tbl>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widowControl/>
        <w:jc w:val="center"/>
        <w:rPr>
          <w:rFonts w:hint="eastAsia" w:ascii="Times New Roman" w:hAnsi="Times New Roman" w:eastAsia="仿宋"/>
          <w:b w:val="0"/>
          <w:color w:val="auto"/>
          <w:highlight w:val="none"/>
        </w:rPr>
      </w:pPr>
      <w:bookmarkStart w:id="51" w:name="_Toc15396618"/>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五部分附表</w:t>
      </w:r>
      <w:bookmarkEnd w:id="49"/>
      <w:bookmarkEnd w:id="51"/>
      <w:bookmarkStart w:id="52"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2"/>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0"/>
      <w:r>
        <w:rPr>
          <w:rFonts w:hint="eastAsia" w:ascii="Times New Roman" w:hAnsi="Times New Roman" w:eastAsia="仿宋_GB2312" w:cs="仿宋_GB2312"/>
          <w:color w:val="auto"/>
          <w:sz w:val="32"/>
          <w:szCs w:val="32"/>
          <w:highlight w:val="none"/>
        </w:rPr>
        <w:t>二、收入决算表</w:t>
      </w:r>
      <w:bookmarkEnd w:id="53"/>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1"/>
      <w:r>
        <w:rPr>
          <w:rFonts w:hint="eastAsia" w:ascii="Times New Roman" w:hAnsi="Times New Roman" w:eastAsia="仿宋_GB2312" w:cs="仿宋_GB2312"/>
          <w:color w:val="auto"/>
          <w:sz w:val="32"/>
          <w:szCs w:val="32"/>
          <w:highlight w:val="none"/>
        </w:rPr>
        <w:t>三、支出决算表</w:t>
      </w:r>
      <w:bookmarkEnd w:id="5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2"/>
      <w:r>
        <w:rPr>
          <w:rFonts w:hint="eastAsia" w:ascii="Times New Roman" w:hAnsi="Times New Roman" w:eastAsia="仿宋_GB2312" w:cs="仿宋_GB2312"/>
          <w:color w:val="auto"/>
          <w:sz w:val="32"/>
          <w:szCs w:val="32"/>
          <w:highlight w:val="none"/>
        </w:rPr>
        <w:t>四、财政拨款收入支出决算总表</w:t>
      </w:r>
      <w:bookmarkEnd w:id="55"/>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3"/>
      <w:r>
        <w:rPr>
          <w:rFonts w:hint="eastAsia" w:ascii="Times New Roman" w:hAnsi="Times New Roman" w:eastAsia="仿宋_GB2312" w:cs="仿宋_GB2312"/>
          <w:color w:val="auto"/>
          <w:sz w:val="32"/>
          <w:szCs w:val="32"/>
          <w:highlight w:val="none"/>
        </w:rPr>
        <w:t>五、财政拨款支出决算明细表</w:t>
      </w:r>
      <w:bookmarkEnd w:id="56"/>
      <w:bookmarkStart w:id="57"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7"/>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5"/>
      <w:r>
        <w:rPr>
          <w:rFonts w:hint="eastAsia" w:ascii="Times New Roman" w:hAnsi="Times New Roman" w:eastAsia="仿宋_GB2312" w:cs="仿宋_GB2312"/>
          <w:color w:val="auto"/>
          <w:sz w:val="32"/>
          <w:szCs w:val="32"/>
          <w:highlight w:val="none"/>
        </w:rPr>
        <w:t>七、一般公共预算财政拨款支出决算明细表</w:t>
      </w:r>
      <w:bookmarkEnd w:id="58"/>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6"/>
      <w:r>
        <w:rPr>
          <w:rFonts w:hint="eastAsia" w:ascii="Times New Roman" w:hAnsi="Times New Roman" w:eastAsia="仿宋_GB2312" w:cs="仿宋_GB2312"/>
          <w:color w:val="auto"/>
          <w:sz w:val="32"/>
          <w:szCs w:val="32"/>
          <w:highlight w:val="none"/>
        </w:rPr>
        <w:t>八、一般公共预算财政拨款基本支出决算表</w:t>
      </w:r>
      <w:bookmarkEnd w:id="5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7"/>
      <w:r>
        <w:rPr>
          <w:rFonts w:hint="eastAsia" w:ascii="Times New Roman" w:hAnsi="Times New Roman" w:eastAsia="仿宋_GB2312" w:cs="仿宋_GB2312"/>
          <w:color w:val="auto"/>
          <w:sz w:val="32"/>
          <w:szCs w:val="32"/>
          <w:highlight w:val="none"/>
        </w:rPr>
        <w:t>九、一般公共预算财政拨款项目支出决算表</w:t>
      </w:r>
      <w:bookmarkEnd w:id="6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8"/>
      <w:r>
        <w:rPr>
          <w:rFonts w:hint="eastAsia" w:ascii="Times New Roman" w:hAnsi="Times New Roman" w:eastAsia="仿宋_GB2312" w:cs="仿宋_GB2312"/>
          <w:color w:val="auto"/>
          <w:sz w:val="32"/>
          <w:szCs w:val="32"/>
          <w:highlight w:val="none"/>
        </w:rPr>
        <w:t>十、</w:t>
      </w:r>
      <w:bookmarkEnd w:id="61"/>
      <w:r>
        <w:rPr>
          <w:rFonts w:hint="eastAsia" w:ascii="Times New Roman" w:hAnsi="Times New Roman" w:eastAsia="仿宋_GB2312" w:cs="仿宋_GB2312"/>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9"/>
      <w:r>
        <w:rPr>
          <w:rFonts w:hint="eastAsia" w:ascii="Times New Roman" w:hAnsi="Times New Roman" w:eastAsia="仿宋_GB2312" w:cs="仿宋_GB2312"/>
          <w:color w:val="auto"/>
          <w:sz w:val="32"/>
          <w:szCs w:val="32"/>
          <w:highlight w:val="none"/>
        </w:rPr>
        <w:t>十一、</w:t>
      </w:r>
      <w:bookmarkEnd w:id="62"/>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30"/>
      <w:r>
        <w:rPr>
          <w:rFonts w:hint="eastAsia" w:ascii="Times New Roman" w:hAnsi="Times New Roman" w:eastAsia="仿宋_GB2312" w:cs="仿宋_GB2312"/>
          <w:color w:val="auto"/>
          <w:sz w:val="32"/>
          <w:szCs w:val="32"/>
          <w:highlight w:val="none"/>
        </w:rPr>
        <w:t>十二、</w:t>
      </w:r>
      <w:bookmarkEnd w:id="63"/>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4" w:name="_Toc15396631"/>
      <w:r>
        <w:rPr>
          <w:rFonts w:hint="eastAsia" w:ascii="Times New Roman" w:hAnsi="Times New Roman" w:eastAsia="仿宋_GB2312" w:cs="仿宋_GB2312"/>
          <w:color w:val="auto"/>
          <w:sz w:val="32"/>
          <w:szCs w:val="32"/>
          <w:highlight w:val="none"/>
        </w:rPr>
        <w:t>十三、</w:t>
      </w:r>
      <w:bookmarkEnd w:id="64"/>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8"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simhei">
    <w:altName w:val="仿宋"/>
    <w:panose1 w:val="00000000000000000000"/>
    <w:charset w:val="00"/>
    <w:family w:val="auto"/>
    <w:pitch w:val="default"/>
    <w:sig w:usb0="00000000" w:usb1="00000000" w:usb2="00000000" w:usb3="00000000" w:csb0="00000000" w:csb1="00000000"/>
  </w:font>
  <w:font w:name="方正小标宋_GBK">
    <w:panose1 w:val="03000502000000000000"/>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1" w:lineRule="auto"/>
      <w:ind w:left="7769"/>
      <w:rPr>
        <w:rFonts w:ascii="宋体" w:hAnsi="宋体" w:eastAsia="宋体" w:cs="宋体"/>
        <w:sz w:val="22"/>
        <w:szCs w:val="22"/>
      </w:rPr>
    </w:pPr>
    <w:r>
      <w:rPr>
        <w:rFonts w:ascii="宋体" w:hAnsi="宋体" w:eastAsia="宋体" w:cs="宋体"/>
        <w:spacing w:val="-3"/>
        <w:sz w:val="22"/>
        <w:szCs w:val="22"/>
      </w:rPr>
      <w:t>—7—</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1" w:lineRule="auto"/>
      <w:jc w:val="right"/>
      <w:rPr>
        <w:rFonts w:ascii="宋体" w:hAnsi="宋体" w:eastAsia="宋体" w:cs="宋体"/>
        <w:sz w:val="22"/>
        <w:szCs w:val="22"/>
      </w:rPr>
    </w:pPr>
    <w:r>
      <w:rPr>
        <w:rFonts w:ascii="宋体" w:hAnsi="宋体" w:eastAsia="宋体" w:cs="宋体"/>
        <w:spacing w:val="-3"/>
        <w:sz w:val="22"/>
        <w:szCs w:val="22"/>
      </w:rPr>
      <w:t>—5—</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DD1DDD"/>
    <w:multiLevelType w:val="singleLevel"/>
    <w:tmpl w:val="BFDD1DDD"/>
    <w:lvl w:ilvl="0" w:tentative="0">
      <w:start w:val="1"/>
      <w:numFmt w:val="chineseCounting"/>
      <w:suff w:val="nothing"/>
      <w:lvlText w:val="%1、"/>
      <w:lvlJc w:val="left"/>
      <w:rPr>
        <w:rFonts w:hint="eastAsia"/>
      </w:rPr>
    </w:lvl>
  </w:abstractNum>
  <w:abstractNum w:abstractNumId="1">
    <w:nsid w:val="D01F7ADA"/>
    <w:multiLevelType w:val="singleLevel"/>
    <w:tmpl w:val="D01F7ADA"/>
    <w:lvl w:ilvl="0" w:tentative="0">
      <w:start w:val="1"/>
      <w:numFmt w:val="decimal"/>
      <w:suff w:val="space"/>
      <w:lvlText w:val="%1."/>
      <w:lvlJc w:val="left"/>
      <w:pPr>
        <w:ind w:left="0" w:firstLine="480"/>
      </w:pPr>
      <w:rPr>
        <w:rFonts w:hint="default"/>
      </w:rPr>
    </w:lvl>
  </w:abstractNum>
  <w:abstractNum w:abstractNumId="2">
    <w:nsid w:val="F3A7E003"/>
    <w:multiLevelType w:val="singleLevel"/>
    <w:tmpl w:val="F3A7E003"/>
    <w:lvl w:ilvl="0" w:tentative="0">
      <w:start w:val="1"/>
      <w:numFmt w:val="chineseCounting"/>
      <w:suff w:val="nothing"/>
      <w:lvlText w:val="（%1）"/>
      <w:lvlJc w:val="left"/>
      <w:pPr>
        <w:ind w:left="0" w:firstLine="48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2070D49"/>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DF97B88"/>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027201"/>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7542AC"/>
    <w:rsid w:val="5CD71FC4"/>
    <w:rsid w:val="5D1F11B5"/>
    <w:rsid w:val="5DAE1B18"/>
    <w:rsid w:val="5DE7D9E5"/>
    <w:rsid w:val="5EAFBE75"/>
    <w:rsid w:val="5ECEC941"/>
    <w:rsid w:val="5F493CB7"/>
    <w:rsid w:val="5FBF9FF3"/>
    <w:rsid w:val="5FCD4E2C"/>
    <w:rsid w:val="5FD15F49"/>
    <w:rsid w:val="5FE54630"/>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7ED7647"/>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CCC5D0"/>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DECABD"/>
    <w:rsid w:val="DFFFA9E8"/>
    <w:rsid w:val="E5F4E9DC"/>
    <w:rsid w:val="E70FE695"/>
    <w:rsid w:val="ECFED1BC"/>
    <w:rsid w:val="ED1D69BB"/>
    <w:rsid w:val="ED7FD312"/>
    <w:rsid w:val="EF53993F"/>
    <w:rsid w:val="EF6FD633"/>
    <w:rsid w:val="EFBFB2F4"/>
    <w:rsid w:val="EFBFFA21"/>
    <w:rsid w:val="F2BEBCB8"/>
    <w:rsid w:val="F36FB518"/>
    <w:rsid w:val="F3DE1A04"/>
    <w:rsid w:val="F3F722E5"/>
    <w:rsid w:val="F77AF158"/>
    <w:rsid w:val="FA5F1E70"/>
    <w:rsid w:val="FA5FDB97"/>
    <w:rsid w:val="FB7F486A"/>
    <w:rsid w:val="FBFF5B2E"/>
    <w:rsid w:val="FCB3CFE0"/>
    <w:rsid w:val="FD7FFE2B"/>
    <w:rsid w:val="FDDFCBA5"/>
    <w:rsid w:val="FDEE196B"/>
    <w:rsid w:val="FDFE6575"/>
    <w:rsid w:val="FEDFDDC2"/>
    <w:rsid w:val="FEED32F6"/>
    <w:rsid w:val="FEF781DD"/>
    <w:rsid w:val="FF3F7E3F"/>
    <w:rsid w:val="FF739F82"/>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7"/>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3"/>
    <w:semiHidden/>
    <w:unhideWhenUsed/>
    <w:qFormat/>
    <w:uiPriority w:val="99"/>
    <w:rPr>
      <w:sz w:val="18"/>
      <w:szCs w:val="18"/>
    </w:rPr>
  </w:style>
  <w:style w:type="paragraph" w:styleId="10">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Subtitle"/>
    <w:qFormat/>
    <w:uiPriority w:val="0"/>
    <w:pPr>
      <w:widowControl w:val="0"/>
      <w:adjustRightInd w:val="0"/>
      <w:spacing w:before="100" w:after="100" w:line="240" w:lineRule="auto"/>
      <w:jc w:val="center"/>
      <w:outlineLvl w:val="9"/>
    </w:pPr>
    <w:rPr>
      <w:rFonts w:ascii="Times New Roman" w:hAnsi="Times New Roman" w:eastAsia="黑体" w:cs="Times New Roman"/>
      <w:kern w:val="28"/>
      <w:sz w:val="32"/>
      <w:szCs w:val="24"/>
      <w:lang w:bidi="ar-SA"/>
    </w:rPr>
  </w:style>
  <w:style w:type="paragraph" w:styleId="14">
    <w:name w:val="footnote text"/>
    <w:basedOn w:val="1"/>
    <w:next w:val="7"/>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Title"/>
    <w:qFormat/>
    <w:uiPriority w:val="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1"/>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0"/>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5"/>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2"/>
    <w:qFormat/>
    <w:uiPriority w:val="9"/>
    <w:rPr>
      <w:rFonts w:ascii="Times New Roman" w:hAnsi="Times New Roman"/>
      <w:b/>
      <w:bCs/>
      <w:kern w:val="44"/>
      <w:sz w:val="44"/>
      <w:szCs w:val="44"/>
    </w:rPr>
  </w:style>
  <w:style w:type="character" w:customStyle="1" w:styleId="31">
    <w:name w:val="标题 2 Char"/>
    <w:basedOn w:val="18"/>
    <w:link w:val="3"/>
    <w:qFormat/>
    <w:uiPriority w:val="9"/>
    <w:rPr>
      <w:rFonts w:asciiTheme="majorHAnsi" w:hAnsiTheme="majorHAnsi" w:eastAsiaTheme="majorEastAsia" w:cstheme="majorBidi"/>
      <w:b/>
      <w:bCs/>
      <w:kern w:val="2"/>
      <w:sz w:val="32"/>
      <w:szCs w:val="32"/>
    </w:rPr>
  </w:style>
  <w:style w:type="paragraph" w:customStyle="1" w:styleId="32">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9"/>
    <w:semiHidden/>
    <w:qFormat/>
    <w:uiPriority w:val="99"/>
    <w:rPr>
      <w:rFonts w:ascii="Times New Roman" w:hAnsi="Times New Roman"/>
      <w:kern w:val="2"/>
      <w:sz w:val="18"/>
      <w:szCs w:val="18"/>
    </w:rPr>
  </w:style>
  <w:style w:type="character" w:customStyle="1" w:styleId="34">
    <w:name w:val="标题 3 Char"/>
    <w:basedOn w:val="18"/>
    <w:link w:val="4"/>
    <w:qFormat/>
    <w:uiPriority w:val="9"/>
    <w:rPr>
      <w:rFonts w:ascii="Times New Roman" w:hAnsi="Times New Roman"/>
      <w:b/>
      <w:bCs/>
      <w:kern w:val="2"/>
      <w:sz w:val="32"/>
      <w:szCs w:val="32"/>
    </w:rPr>
  </w:style>
  <w:style w:type="paragraph" w:customStyle="1" w:styleId="35">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7">
    <w:name w:val="NormalCharacter"/>
    <w:semiHidden/>
    <w:qFormat/>
    <w:uiPriority w:val="0"/>
    <w:rPr>
      <w:kern w:val="2"/>
      <w:sz w:val="21"/>
      <w:szCs w:val="24"/>
      <w:lang w:val="en-US" w:eastAsia="zh-CN" w:bidi="ar-SA"/>
    </w:rPr>
  </w:style>
  <w:style w:type="paragraph" w:customStyle="1" w:styleId="38">
    <w:name w:val="Table Text"/>
    <w:basedOn w:val="1"/>
    <w:semiHidden/>
    <w:qFormat/>
    <w:uiPriority w:val="0"/>
    <w:rPr>
      <w:rFonts w:ascii="宋体" w:hAnsi="宋体" w:eastAsia="宋体" w:cs="宋体"/>
      <w:sz w:val="19"/>
      <w:szCs w:val="19"/>
      <w:lang w:val="en-US" w:eastAsia="en-US" w:bidi="ar-SA"/>
    </w:rPr>
  </w:style>
  <w:style w:type="table" w:customStyle="1" w:styleId="39">
    <w:name w:val="Table Normal"/>
    <w:semiHidden/>
    <w:unhideWhenUsed/>
    <w:qFormat/>
    <w:uiPriority w:val="0"/>
    <w:tblPr>
      <w:tblCellMar>
        <w:top w:w="0" w:type="dxa"/>
        <w:left w:w="0" w:type="dxa"/>
        <w:bottom w:w="0" w:type="dxa"/>
        <w:right w:w="0" w:type="dxa"/>
      </w:tblCellMar>
    </w:tblPr>
  </w:style>
  <w:style w:type="paragraph" w:customStyle="1" w:styleId="40">
    <w:name w:val="附录标题"/>
    <w:next w:val="1"/>
    <w:qFormat/>
    <w:uiPriority w:val="0"/>
    <w:pPr>
      <w:overflowPunct w:val="0"/>
      <w:topLinePunct/>
      <w:spacing w:line="560" w:lineRule="exact"/>
      <w:jc w:val="left"/>
      <w:outlineLvl w:val="0"/>
    </w:pPr>
    <w:rPr>
      <w:rFonts w:ascii="黑体" w:hAnsi="黑体" w:eastAsia="黑体" w:cs="黑体"/>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image" Target="media/image2.emf"/><Relationship Id="rId13" Type="http://schemas.openxmlformats.org/officeDocument/2006/relationships/oleObject" Target="embeddings/oleObject2.bin"/><Relationship Id="rId12" Type="http://schemas.openxmlformats.org/officeDocument/2006/relationships/chart" Target="charts/chart1.xml"/><Relationship Id="rId11" Type="http://schemas.openxmlformats.org/officeDocument/2006/relationships/image" Target="media/image1.emf"/><Relationship Id="rId10" Type="http://schemas.openxmlformats.org/officeDocument/2006/relationships/oleObject" Target="embeddings/oleObject1.bin"/><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21333;&#20301;&#25991;&#20214;\2023&#24180;&#20915;&#31639;&#20998;&#26512;&#25253;&#21578;\&#28287;&#22320;\2023&#22235;&#24029;&#21335;&#33707;&#19988;&#39640;&#21407;&#28287;&#22320;&#33258;&#28982;&#20445;&#25252;&#21306;&#31649;&#29702;&#22788;&#20915;&#31639;&#32479;&#35745;&#34920;.xls"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1" Type="http://schemas.openxmlformats.org/officeDocument/2006/relationships/oleObject" Target="&#22270;&#34920;%20&#22312;%20&#23601;&#19994;&#23616;&#26412;&#32423;2024&#24180;&#24230;&#37096;&#38376;&#20915;&#31639;&#20998;&#26512;&#25253;&#21578;.doc"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29257641921397"/>
          <c:y val="0.0476758045292014"/>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rgbClr val="404040">
                  <a:lumMod val="75000"/>
                  <a:lumOff val="25000"/>
                </a:srgbClr>
              </a:solidFill>
              <a:latin typeface="+mn-lt"/>
              <a:ea typeface="+mn-ea"/>
              <a:cs typeface="+mn-cs"/>
            </a:defRPr>
          </a:pPr>
        </a:p>
      </c:txPr>
    </c:title>
    <c:autoTitleDeleted val="0"/>
    <c:plotArea>
      <c:layout/>
      <c:pieChart>
        <c:varyColors val="1"/>
        <c:ser>
          <c:idx val="0"/>
          <c:order val="0"/>
          <c:tx>
            <c:strRef>
              <c:f>'[2023四川南莫且高原湿地自然保护区管理处决算统计表.xls]CS02 主要指标变动情况表'!$J$87</c:f>
              <c:strCache>
                <c:ptCount val="1"/>
                <c:pt idx="0">
                  <c:v>本年收入结构图</c:v>
                </c:pt>
              </c:strCache>
            </c:strRef>
          </c:tx>
          <c:spPr/>
          <c:explosion val="0"/>
          <c:dPt>
            <c:idx val="0"/>
            <c:bubble3D val="0"/>
            <c:spPr>
              <a:solidFill>
                <a:srgbClr val="4F81BD"/>
              </a:solidFill>
              <a:ln>
                <a:solidFill>
                  <a:srgbClr val="FFFFFF"/>
                </a:solidFill>
              </a:ln>
              <a:effectLst/>
            </c:spPr>
          </c:dPt>
          <c:dLbls>
            <c:delete val="1"/>
          </c:dLbls>
          <c:cat>
            <c:strRef>
              <c:f>'[2023四川南莫且高原湿地自然保护区管理处决算统计表.xls]CS02 主要指标变动情况表'!$K$86</c:f>
              <c:strCache>
                <c:ptCount val="1"/>
                <c:pt idx="0" c:formatCode="@">
                  <c:v>一般公共预算财政拨款收入</c:v>
                </c:pt>
              </c:strCache>
            </c:strRef>
          </c:cat>
          <c:val>
            <c:numRef>
              <c:f>'[2023四川南莫且高原湿地自然保护区管理处决算统计表.xls]CS02 主要指标变动情况表'!$K$87</c:f>
              <c:numCache>
                <c:formatCode>General</c:formatCode>
                <c:ptCount val="1"/>
                <c:pt idx="0">
                  <c:v>32.53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chart>
  <c:spPr>
    <a:solidFill>
      <a:srgbClr val="FFFFFF"/>
    </a:solidFill>
    <a:ln w="9525" cap="flat" cmpd="sng" algn="ctr">
      <a:solidFill>
        <a:srgbClr val="D9D9D9">
          <a:lumMod val="15000"/>
          <a:lumOff val="85000"/>
        </a:srgb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财政拨款收入支出决算</a:t>
            </a:r>
          </a:p>
        </c:rich>
      </c:tx>
      <c:layout/>
      <c:overlay val="0"/>
      <c:spPr>
        <a:noFill/>
        <a:ln>
          <a:noFill/>
        </a:ln>
        <a:effectLst/>
      </c:spPr>
    </c:title>
    <c:autoTitleDeleted val="0"/>
    <c:plotArea>
      <c:layout>
        <c:manualLayout>
          <c:layoutTarget val="inner"/>
          <c:xMode val="edge"/>
          <c:yMode val="edge"/>
          <c:x val="0.0689296931625997"/>
          <c:y val="0.23523161920952"/>
          <c:w val="0.927446243053878"/>
          <c:h val="0.639481512962176"/>
        </c:manualLayout>
      </c:layout>
      <c:barChart>
        <c:barDir val="col"/>
        <c:grouping val="clustered"/>
        <c:varyColors val="0"/>
        <c:ser>
          <c:idx val="0"/>
          <c:order val="0"/>
          <c:tx>
            <c:strRef>
              <c:f>Sheet1!$B$1</c:f>
              <c:strCache>
                <c:ptCount val="1"/>
                <c:pt idx="0">
                  <c:v>财政拨款收入</c:v>
                </c:pt>
              </c:strCache>
            </c:strRef>
          </c:tx>
          <c:spPr>
            <a:solidFill>
              <a:schemeClr val="accent1"/>
            </a:solidFill>
            <a:ln>
              <a:noFill/>
            </a:ln>
            <a:effectLst/>
          </c:spPr>
          <c:invertIfNegative val="0"/>
          <c:dLbls>
            <c:delete val="1"/>
          </c:dLbls>
          <c:cat>
            <c:numRef>
              <c:extLst>
                <c:ext xmlns:c15="http://schemas.microsoft.com/office/drawing/2012/chart" uri="{02D57815-91ED-43cb-92C2-25804820EDAC}">
                  <c15:fullRef>
                    <c15:sqref>Sheet1!$A$2:$A$5</c15:sqref>
                  </c15:fullRef>
                </c:ext>
              </c:extLst>
              <c:f>Sheet1!$A$2:$A$3</c:f>
              <c:numCache>
                <c:formatCode>General</c:formatCode>
                <c:ptCount val="2"/>
                <c:pt idx="0">
                  <c:v>2024</c:v>
                </c:pt>
                <c:pt idx="1">
                  <c:v>2025</c:v>
                </c:pt>
              </c:numCache>
            </c:numRef>
          </c:cat>
          <c:val>
            <c:numRef>
              <c:extLst>
                <c:ext xmlns:c15="http://schemas.microsoft.com/office/drawing/2012/chart" uri="{02D57815-91ED-43cb-92C2-25804820EDAC}">
                  <c15:fullRef>
                    <c15:sqref>Sheet1!$B$2:$B$5</c15:sqref>
                  </c15:fullRef>
                </c:ext>
              </c:extLst>
              <c:f>Sheet1!$B$2:$B$3</c:f>
              <c:numCache>
                <c:formatCode>General</c:formatCode>
                <c:ptCount val="2"/>
                <c:pt idx="0">
                  <c:v>825.12</c:v>
                </c:pt>
                <c:pt idx="1">
                  <c:v>961.35</c:v>
                </c:pt>
              </c:numCache>
            </c:numRef>
          </c:val>
        </c:ser>
        <c:ser>
          <c:idx val="1"/>
          <c:order val="1"/>
          <c:tx>
            <c:strRef>
              <c:f>Sheet1!$C$1</c:f>
              <c:strCache>
                <c:ptCount val="1"/>
                <c:pt idx="0">
                  <c:v>财政拨款支出</c:v>
                </c:pt>
              </c:strCache>
            </c:strRef>
          </c:tx>
          <c:spPr>
            <a:solidFill>
              <a:schemeClr val="accent2"/>
            </a:solidFill>
            <a:ln>
              <a:noFill/>
            </a:ln>
            <a:effectLst/>
          </c:spPr>
          <c:invertIfNegative val="0"/>
          <c:dLbls>
            <c:delete val="1"/>
          </c:dLbls>
          <c:cat>
            <c:numRef>
              <c:extLst>
                <c:ext xmlns:c15="http://schemas.microsoft.com/office/drawing/2012/chart" uri="{02D57815-91ED-43cb-92C2-25804820EDAC}">
                  <c15:fullRef>
                    <c15:sqref>Sheet1!$A$2:$A$5</c15:sqref>
                  </c15:fullRef>
                </c:ext>
              </c:extLst>
              <c:f>Sheet1!$A$2:$A$3</c:f>
              <c:numCache>
                <c:formatCode>General</c:formatCode>
                <c:ptCount val="2"/>
                <c:pt idx="0">
                  <c:v>2024</c:v>
                </c:pt>
                <c:pt idx="1">
                  <c:v>2025</c:v>
                </c:pt>
              </c:numCache>
            </c:numRef>
          </c:cat>
          <c:val>
            <c:numRef>
              <c:extLst>
                <c:ext xmlns:c15="http://schemas.microsoft.com/office/drawing/2012/chart" uri="{02D57815-91ED-43cb-92C2-25804820EDAC}">
                  <c15:fullRef>
                    <c15:sqref>Sheet1!$C$2:$C$5</c15:sqref>
                  </c15:fullRef>
                </c:ext>
              </c:extLst>
              <c:f>Sheet1!$C$2:$C$3</c:f>
              <c:numCache>
                <c:formatCode>General</c:formatCode>
                <c:ptCount val="2"/>
                <c:pt idx="0">
                  <c:v>825.12</c:v>
                </c:pt>
                <c:pt idx="1">
                  <c:v>961.35</c:v>
                </c:pt>
              </c:numCache>
            </c:numRef>
          </c:val>
        </c:ser>
        <c:dLbls>
          <c:showLegendKey val="0"/>
          <c:showVal val="0"/>
          <c:showCatName val="0"/>
          <c:showSerName val="0"/>
          <c:showPercent val="0"/>
          <c:showBubbleSize val="0"/>
        </c:dLbls>
        <c:gapWidth val="246"/>
        <c:overlap val="-28"/>
        <c:axId val="73892336"/>
        <c:axId val="304711416"/>
        <c:extLst>
          <c:ext xmlns:c15="http://schemas.microsoft.com/office/drawing/2012/chart" uri="{02D57815-91ED-43cb-92C2-25804820EDAC}">
            <c15:filteredBarSeries>
              <c15:ser>
                <c:idx val="2"/>
                <c:order val="2"/>
                <c:tx>
                  <c:strRef>
                    <c:extLst>
                      <c:ext uri="{02D57815-91ED-43cb-92C2-25804820EDAC}">
                        <c15:formulaRef>
                          <c15:sqref>Sheet1!$D$1</c15:sqref>
                        </c15:formulaRef>
                      </c:ext>
                    </c:extLst>
                    <c:strCache>
                      <c:ptCount val="1"/>
                      <c:pt idx="0">
                        <c:v>系列 3</c:v>
                      </c:pt>
                    </c:strCache>
                  </c:strRef>
                </c:tx>
                <c:spPr>
                  <a:solidFill>
                    <a:schemeClr val="accent3"/>
                  </a:solidFill>
                  <a:ln>
                    <a:noFill/>
                  </a:ln>
                  <a:effectLst/>
                </c:spPr>
                <c:invertIfNegative val="0"/>
                <c:dLbls>
                  <c:delete val="1"/>
                </c:dLbls>
                <c:cat>
                  <c:numRef>
                    <c:extLst>
                      <c:ext uri="{02D57815-91ED-43cb-92C2-25804820EDAC}">
                        <c15:fullRef>
                          <c15:sqref>Sheet1!$A$2:$A$5</c15:sqref>
                        </c15:fullRef>
                        <c15:formulaRef>
                          <c15:sqref>Sheet1!$A$2:$A$3</c15:sqref>
                        </c15:formulaRef>
                      </c:ext>
                    </c:extLst>
                    <c:numCache>
                      <c:formatCode>General</c:formatCode>
                      <c:ptCount val="2"/>
                      <c:pt idx="0">
                        <c:v>2024</c:v>
                      </c:pt>
                      <c:pt idx="1">
                        <c:v>2025</c:v>
                      </c:pt>
                    </c:numCache>
                  </c:numRef>
                </c:cat>
                <c:val>
                  <c:numRef>
                    <c:extLst>
                      <c:ext uri="{02D57815-91ED-43cb-92C2-25804820EDAC}">
                        <c15:fullRef>
                          <c15:sqref>Sheet1!$D$2:$D$5</c15:sqref>
                        </c15:fullRef>
                        <c15:formulaRef>
                          <c15:sqref>Sheet1!$D$2:$D$3</c15:sqref>
                        </c15:formulaRef>
                      </c:ext>
                    </c:extLst>
                    <c:numCache>
                      <c:formatCode>General</c:formatCode>
                      <c:ptCount val="2"/>
                      <c:pt idx="0">
                        <c:v>2</c:v>
                      </c:pt>
                      <c:pt idx="1">
                        <c:v>2</c:v>
                      </c:pt>
                    </c:numCache>
                  </c:numRef>
                </c:val>
              </c15:ser>
            </c15:filteredBarSeries>
          </c:ext>
        </c:extLst>
      </c:barChart>
      <c:catAx>
        <c:axId val="7389233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4711416"/>
        <c:crosses val="autoZero"/>
        <c:auto val="1"/>
        <c:lblAlgn val="ctr"/>
        <c:lblOffset val="100"/>
        <c:noMultiLvlLbl val="0"/>
      </c:catAx>
      <c:valAx>
        <c:axId val="30471141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8923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一般公共预算财政拨款支出</c:v>
                </c:pt>
              </c:strCache>
            </c:strRef>
          </c:tx>
          <c:spPr>
            <a:solidFill>
              <a:schemeClr val="accent1"/>
            </a:solidFill>
            <a:ln>
              <a:noFill/>
            </a:ln>
            <a:effectLst/>
          </c:spPr>
          <c:invertIfNegative val="0"/>
          <c:dLbls>
            <c:delete val="1"/>
          </c:dLbls>
          <c:cat>
            <c:numRef>
              <c:extLst>
                <c:ext xmlns:c15="http://schemas.microsoft.com/office/drawing/2012/chart" uri="{02D57815-91ED-43cb-92C2-25804820EDAC}">
                  <c15:fullRef>
                    <c15:sqref>Sheet1!$A$2:$A$5</c15:sqref>
                  </c15:fullRef>
                </c:ext>
              </c:extLst>
              <c:f>Sheet1!$A$2:$A$3</c:f>
              <c:numCache>
                <c:formatCode>General</c:formatCode>
                <c:ptCount val="2"/>
                <c:pt idx="0">
                  <c:v>2024</c:v>
                </c:pt>
                <c:pt idx="1">
                  <c:v>2025</c:v>
                </c:pt>
              </c:numCache>
            </c:numRef>
          </c:cat>
          <c:val>
            <c:numRef>
              <c:extLst>
                <c:ext xmlns:c15="http://schemas.microsoft.com/office/drawing/2012/chart" uri="{02D57815-91ED-43cb-92C2-25804820EDAC}">
                  <c15:fullRef>
                    <c15:sqref>Sheet1!$B$2:$B$5</c15:sqref>
                  </c15:fullRef>
                </c:ext>
              </c:extLst>
              <c:f>Sheet1!$B$2:$B$3</c:f>
              <c:numCache>
                <c:formatCode>General</c:formatCode>
                <c:ptCount val="2"/>
                <c:pt idx="0">
                  <c:v>825.12</c:v>
                </c:pt>
                <c:pt idx="1">
                  <c:v>961.35</c:v>
                </c:pt>
              </c:numCache>
            </c:numRef>
          </c:val>
        </c:ser>
        <c:dLbls>
          <c:showLegendKey val="0"/>
          <c:showVal val="0"/>
          <c:showCatName val="0"/>
          <c:showSerName val="0"/>
          <c:showPercent val="0"/>
          <c:showBubbleSize val="0"/>
        </c:dLbls>
        <c:gapWidth val="246"/>
        <c:overlap val="-28"/>
        <c:axId val="242164019"/>
        <c:axId val="186100452"/>
        <c:extLst>
          <c:ext xmlns:c15="http://schemas.microsoft.com/office/drawing/2012/chart" uri="{02D57815-91ED-43cb-92C2-25804820EDAC}">
            <c15:filteredBarSeries>
              <c15:ser>
                <c:idx val="1"/>
                <c:order val="1"/>
                <c:tx>
                  <c:strRef>
                    <c:extLst>
                      <c:ext uri="{02D57815-91ED-43cb-92C2-25804820EDAC}">
                        <c15:formulaRef>
                          <c15:sqref>Sheet1!$C$1</c15:sqref>
                        </c15:formulaRef>
                      </c:ext>
                    </c:extLst>
                    <c:strCache>
                      <c:ptCount val="1"/>
                      <c:pt idx="0">
                        <c:v>系列 2</c:v>
                      </c:pt>
                    </c:strCache>
                  </c:strRef>
                </c:tx>
                <c:spPr>
                  <a:solidFill>
                    <a:schemeClr val="accent2"/>
                  </a:solidFill>
                  <a:ln>
                    <a:noFill/>
                  </a:ln>
                  <a:effectLst/>
                </c:spPr>
                <c:invertIfNegative val="0"/>
                <c:dLbls>
                  <c:delete val="1"/>
                </c:dLbls>
                <c:cat>
                  <c:numRef>
                    <c:extLst>
                      <c:ext uri="{02D57815-91ED-43cb-92C2-25804820EDAC}">
                        <c15:fullRef>
                          <c15:sqref>Sheet1!$A$2:$A$5</c15:sqref>
                        </c15:fullRef>
                        <c15:formulaRef>
                          <c15:sqref>Sheet1!$A$2:$A$3</c15:sqref>
                        </c15:formulaRef>
                      </c:ext>
                    </c:extLst>
                    <c:numCache>
                      <c:formatCode>General</c:formatCode>
                      <c:ptCount val="2"/>
                      <c:pt idx="0">
                        <c:v>2024</c:v>
                      </c:pt>
                      <c:pt idx="1">
                        <c:v>2025</c:v>
                      </c:pt>
                    </c:numCache>
                  </c:numRef>
                </c:cat>
                <c:val>
                  <c:numRef>
                    <c:extLst>
                      <c:ext uri="{02D57815-91ED-43cb-92C2-25804820EDAC}">
                        <c15:fullRef>
                          <c15:sqref>Sheet1!$C$2:$C$5</c15:sqref>
                        </c15:fullRef>
                        <c15:formulaRef>
                          <c15:sqref>Sheet1!$C$2:$C$3</c15:sqref>
                        </c15:formulaRef>
                      </c:ext>
                    </c:extLst>
                    <c:numCache>
                      <c:formatCode>General</c:formatCode>
                      <c:ptCount val="2"/>
                      <c:pt idx="0">
                        <c:v>2.4</c:v>
                      </c:pt>
                      <c:pt idx="1">
                        <c:v>4.4</c:v>
                      </c:pt>
                    </c:numCache>
                  </c:numRef>
                </c:val>
              </c15:ser>
            </c15:filteredBarSeries>
            <c15:filteredBarSeries>
              <c15:ser>
                <c:idx val="2"/>
                <c:order val="2"/>
                <c:tx>
                  <c:strRef>
                    <c:extLst>
                      <c:ext uri="{02D57815-91ED-43cb-92C2-25804820EDAC}">
                        <c15:formulaRef>
                          <c15:sqref>Sheet1!$D$1</c15:sqref>
                        </c15:formulaRef>
                      </c:ext>
                    </c:extLst>
                    <c:strCache>
                      <c:ptCount val="1"/>
                      <c:pt idx="0">
                        <c:v>系列 3</c:v>
                      </c:pt>
                    </c:strCache>
                  </c:strRef>
                </c:tx>
                <c:spPr>
                  <a:solidFill>
                    <a:schemeClr val="accent3"/>
                  </a:solidFill>
                  <a:ln>
                    <a:noFill/>
                  </a:ln>
                  <a:effectLst/>
                </c:spPr>
                <c:invertIfNegative val="0"/>
                <c:dLbls>
                  <c:delete val="1"/>
                </c:dLbls>
                <c:cat>
                  <c:numRef>
                    <c:extLst>
                      <c:ext uri="{02D57815-91ED-43cb-92C2-25804820EDAC}">
                        <c15:fullRef>
                          <c15:sqref>Sheet1!$A$2:$A$5</c15:sqref>
                        </c15:fullRef>
                        <c15:formulaRef>
                          <c15:sqref>Sheet1!$A$2:$A$3</c15:sqref>
                        </c15:formulaRef>
                      </c:ext>
                    </c:extLst>
                    <c:numCache>
                      <c:formatCode>General</c:formatCode>
                      <c:ptCount val="2"/>
                      <c:pt idx="0">
                        <c:v>2024</c:v>
                      </c:pt>
                      <c:pt idx="1">
                        <c:v>2025</c:v>
                      </c:pt>
                    </c:numCache>
                  </c:numRef>
                </c:cat>
                <c:val>
                  <c:numRef>
                    <c:extLst>
                      <c:ext uri="{02D57815-91ED-43cb-92C2-25804820EDAC}">
                        <c15:fullRef>
                          <c15:sqref>Sheet1!$D$2:$D$5</c15:sqref>
                        </c15:fullRef>
                        <c15:formulaRef>
                          <c15:sqref>Sheet1!$D$2:$D$3</c15:sqref>
                        </c15:formulaRef>
                      </c:ext>
                    </c:extLst>
                    <c:numCache>
                      <c:formatCode>General</c:formatCode>
                      <c:ptCount val="2"/>
                      <c:pt idx="0">
                        <c:v>2</c:v>
                      </c:pt>
                      <c:pt idx="1">
                        <c:v>2</c:v>
                      </c:pt>
                    </c:numCache>
                  </c:numRef>
                </c:val>
              </c15:ser>
            </c15:filteredBarSeries>
          </c:ext>
        </c:extLst>
      </c:barChart>
      <c:catAx>
        <c:axId val="24216401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6100452"/>
        <c:crosses val="autoZero"/>
        <c:auto val="1"/>
        <c:lblAlgn val="ctr"/>
        <c:lblOffset val="100"/>
        <c:noMultiLvlLbl val="0"/>
      </c:catAx>
      <c:valAx>
        <c:axId val="18610045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216401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46464646464646"/>
          <c:y val="0.239498260935938"/>
        </c:manualLayout>
      </c:layout>
      <c:overlay val="0"/>
      <c:txPr>
        <a:bodyPr rot="0" spcFirstLastPara="1" vertOverflow="ellipsis" vert="horz" wrap="square" anchor="ctr" anchorCtr="1"/>
        <a:lstStyle/>
        <a:p>
          <a:pPr>
            <a:defRPr lang="zh-CN" sz="1400" b="0" i="0" u="none" strike="noStrike" kern="1200" spc="0" baseline="0">
              <a:solidFill>
                <a:srgbClr val="595959">
                  <a:lumMod val="65000"/>
                  <a:lumOff val="35000"/>
                </a:srgbClr>
              </a:solidFill>
              <a:latin typeface="+mn-lt"/>
              <a:ea typeface="+mn-ea"/>
              <a:cs typeface="+mn-cs"/>
            </a:defRPr>
          </a:pPr>
        </a:p>
      </c:txPr>
    </c:title>
    <c:autoTitleDeleted val="0"/>
    <c:plotArea>
      <c:layout>
        <c:manualLayout>
          <c:layoutTarget val="inner"/>
          <c:xMode val="edge"/>
          <c:yMode val="edge"/>
          <c:x val="0.409848484848485"/>
          <c:y val="0.349021084337349"/>
          <c:w val="0.205555555555556"/>
          <c:h val="0.459713855421687"/>
        </c:manualLayout>
      </c:layout>
      <c:pieChart>
        <c:varyColors val="1"/>
        <c:ser>
          <c:idx val="0"/>
          <c:order val="0"/>
          <c:tx>
            <c:strRef>
              <c:f>'[图表 在 就业局本级2024年度部门决算分析报告.doc]Sheet1'!$B$3</c:f>
              <c:strCache>
                <c:ptCount val="1"/>
                <c:pt idx="0">
                  <c:v>2025年总支出</c:v>
                </c:pt>
              </c:strCache>
            </c:strRef>
          </c:tx>
          <c:spPr>
            <a:solidFill>
              <a:srgbClr val="4F81BD">
                <a:alpha val="100000"/>
              </a:srgbClr>
            </a:solidFill>
            <a:ln w="3175">
              <a:noFill/>
            </a:ln>
          </c:spPr>
          <c:explosion val="0"/>
          <c:dPt>
            <c:idx val="0"/>
            <c:bubble3D val="0"/>
            <c:spPr>
              <a:solidFill>
                <a:srgbClr val="4F81BD">
                  <a:alpha val="100000"/>
                </a:srgbClr>
              </a:solidFill>
              <a:ln w="3175">
                <a:noFill/>
              </a:ln>
            </c:spPr>
          </c:dPt>
          <c:dPt>
            <c:idx val="1"/>
            <c:bubble3D val="0"/>
            <c:spPr>
              <a:solidFill>
                <a:srgbClr val="F79646">
                  <a:alpha val="100000"/>
                </a:srgbClr>
              </a:solidFill>
              <a:ln w="3175">
                <a:noFill/>
              </a:ln>
            </c:spPr>
          </c:dPt>
          <c:dPt>
            <c:idx val="2"/>
            <c:bubble3D val="0"/>
            <c:spPr>
              <a:solidFill>
                <a:srgbClr val="8064A2">
                  <a:alpha val="100000"/>
                </a:srgbClr>
              </a:solidFill>
              <a:ln w="3175">
                <a:noFill/>
              </a:ln>
            </c:spPr>
          </c:dPt>
          <c:dLbls>
            <c:delete val="1"/>
          </c:dLbls>
          <c:cat>
            <c:strRef>
              <c:f>'[图表 在 就业局本级2024年度部门决算分析报告.doc]Sheet1'!$C$2:$E$2</c:f>
              <c:strCache>
                <c:ptCount val="3"/>
                <c:pt idx="0">
                  <c:v>社会保障和就业支出</c:v>
                </c:pt>
                <c:pt idx="1">
                  <c:v>卫生健康支出</c:v>
                </c:pt>
                <c:pt idx="2">
                  <c:v>住房保障支出</c:v>
                </c:pt>
              </c:strCache>
            </c:strRef>
          </c:cat>
          <c:val>
            <c:numRef>
              <c:f>'[图表 在 就业局本级2024年度部门决算分析报告.doc]Sheet1'!$C$3:$E$3</c:f>
              <c:numCache>
                <c:formatCode>General</c:formatCode>
                <c:ptCount val="3"/>
                <c:pt idx="0">
                  <c:v>921.21</c:v>
                </c:pt>
                <c:pt idx="1">
                  <c:v>16.41</c:v>
                </c:pt>
                <c:pt idx="2">
                  <c:v>23.72</c:v>
                </c:pt>
              </c:numCache>
            </c:numRef>
          </c:val>
        </c:ser>
        <c:ser>
          <c:idx val="1"/>
          <c:order val="1"/>
          <c:tx>
            <c:strRef>
              <c:f>'[图表 在 就业局本级2024年度部门决算分析报告.doc]Sheet1'!#REF!</c:f>
              <c:strCache>
                <c:ptCount val="1"/>
                <c:pt idx="0">
                  <c:v/>
                </c:pt>
              </c:strCache>
            </c:strRef>
          </c:tx>
          <c:spPr>
            <a:solidFill>
              <a:srgbClr val="C0504D">
                <a:alpha val="100000"/>
              </a:srgbClr>
            </a:solidFill>
            <a:ln w="3175">
              <a:noFill/>
            </a:ln>
          </c:spPr>
          <c:explosion val="0"/>
          <c:dPt>
            <c:idx val="0"/>
            <c:bubble3D val="0"/>
            <c:spPr>
              <a:solidFill>
                <a:srgbClr val="C0504D">
                  <a:alpha val="100000"/>
                </a:srgbClr>
              </a:solidFill>
              <a:ln w="3175">
                <a:noFill/>
              </a:ln>
            </c:spPr>
          </c:dPt>
          <c:dLbls>
            <c:delete val="1"/>
          </c:dLbls>
          <c:cat>
            <c:strRef>
              <c:f>'[图表 在 就业局本级2024年度部门决算分析报告.doc]Sheet1'!$C$2:$E$2</c:f>
              <c:strCache>
                <c:ptCount val="3"/>
                <c:pt idx="0">
                  <c:v>社会保障和就业支出</c:v>
                </c:pt>
                <c:pt idx="1">
                  <c:v>卫生健康支出</c:v>
                </c:pt>
                <c:pt idx="2">
                  <c:v>住房保障支出</c:v>
                </c:pt>
              </c:strCache>
            </c:strRef>
          </c:cat>
          <c:val>
            <c:numRef>
              <c:f>'[图表 在 就业局本级2024年度部门决算分析报告.doc]Sheet1'!#REF!</c:f>
              <c:numCache>
                <c:formatCode>General</c:formatCode>
                <c:ptCount val="1"/>
                <c:pt idx="0">
                  <c:v>1</c:v>
                </c:pt>
              </c:numCache>
            </c:numRef>
          </c:val>
        </c:ser>
        <c:ser>
          <c:idx val="2"/>
          <c:order val="2"/>
          <c:tx>
            <c:strRef>
              <c:f>'[图表 在 就业局本级2024年度部门决算分析报告.doc]Sheet1'!#REF!</c:f>
              <c:strCache>
                <c:ptCount val="1"/>
                <c:pt idx="0">
                  <c:v/>
                </c:pt>
              </c:strCache>
            </c:strRef>
          </c:tx>
          <c:spPr>
            <a:solidFill>
              <a:srgbClr val="9BBB59">
                <a:alpha val="100000"/>
              </a:srgbClr>
            </a:solidFill>
            <a:ln w="3175">
              <a:noFill/>
            </a:ln>
          </c:spPr>
          <c:explosion val="0"/>
          <c:dPt>
            <c:idx val="0"/>
            <c:bubble3D val="0"/>
            <c:spPr>
              <a:solidFill>
                <a:srgbClr val="9BBB59">
                  <a:alpha val="100000"/>
                </a:srgbClr>
              </a:solidFill>
              <a:ln w="3175">
                <a:noFill/>
              </a:ln>
            </c:spPr>
          </c:dPt>
          <c:dLbls>
            <c:delete val="1"/>
          </c:dLbls>
          <c:cat>
            <c:strRef>
              <c:f>'[图表 在 就业局本级2024年度部门决算分析报告.doc]Sheet1'!$C$2:$E$2</c:f>
              <c:strCache>
                <c:ptCount val="3"/>
                <c:pt idx="0">
                  <c:v>社会保障和就业支出</c:v>
                </c:pt>
                <c:pt idx="1">
                  <c:v>卫生健康支出</c:v>
                </c:pt>
                <c:pt idx="2">
                  <c:v>住房保障支出</c:v>
                </c:pt>
              </c:strCache>
            </c:strRef>
          </c:cat>
          <c:val>
            <c:numRef>
              <c:f>'[图表 在 就业局本级2024年度部门决算分析报告.doc]Sheet1'!#REF!</c:f>
              <c:numCache>
                <c:formatCode>General</c:formatCode>
                <c:ptCount val="1"/>
                <c:pt idx="0">
                  <c:v>1</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b"/>
      <c:layout/>
      <c:overlay val="0"/>
      <c:spPr>
        <a:noFill/>
        <a:ln w="3175">
          <a:noFill/>
        </a:ln>
      </c:spPr>
      <c:txPr>
        <a:bodyPr rot="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“三公”经费支出结构</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elete val="1"/>
          </c:dLbls>
          <c:cat>
            <c:strRef>
              <c:extLst>
                <c:ext xmlns:c15="http://schemas.microsoft.com/office/drawing/2012/chart" uri="{02D57815-91ED-43cb-92C2-25804820EDAC}">
                  <c15:fullRef>
                    <c15:sqref>Sheet1!$A$2:$A$5</c15:sqref>
                  </c15:fullRef>
                </c:ext>
              </c:extLst>
              <c:f>Sheet1!$A$2:$A$4</c:f>
              <c:strCache>
                <c:ptCount val="3"/>
                <c:pt idx="0">
                  <c:v>因公出国（境）费</c:v>
                </c:pt>
                <c:pt idx="1">
                  <c:v>公务用车购置及运行维护费</c:v>
                </c:pt>
                <c:pt idx="2">
                  <c:v>公务接待费支出决算</c:v>
                </c:pt>
              </c:strCache>
            </c:strRef>
          </c:cat>
          <c:val>
            <c:numRef>
              <c:extLst>
                <c:ext xmlns:c15="http://schemas.microsoft.com/office/drawing/2012/chart" uri="{02D57815-91ED-43cb-92C2-25804820EDAC}">
                  <c15:fullRef>
                    <c15:sqref>Sheet1!$B$2:$B$5</c15:sqref>
                  </c15:fullRef>
                </c:ext>
              </c:extLst>
              <c:f>Sheet1!$B$2:$B$4</c:f>
              <c:numCache>
                <c:formatCode>General</c:formatCode>
                <c:ptCount val="3"/>
                <c:pt idx="0">
                  <c:v>0</c:v>
                </c:pt>
                <c:pt idx="1">
                  <c:v>4</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184162841266006"/>
          <c:y val="0.15023374415639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900" kern="1200"/>
  </cs:chartArea>
  <cs:dataLabel>
    <cs:lnRef idx="0"/>
    <cs:fillRef idx="0"/>
    <cs:effectRef idx="0"/>
    <cs:fontRef idx="minor">
      <a:srgbClr val="404040">
        <a:lumMod val="75000"/>
        <a:lumOff val="25000"/>
      </a:srgbClr>
    </cs:fontRef>
    <cs:defRPr sz="10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rgbClr val="000000"/>
    </cs:fontRef>
    <cs:spPr>
      <a:ln>
        <a:solidFill>
          <a:srgbClr val="FFFFFF"/>
        </a:solidFill>
      </a:ln>
      <a:effectLst/>
    </cs:spPr>
  </cs:dataPoint>
  <cs:dataPoint3D>
    <cs:lnRef idx="0"/>
    <cs:fillRef idx="1">
      <cs:styleClr val="auto"/>
    </cs:fillRef>
    <cs:effectRef idx="0"/>
    <cs:fontRef idx="minor">
      <a:srgbClr val="000000"/>
    </cs:fontRef>
    <cs:spPr>
      <a:ln w="25400">
        <a:solidFill>
          <a:srgbClr val="FFFFFF"/>
        </a:solidFill>
      </a:ln>
    </cs:spPr>
  </cs:dataPoint3D>
  <cs:dataPointLine>
    <cs:lnRef idx="0">
      <cs:styleClr val="auto"/>
    </cs:lnRef>
    <cs:fillRef idx="0"/>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0"/>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404040">
          <a:lumMod val="75000"/>
          <a:lumOff val="25000"/>
        </a:srgbClr>
      </a:solidFill>
      <a:ln w="9525" cap="flat" cmpd="sng" algn="ctr">
        <a:solidFill>
          <a:srgbClr val="595959">
            <a:lumMod val="65000"/>
            <a:lumOff val="35000"/>
          </a:srgbClr>
        </a:solidFill>
        <a:round/>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E6E6E6">
            <a:lumMod val="902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808080">
            <a:lumMod val="50000"/>
            <a:lumOff val="50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404040">
        <a:lumMod val="75000"/>
        <a:lumOff val="25000"/>
      </a:srgbClr>
    </cs:fontRef>
    <cs:defRPr sz="1400" b="1" kern="120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cap="flat" cmpd="sng" algn="ctr">
        <a:solidFill>
          <a:srgbClr val="595959">
            <a:lumMod val="65000"/>
            <a:lumOff val="35000"/>
          </a:srgbClr>
        </a:solidFill>
        <a:round/>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9"/>
    <customShpInfo spid="_x0000_s1031"/>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65</Pages>
  <Words>20745</Words>
  <Characters>21830</Characters>
  <Lines>61</Lines>
  <Paragraphs>17</Paragraphs>
  <TotalTime>84</TotalTime>
  <ScaleCrop>false</ScaleCrop>
  <LinksUpToDate>false</LinksUpToDate>
  <CharactersWithSpaces>21831</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2020-08-11T01:49:00Z</dcterms:created>
  <dc:creator>曹颖</dc:creator>
  <cp:lastModifiedBy>user</cp:lastModifiedBy>
  <cp:lastPrinted>2026-08-05T17:27:00Z</cp:lastPrinted>
  <dcterms:modified xsi:type="dcterms:W3CDTF">2026-10-26T11:57:10Z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9C20405CF3C44461A8C3AE6B975882EC_13</vt:lpwstr>
  </property>
  <property fmtid="{D5CDD505-2E9C-101B-9397-08002B2CF9AE}" pid="4" name="KSOTemplateDocerSaveRecord">
    <vt:lpwstr>eyJoZGlkIjoiODVmZDQ5YWJkOWVlODQ2NzgyY2E3MTEwOGFhZjk4ZjIiLCJ1c2VySWQiOiIyOTcwODAzNzQifQ==</vt:lpwstr>
  </property>
</Properties>
</file>