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138" w:name="_GoBack"/>
      <w:bookmarkEnd w:id="138"/>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jc w:val="center"/>
        <w:rPr>
          <w:rFonts w:ascii="黑体" w:hAnsi="黑体" w:eastAsia="黑体"/>
          <w:sz w:val="72"/>
          <w:szCs w:val="72"/>
        </w:rPr>
      </w:pPr>
    </w:p>
    <w:p>
      <w:pPr>
        <w:jc w:val="center"/>
        <w:rPr>
          <w:rFonts w:hint="eastAsia" w:ascii="方正小标宋简体" w:eastAsia="方正小标宋简体"/>
          <w:sz w:val="72"/>
          <w:szCs w:val="72"/>
          <w:lang w:eastAsia="zh-CN"/>
        </w:rPr>
      </w:pPr>
      <w:bookmarkStart w:id="1" w:name="_Toc15396598"/>
      <w:bookmarkStart w:id="2" w:name="_Toc15378442"/>
      <w:bookmarkStart w:id="3" w:name="_Toc15396476"/>
      <w:bookmarkStart w:id="4" w:name="_Toc15377426"/>
      <w:bookmarkStart w:id="5" w:name="_Toc15377194"/>
      <w:r>
        <w:rPr>
          <w:rFonts w:hint="eastAsia" w:ascii="方正小标宋简体" w:eastAsia="方正小标宋简体"/>
          <w:sz w:val="72"/>
          <w:szCs w:val="72"/>
        </w:rPr>
        <w:t>阿坝州</w:t>
      </w:r>
      <w:bookmarkEnd w:id="0"/>
      <w:bookmarkStart w:id="6" w:name="_Toc15306268"/>
      <w:r>
        <w:rPr>
          <w:rFonts w:hint="eastAsia" w:ascii="方正小标宋简体" w:eastAsia="方正小标宋简体"/>
          <w:sz w:val="72"/>
          <w:szCs w:val="72"/>
          <w:lang w:eastAsia="zh-CN"/>
        </w:rPr>
        <w:t>壤塘县</w:t>
      </w:r>
      <w:r>
        <w:rPr>
          <w:rFonts w:hint="eastAsia" w:ascii="方正小标宋简体" w:eastAsia="方正小标宋简体"/>
          <w:sz w:val="72"/>
          <w:szCs w:val="72"/>
          <w:lang w:val="en-US" w:eastAsia="zh-CN"/>
        </w:rPr>
        <w:t>2025年度</w:t>
      </w:r>
      <w:r>
        <w:rPr>
          <w:rFonts w:hint="eastAsia" w:ascii="方正小标宋简体" w:eastAsia="方正小标宋简体"/>
          <w:sz w:val="72"/>
          <w:szCs w:val="72"/>
          <w:lang w:eastAsia="zh-CN"/>
        </w:rPr>
        <w:t>城乡居民养老保险事务中心</w:t>
      </w:r>
      <w:r>
        <w:rPr>
          <w:rFonts w:hint="eastAsia" w:ascii="方正小标宋简体" w:eastAsia="方正小标宋简体"/>
          <w:sz w:val="72"/>
          <w:szCs w:val="72"/>
        </w:rPr>
        <w:t>部门决算</w:t>
      </w:r>
      <w:bookmarkEnd w:id="1"/>
      <w:bookmarkEnd w:id="2"/>
      <w:bookmarkEnd w:id="3"/>
      <w:bookmarkEnd w:id="4"/>
      <w:bookmarkEnd w:id="5"/>
      <w:bookmarkEnd w:id="6"/>
      <w:r>
        <w:rPr>
          <w:rFonts w:hint="eastAsia" w:ascii="方正小标宋简体" w:eastAsia="方正小标宋简体"/>
          <w:sz w:val="72"/>
          <w:szCs w:val="72"/>
          <w:lang w:eastAsia="zh-CN"/>
        </w:rPr>
        <w:t>公开</w:t>
      </w:r>
    </w:p>
    <w:p>
      <w:pPr>
        <w:jc w:val="center"/>
        <w:rPr>
          <w:rFonts w:ascii="方正小标宋简体" w:eastAsia="方正小标宋简体"/>
          <w:sz w:val="52"/>
          <w:szCs w:val="52"/>
        </w:rPr>
      </w:pPr>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pPr>
        <w:pStyle w:val="13"/>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年</w:t>
      </w:r>
      <w:r>
        <w:rPr>
          <w:rFonts w:hint="eastAsia" w:hAnsiTheme="minorHAnsi"/>
          <w:b w:val="0"/>
          <w:bCs w:val="0"/>
          <w:sz w:val="24"/>
          <w:szCs w:val="24"/>
          <w:lang w:val="en-US" w:eastAsia="zh-CN"/>
        </w:rPr>
        <w:t>10</w:t>
      </w:r>
      <w:r>
        <w:rPr>
          <w:rFonts w:hint="eastAsia" w:hAnsiTheme="minorHAnsi"/>
          <w:b w:val="0"/>
          <w:bCs w:val="0"/>
          <w:sz w:val="24"/>
          <w:szCs w:val="24"/>
        </w:rPr>
        <w:t xml:space="preserve"> 月</w:t>
      </w:r>
      <w:r>
        <w:rPr>
          <w:rFonts w:hint="eastAsia" w:hAnsiTheme="minorHAnsi"/>
          <w:b w:val="0"/>
          <w:bCs w:val="0"/>
          <w:sz w:val="24"/>
          <w:szCs w:val="24"/>
          <w:lang w:val="en-US" w:eastAsia="zh-CN"/>
        </w:rPr>
        <w:t>12</w:t>
      </w:r>
      <w:r>
        <w:rPr>
          <w:rFonts w:hint="eastAsia" w:hAnsiTheme="minorHAnsi"/>
          <w:b w:val="0"/>
          <w:bCs w:val="0"/>
          <w:sz w:val="24"/>
          <w:szCs w:val="24"/>
        </w:rPr>
        <w:t>日</w:t>
      </w:r>
    </w:p>
    <w:p>
      <w:pPr>
        <w:pStyle w:val="13"/>
        <w:tabs>
          <w:tab w:val="right" w:leader="dot" w:pos="8296"/>
        </w:tabs>
        <w:rPr>
          <w:rFonts w:hint="eastAsia" w:hAnsiTheme="minorHAnsi" w:eastAsiaTheme="minorHAnsi" w:cstheme="minorBidi"/>
          <w:b w:val="0"/>
          <w:bCs w:val="0"/>
          <w:caps w:val="0"/>
          <w:sz w:val="21"/>
          <w:szCs w:val="22"/>
          <w:lang w:eastAsia="zh-CN"/>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hint="eastAsia" w:ascii="黑体" w:hAnsi="黑体" w:eastAsia="黑体"/>
          <w:b w:val="0"/>
          <w:bCs w:val="0"/>
          <w:lang w:eastAsia="zh-CN"/>
        </w:rPr>
        <w:t>部门</w:t>
      </w:r>
      <w:r>
        <w:rPr>
          <w:rFonts w:ascii="黑体" w:hAnsi="黑体" w:eastAsia="黑体"/>
          <w:b w:val="0"/>
          <w:bCs w:val="0"/>
        </w:rPr>
        <w:t>概况</w:t>
      </w:r>
      <w:r>
        <w:tab/>
      </w:r>
      <w:r>
        <w:rPr>
          <w:rFonts w:hint="eastAsia"/>
          <w:lang w:val="en-US" w:eastAsia="zh-CN"/>
        </w:rPr>
        <w:t>4</w:t>
      </w:r>
    </w:p>
    <w:p>
      <w:pPr>
        <w:pStyle w:val="16"/>
        <w:tabs>
          <w:tab w:val="right" w:leader="dot" w:pos="8296"/>
        </w:tabs>
        <w:rPr>
          <w:rFonts w:hint="eastAsia" w:hAnsiTheme="minorHAnsi" w:eastAsiaTheme="minorHAnsi" w:cstheme="minorBidi"/>
          <w:smallCaps w:val="0"/>
          <w:sz w:val="21"/>
          <w:szCs w:val="22"/>
          <w:lang w:eastAsia="zh-CN"/>
        </w:rPr>
      </w:pPr>
      <w:r>
        <w:rPr>
          <w:rFonts w:ascii="黑体" w:hAnsi="黑体" w:eastAsia="黑体"/>
          <w:color w:val="000000"/>
        </w:rPr>
        <w:t>一、</w:t>
      </w:r>
      <w:r>
        <w:rPr>
          <w:rFonts w:hint="eastAsia" w:ascii="黑体" w:hAnsi="黑体" w:eastAsia="黑体"/>
          <w:lang w:eastAsia="zh-CN"/>
        </w:rPr>
        <w:t>部门职责</w:t>
      </w:r>
      <w:r>
        <w:tab/>
      </w:r>
      <w:r>
        <w:rPr>
          <w:rFonts w:hint="eastAsia"/>
          <w:lang w:val="en-US" w:eastAsia="zh-CN"/>
        </w:rPr>
        <w:t>4</w:t>
      </w:r>
    </w:p>
    <w:p>
      <w:pPr>
        <w:pStyle w:val="16"/>
        <w:tabs>
          <w:tab w:val="right" w:leader="dot" w:pos="8296"/>
        </w:tabs>
        <w:rPr>
          <w:rFonts w:hint="eastAsia" w:hAnsiTheme="minorHAnsi" w:eastAsiaTheme="minorHAnsi" w:cstheme="minorBidi"/>
          <w:smallCaps w:val="0"/>
          <w:sz w:val="21"/>
          <w:szCs w:val="22"/>
          <w:lang w:eastAsia="zh-CN"/>
        </w:rPr>
      </w:pPr>
      <w:r>
        <w:rPr>
          <w:rFonts w:ascii="黑体" w:eastAsia="黑体"/>
          <w:color w:val="000000"/>
        </w:rPr>
        <w:t>二、</w:t>
      </w:r>
      <w:r>
        <w:rPr>
          <w:rFonts w:ascii="黑体" w:hAnsi="黑体" w:eastAsia="黑体"/>
          <w:color w:val="000000"/>
        </w:rPr>
        <w:t>机</w:t>
      </w:r>
      <w:r>
        <w:rPr>
          <w:rFonts w:ascii="黑体" w:hAnsi="黑体" w:eastAsia="黑体"/>
        </w:rPr>
        <w:t>构设置</w:t>
      </w:r>
      <w:r>
        <w:tab/>
      </w:r>
      <w:r>
        <w:rPr>
          <w:rFonts w:hint="eastAsia"/>
          <w:lang w:val="en-US" w:eastAsia="zh-CN"/>
        </w:rPr>
        <w:t>4</w:t>
      </w:r>
    </w:p>
    <w:p>
      <w:pPr>
        <w:pStyle w:val="13"/>
        <w:tabs>
          <w:tab w:val="right" w:leader="dot" w:pos="8296"/>
        </w:tabs>
        <w:ind w:firstLine="200" w:firstLineChars="100"/>
        <w:rPr>
          <w:rFonts w:hint="eastAsia" w:hAnsiTheme="minorHAnsi" w:eastAsiaTheme="minorHAnsi" w:cstheme="minorBidi"/>
          <w:b w:val="0"/>
          <w:bCs w:val="0"/>
          <w:caps w:val="0"/>
          <w:sz w:val="21"/>
          <w:szCs w:val="22"/>
          <w:lang w:eastAsia="zh-CN"/>
        </w:rPr>
      </w:pPr>
      <w:r>
        <w:rPr>
          <w:rFonts w:ascii="黑体" w:hAnsi="黑体" w:eastAsia="黑体"/>
          <w:b w:val="0"/>
          <w:color w:val="000000"/>
        </w:rPr>
        <w:t>第二部分</w:t>
      </w:r>
      <w:r>
        <w:rPr>
          <w:rFonts w:ascii="黑体" w:hAnsi="黑体" w:eastAsia="黑体"/>
          <w:color w:val="000000"/>
        </w:rPr>
        <w:t xml:space="preserve"> </w:t>
      </w:r>
      <w:r>
        <w:rPr>
          <w:rFonts w:ascii="黑体" w:hAnsi="黑体" w:eastAsia="黑体"/>
          <w:b w:val="0"/>
          <w:bCs w:val="0"/>
        </w:rPr>
        <w:t>202</w:t>
      </w:r>
      <w:r>
        <w:rPr>
          <w:rFonts w:hint="eastAsia" w:ascii="黑体" w:hAnsi="黑体" w:eastAsia="黑体"/>
          <w:b w:val="0"/>
          <w:bCs w:val="0"/>
          <w:lang w:val="en-US" w:eastAsia="zh-CN"/>
        </w:rPr>
        <w:t>5</w:t>
      </w:r>
      <w:r>
        <w:rPr>
          <w:rFonts w:ascii="黑体" w:hAnsi="黑体" w:eastAsia="黑体"/>
          <w:b w:val="0"/>
          <w:bCs w:val="0"/>
        </w:rPr>
        <w:t>年度</w:t>
      </w:r>
      <w:r>
        <w:rPr>
          <w:rFonts w:hint="eastAsia" w:ascii="黑体" w:hAnsi="黑体" w:eastAsia="黑体"/>
          <w:b w:val="0"/>
          <w:bCs w:val="0"/>
          <w:lang w:eastAsia="zh-CN"/>
        </w:rPr>
        <w:t>部门</w:t>
      </w:r>
      <w:r>
        <w:rPr>
          <w:rFonts w:ascii="黑体" w:hAnsi="黑体" w:eastAsia="黑体"/>
          <w:b w:val="0"/>
          <w:bCs w:val="0"/>
        </w:rPr>
        <w:t>决算情况说明</w:t>
      </w:r>
      <w:r>
        <w:tab/>
      </w:r>
      <w:r>
        <w:rPr>
          <w:rFonts w:hint="eastAsia"/>
          <w:lang w:val="en-US" w:eastAsia="zh-CN"/>
        </w:rPr>
        <w:t>5</w:t>
      </w:r>
    </w:p>
    <w:p>
      <w:pPr>
        <w:pStyle w:val="16"/>
        <w:tabs>
          <w:tab w:val="left" w:pos="840"/>
          <w:tab w:val="right" w:leader="dot" w:pos="8296"/>
        </w:tabs>
        <w:rPr>
          <w:rFonts w:hint="eastAsia" w:hAnsiTheme="minorHAnsi" w:eastAsiaTheme="minorHAnsi" w:cstheme="minorBidi"/>
          <w:smallCaps w:val="0"/>
          <w:sz w:val="21"/>
          <w:szCs w:val="22"/>
          <w:lang w:val="en-US" w:eastAsia="zh-CN"/>
        </w:rPr>
      </w:pPr>
      <w:r>
        <w:rPr>
          <w:rFonts w:ascii="黑体" w:hAnsi="黑体" w:eastAsia="黑体"/>
          <w:bCs/>
        </w:rPr>
        <w:t>一、</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入支出决算总体情况说明</w:t>
      </w:r>
      <w:r>
        <w:tab/>
      </w:r>
      <w:r>
        <w:rPr>
          <w:rFonts w:hint="eastAsia"/>
          <w:lang w:val="en-US" w:eastAsia="zh-CN"/>
        </w:rPr>
        <w:t>5</w:t>
      </w:r>
    </w:p>
    <w:p>
      <w:pPr>
        <w:pStyle w:val="16"/>
        <w:tabs>
          <w:tab w:val="left" w:pos="840"/>
          <w:tab w:val="right" w:leader="dot" w:pos="8296"/>
        </w:tabs>
        <w:rPr>
          <w:rFonts w:hint="eastAsia" w:hAnsiTheme="minorHAnsi" w:eastAsiaTheme="minorHAnsi" w:cstheme="minorBidi"/>
          <w:smallCaps w:val="0"/>
          <w:sz w:val="21"/>
          <w:szCs w:val="22"/>
          <w:lang w:eastAsia="zh-CN"/>
        </w:rPr>
      </w:pPr>
      <w:r>
        <w:rPr>
          <w:rFonts w:ascii="黑体" w:hAnsi="黑体" w:eastAsia="黑体"/>
          <w:bCs/>
        </w:rPr>
        <w:t>二、</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入决算情况说明</w:t>
      </w:r>
      <w:r>
        <w:tab/>
      </w:r>
      <w:r>
        <w:rPr>
          <w:rFonts w:hint="eastAsia"/>
          <w:lang w:val="en-US" w:eastAsia="zh-CN"/>
        </w:rPr>
        <w:t>6</w:t>
      </w:r>
    </w:p>
    <w:p>
      <w:pPr>
        <w:pStyle w:val="16"/>
        <w:tabs>
          <w:tab w:val="left" w:pos="840"/>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三、</w:t>
      </w:r>
      <w:r>
        <w:rPr>
          <w:rFonts w:hAnsiTheme="minorHAnsi" w:eastAsiaTheme="minorEastAsia" w:cstheme="minorBidi"/>
          <w:smallCaps w:val="0"/>
          <w:sz w:val="21"/>
          <w:szCs w:val="22"/>
        </w:rPr>
        <w:tab/>
      </w:r>
      <w:r>
        <w:rPr>
          <w:rFonts w:ascii="黑体" w:hAnsi="黑体" w:eastAsia="黑体"/>
          <w:color w:val="000000"/>
        </w:rPr>
        <w:t>支</w:t>
      </w:r>
      <w:r>
        <w:rPr>
          <w:rFonts w:ascii="黑体" w:hAnsi="黑体" w:eastAsia="黑体"/>
          <w:bCs/>
        </w:rPr>
        <w:t>出决算情况说明</w:t>
      </w:r>
      <w:r>
        <w:tab/>
      </w:r>
      <w:r>
        <w:rPr>
          <w:rFonts w:hint="eastAsia"/>
          <w:lang w:val="en-US" w:eastAsia="zh-CN"/>
        </w:rPr>
        <w:t>6</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四、财</w:t>
      </w:r>
      <w:r>
        <w:rPr>
          <w:rFonts w:ascii="黑体" w:hAnsi="黑体" w:eastAsia="黑体"/>
          <w:bCs/>
        </w:rPr>
        <w:t>政拨款收入支出决算总体情况说明</w:t>
      </w:r>
      <w:r>
        <w:tab/>
      </w:r>
      <w:r>
        <w:rPr>
          <w:rFonts w:hint="eastAsia"/>
          <w:lang w:val="en-US" w:eastAsia="zh-CN"/>
        </w:rPr>
        <w:t>7</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rPr>
          <w:rFonts w:hint="eastAsia"/>
          <w:lang w:val="en-US" w:eastAsia="zh-CN"/>
        </w:rPr>
        <w:t>8</w:t>
      </w:r>
    </w:p>
    <w:p>
      <w:pPr>
        <w:pStyle w:val="8"/>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（一）一般公共预算财政拨款支出决算总体情况</w:t>
      </w:r>
      <w:r>
        <w:tab/>
      </w:r>
      <w:r>
        <w:rPr>
          <w:rFonts w:hint="eastAsia"/>
          <w:lang w:val="en-US" w:eastAsia="zh-CN"/>
        </w:rPr>
        <w:t>8</w:t>
      </w:r>
    </w:p>
    <w:p>
      <w:pPr>
        <w:pStyle w:val="8"/>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（二）一般公共预算财政拨款支出决算结构情况</w:t>
      </w:r>
      <w:r>
        <w:tab/>
      </w:r>
      <w:r>
        <w:rPr>
          <w:rFonts w:hint="eastAsia"/>
          <w:lang w:val="en-US" w:eastAsia="zh-CN"/>
        </w:rPr>
        <w:t>9</w:t>
      </w:r>
    </w:p>
    <w:p>
      <w:pPr>
        <w:pStyle w:val="8"/>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（三）一般公共预算财政拨款支出决算具体情况</w:t>
      </w:r>
      <w:r>
        <w:tab/>
      </w:r>
      <w:r>
        <w:rPr>
          <w:rFonts w:hint="eastAsia"/>
          <w:lang w:val="en-US" w:eastAsia="zh-CN"/>
        </w:rPr>
        <w:t>10</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rPr>
          <w:rFonts w:hint="eastAsia"/>
          <w:lang w:val="en-US" w:eastAsia="zh-CN"/>
        </w:rPr>
        <w:t>10</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七、</w:t>
      </w:r>
      <w:r>
        <w:rPr>
          <w:rFonts w:hint="eastAsia" w:ascii="黑体" w:eastAsia="黑体"/>
          <w:color w:val="000000"/>
          <w:lang w:eastAsia="zh-CN"/>
        </w:rPr>
        <w:t>财政拨款</w:t>
      </w:r>
      <w:r>
        <w:rPr>
          <w:rFonts w:ascii="黑体" w:hAnsi="黑体" w:eastAsia="黑体"/>
          <w:b/>
          <w:bCs/>
        </w:rPr>
        <w:t>“</w:t>
      </w:r>
      <w:r>
        <w:rPr>
          <w:rFonts w:ascii="黑体" w:hAnsi="黑体" w:eastAsia="黑体"/>
          <w:bCs/>
        </w:rPr>
        <w:t>三公”经费支出决算情况说明</w:t>
      </w:r>
      <w:r>
        <w:tab/>
      </w:r>
      <w:r>
        <w:rPr>
          <w:rFonts w:hint="eastAsia"/>
          <w:lang w:val="en-US" w:eastAsia="zh-CN"/>
        </w:rPr>
        <w:t>11</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八、</w:t>
      </w:r>
      <w:r>
        <w:rPr>
          <w:rFonts w:ascii="黑体" w:hAnsi="黑体" w:eastAsia="黑体"/>
          <w:bCs/>
        </w:rPr>
        <w:t>政府性基金预算支出决算情况说明</w:t>
      </w:r>
      <w:r>
        <w:tab/>
      </w:r>
      <w:r>
        <w:rPr>
          <w:rFonts w:hint="eastAsia"/>
          <w:lang w:val="en-US" w:eastAsia="zh-CN"/>
        </w:rPr>
        <w:t>11</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九、 国有资本经营预算支出决算情况说明</w:t>
      </w:r>
      <w:r>
        <w:tab/>
      </w:r>
      <w:r>
        <w:rPr>
          <w:rFonts w:hint="eastAsia"/>
          <w:lang w:val="en-US" w:eastAsia="zh-CN"/>
        </w:rPr>
        <w:t>11</w:t>
      </w:r>
    </w:p>
    <w:p>
      <w:pPr>
        <w:pStyle w:val="16"/>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rPr>
          <w:rFonts w:hint="eastAsia"/>
          <w:lang w:val="en-US" w:eastAsia="zh-CN"/>
        </w:rPr>
        <w:t>11</w:t>
      </w:r>
    </w:p>
    <w:p>
      <w:pPr>
        <w:pStyle w:val="8"/>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（一）机关运行经费支出情况</w:t>
      </w:r>
      <w:r>
        <w:tab/>
      </w:r>
      <w:r>
        <w:rPr>
          <w:rFonts w:hint="eastAsia"/>
          <w:lang w:val="en-US" w:eastAsia="zh-CN"/>
        </w:rPr>
        <w:t>11</w:t>
      </w:r>
    </w:p>
    <w:p>
      <w:pPr>
        <w:pStyle w:val="8"/>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（二）政府采购支出情况</w:t>
      </w:r>
      <w:r>
        <w:tab/>
      </w:r>
      <w:r>
        <w:rPr>
          <w:rFonts w:hint="eastAsia"/>
          <w:lang w:val="en-US" w:eastAsia="zh-CN"/>
        </w:rPr>
        <w:t>11</w:t>
      </w:r>
    </w:p>
    <w:p>
      <w:pPr>
        <w:pStyle w:val="8"/>
        <w:tabs>
          <w:tab w:val="right" w:leader="dot" w:pos="8296"/>
        </w:tabs>
        <w:rPr>
          <w:rFonts w:hint="eastAsia"/>
          <w:lang w:val="en-US" w:eastAsia="zh-CN"/>
        </w:rPr>
      </w:pPr>
      <w:r>
        <w:rPr>
          <w:rFonts w:ascii="仿宋" w:hAnsi="仿宋" w:eastAsia="仿宋"/>
          <w:b/>
          <w:color w:val="000000"/>
        </w:rPr>
        <w:t>（三）国有资产占有使用情况</w:t>
      </w:r>
      <w:r>
        <w:tab/>
      </w:r>
      <w:r>
        <w:rPr>
          <w:rFonts w:hint="eastAsia"/>
          <w:lang w:val="en-US" w:eastAsia="zh-CN"/>
        </w:rPr>
        <w:t>11</w:t>
      </w:r>
    </w:p>
    <w:p>
      <w:pPr>
        <w:pStyle w:val="8"/>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b/>
          <w:color w:val="000000"/>
        </w:rPr>
        <w:t>（四）预算绩效管理情况。</w:t>
      </w:r>
      <w:r>
        <w:tab/>
      </w:r>
      <w:r>
        <w:rPr>
          <w:rFonts w:hint="eastAsia"/>
          <w:lang w:val="en-US" w:eastAsia="zh-CN"/>
        </w:rPr>
        <w:t>12</w:t>
      </w:r>
    </w:p>
    <w:p>
      <w:pPr>
        <w:pStyle w:val="13"/>
        <w:tabs>
          <w:tab w:val="right" w:leader="dot" w:pos="8296"/>
        </w:tabs>
        <w:rPr>
          <w:rFonts w:hint="default"/>
          <w:lang w:val="en-US" w:eastAsia="zh-CN"/>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rPr>
          <w:rFonts w:hint="eastAsia"/>
          <w:lang w:val="en-US" w:eastAsia="zh-CN"/>
        </w:rPr>
        <w:t>13</w:t>
      </w:r>
    </w:p>
    <w:p>
      <w:pPr>
        <w:pStyle w:val="13"/>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四部分 附件</w:t>
      </w:r>
      <w:r>
        <w:tab/>
      </w:r>
      <w:r>
        <w:rPr>
          <w:rFonts w:hint="eastAsia"/>
          <w:lang w:val="en-US" w:eastAsia="zh-CN"/>
        </w:rPr>
        <w:t>16</w:t>
      </w:r>
    </w:p>
    <w:p>
      <w:pPr>
        <w:pStyle w:val="13"/>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s="黑体"/>
        </w:rPr>
        <w:t>附件1</w:t>
      </w:r>
      <w:r>
        <w:tab/>
      </w:r>
      <w:r>
        <w:rPr>
          <w:rFonts w:hint="eastAsia"/>
          <w:lang w:val="en-US" w:eastAsia="zh-CN"/>
        </w:rPr>
        <w:t>16</w:t>
      </w:r>
    </w:p>
    <w:p>
      <w:pPr>
        <w:pStyle w:val="13"/>
        <w:tabs>
          <w:tab w:val="right" w:leader="dot" w:pos="8296"/>
        </w:tabs>
        <w:rPr>
          <w:rFonts w:hint="default" w:eastAsiaTheme="minorHAnsi"/>
          <w:lang w:val="en-US" w:eastAsia="zh-CN"/>
        </w:rPr>
      </w:pPr>
      <w:r>
        <w:rPr>
          <w:rFonts w:hint="eastAsia" w:ascii="方正小标宋简体" w:hAnsi="黑体" w:eastAsia="方正小标宋简体" w:cs="黑体"/>
          <w:lang w:eastAsia="zh-CN"/>
        </w:rPr>
        <w:t>壤塘县城乡居民养老保险事务中心</w:t>
      </w:r>
      <w:r>
        <w:rPr>
          <w:rFonts w:hint="eastAsia" w:ascii="方正小标宋简体" w:hAnsi="黑体" w:eastAsia="方正小标宋简体" w:cs="黑体"/>
          <w:lang w:val="en-US" w:eastAsia="zh-CN"/>
        </w:rPr>
        <w:t>2025</w:t>
      </w:r>
      <w:r>
        <w:rPr>
          <w:rFonts w:ascii="方正小标宋简体" w:hAnsi="黑体" w:eastAsia="方正小标宋简体" w:cs="黑体"/>
        </w:rPr>
        <w:t>年</w:t>
      </w:r>
      <w:r>
        <w:rPr>
          <w:rFonts w:hint="eastAsia" w:ascii="方正小标宋简体" w:hAnsi="黑体" w:eastAsia="方正小标宋简体" w:cs="黑体"/>
          <w:lang w:eastAsia="zh-CN"/>
        </w:rPr>
        <w:t>度部门</w:t>
      </w:r>
      <w:r>
        <w:rPr>
          <w:rFonts w:ascii="方正小标宋简体" w:hAnsi="黑体" w:eastAsia="方正小标宋简体" w:cs="黑体"/>
        </w:rPr>
        <w:t>整体支出绩效评价报告</w:t>
      </w:r>
      <w:r>
        <w:tab/>
      </w:r>
      <w:r>
        <w:rPr>
          <w:rFonts w:hint="eastAsia"/>
          <w:lang w:val="en-US" w:eastAsia="zh-CN"/>
        </w:rPr>
        <w:t>16</w:t>
      </w:r>
    </w:p>
    <w:p>
      <w:pPr>
        <w:pStyle w:val="13"/>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color w:val="000000"/>
        </w:rPr>
        <w:t>一、收</w:t>
      </w:r>
      <w:r>
        <w:rPr>
          <w:rFonts w:ascii="仿宋" w:hAnsi="仿宋" w:eastAsia="仿宋"/>
        </w:rPr>
        <w:t>入支出决算总表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color w:val="000000"/>
        </w:rPr>
        <w:t>二、收</w:t>
      </w:r>
      <w:r>
        <w:rPr>
          <w:rFonts w:ascii="仿宋" w:hAnsi="仿宋" w:eastAsia="仿宋"/>
        </w:rPr>
        <w:t>入决算表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三、</w:t>
      </w:r>
      <w:r>
        <w:rPr>
          <w:rFonts w:ascii="仿宋" w:hAnsi="仿宋" w:eastAsia="仿宋"/>
          <w:color w:val="000000"/>
        </w:rPr>
        <w:t>支</w:t>
      </w:r>
      <w:r>
        <w:rPr>
          <w:rFonts w:ascii="仿宋" w:hAnsi="仿宋" w:eastAsia="仿宋"/>
        </w:rPr>
        <w:t>出决算表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w:t>
      </w:r>
      <w:r>
        <w:rPr>
          <w:rFonts w:hint="eastAsia" w:ascii="仿宋" w:hAnsi="仿宋" w:eastAsia="仿宋"/>
          <w:lang w:eastAsia="zh-CN"/>
        </w:rPr>
        <w:t>明细</w:t>
      </w:r>
      <w:r>
        <w:rPr>
          <w:rFonts w:ascii="仿宋" w:hAnsi="仿宋" w:eastAsia="仿宋"/>
        </w:rPr>
        <w:t>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十、</w:t>
      </w:r>
      <w:r>
        <w:rPr>
          <w:rFonts w:ascii="仿宋" w:hAnsi="仿宋" w:eastAsia="仿宋"/>
          <w:color w:val="000000"/>
        </w:rPr>
        <w:t>政</w:t>
      </w:r>
      <w:r>
        <w:rPr>
          <w:rFonts w:ascii="仿宋" w:hAnsi="仿宋" w:eastAsia="仿宋"/>
        </w:rPr>
        <w:t>府性基金预算财政拨款收入支出决算表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十</w:t>
      </w:r>
      <w:r>
        <w:rPr>
          <w:rFonts w:hint="eastAsia" w:ascii="仿宋" w:hAnsi="仿宋" w:eastAsia="仿宋"/>
          <w:lang w:eastAsia="zh-CN"/>
        </w:rPr>
        <w:t>一</w:t>
      </w:r>
      <w:r>
        <w:rPr>
          <w:rFonts w:ascii="仿宋" w:hAnsi="仿宋" w:eastAsia="仿宋"/>
        </w:rPr>
        <w:t>、</w:t>
      </w:r>
      <w:r>
        <w:rPr>
          <w:rFonts w:ascii="仿宋" w:hAnsi="仿宋" w:eastAsia="仿宋"/>
          <w:color w:val="000000"/>
        </w:rPr>
        <w:t>国</w:t>
      </w:r>
      <w:r>
        <w:rPr>
          <w:rFonts w:ascii="仿宋" w:hAnsi="仿宋" w:eastAsia="仿宋"/>
        </w:rPr>
        <w:t>有资本经营预算财政拨款</w:t>
      </w:r>
      <w:r>
        <w:rPr>
          <w:rFonts w:hint="eastAsia" w:ascii="仿宋" w:hAnsi="仿宋" w:eastAsia="仿宋"/>
          <w:lang w:eastAsia="zh-CN"/>
        </w:rPr>
        <w:t>收入</w:t>
      </w:r>
      <w:r>
        <w:rPr>
          <w:rFonts w:ascii="仿宋" w:hAnsi="仿宋" w:eastAsia="仿宋"/>
        </w:rPr>
        <w:t>支出决算表</w:t>
      </w:r>
      <w:r>
        <w:tab/>
      </w:r>
      <w:r>
        <w:rPr>
          <w:rFonts w:hint="eastAsia"/>
          <w:lang w:val="en-US" w:eastAsia="zh-CN"/>
        </w:rPr>
        <w:t>19</w:t>
      </w:r>
    </w:p>
    <w:p>
      <w:pPr>
        <w:pStyle w:val="16"/>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十</w:t>
      </w:r>
      <w:r>
        <w:rPr>
          <w:rFonts w:hint="eastAsia" w:ascii="仿宋" w:hAnsi="仿宋" w:eastAsia="仿宋"/>
          <w:lang w:eastAsia="zh-CN"/>
        </w:rPr>
        <w:t>二</w:t>
      </w:r>
      <w:r>
        <w:rPr>
          <w:rFonts w:ascii="仿宋" w:hAnsi="仿宋" w:eastAsia="仿宋"/>
        </w:rPr>
        <w:t>、国有资本经营预算财政拨款支出决算表</w:t>
      </w:r>
      <w:r>
        <w:tab/>
      </w:r>
      <w:r>
        <w:rPr>
          <w:rFonts w:hint="eastAsia"/>
          <w:lang w:val="en-US" w:eastAsia="zh-CN"/>
        </w:rPr>
        <w:t>19</w:t>
      </w:r>
    </w:p>
    <w:p>
      <w:pPr>
        <w:pStyle w:val="16"/>
        <w:tabs>
          <w:tab w:val="right" w:leader="dot" w:pos="8296"/>
        </w:tabs>
        <w:ind w:left="0" w:leftChars="0" w:firstLine="200" w:firstLineChars="100"/>
        <w:rPr>
          <w:rFonts w:hint="default" w:hAnsiTheme="minorHAnsi" w:eastAsiaTheme="minorHAnsi" w:cstheme="minorBidi"/>
          <w:smallCaps w:val="0"/>
          <w:sz w:val="21"/>
          <w:szCs w:val="22"/>
          <w:lang w:val="en-US" w:eastAsia="zh-CN"/>
        </w:rPr>
      </w:pPr>
      <w:r>
        <w:rPr>
          <w:rFonts w:ascii="仿宋" w:hAnsi="仿宋" w:eastAsia="仿宋"/>
        </w:rPr>
        <w:t>十</w:t>
      </w:r>
      <w:r>
        <w:rPr>
          <w:rFonts w:hint="eastAsia" w:ascii="仿宋" w:hAnsi="仿宋" w:eastAsia="仿宋"/>
          <w:lang w:eastAsia="zh-CN"/>
        </w:rPr>
        <w:t>三</w:t>
      </w:r>
      <w:r>
        <w:rPr>
          <w:rFonts w:ascii="仿宋" w:hAnsi="仿宋" w:eastAsia="仿宋"/>
        </w:rPr>
        <w:t>、财政拨款“三公”经费支出决算表</w:t>
      </w:r>
      <w:r>
        <w:tab/>
      </w:r>
      <w:r>
        <w:rPr>
          <w:rFonts w:hint="eastAsia"/>
          <w:lang w:val="en-US" w:eastAsia="zh-CN"/>
        </w:rPr>
        <w:t>19</w:t>
      </w:r>
    </w:p>
    <w:p>
      <w:pPr>
        <w:pStyle w:val="2"/>
        <w:jc w:val="both"/>
        <w:rPr>
          <w:rFonts w:hint="eastAsia" w:ascii="黑体" w:hAnsi="黑体" w:eastAsia="黑体"/>
          <w:b w:val="0"/>
        </w:rPr>
      </w:pPr>
      <w:r>
        <w:rPr>
          <w:rFonts w:asciiTheme="minorHAnsi" w:eastAsiaTheme="minorHAnsi"/>
          <w:b/>
          <w:bCs/>
          <w:caps/>
          <w:sz w:val="20"/>
          <w:szCs w:val="20"/>
        </w:rPr>
        <w:fldChar w:fldCharType="end"/>
      </w:r>
      <w:bookmarkStart w:id="7" w:name="_Toc79163851"/>
      <w:bookmarkStart w:id="8" w:name="_Toc79163601"/>
      <w:r>
        <w:rPr>
          <w:rFonts w:hint="eastAsia" w:ascii="黑体" w:hAnsi="黑体" w:eastAsia="黑体" w:cs="黑体"/>
          <w:b w:val="0"/>
          <w:bCs w:val="0"/>
          <w:kern w:val="2"/>
          <w:sz w:val="32"/>
          <w:szCs w:val="32"/>
          <w:lang w:val="en-US" w:eastAsia="zh-CN" w:bidi="ar-SA"/>
        </w:rPr>
        <w:t xml:space="preserve">         </w:t>
      </w:r>
      <w:r>
        <w:rPr>
          <w:rFonts w:hint="eastAsia" w:asciiTheme="minorHAnsi" w:eastAsiaTheme="minorHAnsi"/>
          <w:b/>
          <w:bCs/>
          <w:caps/>
          <w:sz w:val="20"/>
          <w:szCs w:val="20"/>
          <w:lang w:val="en-US" w:eastAsia="zh-CN"/>
        </w:rPr>
        <w:t xml:space="preserve">      </w:t>
      </w:r>
      <w:r>
        <w:rPr>
          <w:rFonts w:hint="eastAsia" w:ascii="黑体" w:hAnsi="黑体" w:eastAsia="黑体"/>
          <w:b w:val="0"/>
        </w:rPr>
        <w:t>第一部分</w:t>
      </w:r>
      <w:r>
        <w:rPr>
          <w:rFonts w:ascii="黑体" w:hAnsi="黑体" w:eastAsia="黑体"/>
          <w:b w:val="0"/>
        </w:rPr>
        <w:t xml:space="preserve"> </w:t>
      </w:r>
      <w:r>
        <w:rPr>
          <w:rStyle w:val="22"/>
          <w:rFonts w:hint="eastAsia" w:ascii="黑体" w:hAnsi="黑体" w:eastAsia="黑体"/>
          <w:b w:val="0"/>
          <w:bCs w:val="0"/>
          <w:lang w:eastAsia="zh-CN"/>
        </w:rPr>
        <w:t>部门</w:t>
      </w:r>
      <w:r>
        <w:rPr>
          <w:rStyle w:val="22"/>
          <w:rFonts w:hint="eastAsia" w:ascii="黑体" w:hAnsi="黑体" w:eastAsia="黑体"/>
          <w:b w:val="0"/>
          <w:bCs w:val="0"/>
        </w:rPr>
        <w:t>概况</w:t>
      </w:r>
      <w:bookmarkEnd w:id="7"/>
      <w:bookmarkEnd w:id="8"/>
    </w:p>
    <w:p>
      <w:pPr>
        <w:numPr>
          <w:ilvl w:val="0"/>
          <w:numId w:val="0"/>
        </w:numPr>
        <w:bidi w:val="0"/>
        <w:rPr>
          <w:rFonts w:hint="eastAsia"/>
        </w:rPr>
      </w:pPr>
      <w:bookmarkStart w:id="9" w:name="_Toc79163603"/>
      <w:bookmarkStart w:id="10" w:name="_Toc15378445"/>
      <w:bookmarkStart w:id="11" w:name="_Toc15377198"/>
      <w:bookmarkStart w:id="12" w:name="_Toc79163853"/>
      <w:r>
        <w:rPr>
          <w:rFonts w:hint="eastAsia" w:ascii="黑体" w:hAnsi="黑体" w:eastAsia="黑体" w:cs="黑体"/>
          <w:sz w:val="32"/>
          <w:szCs w:val="32"/>
          <w:lang w:eastAsia="zh-CN"/>
        </w:rPr>
        <w:t>一</w:t>
      </w:r>
      <w:r>
        <w:rPr>
          <w:rFonts w:hint="eastAsia" w:ascii="黑体" w:hAnsi="黑体" w:eastAsia="黑体" w:cs="黑体"/>
          <w:sz w:val="32"/>
          <w:szCs w:val="32"/>
          <w:lang w:val="en-US" w:eastAsia="zh-CN"/>
        </w:rPr>
        <w:t>、部门职责</w:t>
      </w:r>
    </w:p>
    <w:bookmarkEnd w:id="9"/>
    <w:bookmarkEnd w:id="10"/>
    <w:bookmarkEnd w:id="11"/>
    <w:bookmarkEnd w:id="12"/>
    <w:p>
      <w:pPr>
        <w:pStyle w:val="6"/>
        <w:adjustRightInd w:val="0"/>
        <w:snapToGrid w:val="0"/>
        <w:spacing w:before="93" w:line="600" w:lineRule="exact"/>
        <w:ind w:firstLine="640" w:firstLineChars="200"/>
        <w:outlineLvl w:val="2"/>
        <w:rPr>
          <w:rFonts w:hint="eastAsia" w:ascii="仿宋_GB2312" w:hAnsi="Times New Roman" w:eastAsia="仿宋_GB2312" w:cs="Times New Roman"/>
          <w:kern w:val="2"/>
          <w:sz w:val="32"/>
          <w:szCs w:val="32"/>
          <w:lang w:val="en-US" w:eastAsia="zh-CN" w:bidi="ar-SA"/>
        </w:rPr>
      </w:pPr>
      <w:bookmarkStart w:id="13" w:name="_Toc79163854"/>
      <w:bookmarkStart w:id="14" w:name="_Toc79163604"/>
      <w:bookmarkStart w:id="15" w:name="_Toc15378446"/>
      <w:bookmarkStart w:id="16" w:name="_Toc15377199"/>
      <w:r>
        <w:rPr>
          <w:rFonts w:hint="eastAsia" w:ascii="仿宋_GB2312" w:hAnsi="Times New Roman" w:eastAsia="仿宋_GB2312" w:cs="Times New Roman"/>
          <w:kern w:val="2"/>
          <w:sz w:val="32"/>
          <w:szCs w:val="32"/>
          <w:lang w:val="en-US" w:eastAsia="zh-CN" w:bidi="ar-SA"/>
        </w:rPr>
        <w:t>1.贯彻落实养老保险法律法规及规章，负责养老保险参保登记、保费征缴、待遇支付，办理养老保险关系建立、转移、接续、终止等业务，制定业务操作规范并组织实施。</w:t>
      </w:r>
    </w:p>
    <w:p>
      <w:pPr>
        <w:spacing w:line="56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2.负责城乡居民养老保险个人账户管理、缴费记录维护及业务档案管理工作。</w:t>
      </w:r>
    </w:p>
    <w:p>
      <w:pPr>
        <w:spacing w:line="56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 严格执行社会保险基金财务、会计制度，规范基金管理，编制社会保险基金年度预决算及季度、月度财务报告，强化基金会计核算。</w:t>
      </w:r>
    </w:p>
    <w:p>
      <w:pPr>
        <w:spacing w:line="56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4. 拟定全县基本养老保险统筹规划、年度</w:t>
      </w:r>
      <w:r>
        <w:rPr>
          <w:rFonts w:hint="eastAsia" w:ascii="仿宋_GB2312" w:eastAsia="仿宋_GB2312" w:cs="Times New Roman"/>
          <w:kern w:val="2"/>
          <w:sz w:val="32"/>
          <w:szCs w:val="32"/>
          <w:lang w:val="en-US" w:eastAsia="zh-CN" w:bidi="ar-SA"/>
        </w:rPr>
        <w:t>统筹谋划</w:t>
      </w:r>
      <w:r>
        <w:rPr>
          <w:rFonts w:hint="eastAsia" w:ascii="仿宋_GB2312" w:hAnsi="Times New Roman" w:eastAsia="仿宋_GB2312" w:cs="Times New Roman"/>
          <w:kern w:val="2"/>
          <w:sz w:val="32"/>
          <w:szCs w:val="32"/>
          <w:lang w:val="en-US" w:eastAsia="zh-CN" w:bidi="ar-SA"/>
        </w:rPr>
        <w:t>，按规定完成社会保险调剂金上解。</w:t>
      </w:r>
    </w:p>
    <w:p>
      <w:pPr>
        <w:spacing w:line="560" w:lineRule="exact"/>
        <w:ind w:firstLine="640" w:firstLineChars="200"/>
        <w:rPr>
          <w:rFonts w:hint="eastAsia" w:ascii="仿宋_GB2312" w:eastAsia="仿宋_GB2312"/>
          <w:sz w:val="32"/>
          <w:szCs w:val="32"/>
        </w:rPr>
      </w:pPr>
      <w:r>
        <w:rPr>
          <w:rFonts w:hint="eastAsia" w:ascii="仿宋_GB2312" w:hAnsi="Times New Roman" w:eastAsia="仿宋_GB2312" w:cs="Times New Roman"/>
          <w:kern w:val="2"/>
          <w:sz w:val="32"/>
          <w:szCs w:val="32"/>
          <w:lang w:val="en-US" w:eastAsia="zh-CN" w:bidi="ar-SA"/>
        </w:rPr>
        <w:t>5.落实城乡居民退休人员基本养老金按时足额发放，开展退休人员社会化管理服务，规范养老金社会化发放</w:t>
      </w:r>
      <w:r>
        <w:rPr>
          <w:rFonts w:hint="eastAsia" w:ascii="仿宋_GB2312" w:eastAsia="仿宋_GB2312"/>
          <w:sz w:val="32"/>
          <w:szCs w:val="32"/>
        </w:rPr>
        <w:t>。</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6.组织开展养老保险稽核，加强养老保险基金监管，保障基金专款专用、安全完整。</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7.承担养老保险信息、统计数据的采集、整理、分析及管理工作。</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8.负责组织实施养老保险机构业务培训，提供养老保险咨询、查询服务，开展养老保险宣传工作。</w:t>
      </w:r>
    </w:p>
    <w:p>
      <w:pPr>
        <w:spacing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二、机构设置</w:t>
      </w:r>
    </w:p>
    <w:bookmarkEnd w:id="13"/>
    <w:bookmarkEnd w:id="14"/>
    <w:bookmarkEnd w:id="15"/>
    <w:bookmarkEnd w:id="16"/>
    <w:p>
      <w:pPr>
        <w:snapToGrid w:val="0"/>
        <w:spacing w:line="520" w:lineRule="exact"/>
        <w:ind w:firstLine="640" w:firstLineChars="200"/>
        <w:rPr>
          <w:rFonts w:hint="eastAsia" w:ascii="仿宋_GB2312" w:hAnsi="仿宋" w:eastAsia="仿宋_GB2312"/>
          <w:sz w:val="32"/>
          <w:szCs w:val="32"/>
        </w:rPr>
      </w:pPr>
      <w:bookmarkStart w:id="17" w:name="_Toc15377204"/>
      <w:bookmarkStart w:id="18" w:name="_Toc15396602"/>
      <w:bookmarkStart w:id="19" w:name="_Toc79163859"/>
      <w:bookmarkStart w:id="20" w:name="_Toc79163609"/>
      <w:r>
        <w:rPr>
          <w:rFonts w:hint="eastAsia" w:ascii="仿宋_GB2312" w:hAnsi="宋体" w:eastAsia="仿宋_GB2312" w:cs="宋体"/>
          <w:kern w:val="0"/>
          <w:sz w:val="32"/>
          <w:szCs w:val="32"/>
        </w:rPr>
        <w:t>壤塘县城乡居民养老保险</w:t>
      </w:r>
      <w:r>
        <w:rPr>
          <w:rFonts w:hint="eastAsia" w:ascii="仿宋_GB2312" w:hAnsi="宋体" w:eastAsia="仿宋_GB2312" w:cs="宋体"/>
          <w:kern w:val="0"/>
          <w:sz w:val="32"/>
          <w:szCs w:val="32"/>
          <w:lang w:eastAsia="zh-CN"/>
        </w:rPr>
        <w:t>事务中心</w:t>
      </w:r>
      <w:r>
        <w:rPr>
          <w:rFonts w:hint="eastAsia" w:ascii="仿宋_GB2312" w:hAnsi="宋体" w:eastAsia="仿宋_GB2312" w:cs="宋体"/>
          <w:kern w:val="0"/>
          <w:sz w:val="32"/>
          <w:szCs w:val="32"/>
        </w:rPr>
        <w:t>属</w:t>
      </w:r>
      <w:r>
        <w:rPr>
          <w:rFonts w:hint="eastAsia" w:ascii="仿宋_GB2312" w:hAnsi="宋体" w:eastAsia="仿宋_GB2312" w:cs="宋体"/>
          <w:kern w:val="0"/>
          <w:sz w:val="32"/>
          <w:szCs w:val="32"/>
          <w:lang w:eastAsia="zh-CN"/>
        </w:rPr>
        <w:t>一</w:t>
      </w:r>
      <w:r>
        <w:rPr>
          <w:rFonts w:hint="eastAsia" w:ascii="仿宋_GB2312" w:hAnsi="宋体" w:eastAsia="仿宋_GB2312" w:cs="宋体"/>
          <w:kern w:val="0"/>
          <w:sz w:val="32"/>
          <w:szCs w:val="32"/>
        </w:rPr>
        <w:t>级预算单位，其中内设机构1个。</w:t>
      </w:r>
      <w:r>
        <w:rPr>
          <w:rFonts w:hint="eastAsia" w:ascii="仿宋_GB2312" w:hAnsi="宋体" w:eastAsia="仿宋_GB2312" w:cs="仿宋_GB2312"/>
          <w:kern w:val="0"/>
          <w:sz w:val="32"/>
          <w:szCs w:val="32"/>
        </w:rPr>
        <w:t>总编制</w:t>
      </w:r>
      <w:r>
        <w:rPr>
          <w:rFonts w:hint="eastAsia" w:ascii="仿宋_GB2312" w:hAnsi="宋体" w:eastAsia="仿宋_GB2312" w:cs="仿宋_GB2312"/>
          <w:kern w:val="0"/>
          <w:sz w:val="32"/>
          <w:szCs w:val="32"/>
          <w:u w:val="single"/>
          <w:lang w:val="en-US" w:eastAsia="zh-CN"/>
        </w:rPr>
        <w:t>7</w:t>
      </w:r>
      <w:r>
        <w:rPr>
          <w:rFonts w:hint="eastAsia" w:ascii="仿宋_GB2312" w:hAnsi="宋体" w:eastAsia="仿宋_GB2312" w:cs="仿宋_GB2312"/>
          <w:kern w:val="0"/>
          <w:sz w:val="32"/>
          <w:szCs w:val="32"/>
        </w:rPr>
        <w:t>名</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其中</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行政编制</w:t>
      </w:r>
      <w:r>
        <w:rPr>
          <w:rFonts w:ascii="仿宋_GB2312" w:hAnsi="宋体" w:eastAsia="仿宋_GB2312" w:cs="仿宋_GB2312"/>
          <w:kern w:val="0"/>
          <w:sz w:val="32"/>
          <w:szCs w:val="32"/>
          <w:u w:val="single"/>
        </w:rPr>
        <w:t xml:space="preserve"> 0 </w:t>
      </w:r>
      <w:r>
        <w:rPr>
          <w:rFonts w:hint="eastAsia" w:ascii="仿宋_GB2312" w:hAnsi="宋体" w:eastAsia="仿宋_GB2312" w:cs="仿宋_GB2312"/>
          <w:kern w:val="0"/>
          <w:sz w:val="32"/>
          <w:szCs w:val="32"/>
        </w:rPr>
        <w:t>名。在职人员总数</w:t>
      </w:r>
      <w:r>
        <w:rPr>
          <w:rFonts w:hint="eastAsia" w:ascii="仿宋_GB2312" w:hAnsi="宋体" w:eastAsia="仿宋_GB2312" w:cs="仿宋_GB2312"/>
          <w:kern w:val="0"/>
          <w:sz w:val="32"/>
          <w:szCs w:val="32"/>
          <w:u w:val="single"/>
          <w:lang w:val="en-US" w:eastAsia="zh-CN"/>
        </w:rPr>
        <w:t>7</w:t>
      </w:r>
      <w:r>
        <w:rPr>
          <w:rFonts w:hint="eastAsia" w:ascii="仿宋_GB2312" w:hAnsi="宋体" w:eastAsia="仿宋_GB2312" w:cs="仿宋_GB2312"/>
          <w:kern w:val="0"/>
          <w:sz w:val="32"/>
          <w:szCs w:val="32"/>
        </w:rPr>
        <w:t>名，其中：行政人员</w:t>
      </w:r>
      <w:r>
        <w:rPr>
          <w:rFonts w:ascii="仿宋_GB2312" w:hAnsi="宋体" w:eastAsia="仿宋_GB2312" w:cs="仿宋_GB2312"/>
          <w:kern w:val="0"/>
          <w:sz w:val="32"/>
          <w:szCs w:val="32"/>
          <w:u w:val="single"/>
        </w:rPr>
        <w:t>0</w:t>
      </w:r>
      <w:r>
        <w:rPr>
          <w:rFonts w:hint="eastAsia" w:ascii="仿宋_GB2312" w:hAnsi="宋体" w:eastAsia="仿宋_GB2312" w:cs="仿宋_GB2312"/>
          <w:kern w:val="0"/>
          <w:sz w:val="32"/>
          <w:szCs w:val="32"/>
        </w:rPr>
        <w:t>名，其他事业人员</w:t>
      </w:r>
      <w:r>
        <w:rPr>
          <w:rFonts w:hint="eastAsia" w:ascii="仿宋_GB2312" w:hAnsi="宋体" w:eastAsia="仿宋_GB2312" w:cs="仿宋_GB2312"/>
          <w:kern w:val="0"/>
          <w:sz w:val="32"/>
          <w:szCs w:val="32"/>
          <w:u w:val="single"/>
          <w:lang w:val="en-US" w:eastAsia="zh-CN"/>
        </w:rPr>
        <w:t>7</w:t>
      </w:r>
      <w:r>
        <w:rPr>
          <w:rFonts w:hint="eastAsia" w:ascii="仿宋_GB2312" w:hAnsi="宋体" w:eastAsia="仿宋_GB2312" w:cs="仿宋_GB2312"/>
          <w:kern w:val="0"/>
          <w:sz w:val="32"/>
          <w:szCs w:val="32"/>
        </w:rPr>
        <w:t>名；退休人员</w:t>
      </w:r>
      <w:r>
        <w:rPr>
          <w:rFonts w:ascii="仿宋_GB2312" w:hAnsi="宋体" w:eastAsia="仿宋_GB2312" w:cs="仿宋_GB2312"/>
          <w:kern w:val="0"/>
          <w:sz w:val="32"/>
          <w:szCs w:val="32"/>
          <w:u w:val="single"/>
        </w:rPr>
        <w:t xml:space="preserve"> 0</w:t>
      </w:r>
      <w:r>
        <w:rPr>
          <w:rFonts w:hint="eastAsia" w:ascii="仿宋_GB2312" w:hAnsi="宋体" w:eastAsia="仿宋_GB2312" w:cs="仿宋_GB2312"/>
          <w:kern w:val="0"/>
          <w:sz w:val="32"/>
          <w:szCs w:val="32"/>
        </w:rPr>
        <w:t>人。</w:t>
      </w:r>
    </w:p>
    <w:p>
      <w:pPr>
        <w:pStyle w:val="2"/>
        <w:ind w:right="440"/>
        <w:jc w:val="center"/>
        <w:rPr>
          <w:rStyle w:val="22"/>
          <w:rFonts w:ascii="黑体" w:hAnsi="黑体" w:eastAsia="黑体"/>
          <w:b w:val="0"/>
          <w:bCs w:val="0"/>
        </w:rPr>
      </w:pPr>
      <w:r>
        <w:rPr>
          <w:rFonts w:hint="eastAsia" w:ascii="黑体" w:hAnsi="黑体" w:eastAsia="黑体"/>
          <w:b w:val="0"/>
          <w:color w:val="000000"/>
        </w:rPr>
        <w:t>第二部分</w:t>
      </w:r>
      <w:r>
        <w:rPr>
          <w:rFonts w:ascii="黑体" w:hAnsi="黑体" w:eastAsia="黑体"/>
          <w:color w:val="000000"/>
        </w:rPr>
        <w:t xml:space="preserve"> </w:t>
      </w:r>
      <w:r>
        <w:rPr>
          <w:rStyle w:val="22"/>
          <w:rFonts w:ascii="黑体" w:hAnsi="黑体" w:eastAsia="黑体"/>
          <w:b w:val="0"/>
          <w:bCs w:val="0"/>
        </w:rPr>
        <w:t>202</w:t>
      </w:r>
      <w:r>
        <w:rPr>
          <w:rStyle w:val="22"/>
          <w:rFonts w:hint="eastAsia" w:ascii="黑体" w:hAnsi="黑体" w:eastAsia="黑体"/>
          <w:b w:val="0"/>
          <w:bCs w:val="0"/>
          <w:lang w:val="en-US" w:eastAsia="zh-CN"/>
        </w:rPr>
        <w:t>5</w:t>
      </w:r>
      <w:r>
        <w:rPr>
          <w:rStyle w:val="22"/>
          <w:rFonts w:hint="eastAsia" w:ascii="黑体" w:hAnsi="黑体" w:eastAsia="黑体"/>
          <w:b w:val="0"/>
          <w:bCs w:val="0"/>
        </w:rPr>
        <w:t>年度</w:t>
      </w:r>
      <w:r>
        <w:rPr>
          <w:rStyle w:val="22"/>
          <w:rFonts w:hint="eastAsia" w:ascii="黑体" w:hAnsi="黑体" w:eastAsia="黑体"/>
          <w:b w:val="0"/>
          <w:bCs w:val="0"/>
          <w:lang w:eastAsia="zh-CN"/>
        </w:rPr>
        <w:t>部门</w:t>
      </w:r>
      <w:r>
        <w:rPr>
          <w:rStyle w:val="22"/>
          <w:rFonts w:hint="eastAsia" w:ascii="黑体" w:hAnsi="黑体" w:eastAsia="黑体"/>
          <w:b w:val="0"/>
          <w:bCs w:val="0"/>
        </w:rPr>
        <w:t>决算情况说明</w:t>
      </w:r>
      <w:bookmarkEnd w:id="17"/>
      <w:bookmarkEnd w:id="18"/>
      <w:bookmarkEnd w:id="19"/>
      <w:bookmarkEnd w:id="20"/>
    </w:p>
    <w:p>
      <w:pPr>
        <w:pStyle w:val="33"/>
        <w:numPr>
          <w:ilvl w:val="0"/>
          <w:numId w:val="1"/>
        </w:numPr>
        <w:spacing w:line="600" w:lineRule="exact"/>
        <w:ind w:firstLineChars="0"/>
        <w:outlineLvl w:val="1"/>
        <w:rPr>
          <w:rStyle w:val="23"/>
          <w:rFonts w:ascii="黑体" w:hAnsi="黑体" w:eastAsia="黑体"/>
          <w:b w:val="0"/>
        </w:rPr>
      </w:pPr>
      <w:bookmarkStart w:id="21" w:name="_Toc15377205"/>
      <w:bookmarkStart w:id="22" w:name="_Toc79163610"/>
      <w:bookmarkStart w:id="23" w:name="_Toc79163860"/>
      <w:bookmarkStart w:id="24" w:name="_Toc15396603"/>
      <w:r>
        <w:rPr>
          <w:rFonts w:hint="eastAsia" w:ascii="黑体" w:hAnsi="黑体" w:eastAsia="黑体"/>
          <w:color w:val="000000"/>
          <w:sz w:val="32"/>
          <w:szCs w:val="32"/>
        </w:rPr>
        <w:t>收</w:t>
      </w:r>
      <w:r>
        <w:rPr>
          <w:rStyle w:val="23"/>
          <w:rFonts w:hint="eastAsia" w:ascii="黑体" w:hAnsi="黑体" w:eastAsia="黑体"/>
          <w:b w:val="0"/>
        </w:rPr>
        <w:t>入支出决算总体情况说</w:t>
      </w:r>
      <w:bookmarkEnd w:id="21"/>
      <w:bookmarkEnd w:id="22"/>
      <w:bookmarkEnd w:id="23"/>
      <w:bookmarkEnd w:id="24"/>
      <w:r>
        <w:rPr>
          <w:rStyle w:val="23"/>
          <w:rFonts w:hint="eastAsia" w:ascii="黑体" w:hAnsi="黑体" w:eastAsia="黑体"/>
          <w:b w:val="0"/>
          <w:lang w:eastAsia="zh-CN"/>
        </w:rPr>
        <w:t>明</w:t>
      </w:r>
    </w:p>
    <w:p>
      <w:pPr>
        <w:snapToGrid w:val="0"/>
        <w:spacing w:line="56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val="en-US" w:eastAsia="zh-CN"/>
        </w:rPr>
        <w:t>2025</w:t>
      </w:r>
      <w:r>
        <w:rPr>
          <w:rFonts w:hint="eastAsia" w:ascii="仿宋" w:hAnsi="仿宋" w:eastAsia="仿宋"/>
          <w:color w:val="000000"/>
          <w:sz w:val="32"/>
          <w:szCs w:val="32"/>
        </w:rPr>
        <w:t>年度收入总</w:t>
      </w:r>
      <w:r>
        <w:rPr>
          <w:rFonts w:hint="eastAsia" w:ascii="仿宋" w:hAnsi="仿宋" w:eastAsia="仿宋"/>
          <w:color w:val="auto"/>
          <w:sz w:val="32"/>
          <w:szCs w:val="32"/>
        </w:rPr>
        <w:t>计</w:t>
      </w:r>
      <w:r>
        <w:rPr>
          <w:rFonts w:hint="eastAsia" w:ascii="仿宋" w:hAnsi="仿宋" w:eastAsia="仿宋"/>
          <w:color w:val="auto"/>
          <w:sz w:val="32"/>
          <w:szCs w:val="32"/>
          <w:lang w:val="en-US" w:eastAsia="zh-CN"/>
        </w:rPr>
        <w:t>201.66</w:t>
      </w:r>
      <w:r>
        <w:rPr>
          <w:rFonts w:hint="eastAsia" w:ascii="仿宋" w:hAnsi="仿宋" w:eastAsia="仿宋"/>
          <w:color w:val="000000"/>
          <w:sz w:val="32"/>
          <w:szCs w:val="32"/>
        </w:rPr>
        <w:t>万元。与20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218.98</w:t>
      </w:r>
      <w:r>
        <w:rPr>
          <w:rFonts w:hint="eastAsia" w:ascii="仿宋" w:hAnsi="仿宋" w:eastAsia="仿宋"/>
          <w:color w:val="000000"/>
          <w:sz w:val="32"/>
          <w:szCs w:val="32"/>
        </w:rPr>
        <w:t>万元相比，收入</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17.32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8.59</w:t>
      </w:r>
      <w:r>
        <w:rPr>
          <w:rFonts w:hint="eastAsia" w:ascii="仿宋" w:hAnsi="仿宋" w:eastAsia="仿宋"/>
          <w:color w:val="000000"/>
          <w:sz w:val="32"/>
          <w:szCs w:val="32"/>
        </w:rPr>
        <w:t>%。</w:t>
      </w:r>
      <w:r>
        <w:rPr>
          <w:rFonts w:hint="eastAsia" w:ascii="仿宋" w:hAnsi="仿宋" w:eastAsia="仿宋"/>
          <w:color w:val="000000"/>
          <w:sz w:val="32"/>
          <w:szCs w:val="32"/>
          <w:lang w:eastAsia="zh-CN"/>
        </w:rPr>
        <w:t>主要</w:t>
      </w:r>
      <w:r>
        <w:rPr>
          <w:rFonts w:hint="eastAsia" w:ascii="仿宋_GB2312" w:hAnsi="仿宋" w:eastAsia="仿宋_GB2312" w:cs="仿宋"/>
          <w:sz w:val="32"/>
          <w:szCs w:val="32"/>
          <w:lang w:eastAsia="zh-CN"/>
        </w:rPr>
        <w:t>下降</w:t>
      </w:r>
      <w:r>
        <w:rPr>
          <w:rFonts w:hint="eastAsia" w:ascii="仿宋_GB2312" w:hAnsi="仿宋" w:eastAsia="仿宋_GB2312" w:cs="仿宋"/>
          <w:sz w:val="32"/>
          <w:szCs w:val="32"/>
        </w:rPr>
        <w:t>原因为：</w:t>
      </w:r>
      <w:r>
        <w:rPr>
          <w:rFonts w:hint="eastAsia" w:ascii="仿宋_GB2312" w:hAnsi="仿宋" w:eastAsia="仿宋_GB2312" w:cs="仿宋"/>
          <w:sz w:val="32"/>
          <w:szCs w:val="32"/>
          <w:lang w:val="en-US" w:eastAsia="zh-CN"/>
        </w:rPr>
        <w:t>厉行节约，相关业务活动缩减</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 xml:space="preserve"> </w:t>
      </w:r>
    </w:p>
    <w:p>
      <w:pPr>
        <w:ind w:firstLine="800" w:firstLineChars="250"/>
        <w:jc w:val="left"/>
        <w:rPr>
          <w:rFonts w:hint="eastAsia"/>
          <w:sz w:val="32"/>
          <w:szCs w:val="32"/>
        </w:rPr>
      </w:pPr>
      <w:r>
        <w:rPr>
          <w:rFonts w:hint="eastAsia" w:ascii="仿宋" w:hAnsi="仿宋" w:eastAsia="仿宋"/>
          <w:color w:val="000000"/>
          <w:sz w:val="32"/>
          <w:szCs w:val="32"/>
          <w:lang w:val="en-US" w:eastAsia="zh-CN"/>
        </w:rPr>
        <w:t>2025</w:t>
      </w:r>
      <w:r>
        <w:rPr>
          <w:rFonts w:hint="eastAsia" w:ascii="仿宋" w:hAnsi="仿宋" w:eastAsia="仿宋"/>
          <w:color w:val="000000"/>
          <w:sz w:val="32"/>
          <w:szCs w:val="32"/>
        </w:rPr>
        <w:t>年度支出总计</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218.98</w:t>
      </w:r>
      <w:r>
        <w:rPr>
          <w:rFonts w:hint="eastAsia" w:ascii="仿宋" w:hAnsi="仿宋" w:eastAsia="仿宋"/>
          <w:color w:val="000000"/>
          <w:sz w:val="32"/>
          <w:szCs w:val="32"/>
        </w:rPr>
        <w:t>万元相比，支出</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17.32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8.59</w:t>
      </w:r>
      <w:r>
        <w:rPr>
          <w:rFonts w:hint="eastAsia" w:ascii="仿宋" w:hAnsi="仿宋" w:eastAsia="仿宋"/>
          <w:color w:val="000000"/>
          <w:sz w:val="32"/>
          <w:szCs w:val="32"/>
        </w:rPr>
        <w:t>%。主要</w:t>
      </w:r>
      <w:r>
        <w:rPr>
          <w:rFonts w:hint="eastAsia" w:ascii="仿宋" w:hAnsi="仿宋" w:eastAsia="仿宋"/>
          <w:color w:val="000000"/>
          <w:sz w:val="32"/>
          <w:szCs w:val="32"/>
          <w:lang w:eastAsia="zh-CN"/>
        </w:rPr>
        <w:t>下降</w:t>
      </w:r>
      <w:r>
        <w:rPr>
          <w:rFonts w:hint="eastAsia" w:ascii="仿宋" w:hAnsi="仿宋" w:eastAsia="仿宋"/>
          <w:color w:val="000000"/>
          <w:sz w:val="32"/>
          <w:szCs w:val="32"/>
        </w:rPr>
        <w:t>原因</w:t>
      </w:r>
      <w:r>
        <w:rPr>
          <w:rFonts w:hint="eastAsia" w:ascii="仿宋" w:hAnsi="仿宋" w:eastAsia="仿宋"/>
          <w:color w:val="000000"/>
          <w:sz w:val="32"/>
          <w:szCs w:val="32"/>
          <w:lang w:eastAsia="zh-CN"/>
        </w:rPr>
        <w:t>：</w:t>
      </w:r>
      <w:r>
        <w:rPr>
          <w:rFonts w:hint="eastAsia" w:ascii="仿宋_GB2312" w:hAnsi="仿宋" w:eastAsia="仿宋_GB2312" w:cs="仿宋"/>
          <w:sz w:val="32"/>
          <w:szCs w:val="32"/>
          <w:lang w:val="en-US" w:eastAsia="zh-CN"/>
        </w:rPr>
        <w:t>厉行节约，压减差旅费等一般性支出</w:t>
      </w:r>
      <w:r>
        <w:rPr>
          <w:rFonts w:hint="eastAsia" w:ascii="仿宋_GB2312" w:hAnsi="仿宋" w:eastAsia="仿宋_GB2312" w:cs="仿宋"/>
          <w:sz w:val="32"/>
          <w:szCs w:val="32"/>
        </w:rPr>
        <w:t>。</w:t>
      </w:r>
      <w:r>
        <w:rPr>
          <w:rFonts w:hint="eastAsia"/>
          <w:sz w:val="32"/>
          <w:szCs w:val="32"/>
        </w:rPr>
        <w:object>
          <v:shape id="_x0000_i1025" o:spt="75" type="#_x0000_t75" style="height:310.75pt;width:375.6pt;" o:ole="t" filled="f" o:preferrelative="t" stroked="f" coordsize="21600,21600">
            <v:path/>
            <v:fill on="f" focussize="0,0"/>
            <v:stroke on="f"/>
            <v:imagedata r:id="rId7" cropbottom="-29f" o:title=""/>
            <o:lock v:ext="edit" aspectratio="f"/>
            <w10:wrap type="none"/>
            <w10:anchorlock/>
          </v:shape>
          <o:OLEObject Type="Embed" ProgID="Excel.Chart.8" ShapeID="_x0000_i1025" DrawAspect="Content" ObjectID="_1468075725" r:id="rId6">
            <o:LockedField>false</o:LockedField>
          </o:OLEObject>
        </w:object>
      </w:r>
    </w:p>
    <w:p>
      <w:pPr>
        <w:ind w:firstLine="800" w:firstLineChars="250"/>
        <w:jc w:val="left"/>
        <w:rPr>
          <w:sz w:val="32"/>
          <w:szCs w:val="32"/>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p>
    <w:p>
      <w:pPr>
        <w:pStyle w:val="33"/>
        <w:numPr>
          <w:ilvl w:val="0"/>
          <w:numId w:val="1"/>
        </w:numPr>
        <w:spacing w:line="600" w:lineRule="exact"/>
        <w:ind w:firstLineChars="0"/>
        <w:outlineLvl w:val="1"/>
        <w:rPr>
          <w:rStyle w:val="23"/>
          <w:rFonts w:ascii="黑体" w:hAnsi="黑体" w:eastAsia="黑体"/>
          <w:b w:val="0"/>
        </w:rPr>
      </w:pPr>
      <w:bookmarkStart w:id="25" w:name="_Toc15377206"/>
      <w:bookmarkStart w:id="26" w:name="_Toc79163861"/>
      <w:bookmarkStart w:id="27" w:name="_Toc79163611"/>
      <w:bookmarkStart w:id="28" w:name="_Toc15396604"/>
      <w:r>
        <w:rPr>
          <w:rFonts w:hint="eastAsia" w:ascii="黑体" w:hAnsi="黑体" w:eastAsia="黑体"/>
          <w:color w:val="000000"/>
          <w:sz w:val="32"/>
          <w:szCs w:val="32"/>
        </w:rPr>
        <w:t>收</w:t>
      </w:r>
      <w:r>
        <w:rPr>
          <w:rStyle w:val="23"/>
          <w:rFonts w:hint="eastAsia" w:ascii="黑体" w:hAnsi="黑体" w:eastAsia="黑体"/>
          <w:b w:val="0"/>
        </w:rPr>
        <w:t>入决算情况说明</w:t>
      </w:r>
      <w:bookmarkEnd w:id="25"/>
      <w:bookmarkEnd w:id="26"/>
      <w:bookmarkEnd w:id="27"/>
      <w:bookmarkEnd w:id="28"/>
    </w:p>
    <w:p>
      <w:pPr>
        <w:spacing w:line="600" w:lineRule="exact"/>
        <w:ind w:firstLine="640" w:firstLineChars="200"/>
        <w:rPr>
          <w:rFonts w:ascii="仿宋_GB2312" w:eastAsia="仿宋_GB2312"/>
          <w:color w:val="FF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201.66万</w:t>
      </w:r>
      <w:r>
        <w:rPr>
          <w:rFonts w:hint="eastAsia" w:ascii="仿宋" w:hAnsi="仿宋" w:eastAsia="仿宋"/>
          <w:color w:val="000000"/>
          <w:sz w:val="32"/>
          <w:szCs w:val="32"/>
        </w:rPr>
        <w:t>元，其中：一般公共预算财政拨款收入</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万元，占100%；本单位无政府性基金预算财政拨款收入、</w:t>
      </w:r>
      <w:r>
        <w:rPr>
          <w:rFonts w:hint="eastAsia" w:ascii="仿宋" w:hAnsi="仿宋" w:eastAsia="仿宋"/>
          <w:color w:val="000000"/>
          <w:sz w:val="32"/>
          <w:szCs w:val="32"/>
          <w:lang w:eastAsia="zh-CN"/>
        </w:rPr>
        <w:t>国有资本经营预算财政拨款收入、</w:t>
      </w:r>
      <w:r>
        <w:rPr>
          <w:rFonts w:hint="eastAsia" w:ascii="仿宋" w:hAnsi="仿宋" w:eastAsia="仿宋"/>
          <w:color w:val="000000"/>
          <w:sz w:val="32"/>
          <w:szCs w:val="32"/>
        </w:rPr>
        <w:t>上级补助收入、事业收入、经营收入、附属单位上缴收入、其他收入。</w:t>
      </w:r>
    </w:p>
    <w:p>
      <w:pPr>
        <w:spacing w:line="600" w:lineRule="exact"/>
        <w:ind w:firstLine="960" w:firstLineChars="3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r>
        <w:rPr>
          <w:rFonts w:hint="eastAsia" w:ascii="仿宋_GB2312" w:hAnsi="仿宋" w:eastAsia="仿宋_GB2312" w:cs="仿宋_GB2312"/>
          <w:sz w:val="32"/>
          <w:szCs w:val="32"/>
        </w:rPr>
        <w:pict>
          <v:shape id="_x0000_s1028" o:spid="_x0000_s1028" o:spt="75" type="#_x0000_t75" style="position:absolute;left:0pt;margin-left:21.5pt;margin-top:23.9pt;height:237.95pt;width:382.8pt;mso-wrap-distance-bottom:0pt;mso-wrap-distance-top:0pt;z-index:251659264;mso-width-relative:page;mso-height-relative:page;" o:ole="t" filled="f" o:preferrelative="t" stroked="f" coordsize="21600,21600">
            <v:path/>
            <v:fill on="f" focussize="0,0"/>
            <v:stroke on="f"/>
            <v:imagedata r:id="rId9" o:title=""/>
            <o:lock v:ext="edit" aspectratio="t"/>
            <w10:wrap type="topAndBottom"/>
          </v:shape>
          <o:OLEObject Type="Embed" ProgID="Excel.Chart.8" ShapeID="_x0000_s1028" DrawAspect="Content" ObjectID="_1468075726" r:id="rId8">
            <o:LockedField>false</o:LockedField>
          </o:OLEObject>
        </w:pict>
      </w:r>
    </w:p>
    <w:p>
      <w:pPr>
        <w:pStyle w:val="33"/>
        <w:numPr>
          <w:ilvl w:val="0"/>
          <w:numId w:val="1"/>
        </w:numPr>
        <w:spacing w:line="600" w:lineRule="exact"/>
        <w:ind w:firstLineChars="0"/>
        <w:outlineLvl w:val="1"/>
        <w:rPr>
          <w:rStyle w:val="23"/>
          <w:rFonts w:ascii="黑体" w:hAnsi="黑体" w:eastAsia="黑体"/>
          <w:b w:val="0"/>
        </w:rPr>
      </w:pPr>
      <w:bookmarkStart w:id="29" w:name="_Toc79163862"/>
      <w:bookmarkStart w:id="30" w:name="_Toc15396605"/>
      <w:bookmarkStart w:id="31" w:name="_Toc79163612"/>
      <w:bookmarkStart w:id="32" w:name="_Toc15377207"/>
      <w:r>
        <w:rPr>
          <w:rFonts w:hint="eastAsia" w:ascii="黑体" w:hAnsi="黑体" w:eastAsia="黑体"/>
          <w:color w:val="000000"/>
          <w:sz w:val="32"/>
          <w:szCs w:val="32"/>
        </w:rPr>
        <w:t>支</w:t>
      </w:r>
      <w:r>
        <w:rPr>
          <w:rStyle w:val="23"/>
          <w:rFonts w:hint="eastAsia" w:ascii="黑体" w:hAnsi="黑体" w:eastAsia="黑体"/>
          <w:b w:val="0"/>
        </w:rPr>
        <w:t>出决算情况说明</w:t>
      </w:r>
      <w:bookmarkEnd w:id="29"/>
      <w:bookmarkEnd w:id="30"/>
      <w:bookmarkEnd w:id="31"/>
      <w:bookmarkEnd w:id="32"/>
    </w:p>
    <w:p>
      <w:pPr>
        <w:spacing w:line="600" w:lineRule="exact"/>
        <w:ind w:firstLine="640" w:firstLineChars="200"/>
        <w:rPr>
          <w:rFonts w:hint="eastAsia" w:ascii="仿宋_GB2312" w:eastAsia="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201.66</w:t>
      </w:r>
      <w:r>
        <w:rPr>
          <w:rFonts w:hint="eastAsia" w:ascii="仿宋_GB2312" w:eastAsia="仿宋_GB2312"/>
          <w:sz w:val="32"/>
          <w:szCs w:val="32"/>
        </w:rPr>
        <w:t>万元，其中：基本支出</w:t>
      </w:r>
      <w:r>
        <w:rPr>
          <w:rFonts w:hint="eastAsia" w:ascii="仿宋_GB2312" w:eastAsia="仿宋_GB2312"/>
          <w:sz w:val="32"/>
          <w:szCs w:val="32"/>
          <w:lang w:val="en-US" w:eastAsia="zh-CN"/>
        </w:rPr>
        <w:t>201.66</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%；本单位无</w:t>
      </w:r>
      <w:r>
        <w:rPr>
          <w:rFonts w:hint="eastAsia" w:ascii="仿宋_GB2312" w:eastAsia="仿宋_GB2312"/>
          <w:sz w:val="32"/>
          <w:szCs w:val="32"/>
          <w:lang w:eastAsia="zh-CN"/>
        </w:rPr>
        <w:t>项目支出、</w:t>
      </w:r>
      <w:r>
        <w:rPr>
          <w:rFonts w:hint="eastAsia" w:ascii="仿宋_GB2312" w:eastAsia="仿宋_GB2312"/>
          <w:sz w:val="32"/>
          <w:szCs w:val="32"/>
        </w:rPr>
        <w:t>上缴上级支出、经营支出、对附属单位补助支出。</w:t>
      </w:r>
    </w:p>
    <w:p>
      <w:pPr>
        <w:spacing w:line="600" w:lineRule="exact"/>
        <w:rPr>
          <w:rFonts w:ascii="仿宋_GB2312" w:eastAsia="仿宋_GB2312"/>
          <w:color w:val="FF0000"/>
          <w:sz w:val="32"/>
          <w:szCs w:val="32"/>
        </w:rPr>
      </w:pPr>
      <w:r>
        <w:rPr>
          <w:rFonts w:hint="eastAsia" w:ascii="仿宋_GB2312" w:hAnsi="仿宋" w:eastAsia="仿宋_GB2312" w:cs="仿宋_GB2312"/>
          <w:sz w:val="32"/>
          <w:szCs w:val="32"/>
        </w:rPr>
        <w:pict>
          <v:shape id="_x0000_s1033" o:spid="_x0000_s1033" o:spt="75" type="#_x0000_t75" style="position:absolute;left:0pt;margin-left:50.25pt;margin-top:39.8pt;height:203.75pt;width:326.7pt;mso-wrap-distance-bottom:0pt;mso-wrap-distance-top:0pt;z-index:251661312;mso-width-relative:page;mso-height-relative:page;" o:ole="t" filled="f" o:preferrelative="t" stroked="f" coordsize="21600,21600">
            <v:path/>
            <v:fill on="f" focussize="0,0"/>
            <v:stroke on="f"/>
            <v:imagedata r:id="rId11" o:title=""/>
            <o:lock v:ext="edit" aspectratio="t"/>
            <w10:wrap type="topAndBottom"/>
          </v:shape>
          <o:OLEObject Type="Embed" ProgID="Excel.Chart.8" ShapeID="_x0000_s1033" DrawAspect="Content" ObjectID="_1468075727" r:id="rId10">
            <o:LockedField>false</o:LockedField>
          </o:OLEObject>
        </w:pict>
      </w:r>
      <w:bookmarkStart w:id="33" w:name="_Toc79163863"/>
      <w:bookmarkStart w:id="34" w:name="_Toc15377208"/>
      <w:bookmarkStart w:id="35" w:name="_Toc79163613"/>
      <w:bookmarkStart w:id="36" w:name="_Toc15396606"/>
      <w:bookmarkStart w:id="37" w:name="_Toc15396607"/>
      <w:bookmarkStart w:id="38" w:name="_Toc15377209"/>
      <w:bookmarkStart w:id="39" w:name="_Toc79163614"/>
      <w:bookmarkStart w:id="40" w:name="_Toc79163864"/>
      <w:r>
        <w:rPr>
          <w:rFonts w:hint="eastAsia" w:ascii="仿宋_GB2312" w:hAnsi="仿宋" w:eastAsia="仿宋_GB2312" w:cs="仿宋_GB2312"/>
          <w:sz w:val="32"/>
          <w:szCs w:val="32"/>
          <w:lang w:val="en-US" w:eastAsia="zh-CN"/>
        </w:rPr>
        <w:t xml:space="preserve">       </w:t>
      </w: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pPr>
        <w:spacing w:line="600" w:lineRule="exact"/>
        <w:ind w:firstLine="640" w:firstLineChars="200"/>
        <w:outlineLvl w:val="1"/>
        <w:rPr>
          <w:rStyle w:val="23"/>
          <w:rFonts w:ascii="黑体" w:hAnsi="黑体" w:eastAsia="黑体"/>
          <w:b w:val="0"/>
        </w:rPr>
      </w:pPr>
      <w:r>
        <w:rPr>
          <w:rFonts w:hint="eastAsia" w:ascii="黑体" w:hAnsi="黑体" w:eastAsia="黑体"/>
          <w:color w:val="000000"/>
          <w:sz w:val="32"/>
          <w:szCs w:val="32"/>
        </w:rPr>
        <w:t>四、财</w:t>
      </w:r>
      <w:r>
        <w:rPr>
          <w:rStyle w:val="23"/>
          <w:rFonts w:hint="eastAsia" w:ascii="黑体" w:hAnsi="黑体" w:eastAsia="黑体"/>
          <w:b w:val="0"/>
        </w:rPr>
        <w:t>政拨款收入支出决算总体情况说明</w:t>
      </w:r>
      <w:bookmarkEnd w:id="33"/>
      <w:bookmarkEnd w:id="34"/>
      <w:bookmarkEnd w:id="35"/>
      <w:bookmarkEnd w:id="36"/>
    </w:p>
    <w:p>
      <w:pPr>
        <w:spacing w:line="600" w:lineRule="exact"/>
        <w:ind w:firstLine="640" w:firstLineChars="200"/>
        <w:rPr>
          <w:rFonts w:hint="eastAsia" w:ascii="仿宋_GB2312" w:hAnsi="仿宋" w:eastAsia="仿宋_GB2312" w:cs="仿宋"/>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年财政拨款收入总计</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218.98</w:t>
      </w:r>
      <w:r>
        <w:rPr>
          <w:rFonts w:hint="eastAsia" w:ascii="仿宋" w:hAnsi="仿宋" w:eastAsia="仿宋"/>
          <w:color w:val="000000"/>
          <w:sz w:val="32"/>
          <w:szCs w:val="32"/>
        </w:rPr>
        <w:t>万元相比，财政拨款收入总计</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17.32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8.59</w:t>
      </w:r>
      <w:r>
        <w:rPr>
          <w:rFonts w:hint="eastAsia" w:ascii="仿宋" w:hAnsi="仿宋" w:eastAsia="仿宋"/>
          <w:color w:val="000000"/>
          <w:sz w:val="32"/>
          <w:szCs w:val="32"/>
        </w:rPr>
        <w:t>%。主要</w:t>
      </w:r>
      <w:r>
        <w:rPr>
          <w:rFonts w:hint="eastAsia" w:ascii="仿宋" w:hAnsi="仿宋" w:eastAsia="仿宋"/>
          <w:color w:val="000000"/>
          <w:sz w:val="32"/>
          <w:szCs w:val="32"/>
          <w:lang w:eastAsia="zh-CN"/>
        </w:rPr>
        <w:t>变动</w:t>
      </w:r>
      <w:r>
        <w:rPr>
          <w:rFonts w:hint="eastAsia" w:ascii="仿宋" w:hAnsi="仿宋" w:eastAsia="仿宋"/>
          <w:color w:val="000000"/>
          <w:sz w:val="32"/>
          <w:szCs w:val="32"/>
        </w:rPr>
        <w:t>原因</w:t>
      </w:r>
      <w:r>
        <w:rPr>
          <w:rFonts w:hint="eastAsia" w:ascii="仿宋" w:hAnsi="仿宋" w:eastAsia="仿宋"/>
          <w:color w:val="000000"/>
          <w:sz w:val="32"/>
          <w:szCs w:val="32"/>
          <w:lang w:eastAsia="zh-CN"/>
        </w:rPr>
        <w:t>：</w:t>
      </w:r>
      <w:r>
        <w:rPr>
          <w:rFonts w:hint="eastAsia" w:ascii="仿宋_GB2312" w:hAnsi="仿宋" w:eastAsia="仿宋_GB2312" w:cs="仿宋"/>
          <w:sz w:val="32"/>
          <w:szCs w:val="32"/>
          <w:lang w:val="en-US" w:eastAsia="zh-CN"/>
        </w:rPr>
        <w:t>厉行节约，相关业务活动缩减</w:t>
      </w:r>
      <w:r>
        <w:rPr>
          <w:rFonts w:hint="eastAsia" w:ascii="仿宋_GB2312" w:hAnsi="仿宋" w:eastAsia="仿宋_GB2312" w:cs="仿宋"/>
          <w:sz w:val="32"/>
          <w:szCs w:val="32"/>
        </w:rPr>
        <w:t>。</w:t>
      </w:r>
    </w:p>
    <w:p>
      <w:pPr>
        <w:spacing w:line="600" w:lineRule="exact"/>
        <w:ind w:firstLine="640" w:firstLineChars="200"/>
        <w:rPr>
          <w:rFonts w:hint="eastAsia" w:ascii="仿宋_GB2312" w:hAnsi="仿宋" w:eastAsia="仿宋_GB2312" w:cs="仿宋"/>
          <w:sz w:val="32"/>
          <w:szCs w:val="32"/>
        </w:rPr>
      </w:pPr>
      <w:r>
        <w:rPr>
          <w:rFonts w:hint="eastAsia" w:ascii="仿宋" w:hAnsi="仿宋" w:eastAsia="仿宋"/>
          <w:color w:val="000000"/>
          <w:sz w:val="32"/>
          <w:szCs w:val="32"/>
          <w:lang w:val="en-US" w:eastAsia="zh-CN"/>
        </w:rPr>
        <w:t>2025</w:t>
      </w:r>
      <w:r>
        <w:rPr>
          <w:rFonts w:hint="eastAsia" w:ascii="仿宋" w:hAnsi="仿宋" w:eastAsia="仿宋"/>
          <w:color w:val="000000"/>
          <w:sz w:val="32"/>
          <w:szCs w:val="32"/>
        </w:rPr>
        <w:t>年财政拨款支出总计</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218.98</w:t>
      </w:r>
      <w:r>
        <w:rPr>
          <w:rFonts w:hint="eastAsia" w:ascii="仿宋" w:hAnsi="仿宋" w:eastAsia="仿宋"/>
          <w:color w:val="000000"/>
          <w:sz w:val="32"/>
          <w:szCs w:val="32"/>
        </w:rPr>
        <w:t>万元相比，财政拨款支出总计</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17.32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8.59</w:t>
      </w:r>
      <w:r>
        <w:rPr>
          <w:rFonts w:hint="eastAsia" w:ascii="仿宋" w:hAnsi="仿宋" w:eastAsia="仿宋"/>
          <w:color w:val="000000"/>
          <w:sz w:val="32"/>
          <w:szCs w:val="32"/>
        </w:rPr>
        <w:t>%。主要变动原因</w:t>
      </w:r>
      <w:r>
        <w:rPr>
          <w:rFonts w:hint="eastAsia" w:ascii="仿宋" w:hAnsi="仿宋" w:eastAsia="仿宋"/>
          <w:color w:val="000000"/>
          <w:sz w:val="32"/>
          <w:szCs w:val="32"/>
          <w:lang w:eastAsia="zh-CN"/>
        </w:rPr>
        <w:t>：</w:t>
      </w:r>
      <w:r>
        <w:rPr>
          <w:rFonts w:hint="eastAsia" w:ascii="仿宋_GB2312" w:hAnsi="仿宋" w:eastAsia="仿宋_GB2312" w:cs="仿宋"/>
          <w:sz w:val="32"/>
          <w:szCs w:val="32"/>
          <w:lang w:val="en-US" w:eastAsia="zh-CN"/>
        </w:rPr>
        <w:t>厉行节约，压减差旅费等一般性支出</w:t>
      </w:r>
      <w:r>
        <w:rPr>
          <w:rFonts w:hint="eastAsia" w:ascii="仿宋_GB2312" w:hAnsi="仿宋" w:eastAsia="仿宋_GB2312" w:cs="仿宋"/>
          <w:sz w:val="32"/>
          <w:szCs w:val="32"/>
        </w:rPr>
        <w:t>。</w:t>
      </w:r>
    </w:p>
    <w:p>
      <w:pPr>
        <w:spacing w:line="600" w:lineRule="exact"/>
        <w:ind w:firstLine="640" w:firstLineChars="200"/>
        <w:rPr>
          <w:rFonts w:hint="eastAsia" w:ascii="仿宋" w:hAnsi="仿宋" w:eastAsia="仿宋"/>
          <w:color w:val="000000"/>
          <w:sz w:val="32"/>
          <w:szCs w:val="32"/>
        </w:rPr>
      </w:pPr>
    </w:p>
    <w:p>
      <w:pPr>
        <w:ind w:firstLine="800" w:firstLineChars="250"/>
        <w:jc w:val="center"/>
        <w:rPr>
          <w:rFonts w:hint="eastAsia" w:ascii="黑体" w:hAnsi="黑体" w:eastAsia="黑体"/>
          <w:color w:val="000000"/>
          <w:sz w:val="32"/>
          <w:szCs w:val="32"/>
        </w:rPr>
      </w:pPr>
      <w:r>
        <w:rPr>
          <w:rFonts w:hint="eastAsia"/>
          <w:sz w:val="32"/>
          <w:szCs w:val="32"/>
        </w:rPr>
        <w:object>
          <v:shape id="_x0000_i1026" o:spt="75" type="#_x0000_t75" style="height:310.8pt;width:375.65pt;" o:ole="t" filled="f" o:preferrelative="t" stroked="f" coordsize="21600,21600">
            <v:path/>
            <v:fill on="f" focussize="0,0"/>
            <v:stroke on="f"/>
            <v:imagedata r:id="rId13" cropbottom="-29f" o:title=""/>
            <o:lock v:ext="edit" aspectratio="f"/>
            <w10:wrap type="none"/>
            <w10:anchorlock/>
          </v:shape>
          <o:OLEObject Type="Embed" ProgID="Excel.Chart.8" ShapeID="_x0000_i1026" DrawAspect="Content" ObjectID="_1468075728" r:id="rId12">
            <o:LockedField>false</o:LockedField>
          </o:OLEObject>
        </w:object>
      </w:r>
      <w:r>
        <w:rPr>
          <w:rFonts w:hint="eastAsia"/>
          <w:sz w:val="32"/>
          <w:szCs w:val="32"/>
          <w:lang w:val="en-US" w:eastAsia="zh-CN"/>
        </w:rPr>
        <w:t xml:space="preserve">   </w:t>
      </w: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pPr>
        <w:spacing w:line="600" w:lineRule="exact"/>
        <w:ind w:firstLine="640" w:firstLineChars="200"/>
        <w:outlineLvl w:val="1"/>
        <w:rPr>
          <w:rStyle w:val="23"/>
          <w:rFonts w:ascii="黑体" w:hAnsi="黑体" w:eastAsia="黑体"/>
          <w:b w:val="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3"/>
          <w:rFonts w:hint="eastAsia" w:ascii="黑体" w:hAnsi="黑体" w:eastAsia="黑体"/>
          <w:b w:val="0"/>
        </w:rPr>
        <w:t>般公共预算财政拨款支出决算情况说明</w:t>
      </w:r>
      <w:bookmarkEnd w:id="37"/>
      <w:bookmarkEnd w:id="38"/>
      <w:bookmarkEnd w:id="39"/>
      <w:bookmarkEnd w:id="40"/>
    </w:p>
    <w:p>
      <w:pPr>
        <w:spacing w:line="600" w:lineRule="exact"/>
        <w:ind w:firstLine="642" w:firstLineChars="200"/>
        <w:outlineLvl w:val="2"/>
        <w:rPr>
          <w:rFonts w:ascii="仿宋" w:hAnsi="仿宋" w:eastAsia="仿宋"/>
          <w:b/>
          <w:color w:val="000000"/>
          <w:sz w:val="32"/>
          <w:szCs w:val="32"/>
        </w:rPr>
      </w:pPr>
      <w:bookmarkStart w:id="41" w:name="_Toc79163865"/>
      <w:bookmarkStart w:id="42" w:name="_Toc79163615"/>
      <w:bookmarkStart w:id="43" w:name="_Toc15377210"/>
      <w:r>
        <w:rPr>
          <w:rFonts w:hint="eastAsia" w:ascii="仿宋" w:hAnsi="仿宋" w:eastAsia="仿宋"/>
          <w:b/>
          <w:color w:val="000000"/>
          <w:sz w:val="32"/>
          <w:szCs w:val="32"/>
        </w:rPr>
        <w:t>（一）一般公共预算财政拨款支出决算总体情况</w:t>
      </w:r>
      <w:bookmarkEnd w:id="41"/>
      <w:bookmarkEnd w:id="42"/>
      <w:bookmarkEnd w:id="43"/>
    </w:p>
    <w:p>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万元，占本年支出合计的100%。与20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218.98</w:t>
      </w:r>
      <w:r>
        <w:rPr>
          <w:rFonts w:hint="eastAsia" w:ascii="仿宋" w:hAnsi="仿宋" w:eastAsia="仿宋"/>
          <w:color w:val="000000"/>
          <w:sz w:val="32"/>
          <w:szCs w:val="32"/>
        </w:rPr>
        <w:t>万元相比，一般公共预算财政拨款</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17.32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8.59</w:t>
      </w:r>
      <w:r>
        <w:rPr>
          <w:rFonts w:hint="eastAsia" w:ascii="仿宋" w:hAnsi="仿宋" w:eastAsia="仿宋"/>
          <w:color w:val="000000"/>
          <w:sz w:val="32"/>
          <w:szCs w:val="32"/>
        </w:rPr>
        <w:t>%。主要变动原因</w:t>
      </w:r>
      <w:r>
        <w:rPr>
          <w:rFonts w:hint="eastAsia" w:ascii="仿宋" w:hAnsi="仿宋" w:eastAsia="仿宋"/>
          <w:color w:val="000000"/>
          <w:sz w:val="32"/>
          <w:szCs w:val="32"/>
          <w:lang w:eastAsia="zh-CN"/>
        </w:rPr>
        <w:t>：</w:t>
      </w:r>
      <w:r>
        <w:rPr>
          <w:rFonts w:hint="eastAsia" w:ascii="仿宋_GB2312" w:hAnsi="仿宋" w:eastAsia="仿宋_GB2312" w:cs="仿宋"/>
          <w:sz w:val="32"/>
          <w:szCs w:val="32"/>
          <w:lang w:val="en-US" w:eastAsia="zh-CN"/>
        </w:rPr>
        <w:t>厉行节约，压减差旅费等一般性支出</w:t>
      </w:r>
      <w:r>
        <w:rPr>
          <w:rFonts w:hint="eastAsia" w:ascii="仿宋_GB2312" w:hAnsi="仿宋" w:eastAsia="仿宋_GB2312" w:cs="仿宋"/>
          <w:sz w:val="32"/>
          <w:szCs w:val="32"/>
        </w:rPr>
        <w:t>。</w:t>
      </w:r>
    </w:p>
    <w:p>
      <w:pPr>
        <w:spacing w:line="600" w:lineRule="exact"/>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pPr>
        <w:spacing w:line="600" w:lineRule="exact"/>
        <w:ind w:firstLine="400" w:firstLineChars="200"/>
        <w:outlineLvl w:val="2"/>
        <w:rPr>
          <w:rFonts w:ascii="仿宋" w:hAnsi="仿宋" w:eastAsia="仿宋"/>
          <w:b/>
          <w:color w:val="000000"/>
          <w:sz w:val="32"/>
          <w:szCs w:val="32"/>
        </w:rPr>
      </w:pPr>
      <w:bookmarkStart w:id="44" w:name="_Toc79163866"/>
      <w:bookmarkStart w:id="45" w:name="_Toc15377211"/>
      <w:bookmarkStart w:id="46" w:name="_Toc79163616"/>
      <w:r>
        <w:rPr>
          <w:rFonts w:hint="eastAsia"/>
          <w:sz w:val="20"/>
          <w:szCs w:val="20"/>
        </w:rPr>
        <w:pict>
          <v:shape id="_x0000_s1031" o:spid="_x0000_s1031" o:spt="75" type="#_x0000_t75" style="position:absolute;left:0pt;margin-left:34.6pt;margin-top:8.2pt;height:230.5pt;width:370.75pt;mso-wrap-distance-bottom:0pt;mso-wrap-distance-top:0pt;z-index:251660288;mso-width-relative:page;mso-height-relative:page;" o:ole="t" filled="f" o:preferrelative="t" stroked="f" coordsize="21600,21600">
            <v:path/>
            <v:fill on="f" focussize="0,0"/>
            <v:stroke on="f"/>
            <v:imagedata r:id="rId15" o:title=""/>
            <o:lock v:ext="edit" aspectratio="t"/>
            <w10:wrap type="topAndBottom"/>
          </v:shape>
          <o:OLEObject Type="Embed" ProgID="Excel.Chart.8" ShapeID="_x0000_s1031" DrawAspect="Content" ObjectID="_1468075729" r:id="rId14">
            <o:LockedField>false</o:LockedField>
          </o:OLEObject>
        </w:pict>
      </w:r>
      <w:r>
        <w:rPr>
          <w:rFonts w:hint="eastAsia" w:ascii="仿宋" w:hAnsi="仿宋" w:eastAsia="仿宋"/>
          <w:b/>
          <w:color w:val="000000"/>
          <w:sz w:val="32"/>
          <w:szCs w:val="32"/>
        </w:rPr>
        <w:t>（二）一般公共预算财政拨款支出决算结构情况</w:t>
      </w:r>
      <w:bookmarkEnd w:id="44"/>
      <w:bookmarkEnd w:id="45"/>
      <w:bookmarkEnd w:id="46"/>
    </w:p>
    <w:p>
      <w:pPr>
        <w:spacing w:line="600" w:lineRule="exact"/>
        <w:ind w:firstLine="640" w:firstLineChars="200"/>
        <w:rPr>
          <w:rFonts w:hint="eastAsia" w:ascii="仿宋" w:hAnsi="仿宋" w:eastAsia="仿宋"/>
          <w:color w:val="000000"/>
          <w:sz w:val="32"/>
          <w:szCs w:val="32"/>
          <w:lang w:val="en-US"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万元，主要用于以下方面:社会保障和就业（类）支出</w:t>
      </w:r>
      <w:r>
        <w:rPr>
          <w:rFonts w:hint="eastAsia" w:ascii="仿宋" w:hAnsi="仿宋" w:eastAsia="仿宋"/>
          <w:color w:val="000000"/>
          <w:sz w:val="32"/>
          <w:szCs w:val="32"/>
          <w:lang w:val="en-US" w:eastAsia="zh-CN"/>
        </w:rPr>
        <w:t>155.4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77.06</w:t>
      </w:r>
      <w:r>
        <w:rPr>
          <w:rFonts w:hint="eastAsia" w:ascii="仿宋" w:hAnsi="仿宋" w:eastAsia="仿宋"/>
          <w:color w:val="000000"/>
          <w:sz w:val="32"/>
          <w:szCs w:val="32"/>
        </w:rPr>
        <w:t>%；卫生健康支出</w:t>
      </w:r>
      <w:r>
        <w:rPr>
          <w:rFonts w:hint="eastAsia" w:ascii="仿宋" w:hAnsi="仿宋" w:eastAsia="仿宋"/>
          <w:color w:val="000000"/>
          <w:sz w:val="32"/>
          <w:szCs w:val="32"/>
          <w:lang w:val="en-US" w:eastAsia="zh-CN"/>
        </w:rPr>
        <w:t>9.1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4.51</w:t>
      </w:r>
      <w:r>
        <w:rPr>
          <w:rFonts w:hint="eastAsia" w:ascii="仿宋" w:hAnsi="仿宋" w:eastAsia="仿宋"/>
          <w:color w:val="000000"/>
          <w:sz w:val="32"/>
          <w:szCs w:val="32"/>
        </w:rPr>
        <w:t>%；</w:t>
      </w:r>
      <w:r>
        <w:rPr>
          <w:rFonts w:hint="eastAsia" w:ascii="仿宋_GB2312" w:hAnsi="仿宋_GB2312" w:eastAsia="仿宋_GB2312" w:cs="仿宋_GB2312"/>
          <w:sz w:val="32"/>
          <w:szCs w:val="32"/>
          <w:lang w:eastAsia="zh-CN"/>
        </w:rPr>
        <w:t>财政代缴社会保险费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23.97万</w:t>
      </w:r>
      <w:r>
        <w:rPr>
          <w:rFonts w:hint="eastAsia" w:ascii="仿宋_GB2312" w:hAnsi="仿宋_GB2312" w:eastAsia="仿宋_GB2312" w:cs="仿宋_GB2312"/>
          <w:sz w:val="32"/>
          <w:szCs w:val="32"/>
        </w:rPr>
        <w:t>元，占支出总额的</w:t>
      </w:r>
      <w:r>
        <w:rPr>
          <w:rFonts w:hint="eastAsia" w:ascii="仿宋_GB2312" w:hAnsi="仿宋_GB2312" w:eastAsia="仿宋_GB2312" w:cs="仿宋_GB2312"/>
          <w:sz w:val="32"/>
          <w:szCs w:val="32"/>
          <w:lang w:val="en-US" w:eastAsia="zh-CN"/>
        </w:rPr>
        <w:t>11.89</w:t>
      </w:r>
      <w:r>
        <w:rPr>
          <w:rFonts w:hint="eastAsia" w:ascii="仿宋_GB2312" w:hAnsi="仿宋_GB2312" w:eastAsia="仿宋_GB2312" w:cs="仿宋_GB2312"/>
          <w:sz w:val="32"/>
          <w:szCs w:val="32"/>
        </w:rPr>
        <w:t>%；</w:t>
      </w:r>
      <w:r>
        <w:rPr>
          <w:rFonts w:hint="eastAsia" w:ascii="仿宋" w:hAnsi="仿宋" w:eastAsia="仿宋"/>
          <w:color w:val="000000"/>
          <w:sz w:val="32"/>
          <w:szCs w:val="32"/>
        </w:rPr>
        <w:t>住房保障支出</w:t>
      </w:r>
      <w:r>
        <w:rPr>
          <w:rFonts w:hint="eastAsia" w:ascii="仿宋" w:hAnsi="仿宋" w:eastAsia="仿宋"/>
          <w:color w:val="000000"/>
          <w:sz w:val="32"/>
          <w:szCs w:val="32"/>
          <w:lang w:val="en-US" w:eastAsia="zh-CN"/>
        </w:rPr>
        <w:t>13.19</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6.54</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p>
    <w:p>
      <w:pPr>
        <w:jc w:val="left"/>
        <w:rPr>
          <w:rFonts w:hint="eastAsia"/>
        </w:rPr>
      </w:pPr>
      <w:bookmarkStart w:id="47" w:name="_Toc79163617"/>
      <w:bookmarkStart w:id="48" w:name="_Toc15377212"/>
      <w:bookmarkStart w:id="49" w:name="_Toc79163867"/>
      <w:r>
        <w:rPr>
          <w:rFonts w:hint="eastAsia"/>
        </w:rPr>
        <w:object>
          <v:shape id="_x0000_i1027" o:spt="75" type="#_x0000_t75" style="height:222.75pt;width:384pt;" o:ole="t" filled="f" o:preferrelative="t" stroked="f" coordsize="21600,21600">
            <v:path/>
            <v:fill on="f" focussize="0,0"/>
            <v:stroke on="f"/>
            <v:imagedata r:id="rId17" o:title=""/>
            <o:lock v:ext="edit" aspectratio="t"/>
            <w10:wrap type="none"/>
            <w10:anchorlock/>
          </v:shape>
          <o:OLEObject Type="Embed" ProgID="Excel.Chart.8" ShapeID="_x0000_i1027" DrawAspect="Content" ObjectID="_1468075730" r:id="rId16">
            <o:LockedField>false</o:LockedField>
          </o:OLEObject>
        </w:object>
      </w:r>
    </w:p>
    <w:p>
      <w:pPr>
        <w:jc w:val="left"/>
      </w:pPr>
    </w:p>
    <w:p>
      <w:pPr>
        <w:spacing w:line="600" w:lineRule="exact"/>
        <w:rPr>
          <w:rFonts w:hint="eastAsia" w:ascii="仿宋" w:hAnsi="仿宋" w:eastAsia="仿宋"/>
          <w:b/>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pPr>
        <w:spacing w:line="600" w:lineRule="exact"/>
        <w:ind w:firstLine="642" w:firstLineChars="200"/>
        <w:rPr>
          <w:rFonts w:ascii="仿宋_GB2312" w:eastAsia="仿宋_GB2312"/>
          <w:b/>
          <w:bCs/>
          <w:sz w:val="32"/>
          <w:szCs w:val="32"/>
        </w:rPr>
      </w:pPr>
      <w:r>
        <w:rPr>
          <w:rFonts w:hint="eastAsia" w:ascii="仿宋_GB2312" w:eastAsia="仿宋_GB2312"/>
          <w:b/>
          <w:bCs/>
          <w:sz w:val="32"/>
          <w:szCs w:val="32"/>
        </w:rPr>
        <w:t>（三）一般公共预算财政拨款支出决算具体情况</w:t>
      </w:r>
      <w:bookmarkEnd w:id="47"/>
      <w:bookmarkEnd w:id="48"/>
      <w:bookmarkEnd w:id="49"/>
    </w:p>
    <w:p>
      <w:pPr>
        <w:spacing w:line="600" w:lineRule="exact"/>
        <w:ind w:firstLine="642" w:firstLineChars="200"/>
        <w:rPr>
          <w:rFonts w:hint="eastAsia" w:ascii="仿宋" w:hAnsi="仿宋" w:eastAsia="仿宋" w:cs="仿宋"/>
          <w:b/>
          <w:color w:val="000000"/>
          <w:sz w:val="32"/>
          <w:szCs w:val="32"/>
          <w:lang w:val="en-US" w:eastAsia="zh-CN"/>
        </w:rPr>
      </w:pPr>
      <w:bookmarkStart w:id="50" w:name="_Toc15377444"/>
      <w:bookmarkStart w:id="51" w:name="_Toc15378460"/>
      <w:bookmarkStart w:id="52" w:name="_Toc15377213"/>
      <w:r>
        <w:rPr>
          <w:rFonts w:ascii="仿宋_GB2312" w:eastAsia="仿宋_GB2312"/>
          <w:b/>
          <w:bCs/>
          <w:sz w:val="32"/>
          <w:szCs w:val="32"/>
        </w:rPr>
        <w:t>2</w:t>
      </w:r>
      <w:r>
        <w:rPr>
          <w:rFonts w:hint="eastAsia" w:ascii="仿宋" w:hAnsi="仿宋" w:eastAsia="仿宋" w:cs="仿宋"/>
          <w:b/>
          <w:color w:val="000000"/>
          <w:sz w:val="32"/>
          <w:szCs w:val="32"/>
          <w:lang w:val="en-US" w:eastAsia="zh-CN"/>
        </w:rPr>
        <w:t>025年一般公共预算支出决算数为201.66万元，完成预算100%。其中：</w:t>
      </w:r>
      <w:bookmarkEnd w:id="50"/>
      <w:bookmarkEnd w:id="51"/>
      <w:bookmarkEnd w:id="52"/>
    </w:p>
    <w:p>
      <w:pPr>
        <w:spacing w:line="600" w:lineRule="exact"/>
        <w:ind w:firstLine="642" w:firstLineChars="200"/>
        <w:rPr>
          <w:rFonts w:hint="eastAsia" w:ascii="仿宋" w:hAnsi="仿宋" w:eastAsia="仿宋" w:cs="仿宋"/>
          <w:b w:val="0"/>
          <w:bCs w:val="0"/>
          <w:color w:val="000000"/>
          <w:sz w:val="32"/>
          <w:szCs w:val="32"/>
        </w:rPr>
      </w:pPr>
      <w:r>
        <w:rPr>
          <w:rFonts w:hint="eastAsia" w:ascii="仿宋" w:hAnsi="仿宋" w:eastAsia="仿宋" w:cs="仿宋"/>
          <w:b/>
          <w:color w:val="000000"/>
          <w:sz w:val="32"/>
          <w:szCs w:val="32"/>
          <w:lang w:val="en-US" w:eastAsia="zh-CN"/>
        </w:rPr>
        <w:t xml:space="preserve">1.社会保障和就业（类）人力资源和社会保障管理事务（款）社会保障经办机构（项）: </w:t>
      </w:r>
      <w:r>
        <w:rPr>
          <w:rFonts w:hint="eastAsia" w:ascii="仿宋" w:hAnsi="仿宋" w:eastAsia="仿宋" w:cs="仿宋"/>
          <w:b w:val="0"/>
          <w:bCs w:val="0"/>
          <w:color w:val="000000"/>
          <w:sz w:val="32"/>
          <w:szCs w:val="32"/>
        </w:rPr>
        <w:t>支出决算为</w:t>
      </w:r>
      <w:r>
        <w:rPr>
          <w:rFonts w:hint="eastAsia" w:ascii="仿宋" w:hAnsi="仿宋" w:eastAsia="仿宋" w:cs="仿宋"/>
          <w:b w:val="0"/>
          <w:bCs w:val="0"/>
          <w:color w:val="000000"/>
          <w:sz w:val="32"/>
          <w:szCs w:val="32"/>
          <w:lang w:val="en-US" w:eastAsia="zh-CN"/>
        </w:rPr>
        <w:t>129.14万</w:t>
      </w:r>
      <w:r>
        <w:rPr>
          <w:rFonts w:hint="eastAsia" w:ascii="仿宋" w:hAnsi="仿宋" w:eastAsia="仿宋" w:cs="仿宋"/>
          <w:b w:val="0"/>
          <w:bCs w:val="0"/>
          <w:color w:val="000000"/>
          <w:sz w:val="32"/>
          <w:szCs w:val="32"/>
        </w:rPr>
        <w:t>元，完成预算</w:t>
      </w:r>
      <w:r>
        <w:rPr>
          <w:rFonts w:hint="eastAsia" w:ascii="仿宋" w:hAnsi="仿宋" w:eastAsia="仿宋" w:cs="仿宋"/>
          <w:b w:val="0"/>
          <w:bCs w:val="0"/>
          <w:color w:val="000000"/>
          <w:sz w:val="32"/>
          <w:szCs w:val="32"/>
          <w:lang w:val="en-US" w:eastAsia="zh-CN"/>
        </w:rPr>
        <w:t>100</w:t>
      </w:r>
      <w:r>
        <w:rPr>
          <w:rFonts w:hint="eastAsia" w:ascii="仿宋" w:hAnsi="仿宋" w:eastAsia="仿宋" w:cs="仿宋"/>
          <w:b w:val="0"/>
          <w:bCs w:val="0"/>
          <w:color w:val="000000"/>
          <w:sz w:val="32"/>
          <w:szCs w:val="32"/>
        </w:rPr>
        <w:t>%。</w:t>
      </w:r>
    </w:p>
    <w:p>
      <w:pPr>
        <w:spacing w:line="600" w:lineRule="exact"/>
        <w:ind w:left="319" w:leftChars="152" w:firstLine="321" w:firstLineChars="100"/>
        <w:rPr>
          <w:rFonts w:hint="default" w:ascii="仿宋" w:hAnsi="仿宋" w:eastAsia="仿宋"/>
          <w:b w:val="0"/>
          <w:bCs w:val="0"/>
          <w:color w:val="000000"/>
          <w:sz w:val="32"/>
          <w:szCs w:val="32"/>
          <w:lang w:val="en-US"/>
        </w:rPr>
      </w:pPr>
      <w:r>
        <w:rPr>
          <w:rFonts w:hint="eastAsia" w:ascii="仿宋" w:hAnsi="仿宋" w:eastAsia="仿宋" w:cs="仿宋"/>
          <w:b/>
          <w:color w:val="000000"/>
          <w:sz w:val="32"/>
          <w:szCs w:val="32"/>
          <w:lang w:val="en-US" w:eastAsia="zh-CN"/>
        </w:rPr>
        <w:t>2</w:t>
      </w:r>
      <w:r>
        <w:rPr>
          <w:rFonts w:ascii="仿宋" w:hAnsi="仿宋" w:eastAsia="仿宋" w:cs="仿宋"/>
          <w:b/>
          <w:color w:val="000000"/>
          <w:sz w:val="32"/>
          <w:szCs w:val="32"/>
        </w:rPr>
        <w:t>.</w:t>
      </w:r>
      <w:r>
        <w:rPr>
          <w:rFonts w:hint="eastAsia" w:ascii="仿宋" w:hAnsi="仿宋" w:eastAsia="仿宋" w:cs="仿宋"/>
          <w:b/>
          <w:color w:val="000000"/>
          <w:sz w:val="32"/>
          <w:szCs w:val="32"/>
        </w:rPr>
        <w:t>社会保障和就业（类）行政事业单位离退休（款）机关事业单位基本养老保险缴费支出（项）：</w:t>
      </w:r>
      <w:r>
        <w:rPr>
          <w:rFonts w:hint="eastAsia" w:ascii="仿宋" w:hAnsi="仿宋" w:eastAsia="仿宋" w:cs="仿宋"/>
          <w:b w:val="0"/>
          <w:bCs w:val="0"/>
          <w:color w:val="000000"/>
          <w:sz w:val="32"/>
          <w:szCs w:val="32"/>
        </w:rPr>
        <w:t>支出决算为</w:t>
      </w:r>
      <w:r>
        <w:rPr>
          <w:rFonts w:hint="eastAsia" w:ascii="仿宋" w:hAnsi="仿宋" w:eastAsia="仿宋" w:cs="仿宋"/>
          <w:b w:val="0"/>
          <w:bCs w:val="0"/>
          <w:color w:val="000000"/>
          <w:sz w:val="32"/>
          <w:szCs w:val="32"/>
          <w:lang w:val="en-US" w:eastAsia="zh-CN"/>
        </w:rPr>
        <w:t>17.51万元，</w:t>
      </w:r>
      <w:r>
        <w:rPr>
          <w:rFonts w:hint="eastAsia" w:ascii="仿宋" w:hAnsi="仿宋" w:eastAsia="仿宋" w:cs="仿宋"/>
          <w:b w:val="0"/>
          <w:bCs w:val="0"/>
          <w:color w:val="000000"/>
          <w:sz w:val="32"/>
          <w:szCs w:val="32"/>
        </w:rPr>
        <w:t>完成预算</w:t>
      </w:r>
      <w:r>
        <w:rPr>
          <w:rFonts w:hint="eastAsia" w:ascii="仿宋" w:hAnsi="仿宋" w:eastAsia="仿宋" w:cs="仿宋"/>
          <w:b w:val="0"/>
          <w:bCs w:val="0"/>
          <w:color w:val="000000"/>
          <w:sz w:val="32"/>
          <w:szCs w:val="32"/>
          <w:lang w:val="en-US" w:eastAsia="zh-CN"/>
        </w:rPr>
        <w:t>100</w:t>
      </w:r>
      <w:r>
        <w:rPr>
          <w:rFonts w:hint="eastAsia" w:ascii="仿宋" w:hAnsi="仿宋" w:eastAsia="仿宋" w:cs="仿宋"/>
          <w:b w:val="0"/>
          <w:bCs w:val="0"/>
          <w:color w:val="000000"/>
          <w:sz w:val="32"/>
          <w:szCs w:val="32"/>
        </w:rPr>
        <w:t>%。</w:t>
      </w:r>
    </w:p>
    <w:p>
      <w:pPr>
        <w:spacing w:line="600" w:lineRule="exact"/>
        <w:ind w:firstLine="642" w:firstLineChars="200"/>
        <w:rPr>
          <w:rFonts w:ascii="仿宋" w:hAnsi="仿宋" w:eastAsia="仿宋"/>
          <w:b/>
          <w:bCs/>
          <w:color w:val="000000"/>
          <w:sz w:val="32"/>
          <w:szCs w:val="32"/>
        </w:rPr>
      </w:pPr>
      <w:r>
        <w:rPr>
          <w:rFonts w:hint="eastAsia" w:ascii="仿宋" w:hAnsi="仿宋" w:eastAsia="仿宋" w:cs="仿宋"/>
          <w:b/>
          <w:bCs/>
          <w:color w:val="000000"/>
          <w:sz w:val="32"/>
          <w:szCs w:val="32"/>
          <w:lang w:val="en-US" w:eastAsia="zh-CN"/>
        </w:rPr>
        <w:t>3</w:t>
      </w:r>
      <w:r>
        <w:rPr>
          <w:rFonts w:ascii="仿宋" w:hAnsi="仿宋" w:eastAsia="仿宋" w:cs="仿宋"/>
          <w:b/>
          <w:bCs/>
          <w:color w:val="000000"/>
          <w:sz w:val="32"/>
          <w:szCs w:val="32"/>
        </w:rPr>
        <w:t>.</w:t>
      </w:r>
      <w:r>
        <w:rPr>
          <w:rFonts w:hint="eastAsia" w:ascii="仿宋" w:hAnsi="仿宋" w:eastAsia="仿宋" w:cs="仿宋"/>
          <w:b/>
          <w:color w:val="000000"/>
          <w:sz w:val="32"/>
          <w:szCs w:val="32"/>
        </w:rPr>
        <w:t>社会保障和就业（类）行政事业单位离退休（款）机关事业单位职业年金缴费支出（项）：</w:t>
      </w:r>
      <w:r>
        <w:rPr>
          <w:rFonts w:hint="eastAsia" w:ascii="仿宋" w:hAnsi="仿宋" w:eastAsia="仿宋" w:cs="仿宋"/>
          <w:b w:val="0"/>
          <w:bCs w:val="0"/>
          <w:color w:val="000000"/>
          <w:sz w:val="32"/>
          <w:szCs w:val="32"/>
        </w:rPr>
        <w:t>支出决算为</w:t>
      </w:r>
      <w:r>
        <w:rPr>
          <w:rFonts w:hint="eastAsia" w:ascii="仿宋" w:hAnsi="仿宋" w:eastAsia="仿宋" w:cs="仿宋"/>
          <w:b w:val="0"/>
          <w:bCs w:val="0"/>
          <w:color w:val="000000"/>
          <w:sz w:val="32"/>
          <w:szCs w:val="32"/>
          <w:lang w:val="en-US" w:eastAsia="zh-CN"/>
        </w:rPr>
        <w:t>8.75</w:t>
      </w:r>
      <w:r>
        <w:rPr>
          <w:rFonts w:hint="eastAsia" w:ascii="仿宋" w:hAnsi="仿宋" w:eastAsia="仿宋" w:cs="仿宋"/>
          <w:b w:val="0"/>
          <w:bCs w:val="0"/>
          <w:color w:val="000000"/>
          <w:sz w:val="32"/>
          <w:szCs w:val="32"/>
        </w:rPr>
        <w:t>万元，完成预算</w:t>
      </w:r>
      <w:r>
        <w:rPr>
          <w:rFonts w:ascii="仿宋" w:hAnsi="仿宋" w:eastAsia="仿宋" w:cs="仿宋"/>
          <w:b w:val="0"/>
          <w:bCs w:val="0"/>
          <w:color w:val="000000"/>
          <w:sz w:val="32"/>
          <w:szCs w:val="32"/>
        </w:rPr>
        <w:t>100%</w:t>
      </w:r>
      <w:r>
        <w:rPr>
          <w:rFonts w:hint="eastAsia" w:ascii="仿宋" w:hAnsi="仿宋" w:eastAsia="仿宋" w:cs="仿宋"/>
          <w:b w:val="0"/>
          <w:bCs w:val="0"/>
          <w:color w:val="000000"/>
          <w:sz w:val="32"/>
          <w:szCs w:val="32"/>
        </w:rPr>
        <w:t>。</w:t>
      </w:r>
    </w:p>
    <w:p>
      <w:pPr>
        <w:spacing w:line="600" w:lineRule="exact"/>
        <w:ind w:firstLine="642" w:firstLineChars="200"/>
        <w:rPr>
          <w:rFonts w:hint="eastAsia" w:ascii="仿宋" w:hAnsi="仿宋" w:eastAsia="仿宋" w:cs="仿宋"/>
          <w:b w:val="0"/>
          <w:bCs w:val="0"/>
          <w:color w:val="000000"/>
          <w:sz w:val="32"/>
          <w:szCs w:val="32"/>
          <w:lang w:eastAsia="zh-CN"/>
        </w:rPr>
      </w:pPr>
      <w:r>
        <w:rPr>
          <w:rFonts w:hint="eastAsia" w:ascii="仿宋" w:hAnsi="仿宋" w:eastAsia="仿宋" w:cs="仿宋"/>
          <w:b/>
          <w:bCs/>
          <w:color w:val="000000"/>
          <w:sz w:val="32"/>
          <w:szCs w:val="32"/>
          <w:lang w:val="en-US" w:eastAsia="zh-CN"/>
        </w:rPr>
        <w:t>4</w:t>
      </w:r>
      <w:r>
        <w:rPr>
          <w:rFonts w:ascii="仿宋" w:hAnsi="仿宋" w:eastAsia="仿宋" w:cs="仿宋"/>
          <w:b/>
          <w:color w:val="000000"/>
          <w:sz w:val="32"/>
          <w:szCs w:val="32"/>
        </w:rPr>
        <w:t>.</w:t>
      </w:r>
      <w:r>
        <w:rPr>
          <w:rFonts w:hint="eastAsia" w:ascii="仿宋" w:hAnsi="仿宋" w:eastAsia="仿宋" w:cs="仿宋"/>
          <w:b/>
          <w:color w:val="000000"/>
          <w:sz w:val="32"/>
          <w:szCs w:val="32"/>
          <w:lang w:eastAsia="zh-CN"/>
        </w:rPr>
        <w:t>卫生健康</w:t>
      </w:r>
      <w:r>
        <w:rPr>
          <w:rFonts w:hint="eastAsia" w:ascii="仿宋" w:hAnsi="仿宋" w:eastAsia="仿宋" w:cs="仿宋"/>
          <w:b/>
          <w:color w:val="000000"/>
          <w:sz w:val="32"/>
          <w:szCs w:val="32"/>
        </w:rPr>
        <w:t>（类）行政事业单位医疗（款）事业单位医疗（项）</w:t>
      </w:r>
      <w:r>
        <w:rPr>
          <w:rFonts w:ascii="仿宋" w:hAnsi="仿宋" w:eastAsia="仿宋" w:cs="仿宋"/>
          <w:b/>
          <w:color w:val="000000"/>
          <w:sz w:val="32"/>
          <w:szCs w:val="32"/>
        </w:rPr>
        <w:t>:</w:t>
      </w:r>
      <w:r>
        <w:rPr>
          <w:rFonts w:hint="eastAsia" w:ascii="仿宋" w:hAnsi="仿宋" w:eastAsia="仿宋" w:cs="仿宋"/>
          <w:b w:val="0"/>
          <w:bCs w:val="0"/>
          <w:color w:val="000000"/>
          <w:sz w:val="32"/>
          <w:szCs w:val="32"/>
        </w:rPr>
        <w:t>支出决算为</w:t>
      </w:r>
      <w:r>
        <w:rPr>
          <w:rFonts w:hint="eastAsia" w:ascii="仿宋" w:hAnsi="仿宋" w:eastAsia="仿宋" w:cs="仿宋"/>
          <w:b w:val="0"/>
          <w:bCs w:val="0"/>
          <w:color w:val="000000"/>
          <w:sz w:val="32"/>
          <w:szCs w:val="32"/>
          <w:lang w:val="en-US" w:eastAsia="zh-CN"/>
        </w:rPr>
        <w:t>9.1</w:t>
      </w:r>
      <w:r>
        <w:rPr>
          <w:rFonts w:hint="eastAsia" w:ascii="仿宋" w:hAnsi="仿宋" w:eastAsia="仿宋" w:cs="仿宋"/>
          <w:b w:val="0"/>
          <w:bCs w:val="0"/>
          <w:color w:val="000000"/>
          <w:sz w:val="32"/>
          <w:szCs w:val="32"/>
        </w:rPr>
        <w:t>万元，完成预算</w:t>
      </w:r>
      <w:r>
        <w:rPr>
          <w:rFonts w:ascii="仿宋" w:hAnsi="仿宋" w:eastAsia="仿宋" w:cs="仿宋"/>
          <w:b w:val="0"/>
          <w:bCs w:val="0"/>
          <w:color w:val="000000"/>
          <w:sz w:val="32"/>
          <w:szCs w:val="32"/>
        </w:rPr>
        <w:t>100%</w:t>
      </w:r>
      <w:r>
        <w:rPr>
          <w:rFonts w:hint="eastAsia" w:ascii="仿宋" w:hAnsi="仿宋" w:eastAsia="仿宋" w:cs="仿宋"/>
          <w:b w:val="0"/>
          <w:bCs w:val="0"/>
          <w:color w:val="000000"/>
          <w:sz w:val="32"/>
          <w:szCs w:val="32"/>
          <w:lang w:eastAsia="zh-CN"/>
        </w:rPr>
        <w:t>。</w:t>
      </w:r>
    </w:p>
    <w:p>
      <w:pPr>
        <w:spacing w:line="600" w:lineRule="exact"/>
        <w:ind w:firstLine="642" w:firstLineChars="200"/>
        <w:rPr>
          <w:rFonts w:hint="eastAsia" w:ascii="仿宋" w:hAnsi="仿宋" w:eastAsia="仿宋" w:cs="仿宋"/>
          <w:b w:val="0"/>
          <w:bCs w:val="0"/>
          <w:color w:val="000000"/>
          <w:sz w:val="32"/>
          <w:szCs w:val="32"/>
        </w:rPr>
      </w:pPr>
      <w:r>
        <w:rPr>
          <w:rFonts w:hint="eastAsia" w:ascii="仿宋" w:hAnsi="仿宋" w:eastAsia="仿宋" w:cs="仿宋"/>
          <w:b/>
          <w:bCs/>
          <w:color w:val="000000"/>
          <w:sz w:val="32"/>
          <w:szCs w:val="32"/>
          <w:lang w:val="en-US" w:eastAsia="zh-CN"/>
        </w:rPr>
        <w:t>5</w:t>
      </w:r>
      <w:r>
        <w:rPr>
          <w:rFonts w:ascii="仿宋" w:hAnsi="仿宋" w:eastAsia="仿宋" w:cs="仿宋"/>
          <w:b/>
          <w:color w:val="000000"/>
          <w:sz w:val="32"/>
          <w:szCs w:val="32"/>
        </w:rPr>
        <w:t>.</w:t>
      </w:r>
      <w:r>
        <w:rPr>
          <w:rFonts w:hint="eastAsia" w:ascii="仿宋" w:hAnsi="仿宋" w:eastAsia="仿宋" w:cs="仿宋"/>
          <w:b/>
          <w:color w:val="000000"/>
          <w:sz w:val="32"/>
          <w:szCs w:val="32"/>
          <w:lang w:val="en-US" w:eastAsia="zh-CN"/>
        </w:rPr>
        <w:t>社会保障和就业（类）人力资源和社会保障管理事务（款）财政代缴城乡居民基本养老保险费支出（项）：</w:t>
      </w:r>
      <w:r>
        <w:rPr>
          <w:rFonts w:hint="eastAsia" w:ascii="仿宋" w:hAnsi="仿宋" w:eastAsia="仿宋" w:cs="仿宋"/>
          <w:b w:val="0"/>
          <w:bCs w:val="0"/>
          <w:color w:val="000000"/>
          <w:sz w:val="32"/>
          <w:szCs w:val="32"/>
        </w:rPr>
        <w:t>支出决算为</w:t>
      </w:r>
      <w:r>
        <w:rPr>
          <w:rFonts w:hint="eastAsia" w:ascii="仿宋" w:hAnsi="仿宋" w:eastAsia="仿宋" w:cs="仿宋"/>
          <w:b w:val="0"/>
          <w:bCs w:val="0"/>
          <w:color w:val="000000"/>
          <w:sz w:val="32"/>
          <w:szCs w:val="32"/>
          <w:lang w:val="en-US" w:eastAsia="zh-CN"/>
        </w:rPr>
        <w:t>23.97</w:t>
      </w:r>
      <w:r>
        <w:rPr>
          <w:rFonts w:hint="eastAsia" w:ascii="仿宋" w:hAnsi="仿宋" w:eastAsia="仿宋" w:cs="仿宋"/>
          <w:b w:val="0"/>
          <w:bCs w:val="0"/>
          <w:color w:val="000000"/>
          <w:sz w:val="32"/>
          <w:szCs w:val="32"/>
        </w:rPr>
        <w:t>万元，完成预算</w:t>
      </w:r>
      <w:r>
        <w:rPr>
          <w:rFonts w:ascii="仿宋" w:hAnsi="仿宋" w:eastAsia="仿宋" w:cs="仿宋"/>
          <w:b w:val="0"/>
          <w:bCs w:val="0"/>
          <w:color w:val="000000"/>
          <w:sz w:val="32"/>
          <w:szCs w:val="32"/>
        </w:rPr>
        <w:t>100%</w:t>
      </w:r>
      <w:r>
        <w:rPr>
          <w:rFonts w:hint="eastAsia" w:ascii="仿宋" w:hAnsi="仿宋" w:eastAsia="仿宋" w:cs="仿宋"/>
          <w:b w:val="0"/>
          <w:bCs w:val="0"/>
          <w:color w:val="000000"/>
          <w:sz w:val="32"/>
          <w:szCs w:val="32"/>
        </w:rPr>
        <w:t>。</w:t>
      </w:r>
    </w:p>
    <w:p>
      <w:pPr>
        <w:spacing w:line="600" w:lineRule="exact"/>
        <w:ind w:firstLine="642" w:firstLineChars="200"/>
        <w:rPr>
          <w:rFonts w:ascii="仿宋" w:hAnsi="仿宋" w:eastAsia="仿宋"/>
          <w:b/>
          <w:color w:val="FF0000"/>
          <w:sz w:val="32"/>
          <w:szCs w:val="32"/>
        </w:rPr>
      </w:pPr>
      <w:r>
        <w:rPr>
          <w:rFonts w:hint="eastAsia" w:ascii="仿宋" w:hAnsi="仿宋" w:eastAsia="仿宋" w:cs="仿宋"/>
          <w:b/>
          <w:bCs/>
          <w:color w:val="000000"/>
          <w:sz w:val="32"/>
          <w:szCs w:val="32"/>
          <w:lang w:val="en-US" w:eastAsia="zh-CN"/>
        </w:rPr>
        <w:t>6</w:t>
      </w:r>
      <w:r>
        <w:rPr>
          <w:rFonts w:ascii="仿宋" w:hAnsi="仿宋" w:eastAsia="仿宋" w:cs="仿宋"/>
          <w:b/>
          <w:color w:val="000000"/>
          <w:sz w:val="32"/>
          <w:szCs w:val="32"/>
        </w:rPr>
        <w:t>.</w:t>
      </w:r>
      <w:r>
        <w:rPr>
          <w:rFonts w:hint="eastAsia" w:ascii="仿宋" w:hAnsi="仿宋" w:eastAsia="仿宋" w:cs="仿宋"/>
          <w:b/>
          <w:color w:val="000000"/>
          <w:sz w:val="32"/>
          <w:szCs w:val="32"/>
        </w:rPr>
        <w:t>住房保障支出（类）住房改革支出（款）住房公积金（项）</w:t>
      </w:r>
      <w:r>
        <w:rPr>
          <w:rFonts w:ascii="仿宋" w:hAnsi="仿宋" w:eastAsia="仿宋" w:cs="仿宋"/>
          <w:b/>
          <w:color w:val="000000"/>
          <w:sz w:val="32"/>
          <w:szCs w:val="32"/>
        </w:rPr>
        <w:t>:</w:t>
      </w:r>
      <w:r>
        <w:rPr>
          <w:rFonts w:hint="eastAsia" w:ascii="仿宋" w:hAnsi="仿宋" w:eastAsia="仿宋" w:cs="仿宋"/>
          <w:b w:val="0"/>
          <w:bCs w:val="0"/>
          <w:color w:val="000000"/>
          <w:sz w:val="32"/>
          <w:szCs w:val="32"/>
        </w:rPr>
        <w:t>支出决算为</w:t>
      </w:r>
      <w:r>
        <w:rPr>
          <w:rFonts w:hint="eastAsia" w:ascii="仿宋" w:hAnsi="仿宋" w:eastAsia="仿宋" w:cs="仿宋"/>
          <w:b w:val="0"/>
          <w:bCs w:val="0"/>
          <w:color w:val="000000"/>
          <w:sz w:val="32"/>
          <w:szCs w:val="32"/>
          <w:lang w:val="en-US" w:eastAsia="zh-CN"/>
        </w:rPr>
        <w:t>13.19</w:t>
      </w:r>
      <w:r>
        <w:rPr>
          <w:rFonts w:hint="eastAsia" w:ascii="仿宋" w:hAnsi="仿宋" w:eastAsia="仿宋" w:cs="仿宋"/>
          <w:b w:val="0"/>
          <w:bCs w:val="0"/>
          <w:color w:val="000000"/>
          <w:sz w:val="32"/>
          <w:szCs w:val="32"/>
        </w:rPr>
        <w:t>万元，完成预算</w:t>
      </w:r>
      <w:r>
        <w:rPr>
          <w:rFonts w:ascii="仿宋" w:hAnsi="仿宋" w:eastAsia="仿宋" w:cs="仿宋"/>
          <w:b w:val="0"/>
          <w:bCs w:val="0"/>
          <w:color w:val="000000"/>
          <w:sz w:val="32"/>
          <w:szCs w:val="32"/>
        </w:rPr>
        <w:t>100%</w:t>
      </w:r>
      <w:r>
        <w:rPr>
          <w:rFonts w:hint="eastAsia" w:ascii="仿宋" w:hAnsi="仿宋" w:eastAsia="仿宋" w:cs="仿宋"/>
          <w:b w:val="0"/>
          <w:bCs w:val="0"/>
          <w:color w:val="000000"/>
          <w:sz w:val="32"/>
          <w:szCs w:val="32"/>
        </w:rPr>
        <w:t>。</w:t>
      </w:r>
    </w:p>
    <w:p>
      <w:pPr>
        <w:tabs>
          <w:tab w:val="right" w:pos="8306"/>
        </w:tabs>
        <w:spacing w:line="600" w:lineRule="exact"/>
        <w:ind w:firstLine="640" w:firstLineChars="200"/>
        <w:outlineLvl w:val="1"/>
        <w:rPr>
          <w:rStyle w:val="23"/>
        </w:rPr>
      </w:pPr>
      <w:bookmarkStart w:id="53" w:name="_Toc15377214"/>
      <w:bookmarkStart w:id="54" w:name="_Toc79163618"/>
      <w:bookmarkStart w:id="55" w:name="_Toc79163868"/>
      <w:bookmarkStart w:id="56"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3"/>
          <w:rFonts w:hint="eastAsia" w:ascii="黑体" w:hAnsi="黑体" w:eastAsia="黑体"/>
          <w:b w:val="0"/>
        </w:rPr>
        <w:t>般公共预算财政拨款基本支出决算情况说明</w:t>
      </w:r>
      <w:bookmarkEnd w:id="53"/>
      <w:bookmarkEnd w:id="54"/>
      <w:bookmarkEnd w:id="55"/>
      <w:bookmarkEnd w:id="56"/>
      <w:r>
        <w:rPr>
          <w:rStyle w:val="23"/>
          <w:rFonts w:ascii="黑体" w:hAnsi="黑体" w:eastAsia="黑体"/>
          <w:b w:val="0"/>
        </w:rPr>
        <w:tab/>
      </w:r>
    </w:p>
    <w:p>
      <w:pPr>
        <w:spacing w:line="600" w:lineRule="exact"/>
        <w:ind w:firstLine="645"/>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201.66</w:t>
      </w:r>
      <w:r>
        <w:rPr>
          <w:rFonts w:hint="eastAsia" w:ascii="仿宋" w:hAnsi="仿宋" w:eastAsia="仿宋"/>
          <w:color w:val="000000"/>
          <w:sz w:val="32"/>
          <w:szCs w:val="32"/>
        </w:rPr>
        <w:t>万元，其中：</w:t>
      </w:r>
    </w:p>
    <w:p>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166.5</w:t>
      </w:r>
      <w:r>
        <w:rPr>
          <w:rFonts w:hint="eastAsia" w:ascii="仿宋" w:hAnsi="仿宋" w:eastAsia="仿宋"/>
          <w:color w:val="000000"/>
          <w:sz w:val="32"/>
          <w:szCs w:val="32"/>
        </w:rPr>
        <w:t>万元，主要包括：基本工资、津贴补贴、奖金、机关事业单位基本养老保险缴费、职业年金缴费、</w:t>
      </w:r>
      <w:r>
        <w:rPr>
          <w:rFonts w:hint="eastAsia" w:ascii="仿宋" w:hAnsi="仿宋" w:eastAsia="仿宋"/>
          <w:color w:val="000000"/>
          <w:sz w:val="32"/>
          <w:szCs w:val="32"/>
          <w:lang w:eastAsia="zh-CN"/>
        </w:rPr>
        <w:t>职工基本医疗保险缴费、</w:t>
      </w:r>
      <w:r>
        <w:rPr>
          <w:rFonts w:hint="eastAsia" w:ascii="仿宋" w:hAnsi="仿宋" w:eastAsia="仿宋"/>
          <w:color w:val="000000"/>
          <w:sz w:val="32"/>
          <w:szCs w:val="32"/>
        </w:rPr>
        <w:t>其他社会保障缴费、医疗费补助、奖励金、住房公积金。</w:t>
      </w:r>
    </w:p>
    <w:p>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lang w:eastAsia="zh-CN"/>
        </w:rPr>
        <w:t>项目支出</w:t>
      </w:r>
      <w:r>
        <w:rPr>
          <w:rFonts w:hint="eastAsia" w:ascii="仿宋" w:hAnsi="仿宋" w:eastAsia="仿宋"/>
          <w:color w:val="000000"/>
          <w:sz w:val="32"/>
          <w:szCs w:val="32"/>
          <w:lang w:val="en-US" w:eastAsia="zh-CN"/>
        </w:rPr>
        <w:t>23.97万元，主要包括：</w:t>
      </w:r>
      <w:r>
        <w:rPr>
          <w:rFonts w:hint="eastAsia" w:ascii="仿宋_GB2312" w:eastAsia="仿宋_GB2312"/>
          <w:sz w:val="32"/>
          <w:szCs w:val="32"/>
          <w:lang w:val="en-US" w:eastAsia="zh-CN"/>
        </w:rPr>
        <w:t>2025年建档立卡贫困人口、低保对象、特困人员等困难群体政府城乡居民基本养老保险费</w:t>
      </w:r>
      <w:r>
        <w:rPr>
          <w:rFonts w:hint="eastAsia" w:ascii="仿宋" w:hAnsi="仿宋" w:eastAsia="仿宋"/>
          <w:color w:val="000000"/>
          <w:sz w:val="32"/>
          <w:szCs w:val="32"/>
          <w:lang w:eastAsia="zh-CN"/>
        </w:rPr>
        <w:t>。</w:t>
      </w:r>
      <w:r>
        <w:rPr>
          <w:rFonts w:hint="eastAsia" w:ascii="仿宋" w:hAnsi="仿宋" w:eastAsia="仿宋"/>
          <w:color w:val="000000"/>
          <w:sz w:val="32"/>
          <w:szCs w:val="32"/>
        </w:rPr>
        <w:t>　　</w:t>
      </w:r>
    </w:p>
    <w:p>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11.2</w:t>
      </w:r>
      <w:r>
        <w:rPr>
          <w:rFonts w:hint="eastAsia" w:ascii="仿宋" w:hAnsi="仿宋" w:eastAsia="仿宋"/>
          <w:color w:val="000000"/>
          <w:sz w:val="32"/>
          <w:szCs w:val="32"/>
        </w:rPr>
        <w:t>万元，主要包括：办公费、差旅费、维修（护）费、培训费、</w:t>
      </w:r>
      <w:r>
        <w:rPr>
          <w:rFonts w:hint="eastAsia" w:ascii="仿宋" w:hAnsi="仿宋" w:eastAsia="仿宋"/>
          <w:color w:val="000000"/>
          <w:sz w:val="32"/>
          <w:szCs w:val="32"/>
          <w:lang w:eastAsia="zh-CN"/>
        </w:rPr>
        <w:t>印刷费、</w:t>
      </w:r>
      <w:r>
        <w:rPr>
          <w:rFonts w:hint="eastAsia" w:ascii="仿宋" w:hAnsi="仿宋" w:eastAsia="仿宋"/>
          <w:color w:val="000000"/>
          <w:sz w:val="32"/>
          <w:szCs w:val="32"/>
        </w:rPr>
        <w:t>公务用车运行维护费</w:t>
      </w:r>
      <w:r>
        <w:rPr>
          <w:rFonts w:hint="eastAsia" w:ascii="仿宋" w:hAnsi="仿宋" w:eastAsia="仿宋"/>
          <w:color w:val="000000"/>
          <w:sz w:val="32"/>
          <w:szCs w:val="32"/>
          <w:lang w:eastAsia="zh-CN"/>
        </w:rPr>
        <w:t>、办公设备购置</w:t>
      </w:r>
      <w:r>
        <w:rPr>
          <w:rFonts w:hint="eastAsia" w:ascii="仿宋" w:hAnsi="仿宋" w:eastAsia="仿宋"/>
          <w:color w:val="000000"/>
          <w:sz w:val="32"/>
          <w:szCs w:val="32"/>
        </w:rPr>
        <w:t>。</w:t>
      </w:r>
    </w:p>
    <w:p>
      <w:pPr>
        <w:spacing w:line="600" w:lineRule="exact"/>
        <w:ind w:firstLine="640"/>
        <w:outlineLvl w:val="1"/>
        <w:rPr>
          <w:rStyle w:val="23"/>
          <w:rFonts w:ascii="黑体" w:hAnsi="黑体" w:eastAsia="黑体"/>
          <w:b w:val="0"/>
          <w:color w:val="auto"/>
        </w:rPr>
      </w:pPr>
      <w:bookmarkStart w:id="57" w:name="_Toc15396609"/>
      <w:bookmarkStart w:id="58" w:name="_Toc15377215"/>
      <w:bookmarkStart w:id="59" w:name="_Toc79163619"/>
      <w:bookmarkStart w:id="60" w:name="_Toc79163869"/>
      <w:r>
        <w:rPr>
          <w:rFonts w:hint="eastAsia" w:ascii="黑体" w:eastAsia="黑体"/>
          <w:color w:val="auto"/>
          <w:sz w:val="32"/>
          <w:szCs w:val="32"/>
        </w:rPr>
        <w:t>七、</w:t>
      </w:r>
      <w:r>
        <w:rPr>
          <w:rStyle w:val="23"/>
          <w:rFonts w:hint="eastAsia" w:ascii="黑体" w:hAnsi="黑体" w:eastAsia="黑体"/>
          <w:b w:val="0"/>
          <w:color w:val="auto"/>
        </w:rPr>
        <w:t>财政拨款</w:t>
      </w:r>
      <w:r>
        <w:rPr>
          <w:rStyle w:val="23"/>
          <w:rFonts w:hint="eastAsia" w:ascii="黑体" w:hAnsi="黑体" w:eastAsia="黑体"/>
          <w:color w:val="auto"/>
        </w:rPr>
        <w:t>“</w:t>
      </w:r>
      <w:r>
        <w:rPr>
          <w:rStyle w:val="23"/>
          <w:rFonts w:hint="eastAsia" w:ascii="黑体" w:hAnsi="黑体" w:eastAsia="黑体"/>
          <w:b w:val="0"/>
          <w:color w:val="auto"/>
        </w:rPr>
        <w:t>三公”经费支出决算情况说明</w:t>
      </w:r>
      <w:bookmarkEnd w:id="57"/>
      <w:bookmarkEnd w:id="58"/>
      <w:bookmarkEnd w:id="59"/>
      <w:bookmarkEnd w:id="60"/>
    </w:p>
    <w:p>
      <w:pPr>
        <w:ind w:firstLine="1280" w:firstLineChars="4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年本单位没有“三公”经费支出，共计0元。</w:t>
      </w:r>
    </w:p>
    <w:p>
      <w:pPr>
        <w:numPr>
          <w:ilvl w:val="0"/>
          <w:numId w:val="0"/>
        </w:numPr>
        <w:spacing w:line="600" w:lineRule="exact"/>
        <w:ind w:leftChars="200" w:firstLine="320" w:firstLineChars="100"/>
        <w:outlineLvl w:val="1"/>
        <w:rPr>
          <w:rStyle w:val="23"/>
          <w:rFonts w:ascii="黑体" w:hAnsi="黑体" w:eastAsia="黑体"/>
          <w:color w:val="ED7D31" w:themeColor="accent2"/>
          <w14:textFill>
            <w14:solidFill>
              <w14:schemeClr w14:val="accent2"/>
            </w14:solidFill>
          </w14:textFill>
        </w:rPr>
      </w:pPr>
      <w:bookmarkStart w:id="61" w:name="_Toc15377218"/>
      <w:bookmarkStart w:id="62" w:name="_Toc15396610"/>
      <w:bookmarkStart w:id="63" w:name="_Toc79163622"/>
      <w:bookmarkStart w:id="64" w:name="_Toc79163872"/>
      <w:r>
        <w:rPr>
          <w:rFonts w:hint="eastAsia" w:ascii="黑体" w:eastAsia="黑体"/>
          <w:color w:val="auto"/>
          <w:sz w:val="32"/>
          <w:szCs w:val="32"/>
        </w:rPr>
        <w:t>八、</w:t>
      </w:r>
      <w:r>
        <w:rPr>
          <w:rStyle w:val="23"/>
          <w:rFonts w:hint="eastAsia" w:ascii="黑体" w:hAnsi="黑体" w:eastAsia="黑体"/>
          <w:b w:val="0"/>
          <w:color w:val="auto"/>
        </w:rPr>
        <w:t>政府性基金预算支出决算情况说明</w:t>
      </w:r>
      <w:bookmarkEnd w:id="61"/>
      <w:bookmarkEnd w:id="62"/>
      <w:bookmarkEnd w:id="63"/>
      <w:bookmarkEnd w:id="64"/>
    </w:p>
    <w:p>
      <w:pPr>
        <w:spacing w:line="600" w:lineRule="exact"/>
        <w:ind w:firstLine="1292" w:firstLineChars="404"/>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numPr>
          <w:ilvl w:val="0"/>
          <w:numId w:val="2"/>
        </w:numPr>
        <w:spacing w:line="600" w:lineRule="exact"/>
        <w:ind w:firstLine="640"/>
        <w:outlineLvl w:val="1"/>
        <w:rPr>
          <w:rStyle w:val="23"/>
          <w:rFonts w:ascii="黑体" w:hAnsi="黑体" w:eastAsia="黑体"/>
          <w:b w:val="0"/>
        </w:rPr>
      </w:pPr>
      <w:bookmarkStart w:id="65" w:name="_Toc15396611"/>
      <w:bookmarkStart w:id="66" w:name="_Toc15377219"/>
      <w:bookmarkStart w:id="67" w:name="_Toc79163623"/>
      <w:bookmarkStart w:id="68" w:name="_Toc79163873"/>
      <w:r>
        <w:rPr>
          <w:rStyle w:val="23"/>
          <w:rFonts w:hint="eastAsia" w:ascii="黑体" w:hAnsi="黑体" w:eastAsia="黑体"/>
          <w:b w:val="0"/>
        </w:rPr>
        <w:t>国有资本经营预算支出决算情况说明</w:t>
      </w:r>
      <w:bookmarkEnd w:id="65"/>
      <w:bookmarkEnd w:id="66"/>
      <w:bookmarkEnd w:id="67"/>
      <w:bookmarkEnd w:id="68"/>
    </w:p>
    <w:p>
      <w:pPr>
        <w:spacing w:line="600" w:lineRule="exact"/>
        <w:ind w:firstLine="1292" w:firstLineChars="404"/>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0" w:firstLineChars="200"/>
        <w:outlineLvl w:val="1"/>
        <w:rPr>
          <w:rStyle w:val="23"/>
          <w:rFonts w:ascii="黑体" w:hAnsi="黑体" w:eastAsia="黑体"/>
        </w:rPr>
      </w:pPr>
      <w:bookmarkStart w:id="69" w:name="_Toc79163874"/>
      <w:bookmarkStart w:id="70" w:name="_Toc15396612"/>
      <w:bookmarkStart w:id="71" w:name="_Toc79163624"/>
      <w:bookmarkStart w:id="72" w:name="_Toc15377221"/>
      <w:r>
        <w:rPr>
          <w:rFonts w:hint="eastAsia" w:ascii="黑体" w:hAnsi="黑体" w:eastAsia="黑体"/>
          <w:color w:val="000000"/>
          <w:sz w:val="32"/>
          <w:szCs w:val="32"/>
        </w:rPr>
        <w:t>十</w:t>
      </w:r>
      <w:r>
        <w:rPr>
          <w:rStyle w:val="23"/>
          <w:rFonts w:hint="eastAsia" w:ascii="黑体" w:hAnsi="黑体" w:eastAsia="黑体"/>
        </w:rPr>
        <w:t>、</w:t>
      </w:r>
      <w:r>
        <w:rPr>
          <w:rStyle w:val="23"/>
          <w:rFonts w:hint="eastAsia" w:ascii="黑体" w:hAnsi="黑体" w:eastAsia="黑体"/>
          <w:b w:val="0"/>
        </w:rPr>
        <w:t>其他重要事项的情况说明</w:t>
      </w:r>
      <w:bookmarkEnd w:id="69"/>
      <w:bookmarkEnd w:id="70"/>
      <w:bookmarkEnd w:id="71"/>
      <w:bookmarkEnd w:id="72"/>
    </w:p>
    <w:p>
      <w:pPr>
        <w:spacing w:line="600" w:lineRule="exact"/>
        <w:ind w:firstLine="642" w:firstLineChars="200"/>
        <w:outlineLvl w:val="2"/>
        <w:rPr>
          <w:rFonts w:hint="eastAsia" w:ascii="仿宋" w:hAnsi="仿宋" w:eastAsia="仿宋"/>
          <w:b/>
          <w:color w:val="000000"/>
          <w:sz w:val="32"/>
          <w:szCs w:val="32"/>
        </w:rPr>
      </w:pPr>
      <w:bookmarkStart w:id="73" w:name="_Toc79163625"/>
      <w:bookmarkStart w:id="74" w:name="_Toc79163875"/>
      <w:bookmarkStart w:id="75" w:name="_Toc15377222"/>
      <w:r>
        <w:rPr>
          <w:rFonts w:hint="eastAsia" w:ascii="仿宋" w:hAnsi="仿宋" w:eastAsia="仿宋"/>
          <w:b/>
          <w:color w:val="000000"/>
          <w:sz w:val="32"/>
          <w:szCs w:val="32"/>
        </w:rPr>
        <w:t>（一）机关运行经费支出情况</w:t>
      </w:r>
      <w:bookmarkEnd w:id="73"/>
      <w:bookmarkEnd w:id="74"/>
      <w:bookmarkEnd w:id="75"/>
    </w:p>
    <w:p>
      <w:pPr>
        <w:spacing w:line="600" w:lineRule="exact"/>
        <w:ind w:firstLine="1280" w:firstLineChars="4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城居中心机关运行经费</w:t>
      </w:r>
      <w:r>
        <w:rPr>
          <w:rFonts w:hint="eastAsia" w:ascii="仿宋_GB2312" w:eastAsia="仿宋_GB2312"/>
          <w:color w:val="000000"/>
          <w:sz w:val="32"/>
          <w:szCs w:val="32"/>
        </w:rPr>
        <w:t>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autoSpaceDE w:val="0"/>
        <w:autoSpaceDN w:val="0"/>
        <w:adjustRightInd w:val="0"/>
        <w:spacing w:line="600" w:lineRule="exact"/>
        <w:ind w:firstLine="642" w:firstLineChars="200"/>
        <w:jc w:val="left"/>
        <w:outlineLvl w:val="2"/>
        <w:rPr>
          <w:rFonts w:ascii="仿宋" w:hAnsi="仿宋" w:eastAsia="仿宋"/>
          <w:b/>
          <w:color w:val="000000"/>
          <w:sz w:val="32"/>
          <w:szCs w:val="32"/>
        </w:rPr>
      </w:pPr>
      <w:bookmarkStart w:id="76" w:name="_Toc79163626"/>
      <w:bookmarkStart w:id="77" w:name="_Toc15377223"/>
      <w:bookmarkStart w:id="78" w:name="_Toc79163876"/>
      <w:r>
        <w:rPr>
          <w:rFonts w:hint="eastAsia" w:ascii="仿宋" w:hAnsi="仿宋" w:eastAsia="仿宋"/>
          <w:b/>
          <w:color w:val="000000"/>
          <w:sz w:val="32"/>
          <w:szCs w:val="32"/>
        </w:rPr>
        <w:t>（二）政府采购支出情况</w:t>
      </w:r>
      <w:bookmarkEnd w:id="76"/>
      <w:bookmarkEnd w:id="77"/>
      <w:bookmarkEnd w:id="78"/>
    </w:p>
    <w:p>
      <w:pPr>
        <w:spacing w:line="600" w:lineRule="exact"/>
        <w:ind w:firstLine="1280" w:firstLineChars="400"/>
        <w:rPr>
          <w:rFonts w:hint="eastAsia" w:ascii="仿宋_GB2312" w:eastAsia="仿宋_GB2312"/>
          <w:color w:val="000000"/>
          <w:sz w:val="32"/>
          <w:szCs w:val="32"/>
          <w:lang w:eastAsia="zh-CN"/>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城居中心</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numPr>
          <w:ilvl w:val="0"/>
          <w:numId w:val="0"/>
        </w:numPr>
        <w:autoSpaceDE w:val="0"/>
        <w:autoSpaceDN w:val="0"/>
        <w:adjustRightInd w:val="0"/>
        <w:spacing w:line="600" w:lineRule="exact"/>
        <w:ind w:leftChars="0" w:firstLine="642" w:firstLineChars="200"/>
        <w:jc w:val="left"/>
        <w:outlineLvl w:val="2"/>
        <w:rPr>
          <w:rFonts w:hint="eastAsia" w:ascii="仿宋" w:hAnsi="仿宋" w:eastAsia="仿宋"/>
          <w:b/>
          <w:color w:val="000000"/>
          <w:sz w:val="32"/>
          <w:szCs w:val="32"/>
        </w:rPr>
      </w:pPr>
      <w:bookmarkStart w:id="79" w:name="_Toc79163877"/>
      <w:bookmarkStart w:id="80" w:name="_Toc15377224"/>
      <w:bookmarkStart w:id="81" w:name="_Toc79163627"/>
      <w:r>
        <w:rPr>
          <w:rFonts w:hint="eastAsia" w:ascii="仿宋" w:hAnsi="仿宋" w:eastAsia="仿宋"/>
          <w:b/>
          <w:color w:val="000000"/>
          <w:sz w:val="32"/>
          <w:szCs w:val="32"/>
          <w:lang w:eastAsia="zh-CN"/>
        </w:rPr>
        <w:t>（三）</w:t>
      </w:r>
      <w:r>
        <w:rPr>
          <w:rFonts w:hint="eastAsia" w:ascii="仿宋" w:hAnsi="仿宋" w:eastAsia="仿宋"/>
          <w:b/>
          <w:color w:val="000000"/>
          <w:sz w:val="32"/>
          <w:szCs w:val="32"/>
        </w:rPr>
        <w:t>国有资产占有使用情况</w:t>
      </w:r>
      <w:bookmarkEnd w:id="79"/>
      <w:bookmarkEnd w:id="80"/>
      <w:bookmarkEnd w:id="81"/>
    </w:p>
    <w:p>
      <w:pPr>
        <w:numPr>
          <w:ilvl w:val="0"/>
          <w:numId w:val="0"/>
        </w:numPr>
        <w:autoSpaceDE w:val="0"/>
        <w:autoSpaceDN w:val="0"/>
        <w:adjustRightInd w:val="0"/>
        <w:spacing w:line="600" w:lineRule="exact"/>
        <w:ind w:leftChars="0"/>
        <w:jc w:val="left"/>
        <w:outlineLvl w:val="2"/>
        <w:rPr>
          <w:rFonts w:hint="default"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 xml:space="preserve">         无</w:t>
      </w:r>
    </w:p>
    <w:p>
      <w:pPr>
        <w:numPr>
          <w:ilvl w:val="0"/>
          <w:numId w:val="0"/>
        </w:numPr>
        <w:autoSpaceDE w:val="0"/>
        <w:autoSpaceDN w:val="0"/>
        <w:adjustRightInd w:val="0"/>
        <w:spacing w:line="600" w:lineRule="exact"/>
        <w:ind w:firstLine="642" w:firstLineChars="200"/>
        <w:jc w:val="left"/>
        <w:outlineLvl w:val="2"/>
        <w:rPr>
          <w:rFonts w:hint="eastAsia" w:ascii="仿宋" w:hAnsi="仿宋" w:eastAsia="仿宋"/>
          <w:b/>
          <w:color w:val="000000"/>
          <w:sz w:val="32"/>
          <w:szCs w:val="32"/>
        </w:rPr>
      </w:pPr>
      <w:bookmarkStart w:id="82" w:name="_Toc79163878"/>
      <w:bookmarkStart w:id="83" w:name="_Toc79163628"/>
      <w:r>
        <w:rPr>
          <w:rFonts w:hint="eastAsia" w:ascii="仿宋" w:hAnsi="仿宋" w:eastAsia="仿宋"/>
          <w:b/>
          <w:color w:val="000000"/>
          <w:sz w:val="32"/>
          <w:szCs w:val="32"/>
          <w:lang w:eastAsia="zh-CN"/>
        </w:rPr>
        <w:t>（四）</w:t>
      </w:r>
      <w:r>
        <w:rPr>
          <w:rFonts w:hint="eastAsia" w:ascii="仿宋" w:hAnsi="仿宋" w:eastAsia="仿宋"/>
          <w:b/>
          <w:color w:val="000000"/>
          <w:sz w:val="32"/>
          <w:szCs w:val="32"/>
        </w:rPr>
        <w:t>预算绩效管理情况。</w:t>
      </w:r>
      <w:bookmarkEnd w:id="82"/>
      <w:bookmarkEnd w:id="83"/>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根据预算绩效管理要求，本单位在年初预算编制阶段，</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开展预算事前绩效评估，对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个项目开展了绩效目标完成情况自评。</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按要求对20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年部门整体支出开展绩效自评，从评价情况来看我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年部门整体支出情况良好，从预算到执行和收入、支出管理均严格按照相关要求进行，全年收支平衡，有效保障了单位正常运转，圆满完成了单位目标任务。</w:t>
      </w:r>
    </w:p>
    <w:p>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lang w:val="en-US" w:eastAsia="zh-CN"/>
        </w:rPr>
        <w:t>1个</w:t>
      </w:r>
      <w:r>
        <w:rPr>
          <w:rFonts w:hint="eastAsia" w:ascii="仿宋_GB2312" w:hAnsi="仿宋_GB2312" w:eastAsia="仿宋_GB2312" w:cs="仿宋_GB2312"/>
          <w:sz w:val="32"/>
          <w:szCs w:val="32"/>
        </w:rPr>
        <w:t>专项预算项目，</w:t>
      </w:r>
      <w:r>
        <w:rPr>
          <w:rFonts w:hint="eastAsia" w:ascii="仿宋_GB2312" w:hAnsi="仿宋_GB2312" w:eastAsia="仿宋_GB2312" w:cs="仿宋_GB2312"/>
          <w:sz w:val="32"/>
          <w:szCs w:val="32"/>
          <w:lang w:eastAsia="zh-CN"/>
        </w:rPr>
        <w:t>年末已</w:t>
      </w:r>
      <w:r>
        <w:rPr>
          <w:rFonts w:hint="eastAsia" w:ascii="仿宋_GB2312" w:hAnsi="仿宋_GB2312" w:eastAsia="仿宋_GB2312" w:cs="仿宋_GB2312"/>
          <w:sz w:val="32"/>
          <w:szCs w:val="32"/>
        </w:rPr>
        <w:t>组织开展项目支出绩效评价。</w:t>
      </w: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0"/>
        </w:numPr>
        <w:autoSpaceDE w:val="0"/>
        <w:autoSpaceDN w:val="0"/>
        <w:adjustRightInd w:val="0"/>
        <w:spacing w:line="600" w:lineRule="exact"/>
        <w:jc w:val="left"/>
        <w:outlineLvl w:val="2"/>
        <w:rPr>
          <w:rFonts w:hint="eastAsia" w:ascii="仿宋" w:hAnsi="仿宋" w:eastAsia="仿宋"/>
          <w:b/>
          <w:color w:val="000000"/>
          <w:sz w:val="32"/>
          <w:szCs w:val="32"/>
        </w:rPr>
      </w:pPr>
    </w:p>
    <w:p>
      <w:pPr>
        <w:numPr>
          <w:ilvl w:val="0"/>
          <w:numId w:val="3"/>
        </w:numPr>
        <w:spacing w:line="600" w:lineRule="exact"/>
        <w:ind w:firstLine="660" w:firstLineChars="150"/>
        <w:jc w:val="center"/>
        <w:outlineLvl w:val="0"/>
        <w:rPr>
          <w:rStyle w:val="22"/>
          <w:rFonts w:ascii="黑体" w:hAnsi="黑体" w:eastAsia="黑体"/>
          <w:b w:val="0"/>
        </w:rPr>
      </w:pPr>
      <w:bookmarkStart w:id="84" w:name="_Toc15396613"/>
      <w:bookmarkStart w:id="85" w:name="_Toc79163629"/>
      <w:bookmarkStart w:id="86" w:name="_Toc79163879"/>
      <w:bookmarkStart w:id="87" w:name="_Toc15377225"/>
      <w:r>
        <w:rPr>
          <w:rFonts w:hint="eastAsia" w:ascii="黑体" w:hAnsi="黑体" w:eastAsia="黑体"/>
          <w:color w:val="000000"/>
          <w:sz w:val="44"/>
          <w:szCs w:val="44"/>
        </w:rPr>
        <w:t>名</w:t>
      </w:r>
      <w:r>
        <w:rPr>
          <w:rStyle w:val="22"/>
          <w:rFonts w:hint="eastAsia" w:ascii="黑体" w:hAnsi="黑体" w:eastAsia="黑体"/>
          <w:b w:val="0"/>
        </w:rPr>
        <w:t>词解释</w:t>
      </w:r>
      <w:bookmarkEnd w:id="84"/>
      <w:bookmarkEnd w:id="85"/>
      <w:bookmarkEnd w:id="86"/>
      <w:bookmarkEnd w:id="87"/>
    </w:p>
    <w:p>
      <w:pPr>
        <w:pStyle w:val="32"/>
        <w:spacing w:line="560" w:lineRule="exact"/>
        <w:ind w:firstLine="640" w:firstLineChars="200"/>
        <w:rPr>
          <w:rFonts w:ascii="仿宋_GB2312" w:eastAsia="仿宋_GB2312"/>
          <w:sz w:val="32"/>
          <w:szCs w:val="32"/>
        </w:rPr>
      </w:pPr>
      <w:bookmarkStart w:id="88"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32"/>
        <w:spacing w:line="560" w:lineRule="exact"/>
        <w:ind w:firstLine="640" w:firstLineChars="200"/>
        <w:rPr>
          <w:rFonts w:hint="eastAsia"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pPr>
        <w:pStyle w:val="32"/>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pPr>
        <w:pStyle w:val="32"/>
        <w:spacing w:line="560" w:lineRule="exact"/>
        <w:ind w:firstLine="640" w:firstLineChars="20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pPr>
        <w:pStyle w:val="32"/>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32"/>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2"/>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32"/>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9. 社会保障和就业（类）人力资源和社会保障管理事务（款）社会保险经办机构（项）：指社会保险经办机构开展业务工作的支出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10.社会保障和就业（类）行政事业单位离退休（款）机关事业单位基本养老保险缴费支出（项）：指机关事业单位实施养老保险制度由单位缴纳的基本养老保险费支出。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11. 社会保障和就业（类）行政事业单位离退休（款）机关事业单位职业年金缴费支出（项）：指机关事业单位养老保险制度由单位缴纳的职业年金支出。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12.医疗卫生与计划生育（类）行政事业单位医疗（款）事业单位医疗（项）：指财政部门集中安排的事业单位基本医疗保险缴费。</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13.住房保障（类）住房改革（款）住房公积金（项）：指行政事业单位按规定的标准和比例为职工缴纳的住房公积金。</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14.基本支出：指为保障机构正常运转、完成日常工作任务而发生的人员支出和公用支出。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15.项目支出：指在基本支出之外为完成特定行政任务和事业发展目标所发生的支出。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16.经营支出：指事业单位在专业业务活动及其辅助活动之外开展非独立核算经营活动发生的支出。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2"/>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22"/>
          <w:rFonts w:ascii="黑体" w:hAnsi="黑体" w:eastAsia="黑体"/>
          <w:b w:val="0"/>
        </w:rPr>
      </w:pPr>
      <w:r>
        <w:rPr>
          <w:rFonts w:ascii="宋体"/>
          <w:b/>
          <w:color w:val="000000"/>
          <w:sz w:val="44"/>
          <w:szCs w:val="44"/>
        </w:rPr>
        <w:br w:type="page"/>
      </w:r>
      <w:bookmarkStart w:id="89" w:name="_Toc79163880"/>
      <w:bookmarkStart w:id="90" w:name="_Toc15396614"/>
      <w:bookmarkStart w:id="91" w:name="_Toc79163630"/>
      <w:r>
        <w:rPr>
          <w:rFonts w:hint="eastAsia" w:ascii="黑体" w:hAnsi="黑体" w:eastAsia="黑体"/>
          <w:color w:val="000000"/>
          <w:sz w:val="44"/>
          <w:szCs w:val="44"/>
        </w:rPr>
        <w:t>第</w:t>
      </w:r>
      <w:r>
        <w:rPr>
          <w:rStyle w:val="22"/>
          <w:rFonts w:hint="eastAsia" w:ascii="黑体" w:hAnsi="黑体" w:eastAsia="黑体"/>
          <w:b w:val="0"/>
        </w:rPr>
        <w:t>四部分</w:t>
      </w:r>
      <w:r>
        <w:rPr>
          <w:rStyle w:val="22"/>
          <w:rFonts w:ascii="黑体" w:hAnsi="黑体" w:eastAsia="黑体"/>
          <w:b w:val="0"/>
        </w:rPr>
        <w:t xml:space="preserve"> </w:t>
      </w:r>
      <w:r>
        <w:rPr>
          <w:rStyle w:val="22"/>
          <w:rFonts w:hint="eastAsia" w:ascii="黑体" w:hAnsi="黑体" w:eastAsia="黑体"/>
          <w:b w:val="0"/>
        </w:rPr>
        <w:t>附件</w:t>
      </w:r>
      <w:bookmarkEnd w:id="89"/>
      <w:bookmarkEnd w:id="90"/>
      <w:bookmarkEnd w:id="91"/>
    </w:p>
    <w:p>
      <w:pPr>
        <w:spacing w:line="600" w:lineRule="exact"/>
        <w:jc w:val="left"/>
        <w:outlineLvl w:val="0"/>
        <w:rPr>
          <w:rFonts w:ascii="方正小标宋简体" w:hAnsi="方正小标宋简体" w:eastAsia="方正小标宋简体" w:cs="方正小标宋简体"/>
          <w:sz w:val="32"/>
          <w:szCs w:val="32"/>
        </w:rPr>
      </w:pPr>
      <w:bookmarkStart w:id="92" w:name="_Toc79163881"/>
      <w:bookmarkStart w:id="93" w:name="_Toc79163631"/>
      <w:r>
        <w:rPr>
          <w:rFonts w:hint="eastAsia" w:ascii="黑体" w:hAnsi="黑体" w:eastAsia="黑体" w:cs="黑体"/>
          <w:sz w:val="32"/>
          <w:szCs w:val="32"/>
        </w:rPr>
        <w:t>附件</w:t>
      </w:r>
      <w:r>
        <w:rPr>
          <w:rFonts w:ascii="黑体" w:hAnsi="黑体" w:eastAsia="黑体" w:cs="黑体"/>
          <w:sz w:val="32"/>
          <w:szCs w:val="32"/>
        </w:rPr>
        <w:t>1</w:t>
      </w:r>
      <w:bookmarkEnd w:id="92"/>
      <w:bookmarkEnd w:id="93"/>
    </w:p>
    <w:p>
      <w:pPr>
        <w:spacing w:line="600" w:lineRule="exact"/>
        <w:jc w:val="center"/>
        <w:outlineLvl w:val="0"/>
        <w:rPr>
          <w:rFonts w:ascii="方正小标宋简体" w:hAnsi="黑体" w:eastAsia="方正小标宋简体" w:cs="黑体"/>
          <w:sz w:val="44"/>
          <w:szCs w:val="44"/>
        </w:rPr>
      </w:pPr>
      <w:bookmarkStart w:id="94" w:name="_Toc79163632"/>
      <w:bookmarkStart w:id="95" w:name="_Toc79163882"/>
      <w:r>
        <w:rPr>
          <w:rFonts w:hint="eastAsia" w:ascii="方正小标宋简体" w:hAnsi="黑体" w:eastAsia="方正小标宋简体" w:cs="黑体"/>
          <w:sz w:val="44"/>
          <w:szCs w:val="44"/>
          <w:lang w:eastAsia="zh-CN"/>
        </w:rPr>
        <w:t>壤塘县城乡居民养老保险事务中心</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lang w:val="en-US" w:eastAsia="zh-CN"/>
        </w:rPr>
        <w:t>5</w:t>
      </w:r>
      <w:r>
        <w:rPr>
          <w:rFonts w:hint="eastAsia" w:ascii="方正小标宋简体" w:hAnsi="黑体" w:eastAsia="方正小标宋简体" w:cs="黑体"/>
          <w:sz w:val="44"/>
          <w:szCs w:val="44"/>
        </w:rPr>
        <w:t>年</w:t>
      </w:r>
      <w:r>
        <w:rPr>
          <w:rFonts w:hint="eastAsia" w:ascii="方正小标宋简体" w:hAnsi="黑体" w:eastAsia="方正小标宋简体" w:cs="黑体"/>
          <w:sz w:val="44"/>
          <w:szCs w:val="44"/>
          <w:lang w:eastAsia="zh-CN"/>
        </w:rPr>
        <w:t>度部门</w:t>
      </w:r>
      <w:r>
        <w:rPr>
          <w:rFonts w:hint="eastAsia" w:ascii="方正小标宋简体" w:hAnsi="黑体" w:eastAsia="方正小标宋简体" w:cs="黑体"/>
          <w:sz w:val="44"/>
          <w:szCs w:val="44"/>
        </w:rPr>
        <w:t>整体支出绩效评价报告</w:t>
      </w:r>
      <w:bookmarkEnd w:id="94"/>
      <w:bookmarkEnd w:id="95"/>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部门概况</w:t>
      </w:r>
    </w:p>
    <w:p>
      <w:pPr>
        <w:widowControl/>
        <w:adjustRightInd w:val="0"/>
        <w:snapToGrid w:val="0"/>
        <w:spacing w:line="580" w:lineRule="exact"/>
        <w:ind w:firstLine="640" w:firstLineChars="200"/>
        <w:contextualSpacing/>
        <w:jc w:val="left"/>
        <w:rPr>
          <w:rFonts w:hint="eastAsia" w:ascii="楷体_GB2312" w:hAnsi="楷体_GB2312" w:eastAsia="楷体_GB2312" w:cs="楷体_GB2312"/>
          <w:b/>
          <w:bCs/>
          <w:sz w:val="32"/>
          <w:szCs w:val="32"/>
        </w:rPr>
      </w:pPr>
      <w:r>
        <w:rPr>
          <w:rFonts w:hint="eastAsia" w:ascii="楷体_GB2312" w:hAnsi="楷体_GB2312" w:eastAsia="楷体_GB2312" w:cs="楷体_GB2312"/>
          <w:color w:val="000000"/>
          <w:kern w:val="0"/>
          <w:sz w:val="32"/>
          <w:szCs w:val="32"/>
          <w:shd w:val="clear" w:color="auto" w:fill="FFFFFF"/>
          <w:lang w:val="zh-CN"/>
        </w:rPr>
        <w:t>（一）机构组成。</w:t>
      </w:r>
    </w:p>
    <w:p>
      <w:pPr>
        <w:ind w:firstLine="640" w:firstLineChars="200"/>
        <w:rPr>
          <w:rFonts w:hint="eastAsia"/>
          <w:bCs/>
          <w:color w:val="000000"/>
          <w:sz w:val="32"/>
          <w:szCs w:val="32"/>
        </w:rPr>
      </w:pPr>
      <w:r>
        <w:rPr>
          <w:rFonts w:hint="eastAsia" w:ascii="仿宋_GB2312" w:hAnsi="仿宋_GB2312" w:eastAsia="仿宋_GB2312" w:cs="仿宋_GB2312"/>
          <w:sz w:val="32"/>
          <w:szCs w:val="32"/>
        </w:rPr>
        <w:t>壤塘县城乡居民养老保险</w:t>
      </w:r>
      <w:r>
        <w:rPr>
          <w:rFonts w:hint="eastAsia" w:ascii="仿宋_GB2312" w:hAnsi="仿宋_GB2312" w:eastAsia="仿宋_GB2312" w:cs="仿宋_GB2312"/>
          <w:sz w:val="32"/>
          <w:szCs w:val="32"/>
          <w:lang w:eastAsia="zh-CN"/>
        </w:rPr>
        <w:t>事务中心隶属于</w:t>
      </w:r>
      <w:r>
        <w:rPr>
          <w:rFonts w:hint="eastAsia" w:ascii="仿宋_GB2312" w:hAnsi="仿宋_GB2312" w:eastAsia="仿宋_GB2312" w:cs="仿宋_GB2312"/>
          <w:sz w:val="32"/>
          <w:szCs w:val="32"/>
        </w:rPr>
        <w:t>壤塘县人力资源和社会保障局。本部门</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下属</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级预算单位，</w:t>
      </w:r>
      <w:r>
        <w:rPr>
          <w:rFonts w:hint="eastAsia" w:ascii="仿宋_GB2312" w:hAnsi="仿宋_GB2312" w:eastAsia="仿宋_GB2312" w:cs="仿宋_GB2312"/>
          <w:sz w:val="32"/>
          <w:szCs w:val="32"/>
          <w:lang w:eastAsia="zh-CN"/>
        </w:rPr>
        <w:t>设置</w:t>
      </w:r>
      <w:r>
        <w:rPr>
          <w:rFonts w:hint="eastAsia" w:ascii="仿宋_GB2312" w:hAnsi="仿宋_GB2312" w:eastAsia="仿宋_GB2312" w:cs="仿宋_GB2312"/>
          <w:sz w:val="32"/>
          <w:szCs w:val="32"/>
        </w:rPr>
        <w:t>内设机构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p>
    <w:p>
      <w:pPr>
        <w:widowControl/>
        <w:numPr>
          <w:ilvl w:val="0"/>
          <w:numId w:val="0"/>
        </w:numPr>
        <w:adjustRightInd w:val="0"/>
        <w:snapToGrid w:val="0"/>
        <w:spacing w:line="580" w:lineRule="exact"/>
        <w:ind w:leftChars="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楷体_GB2312" w:hAnsi="楷体_GB2312" w:eastAsia="楷体_GB2312" w:cs="楷体_GB2312"/>
          <w:color w:val="000000"/>
          <w:kern w:val="0"/>
          <w:sz w:val="32"/>
          <w:szCs w:val="32"/>
          <w:shd w:val="clear" w:color="auto" w:fill="FFFFFF"/>
          <w:lang w:val="en-US" w:eastAsia="zh-CN"/>
        </w:rPr>
        <w:t xml:space="preserve"> （二）</w:t>
      </w:r>
      <w:r>
        <w:rPr>
          <w:rFonts w:hint="eastAsia" w:ascii="楷体_GB2312" w:hAnsi="楷体_GB2312" w:eastAsia="楷体_GB2312" w:cs="楷体_GB2312"/>
          <w:color w:val="000000"/>
          <w:kern w:val="0"/>
          <w:sz w:val="32"/>
          <w:szCs w:val="32"/>
          <w:shd w:val="clear" w:color="auto" w:fill="FFFFFF"/>
          <w:lang w:val="zh-CN"/>
        </w:rPr>
        <w:t>机构职能。</w:t>
      </w:r>
    </w:p>
    <w:p>
      <w:pPr>
        <w:pStyle w:val="6"/>
        <w:adjustRightInd w:val="0"/>
        <w:snapToGrid w:val="0"/>
        <w:spacing w:before="93" w:line="600" w:lineRule="exact"/>
        <w:ind w:firstLine="640" w:firstLineChars="200"/>
        <w:outlineLvl w:val="2"/>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1.贯彻落实养老保险法律法规及规章，负责养老保险参保登记、保费征缴、待遇支付，办理养老保险关系建立、转移、接续、终止等业务，制定业务操作规范并组织实施。</w:t>
      </w:r>
    </w:p>
    <w:p>
      <w:pPr>
        <w:spacing w:line="56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2.负责城乡居民养老保险个人账户管理、缴费记录维护及业务档案管理工作。</w:t>
      </w:r>
    </w:p>
    <w:p>
      <w:pPr>
        <w:spacing w:line="56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 严格执行社会保险基金财务、会计制度，规范基金管理，编制社会保险基金年度预决算及季度、月度财务报告，强化基金会计核算。</w:t>
      </w:r>
    </w:p>
    <w:p>
      <w:pPr>
        <w:spacing w:line="56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4. 拟定全县基本养老保险统筹规划、年度</w:t>
      </w:r>
      <w:r>
        <w:rPr>
          <w:rFonts w:hint="eastAsia" w:ascii="仿宋_GB2312" w:eastAsia="仿宋_GB2312" w:cs="Times New Roman"/>
          <w:kern w:val="2"/>
          <w:sz w:val="32"/>
          <w:szCs w:val="32"/>
          <w:lang w:val="en-US" w:eastAsia="zh-CN" w:bidi="ar-SA"/>
        </w:rPr>
        <w:t>统筹谋划</w:t>
      </w:r>
      <w:r>
        <w:rPr>
          <w:rFonts w:hint="eastAsia" w:ascii="仿宋_GB2312" w:hAnsi="Times New Roman" w:eastAsia="仿宋_GB2312" w:cs="Times New Roman"/>
          <w:kern w:val="2"/>
          <w:sz w:val="32"/>
          <w:szCs w:val="32"/>
          <w:lang w:val="en-US" w:eastAsia="zh-CN" w:bidi="ar-SA"/>
        </w:rPr>
        <w:t>，按规定完成社会保险调剂金上解。</w:t>
      </w:r>
    </w:p>
    <w:p>
      <w:pPr>
        <w:spacing w:line="560" w:lineRule="exact"/>
        <w:ind w:firstLine="640" w:firstLineChars="200"/>
        <w:rPr>
          <w:rFonts w:hint="eastAsia" w:ascii="仿宋_GB2312" w:eastAsia="仿宋_GB2312"/>
          <w:sz w:val="32"/>
          <w:szCs w:val="32"/>
        </w:rPr>
      </w:pPr>
      <w:r>
        <w:rPr>
          <w:rFonts w:hint="eastAsia" w:ascii="仿宋_GB2312" w:hAnsi="Times New Roman" w:eastAsia="仿宋_GB2312" w:cs="Times New Roman"/>
          <w:kern w:val="2"/>
          <w:sz w:val="32"/>
          <w:szCs w:val="32"/>
          <w:lang w:val="en-US" w:eastAsia="zh-CN" w:bidi="ar-SA"/>
        </w:rPr>
        <w:t>5.落实城乡居民退休人员基本养老金按时足额发放，开展退休人员社会化管理服务，规范养老金社会化发放</w:t>
      </w:r>
      <w:r>
        <w:rPr>
          <w:rFonts w:hint="eastAsia" w:ascii="仿宋_GB2312" w:eastAsia="仿宋_GB2312"/>
          <w:sz w:val="32"/>
          <w:szCs w:val="32"/>
        </w:rPr>
        <w:t>。</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6.组织开展养老保险稽核，加强养老保险基金监管，保障基金专款专用、安全完整。</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7.承担养老保险信息、统计数据的采集、整理、分析及管理工作。</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8.负责组织实施养老保险机构业务培训，提供养老保险咨询、查询服务，开展养老保险宣传工作。</w:t>
      </w:r>
    </w:p>
    <w:p>
      <w:pPr>
        <w:widowControl/>
        <w:numPr>
          <w:ilvl w:val="0"/>
          <w:numId w:val="0"/>
        </w:numPr>
        <w:adjustRightInd w:val="0"/>
        <w:snapToGrid w:val="0"/>
        <w:spacing w:line="580" w:lineRule="exact"/>
        <w:ind w:leftChars="0" w:firstLine="640" w:firstLineChars="200"/>
        <w:contextualSpacing/>
        <w:jc w:val="left"/>
        <w:rPr>
          <w:rFonts w:hint="eastAsia" w:ascii="楷体_GB2312" w:hAnsi="楷体_GB2312" w:eastAsia="楷体_GB2312" w:cs="楷体_GB2312"/>
          <w:color w:val="000000"/>
          <w:kern w:val="0"/>
          <w:sz w:val="32"/>
          <w:szCs w:val="32"/>
          <w:shd w:val="clear" w:color="auto" w:fill="FFFFFF"/>
          <w:lang w:val="zh-CN" w:eastAsia="zh-CN"/>
        </w:rPr>
      </w:pPr>
      <w:r>
        <w:rPr>
          <w:rFonts w:hint="eastAsia" w:ascii="楷体_GB2312" w:hAnsi="楷体_GB2312" w:eastAsia="楷体_GB2312" w:cs="楷体_GB2312"/>
          <w:color w:val="000000"/>
          <w:kern w:val="0"/>
          <w:sz w:val="32"/>
          <w:szCs w:val="32"/>
          <w:shd w:val="clear" w:color="auto" w:fill="FFFFFF"/>
          <w:lang w:val="zh-CN" w:eastAsia="zh-CN"/>
        </w:rPr>
        <w:t>（三）人员概况。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宋体" w:eastAsia="仿宋_GB2312" w:cs="宋体"/>
          <w:kern w:val="0"/>
          <w:sz w:val="32"/>
          <w:szCs w:val="32"/>
        </w:rPr>
        <w:t>壤塘县城乡居民养老保险</w:t>
      </w:r>
      <w:r>
        <w:rPr>
          <w:rFonts w:hint="eastAsia" w:ascii="仿宋_GB2312" w:hAnsi="宋体" w:eastAsia="仿宋_GB2312" w:cs="宋体"/>
          <w:kern w:val="0"/>
          <w:sz w:val="32"/>
          <w:szCs w:val="32"/>
          <w:lang w:eastAsia="zh-CN"/>
        </w:rPr>
        <w:t>事务中心一</w:t>
      </w:r>
      <w:r>
        <w:rPr>
          <w:rFonts w:hint="eastAsia" w:ascii="仿宋_GB2312" w:hAnsi="宋体" w:eastAsia="仿宋_GB2312" w:cs="宋体"/>
          <w:kern w:val="0"/>
          <w:sz w:val="32"/>
          <w:szCs w:val="32"/>
        </w:rPr>
        <w:t>级预算单位，其中内设机构</w:t>
      </w:r>
      <w:r>
        <w:rPr>
          <w:rFonts w:hint="eastAsia" w:ascii="仿宋_GB2312" w:hAnsi="宋体" w:eastAsia="仿宋_GB2312" w:cs="宋体"/>
          <w:kern w:val="0"/>
          <w:sz w:val="32"/>
          <w:szCs w:val="32"/>
          <w:u w:val="single"/>
        </w:rPr>
        <w:t>1</w:t>
      </w:r>
      <w:r>
        <w:rPr>
          <w:rFonts w:hint="eastAsia" w:ascii="仿宋_GB2312" w:hAnsi="宋体" w:eastAsia="仿宋_GB2312" w:cs="宋体"/>
          <w:kern w:val="0"/>
          <w:sz w:val="32"/>
          <w:szCs w:val="32"/>
        </w:rPr>
        <w:t>个。</w:t>
      </w:r>
      <w:r>
        <w:rPr>
          <w:rFonts w:hint="eastAsia" w:ascii="仿宋_GB2312" w:hAnsi="宋体" w:eastAsia="仿宋_GB2312" w:cs="仿宋_GB2312"/>
          <w:kern w:val="0"/>
          <w:sz w:val="32"/>
          <w:szCs w:val="32"/>
        </w:rPr>
        <w:t>总编制</w:t>
      </w:r>
      <w:r>
        <w:rPr>
          <w:rFonts w:hint="eastAsia" w:ascii="仿宋_GB2312" w:hAnsi="宋体" w:eastAsia="仿宋_GB2312" w:cs="仿宋_GB2312"/>
          <w:kern w:val="0"/>
          <w:sz w:val="32"/>
          <w:szCs w:val="32"/>
          <w:u w:val="single"/>
          <w:lang w:val="en-US" w:eastAsia="zh-CN"/>
        </w:rPr>
        <w:t>7</w:t>
      </w:r>
      <w:r>
        <w:rPr>
          <w:rFonts w:hint="eastAsia" w:ascii="仿宋_GB2312" w:hAnsi="宋体" w:eastAsia="仿宋_GB2312" w:cs="仿宋_GB2312"/>
          <w:kern w:val="0"/>
          <w:sz w:val="32"/>
          <w:szCs w:val="32"/>
        </w:rPr>
        <w:t>名</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其中</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行政编制</w:t>
      </w:r>
      <w:r>
        <w:rPr>
          <w:rFonts w:ascii="仿宋_GB2312" w:hAnsi="宋体" w:eastAsia="仿宋_GB2312" w:cs="仿宋_GB2312"/>
          <w:kern w:val="0"/>
          <w:sz w:val="32"/>
          <w:szCs w:val="32"/>
          <w:u w:val="single"/>
        </w:rPr>
        <w:t xml:space="preserve"> 0 </w:t>
      </w:r>
      <w:r>
        <w:rPr>
          <w:rFonts w:hint="eastAsia" w:ascii="仿宋_GB2312" w:hAnsi="宋体" w:eastAsia="仿宋_GB2312" w:cs="仿宋_GB2312"/>
          <w:kern w:val="0"/>
          <w:sz w:val="32"/>
          <w:szCs w:val="32"/>
        </w:rPr>
        <w:t>名。在职人员总数</w:t>
      </w:r>
      <w:r>
        <w:rPr>
          <w:rFonts w:hint="eastAsia" w:ascii="仿宋_GB2312" w:hAnsi="宋体" w:eastAsia="仿宋_GB2312" w:cs="仿宋_GB2312"/>
          <w:kern w:val="0"/>
          <w:sz w:val="32"/>
          <w:szCs w:val="32"/>
          <w:u w:val="single"/>
          <w:lang w:val="en-US" w:eastAsia="zh-CN"/>
        </w:rPr>
        <w:t>7</w:t>
      </w:r>
      <w:r>
        <w:rPr>
          <w:rFonts w:hint="eastAsia" w:ascii="仿宋_GB2312" w:hAnsi="宋体" w:eastAsia="仿宋_GB2312" w:cs="仿宋_GB2312"/>
          <w:kern w:val="0"/>
          <w:sz w:val="32"/>
          <w:szCs w:val="32"/>
        </w:rPr>
        <w:t>名，其中：行政人员</w:t>
      </w:r>
      <w:r>
        <w:rPr>
          <w:rFonts w:ascii="仿宋_GB2312" w:hAnsi="宋体" w:eastAsia="仿宋_GB2312" w:cs="仿宋_GB2312"/>
          <w:kern w:val="0"/>
          <w:sz w:val="32"/>
          <w:szCs w:val="32"/>
          <w:u w:val="single"/>
        </w:rPr>
        <w:t>0</w:t>
      </w:r>
      <w:r>
        <w:rPr>
          <w:rFonts w:hint="eastAsia" w:ascii="仿宋_GB2312" w:hAnsi="宋体" w:eastAsia="仿宋_GB2312" w:cs="仿宋_GB2312"/>
          <w:kern w:val="0"/>
          <w:sz w:val="32"/>
          <w:szCs w:val="32"/>
        </w:rPr>
        <w:t>名，其他事业人员</w:t>
      </w:r>
      <w:r>
        <w:rPr>
          <w:rFonts w:hint="eastAsia" w:ascii="仿宋_GB2312" w:hAnsi="宋体" w:eastAsia="仿宋_GB2312" w:cs="仿宋_GB2312"/>
          <w:kern w:val="0"/>
          <w:sz w:val="32"/>
          <w:szCs w:val="32"/>
          <w:u w:val="single"/>
          <w:lang w:val="en-US" w:eastAsia="zh-CN"/>
        </w:rPr>
        <w:t>7</w:t>
      </w:r>
      <w:r>
        <w:rPr>
          <w:rFonts w:hint="eastAsia" w:ascii="仿宋_GB2312" w:hAnsi="宋体" w:eastAsia="仿宋_GB2312" w:cs="仿宋_GB2312"/>
          <w:kern w:val="0"/>
          <w:sz w:val="32"/>
          <w:szCs w:val="32"/>
        </w:rPr>
        <w:t>名；退休人员</w:t>
      </w:r>
      <w:r>
        <w:rPr>
          <w:rFonts w:ascii="仿宋_GB2312" w:hAnsi="宋体" w:eastAsia="仿宋_GB2312" w:cs="仿宋_GB2312"/>
          <w:kern w:val="0"/>
          <w:sz w:val="32"/>
          <w:szCs w:val="32"/>
          <w:u w:val="single"/>
        </w:rPr>
        <w:t xml:space="preserve"> 0</w:t>
      </w:r>
      <w:r>
        <w:rPr>
          <w:rFonts w:hint="eastAsia" w:ascii="仿宋_GB2312" w:hAnsi="宋体" w:eastAsia="仿宋_GB2312" w:cs="仿宋_GB2312"/>
          <w:kern w:val="0"/>
          <w:sz w:val="32"/>
          <w:szCs w:val="32"/>
        </w:rPr>
        <w:t>人。</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pPr>
        <w:spacing w:line="580" w:lineRule="exact"/>
        <w:ind w:firstLine="640" w:firstLineChars="200"/>
        <w:rPr>
          <w:rFonts w:hint="eastAsia" w:ascii="仿宋_GB2312" w:hAnsi="宋体" w:eastAsia="仿宋_GB2312" w:cs="宋体"/>
          <w:color w:val="000000"/>
          <w:kern w:val="0"/>
          <w:sz w:val="32"/>
          <w:szCs w:val="32"/>
          <w:shd w:val="clear" w:color="auto" w:fill="FFFFFF"/>
          <w:lang w:val="zh-CN"/>
        </w:rPr>
      </w:pPr>
      <w:r>
        <w:rPr>
          <w:rFonts w:hint="eastAsia" w:ascii="仿宋" w:hAnsi="仿宋" w:eastAsia="仿宋" w:cs="仿宋_GB2312"/>
          <w:sz w:val="32"/>
          <w:szCs w:val="32"/>
        </w:rPr>
        <w:t>部门财政资金收入</w:t>
      </w:r>
      <w:r>
        <w:rPr>
          <w:rFonts w:hint="eastAsia" w:ascii="仿宋" w:hAnsi="仿宋" w:eastAsia="仿宋" w:cs="仿宋_GB2312"/>
          <w:sz w:val="32"/>
          <w:szCs w:val="32"/>
          <w:lang w:eastAsia="zh-CN"/>
        </w:rPr>
        <w:t>合</w:t>
      </w:r>
      <w:r>
        <w:rPr>
          <w:rFonts w:hint="eastAsia" w:ascii="仿宋" w:hAnsi="仿宋" w:eastAsia="仿宋" w:cs="仿宋_GB2312"/>
          <w:sz w:val="32"/>
          <w:szCs w:val="32"/>
        </w:rPr>
        <w:t>计</w:t>
      </w:r>
      <w:r>
        <w:rPr>
          <w:rFonts w:hint="eastAsia" w:ascii="仿宋" w:hAnsi="仿宋" w:eastAsia="仿宋" w:cs="仿宋_GB2312"/>
          <w:sz w:val="32"/>
          <w:szCs w:val="32"/>
          <w:lang w:val="en-US" w:eastAsia="zh-CN"/>
        </w:rPr>
        <w:t>201.66</w:t>
      </w:r>
      <w:r>
        <w:rPr>
          <w:rFonts w:hint="eastAsia" w:ascii="仿宋" w:hAnsi="仿宋" w:eastAsia="仿宋" w:cs="仿宋_GB2312"/>
          <w:sz w:val="32"/>
          <w:szCs w:val="32"/>
        </w:rPr>
        <w:t>万元</w:t>
      </w:r>
      <w:r>
        <w:rPr>
          <w:rFonts w:hint="eastAsia" w:ascii="仿宋" w:hAnsi="仿宋" w:eastAsia="仿宋" w:cs="仿宋_GB2312"/>
          <w:sz w:val="32"/>
          <w:szCs w:val="32"/>
          <w:lang w:eastAsia="zh-CN"/>
        </w:rPr>
        <w:t>全部来源于</w:t>
      </w:r>
      <w:r>
        <w:rPr>
          <w:rFonts w:hint="eastAsia" w:ascii="仿宋" w:hAnsi="仿宋" w:eastAsia="仿宋" w:cs="仿宋_GB2312"/>
          <w:sz w:val="32"/>
          <w:szCs w:val="32"/>
        </w:rPr>
        <w:t>一般公共预算财政拨款。无上级补助收入、事业收入、经营收入</w:t>
      </w:r>
      <w:r>
        <w:rPr>
          <w:rFonts w:hint="eastAsia" w:ascii="仿宋" w:hAnsi="仿宋" w:eastAsia="仿宋" w:cs="仿宋_GB2312"/>
          <w:sz w:val="32"/>
          <w:szCs w:val="32"/>
          <w:lang w:eastAsia="zh-CN"/>
        </w:rPr>
        <w:t>及</w:t>
      </w:r>
      <w:r>
        <w:rPr>
          <w:rFonts w:hint="eastAsia" w:ascii="仿宋" w:hAnsi="仿宋" w:eastAsia="仿宋" w:cs="仿宋_GB2312"/>
          <w:sz w:val="32"/>
          <w:szCs w:val="32"/>
        </w:rPr>
        <w:t>其他性质的经费收入。</w:t>
      </w:r>
    </w:p>
    <w:p>
      <w:pPr>
        <w:widowControl/>
        <w:numPr>
          <w:ilvl w:val="0"/>
          <w:numId w:val="0"/>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pPr>
        <w:spacing w:line="600" w:lineRule="exact"/>
        <w:ind w:firstLine="645"/>
        <w:rPr>
          <w:rFonts w:hint="eastAsia" w:ascii="仿宋" w:hAnsi="仿宋" w:eastAsia="仿宋"/>
          <w:color w:val="000000"/>
          <w:sz w:val="32"/>
          <w:szCs w:val="32"/>
        </w:rPr>
      </w:pPr>
      <w:r>
        <w:rPr>
          <w:rFonts w:hint="eastAsia" w:ascii="仿宋" w:hAnsi="仿宋" w:eastAsia="仿宋" w:cs="仿宋_GB2312"/>
          <w:sz w:val="32"/>
          <w:szCs w:val="32"/>
        </w:rPr>
        <w:t>部门财政资金支出</w:t>
      </w:r>
      <w:r>
        <w:rPr>
          <w:rFonts w:hint="eastAsia" w:ascii="仿宋" w:hAnsi="仿宋" w:eastAsia="仿宋" w:cs="仿宋_GB2312"/>
          <w:sz w:val="32"/>
          <w:szCs w:val="32"/>
          <w:lang w:eastAsia="zh-CN"/>
        </w:rPr>
        <w:t>合</w:t>
      </w:r>
      <w:r>
        <w:rPr>
          <w:rFonts w:hint="eastAsia" w:ascii="仿宋" w:hAnsi="仿宋" w:eastAsia="仿宋" w:cs="仿宋_GB2312"/>
          <w:sz w:val="32"/>
          <w:szCs w:val="32"/>
        </w:rPr>
        <w:t>计</w:t>
      </w:r>
      <w:r>
        <w:rPr>
          <w:rFonts w:hint="eastAsia" w:ascii="仿宋" w:hAnsi="仿宋" w:eastAsia="仿宋" w:cs="仿宋_GB2312"/>
          <w:sz w:val="32"/>
          <w:szCs w:val="32"/>
          <w:lang w:val="en-US" w:eastAsia="zh-CN"/>
        </w:rPr>
        <w:t>201.66</w:t>
      </w:r>
      <w:r>
        <w:rPr>
          <w:rFonts w:hint="eastAsia" w:ascii="仿宋" w:hAnsi="仿宋" w:eastAsia="仿宋" w:cs="仿宋_GB2312"/>
          <w:sz w:val="32"/>
          <w:szCs w:val="32"/>
        </w:rPr>
        <w:t>万元</w:t>
      </w:r>
      <w:r>
        <w:rPr>
          <w:rFonts w:hint="eastAsia" w:ascii="仿宋" w:hAnsi="仿宋" w:eastAsia="仿宋" w:cs="仿宋_GB2312"/>
          <w:sz w:val="32"/>
          <w:szCs w:val="32"/>
          <w:lang w:eastAsia="zh-CN"/>
        </w:rPr>
        <w:t>，其中：</w:t>
      </w: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166.5</w:t>
      </w:r>
      <w:r>
        <w:rPr>
          <w:rFonts w:hint="eastAsia" w:ascii="仿宋" w:hAnsi="仿宋" w:eastAsia="仿宋"/>
          <w:color w:val="000000"/>
          <w:sz w:val="32"/>
          <w:szCs w:val="32"/>
        </w:rPr>
        <w:t>万元，主要包括：基本工资、津贴补贴、奖金、机关事业单位基本养老保险缴费、职业年金缴费、</w:t>
      </w:r>
      <w:r>
        <w:rPr>
          <w:rFonts w:hint="eastAsia" w:ascii="仿宋" w:hAnsi="仿宋" w:eastAsia="仿宋"/>
          <w:color w:val="000000"/>
          <w:sz w:val="32"/>
          <w:szCs w:val="32"/>
          <w:lang w:eastAsia="zh-CN"/>
        </w:rPr>
        <w:t>职工基本医疗保险缴费、</w:t>
      </w:r>
      <w:r>
        <w:rPr>
          <w:rFonts w:hint="eastAsia" w:ascii="仿宋" w:hAnsi="仿宋" w:eastAsia="仿宋"/>
          <w:color w:val="000000"/>
          <w:sz w:val="32"/>
          <w:szCs w:val="32"/>
        </w:rPr>
        <w:t>其他社会保障缴费、医疗费补助、奖励金、住房公积金。</w:t>
      </w:r>
    </w:p>
    <w:p>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lang w:eastAsia="zh-CN"/>
        </w:rPr>
        <w:t>项目支出</w:t>
      </w:r>
      <w:r>
        <w:rPr>
          <w:rFonts w:hint="eastAsia" w:ascii="仿宋" w:hAnsi="仿宋" w:eastAsia="仿宋"/>
          <w:color w:val="000000"/>
          <w:sz w:val="32"/>
          <w:szCs w:val="32"/>
          <w:lang w:val="en-US" w:eastAsia="zh-CN"/>
        </w:rPr>
        <w:t>23.97万元，用于</w:t>
      </w:r>
      <w:r>
        <w:rPr>
          <w:rFonts w:hint="eastAsia" w:ascii="仿宋_GB2312" w:eastAsia="仿宋_GB2312"/>
          <w:sz w:val="32"/>
          <w:szCs w:val="32"/>
          <w:lang w:val="en-US" w:eastAsia="zh-CN"/>
        </w:rPr>
        <w:t>2025年建档立卡贫困人口、低保对象、特困人员等困难群体城乡居民基本养老保险政府代缴</w:t>
      </w:r>
      <w:r>
        <w:rPr>
          <w:rFonts w:hint="eastAsia" w:ascii="仿宋" w:hAnsi="仿宋" w:eastAsia="仿宋"/>
          <w:color w:val="000000"/>
          <w:sz w:val="32"/>
          <w:szCs w:val="32"/>
          <w:lang w:eastAsia="zh-CN"/>
        </w:rPr>
        <w:t>。</w:t>
      </w:r>
      <w:r>
        <w:rPr>
          <w:rFonts w:hint="eastAsia" w:ascii="仿宋" w:hAnsi="仿宋" w:eastAsia="仿宋"/>
          <w:color w:val="000000"/>
          <w:sz w:val="32"/>
          <w:szCs w:val="32"/>
        </w:rPr>
        <w:t>　　</w:t>
      </w:r>
    </w:p>
    <w:p>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11.2</w:t>
      </w:r>
      <w:r>
        <w:rPr>
          <w:rFonts w:hint="eastAsia" w:ascii="仿宋" w:hAnsi="仿宋" w:eastAsia="仿宋"/>
          <w:color w:val="000000"/>
          <w:sz w:val="32"/>
          <w:szCs w:val="32"/>
        </w:rPr>
        <w:t>万元，主要包括：办公费、差旅费、维修（护）费、培训费、公务用车运行维护费。</w:t>
      </w:r>
    </w:p>
    <w:p>
      <w:pPr>
        <w:widowControl/>
        <w:numPr>
          <w:ilvl w:val="0"/>
          <w:numId w:val="0"/>
        </w:numPr>
        <w:adjustRightInd w:val="0"/>
        <w:snapToGrid w:val="0"/>
        <w:spacing w:line="580" w:lineRule="exact"/>
        <w:ind w:left="640" w:leftChars="0"/>
        <w:contextualSpacing/>
        <w:jc w:val="left"/>
        <w:rPr>
          <w:rFonts w:hint="eastAsia"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lang w:eastAsia="zh-CN"/>
        </w:rPr>
        <w:t>三、</w:t>
      </w:r>
      <w:r>
        <w:rPr>
          <w:rFonts w:hint="eastAsia" w:ascii="黑体" w:hAnsi="宋体" w:eastAsia="黑体" w:cs="宋体"/>
          <w:color w:val="000000"/>
          <w:kern w:val="0"/>
          <w:sz w:val="32"/>
          <w:szCs w:val="32"/>
          <w:shd w:val="clear" w:color="auto" w:fill="FFFFFF"/>
        </w:rPr>
        <w:t>部门整体预算绩效管理情况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pPr>
        <w:widowControl/>
        <w:adjustRightInd w:val="0"/>
        <w:snapToGrid w:val="0"/>
        <w:spacing w:line="580" w:lineRule="exact"/>
        <w:ind w:firstLine="640" w:firstLineChars="200"/>
        <w:contextualSpacing/>
        <w:jc w:val="left"/>
        <w:rPr>
          <w:rFonts w:hint="eastAsia" w:ascii="仿宋" w:hAnsi="仿宋" w:eastAsia="仿宋" w:cs="仿宋_GB2312"/>
          <w:sz w:val="32"/>
          <w:szCs w:val="32"/>
          <w:lang w:eastAsia="zh-CN"/>
        </w:rPr>
      </w:pPr>
      <w:r>
        <w:rPr>
          <w:rFonts w:hint="eastAsia" w:ascii="仿宋" w:hAnsi="仿宋" w:eastAsia="仿宋" w:cs="仿宋_GB2312"/>
          <w:sz w:val="32"/>
          <w:szCs w:val="32"/>
        </w:rPr>
        <w:t>科学统筹年度收支预算，强化预算全流程管理。财务人员严格依据县级预算编制文件要求开展预算编制工作，预算方案经财政部门审核通过后组织实施。预算执行阶段，</w:t>
      </w:r>
      <w:r>
        <w:rPr>
          <w:rFonts w:hint="eastAsia" w:ascii="仿宋" w:hAnsi="仿宋" w:eastAsia="仿宋" w:cs="仿宋_GB2312"/>
          <w:sz w:val="32"/>
          <w:szCs w:val="32"/>
          <w:lang w:eastAsia="zh-CN"/>
        </w:rPr>
        <w:t>严肃财经纪律</w:t>
      </w:r>
      <w:r>
        <w:rPr>
          <w:rFonts w:hint="eastAsia" w:ascii="仿宋" w:hAnsi="仿宋" w:eastAsia="仿宋" w:cs="仿宋_GB2312"/>
          <w:sz w:val="32"/>
          <w:szCs w:val="32"/>
        </w:rPr>
        <w:t>，保障收支平衡，顺利完成各项既定工作目标</w:t>
      </w:r>
      <w:r>
        <w:rPr>
          <w:rFonts w:hint="eastAsia" w:ascii="仿宋" w:hAnsi="仿宋" w:eastAsia="仿宋" w:cs="仿宋_GB2312"/>
          <w:sz w:val="32"/>
          <w:szCs w:val="32"/>
          <w:lang w:eastAsia="zh-CN"/>
        </w:rPr>
        <w:t>。</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pPr>
        <w:spacing w:line="58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依托绩效评价结果，持续规范预算执行管理，压紧预算执行责任，保障单位各项工作目标落地完成。</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 w:hAnsi="仿宋" w:eastAsia="仿宋" w:cs="仿宋_GB2312"/>
          <w:sz w:val="32"/>
          <w:szCs w:val="32"/>
          <w:lang w:eastAsia="zh-CN"/>
        </w:rPr>
        <w:t>2025年度部门整体支出管理规范，预算编制、资金执行、收支管控均严格遵守财经管理规定，全年收支平衡，有力保障机构正常履职，圆满完成年度各项工作任务。（二）</w:t>
      </w:r>
      <w:r>
        <w:rPr>
          <w:rFonts w:hint="eastAsia" w:ascii="仿宋_GB2312" w:hAnsi="宋体" w:eastAsia="仿宋_GB2312" w:cs="宋体"/>
          <w:color w:val="000000"/>
          <w:kern w:val="0"/>
          <w:sz w:val="32"/>
          <w:szCs w:val="32"/>
          <w:shd w:val="clear" w:color="auto" w:fill="FFFFFF"/>
          <w:lang w:val="en-US" w:eastAsia="zh-CN"/>
        </w:rPr>
        <w:t>存在问题。</w:t>
      </w:r>
    </w:p>
    <w:p>
      <w:pPr>
        <w:widowControl/>
        <w:numPr>
          <w:ilvl w:val="0"/>
          <w:numId w:val="0"/>
        </w:numPr>
        <w:adjustRightInd w:val="0"/>
        <w:snapToGrid w:val="0"/>
        <w:spacing w:line="580" w:lineRule="exact"/>
        <w:ind w:left="1050" w:leftChars="0"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无</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bookmarkStart w:id="96" w:name="_Toc79163885"/>
      <w:bookmarkStart w:id="97" w:name="_Toc79163635"/>
      <w:bookmarkStart w:id="98" w:name="_Toc15396618"/>
    </w:p>
    <w:p>
      <w:pPr>
        <w:widowControl/>
        <w:numPr>
          <w:ilvl w:val="0"/>
          <w:numId w:val="0"/>
        </w:numPr>
        <w:adjustRightInd w:val="0"/>
        <w:snapToGrid w:val="0"/>
        <w:spacing w:line="580" w:lineRule="exact"/>
        <w:ind w:firstLine="1600" w:firstLineChars="5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无</w:t>
      </w:r>
    </w:p>
    <w:p>
      <w:pPr>
        <w:widowControl/>
        <w:numPr>
          <w:ilvl w:val="0"/>
          <w:numId w:val="0"/>
        </w:numPr>
        <w:adjustRightInd w:val="0"/>
        <w:snapToGrid w:val="0"/>
        <w:spacing w:line="580" w:lineRule="exact"/>
        <w:ind w:firstLine="1600" w:firstLineChars="500"/>
        <w:contextualSpacing/>
        <w:jc w:val="left"/>
        <w:rPr>
          <w:rFonts w:hint="eastAsia" w:ascii="仿宋_GB2312" w:hAnsi="宋体" w:eastAsia="仿宋_GB2312" w:cs="宋体"/>
          <w:color w:val="000000"/>
          <w:kern w:val="0"/>
          <w:sz w:val="32"/>
          <w:szCs w:val="32"/>
          <w:shd w:val="clear" w:color="auto" w:fill="FFFFFF"/>
          <w:lang w:val="zh-CN"/>
        </w:rPr>
      </w:pP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zh-CN"/>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both"/>
        <w:textAlignment w:val="auto"/>
        <w:outlineLvl w:val="0"/>
        <w:rPr>
          <w:rStyle w:val="22"/>
          <w:rFonts w:ascii="黑体" w:hAnsi="黑体" w:eastAsia="黑体"/>
          <w:b w:val="0"/>
        </w:rPr>
      </w:pPr>
      <w:r>
        <w:rPr>
          <w:rFonts w:hint="eastAsia" w:ascii="黑体" w:hAnsi="黑体" w:eastAsia="黑体"/>
          <w:color w:val="000000"/>
          <w:sz w:val="44"/>
          <w:szCs w:val="44"/>
        </w:rPr>
        <w:t>第</w:t>
      </w:r>
      <w:r>
        <w:rPr>
          <w:rStyle w:val="22"/>
          <w:rFonts w:hint="eastAsia" w:ascii="黑体" w:hAnsi="黑体" w:eastAsia="黑体"/>
          <w:b w:val="0"/>
        </w:rPr>
        <w:t>五部分</w:t>
      </w:r>
      <w:r>
        <w:rPr>
          <w:rStyle w:val="22"/>
          <w:rFonts w:ascii="黑体" w:hAnsi="黑体" w:eastAsia="黑体"/>
          <w:b w:val="0"/>
        </w:rPr>
        <w:t xml:space="preserve"> </w:t>
      </w:r>
      <w:r>
        <w:rPr>
          <w:rStyle w:val="22"/>
          <w:rFonts w:hint="eastAsia" w:ascii="黑体" w:hAnsi="黑体" w:eastAsia="黑体"/>
          <w:b w:val="0"/>
        </w:rPr>
        <w:t>附表</w:t>
      </w:r>
      <w:bookmarkEnd w:id="88"/>
      <w:bookmarkEnd w:id="96"/>
      <w:bookmarkEnd w:id="97"/>
      <w:bookmarkEnd w:id="98"/>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99" w:name="_Toc15396619"/>
      <w:bookmarkStart w:id="100" w:name="_Toc79163636"/>
      <w:bookmarkStart w:id="101" w:name="_Toc79163886"/>
      <w:r>
        <w:rPr>
          <w:rFonts w:hint="eastAsia" w:ascii="仿宋" w:hAnsi="仿宋" w:eastAsia="仿宋"/>
          <w:b w:val="0"/>
          <w:color w:val="000000"/>
        </w:rPr>
        <w:t>一、收</w:t>
      </w:r>
      <w:r>
        <w:rPr>
          <w:rStyle w:val="23"/>
          <w:rFonts w:hint="eastAsia" w:ascii="仿宋" w:hAnsi="仿宋" w:eastAsia="仿宋"/>
          <w:b w:val="0"/>
          <w:bCs w:val="0"/>
        </w:rPr>
        <w:t>入支出决算总表</w:t>
      </w:r>
      <w:bookmarkEnd w:id="99"/>
      <w:bookmarkEnd w:id="100"/>
      <w:bookmarkEnd w:id="101"/>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02" w:name="_Toc79163637"/>
      <w:bookmarkStart w:id="103" w:name="_Toc15396620"/>
      <w:bookmarkStart w:id="104" w:name="_Toc79163887"/>
      <w:r>
        <w:rPr>
          <w:rFonts w:hint="eastAsia" w:ascii="仿宋" w:hAnsi="仿宋" w:eastAsia="仿宋"/>
          <w:b w:val="0"/>
          <w:color w:val="000000"/>
        </w:rPr>
        <w:t>二、收</w:t>
      </w:r>
      <w:r>
        <w:rPr>
          <w:rStyle w:val="23"/>
          <w:rFonts w:hint="eastAsia" w:ascii="仿宋" w:hAnsi="仿宋" w:eastAsia="仿宋"/>
          <w:b w:val="0"/>
          <w:bCs w:val="0"/>
        </w:rPr>
        <w:t>入决算表</w:t>
      </w:r>
      <w:bookmarkEnd w:id="102"/>
      <w:bookmarkEnd w:id="103"/>
      <w:bookmarkEnd w:id="104"/>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05" w:name="_Toc15396621"/>
      <w:bookmarkStart w:id="106" w:name="_Toc79163638"/>
      <w:bookmarkStart w:id="107" w:name="_Toc79163888"/>
      <w:r>
        <w:rPr>
          <w:rStyle w:val="23"/>
          <w:rFonts w:hint="eastAsia" w:ascii="仿宋" w:hAnsi="仿宋" w:eastAsia="仿宋"/>
          <w:b w:val="0"/>
          <w:bCs w:val="0"/>
        </w:rPr>
        <w:t>三、</w:t>
      </w:r>
      <w:r>
        <w:rPr>
          <w:rFonts w:hint="eastAsia" w:ascii="仿宋" w:hAnsi="仿宋" w:eastAsia="仿宋"/>
          <w:b w:val="0"/>
          <w:color w:val="000000"/>
        </w:rPr>
        <w:t>支</w:t>
      </w:r>
      <w:r>
        <w:rPr>
          <w:rStyle w:val="23"/>
          <w:rFonts w:hint="eastAsia" w:ascii="仿宋" w:hAnsi="仿宋" w:eastAsia="仿宋"/>
          <w:b w:val="0"/>
          <w:bCs w:val="0"/>
        </w:rPr>
        <w:t>出决算表</w:t>
      </w:r>
      <w:bookmarkEnd w:id="105"/>
      <w:bookmarkEnd w:id="106"/>
      <w:bookmarkEnd w:id="107"/>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b w:val="0"/>
          <w:color w:val="000000"/>
        </w:rPr>
      </w:pPr>
      <w:bookmarkStart w:id="108" w:name="_Toc15396622"/>
      <w:bookmarkStart w:id="109" w:name="_Toc79163889"/>
      <w:bookmarkStart w:id="110" w:name="_Toc79163639"/>
      <w:r>
        <w:rPr>
          <w:rStyle w:val="23"/>
          <w:rFonts w:hint="eastAsia" w:ascii="仿宋" w:hAnsi="仿宋" w:eastAsia="仿宋"/>
          <w:b w:val="0"/>
          <w:bCs w:val="0"/>
        </w:rPr>
        <w:t>四、</w:t>
      </w:r>
      <w:r>
        <w:rPr>
          <w:rFonts w:hint="eastAsia" w:ascii="仿宋" w:hAnsi="仿宋" w:eastAsia="仿宋"/>
          <w:b w:val="0"/>
          <w:color w:val="000000"/>
        </w:rPr>
        <w:t>财</w:t>
      </w:r>
      <w:r>
        <w:rPr>
          <w:rStyle w:val="23"/>
          <w:rFonts w:hint="eastAsia" w:ascii="仿宋" w:hAnsi="仿宋" w:eastAsia="仿宋"/>
          <w:b w:val="0"/>
          <w:bCs w:val="0"/>
        </w:rPr>
        <w:t>政拨款收入支出决算总表</w:t>
      </w:r>
      <w:bookmarkEnd w:id="108"/>
      <w:bookmarkEnd w:id="109"/>
      <w:bookmarkEnd w:id="110"/>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23"/>
          <w:rFonts w:ascii="仿宋" w:hAnsi="仿宋" w:eastAsia="仿宋"/>
          <w:b w:val="0"/>
          <w:bCs w:val="0"/>
        </w:rPr>
      </w:pPr>
      <w:bookmarkStart w:id="111" w:name="_Toc79163640"/>
      <w:bookmarkStart w:id="112" w:name="_Toc79163890"/>
      <w:bookmarkStart w:id="113" w:name="_Toc15396623"/>
      <w:r>
        <w:rPr>
          <w:rStyle w:val="23"/>
          <w:rFonts w:hint="eastAsia" w:ascii="仿宋" w:hAnsi="仿宋" w:eastAsia="仿宋"/>
          <w:b w:val="0"/>
          <w:bCs w:val="0"/>
        </w:rPr>
        <w:t>五、</w:t>
      </w:r>
      <w:r>
        <w:rPr>
          <w:rFonts w:hint="eastAsia" w:ascii="仿宋" w:hAnsi="仿宋" w:eastAsia="仿宋"/>
          <w:b w:val="0"/>
          <w:color w:val="000000"/>
        </w:rPr>
        <w:t>财</w:t>
      </w:r>
      <w:r>
        <w:rPr>
          <w:rStyle w:val="23"/>
          <w:rFonts w:hint="eastAsia" w:ascii="仿宋" w:hAnsi="仿宋" w:eastAsia="仿宋"/>
          <w:b w:val="0"/>
          <w:bCs w:val="0"/>
        </w:rPr>
        <w:t>政拨款支出决算明细表</w:t>
      </w:r>
      <w:bookmarkEnd w:id="111"/>
      <w:bookmarkEnd w:id="112"/>
      <w:bookmarkEnd w:id="113"/>
      <w:bookmarkStart w:id="114" w:name="_Toc15396624"/>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15" w:name="_Toc79163891"/>
      <w:bookmarkStart w:id="116" w:name="_Toc79163641"/>
      <w:r>
        <w:rPr>
          <w:rStyle w:val="23"/>
          <w:rFonts w:hint="eastAsia" w:ascii="仿宋" w:hAnsi="仿宋" w:eastAsia="仿宋"/>
          <w:b w:val="0"/>
          <w:bCs w:val="0"/>
        </w:rPr>
        <w:t>六、</w:t>
      </w:r>
      <w:r>
        <w:rPr>
          <w:rFonts w:hint="eastAsia" w:ascii="仿宋" w:hAnsi="仿宋" w:eastAsia="仿宋"/>
          <w:b w:val="0"/>
          <w:color w:val="000000"/>
        </w:rPr>
        <w:t>一</w:t>
      </w:r>
      <w:r>
        <w:rPr>
          <w:rStyle w:val="23"/>
          <w:rFonts w:hint="eastAsia" w:ascii="仿宋" w:hAnsi="仿宋" w:eastAsia="仿宋"/>
          <w:b w:val="0"/>
          <w:bCs w:val="0"/>
        </w:rPr>
        <w:t>般公共预算财政拨款支出决算表</w:t>
      </w:r>
      <w:bookmarkEnd w:id="114"/>
      <w:bookmarkEnd w:id="115"/>
      <w:bookmarkEnd w:id="116"/>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17" w:name="_Toc15396625"/>
      <w:bookmarkStart w:id="118" w:name="_Toc79163892"/>
      <w:bookmarkStart w:id="119" w:name="_Toc79163642"/>
      <w:r>
        <w:rPr>
          <w:rStyle w:val="23"/>
          <w:rFonts w:hint="eastAsia" w:ascii="仿宋" w:hAnsi="仿宋" w:eastAsia="仿宋"/>
          <w:b w:val="0"/>
          <w:bCs w:val="0"/>
        </w:rPr>
        <w:t>七、</w:t>
      </w:r>
      <w:r>
        <w:rPr>
          <w:rFonts w:hint="eastAsia" w:ascii="仿宋" w:hAnsi="仿宋" w:eastAsia="仿宋"/>
          <w:b w:val="0"/>
          <w:color w:val="000000"/>
        </w:rPr>
        <w:t>一</w:t>
      </w:r>
      <w:r>
        <w:rPr>
          <w:rStyle w:val="23"/>
          <w:rFonts w:hint="eastAsia" w:ascii="仿宋" w:hAnsi="仿宋" w:eastAsia="仿宋"/>
          <w:b w:val="0"/>
          <w:bCs w:val="0"/>
        </w:rPr>
        <w:t>般公共预算财政拨款支出决算明细表</w:t>
      </w:r>
      <w:bookmarkEnd w:id="117"/>
      <w:bookmarkEnd w:id="118"/>
      <w:bookmarkEnd w:id="119"/>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20" w:name="_Toc79163643"/>
      <w:bookmarkStart w:id="121" w:name="_Toc15396626"/>
      <w:bookmarkStart w:id="122" w:name="_Toc79163893"/>
      <w:r>
        <w:rPr>
          <w:rStyle w:val="23"/>
          <w:rFonts w:hint="eastAsia" w:ascii="仿宋" w:hAnsi="仿宋" w:eastAsia="仿宋"/>
          <w:b w:val="0"/>
          <w:bCs w:val="0"/>
        </w:rPr>
        <w:t>八、</w:t>
      </w:r>
      <w:r>
        <w:rPr>
          <w:rFonts w:hint="eastAsia" w:ascii="仿宋" w:hAnsi="仿宋" w:eastAsia="仿宋"/>
          <w:b w:val="0"/>
          <w:color w:val="000000"/>
        </w:rPr>
        <w:t>一</w:t>
      </w:r>
      <w:r>
        <w:rPr>
          <w:rStyle w:val="23"/>
          <w:rFonts w:hint="eastAsia" w:ascii="仿宋" w:hAnsi="仿宋" w:eastAsia="仿宋"/>
          <w:b w:val="0"/>
          <w:bCs w:val="0"/>
        </w:rPr>
        <w:t>般公共预算财政拨款基本支出决算表</w:t>
      </w:r>
      <w:bookmarkEnd w:id="120"/>
      <w:bookmarkEnd w:id="121"/>
      <w:bookmarkEnd w:id="122"/>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23" w:name="_Toc79163894"/>
      <w:bookmarkStart w:id="124" w:name="_Toc79163644"/>
      <w:bookmarkStart w:id="125" w:name="_Toc15396627"/>
      <w:r>
        <w:rPr>
          <w:rStyle w:val="23"/>
          <w:rFonts w:hint="eastAsia" w:ascii="仿宋" w:hAnsi="仿宋" w:eastAsia="仿宋"/>
          <w:b w:val="0"/>
          <w:bCs w:val="0"/>
        </w:rPr>
        <w:t>九、</w:t>
      </w:r>
      <w:r>
        <w:rPr>
          <w:rFonts w:hint="eastAsia" w:ascii="仿宋" w:hAnsi="仿宋" w:eastAsia="仿宋"/>
          <w:b w:val="0"/>
          <w:color w:val="000000"/>
        </w:rPr>
        <w:t>一</w:t>
      </w:r>
      <w:r>
        <w:rPr>
          <w:rStyle w:val="23"/>
          <w:rFonts w:hint="eastAsia" w:ascii="仿宋" w:hAnsi="仿宋" w:eastAsia="仿宋"/>
          <w:b w:val="0"/>
          <w:bCs w:val="0"/>
        </w:rPr>
        <w:t>般公共预算财政拨款项目支出决算表</w:t>
      </w:r>
      <w:bookmarkEnd w:id="123"/>
      <w:bookmarkEnd w:id="124"/>
      <w:bookmarkEnd w:id="125"/>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bookmarkStart w:id="126" w:name="_Toc15396628"/>
      <w:bookmarkStart w:id="127" w:name="_Toc79163895"/>
      <w:bookmarkStart w:id="128" w:name="_Toc79163645"/>
      <w:r>
        <w:rPr>
          <w:rStyle w:val="23"/>
          <w:rFonts w:hint="eastAsia" w:ascii="仿宋" w:hAnsi="仿宋" w:eastAsia="仿宋"/>
          <w:b w:val="0"/>
          <w:bCs w:val="0"/>
        </w:rPr>
        <w:t>十、</w:t>
      </w:r>
      <w:bookmarkEnd w:id="126"/>
      <w:bookmarkEnd w:id="127"/>
      <w:bookmarkEnd w:id="128"/>
      <w:r>
        <w:rPr>
          <w:rFonts w:hint="eastAsia" w:ascii="仿宋" w:hAnsi="仿宋" w:eastAsia="仿宋"/>
          <w:b w:val="0"/>
          <w:color w:val="000000"/>
        </w:rPr>
        <w:t>政</w:t>
      </w:r>
      <w:r>
        <w:rPr>
          <w:rStyle w:val="23"/>
          <w:rFonts w:hint="eastAsia" w:ascii="仿宋" w:hAnsi="仿宋" w:eastAsia="仿宋"/>
          <w:b w:val="0"/>
          <w:bCs w:val="0"/>
        </w:rPr>
        <w:t>府性基金预算财政拨款收入支出决算表</w:t>
      </w:r>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23"/>
          <w:rFonts w:hint="eastAsia" w:ascii="仿宋" w:hAnsi="仿宋" w:eastAsia="仿宋"/>
          <w:b w:val="0"/>
          <w:bCs w:val="0"/>
        </w:rPr>
      </w:pPr>
      <w:bookmarkStart w:id="129" w:name="_Toc79163646"/>
      <w:bookmarkStart w:id="130" w:name="_Toc79163896"/>
      <w:bookmarkStart w:id="131" w:name="_Toc15396629"/>
      <w:r>
        <w:rPr>
          <w:rStyle w:val="23"/>
          <w:rFonts w:hint="eastAsia" w:ascii="仿宋" w:hAnsi="仿宋" w:eastAsia="仿宋"/>
          <w:b w:val="0"/>
          <w:bCs w:val="0"/>
        </w:rPr>
        <w:t>十一、</w:t>
      </w:r>
      <w:bookmarkEnd w:id="129"/>
      <w:bookmarkEnd w:id="130"/>
      <w:bookmarkEnd w:id="131"/>
      <w:bookmarkStart w:id="132" w:name="_Toc15396630"/>
      <w:bookmarkStart w:id="133" w:name="_Toc79163897"/>
      <w:bookmarkStart w:id="134" w:name="_Toc79163647"/>
      <w:r>
        <w:rPr>
          <w:rFonts w:hint="eastAsia" w:ascii="仿宋" w:hAnsi="仿宋" w:eastAsia="仿宋"/>
          <w:b w:val="0"/>
          <w:color w:val="000000"/>
        </w:rPr>
        <w:t>国</w:t>
      </w:r>
      <w:r>
        <w:rPr>
          <w:rStyle w:val="23"/>
          <w:rFonts w:hint="eastAsia" w:ascii="仿宋" w:hAnsi="仿宋" w:eastAsia="仿宋"/>
          <w:b w:val="0"/>
          <w:bCs w:val="0"/>
        </w:rPr>
        <w:t>有资本经营预算财政拨款</w:t>
      </w:r>
      <w:r>
        <w:rPr>
          <w:rStyle w:val="23"/>
          <w:rFonts w:hint="eastAsia" w:ascii="仿宋" w:hAnsi="仿宋" w:eastAsia="仿宋"/>
          <w:b w:val="0"/>
          <w:bCs w:val="0"/>
          <w:lang w:eastAsia="zh-CN"/>
        </w:rPr>
        <w:t>收入</w:t>
      </w:r>
      <w:r>
        <w:rPr>
          <w:rStyle w:val="23"/>
          <w:rFonts w:hint="eastAsia" w:ascii="仿宋" w:hAnsi="仿宋" w:eastAsia="仿宋"/>
          <w:b w:val="0"/>
          <w:bCs w:val="0"/>
        </w:rPr>
        <w:t>支出决算表</w:t>
      </w:r>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23"/>
          <w:rFonts w:ascii="仿宋" w:hAnsi="仿宋" w:eastAsia="仿宋"/>
          <w:b w:val="0"/>
          <w:bCs w:val="0"/>
        </w:rPr>
      </w:pPr>
      <w:r>
        <w:rPr>
          <w:rStyle w:val="23"/>
          <w:rFonts w:hint="eastAsia" w:ascii="仿宋" w:hAnsi="仿宋" w:eastAsia="仿宋"/>
          <w:b w:val="0"/>
          <w:bCs w:val="0"/>
        </w:rPr>
        <w:t>十二、</w:t>
      </w:r>
      <w:bookmarkEnd w:id="132"/>
      <w:bookmarkEnd w:id="133"/>
      <w:bookmarkEnd w:id="134"/>
      <w:bookmarkStart w:id="135" w:name="_Toc79163648"/>
      <w:bookmarkStart w:id="136" w:name="_Toc15396631"/>
      <w:bookmarkStart w:id="137" w:name="_Toc79163898"/>
      <w:r>
        <w:rPr>
          <w:rStyle w:val="23"/>
          <w:rFonts w:hint="eastAsia" w:ascii="仿宋" w:hAnsi="仿宋" w:eastAsia="仿宋"/>
          <w:b w:val="0"/>
          <w:bCs w:val="0"/>
        </w:rPr>
        <w:t>国有资本经营预算财政拨款支出决算表</w:t>
      </w:r>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ascii="仿宋" w:hAnsi="仿宋" w:eastAsia="仿宋"/>
          <w:color w:val="000000"/>
        </w:rPr>
      </w:pPr>
      <w:r>
        <w:rPr>
          <w:rStyle w:val="23"/>
          <w:rFonts w:hint="eastAsia" w:ascii="仿宋" w:hAnsi="仿宋" w:eastAsia="仿宋"/>
          <w:b w:val="0"/>
          <w:bCs w:val="0"/>
        </w:rPr>
        <w:t>十三、</w:t>
      </w:r>
      <w:bookmarkEnd w:id="135"/>
      <w:bookmarkEnd w:id="136"/>
      <w:bookmarkEnd w:id="137"/>
      <w:r>
        <w:rPr>
          <w:rStyle w:val="23"/>
          <w:rFonts w:hint="eastAsia" w:ascii="仿宋" w:hAnsi="仿宋" w:eastAsia="仿宋"/>
          <w:b w:val="0"/>
          <w:bCs w:val="0"/>
        </w:rPr>
        <w:t>财政拨款“三公”经费支出决算表</w:t>
      </w:r>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23"/>
          <w:rFonts w:ascii="仿宋" w:hAnsi="仿宋" w:eastAsia="仿宋"/>
          <w:b w:val="0"/>
          <w:bCs w:val="0"/>
        </w:rPr>
      </w:pPr>
    </w:p>
    <w:p>
      <w:pPr>
        <w:pStyle w:val="3"/>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23"/>
          <w:rFonts w:ascii="仿宋" w:hAnsi="仿宋" w:eastAsia="仿宋"/>
          <w:b w:val="0"/>
          <w:bCs w:val="0"/>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3</w: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wOTViMzJhNTBmYTdjYjA0OWI0ZGYzOTQ4Zjc0Yz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61ED"/>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3026"/>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0FF6A69"/>
    <w:rsid w:val="011179BF"/>
    <w:rsid w:val="012A0989"/>
    <w:rsid w:val="01C30FCF"/>
    <w:rsid w:val="02785C71"/>
    <w:rsid w:val="02834BA2"/>
    <w:rsid w:val="0284231A"/>
    <w:rsid w:val="02BA3F8E"/>
    <w:rsid w:val="02C848FD"/>
    <w:rsid w:val="02DE5ECF"/>
    <w:rsid w:val="02E7218E"/>
    <w:rsid w:val="03253F4C"/>
    <w:rsid w:val="035B575C"/>
    <w:rsid w:val="037E55F4"/>
    <w:rsid w:val="03872336"/>
    <w:rsid w:val="03AE5E46"/>
    <w:rsid w:val="0451111C"/>
    <w:rsid w:val="04A42800"/>
    <w:rsid w:val="051F7925"/>
    <w:rsid w:val="0578144E"/>
    <w:rsid w:val="05962A91"/>
    <w:rsid w:val="065E775E"/>
    <w:rsid w:val="070E1671"/>
    <w:rsid w:val="07145A92"/>
    <w:rsid w:val="071A401C"/>
    <w:rsid w:val="071D4AEC"/>
    <w:rsid w:val="08591B53"/>
    <w:rsid w:val="086B7D55"/>
    <w:rsid w:val="08AB6F60"/>
    <w:rsid w:val="08E46AC6"/>
    <w:rsid w:val="08E62DA9"/>
    <w:rsid w:val="091066B6"/>
    <w:rsid w:val="091E5277"/>
    <w:rsid w:val="09481641"/>
    <w:rsid w:val="09D04097"/>
    <w:rsid w:val="09E619D6"/>
    <w:rsid w:val="0A0A1357"/>
    <w:rsid w:val="0A0C0E5E"/>
    <w:rsid w:val="0A2032A3"/>
    <w:rsid w:val="0B9050D0"/>
    <w:rsid w:val="0B9D63F6"/>
    <w:rsid w:val="0BC8484E"/>
    <w:rsid w:val="0BDC5170"/>
    <w:rsid w:val="0C37664F"/>
    <w:rsid w:val="0CD53ED9"/>
    <w:rsid w:val="0D7A4A46"/>
    <w:rsid w:val="0DD1377E"/>
    <w:rsid w:val="0DD2387E"/>
    <w:rsid w:val="0E771DEF"/>
    <w:rsid w:val="0EB72F10"/>
    <w:rsid w:val="0F047E18"/>
    <w:rsid w:val="0F300D91"/>
    <w:rsid w:val="0F9A317D"/>
    <w:rsid w:val="0F9D3ACE"/>
    <w:rsid w:val="105F5CE8"/>
    <w:rsid w:val="10A24DDA"/>
    <w:rsid w:val="10C055FF"/>
    <w:rsid w:val="10D4446D"/>
    <w:rsid w:val="10D943B8"/>
    <w:rsid w:val="11401B02"/>
    <w:rsid w:val="11753AEE"/>
    <w:rsid w:val="117F298B"/>
    <w:rsid w:val="118107EC"/>
    <w:rsid w:val="11BA4BF4"/>
    <w:rsid w:val="126706BB"/>
    <w:rsid w:val="133B2641"/>
    <w:rsid w:val="1356560D"/>
    <w:rsid w:val="13CB7DA9"/>
    <w:rsid w:val="142A5F62"/>
    <w:rsid w:val="144063F9"/>
    <w:rsid w:val="14E45836"/>
    <w:rsid w:val="152C2AC9"/>
    <w:rsid w:val="16BB723D"/>
    <w:rsid w:val="174340FA"/>
    <w:rsid w:val="17972A79"/>
    <w:rsid w:val="17B35FD9"/>
    <w:rsid w:val="17BE7C25"/>
    <w:rsid w:val="17FE036B"/>
    <w:rsid w:val="181B7031"/>
    <w:rsid w:val="1831400C"/>
    <w:rsid w:val="18AF00C6"/>
    <w:rsid w:val="18D40D35"/>
    <w:rsid w:val="18E77C6E"/>
    <w:rsid w:val="19193365"/>
    <w:rsid w:val="198B14FD"/>
    <w:rsid w:val="19F309B8"/>
    <w:rsid w:val="1A620BF1"/>
    <w:rsid w:val="1A9055BC"/>
    <w:rsid w:val="1AED2D61"/>
    <w:rsid w:val="1AF75636"/>
    <w:rsid w:val="1B506DE6"/>
    <w:rsid w:val="1BD619E1"/>
    <w:rsid w:val="1C5F3D22"/>
    <w:rsid w:val="1C915908"/>
    <w:rsid w:val="1D155CEE"/>
    <w:rsid w:val="1D232A04"/>
    <w:rsid w:val="1E454D7D"/>
    <w:rsid w:val="1E6311F9"/>
    <w:rsid w:val="1E835D40"/>
    <w:rsid w:val="1F1A7326"/>
    <w:rsid w:val="1F861028"/>
    <w:rsid w:val="1FF113FE"/>
    <w:rsid w:val="203823E6"/>
    <w:rsid w:val="20786035"/>
    <w:rsid w:val="20827A42"/>
    <w:rsid w:val="20DE3D94"/>
    <w:rsid w:val="20E57FD0"/>
    <w:rsid w:val="218B6DCA"/>
    <w:rsid w:val="219F4623"/>
    <w:rsid w:val="224623B3"/>
    <w:rsid w:val="22752594"/>
    <w:rsid w:val="2288435D"/>
    <w:rsid w:val="22B9629C"/>
    <w:rsid w:val="22E70FFC"/>
    <w:rsid w:val="22E94AF1"/>
    <w:rsid w:val="22F2525A"/>
    <w:rsid w:val="23005E41"/>
    <w:rsid w:val="239A4151"/>
    <w:rsid w:val="23A22E0A"/>
    <w:rsid w:val="240371BF"/>
    <w:rsid w:val="2446522A"/>
    <w:rsid w:val="247753E3"/>
    <w:rsid w:val="24854E17"/>
    <w:rsid w:val="251F57E3"/>
    <w:rsid w:val="25943EAE"/>
    <w:rsid w:val="25CE3729"/>
    <w:rsid w:val="26071673"/>
    <w:rsid w:val="262F241A"/>
    <w:rsid w:val="26DF3C46"/>
    <w:rsid w:val="272D253A"/>
    <w:rsid w:val="28101DC8"/>
    <w:rsid w:val="28327F9F"/>
    <w:rsid w:val="2836125C"/>
    <w:rsid w:val="28675112"/>
    <w:rsid w:val="287D6FEB"/>
    <w:rsid w:val="291100B6"/>
    <w:rsid w:val="29FD04D3"/>
    <w:rsid w:val="29FF0355"/>
    <w:rsid w:val="2A1909FC"/>
    <w:rsid w:val="2A283B01"/>
    <w:rsid w:val="2A7D27C8"/>
    <w:rsid w:val="2A900FAD"/>
    <w:rsid w:val="2ABD64A7"/>
    <w:rsid w:val="2B0C4EB9"/>
    <w:rsid w:val="2B65068C"/>
    <w:rsid w:val="2B66231E"/>
    <w:rsid w:val="2B820819"/>
    <w:rsid w:val="2C016606"/>
    <w:rsid w:val="2C3D6D40"/>
    <w:rsid w:val="2C594C89"/>
    <w:rsid w:val="2C6609A6"/>
    <w:rsid w:val="2C717A28"/>
    <w:rsid w:val="2D2A393B"/>
    <w:rsid w:val="2D3F3458"/>
    <w:rsid w:val="2D9A706A"/>
    <w:rsid w:val="2DBB27E5"/>
    <w:rsid w:val="2DC62256"/>
    <w:rsid w:val="2DD47E05"/>
    <w:rsid w:val="2E2C5491"/>
    <w:rsid w:val="2E622005"/>
    <w:rsid w:val="2EC65B71"/>
    <w:rsid w:val="2ECC26D1"/>
    <w:rsid w:val="2EF85A56"/>
    <w:rsid w:val="2F792957"/>
    <w:rsid w:val="30251C3E"/>
    <w:rsid w:val="30470A56"/>
    <w:rsid w:val="305E0093"/>
    <w:rsid w:val="30665064"/>
    <w:rsid w:val="31783057"/>
    <w:rsid w:val="317E224F"/>
    <w:rsid w:val="319F7F4E"/>
    <w:rsid w:val="31C36D05"/>
    <w:rsid w:val="32050A8E"/>
    <w:rsid w:val="326B7F22"/>
    <w:rsid w:val="330E32C3"/>
    <w:rsid w:val="332A60CB"/>
    <w:rsid w:val="332F455A"/>
    <w:rsid w:val="336F213A"/>
    <w:rsid w:val="33C050F4"/>
    <w:rsid w:val="34E24AFB"/>
    <w:rsid w:val="34FF745B"/>
    <w:rsid w:val="35506DDC"/>
    <w:rsid w:val="356B048B"/>
    <w:rsid w:val="35BF5E6C"/>
    <w:rsid w:val="35BF7ACE"/>
    <w:rsid w:val="35ED19A9"/>
    <w:rsid w:val="3608233F"/>
    <w:rsid w:val="361F722F"/>
    <w:rsid w:val="364A7CF7"/>
    <w:rsid w:val="37823ECC"/>
    <w:rsid w:val="37C65B55"/>
    <w:rsid w:val="37D82760"/>
    <w:rsid w:val="38C56C0D"/>
    <w:rsid w:val="39250FB9"/>
    <w:rsid w:val="39473DD0"/>
    <w:rsid w:val="398E0DAD"/>
    <w:rsid w:val="39A92D27"/>
    <w:rsid w:val="39D054E1"/>
    <w:rsid w:val="39DE3EC2"/>
    <w:rsid w:val="39F97A99"/>
    <w:rsid w:val="39FB1CE6"/>
    <w:rsid w:val="3A1954F0"/>
    <w:rsid w:val="3A9224D8"/>
    <w:rsid w:val="3AB213A3"/>
    <w:rsid w:val="3B335CBB"/>
    <w:rsid w:val="3C1E11FF"/>
    <w:rsid w:val="3C233782"/>
    <w:rsid w:val="3C5E7DEA"/>
    <w:rsid w:val="3CB43221"/>
    <w:rsid w:val="3CBC20D5"/>
    <w:rsid w:val="3D2008B6"/>
    <w:rsid w:val="3D2739F3"/>
    <w:rsid w:val="3D2D54A2"/>
    <w:rsid w:val="3D2F28A7"/>
    <w:rsid w:val="3D785FFC"/>
    <w:rsid w:val="3D8D72AD"/>
    <w:rsid w:val="3DD07BE6"/>
    <w:rsid w:val="3E0337B7"/>
    <w:rsid w:val="3E75146C"/>
    <w:rsid w:val="3E80165E"/>
    <w:rsid w:val="3F82528B"/>
    <w:rsid w:val="3F854511"/>
    <w:rsid w:val="3FD9785C"/>
    <w:rsid w:val="40224945"/>
    <w:rsid w:val="40621ADD"/>
    <w:rsid w:val="408244D3"/>
    <w:rsid w:val="408F3260"/>
    <w:rsid w:val="40BA40B4"/>
    <w:rsid w:val="412C0BC8"/>
    <w:rsid w:val="41E74898"/>
    <w:rsid w:val="41FA7326"/>
    <w:rsid w:val="42B75819"/>
    <w:rsid w:val="43830A4E"/>
    <w:rsid w:val="439B11A2"/>
    <w:rsid w:val="43C04A47"/>
    <w:rsid w:val="43C4245E"/>
    <w:rsid w:val="443D41F0"/>
    <w:rsid w:val="44B46140"/>
    <w:rsid w:val="450D438E"/>
    <w:rsid w:val="45273C7E"/>
    <w:rsid w:val="45CA7611"/>
    <w:rsid w:val="462C3E28"/>
    <w:rsid w:val="462E3558"/>
    <w:rsid w:val="46BC4F77"/>
    <w:rsid w:val="473F36BB"/>
    <w:rsid w:val="47504BD7"/>
    <w:rsid w:val="478B662D"/>
    <w:rsid w:val="47E9688B"/>
    <w:rsid w:val="47FD75BA"/>
    <w:rsid w:val="481568E8"/>
    <w:rsid w:val="481F6480"/>
    <w:rsid w:val="482507A5"/>
    <w:rsid w:val="4841317D"/>
    <w:rsid w:val="48C93BB0"/>
    <w:rsid w:val="494C400A"/>
    <w:rsid w:val="49675177"/>
    <w:rsid w:val="499661F5"/>
    <w:rsid w:val="49B54F13"/>
    <w:rsid w:val="49E30CA1"/>
    <w:rsid w:val="4A064990"/>
    <w:rsid w:val="4A3F3BEF"/>
    <w:rsid w:val="4A5676C5"/>
    <w:rsid w:val="4A761B16"/>
    <w:rsid w:val="4AA93C99"/>
    <w:rsid w:val="4B2978E9"/>
    <w:rsid w:val="4B7818BD"/>
    <w:rsid w:val="4B8B216B"/>
    <w:rsid w:val="4BC403F7"/>
    <w:rsid w:val="4C562ED5"/>
    <w:rsid w:val="4D553C64"/>
    <w:rsid w:val="4E48180D"/>
    <w:rsid w:val="4EAE296A"/>
    <w:rsid w:val="4ECE2238"/>
    <w:rsid w:val="4EE50312"/>
    <w:rsid w:val="4EEC05F8"/>
    <w:rsid w:val="4EF62465"/>
    <w:rsid w:val="4FA962D5"/>
    <w:rsid w:val="4FF6518B"/>
    <w:rsid w:val="500D20D1"/>
    <w:rsid w:val="508C6FA4"/>
    <w:rsid w:val="50C40F04"/>
    <w:rsid w:val="50D776C5"/>
    <w:rsid w:val="50EA500B"/>
    <w:rsid w:val="51085492"/>
    <w:rsid w:val="51730B5D"/>
    <w:rsid w:val="517B5C63"/>
    <w:rsid w:val="51B726A1"/>
    <w:rsid w:val="51CB2747"/>
    <w:rsid w:val="51DD691E"/>
    <w:rsid w:val="52506890"/>
    <w:rsid w:val="52BE22AC"/>
    <w:rsid w:val="53513120"/>
    <w:rsid w:val="53670FFF"/>
    <w:rsid w:val="536A42B3"/>
    <w:rsid w:val="53755060"/>
    <w:rsid w:val="537E3D48"/>
    <w:rsid w:val="53E915AA"/>
    <w:rsid w:val="54843081"/>
    <w:rsid w:val="54E12281"/>
    <w:rsid w:val="55A35789"/>
    <w:rsid w:val="55AB26B3"/>
    <w:rsid w:val="562763BA"/>
    <w:rsid w:val="562A3E06"/>
    <w:rsid w:val="56570A4D"/>
    <w:rsid w:val="567A652B"/>
    <w:rsid w:val="56B3165C"/>
    <w:rsid w:val="57156960"/>
    <w:rsid w:val="572823EA"/>
    <w:rsid w:val="573427DF"/>
    <w:rsid w:val="58301AB4"/>
    <w:rsid w:val="58835C82"/>
    <w:rsid w:val="58862A5F"/>
    <w:rsid w:val="58B93501"/>
    <w:rsid w:val="59133893"/>
    <w:rsid w:val="59480DA1"/>
    <w:rsid w:val="5960230F"/>
    <w:rsid w:val="59CB6703"/>
    <w:rsid w:val="59F062E0"/>
    <w:rsid w:val="59F734CD"/>
    <w:rsid w:val="59F96AFC"/>
    <w:rsid w:val="59FD190B"/>
    <w:rsid w:val="5A57472B"/>
    <w:rsid w:val="5ABF3065"/>
    <w:rsid w:val="5B092532"/>
    <w:rsid w:val="5B3255E5"/>
    <w:rsid w:val="5B7D3883"/>
    <w:rsid w:val="5BD85DE0"/>
    <w:rsid w:val="5C1C14C8"/>
    <w:rsid w:val="5CAD1BBE"/>
    <w:rsid w:val="5CE60D7D"/>
    <w:rsid w:val="5DCC4AAE"/>
    <w:rsid w:val="5E07169A"/>
    <w:rsid w:val="5E4A0E97"/>
    <w:rsid w:val="5EA21746"/>
    <w:rsid w:val="5F002C5F"/>
    <w:rsid w:val="5F9E7E72"/>
    <w:rsid w:val="5FD534B7"/>
    <w:rsid w:val="5FE315A4"/>
    <w:rsid w:val="607A5C92"/>
    <w:rsid w:val="60D52600"/>
    <w:rsid w:val="610861F0"/>
    <w:rsid w:val="61112140"/>
    <w:rsid w:val="613E1C0D"/>
    <w:rsid w:val="619D5C13"/>
    <w:rsid w:val="61F53810"/>
    <w:rsid w:val="623B40BF"/>
    <w:rsid w:val="62747FE8"/>
    <w:rsid w:val="6382127C"/>
    <w:rsid w:val="644719B0"/>
    <w:rsid w:val="64A532CB"/>
    <w:rsid w:val="64FC2D2E"/>
    <w:rsid w:val="652409F7"/>
    <w:rsid w:val="65775FFF"/>
    <w:rsid w:val="659F6296"/>
    <w:rsid w:val="65A26CE1"/>
    <w:rsid w:val="65B71508"/>
    <w:rsid w:val="65D43810"/>
    <w:rsid w:val="665112FA"/>
    <w:rsid w:val="66524D8D"/>
    <w:rsid w:val="66584AF2"/>
    <w:rsid w:val="66611273"/>
    <w:rsid w:val="66A440C2"/>
    <w:rsid w:val="66C304F7"/>
    <w:rsid w:val="672901E4"/>
    <w:rsid w:val="6734348C"/>
    <w:rsid w:val="67616A13"/>
    <w:rsid w:val="678A61CB"/>
    <w:rsid w:val="67902011"/>
    <w:rsid w:val="67966EFB"/>
    <w:rsid w:val="67E416D6"/>
    <w:rsid w:val="682569F3"/>
    <w:rsid w:val="6878731B"/>
    <w:rsid w:val="689773CF"/>
    <w:rsid w:val="68DE6DAC"/>
    <w:rsid w:val="69280B25"/>
    <w:rsid w:val="69380B64"/>
    <w:rsid w:val="693F5E6E"/>
    <w:rsid w:val="69A70D43"/>
    <w:rsid w:val="69A753F0"/>
    <w:rsid w:val="6AD11C05"/>
    <w:rsid w:val="6B09533C"/>
    <w:rsid w:val="6B113EA7"/>
    <w:rsid w:val="6B550F15"/>
    <w:rsid w:val="6B686E01"/>
    <w:rsid w:val="6BA37B95"/>
    <w:rsid w:val="6C1B07D8"/>
    <w:rsid w:val="6C3C4386"/>
    <w:rsid w:val="6C4A05C8"/>
    <w:rsid w:val="6C577CDD"/>
    <w:rsid w:val="6C731F01"/>
    <w:rsid w:val="6C87343B"/>
    <w:rsid w:val="6CD066C5"/>
    <w:rsid w:val="6D153C94"/>
    <w:rsid w:val="6D544E73"/>
    <w:rsid w:val="6DD8201C"/>
    <w:rsid w:val="6DF76F79"/>
    <w:rsid w:val="6E4E396D"/>
    <w:rsid w:val="6EAE6B68"/>
    <w:rsid w:val="6EBC193D"/>
    <w:rsid w:val="6EFE55A9"/>
    <w:rsid w:val="6F1A48B6"/>
    <w:rsid w:val="6F7A654D"/>
    <w:rsid w:val="6FA128E1"/>
    <w:rsid w:val="6FCE78A5"/>
    <w:rsid w:val="7040659E"/>
    <w:rsid w:val="712C3534"/>
    <w:rsid w:val="71490FCB"/>
    <w:rsid w:val="72734D90"/>
    <w:rsid w:val="7344473E"/>
    <w:rsid w:val="735B088E"/>
    <w:rsid w:val="73B52DFF"/>
    <w:rsid w:val="740A6CA7"/>
    <w:rsid w:val="741E0193"/>
    <w:rsid w:val="748118A0"/>
    <w:rsid w:val="74A72748"/>
    <w:rsid w:val="74A80D46"/>
    <w:rsid w:val="75C37A55"/>
    <w:rsid w:val="762F1005"/>
    <w:rsid w:val="763D0F45"/>
    <w:rsid w:val="763E532E"/>
    <w:rsid w:val="77065E4C"/>
    <w:rsid w:val="77535A26"/>
    <w:rsid w:val="782D178F"/>
    <w:rsid w:val="7855526F"/>
    <w:rsid w:val="78B418D7"/>
    <w:rsid w:val="791A655C"/>
    <w:rsid w:val="796E1A86"/>
    <w:rsid w:val="79AD5923"/>
    <w:rsid w:val="7A5549F4"/>
    <w:rsid w:val="7B744C73"/>
    <w:rsid w:val="7BEC1388"/>
    <w:rsid w:val="7C0F0BB5"/>
    <w:rsid w:val="7C5A4C6A"/>
    <w:rsid w:val="7CDB4696"/>
    <w:rsid w:val="7D352F15"/>
    <w:rsid w:val="7D6065E3"/>
    <w:rsid w:val="7D6A6A08"/>
    <w:rsid w:val="7DD1447C"/>
    <w:rsid w:val="7E062BD5"/>
    <w:rsid w:val="7E48528F"/>
    <w:rsid w:val="7E66605F"/>
    <w:rsid w:val="7F310BCD"/>
    <w:rsid w:val="7FA74028"/>
    <w:rsid w:val="BDEF5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4"/>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Body Text"/>
    <w:basedOn w:val="1"/>
    <w:link w:val="31"/>
    <w:qFormat/>
    <w:uiPriority w:val="99"/>
    <w:pPr>
      <w:spacing w:beforeLines="30"/>
    </w:pPr>
    <w:rPr>
      <w:rFonts w:ascii="仿宋_GB2312" w:eastAsia="仿宋_GB2312"/>
      <w:kern w:val="0"/>
      <w:sz w:val="24"/>
      <w:szCs w:val="20"/>
      <w:lang w:val="zh-CN" w:eastAsia="zh-CN"/>
    </w:rPr>
  </w:style>
  <w:style w:type="paragraph" w:styleId="7">
    <w:name w:val="toc 5"/>
    <w:basedOn w:val="1"/>
    <w:next w:val="1"/>
    <w:unhideWhenUsed/>
    <w:qFormat/>
    <w:uiPriority w:val="39"/>
    <w:pPr>
      <w:ind w:left="840"/>
      <w:jc w:val="left"/>
    </w:pPr>
    <w:rPr>
      <w:rFonts w:asciiTheme="minorHAnsi" w:eastAsiaTheme="minorHAnsi"/>
      <w:sz w:val="18"/>
      <w:szCs w:val="18"/>
    </w:rPr>
  </w:style>
  <w:style w:type="paragraph" w:styleId="8">
    <w:name w:val="toc 3"/>
    <w:basedOn w:val="1"/>
    <w:next w:val="1"/>
    <w:unhideWhenUsed/>
    <w:qFormat/>
    <w:uiPriority w:val="39"/>
    <w:pPr>
      <w:ind w:left="420"/>
      <w:jc w:val="left"/>
    </w:pPr>
    <w:rPr>
      <w:rFonts w:asciiTheme="minorHAnsi" w:eastAsiaTheme="minorHAnsi"/>
      <w:i/>
      <w:iCs/>
      <w:sz w:val="20"/>
      <w:szCs w:val="20"/>
    </w:rPr>
  </w:style>
  <w:style w:type="paragraph" w:styleId="9">
    <w:name w:val="toc 8"/>
    <w:basedOn w:val="1"/>
    <w:next w:val="1"/>
    <w:unhideWhenUsed/>
    <w:qFormat/>
    <w:uiPriority w:val="39"/>
    <w:pPr>
      <w:ind w:left="1470"/>
      <w:jc w:val="left"/>
    </w:pPr>
    <w:rPr>
      <w:rFonts w:asciiTheme="minorHAnsi" w:eastAsiaTheme="minorHAnsi"/>
      <w:sz w:val="18"/>
      <w:szCs w:val="18"/>
    </w:rPr>
  </w:style>
  <w:style w:type="paragraph" w:styleId="10">
    <w:name w:val="Balloon Text"/>
    <w:basedOn w:val="1"/>
    <w:link w:val="26"/>
    <w:semiHidden/>
    <w:unhideWhenUsed/>
    <w:qFormat/>
    <w:uiPriority w:val="99"/>
    <w:rPr>
      <w:sz w:val="18"/>
      <w:szCs w:val="18"/>
    </w:rPr>
  </w:style>
  <w:style w:type="paragraph" w:styleId="11">
    <w:name w:val="footer"/>
    <w:basedOn w:val="1"/>
    <w:link w:val="30"/>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2">
    <w:name w:val="header"/>
    <w:basedOn w:val="1"/>
    <w:link w:val="29"/>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3">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4">
    <w:name w:val="toc 4"/>
    <w:basedOn w:val="1"/>
    <w:next w:val="1"/>
    <w:unhideWhenUsed/>
    <w:qFormat/>
    <w:uiPriority w:val="39"/>
    <w:pPr>
      <w:ind w:left="630"/>
      <w:jc w:val="left"/>
    </w:pPr>
    <w:rPr>
      <w:rFonts w:asciiTheme="minorHAnsi" w:eastAsiaTheme="minorHAnsi"/>
      <w:sz w:val="18"/>
      <w:szCs w:val="18"/>
    </w:rPr>
  </w:style>
  <w:style w:type="paragraph" w:styleId="15">
    <w:name w:val="toc 6"/>
    <w:basedOn w:val="1"/>
    <w:next w:val="1"/>
    <w:unhideWhenUsed/>
    <w:qFormat/>
    <w:uiPriority w:val="39"/>
    <w:pPr>
      <w:ind w:left="1050"/>
      <w:jc w:val="left"/>
    </w:pPr>
    <w:rPr>
      <w:rFonts w:asciiTheme="minorHAnsi" w:eastAsiaTheme="minorHAnsi"/>
      <w:sz w:val="18"/>
      <w:szCs w:val="18"/>
    </w:rPr>
  </w:style>
  <w:style w:type="paragraph" w:styleId="16">
    <w:name w:val="toc 2"/>
    <w:basedOn w:val="1"/>
    <w:next w:val="1"/>
    <w:unhideWhenUsed/>
    <w:qFormat/>
    <w:uiPriority w:val="39"/>
    <w:pPr>
      <w:ind w:left="210"/>
      <w:jc w:val="left"/>
    </w:pPr>
    <w:rPr>
      <w:rFonts w:asciiTheme="minorHAnsi" w:eastAsiaTheme="minorHAnsi"/>
      <w:smallCaps/>
      <w:sz w:val="20"/>
      <w:szCs w:val="20"/>
    </w:rPr>
  </w:style>
  <w:style w:type="paragraph" w:styleId="17">
    <w:name w:val="toc 9"/>
    <w:basedOn w:val="1"/>
    <w:next w:val="1"/>
    <w:unhideWhenUsed/>
    <w:qFormat/>
    <w:uiPriority w:val="39"/>
    <w:pPr>
      <w:ind w:left="1680"/>
      <w:jc w:val="left"/>
    </w:pPr>
    <w:rPr>
      <w:rFonts w:asciiTheme="minorHAnsi" w:eastAsiaTheme="minorHAnsi"/>
      <w:sz w:val="18"/>
      <w:szCs w:val="18"/>
    </w:rPr>
  </w:style>
  <w:style w:type="character" w:styleId="20">
    <w:name w:val="Strong"/>
    <w:basedOn w:val="19"/>
    <w:qFormat/>
    <w:uiPriority w:val="99"/>
    <w:rPr>
      <w:rFonts w:cs="Times New Roman"/>
      <w:b/>
    </w:rPr>
  </w:style>
  <w:style w:type="character" w:styleId="21">
    <w:name w:val="Hyperlink"/>
    <w:basedOn w:val="19"/>
    <w:unhideWhenUsed/>
    <w:qFormat/>
    <w:uiPriority w:val="99"/>
    <w:rPr>
      <w:rFonts w:cs="Times New Roman"/>
      <w:color w:val="0000FF"/>
      <w:u w:val="single"/>
    </w:rPr>
  </w:style>
  <w:style w:type="character" w:customStyle="1" w:styleId="22">
    <w:name w:val="标题 1 字符"/>
    <w:basedOn w:val="19"/>
    <w:link w:val="2"/>
    <w:qFormat/>
    <w:locked/>
    <w:uiPriority w:val="9"/>
    <w:rPr>
      <w:rFonts w:ascii="Times New Roman" w:hAnsi="Times New Roman" w:cs="Times New Roman"/>
      <w:b/>
      <w:bCs/>
      <w:kern w:val="44"/>
      <w:sz w:val="44"/>
      <w:szCs w:val="44"/>
    </w:rPr>
  </w:style>
  <w:style w:type="character" w:customStyle="1" w:styleId="23">
    <w:name w:val="标题 2 字符"/>
    <w:basedOn w:val="19"/>
    <w:link w:val="3"/>
    <w:qFormat/>
    <w:locked/>
    <w:uiPriority w:val="9"/>
    <w:rPr>
      <w:rFonts w:ascii="Cambria" w:hAnsi="Cambria" w:eastAsia="宋体" w:cs="Times New Roman"/>
      <w:b/>
      <w:bCs/>
      <w:kern w:val="2"/>
      <w:sz w:val="32"/>
      <w:szCs w:val="32"/>
    </w:rPr>
  </w:style>
  <w:style w:type="character" w:customStyle="1" w:styleId="24">
    <w:name w:val="标题 3 字符"/>
    <w:basedOn w:val="19"/>
    <w:link w:val="4"/>
    <w:qFormat/>
    <w:locked/>
    <w:uiPriority w:val="9"/>
    <w:rPr>
      <w:rFonts w:ascii="Times New Roman" w:hAnsi="Times New Roman" w:cs="Times New Roman"/>
      <w:b/>
      <w:bCs/>
      <w:kern w:val="2"/>
      <w:sz w:val="32"/>
      <w:szCs w:val="32"/>
    </w:rPr>
  </w:style>
  <w:style w:type="character" w:customStyle="1" w:styleId="25">
    <w:name w:val="Body Text Char"/>
    <w:basedOn w:val="19"/>
    <w:semiHidden/>
    <w:qFormat/>
    <w:uiPriority w:val="99"/>
    <w:rPr>
      <w:rFonts w:ascii="Times New Roman" w:hAnsi="Times New Roman" w:cs="Times New Roman"/>
      <w:sz w:val="24"/>
      <w:szCs w:val="24"/>
    </w:rPr>
  </w:style>
  <w:style w:type="character" w:customStyle="1" w:styleId="26">
    <w:name w:val="批注框文本 字符"/>
    <w:basedOn w:val="19"/>
    <w:link w:val="10"/>
    <w:semiHidden/>
    <w:qFormat/>
    <w:locked/>
    <w:uiPriority w:val="99"/>
    <w:rPr>
      <w:rFonts w:ascii="Times New Roman" w:hAnsi="Times New Roman" w:cs="Times New Roman"/>
      <w:kern w:val="2"/>
      <w:sz w:val="18"/>
      <w:szCs w:val="18"/>
    </w:rPr>
  </w:style>
  <w:style w:type="character" w:customStyle="1" w:styleId="27">
    <w:name w:val="Footer Char"/>
    <w:basedOn w:val="19"/>
    <w:semiHidden/>
    <w:qFormat/>
    <w:uiPriority w:val="99"/>
    <w:rPr>
      <w:rFonts w:ascii="Times New Roman" w:hAnsi="Times New Roman" w:cs="Times New Roman"/>
      <w:sz w:val="18"/>
      <w:szCs w:val="18"/>
    </w:rPr>
  </w:style>
  <w:style w:type="character" w:customStyle="1" w:styleId="28">
    <w:name w:val="Header Char"/>
    <w:basedOn w:val="19"/>
    <w:semiHidden/>
    <w:qFormat/>
    <w:uiPriority w:val="99"/>
    <w:rPr>
      <w:rFonts w:ascii="Times New Roman" w:hAnsi="Times New Roman" w:cs="Times New Roman"/>
      <w:sz w:val="18"/>
      <w:szCs w:val="18"/>
    </w:rPr>
  </w:style>
  <w:style w:type="character" w:customStyle="1" w:styleId="29">
    <w:name w:val="页眉 字符"/>
    <w:link w:val="12"/>
    <w:semiHidden/>
    <w:qFormat/>
    <w:locked/>
    <w:uiPriority w:val="99"/>
    <w:rPr>
      <w:sz w:val="18"/>
    </w:rPr>
  </w:style>
  <w:style w:type="character" w:customStyle="1" w:styleId="30">
    <w:name w:val="页脚 字符"/>
    <w:link w:val="11"/>
    <w:qFormat/>
    <w:locked/>
    <w:uiPriority w:val="99"/>
    <w:rPr>
      <w:sz w:val="18"/>
    </w:rPr>
  </w:style>
  <w:style w:type="character" w:customStyle="1" w:styleId="31">
    <w:name w:val="正文文本 字符"/>
    <w:link w:val="6"/>
    <w:qFormat/>
    <w:locked/>
    <w:uiPriority w:val="99"/>
    <w:rPr>
      <w:rFonts w:ascii="仿宋_GB2312" w:hAnsi="Times New Roman" w:eastAsia="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3">
    <w:name w:val="列表段落1"/>
    <w:basedOn w:val="1"/>
    <w:qFormat/>
    <w:uiPriority w:val="34"/>
    <w:pPr>
      <w:ind w:firstLine="420" w:firstLineChars="200"/>
    </w:pPr>
  </w:style>
  <w:style w:type="paragraph" w:customStyle="1" w:styleId="34">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5">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33"/>
    <customShpInfo spid="_x0000_s103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19</Pages>
  <Words>5385</Words>
  <Characters>5797</Characters>
  <Lines>74</Lines>
  <Paragraphs>21</Paragraphs>
  <TotalTime>12</TotalTime>
  <ScaleCrop>false</ScaleCrop>
  <LinksUpToDate>false</LinksUpToDate>
  <CharactersWithSpaces>5908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2021-08-06T17:38:00Z</dcterms:created>
  <dc:creator>曹颖</dc:creator>
  <cp:lastModifiedBy>user</cp:lastModifiedBy>
  <cp:lastPrinted>2024-10-15T14:59:00Z</cp:lastPrinted>
  <dcterms:modified xsi:type="dcterms:W3CDTF">2026-10-19T17:03:10Z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05C87277D0B94808A5059927E5376A67_13</vt:lpwstr>
  </property>
  <property fmtid="{D5CDD505-2E9C-101B-9397-08002B2CF9AE}" pid="4" name="KSOTemplateDocerSaveRecord">
    <vt:lpwstr>eyJoZGlkIjoiY2YwOTViMzJhNTBmYTdjYjA0OWI0ZGYzOTQ4Zjc0YzUiLCJ1c2VySWQiOiI0MzA4OTExIn0=</vt:lpwstr>
  </property>
</Properties>
</file>