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400A4">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62" w:name="_GoBack"/>
      <w:bookmarkEnd w:id="62"/>
      <w:bookmarkStart w:id="0" w:name="_Toc15306267"/>
      <w:bookmarkStart w:id="1" w:name="_Toc15396597"/>
      <w:bookmarkStart w:id="2" w:name="_Toc15396475"/>
      <w:bookmarkStart w:id="3" w:name="_Toc15377193"/>
      <w:bookmarkStart w:id="4" w:name="_Toc15378441"/>
      <w:bookmarkStart w:id="5" w:name="_Toc15377425"/>
    </w:p>
    <w:p w14:paraId="2AFAFB18">
      <w:pPr>
        <w:pStyle w:val="5"/>
        <w:rPr>
          <w:rFonts w:hint="eastAsia" w:ascii="Times New Roman" w:hAnsi="Times New Roman" w:eastAsia="方正小标宋简体" w:cs="Times New Roman"/>
          <w:color w:val="auto"/>
          <w:kern w:val="2"/>
          <w:sz w:val="72"/>
          <w:szCs w:val="72"/>
          <w:highlight w:val="none"/>
          <w:lang w:val="en-US" w:eastAsia="zh-CN" w:bidi="ar-SA"/>
        </w:rPr>
      </w:pPr>
    </w:p>
    <w:p w14:paraId="5F5B12AE">
      <w:pPr>
        <w:pStyle w:val="5"/>
        <w:rPr>
          <w:rFonts w:hint="eastAsia" w:ascii="Times New Roman" w:hAnsi="Times New Roman" w:eastAsia="方正小标宋简体" w:cs="Times New Roman"/>
          <w:color w:val="auto"/>
          <w:kern w:val="2"/>
          <w:sz w:val="72"/>
          <w:szCs w:val="72"/>
          <w:highlight w:val="none"/>
          <w:lang w:val="en-US" w:eastAsia="zh-CN" w:bidi="ar-SA"/>
        </w:rPr>
      </w:pPr>
    </w:p>
    <w:p w14:paraId="32D36180">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lang w:val="en-US" w:eastAsia="zh-CN"/>
        </w:rPr>
      </w:pPr>
      <w:r>
        <w:rPr>
          <w:rFonts w:hint="eastAsia" w:ascii="黑体" w:hAnsi="黑体" w:eastAsia="黑体" w:cs="黑体"/>
          <w:color w:val="auto"/>
          <w:sz w:val="72"/>
          <w:szCs w:val="72"/>
          <w:lang w:val="en-US" w:eastAsia="zh-CN"/>
        </w:rPr>
        <w:t>2025年度四川省阿坝州壤塘县人力资源和社会保障局</w:t>
      </w:r>
      <w:r>
        <w:rPr>
          <w:rFonts w:hint="eastAsia" w:ascii="黑体" w:hAnsi="黑体" w:eastAsia="黑体" w:cs="黑体"/>
          <w:color w:val="auto"/>
          <w:sz w:val="72"/>
          <w:szCs w:val="72"/>
        </w:rPr>
        <w:t>部门决算</w:t>
      </w:r>
    </w:p>
    <w:p w14:paraId="16D049EF">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lang w:val="en-US" w:eastAsia="zh-CN"/>
        </w:rPr>
      </w:pPr>
    </w:p>
    <w:p w14:paraId="0CF2BD8E">
      <w:pPr>
        <w:rPr>
          <w:rFonts w:ascii="Times New Roman" w:hAnsi="Times New Roman"/>
        </w:rPr>
      </w:pPr>
    </w:p>
    <w:bookmarkEnd w:id="0"/>
    <w:bookmarkEnd w:id="1"/>
    <w:bookmarkEnd w:id="2"/>
    <w:bookmarkEnd w:id="3"/>
    <w:bookmarkEnd w:id="4"/>
    <w:bookmarkEnd w:id="5"/>
    <w:p w14:paraId="01636273">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22EB0CA">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16C48916">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7731CC5">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1A3F114">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DE2B49F">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6B22823">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00911D03">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EA6C13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5AED873D">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C3C773B">
      <w:pPr>
        <w:pStyle w:val="5"/>
        <w:jc w:val="center"/>
        <w:rPr>
          <w:rFonts w:hint="eastAsia" w:ascii="Times New Roman" w:hAnsi="Times New Roman" w:eastAsia="方正小标宋简体" w:cs="Times New Roman"/>
          <w:color w:val="auto"/>
          <w:kern w:val="2"/>
          <w:sz w:val="44"/>
          <w:szCs w:val="44"/>
          <w:highlight w:val="none"/>
          <w:lang w:val="en-US" w:eastAsia="zh-CN" w:bidi="ar-SA"/>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5A857EEE">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1B80D3F4">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lang w:val="en-US" w:eastAsia="zh-CN"/>
        </w:rPr>
      </w:pPr>
      <w:r>
        <w:rPr>
          <w:rFonts w:hint="eastAsia" w:ascii="黑体" w:hAnsi="黑体" w:eastAsia="黑体" w:cs="黑体"/>
          <w:color w:val="auto"/>
          <w:sz w:val="72"/>
          <w:szCs w:val="72"/>
          <w:lang w:val="en-US" w:eastAsia="zh-CN"/>
        </w:rPr>
        <w:t>阿坝州壤塘县2025年度人力资源和社会保障局</w:t>
      </w:r>
    </w:p>
    <w:p w14:paraId="1224BED3">
      <w:pPr>
        <w:pStyle w:val="5"/>
        <w:jc w:val="center"/>
        <w:rPr>
          <w:rFonts w:hint="eastAsia" w:ascii="黑体" w:hAnsi="黑体" w:eastAsia="黑体" w:cs="黑体"/>
          <w:color w:val="auto"/>
          <w:sz w:val="72"/>
          <w:szCs w:val="72"/>
          <w:lang w:val="en-US" w:eastAsia="zh-CN"/>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14:paraId="28D7AE4A">
      <w:pPr>
        <w:widowControl/>
        <w:ind w:firstLine="3840" w:firstLineChars="8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E27F40E">
      <w:pPr>
        <w:widowControl/>
        <w:jc w:val="center"/>
        <w:rPr>
          <w:rFonts w:ascii="Times New Roman" w:hAnsi="Times New Roman" w:eastAsia="黑体" w:cstheme="minorBidi"/>
          <w:color w:val="auto"/>
          <w:sz w:val="28"/>
          <w:szCs w:val="28"/>
          <w:highlight w:val="none"/>
        </w:rPr>
      </w:pPr>
    </w:p>
    <w:p w14:paraId="327342D0">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27 </w:t>
      </w:r>
      <w:r>
        <w:rPr>
          <w:rFonts w:hint="eastAsia" w:ascii="Times New Roman" w:hAnsi="Times New Roman" w:eastAsia="仿宋_GB2312" w:cs="仿宋_GB2312"/>
          <w:color w:val="auto"/>
          <w:sz w:val="32"/>
          <w:szCs w:val="32"/>
          <w:highlight w:val="none"/>
        </w:rPr>
        <w:t>日</w:t>
      </w:r>
    </w:p>
    <w:p w14:paraId="5C62D705">
      <w:pPr>
        <w:rPr>
          <w:rFonts w:ascii="Times New Roman" w:hAnsi="Times New Roman"/>
          <w:color w:val="auto"/>
          <w:highlight w:val="none"/>
        </w:rPr>
      </w:pPr>
    </w:p>
    <w:p w14:paraId="09F01B3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14:paraId="4F4AED7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52DBF8C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7841EF9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2E5F17A2">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3B2DE2A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302BF73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7CC782F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7980F37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1CB9A5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E4C11E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32358D1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7F2BD16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02EC84A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0133F1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209D2492">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27579E2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626D7E14">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0D107A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93CFF0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A3A99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CEB096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948E58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6788BA4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040D510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ABD243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E074F7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02DEADA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11BADB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68E89E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094E0EA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0332DA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0A3EAC13">
      <w:pPr>
        <w:pStyle w:val="2"/>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14:paraId="042638B7">
      <w:pPr>
        <w:widowControl/>
        <w:jc w:val="left"/>
        <w:rPr>
          <w:rFonts w:ascii="Times New Roman" w:hAnsi="Times New Roman" w:eastAsia="黑体"/>
          <w:color w:val="auto"/>
          <w:sz w:val="32"/>
          <w:szCs w:val="32"/>
          <w:highlight w:val="none"/>
        </w:rPr>
      </w:pPr>
    </w:p>
    <w:p w14:paraId="5544AF2B">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EA96E19">
      <w:pPr>
        <w:pStyle w:val="5"/>
        <w:keepNext w:val="0"/>
        <w:keepLines w:val="0"/>
        <w:pageBreakBefore w:val="0"/>
        <w:widowControl w:val="0"/>
        <w:kinsoku/>
        <w:wordWrap/>
        <w:overflowPunct/>
        <w:topLinePunct w:val="0"/>
        <w:autoSpaceDE/>
        <w:autoSpaceDN/>
        <w:bidi w:val="0"/>
        <w:adjustRightInd w:val="0"/>
        <w:snapToGrid w:val="0"/>
        <w:spacing w:beforeLines="0" w:line="560" w:lineRule="exact"/>
        <w:ind w:firstLine="600" w:firstLineChars="200"/>
        <w:textAlignment w:val="auto"/>
        <w:outlineLvl w:val="2"/>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lang w:val="en-US" w:eastAsia="zh-CN"/>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1.贯彻执行国家、省、州人力资源和社会保障工作的相关法律、法规、规章和政策，拟订全县人力资源和社会保障事业发展规划、政策并组织实施和监督检查。</w:t>
      </w:r>
    </w:p>
    <w:p w14:paraId="36C344F4">
      <w:pPr>
        <w:pStyle w:val="5"/>
        <w:keepNext w:val="0"/>
        <w:keepLines w:val="0"/>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2"/>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2.拟订并组织实施人力资源市场发展规划，管理人力资源和社会保障公共服务机构，建立全县统一规范的人力资源市场，促进人力资源合理流动、有效配置。</w:t>
      </w:r>
    </w:p>
    <w:p w14:paraId="044E14E7">
      <w:pPr>
        <w:pStyle w:val="5"/>
        <w:keepNext w:val="0"/>
        <w:keepLines w:val="0"/>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2"/>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3.负责促进就业工作。</w:t>
      </w:r>
    </w:p>
    <w:p w14:paraId="4D73ECAB">
      <w:pPr>
        <w:pStyle w:val="5"/>
        <w:keepNext w:val="0"/>
        <w:keepLines w:val="0"/>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2"/>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4.统筹建立覆盖城乡的社会保障体系。</w:t>
      </w:r>
    </w:p>
    <w:p w14:paraId="5BD085DE">
      <w:pPr>
        <w:pStyle w:val="5"/>
        <w:keepNext w:val="0"/>
        <w:keepLines w:val="0"/>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2"/>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5.负责就业、失业、社会保险基金预测预警和信息引导。 </w:t>
      </w:r>
    </w:p>
    <w:p w14:paraId="446B3CA7">
      <w:pPr>
        <w:pStyle w:val="5"/>
        <w:keepNext w:val="0"/>
        <w:keepLines w:val="0"/>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2"/>
        <w:rPr>
          <w:rFonts w:hint="default" w:ascii="Times New Roman" w:hAnsi="Times New Roman" w:eastAsia="仿宋_GB2312" w:cs="Times New Roman"/>
          <w:bCs/>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6.综合管理全县机关企事业单位的工资福利工作。</w:t>
      </w:r>
    </w:p>
    <w:p w14:paraId="38C98135">
      <w:pPr>
        <w:numPr>
          <w:ilvl w:val="0"/>
          <w:numId w:val="0"/>
        </w:numPr>
        <w:rPr>
          <w:rFonts w:hint="default"/>
          <w:lang w:val="en-US" w:eastAsia="zh-CN"/>
        </w:rPr>
      </w:pPr>
    </w:p>
    <w:p w14:paraId="2763D5AB">
      <w:pPr>
        <w:pStyle w:val="3"/>
        <w:numPr>
          <w:ilvl w:val="0"/>
          <w:numId w:val="1"/>
        </w:numPr>
        <w:ind w:left="0" w:leftChars="0" w:firstLine="0" w:firstLineChars="0"/>
        <w:rPr>
          <w:rStyle w:val="31"/>
          <w:rFonts w:hint="eastAsia" w:ascii="Times New Roman" w:hAnsi="Times New Roman" w:eastAsia="黑体"/>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机</w:t>
      </w:r>
      <w:r>
        <w:rPr>
          <w:rStyle w:val="31"/>
          <w:rFonts w:hint="eastAsia" w:ascii="Times New Roman" w:hAnsi="Times New Roman" w:eastAsia="黑体"/>
          <w:b w:val="0"/>
          <w:bCs w:val="0"/>
          <w:color w:val="auto"/>
          <w:highlight w:val="none"/>
        </w:rPr>
        <w:t>构设置</w:t>
      </w:r>
      <w:bookmarkEnd w:id="8"/>
      <w:bookmarkEnd w:id="9"/>
    </w:p>
    <w:p w14:paraId="7E0E147B">
      <w:pPr>
        <w:pStyle w:val="3"/>
        <w:numPr>
          <w:ilvl w:val="0"/>
          <w:numId w:val="0"/>
        </w:numPr>
        <w:ind w:leftChars="0" w:firstLine="640" w:firstLineChars="200"/>
        <w:rPr>
          <w:rFonts w:hint="default" w:ascii="Times New Roman" w:hAnsi="Times New Roman" w:eastAsia="仿宋_GB2312" w:cs="Times New Roman"/>
          <w:b w:val="0"/>
          <w:bCs w:val="0"/>
          <w:color w:val="000000" w:themeColor="text1"/>
          <w:kern w:val="0"/>
          <w:sz w:val="32"/>
          <w:szCs w:val="32"/>
          <w:lang w:val="zh-CN" w:eastAsia="zh-CN" w:bidi="ar-SA"/>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lang w:val="en-US" w:eastAsia="zh-CN" w:bidi="ar-SA"/>
          <w14:textFill>
            <w14:solidFill>
              <w14:schemeClr w14:val="tx1"/>
            </w14:solidFill>
          </w14:textFill>
        </w:rPr>
        <w:t>壤塘县人力资源和社会保障局下属二级单位3个，其中参照公务员法管理的事业单位2个，事业单位1个。</w:t>
      </w:r>
    </w:p>
    <w:p w14:paraId="3FCA73FC">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Times New Roman" w:cs="仿宋_GB2312"/>
          <w:color w:val="auto"/>
          <w:sz w:val="32"/>
          <w:szCs w:val="32"/>
          <w:highlight w:val="none"/>
          <w:lang w:eastAsia="zh-CN"/>
        </w:rPr>
        <w:t>阿坝州壤塘县人力资源和社会保障局2025年度</w:t>
      </w:r>
      <w:r>
        <w:rPr>
          <w:rFonts w:hint="eastAsia" w:ascii="Times New Roman" w:hAnsi="Times New Roman" w:eastAsia="仿宋_GB2312" w:cs="仿宋_GB2312"/>
          <w:color w:val="auto"/>
          <w:sz w:val="32"/>
          <w:szCs w:val="32"/>
          <w:highlight w:val="none"/>
        </w:rPr>
        <w:t>部门决算编制范围的二级预算单位包括：</w:t>
      </w:r>
    </w:p>
    <w:p w14:paraId="5E97567E">
      <w:pPr>
        <w:pStyle w:val="5"/>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壤塘县人力资源和社会保障局（本级）</w:t>
      </w:r>
    </w:p>
    <w:p w14:paraId="26627C3E">
      <w:pPr>
        <w:pStyle w:val="5"/>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r>
        <w:rPr>
          <w:rFonts w:hint="default" w:ascii="Times New Roman" w:hAnsi="Times New Roman" w:eastAsia="仿宋_GB2312" w:cs="Times New Roman"/>
          <w:color w:val="auto"/>
          <w:sz w:val="32"/>
          <w:szCs w:val="32"/>
          <w:lang w:eastAsia="zh-CN"/>
        </w:rPr>
        <w:t>壤塘县</w:t>
      </w:r>
      <w:r>
        <w:rPr>
          <w:rFonts w:hint="default" w:ascii="Times New Roman" w:hAnsi="Times New Roman" w:eastAsia="仿宋_GB2312" w:cs="Times New Roman"/>
          <w:color w:val="auto"/>
          <w:sz w:val="32"/>
          <w:szCs w:val="32"/>
          <w:lang w:val="en-US" w:eastAsia="zh-CN"/>
        </w:rPr>
        <w:t>劳动人事争议仲裁院</w:t>
      </w:r>
    </w:p>
    <w:p w14:paraId="15B41723">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1C21D66F">
      <w:pPr>
        <w:pStyle w:val="2"/>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41691D99">
      <w:pPr>
        <w:rPr>
          <w:rFonts w:ascii="Times New Roman" w:hAnsi="Times New Roman"/>
          <w:color w:val="auto"/>
          <w:highlight w:val="none"/>
        </w:rPr>
      </w:pPr>
    </w:p>
    <w:p w14:paraId="4A86C57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2"/>
      <w:bookmarkEnd w:id="13"/>
    </w:p>
    <w:p w14:paraId="69BC3C9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Times New Roman"/>
          <w:color w:val="000000" w:themeColor="text1"/>
          <w:sz w:val="32"/>
          <w:szCs w:val="32"/>
          <w:lang w:val="en-US" w:eastAsia="zh-CN"/>
          <w14:textFill>
            <w14:solidFill>
              <w14:schemeClr w14:val="tx1"/>
            </w14:solidFill>
          </w14:textFill>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762.5万元。与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272.88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26.36</w:t>
      </w:r>
      <w:r>
        <w:rPr>
          <w:rFonts w:hint="eastAsia" w:ascii="Times New Roman" w:hAnsi="Times New Roman" w:eastAsia="仿宋_GB2312" w:cs="仿宋_GB2312"/>
          <w:color w:val="auto"/>
          <w:sz w:val="32"/>
          <w:szCs w:val="32"/>
          <w:highlight w:val="none"/>
        </w:rPr>
        <w:t>%。主要变动原因是</w:t>
      </w:r>
      <w:r>
        <w:rPr>
          <w:rFonts w:hint="eastAsia" w:eastAsia="仿宋_GB2312" w:cs="Times New Roman"/>
          <w:color w:val="000000" w:themeColor="text1"/>
          <w:sz w:val="32"/>
          <w:szCs w:val="32"/>
          <w:lang w:val="en-US" w:eastAsia="zh-CN"/>
          <w14:textFill>
            <w14:solidFill>
              <w14:schemeClr w14:val="tx1"/>
            </w14:solidFill>
          </w14:textFill>
        </w:rPr>
        <w:t>2025年项目金额减少。</w:t>
      </w:r>
    </w:p>
    <w:p w14:paraId="0B5CEDE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Times New Roman"/>
          <w:color w:val="000000" w:themeColor="text1"/>
          <w:sz w:val="32"/>
          <w:szCs w:val="32"/>
          <w:lang w:val="en-US" w:eastAsia="zh-CN"/>
          <w14:textFill>
            <w14:solidFill>
              <w14:schemeClr w14:val="tx1"/>
            </w14:solidFill>
          </w14:textFill>
        </w:rPr>
      </w:pPr>
    </w:p>
    <w:p w14:paraId="3AAEA7EC">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eastAsia" w:eastAsia="仿宋_GB2312" w:cs="Times New Roman"/>
          <w:color w:val="000000" w:themeColor="text1"/>
          <w:sz w:val="32"/>
          <w:szCs w:val="32"/>
          <w:lang w:val="en-US" w:eastAsia="zh-CN"/>
          <w14:textFill>
            <w14:solidFill>
              <w14:schemeClr w14:val="tx1"/>
            </w14:solidFill>
          </w14:textFill>
        </w:rPr>
      </w:pPr>
      <w:r>
        <w:drawing>
          <wp:inline distT="0" distB="0" distL="114300" distR="114300">
            <wp:extent cx="4826635" cy="2743200"/>
            <wp:effectExtent l="4445" t="5080" r="7620" b="13970"/>
            <wp:docPr id="204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496DC2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Times New Roman"/>
          <w:color w:val="000000" w:themeColor="text1"/>
          <w:sz w:val="32"/>
          <w:szCs w:val="32"/>
          <w:lang w:val="en-US" w:eastAsia="zh-CN"/>
          <w14:textFill>
            <w14:solidFill>
              <w14:schemeClr w14:val="tx1"/>
            </w14:solidFill>
          </w14:textFill>
        </w:rPr>
      </w:pPr>
    </w:p>
    <w:p w14:paraId="599AC92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1E0095DF">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Times New Roman" w:hAnsi="Times New Roman" w:eastAsia="仿宋_GB2312" w:cs="仿宋_GB2312"/>
          <w:color w:val="auto"/>
          <w:sz w:val="32"/>
          <w:szCs w:val="32"/>
          <w:highlight w:val="none"/>
        </w:rPr>
      </w:pPr>
    </w:p>
    <w:p w14:paraId="099B8A2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5C34087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762.5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762.5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p>
    <w:p w14:paraId="35F74FDC">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1"/>
        <w:rPr>
          <w:rFonts w:hint="eastAsia" w:ascii="Times New Roman" w:hAnsi="Times New Roman" w:eastAsia="仿宋_GB2312" w:cs="仿宋_GB2312"/>
          <w:b/>
          <w:bCs/>
          <w:color w:val="auto"/>
          <w:sz w:val="32"/>
          <w:szCs w:val="32"/>
          <w:highlight w:val="none"/>
          <w:lang w:eastAsia="zh-CN"/>
        </w:rPr>
      </w:pPr>
      <w:r>
        <w:drawing>
          <wp:inline distT="0" distB="0" distL="114300" distR="114300">
            <wp:extent cx="4826000" cy="2743200"/>
            <wp:effectExtent l="4445" t="4445" r="825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D94BD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bookmarkStart w:id="16" w:name="_Toc15377207"/>
      <w:bookmarkStart w:id="17" w:name="_Toc15396605"/>
    </w:p>
    <w:p w14:paraId="211F672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6"/>
      <w:bookmarkEnd w:id="17"/>
    </w:p>
    <w:p w14:paraId="4F9F20E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762.5</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379.1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49.72</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383.4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50.28</w:t>
      </w:r>
      <w:r>
        <w:rPr>
          <w:rFonts w:hint="eastAsia" w:ascii="Times New Roman" w:hAnsi="Times New Roman" w:eastAsia="仿宋_GB2312" w:cs="仿宋_GB2312"/>
          <w:color w:val="auto"/>
          <w:sz w:val="32"/>
          <w:szCs w:val="32"/>
          <w:highlight w:val="none"/>
          <w:lang w:eastAsia="zh-CN"/>
        </w:rPr>
        <w:t>%。</w:t>
      </w:r>
    </w:p>
    <w:p w14:paraId="3057797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44566A9">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eastAsia" w:ascii="Times New Roman" w:hAnsi="Times New Roman" w:eastAsia="仿宋_GB2312" w:cs="仿宋_GB2312"/>
          <w:b/>
          <w:bCs/>
          <w:color w:val="auto"/>
          <w:sz w:val="32"/>
          <w:szCs w:val="32"/>
          <w:highlight w:val="none"/>
          <w:lang w:eastAsia="zh-CN"/>
        </w:rPr>
      </w:pPr>
      <w:r>
        <w:drawing>
          <wp:inline distT="0" distB="0" distL="114300" distR="114300">
            <wp:extent cx="4826000" cy="2743200"/>
            <wp:effectExtent l="4445" t="4445" r="8255" b="14605"/>
            <wp:docPr id="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8168B7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920" w:firstLineChars="6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7B593097">
      <w:pPr>
        <w:ind w:firstLine="800" w:firstLineChars="250"/>
        <w:rPr>
          <w:rFonts w:hint="eastAsia" w:ascii="Times New Roman" w:hAnsi="Times New Roman" w:eastAsia="仿宋_GB2312" w:cs="仿宋_GB2312"/>
          <w:color w:val="auto"/>
          <w:sz w:val="32"/>
          <w:szCs w:val="32"/>
          <w:highlight w:val="none"/>
          <w:lang w:eastAsia="zh-CN"/>
        </w:rPr>
      </w:pPr>
    </w:p>
    <w:p w14:paraId="3C12C87D">
      <w:pPr>
        <w:spacing w:line="600" w:lineRule="exact"/>
        <w:ind w:firstLine="640" w:firstLineChars="200"/>
        <w:outlineLvl w:val="1"/>
        <w:rPr>
          <w:rStyle w:val="31"/>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8"/>
      <w:bookmarkEnd w:id="19"/>
    </w:p>
    <w:p w14:paraId="15215100">
      <w:pPr>
        <w:spacing w:line="600" w:lineRule="exact"/>
        <w:ind w:firstLine="640"/>
        <w:rPr>
          <w:rFonts w:hint="eastAsia" w:eastAsia="仿宋_GB2312" w:cs="Times New Roman"/>
          <w:color w:val="000000" w:themeColor="text1"/>
          <w:sz w:val="32"/>
          <w:szCs w:val="32"/>
          <w:lang w:val="en-US" w:eastAsia="zh-CN"/>
          <w14:textFill>
            <w14:solidFill>
              <w14:schemeClr w14:val="tx1"/>
            </w14:solidFill>
          </w14:textFill>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762.5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272.88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26.36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Times New Roman"/>
          <w:color w:val="000000" w:themeColor="text1"/>
          <w:sz w:val="32"/>
          <w:szCs w:val="32"/>
          <w:lang w:val="en-US" w:eastAsia="zh-CN"/>
          <w14:textFill>
            <w14:solidFill>
              <w14:schemeClr w14:val="tx1"/>
            </w14:solidFill>
          </w14:textFill>
        </w:rPr>
        <w:t>2025年项目金额减少。</w:t>
      </w:r>
    </w:p>
    <w:p w14:paraId="596F9FA7">
      <w:pPr>
        <w:pStyle w:val="16"/>
        <w:rPr>
          <w:rFonts w:hint="eastAsia" w:eastAsia="仿宋_GB2312" w:cs="Times New Roman"/>
          <w:color w:val="000000" w:themeColor="text1"/>
          <w:sz w:val="32"/>
          <w:szCs w:val="32"/>
          <w:lang w:val="en-US" w:eastAsia="zh-CN"/>
          <w14:textFill>
            <w14:solidFill>
              <w14:schemeClr w14:val="tx1"/>
            </w14:solidFill>
          </w14:textFill>
        </w:rPr>
      </w:pPr>
      <w:r>
        <w:drawing>
          <wp:inline distT="0" distB="0" distL="114300" distR="114300">
            <wp:extent cx="4826000" cy="2743200"/>
            <wp:effectExtent l="4445" t="4445" r="825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FA2CA94">
      <w:pPr>
        <w:pStyle w:val="16"/>
        <w:rPr>
          <w:rFonts w:hint="eastAsia" w:eastAsia="仿宋_GB2312" w:cs="Times New Roman"/>
          <w:color w:val="000000" w:themeColor="text1"/>
          <w:sz w:val="32"/>
          <w:szCs w:val="32"/>
          <w:lang w:val="en-US" w:eastAsia="zh-CN"/>
          <w14:textFill>
            <w14:solidFill>
              <w14:schemeClr w14:val="tx1"/>
            </w14:solidFill>
          </w14:textFill>
        </w:rPr>
      </w:pPr>
    </w:p>
    <w:p w14:paraId="7CA12A8C">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6CD68C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400600">
      <w:pPr>
        <w:spacing w:line="600" w:lineRule="exact"/>
        <w:ind w:firstLine="640" w:firstLineChars="200"/>
        <w:outlineLvl w:val="1"/>
        <w:rPr>
          <w:rStyle w:val="31"/>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0"/>
      <w:bookmarkEnd w:id="21"/>
    </w:p>
    <w:p w14:paraId="73D338C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6048D081">
      <w:pPr>
        <w:spacing w:line="600" w:lineRule="exact"/>
        <w:ind w:firstLine="640"/>
        <w:rPr>
          <w:rFonts w:hint="eastAsia" w:eastAsia="仿宋_GB2312" w:cs="Times New Roman"/>
          <w:color w:val="000000" w:themeColor="text1"/>
          <w:sz w:val="32"/>
          <w:szCs w:val="32"/>
          <w:lang w:val="en-US" w:eastAsia="zh-CN"/>
          <w14:textFill>
            <w14:solidFill>
              <w14:schemeClr w14:val="tx1"/>
            </w14:solidFill>
          </w14:textFill>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762.5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272.88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26.36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Times New Roman"/>
          <w:color w:val="000000" w:themeColor="text1"/>
          <w:sz w:val="32"/>
          <w:szCs w:val="32"/>
          <w:lang w:val="en-US" w:eastAsia="zh-CN"/>
          <w14:textFill>
            <w14:solidFill>
              <w14:schemeClr w14:val="tx1"/>
            </w14:solidFill>
          </w14:textFill>
        </w:rPr>
        <w:t>2025年项目金额减少。</w:t>
      </w:r>
    </w:p>
    <w:p w14:paraId="61E7CBA1">
      <w:pPr>
        <w:pStyle w:val="16"/>
        <w:rPr>
          <w:rFonts w:hint="eastAsia"/>
          <w:lang w:val="en-US" w:eastAsia="zh-CN"/>
        </w:rPr>
      </w:pPr>
      <w:r>
        <w:drawing>
          <wp:inline distT="0" distB="0" distL="114300" distR="114300">
            <wp:extent cx="4826000" cy="2743200"/>
            <wp:effectExtent l="4445" t="4445" r="8255"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E3E4EB8">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748E950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476E907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762.5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720.45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94.49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18.18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2.38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23.87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3.13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40554C8">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743200"/>
            <wp:effectExtent l="4445" t="4445" r="8255" b="14605"/>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824ED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B1633D">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4A805A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4285B4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59C213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444"/>
      <w:bookmarkStart w:id="2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762.5万元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62D037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720.45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70CE004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18.18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732EAC1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住房保障</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23.87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C235786">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DE3F5A8">
      <w:pPr>
        <w:tabs>
          <w:tab w:val="right" w:pos="8306"/>
        </w:tabs>
        <w:spacing w:line="600" w:lineRule="exact"/>
        <w:ind w:firstLine="640"/>
        <w:outlineLvl w:val="1"/>
        <w:rPr>
          <w:rStyle w:val="31"/>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28"/>
      <w:bookmarkEnd w:id="29"/>
      <w:r>
        <w:rPr>
          <w:rStyle w:val="31"/>
          <w:rFonts w:ascii="Times New Roman" w:hAnsi="Times New Roman" w:eastAsia="黑体"/>
          <w:b w:val="0"/>
          <w:color w:val="auto"/>
          <w:highlight w:val="none"/>
        </w:rPr>
        <w:tab/>
      </w:r>
    </w:p>
    <w:p w14:paraId="7A6BA3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762.5</w:t>
      </w:r>
      <w:r>
        <w:rPr>
          <w:rFonts w:hint="eastAsia" w:ascii="Times New Roman" w:hAnsi="Times New Roman" w:eastAsia="仿宋_GB2312" w:cs="仿宋_GB2312"/>
          <w:color w:val="auto"/>
          <w:kern w:val="2"/>
          <w:sz w:val="32"/>
          <w:szCs w:val="32"/>
          <w:highlight w:val="none"/>
          <w:lang w:val="en-US" w:eastAsia="zh-CN" w:bidi="ar-SA"/>
        </w:rPr>
        <w:t>万元，其中：</w:t>
      </w:r>
    </w:p>
    <w:p w14:paraId="478DF59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357.76</w:t>
      </w:r>
      <w:r>
        <w:rPr>
          <w:rFonts w:hint="eastAsia" w:ascii="Times New Roman" w:hAnsi="Times New Roman" w:eastAsia="仿宋_GB2312" w:cs="仿宋_GB2312"/>
          <w:color w:val="auto"/>
          <w:kern w:val="2"/>
          <w:sz w:val="32"/>
          <w:szCs w:val="32"/>
          <w:highlight w:val="none"/>
          <w:lang w:val="en-US" w:eastAsia="zh-CN" w:bidi="ar-SA"/>
        </w:rPr>
        <w:t>万元，</w:t>
      </w:r>
      <w:r>
        <w:rPr>
          <w:rFonts w:hint="default" w:ascii="Times New Roman" w:hAnsi="Times New Roman" w:eastAsia="仿宋_GB2312" w:cs="Times New Roman"/>
          <w:color w:val="000000" w:themeColor="text1"/>
          <w:sz w:val="32"/>
          <w:szCs w:val="32"/>
          <w14:textFill>
            <w14:solidFill>
              <w14:schemeClr w14:val="tx1"/>
            </w14:solidFill>
          </w14:textFill>
        </w:rPr>
        <w:t>主要包括：基本工资、津贴补贴、奖金、伙食补助费、机关事业单位基本养老保险缴费、职业年金缴费、其他社会保障缴费、其他工资福利支出、生活补助、医疗费补助、奖励金、住房公积金。</w:t>
      </w: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eastAsia="仿宋_GB2312" w:cs="仿宋_GB2312"/>
          <w:color w:val="auto"/>
          <w:kern w:val="2"/>
          <w:sz w:val="32"/>
          <w:szCs w:val="32"/>
          <w:highlight w:val="none"/>
          <w:lang w:val="en-US" w:eastAsia="zh-CN" w:bidi="ar-SA"/>
        </w:rPr>
        <w:t>21.33</w:t>
      </w:r>
      <w:r>
        <w:rPr>
          <w:rFonts w:hint="eastAsia" w:ascii="Times New Roman" w:hAnsi="Times New Roman" w:eastAsia="仿宋_GB2312" w:cs="仿宋_GB2312"/>
          <w:color w:val="auto"/>
          <w:kern w:val="2"/>
          <w:sz w:val="32"/>
          <w:szCs w:val="32"/>
          <w:highlight w:val="none"/>
          <w:lang w:val="en-US" w:eastAsia="zh-CN" w:bidi="ar-SA"/>
        </w:rPr>
        <w:t>万元，</w:t>
      </w:r>
      <w:r>
        <w:rPr>
          <w:rFonts w:hint="default" w:ascii="Times New Roman" w:hAnsi="Times New Roman" w:eastAsia="仿宋_GB2312" w:cs="Times New Roman"/>
          <w:color w:val="000000" w:themeColor="text1"/>
          <w:sz w:val="32"/>
          <w:szCs w:val="32"/>
          <w14:textFill>
            <w14:solidFill>
              <w14:schemeClr w14:val="tx1"/>
            </w14:solidFill>
          </w14:textFill>
        </w:rPr>
        <w:t>主要包括：办公费、印刷费、手续费、水费、电费、邮电费、物业管理费、差旅费、维修（护）费、租赁费、培训费、公务接待费、劳务费公务用车运行维护费。</w:t>
      </w:r>
    </w:p>
    <w:p w14:paraId="28BA0137">
      <w:pPr>
        <w:spacing w:line="600" w:lineRule="exact"/>
        <w:ind w:firstLine="640"/>
        <w:outlineLvl w:val="1"/>
        <w:rPr>
          <w:rStyle w:val="31"/>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0"/>
      <w:bookmarkEnd w:id="31"/>
    </w:p>
    <w:p w14:paraId="7CCA9F4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5945F5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4.10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0.49</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735D29F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p>
    <w:p w14:paraId="53DF9B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48E1B3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97.56</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0.10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2.43</w:t>
      </w:r>
      <w:r>
        <w:rPr>
          <w:rFonts w:hint="eastAsia" w:ascii="Times New Roman" w:hAnsi="Times New Roman" w:eastAsia="仿宋_GB2312" w:cs="仿宋_GB2312"/>
          <w:color w:val="auto"/>
          <w:kern w:val="2"/>
          <w:sz w:val="32"/>
          <w:szCs w:val="32"/>
          <w:highlight w:val="none"/>
          <w:lang w:val="en-US" w:eastAsia="zh-CN" w:bidi="ar-SA"/>
        </w:rPr>
        <w:t>%。具体情况如下：</w:t>
      </w:r>
    </w:p>
    <w:p w14:paraId="72AB681E">
      <w:pPr>
        <w:pStyle w:val="16"/>
        <w:rPr>
          <w:rFonts w:hint="eastAsia"/>
          <w:lang w:val="en-US" w:eastAsia="zh-CN"/>
        </w:rPr>
      </w:pPr>
      <w:r>
        <w:drawing>
          <wp:inline distT="0" distB="0" distL="114300" distR="114300">
            <wp:extent cx="4826000" cy="2743200"/>
            <wp:effectExtent l="4445" t="4445" r="825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63B1E71">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0A8C2D4B">
      <w:pPr>
        <w:keepNext w:val="0"/>
        <w:keepLines w:val="0"/>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default" w:ascii="Times New Roman" w:hAnsi="Times New Roman" w:eastAsia="仿宋_GB2312" w:cs="Times New Roman"/>
          <w:b/>
          <w:bCs/>
          <w:color w:val="000000" w:themeColor="text1"/>
          <w:sz w:val="32"/>
          <w:szCs w:val="32"/>
          <w14:textFill>
            <w14:solidFill>
              <w14:schemeClr w14:val="tx1"/>
            </w14:solidFill>
          </w14:textFill>
        </w:rPr>
        <w:t>因公出国（境）经费支出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w:t>
      </w:r>
      <w:r>
        <w:rPr>
          <w:rFonts w:hint="eastAsia"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年我局未产生因公出国（境）经费支出，与</w:t>
      </w:r>
      <w:r>
        <w:rPr>
          <w:rFonts w:hint="eastAsia" w:eastAsia="仿宋_GB2312" w:cs="Times New Roman"/>
          <w:color w:val="000000" w:themeColor="text1"/>
          <w:sz w:val="32"/>
          <w:szCs w:val="32"/>
          <w:lang w:val="en-US" w:eastAsia="zh-CN"/>
          <w14:textFill>
            <w14:solidFill>
              <w14:schemeClr w14:val="tx1"/>
            </w14:solidFill>
          </w14:textFill>
        </w:rPr>
        <w:t>2023</w:t>
      </w:r>
      <w:r>
        <w:rPr>
          <w:rFonts w:hint="default" w:ascii="Times New Roman" w:hAnsi="Times New Roman" w:eastAsia="仿宋_GB2312" w:cs="Times New Roman"/>
          <w:color w:val="000000" w:themeColor="text1"/>
          <w:sz w:val="32"/>
          <w:szCs w:val="32"/>
          <w14:textFill>
            <w14:solidFill>
              <w14:schemeClr w14:val="tx1"/>
            </w14:solidFill>
          </w14:textFill>
        </w:rPr>
        <w:t>年持平。</w:t>
      </w:r>
    </w:p>
    <w:p w14:paraId="708A474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0.49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2025年较2024年相比公务接待支出增加。</w:t>
      </w:r>
    </w:p>
    <w:p w14:paraId="1A7903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7B118F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万元。主要用于所需的公务用车燃料费、维修费、过路过桥费、保险费等支出。</w:t>
      </w:r>
    </w:p>
    <w:p w14:paraId="5DB385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0.10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，为正常增长幅度</w:t>
      </w:r>
      <w:r>
        <w:rPr>
          <w:rFonts w:hint="eastAsia" w:ascii="Times New Roman" w:hAnsi="Times New Roman" w:eastAsia="仿宋_GB2312" w:cs="仿宋_GB2312"/>
          <w:color w:val="auto"/>
          <w:kern w:val="2"/>
          <w:sz w:val="32"/>
          <w:szCs w:val="32"/>
          <w:highlight w:val="none"/>
          <w:lang w:val="en-US" w:eastAsia="zh-CN" w:bidi="ar-SA"/>
        </w:rPr>
        <w:t>。其中：</w:t>
      </w:r>
    </w:p>
    <w:p w14:paraId="6BDE1F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0.10</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w:t>
      </w:r>
    </w:p>
    <w:p w14:paraId="6B4307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8"/>
      <w:bookmarkStart w:id="35" w:name="_Toc15396610"/>
    </w:p>
    <w:p w14:paraId="38D4D543">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4"/>
      <w:bookmarkEnd w:id="35"/>
    </w:p>
    <w:p w14:paraId="3F1348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68BCBA59">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6" w:name="_Toc15377219"/>
      <w:bookmarkStart w:id="37"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6"/>
      <w:bookmarkEnd w:id="37"/>
    </w:p>
    <w:p w14:paraId="4238DD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7E822FDA">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38" w:name="_Toc15377221"/>
      <w:bookmarkStart w:id="39"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8"/>
      <w:bookmarkEnd w:id="39"/>
    </w:p>
    <w:p w14:paraId="781389A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551B10D2">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壤塘县人力资源和社会保障局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23.33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5.46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30.55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w:t>
      </w:r>
      <w:r>
        <w:rPr>
          <w:rFonts w:hint="eastAsia"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年</w:t>
      </w:r>
      <w:r>
        <w:rPr>
          <w:rFonts w:hint="eastAsia" w:eastAsia="仿宋_GB2312" w:cs="Times New Roman"/>
          <w:color w:val="000000" w:themeColor="text1"/>
          <w:sz w:val="32"/>
          <w:szCs w:val="32"/>
          <w:lang w:val="en-US" w:eastAsia="zh-CN"/>
          <w14:textFill>
            <w14:solidFill>
              <w14:schemeClr w14:val="tx1"/>
            </w14:solidFill>
          </w14:textFill>
        </w:rPr>
        <w:t>我单位人员增加。</w:t>
      </w:r>
    </w:p>
    <w:p w14:paraId="61B2A2C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758625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壤塘县人力资源和社会保障局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663108C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333473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壤塘县人力资源和社会保障局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，主要用于单位人员出差或下乡等。</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7D822B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DB3FED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D63A4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壤塘县人力资源和社会保障局</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壤塘县技能人才培养和就业创业促进项目，事业单位人才招考工作，</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565.1076</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3117F6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部门预算</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壤塘县技能人才培养和就业创业促进项目</w:t>
      </w:r>
      <w:r>
        <w:rPr>
          <w:rFonts w:hint="eastAsia" w:ascii="Times New Roman" w:hAnsi="Times New Roman" w:eastAsia="仿宋_GB2312" w:cs="仿宋_GB2312"/>
          <w:color w:val="auto"/>
          <w:kern w:val="2"/>
          <w:sz w:val="32"/>
          <w:szCs w:val="32"/>
          <w:highlight w:val="none"/>
          <w:lang w:val="en-US" w:eastAsia="zh-CN" w:bidi="ar-SA"/>
        </w:rPr>
        <w:t>部门预绩效自评得分为</w:t>
      </w:r>
      <w:r>
        <w:rPr>
          <w:rFonts w:hint="eastAsia" w:eastAsia="仿宋_GB2312" w:cs="仿宋_GB2312"/>
          <w:color w:val="auto"/>
          <w:kern w:val="2"/>
          <w:sz w:val="32"/>
          <w:szCs w:val="32"/>
          <w:highlight w:val="none"/>
          <w:lang w:val="en-US" w:eastAsia="zh-CN" w:bidi="ar-SA"/>
        </w:rPr>
        <w:t>95.1</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:我单位对壤塘县技能人才培养和就业创业促进项目开展 2025 年度绩效自评，项目自评得分 95.1 分，评价等级为优秀。项目立足我县农牧区实际，围绕技能培训、就业帮扶、创业扶持推进实施，资金管理规范，专款专用，严格执行财务制度，预算执行总体较好。年度各项产出指标基本完成，有序开展各类职业技能、创业培训，落实公益性岗位安置、就业补贴发放等政策，重点帮扶脱贫劳动力、就业困难群体，有效提升本地群众技能水平，拓宽就业增收渠道，培育本土技能人才，服务县域产业发展，服务对象满意度较高。自评发现存在偏远乡镇人员组织难度大、创业后续跟踪服务不足、绩效指标设置精细化不够等问题。下一步，将优化培训组织模式，持续做好创业跟踪扶持，科学设置绩效指标，抓实全过程绩效管理，不断提升项目实施效益。</w:t>
      </w:r>
    </w:p>
    <w:p w14:paraId="6021B88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5BA119CE">
      <w:pPr>
        <w:spacing w:line="600" w:lineRule="exact"/>
        <w:jc w:val="left"/>
        <w:rPr>
          <w:rFonts w:ascii="Times New Roman" w:hAnsi="Times New Roman"/>
          <w:b/>
          <w:color w:val="auto"/>
          <w:sz w:val="44"/>
          <w:szCs w:val="44"/>
          <w:highlight w:val="none"/>
        </w:rPr>
      </w:pPr>
    </w:p>
    <w:p w14:paraId="04FE67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3D88C0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算单位经营收入情况）等。</w:t>
      </w:r>
    </w:p>
    <w:p w14:paraId="12FD17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xml:space="preserve">.其他收入：指单位取得的除上述收入以外的各项收入。 </w:t>
      </w:r>
    </w:p>
    <w:p w14:paraId="23A2A7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08F7761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62251D95">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.一般公共服务（201类）（01款）（01项）：指反映政府提供一般公共服务的支出。</w:t>
      </w:r>
    </w:p>
    <w:p w14:paraId="0E9D6CDD">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.社会保障和就业（208类）：指用于</w:t>
      </w:r>
      <w:r>
        <w:rPr>
          <w:rFonts w:hint="eastAsia" w:eastAsia="仿宋_GB2312" w:cs="Times New Roman"/>
          <w:color w:val="000000" w:themeColor="text1"/>
          <w:sz w:val="32"/>
          <w:szCs w:val="32"/>
          <w:lang w:eastAsia="zh-CN"/>
          <w14:textFill>
            <w14:solidFill>
              <w14:schemeClr w14:val="tx1"/>
            </w14:solidFill>
          </w14:textFill>
        </w:rPr>
        <w:t>社会保障和就业</w:t>
      </w:r>
      <w:r>
        <w:rPr>
          <w:rFonts w:hint="default" w:ascii="Times New Roman" w:hAnsi="Times New Roman" w:eastAsia="仿宋_GB2312" w:cs="Times New Roman"/>
          <w:color w:val="000000" w:themeColor="text1"/>
          <w:sz w:val="32"/>
          <w:szCs w:val="32"/>
          <w14:textFill>
            <w14:solidFill>
              <w14:schemeClr w14:val="tx1"/>
            </w14:solidFill>
          </w14:textFill>
        </w:rPr>
        <w:t>方面的支出。</w:t>
      </w:r>
    </w:p>
    <w:p w14:paraId="14DA0276">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eastAsia="仿宋_GB2312" w:cs="Times New Roman"/>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卫生健康支出</w:t>
      </w:r>
      <w:r>
        <w:rPr>
          <w:rFonts w:hint="default" w:ascii="Times New Roman" w:hAnsi="Times New Roman" w:eastAsia="仿宋_GB2312" w:cs="Times New Roman"/>
          <w:color w:val="000000" w:themeColor="text1"/>
          <w:sz w:val="32"/>
          <w:szCs w:val="32"/>
          <w14:textFill>
            <w14:solidFill>
              <w14:schemeClr w14:val="tx1"/>
            </w14:solidFill>
          </w14:textFill>
        </w:rPr>
        <w:t>（210类）（11款）（01项）：指用于医疗卫生与计划生育方面的支出。</w:t>
      </w:r>
    </w:p>
    <w:p w14:paraId="18D98C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类）：指</w:t>
      </w:r>
      <w:r>
        <w:rPr>
          <w:rFonts w:hint="eastAsia" w:eastAsia="仿宋_GB2312" w:cs="仿宋_GB2312"/>
          <w:color w:val="auto"/>
          <w:kern w:val="2"/>
          <w:sz w:val="32"/>
          <w:szCs w:val="32"/>
          <w:highlight w:val="none"/>
          <w:lang w:val="en-US" w:eastAsia="zh-CN" w:bidi="ar-SA"/>
        </w:rPr>
        <w:t>政府用于住房方面的各项财政支出。</w:t>
      </w:r>
    </w:p>
    <w:p w14:paraId="544A1A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032B80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172A4F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4DD1C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C2638A4">
      <w:pPr>
        <w:spacing w:line="600" w:lineRule="exact"/>
        <w:jc w:val="center"/>
        <w:rPr>
          <w:rStyle w:val="30"/>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10E4354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618C37A">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0DFE8C4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7A275A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43B53D5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p>
    <w:p w14:paraId="7E4F99EE">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0E6352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754CFE4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64356C64">
      <w:pPr>
        <w:pStyle w:val="10"/>
        <w:keepNext w:val="0"/>
        <w:keepLines w:val="0"/>
        <w:pageBreakBefore w:val="0"/>
        <w:kinsoku/>
        <w:wordWrap/>
        <w:overflowPunct/>
        <w:topLinePunct w:val="0"/>
        <w:autoSpaceDE/>
        <w:autoSpaceDN/>
        <w:bidi w:val="0"/>
        <w:snapToGrid w:val="0"/>
        <w:spacing w:line="560" w:lineRule="exact"/>
        <w:ind w:firstLine="640" w:firstLineChars="200"/>
        <w:textAlignment w:val="auto"/>
        <w:outlineLvl w:val="9"/>
        <w:rPr>
          <w:rFonts w:hint="default" w:ascii="Times New Roman" w:hAnsi="Times New Roman" w:eastAsia="仿宋_GB2312" w:cs="Times New Roman"/>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壤塘县人力资源和社会保障局</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内设5个股室，</w:t>
      </w:r>
      <w:r>
        <w:rPr>
          <w:rFonts w:hint="default" w:ascii="Times New Roman" w:hAnsi="Times New Roman" w:eastAsia="仿宋_GB2312" w:cs="Times New Roman"/>
          <w:color w:val="000000" w:themeColor="text1"/>
          <w:sz w:val="32"/>
          <w:szCs w:val="32"/>
          <w14:textFill>
            <w14:solidFill>
              <w14:schemeClr w14:val="tx1"/>
            </w14:solidFill>
          </w14:textFill>
        </w:rPr>
        <w:t>下属二级单位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个，其中参照公务员法管理的事业单位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个，事业单位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个。</w:t>
      </w:r>
    </w:p>
    <w:p w14:paraId="477CF542">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14:paraId="70AFD1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1.贯彻执行国家、省、州人力资源和社会保障工作的相关法律、法规、规章和政策，拟订全县人力资源和社会保障事业发展规划、政策并组织实施和监督检查。</w:t>
      </w:r>
    </w:p>
    <w:p w14:paraId="7791A6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2.拟订并组织实施人力资源市场发展规划，管理人力资源和社会保障公共服务机构，建立全县统一规范的人力资源市场，促进人力资源合理流动、有效配置。</w:t>
      </w:r>
    </w:p>
    <w:p w14:paraId="686029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3.负责促进就业工作。</w:t>
      </w:r>
    </w:p>
    <w:p w14:paraId="382055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4.统筹建立覆盖城乡的社会保障体系。</w:t>
      </w:r>
    </w:p>
    <w:p w14:paraId="643158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5.负责就业、失业、社会保险基金预测预警和信息引导。 </w:t>
      </w:r>
    </w:p>
    <w:p w14:paraId="0DAF67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000000" w:themeColor="text1"/>
          <w:sz w:val="32"/>
          <w:szCs w:val="32"/>
          <w:lang w:val="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6.综合管理全县机关企事业单位的工资福利工作。</w:t>
      </w:r>
    </w:p>
    <w:p w14:paraId="5E529045">
      <w:pPr>
        <w:pStyle w:val="16"/>
        <w:numPr>
          <w:ilvl w:val="0"/>
          <w:numId w:val="0"/>
        </w:numPr>
        <w:jc w:val="both"/>
        <w:rPr>
          <w:rFonts w:hint="default"/>
          <w:lang w:val="zh-CN"/>
        </w:rPr>
      </w:pPr>
    </w:p>
    <w:p w14:paraId="3DD9CB30">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72E468B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i/>
          <w:iCs/>
          <w:color w:val="000000" w:themeColor="text1"/>
          <w:sz w:val="32"/>
          <w:szCs w:val="32"/>
          <w:u w:val="none"/>
          <w:lang w:val="en-US" w:eastAsia="zh-CN"/>
          <w14:textFill>
            <w14:solidFill>
              <w14:schemeClr w14:val="tx1"/>
            </w14:solidFill>
          </w14:textFill>
        </w:rPr>
      </w:pPr>
      <w:r>
        <w:rPr>
          <w:rFonts w:hint="eastAsia" w:eastAsia="仿宋_GB2312" w:cs="Times New Roman"/>
          <w:color w:val="000000" w:themeColor="text1"/>
          <w:kern w:val="0"/>
          <w:sz w:val="32"/>
          <w:szCs w:val="32"/>
          <w:shd w:val="clear" w:color="auto" w:fill="FFFFFF"/>
          <w:lang w:val="en-US" w:eastAsia="zh-CN"/>
          <w14:textFill>
            <w14:solidFill>
              <w14:schemeClr w14:val="tx1"/>
            </w14:solidFill>
          </w14:textFill>
        </w:rPr>
        <w:t>在编</w:t>
      </w:r>
      <w:r>
        <w:rPr>
          <w:rFonts w:hint="default"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t>人数</w:t>
      </w:r>
      <w:r>
        <w:rPr>
          <w:rFonts w:hint="default" w:ascii="Times New Roman" w:hAnsi="Times New Roman" w:eastAsia="仿宋_GB2312" w:cs="Times New Roman"/>
          <w:color w:val="000000" w:themeColor="text1"/>
          <w:kern w:val="0"/>
          <w:sz w:val="32"/>
          <w:szCs w:val="32"/>
          <w:u w:val="none"/>
          <w:shd w:val="clear" w:color="auto" w:fill="FFFFFF"/>
          <w:lang w:val="en-US" w:eastAsia="zh-CN"/>
          <w14:textFill>
            <w14:solidFill>
              <w14:schemeClr w14:val="tx1"/>
            </w14:solidFill>
          </w14:textFill>
        </w:rPr>
        <w:t xml:space="preserve"> </w:t>
      </w:r>
      <w:r>
        <w:rPr>
          <w:rFonts w:hint="eastAsia" w:eastAsia="仿宋_GB2312" w:cs="Times New Roman"/>
          <w:color w:val="000000" w:themeColor="text1"/>
          <w:kern w:val="0"/>
          <w:sz w:val="32"/>
          <w:szCs w:val="32"/>
          <w:u w:val="none"/>
          <w:shd w:val="clear" w:color="auto" w:fill="FFFFFF"/>
          <w:lang w:val="en-US" w:eastAsia="zh-CN"/>
          <w14:textFill>
            <w14:solidFill>
              <w14:schemeClr w14:val="tx1"/>
            </w14:solidFill>
          </w14:textFill>
        </w:rPr>
        <w:t>12</w:t>
      </w:r>
      <w:r>
        <w:rPr>
          <w:rFonts w:hint="default"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t>名。其中：行政编制</w:t>
      </w:r>
      <w:r>
        <w:rPr>
          <w:rFonts w:hint="eastAsia" w:eastAsia="仿宋_GB2312" w:cs="Times New Roman"/>
          <w:color w:val="000000" w:themeColor="text1"/>
          <w:kern w:val="0"/>
          <w:sz w:val="32"/>
          <w:szCs w:val="32"/>
          <w:u w:val="none"/>
          <w:shd w:val="clear" w:color="auto" w:fill="FFFFFF"/>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32"/>
          <w:szCs w:val="32"/>
          <w:u w:val="none"/>
          <w:shd w:val="clear" w:color="auto" w:fill="FFFFFF"/>
          <w:lang w:val="en-US" w:eastAsia="zh-CN"/>
          <w14:textFill>
            <w14:solidFill>
              <w14:schemeClr w14:val="tx1"/>
            </w14:solidFill>
          </w14:textFill>
        </w:rPr>
        <w:t>名；参公编制</w:t>
      </w:r>
      <w:r>
        <w:rPr>
          <w:rFonts w:hint="eastAsia" w:eastAsia="仿宋_GB2312" w:cs="Times New Roman"/>
          <w:color w:val="000000" w:themeColor="text1"/>
          <w:kern w:val="0"/>
          <w:sz w:val="32"/>
          <w:szCs w:val="32"/>
          <w:u w:val="none"/>
          <w:shd w:val="clear" w:color="auto" w:fill="FFFFFF"/>
          <w:lang w:val="en-US" w:eastAsia="zh-CN"/>
          <w14:textFill>
            <w14:solidFill>
              <w14:schemeClr w14:val="tx1"/>
            </w14:solidFill>
          </w14:textFill>
        </w:rPr>
        <w:t>5</w:t>
      </w:r>
      <w:r>
        <w:rPr>
          <w:rFonts w:hint="default" w:ascii="Times New Roman" w:hAnsi="Times New Roman" w:eastAsia="仿宋_GB2312" w:cs="Times New Roman"/>
          <w:color w:val="000000" w:themeColor="text1"/>
          <w:kern w:val="0"/>
          <w:sz w:val="32"/>
          <w:szCs w:val="32"/>
          <w:u w:val="none"/>
          <w:shd w:val="clear" w:color="auto" w:fill="FFFFFF"/>
          <w:lang w:val="en-US" w:eastAsia="zh-CN"/>
          <w14:textFill>
            <w14:solidFill>
              <w14:schemeClr w14:val="tx1"/>
            </w14:solidFill>
          </w14:textFill>
        </w:rPr>
        <w:t>名；行政工勤</w:t>
      </w:r>
      <w:r>
        <w:rPr>
          <w:rFonts w:hint="eastAsia" w:eastAsia="仿宋_GB2312" w:cs="Times New Roman"/>
          <w:color w:val="000000" w:themeColor="text1"/>
          <w:kern w:val="0"/>
          <w:sz w:val="32"/>
          <w:szCs w:val="32"/>
          <w:u w:val="none"/>
          <w:shd w:val="clear" w:color="auto" w:fill="FFFFFF"/>
          <w:lang w:val="en-US" w:eastAsia="zh-CN"/>
          <w14:textFill>
            <w14:solidFill>
              <w14:schemeClr w14:val="tx1"/>
            </w14:solidFill>
          </w14:textFill>
        </w:rPr>
        <w:t>1</w:t>
      </w:r>
      <w:r>
        <w:rPr>
          <w:rFonts w:hint="default" w:ascii="Times New Roman" w:hAnsi="Times New Roman" w:eastAsia="仿宋_GB2312" w:cs="Times New Roman"/>
          <w:color w:val="000000" w:themeColor="text1"/>
          <w:kern w:val="0"/>
          <w:sz w:val="32"/>
          <w:szCs w:val="32"/>
          <w:u w:val="none"/>
          <w:shd w:val="clear" w:color="auto" w:fill="FFFFFF"/>
          <w:lang w:val="en-US" w:eastAsia="zh-CN"/>
          <w14:textFill>
            <w14:solidFill>
              <w14:schemeClr w14:val="tx1"/>
            </w14:solidFill>
          </w14:textFill>
        </w:rPr>
        <w:t>名。</w:t>
      </w:r>
    </w:p>
    <w:p w14:paraId="3AF9D05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320" w:firstLineChars="1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2D6DC65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4EC0F847">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themeColor="text1"/>
          <w:kern w:val="0"/>
          <w:sz w:val="32"/>
          <w:szCs w:val="32"/>
          <w:highlight w:val="none"/>
          <w:shd w:val="clear" w:color="auto" w:fill="FFFFFF"/>
          <w:lang w:val="en-US"/>
          <w14:textFill>
            <w14:solidFill>
              <w14:schemeClr w14:val="tx1"/>
            </w14:solidFill>
          </w14:textFill>
        </w:rPr>
      </w:pPr>
      <w:r>
        <w:rPr>
          <w:rFonts w:hint="eastAsia" w:eastAsia="仿宋_GB2312" w:cs="Times New Roman"/>
          <w:color w:val="000000" w:themeColor="text1"/>
          <w:sz w:val="32"/>
          <w:szCs w:val="32"/>
          <w:lang w:val="en-US" w:eastAsia="zh-CN"/>
          <w14:textFill>
            <w14:solidFill>
              <w14:schemeClr w14:val="tx1"/>
            </w14:solidFill>
          </w14:textFill>
        </w:rPr>
        <w:t>2025</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年年初结转和结余</w:t>
      </w:r>
      <w:r>
        <w:rPr>
          <w:rFonts w:hint="eastAsia"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万元，</w:t>
      </w:r>
      <w:r>
        <w:rPr>
          <w:rFonts w:hint="default" w:ascii="Times New Roman" w:hAnsi="Times New Roman" w:eastAsia="仿宋_GB2312" w:cs="Times New Roman"/>
          <w:color w:val="000000" w:themeColor="text1"/>
          <w:sz w:val="32"/>
          <w:szCs w:val="32"/>
          <w14:textFill>
            <w14:solidFill>
              <w14:schemeClr w14:val="tx1"/>
            </w14:solidFill>
          </w14:textFill>
        </w:rPr>
        <w:t>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eastAsia"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年本年收入合计</w:t>
      </w:r>
      <w:r>
        <w:rPr>
          <w:rFonts w:hint="eastAsia" w:eastAsia="仿宋_GB2312" w:cs="Times New Roman"/>
          <w:color w:val="000000" w:themeColor="text1"/>
          <w:sz w:val="32"/>
          <w:szCs w:val="32"/>
          <w:lang w:val="en-US" w:eastAsia="zh-CN"/>
          <w14:textFill>
            <w14:solidFill>
              <w14:schemeClr w14:val="tx1"/>
            </w14:solidFill>
          </w14:textFill>
        </w:rPr>
        <w:t>762.5</w:t>
      </w:r>
      <w:r>
        <w:rPr>
          <w:rFonts w:hint="default" w:ascii="Times New Roman" w:hAnsi="Times New Roman" w:eastAsia="仿宋_GB2312" w:cs="Times New Roman"/>
          <w:color w:val="000000" w:themeColor="text1"/>
          <w:sz w:val="32"/>
          <w:szCs w:val="32"/>
          <w14:textFill>
            <w14:solidFill>
              <w14:schemeClr w14:val="tx1"/>
            </w14:solidFill>
          </w14:textFill>
        </w:rPr>
        <w:t>万元，其中：一般公共预算财政拨款收入</w:t>
      </w:r>
      <w:r>
        <w:rPr>
          <w:rFonts w:hint="eastAsia" w:eastAsia="仿宋_GB2312" w:cs="Times New Roman"/>
          <w:color w:val="000000" w:themeColor="text1"/>
          <w:sz w:val="32"/>
          <w:szCs w:val="32"/>
          <w:lang w:val="en-US" w:eastAsia="zh-CN"/>
          <w14:textFill>
            <w14:solidFill>
              <w14:schemeClr w14:val="tx1"/>
            </w14:solidFill>
          </w14:textFill>
        </w:rPr>
        <w:t>762.5</w:t>
      </w:r>
      <w:r>
        <w:rPr>
          <w:rFonts w:hint="default" w:ascii="Times New Roman" w:hAnsi="Times New Roman" w:eastAsia="仿宋_GB2312" w:cs="Times New Roman"/>
          <w:color w:val="000000" w:themeColor="text1"/>
          <w:sz w:val="32"/>
          <w:szCs w:val="32"/>
          <w14:textFill>
            <w14:solidFill>
              <w14:schemeClr w14:val="tx1"/>
            </w14:solidFill>
          </w14:textFill>
        </w:rPr>
        <w:t>万元。与</w:t>
      </w:r>
      <w:r>
        <w:rPr>
          <w:rFonts w:hint="eastAsia" w:eastAsia="仿宋_GB2312" w:cs="Times New Roman"/>
          <w:color w:val="000000" w:themeColor="text1"/>
          <w:sz w:val="32"/>
          <w:szCs w:val="32"/>
          <w:lang w:val="en-US" w:eastAsia="zh-CN"/>
          <w14:textFill>
            <w14:solidFill>
              <w14:schemeClr w14:val="tx1"/>
            </w14:solidFill>
          </w14:textFill>
        </w:rPr>
        <w:t>2024</w:t>
      </w:r>
      <w:r>
        <w:rPr>
          <w:rFonts w:hint="default" w:ascii="Times New Roman" w:hAnsi="Times New Roman" w:eastAsia="仿宋_GB2312" w:cs="Times New Roman"/>
          <w:color w:val="000000" w:themeColor="text1"/>
          <w:sz w:val="32"/>
          <w:szCs w:val="32"/>
          <w14:textFill>
            <w14:solidFill>
              <w14:schemeClr w14:val="tx1"/>
            </w14:solidFill>
          </w14:textFill>
        </w:rPr>
        <w:t>年相比，</w:t>
      </w:r>
      <w:r>
        <w:rPr>
          <w:rFonts w:hint="eastAsia" w:eastAsia="仿宋_GB2312" w:cs="Times New Roman"/>
          <w:color w:val="000000" w:themeColor="text1"/>
          <w:sz w:val="32"/>
          <w:szCs w:val="32"/>
          <w:lang w:eastAsia="zh-CN"/>
          <w14:textFill>
            <w14:solidFill>
              <w14:schemeClr w14:val="tx1"/>
            </w14:solidFill>
          </w14:textFill>
        </w:rPr>
        <w:t>本年收入减少</w:t>
      </w:r>
      <w:r>
        <w:rPr>
          <w:rFonts w:hint="eastAsia" w:eastAsia="仿宋_GB2312" w:cs="仿宋_GB2312"/>
          <w:color w:val="auto"/>
          <w:sz w:val="32"/>
          <w:szCs w:val="32"/>
          <w:highlight w:val="none"/>
          <w:lang w:val="en-US" w:eastAsia="zh-CN"/>
        </w:rPr>
        <w:t>272.88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26.36</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主要变动原因是202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年绵阳援建资金</w:t>
      </w:r>
      <w:r>
        <w:rPr>
          <w:rFonts w:hint="eastAsia" w:eastAsia="仿宋_GB2312" w:cs="Times New Roman"/>
          <w:color w:val="000000" w:themeColor="text1"/>
          <w:sz w:val="32"/>
          <w:szCs w:val="32"/>
          <w:highlight w:val="none"/>
          <w:lang w:eastAsia="zh-CN"/>
          <w14:textFill>
            <w14:solidFill>
              <w14:schemeClr w14:val="tx1"/>
            </w14:solidFill>
          </w14:textFill>
        </w:rPr>
        <w:t>减少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，人力资源市场项目经费及相关费用</w:t>
      </w:r>
      <w:r>
        <w:rPr>
          <w:rFonts w:hint="eastAsia" w:eastAsia="仿宋_GB2312" w:cs="Times New Roman"/>
          <w:color w:val="000000" w:themeColor="text1"/>
          <w:sz w:val="32"/>
          <w:szCs w:val="32"/>
          <w:highlight w:val="none"/>
          <w:lang w:eastAsia="zh-CN"/>
          <w14:textFill>
            <w14:solidFill>
              <w14:schemeClr w14:val="tx1"/>
            </w14:solidFill>
          </w14:textFill>
        </w:rPr>
        <w:t>收入减少。</w:t>
      </w:r>
    </w:p>
    <w:p w14:paraId="52053464">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02081CDF">
      <w:pPr>
        <w:keepNext w:val="0"/>
        <w:keepLines w:val="0"/>
        <w:pageBreakBefore w:val="0"/>
        <w:widowControl/>
        <w:kinsoku/>
        <w:wordWrap/>
        <w:overflowPunct/>
        <w:topLinePunct w:val="0"/>
        <w:autoSpaceDE/>
        <w:autoSpaceDN/>
        <w:bidi w:val="0"/>
        <w:adjustRightInd w:val="0"/>
        <w:snapToGrid w:val="0"/>
        <w:spacing w:line="560" w:lineRule="exact"/>
        <w:ind w:firstLine="320" w:firstLineChars="100"/>
        <w:contextualSpacing/>
        <w:jc w:val="left"/>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eastAsia"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年本年支出合计</w:t>
      </w:r>
      <w:r>
        <w:rPr>
          <w:rFonts w:hint="eastAsia" w:eastAsia="仿宋_GB2312" w:cs="Times New Roman"/>
          <w:color w:val="000000" w:themeColor="text1"/>
          <w:sz w:val="32"/>
          <w:szCs w:val="32"/>
          <w:lang w:val="en-US" w:eastAsia="zh-CN"/>
          <w14:textFill>
            <w14:solidFill>
              <w14:schemeClr w14:val="tx1"/>
            </w14:solidFill>
          </w14:textFill>
        </w:rPr>
        <w:t>762.5</w:t>
      </w:r>
      <w:r>
        <w:rPr>
          <w:rFonts w:hint="default" w:ascii="Times New Roman" w:hAnsi="Times New Roman" w:eastAsia="仿宋_GB2312" w:cs="Times New Roman"/>
          <w:color w:val="000000" w:themeColor="text1"/>
          <w:sz w:val="32"/>
          <w:szCs w:val="32"/>
          <w14:textFill>
            <w14:solidFill>
              <w14:schemeClr w14:val="tx1"/>
            </w14:solidFill>
          </w14:textFill>
        </w:rPr>
        <w:t>万元，其中：</w:t>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762.5</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379.1</w:t>
      </w:r>
      <w:r>
        <w:rPr>
          <w:rFonts w:hint="eastAsia" w:ascii="Times New Roman" w:hAnsi="Times New Roman" w:eastAsia="仿宋_GB2312" w:cs="仿宋_GB2312"/>
          <w:color w:val="auto"/>
          <w:sz w:val="32"/>
          <w:szCs w:val="32"/>
          <w:highlight w:val="none"/>
          <w:lang w:eastAsia="zh-CN"/>
        </w:rPr>
        <w:t>万元；项目支出</w:t>
      </w:r>
      <w:r>
        <w:rPr>
          <w:rFonts w:hint="eastAsia" w:eastAsia="仿宋_GB2312" w:cs="仿宋_GB2312"/>
          <w:color w:val="auto"/>
          <w:sz w:val="32"/>
          <w:szCs w:val="32"/>
          <w:highlight w:val="none"/>
          <w:lang w:val="en-US" w:eastAsia="zh-CN"/>
        </w:rPr>
        <w:t>383.4</w:t>
      </w:r>
      <w:r>
        <w:rPr>
          <w:rFonts w:hint="eastAsia" w:ascii="Times New Roman" w:hAnsi="Times New Roman" w:eastAsia="仿宋_GB2312" w:cs="仿宋_GB2312"/>
          <w:color w:val="auto"/>
          <w:sz w:val="32"/>
          <w:szCs w:val="32"/>
          <w:highlight w:val="none"/>
          <w:lang w:eastAsia="zh-CN"/>
        </w:rPr>
        <w:t>万元</w:t>
      </w:r>
      <w:r>
        <w:rPr>
          <w:rFonts w:hint="default" w:ascii="Times New Roman" w:hAnsi="Times New Roman" w:eastAsia="仿宋_GB2312" w:cs="Times New Roman"/>
          <w:color w:val="000000" w:themeColor="text1"/>
          <w:sz w:val="32"/>
          <w:szCs w:val="32"/>
          <w14:textFill>
            <w14:solidFill>
              <w14:schemeClr w14:val="tx1"/>
            </w14:solidFill>
          </w14:textFill>
        </w:rPr>
        <w:t>。与</w:t>
      </w:r>
      <w:r>
        <w:rPr>
          <w:rFonts w:hint="eastAsia" w:eastAsia="仿宋_GB2312" w:cs="Times New Roman"/>
          <w:color w:val="000000" w:themeColor="text1"/>
          <w:sz w:val="32"/>
          <w:szCs w:val="32"/>
          <w:lang w:val="en-US" w:eastAsia="zh-CN"/>
          <w14:textFill>
            <w14:solidFill>
              <w14:schemeClr w14:val="tx1"/>
            </w14:solidFill>
          </w14:textFill>
        </w:rPr>
        <w:t>2024</w:t>
      </w:r>
      <w:r>
        <w:rPr>
          <w:rFonts w:hint="default" w:ascii="Times New Roman" w:hAnsi="Times New Roman" w:eastAsia="仿宋_GB2312" w:cs="Times New Roman"/>
          <w:color w:val="000000" w:themeColor="text1"/>
          <w:sz w:val="32"/>
          <w:szCs w:val="32"/>
          <w14:textFill>
            <w14:solidFill>
              <w14:schemeClr w14:val="tx1"/>
            </w14:solidFill>
          </w14:textFill>
        </w:rPr>
        <w:t>年相比，财政拨款支</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出</w:t>
      </w:r>
      <w:r>
        <w:rPr>
          <w:rFonts w:hint="eastAsia" w:eastAsia="仿宋_GB2312" w:cs="Times New Roman"/>
          <w:color w:val="000000" w:themeColor="text1"/>
          <w:sz w:val="32"/>
          <w:szCs w:val="32"/>
          <w:lang w:val="en-US" w:eastAsia="zh-CN"/>
          <w14:textFill>
            <w14:solidFill>
              <w14:schemeClr w14:val="tx1"/>
            </w14:solidFill>
          </w14:textFill>
        </w:rPr>
        <w:t>减少272.88</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仿宋_GB2312"/>
          <w:color w:val="auto"/>
          <w:sz w:val="32"/>
          <w:szCs w:val="32"/>
          <w:highlight w:val="none"/>
        </w:rPr>
        <w:t>下降</w:t>
      </w:r>
      <w:r>
        <w:rPr>
          <w:rFonts w:hint="eastAsia" w:eastAsia="仿宋_GB2312" w:cs="仿宋_GB2312"/>
          <w:color w:val="auto"/>
          <w:sz w:val="32"/>
          <w:szCs w:val="32"/>
          <w:highlight w:val="none"/>
          <w:lang w:val="en-US" w:eastAsia="zh-CN"/>
        </w:rPr>
        <w:t>26.36</w:t>
      </w:r>
      <w:r>
        <w:rPr>
          <w:rFonts w:hint="eastAsia" w:ascii="Times New Roman" w:hAnsi="Times New Roman" w:eastAsia="仿宋_GB2312" w:cs="仿宋_GB2312"/>
          <w:color w:val="auto"/>
          <w:sz w:val="32"/>
          <w:szCs w:val="32"/>
          <w:highlight w:val="none"/>
        </w:rPr>
        <w:t>%</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eastAsia="仿宋_GB2312" w:cs="Times New Roman"/>
          <w:color w:val="000000" w:themeColor="text1"/>
          <w:sz w:val="32"/>
          <w:szCs w:val="32"/>
          <w:lang w:val="en-US" w:eastAsia="zh-CN"/>
          <w14:textFill>
            <w14:solidFill>
              <w14:schemeClr w14:val="tx1"/>
            </w14:solidFill>
          </w14:textFill>
        </w:rPr>
        <w:t>主要变动原因是</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年绵阳援建资金支出</w:t>
      </w:r>
      <w:r>
        <w:rPr>
          <w:rFonts w:hint="eastAsia" w:eastAsia="仿宋_GB2312" w:cs="Times New Roman"/>
          <w:color w:val="000000" w:themeColor="text1"/>
          <w:sz w:val="32"/>
          <w:szCs w:val="32"/>
          <w:lang w:eastAsia="zh-CN"/>
          <w14:textFill>
            <w14:solidFill>
              <w14:schemeClr w14:val="tx1"/>
            </w14:solidFill>
          </w14:textFill>
        </w:rPr>
        <w:t>减少</w:t>
      </w:r>
      <w:r>
        <w:rPr>
          <w:rFonts w:hint="default" w:ascii="Times New Roman" w:hAnsi="Times New Roman" w:eastAsia="仿宋_GB2312" w:cs="Times New Roman"/>
          <w:color w:val="000000" w:themeColor="text1"/>
          <w:sz w:val="32"/>
          <w:szCs w:val="32"/>
          <w14:textFill>
            <w14:solidFill>
              <w14:schemeClr w14:val="tx1"/>
            </w14:solidFill>
          </w14:textFill>
        </w:rPr>
        <w:t>，人力资源市场项目经费及相关费用支出</w:t>
      </w:r>
      <w:r>
        <w:rPr>
          <w:rFonts w:hint="eastAsia" w:eastAsia="仿宋_GB2312" w:cs="Times New Roman"/>
          <w:color w:val="000000" w:themeColor="text1"/>
          <w:sz w:val="32"/>
          <w:szCs w:val="32"/>
          <w:lang w:eastAsia="zh-CN"/>
          <w14:textFill>
            <w14:solidFill>
              <w14:schemeClr w14:val="tx1"/>
            </w14:solidFill>
          </w14:textFill>
        </w:rPr>
        <w:t>减少。</w:t>
      </w:r>
    </w:p>
    <w:p w14:paraId="416A6E5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壤塘县人力资源和社会保障局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为0万元</w:t>
      </w:r>
      <w:r>
        <w:rPr>
          <w:rFonts w:hint="default" w:ascii="Times New Roman" w:hAnsi="Times New Roman" w:eastAsia="仿宋_GB2312" w:cs="Times New Roman"/>
          <w:sz w:val="32"/>
          <w:szCs w:val="32"/>
          <w:lang w:val="en-US" w:eastAsia="zh-CN"/>
        </w:rPr>
        <w:t>。</w:t>
      </w:r>
    </w:p>
    <w:p w14:paraId="1BB64D7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darkYellow"/>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4C14FAC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0"/>
          <w:szCs w:val="30"/>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0"/>
          <w:szCs w:val="30"/>
          <w:highlight w:val="none"/>
          <w:shd w:val="clear" w:color="auto" w:fill="FFFFFF"/>
          <w:lang w:val="zh-CN"/>
        </w:rPr>
        <w:t>一）</w:t>
      </w:r>
      <w:r>
        <w:rPr>
          <w:rFonts w:hint="eastAsia" w:ascii="Times New Roman" w:hAnsi="Times New Roman" w:eastAsia="楷体_GB2312" w:cs="Times New Roman"/>
          <w:b/>
          <w:bCs/>
          <w:color w:val="000000"/>
          <w:kern w:val="0"/>
          <w:sz w:val="30"/>
          <w:szCs w:val="30"/>
          <w:highlight w:val="none"/>
          <w:shd w:val="clear" w:color="auto" w:fill="FFFFFF"/>
          <w:lang w:val="zh-CN"/>
        </w:rPr>
        <w:t>部门预算</w:t>
      </w:r>
      <w:r>
        <w:rPr>
          <w:rFonts w:hint="default" w:ascii="Times New Roman" w:hAnsi="Times New Roman" w:eastAsia="楷体_GB2312" w:cs="Times New Roman"/>
          <w:b/>
          <w:bCs/>
          <w:color w:val="000000"/>
          <w:kern w:val="0"/>
          <w:sz w:val="30"/>
          <w:szCs w:val="30"/>
          <w:highlight w:val="none"/>
          <w:shd w:val="clear" w:color="auto" w:fill="FFFFFF"/>
          <w:lang w:val="zh-CN"/>
        </w:rPr>
        <w:t>总体绩效分析。</w:t>
      </w:r>
    </w:p>
    <w:p w14:paraId="04029D50">
      <w:pPr>
        <w:keepNext w:val="0"/>
        <w:keepLines w:val="0"/>
        <w:widowControl/>
        <w:suppressLineNumbers w:val="0"/>
        <w:ind w:firstLine="640" w:firstLineChars="200"/>
        <w:jc w:val="left"/>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default" w:ascii="Times New Roman" w:hAnsi="Times New Roman" w:eastAsia="仿宋_GB2312" w:cs="仿宋_GB2312"/>
          <w:color w:val="auto"/>
          <w:kern w:val="2"/>
          <w:sz w:val="32"/>
          <w:szCs w:val="32"/>
          <w:highlight w:val="none"/>
          <w:lang w:val="en-US" w:eastAsia="zh-CN" w:bidi="ar-SA"/>
        </w:rPr>
        <w:t>一是稳就业保民生目标：年度目标落实就业优先政策，完成城镇新增就业、职业技能培训、就业困难人员帮扶等任务。全年通过开展专场招聘会、技能培训、创业扶持、公益性岗位安置等举措，重点帮扶脱贫劳动力、高校毕业生、就业困难群体，城镇登记失业率控制在目标区间内，就业扶持政策直达快享，就业大盘总体稳定；受县域务工外流、企业岗位供给波动影响，部分群体就业帮扶精细化程度仍需提升。二是社会保障服务目标：扎实推进城乡居民养老、机关事业单位养老、工伤保险参保扩面及待遇按时足额发放，强化社保基金风险防控，常态化开展基金稽核、警示教育，落实社保卡便民服务，参保群众待遇发放及时准确；部分群众参保主动意识不足，线上业务宣传引导力度有待加强。三是劳动维权治理目标：畅通劳动保障投诉举报渠道，规范劳资纠纷调处、仲裁办案流程，聚焦农民工工资支付专项治理，落实农民工工资保证金制度；复杂劳资纠纷处置周期偏长，基层用工普法宣传仍有短板。总体来看，本年度核心职能目标较好完成，人社惠民服务、风险防控、行业治理成效稳步显现。</w:t>
      </w:r>
    </w:p>
    <w:p w14:paraId="32BD21C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。围绕预算编制质量、单位收入统筹、支出执行进度、预算年终结余、严控一般性支出</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6F3E63B3">
      <w:pPr>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p>
    <w:p w14:paraId="1AD3F8D1">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.所有经费开支坚持财务审批制度，重大资金支出（日常公用经费在</w:t>
      </w: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rPr>
        <w:t>万元及以上）由</w:t>
      </w:r>
      <w:r>
        <w:rPr>
          <w:rFonts w:hint="eastAsia" w:ascii="仿宋_GB2312" w:hAnsi="仿宋_GB2312" w:cs="仿宋_GB2312"/>
          <w:sz w:val="32"/>
          <w:szCs w:val="32"/>
          <w:lang w:val="en-US" w:eastAsia="zh-CN"/>
        </w:rPr>
        <w:t>局</w:t>
      </w:r>
      <w:r>
        <w:rPr>
          <w:rFonts w:hint="eastAsia" w:ascii="仿宋_GB2312" w:hAnsi="仿宋_GB2312" w:eastAsia="仿宋_GB2312" w:cs="仿宋_GB2312"/>
          <w:sz w:val="32"/>
          <w:szCs w:val="32"/>
        </w:rPr>
        <w:t>会议研究决定。</w:t>
      </w:r>
    </w:p>
    <w:p w14:paraId="40569D27">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.在报销经费时，经办人使用统一规范的审批单，在审批单上写明用途、经办人员、证明人员、股室负责人、金额、报销日期、单据张数等内容。</w:t>
      </w:r>
    </w:p>
    <w:p w14:paraId="6E58BB4F">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各个审批环节的具体职责：</w:t>
      </w:r>
    </w:p>
    <w:p w14:paraId="5F0BC913">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业务股室负责人及其分管领导对其发生的支出用途及金额的真实性、准确性负责，并对其股室填写的支出审批单内容、大小写金额、票据张数进行审核。经济业务发生后，原则上在15天之内报账完毕。不得将几个经济事项的票据合并填报。</w:t>
      </w:r>
    </w:p>
    <w:p w14:paraId="31E7104A">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财务股对股室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股有权拒绝受理。</w:t>
      </w:r>
    </w:p>
    <w:p w14:paraId="715E0A6C">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各审批领导审查财务收支的真实性、合法性、必要性，并在报销凭证上明确签署报销意见。</w:t>
      </w:r>
    </w:p>
    <w:p w14:paraId="5BD6FB08">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纳人员对已经审批后的支出票据必须进行复核（复核票据张数、金额、审批程序），对不符合规定的票据有权拒绝支付并立即向机关领导报告。严格控制现金支付，原则上采用公务卡和转账结算。会计人员进行会计核算时，对不符合财经管理规定的票据有权拒绝接受并应立即报告。</w:t>
      </w:r>
    </w:p>
    <w:p w14:paraId="3D4593A8">
      <w:pPr>
        <w:keepNext w:val="0"/>
        <w:keepLines w:val="0"/>
        <w:widowControl/>
        <w:suppressLineNumbers w:val="0"/>
        <w:ind w:firstLine="640" w:firstLineChars="20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sz w:val="32"/>
          <w:szCs w:val="32"/>
          <w:lang w:val="en-US" w:eastAsia="zh-CN"/>
        </w:rPr>
        <w:t>健全资产台账，落实资产定期盘点制度，资产购置、领用、处置按流程审批。资产优先保障窗口经办、仲裁办案等业务使用，闲置资产在局内及下属经办单位调剂使用。资产变动及时登记入账，做到账实相符。资产盘活方式较为单一，后续将进一步加大闲置资产统筹管理力度。</w:t>
      </w:r>
    </w:p>
    <w:p w14:paraId="43CB3BB8">
      <w:pPr>
        <w:keepNext w:val="0"/>
        <w:keepLines w:val="0"/>
        <w:widowControl/>
        <w:suppressLineNumbers w:val="0"/>
        <w:ind w:firstLine="640" w:firstLineChars="200"/>
        <w:jc w:val="left"/>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落实政府采购扶持中小企业政策，采购流程合规，采购执行总体有序</w:t>
      </w:r>
      <w:r>
        <w:rPr>
          <w:rFonts w:hint="eastAsia" w:eastAsia="仿宋_GB2312" w:cs="仿宋_GB2312"/>
          <w:color w:val="auto"/>
          <w:kern w:val="2"/>
          <w:sz w:val="32"/>
          <w:szCs w:val="32"/>
          <w:highlight w:val="none"/>
          <w:lang w:val="en-US" w:eastAsia="zh-CN" w:bidi="ar-SA"/>
        </w:rPr>
        <w:t>。</w:t>
      </w:r>
    </w:p>
    <w:p w14:paraId="7128D32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darkYellow"/>
          <w:lang w:val="zh-CN" w:eastAsia="zh-CN" w:bidi="ar-SA"/>
        </w:rPr>
      </w:pPr>
    </w:p>
    <w:p w14:paraId="18E1C7E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7385806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80.48</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1692950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540.1076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95</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422047D3">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项目决策。</w:t>
      </w:r>
      <w:r>
        <w:rPr>
          <w:rFonts w:hint="default" w:ascii="Times New Roman" w:hAnsi="Times New Roman" w:eastAsia="仿宋_GB2312" w:cs="仿宋_GB2312"/>
          <w:color w:val="auto"/>
          <w:kern w:val="2"/>
          <w:sz w:val="32"/>
          <w:szCs w:val="32"/>
          <w:highlight w:val="none"/>
          <w:lang w:val="zh-CN" w:eastAsia="zh-CN" w:bidi="ar-SA"/>
        </w:rPr>
        <w:t>所有项目均严格履行项目申报、集体研究、立项审核、预算报批流程，立项依据充分，符合县域就业人才事业发展规划，无违规立项，程序合规。 项目绩效目标整体贴合业务实际，产出、效益、满意度指标完整；少量项目指标偏宏观，量化颗粒度不足，小幅扣分。 全部项目按要求纳入财政项目库管理，入库资料齐全，事前论证充分，做到先入库、后安排预算</w:t>
      </w:r>
      <w:r>
        <w:rPr>
          <w:rFonts w:hint="eastAsia" w:eastAsia="仿宋_GB2312" w:cs="仿宋_GB2312"/>
          <w:color w:val="auto"/>
          <w:kern w:val="2"/>
          <w:sz w:val="32"/>
          <w:szCs w:val="32"/>
          <w:highlight w:val="none"/>
          <w:lang w:val="zh-CN" w:eastAsia="zh-CN" w:bidi="ar-SA"/>
        </w:rPr>
        <w:t>。</w:t>
      </w:r>
    </w:p>
    <w:p w14:paraId="1C974B1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常年项目执行进度</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、一次性项目执行进度 95%，资金拨付与项目实施进度基本匹配；。两类项目均无结余率超 10% 的情况，资金管控到位。全年项目无未经审批擅自变更实施内容、调整资金用途的情形，项目变更严格履行报批手续，管理规范。严格执行国库集中支付、专款专用制度，无截留、挤占、挪用资金问题；资金严格按照实施方案使用，台账完整。</w:t>
      </w:r>
    </w:p>
    <w:p w14:paraId="0F44C2C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目标完成情况：绝大多数项目产出指标如期完成，技能人才培养、就业创业扶持等核心任务落地见效；服务对象满意度达到预期水平。目标偏离情况：仅个别常年项目受人员组织、客观条件限制，任务完成度小幅低于计划，目标偏离控制在合理区间，无重大偏差。项目有效壮大本土技能人才队伍，促进农牧民就近就业增收，稳定就业形势，社会效益显著；项目长效运行机制持续完善。</w:t>
      </w:r>
    </w:p>
    <w:p w14:paraId="36ED5FA6">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9"/>
        <w:rPr>
          <w:rFonts w:hint="default" w:ascii="Times New Roman" w:hAnsi="Times New Roman" w:eastAsia="仿宋_GB2312" w:cs="Times New Roman"/>
          <w:color w:val="000000" w:themeColor="text1"/>
          <w:sz w:val="32"/>
          <w:szCs w:val="32"/>
          <w:lang w:val="zh-CN"/>
          <w14:textFill>
            <w14:solidFill>
              <w14:schemeClr w14:val="tx1"/>
            </w14:solidFill>
          </w14:textFill>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themeColor="text1"/>
          <w:sz w:val="32"/>
          <w:szCs w:val="32"/>
          <w14:textFill>
            <w14:solidFill>
              <w14:schemeClr w14:val="tx1"/>
            </w14:solidFill>
          </w14:textFill>
        </w:rPr>
        <w:t>严格按照预算管理</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绩效评价</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对202</w:t>
      </w:r>
      <w:r>
        <w:rPr>
          <w:rFonts w:hint="eastAsia"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年的整体部门支出绩效评价为良好。</w:t>
      </w:r>
      <w:r>
        <w:rPr>
          <w:rFonts w:hint="default" w:ascii="Times New Roman" w:hAnsi="Times New Roman" w:eastAsia="仿宋_GB2312" w:cs="Times New Roman"/>
          <w:color w:val="000000" w:themeColor="text1"/>
          <w:sz w:val="32"/>
          <w:szCs w:val="32"/>
          <w14:textFill>
            <w14:solidFill>
              <w14:schemeClr w14:val="tx1"/>
            </w14:solidFill>
          </w14:textFill>
        </w:rPr>
        <w:t>但还是存在诸多不足，</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14:textFill>
            <w14:solidFill>
              <w14:schemeClr w14:val="tx1"/>
            </w14:solidFill>
          </w14:textFill>
        </w:rPr>
        <w:t>以后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的工作中</w:t>
      </w:r>
      <w:r>
        <w:rPr>
          <w:rFonts w:hint="default" w:ascii="Times New Roman" w:hAnsi="Times New Roman" w:eastAsia="仿宋_GB2312" w:cs="Times New Roman"/>
          <w:color w:val="000000" w:themeColor="text1"/>
          <w:sz w:val="32"/>
          <w:szCs w:val="32"/>
          <w14:textFill>
            <w14:solidFill>
              <w14:schemeClr w14:val="tx1"/>
            </w14:solidFill>
          </w14:textFill>
        </w:rPr>
        <w:t>加强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全覆盖规划</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78A1EE4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p>
    <w:p w14:paraId="7E9BE5B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34FCD27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2025 年度本部门整体支出绩效自评综合得分91.1 分，评价等级为良好。全年所有项目立项程序规范、资金管理严格，无违规开支；常年项目与一次性项目预算执行总体平稳，全部项目结余率均控制在 10% 以内；绝大多数绩效目标顺利落地，技能人才培养、就业创业促进等民生项目成效突出，较好完成年度事业任务。</w:t>
      </w:r>
    </w:p>
    <w:p w14:paraId="0FA4633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default" w:ascii="Times New Roman" w:hAnsi="Times New Roman" w:eastAsia="仿宋_GB2312" w:cs="Times New Roman"/>
          <w:color w:val="000000" w:themeColor="text1"/>
          <w:sz w:val="32"/>
          <w:szCs w:val="32"/>
          <w14:textFill>
            <w14:solidFill>
              <w14:schemeClr w14:val="tx1"/>
            </w14:solidFill>
          </w14:textFill>
        </w:rPr>
        <w:t>我局在编制部门预算时，根据本单位职能职责编制年度工作计划。整体预算绩效管理存在以下问题：本部门整体支出预算资金的安排及使用上有不可预见性。</w:t>
      </w:r>
    </w:p>
    <w:p w14:paraId="65D8547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color w:val="000000" w:themeColor="text1"/>
          <w:kern w:val="0"/>
          <w:sz w:val="32"/>
          <w:szCs w:val="32"/>
          <w:lang w:val="en" w:eastAsia="zh-CN" w:bidi="ar-SA"/>
          <w14:textFill>
            <w14:solidFill>
              <w14:schemeClr w14:val="tx1"/>
            </w14:solidFill>
          </w14:textFill>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47" w:name="_Hlk110546638"/>
      <w:r>
        <w:rPr>
          <w:rFonts w:hint="default" w:ascii="Times New Roman" w:hAnsi="Times New Roman" w:eastAsia="仿宋_GB2312" w:cs="Times New Roman"/>
          <w:color w:val="000000" w:themeColor="text1"/>
          <w:sz w:val="32"/>
          <w:szCs w:val="32"/>
          <w14:textFill>
            <w14:solidFill>
              <w14:schemeClr w14:val="tx1"/>
            </w14:solidFill>
          </w14:textFill>
        </w:rPr>
        <w:t>一是重视绩效管理，切实履行好职责。努力提升工作绩效，合理使用财政资金；二是把绩效评价作为部门内控的日常工作，建立绩效评价管理工作考核长效机制。</w:t>
      </w:r>
    </w:p>
    <w:bookmarkEnd w:id="47"/>
    <w:p w14:paraId="53A09101">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296320CE">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1A956AC3">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744BF32">
      <w:pPr>
        <w:pStyle w:val="5"/>
        <w:rPr>
          <w:rFonts w:hint="eastAsia" w:ascii="Times New Roman" w:hAnsi="Times New Roman" w:cs="宋体"/>
          <w:color w:val="FF0000"/>
          <w:kern w:val="0"/>
          <w:sz w:val="32"/>
          <w:szCs w:val="32"/>
          <w:highlight w:val="yellow"/>
          <w:shd w:val="clear" w:color="auto" w:fill="FFFFFF"/>
          <w:lang w:val="zh-CN"/>
        </w:rPr>
      </w:pPr>
    </w:p>
    <w:tbl>
      <w:tblPr>
        <w:tblStyle w:val="1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7"/>
        <w:gridCol w:w="784"/>
        <w:gridCol w:w="618"/>
        <w:gridCol w:w="659"/>
        <w:gridCol w:w="459"/>
        <w:gridCol w:w="438"/>
        <w:gridCol w:w="459"/>
        <w:gridCol w:w="871"/>
        <w:gridCol w:w="496"/>
        <w:gridCol w:w="417"/>
        <w:gridCol w:w="2481"/>
      </w:tblGrid>
      <w:tr w14:paraId="7D6FD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3C6E2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38D3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04D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262A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51323025T000013398015-2025年壤塘县向上争取项目奖励工作经费</w:t>
            </w:r>
          </w:p>
        </w:tc>
      </w:tr>
      <w:tr w14:paraId="77484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CE7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85FE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4389E690">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9A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7F24E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13E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C3D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DD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0E0369">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4435D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86002">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A391F">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6CB159">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0B238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6B827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D93C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AD5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9EDE35">
            <w:pPr>
              <w:rPr>
                <w:rFonts w:hint="eastAsia" w:ascii="宋体" w:hAnsi="宋体" w:eastAsia="宋体" w:cs="宋体"/>
                <w:i w:val="0"/>
                <w:iCs w:val="0"/>
                <w:color w:val="000000"/>
                <w:sz w:val="18"/>
                <w:szCs w:val="18"/>
                <w:u w:val="none"/>
              </w:rPr>
            </w:pPr>
          </w:p>
        </w:tc>
      </w:tr>
      <w:tr w14:paraId="29BF0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1FB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13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81E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C19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53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BB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C1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38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77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E25E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491B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48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F2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A8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78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19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A3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636F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95F77">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8F2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4A88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8C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2A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5A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252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84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3C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57D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B9365">
            <w:pPr>
              <w:rPr>
                <w:rFonts w:hint="default" w:ascii="simhei" w:hAnsi="simhei" w:eastAsia="simhei" w:cs="simhei"/>
                <w:i/>
                <w:iCs/>
                <w:color w:val="000000"/>
                <w:sz w:val="18"/>
                <w:szCs w:val="18"/>
                <w:u w:val="none"/>
              </w:rPr>
            </w:pPr>
          </w:p>
        </w:tc>
      </w:tr>
      <w:tr w14:paraId="57CF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A0E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38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F2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1F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371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EDC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81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5A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4F6B2">
            <w:pPr>
              <w:rPr>
                <w:rFonts w:hint="default" w:ascii="simhei" w:hAnsi="simhei" w:eastAsia="simhei" w:cs="simhei"/>
                <w:i/>
                <w:iCs/>
                <w:color w:val="000000"/>
                <w:sz w:val="18"/>
                <w:szCs w:val="18"/>
                <w:u w:val="none"/>
              </w:rPr>
            </w:pPr>
          </w:p>
        </w:tc>
      </w:tr>
      <w:tr w14:paraId="35187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5F3D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EB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092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E9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E8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B88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2A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65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0F7C9">
            <w:pPr>
              <w:rPr>
                <w:rFonts w:hint="default" w:ascii="simhei" w:hAnsi="simhei" w:eastAsia="simhei" w:cs="simhei"/>
                <w:i/>
                <w:iCs/>
                <w:color w:val="000000"/>
                <w:sz w:val="18"/>
                <w:szCs w:val="18"/>
                <w:u w:val="none"/>
              </w:rPr>
            </w:pPr>
          </w:p>
        </w:tc>
      </w:tr>
      <w:tr w14:paraId="73784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221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6E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8C53F">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B4A15">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1B220">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34217">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C8E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D1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44977">
            <w:pPr>
              <w:rPr>
                <w:rFonts w:hint="default" w:ascii="simhei" w:hAnsi="simhei" w:eastAsia="simhei" w:cs="simhei"/>
                <w:i/>
                <w:iCs/>
                <w:color w:val="000000"/>
                <w:sz w:val="18"/>
                <w:szCs w:val="18"/>
                <w:u w:val="none"/>
              </w:rPr>
            </w:pPr>
          </w:p>
        </w:tc>
      </w:tr>
      <w:tr w14:paraId="6DEEF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C9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C6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18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8E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775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55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53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E6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96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56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DBB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A39A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4D9E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748B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200B9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42ECC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0D8B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3626D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E06D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237EA">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25DE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AA7E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6961D">
            <w:pPr>
              <w:jc w:val="center"/>
              <w:rPr>
                <w:rFonts w:hint="default" w:ascii="微软雅黑" w:hAnsi="微软雅黑" w:eastAsia="微软雅黑" w:cs="微软雅黑"/>
                <w:i/>
                <w:iCs/>
                <w:color w:val="000000"/>
                <w:sz w:val="16"/>
                <w:szCs w:val="16"/>
                <w:u w:val="none"/>
              </w:rPr>
            </w:pPr>
          </w:p>
        </w:tc>
      </w:tr>
      <w:tr w14:paraId="33411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667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DD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216A7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952BB">
            <w:pPr>
              <w:rPr>
                <w:rFonts w:hint="eastAsia" w:ascii="宋体" w:hAnsi="宋体" w:eastAsia="宋体" w:cs="宋体"/>
                <w:i w:val="0"/>
                <w:iCs w:val="0"/>
                <w:color w:val="000000"/>
                <w:sz w:val="18"/>
                <w:szCs w:val="18"/>
                <w:u w:val="none"/>
              </w:rPr>
            </w:pPr>
          </w:p>
        </w:tc>
      </w:tr>
      <w:tr w14:paraId="6E78C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02D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53837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A16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457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82B5B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C0CF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86E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0DC93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0970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D0410A">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9475C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110778B0">
      <w:pPr>
        <w:pStyle w:val="5"/>
        <w:jc w:val="center"/>
        <w:rPr>
          <w:rFonts w:hint="eastAsia" w:ascii="Times New Roman" w:hAnsi="Times New Roman" w:eastAsia="黑体" w:cs="黑体"/>
          <w:color w:val="auto"/>
          <w:kern w:val="0"/>
          <w:sz w:val="32"/>
          <w:szCs w:val="32"/>
          <w:highlight w:val="none"/>
          <w:shd w:val="clear" w:color="auto" w:fill="FFFFFF"/>
          <w:lang w:val="zh-CN"/>
        </w:rPr>
      </w:pPr>
    </w:p>
    <w:p w14:paraId="33049222">
      <w:pPr>
        <w:pStyle w:val="5"/>
        <w:jc w:val="center"/>
        <w:rPr>
          <w:rFonts w:hint="eastAsia" w:ascii="Times New Roman" w:hAnsi="Times New Roman" w:eastAsia="黑体" w:cs="黑体"/>
          <w:color w:val="auto"/>
          <w:kern w:val="0"/>
          <w:sz w:val="32"/>
          <w:szCs w:val="32"/>
          <w:highlight w:val="none"/>
          <w:shd w:val="clear" w:color="auto" w:fill="FFFFFF"/>
          <w:lang w:val="zh-CN"/>
        </w:rPr>
      </w:pPr>
    </w:p>
    <w:tbl>
      <w:tblPr>
        <w:tblStyle w:val="1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6"/>
        <w:gridCol w:w="770"/>
        <w:gridCol w:w="615"/>
        <w:gridCol w:w="734"/>
        <w:gridCol w:w="455"/>
        <w:gridCol w:w="435"/>
        <w:gridCol w:w="455"/>
        <w:gridCol w:w="944"/>
        <w:gridCol w:w="496"/>
        <w:gridCol w:w="416"/>
        <w:gridCol w:w="2373"/>
      </w:tblGrid>
      <w:tr w14:paraId="036B4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E7119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061E2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975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7A10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51323026T000014293858-2025年脱贫人口、监测对象跨区域务工就业交通补贴</w:t>
            </w:r>
          </w:p>
        </w:tc>
      </w:tr>
      <w:tr w14:paraId="2C5F5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3DE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6DA7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119D84D2">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61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0C90B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E17A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287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435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C02779">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0B38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6B497">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799A5">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8932D8">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5C43A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2F82F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071E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ACB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627963">
            <w:pPr>
              <w:rPr>
                <w:rFonts w:hint="eastAsia" w:ascii="宋体" w:hAnsi="宋体" w:eastAsia="宋体" w:cs="宋体"/>
                <w:i w:val="0"/>
                <w:iCs w:val="0"/>
                <w:color w:val="000000"/>
                <w:sz w:val="18"/>
                <w:szCs w:val="18"/>
                <w:u w:val="none"/>
              </w:rPr>
            </w:pPr>
          </w:p>
        </w:tc>
      </w:tr>
      <w:tr w14:paraId="19A1F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E7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FC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18B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D5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9A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DD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10F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7B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88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D946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6176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01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3F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2E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B92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00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7EC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2E0E0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49650">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7A9E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8922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C31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AA5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34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6C0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C3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E1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7F8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FB9F5">
            <w:pPr>
              <w:rPr>
                <w:rFonts w:hint="default" w:ascii="simhei" w:hAnsi="simhei" w:eastAsia="simhei" w:cs="simhei"/>
                <w:i/>
                <w:iCs/>
                <w:color w:val="000000"/>
                <w:sz w:val="18"/>
                <w:szCs w:val="18"/>
                <w:u w:val="none"/>
              </w:rPr>
            </w:pPr>
          </w:p>
        </w:tc>
      </w:tr>
      <w:tr w14:paraId="76EB2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D130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637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26C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01D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24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94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B6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13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6B660">
            <w:pPr>
              <w:rPr>
                <w:rFonts w:hint="default" w:ascii="simhei" w:hAnsi="simhei" w:eastAsia="simhei" w:cs="simhei"/>
                <w:i/>
                <w:iCs/>
                <w:color w:val="000000"/>
                <w:sz w:val="18"/>
                <w:szCs w:val="18"/>
                <w:u w:val="none"/>
              </w:rPr>
            </w:pPr>
          </w:p>
        </w:tc>
      </w:tr>
      <w:tr w14:paraId="66AD4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9C31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C5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EFF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F69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94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F8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7B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82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D71A9">
            <w:pPr>
              <w:rPr>
                <w:rFonts w:hint="default" w:ascii="simhei" w:hAnsi="simhei" w:eastAsia="simhei" w:cs="simhei"/>
                <w:i/>
                <w:iCs/>
                <w:color w:val="000000"/>
                <w:sz w:val="18"/>
                <w:szCs w:val="18"/>
                <w:u w:val="none"/>
              </w:rPr>
            </w:pPr>
          </w:p>
        </w:tc>
      </w:tr>
      <w:tr w14:paraId="4AE8E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324A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46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781F4">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3F99B">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292C60">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0E6CAB">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70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E4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AB90A">
            <w:pPr>
              <w:rPr>
                <w:rFonts w:hint="default" w:ascii="simhei" w:hAnsi="simhei" w:eastAsia="simhei" w:cs="simhei"/>
                <w:i/>
                <w:iCs/>
                <w:color w:val="000000"/>
                <w:sz w:val="18"/>
                <w:szCs w:val="18"/>
                <w:u w:val="none"/>
              </w:rPr>
            </w:pPr>
          </w:p>
        </w:tc>
      </w:tr>
      <w:tr w14:paraId="0E206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CA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56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1D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13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00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0B3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59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7B3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32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016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0A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F58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C8DA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7AEE4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57D9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5544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4CE7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CA1A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F1CD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A7F84">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E4E1E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BC2D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10BBCA">
            <w:pPr>
              <w:jc w:val="center"/>
              <w:rPr>
                <w:rFonts w:hint="default" w:ascii="微软雅黑" w:hAnsi="微软雅黑" w:eastAsia="微软雅黑" w:cs="微软雅黑"/>
                <w:i/>
                <w:iCs/>
                <w:color w:val="000000"/>
                <w:sz w:val="16"/>
                <w:szCs w:val="16"/>
                <w:u w:val="none"/>
              </w:rPr>
            </w:pPr>
          </w:p>
        </w:tc>
      </w:tr>
      <w:tr w14:paraId="67778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1B5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65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C5447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FF579">
            <w:pPr>
              <w:rPr>
                <w:rFonts w:hint="eastAsia" w:ascii="宋体" w:hAnsi="宋体" w:eastAsia="宋体" w:cs="宋体"/>
                <w:i w:val="0"/>
                <w:iCs w:val="0"/>
                <w:color w:val="000000"/>
                <w:sz w:val="18"/>
                <w:szCs w:val="18"/>
                <w:u w:val="none"/>
              </w:rPr>
            </w:pPr>
          </w:p>
        </w:tc>
      </w:tr>
      <w:tr w14:paraId="7813A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2A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9D0DD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1AF4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23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BD742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65B9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41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4B756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80FB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58EE3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8EE38A">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7BCBB9A5">
      <w:pPr>
        <w:pStyle w:val="5"/>
        <w:jc w:val="center"/>
        <w:rPr>
          <w:rFonts w:hint="eastAsia" w:ascii="Times New Roman" w:hAnsi="Times New Roman" w:eastAsia="黑体" w:cs="黑体"/>
          <w:color w:val="auto"/>
          <w:kern w:val="0"/>
          <w:sz w:val="32"/>
          <w:szCs w:val="32"/>
          <w:highlight w:val="none"/>
          <w:shd w:val="clear" w:color="auto" w:fill="FFFFFF"/>
          <w:lang w:val="zh-CN"/>
        </w:rPr>
      </w:pPr>
    </w:p>
    <w:tbl>
      <w:tblPr>
        <w:tblStyle w:val="1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2"/>
        <w:gridCol w:w="778"/>
        <w:gridCol w:w="616"/>
        <w:gridCol w:w="657"/>
        <w:gridCol w:w="457"/>
        <w:gridCol w:w="436"/>
        <w:gridCol w:w="457"/>
        <w:gridCol w:w="947"/>
        <w:gridCol w:w="496"/>
        <w:gridCol w:w="416"/>
        <w:gridCol w:w="2427"/>
      </w:tblGrid>
      <w:tr w14:paraId="3778C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00E5F2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5279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19C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246B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51323025T000013750685-2023年</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人员安家费</w:t>
            </w:r>
          </w:p>
        </w:tc>
      </w:tr>
      <w:tr w14:paraId="5EAB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0DE9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D9A2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7BC73B18">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BD5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0B348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416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3AD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047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7E6AAE">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627B3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12AEA">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BB01F">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7F0C03">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DAADC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0BBAD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C7E2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6FA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1E020E">
            <w:pPr>
              <w:rPr>
                <w:rFonts w:hint="eastAsia" w:ascii="宋体" w:hAnsi="宋体" w:eastAsia="宋体" w:cs="宋体"/>
                <w:i w:val="0"/>
                <w:iCs w:val="0"/>
                <w:color w:val="000000"/>
                <w:sz w:val="18"/>
                <w:szCs w:val="18"/>
                <w:u w:val="none"/>
              </w:rPr>
            </w:pPr>
          </w:p>
        </w:tc>
      </w:tr>
      <w:tr w14:paraId="0B46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889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55C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408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57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0B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BC6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43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C1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46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398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C43C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DA4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0EC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EC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C1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02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40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F524A">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8C111">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D1EC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5937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26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0D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17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3B8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7D8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77A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77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5C0A0">
            <w:pPr>
              <w:rPr>
                <w:rFonts w:hint="default" w:ascii="simhei" w:hAnsi="simhei" w:eastAsia="simhei" w:cs="simhei"/>
                <w:i/>
                <w:iCs/>
                <w:color w:val="000000"/>
                <w:sz w:val="18"/>
                <w:szCs w:val="18"/>
                <w:u w:val="none"/>
              </w:rPr>
            </w:pPr>
          </w:p>
        </w:tc>
      </w:tr>
      <w:tr w14:paraId="416DB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7C75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259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A18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22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767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B2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C0F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9D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1423E">
            <w:pPr>
              <w:rPr>
                <w:rFonts w:hint="default" w:ascii="simhei" w:hAnsi="simhei" w:eastAsia="simhei" w:cs="simhei"/>
                <w:i/>
                <w:iCs/>
                <w:color w:val="000000"/>
                <w:sz w:val="18"/>
                <w:szCs w:val="18"/>
                <w:u w:val="none"/>
              </w:rPr>
            </w:pPr>
          </w:p>
        </w:tc>
      </w:tr>
      <w:tr w14:paraId="33220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22AA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59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43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140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A5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EFD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B6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FD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ED641">
            <w:pPr>
              <w:rPr>
                <w:rFonts w:hint="default" w:ascii="simhei" w:hAnsi="simhei" w:eastAsia="simhei" w:cs="simhei"/>
                <w:i/>
                <w:iCs/>
                <w:color w:val="000000"/>
                <w:sz w:val="18"/>
                <w:szCs w:val="18"/>
                <w:u w:val="none"/>
              </w:rPr>
            </w:pPr>
          </w:p>
        </w:tc>
      </w:tr>
      <w:tr w14:paraId="67147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D303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D05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E9FD8E">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03A8C">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43D0CE">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18358">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0C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BDA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7BC24">
            <w:pPr>
              <w:rPr>
                <w:rFonts w:hint="default" w:ascii="simhei" w:hAnsi="simhei" w:eastAsia="simhei" w:cs="simhei"/>
                <w:i/>
                <w:iCs/>
                <w:color w:val="000000"/>
                <w:sz w:val="18"/>
                <w:szCs w:val="18"/>
                <w:u w:val="none"/>
              </w:rPr>
            </w:pPr>
          </w:p>
        </w:tc>
      </w:tr>
      <w:tr w14:paraId="59B6E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13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87F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0C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1B0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CE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9B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74C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79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10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B6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67F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6328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D09B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A039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9216D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1B0D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EAC7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1084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A8246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27986">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CEC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C8BE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52022">
            <w:pPr>
              <w:jc w:val="center"/>
              <w:rPr>
                <w:rFonts w:hint="default" w:ascii="微软雅黑" w:hAnsi="微软雅黑" w:eastAsia="微软雅黑" w:cs="微软雅黑"/>
                <w:i/>
                <w:iCs/>
                <w:color w:val="000000"/>
                <w:sz w:val="16"/>
                <w:szCs w:val="16"/>
                <w:u w:val="none"/>
              </w:rPr>
            </w:pPr>
          </w:p>
        </w:tc>
      </w:tr>
      <w:tr w14:paraId="29C38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47C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AB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B5B5F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2795E">
            <w:pPr>
              <w:rPr>
                <w:rFonts w:hint="eastAsia" w:ascii="宋体" w:hAnsi="宋体" w:eastAsia="宋体" w:cs="宋体"/>
                <w:i w:val="0"/>
                <w:iCs w:val="0"/>
                <w:color w:val="000000"/>
                <w:sz w:val="18"/>
                <w:szCs w:val="18"/>
                <w:u w:val="none"/>
              </w:rPr>
            </w:pPr>
          </w:p>
        </w:tc>
      </w:tr>
      <w:tr w14:paraId="2A9C7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625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8A9AC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A62F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F3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121F1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412A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7F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DA328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DC8A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7E056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F6B2E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7CBAD514">
      <w:pPr>
        <w:pStyle w:val="5"/>
        <w:jc w:val="center"/>
        <w:rPr>
          <w:rFonts w:hint="eastAsia" w:ascii="Times New Roman" w:hAnsi="Times New Roman" w:eastAsia="黑体" w:cs="黑体"/>
          <w:color w:val="auto"/>
          <w:kern w:val="0"/>
          <w:sz w:val="32"/>
          <w:szCs w:val="32"/>
          <w:highlight w:val="none"/>
          <w:shd w:val="clear" w:color="auto" w:fill="FFFFFF"/>
          <w:lang w:val="zh-CN"/>
        </w:rPr>
      </w:pPr>
    </w:p>
    <w:tbl>
      <w:tblPr>
        <w:tblStyle w:val="17"/>
        <w:tblW w:w="0" w:type="auto"/>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990"/>
        <w:gridCol w:w="587"/>
        <w:gridCol w:w="685"/>
        <w:gridCol w:w="412"/>
        <w:gridCol w:w="407"/>
        <w:gridCol w:w="412"/>
        <w:gridCol w:w="786"/>
        <w:gridCol w:w="489"/>
        <w:gridCol w:w="401"/>
        <w:gridCol w:w="1217"/>
      </w:tblGrid>
      <w:tr w14:paraId="78642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42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5B42A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5D88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2F5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BBD7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51323025T000013423093-关于壤塘县2024年基层公路养护工招聘经费</w:t>
            </w:r>
          </w:p>
        </w:tc>
      </w:tr>
      <w:tr w14:paraId="00C80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33F1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0C8E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462EEFEB">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667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27C70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223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AFC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DAC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253DF5">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77FCF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8B8AF">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1BF9B">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69D0EF">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F077B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00B38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D1C6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9E6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9F4586">
            <w:pPr>
              <w:rPr>
                <w:rFonts w:hint="eastAsia" w:ascii="宋体" w:hAnsi="宋体" w:eastAsia="宋体" w:cs="宋体"/>
                <w:i w:val="0"/>
                <w:iCs w:val="0"/>
                <w:color w:val="000000"/>
                <w:sz w:val="18"/>
                <w:szCs w:val="18"/>
                <w:u w:val="none"/>
              </w:rPr>
            </w:pPr>
          </w:p>
        </w:tc>
      </w:tr>
      <w:tr w14:paraId="66A1A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ED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2B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547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594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DBF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3B1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5F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9C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96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46B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A75D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F2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FA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9A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A8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E0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0BF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6F39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7AD50">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83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E562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7D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908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96D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D5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64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BD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23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16491">
            <w:pPr>
              <w:rPr>
                <w:rFonts w:hint="default" w:ascii="simhei" w:hAnsi="simhei" w:eastAsia="simhei" w:cs="simhei"/>
                <w:i/>
                <w:iCs/>
                <w:color w:val="000000"/>
                <w:sz w:val="18"/>
                <w:szCs w:val="18"/>
                <w:u w:val="none"/>
              </w:rPr>
            </w:pPr>
          </w:p>
        </w:tc>
      </w:tr>
      <w:tr w14:paraId="3B81C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5E98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34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5C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64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9D6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BE7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AF8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E7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19D14">
            <w:pPr>
              <w:rPr>
                <w:rFonts w:hint="default" w:ascii="simhei" w:hAnsi="simhei" w:eastAsia="simhei" w:cs="simhei"/>
                <w:i/>
                <w:iCs/>
                <w:color w:val="000000"/>
                <w:sz w:val="18"/>
                <w:szCs w:val="18"/>
                <w:u w:val="none"/>
              </w:rPr>
            </w:pPr>
          </w:p>
        </w:tc>
      </w:tr>
      <w:tr w14:paraId="1477E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E34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DD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48C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8E9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E2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82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F7D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240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69191">
            <w:pPr>
              <w:rPr>
                <w:rFonts w:hint="default" w:ascii="simhei" w:hAnsi="simhei" w:eastAsia="simhei" w:cs="simhei"/>
                <w:i/>
                <w:iCs/>
                <w:color w:val="000000"/>
                <w:sz w:val="18"/>
                <w:szCs w:val="18"/>
                <w:u w:val="none"/>
              </w:rPr>
            </w:pPr>
          </w:p>
        </w:tc>
      </w:tr>
      <w:tr w14:paraId="19026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20AD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4C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E6315">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608B1">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AC4EA0">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2F3E9">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96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7D1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E9FDA">
            <w:pPr>
              <w:rPr>
                <w:rFonts w:hint="default" w:ascii="simhei" w:hAnsi="simhei" w:eastAsia="simhei" w:cs="simhei"/>
                <w:i/>
                <w:iCs/>
                <w:color w:val="000000"/>
                <w:sz w:val="18"/>
                <w:szCs w:val="18"/>
                <w:u w:val="none"/>
              </w:rPr>
            </w:pPr>
          </w:p>
        </w:tc>
      </w:tr>
      <w:tr w14:paraId="0A5C5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AE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77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93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00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15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FED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9E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21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99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69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E1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093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053B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5B9C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49FF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90E0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BCFD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5840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5CED9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06109D">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1D18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8847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670ABC">
            <w:pPr>
              <w:jc w:val="center"/>
              <w:rPr>
                <w:rFonts w:hint="default" w:ascii="微软雅黑" w:hAnsi="微软雅黑" w:eastAsia="微软雅黑" w:cs="微软雅黑"/>
                <w:i/>
                <w:iCs/>
                <w:color w:val="000000"/>
                <w:sz w:val="16"/>
                <w:szCs w:val="16"/>
                <w:u w:val="none"/>
              </w:rPr>
            </w:pPr>
          </w:p>
        </w:tc>
      </w:tr>
      <w:tr w14:paraId="15AA8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D69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2D3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F1E3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8BF9C">
            <w:pPr>
              <w:rPr>
                <w:rFonts w:hint="eastAsia" w:ascii="宋体" w:hAnsi="宋体" w:eastAsia="宋体" w:cs="宋体"/>
                <w:i w:val="0"/>
                <w:iCs w:val="0"/>
                <w:color w:val="000000"/>
                <w:sz w:val="18"/>
                <w:szCs w:val="18"/>
                <w:u w:val="none"/>
              </w:rPr>
            </w:pPr>
          </w:p>
        </w:tc>
      </w:tr>
      <w:tr w14:paraId="3B4C3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3"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A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3338F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1419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A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DB3E9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3E37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1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E6590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A529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2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BEEB2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69882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3B644C6E">
      <w:pPr>
        <w:pStyle w:val="5"/>
        <w:jc w:val="center"/>
        <w:rPr>
          <w:rFonts w:hint="eastAsia" w:ascii="Times New Roman" w:hAnsi="Times New Roman" w:eastAsia="黑体" w:cs="黑体"/>
          <w:color w:val="auto"/>
          <w:kern w:val="0"/>
          <w:sz w:val="32"/>
          <w:szCs w:val="32"/>
          <w:highlight w:val="none"/>
          <w:shd w:val="clear" w:color="auto" w:fill="FFFFFF"/>
          <w:lang w:val="zh-CN"/>
        </w:rPr>
      </w:pPr>
    </w:p>
    <w:tbl>
      <w:tblPr>
        <w:tblStyle w:val="1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2"/>
        <w:gridCol w:w="778"/>
        <w:gridCol w:w="616"/>
        <w:gridCol w:w="737"/>
        <w:gridCol w:w="457"/>
        <w:gridCol w:w="436"/>
        <w:gridCol w:w="457"/>
        <w:gridCol w:w="867"/>
        <w:gridCol w:w="496"/>
        <w:gridCol w:w="416"/>
        <w:gridCol w:w="2427"/>
      </w:tblGrid>
      <w:tr w14:paraId="4A1B7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DC72A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C564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722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22C1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51323024T000011899164-壤塘县劳动力技能培训和劳务转移输出项目</w:t>
            </w:r>
          </w:p>
        </w:tc>
      </w:tr>
      <w:tr w14:paraId="262E7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73B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F1BC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2235D9B5">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96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25606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50C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7A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564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85690F">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05993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F24B8">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7A3BB">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645473">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570FB">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2E7E2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BA02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5859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58BDD1">
            <w:pPr>
              <w:rPr>
                <w:rFonts w:hint="eastAsia" w:ascii="宋体" w:hAnsi="宋体" w:eastAsia="宋体" w:cs="宋体"/>
                <w:i w:val="0"/>
                <w:iCs w:val="0"/>
                <w:color w:val="000000"/>
                <w:sz w:val="18"/>
                <w:szCs w:val="18"/>
                <w:u w:val="none"/>
              </w:rPr>
            </w:pPr>
          </w:p>
        </w:tc>
      </w:tr>
      <w:tr w14:paraId="144EA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A3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61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22D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02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F00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68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2F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02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9FC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CF55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8593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4D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81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73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61D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8F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97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9576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19827">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DED6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19DB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83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5F2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06E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555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70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B0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2C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86113">
            <w:pPr>
              <w:rPr>
                <w:rFonts w:hint="default" w:ascii="simhei" w:hAnsi="simhei" w:eastAsia="simhei" w:cs="simhei"/>
                <w:i/>
                <w:iCs/>
                <w:color w:val="000000"/>
                <w:sz w:val="18"/>
                <w:szCs w:val="18"/>
                <w:u w:val="none"/>
              </w:rPr>
            </w:pPr>
          </w:p>
        </w:tc>
      </w:tr>
      <w:tr w14:paraId="02289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BA99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F95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597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6F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EDE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4B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AD8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D5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34DC2">
            <w:pPr>
              <w:rPr>
                <w:rFonts w:hint="default" w:ascii="simhei" w:hAnsi="simhei" w:eastAsia="simhei" w:cs="simhei"/>
                <w:i/>
                <w:iCs/>
                <w:color w:val="000000"/>
                <w:sz w:val="18"/>
                <w:szCs w:val="18"/>
                <w:u w:val="none"/>
              </w:rPr>
            </w:pPr>
          </w:p>
        </w:tc>
      </w:tr>
      <w:tr w14:paraId="7D51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0C3C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4C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E5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6F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730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490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69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F0F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65A5B">
            <w:pPr>
              <w:rPr>
                <w:rFonts w:hint="default" w:ascii="simhei" w:hAnsi="simhei" w:eastAsia="simhei" w:cs="simhei"/>
                <w:i/>
                <w:iCs/>
                <w:color w:val="000000"/>
                <w:sz w:val="18"/>
                <w:szCs w:val="18"/>
                <w:u w:val="none"/>
              </w:rPr>
            </w:pPr>
          </w:p>
        </w:tc>
      </w:tr>
      <w:tr w14:paraId="64824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8F55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91C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675C01">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C7F55">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326A9E">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92EAC">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F55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73A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34805">
            <w:pPr>
              <w:rPr>
                <w:rFonts w:hint="default" w:ascii="simhei" w:hAnsi="simhei" w:eastAsia="simhei" w:cs="simhei"/>
                <w:i/>
                <w:iCs/>
                <w:color w:val="000000"/>
                <w:sz w:val="18"/>
                <w:szCs w:val="18"/>
                <w:u w:val="none"/>
              </w:rPr>
            </w:pPr>
          </w:p>
        </w:tc>
      </w:tr>
      <w:tr w14:paraId="49952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90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CD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A96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6D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F7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995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1E2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E8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57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6E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CE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9F79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47C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6F822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3F83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3ED5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7A69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B3AE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B36C2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5ED35">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AB526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1D9B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5B4AED">
            <w:pPr>
              <w:jc w:val="center"/>
              <w:rPr>
                <w:rFonts w:hint="default" w:ascii="微软雅黑" w:hAnsi="微软雅黑" w:eastAsia="微软雅黑" w:cs="微软雅黑"/>
                <w:i/>
                <w:iCs/>
                <w:color w:val="000000"/>
                <w:sz w:val="16"/>
                <w:szCs w:val="16"/>
                <w:u w:val="none"/>
              </w:rPr>
            </w:pPr>
          </w:p>
        </w:tc>
      </w:tr>
      <w:tr w14:paraId="77816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78B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6B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2C6E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6C8FD1">
            <w:pPr>
              <w:rPr>
                <w:rFonts w:hint="eastAsia" w:ascii="宋体" w:hAnsi="宋体" w:eastAsia="宋体" w:cs="宋体"/>
                <w:i w:val="0"/>
                <w:iCs w:val="0"/>
                <w:color w:val="000000"/>
                <w:sz w:val="18"/>
                <w:szCs w:val="18"/>
                <w:u w:val="none"/>
              </w:rPr>
            </w:pPr>
          </w:p>
        </w:tc>
      </w:tr>
      <w:tr w14:paraId="04ECF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D14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C1C97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A322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DAB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81B838">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6D61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9F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373E0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A666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FE13C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27303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552F2DE1">
      <w:pPr>
        <w:pStyle w:val="5"/>
        <w:jc w:val="center"/>
        <w:rPr>
          <w:rFonts w:hint="eastAsia" w:ascii="Times New Roman" w:hAnsi="Times New Roman" w:eastAsia="黑体" w:cs="黑体"/>
          <w:color w:val="auto"/>
          <w:kern w:val="0"/>
          <w:sz w:val="32"/>
          <w:szCs w:val="32"/>
          <w:highlight w:val="none"/>
          <w:shd w:val="clear" w:color="auto" w:fill="FFFFFF"/>
          <w:lang w:val="zh-CN"/>
        </w:rPr>
      </w:pPr>
    </w:p>
    <w:tbl>
      <w:tblPr>
        <w:tblStyle w:val="1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8"/>
        <w:gridCol w:w="725"/>
        <w:gridCol w:w="680"/>
        <w:gridCol w:w="875"/>
        <w:gridCol w:w="441"/>
        <w:gridCol w:w="756"/>
        <w:gridCol w:w="441"/>
        <w:gridCol w:w="920"/>
        <w:gridCol w:w="493"/>
        <w:gridCol w:w="411"/>
        <w:gridCol w:w="1989"/>
      </w:tblGrid>
      <w:tr w14:paraId="3FA11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1E4901">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752D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AE5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38EB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51323026T000014576677-2024年第二批次壤塘籍在州外务工人员稳岗补贴.</w:t>
            </w:r>
          </w:p>
        </w:tc>
      </w:tr>
      <w:tr w14:paraId="7C510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3B5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DF8E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10C35CE4">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279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73EC4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929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A61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DBE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0A5467">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5A0B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058BD">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50D8">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AD78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完成资金拨付率为100%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B6419B">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37170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D4A5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23D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195556">
            <w:pPr>
              <w:rPr>
                <w:rFonts w:hint="eastAsia" w:ascii="宋体" w:hAnsi="宋体" w:eastAsia="宋体" w:cs="宋体"/>
                <w:i w:val="0"/>
                <w:iCs w:val="0"/>
                <w:color w:val="000000"/>
                <w:sz w:val="18"/>
                <w:szCs w:val="18"/>
                <w:u w:val="none"/>
              </w:rPr>
            </w:pPr>
          </w:p>
        </w:tc>
      </w:tr>
      <w:tr w14:paraId="594E9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E09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E13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756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60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74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8E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05E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82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D7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3C1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B959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C81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A6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0C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128.75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70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EC5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BB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BBBD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26083">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318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6ECF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6B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61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780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14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B7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C8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68E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CF0D0">
            <w:pPr>
              <w:rPr>
                <w:rFonts w:hint="default" w:ascii="simhei" w:hAnsi="simhei" w:eastAsia="simhei" w:cs="simhei"/>
                <w:i/>
                <w:iCs/>
                <w:color w:val="000000"/>
                <w:sz w:val="18"/>
                <w:szCs w:val="18"/>
                <w:u w:val="none"/>
              </w:rPr>
            </w:pPr>
          </w:p>
        </w:tc>
      </w:tr>
      <w:tr w14:paraId="590BA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8189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CF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4C1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44A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C1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65D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6DB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ED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C5AEC">
            <w:pPr>
              <w:rPr>
                <w:rFonts w:hint="default" w:ascii="simhei" w:hAnsi="simhei" w:eastAsia="simhei" w:cs="simhei"/>
                <w:i/>
                <w:iCs/>
                <w:color w:val="000000"/>
                <w:sz w:val="18"/>
                <w:szCs w:val="18"/>
                <w:u w:val="none"/>
              </w:rPr>
            </w:pPr>
          </w:p>
        </w:tc>
      </w:tr>
      <w:tr w14:paraId="56B35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B6FF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3D4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7C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21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128.75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1BB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CFC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27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F7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DB3BD">
            <w:pPr>
              <w:rPr>
                <w:rFonts w:hint="default" w:ascii="simhei" w:hAnsi="simhei" w:eastAsia="simhei" w:cs="simhei"/>
                <w:i/>
                <w:iCs/>
                <w:color w:val="000000"/>
                <w:sz w:val="18"/>
                <w:szCs w:val="18"/>
                <w:u w:val="none"/>
              </w:rPr>
            </w:pPr>
          </w:p>
        </w:tc>
      </w:tr>
      <w:tr w14:paraId="5E757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5DF8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75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0DE28">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47EFD">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285EED">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69850">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72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8AD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A0A1A">
            <w:pPr>
              <w:rPr>
                <w:rFonts w:hint="default" w:ascii="simhei" w:hAnsi="simhei" w:eastAsia="simhei" w:cs="simhei"/>
                <w:i/>
                <w:iCs/>
                <w:color w:val="000000"/>
                <w:sz w:val="18"/>
                <w:szCs w:val="18"/>
                <w:u w:val="none"/>
              </w:rPr>
            </w:pPr>
          </w:p>
        </w:tc>
      </w:tr>
      <w:tr w14:paraId="31C15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30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DE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74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19D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0E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E0E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15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30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1D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AA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92F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129C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67EA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4D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6C6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68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领取补贴人数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FA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2D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E5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B03B9">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AA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D112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81D589">
            <w:pPr>
              <w:jc w:val="center"/>
              <w:rPr>
                <w:rFonts w:hint="default" w:ascii="微软雅黑" w:hAnsi="微软雅黑" w:eastAsia="微软雅黑" w:cs="微软雅黑"/>
                <w:i/>
                <w:iCs/>
                <w:color w:val="000000"/>
                <w:sz w:val="16"/>
                <w:szCs w:val="16"/>
                <w:u w:val="none"/>
              </w:rPr>
            </w:pPr>
          </w:p>
        </w:tc>
      </w:tr>
      <w:tr w14:paraId="75D6B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15A7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CB2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B4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DE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促进外出务工就业率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C3E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89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F0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CF681">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532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270D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1F3AA">
            <w:pPr>
              <w:jc w:val="center"/>
              <w:rPr>
                <w:rFonts w:hint="default" w:ascii="微软雅黑" w:hAnsi="微软雅黑" w:eastAsia="微软雅黑" w:cs="微软雅黑"/>
                <w:i/>
                <w:iCs/>
                <w:color w:val="000000"/>
                <w:sz w:val="16"/>
                <w:szCs w:val="16"/>
                <w:u w:val="none"/>
              </w:rPr>
            </w:pPr>
          </w:p>
        </w:tc>
      </w:tr>
      <w:tr w14:paraId="3225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A5C7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E6BC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A8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B4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完成资金拨付时间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7A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6E9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48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447DE2">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5B3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6BDF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0D74EF">
            <w:pPr>
              <w:jc w:val="center"/>
              <w:rPr>
                <w:rFonts w:hint="default" w:ascii="微软雅黑" w:hAnsi="微软雅黑" w:eastAsia="微软雅黑" w:cs="微软雅黑"/>
                <w:i/>
                <w:iCs/>
                <w:color w:val="000000"/>
                <w:sz w:val="16"/>
                <w:szCs w:val="16"/>
                <w:u w:val="none"/>
              </w:rPr>
            </w:pPr>
          </w:p>
        </w:tc>
      </w:tr>
      <w:tr w14:paraId="19C46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717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44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58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B2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外出务工人员收入提高率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05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03A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2F5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947E5">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9A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9E685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400E0">
            <w:pPr>
              <w:jc w:val="center"/>
              <w:rPr>
                <w:rFonts w:hint="default" w:ascii="微软雅黑" w:hAnsi="微软雅黑" w:eastAsia="微软雅黑" w:cs="微软雅黑"/>
                <w:i/>
                <w:iCs/>
                <w:color w:val="000000"/>
                <w:sz w:val="16"/>
                <w:szCs w:val="16"/>
                <w:u w:val="none"/>
              </w:rPr>
            </w:pPr>
          </w:p>
        </w:tc>
      </w:tr>
      <w:tr w14:paraId="08AC7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A62EA">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87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87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A6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务工人员满意度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0C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5D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2D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B8172">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E0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64F0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98227">
            <w:pPr>
              <w:jc w:val="center"/>
              <w:rPr>
                <w:rFonts w:hint="default" w:ascii="微软雅黑" w:hAnsi="微软雅黑" w:eastAsia="微软雅黑" w:cs="微软雅黑"/>
                <w:i/>
                <w:iCs/>
                <w:color w:val="000000"/>
                <w:sz w:val="16"/>
                <w:szCs w:val="16"/>
                <w:u w:val="none"/>
              </w:rPr>
            </w:pPr>
          </w:p>
        </w:tc>
      </w:tr>
      <w:tr w14:paraId="02220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2FF5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ED70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EC8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451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此项工作满意度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AE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E6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6E7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FD608">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BD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81FF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E09C8">
            <w:pPr>
              <w:jc w:val="center"/>
              <w:rPr>
                <w:rFonts w:hint="default" w:ascii="微软雅黑" w:hAnsi="微软雅黑" w:eastAsia="微软雅黑" w:cs="微软雅黑"/>
                <w:i/>
                <w:iCs/>
                <w:color w:val="000000"/>
                <w:sz w:val="16"/>
                <w:szCs w:val="16"/>
                <w:u w:val="none"/>
              </w:rPr>
            </w:pPr>
          </w:p>
        </w:tc>
      </w:tr>
      <w:tr w14:paraId="0AE0D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4DE0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17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256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52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完成此项工作经济成本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4E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92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C9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4FB90">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B1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43EF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38FC2">
            <w:pPr>
              <w:jc w:val="center"/>
              <w:rPr>
                <w:rFonts w:hint="default" w:ascii="微软雅黑" w:hAnsi="微软雅黑" w:eastAsia="微软雅黑" w:cs="微软雅黑"/>
                <w:i/>
                <w:iCs/>
                <w:color w:val="000000"/>
                <w:sz w:val="16"/>
                <w:szCs w:val="16"/>
                <w:u w:val="none"/>
              </w:rPr>
            </w:pPr>
          </w:p>
        </w:tc>
      </w:tr>
      <w:tr w14:paraId="257A0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0EE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D9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88A7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6DA0E">
            <w:pPr>
              <w:rPr>
                <w:rFonts w:hint="eastAsia" w:ascii="宋体" w:hAnsi="宋体" w:eastAsia="宋体" w:cs="宋体"/>
                <w:i w:val="0"/>
                <w:iCs w:val="0"/>
                <w:color w:val="000000"/>
                <w:sz w:val="18"/>
                <w:szCs w:val="18"/>
                <w:u w:val="none"/>
              </w:rPr>
            </w:pPr>
          </w:p>
        </w:tc>
      </w:tr>
      <w:tr w14:paraId="2A8DF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A2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F45418">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B2C0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F3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E3E52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9AF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F7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4ED47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C15B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5CDE2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E389D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46A1A2B0">
      <w:pPr>
        <w:pStyle w:val="5"/>
        <w:jc w:val="center"/>
        <w:rPr>
          <w:rFonts w:hint="eastAsia" w:ascii="Times New Roman" w:hAnsi="Times New Roman" w:eastAsia="黑体" w:cs="黑体"/>
          <w:color w:val="auto"/>
          <w:kern w:val="0"/>
          <w:sz w:val="32"/>
          <w:szCs w:val="32"/>
          <w:highlight w:val="none"/>
          <w:shd w:val="clear" w:color="auto" w:fill="FFFFFF"/>
          <w:lang w:val="zh-CN"/>
        </w:rPr>
      </w:pPr>
    </w:p>
    <w:tbl>
      <w:tblPr>
        <w:tblStyle w:val="1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6"/>
        <w:gridCol w:w="770"/>
        <w:gridCol w:w="615"/>
        <w:gridCol w:w="815"/>
        <w:gridCol w:w="455"/>
        <w:gridCol w:w="435"/>
        <w:gridCol w:w="455"/>
        <w:gridCol w:w="863"/>
        <w:gridCol w:w="496"/>
        <w:gridCol w:w="416"/>
        <w:gridCol w:w="2373"/>
      </w:tblGrid>
      <w:tr w14:paraId="165FE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5CF5F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AFD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081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18E8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51323024T000011896608-壤塘县技能人才培养和就业创业促进项目</w:t>
            </w:r>
          </w:p>
        </w:tc>
      </w:tr>
      <w:tr w14:paraId="6639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2C6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7AB2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7BA48D7E">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1BB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1E3F8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526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10B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373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314DE7">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5E405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07C6D">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3D799">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C02AAF">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5E435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02329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143E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4A3E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255E2D">
            <w:pPr>
              <w:rPr>
                <w:rFonts w:hint="eastAsia" w:ascii="宋体" w:hAnsi="宋体" w:eastAsia="宋体" w:cs="宋体"/>
                <w:i w:val="0"/>
                <w:iCs w:val="0"/>
                <w:color w:val="000000"/>
                <w:sz w:val="18"/>
                <w:szCs w:val="18"/>
                <w:u w:val="none"/>
              </w:rPr>
            </w:pPr>
          </w:p>
        </w:tc>
      </w:tr>
      <w:tr w14:paraId="65604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B4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21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0B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9F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B3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EF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2C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1C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E36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6A2F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85DB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022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872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E1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252.80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3A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14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50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BF0E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D2282">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225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815B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A1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3E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24C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252.80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47B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A9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81D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E2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95071">
            <w:pPr>
              <w:rPr>
                <w:rFonts w:hint="default" w:ascii="simhei" w:hAnsi="simhei" w:eastAsia="simhei" w:cs="simhei"/>
                <w:i/>
                <w:iCs/>
                <w:color w:val="000000"/>
                <w:sz w:val="18"/>
                <w:szCs w:val="18"/>
                <w:u w:val="none"/>
              </w:rPr>
            </w:pPr>
          </w:p>
        </w:tc>
      </w:tr>
      <w:tr w14:paraId="721B5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BD67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6E1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4A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4E0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1A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D4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64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8C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A3810">
            <w:pPr>
              <w:rPr>
                <w:rFonts w:hint="default" w:ascii="simhei" w:hAnsi="simhei" w:eastAsia="simhei" w:cs="simhei"/>
                <w:i/>
                <w:iCs/>
                <w:color w:val="000000"/>
                <w:sz w:val="18"/>
                <w:szCs w:val="18"/>
                <w:u w:val="none"/>
              </w:rPr>
            </w:pPr>
          </w:p>
        </w:tc>
      </w:tr>
      <w:tr w14:paraId="65613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0D1A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8E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2A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40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4D4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46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B8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FA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BF39D">
            <w:pPr>
              <w:rPr>
                <w:rFonts w:hint="default" w:ascii="simhei" w:hAnsi="simhei" w:eastAsia="simhei" w:cs="simhei"/>
                <w:i/>
                <w:iCs/>
                <w:color w:val="000000"/>
                <w:sz w:val="18"/>
                <w:szCs w:val="18"/>
                <w:u w:val="none"/>
              </w:rPr>
            </w:pPr>
          </w:p>
        </w:tc>
      </w:tr>
      <w:tr w14:paraId="2F648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1F61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ED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9A6F0">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8C1B2">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93C4E">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A7823">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3E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50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020F8">
            <w:pPr>
              <w:rPr>
                <w:rFonts w:hint="default" w:ascii="simhei" w:hAnsi="simhei" w:eastAsia="simhei" w:cs="simhei"/>
                <w:i/>
                <w:iCs/>
                <w:color w:val="000000"/>
                <w:sz w:val="18"/>
                <w:szCs w:val="18"/>
                <w:u w:val="none"/>
              </w:rPr>
            </w:pPr>
          </w:p>
        </w:tc>
      </w:tr>
      <w:tr w14:paraId="51151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FB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6D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419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C0C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29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F7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5B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35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3A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20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D5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942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0075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5524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577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A711A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03B9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0951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B441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271A0">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61E6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C7E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CA09F">
            <w:pPr>
              <w:jc w:val="center"/>
              <w:rPr>
                <w:rFonts w:hint="default" w:ascii="微软雅黑" w:hAnsi="微软雅黑" w:eastAsia="微软雅黑" w:cs="微软雅黑"/>
                <w:i/>
                <w:iCs/>
                <w:color w:val="000000"/>
                <w:sz w:val="16"/>
                <w:szCs w:val="16"/>
                <w:u w:val="none"/>
              </w:rPr>
            </w:pPr>
          </w:p>
        </w:tc>
      </w:tr>
      <w:tr w14:paraId="14BEA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CAB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E2B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F3C5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CCAE6">
            <w:pPr>
              <w:rPr>
                <w:rFonts w:hint="eastAsia" w:ascii="宋体" w:hAnsi="宋体" w:eastAsia="宋体" w:cs="宋体"/>
                <w:i w:val="0"/>
                <w:iCs w:val="0"/>
                <w:color w:val="000000"/>
                <w:sz w:val="18"/>
                <w:szCs w:val="18"/>
                <w:u w:val="none"/>
              </w:rPr>
            </w:pPr>
          </w:p>
        </w:tc>
      </w:tr>
      <w:tr w14:paraId="752B8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15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5C0A9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8892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5A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4B597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FB82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7CE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3AC6B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5946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FDC2E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A1D98F">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23339862">
      <w:pPr>
        <w:pStyle w:val="5"/>
        <w:jc w:val="center"/>
        <w:rPr>
          <w:rFonts w:hint="eastAsia" w:ascii="Times New Roman" w:hAnsi="Times New Roman" w:eastAsia="黑体" w:cs="黑体"/>
          <w:color w:val="auto"/>
          <w:kern w:val="0"/>
          <w:sz w:val="32"/>
          <w:szCs w:val="32"/>
          <w:highlight w:val="none"/>
          <w:shd w:val="clear" w:color="auto" w:fill="FFFFFF"/>
          <w:lang w:val="zh-CN"/>
        </w:rPr>
      </w:pPr>
    </w:p>
    <w:tbl>
      <w:tblPr>
        <w:tblStyle w:val="1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2"/>
        <w:gridCol w:w="778"/>
        <w:gridCol w:w="616"/>
        <w:gridCol w:w="737"/>
        <w:gridCol w:w="457"/>
        <w:gridCol w:w="436"/>
        <w:gridCol w:w="457"/>
        <w:gridCol w:w="867"/>
        <w:gridCol w:w="496"/>
        <w:gridCol w:w="416"/>
        <w:gridCol w:w="2427"/>
      </w:tblGrid>
      <w:tr w14:paraId="2FCB1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D81BA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365A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368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72E3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51323021T000000060564-人社局事业单位人才招考经费</w:t>
            </w:r>
          </w:p>
        </w:tc>
      </w:tr>
      <w:tr w14:paraId="146BD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C84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9F7A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01549012">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4FB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3F1F0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082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3C3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EC3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32F8FC">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4ABA1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BC94E">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26BD1">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079E5B">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43CB6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0A64D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1E6E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7AF5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B1DAF1">
            <w:pPr>
              <w:rPr>
                <w:rFonts w:hint="eastAsia" w:ascii="宋体" w:hAnsi="宋体" w:eastAsia="宋体" w:cs="宋体"/>
                <w:i w:val="0"/>
                <w:iCs w:val="0"/>
                <w:color w:val="000000"/>
                <w:sz w:val="18"/>
                <w:szCs w:val="18"/>
                <w:u w:val="none"/>
              </w:rPr>
            </w:pPr>
          </w:p>
        </w:tc>
      </w:tr>
      <w:tr w14:paraId="77A3B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D7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3A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79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47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FAF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B8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3F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866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07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9F3B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A1B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98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7E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83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64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C1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CCA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2348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5205B">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577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9677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D9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65C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F0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9C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57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97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D28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B4B8C">
            <w:pPr>
              <w:rPr>
                <w:rFonts w:hint="default" w:ascii="simhei" w:hAnsi="simhei" w:eastAsia="simhei" w:cs="simhei"/>
                <w:i/>
                <w:iCs/>
                <w:color w:val="000000"/>
                <w:sz w:val="18"/>
                <w:szCs w:val="18"/>
                <w:u w:val="none"/>
              </w:rPr>
            </w:pPr>
          </w:p>
        </w:tc>
      </w:tr>
      <w:tr w14:paraId="38678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00ED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FF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4B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710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2F0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666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0D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24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832FF">
            <w:pPr>
              <w:rPr>
                <w:rFonts w:hint="default" w:ascii="simhei" w:hAnsi="simhei" w:eastAsia="simhei" w:cs="simhei"/>
                <w:i/>
                <w:iCs/>
                <w:color w:val="000000"/>
                <w:sz w:val="18"/>
                <w:szCs w:val="18"/>
                <w:u w:val="none"/>
              </w:rPr>
            </w:pPr>
          </w:p>
        </w:tc>
      </w:tr>
      <w:tr w14:paraId="6B66F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3333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95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C7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40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B99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14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CB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303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681E3">
            <w:pPr>
              <w:rPr>
                <w:rFonts w:hint="default" w:ascii="simhei" w:hAnsi="simhei" w:eastAsia="simhei" w:cs="simhei"/>
                <w:i/>
                <w:iCs/>
                <w:color w:val="000000"/>
                <w:sz w:val="18"/>
                <w:szCs w:val="18"/>
                <w:u w:val="none"/>
              </w:rPr>
            </w:pPr>
          </w:p>
        </w:tc>
      </w:tr>
      <w:tr w14:paraId="2062A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0B4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AD1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0486D">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8B9CE1">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3939A">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ACB3A">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AA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536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D95FB">
            <w:pPr>
              <w:rPr>
                <w:rFonts w:hint="default" w:ascii="simhei" w:hAnsi="simhei" w:eastAsia="simhei" w:cs="simhei"/>
                <w:i/>
                <w:iCs/>
                <w:color w:val="000000"/>
                <w:sz w:val="18"/>
                <w:szCs w:val="18"/>
                <w:u w:val="none"/>
              </w:rPr>
            </w:pPr>
          </w:p>
        </w:tc>
      </w:tr>
      <w:tr w14:paraId="7C4B4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1A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B5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4D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7A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97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20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2D1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1D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E7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AA7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67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CBC5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DA90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4971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0A1C8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5623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411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C80E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63BA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98B3C">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8074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D3D16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7A78E8">
            <w:pPr>
              <w:jc w:val="center"/>
              <w:rPr>
                <w:rFonts w:hint="default" w:ascii="微软雅黑" w:hAnsi="微软雅黑" w:eastAsia="微软雅黑" w:cs="微软雅黑"/>
                <w:i/>
                <w:iCs/>
                <w:color w:val="000000"/>
                <w:sz w:val="16"/>
                <w:szCs w:val="16"/>
                <w:u w:val="none"/>
              </w:rPr>
            </w:pPr>
          </w:p>
        </w:tc>
      </w:tr>
      <w:tr w14:paraId="11EA0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6D6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DD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F12E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866D4F">
            <w:pPr>
              <w:rPr>
                <w:rFonts w:hint="eastAsia" w:ascii="宋体" w:hAnsi="宋体" w:eastAsia="宋体" w:cs="宋体"/>
                <w:i w:val="0"/>
                <w:iCs w:val="0"/>
                <w:color w:val="000000"/>
                <w:sz w:val="18"/>
                <w:szCs w:val="18"/>
                <w:u w:val="none"/>
              </w:rPr>
            </w:pPr>
          </w:p>
        </w:tc>
      </w:tr>
      <w:tr w14:paraId="6242C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89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7DF97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FD6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B5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0666A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0CC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07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44555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F05E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2B519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9D4B2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339245B6">
      <w:pPr>
        <w:pStyle w:val="5"/>
        <w:jc w:val="center"/>
        <w:rPr>
          <w:rFonts w:hint="eastAsia" w:ascii="Times New Roman" w:hAnsi="Times New Roman" w:eastAsia="黑体" w:cs="黑体"/>
          <w:color w:val="auto"/>
          <w:kern w:val="0"/>
          <w:sz w:val="32"/>
          <w:szCs w:val="32"/>
          <w:highlight w:val="none"/>
          <w:shd w:val="clear" w:color="auto" w:fill="FFFFFF"/>
          <w:lang w:val="zh-CN"/>
        </w:rPr>
      </w:pPr>
    </w:p>
    <w:tbl>
      <w:tblPr>
        <w:tblStyle w:val="1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2"/>
        <w:gridCol w:w="778"/>
        <w:gridCol w:w="616"/>
        <w:gridCol w:w="737"/>
        <w:gridCol w:w="457"/>
        <w:gridCol w:w="436"/>
        <w:gridCol w:w="457"/>
        <w:gridCol w:w="867"/>
        <w:gridCol w:w="496"/>
        <w:gridCol w:w="416"/>
        <w:gridCol w:w="2427"/>
      </w:tblGrid>
      <w:tr w14:paraId="42D01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7E103C9">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B315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179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57FF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51323026T000014331817-2025年阿坝州大草原文化旅游节---壤巴拉节暨“石榴籽”工程干群联谊活动费用</w:t>
            </w:r>
          </w:p>
        </w:tc>
      </w:tr>
      <w:tr w14:paraId="43F72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19D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A3E7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4115AEC1">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5F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2C24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CEF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E085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C06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209DC2">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6AC11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D3319">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6D570">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1DF507">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D5E96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25DE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657D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84C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D04183">
            <w:pPr>
              <w:rPr>
                <w:rFonts w:hint="eastAsia" w:ascii="宋体" w:hAnsi="宋体" w:eastAsia="宋体" w:cs="宋体"/>
                <w:i w:val="0"/>
                <w:iCs w:val="0"/>
                <w:color w:val="000000"/>
                <w:sz w:val="18"/>
                <w:szCs w:val="18"/>
                <w:u w:val="none"/>
              </w:rPr>
            </w:pPr>
          </w:p>
        </w:tc>
      </w:tr>
      <w:tr w14:paraId="26EE8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20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10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B7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C8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D3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916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619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6AE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0E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0DD1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597A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B50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5E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905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3D2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85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8E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0E0A6">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56705">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D4C5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175B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CDF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CD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64E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362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37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DD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5C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2B3D5">
            <w:pPr>
              <w:rPr>
                <w:rFonts w:hint="default" w:ascii="simhei" w:hAnsi="simhei" w:eastAsia="simhei" w:cs="simhei"/>
                <w:i/>
                <w:iCs/>
                <w:color w:val="000000"/>
                <w:sz w:val="18"/>
                <w:szCs w:val="18"/>
                <w:u w:val="none"/>
              </w:rPr>
            </w:pPr>
          </w:p>
        </w:tc>
      </w:tr>
      <w:tr w14:paraId="27B9C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60DA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67E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D2F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02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74C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711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A1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1B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033FC">
            <w:pPr>
              <w:rPr>
                <w:rFonts w:hint="default" w:ascii="simhei" w:hAnsi="simhei" w:eastAsia="simhei" w:cs="simhei"/>
                <w:i/>
                <w:iCs/>
                <w:color w:val="000000"/>
                <w:sz w:val="18"/>
                <w:szCs w:val="18"/>
                <w:u w:val="none"/>
              </w:rPr>
            </w:pPr>
          </w:p>
        </w:tc>
      </w:tr>
      <w:tr w14:paraId="13BC5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5743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C0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42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29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08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00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21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74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D9BA3">
            <w:pPr>
              <w:rPr>
                <w:rFonts w:hint="default" w:ascii="simhei" w:hAnsi="simhei" w:eastAsia="simhei" w:cs="simhei"/>
                <w:i/>
                <w:iCs/>
                <w:color w:val="000000"/>
                <w:sz w:val="18"/>
                <w:szCs w:val="18"/>
                <w:u w:val="none"/>
              </w:rPr>
            </w:pPr>
          </w:p>
        </w:tc>
      </w:tr>
      <w:tr w14:paraId="529F6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F43E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01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C0316">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4A1A2C">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01EED2">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8085C">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072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848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633F2">
            <w:pPr>
              <w:rPr>
                <w:rFonts w:hint="default" w:ascii="simhei" w:hAnsi="simhei" w:eastAsia="simhei" w:cs="simhei"/>
                <w:i/>
                <w:iCs/>
                <w:color w:val="000000"/>
                <w:sz w:val="18"/>
                <w:szCs w:val="18"/>
                <w:u w:val="none"/>
              </w:rPr>
            </w:pPr>
          </w:p>
        </w:tc>
      </w:tr>
      <w:tr w14:paraId="37CCE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4A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F24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31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AC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F47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F38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5F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D4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B08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78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AF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82B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844C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409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F2BA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5B5B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7E55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83534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E967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3C339">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044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72A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EC8B9">
            <w:pPr>
              <w:jc w:val="center"/>
              <w:rPr>
                <w:rFonts w:hint="default" w:ascii="微软雅黑" w:hAnsi="微软雅黑" w:eastAsia="微软雅黑" w:cs="微软雅黑"/>
                <w:i/>
                <w:iCs/>
                <w:color w:val="000000"/>
                <w:sz w:val="16"/>
                <w:szCs w:val="16"/>
                <w:u w:val="none"/>
              </w:rPr>
            </w:pPr>
          </w:p>
        </w:tc>
      </w:tr>
      <w:tr w14:paraId="46AA4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73C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6F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7970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66A9D">
            <w:pPr>
              <w:rPr>
                <w:rFonts w:hint="eastAsia" w:ascii="宋体" w:hAnsi="宋体" w:eastAsia="宋体" w:cs="宋体"/>
                <w:i w:val="0"/>
                <w:iCs w:val="0"/>
                <w:color w:val="000000"/>
                <w:sz w:val="18"/>
                <w:szCs w:val="18"/>
                <w:u w:val="none"/>
              </w:rPr>
            </w:pPr>
          </w:p>
        </w:tc>
      </w:tr>
      <w:tr w14:paraId="5CC9B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01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8A8F4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E944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750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08BCC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557F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DD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2874C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8138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6EC65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03020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6C2CB566">
      <w:pPr>
        <w:pStyle w:val="5"/>
        <w:jc w:val="center"/>
        <w:rPr>
          <w:rFonts w:hint="eastAsia" w:ascii="Times New Roman" w:hAnsi="Times New Roman" w:eastAsia="黑体" w:cs="黑体"/>
          <w:color w:val="auto"/>
          <w:kern w:val="0"/>
          <w:sz w:val="32"/>
          <w:szCs w:val="32"/>
          <w:highlight w:val="none"/>
          <w:shd w:val="clear" w:color="auto" w:fill="FFFFFF"/>
          <w:lang w:val="zh-CN"/>
        </w:rPr>
      </w:pPr>
    </w:p>
    <w:p w14:paraId="3990D268">
      <w:pPr>
        <w:pStyle w:val="5"/>
        <w:jc w:val="cente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50478288">
      <w:pPr>
        <w:pStyle w:val="5"/>
        <w:jc w:val="center"/>
        <w:rPr>
          <w:rFonts w:hint="eastAsia" w:ascii="Times New Roman" w:hAnsi="Times New Roman" w:eastAsia="黑体" w:cs="黑体"/>
          <w:color w:val="auto"/>
          <w:kern w:val="0"/>
          <w:sz w:val="32"/>
          <w:szCs w:val="32"/>
          <w:highlight w:val="none"/>
          <w:shd w:val="clear" w:color="auto" w:fill="FFFFFF"/>
          <w:lang w:val="zh-CN"/>
        </w:rPr>
      </w:pPr>
    </w:p>
    <w:p w14:paraId="6BF78BEC">
      <w:pPr>
        <w:rPr>
          <w:rFonts w:hint="eastAsia" w:ascii="Times New Roman" w:hAnsi="Times New Roman" w:eastAsia="黑体" w:cs="黑体"/>
          <w:color w:val="auto"/>
          <w:kern w:val="0"/>
          <w:sz w:val="32"/>
          <w:szCs w:val="32"/>
          <w:highlight w:val="none"/>
          <w:shd w:val="clear" w:color="auto" w:fill="FFFFFF"/>
          <w:lang w:val="zh-CN"/>
        </w:rPr>
      </w:pPr>
    </w:p>
    <w:p w14:paraId="4EAF21D0">
      <w:pPr>
        <w:pStyle w:val="5"/>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755E2A8D">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1EB6E402">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3972A3C8">
      <w:pPr>
        <w:pStyle w:val="3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5CFEA215">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31F1CD6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为落实东西部协作、省内对口帮扶工作部署，依托浙江对口支援、绵阳对口援建工作机制，聚焦受援地就业帮扶、技能培训、人才交流、公共人社服务提升等人社领域短板设立本援建项目。项目立项、资金申报依据东西部协作、省内对口帮扶相关政策文件、援建框架协议、财政预算管理相关规定。项目主要内容包括劳务协作、职业技能培训、人才互派交流、人社业务能力提升、就业服务阵地建设配套、政策宣传等。主管部门为人社局本级，承担统筹推进受援地就业帮扶、技能开发、人才培育、劳务对接、人社公共服务提质等职能，协调落实浙江、绵阳两地援建人社类项目落地。</w:t>
      </w:r>
    </w:p>
    <w:p w14:paraId="614246A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14:paraId="64F81F71">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严格遵照东西部协作、省内对口帮扶资金管理办法及财政专项资金管理要求执行。项目实施目的：依托浙江、绵阳援建资源，补齐受援地人社公共服务短板，拓宽群众就业渠道，提升劳动者技能素养，培育本土人才，稳定重点群体就业，持续巩固拓展脱贫攻坚成果。主要工作任务：搭建劳务协作对接渠道、开展技能培训、组织人才交流跟岗学习、帮扶基层人社服务能力建设等。资金支持方向：劳务协作、职业技能培训、人才交流培养、人社业务能力提升、就业服务保障等援建类人社专项工作。</w:t>
      </w:r>
    </w:p>
    <w:p w14:paraId="2FAACAF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14:paraId="2A1316A1">
      <w:pPr>
        <w:pStyle w:val="15"/>
        <w:keepNext w:val="0"/>
        <w:keepLines w:val="0"/>
        <w:widowControl/>
        <w:suppressLineNumbers w:val="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本批援建项目含常年持续帮扶项目、阶段性一次性援建专项项目。资金分配坚持突出帮扶实效、绩效优先、聚焦短板、统筹兼顾原则，综合考虑受援地重点群体规模、产业用工需求、基层人社能力缺口、援建年度任务清单、往年实施成效等因素统筹安排。援建资金实行专项管理、专款专用，纳入预算一体化管理，按项目实施进度拨付，严格履行审批、报备流程。</w:t>
      </w:r>
    </w:p>
    <w:p w14:paraId="5B31769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14:paraId="6940957D">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en-US" w:eastAsia="zh-CN" w:bidi="ar-SA"/>
        </w:rPr>
        <w:t>围绕援建工作任务分层设置项目整体绩效目标、区域绩效目标、具体绩效指标，设置产出、效益、满意度指标，做到量化可考核。常年援建项目侧重持续性劳务协作、常态化技能帮扶；一次性援建项目围绕年度阶段性援建任务设置目标。本次自评严格按照财政绩效评价、东西部协作绩效考评要求，对照绩效指标收集项目实施、资金拨付、帮扶成效佐证材料，逐项核查、分析打分，形成本次绩效自评结果。</w:t>
      </w:r>
    </w:p>
    <w:p w14:paraId="21967C04">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p>
    <w:p w14:paraId="6AC297D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411E9D53">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en-US" w:eastAsia="zh-CN" w:bidi="ar-SA"/>
        </w:rPr>
        <w:t>全面核查浙江、绵阳援建人社项目资金管理与实施成效，梳理常年项目与大量一次性项目预算执行问题，重点分析高结余项目成因，客观评价项目决策、执行与目标完成情况，找准管理短板，优化后续援建项目谋划与资金分配，切实提升帮扶资金绩效，巩固就业帮扶成果。</w:t>
      </w:r>
    </w:p>
    <w:p w14:paraId="5DEA7B8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p>
    <w:p w14:paraId="73F0C447">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en-US" w:eastAsia="zh-CN" w:bidi="ar-SA"/>
        </w:rPr>
        <w:t>严成立由分管领导任组长，业务骨干、财务、绩效人员组成的评价小组。组长统筹整体工作；业务人员核查项目实施与产出；财务人员审核资金拨付、预算执行与结余情况；绩效人员负责指标打分、汇总问题、起草自评报告。</w:t>
      </w:r>
    </w:p>
    <w:p w14:paraId="69398C07">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en-US" w:eastAsia="zh-CN" w:bidi="ar-SA"/>
        </w:rPr>
        <w:t>按照覆盖市县总数 20%、点位不超过 20 个的要求抽取踏勘样本；优先选取一次性项目集中、资金额度大、预算结余偏高的点位，兼顾不同业务类型；踏勘点位清单作为自评附表存档。</w:t>
      </w:r>
    </w:p>
    <w:p w14:paraId="49A7BA8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p>
    <w:p w14:paraId="60848FF8">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en-US" w:eastAsia="zh-CN" w:bidi="ar-SA"/>
        </w:rPr>
        <w:t>综合采用案卷研究、</w:t>
      </w:r>
      <w:r>
        <w:rPr>
          <w:rFonts w:hint="eastAsia" w:eastAsia="仿宋_GB2312" w:cs="仿宋_GB2312"/>
          <w:b w:val="0"/>
          <w:bCs w:val="0"/>
          <w:kern w:val="0"/>
          <w:position w:val="0"/>
          <w:sz w:val="32"/>
          <w:szCs w:val="32"/>
          <w:highlight w:val="none"/>
          <w:lang w:val="en-US" w:eastAsia="zh-CN" w:bidi="ar-SA"/>
        </w:rPr>
        <w:t>实地勘查</w:t>
      </w:r>
      <w:r>
        <w:rPr>
          <w:rFonts w:hint="eastAsia" w:ascii="Times New Roman" w:hAnsi="Times New Roman" w:eastAsia="仿宋_GB2312" w:cs="仿宋_GB2312"/>
          <w:b w:val="0"/>
          <w:bCs w:val="0"/>
          <w:kern w:val="0"/>
          <w:position w:val="0"/>
          <w:sz w:val="32"/>
          <w:szCs w:val="32"/>
          <w:highlight w:val="none"/>
          <w:lang w:val="en-US" w:eastAsia="zh-CN" w:bidi="ar-SA"/>
        </w:rPr>
        <w:t>、座谈调研、问卷调查、单位自评、成本效益分析、标杆管理等方式，查阅台账凭证、现场核验项目落地、走访服务对象，定量测算执行进度与产出指标，定性研判帮扶成效。</w:t>
      </w:r>
    </w:p>
    <w:p w14:paraId="62C09D10">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en-US" w:eastAsia="zh-CN" w:bidi="ar-SA"/>
        </w:rPr>
        <w:t>成立由分管领导任组长，业务骨干、财务、绩效人员组成的评价小组。组长统筹整体工作；业务人员核查项目实施与产出；财务人员审核资金拨付、预算执行与结余情况；绩效人员负责指标打分、汇总问题、起草自评报告。</w:t>
      </w:r>
    </w:p>
    <w:p w14:paraId="1B3D3B0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p>
    <w:p w14:paraId="4E187D73">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en-US" w:eastAsia="zh-CN" w:bidi="ar-SA"/>
        </w:rPr>
        <w:t>严成立由分管领导任组长，业务骨干、财务、绩效人员组成的评价小组。组长统筹整体工作；业务人员核查项目实施与产出；财务人员审核资金拨付、预算执行与结余情况；绩效人员负责指标打分、汇总问题、起草自评报告。</w:t>
      </w:r>
    </w:p>
    <w:p w14:paraId="2077B17C">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en-US" w:eastAsia="zh-CN" w:bidi="ar-SA"/>
        </w:rPr>
        <w:t>按照覆盖市县总数 20%、点位不超过 20 个的要求抽取踏勘样本；优先选取一次性项目集中、资金额度大、预算结余偏高的点位，兼顾不同业务类型；踏勘点位清单作为自评附表存档。</w:t>
      </w:r>
    </w:p>
    <w:p w14:paraId="7E0CB23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p>
    <w:p w14:paraId="04E39270">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en-US" w:eastAsia="zh-CN" w:bidi="ar-SA"/>
        </w:rPr>
        <w:t>综合采用案卷研究、</w:t>
      </w:r>
      <w:r>
        <w:rPr>
          <w:rFonts w:hint="eastAsia" w:eastAsia="仿宋_GB2312" w:cs="仿宋_GB2312"/>
          <w:b w:val="0"/>
          <w:bCs w:val="0"/>
          <w:kern w:val="0"/>
          <w:position w:val="0"/>
          <w:sz w:val="32"/>
          <w:szCs w:val="32"/>
          <w:highlight w:val="none"/>
          <w:lang w:val="en-US" w:eastAsia="zh-CN" w:bidi="ar-SA"/>
        </w:rPr>
        <w:t>实地勘查</w:t>
      </w:r>
      <w:r>
        <w:rPr>
          <w:rFonts w:hint="eastAsia" w:ascii="Times New Roman" w:hAnsi="Times New Roman" w:eastAsia="仿宋_GB2312" w:cs="仿宋_GB2312"/>
          <w:b w:val="0"/>
          <w:bCs w:val="0"/>
          <w:kern w:val="0"/>
          <w:position w:val="0"/>
          <w:sz w:val="32"/>
          <w:szCs w:val="32"/>
          <w:highlight w:val="none"/>
          <w:lang w:val="en-US" w:eastAsia="zh-CN" w:bidi="ar-SA"/>
        </w:rPr>
        <w:t>、座谈调研、问卷调查、单位自评、成本效益分析、标杆管理等方式，查阅台账凭证、现场核验项目落地、走访服务对象，定量测算执行进度与产出指标，定性研判帮扶成效。</w:t>
      </w:r>
    </w:p>
    <w:p w14:paraId="16CFDB1E">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en-US" w:eastAsia="zh-CN" w:bidi="ar-SA"/>
        </w:rPr>
        <w:t>成立由分管领导任组长，业务骨干、财务、绩效人员组成的评价小组。组长统筹整体工作；业务人员核查项目实施与产出；财务人员审核资金拨付、预算执行与结余情况；绩效人员负责指标打分、汇总问题、起草自评报告。</w:t>
      </w:r>
    </w:p>
    <w:p w14:paraId="56B384A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p>
    <w:p w14:paraId="046EF135">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00C2DF9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1D8E38B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67A7214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项目严格按照东西部协作、省内对口帮扶政策要求履行立项申报、集体研究、审核报批等流程，立项依据充分，手续完备，无违规立项情形，程序合法规范。项目前期结合县域人社事业短板开展需求调研，紧扣年度援建任务编制实施方案；但部分子项目前期调研深度不足，对劳动力就业需求研判不够细致，项目前瞻性有待加强。 资金严格限定在劳务协作、技能培训、人才交流等人社帮扶领域，完全符合援建资金使用范围，不存在超范围安排资金的问题。2.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0D4F611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已严格执行对口帮扶资金管理办法、专项资金使用规定，配套建立项目实施管理制度；但项目全过程跟踪监管细则不够细化，过程管控条款不够完善。资金分配严格遵循绩效优先、聚焦短板的原则，综合考虑重点群体规模、用工缺口、年度任务统筹分配；资金全部纳入预算一体化系统管理，拨付审批流程完整规范。落实事前目标审核、事中进度调度、事后绩效自评全流程管理；但日常动态监控频次不足，对项目实施偏差预警不够及时，绩效过程管控力度仍需提升。</w:t>
      </w:r>
    </w:p>
    <w:p w14:paraId="21168CC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项目年度劳务协作、技能培训、人才互派、基层人社服务提升等核心任务基本落地，整体产出任务顺利达成；仅少量子项目受客观条件影响，任务完成度小幅低于预期。绝大多数项目严格按照年度计划按时组织实施；个别项目受农牧民季节性务工、人员组织困难等因素影响，实施周期略有延后，无逾期未完工项目</w:t>
      </w:r>
      <w:r>
        <w:rPr>
          <w:rFonts w:hint="eastAsia" w:eastAsia="仿宋_GB2312" w:cs="仿宋_GB2312"/>
          <w:b w:val="0"/>
          <w:bCs w:val="0"/>
          <w:kern w:val="0"/>
          <w:position w:val="0"/>
          <w:sz w:val="32"/>
          <w:szCs w:val="32"/>
          <w:highlight w:val="none"/>
          <w:lang w:val="en-US" w:eastAsia="zh-CN" w:bidi="ar-SA"/>
        </w:rPr>
        <w:t>。</w:t>
      </w:r>
    </w:p>
    <w:p w14:paraId="75F3827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3921C7E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w:t>
      </w:r>
      <w:r>
        <w:rPr>
          <w:rFonts w:hint="eastAsia" w:ascii="Times New Roman" w:hAnsi="Times New Roman" w:eastAsia="仿宋_GB2312" w:cs="仿宋_GB2312"/>
          <w:b w:val="0"/>
          <w:bCs w:val="0"/>
          <w:kern w:val="0"/>
          <w:position w:val="0"/>
          <w:sz w:val="32"/>
          <w:szCs w:val="32"/>
          <w:highlight w:val="none"/>
          <w:lang w:val="zh-CN" w:eastAsia="zh-CN" w:bidi="ar-SA"/>
        </w:rPr>
        <w:t>本项目资金未投向产业发展领域</w:t>
      </w:r>
    </w:p>
    <w:p w14:paraId="2A06147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项目统筹安排帮扶资源，覆盖全县各乡镇，重点向偏远农牧区、重点帮扶村倾斜，区域布局总体均衡；仅少量偏远点位受地理条件、群众居住分散等客观条件影响，项目落地推进效率略低，实施成效存在小幅区域差异。 对象精准性：帮扶对象聚焦脱贫劳动力、监测对象、就业困难人员等重点群体，严格落实资格审核，对象识别精准；少数帮扶对象受季节性务工影响，无法按时参与培训、劳务对接，部分帮扶任务落地存在小幅偏差。 标准合理性：项目培训组织、各类补助发放标准，严格执行东西部协作、省内对口帮扶资金管理相关规定，标准贴合本地帮扶实际，设置科学合理，无超标准、违规列支情况。 群众满意度：采取座谈调研、问卷调查方式收集服务对象意见，总体满意度较高；少数群众因培训时间与农牧业生产冲突，对项目安排有不同意见，满意度小幅低于预期。</w:t>
      </w:r>
    </w:p>
    <w:p w14:paraId="1032AD1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w:t>
      </w:r>
      <w:r>
        <w:rPr>
          <w:rFonts w:hint="eastAsia" w:ascii="Times New Roman" w:hAnsi="Times New Roman" w:eastAsia="仿宋_GB2312" w:cs="仿宋_GB2312"/>
          <w:b w:val="0"/>
          <w:bCs w:val="0"/>
          <w:kern w:val="0"/>
          <w:position w:val="0"/>
          <w:sz w:val="32"/>
          <w:szCs w:val="32"/>
          <w:highlight w:val="none"/>
          <w:lang w:val="zh-CN" w:eastAsia="zh-CN" w:bidi="ar-SA"/>
        </w:rPr>
        <w:t>本项目资金未投向基础设施建设领域，该类指标不适用。</w:t>
      </w:r>
    </w:p>
    <w:p w14:paraId="333B70B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行政运转。本项目资金未用于行政运转支出</w:t>
      </w:r>
    </w:p>
    <w:p w14:paraId="70A059F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从执行情况来看：人才互派交流、服务阵地提质两项指标均按期完成年度目标；劳务协作指标受群众外出务工意愿、省外岗位供需变化影响，完成率略有不足。整体个性指标落地情况良好，能够充分体现援建项目特色成效。</w:t>
      </w:r>
    </w:p>
    <w:p w14:paraId="4E6A80D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06310F5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项目立项程序合规，资金管理严格，专款专用，全部资金纳入预算一体化闭环管控；常年项目与一次性项目统筹推进，资金拨付总体贴合项目实施进度。项目圆满完成年度劳务协作、职业技能培训、人才交流、基层人社服务能力提升等援建任务，精准帮扶重点群体稳定就业，培育本土技能人才，有效巩固拓展脱贫攻坚成果，项目社会效益突出，服务对象整体满意度较高。</w:t>
      </w:r>
    </w:p>
    <w:p w14:paraId="6A0EC16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3803E00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事中动态跟踪调度频次不足，对实施进度滞后的项目预警纠偏不及时；绩效指标精细化程度不足，部分指标偏宏观，量化考核约束不强。</w:t>
      </w:r>
    </w:p>
    <w:p w14:paraId="61AFE92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72B66B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建立月度项目调度制度，常态化开展绩效监控，对进度滞后、目标偏离的项目及时纠偏；压实业务与财务联动责任，把绩效管控贯穿项目申报、实施、验收全流程</w:t>
      </w:r>
    </w:p>
    <w:p w14:paraId="1442714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9A748E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8"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1F8514C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5"/>
      <w:bookmarkEnd w:id="48"/>
      <w:bookmarkStart w:id="49" w:name="_Toc15396619"/>
    </w:p>
    <w:p w14:paraId="00F5B6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E84E6A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49B51D1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2EE4DBB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699EE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2552381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300DDC6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7918F10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5BC1099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7737A3F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25C54B5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3339CB0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74C6C7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44260B3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37216048">
      <w:pPr>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imhei">
    <w:altName w:val="国标仿宋"/>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33218">
    <w:pPr>
      <w:pStyle w:val="10"/>
      <w:jc w:val="center"/>
    </w:pPr>
  </w:p>
  <w:p w14:paraId="5328E601">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B55A3">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7370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E97370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3E020">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D0D8E2">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FD0D8E2">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6F9C5437">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D4AC2">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74B4D5"/>
    <w:multiLevelType w:val="singleLevel"/>
    <w:tmpl w:val="B574B4D5"/>
    <w:lvl w:ilvl="0" w:tentative="0">
      <w:start w:val="2"/>
      <w:numFmt w:val="chineseCounting"/>
      <w:suff w:val="nothing"/>
      <w:lvlText w:val="（%1）"/>
      <w:lvlJc w:val="left"/>
      <w:rPr>
        <w:rFonts w:hint="eastAsia"/>
      </w:rPr>
    </w:lvl>
  </w:abstractNum>
  <w:abstractNum w:abstractNumId="1">
    <w:nsid w:val="D4FCF0B5"/>
    <w:multiLevelType w:val="singleLevel"/>
    <w:tmpl w:val="D4FCF0B5"/>
    <w:lvl w:ilvl="0" w:tentative="0">
      <w:start w:val="2"/>
      <w:numFmt w:val="chineseCounting"/>
      <w:suff w:val="nothing"/>
      <w:lvlText w:val="（%1）"/>
      <w:lvlJc w:val="left"/>
      <w:rPr>
        <w:rFonts w:hint="eastAsia"/>
      </w:rPr>
    </w:lvl>
  </w:abstractNum>
  <w:abstractNum w:abstractNumId="2">
    <w:nsid w:val="384DEE28"/>
    <w:multiLevelType w:val="singleLevel"/>
    <w:tmpl w:val="384DEE28"/>
    <w:lvl w:ilvl="0" w:tentative="0">
      <w:start w:val="1"/>
      <w:numFmt w:val="decimal"/>
      <w:lvlText w:val="%1."/>
      <w:lvlJc w:val="left"/>
      <w:pPr>
        <w:tabs>
          <w:tab w:val="left" w:pos="312"/>
        </w:tabs>
      </w:p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4">
    <w:nsid w:val="77E8BA9D"/>
    <w:multiLevelType w:val="singleLevel"/>
    <w:tmpl w:val="77E8BA9D"/>
    <w:lvl w:ilvl="0" w:tentative="0">
      <w:start w:val="1"/>
      <w:numFmt w:val="chineseCounting"/>
      <w:suff w:val="nothing"/>
      <w:lvlText w:val="%1、"/>
      <w:lvlJc w:val="left"/>
      <w:rPr>
        <w:rFonts w:hint="eastAsia"/>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6DF843"/>
    <w:rsid w:val="07996F6E"/>
    <w:rsid w:val="07DFD8BA"/>
    <w:rsid w:val="08DB07E4"/>
    <w:rsid w:val="09867E8F"/>
    <w:rsid w:val="0A2032A3"/>
    <w:rsid w:val="0C6C4794"/>
    <w:rsid w:val="0CA8290A"/>
    <w:rsid w:val="0D35B1ED"/>
    <w:rsid w:val="0DE07E2B"/>
    <w:rsid w:val="0F98263C"/>
    <w:rsid w:val="0FE5440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7BA3106"/>
    <w:rsid w:val="281408E2"/>
    <w:rsid w:val="28B72AF1"/>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EDF75BC"/>
    <w:rsid w:val="3FBFB2EB"/>
    <w:rsid w:val="3FDF80C0"/>
    <w:rsid w:val="3FF4CAE0"/>
    <w:rsid w:val="3FF7B227"/>
    <w:rsid w:val="3FF7CC22"/>
    <w:rsid w:val="3FFB5112"/>
    <w:rsid w:val="3FFFD55B"/>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B47D9"/>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5FFF56F8"/>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DFFC8F1"/>
    <w:rsid w:val="6E7E3605"/>
    <w:rsid w:val="6E7FDCC7"/>
    <w:rsid w:val="6ED6A62E"/>
    <w:rsid w:val="6EE00B15"/>
    <w:rsid w:val="6F544B20"/>
    <w:rsid w:val="6F6FB3EB"/>
    <w:rsid w:val="6F784160"/>
    <w:rsid w:val="6F8731EA"/>
    <w:rsid w:val="6FBDBE21"/>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3FDE184"/>
    <w:rsid w:val="744731E5"/>
    <w:rsid w:val="74527205"/>
    <w:rsid w:val="74BBD01D"/>
    <w:rsid w:val="74ED5379"/>
    <w:rsid w:val="74FC2395"/>
    <w:rsid w:val="75B786D1"/>
    <w:rsid w:val="75DEEEC2"/>
    <w:rsid w:val="76530737"/>
    <w:rsid w:val="76E3355F"/>
    <w:rsid w:val="76FF5125"/>
    <w:rsid w:val="776F6FFA"/>
    <w:rsid w:val="777B7CBC"/>
    <w:rsid w:val="778769C8"/>
    <w:rsid w:val="77BF4129"/>
    <w:rsid w:val="77DC22F5"/>
    <w:rsid w:val="79086DAD"/>
    <w:rsid w:val="79974F09"/>
    <w:rsid w:val="79D7FD79"/>
    <w:rsid w:val="79EE5BA4"/>
    <w:rsid w:val="7A894339"/>
    <w:rsid w:val="7ABBDFCA"/>
    <w:rsid w:val="7AFF7572"/>
    <w:rsid w:val="7B6C7DFB"/>
    <w:rsid w:val="7BBFBED0"/>
    <w:rsid w:val="7BC3E394"/>
    <w:rsid w:val="7C1F3737"/>
    <w:rsid w:val="7CBFC87B"/>
    <w:rsid w:val="7CFE0F48"/>
    <w:rsid w:val="7D7EC23E"/>
    <w:rsid w:val="7D916348"/>
    <w:rsid w:val="7DFF8F48"/>
    <w:rsid w:val="7E8ADEBF"/>
    <w:rsid w:val="7EDB1909"/>
    <w:rsid w:val="7EEF11D3"/>
    <w:rsid w:val="7F0971A6"/>
    <w:rsid w:val="7F2A97EB"/>
    <w:rsid w:val="7F3F679B"/>
    <w:rsid w:val="7F3F86A6"/>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BFDF6FB4"/>
    <w:rsid w:val="CF6FC6F3"/>
    <w:rsid w:val="CFD3D3D7"/>
    <w:rsid w:val="CFDF1009"/>
    <w:rsid w:val="D37E134B"/>
    <w:rsid w:val="D3BFF496"/>
    <w:rsid w:val="D79676FC"/>
    <w:rsid w:val="D7D7B16A"/>
    <w:rsid w:val="D8D6DB89"/>
    <w:rsid w:val="DB6F4CAB"/>
    <w:rsid w:val="DB777682"/>
    <w:rsid w:val="DD1FB521"/>
    <w:rsid w:val="DE6BD8FC"/>
    <w:rsid w:val="DEFBFEAE"/>
    <w:rsid w:val="DF1F3B80"/>
    <w:rsid w:val="DF6F9789"/>
    <w:rsid w:val="DFFFA9E8"/>
    <w:rsid w:val="E5DD9D8A"/>
    <w:rsid w:val="E5F4E9DC"/>
    <w:rsid w:val="E70FE695"/>
    <w:rsid w:val="EAE4DA1D"/>
    <w:rsid w:val="ECFED1BC"/>
    <w:rsid w:val="ED1D69BB"/>
    <w:rsid w:val="ED7FD312"/>
    <w:rsid w:val="EF53993F"/>
    <w:rsid w:val="EF6FD633"/>
    <w:rsid w:val="EFBFB2F4"/>
    <w:rsid w:val="EFBFFA21"/>
    <w:rsid w:val="F2BEBCB8"/>
    <w:rsid w:val="F2DB7057"/>
    <w:rsid w:val="F36FB518"/>
    <w:rsid w:val="F3DE1A04"/>
    <w:rsid w:val="F3F722E5"/>
    <w:rsid w:val="FA5F1E70"/>
    <w:rsid w:val="FA5FDB97"/>
    <w:rsid w:val="FB7F486A"/>
    <w:rsid w:val="FBFF5B2E"/>
    <w:rsid w:val="FC5B1C1B"/>
    <w:rsid w:val="FD7FFE2B"/>
    <w:rsid w:val="FDEE196B"/>
    <w:rsid w:val="FDFE6575"/>
    <w:rsid w:val="FEAE1F2A"/>
    <w:rsid w:val="FEDFDDC2"/>
    <w:rsid w:val="FEED32F6"/>
    <w:rsid w:val="FEF781DD"/>
    <w:rsid w:val="FF3F7E3F"/>
    <w:rsid w:val="FF6D5470"/>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Title"/>
    <w:basedOn w:val="1"/>
    <w:qFormat/>
    <w:uiPriority w:val="0"/>
    <w:pPr>
      <w:spacing w:before="240" w:after="60"/>
      <w:jc w:val="center"/>
      <w:textAlignment w:val="baseline"/>
    </w:pPr>
    <w:rPr>
      <w:rFonts w:ascii="Arial" w:hAnsi="Arial" w:eastAsia="仿宋_GB2312"/>
      <w:b/>
      <w:sz w:val="32"/>
      <w:szCs w:val="21"/>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oleObject" Target="/home/huawei/Desktop/&#20154;&#31038;&#22270;&#34920;&#24037;&#20316;&#31807;1.et"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3.xml"/><Relationship Id="rId1" Type="http://schemas.openxmlformats.org/officeDocument/2006/relationships/oleObject" Target="/home/huawei/Desktop/&#24037;&#20316;&#31807;1.et"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5.xml"/><Relationship Id="rId1" Type="http://schemas.openxmlformats.org/officeDocument/2006/relationships/oleObject" Target="/home/huawei/Desktop/&#24037;&#20316;&#31807;1.et"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6.xml"/><Relationship Id="rId1" Type="http://schemas.openxmlformats.org/officeDocument/2006/relationships/oleObject" Target="/home/huawei/Desktop/&#24037;&#20316;&#31807;1.et"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7.xml"/><Relationship Id="rId1" Type="http://schemas.openxmlformats.org/officeDocument/2006/relationships/oleObject" Target="/home/huawei/Desktop/&#24037;&#20316;&#31807;1.et"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home/huawei/Desktop/&#20154;&#31038;&#22270;&#34920;&#24037;&#20316;&#31807;1.et"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home/huawei/Desktop/&#20154;&#31038;&#22270;&#34920;&#24037;&#20316;&#31807;1.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收入支出总额（万元）</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rgbClr val="4874CB"/>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[人社图表工作簿1.et]Sheet2!$B$1:$E$1</c:f>
              <c:strCache>
                <c:ptCount val="4"/>
                <c:pt idx="0">
                  <c:v>2024年度收入总额</c:v>
                </c:pt>
                <c:pt idx="1">
                  <c:v>2024年度支出总额</c:v>
                </c:pt>
                <c:pt idx="2">
                  <c:v>2025年度收入总额</c:v>
                </c:pt>
                <c:pt idx="3">
                  <c:v>2025年度支出总额</c:v>
                </c:pt>
              </c:strCache>
            </c:strRef>
          </c:cat>
          <c:val>
            <c:numRef>
              <c:f>[人社图表工作簿1.et]Sheet2!$B$2:$E$2</c:f>
              <c:numCache>
                <c:formatCode>General</c:formatCode>
                <c:ptCount val="4"/>
                <c:pt idx="0">
                  <c:v>1035.38</c:v>
                </c:pt>
                <c:pt idx="1">
                  <c:v>1035.38</c:v>
                </c:pt>
                <c:pt idx="2">
                  <c:v>762.5</c:v>
                </c:pt>
                <c:pt idx="3">
                  <c:v>762.5</c:v>
                </c:pt>
              </c:numCache>
            </c:numRef>
          </c:val>
        </c:ser>
        <c:dLbls>
          <c:showLegendKey val="0"/>
          <c:showVal val="0"/>
          <c:showCatName val="0"/>
          <c:showSerName val="0"/>
          <c:showPercent val="0"/>
          <c:showBubbleSize val="0"/>
        </c:dLbls>
        <c:gapWidth val="246"/>
        <c:overlap val="-28"/>
        <c:axId val="752482065"/>
        <c:axId val="804039914"/>
      </c:barChart>
      <c:catAx>
        <c:axId val="752482065"/>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804039914"/>
        <c:crosses val="autoZero"/>
        <c:auto val="1"/>
        <c:lblAlgn val="ctr"/>
        <c:lblOffset val="100"/>
        <c:noMultiLvlLbl val="0"/>
      </c:catAx>
      <c:valAx>
        <c:axId val="804039914"/>
        <c:scaling>
          <c:orientation val="minMax"/>
        </c:scaling>
        <c:delete val="0"/>
        <c:axPos val="l"/>
        <c:majorGridlines>
          <c:spPr>
            <a:ln w="9525" cap="flat" cmpd="sng" algn="ctr">
              <a:solidFill>
                <a:sysClr val="window" lastClr="FFFFFF">
                  <a:lumMod val="90200"/>
                </a:sys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752482065"/>
        <c:crosses val="autoZero"/>
        <c:crossBetween val="between"/>
      </c:valAx>
      <c:spPr>
        <a:noFill/>
        <a:ln>
          <a:noFill/>
        </a:ln>
        <a:effectLst/>
      </c:spPr>
    </c:plotArea>
    <c:plotVisOnly val="1"/>
    <c:dispBlanksAs val="gap"/>
    <c:showDLblsOverMax val="0"/>
    <c:extLst>
      <c:ext uri="{0b15fc19-7d7d-44ad-8c2d-2c3a37ce22c3}">
        <chartProps xmlns="https://web.wps.cn/et/2018/main" chartId="{7d1a52a2-0f34-44a1-bad4-96bded713249}"/>
      </c:ext>
    </c:extLst>
  </c:chart>
  <c:spPr>
    <a:solidFill>
      <a:sysClr val="window" lastClr="FFFFFF"/>
    </a:solidFill>
    <a:ln w="9525" cap="flat" cmpd="sng" algn="ctr">
      <a:solidFill>
        <a:sysClr val="windowText" lastClr="000000">
          <a:lumMod val="15000"/>
          <a:lumOff val="85000"/>
        </a:sys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2025年度收入总额（万元）</a:t>
            </a:r>
          </a:p>
        </c:rich>
      </c:tx>
      <c:layout/>
      <c:overlay val="0"/>
      <c:spPr>
        <a:noFill/>
        <a:ln>
          <a:noFill/>
        </a:ln>
        <a:effectLst/>
      </c:spPr>
    </c:title>
    <c:autoTitleDeleted val="0"/>
    <c:plotArea>
      <c:layout/>
      <c:pieChart>
        <c:varyColors val="1"/>
        <c:ser>
          <c:idx val="0"/>
          <c:order val="0"/>
          <c:tx>
            <c:strRef>
              <c:f>[工作簿1.et]Sheet2!$A$21</c:f>
              <c:strCache>
                <c:ptCount val="1"/>
                <c:pt idx="0">
                  <c:v>2025年度收入总额</c:v>
                </c:pt>
              </c:strCache>
            </c:strRef>
          </c:tx>
          <c:spPr/>
          <c:explosion val="0"/>
          <c:dPt>
            <c:idx val="0"/>
            <c:bubble3D val="0"/>
            <c:spPr>
              <a:solidFill>
                <a:srgbClr val="4874CB"/>
              </a:solidFill>
              <a:ln>
                <a:solidFill>
                  <a:sysClr val="window" lastClr="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val>
            <c:numRef>
              <c:f>[工作簿1.et]Sheet2!$A$22</c:f>
              <c:numCache>
                <c:formatCode>General</c:formatCode>
                <c:ptCount val="1"/>
                <c:pt idx="0">
                  <c:v>762.5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a62355a1-1508-477d-87ac-a5a1a28153cd}"/>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2025年度支出总额（万元）</a:t>
            </a:r>
          </a:p>
        </c:rich>
      </c:tx>
      <c:layout/>
      <c:overlay val="0"/>
      <c:spPr>
        <a:noFill/>
        <a:ln>
          <a:noFill/>
        </a:ln>
        <a:effectLst/>
      </c:spPr>
    </c:title>
    <c:autoTitleDeleted val="0"/>
    <c:plotArea>
      <c:layout/>
      <c:pieChart>
        <c:varyColors val="1"/>
        <c:ser>
          <c:idx val="0"/>
          <c:order val="0"/>
          <c:tx>
            <c:strRef>
              <c:f>[工作簿1.et]Sheet2!$A$45</c:f>
              <c:strCache>
                <c:ptCount val="1"/>
                <c:pt idx="0">
                  <c:v>2025年度支出总额</c:v>
                </c:pt>
              </c:strCache>
            </c:strRef>
          </c:tx>
          <c:spPr/>
          <c:explosion val="0"/>
          <c:dPt>
            <c:idx val="0"/>
            <c:bubble3D val="0"/>
            <c:spPr>
              <a:solidFill>
                <a:srgbClr val="4874CB"/>
              </a:solidFill>
              <a:ln>
                <a:solidFill>
                  <a:sysClr val="window" lastClr="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val>
            <c:numRef>
              <c:f>[工作簿1.et]Sheet2!$A$46</c:f>
              <c:numCache>
                <c:formatCode>General</c:formatCode>
                <c:ptCount val="1"/>
                <c:pt idx="0">
                  <c:v>762.5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d9edca28-c256-4915-8539-fecac94b2d00}"/>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财政拨款收入支出总额（万元）</a:t>
            </a:r>
          </a:p>
        </c:rich>
      </c:tx>
      <c:layout/>
      <c:overlay val="0"/>
      <c:spPr>
        <a:noFill/>
        <a:ln>
          <a:noFill/>
        </a:ln>
        <a:effectLst/>
      </c:spPr>
    </c:title>
    <c:autoTitleDeleted val="0"/>
    <c:plotArea>
      <c:layout/>
      <c:barChart>
        <c:barDir val="col"/>
        <c:grouping val="clustered"/>
        <c:varyColors val="0"/>
        <c:ser>
          <c:idx val="0"/>
          <c:order val="0"/>
          <c:spPr>
            <a:solidFill>
              <a:srgbClr val="4874CB"/>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[工作簿1.et]Sheet2!$C$63:$D$63</c:f>
              <c:strCache>
                <c:ptCount val="2"/>
                <c:pt idx="0">
                  <c:v>2025年度收入总额</c:v>
                </c:pt>
                <c:pt idx="1">
                  <c:v>2025年度支出总额</c:v>
                </c:pt>
              </c:strCache>
            </c:strRef>
          </c:cat>
          <c:val>
            <c:numRef>
              <c:f>[工作簿1.et]Sheet2!$C$64:$D$64</c:f>
              <c:numCache>
                <c:formatCode>General</c:formatCode>
                <c:ptCount val="2"/>
                <c:pt idx="0">
                  <c:v>762.5</c:v>
                </c:pt>
                <c:pt idx="1">
                  <c:v>762.5</c:v>
                </c:pt>
              </c:numCache>
            </c:numRef>
          </c:val>
        </c:ser>
        <c:dLbls>
          <c:showLegendKey val="0"/>
          <c:showVal val="1"/>
          <c:showCatName val="0"/>
          <c:showSerName val="0"/>
          <c:showPercent val="0"/>
          <c:showBubbleSize val="0"/>
        </c:dLbls>
        <c:gapWidth val="246"/>
        <c:overlap val="-28"/>
        <c:axId val="177463236"/>
        <c:axId val="930896291"/>
      </c:barChart>
      <c:catAx>
        <c:axId val="177463236"/>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930896291"/>
        <c:crosses val="autoZero"/>
        <c:auto val="1"/>
        <c:lblAlgn val="ctr"/>
        <c:lblOffset val="100"/>
        <c:noMultiLvlLbl val="0"/>
      </c:catAx>
      <c:valAx>
        <c:axId val="930896291"/>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177463236"/>
        <c:crosses val="autoZero"/>
        <c:crossBetween val="between"/>
      </c:valAx>
      <c:spPr>
        <a:noFill/>
        <a:ln>
          <a:noFill/>
        </a:ln>
        <a:effectLst/>
      </c:spPr>
    </c:plotArea>
    <c:plotVisOnly val="1"/>
    <c:dispBlanksAs val="gap"/>
    <c:showDLblsOverMax val="0"/>
    <c:extLst>
      <c:ext uri="{0b15fc19-7d7d-44ad-8c2d-2c3a37ce22c3}">
        <chartProps xmlns="https://web.wps.cn/et/2018/main" chartId="{028981c6-954a-44ae-88ea-c94757cc7988}"/>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一般公共预算财政拨款支出（万元）</a:t>
            </a:r>
            <a:endParaRPr lang="en-US" altLang="zh-CN"/>
          </a:p>
        </c:rich>
      </c:tx>
      <c:layout/>
      <c:overlay val="0"/>
      <c:spPr>
        <a:noFill/>
        <a:ln>
          <a:noFill/>
        </a:ln>
        <a:effectLst/>
      </c:spPr>
    </c:title>
    <c:autoTitleDeleted val="0"/>
    <c:plotArea>
      <c:layout/>
      <c:barChart>
        <c:barDir val="col"/>
        <c:grouping val="clustered"/>
        <c:varyColors val="0"/>
        <c:ser>
          <c:idx val="0"/>
          <c:order val="0"/>
          <c:spPr>
            <a:solidFill>
              <a:srgbClr val="4874CB"/>
            </a:solidFill>
            <a:ln>
              <a:noFill/>
            </a:ln>
            <a:effectLst/>
          </c:spPr>
          <c:invertIfNegative val="0"/>
          <c:dLbls>
            <c:delete val="1"/>
          </c:dLbls>
          <c:cat>
            <c:strRef>
              <c:f>[工作簿1.et]Sheet2!$B$83:$C$83</c:f>
              <c:strCache>
                <c:ptCount val="2"/>
                <c:pt idx="0">
                  <c:v>2024年度支出总额</c:v>
                </c:pt>
                <c:pt idx="1">
                  <c:v>2025年度支出总额</c:v>
                </c:pt>
              </c:strCache>
            </c:strRef>
          </c:cat>
          <c:val>
            <c:numRef>
              <c:f>[工作簿1.et]Sheet2!$B$84:$C$84</c:f>
              <c:numCache>
                <c:formatCode>General</c:formatCode>
                <c:ptCount val="2"/>
                <c:pt idx="0">
                  <c:v>1035.38</c:v>
                </c:pt>
                <c:pt idx="1">
                  <c:v>762.5</c:v>
                </c:pt>
              </c:numCache>
            </c:numRef>
          </c:val>
        </c:ser>
        <c:dLbls>
          <c:showLegendKey val="0"/>
          <c:showVal val="0"/>
          <c:showCatName val="0"/>
          <c:showSerName val="0"/>
          <c:showPercent val="0"/>
          <c:showBubbleSize val="0"/>
        </c:dLbls>
        <c:gapWidth val="246"/>
        <c:overlap val="-28"/>
        <c:axId val="146322239"/>
        <c:axId val="49256596"/>
      </c:barChart>
      <c:catAx>
        <c:axId val="146322239"/>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9256596"/>
        <c:crosses val="autoZero"/>
        <c:auto val="1"/>
        <c:lblAlgn val="ctr"/>
        <c:lblOffset val="100"/>
        <c:noMultiLvlLbl val="0"/>
      </c:catAx>
      <c:valAx>
        <c:axId val="49256596"/>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146322239"/>
        <c:crosses val="autoZero"/>
        <c:crossBetween val="between"/>
      </c:valAx>
      <c:spPr>
        <a:noFill/>
        <a:ln>
          <a:noFill/>
        </a:ln>
        <a:effectLst/>
      </c:spPr>
    </c:plotArea>
    <c:plotVisOnly val="1"/>
    <c:dispBlanksAs val="gap"/>
    <c:showDLblsOverMax val="0"/>
    <c:extLst>
      <c:ext uri="{0b15fc19-7d7d-44ad-8c2d-2c3a37ce22c3}">
        <chartProps xmlns="https://web.wps.cn/et/2018/main" chartId="{9c6b10a2-1227-410e-ba6e-e3f7f5eec0f9}"/>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一般公共预算财政拨款支出（万元）</a:t>
            </a:r>
          </a:p>
        </c:rich>
      </c:tx>
      <c:layout/>
      <c:overlay val="0"/>
      <c:spPr>
        <a:noFill/>
        <a:ln>
          <a:noFill/>
        </a:ln>
        <a:effectLst/>
      </c:spPr>
    </c:title>
    <c:autoTitleDeleted val="0"/>
    <c:plotArea>
      <c:layout/>
      <c:pieChart>
        <c:varyColors val="1"/>
        <c:ser>
          <c:idx val="0"/>
          <c:order val="0"/>
          <c:spPr>
            <a:ln>
              <a:noFill/>
            </a:ln>
          </c:spPr>
          <c:explosion val="0"/>
          <c:dPt>
            <c:idx val="0"/>
            <c:bubble3D val="0"/>
            <c:spPr>
              <a:solidFill>
                <a:srgbClr val="4874CB"/>
              </a:solidFill>
              <a:ln>
                <a:noFill/>
              </a:ln>
              <a:effectLst/>
            </c:spPr>
          </c:dPt>
          <c:dPt>
            <c:idx val="1"/>
            <c:bubble3D val="0"/>
            <c:spPr>
              <a:solidFill>
                <a:srgbClr val="EE822F"/>
              </a:solidFill>
              <a:ln>
                <a:noFill/>
              </a:ln>
              <a:effectLst/>
            </c:spPr>
          </c:dPt>
          <c:dPt>
            <c:idx val="2"/>
            <c:bubble3D val="0"/>
            <c:spPr>
              <a:solidFill>
                <a:srgbClr val="F2BA02"/>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[人社图表工作簿1.et]Sheet2!$A$102:$C$102</c:f>
              <c:strCache>
                <c:ptCount val="3"/>
                <c:pt idx="0">
                  <c:v>社会保障和就业支出</c:v>
                </c:pt>
                <c:pt idx="1">
                  <c:v>卫生健康支出</c:v>
                </c:pt>
                <c:pt idx="2">
                  <c:v>住房保障支出</c:v>
                </c:pt>
              </c:strCache>
            </c:strRef>
          </c:cat>
          <c:val>
            <c:numRef>
              <c:f>[人社图表工作簿1.et]Sheet2!$A$103:$C$103</c:f>
              <c:numCache>
                <c:formatCode>General</c:formatCode>
                <c:ptCount val="3"/>
                <c:pt idx="0">
                  <c:v>720.45</c:v>
                </c:pt>
                <c:pt idx="1">
                  <c:v>18.18</c:v>
                </c:pt>
                <c:pt idx="2">
                  <c:v>23.87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05def298-c2ac-41d1-a85a-80dde41a2146}"/>
      </c:ext>
    </c:extLst>
  </c:chart>
  <c:spPr>
    <a:solidFill>
      <a:sysClr val="window" lastClr="FFFFFF"/>
    </a:solidFill>
    <a:ln w="9525" cap="flat" cmpd="sng" algn="ctr">
      <a:solidFill>
        <a:srgbClr val="4874CB"/>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“三公”经费支出（万元）</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rgbClr val="4874CB"/>
              </a:solidFill>
              <a:ln>
                <a:solidFill>
                  <a:sysClr val="window" lastClr="FFFFFF"/>
                </a:solidFill>
              </a:ln>
              <a:effectLst/>
            </c:spPr>
          </c:dPt>
          <c:dPt>
            <c:idx val="1"/>
            <c:bubble3D val="0"/>
            <c:spPr>
              <a:solidFill>
                <a:srgbClr val="EE822F"/>
              </a:solidFill>
              <a:ln>
                <a:solidFill>
                  <a:sysClr val="window" lastClr="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[人社图表工作簿1.et]Sheet2!$A$126:$B$126</c:f>
              <c:strCache>
                <c:ptCount val="2"/>
                <c:pt idx="0">
                  <c:v>公务用车购置及运行维护费支出</c:v>
                </c:pt>
                <c:pt idx="1">
                  <c:v>公务接待费支出</c:v>
                </c:pt>
              </c:strCache>
            </c:strRef>
          </c:cat>
          <c:val>
            <c:numRef>
              <c:f>[人社图表工作簿1.et]Sheet2!$A$127:$B$127</c:f>
              <c:numCache>
                <c:formatCode>General</c:formatCode>
                <c:ptCount val="2"/>
                <c:pt idx="0">
                  <c:v>4</c:v>
                </c:pt>
                <c:pt idx="1">
                  <c:v>0.1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06fc239e-7f8e-4899-b270-45ceaf3f2aed}"/>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42</Pages>
  <Words>836</Words>
  <Characters>881</Characters>
  <Lines>61</Lines>
  <Paragraphs>17</Paragraphs>
  <TotalTime>14</TotalTime>
  <ScaleCrop>false</ScaleCrop>
  <LinksUpToDate>false</LinksUpToDate>
  <CharactersWithSpaces>894</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2020-08-12T01:49:00Z</dcterms:created>
  <dc:creator>曹颖</dc:creator>
  <cp:lastModifiedBy>huawei</cp:lastModifiedBy>
  <cp:lastPrinted>2026-10-28T11:38:00Z</cp:lastPrinted>
  <dcterms:modified xsi:type="dcterms:W3CDTF">2026-10-28T18:50:49Z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57B5D0693596A8730D19E06A6A470C66_43</vt:lpwstr>
  </property>
  <property fmtid="{D5CDD505-2E9C-101B-9397-08002B2CF9AE}" pid="4" name="KSOTemplateDocerSaveRecord">
    <vt:lpwstr>eyJoZGlkIjoiNTdkYzU0NjlmMjc3NGIzZTBkZmNmN2FlNDVkODdhZmUiLCJ1c2VySWQiOiIzMTU2MzU1NzAifQ==</vt:lpwstr>
  </property>
</Properties>
</file>